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9"/>
        <w:ind w:firstLine="883" w:firstLineChars="200"/>
        <w:rPr>
          <w:rFonts w:hint="eastAsia"/>
          <w:b/>
          <w:bCs/>
          <w:color w:val="auto"/>
          <w:sz w:val="44"/>
          <w:szCs w:val="44"/>
          <w:highlight w:val="none"/>
        </w:rPr>
      </w:pPr>
    </w:p>
    <w:p>
      <w:pPr>
        <w:pStyle w:val="13"/>
        <w:ind w:firstLine="883" w:firstLineChars="200"/>
        <w:rPr>
          <w:rFonts w:hint="eastAsia" w:eastAsia="宋体"/>
          <w:color w:val="auto"/>
          <w:sz w:val="32"/>
          <w:highlight w:val="none"/>
          <w:lang w:eastAsia="zh-CN"/>
        </w:rPr>
      </w:pPr>
      <w:r>
        <w:rPr>
          <w:rFonts w:hint="eastAsia"/>
          <w:b/>
          <w:bCs/>
          <w:color w:val="auto"/>
          <w:sz w:val="44"/>
          <w:szCs w:val="44"/>
          <w:highlight w:val="none"/>
          <w:lang w:eastAsia="zh-CN"/>
        </w:rPr>
        <w:t>桂林市兴安县2018年同志村委土地开垦项目</w:t>
      </w:r>
    </w:p>
    <w:p>
      <w:pPr>
        <w:pStyle w:val="13"/>
        <w:rPr>
          <w:color w:val="auto"/>
          <w:sz w:val="32"/>
          <w:highlight w:val="none"/>
        </w:rPr>
      </w:pPr>
    </w:p>
    <w:p>
      <w:pPr>
        <w:pStyle w:val="13"/>
        <w:rPr>
          <w:color w:val="auto"/>
          <w:sz w:val="32"/>
          <w:highlight w:val="none"/>
        </w:rPr>
      </w:pPr>
    </w:p>
    <w:p>
      <w:pPr>
        <w:pStyle w:val="13"/>
        <w:rPr>
          <w:color w:val="auto"/>
          <w:sz w:val="32"/>
          <w:highlight w:val="none"/>
        </w:rPr>
      </w:pPr>
      <w:r>
        <w:rPr>
          <w:color w:val="auto"/>
          <w:sz w:val="32"/>
          <w:highlight w:val="none"/>
        </w:rPr>
        <w:drawing>
          <wp:anchor distT="0" distB="0" distL="114300" distR="114300" simplePos="0" relativeHeight="503028736" behindDoc="0" locked="0" layoutInCell="1" allowOverlap="1">
            <wp:simplePos x="0" y="0"/>
            <wp:positionH relativeFrom="column">
              <wp:posOffset>1508125</wp:posOffset>
            </wp:positionH>
            <wp:positionV relativeFrom="paragraph">
              <wp:posOffset>15240</wp:posOffset>
            </wp:positionV>
            <wp:extent cx="3714750" cy="2667000"/>
            <wp:effectExtent l="0" t="0" r="0" b="0"/>
            <wp:wrapNone/>
            <wp:docPr id="288" name="图片 1" descr="说明: C:\Users\Administrator\AppData\Roaming\Tencent\Users\393208748\QQ\WinTemp\RichOle\B~0_$@@0SL2J@AOSB%0%RV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1" descr="说明: C:\Users\Administrator\AppData\Roaming\Tencent\Users\393208748\QQ\WinTemp\RichOle\B~0_$@@0SL2J@AOSB%0%RV7.jpg"/>
                    <pic:cNvPicPr>
                      <a:picLocks noChangeAspect="1"/>
                    </pic:cNvPicPr>
                  </pic:nvPicPr>
                  <pic:blipFill>
                    <a:blip r:embed="rId16"/>
                    <a:stretch>
                      <a:fillRect/>
                    </a:stretch>
                  </pic:blipFill>
                  <pic:spPr>
                    <a:xfrm>
                      <a:off x="0" y="0"/>
                      <a:ext cx="3714750" cy="2667000"/>
                    </a:xfrm>
                    <a:prstGeom prst="rect">
                      <a:avLst/>
                    </a:prstGeom>
                    <a:noFill/>
                    <a:ln>
                      <a:noFill/>
                    </a:ln>
                  </pic:spPr>
                </pic:pic>
              </a:graphicData>
            </a:graphic>
          </wp:anchor>
        </w:drawing>
      </w:r>
    </w:p>
    <w:p>
      <w:pPr>
        <w:pStyle w:val="13"/>
        <w:rPr>
          <w:color w:val="auto"/>
          <w:sz w:val="32"/>
          <w:highlight w:val="none"/>
        </w:rPr>
      </w:pPr>
    </w:p>
    <w:p>
      <w:pPr>
        <w:pStyle w:val="13"/>
        <w:rPr>
          <w:color w:val="auto"/>
          <w:sz w:val="32"/>
          <w:highlight w:val="none"/>
        </w:rPr>
      </w:pPr>
    </w:p>
    <w:p>
      <w:pPr>
        <w:pStyle w:val="13"/>
        <w:rPr>
          <w:color w:val="auto"/>
          <w:sz w:val="32"/>
          <w:highlight w:val="none"/>
        </w:rPr>
      </w:pPr>
    </w:p>
    <w:p>
      <w:pPr>
        <w:pStyle w:val="12"/>
        <w:rPr>
          <w:color w:val="auto"/>
          <w:highlight w:val="none"/>
        </w:rPr>
      </w:pPr>
    </w:p>
    <w:p>
      <w:pPr>
        <w:pStyle w:val="13"/>
        <w:rPr>
          <w:color w:val="auto"/>
          <w:sz w:val="32"/>
          <w:highlight w:val="none"/>
        </w:rPr>
      </w:pPr>
    </w:p>
    <w:p>
      <w:pPr>
        <w:pStyle w:val="13"/>
        <w:rPr>
          <w:color w:val="auto"/>
          <w:sz w:val="32"/>
          <w:highlight w:val="none"/>
        </w:rPr>
      </w:pPr>
    </w:p>
    <w:p>
      <w:pPr>
        <w:pStyle w:val="13"/>
        <w:rPr>
          <w:color w:val="auto"/>
          <w:sz w:val="32"/>
          <w:highlight w:val="none"/>
        </w:rPr>
      </w:pPr>
    </w:p>
    <w:p>
      <w:pPr>
        <w:pStyle w:val="13"/>
        <w:rPr>
          <w:color w:val="auto"/>
          <w:sz w:val="32"/>
          <w:highlight w:val="none"/>
        </w:rPr>
      </w:pPr>
    </w:p>
    <w:p>
      <w:pPr>
        <w:pStyle w:val="13"/>
        <w:rPr>
          <w:color w:val="auto"/>
          <w:sz w:val="32"/>
          <w:highlight w:val="none"/>
        </w:rPr>
      </w:pPr>
    </w:p>
    <w:p>
      <w:pPr>
        <w:pStyle w:val="13"/>
        <w:rPr>
          <w:color w:val="auto"/>
          <w:sz w:val="32"/>
          <w:highlight w:val="none"/>
        </w:rPr>
      </w:pPr>
    </w:p>
    <w:p>
      <w:pPr>
        <w:pStyle w:val="13"/>
        <w:spacing w:before="1"/>
        <w:rPr>
          <w:color w:val="auto"/>
          <w:sz w:val="25"/>
          <w:highlight w:val="none"/>
        </w:rPr>
      </w:pPr>
    </w:p>
    <w:p>
      <w:pPr>
        <w:spacing w:before="1"/>
        <w:ind w:left="43" w:right="659"/>
        <w:jc w:val="center"/>
        <w:rPr>
          <w:b/>
          <w:color w:val="auto"/>
          <w:sz w:val="72"/>
          <w:highlight w:val="none"/>
        </w:rPr>
      </w:pPr>
    </w:p>
    <w:p>
      <w:pPr>
        <w:spacing w:before="1"/>
        <w:ind w:left="43" w:right="659"/>
        <w:jc w:val="center"/>
        <w:rPr>
          <w:b/>
          <w:color w:val="auto"/>
          <w:sz w:val="72"/>
          <w:highlight w:val="none"/>
        </w:rPr>
      </w:pPr>
      <w:r>
        <w:rPr>
          <w:b/>
          <w:color w:val="auto"/>
          <w:sz w:val="72"/>
          <w:highlight w:val="none"/>
        </w:rPr>
        <w:t>招标文件</w:t>
      </w:r>
    </w:p>
    <w:p>
      <w:pPr>
        <w:pStyle w:val="5"/>
        <w:spacing w:before="395"/>
        <w:ind w:left="43" w:right="655"/>
        <w:jc w:val="center"/>
        <w:rPr>
          <w:rFonts w:hint="eastAsia"/>
          <w:color w:val="auto"/>
          <w:highlight w:val="none"/>
          <w:lang w:eastAsia="zh-CN"/>
        </w:rPr>
      </w:pPr>
    </w:p>
    <w:p>
      <w:pPr>
        <w:pStyle w:val="5"/>
        <w:spacing w:before="395"/>
        <w:ind w:left="43" w:right="655"/>
        <w:jc w:val="center"/>
        <w:rPr>
          <w:rFonts w:hint="default"/>
          <w:color w:val="auto"/>
          <w:highlight w:val="none"/>
          <w:lang w:val="en-US"/>
        </w:rPr>
      </w:pPr>
      <w:r>
        <w:rPr>
          <w:rFonts w:hint="eastAsia"/>
          <w:color w:val="auto"/>
          <w:highlight w:val="none"/>
          <w:lang w:eastAsia="zh-CN"/>
        </w:rPr>
        <w:t>项目编号：GLZC20</w:t>
      </w:r>
      <w:r>
        <w:rPr>
          <w:rFonts w:hint="eastAsia"/>
          <w:color w:val="auto"/>
          <w:highlight w:val="none"/>
          <w:lang w:val="en-US" w:eastAsia="zh-CN"/>
        </w:rPr>
        <w:t>20</w:t>
      </w:r>
      <w:r>
        <w:rPr>
          <w:rFonts w:hint="eastAsia"/>
          <w:color w:val="auto"/>
          <w:highlight w:val="none"/>
          <w:lang w:eastAsia="zh-CN"/>
        </w:rPr>
        <w:t>-G2-11</w:t>
      </w:r>
      <w:r>
        <w:rPr>
          <w:rFonts w:hint="eastAsia"/>
          <w:color w:val="auto"/>
          <w:highlight w:val="none"/>
          <w:lang w:val="en-US" w:eastAsia="zh-CN"/>
        </w:rPr>
        <w:t>019</w:t>
      </w:r>
      <w:r>
        <w:rPr>
          <w:rFonts w:hint="eastAsia"/>
          <w:color w:val="auto"/>
          <w:highlight w:val="none"/>
          <w:lang w:eastAsia="zh-CN"/>
        </w:rPr>
        <w:t>-</w:t>
      </w:r>
      <w:r>
        <w:rPr>
          <w:rFonts w:hint="eastAsia"/>
          <w:color w:val="auto"/>
          <w:highlight w:val="none"/>
          <w:lang w:val="en-US" w:eastAsia="zh-CN"/>
        </w:rPr>
        <w:t>SHZH</w:t>
      </w:r>
    </w:p>
    <w:p>
      <w:pPr>
        <w:pStyle w:val="13"/>
        <w:rPr>
          <w:color w:val="auto"/>
          <w:sz w:val="20"/>
          <w:highlight w:val="none"/>
        </w:rPr>
      </w:pPr>
    </w:p>
    <w:p>
      <w:pPr>
        <w:pStyle w:val="13"/>
        <w:rPr>
          <w:color w:val="auto"/>
          <w:sz w:val="20"/>
          <w:highlight w:val="none"/>
        </w:rPr>
      </w:pPr>
    </w:p>
    <w:p>
      <w:pPr>
        <w:pStyle w:val="13"/>
        <w:rPr>
          <w:color w:val="auto"/>
          <w:sz w:val="20"/>
          <w:highlight w:val="none"/>
        </w:rPr>
      </w:pPr>
    </w:p>
    <w:p>
      <w:pPr>
        <w:pStyle w:val="13"/>
        <w:spacing w:before="11"/>
        <w:rPr>
          <w:color w:val="auto"/>
          <w:sz w:val="11"/>
          <w:highlight w:val="none"/>
        </w:rPr>
      </w:pPr>
    </w:p>
    <w:p>
      <w:pPr>
        <w:spacing w:before="15"/>
        <w:ind w:left="1270"/>
        <w:rPr>
          <w:rFonts w:hint="eastAsia"/>
          <w:b/>
          <w:color w:val="auto"/>
          <w:sz w:val="32"/>
          <w:highlight w:val="none"/>
        </w:rPr>
      </w:pPr>
      <w:r>
        <w:rPr>
          <w:rFonts w:hint="eastAsia"/>
          <w:b/>
          <w:color w:val="auto"/>
          <w:sz w:val="32"/>
          <w:highlight w:val="none"/>
        </w:rPr>
        <w:t xml:space="preserve">        </w:t>
      </w:r>
      <w:r>
        <w:rPr>
          <w:rFonts w:hint="eastAsia"/>
          <w:b/>
          <w:color w:val="auto"/>
          <w:sz w:val="32"/>
          <w:highlight w:val="none"/>
          <w:lang w:eastAsia="zh-CN"/>
        </w:rPr>
        <w:t>采购人</w:t>
      </w:r>
      <w:r>
        <w:rPr>
          <w:b/>
          <w:color w:val="auto"/>
          <w:sz w:val="32"/>
          <w:highlight w:val="none"/>
        </w:rPr>
        <w:t>：兴安县自然资源局</w:t>
      </w:r>
    </w:p>
    <w:p>
      <w:pPr>
        <w:spacing w:before="212" w:line="365" w:lineRule="auto"/>
        <w:ind w:left="1270"/>
        <w:rPr>
          <w:b/>
          <w:color w:val="auto"/>
          <w:spacing w:val="-12"/>
          <w:w w:val="95"/>
          <w:sz w:val="32"/>
          <w:highlight w:val="none"/>
        </w:rPr>
      </w:pPr>
      <w:r>
        <w:rPr>
          <w:rFonts w:hint="eastAsia"/>
          <w:b/>
          <w:color w:val="auto"/>
          <w:spacing w:val="-12"/>
          <w:w w:val="95"/>
          <w:sz w:val="32"/>
          <w:highlight w:val="none"/>
        </w:rPr>
        <w:t xml:space="preserve">    </w:t>
      </w:r>
      <w:r>
        <w:rPr>
          <w:rFonts w:hint="eastAsia"/>
          <w:b/>
          <w:color w:val="auto"/>
          <w:spacing w:val="-12"/>
          <w:w w:val="95"/>
          <w:sz w:val="32"/>
          <w:highlight w:val="none"/>
          <w:lang w:eastAsia="zh-CN"/>
        </w:rPr>
        <w:t>采购代理机构</w:t>
      </w:r>
      <w:r>
        <w:rPr>
          <w:b/>
          <w:color w:val="auto"/>
          <w:spacing w:val="-12"/>
          <w:w w:val="95"/>
          <w:sz w:val="32"/>
          <w:highlight w:val="none"/>
        </w:rPr>
        <w:t>：</w:t>
      </w:r>
      <w:r>
        <w:rPr>
          <w:rFonts w:hint="eastAsia"/>
          <w:b/>
          <w:color w:val="auto"/>
          <w:spacing w:val="-12"/>
          <w:w w:val="95"/>
          <w:sz w:val="32"/>
          <w:highlight w:val="none"/>
        </w:rPr>
        <w:t>上海正弘建设工程顾问有限公司</w:t>
      </w:r>
    </w:p>
    <w:p>
      <w:pPr>
        <w:spacing w:before="212" w:line="365" w:lineRule="auto"/>
        <w:ind w:left="1270"/>
        <w:rPr>
          <w:rFonts w:hint="eastAsia"/>
          <w:color w:val="auto"/>
          <w:sz w:val="32"/>
          <w:highlight w:val="none"/>
        </w:rPr>
        <w:sectPr>
          <w:footerReference r:id="rId3" w:type="default"/>
          <w:pgSz w:w="11910" w:h="16840"/>
          <w:pgMar w:top="1500" w:right="0" w:bottom="280" w:left="760" w:header="720" w:footer="720" w:gutter="0"/>
          <w:pgNumType w:fmt="decimal"/>
          <w:cols w:space="720" w:num="1"/>
          <w:rtlGutter w:val="1"/>
        </w:sectPr>
      </w:pPr>
      <w:r>
        <w:rPr>
          <w:rFonts w:hint="eastAsia"/>
          <w:b/>
          <w:color w:val="auto"/>
          <w:spacing w:val="-9"/>
          <w:sz w:val="32"/>
          <w:highlight w:val="none"/>
        </w:rPr>
        <w:t xml:space="preserve">                </w:t>
      </w:r>
      <w:r>
        <w:rPr>
          <w:b/>
          <w:color w:val="auto"/>
          <w:spacing w:val="-9"/>
          <w:sz w:val="32"/>
          <w:highlight w:val="none"/>
        </w:rPr>
        <w:t>日期：</w:t>
      </w:r>
      <w:r>
        <w:rPr>
          <w:b/>
          <w:color w:val="auto"/>
          <w:spacing w:val="-5"/>
          <w:sz w:val="32"/>
          <w:highlight w:val="none"/>
        </w:rPr>
        <w:t>20</w:t>
      </w:r>
      <w:r>
        <w:rPr>
          <w:rFonts w:hint="eastAsia"/>
          <w:b/>
          <w:color w:val="auto"/>
          <w:spacing w:val="-5"/>
          <w:sz w:val="32"/>
          <w:highlight w:val="none"/>
          <w:lang w:val="en-US" w:eastAsia="zh-CN"/>
        </w:rPr>
        <w:t>20</w:t>
      </w:r>
      <w:r>
        <w:rPr>
          <w:b/>
          <w:color w:val="auto"/>
          <w:spacing w:val="-62"/>
          <w:sz w:val="32"/>
          <w:highlight w:val="none"/>
        </w:rPr>
        <w:t xml:space="preserve">年 </w:t>
      </w:r>
      <w:r>
        <w:rPr>
          <w:rFonts w:hint="eastAsia"/>
          <w:b/>
          <w:color w:val="auto"/>
          <w:spacing w:val="-62"/>
          <w:sz w:val="32"/>
          <w:highlight w:val="none"/>
        </w:rPr>
        <w:t xml:space="preserve">  </w:t>
      </w:r>
      <w:r>
        <w:rPr>
          <w:rFonts w:hint="eastAsia"/>
          <w:b/>
          <w:color w:val="auto"/>
          <w:spacing w:val="-62"/>
          <w:sz w:val="32"/>
          <w:highlight w:val="none"/>
          <w:lang w:val="en-US" w:eastAsia="zh-CN"/>
        </w:rPr>
        <w:t>4 月</w:t>
      </w:r>
    </w:p>
    <w:p>
      <w:pPr>
        <w:tabs>
          <w:tab w:val="left" w:pos="1501"/>
        </w:tabs>
        <w:spacing w:before="0" w:line="603" w:lineRule="exact"/>
        <w:ind w:left="454" w:right="0" w:firstLine="0"/>
        <w:jc w:val="center"/>
        <w:rPr>
          <w:b/>
          <w:sz w:val="52"/>
        </w:rPr>
      </w:pPr>
      <w:r>
        <w:rPr>
          <w:b/>
          <w:sz w:val="52"/>
        </w:rPr>
        <w:t>目</w:t>
      </w:r>
      <w:r>
        <w:rPr>
          <w:b/>
          <w:sz w:val="52"/>
        </w:rPr>
        <w:tab/>
      </w:r>
      <w:r>
        <w:rPr>
          <w:b/>
          <w:sz w:val="52"/>
        </w:rPr>
        <w:t>录</w:t>
      </w:r>
    </w:p>
    <w:sdt>
      <w:sdtPr>
        <w:id w:val="0"/>
      </w:sdtPr>
      <w:sdtContent>
        <w:p>
          <w:pPr>
            <w:pStyle w:val="16"/>
            <w:tabs>
              <w:tab w:val="right" w:leader="dot" w:pos="9742"/>
            </w:tabs>
            <w:spacing w:before="575"/>
          </w:pPr>
          <w:r>
            <w:fldChar w:fldCharType="begin"/>
          </w:r>
          <w:r>
            <w:instrText xml:space="preserve">TOC \o "1-1" \h \z \u </w:instrText>
          </w:r>
          <w:r>
            <w:fldChar w:fldCharType="separate"/>
          </w:r>
          <w:r>
            <w:fldChar w:fldCharType="begin"/>
          </w:r>
          <w:r>
            <w:instrText xml:space="preserve"> HYPERLINK \l "_bookmark0" </w:instrText>
          </w:r>
          <w:r>
            <w:fldChar w:fldCharType="separate"/>
          </w:r>
          <w:r>
            <w:t>第一章 招标公告</w:t>
          </w:r>
          <w:r>
            <w:tab/>
          </w:r>
          <w:r>
            <w:t>3</w:t>
          </w:r>
          <w:r>
            <w:fldChar w:fldCharType="end"/>
          </w:r>
        </w:p>
        <w:p>
          <w:pPr>
            <w:pStyle w:val="16"/>
            <w:tabs>
              <w:tab w:val="right" w:leader="dot" w:pos="9742"/>
            </w:tabs>
          </w:pPr>
          <w:r>
            <w:fldChar w:fldCharType="begin"/>
          </w:r>
          <w:r>
            <w:instrText xml:space="preserve"> HYPERLINK \l "_bookmark1" </w:instrText>
          </w:r>
          <w:r>
            <w:fldChar w:fldCharType="separate"/>
          </w:r>
          <w:r>
            <w:t>第二章 投标人须知</w:t>
          </w:r>
          <w:r>
            <w:tab/>
          </w:r>
          <w:r>
            <w:t>5</w:t>
          </w:r>
          <w:r>
            <w:fldChar w:fldCharType="end"/>
          </w:r>
        </w:p>
        <w:p>
          <w:pPr>
            <w:pStyle w:val="16"/>
            <w:tabs>
              <w:tab w:val="right" w:leader="dot" w:pos="9745"/>
            </w:tabs>
          </w:pPr>
          <w:r>
            <w:fldChar w:fldCharType="begin"/>
          </w:r>
          <w:r>
            <w:instrText xml:space="preserve"> HYPERLINK \l "_bookmark2" </w:instrText>
          </w:r>
          <w:r>
            <w:fldChar w:fldCharType="separate"/>
          </w:r>
          <w:r>
            <w:t>第三章</w:t>
          </w:r>
          <w:r>
            <w:rPr>
              <w:spacing w:val="0"/>
            </w:rPr>
            <w:t xml:space="preserve"> </w:t>
          </w:r>
          <w:r>
            <w:t>评标办法（综合评估法）</w:t>
          </w:r>
          <w:r>
            <w:tab/>
          </w:r>
          <w:r>
            <w:t>22</w:t>
          </w:r>
          <w:r>
            <w:fldChar w:fldCharType="end"/>
          </w:r>
        </w:p>
        <w:p>
          <w:pPr>
            <w:pStyle w:val="16"/>
            <w:tabs>
              <w:tab w:val="right" w:leader="dot" w:pos="9745"/>
            </w:tabs>
            <w:spacing w:before="432"/>
          </w:pPr>
          <w:r>
            <w:fldChar w:fldCharType="begin"/>
          </w:r>
          <w:r>
            <w:instrText xml:space="preserve"> HYPERLINK \l "_bookmark3" </w:instrText>
          </w:r>
          <w:r>
            <w:fldChar w:fldCharType="separate"/>
          </w:r>
          <w:r>
            <w:t>第四章</w:t>
          </w:r>
          <w:r>
            <w:rPr>
              <w:spacing w:val="0"/>
            </w:rPr>
            <w:t xml:space="preserve"> </w:t>
          </w:r>
          <w:r>
            <w:t>合同条款及格式</w:t>
          </w:r>
          <w:r>
            <w:tab/>
          </w:r>
          <w:r>
            <w:t>35</w:t>
          </w:r>
          <w:r>
            <w:fldChar w:fldCharType="end"/>
          </w:r>
        </w:p>
        <w:p>
          <w:pPr>
            <w:pStyle w:val="16"/>
            <w:tabs>
              <w:tab w:val="right" w:leader="dot" w:pos="9745"/>
            </w:tabs>
          </w:pPr>
          <w:r>
            <w:fldChar w:fldCharType="begin"/>
          </w:r>
          <w:r>
            <w:instrText xml:space="preserve"> HYPERLINK \l "_bookmark4" </w:instrText>
          </w:r>
          <w:r>
            <w:fldChar w:fldCharType="separate"/>
          </w:r>
          <w:r>
            <w:t>第五章</w:t>
          </w:r>
          <w:r>
            <w:rPr>
              <w:spacing w:val="0"/>
            </w:rPr>
            <w:t xml:space="preserve"> </w:t>
          </w:r>
          <w:r>
            <w:t>工程量清单</w:t>
          </w:r>
          <w:r>
            <w:tab/>
          </w:r>
          <w:r>
            <w:t>116</w:t>
          </w:r>
          <w:r>
            <w:fldChar w:fldCharType="end"/>
          </w:r>
        </w:p>
        <w:p>
          <w:pPr>
            <w:pStyle w:val="16"/>
            <w:tabs>
              <w:tab w:val="right" w:leader="dot" w:pos="9745"/>
            </w:tabs>
          </w:pPr>
          <w:r>
            <w:fldChar w:fldCharType="begin"/>
          </w:r>
          <w:r>
            <w:instrText xml:space="preserve"> HYPERLINK \l "_bookmark5" </w:instrText>
          </w:r>
          <w:r>
            <w:fldChar w:fldCharType="separate"/>
          </w:r>
          <w:r>
            <w:t>第六章</w:t>
          </w:r>
          <w:r>
            <w:rPr>
              <w:spacing w:val="0"/>
            </w:rPr>
            <w:t xml:space="preserve"> </w:t>
          </w:r>
          <w:r>
            <w:t>图纸</w:t>
          </w:r>
          <w:r>
            <w:tab/>
          </w:r>
          <w:r>
            <w:t>119</w:t>
          </w:r>
          <w:r>
            <w:fldChar w:fldCharType="end"/>
          </w:r>
        </w:p>
        <w:p>
          <w:pPr>
            <w:pStyle w:val="16"/>
            <w:tabs>
              <w:tab w:val="right" w:leader="dot" w:pos="9745"/>
            </w:tabs>
            <w:spacing w:before="433"/>
          </w:pPr>
          <w:r>
            <w:fldChar w:fldCharType="begin"/>
          </w:r>
          <w:r>
            <w:instrText xml:space="preserve"> HYPERLINK \l "_bookmark6" </w:instrText>
          </w:r>
          <w:r>
            <w:fldChar w:fldCharType="separate"/>
          </w:r>
          <w:r>
            <w:t>第七章</w:t>
          </w:r>
          <w:r>
            <w:rPr>
              <w:spacing w:val="0"/>
            </w:rPr>
            <w:t xml:space="preserve"> </w:t>
          </w:r>
          <w:r>
            <w:t>技术标准和要求</w:t>
          </w:r>
          <w:r>
            <w:tab/>
          </w:r>
          <w:r>
            <w:t>120</w:t>
          </w:r>
          <w:r>
            <w:fldChar w:fldCharType="end"/>
          </w:r>
        </w:p>
        <w:p>
          <w:pPr>
            <w:pStyle w:val="16"/>
            <w:tabs>
              <w:tab w:val="right" w:leader="dot" w:pos="9745"/>
            </w:tabs>
          </w:pPr>
          <w:r>
            <w:fldChar w:fldCharType="begin"/>
          </w:r>
          <w:r>
            <w:instrText xml:space="preserve"> HYPERLINK \l "_bookmark7" </w:instrText>
          </w:r>
          <w:r>
            <w:fldChar w:fldCharType="separate"/>
          </w:r>
          <w:r>
            <w:t>第八章</w:t>
          </w:r>
          <w:r>
            <w:rPr>
              <w:spacing w:val="0"/>
            </w:rPr>
            <w:t xml:space="preserve"> </w:t>
          </w:r>
          <w:r>
            <w:t>投标文件格式</w:t>
          </w:r>
          <w:r>
            <w:tab/>
          </w:r>
          <w:r>
            <w:t>121</w:t>
          </w:r>
          <w:r>
            <w:fldChar w:fldCharType="end"/>
          </w:r>
        </w:p>
        <w:p>
          <w:r>
            <w:fldChar w:fldCharType="end"/>
          </w:r>
        </w:p>
      </w:sdtContent>
    </w:sdt>
    <w:p>
      <w:pPr>
        <w:spacing w:after="0"/>
        <w:sectPr>
          <w:footerReference r:id="rId4" w:type="default"/>
          <w:pgSz w:w="11910" w:h="16840"/>
          <w:pgMar w:top="1300" w:right="1040" w:bottom="1180" w:left="1020" w:header="0" w:footer="920" w:gutter="0"/>
        </w:sectPr>
      </w:pPr>
    </w:p>
    <w:p>
      <w:pPr>
        <w:pStyle w:val="3"/>
        <w:numPr>
          <w:ilvl w:val="0"/>
          <w:numId w:val="1"/>
        </w:numPr>
        <w:tabs>
          <w:tab w:val="left" w:pos="1286"/>
        </w:tabs>
        <w:spacing w:line="409" w:lineRule="exact"/>
        <w:ind w:right="103"/>
        <w:rPr>
          <w:w w:val="95"/>
        </w:rPr>
      </w:pPr>
      <w:bookmarkStart w:id="0" w:name="_bookmark0"/>
      <w:bookmarkEnd w:id="0"/>
      <w:r>
        <w:rPr>
          <w:w w:val="95"/>
        </w:rPr>
        <w:t>招标公告</w:t>
      </w:r>
    </w:p>
    <w:p/>
    <w:p>
      <w:pPr>
        <w:numPr>
          <w:ilvl w:val="0"/>
          <w:numId w:val="0"/>
        </w:numPr>
        <w:ind w:right="0" w:rightChars="0"/>
        <w:jc w:val="center"/>
        <w:rPr>
          <w:b/>
          <w:bCs/>
          <w:sz w:val="28"/>
          <w:szCs w:val="28"/>
          <w:u w:val="none"/>
        </w:rPr>
      </w:pPr>
      <w:r>
        <w:rPr>
          <w:rFonts w:hint="eastAsia"/>
          <w:b/>
          <w:bCs/>
          <w:spacing w:val="-5"/>
          <w:sz w:val="28"/>
          <w:szCs w:val="28"/>
          <w:u w:val="none"/>
          <w:lang w:eastAsia="zh-CN"/>
        </w:rPr>
        <w:t>桂林市兴安县2018年同志村委土地开垦项目招标公告</w:t>
      </w:r>
    </w:p>
    <w:p>
      <w:pPr>
        <w:pStyle w:val="13"/>
        <w:keepNext w:val="0"/>
        <w:keepLines w:val="0"/>
        <w:pageBreakBefore w:val="0"/>
        <w:widowControl w:val="0"/>
        <w:kinsoku/>
        <w:wordWrap/>
        <w:overflowPunct/>
        <w:topLinePunct w:val="0"/>
        <w:autoSpaceDE w:val="0"/>
        <w:autoSpaceDN w:val="0"/>
        <w:bidi w:val="0"/>
        <w:adjustRightInd/>
        <w:snapToGrid/>
        <w:spacing w:before="111" w:line="400" w:lineRule="exact"/>
        <w:ind w:right="191" w:firstLine="420"/>
        <w:textAlignment w:val="auto"/>
        <w:rPr>
          <w:spacing w:val="-3"/>
        </w:rPr>
      </w:pPr>
      <w:r>
        <w:rPr>
          <w:rFonts w:hint="eastAsia"/>
          <w:spacing w:val="-3"/>
          <w:u w:val="single"/>
          <w:lang w:eastAsia="zh-CN"/>
        </w:rPr>
        <w:t>上海正弘建设工程顾问有限公司</w:t>
      </w:r>
      <w:r>
        <w:rPr>
          <w:spacing w:val="-3"/>
        </w:rPr>
        <w:t>受</w:t>
      </w:r>
      <w:r>
        <w:rPr>
          <w:spacing w:val="-3"/>
          <w:u w:val="single"/>
        </w:rPr>
        <w:t>兴安县自然资源局</w:t>
      </w:r>
      <w:r>
        <w:rPr>
          <w:spacing w:val="-5"/>
        </w:rPr>
        <w:t>委托，</w:t>
      </w:r>
      <w:r>
        <w:rPr>
          <w:rFonts w:hint="eastAsia"/>
          <w:spacing w:val="-5"/>
          <w:lang w:val="en-US" w:eastAsia="zh-CN"/>
        </w:rPr>
        <w:t>根据《中华人民共和国政府采购法》、《中华人民共和国政府采购法实施条例》等规定，</w:t>
      </w:r>
      <w:r>
        <w:rPr>
          <w:spacing w:val="-5"/>
        </w:rPr>
        <w:t>现就</w:t>
      </w:r>
      <w:r>
        <w:rPr>
          <w:rFonts w:hint="eastAsia"/>
          <w:spacing w:val="-5"/>
          <w:u w:val="single"/>
          <w:lang w:eastAsia="zh-CN"/>
        </w:rPr>
        <w:t>桂林市兴安县2018年同志村委土地开垦项目</w:t>
      </w:r>
      <w:r>
        <w:rPr>
          <w:spacing w:val="-3"/>
        </w:rPr>
        <w:t>进行公开招标，</w:t>
      </w:r>
      <w:r>
        <w:rPr>
          <w:rFonts w:hint="eastAsia"/>
          <w:spacing w:val="-3"/>
          <w:lang w:val="en-US" w:eastAsia="zh-CN"/>
        </w:rPr>
        <w:t>欢迎符合条件的供应商前来投标，现将本次公开招标的有关事项公告如下：</w:t>
      </w:r>
    </w:p>
    <w:p>
      <w:pPr>
        <w:keepNext w:val="0"/>
        <w:keepLines w:val="0"/>
        <w:pageBreakBefore w:val="0"/>
        <w:widowControl w:val="0"/>
        <w:kinsoku/>
        <w:wordWrap/>
        <w:overflowPunct/>
        <w:topLinePunct w:val="0"/>
        <w:autoSpaceDE w:val="0"/>
        <w:autoSpaceDN w:val="0"/>
        <w:bidi w:val="0"/>
        <w:adjustRightInd/>
        <w:snapToGrid/>
        <w:spacing w:before="24" w:line="400" w:lineRule="exact"/>
        <w:ind w:left="535" w:right="0" w:firstLine="0"/>
        <w:jc w:val="left"/>
        <w:textAlignment w:val="auto"/>
        <w:rPr>
          <w:b/>
          <w:sz w:val="21"/>
        </w:rPr>
      </w:pPr>
      <w:r>
        <w:rPr>
          <w:b/>
          <w:sz w:val="21"/>
        </w:rPr>
        <w:t>1、项目概况与招标范围：</w:t>
      </w:r>
    </w:p>
    <w:p>
      <w:pPr>
        <w:pStyle w:val="13"/>
        <w:keepNext w:val="0"/>
        <w:keepLines w:val="0"/>
        <w:pageBreakBefore w:val="0"/>
        <w:widowControl w:val="0"/>
        <w:kinsoku/>
        <w:wordWrap/>
        <w:overflowPunct/>
        <w:topLinePunct w:val="0"/>
        <w:autoSpaceDE w:val="0"/>
        <w:autoSpaceDN w:val="0"/>
        <w:bidi w:val="0"/>
        <w:adjustRightInd/>
        <w:snapToGrid/>
        <w:spacing w:before="106" w:line="400" w:lineRule="exact"/>
        <w:ind w:left="533" w:right="2208"/>
        <w:textAlignment w:val="auto"/>
        <w:rPr>
          <w:rFonts w:hint="eastAsia"/>
          <w:spacing w:val="-5"/>
          <w:lang w:eastAsia="zh-CN"/>
        </w:rPr>
      </w:pPr>
      <w:r>
        <w:rPr>
          <w:spacing w:val="-5"/>
        </w:rPr>
        <w:t>项目名称：</w:t>
      </w:r>
      <w:r>
        <w:rPr>
          <w:rFonts w:hint="eastAsia"/>
          <w:spacing w:val="-5"/>
          <w:lang w:eastAsia="zh-CN"/>
        </w:rPr>
        <w:t>桂林市兴安县2018年同志村委土地开垦项目</w:t>
      </w:r>
    </w:p>
    <w:p>
      <w:pPr>
        <w:pStyle w:val="13"/>
        <w:keepNext w:val="0"/>
        <w:keepLines w:val="0"/>
        <w:pageBreakBefore w:val="0"/>
        <w:widowControl w:val="0"/>
        <w:kinsoku/>
        <w:wordWrap/>
        <w:overflowPunct/>
        <w:topLinePunct w:val="0"/>
        <w:autoSpaceDE w:val="0"/>
        <w:autoSpaceDN w:val="0"/>
        <w:bidi w:val="0"/>
        <w:adjustRightInd/>
        <w:snapToGrid/>
        <w:spacing w:before="106" w:line="400" w:lineRule="exact"/>
        <w:ind w:left="533" w:right="2208"/>
        <w:textAlignment w:val="auto"/>
        <w:rPr>
          <w:rFonts w:hint="default" w:eastAsia="宋体"/>
          <w:lang w:val="en-US" w:eastAsia="zh-CN"/>
        </w:rPr>
      </w:pPr>
      <w:r>
        <w:rPr>
          <w:spacing w:val="-2"/>
        </w:rPr>
        <w:t>项目编号：</w:t>
      </w:r>
      <w:r>
        <w:rPr>
          <w:spacing w:val="-1"/>
        </w:rPr>
        <w:t>GLZC20</w:t>
      </w:r>
      <w:r>
        <w:rPr>
          <w:rFonts w:hint="eastAsia"/>
          <w:spacing w:val="-1"/>
          <w:lang w:val="en-US" w:eastAsia="zh-CN"/>
        </w:rPr>
        <w:t>20</w:t>
      </w:r>
      <w:r>
        <w:rPr>
          <w:spacing w:val="-1"/>
        </w:rPr>
        <w:t>-G2-11</w:t>
      </w:r>
      <w:r>
        <w:rPr>
          <w:rFonts w:hint="eastAsia"/>
          <w:spacing w:val="-1"/>
          <w:lang w:val="en-US" w:eastAsia="zh-CN"/>
        </w:rPr>
        <w:t>019</w:t>
      </w:r>
      <w:r>
        <w:rPr>
          <w:spacing w:val="-1"/>
        </w:rPr>
        <w:t>-</w:t>
      </w:r>
      <w:r>
        <w:rPr>
          <w:rFonts w:hint="eastAsia"/>
          <w:spacing w:val="-1"/>
          <w:lang w:val="en-US" w:eastAsia="zh-CN"/>
        </w:rPr>
        <w:t>SHZH</w:t>
      </w:r>
    </w:p>
    <w:p>
      <w:pPr>
        <w:pStyle w:val="13"/>
        <w:keepNext w:val="0"/>
        <w:keepLines w:val="0"/>
        <w:pageBreakBefore w:val="0"/>
        <w:widowControl w:val="0"/>
        <w:kinsoku/>
        <w:wordWrap/>
        <w:overflowPunct/>
        <w:topLinePunct w:val="0"/>
        <w:autoSpaceDE w:val="0"/>
        <w:autoSpaceDN w:val="0"/>
        <w:bidi w:val="0"/>
        <w:adjustRightInd/>
        <w:snapToGrid/>
        <w:spacing w:before="24" w:line="400" w:lineRule="exact"/>
        <w:ind w:left="533" w:right="6570" w:rightChars="0"/>
        <w:textAlignment w:val="auto"/>
      </w:pPr>
      <w:r>
        <w:t>建设地点：桂林市兴安县境内预算</w:t>
      </w:r>
      <w:r>
        <w:rPr>
          <w:color w:val="333333"/>
        </w:rPr>
        <w:t>金额：</w:t>
      </w:r>
      <w:r>
        <w:rPr>
          <w:rFonts w:hint="eastAsia"/>
          <w:color w:val="333333"/>
          <w:lang w:val="en-US" w:eastAsia="zh-CN"/>
        </w:rPr>
        <w:t>3011526.16</w:t>
      </w:r>
      <w:r>
        <w:rPr>
          <w:rFonts w:hint="eastAsia"/>
          <w:color w:val="333333"/>
          <w:lang w:eastAsia="zh-CN"/>
        </w:rPr>
        <w:t>元</w:t>
      </w:r>
    </w:p>
    <w:p>
      <w:pPr>
        <w:pStyle w:val="13"/>
        <w:keepNext w:val="0"/>
        <w:keepLines w:val="0"/>
        <w:pageBreakBefore w:val="0"/>
        <w:widowControl w:val="0"/>
        <w:kinsoku/>
        <w:wordWrap/>
        <w:overflowPunct/>
        <w:topLinePunct w:val="0"/>
        <w:autoSpaceDE w:val="0"/>
        <w:autoSpaceDN w:val="0"/>
        <w:bidi w:val="0"/>
        <w:adjustRightInd/>
        <w:snapToGrid/>
        <w:spacing w:before="22" w:line="400" w:lineRule="exact"/>
        <w:ind w:left="533"/>
        <w:textAlignment w:val="auto"/>
      </w:pPr>
      <w:r>
        <w:t>要求工期</w:t>
      </w:r>
      <w:r>
        <w:rPr>
          <w:color w:val="auto"/>
        </w:rPr>
        <w:t>：</w:t>
      </w:r>
      <w:r>
        <w:rPr>
          <w:rFonts w:hint="eastAsia"/>
          <w:color w:val="auto"/>
          <w:lang w:val="en-US" w:eastAsia="zh-CN"/>
        </w:rPr>
        <w:t>300</w:t>
      </w:r>
      <w:r>
        <w:rPr>
          <w:color w:val="auto"/>
        </w:rPr>
        <w:t>日历天</w:t>
      </w:r>
    </w:p>
    <w:p>
      <w:pPr>
        <w:pStyle w:val="13"/>
        <w:keepNext w:val="0"/>
        <w:keepLines w:val="0"/>
        <w:pageBreakBefore w:val="0"/>
        <w:widowControl w:val="0"/>
        <w:kinsoku/>
        <w:wordWrap/>
        <w:overflowPunct/>
        <w:topLinePunct w:val="0"/>
        <w:autoSpaceDE w:val="0"/>
        <w:autoSpaceDN w:val="0"/>
        <w:bidi w:val="0"/>
        <w:adjustRightInd/>
        <w:snapToGrid/>
        <w:spacing w:before="104" w:line="400" w:lineRule="exact"/>
        <w:ind w:left="533"/>
        <w:textAlignment w:val="auto"/>
      </w:pPr>
      <w:r>
        <w:t>质量要求：</w:t>
      </w:r>
      <w:r>
        <w:rPr>
          <w:color w:val="333333"/>
        </w:rPr>
        <w:t>达到国家施工验收规范合格标准</w:t>
      </w:r>
    </w:p>
    <w:p>
      <w:pPr>
        <w:pStyle w:val="13"/>
        <w:keepNext w:val="0"/>
        <w:keepLines w:val="0"/>
        <w:pageBreakBefore w:val="0"/>
        <w:widowControl w:val="0"/>
        <w:kinsoku/>
        <w:wordWrap/>
        <w:overflowPunct/>
        <w:topLinePunct w:val="0"/>
        <w:autoSpaceDE w:val="0"/>
        <w:autoSpaceDN w:val="0"/>
        <w:bidi w:val="0"/>
        <w:adjustRightInd/>
        <w:snapToGrid/>
        <w:spacing w:before="106" w:line="400" w:lineRule="exact"/>
        <w:ind w:right="191" w:firstLine="420"/>
        <w:textAlignment w:val="auto"/>
      </w:pPr>
      <w:r>
        <w:rPr>
          <w:spacing w:val="-5"/>
        </w:rPr>
        <w:t>招标范围：工程内容包括施工图范围内土地平整工程、农田水利工程、田间道路工程施工内容，具体</w:t>
      </w:r>
      <w:r>
        <w:rPr>
          <w:spacing w:val="-4"/>
        </w:rPr>
        <w:t>施工内容详见图纸及工程量清单。</w:t>
      </w:r>
    </w:p>
    <w:p>
      <w:pPr>
        <w:keepNext w:val="0"/>
        <w:keepLines w:val="0"/>
        <w:pageBreakBefore w:val="0"/>
        <w:widowControl w:val="0"/>
        <w:kinsoku/>
        <w:wordWrap/>
        <w:overflowPunct/>
        <w:topLinePunct w:val="0"/>
        <w:autoSpaceDE w:val="0"/>
        <w:autoSpaceDN w:val="0"/>
        <w:bidi w:val="0"/>
        <w:adjustRightInd/>
        <w:snapToGrid/>
        <w:spacing w:before="24" w:line="400" w:lineRule="exact"/>
        <w:ind w:left="535" w:right="0" w:firstLine="0"/>
        <w:jc w:val="left"/>
        <w:textAlignment w:val="auto"/>
        <w:rPr>
          <w:b/>
          <w:sz w:val="21"/>
        </w:rPr>
      </w:pPr>
      <w:r>
        <w:rPr>
          <w:b/>
          <w:sz w:val="21"/>
        </w:rPr>
        <w:t>2、投标人的资格要求：</w:t>
      </w:r>
    </w:p>
    <w:p>
      <w:pPr>
        <w:pStyle w:val="32"/>
        <w:keepNext w:val="0"/>
        <w:keepLines w:val="0"/>
        <w:pageBreakBefore w:val="0"/>
        <w:widowControl w:val="0"/>
        <w:numPr>
          <w:ilvl w:val="0"/>
          <w:numId w:val="0"/>
        </w:numPr>
        <w:tabs>
          <w:tab w:val="left" w:pos="1093"/>
        </w:tabs>
        <w:kinsoku/>
        <w:wordWrap/>
        <w:overflowPunct/>
        <w:topLinePunct w:val="0"/>
        <w:autoSpaceDE w:val="0"/>
        <w:autoSpaceDN w:val="0"/>
        <w:bidi w:val="0"/>
        <w:adjustRightInd/>
        <w:snapToGrid/>
        <w:spacing w:before="99" w:after="0" w:line="400" w:lineRule="exact"/>
        <w:ind w:right="206" w:rightChars="0" w:firstLine="408" w:firstLineChars="200"/>
        <w:jc w:val="both"/>
        <w:textAlignment w:val="auto"/>
        <w:rPr>
          <w:color w:val="auto"/>
          <w:sz w:val="21"/>
        </w:rPr>
      </w:pPr>
      <w:r>
        <w:rPr>
          <w:rFonts w:hint="eastAsia"/>
          <w:spacing w:val="-3"/>
          <w:sz w:val="21"/>
          <w:lang w:val="en-US" w:eastAsia="zh-CN"/>
        </w:rPr>
        <w:t>2.1</w:t>
      </w:r>
      <w:r>
        <w:rPr>
          <w:spacing w:val="-3"/>
          <w:sz w:val="21"/>
        </w:rPr>
        <w:t>本次招标要求投标人同时具备</w:t>
      </w:r>
      <w:r>
        <w:rPr>
          <w:b/>
          <w:sz w:val="21"/>
        </w:rPr>
        <w:t>水利水电工程施工总承包三级（含以上级）和公路工程施工总承</w:t>
      </w:r>
      <w:r>
        <w:rPr>
          <w:b/>
          <w:spacing w:val="-2"/>
          <w:sz w:val="21"/>
        </w:rPr>
        <w:t>包三级</w:t>
      </w:r>
      <w:r>
        <w:rPr>
          <w:b/>
          <w:sz w:val="21"/>
        </w:rPr>
        <w:t>（含以上级</w:t>
      </w:r>
      <w:r>
        <w:rPr>
          <w:b/>
          <w:spacing w:val="-5"/>
          <w:sz w:val="21"/>
        </w:rPr>
        <w:t>）</w:t>
      </w:r>
      <w:r>
        <w:rPr>
          <w:spacing w:val="-3"/>
          <w:sz w:val="21"/>
        </w:rPr>
        <w:t>资质，并在人员、设备、资金、业绩等方面具有相应的施工能力。其中，投标人拟投入的项目经理须具备</w:t>
      </w:r>
      <w:r>
        <w:rPr>
          <w:b/>
          <w:spacing w:val="-4"/>
          <w:sz w:val="21"/>
        </w:rPr>
        <w:t>水利水电工程专业二级</w:t>
      </w:r>
      <w:r>
        <w:rPr>
          <w:b/>
          <w:sz w:val="21"/>
        </w:rPr>
        <w:t>（</w:t>
      </w:r>
      <w:r>
        <w:rPr>
          <w:b/>
          <w:spacing w:val="-2"/>
          <w:sz w:val="21"/>
        </w:rPr>
        <w:t>含以上级</w:t>
      </w:r>
      <w:r>
        <w:rPr>
          <w:b/>
          <w:spacing w:val="-12"/>
          <w:sz w:val="21"/>
        </w:rPr>
        <w:t>）</w:t>
      </w:r>
      <w:r>
        <w:rPr>
          <w:spacing w:val="-3"/>
          <w:sz w:val="21"/>
        </w:rPr>
        <w:t>或</w:t>
      </w:r>
      <w:r>
        <w:rPr>
          <w:b/>
          <w:spacing w:val="-3"/>
          <w:sz w:val="21"/>
        </w:rPr>
        <w:t>公路工程专业二级</w:t>
      </w:r>
      <w:r>
        <w:rPr>
          <w:b/>
          <w:sz w:val="21"/>
        </w:rPr>
        <w:t>（含以上级</w:t>
      </w:r>
      <w:r>
        <w:rPr>
          <w:b/>
          <w:spacing w:val="-12"/>
          <w:sz w:val="21"/>
        </w:rPr>
        <w:t>）</w:t>
      </w:r>
      <w:r>
        <w:rPr>
          <w:spacing w:val="-3"/>
          <w:sz w:val="21"/>
        </w:rPr>
        <w:t>注册建造师执业资格，具备有效的安全生产考核合格证书</w:t>
      </w:r>
      <w:r>
        <w:rPr>
          <w:sz w:val="21"/>
        </w:rPr>
        <w:t>（B</w:t>
      </w:r>
      <w:r>
        <w:rPr>
          <w:spacing w:val="6"/>
          <w:sz w:val="21"/>
        </w:rPr>
        <w:t xml:space="preserve"> 类</w:t>
      </w:r>
      <w:r>
        <w:rPr>
          <w:sz w:val="21"/>
        </w:rPr>
        <w:t>）</w:t>
      </w:r>
      <w:r>
        <w:rPr>
          <w:spacing w:val="-3"/>
          <w:sz w:val="21"/>
        </w:rPr>
        <w:t>。本项目不接受有其他在建、已中标未开工或已列为其他项目</w:t>
      </w:r>
      <w:r>
        <w:rPr>
          <w:color w:val="auto"/>
          <w:spacing w:val="-3"/>
          <w:sz w:val="21"/>
        </w:rPr>
        <w:t>中标候选人第一名的建造师作为项目经理</w:t>
      </w:r>
      <w:r>
        <w:rPr>
          <w:color w:val="auto"/>
          <w:sz w:val="21"/>
        </w:rPr>
        <w:t>（</w:t>
      </w:r>
      <w:r>
        <w:rPr>
          <w:color w:val="auto"/>
          <w:spacing w:val="-3"/>
          <w:sz w:val="21"/>
        </w:rPr>
        <w:t>符合桂建管【</w:t>
      </w:r>
      <w:r>
        <w:rPr>
          <w:color w:val="auto"/>
          <w:sz w:val="21"/>
        </w:rPr>
        <w:t>2013】17</w:t>
      </w:r>
      <w:r>
        <w:rPr>
          <w:color w:val="auto"/>
          <w:spacing w:val="-5"/>
          <w:sz w:val="21"/>
        </w:rPr>
        <w:t xml:space="preserve"> 号文除外</w:t>
      </w:r>
      <w:r>
        <w:rPr>
          <w:color w:val="auto"/>
          <w:spacing w:val="-3"/>
          <w:sz w:val="21"/>
        </w:rPr>
        <w:t>）</w:t>
      </w:r>
      <w:r>
        <w:rPr>
          <w:color w:val="auto"/>
          <w:sz w:val="21"/>
        </w:rPr>
        <w:t>。</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ind w:firstLine="396" w:firstLineChars="200"/>
        <w:jc w:val="left"/>
        <w:textAlignment w:val="auto"/>
        <w:rPr>
          <w:rFonts w:hint="eastAsia" w:eastAsia="宋体"/>
          <w:color w:val="auto"/>
          <w:sz w:val="21"/>
          <w:lang w:eastAsia="zh-CN"/>
        </w:rPr>
      </w:pPr>
      <w:r>
        <w:rPr>
          <w:rFonts w:hint="eastAsia"/>
          <w:color w:val="auto"/>
          <w:spacing w:val="-6"/>
          <w:sz w:val="21"/>
          <w:lang w:val="en-US" w:eastAsia="zh-CN"/>
        </w:rPr>
        <w:t xml:space="preserve">2.2 </w:t>
      </w:r>
      <w:r>
        <w:rPr>
          <w:rFonts w:hint="eastAsia" w:ascii="宋体" w:hAnsi="宋体" w:eastAsia="宋体" w:cs="宋体"/>
          <w:color w:val="auto"/>
          <w:sz w:val="21"/>
          <w:szCs w:val="21"/>
          <w:lang w:val="en-US" w:eastAsia="zh-CN" w:bidi="ar-SA"/>
        </w:rPr>
        <w:t>本项目不接受在2017-2019年度广西土地整治项目参建单位信用评为D级的参建单位。</w:t>
      </w:r>
    </w:p>
    <w:p>
      <w:pPr>
        <w:pStyle w:val="32"/>
        <w:keepNext w:val="0"/>
        <w:keepLines w:val="0"/>
        <w:pageBreakBefore w:val="0"/>
        <w:widowControl w:val="0"/>
        <w:numPr>
          <w:ilvl w:val="0"/>
          <w:numId w:val="0"/>
        </w:numPr>
        <w:tabs>
          <w:tab w:val="left" w:pos="800"/>
        </w:tabs>
        <w:kinsoku/>
        <w:wordWrap/>
        <w:overflowPunct/>
        <w:topLinePunct w:val="0"/>
        <w:autoSpaceDE w:val="0"/>
        <w:autoSpaceDN w:val="0"/>
        <w:bidi w:val="0"/>
        <w:adjustRightInd/>
        <w:snapToGrid/>
        <w:spacing w:before="17" w:after="0" w:line="400" w:lineRule="exact"/>
        <w:ind w:right="216" w:rightChars="0" w:firstLine="392" w:firstLineChars="200"/>
        <w:jc w:val="both"/>
        <w:textAlignment w:val="auto"/>
        <w:rPr>
          <w:color w:val="auto"/>
          <w:sz w:val="21"/>
        </w:rPr>
      </w:pPr>
      <w:r>
        <w:rPr>
          <w:rFonts w:hint="eastAsia"/>
          <w:color w:val="auto"/>
          <w:spacing w:val="-7"/>
          <w:sz w:val="21"/>
          <w:lang w:val="en-US" w:eastAsia="zh-CN"/>
        </w:rPr>
        <w:t xml:space="preserve">2.3 </w:t>
      </w:r>
      <w:r>
        <w:rPr>
          <w:color w:val="auto"/>
          <w:spacing w:val="-7"/>
          <w:sz w:val="21"/>
        </w:rPr>
        <w:t>对在“信用中国”网站</w:t>
      </w:r>
      <w:r>
        <w:rPr>
          <w:color w:val="auto"/>
          <w:sz w:val="21"/>
        </w:rPr>
        <w:t>(www.creditchina.gov.cn</w:t>
      </w:r>
      <w:r>
        <w:rPr>
          <w:color w:val="auto"/>
          <w:spacing w:val="-5"/>
          <w:sz w:val="21"/>
        </w:rPr>
        <w:t>)、中国政府采购网</w:t>
      </w:r>
      <w:r>
        <w:rPr>
          <w:color w:val="auto"/>
          <w:sz w:val="21"/>
        </w:rPr>
        <w:t>(www.ccgp.gov.cn)等渠道列</w:t>
      </w:r>
      <w:r>
        <w:rPr>
          <w:color w:val="auto"/>
          <w:spacing w:val="-8"/>
          <w:sz w:val="21"/>
        </w:rPr>
        <w:t>入失信被执行人、重大税收违法案件当事人名单、政府采购严重违法失信行为记录名单及其他不符合《中华人民共和国政府采购法》第二十二条规定条件的投标人，不得参与政府采购活动。</w:t>
      </w:r>
    </w:p>
    <w:p>
      <w:pPr>
        <w:pStyle w:val="32"/>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spacing w:before="24" w:after="0" w:line="400" w:lineRule="exact"/>
        <w:ind w:right="0" w:rightChars="0" w:firstLine="408" w:firstLineChars="200"/>
        <w:jc w:val="left"/>
        <w:textAlignment w:val="auto"/>
        <w:rPr>
          <w:color w:val="auto"/>
          <w:sz w:val="21"/>
        </w:rPr>
      </w:pPr>
      <w:r>
        <w:rPr>
          <w:rFonts w:hint="eastAsia"/>
          <w:color w:val="auto"/>
          <w:spacing w:val="-3"/>
          <w:sz w:val="21"/>
          <w:lang w:val="en-US" w:eastAsia="zh-CN"/>
        </w:rPr>
        <w:t xml:space="preserve">2.4 </w:t>
      </w:r>
      <w:r>
        <w:rPr>
          <w:color w:val="auto"/>
          <w:spacing w:val="-3"/>
          <w:sz w:val="21"/>
        </w:rPr>
        <w:t>本次招标不接受联合体投标。</w:t>
      </w:r>
    </w:p>
    <w:p>
      <w:pPr>
        <w:pStyle w:val="32"/>
        <w:keepNext w:val="0"/>
        <w:keepLines w:val="0"/>
        <w:pageBreakBefore w:val="0"/>
        <w:widowControl w:val="0"/>
        <w:numPr>
          <w:ilvl w:val="0"/>
          <w:numId w:val="0"/>
        </w:numPr>
        <w:tabs>
          <w:tab w:val="left" w:pos="908"/>
        </w:tabs>
        <w:kinsoku/>
        <w:wordWrap/>
        <w:overflowPunct/>
        <w:topLinePunct w:val="0"/>
        <w:autoSpaceDE w:val="0"/>
        <w:autoSpaceDN w:val="0"/>
        <w:bidi w:val="0"/>
        <w:adjustRightInd/>
        <w:snapToGrid/>
        <w:spacing w:before="24" w:after="0" w:line="400" w:lineRule="exact"/>
        <w:ind w:left="538" w:leftChars="0" w:right="0" w:rightChars="0"/>
        <w:jc w:val="left"/>
        <w:textAlignment w:val="auto"/>
        <w:rPr>
          <w:rFonts w:hint="default" w:eastAsia="宋体"/>
          <w:sz w:val="21"/>
          <w:lang w:val="en-US" w:eastAsia="zh-CN"/>
        </w:rPr>
      </w:pPr>
      <w:r>
        <w:rPr>
          <w:rFonts w:hint="eastAsia"/>
          <w:b/>
          <w:bCs/>
          <w:sz w:val="21"/>
          <w:lang w:val="en-US" w:eastAsia="zh-CN"/>
        </w:rPr>
        <w:t>3、</w:t>
      </w:r>
      <w:r>
        <w:rPr>
          <w:rFonts w:hint="eastAsia" w:ascii="宋体" w:hAnsi="宋体" w:eastAsia="宋体" w:cs="宋体"/>
          <w:b/>
          <w:color w:val="333333"/>
          <w:kern w:val="2"/>
          <w:sz w:val="21"/>
          <w:szCs w:val="21"/>
        </w:rPr>
        <w:t>公告期限：</w:t>
      </w:r>
      <w:r>
        <w:rPr>
          <w:rFonts w:hint="eastAsia" w:ascii="宋体" w:hAnsi="宋体" w:eastAsia="宋体" w:cs="Times New Roman"/>
          <w:color w:val="333333"/>
          <w:kern w:val="2"/>
          <w:sz w:val="21"/>
          <w:szCs w:val="21"/>
        </w:rPr>
        <w:t>20</w:t>
      </w:r>
      <w:r>
        <w:rPr>
          <w:rFonts w:hint="eastAsia" w:cs="Times New Roman"/>
          <w:color w:val="333333"/>
          <w:kern w:val="2"/>
          <w:sz w:val="21"/>
          <w:szCs w:val="21"/>
          <w:lang w:val="en-US" w:eastAsia="zh-CN"/>
        </w:rPr>
        <w:t>20</w:t>
      </w:r>
      <w:r>
        <w:rPr>
          <w:rFonts w:hint="eastAsia" w:ascii="宋体" w:hAnsi="宋体" w:eastAsia="宋体" w:cs="Times New Roman"/>
          <w:color w:val="333333"/>
          <w:kern w:val="2"/>
          <w:sz w:val="21"/>
          <w:szCs w:val="21"/>
        </w:rPr>
        <w:t>年</w:t>
      </w:r>
      <w:r>
        <w:rPr>
          <w:rFonts w:hint="eastAsia" w:cs="Times New Roman"/>
          <w:color w:val="333333"/>
          <w:kern w:val="2"/>
          <w:sz w:val="21"/>
          <w:szCs w:val="21"/>
          <w:lang w:val="en-US" w:eastAsia="zh-CN"/>
        </w:rPr>
        <w:t xml:space="preserve"> 4 </w:t>
      </w:r>
      <w:r>
        <w:rPr>
          <w:rFonts w:hint="eastAsia" w:ascii="宋体" w:hAnsi="宋体" w:eastAsia="宋体" w:cs="宋体"/>
          <w:color w:val="333333"/>
          <w:kern w:val="2"/>
          <w:sz w:val="21"/>
          <w:szCs w:val="21"/>
        </w:rPr>
        <w:t>月</w:t>
      </w:r>
      <w:r>
        <w:rPr>
          <w:rFonts w:hint="eastAsia" w:cs="Times New Roman"/>
          <w:color w:val="333333"/>
          <w:kern w:val="2"/>
          <w:sz w:val="21"/>
          <w:szCs w:val="21"/>
          <w:lang w:val="en-US" w:eastAsia="zh-CN"/>
        </w:rPr>
        <w:t xml:space="preserve"> 8 </w:t>
      </w:r>
      <w:r>
        <w:rPr>
          <w:rFonts w:hint="eastAsia" w:ascii="宋体" w:hAnsi="宋体" w:eastAsia="宋体" w:cs="宋体"/>
          <w:color w:val="333333"/>
          <w:kern w:val="2"/>
          <w:sz w:val="21"/>
          <w:szCs w:val="21"/>
        </w:rPr>
        <w:t>日至</w:t>
      </w:r>
      <w:r>
        <w:rPr>
          <w:rFonts w:hint="eastAsia" w:ascii="宋体" w:hAnsi="宋体" w:eastAsia="宋体" w:cs="Times New Roman"/>
          <w:color w:val="333333"/>
          <w:kern w:val="2"/>
          <w:sz w:val="21"/>
          <w:szCs w:val="21"/>
        </w:rPr>
        <w:t xml:space="preserve"> 20</w:t>
      </w:r>
      <w:r>
        <w:rPr>
          <w:rFonts w:hint="eastAsia" w:cs="Times New Roman"/>
          <w:color w:val="333333"/>
          <w:kern w:val="2"/>
          <w:sz w:val="21"/>
          <w:szCs w:val="21"/>
          <w:lang w:val="en-US" w:eastAsia="zh-CN"/>
        </w:rPr>
        <w:t>20</w:t>
      </w:r>
      <w:r>
        <w:rPr>
          <w:rFonts w:hint="eastAsia" w:ascii="宋体" w:hAnsi="宋体" w:eastAsia="宋体" w:cs="Times New Roman"/>
          <w:color w:val="333333"/>
          <w:kern w:val="2"/>
          <w:sz w:val="21"/>
          <w:szCs w:val="21"/>
        </w:rPr>
        <w:t>年</w:t>
      </w:r>
      <w:r>
        <w:rPr>
          <w:rFonts w:hint="eastAsia" w:cs="Times New Roman"/>
          <w:color w:val="333333"/>
          <w:kern w:val="2"/>
          <w:sz w:val="21"/>
          <w:szCs w:val="21"/>
          <w:lang w:val="en-US" w:eastAsia="zh-CN"/>
        </w:rPr>
        <w:t xml:space="preserve"> 4 </w:t>
      </w:r>
      <w:r>
        <w:rPr>
          <w:rFonts w:hint="eastAsia" w:ascii="宋体" w:hAnsi="宋体" w:eastAsia="宋体" w:cs="宋体"/>
          <w:color w:val="333333"/>
          <w:kern w:val="2"/>
          <w:sz w:val="21"/>
          <w:szCs w:val="21"/>
        </w:rPr>
        <w:t>月</w:t>
      </w:r>
      <w:r>
        <w:rPr>
          <w:rFonts w:hint="eastAsia" w:cs="Times New Roman"/>
          <w:color w:val="333333"/>
          <w:kern w:val="2"/>
          <w:sz w:val="21"/>
          <w:szCs w:val="21"/>
          <w:lang w:val="en-US" w:eastAsia="zh-CN"/>
        </w:rPr>
        <w:t xml:space="preserve"> 15 </w:t>
      </w:r>
      <w:r>
        <w:rPr>
          <w:rFonts w:hint="eastAsia" w:ascii="宋体" w:hAnsi="宋体" w:eastAsia="宋体" w:cs="宋体"/>
          <w:color w:val="333333"/>
          <w:kern w:val="2"/>
          <w:sz w:val="21"/>
          <w:szCs w:val="21"/>
        </w:rPr>
        <w:t>日。</w:t>
      </w:r>
    </w:p>
    <w:p>
      <w:pPr>
        <w:keepNext w:val="0"/>
        <w:keepLines w:val="0"/>
        <w:pageBreakBefore w:val="0"/>
        <w:widowControl w:val="0"/>
        <w:kinsoku/>
        <w:wordWrap/>
        <w:overflowPunct/>
        <w:topLinePunct w:val="0"/>
        <w:autoSpaceDE w:val="0"/>
        <w:autoSpaceDN w:val="0"/>
        <w:bidi w:val="0"/>
        <w:adjustRightInd/>
        <w:snapToGrid/>
        <w:spacing w:before="19" w:line="400" w:lineRule="exact"/>
        <w:ind w:left="535" w:right="0" w:firstLine="0"/>
        <w:jc w:val="left"/>
        <w:textAlignment w:val="auto"/>
        <w:rPr>
          <w:b/>
          <w:sz w:val="21"/>
        </w:rPr>
      </w:pPr>
      <w:r>
        <w:rPr>
          <w:rFonts w:hint="eastAsia"/>
          <w:b/>
          <w:sz w:val="21"/>
          <w:lang w:val="en-US" w:eastAsia="zh-CN"/>
        </w:rPr>
        <w:t>4</w:t>
      </w:r>
      <w:r>
        <w:rPr>
          <w:b/>
          <w:sz w:val="21"/>
        </w:rPr>
        <w:t>、招标文件的获取：</w:t>
      </w:r>
    </w:p>
    <w:p>
      <w:pPr>
        <w:pStyle w:val="13"/>
        <w:keepNext w:val="0"/>
        <w:keepLines w:val="0"/>
        <w:pageBreakBefore w:val="0"/>
        <w:widowControl w:val="0"/>
        <w:kinsoku/>
        <w:wordWrap/>
        <w:overflowPunct/>
        <w:topLinePunct w:val="0"/>
        <w:autoSpaceDE w:val="0"/>
        <w:autoSpaceDN w:val="0"/>
        <w:bidi w:val="0"/>
        <w:adjustRightInd/>
        <w:snapToGrid/>
        <w:spacing w:before="32" w:line="400" w:lineRule="exact"/>
        <w:ind w:left="533"/>
        <w:textAlignment w:val="auto"/>
      </w:pPr>
      <w:r>
        <w:t>1.获取时间：招标公告发布之日起至投标文件递交截止时间止；</w:t>
      </w:r>
    </w:p>
    <w:p>
      <w:pPr>
        <w:pStyle w:val="13"/>
        <w:keepNext w:val="0"/>
        <w:keepLines w:val="0"/>
        <w:pageBreakBefore w:val="0"/>
        <w:widowControl w:val="0"/>
        <w:kinsoku/>
        <w:wordWrap/>
        <w:overflowPunct/>
        <w:topLinePunct w:val="0"/>
        <w:autoSpaceDE w:val="0"/>
        <w:autoSpaceDN w:val="0"/>
        <w:bidi w:val="0"/>
        <w:adjustRightInd/>
        <w:snapToGrid/>
        <w:spacing w:before="37" w:line="400" w:lineRule="exact"/>
        <w:ind w:firstLine="420"/>
        <w:textAlignment w:val="auto"/>
      </w:pPr>
      <w:r>
        <w:t>2.获取招标文件的方式：潜在投标人登陆桂林市公共资源交易中心网（</w:t>
      </w:r>
      <w:r>
        <w:fldChar w:fldCharType="begin"/>
      </w:r>
      <w:r>
        <w:instrText xml:space="preserve"> HYPERLINK "http://glggzy.org.cn/" \h </w:instrText>
      </w:r>
      <w:r>
        <w:fldChar w:fldCharType="separate"/>
      </w:r>
      <w:r>
        <w:t>http://glggzy.org.cn</w:t>
      </w:r>
      <w:r>
        <w:fldChar w:fldCharType="end"/>
      </w:r>
      <w:r>
        <w:t>）、桂林市政府采购网（</w:t>
      </w:r>
      <w:r>
        <w:fldChar w:fldCharType="begin"/>
      </w:r>
      <w:r>
        <w:instrText xml:space="preserve"> HYPERLINK "http://zfcg.glcz.cn/" \h </w:instrText>
      </w:r>
      <w:r>
        <w:fldChar w:fldCharType="separate"/>
      </w:r>
      <w:r>
        <w:t>http://zfcg.glcz.cn</w:t>
      </w:r>
      <w:r>
        <w:fldChar w:fldCharType="end"/>
      </w:r>
      <w:r>
        <w:t>），从网上下载招标文件电子版。</w:t>
      </w:r>
    </w:p>
    <w:p>
      <w:pPr>
        <w:keepNext w:val="0"/>
        <w:keepLines w:val="0"/>
        <w:pageBreakBefore w:val="0"/>
        <w:widowControl w:val="0"/>
        <w:kinsoku/>
        <w:wordWrap/>
        <w:overflowPunct/>
        <w:topLinePunct w:val="0"/>
        <w:autoSpaceDE w:val="0"/>
        <w:autoSpaceDN w:val="0"/>
        <w:bidi w:val="0"/>
        <w:adjustRightInd/>
        <w:snapToGrid/>
        <w:spacing w:before="80" w:line="400" w:lineRule="exact"/>
        <w:ind w:left="535" w:right="0" w:firstLine="0"/>
        <w:jc w:val="left"/>
        <w:textAlignment w:val="auto"/>
        <w:rPr>
          <w:b/>
          <w:sz w:val="21"/>
        </w:rPr>
      </w:pPr>
      <w:r>
        <w:rPr>
          <w:rFonts w:hint="eastAsia"/>
          <w:b/>
          <w:sz w:val="21"/>
          <w:lang w:val="en-US" w:eastAsia="zh-CN"/>
        </w:rPr>
        <w:t>5</w:t>
      </w:r>
      <w:r>
        <w:rPr>
          <w:b/>
          <w:sz w:val="21"/>
        </w:rPr>
        <w:t>、投标截止时间和地点：</w:t>
      </w:r>
    </w:p>
    <w:p>
      <w:pPr>
        <w:pStyle w:val="13"/>
        <w:keepNext w:val="0"/>
        <w:keepLines w:val="0"/>
        <w:pageBreakBefore w:val="0"/>
        <w:widowControl w:val="0"/>
        <w:kinsoku/>
        <w:wordWrap/>
        <w:overflowPunct/>
        <w:topLinePunct w:val="0"/>
        <w:autoSpaceDE w:val="0"/>
        <w:autoSpaceDN w:val="0"/>
        <w:bidi w:val="0"/>
        <w:adjustRightInd/>
        <w:snapToGrid/>
        <w:spacing w:before="32" w:line="400" w:lineRule="exact"/>
        <w:ind w:left="538"/>
        <w:textAlignment w:val="auto"/>
      </w:pPr>
      <w:r>
        <w:t>1、投标文件递交的截止时间：20</w:t>
      </w:r>
      <w:r>
        <w:rPr>
          <w:rFonts w:hint="eastAsia"/>
          <w:lang w:val="en-US" w:eastAsia="zh-CN"/>
        </w:rPr>
        <w:t>20</w:t>
      </w:r>
      <w:r>
        <w:t xml:space="preserve"> 年 </w:t>
      </w:r>
      <w:r>
        <w:rPr>
          <w:rFonts w:hint="eastAsia"/>
          <w:lang w:val="en-US" w:eastAsia="zh-CN"/>
        </w:rPr>
        <w:t>4</w:t>
      </w:r>
      <w:r>
        <w:t xml:space="preserve"> 月 </w:t>
      </w:r>
      <w:r>
        <w:rPr>
          <w:rFonts w:hint="eastAsia"/>
          <w:lang w:val="en-US" w:eastAsia="zh-CN"/>
        </w:rPr>
        <w:t xml:space="preserve">29 </w:t>
      </w:r>
      <w:r>
        <w:t>日上午 10 时 30 分。</w:t>
      </w:r>
    </w:p>
    <w:p>
      <w:pPr>
        <w:pStyle w:val="13"/>
        <w:keepNext w:val="0"/>
        <w:keepLines w:val="0"/>
        <w:pageBreakBefore w:val="0"/>
        <w:widowControl w:val="0"/>
        <w:kinsoku/>
        <w:wordWrap/>
        <w:overflowPunct/>
        <w:topLinePunct w:val="0"/>
        <w:autoSpaceDE w:val="0"/>
        <w:autoSpaceDN w:val="0"/>
        <w:bidi w:val="0"/>
        <w:adjustRightInd/>
        <w:snapToGrid/>
        <w:spacing w:before="36" w:line="400" w:lineRule="exact"/>
        <w:ind w:left="540"/>
        <w:textAlignment w:val="auto"/>
      </w:pPr>
      <w:r>
        <w:t>2、投标文件递交起止时间：20</w:t>
      </w:r>
      <w:r>
        <w:rPr>
          <w:rFonts w:hint="eastAsia"/>
          <w:lang w:val="en-US" w:eastAsia="zh-CN"/>
        </w:rPr>
        <w:t>20</w:t>
      </w:r>
      <w:r>
        <w:t xml:space="preserve">年 </w:t>
      </w:r>
      <w:r>
        <w:rPr>
          <w:rFonts w:hint="eastAsia"/>
          <w:lang w:val="en-US" w:eastAsia="zh-CN"/>
        </w:rPr>
        <w:t>4</w:t>
      </w:r>
      <w:r>
        <w:t xml:space="preserve"> 月 </w:t>
      </w:r>
      <w:r>
        <w:rPr>
          <w:rFonts w:hint="eastAsia"/>
          <w:lang w:val="en-US" w:eastAsia="zh-CN"/>
        </w:rPr>
        <w:t>29</w:t>
      </w:r>
      <w:r>
        <w:t xml:space="preserve"> 日上午 10 时 00 分至 10 时 30 分。</w:t>
      </w:r>
    </w:p>
    <w:p>
      <w:pPr>
        <w:pStyle w:val="13"/>
        <w:keepNext w:val="0"/>
        <w:keepLines w:val="0"/>
        <w:pageBreakBefore w:val="0"/>
        <w:widowControl w:val="0"/>
        <w:kinsoku/>
        <w:wordWrap/>
        <w:overflowPunct/>
        <w:topLinePunct w:val="0"/>
        <w:autoSpaceDE w:val="0"/>
        <w:autoSpaceDN w:val="0"/>
        <w:bidi w:val="0"/>
        <w:adjustRightInd/>
        <w:snapToGrid/>
        <w:spacing w:before="36" w:line="400" w:lineRule="exact"/>
        <w:ind w:left="540"/>
        <w:textAlignment w:val="auto"/>
      </w:pPr>
      <w:r>
        <w:rPr>
          <w:spacing w:val="-5"/>
        </w:rPr>
        <w:t xml:space="preserve">投标人在递交投标文件截止时间前，将投标文件密封提交至桂林市公共资源交易中心 </w:t>
      </w:r>
      <w:r>
        <w:rPr>
          <w:rFonts w:hint="eastAsia"/>
          <w:lang w:val="en-US" w:eastAsia="zh-CN"/>
        </w:rPr>
        <w:t xml:space="preserve">7 </w:t>
      </w:r>
      <w:r>
        <w:rPr>
          <w:spacing w:val="-14"/>
        </w:rPr>
        <w:t>号开标室</w:t>
      </w:r>
      <w:r>
        <w:t>（广</w:t>
      </w:r>
    </w:p>
    <w:p>
      <w:pPr>
        <w:pStyle w:val="13"/>
        <w:keepNext w:val="0"/>
        <w:keepLines w:val="0"/>
        <w:pageBreakBefore w:val="0"/>
        <w:widowControl w:val="0"/>
        <w:kinsoku/>
        <w:wordWrap/>
        <w:overflowPunct/>
        <w:topLinePunct w:val="0"/>
        <w:autoSpaceDE w:val="0"/>
        <w:autoSpaceDN w:val="0"/>
        <w:bidi w:val="0"/>
        <w:adjustRightInd/>
        <w:snapToGrid/>
        <w:spacing w:before="36" w:line="400" w:lineRule="exact"/>
        <w:ind w:right="106"/>
        <w:textAlignment w:val="auto"/>
      </w:pPr>
      <w:r>
        <w:rPr>
          <w:spacing w:val="-3"/>
        </w:rPr>
        <w:t xml:space="preserve">西桂林市临桂区西城中路 </w:t>
      </w:r>
      <w:r>
        <w:t>69</w:t>
      </w:r>
      <w:r>
        <w:rPr>
          <w:spacing w:val="-9"/>
        </w:rPr>
        <w:t xml:space="preserve"> 号创业大厦西辅楼 </w:t>
      </w:r>
      <w:r>
        <w:t>4</w:t>
      </w:r>
      <w:r>
        <w:rPr>
          <w:spacing w:val="-9"/>
        </w:rPr>
        <w:t xml:space="preserve"> 楼北区</w:t>
      </w:r>
      <w:r>
        <w:rPr>
          <w:spacing w:val="-4"/>
        </w:rPr>
        <w:t>）</w:t>
      </w:r>
      <w:r>
        <w:rPr>
          <w:spacing w:val="-2"/>
        </w:rPr>
        <w:t>，逾期送达的或者未送达指定地点的投标文件将予以拒收。</w:t>
      </w:r>
    </w:p>
    <w:p>
      <w:pPr>
        <w:keepNext w:val="0"/>
        <w:keepLines w:val="0"/>
        <w:pageBreakBefore w:val="0"/>
        <w:widowControl w:val="0"/>
        <w:kinsoku/>
        <w:wordWrap/>
        <w:overflowPunct/>
        <w:topLinePunct w:val="0"/>
        <w:autoSpaceDE w:val="0"/>
        <w:autoSpaceDN w:val="0"/>
        <w:bidi w:val="0"/>
        <w:adjustRightInd/>
        <w:snapToGrid/>
        <w:spacing w:before="79" w:line="400" w:lineRule="exact"/>
        <w:ind w:left="535" w:right="0" w:firstLine="0"/>
        <w:jc w:val="left"/>
        <w:textAlignment w:val="auto"/>
        <w:rPr>
          <w:b/>
          <w:sz w:val="21"/>
        </w:rPr>
      </w:pPr>
      <w:r>
        <w:rPr>
          <w:rFonts w:hint="eastAsia"/>
          <w:b/>
          <w:sz w:val="21"/>
          <w:lang w:val="en-US" w:eastAsia="zh-CN"/>
        </w:rPr>
        <w:t>6</w:t>
      </w:r>
      <w:r>
        <w:rPr>
          <w:b/>
          <w:sz w:val="21"/>
        </w:rPr>
        <w:t>、开标时间及地点：</w:t>
      </w:r>
    </w:p>
    <w:p>
      <w:pPr>
        <w:pStyle w:val="13"/>
        <w:keepNext w:val="0"/>
        <w:keepLines w:val="0"/>
        <w:pageBreakBefore w:val="0"/>
        <w:widowControl w:val="0"/>
        <w:kinsoku/>
        <w:wordWrap/>
        <w:overflowPunct/>
        <w:topLinePunct w:val="0"/>
        <w:autoSpaceDE w:val="0"/>
        <w:autoSpaceDN w:val="0"/>
        <w:bidi w:val="0"/>
        <w:adjustRightInd/>
        <w:snapToGrid/>
        <w:spacing w:before="36" w:line="400" w:lineRule="exact"/>
        <w:ind w:left="540"/>
        <w:textAlignment w:val="auto"/>
        <w:rPr>
          <w:spacing w:val="-5"/>
        </w:rPr>
      </w:pPr>
      <w:r>
        <w:rPr>
          <w:spacing w:val="-5"/>
        </w:rPr>
        <w:t>本次招标将于 20</w:t>
      </w:r>
      <w:r>
        <w:rPr>
          <w:rFonts w:hint="eastAsia"/>
          <w:spacing w:val="-5"/>
          <w:lang w:val="en-US" w:eastAsia="zh-CN"/>
        </w:rPr>
        <w:t>20</w:t>
      </w:r>
      <w:r>
        <w:rPr>
          <w:spacing w:val="-5"/>
        </w:rPr>
        <w:t xml:space="preserve">年 </w:t>
      </w:r>
      <w:r>
        <w:rPr>
          <w:rFonts w:hint="eastAsia"/>
          <w:spacing w:val="-5"/>
          <w:lang w:val="en-US" w:eastAsia="zh-CN"/>
        </w:rPr>
        <w:t>4</w:t>
      </w:r>
      <w:r>
        <w:rPr>
          <w:spacing w:val="-5"/>
        </w:rPr>
        <w:t xml:space="preserve"> 月 </w:t>
      </w:r>
      <w:r>
        <w:rPr>
          <w:rFonts w:hint="eastAsia"/>
          <w:spacing w:val="-5"/>
          <w:lang w:val="en-US" w:eastAsia="zh-CN"/>
        </w:rPr>
        <w:t xml:space="preserve">29 </w:t>
      </w:r>
      <w:r>
        <w:rPr>
          <w:spacing w:val="-5"/>
        </w:rPr>
        <w:t>日 10 时 30 分在桂林市公共资源交易中心（广西桂林市临桂区西城中</w:t>
      </w:r>
    </w:p>
    <w:p>
      <w:pPr>
        <w:pStyle w:val="13"/>
        <w:keepNext w:val="0"/>
        <w:keepLines w:val="0"/>
        <w:pageBreakBefore w:val="0"/>
        <w:widowControl w:val="0"/>
        <w:kinsoku/>
        <w:wordWrap/>
        <w:overflowPunct/>
        <w:topLinePunct w:val="0"/>
        <w:autoSpaceDE w:val="0"/>
        <w:autoSpaceDN w:val="0"/>
        <w:bidi w:val="0"/>
        <w:adjustRightInd/>
        <w:snapToGrid/>
        <w:spacing w:before="36" w:line="400" w:lineRule="exact"/>
        <w:textAlignment w:val="auto"/>
      </w:pPr>
      <w:r>
        <w:rPr>
          <w:spacing w:val="-5"/>
        </w:rPr>
        <w:t>路 69 号创业大厦西辅楼 4 楼北区）</w:t>
      </w:r>
      <w:r>
        <w:rPr>
          <w:rFonts w:hint="eastAsia"/>
          <w:spacing w:val="-5"/>
          <w:lang w:val="en-US" w:eastAsia="zh-CN"/>
        </w:rPr>
        <w:t xml:space="preserve"> 7</w:t>
      </w:r>
      <w:r>
        <w:rPr>
          <w:spacing w:val="-5"/>
        </w:rPr>
        <w:t xml:space="preserve"> 号开标室开标。投标人可以由法定代表人或其委托代理人凭本人身份证原件出席开标会议（委托代理人出席还应携带法定代表人授权委托书原件</w:t>
      </w:r>
      <w:r>
        <w:t>）。</w:t>
      </w:r>
    </w:p>
    <w:p>
      <w:pPr>
        <w:pStyle w:val="13"/>
        <w:keepNext w:val="0"/>
        <w:keepLines w:val="0"/>
        <w:pageBreakBefore w:val="0"/>
        <w:widowControl w:val="0"/>
        <w:kinsoku/>
        <w:wordWrap/>
        <w:overflowPunct/>
        <w:topLinePunct w:val="0"/>
        <w:autoSpaceDE w:val="0"/>
        <w:autoSpaceDN w:val="0"/>
        <w:bidi w:val="0"/>
        <w:adjustRightInd/>
        <w:snapToGrid/>
        <w:spacing w:before="26" w:line="400" w:lineRule="exact"/>
        <w:ind w:right="106" w:firstLine="422"/>
        <w:jc w:val="both"/>
        <w:textAlignment w:val="auto"/>
      </w:pPr>
      <w:r>
        <w:rPr>
          <w:rFonts w:hint="eastAsia"/>
          <w:b/>
          <w:lang w:val="en-US" w:eastAsia="zh-CN"/>
        </w:rPr>
        <w:t>7</w:t>
      </w:r>
      <w:r>
        <w:rPr>
          <w:b/>
          <w:spacing w:val="-7"/>
        </w:rPr>
        <w:t>、信息公告发布媒体：</w:t>
      </w:r>
      <w:r>
        <w:fldChar w:fldCharType="begin"/>
      </w:r>
      <w:r>
        <w:instrText xml:space="preserve"> HYPERLINK "http://www.ccgp.gov.cn/" \h </w:instrText>
      </w:r>
      <w:r>
        <w:fldChar w:fldCharType="separate"/>
      </w:r>
      <w:r>
        <w:rPr>
          <w:spacing w:val="-5"/>
        </w:rPr>
        <w:t>http://www.ccgp.gov.cn</w:t>
      </w:r>
      <w:r>
        <w:rPr>
          <w:spacing w:val="-5"/>
        </w:rPr>
        <w:fldChar w:fldCharType="end"/>
      </w:r>
      <w:r>
        <w:rPr>
          <w:spacing w:val="-5"/>
        </w:rPr>
        <w:t>（</w:t>
      </w:r>
      <w:r>
        <w:rPr>
          <w:spacing w:val="-3"/>
        </w:rPr>
        <w:t>中国政府采购网</w:t>
      </w:r>
      <w:r>
        <w:rPr>
          <w:spacing w:val="-44"/>
        </w:rPr>
        <w:t>）</w:t>
      </w:r>
      <w:r>
        <w:rPr>
          <w:spacing w:val="-41"/>
        </w:rPr>
        <w:t>、</w:t>
      </w:r>
      <w:r>
        <w:fldChar w:fldCharType="begin"/>
      </w:r>
      <w:r>
        <w:instrText xml:space="preserve"> HYPERLINK "http://zfcg.gxzf.gov.cn/" \h </w:instrText>
      </w:r>
      <w:r>
        <w:fldChar w:fldCharType="separate"/>
      </w:r>
      <w:r>
        <w:rPr>
          <w:spacing w:val="-3"/>
        </w:rPr>
        <w:t>http://zfcg.gxzf.gov.cn</w:t>
      </w:r>
      <w:r>
        <w:rPr>
          <w:spacing w:val="-3"/>
        </w:rPr>
        <w:fldChar w:fldCharType="end"/>
      </w:r>
      <w:r>
        <w:rPr>
          <w:spacing w:val="-3"/>
        </w:rPr>
        <w:t>（广</w:t>
      </w:r>
      <w:r>
        <w:t>西壮族自治区政府采购网）、</w:t>
      </w:r>
      <w:r>
        <w:fldChar w:fldCharType="begin"/>
      </w:r>
      <w:r>
        <w:instrText xml:space="preserve"> HYPERLINK "http://zfcg.guilin.gov.cn/" \h </w:instrText>
      </w:r>
      <w:r>
        <w:fldChar w:fldCharType="separate"/>
      </w:r>
      <w:r>
        <w:t>http://zfcg.glcz.cn</w:t>
      </w:r>
      <w:r>
        <w:fldChar w:fldCharType="end"/>
      </w:r>
      <w:r>
        <w:t>（桂林市政府采购网）、</w:t>
      </w:r>
      <w:r>
        <w:fldChar w:fldCharType="begin"/>
      </w:r>
      <w:r>
        <w:instrText xml:space="preserve"> HYPERLINK "http://ggzy.guilin.cn/" \h </w:instrText>
      </w:r>
      <w:r>
        <w:fldChar w:fldCharType="separate"/>
      </w:r>
      <w:r>
        <w:t>http://glggzy.org.cn</w:t>
      </w:r>
      <w:r>
        <w:fldChar w:fldCharType="end"/>
      </w:r>
      <w:r>
        <w:t>（桂</w:t>
      </w:r>
      <w:r>
        <w:rPr>
          <w:spacing w:val="-3"/>
        </w:rPr>
        <w:t>林市公共资源交易中心网</w:t>
      </w:r>
      <w:r>
        <w:t>）。</w:t>
      </w:r>
    </w:p>
    <w:p>
      <w:pPr>
        <w:keepNext w:val="0"/>
        <w:keepLines w:val="0"/>
        <w:pageBreakBefore w:val="0"/>
        <w:widowControl w:val="0"/>
        <w:kinsoku/>
        <w:wordWrap/>
        <w:overflowPunct/>
        <w:topLinePunct w:val="0"/>
        <w:autoSpaceDE w:val="0"/>
        <w:autoSpaceDN w:val="0"/>
        <w:bidi w:val="0"/>
        <w:adjustRightInd/>
        <w:snapToGrid/>
        <w:spacing w:before="26" w:line="400" w:lineRule="exact"/>
        <w:ind w:left="535" w:right="0" w:firstLine="0"/>
        <w:jc w:val="left"/>
        <w:textAlignment w:val="auto"/>
        <w:rPr>
          <w:b/>
          <w:sz w:val="21"/>
        </w:rPr>
      </w:pPr>
      <w:r>
        <w:rPr>
          <w:rFonts w:hint="eastAsia"/>
          <w:b/>
          <w:sz w:val="21"/>
          <w:lang w:val="en-US" w:eastAsia="zh-CN"/>
        </w:rPr>
        <w:t>8</w:t>
      </w:r>
      <w:r>
        <w:rPr>
          <w:b/>
          <w:sz w:val="21"/>
        </w:rPr>
        <w:t>、联系事项</w:t>
      </w:r>
    </w:p>
    <w:p>
      <w:pPr>
        <w:pStyle w:val="13"/>
        <w:keepNext w:val="0"/>
        <w:keepLines w:val="0"/>
        <w:pageBreakBefore w:val="0"/>
        <w:widowControl w:val="0"/>
        <w:kinsoku/>
        <w:wordWrap/>
        <w:overflowPunct/>
        <w:topLinePunct w:val="0"/>
        <w:autoSpaceDE w:val="0"/>
        <w:autoSpaceDN w:val="0"/>
        <w:bidi w:val="0"/>
        <w:adjustRightInd/>
        <w:snapToGrid/>
        <w:spacing w:before="104" w:line="400" w:lineRule="exact"/>
        <w:ind w:left="893" w:right="5852" w:hanging="360"/>
        <w:textAlignment w:val="auto"/>
      </w:pPr>
      <w:r>
        <w:t>1、招标人名称：兴安县自然资源局地址：桂林市兴安县银杏路 11 号</w:t>
      </w:r>
    </w:p>
    <w:p>
      <w:pPr>
        <w:pStyle w:val="13"/>
        <w:keepNext w:val="0"/>
        <w:keepLines w:val="0"/>
        <w:pageBreakBefore w:val="0"/>
        <w:widowControl w:val="0"/>
        <w:tabs>
          <w:tab w:val="left" w:pos="2890"/>
        </w:tabs>
        <w:kinsoku/>
        <w:wordWrap/>
        <w:overflowPunct/>
        <w:topLinePunct w:val="0"/>
        <w:autoSpaceDE w:val="0"/>
        <w:autoSpaceDN w:val="0"/>
        <w:bidi w:val="0"/>
        <w:adjustRightInd/>
        <w:snapToGrid/>
        <w:spacing w:before="27" w:line="400" w:lineRule="exact"/>
        <w:ind w:left="893"/>
        <w:textAlignment w:val="auto"/>
        <w:rPr>
          <w:rFonts w:hint="default" w:eastAsia="宋体"/>
          <w:lang w:val="en-US" w:eastAsia="zh-CN"/>
        </w:rPr>
      </w:pPr>
      <w:r>
        <w:t>联系</w:t>
      </w:r>
      <w:r>
        <w:rPr>
          <w:spacing w:val="-3"/>
        </w:rPr>
        <w:t>人</w:t>
      </w:r>
      <w:r>
        <w:t>：</w:t>
      </w:r>
      <w:r>
        <w:rPr>
          <w:rFonts w:hint="eastAsia"/>
          <w:lang w:eastAsia="zh-CN"/>
        </w:rPr>
        <w:t>蒋静</w:t>
      </w:r>
      <w:r>
        <w:tab/>
      </w:r>
      <w:r>
        <w:rPr>
          <w:spacing w:val="-3"/>
        </w:rPr>
        <w:t>联系</w:t>
      </w:r>
      <w:r>
        <w:rPr>
          <w:spacing w:val="-1"/>
        </w:rPr>
        <w:t>电话：0773-622</w:t>
      </w:r>
      <w:r>
        <w:rPr>
          <w:rFonts w:hint="eastAsia"/>
          <w:spacing w:val="-1"/>
          <w:lang w:val="en-US" w:eastAsia="zh-CN"/>
        </w:rPr>
        <w:t>4208</w:t>
      </w:r>
    </w:p>
    <w:p>
      <w:pPr>
        <w:pStyle w:val="13"/>
        <w:keepNext w:val="0"/>
        <w:keepLines w:val="0"/>
        <w:pageBreakBefore w:val="0"/>
        <w:widowControl w:val="0"/>
        <w:kinsoku/>
        <w:wordWrap/>
        <w:overflowPunct/>
        <w:topLinePunct w:val="0"/>
        <w:autoSpaceDE w:val="0"/>
        <w:autoSpaceDN w:val="0"/>
        <w:bidi w:val="0"/>
        <w:adjustRightInd/>
        <w:snapToGrid/>
        <w:spacing w:before="104" w:line="400" w:lineRule="exact"/>
        <w:ind w:left="533"/>
        <w:textAlignment w:val="auto"/>
        <w:rPr>
          <w:rFonts w:hint="eastAsia" w:eastAsia="宋体"/>
          <w:lang w:eastAsia="zh-CN"/>
        </w:rPr>
      </w:pPr>
      <w:r>
        <w:t>2、招标代理机构名称：</w:t>
      </w:r>
      <w:r>
        <w:rPr>
          <w:rFonts w:hint="eastAsia"/>
          <w:lang w:eastAsia="zh-CN"/>
        </w:rPr>
        <w:t>上海正弘建设工程顾问有限公司</w:t>
      </w:r>
    </w:p>
    <w:p>
      <w:pPr>
        <w:pStyle w:val="13"/>
        <w:keepNext w:val="0"/>
        <w:keepLines w:val="0"/>
        <w:pageBreakBefore w:val="0"/>
        <w:widowControl w:val="0"/>
        <w:tabs>
          <w:tab w:val="left" w:pos="3204"/>
        </w:tabs>
        <w:kinsoku/>
        <w:wordWrap/>
        <w:overflowPunct/>
        <w:topLinePunct w:val="0"/>
        <w:autoSpaceDE w:val="0"/>
        <w:autoSpaceDN w:val="0"/>
        <w:bidi w:val="0"/>
        <w:adjustRightInd/>
        <w:snapToGrid/>
        <w:spacing w:before="104" w:line="400" w:lineRule="exact"/>
        <w:ind w:left="893" w:right="3296"/>
        <w:textAlignment w:val="auto"/>
        <w:rPr>
          <w:rFonts w:hint="eastAsia"/>
          <w:lang w:val="en-US" w:eastAsia="zh-CN"/>
        </w:rPr>
      </w:pPr>
      <w:r>
        <w:t>地址</w:t>
      </w:r>
      <w:r>
        <w:rPr>
          <w:spacing w:val="-3"/>
        </w:rPr>
        <w:t>：</w:t>
      </w:r>
      <w:r>
        <w:rPr>
          <w:rFonts w:hint="eastAsia"/>
          <w:lang w:eastAsia="zh-CN"/>
        </w:rPr>
        <w:t>桂林市六合路</w:t>
      </w:r>
      <w:r>
        <w:rPr>
          <w:rFonts w:hint="eastAsia"/>
          <w:lang w:val="en-US" w:eastAsia="zh-CN"/>
        </w:rPr>
        <w:t>123号电子科技大学科技园2号楼4楼</w:t>
      </w:r>
    </w:p>
    <w:p>
      <w:pPr>
        <w:pStyle w:val="13"/>
        <w:keepNext w:val="0"/>
        <w:keepLines w:val="0"/>
        <w:pageBreakBefore w:val="0"/>
        <w:widowControl w:val="0"/>
        <w:tabs>
          <w:tab w:val="left" w:pos="3204"/>
        </w:tabs>
        <w:kinsoku/>
        <w:wordWrap/>
        <w:overflowPunct/>
        <w:topLinePunct w:val="0"/>
        <w:autoSpaceDE w:val="0"/>
        <w:autoSpaceDN w:val="0"/>
        <w:bidi w:val="0"/>
        <w:adjustRightInd/>
        <w:snapToGrid/>
        <w:spacing w:before="104" w:line="400" w:lineRule="exact"/>
        <w:ind w:left="893" w:right="3296"/>
        <w:textAlignment w:val="auto"/>
        <w:rPr>
          <w:rFonts w:hint="default" w:eastAsia="宋体"/>
          <w:lang w:val="en-US" w:eastAsia="zh-CN"/>
        </w:rPr>
      </w:pPr>
      <w:r>
        <w:t>联系</w:t>
      </w:r>
      <w:r>
        <w:rPr>
          <w:spacing w:val="-3"/>
        </w:rPr>
        <w:t>人</w:t>
      </w:r>
      <w:r>
        <w:t>：</w:t>
      </w:r>
      <w:r>
        <w:rPr>
          <w:rFonts w:hint="eastAsia"/>
          <w:spacing w:val="-3"/>
          <w:lang w:eastAsia="zh-CN"/>
        </w:rPr>
        <w:t>王耕</w:t>
      </w:r>
      <w:r>
        <w:tab/>
      </w:r>
      <w:r>
        <w:rPr>
          <w:spacing w:val="-1"/>
        </w:rPr>
        <w:t>联系</w:t>
      </w:r>
      <w:r>
        <w:rPr>
          <w:spacing w:val="-3"/>
        </w:rPr>
        <w:t>电</w:t>
      </w:r>
      <w:r>
        <w:rPr>
          <w:spacing w:val="-1"/>
        </w:rPr>
        <w:t>话：0773-</w:t>
      </w:r>
      <w:r>
        <w:rPr>
          <w:rFonts w:hint="eastAsia"/>
          <w:spacing w:val="-1"/>
          <w:lang w:val="en-US" w:eastAsia="zh-CN"/>
        </w:rPr>
        <w:t>5838255</w:t>
      </w:r>
    </w:p>
    <w:p>
      <w:pPr>
        <w:pStyle w:val="13"/>
        <w:keepNext w:val="0"/>
        <w:keepLines w:val="0"/>
        <w:pageBreakBefore w:val="0"/>
        <w:widowControl w:val="0"/>
        <w:tabs>
          <w:tab w:val="left" w:pos="5574"/>
        </w:tabs>
        <w:kinsoku/>
        <w:wordWrap/>
        <w:overflowPunct/>
        <w:topLinePunct w:val="0"/>
        <w:autoSpaceDE w:val="0"/>
        <w:autoSpaceDN w:val="0"/>
        <w:bidi w:val="0"/>
        <w:adjustRightInd/>
        <w:snapToGrid/>
        <w:spacing w:before="22" w:line="400" w:lineRule="exact"/>
        <w:ind w:left="533"/>
        <w:textAlignment w:val="auto"/>
      </w:pPr>
      <w:r>
        <w:t>3、</w:t>
      </w:r>
      <w:r>
        <w:rPr>
          <w:spacing w:val="-3"/>
        </w:rPr>
        <w:t>监</w:t>
      </w:r>
      <w:r>
        <w:t>督</w:t>
      </w:r>
      <w:r>
        <w:rPr>
          <w:spacing w:val="-3"/>
        </w:rPr>
        <w:t>部</w:t>
      </w:r>
      <w:r>
        <w:t>门</w:t>
      </w:r>
      <w:r>
        <w:rPr>
          <w:spacing w:val="-3"/>
        </w:rPr>
        <w:t>：</w:t>
      </w:r>
      <w:r>
        <w:t>兴</w:t>
      </w:r>
      <w:r>
        <w:rPr>
          <w:spacing w:val="-3"/>
        </w:rPr>
        <w:t>安</w:t>
      </w:r>
      <w:r>
        <w:t>县</w:t>
      </w:r>
      <w:r>
        <w:rPr>
          <w:spacing w:val="-3"/>
        </w:rPr>
        <w:t>人民</w:t>
      </w:r>
      <w:r>
        <w:t>政府</w:t>
      </w:r>
      <w:r>
        <w:rPr>
          <w:spacing w:val="-3"/>
        </w:rPr>
        <w:t>采</w:t>
      </w:r>
      <w:r>
        <w:t>购</w:t>
      </w:r>
      <w:r>
        <w:rPr>
          <w:spacing w:val="-3"/>
        </w:rPr>
        <w:t>管</w:t>
      </w:r>
      <w:r>
        <w:t>理</w:t>
      </w:r>
      <w:r>
        <w:rPr>
          <w:spacing w:val="-3"/>
        </w:rPr>
        <w:t>办</w:t>
      </w:r>
      <w:r>
        <w:t>公室</w:t>
      </w:r>
      <w:r>
        <w:tab/>
      </w:r>
      <w:r>
        <w:rPr>
          <w:spacing w:val="-1"/>
        </w:rPr>
        <w:t>电</w:t>
      </w:r>
      <w:r>
        <w:rPr>
          <w:spacing w:val="-3"/>
        </w:rPr>
        <w:t>话</w:t>
      </w:r>
      <w:r>
        <w:rPr>
          <w:spacing w:val="-1"/>
        </w:rPr>
        <w:t>：0773-6220651</w:t>
      </w:r>
    </w:p>
    <w:p>
      <w:pPr>
        <w:pStyle w:val="13"/>
        <w:keepNext w:val="0"/>
        <w:keepLines w:val="0"/>
        <w:pageBreakBefore w:val="0"/>
        <w:widowControl w:val="0"/>
        <w:kinsoku/>
        <w:wordWrap/>
        <w:overflowPunct/>
        <w:topLinePunct w:val="0"/>
        <w:autoSpaceDE w:val="0"/>
        <w:autoSpaceDN w:val="0"/>
        <w:bidi w:val="0"/>
        <w:adjustRightInd/>
        <w:snapToGrid/>
        <w:spacing w:line="360" w:lineRule="exact"/>
        <w:ind w:left="0"/>
        <w:textAlignment w:val="auto"/>
        <w:rPr>
          <w:sz w:val="20"/>
        </w:rPr>
      </w:pPr>
    </w:p>
    <w:p>
      <w:pPr>
        <w:pStyle w:val="13"/>
        <w:keepNext w:val="0"/>
        <w:keepLines w:val="0"/>
        <w:pageBreakBefore w:val="0"/>
        <w:widowControl w:val="0"/>
        <w:kinsoku/>
        <w:wordWrap/>
        <w:overflowPunct/>
        <w:topLinePunct w:val="0"/>
        <w:autoSpaceDE w:val="0"/>
        <w:autoSpaceDN w:val="0"/>
        <w:bidi w:val="0"/>
        <w:adjustRightInd/>
        <w:snapToGrid/>
        <w:spacing w:line="360" w:lineRule="exact"/>
        <w:ind w:left="5785"/>
        <w:textAlignment w:val="auto"/>
        <w:rPr>
          <w:rFonts w:hint="eastAsia" w:eastAsia="宋体"/>
          <w:lang w:eastAsia="zh-CN"/>
        </w:rPr>
      </w:pPr>
      <w:r>
        <w:rPr>
          <w:rFonts w:hint="eastAsia"/>
          <w:lang w:eastAsia="zh-CN"/>
        </w:rPr>
        <w:t>上海正弘建设工程顾问有限公司</w:t>
      </w:r>
    </w:p>
    <w:p>
      <w:pPr>
        <w:pStyle w:val="13"/>
        <w:keepNext w:val="0"/>
        <w:keepLines w:val="0"/>
        <w:pageBreakBefore w:val="0"/>
        <w:widowControl w:val="0"/>
        <w:kinsoku/>
        <w:wordWrap/>
        <w:overflowPunct/>
        <w:topLinePunct w:val="0"/>
        <w:autoSpaceDE w:val="0"/>
        <w:autoSpaceDN w:val="0"/>
        <w:bidi w:val="0"/>
        <w:adjustRightInd/>
        <w:snapToGrid/>
        <w:spacing w:before="104" w:line="360" w:lineRule="exact"/>
        <w:ind w:left="0" w:right="1505"/>
        <w:jc w:val="right"/>
        <w:textAlignment w:val="auto"/>
      </w:pPr>
      <w:r>
        <w:t>20</w:t>
      </w:r>
      <w:r>
        <w:rPr>
          <w:rFonts w:hint="eastAsia"/>
          <w:lang w:val="en-US" w:eastAsia="zh-CN"/>
        </w:rPr>
        <w:t>20</w:t>
      </w:r>
      <w:r>
        <w:t xml:space="preserve">年 </w:t>
      </w:r>
      <w:r>
        <w:rPr>
          <w:rFonts w:hint="eastAsia"/>
          <w:lang w:val="en-US" w:eastAsia="zh-CN"/>
        </w:rPr>
        <w:t>4</w:t>
      </w:r>
      <w:r>
        <w:t xml:space="preserve"> 月 </w:t>
      </w:r>
      <w:r>
        <w:rPr>
          <w:rFonts w:hint="eastAsia"/>
          <w:lang w:val="en-US" w:eastAsia="zh-CN"/>
        </w:rPr>
        <w:t>8</w:t>
      </w:r>
      <w:r>
        <w:t xml:space="preserve"> 日</w:t>
      </w:r>
    </w:p>
    <w:p>
      <w:pPr>
        <w:keepNext w:val="0"/>
        <w:keepLines w:val="0"/>
        <w:pageBreakBefore w:val="0"/>
        <w:widowControl w:val="0"/>
        <w:kinsoku/>
        <w:wordWrap/>
        <w:overflowPunct/>
        <w:topLinePunct w:val="0"/>
        <w:autoSpaceDE w:val="0"/>
        <w:autoSpaceDN w:val="0"/>
        <w:bidi w:val="0"/>
        <w:adjustRightInd/>
        <w:snapToGrid/>
        <w:spacing w:after="0" w:line="360" w:lineRule="exact"/>
        <w:jc w:val="right"/>
        <w:textAlignment w:val="auto"/>
        <w:sectPr>
          <w:pgSz w:w="11910" w:h="16840"/>
          <w:pgMar w:top="1440" w:right="1020" w:bottom="1180" w:left="1020" w:header="0" w:footer="920" w:gutter="0"/>
        </w:sectPr>
      </w:pPr>
    </w:p>
    <w:p>
      <w:pPr>
        <w:pStyle w:val="3"/>
        <w:tabs>
          <w:tab w:val="left" w:pos="1286"/>
        </w:tabs>
        <w:spacing w:line="405" w:lineRule="exact"/>
        <w:ind w:right="3"/>
      </w:pPr>
      <w:bookmarkStart w:id="1" w:name="_bookmark1"/>
      <w:bookmarkEnd w:id="1"/>
      <w:r>
        <w:t>第二章</w:t>
      </w:r>
      <w:r>
        <w:tab/>
      </w:r>
      <w:r>
        <w:rPr>
          <w:w w:val="95"/>
        </w:rPr>
        <w:t>投标人须知</w:t>
      </w:r>
    </w:p>
    <w:p>
      <w:pPr>
        <w:pStyle w:val="5"/>
        <w:spacing w:after="26" w:line="378" w:lineRule="exact"/>
      </w:pPr>
      <w:r>
        <w:rPr>
          <w:w w:val="95"/>
        </w:rPr>
        <w:t>投标人须知前附表</w:t>
      </w:r>
    </w:p>
    <w:tbl>
      <w:tblPr>
        <w:tblStyle w:val="17"/>
        <w:tblW w:w="9657"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5"/>
        <w:gridCol w:w="3039"/>
        <w:gridCol w:w="5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05" w:type="dxa"/>
          </w:tcPr>
          <w:p>
            <w:pPr>
              <w:pStyle w:val="33"/>
              <w:spacing w:before="100"/>
              <w:ind w:left="283"/>
              <w:rPr>
                <w:sz w:val="21"/>
              </w:rPr>
            </w:pPr>
            <w:r>
              <w:rPr>
                <w:sz w:val="21"/>
              </w:rPr>
              <w:t>条款号</w:t>
            </w:r>
          </w:p>
        </w:tc>
        <w:tc>
          <w:tcPr>
            <w:tcW w:w="3039" w:type="dxa"/>
          </w:tcPr>
          <w:p>
            <w:pPr>
              <w:pStyle w:val="33"/>
              <w:tabs>
                <w:tab w:val="left" w:pos="1199"/>
                <w:tab w:val="left" w:pos="1620"/>
                <w:tab w:val="left" w:pos="2040"/>
              </w:tabs>
              <w:spacing w:before="100"/>
              <w:ind w:left="777"/>
              <w:rPr>
                <w:sz w:val="21"/>
              </w:rPr>
            </w:pPr>
            <w:r>
              <w:rPr>
                <w:sz w:val="21"/>
              </w:rPr>
              <w:t>条</w:t>
            </w:r>
            <w:r>
              <w:rPr>
                <w:sz w:val="21"/>
              </w:rPr>
              <w:tab/>
            </w:r>
            <w:r>
              <w:rPr>
                <w:sz w:val="21"/>
              </w:rPr>
              <w:t>款</w:t>
            </w:r>
            <w:r>
              <w:rPr>
                <w:sz w:val="21"/>
              </w:rPr>
              <w:tab/>
            </w:r>
            <w:r>
              <w:rPr>
                <w:sz w:val="21"/>
              </w:rPr>
              <w:t>名</w:t>
            </w:r>
            <w:r>
              <w:rPr>
                <w:sz w:val="21"/>
              </w:rPr>
              <w:tab/>
            </w:r>
            <w:r>
              <w:rPr>
                <w:sz w:val="21"/>
              </w:rPr>
              <w:t>称</w:t>
            </w:r>
          </w:p>
        </w:tc>
        <w:tc>
          <w:tcPr>
            <w:tcW w:w="5413" w:type="dxa"/>
          </w:tcPr>
          <w:p>
            <w:pPr>
              <w:pStyle w:val="33"/>
              <w:tabs>
                <w:tab w:val="left" w:pos="424"/>
                <w:tab w:val="left" w:pos="844"/>
                <w:tab w:val="left" w:pos="1264"/>
              </w:tabs>
              <w:spacing w:before="100"/>
              <w:ind w:left="2"/>
              <w:jc w:val="center"/>
              <w:rPr>
                <w:sz w:val="21"/>
              </w:rPr>
            </w:pPr>
            <w:r>
              <w:rPr>
                <w:sz w:val="21"/>
              </w:rPr>
              <w:t>编</w:t>
            </w:r>
            <w:r>
              <w:rPr>
                <w:sz w:val="21"/>
              </w:rPr>
              <w:tab/>
            </w:r>
            <w:r>
              <w:rPr>
                <w:sz w:val="21"/>
              </w:rPr>
              <w:t>列</w:t>
            </w:r>
            <w:r>
              <w:rPr>
                <w:sz w:val="21"/>
              </w:rPr>
              <w:tab/>
            </w:r>
            <w:r>
              <w:rPr>
                <w:sz w:val="21"/>
              </w:rPr>
              <w:t>内</w:t>
            </w:r>
            <w:r>
              <w:rPr>
                <w:sz w:val="21"/>
              </w:rPr>
              <w:tab/>
            </w:r>
            <w:r>
              <w:rPr>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trPr>
        <w:tc>
          <w:tcPr>
            <w:tcW w:w="1205" w:type="dxa"/>
          </w:tcPr>
          <w:p>
            <w:pPr>
              <w:pStyle w:val="33"/>
              <w:spacing w:before="42"/>
              <w:ind w:left="336"/>
              <w:rPr>
                <w:sz w:val="21"/>
              </w:rPr>
            </w:pPr>
            <w:r>
              <w:rPr>
                <w:sz w:val="21"/>
              </w:rPr>
              <w:t>1.1.2</w:t>
            </w:r>
          </w:p>
        </w:tc>
        <w:tc>
          <w:tcPr>
            <w:tcW w:w="3039" w:type="dxa"/>
          </w:tcPr>
          <w:p>
            <w:pPr>
              <w:pStyle w:val="33"/>
              <w:spacing w:before="42"/>
              <w:ind w:left="102"/>
              <w:rPr>
                <w:sz w:val="21"/>
              </w:rPr>
            </w:pPr>
            <w:r>
              <w:rPr>
                <w:sz w:val="21"/>
              </w:rPr>
              <w:t>招标人</w:t>
            </w:r>
          </w:p>
        </w:tc>
        <w:tc>
          <w:tcPr>
            <w:tcW w:w="5413" w:type="dxa"/>
          </w:tcPr>
          <w:p>
            <w:pPr>
              <w:pStyle w:val="33"/>
              <w:spacing w:before="42"/>
              <w:ind w:left="102"/>
              <w:rPr>
                <w:sz w:val="21"/>
              </w:rPr>
            </w:pPr>
            <w:r>
              <w:rPr>
                <w:sz w:val="21"/>
              </w:rPr>
              <w:t>名称：兴安县自然资源局</w:t>
            </w:r>
          </w:p>
          <w:p>
            <w:pPr>
              <w:pStyle w:val="33"/>
              <w:spacing w:before="84" w:line="314" w:lineRule="auto"/>
              <w:ind w:left="102" w:right="2102"/>
              <w:rPr>
                <w:sz w:val="21"/>
              </w:rPr>
            </w:pPr>
            <w:r>
              <w:rPr>
                <w:spacing w:val="-7"/>
                <w:sz w:val="21"/>
              </w:rPr>
              <w:t xml:space="preserve">地址：桂林市兴安县银杏路 </w:t>
            </w:r>
            <w:r>
              <w:rPr>
                <w:sz w:val="21"/>
              </w:rPr>
              <w:t>11</w:t>
            </w:r>
            <w:r>
              <w:rPr>
                <w:spacing w:val="-24"/>
                <w:sz w:val="21"/>
              </w:rPr>
              <w:t xml:space="preserve"> 号</w:t>
            </w:r>
            <w:r>
              <w:rPr>
                <w:spacing w:val="-3"/>
                <w:sz w:val="21"/>
              </w:rPr>
              <w:t>联系人：</w:t>
            </w:r>
            <w:r>
              <w:rPr>
                <w:rFonts w:hint="eastAsia"/>
                <w:spacing w:val="-3"/>
                <w:sz w:val="21"/>
                <w:lang w:eastAsia="zh-CN"/>
              </w:rPr>
              <w:t>蒋静</w:t>
            </w:r>
          </w:p>
          <w:p>
            <w:pPr>
              <w:pStyle w:val="33"/>
              <w:spacing w:before="19"/>
              <w:ind w:left="102"/>
              <w:rPr>
                <w:rFonts w:hint="default" w:eastAsia="宋体"/>
                <w:sz w:val="21"/>
                <w:lang w:val="en-US" w:eastAsia="zh-CN"/>
              </w:rPr>
            </w:pPr>
            <w:r>
              <w:rPr>
                <w:sz w:val="21"/>
              </w:rPr>
              <w:t>电话：0773-622</w:t>
            </w:r>
            <w:r>
              <w:rPr>
                <w:rFonts w:hint="eastAsia"/>
                <w:sz w:val="21"/>
                <w:lang w:val="en-US" w:eastAsia="zh-CN"/>
              </w:rPr>
              <w:t>4208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1205" w:type="dxa"/>
          </w:tcPr>
          <w:p>
            <w:pPr>
              <w:pStyle w:val="33"/>
              <w:spacing w:before="42"/>
              <w:ind w:left="336"/>
              <w:rPr>
                <w:sz w:val="21"/>
              </w:rPr>
            </w:pPr>
            <w:r>
              <w:rPr>
                <w:sz w:val="21"/>
              </w:rPr>
              <w:t>1.1.3</w:t>
            </w:r>
          </w:p>
        </w:tc>
        <w:tc>
          <w:tcPr>
            <w:tcW w:w="3039" w:type="dxa"/>
          </w:tcPr>
          <w:p>
            <w:pPr>
              <w:pStyle w:val="33"/>
              <w:spacing w:before="42"/>
              <w:ind w:left="102"/>
              <w:rPr>
                <w:sz w:val="21"/>
              </w:rPr>
            </w:pPr>
            <w:r>
              <w:rPr>
                <w:sz w:val="21"/>
              </w:rPr>
              <w:t>招标代理机构</w:t>
            </w:r>
          </w:p>
        </w:tc>
        <w:tc>
          <w:tcPr>
            <w:tcW w:w="5413" w:type="dxa"/>
          </w:tcPr>
          <w:p>
            <w:pPr>
              <w:pStyle w:val="33"/>
              <w:spacing w:before="42"/>
              <w:ind w:left="102"/>
              <w:rPr>
                <w:rFonts w:hint="eastAsia" w:eastAsia="宋体"/>
                <w:sz w:val="21"/>
                <w:lang w:eastAsia="zh-CN"/>
              </w:rPr>
            </w:pPr>
            <w:r>
              <w:rPr>
                <w:sz w:val="21"/>
              </w:rPr>
              <w:t>名称：</w:t>
            </w:r>
            <w:r>
              <w:rPr>
                <w:rFonts w:hint="eastAsia"/>
                <w:sz w:val="21"/>
                <w:lang w:eastAsia="zh-CN"/>
              </w:rPr>
              <w:t>上海正弘建设工程顾问有限公司</w:t>
            </w:r>
          </w:p>
          <w:p>
            <w:pPr>
              <w:pStyle w:val="33"/>
              <w:spacing w:before="85"/>
              <w:ind w:left="102"/>
              <w:rPr>
                <w:rFonts w:hint="eastAsia"/>
                <w:spacing w:val="-6"/>
                <w:sz w:val="21"/>
                <w:lang w:val="en-US" w:eastAsia="zh-CN"/>
              </w:rPr>
            </w:pPr>
            <w:r>
              <w:rPr>
                <w:spacing w:val="-6"/>
                <w:sz w:val="21"/>
              </w:rPr>
              <w:t>地址：</w:t>
            </w:r>
            <w:r>
              <w:rPr>
                <w:rFonts w:hint="eastAsia"/>
                <w:spacing w:val="-6"/>
                <w:sz w:val="21"/>
                <w:lang w:eastAsia="zh-CN"/>
              </w:rPr>
              <w:t>桂林市六合路</w:t>
            </w:r>
            <w:r>
              <w:rPr>
                <w:rFonts w:hint="eastAsia"/>
                <w:spacing w:val="-6"/>
                <w:sz w:val="21"/>
                <w:lang w:val="en-US" w:eastAsia="zh-CN"/>
              </w:rPr>
              <w:t>123号电子科技大学科技园2号楼4楼</w:t>
            </w:r>
          </w:p>
          <w:p>
            <w:pPr>
              <w:pStyle w:val="33"/>
              <w:spacing w:before="85"/>
              <w:ind w:left="102"/>
              <w:rPr>
                <w:rFonts w:hint="eastAsia" w:eastAsia="宋体"/>
                <w:sz w:val="21"/>
                <w:lang w:eastAsia="zh-CN"/>
              </w:rPr>
            </w:pPr>
            <w:r>
              <w:rPr>
                <w:sz w:val="21"/>
              </w:rPr>
              <w:t>联系人：</w:t>
            </w:r>
            <w:r>
              <w:rPr>
                <w:rFonts w:hint="eastAsia"/>
                <w:sz w:val="21"/>
                <w:lang w:eastAsia="zh-CN"/>
              </w:rPr>
              <w:t>王耕</w:t>
            </w:r>
          </w:p>
          <w:p>
            <w:pPr>
              <w:pStyle w:val="33"/>
              <w:spacing w:before="85"/>
              <w:ind w:left="102"/>
              <w:rPr>
                <w:rFonts w:hint="default" w:eastAsia="宋体"/>
                <w:sz w:val="21"/>
                <w:lang w:val="en-US" w:eastAsia="zh-CN"/>
              </w:rPr>
            </w:pPr>
            <w:r>
              <w:rPr>
                <w:sz w:val="21"/>
              </w:rPr>
              <w:t>电话：0773-58</w:t>
            </w:r>
            <w:r>
              <w:rPr>
                <w:rFonts w:hint="eastAsia"/>
                <w:sz w:val="21"/>
                <w:lang w:val="en-US" w:eastAsia="zh-CN"/>
              </w:rPr>
              <w:t>38255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205" w:type="dxa"/>
          </w:tcPr>
          <w:p>
            <w:pPr>
              <w:pStyle w:val="33"/>
              <w:spacing w:before="42"/>
              <w:ind w:left="336"/>
              <w:rPr>
                <w:sz w:val="21"/>
              </w:rPr>
            </w:pPr>
            <w:r>
              <w:rPr>
                <w:sz w:val="21"/>
              </w:rPr>
              <w:t>1.1.4</w:t>
            </w:r>
          </w:p>
        </w:tc>
        <w:tc>
          <w:tcPr>
            <w:tcW w:w="3039" w:type="dxa"/>
          </w:tcPr>
          <w:p>
            <w:pPr>
              <w:pStyle w:val="33"/>
              <w:spacing w:before="42"/>
              <w:ind w:left="102"/>
              <w:rPr>
                <w:sz w:val="21"/>
              </w:rPr>
            </w:pPr>
            <w:r>
              <w:rPr>
                <w:sz w:val="21"/>
              </w:rPr>
              <w:t>项目名称及项目编号</w:t>
            </w:r>
          </w:p>
        </w:tc>
        <w:tc>
          <w:tcPr>
            <w:tcW w:w="5413" w:type="dxa"/>
          </w:tcPr>
          <w:p>
            <w:pPr>
              <w:pStyle w:val="33"/>
              <w:spacing w:before="42" w:line="314" w:lineRule="auto"/>
              <w:ind w:left="102" w:right="31"/>
              <w:rPr>
                <w:rFonts w:hint="eastAsia" w:eastAsia="宋体"/>
                <w:sz w:val="21"/>
                <w:lang w:eastAsia="zh-CN"/>
              </w:rPr>
            </w:pPr>
            <w:r>
              <w:rPr>
                <w:sz w:val="21"/>
              </w:rPr>
              <w:t>项目名称：</w:t>
            </w:r>
            <w:r>
              <w:rPr>
                <w:rFonts w:hint="eastAsia"/>
                <w:sz w:val="21"/>
                <w:lang w:eastAsia="zh-CN"/>
              </w:rPr>
              <w:t>桂林市兴安县2018年同志村委土地开垦项目</w:t>
            </w:r>
          </w:p>
          <w:p>
            <w:pPr>
              <w:pStyle w:val="33"/>
              <w:spacing w:before="42" w:line="314" w:lineRule="auto"/>
              <w:ind w:left="102" w:right="31"/>
              <w:rPr>
                <w:rFonts w:hint="eastAsia" w:eastAsia="宋体"/>
                <w:sz w:val="21"/>
                <w:lang w:eastAsia="zh-CN"/>
              </w:rPr>
            </w:pPr>
            <w:r>
              <w:rPr>
                <w:rFonts w:hint="eastAsia"/>
                <w:sz w:val="21"/>
                <w:lang w:eastAsia="zh-CN"/>
              </w:rPr>
              <w:t>项目编号：GLZC20</w:t>
            </w:r>
            <w:r>
              <w:rPr>
                <w:rFonts w:hint="eastAsia"/>
                <w:sz w:val="21"/>
                <w:lang w:val="en-US" w:eastAsia="zh-CN"/>
              </w:rPr>
              <w:t>20</w:t>
            </w:r>
            <w:r>
              <w:rPr>
                <w:rFonts w:hint="eastAsia"/>
                <w:sz w:val="21"/>
                <w:lang w:eastAsia="zh-CN"/>
              </w:rPr>
              <w:t>-G2-11</w:t>
            </w:r>
            <w:r>
              <w:rPr>
                <w:rFonts w:hint="eastAsia"/>
                <w:sz w:val="21"/>
                <w:lang w:val="en-US" w:eastAsia="zh-CN"/>
              </w:rPr>
              <w:t>019</w:t>
            </w:r>
            <w:r>
              <w:rPr>
                <w:rFonts w:hint="eastAsia"/>
                <w:sz w:val="21"/>
                <w:lang w:eastAsia="zh-CN"/>
              </w:rPr>
              <w:t>-</w:t>
            </w:r>
            <w:r>
              <w:rPr>
                <w:rFonts w:hint="eastAsia"/>
                <w:sz w:val="21"/>
                <w:lang w:val="en-US" w:eastAsia="zh-CN"/>
              </w:rPr>
              <w:t>SHZH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05" w:type="dxa"/>
          </w:tcPr>
          <w:p>
            <w:pPr>
              <w:pStyle w:val="33"/>
              <w:spacing w:before="42"/>
              <w:ind w:left="336"/>
              <w:rPr>
                <w:sz w:val="21"/>
              </w:rPr>
            </w:pPr>
            <w:r>
              <w:rPr>
                <w:sz w:val="21"/>
              </w:rPr>
              <w:t>1.1.5</w:t>
            </w:r>
          </w:p>
        </w:tc>
        <w:tc>
          <w:tcPr>
            <w:tcW w:w="3039" w:type="dxa"/>
          </w:tcPr>
          <w:p>
            <w:pPr>
              <w:pStyle w:val="33"/>
              <w:spacing w:before="42"/>
              <w:ind w:left="102"/>
              <w:rPr>
                <w:sz w:val="21"/>
              </w:rPr>
            </w:pPr>
            <w:r>
              <w:rPr>
                <w:sz w:val="21"/>
              </w:rPr>
              <w:t>建设地点</w:t>
            </w:r>
          </w:p>
        </w:tc>
        <w:tc>
          <w:tcPr>
            <w:tcW w:w="5413" w:type="dxa"/>
          </w:tcPr>
          <w:p>
            <w:pPr>
              <w:pStyle w:val="33"/>
              <w:spacing w:before="42"/>
              <w:ind w:left="102"/>
              <w:rPr>
                <w:sz w:val="21"/>
              </w:rPr>
            </w:pPr>
            <w:r>
              <w:rPr>
                <w:sz w:val="21"/>
              </w:rPr>
              <w:t>桂林市兴安县境内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5" w:type="dxa"/>
          </w:tcPr>
          <w:p>
            <w:pPr>
              <w:pStyle w:val="33"/>
              <w:spacing w:before="42"/>
              <w:ind w:left="336"/>
              <w:rPr>
                <w:sz w:val="21"/>
              </w:rPr>
            </w:pPr>
            <w:r>
              <w:rPr>
                <w:sz w:val="21"/>
              </w:rPr>
              <w:t>1.2.1</w:t>
            </w:r>
          </w:p>
        </w:tc>
        <w:tc>
          <w:tcPr>
            <w:tcW w:w="3039" w:type="dxa"/>
          </w:tcPr>
          <w:p>
            <w:pPr>
              <w:pStyle w:val="33"/>
              <w:spacing w:before="42"/>
              <w:ind w:left="102"/>
              <w:rPr>
                <w:sz w:val="21"/>
              </w:rPr>
            </w:pPr>
            <w:r>
              <w:rPr>
                <w:sz w:val="21"/>
              </w:rPr>
              <w:t>资金来源</w:t>
            </w:r>
          </w:p>
        </w:tc>
        <w:tc>
          <w:tcPr>
            <w:tcW w:w="5413" w:type="dxa"/>
          </w:tcPr>
          <w:p>
            <w:pPr>
              <w:pStyle w:val="36"/>
              <w:wordWrap w:val="0"/>
              <w:topLinePunct/>
              <w:spacing w:line="360" w:lineRule="auto"/>
              <w:ind w:firstLine="480"/>
              <w:rPr>
                <w:sz w:val="21"/>
              </w:rPr>
            </w:pPr>
            <w:r>
              <w:rPr>
                <w:sz w:val="21"/>
              </w:rPr>
              <w:t>财政资金</w:t>
            </w:r>
            <w:r>
              <w:rPr>
                <w:rFonts w:hint="eastAsia"/>
                <w:sz w:val="21"/>
                <w:lang w:eastAsia="zh-CN"/>
              </w:rPr>
              <w:t>（或</w:t>
            </w:r>
            <w:r>
              <w:rPr>
                <w:rFonts w:hint="eastAsia" w:hAnsi="宋体"/>
                <w:bCs/>
                <w:sz w:val="21"/>
                <w:szCs w:val="21"/>
                <w:highlight w:val="none"/>
                <w:u w:val="none"/>
                <w:lang w:eastAsia="zh-CN"/>
              </w:rPr>
              <w:t>石方款冲抵，冲抵后不足部分兴安县财政补差，冲抵后多出部分归兴安县财政</w:t>
            </w:r>
            <w:r>
              <w:rPr>
                <w:rFonts w:hint="eastAsia"/>
                <w:sz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5" w:type="dxa"/>
          </w:tcPr>
          <w:p>
            <w:pPr>
              <w:pStyle w:val="33"/>
              <w:spacing w:before="45"/>
              <w:ind w:left="336"/>
              <w:rPr>
                <w:sz w:val="21"/>
              </w:rPr>
            </w:pPr>
            <w:r>
              <w:rPr>
                <w:sz w:val="21"/>
              </w:rPr>
              <w:t>1.2.2</w:t>
            </w:r>
          </w:p>
        </w:tc>
        <w:tc>
          <w:tcPr>
            <w:tcW w:w="3039" w:type="dxa"/>
          </w:tcPr>
          <w:p>
            <w:pPr>
              <w:pStyle w:val="33"/>
              <w:spacing w:before="45"/>
              <w:ind w:left="102"/>
              <w:rPr>
                <w:sz w:val="21"/>
              </w:rPr>
            </w:pPr>
            <w:r>
              <w:rPr>
                <w:sz w:val="21"/>
              </w:rPr>
              <w:t>出资比例</w:t>
            </w:r>
          </w:p>
        </w:tc>
        <w:tc>
          <w:tcPr>
            <w:tcW w:w="5413" w:type="dxa"/>
          </w:tcPr>
          <w:p>
            <w:pPr>
              <w:pStyle w:val="33"/>
              <w:spacing w:before="45"/>
              <w:ind w:left="102"/>
              <w:rPr>
                <w:sz w:val="21"/>
              </w:rPr>
            </w:pPr>
            <w:r>
              <w:rPr>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5" w:type="dxa"/>
          </w:tcPr>
          <w:p>
            <w:pPr>
              <w:pStyle w:val="33"/>
              <w:spacing w:before="42"/>
              <w:ind w:left="336"/>
              <w:rPr>
                <w:sz w:val="21"/>
              </w:rPr>
            </w:pPr>
            <w:r>
              <w:rPr>
                <w:sz w:val="21"/>
              </w:rPr>
              <w:t>1.2.3</w:t>
            </w:r>
          </w:p>
        </w:tc>
        <w:tc>
          <w:tcPr>
            <w:tcW w:w="3039" w:type="dxa"/>
          </w:tcPr>
          <w:p>
            <w:pPr>
              <w:pStyle w:val="33"/>
              <w:spacing w:before="42"/>
              <w:ind w:left="102"/>
              <w:rPr>
                <w:sz w:val="21"/>
              </w:rPr>
            </w:pPr>
            <w:r>
              <w:rPr>
                <w:sz w:val="21"/>
              </w:rPr>
              <w:t>资金落实情况</w:t>
            </w:r>
          </w:p>
        </w:tc>
        <w:tc>
          <w:tcPr>
            <w:tcW w:w="5413" w:type="dxa"/>
          </w:tcPr>
          <w:p>
            <w:pPr>
              <w:pStyle w:val="33"/>
              <w:spacing w:before="42"/>
              <w:ind w:left="102"/>
              <w:rPr>
                <w:sz w:val="21"/>
              </w:rPr>
            </w:pPr>
            <w:r>
              <w:rPr>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05" w:type="dxa"/>
          </w:tcPr>
          <w:p>
            <w:pPr>
              <w:pStyle w:val="33"/>
              <w:spacing w:before="42"/>
              <w:ind w:left="336"/>
              <w:rPr>
                <w:sz w:val="21"/>
              </w:rPr>
            </w:pPr>
            <w:r>
              <w:rPr>
                <w:sz w:val="21"/>
              </w:rPr>
              <w:t>1.2.4</w:t>
            </w:r>
          </w:p>
        </w:tc>
        <w:tc>
          <w:tcPr>
            <w:tcW w:w="3039" w:type="dxa"/>
          </w:tcPr>
          <w:p>
            <w:pPr>
              <w:pStyle w:val="33"/>
              <w:spacing w:before="42"/>
              <w:ind w:left="102"/>
              <w:rPr>
                <w:sz w:val="21"/>
              </w:rPr>
            </w:pPr>
            <w:r>
              <w:rPr>
                <w:sz w:val="21"/>
              </w:rPr>
              <w:t>本工程增值税计税方法</w:t>
            </w:r>
          </w:p>
        </w:tc>
        <w:tc>
          <w:tcPr>
            <w:tcW w:w="5413" w:type="dxa"/>
          </w:tcPr>
          <w:p>
            <w:pPr>
              <w:pStyle w:val="33"/>
              <w:spacing w:before="42"/>
              <w:ind w:left="102"/>
              <w:rPr>
                <w:sz w:val="21"/>
              </w:rPr>
            </w:pPr>
            <w:r>
              <w:rPr>
                <w:sz w:val="21"/>
              </w:rPr>
              <w:t>一般计税法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1205" w:type="dxa"/>
          </w:tcPr>
          <w:p>
            <w:pPr>
              <w:pStyle w:val="33"/>
              <w:spacing w:before="43"/>
              <w:ind w:left="336"/>
              <w:rPr>
                <w:sz w:val="21"/>
              </w:rPr>
            </w:pPr>
            <w:r>
              <w:rPr>
                <w:sz w:val="21"/>
              </w:rPr>
              <w:t>1.3.1</w:t>
            </w:r>
          </w:p>
        </w:tc>
        <w:tc>
          <w:tcPr>
            <w:tcW w:w="3039" w:type="dxa"/>
          </w:tcPr>
          <w:p>
            <w:pPr>
              <w:pStyle w:val="33"/>
              <w:tabs>
                <w:tab w:val="left" w:pos="945"/>
              </w:tabs>
              <w:spacing w:before="43"/>
              <w:ind w:left="102"/>
              <w:rPr>
                <w:sz w:val="21"/>
              </w:rPr>
            </w:pPr>
            <w:r>
              <w:rPr>
                <w:sz w:val="21"/>
              </w:rPr>
              <w:t>招标范围</w:t>
            </w:r>
          </w:p>
        </w:tc>
        <w:tc>
          <w:tcPr>
            <w:tcW w:w="5413" w:type="dxa"/>
          </w:tcPr>
          <w:p>
            <w:pPr>
              <w:pStyle w:val="33"/>
              <w:spacing w:line="360" w:lineRule="exact"/>
              <w:ind w:left="102" w:right="96"/>
              <w:jc w:val="both"/>
              <w:rPr>
                <w:sz w:val="21"/>
              </w:rPr>
            </w:pPr>
            <w:r>
              <w:rPr>
                <w:spacing w:val="1"/>
                <w:sz w:val="21"/>
              </w:rPr>
              <w:t>工程内容包括施工图范围内土地平整工程、农田水利工</w:t>
            </w:r>
            <w:r>
              <w:rPr>
                <w:spacing w:val="-9"/>
                <w:sz w:val="21"/>
              </w:rPr>
              <w:t>程、田间道路工程施工内容，具体施工内容详见图纸及工</w:t>
            </w:r>
            <w:r>
              <w:rPr>
                <w:spacing w:val="-5"/>
                <w:sz w:val="21"/>
              </w:rPr>
              <w:t>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5" w:type="dxa"/>
          </w:tcPr>
          <w:p>
            <w:pPr>
              <w:pStyle w:val="33"/>
              <w:spacing w:before="42"/>
              <w:ind w:left="336"/>
              <w:rPr>
                <w:sz w:val="21"/>
              </w:rPr>
            </w:pPr>
            <w:r>
              <w:rPr>
                <w:sz w:val="21"/>
              </w:rPr>
              <w:t>1.3.2</w:t>
            </w:r>
          </w:p>
        </w:tc>
        <w:tc>
          <w:tcPr>
            <w:tcW w:w="3039" w:type="dxa"/>
          </w:tcPr>
          <w:p>
            <w:pPr>
              <w:pStyle w:val="33"/>
              <w:spacing w:before="42"/>
              <w:ind w:left="102"/>
              <w:rPr>
                <w:sz w:val="21"/>
              </w:rPr>
            </w:pPr>
            <w:r>
              <w:rPr>
                <w:sz w:val="21"/>
              </w:rPr>
              <w:t>要求工期</w:t>
            </w:r>
          </w:p>
        </w:tc>
        <w:tc>
          <w:tcPr>
            <w:tcW w:w="5413" w:type="dxa"/>
          </w:tcPr>
          <w:p>
            <w:pPr>
              <w:pStyle w:val="33"/>
              <w:spacing w:before="42"/>
              <w:ind w:left="102"/>
              <w:rPr>
                <w:sz w:val="21"/>
              </w:rPr>
            </w:pPr>
            <w:r>
              <w:rPr>
                <w:rFonts w:hint="eastAsia"/>
                <w:sz w:val="21"/>
                <w:lang w:val="en-US" w:eastAsia="zh-CN"/>
              </w:rPr>
              <w:t>300</w:t>
            </w:r>
            <w:r>
              <w:rPr>
                <w:sz w:val="21"/>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5" w:type="dxa"/>
          </w:tcPr>
          <w:p>
            <w:pPr>
              <w:pStyle w:val="33"/>
              <w:spacing w:before="42"/>
              <w:ind w:left="336"/>
              <w:rPr>
                <w:sz w:val="21"/>
              </w:rPr>
            </w:pPr>
            <w:r>
              <w:rPr>
                <w:sz w:val="21"/>
              </w:rPr>
              <w:t>1.3.3</w:t>
            </w:r>
          </w:p>
        </w:tc>
        <w:tc>
          <w:tcPr>
            <w:tcW w:w="3039" w:type="dxa"/>
          </w:tcPr>
          <w:p>
            <w:pPr>
              <w:pStyle w:val="33"/>
              <w:spacing w:before="42"/>
              <w:ind w:left="102"/>
              <w:rPr>
                <w:sz w:val="21"/>
              </w:rPr>
            </w:pPr>
            <w:r>
              <w:rPr>
                <w:sz w:val="21"/>
              </w:rPr>
              <w:t>质量要求</w:t>
            </w:r>
          </w:p>
        </w:tc>
        <w:tc>
          <w:tcPr>
            <w:tcW w:w="5413" w:type="dxa"/>
          </w:tcPr>
          <w:p>
            <w:pPr>
              <w:pStyle w:val="33"/>
              <w:spacing w:before="42"/>
              <w:ind w:left="102"/>
              <w:rPr>
                <w:sz w:val="21"/>
              </w:rPr>
            </w:pPr>
            <w:r>
              <w:rPr>
                <w:color w:val="333333"/>
                <w:sz w:val="21"/>
              </w:rPr>
              <w:t>达到国家施工验收规范合格标准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0" w:hRule="atLeast"/>
        </w:trPr>
        <w:tc>
          <w:tcPr>
            <w:tcW w:w="1205" w:type="dxa"/>
          </w:tcPr>
          <w:p>
            <w:pPr>
              <w:pStyle w:val="33"/>
              <w:spacing w:before="42"/>
              <w:ind w:left="336"/>
              <w:rPr>
                <w:sz w:val="21"/>
              </w:rPr>
            </w:pPr>
            <w:r>
              <w:rPr>
                <w:sz w:val="21"/>
              </w:rPr>
              <w:t>1.4.1</w:t>
            </w:r>
          </w:p>
        </w:tc>
        <w:tc>
          <w:tcPr>
            <w:tcW w:w="3039" w:type="dxa"/>
            <w:vAlign w:val="center"/>
          </w:tcPr>
          <w:p>
            <w:pPr>
              <w:pStyle w:val="33"/>
              <w:spacing w:before="42"/>
              <w:ind w:left="102"/>
              <w:jc w:val="both"/>
              <w:rPr>
                <w:sz w:val="21"/>
              </w:rPr>
            </w:pPr>
            <w:r>
              <w:rPr>
                <w:sz w:val="21"/>
              </w:rPr>
              <w:t>投标人资质条件</w:t>
            </w:r>
          </w:p>
        </w:tc>
        <w:tc>
          <w:tcPr>
            <w:tcW w:w="5413" w:type="dxa"/>
          </w:tcPr>
          <w:p>
            <w:pPr>
              <w:pStyle w:val="33"/>
              <w:keepNext w:val="0"/>
              <w:keepLines w:val="0"/>
              <w:pageBreakBefore w:val="0"/>
              <w:kinsoku/>
              <w:wordWrap/>
              <w:overflowPunct/>
              <w:topLinePunct w:val="0"/>
              <w:autoSpaceDE w:val="0"/>
              <w:autoSpaceDN w:val="0"/>
              <w:bidi w:val="0"/>
              <w:adjustRightInd/>
              <w:snapToGrid/>
              <w:spacing w:before="42" w:line="400" w:lineRule="exact"/>
              <w:ind w:left="102" w:right="63"/>
              <w:textAlignment w:val="auto"/>
              <w:rPr>
                <w:b/>
                <w:sz w:val="16"/>
              </w:rPr>
            </w:pPr>
            <w:r>
              <w:rPr>
                <w:sz w:val="21"/>
              </w:rPr>
              <w:t>1</w:t>
            </w:r>
            <w:r>
              <w:rPr>
                <w:spacing w:val="-16"/>
                <w:sz w:val="21"/>
              </w:rPr>
              <w:t>、资质条件：同时具备水利水电工程施工总承包三级</w:t>
            </w:r>
            <w:r>
              <w:rPr>
                <w:sz w:val="21"/>
              </w:rPr>
              <w:t xml:space="preserve">（含以上级）和公路工程施工总承包三级（含以上级）资质， </w:t>
            </w:r>
            <w:r>
              <w:rPr>
                <w:spacing w:val="-16"/>
                <w:sz w:val="21"/>
              </w:rPr>
              <w:t>并在人员、设备、资金、业绩等方面具有相应的施工能力。</w:t>
            </w:r>
          </w:p>
          <w:p>
            <w:pPr>
              <w:pStyle w:val="33"/>
              <w:keepNext w:val="0"/>
              <w:keepLines w:val="0"/>
              <w:pageBreakBefore w:val="0"/>
              <w:widowControl w:val="0"/>
              <w:kinsoku/>
              <w:wordWrap/>
              <w:overflowPunct/>
              <w:topLinePunct w:val="0"/>
              <w:autoSpaceDE w:val="0"/>
              <w:autoSpaceDN w:val="0"/>
              <w:bidi w:val="0"/>
              <w:adjustRightInd/>
              <w:snapToGrid/>
              <w:spacing w:line="400" w:lineRule="exact"/>
              <w:ind w:left="102" w:right="102"/>
              <w:jc w:val="both"/>
              <w:textAlignment w:val="auto"/>
              <w:rPr>
                <w:color w:val="auto"/>
                <w:sz w:val="21"/>
              </w:rPr>
            </w:pPr>
            <w:r>
              <w:rPr>
                <w:sz w:val="21"/>
              </w:rPr>
              <w:t>2</w:t>
            </w:r>
            <w:r>
              <w:rPr>
                <w:spacing w:val="-11"/>
                <w:sz w:val="21"/>
              </w:rPr>
              <w:t>、财务要求：财务状况良好,累计亏损额不超过本单位注</w:t>
            </w:r>
            <w:r>
              <w:rPr>
                <w:spacing w:val="-16"/>
                <w:sz w:val="21"/>
              </w:rPr>
              <w:t>册资金</w:t>
            </w:r>
            <w:r>
              <w:rPr>
                <w:sz w:val="21"/>
              </w:rPr>
              <w:t>（新设立的企业除外</w:t>
            </w:r>
            <w:r>
              <w:rPr>
                <w:spacing w:val="-26"/>
                <w:sz w:val="21"/>
              </w:rPr>
              <w:t>）</w:t>
            </w:r>
            <w:r>
              <w:rPr>
                <w:spacing w:val="-7"/>
                <w:sz w:val="21"/>
              </w:rPr>
              <w:t>，没有处于财产被接管、破产或其他关、</w:t>
            </w:r>
            <w:r>
              <w:rPr>
                <w:color w:val="auto"/>
                <w:spacing w:val="-7"/>
                <w:sz w:val="21"/>
              </w:rPr>
              <w:t>停、并、转状况。</w:t>
            </w:r>
          </w:p>
          <w:p>
            <w:pPr>
              <w:keepNext w:val="0"/>
              <w:keepLines w:val="0"/>
              <w:pageBreakBefore w:val="0"/>
              <w:widowControl/>
              <w:suppressLineNumbers w:val="0"/>
              <w:kinsoku/>
              <w:wordWrap/>
              <w:overflowPunct/>
              <w:topLinePunct w:val="0"/>
              <w:autoSpaceDE w:val="0"/>
              <w:autoSpaceDN w:val="0"/>
              <w:bidi w:val="0"/>
              <w:adjustRightInd/>
              <w:snapToGrid/>
              <w:spacing w:line="400" w:lineRule="exact"/>
              <w:jc w:val="left"/>
              <w:textAlignment w:val="auto"/>
              <w:rPr>
                <w:sz w:val="21"/>
              </w:rPr>
            </w:pPr>
            <w:r>
              <w:rPr>
                <w:color w:val="auto"/>
                <w:sz w:val="21"/>
              </w:rPr>
              <w:t>3、信誉要求：①</w:t>
            </w:r>
            <w:r>
              <w:rPr>
                <w:rFonts w:hint="eastAsia" w:ascii="宋体" w:hAnsi="宋体" w:eastAsia="宋体" w:cs="宋体"/>
                <w:color w:val="auto"/>
                <w:sz w:val="21"/>
                <w:szCs w:val="21"/>
                <w:lang w:val="en-US" w:eastAsia="zh-CN" w:bidi="ar-SA"/>
              </w:rPr>
              <w:t>本项目不接受在2017-2019年度广西土地整治项目参建单位信用评为D级的参建单位。本项目不接受有在建、已中标未开工或已列为其他项目中标候选人第一名的建造师作为项目经理（符合桂建管 【2013】17 号文除外）</w:t>
            </w:r>
            <w:r>
              <w:rPr>
                <w:rFonts w:hint="eastAsia" w:cs="宋体"/>
                <w:color w:val="auto"/>
                <w:sz w:val="21"/>
                <w:szCs w:val="21"/>
                <w:lang w:val="en-US" w:eastAsia="zh-CN" w:bidi="ar-SA"/>
              </w:rPr>
              <w:t>。</w:t>
            </w:r>
          </w:p>
        </w:tc>
      </w:tr>
    </w:tbl>
    <w:p>
      <w:pPr>
        <w:spacing w:after="0" w:line="360" w:lineRule="atLeast"/>
        <w:jc w:val="both"/>
        <w:rPr>
          <w:sz w:val="21"/>
        </w:rPr>
        <w:sectPr>
          <w:pgSz w:w="11910" w:h="16840"/>
          <w:pgMar w:top="1580" w:right="1000" w:bottom="1180" w:left="1000" w:header="0" w:footer="920" w:gutter="0"/>
        </w:sectPr>
      </w:pPr>
    </w:p>
    <w:tbl>
      <w:tblPr>
        <w:tblStyle w:val="17"/>
        <w:tblW w:w="9657"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1"/>
        <w:gridCol w:w="204"/>
        <w:gridCol w:w="996"/>
        <w:gridCol w:w="502"/>
        <w:gridCol w:w="1287"/>
        <w:gridCol w:w="5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1205" w:type="dxa"/>
            <w:gridSpan w:val="2"/>
          </w:tcPr>
          <w:p>
            <w:pPr>
              <w:pStyle w:val="33"/>
              <w:rPr>
                <w:rFonts w:ascii="Times New Roman"/>
                <w:sz w:val="20"/>
              </w:rPr>
            </w:pPr>
          </w:p>
        </w:tc>
        <w:tc>
          <w:tcPr>
            <w:tcW w:w="2785" w:type="dxa"/>
            <w:gridSpan w:val="3"/>
          </w:tcPr>
          <w:p>
            <w:pPr>
              <w:pStyle w:val="33"/>
              <w:rPr>
                <w:rFonts w:ascii="Times New Roman"/>
                <w:sz w:val="20"/>
              </w:rPr>
            </w:pPr>
          </w:p>
        </w:tc>
        <w:tc>
          <w:tcPr>
            <w:tcW w:w="5667" w:type="dxa"/>
          </w:tcPr>
          <w:p>
            <w:pPr>
              <w:pStyle w:val="33"/>
              <w:keepNext w:val="0"/>
              <w:keepLines w:val="0"/>
              <w:pageBreakBefore w:val="0"/>
              <w:widowControl w:val="0"/>
              <w:kinsoku/>
              <w:wordWrap/>
              <w:overflowPunct/>
              <w:topLinePunct w:val="0"/>
              <w:autoSpaceDE w:val="0"/>
              <w:autoSpaceDN w:val="0"/>
              <w:bidi w:val="0"/>
              <w:adjustRightInd/>
              <w:snapToGrid/>
              <w:spacing w:line="400" w:lineRule="exact"/>
              <w:ind w:left="102" w:right="104"/>
              <w:jc w:val="both"/>
              <w:textAlignment w:val="auto"/>
              <w:rPr>
                <w:sz w:val="21"/>
              </w:rPr>
            </w:pPr>
            <w:r>
              <w:rPr>
                <w:spacing w:val="-9"/>
                <w:sz w:val="21"/>
              </w:rPr>
              <w:t>②对在“信用中国”网站(</w:t>
            </w:r>
            <w:r>
              <w:rPr>
                <w:sz w:val="21"/>
              </w:rPr>
              <w:t>www.creditchina.gov.cn</w:t>
            </w:r>
            <w:r>
              <w:rPr>
                <w:spacing w:val="-23"/>
                <w:sz w:val="21"/>
              </w:rPr>
              <w:t>)、中</w:t>
            </w:r>
            <w:r>
              <w:rPr>
                <w:sz w:val="21"/>
              </w:rPr>
              <w:t>国政府采购网(www.ccgp.gov.cn)等渠道列入失信被执行</w:t>
            </w:r>
            <w:r>
              <w:rPr>
                <w:spacing w:val="-11"/>
                <w:sz w:val="21"/>
              </w:rPr>
              <w:t>人、重大税收违法案件当事人名单、政府采购严重违法失</w:t>
            </w:r>
            <w:r>
              <w:rPr>
                <w:spacing w:val="-16"/>
                <w:sz w:val="21"/>
              </w:rPr>
              <w:t>信行为记录名单及其他不符合《中华人民共和国政府采购</w:t>
            </w:r>
            <w:r>
              <w:rPr>
                <w:spacing w:val="-12"/>
                <w:sz w:val="21"/>
              </w:rPr>
              <w:t>法》第二十二条规定条件的投标人，不得参与政府采购活动。</w:t>
            </w:r>
          </w:p>
          <w:p>
            <w:pPr>
              <w:pStyle w:val="33"/>
              <w:keepNext w:val="0"/>
              <w:keepLines w:val="0"/>
              <w:pageBreakBefore w:val="0"/>
              <w:widowControl w:val="0"/>
              <w:kinsoku/>
              <w:wordWrap/>
              <w:overflowPunct/>
              <w:topLinePunct w:val="0"/>
              <w:autoSpaceDE w:val="0"/>
              <w:autoSpaceDN w:val="0"/>
              <w:bidi w:val="0"/>
              <w:adjustRightInd/>
              <w:snapToGrid/>
              <w:spacing w:line="400" w:lineRule="exact"/>
              <w:ind w:left="102" w:right="79"/>
              <w:textAlignment w:val="auto"/>
              <w:rPr>
                <w:sz w:val="21"/>
              </w:rPr>
            </w:pPr>
            <w:r>
              <w:rPr>
                <w:sz w:val="21"/>
              </w:rPr>
              <w:t>4、项目经理资格：投标人拟投入的项目经理须具备水利</w:t>
            </w:r>
            <w:r>
              <w:rPr>
                <w:spacing w:val="-5"/>
                <w:sz w:val="21"/>
              </w:rPr>
              <w:t>水电工程专业二级</w:t>
            </w:r>
            <w:r>
              <w:rPr>
                <w:sz w:val="21"/>
              </w:rPr>
              <w:t>（含以上级</w:t>
            </w:r>
            <w:r>
              <w:rPr>
                <w:spacing w:val="-34"/>
                <w:sz w:val="21"/>
              </w:rPr>
              <w:t>）</w:t>
            </w:r>
            <w:r>
              <w:rPr>
                <w:spacing w:val="-4"/>
                <w:sz w:val="21"/>
              </w:rPr>
              <w:t>或公路工程专业二级</w:t>
            </w:r>
            <w:r>
              <w:rPr>
                <w:sz w:val="21"/>
              </w:rPr>
              <w:t>（含以上级</w:t>
            </w:r>
            <w:r>
              <w:rPr>
                <w:spacing w:val="-51"/>
                <w:sz w:val="21"/>
              </w:rPr>
              <w:t>）</w:t>
            </w:r>
            <w:r>
              <w:rPr>
                <w:spacing w:val="-6"/>
                <w:sz w:val="21"/>
              </w:rPr>
              <w:t>注册建造师执业资格，具备有效的安全生产考核</w:t>
            </w:r>
            <w:r>
              <w:rPr>
                <w:spacing w:val="-8"/>
                <w:sz w:val="21"/>
              </w:rPr>
              <w:t>合格证书</w:t>
            </w:r>
            <w:r>
              <w:rPr>
                <w:sz w:val="21"/>
              </w:rPr>
              <w:t>（B</w:t>
            </w:r>
            <w:r>
              <w:rPr>
                <w:spacing w:val="-9"/>
                <w:sz w:val="21"/>
              </w:rPr>
              <w:t xml:space="preserve"> 类</w:t>
            </w:r>
            <w:r>
              <w:rPr>
                <w:spacing w:val="-13"/>
                <w:sz w:val="21"/>
              </w:rPr>
              <w:t>）</w:t>
            </w:r>
            <w:r>
              <w:rPr>
                <w:spacing w:val="-4"/>
                <w:sz w:val="21"/>
              </w:rPr>
              <w:t>。本项目不接受有其他在建、已中标未开工或已列为其他项目中标候选人第一名的建造师作为项目经理（符合桂建管【2013】17 号文除外</w:t>
            </w:r>
            <w:r>
              <w:rPr>
                <w:sz w:val="21"/>
              </w:rPr>
              <w:t>）。</w:t>
            </w:r>
          </w:p>
          <w:p>
            <w:pPr>
              <w:pStyle w:val="33"/>
              <w:keepNext w:val="0"/>
              <w:keepLines w:val="0"/>
              <w:pageBreakBefore w:val="0"/>
              <w:widowControl w:val="0"/>
              <w:kinsoku/>
              <w:wordWrap/>
              <w:overflowPunct/>
              <w:topLinePunct w:val="0"/>
              <w:autoSpaceDE w:val="0"/>
              <w:autoSpaceDN w:val="0"/>
              <w:bidi w:val="0"/>
              <w:adjustRightInd/>
              <w:snapToGrid/>
              <w:spacing w:line="400" w:lineRule="exact"/>
              <w:ind w:left="102"/>
              <w:jc w:val="both"/>
              <w:textAlignment w:val="auto"/>
              <w:rPr>
                <w:sz w:val="21"/>
              </w:rPr>
            </w:pPr>
            <w:r>
              <w:rPr>
                <w:sz w:val="21"/>
              </w:rPr>
              <w:t>5、其他要求：</w:t>
            </w:r>
          </w:p>
          <w:p>
            <w:pPr>
              <w:pStyle w:val="33"/>
              <w:keepNext w:val="0"/>
              <w:keepLines w:val="0"/>
              <w:pageBreakBefore w:val="0"/>
              <w:widowControl w:val="0"/>
              <w:kinsoku/>
              <w:wordWrap/>
              <w:overflowPunct/>
              <w:topLinePunct w:val="0"/>
              <w:autoSpaceDE w:val="0"/>
              <w:autoSpaceDN w:val="0"/>
              <w:bidi w:val="0"/>
              <w:adjustRightInd/>
              <w:snapToGrid/>
              <w:spacing w:line="400" w:lineRule="exact"/>
              <w:ind w:left="102" w:right="102"/>
              <w:jc w:val="both"/>
              <w:textAlignment w:val="auto"/>
              <w:rPr>
                <w:rFonts w:hint="eastAsia" w:eastAsia="宋体"/>
                <w:sz w:val="21"/>
                <w:lang w:eastAsia="zh-CN"/>
              </w:rPr>
            </w:pPr>
            <w:r>
              <w:rPr>
                <w:spacing w:val="-17"/>
                <w:sz w:val="21"/>
              </w:rPr>
              <w:t>（1）</w:t>
            </w:r>
            <w:r>
              <w:rPr>
                <w:spacing w:val="-3"/>
                <w:sz w:val="21"/>
              </w:rPr>
              <w:t>专职安全员须具备有效的安全生产考核合格证书</w:t>
            </w:r>
            <w:r>
              <w:rPr>
                <w:sz w:val="21"/>
              </w:rPr>
              <w:t>（C 类</w:t>
            </w:r>
            <w:r>
              <w:rPr>
                <w:spacing w:val="-34"/>
                <w:sz w:val="21"/>
              </w:rPr>
              <w:t>），</w:t>
            </w:r>
            <w:r>
              <w:rPr>
                <w:spacing w:val="-3"/>
                <w:sz w:val="21"/>
              </w:rPr>
              <w:t>人数符合住房和城乡建设部《建筑施工企业安全生</w:t>
            </w:r>
            <w:r>
              <w:rPr>
                <w:spacing w:val="-8"/>
                <w:sz w:val="21"/>
              </w:rPr>
              <w:t>产管理机构设置及专职安全生产管理人员配备办法》</w:t>
            </w:r>
            <w:r>
              <w:rPr>
                <w:sz w:val="21"/>
              </w:rPr>
              <w:t>（建质〔2008〕91</w:t>
            </w:r>
            <w:r>
              <w:rPr>
                <w:spacing w:val="-22"/>
                <w:sz w:val="21"/>
              </w:rPr>
              <w:t xml:space="preserve"> 号</w:t>
            </w:r>
            <w:r>
              <w:rPr>
                <w:sz w:val="21"/>
              </w:rPr>
              <w:t>）</w:t>
            </w:r>
            <w:r>
              <w:rPr>
                <w:spacing w:val="-7"/>
                <w:sz w:val="21"/>
              </w:rPr>
              <w:t xml:space="preserve">的规定不少于 </w:t>
            </w:r>
            <w:r>
              <w:rPr>
                <w:sz w:val="21"/>
              </w:rPr>
              <w:t>1</w:t>
            </w:r>
            <w:r>
              <w:rPr>
                <w:spacing w:val="-14"/>
                <w:sz w:val="21"/>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205" w:type="dxa"/>
            <w:gridSpan w:val="2"/>
          </w:tcPr>
          <w:p>
            <w:pPr>
              <w:pStyle w:val="33"/>
              <w:spacing w:before="42"/>
              <w:ind w:right="328"/>
              <w:jc w:val="right"/>
              <w:rPr>
                <w:sz w:val="21"/>
              </w:rPr>
            </w:pPr>
            <w:r>
              <w:rPr>
                <w:sz w:val="21"/>
              </w:rPr>
              <w:t>1.4.2</w:t>
            </w:r>
          </w:p>
        </w:tc>
        <w:tc>
          <w:tcPr>
            <w:tcW w:w="2785" w:type="dxa"/>
            <w:gridSpan w:val="3"/>
          </w:tcPr>
          <w:p>
            <w:pPr>
              <w:pStyle w:val="33"/>
              <w:spacing w:before="42"/>
              <w:ind w:left="102"/>
              <w:rPr>
                <w:sz w:val="21"/>
              </w:rPr>
            </w:pPr>
            <w:r>
              <w:rPr>
                <w:sz w:val="21"/>
              </w:rPr>
              <w:t>是否接受联合体投标</w:t>
            </w:r>
          </w:p>
        </w:tc>
        <w:tc>
          <w:tcPr>
            <w:tcW w:w="5667" w:type="dxa"/>
          </w:tcPr>
          <w:p>
            <w:pPr>
              <w:pStyle w:val="33"/>
              <w:spacing w:before="42"/>
              <w:ind w:left="102"/>
              <w:rPr>
                <w:sz w:val="21"/>
              </w:rPr>
            </w:pPr>
            <w:r>
              <w:rPr>
                <w:rFonts w:hint="eastAsia" w:ascii="MS UI Gothic" w:hAnsi="MS UI Gothic" w:eastAsia="MS UI Gothic"/>
                <w:sz w:val="21"/>
              </w:rPr>
              <w:t>☑</w:t>
            </w:r>
            <w:r>
              <w:rPr>
                <w:sz w:val="21"/>
              </w:rPr>
              <w:t>不接受</w:t>
            </w:r>
          </w:p>
          <w:p>
            <w:pPr>
              <w:pStyle w:val="33"/>
              <w:spacing w:before="84"/>
              <w:ind w:left="102"/>
              <w:rPr>
                <w:sz w:val="21"/>
              </w:rPr>
            </w:pPr>
            <w:r>
              <w:rPr>
                <w:sz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205" w:type="dxa"/>
            <w:gridSpan w:val="2"/>
          </w:tcPr>
          <w:p>
            <w:pPr>
              <w:pStyle w:val="33"/>
              <w:spacing w:before="45"/>
              <w:ind w:right="328"/>
              <w:jc w:val="right"/>
              <w:rPr>
                <w:sz w:val="21"/>
              </w:rPr>
            </w:pPr>
            <w:r>
              <w:rPr>
                <w:sz w:val="21"/>
              </w:rPr>
              <w:t>1.9.1</w:t>
            </w:r>
          </w:p>
        </w:tc>
        <w:tc>
          <w:tcPr>
            <w:tcW w:w="2785" w:type="dxa"/>
            <w:gridSpan w:val="3"/>
          </w:tcPr>
          <w:p>
            <w:pPr>
              <w:pStyle w:val="33"/>
              <w:spacing w:before="45"/>
              <w:ind w:left="102"/>
              <w:rPr>
                <w:sz w:val="21"/>
              </w:rPr>
            </w:pPr>
            <w:r>
              <w:rPr>
                <w:sz w:val="21"/>
              </w:rPr>
              <w:t>踏勘现场</w:t>
            </w:r>
          </w:p>
        </w:tc>
        <w:tc>
          <w:tcPr>
            <w:tcW w:w="5667" w:type="dxa"/>
          </w:tcPr>
          <w:p>
            <w:pPr>
              <w:pStyle w:val="33"/>
              <w:spacing w:before="45"/>
              <w:ind w:left="102"/>
              <w:rPr>
                <w:sz w:val="21"/>
              </w:rPr>
            </w:pPr>
            <w:r>
              <w:rPr>
                <w:rFonts w:hint="eastAsia" w:ascii="MS Mincho" w:hAnsi="MS Mincho" w:eastAsia="MS Mincho"/>
                <w:sz w:val="21"/>
              </w:rPr>
              <w:t>☑</w:t>
            </w:r>
            <w:r>
              <w:rPr>
                <w:sz w:val="21"/>
              </w:rPr>
              <w:t>不组织</w:t>
            </w:r>
          </w:p>
          <w:p>
            <w:pPr>
              <w:pStyle w:val="33"/>
              <w:spacing w:before="85"/>
              <w:ind w:left="102"/>
              <w:rPr>
                <w:sz w:val="21"/>
              </w:rPr>
            </w:pPr>
            <w:r>
              <w:rPr>
                <w:sz w:val="21"/>
              </w:rPr>
              <w:t>□组织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205" w:type="dxa"/>
            <w:gridSpan w:val="2"/>
          </w:tcPr>
          <w:p>
            <w:pPr>
              <w:pStyle w:val="33"/>
              <w:spacing w:before="42"/>
              <w:ind w:right="381"/>
              <w:jc w:val="right"/>
              <w:rPr>
                <w:sz w:val="21"/>
              </w:rPr>
            </w:pPr>
            <w:r>
              <w:rPr>
                <w:sz w:val="21"/>
              </w:rPr>
              <w:t>1.10</w:t>
            </w:r>
          </w:p>
        </w:tc>
        <w:tc>
          <w:tcPr>
            <w:tcW w:w="2785" w:type="dxa"/>
            <w:gridSpan w:val="3"/>
          </w:tcPr>
          <w:p>
            <w:pPr>
              <w:pStyle w:val="33"/>
              <w:spacing w:before="42"/>
              <w:ind w:left="102"/>
              <w:rPr>
                <w:sz w:val="21"/>
              </w:rPr>
            </w:pPr>
            <w:r>
              <w:rPr>
                <w:sz w:val="21"/>
              </w:rPr>
              <w:t>投标预备会</w:t>
            </w:r>
          </w:p>
        </w:tc>
        <w:tc>
          <w:tcPr>
            <w:tcW w:w="5667" w:type="dxa"/>
          </w:tcPr>
          <w:p>
            <w:pPr>
              <w:pStyle w:val="33"/>
              <w:spacing w:before="42"/>
              <w:ind w:left="102"/>
              <w:rPr>
                <w:sz w:val="21"/>
              </w:rPr>
            </w:pPr>
            <w:r>
              <w:rPr>
                <w:rFonts w:hint="eastAsia" w:ascii="MS UI Gothic" w:hAnsi="MS UI Gothic" w:eastAsia="MS UI Gothic"/>
                <w:sz w:val="21"/>
              </w:rPr>
              <w:t>☑</w:t>
            </w:r>
            <w:r>
              <w:rPr>
                <w:sz w:val="21"/>
              </w:rPr>
              <w:t>不召开</w:t>
            </w:r>
          </w:p>
          <w:p>
            <w:pPr>
              <w:pStyle w:val="33"/>
              <w:tabs>
                <w:tab w:val="left" w:pos="2517"/>
              </w:tabs>
              <w:spacing w:before="84"/>
              <w:ind w:left="102"/>
              <w:rPr>
                <w:sz w:val="21"/>
              </w:rPr>
            </w:pPr>
            <w:r>
              <w:rPr>
                <w:sz w:val="21"/>
              </w:rPr>
              <w:t>□召</w:t>
            </w:r>
            <w:r>
              <w:rPr>
                <w:spacing w:val="-3"/>
                <w:sz w:val="21"/>
              </w:rPr>
              <w:t>开</w:t>
            </w:r>
            <w:r>
              <w:rPr>
                <w:sz w:val="21"/>
              </w:rPr>
              <w:t>，</w:t>
            </w:r>
            <w:r>
              <w:rPr>
                <w:spacing w:val="-3"/>
                <w:sz w:val="21"/>
              </w:rPr>
              <w:t>召</w:t>
            </w:r>
            <w:r>
              <w:rPr>
                <w:sz w:val="21"/>
              </w:rPr>
              <w:t>开</w:t>
            </w:r>
            <w:r>
              <w:rPr>
                <w:spacing w:val="-3"/>
                <w:sz w:val="21"/>
              </w:rPr>
              <w:t>时</w:t>
            </w:r>
            <w:r>
              <w:rPr>
                <w:sz w:val="21"/>
              </w:rPr>
              <w:t>间：</w:t>
            </w:r>
            <w:r>
              <w:rPr>
                <w:sz w:val="21"/>
              </w:rPr>
              <w:tab/>
            </w:r>
            <w:r>
              <w:rPr>
                <w:sz w:val="21"/>
              </w:rPr>
              <w:t>召开</w:t>
            </w:r>
            <w:r>
              <w:rPr>
                <w:spacing w:val="-3"/>
                <w:sz w:val="21"/>
              </w:rPr>
              <w:t>地</w:t>
            </w:r>
            <w:r>
              <w:rPr>
                <w:sz w:val="21"/>
              </w:rPr>
              <w:t>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205" w:type="dxa"/>
            <w:gridSpan w:val="2"/>
          </w:tcPr>
          <w:p>
            <w:pPr>
              <w:pStyle w:val="33"/>
              <w:spacing w:before="42"/>
              <w:ind w:right="381"/>
              <w:jc w:val="right"/>
              <w:rPr>
                <w:sz w:val="21"/>
              </w:rPr>
            </w:pPr>
            <w:r>
              <w:rPr>
                <w:sz w:val="21"/>
              </w:rPr>
              <w:t>1.11</w:t>
            </w:r>
          </w:p>
        </w:tc>
        <w:tc>
          <w:tcPr>
            <w:tcW w:w="2785" w:type="dxa"/>
            <w:gridSpan w:val="3"/>
          </w:tcPr>
          <w:p>
            <w:pPr>
              <w:pStyle w:val="33"/>
              <w:tabs>
                <w:tab w:val="left" w:pos="525"/>
              </w:tabs>
              <w:spacing w:before="42"/>
              <w:ind w:left="102"/>
              <w:rPr>
                <w:sz w:val="21"/>
              </w:rPr>
            </w:pPr>
            <w:r>
              <w:rPr>
                <w:sz w:val="21"/>
              </w:rPr>
              <w:t>分</w:t>
            </w:r>
            <w:r>
              <w:rPr>
                <w:sz w:val="21"/>
              </w:rPr>
              <w:tab/>
            </w:r>
            <w:r>
              <w:rPr>
                <w:sz w:val="21"/>
              </w:rPr>
              <w:t>包</w:t>
            </w:r>
          </w:p>
        </w:tc>
        <w:tc>
          <w:tcPr>
            <w:tcW w:w="5667" w:type="dxa"/>
          </w:tcPr>
          <w:p>
            <w:pPr>
              <w:pStyle w:val="33"/>
              <w:spacing w:before="42"/>
              <w:ind w:left="102"/>
              <w:rPr>
                <w:sz w:val="21"/>
              </w:rPr>
            </w:pPr>
            <w:r>
              <w:rPr>
                <w:rFonts w:hint="eastAsia" w:ascii="MS UI Gothic" w:hAnsi="MS UI Gothic" w:eastAsia="MS UI Gothic"/>
                <w:sz w:val="21"/>
              </w:rPr>
              <w:t>☑</w:t>
            </w:r>
            <w:r>
              <w:rPr>
                <w:sz w:val="21"/>
              </w:rPr>
              <w:t>不允许(除劳务分包以外)</w:t>
            </w:r>
          </w:p>
          <w:p>
            <w:pPr>
              <w:pStyle w:val="33"/>
              <w:spacing w:before="84"/>
              <w:ind w:left="102"/>
              <w:rPr>
                <w:sz w:val="21"/>
              </w:rPr>
            </w:pPr>
            <w:r>
              <w:rPr>
                <w:sz w:val="21"/>
              </w:rPr>
              <w:t>□允许，分包内容要求：</w:t>
            </w:r>
          </w:p>
          <w:p>
            <w:pPr>
              <w:pStyle w:val="33"/>
              <w:spacing w:before="84"/>
              <w:ind w:left="839"/>
              <w:rPr>
                <w:sz w:val="21"/>
              </w:rPr>
            </w:pPr>
            <w:r>
              <w:rPr>
                <w:sz w:val="21"/>
              </w:rPr>
              <w:t>分包金额要求：</w:t>
            </w:r>
          </w:p>
          <w:p>
            <w:pPr>
              <w:pStyle w:val="33"/>
              <w:spacing w:before="85"/>
              <w:ind w:left="839"/>
              <w:rPr>
                <w:sz w:val="21"/>
              </w:rPr>
            </w:pPr>
            <w:r>
              <w:rPr>
                <w:sz w:val="21"/>
              </w:rPr>
              <w:t>接受分包的第三人资质要求：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5" w:type="dxa"/>
            <w:gridSpan w:val="2"/>
          </w:tcPr>
          <w:p>
            <w:pPr>
              <w:pStyle w:val="33"/>
              <w:spacing w:before="42"/>
              <w:ind w:right="381"/>
              <w:jc w:val="right"/>
              <w:rPr>
                <w:sz w:val="21"/>
              </w:rPr>
            </w:pPr>
            <w:r>
              <w:rPr>
                <w:sz w:val="21"/>
              </w:rPr>
              <w:t>1.12</w:t>
            </w:r>
          </w:p>
        </w:tc>
        <w:tc>
          <w:tcPr>
            <w:tcW w:w="2785" w:type="dxa"/>
            <w:gridSpan w:val="3"/>
          </w:tcPr>
          <w:p>
            <w:pPr>
              <w:pStyle w:val="33"/>
              <w:tabs>
                <w:tab w:val="left" w:pos="525"/>
              </w:tabs>
              <w:spacing w:before="42"/>
              <w:ind w:left="102"/>
              <w:rPr>
                <w:sz w:val="21"/>
              </w:rPr>
            </w:pPr>
            <w:r>
              <w:rPr>
                <w:sz w:val="21"/>
              </w:rPr>
              <w:t>偏</w:t>
            </w:r>
            <w:r>
              <w:rPr>
                <w:sz w:val="21"/>
              </w:rPr>
              <w:tab/>
            </w:r>
            <w:r>
              <w:rPr>
                <w:sz w:val="21"/>
              </w:rPr>
              <w:t>离</w:t>
            </w:r>
          </w:p>
        </w:tc>
        <w:tc>
          <w:tcPr>
            <w:tcW w:w="5667" w:type="dxa"/>
          </w:tcPr>
          <w:p>
            <w:pPr>
              <w:pStyle w:val="33"/>
              <w:spacing w:before="42"/>
              <w:ind w:left="102"/>
              <w:rPr>
                <w:sz w:val="21"/>
              </w:rPr>
            </w:pPr>
            <w:r>
              <w:rPr>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5" w:type="dxa"/>
            <w:gridSpan w:val="2"/>
          </w:tcPr>
          <w:p>
            <w:pPr>
              <w:pStyle w:val="33"/>
              <w:spacing w:before="42"/>
              <w:ind w:right="434"/>
              <w:jc w:val="right"/>
              <w:rPr>
                <w:sz w:val="21"/>
              </w:rPr>
            </w:pPr>
            <w:r>
              <w:rPr>
                <w:sz w:val="21"/>
              </w:rPr>
              <w:t>2.1</w:t>
            </w:r>
          </w:p>
        </w:tc>
        <w:tc>
          <w:tcPr>
            <w:tcW w:w="2785" w:type="dxa"/>
            <w:gridSpan w:val="3"/>
          </w:tcPr>
          <w:p>
            <w:pPr>
              <w:pStyle w:val="33"/>
              <w:spacing w:before="42"/>
              <w:ind w:left="102"/>
              <w:rPr>
                <w:sz w:val="21"/>
              </w:rPr>
            </w:pPr>
            <w:r>
              <w:rPr>
                <w:sz w:val="21"/>
              </w:rPr>
              <w:t>招标文件的组成</w:t>
            </w:r>
          </w:p>
        </w:tc>
        <w:tc>
          <w:tcPr>
            <w:tcW w:w="5667" w:type="dxa"/>
          </w:tcPr>
          <w:p>
            <w:pPr>
              <w:pStyle w:val="33"/>
              <w:spacing w:before="42"/>
              <w:ind w:left="102"/>
              <w:rPr>
                <w:sz w:val="21"/>
              </w:rPr>
            </w:pPr>
            <w:r>
              <w:rPr>
                <w:sz w:val="21"/>
              </w:rPr>
              <w:t>投标人须知总则 2.1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5" w:type="dxa"/>
            <w:gridSpan w:val="2"/>
          </w:tcPr>
          <w:p>
            <w:pPr>
              <w:pStyle w:val="33"/>
              <w:spacing w:before="42"/>
              <w:ind w:right="434"/>
              <w:jc w:val="right"/>
              <w:rPr>
                <w:sz w:val="21"/>
              </w:rPr>
            </w:pPr>
            <w:r>
              <w:rPr>
                <w:sz w:val="21"/>
              </w:rPr>
              <w:t>2.2</w:t>
            </w:r>
          </w:p>
        </w:tc>
        <w:tc>
          <w:tcPr>
            <w:tcW w:w="2785" w:type="dxa"/>
            <w:gridSpan w:val="3"/>
          </w:tcPr>
          <w:p>
            <w:pPr>
              <w:pStyle w:val="33"/>
              <w:spacing w:before="42"/>
              <w:ind w:left="102"/>
              <w:rPr>
                <w:sz w:val="21"/>
              </w:rPr>
            </w:pPr>
            <w:r>
              <w:rPr>
                <w:sz w:val="21"/>
              </w:rPr>
              <w:t>招标文件的澄清</w:t>
            </w:r>
          </w:p>
        </w:tc>
        <w:tc>
          <w:tcPr>
            <w:tcW w:w="5667" w:type="dxa"/>
          </w:tcPr>
          <w:p>
            <w:pPr>
              <w:pStyle w:val="33"/>
              <w:spacing w:before="42"/>
              <w:ind w:left="102"/>
              <w:rPr>
                <w:sz w:val="21"/>
              </w:rPr>
            </w:pPr>
            <w:r>
              <w:rPr>
                <w:sz w:val="21"/>
              </w:rPr>
              <w:t>投标截止日前 15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5" w:type="dxa"/>
            <w:gridSpan w:val="2"/>
          </w:tcPr>
          <w:p>
            <w:pPr>
              <w:pStyle w:val="33"/>
              <w:spacing w:before="45"/>
              <w:ind w:right="434"/>
              <w:jc w:val="right"/>
              <w:rPr>
                <w:sz w:val="21"/>
              </w:rPr>
            </w:pPr>
            <w:r>
              <w:rPr>
                <w:sz w:val="21"/>
              </w:rPr>
              <w:t>2.3</w:t>
            </w:r>
          </w:p>
        </w:tc>
        <w:tc>
          <w:tcPr>
            <w:tcW w:w="2785" w:type="dxa"/>
            <w:gridSpan w:val="3"/>
          </w:tcPr>
          <w:p>
            <w:pPr>
              <w:pStyle w:val="33"/>
              <w:spacing w:before="45"/>
              <w:ind w:left="102"/>
              <w:rPr>
                <w:sz w:val="21"/>
              </w:rPr>
            </w:pPr>
            <w:r>
              <w:rPr>
                <w:sz w:val="21"/>
              </w:rPr>
              <w:t>招标文件的修改</w:t>
            </w:r>
          </w:p>
        </w:tc>
        <w:tc>
          <w:tcPr>
            <w:tcW w:w="5667" w:type="dxa"/>
          </w:tcPr>
          <w:p>
            <w:pPr>
              <w:pStyle w:val="33"/>
              <w:spacing w:before="45"/>
              <w:ind w:left="102"/>
              <w:rPr>
                <w:sz w:val="21"/>
              </w:rPr>
            </w:pPr>
            <w:r>
              <w:rPr>
                <w:sz w:val="21"/>
              </w:rPr>
              <w:t>投标截止日前 15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5" w:type="dxa"/>
            <w:gridSpan w:val="2"/>
          </w:tcPr>
          <w:p>
            <w:pPr>
              <w:pStyle w:val="33"/>
              <w:spacing w:before="42"/>
              <w:ind w:right="434"/>
              <w:jc w:val="right"/>
              <w:rPr>
                <w:sz w:val="21"/>
              </w:rPr>
            </w:pPr>
            <w:r>
              <w:rPr>
                <w:sz w:val="21"/>
              </w:rPr>
              <w:t>2.4</w:t>
            </w:r>
          </w:p>
        </w:tc>
        <w:tc>
          <w:tcPr>
            <w:tcW w:w="2785" w:type="dxa"/>
            <w:gridSpan w:val="3"/>
          </w:tcPr>
          <w:p>
            <w:pPr>
              <w:pStyle w:val="33"/>
              <w:spacing w:before="42"/>
              <w:ind w:left="102"/>
              <w:rPr>
                <w:sz w:val="21"/>
              </w:rPr>
            </w:pPr>
            <w:r>
              <w:rPr>
                <w:sz w:val="21"/>
              </w:rPr>
              <w:t>潜在的投标人提出异议时间</w:t>
            </w:r>
          </w:p>
        </w:tc>
        <w:tc>
          <w:tcPr>
            <w:tcW w:w="5667" w:type="dxa"/>
          </w:tcPr>
          <w:p>
            <w:pPr>
              <w:pStyle w:val="33"/>
              <w:spacing w:before="42"/>
              <w:ind w:left="102"/>
              <w:rPr>
                <w:sz w:val="21"/>
              </w:rPr>
            </w:pPr>
            <w:r>
              <w:rPr>
                <w:sz w:val="21"/>
              </w:rPr>
              <w:t>投标截止日前 10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205" w:type="dxa"/>
            <w:gridSpan w:val="2"/>
          </w:tcPr>
          <w:p>
            <w:pPr>
              <w:pStyle w:val="33"/>
              <w:spacing w:before="42"/>
              <w:ind w:right="328"/>
              <w:jc w:val="right"/>
              <w:rPr>
                <w:sz w:val="21"/>
              </w:rPr>
            </w:pPr>
            <w:r>
              <w:rPr>
                <w:sz w:val="21"/>
              </w:rPr>
              <w:t>2.3.3</w:t>
            </w:r>
          </w:p>
        </w:tc>
        <w:tc>
          <w:tcPr>
            <w:tcW w:w="2785" w:type="dxa"/>
            <w:gridSpan w:val="3"/>
          </w:tcPr>
          <w:p>
            <w:pPr>
              <w:pStyle w:val="33"/>
              <w:spacing w:before="42" w:line="314" w:lineRule="auto"/>
              <w:ind w:left="102" w:right="7"/>
              <w:rPr>
                <w:sz w:val="21"/>
              </w:rPr>
            </w:pPr>
            <w:r>
              <w:rPr>
                <w:sz w:val="21"/>
              </w:rPr>
              <w:t>投标人确认收到招标文件修改的时间</w:t>
            </w:r>
          </w:p>
        </w:tc>
        <w:tc>
          <w:tcPr>
            <w:tcW w:w="5667" w:type="dxa"/>
          </w:tcPr>
          <w:p>
            <w:pPr>
              <w:pStyle w:val="33"/>
              <w:spacing w:before="42" w:line="314" w:lineRule="auto"/>
              <w:ind w:left="102" w:right="96"/>
              <w:jc w:val="both"/>
              <w:rPr>
                <w:sz w:val="21"/>
              </w:rPr>
            </w:pPr>
            <w:r>
              <w:rPr>
                <w:spacing w:val="-5"/>
                <w:sz w:val="21"/>
              </w:rPr>
              <w:t xml:space="preserve">修改文件在投标人须知总则第 </w:t>
            </w:r>
            <w:r>
              <w:rPr>
                <w:sz w:val="21"/>
              </w:rPr>
              <w:t>2.3.1、2.3.2</w:t>
            </w:r>
            <w:r>
              <w:rPr>
                <w:spacing w:val="-5"/>
                <w:sz w:val="21"/>
              </w:rPr>
              <w:t xml:space="preserve"> 款规定的网</w:t>
            </w:r>
            <w:r>
              <w:rPr>
                <w:spacing w:val="-9"/>
                <w:sz w:val="21"/>
              </w:rPr>
              <w:t>站上发布之日起，视为投标人已收到该修改。投标人未及</w:t>
            </w:r>
            <w:r>
              <w:rPr>
                <w:spacing w:val="-8"/>
                <w:sz w:val="21"/>
              </w:rPr>
              <w:t>时关注招标人在网上发布的修改文件造成的损失，由投标</w:t>
            </w:r>
            <w:r>
              <w:rPr>
                <w:spacing w:val="-5"/>
                <w:sz w:val="21"/>
              </w:rPr>
              <w:t>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1205" w:type="dxa"/>
            <w:gridSpan w:val="2"/>
          </w:tcPr>
          <w:p>
            <w:pPr>
              <w:pStyle w:val="33"/>
              <w:spacing w:before="42"/>
              <w:ind w:right="434"/>
              <w:jc w:val="right"/>
              <w:rPr>
                <w:color w:val="auto"/>
                <w:sz w:val="21"/>
              </w:rPr>
            </w:pPr>
            <w:r>
              <w:rPr>
                <w:color w:val="auto"/>
                <w:sz w:val="21"/>
              </w:rPr>
              <w:t>3.1</w:t>
            </w:r>
          </w:p>
        </w:tc>
        <w:tc>
          <w:tcPr>
            <w:tcW w:w="2785" w:type="dxa"/>
            <w:gridSpan w:val="3"/>
          </w:tcPr>
          <w:p>
            <w:pPr>
              <w:pStyle w:val="33"/>
              <w:spacing w:before="42"/>
              <w:ind w:left="102"/>
              <w:rPr>
                <w:color w:val="auto"/>
                <w:sz w:val="21"/>
              </w:rPr>
            </w:pPr>
            <w:r>
              <w:rPr>
                <w:color w:val="auto"/>
                <w:sz w:val="21"/>
              </w:rPr>
              <w:t>投标文件的组成</w:t>
            </w:r>
          </w:p>
        </w:tc>
        <w:tc>
          <w:tcPr>
            <w:tcW w:w="5667" w:type="dxa"/>
          </w:tcPr>
          <w:p>
            <w:pPr>
              <w:pStyle w:val="33"/>
              <w:spacing w:before="42" w:line="314" w:lineRule="auto"/>
              <w:ind w:left="102" w:right="3181"/>
              <w:rPr>
                <w:color w:val="auto"/>
                <w:sz w:val="21"/>
              </w:rPr>
            </w:pPr>
            <w:r>
              <w:rPr>
                <w:color w:val="auto"/>
                <w:sz w:val="21"/>
              </w:rPr>
              <w:t>投标文件的组成部分： 资格审查部分；</w:t>
            </w:r>
          </w:p>
          <w:p>
            <w:pPr>
              <w:pStyle w:val="33"/>
              <w:spacing w:before="19" w:line="314" w:lineRule="auto"/>
              <w:ind w:left="102" w:right="1501"/>
              <w:rPr>
                <w:color w:val="auto"/>
                <w:sz w:val="21"/>
              </w:rPr>
            </w:pPr>
            <w:r>
              <w:rPr>
                <w:color w:val="auto"/>
                <w:sz w:val="21"/>
              </w:rPr>
              <w:t>商务标部分（包括工程量清单电子版）； 技术标部分；</w:t>
            </w:r>
          </w:p>
          <w:p>
            <w:pPr>
              <w:pStyle w:val="33"/>
              <w:spacing w:before="19"/>
              <w:ind w:left="102"/>
              <w:rPr>
                <w:color w:val="auto"/>
                <w:sz w:val="21"/>
              </w:rPr>
            </w:pPr>
            <w:r>
              <w:rPr>
                <w:color w:val="auto"/>
                <w:sz w:val="21"/>
              </w:rPr>
              <w:t>企业信誉实力部分。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1205" w:type="dxa"/>
            <w:gridSpan w:val="2"/>
            <w:vMerge w:val="restart"/>
          </w:tcPr>
          <w:p>
            <w:pPr>
              <w:pStyle w:val="33"/>
              <w:spacing w:before="42"/>
              <w:ind w:left="336"/>
              <w:rPr>
                <w:color w:val="auto"/>
                <w:sz w:val="21"/>
              </w:rPr>
            </w:pPr>
            <w:r>
              <w:rPr>
                <w:color w:val="auto"/>
                <w:sz w:val="21"/>
              </w:rPr>
              <w:t>3.1.1</w:t>
            </w:r>
          </w:p>
        </w:tc>
        <w:tc>
          <w:tcPr>
            <w:tcW w:w="2785" w:type="dxa"/>
            <w:gridSpan w:val="3"/>
          </w:tcPr>
          <w:p>
            <w:pPr>
              <w:pStyle w:val="33"/>
              <w:spacing w:before="42"/>
              <w:ind w:left="102"/>
              <w:rPr>
                <w:color w:val="auto"/>
                <w:sz w:val="21"/>
              </w:rPr>
            </w:pPr>
            <w:r>
              <w:rPr>
                <w:color w:val="auto"/>
                <w:sz w:val="21"/>
              </w:rPr>
              <w:t>近年财务状况的年份要求</w:t>
            </w:r>
          </w:p>
        </w:tc>
        <w:tc>
          <w:tcPr>
            <w:tcW w:w="5667" w:type="dxa"/>
          </w:tcPr>
          <w:p>
            <w:pPr>
              <w:pStyle w:val="33"/>
              <w:spacing w:before="42" w:line="314" w:lineRule="auto"/>
              <w:ind w:left="102" w:right="96"/>
              <w:jc w:val="both"/>
              <w:rPr>
                <w:color w:val="auto"/>
                <w:sz w:val="21"/>
              </w:rPr>
            </w:pPr>
            <w:r>
              <w:rPr>
                <w:color w:val="auto"/>
                <w:sz w:val="21"/>
              </w:rPr>
              <w:t>三年</w:t>
            </w:r>
            <w:r>
              <w:rPr>
                <w:color w:val="auto"/>
                <w:spacing w:val="-3"/>
                <w:sz w:val="21"/>
              </w:rPr>
              <w:t>（一般为三年</w:t>
            </w:r>
            <w:r>
              <w:rPr>
                <w:color w:val="auto"/>
                <w:sz w:val="21"/>
              </w:rPr>
              <w:t>）</w:t>
            </w:r>
            <w:r>
              <w:rPr>
                <w:color w:val="auto"/>
                <w:spacing w:val="-4"/>
                <w:sz w:val="21"/>
              </w:rPr>
              <w:t xml:space="preserve">，指 </w:t>
            </w:r>
            <w:r>
              <w:rPr>
                <w:color w:val="auto"/>
                <w:sz w:val="21"/>
              </w:rPr>
              <w:t>201</w:t>
            </w:r>
            <w:r>
              <w:rPr>
                <w:rFonts w:hint="eastAsia"/>
                <w:color w:val="auto"/>
                <w:sz w:val="21"/>
                <w:lang w:val="en-US" w:eastAsia="zh-CN"/>
              </w:rPr>
              <w:t>6</w:t>
            </w:r>
            <w:r>
              <w:rPr>
                <w:color w:val="auto"/>
                <w:spacing w:val="-3"/>
                <w:sz w:val="21"/>
              </w:rPr>
              <w:t>年度、</w:t>
            </w:r>
            <w:r>
              <w:rPr>
                <w:color w:val="auto"/>
                <w:sz w:val="21"/>
              </w:rPr>
              <w:t>201</w:t>
            </w:r>
            <w:r>
              <w:rPr>
                <w:rFonts w:hint="eastAsia"/>
                <w:color w:val="auto"/>
                <w:sz w:val="21"/>
                <w:lang w:val="en-US" w:eastAsia="zh-CN"/>
              </w:rPr>
              <w:t>7</w:t>
            </w:r>
            <w:r>
              <w:rPr>
                <w:color w:val="auto"/>
                <w:spacing w:val="-5"/>
                <w:sz w:val="21"/>
              </w:rPr>
              <w:t xml:space="preserve"> 年度和 </w:t>
            </w:r>
            <w:r>
              <w:rPr>
                <w:color w:val="auto"/>
                <w:sz w:val="21"/>
              </w:rPr>
              <w:t>201</w:t>
            </w:r>
            <w:r>
              <w:rPr>
                <w:rFonts w:hint="eastAsia"/>
                <w:color w:val="auto"/>
                <w:sz w:val="21"/>
                <w:lang w:val="en-US" w:eastAsia="zh-CN"/>
              </w:rPr>
              <w:t>8</w:t>
            </w:r>
            <w:r>
              <w:rPr>
                <w:color w:val="auto"/>
                <w:sz w:val="21"/>
              </w:rPr>
              <w:t xml:space="preserve"> </w:t>
            </w:r>
            <w:r>
              <w:rPr>
                <w:color w:val="auto"/>
                <w:spacing w:val="-28"/>
                <w:sz w:val="21"/>
              </w:rPr>
              <w:t>年度</w:t>
            </w:r>
            <w:r>
              <w:rPr>
                <w:color w:val="auto"/>
                <w:sz w:val="21"/>
              </w:rPr>
              <w:t>（</w:t>
            </w:r>
            <w:r>
              <w:rPr>
                <w:color w:val="auto"/>
                <w:spacing w:val="-3"/>
                <w:sz w:val="21"/>
              </w:rPr>
              <w:t>对于从取得营业执照时间起到投标截止时间为止不</w:t>
            </w:r>
            <w:r>
              <w:rPr>
                <w:color w:val="auto"/>
                <w:spacing w:val="-9"/>
                <w:sz w:val="21"/>
              </w:rPr>
              <w:t>足要求年数的企业，只需提交企业取得营业执照年份至所</w:t>
            </w:r>
            <w:r>
              <w:rPr>
                <w:color w:val="auto"/>
                <w:spacing w:val="-5"/>
                <w:sz w:val="21"/>
              </w:rPr>
              <w:t>要求最近年份经审计的财务报表</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205" w:type="dxa"/>
            <w:gridSpan w:val="2"/>
            <w:vMerge w:val="continue"/>
            <w:tcBorders>
              <w:top w:val="nil"/>
            </w:tcBorders>
          </w:tcPr>
          <w:p>
            <w:pPr>
              <w:rPr>
                <w:sz w:val="2"/>
                <w:szCs w:val="2"/>
              </w:rPr>
            </w:pPr>
          </w:p>
        </w:tc>
        <w:tc>
          <w:tcPr>
            <w:tcW w:w="2785" w:type="dxa"/>
            <w:gridSpan w:val="3"/>
          </w:tcPr>
          <w:p>
            <w:pPr>
              <w:pStyle w:val="33"/>
              <w:spacing w:before="42"/>
              <w:ind w:left="102"/>
              <w:rPr>
                <w:sz w:val="21"/>
              </w:rPr>
            </w:pPr>
            <w:r>
              <w:rPr>
                <w:sz w:val="21"/>
              </w:rPr>
              <w:t>近年发生的诉讼及仲裁情况的年份要求</w:t>
            </w:r>
          </w:p>
        </w:tc>
        <w:tc>
          <w:tcPr>
            <w:tcW w:w="5667" w:type="dxa"/>
          </w:tcPr>
          <w:p>
            <w:pPr>
              <w:pStyle w:val="33"/>
              <w:rPr>
                <w:b/>
                <w:sz w:val="17"/>
              </w:rPr>
            </w:pPr>
          </w:p>
          <w:p>
            <w:pPr>
              <w:pStyle w:val="33"/>
              <w:ind w:left="102"/>
              <w:rPr>
                <w:sz w:val="21"/>
              </w:rPr>
            </w:pPr>
            <w:r>
              <w:rPr>
                <w:sz w:val="21"/>
              </w:rPr>
              <w:t>指 201</w:t>
            </w:r>
            <w:r>
              <w:rPr>
                <w:rFonts w:hint="eastAsia"/>
                <w:sz w:val="21"/>
                <w:lang w:val="en-US" w:eastAsia="zh-CN"/>
              </w:rPr>
              <w:t>7</w:t>
            </w:r>
            <w:r>
              <w:rPr>
                <w:sz w:val="21"/>
              </w:rPr>
              <w:t>年 1 月 1 日起至投标截止时间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5" w:type="dxa"/>
            <w:gridSpan w:val="2"/>
          </w:tcPr>
          <w:p>
            <w:pPr>
              <w:pStyle w:val="33"/>
              <w:spacing w:before="42"/>
              <w:ind w:right="328"/>
              <w:jc w:val="right"/>
              <w:rPr>
                <w:sz w:val="21"/>
              </w:rPr>
            </w:pPr>
            <w:r>
              <w:rPr>
                <w:sz w:val="21"/>
              </w:rPr>
              <w:t>3.1.2</w:t>
            </w:r>
          </w:p>
        </w:tc>
        <w:tc>
          <w:tcPr>
            <w:tcW w:w="2785" w:type="dxa"/>
            <w:gridSpan w:val="3"/>
          </w:tcPr>
          <w:p>
            <w:pPr>
              <w:pStyle w:val="33"/>
              <w:spacing w:before="42"/>
              <w:ind w:left="102"/>
              <w:rPr>
                <w:sz w:val="21"/>
              </w:rPr>
            </w:pPr>
            <w:r>
              <w:rPr>
                <w:sz w:val="21"/>
              </w:rPr>
              <w:t>考核期的年份要求</w:t>
            </w:r>
          </w:p>
        </w:tc>
        <w:tc>
          <w:tcPr>
            <w:tcW w:w="5667" w:type="dxa"/>
          </w:tcPr>
          <w:p>
            <w:pPr>
              <w:pStyle w:val="33"/>
              <w:spacing w:before="42"/>
              <w:ind w:left="102"/>
              <w:rPr>
                <w:sz w:val="21"/>
              </w:rPr>
            </w:pPr>
            <w:r>
              <w:rPr>
                <w:sz w:val="21"/>
              </w:rPr>
              <w:t>指 201</w:t>
            </w:r>
            <w:r>
              <w:rPr>
                <w:rFonts w:hint="eastAsia"/>
                <w:sz w:val="21"/>
                <w:lang w:val="en-US" w:eastAsia="zh-CN"/>
              </w:rPr>
              <w:t>7</w:t>
            </w:r>
            <w:r>
              <w:rPr>
                <w:sz w:val="21"/>
              </w:rPr>
              <w:t xml:space="preserve"> 年 1 月 1 日起至投标截止时间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5" w:type="dxa"/>
            <w:gridSpan w:val="2"/>
          </w:tcPr>
          <w:p>
            <w:pPr>
              <w:pStyle w:val="33"/>
              <w:spacing w:before="45"/>
              <w:ind w:right="328"/>
              <w:jc w:val="right"/>
              <w:rPr>
                <w:sz w:val="21"/>
              </w:rPr>
            </w:pPr>
            <w:r>
              <w:rPr>
                <w:sz w:val="21"/>
              </w:rPr>
              <w:t>3.3.1</w:t>
            </w:r>
          </w:p>
        </w:tc>
        <w:tc>
          <w:tcPr>
            <w:tcW w:w="2785" w:type="dxa"/>
            <w:gridSpan w:val="3"/>
          </w:tcPr>
          <w:p>
            <w:pPr>
              <w:pStyle w:val="33"/>
              <w:spacing w:before="45"/>
              <w:ind w:left="102"/>
              <w:rPr>
                <w:sz w:val="21"/>
              </w:rPr>
            </w:pPr>
            <w:r>
              <w:rPr>
                <w:sz w:val="21"/>
              </w:rPr>
              <w:t>投标有效期</w:t>
            </w:r>
          </w:p>
        </w:tc>
        <w:tc>
          <w:tcPr>
            <w:tcW w:w="5667" w:type="dxa"/>
          </w:tcPr>
          <w:p>
            <w:pPr>
              <w:pStyle w:val="33"/>
              <w:spacing w:before="45"/>
              <w:ind w:left="102"/>
              <w:rPr>
                <w:sz w:val="21"/>
              </w:rPr>
            </w:pPr>
            <w:r>
              <w:rPr>
                <w:sz w:val="21"/>
              </w:rPr>
              <w:t>投标截止时间之日起 90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5" w:type="dxa"/>
            <w:gridSpan w:val="2"/>
          </w:tcPr>
          <w:p>
            <w:pPr>
              <w:pStyle w:val="33"/>
              <w:spacing w:before="42"/>
              <w:ind w:right="434"/>
              <w:jc w:val="right"/>
              <w:rPr>
                <w:sz w:val="21"/>
              </w:rPr>
            </w:pPr>
            <w:r>
              <w:rPr>
                <w:sz w:val="21"/>
              </w:rPr>
              <w:t>3.4</w:t>
            </w:r>
          </w:p>
        </w:tc>
        <w:tc>
          <w:tcPr>
            <w:tcW w:w="2785" w:type="dxa"/>
            <w:gridSpan w:val="3"/>
          </w:tcPr>
          <w:p>
            <w:pPr>
              <w:pStyle w:val="33"/>
              <w:spacing w:before="42"/>
              <w:ind w:left="102"/>
              <w:rPr>
                <w:sz w:val="21"/>
              </w:rPr>
            </w:pPr>
            <w:r>
              <w:rPr>
                <w:sz w:val="21"/>
              </w:rPr>
              <w:t>是否允许递交备选投标方案</w:t>
            </w:r>
          </w:p>
        </w:tc>
        <w:tc>
          <w:tcPr>
            <w:tcW w:w="5667" w:type="dxa"/>
          </w:tcPr>
          <w:p>
            <w:pPr>
              <w:pStyle w:val="33"/>
              <w:spacing w:before="42"/>
              <w:ind w:left="102"/>
              <w:rPr>
                <w:sz w:val="21"/>
              </w:rPr>
            </w:pPr>
            <w:r>
              <w:rPr>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5" w:type="dxa"/>
            <w:gridSpan w:val="2"/>
            <w:tcBorders>
              <w:bottom w:val="single" w:color="000000" w:sz="6" w:space="0"/>
            </w:tcBorders>
          </w:tcPr>
          <w:p>
            <w:pPr>
              <w:pStyle w:val="33"/>
              <w:spacing w:before="42"/>
              <w:ind w:right="328"/>
              <w:jc w:val="right"/>
              <w:rPr>
                <w:sz w:val="21"/>
              </w:rPr>
            </w:pPr>
            <w:r>
              <w:rPr>
                <w:sz w:val="21"/>
              </w:rPr>
              <w:t>3.5.3</w:t>
            </w:r>
          </w:p>
        </w:tc>
        <w:tc>
          <w:tcPr>
            <w:tcW w:w="2785" w:type="dxa"/>
            <w:gridSpan w:val="3"/>
            <w:tcBorders>
              <w:bottom w:val="single" w:color="000000" w:sz="6" w:space="0"/>
            </w:tcBorders>
          </w:tcPr>
          <w:p>
            <w:pPr>
              <w:pStyle w:val="33"/>
              <w:spacing w:before="42"/>
              <w:ind w:left="102"/>
              <w:rPr>
                <w:sz w:val="21"/>
              </w:rPr>
            </w:pPr>
            <w:r>
              <w:rPr>
                <w:sz w:val="21"/>
              </w:rPr>
              <w:t>签字或盖章要求</w:t>
            </w:r>
          </w:p>
        </w:tc>
        <w:tc>
          <w:tcPr>
            <w:tcW w:w="5667" w:type="dxa"/>
            <w:tcBorders>
              <w:bottom w:val="single" w:color="000000" w:sz="6" w:space="0"/>
            </w:tcBorders>
          </w:tcPr>
          <w:p>
            <w:pPr>
              <w:pStyle w:val="33"/>
              <w:spacing w:before="42"/>
              <w:ind w:left="102"/>
              <w:rPr>
                <w:sz w:val="21"/>
              </w:rPr>
            </w:pPr>
            <w:r>
              <w:rPr>
                <w:sz w:val="21"/>
              </w:rPr>
              <w:t>见投标人须知 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205" w:type="dxa"/>
            <w:gridSpan w:val="2"/>
            <w:tcBorders>
              <w:top w:val="single" w:color="000000" w:sz="6" w:space="0"/>
            </w:tcBorders>
          </w:tcPr>
          <w:p>
            <w:pPr>
              <w:pStyle w:val="33"/>
              <w:spacing w:before="40"/>
              <w:ind w:right="328"/>
              <w:jc w:val="right"/>
              <w:rPr>
                <w:sz w:val="21"/>
              </w:rPr>
            </w:pPr>
            <w:r>
              <w:rPr>
                <w:sz w:val="21"/>
              </w:rPr>
              <w:t>3.5.4</w:t>
            </w:r>
          </w:p>
        </w:tc>
        <w:tc>
          <w:tcPr>
            <w:tcW w:w="2785" w:type="dxa"/>
            <w:gridSpan w:val="3"/>
            <w:tcBorders>
              <w:top w:val="single" w:color="000000" w:sz="6" w:space="0"/>
            </w:tcBorders>
          </w:tcPr>
          <w:p>
            <w:pPr>
              <w:pStyle w:val="33"/>
              <w:spacing w:before="40"/>
              <w:ind w:left="102"/>
              <w:rPr>
                <w:sz w:val="21"/>
              </w:rPr>
            </w:pPr>
            <w:r>
              <w:rPr>
                <w:sz w:val="21"/>
              </w:rPr>
              <w:t>投标文件份数</w:t>
            </w:r>
          </w:p>
        </w:tc>
        <w:tc>
          <w:tcPr>
            <w:tcW w:w="5667" w:type="dxa"/>
            <w:tcBorders>
              <w:top w:val="single" w:color="000000" w:sz="6" w:space="0"/>
            </w:tcBorders>
          </w:tcPr>
          <w:p>
            <w:pPr>
              <w:pStyle w:val="33"/>
              <w:spacing w:before="40"/>
              <w:ind w:left="102"/>
              <w:rPr>
                <w:sz w:val="21"/>
              </w:rPr>
            </w:pPr>
            <w:r>
              <w:rPr>
                <w:sz w:val="21"/>
              </w:rPr>
              <w:t>投标文件正本壹份，副本肆份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205" w:type="dxa"/>
            <w:gridSpan w:val="2"/>
          </w:tcPr>
          <w:p>
            <w:pPr>
              <w:pStyle w:val="33"/>
              <w:spacing w:before="45"/>
              <w:ind w:right="328"/>
              <w:jc w:val="right"/>
              <w:rPr>
                <w:sz w:val="21"/>
              </w:rPr>
            </w:pPr>
            <w:r>
              <w:rPr>
                <w:sz w:val="21"/>
              </w:rPr>
              <w:t>3.5.5</w:t>
            </w:r>
          </w:p>
        </w:tc>
        <w:tc>
          <w:tcPr>
            <w:tcW w:w="2785" w:type="dxa"/>
            <w:gridSpan w:val="3"/>
          </w:tcPr>
          <w:p>
            <w:pPr>
              <w:pStyle w:val="33"/>
              <w:spacing w:before="45"/>
              <w:ind w:left="102"/>
              <w:rPr>
                <w:sz w:val="21"/>
              </w:rPr>
            </w:pPr>
            <w:r>
              <w:rPr>
                <w:sz w:val="21"/>
              </w:rPr>
              <w:t>装订要求</w:t>
            </w:r>
          </w:p>
        </w:tc>
        <w:tc>
          <w:tcPr>
            <w:tcW w:w="5667" w:type="dxa"/>
          </w:tcPr>
          <w:p>
            <w:pPr>
              <w:pStyle w:val="33"/>
              <w:spacing w:before="2" w:line="360" w:lineRule="exact"/>
              <w:ind w:left="102"/>
              <w:rPr>
                <w:sz w:val="21"/>
              </w:rPr>
            </w:pPr>
            <w:r>
              <w:rPr>
                <w:spacing w:val="0"/>
                <w:sz w:val="21"/>
              </w:rPr>
              <w:t xml:space="preserve">按照投标人须知总则第 </w:t>
            </w:r>
            <w:r>
              <w:rPr>
                <w:sz w:val="21"/>
              </w:rPr>
              <w:t>3.1.1 项规定的投标文件组成内</w:t>
            </w:r>
            <w:r>
              <w:rPr>
                <w:spacing w:val="-9"/>
                <w:sz w:val="21"/>
              </w:rPr>
              <w:t>容，资格审查部分、商务标部分、技术标部分、企业信誉</w:t>
            </w:r>
            <w:r>
              <w:rPr>
                <w:spacing w:val="-16"/>
                <w:sz w:val="21"/>
              </w:rPr>
              <w:t>实力部分分册装订，每册采用胶装方式装订，装订应牢固、</w:t>
            </w:r>
            <w:r>
              <w:rPr>
                <w:spacing w:val="-7"/>
                <w:sz w:val="21"/>
              </w:rPr>
              <w:t>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trPr>
        <w:tc>
          <w:tcPr>
            <w:tcW w:w="1205" w:type="dxa"/>
            <w:gridSpan w:val="2"/>
          </w:tcPr>
          <w:p>
            <w:pPr>
              <w:pStyle w:val="33"/>
              <w:spacing w:before="42"/>
              <w:ind w:right="374"/>
              <w:jc w:val="right"/>
              <w:rPr>
                <w:sz w:val="21"/>
              </w:rPr>
            </w:pPr>
            <w:r>
              <w:rPr>
                <w:sz w:val="21"/>
              </w:rPr>
              <w:t>4.1.1</w:t>
            </w:r>
          </w:p>
        </w:tc>
        <w:tc>
          <w:tcPr>
            <w:tcW w:w="2785" w:type="dxa"/>
            <w:gridSpan w:val="3"/>
          </w:tcPr>
          <w:p>
            <w:pPr>
              <w:pStyle w:val="33"/>
              <w:spacing w:before="42"/>
              <w:ind w:left="102"/>
              <w:rPr>
                <w:sz w:val="21"/>
              </w:rPr>
            </w:pPr>
            <w:r>
              <w:rPr>
                <w:sz w:val="21"/>
              </w:rPr>
              <w:t>包装、密封</w:t>
            </w:r>
          </w:p>
        </w:tc>
        <w:tc>
          <w:tcPr>
            <w:tcW w:w="5667" w:type="dxa"/>
          </w:tcPr>
          <w:p>
            <w:pPr>
              <w:pStyle w:val="33"/>
              <w:spacing w:before="42" w:line="314" w:lineRule="auto"/>
              <w:ind w:left="102" w:right="96"/>
              <w:jc w:val="both"/>
              <w:rPr>
                <w:sz w:val="21"/>
              </w:rPr>
            </w:pPr>
            <w:r>
              <w:rPr>
                <w:sz w:val="21"/>
              </w:rPr>
              <w:t>1.</w:t>
            </w:r>
            <w:r>
              <w:rPr>
                <w:spacing w:val="-8"/>
                <w:sz w:val="21"/>
              </w:rPr>
              <w:t>投标文件分四个包封包装，第一包封为资格审查部分的</w:t>
            </w:r>
            <w:r>
              <w:rPr>
                <w:spacing w:val="-10"/>
                <w:sz w:val="21"/>
              </w:rPr>
              <w:t>正本、副本；第二包封为商务标部分的正本、副本；第三</w:t>
            </w:r>
            <w:r>
              <w:rPr>
                <w:spacing w:val="-9"/>
                <w:sz w:val="21"/>
              </w:rPr>
              <w:t>包封为技术标部分的正本、副本，第四包封为企业信誉实</w:t>
            </w:r>
            <w:r>
              <w:rPr>
                <w:spacing w:val="-5"/>
                <w:sz w:val="21"/>
              </w:rPr>
              <w:t>力部分的正本、副本。</w:t>
            </w:r>
          </w:p>
          <w:p>
            <w:pPr>
              <w:pStyle w:val="33"/>
              <w:spacing w:before="20"/>
              <w:ind w:left="102"/>
              <w:jc w:val="both"/>
              <w:rPr>
                <w:sz w:val="21"/>
              </w:rPr>
            </w:pPr>
            <w:r>
              <w:rPr>
                <w:sz w:val="21"/>
              </w:rPr>
              <w:t>2.所有包封均须密封并盖密封章。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1205" w:type="dxa"/>
            <w:gridSpan w:val="2"/>
          </w:tcPr>
          <w:p>
            <w:pPr>
              <w:pStyle w:val="33"/>
              <w:spacing w:before="43"/>
              <w:ind w:right="328"/>
              <w:jc w:val="right"/>
              <w:rPr>
                <w:sz w:val="21"/>
              </w:rPr>
            </w:pPr>
            <w:r>
              <w:rPr>
                <w:sz w:val="21"/>
              </w:rPr>
              <w:t>4.1.2</w:t>
            </w:r>
          </w:p>
        </w:tc>
        <w:tc>
          <w:tcPr>
            <w:tcW w:w="2785" w:type="dxa"/>
            <w:gridSpan w:val="3"/>
          </w:tcPr>
          <w:p>
            <w:pPr>
              <w:pStyle w:val="33"/>
              <w:spacing w:before="43"/>
              <w:ind w:left="102"/>
              <w:rPr>
                <w:sz w:val="21"/>
              </w:rPr>
            </w:pPr>
            <w:r>
              <w:rPr>
                <w:sz w:val="21"/>
              </w:rPr>
              <w:t>封套上写明</w:t>
            </w:r>
          </w:p>
        </w:tc>
        <w:tc>
          <w:tcPr>
            <w:tcW w:w="5667" w:type="dxa"/>
          </w:tcPr>
          <w:p>
            <w:pPr>
              <w:pStyle w:val="33"/>
              <w:spacing w:before="43" w:line="314" w:lineRule="auto"/>
              <w:ind w:left="102" w:right="96"/>
              <w:jc w:val="both"/>
              <w:rPr>
                <w:sz w:val="21"/>
              </w:rPr>
            </w:pPr>
            <w:r>
              <w:rPr>
                <w:rFonts w:hint="eastAsia"/>
                <w:spacing w:val="1"/>
                <w:sz w:val="21"/>
                <w:u w:val="single"/>
                <w:lang w:eastAsia="zh-CN"/>
              </w:rPr>
              <w:t>桂林市兴安县2018年同志村委土地开垦项目</w:t>
            </w:r>
            <w:r>
              <w:rPr>
                <w:spacing w:val="1"/>
                <w:sz w:val="21"/>
                <w:u w:val="single"/>
              </w:rPr>
              <w:t xml:space="preserve"> </w:t>
            </w:r>
            <w:r>
              <w:rPr>
                <w:sz w:val="21"/>
              </w:rPr>
              <w:t>（项目名称）（资格审查部分或商务标部分或</w:t>
            </w:r>
            <w:r>
              <w:rPr>
                <w:spacing w:val="-3"/>
                <w:sz w:val="21"/>
              </w:rPr>
              <w:t>技术标部分或企业信誉实力部分</w:t>
            </w:r>
            <w:r>
              <w:rPr>
                <w:sz w:val="21"/>
              </w:rPr>
              <w:t>）</w:t>
            </w:r>
          </w:p>
          <w:p>
            <w:pPr>
              <w:pStyle w:val="33"/>
              <w:tabs>
                <w:tab w:val="left" w:pos="3299"/>
                <w:tab w:val="left" w:pos="3405"/>
              </w:tabs>
              <w:spacing w:before="20" w:line="314" w:lineRule="auto"/>
              <w:ind w:left="102" w:right="1995"/>
              <w:rPr>
                <w:rFonts w:ascii="Times New Roman" w:eastAsia="Times New Roman"/>
                <w:sz w:val="21"/>
              </w:rPr>
            </w:pPr>
            <w:r>
              <w:rPr>
                <w:sz w:val="21"/>
              </w:rPr>
              <w:t>投标</w:t>
            </w:r>
            <w:r>
              <w:rPr>
                <w:spacing w:val="-3"/>
                <w:sz w:val="21"/>
              </w:rPr>
              <w:t>人</w:t>
            </w:r>
            <w:r>
              <w:rPr>
                <w:sz w:val="21"/>
              </w:rPr>
              <w:t>地</w:t>
            </w:r>
            <w:r>
              <w:rPr>
                <w:spacing w:val="-3"/>
                <w:sz w:val="21"/>
              </w:rPr>
              <w:t>址</w:t>
            </w:r>
            <w:r>
              <w:rPr>
                <w:sz w:val="21"/>
              </w:rPr>
              <w:t>：</w:t>
            </w:r>
            <w:r>
              <w:rPr>
                <w:sz w:val="21"/>
                <w:u w:val="single"/>
              </w:rPr>
              <w:tab/>
            </w:r>
            <w:r>
              <w:rPr>
                <w:sz w:val="21"/>
                <w:u w:val="single"/>
              </w:rPr>
              <w:tab/>
            </w:r>
            <w:r>
              <w:rPr>
                <w:sz w:val="21"/>
                <w:u w:val="single"/>
              </w:rPr>
              <w:t xml:space="preserve">                  </w:t>
            </w:r>
            <w:r>
              <w:rPr>
                <w:sz w:val="21"/>
              </w:rPr>
              <w:t>投标</w:t>
            </w:r>
            <w:r>
              <w:rPr>
                <w:spacing w:val="-3"/>
                <w:sz w:val="21"/>
              </w:rPr>
              <w:t>人</w:t>
            </w:r>
            <w:r>
              <w:rPr>
                <w:sz w:val="21"/>
              </w:rPr>
              <w:t>名</w:t>
            </w:r>
            <w:r>
              <w:rPr>
                <w:spacing w:val="-3"/>
                <w:sz w:val="21"/>
              </w:rPr>
              <w:t>称</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33"/>
              <w:spacing w:before="20"/>
              <w:ind w:left="102"/>
              <w:jc w:val="both"/>
              <w:rPr>
                <w:sz w:val="21"/>
              </w:rPr>
            </w:pPr>
            <w:r>
              <w:rPr>
                <w:spacing w:val="-11"/>
                <w:sz w:val="21"/>
              </w:rPr>
              <w:t xml:space="preserve">投标文件在 </w:t>
            </w:r>
            <w:r>
              <w:rPr>
                <w:sz w:val="21"/>
              </w:rPr>
              <w:t>20</w:t>
            </w:r>
            <w:r>
              <w:rPr>
                <w:rFonts w:hint="eastAsia"/>
                <w:sz w:val="21"/>
                <w:lang w:val="en-US" w:eastAsia="zh-CN"/>
              </w:rPr>
              <w:t>20</w:t>
            </w:r>
            <w:r>
              <w:rPr>
                <w:spacing w:val="-36"/>
                <w:sz w:val="21"/>
              </w:rPr>
              <w:t xml:space="preserve"> 年 </w:t>
            </w:r>
            <w:r>
              <w:rPr>
                <w:rFonts w:hint="eastAsia"/>
                <w:sz w:val="21"/>
                <w:lang w:val="en-US" w:eastAsia="zh-CN"/>
              </w:rPr>
              <w:t xml:space="preserve">  </w:t>
            </w:r>
            <w:r>
              <w:rPr>
                <w:spacing w:val="-36"/>
                <w:sz w:val="21"/>
              </w:rPr>
              <w:t xml:space="preserve">月 </w:t>
            </w:r>
            <w:r>
              <w:rPr>
                <w:rFonts w:hint="eastAsia"/>
                <w:sz w:val="21"/>
                <w:lang w:val="en-US" w:eastAsia="zh-CN"/>
              </w:rPr>
              <w:t xml:space="preserve">  </w:t>
            </w:r>
            <w:r>
              <w:rPr>
                <w:spacing w:val="-35"/>
                <w:sz w:val="21"/>
              </w:rPr>
              <w:t xml:space="preserve"> 日 </w:t>
            </w:r>
            <w:r>
              <w:rPr>
                <w:sz w:val="21"/>
              </w:rPr>
              <w:t>10</w:t>
            </w:r>
            <w:r>
              <w:rPr>
                <w:spacing w:val="-35"/>
                <w:sz w:val="21"/>
              </w:rPr>
              <w:t xml:space="preserve"> 时 </w:t>
            </w:r>
            <w:r>
              <w:rPr>
                <w:sz w:val="21"/>
              </w:rPr>
              <w:t>30</w:t>
            </w:r>
            <w:r>
              <w:rPr>
                <w:spacing w:val="-10"/>
                <w:sz w:val="21"/>
              </w:rPr>
              <w:t xml:space="preserve"> 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05" w:type="dxa"/>
            <w:gridSpan w:val="2"/>
          </w:tcPr>
          <w:p>
            <w:pPr>
              <w:pStyle w:val="33"/>
              <w:spacing w:before="42"/>
              <w:ind w:right="328"/>
              <w:jc w:val="right"/>
              <w:rPr>
                <w:sz w:val="21"/>
              </w:rPr>
            </w:pPr>
            <w:r>
              <w:rPr>
                <w:sz w:val="21"/>
              </w:rPr>
              <w:t>4.2.1</w:t>
            </w:r>
          </w:p>
        </w:tc>
        <w:tc>
          <w:tcPr>
            <w:tcW w:w="2785" w:type="dxa"/>
            <w:gridSpan w:val="3"/>
          </w:tcPr>
          <w:p>
            <w:pPr>
              <w:pStyle w:val="33"/>
              <w:spacing w:before="42"/>
              <w:ind w:left="102"/>
              <w:rPr>
                <w:sz w:val="21"/>
              </w:rPr>
            </w:pPr>
            <w:r>
              <w:rPr>
                <w:sz w:val="21"/>
              </w:rPr>
              <w:t>投标截止时间</w:t>
            </w:r>
          </w:p>
        </w:tc>
        <w:tc>
          <w:tcPr>
            <w:tcW w:w="5667" w:type="dxa"/>
          </w:tcPr>
          <w:p>
            <w:pPr>
              <w:pStyle w:val="33"/>
              <w:spacing w:before="42"/>
              <w:ind w:left="102"/>
              <w:rPr>
                <w:sz w:val="21"/>
              </w:rPr>
            </w:pPr>
            <w:r>
              <w:rPr>
                <w:sz w:val="21"/>
              </w:rPr>
              <w:t>20</w:t>
            </w:r>
            <w:r>
              <w:rPr>
                <w:rFonts w:hint="eastAsia"/>
                <w:sz w:val="21"/>
                <w:lang w:val="en-US" w:eastAsia="zh-CN"/>
              </w:rPr>
              <w:t>20</w:t>
            </w:r>
            <w:r>
              <w:rPr>
                <w:sz w:val="21"/>
              </w:rPr>
              <w:t xml:space="preserve">年 </w:t>
            </w:r>
            <w:r>
              <w:rPr>
                <w:rFonts w:hint="eastAsia"/>
                <w:sz w:val="21"/>
                <w:lang w:val="en-US" w:eastAsia="zh-CN"/>
              </w:rPr>
              <w:t>4</w:t>
            </w:r>
            <w:r>
              <w:rPr>
                <w:sz w:val="21"/>
              </w:rPr>
              <w:t xml:space="preserve"> 月 </w:t>
            </w:r>
            <w:r>
              <w:rPr>
                <w:rFonts w:hint="eastAsia"/>
                <w:sz w:val="21"/>
                <w:lang w:val="en-US" w:eastAsia="zh-CN"/>
              </w:rPr>
              <w:t>29</w:t>
            </w:r>
            <w:r>
              <w:rPr>
                <w:sz w:val="21"/>
              </w:rPr>
              <w:t xml:space="preserve"> 日 10 时 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205" w:type="dxa"/>
            <w:gridSpan w:val="2"/>
          </w:tcPr>
          <w:p>
            <w:pPr>
              <w:pStyle w:val="33"/>
              <w:spacing w:before="42"/>
              <w:ind w:right="328"/>
              <w:jc w:val="right"/>
              <w:rPr>
                <w:sz w:val="21"/>
              </w:rPr>
            </w:pPr>
            <w:r>
              <w:rPr>
                <w:sz w:val="21"/>
              </w:rPr>
              <w:t>4.2.2</w:t>
            </w:r>
          </w:p>
        </w:tc>
        <w:tc>
          <w:tcPr>
            <w:tcW w:w="2785" w:type="dxa"/>
            <w:gridSpan w:val="3"/>
          </w:tcPr>
          <w:p>
            <w:pPr>
              <w:pStyle w:val="33"/>
              <w:spacing w:before="42"/>
              <w:ind w:left="102"/>
              <w:rPr>
                <w:sz w:val="21"/>
              </w:rPr>
            </w:pPr>
            <w:r>
              <w:rPr>
                <w:sz w:val="21"/>
              </w:rPr>
              <w:t>递交投标文件地点</w:t>
            </w:r>
          </w:p>
        </w:tc>
        <w:tc>
          <w:tcPr>
            <w:tcW w:w="5667" w:type="dxa"/>
          </w:tcPr>
          <w:p>
            <w:pPr>
              <w:pStyle w:val="33"/>
              <w:spacing w:before="42"/>
              <w:ind w:left="102"/>
              <w:rPr>
                <w:sz w:val="21"/>
              </w:rPr>
            </w:pPr>
            <w:r>
              <w:rPr>
                <w:sz w:val="21"/>
              </w:rPr>
              <w:t>桂林市公共资源交易中心(广西桂林市临桂区西城中路 69</w:t>
            </w:r>
          </w:p>
          <w:p>
            <w:pPr>
              <w:pStyle w:val="33"/>
              <w:tabs>
                <w:tab w:val="left" w:pos="3045"/>
              </w:tabs>
              <w:spacing w:before="84"/>
              <w:ind w:left="102"/>
              <w:rPr>
                <w:sz w:val="21"/>
              </w:rPr>
            </w:pPr>
            <w:r>
              <w:rPr>
                <w:sz w:val="21"/>
              </w:rPr>
              <w:t>号创</w:t>
            </w:r>
            <w:r>
              <w:rPr>
                <w:spacing w:val="-3"/>
                <w:sz w:val="21"/>
              </w:rPr>
              <w:t>业</w:t>
            </w:r>
            <w:r>
              <w:rPr>
                <w:sz w:val="21"/>
              </w:rPr>
              <w:t>大</w:t>
            </w:r>
            <w:r>
              <w:rPr>
                <w:spacing w:val="-3"/>
                <w:sz w:val="21"/>
              </w:rPr>
              <w:t>厦</w:t>
            </w:r>
            <w:r>
              <w:rPr>
                <w:sz w:val="21"/>
              </w:rPr>
              <w:t>西</w:t>
            </w:r>
            <w:r>
              <w:rPr>
                <w:spacing w:val="-3"/>
                <w:sz w:val="21"/>
              </w:rPr>
              <w:t>辅</w:t>
            </w:r>
            <w:r>
              <w:rPr>
                <w:sz w:val="21"/>
              </w:rPr>
              <w:t>楼</w:t>
            </w:r>
            <w:r>
              <w:rPr>
                <w:spacing w:val="-51"/>
                <w:sz w:val="21"/>
              </w:rPr>
              <w:t xml:space="preserve"> </w:t>
            </w:r>
            <w:r>
              <w:rPr>
                <w:sz w:val="21"/>
              </w:rPr>
              <w:t>4</w:t>
            </w:r>
            <w:r>
              <w:rPr>
                <w:spacing w:val="-54"/>
                <w:sz w:val="21"/>
              </w:rPr>
              <w:t xml:space="preserve"> </w:t>
            </w:r>
            <w:r>
              <w:rPr>
                <w:sz w:val="21"/>
              </w:rPr>
              <w:t>楼</w:t>
            </w:r>
            <w:r>
              <w:rPr>
                <w:spacing w:val="-3"/>
                <w:sz w:val="21"/>
              </w:rPr>
              <w:t>北</w:t>
            </w:r>
            <w:r>
              <w:rPr>
                <w:sz w:val="21"/>
              </w:rPr>
              <w:t>）</w:t>
            </w:r>
            <w:r>
              <w:rPr>
                <w:spacing w:val="3"/>
                <w:sz w:val="21"/>
                <w:u w:val="single"/>
              </w:rPr>
              <w:t xml:space="preserve"> </w:t>
            </w:r>
            <w:r>
              <w:rPr>
                <w:rFonts w:hint="eastAsia"/>
                <w:sz w:val="21"/>
                <w:u w:val="single"/>
                <w:lang w:val="en-US" w:eastAsia="zh-CN"/>
              </w:rPr>
              <w:t xml:space="preserve">7 </w:t>
            </w:r>
            <w:r>
              <w:rPr>
                <w:sz w:val="21"/>
              </w:rPr>
              <w:t>号</w:t>
            </w:r>
            <w:r>
              <w:rPr>
                <w:spacing w:val="-3"/>
                <w:sz w:val="21"/>
              </w:rPr>
              <w:t>开</w:t>
            </w:r>
            <w:r>
              <w:rPr>
                <w:sz w:val="21"/>
              </w:rPr>
              <w:t>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205" w:type="dxa"/>
            <w:gridSpan w:val="2"/>
          </w:tcPr>
          <w:p>
            <w:pPr>
              <w:pStyle w:val="33"/>
              <w:spacing w:before="42"/>
              <w:ind w:right="328"/>
              <w:jc w:val="right"/>
              <w:rPr>
                <w:sz w:val="21"/>
              </w:rPr>
            </w:pPr>
            <w:r>
              <w:rPr>
                <w:sz w:val="21"/>
              </w:rPr>
              <w:t>4.2.3</w:t>
            </w:r>
          </w:p>
        </w:tc>
        <w:tc>
          <w:tcPr>
            <w:tcW w:w="2785" w:type="dxa"/>
            <w:gridSpan w:val="3"/>
          </w:tcPr>
          <w:p>
            <w:pPr>
              <w:pStyle w:val="33"/>
              <w:spacing w:before="42"/>
              <w:ind w:left="102"/>
              <w:rPr>
                <w:sz w:val="21"/>
              </w:rPr>
            </w:pPr>
            <w:r>
              <w:rPr>
                <w:sz w:val="21"/>
              </w:rPr>
              <w:t>是否退还投标文件</w:t>
            </w:r>
          </w:p>
        </w:tc>
        <w:tc>
          <w:tcPr>
            <w:tcW w:w="5667" w:type="dxa"/>
          </w:tcPr>
          <w:p>
            <w:pPr>
              <w:pStyle w:val="33"/>
              <w:spacing w:before="42"/>
              <w:ind w:left="102"/>
              <w:rPr>
                <w:sz w:val="21"/>
              </w:rPr>
            </w:pPr>
            <w:r>
              <w:rPr>
                <w:w w:val="100"/>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trPr>
        <w:tc>
          <w:tcPr>
            <w:tcW w:w="1205" w:type="dxa"/>
            <w:gridSpan w:val="2"/>
          </w:tcPr>
          <w:p>
            <w:pPr>
              <w:pStyle w:val="33"/>
              <w:spacing w:before="42"/>
              <w:ind w:right="434"/>
              <w:jc w:val="right"/>
              <w:rPr>
                <w:sz w:val="21"/>
              </w:rPr>
            </w:pPr>
            <w:r>
              <w:rPr>
                <w:sz w:val="21"/>
              </w:rPr>
              <w:t>5.1</w:t>
            </w:r>
          </w:p>
        </w:tc>
        <w:tc>
          <w:tcPr>
            <w:tcW w:w="2785" w:type="dxa"/>
            <w:gridSpan w:val="3"/>
          </w:tcPr>
          <w:p>
            <w:pPr>
              <w:pStyle w:val="33"/>
              <w:spacing w:before="42"/>
              <w:ind w:left="102"/>
              <w:rPr>
                <w:sz w:val="21"/>
              </w:rPr>
            </w:pPr>
            <w:r>
              <w:rPr>
                <w:sz w:val="21"/>
              </w:rPr>
              <w:t>开标时间和地点</w:t>
            </w:r>
          </w:p>
        </w:tc>
        <w:tc>
          <w:tcPr>
            <w:tcW w:w="5667" w:type="dxa"/>
          </w:tcPr>
          <w:p>
            <w:pPr>
              <w:pStyle w:val="33"/>
              <w:spacing w:before="42"/>
              <w:ind w:left="102"/>
              <w:jc w:val="both"/>
              <w:rPr>
                <w:sz w:val="21"/>
              </w:rPr>
            </w:pPr>
            <w:r>
              <w:rPr>
                <w:sz w:val="21"/>
              </w:rPr>
              <w:t>1.开标时间：同投标截止时间</w:t>
            </w:r>
          </w:p>
          <w:p>
            <w:pPr>
              <w:pStyle w:val="33"/>
              <w:spacing w:before="84"/>
              <w:ind w:left="102"/>
              <w:jc w:val="both"/>
              <w:rPr>
                <w:sz w:val="21"/>
              </w:rPr>
            </w:pPr>
            <w:r>
              <w:rPr>
                <w:sz w:val="21"/>
              </w:rPr>
              <w:t>2.开标地点：同递交投标文件地点</w:t>
            </w:r>
          </w:p>
          <w:p>
            <w:pPr>
              <w:pStyle w:val="33"/>
              <w:spacing w:line="360" w:lineRule="atLeast"/>
              <w:ind w:left="102" w:right="96"/>
              <w:jc w:val="both"/>
              <w:rPr>
                <w:sz w:val="21"/>
              </w:rPr>
            </w:pPr>
            <w:r>
              <w:rPr>
                <w:sz w:val="21"/>
              </w:rPr>
              <w:t>3.</w:t>
            </w:r>
            <w:r>
              <w:rPr>
                <w:spacing w:val="-8"/>
                <w:sz w:val="21"/>
              </w:rPr>
              <w:t>投标人递交投标文件时，投标人可以由法定代表人或其委托代理人凭本人身份证原件出席开标会议</w:t>
            </w:r>
            <w:r>
              <w:rPr>
                <w:sz w:val="21"/>
              </w:rPr>
              <w:t>（</w:t>
            </w:r>
            <w:r>
              <w:rPr>
                <w:spacing w:val="-2"/>
                <w:sz w:val="21"/>
              </w:rPr>
              <w:t>委托代理人</w:t>
            </w:r>
            <w:r>
              <w:rPr>
                <w:spacing w:val="-3"/>
                <w:sz w:val="21"/>
              </w:rPr>
              <w:t>出席还应携带法定代表人授权委托书原件</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05" w:type="dxa"/>
            <w:gridSpan w:val="2"/>
          </w:tcPr>
          <w:p>
            <w:pPr>
              <w:pStyle w:val="33"/>
              <w:spacing w:before="42"/>
              <w:ind w:right="434"/>
              <w:jc w:val="right"/>
              <w:rPr>
                <w:sz w:val="21"/>
              </w:rPr>
            </w:pPr>
            <w:r>
              <w:rPr>
                <w:sz w:val="21"/>
              </w:rPr>
              <w:t>5.2</w:t>
            </w:r>
          </w:p>
        </w:tc>
        <w:tc>
          <w:tcPr>
            <w:tcW w:w="2785" w:type="dxa"/>
            <w:gridSpan w:val="3"/>
          </w:tcPr>
          <w:p>
            <w:pPr>
              <w:pStyle w:val="33"/>
              <w:spacing w:before="42"/>
              <w:ind w:left="102"/>
              <w:rPr>
                <w:sz w:val="21"/>
              </w:rPr>
            </w:pPr>
            <w:r>
              <w:rPr>
                <w:sz w:val="21"/>
              </w:rPr>
              <w:t>开标程序</w:t>
            </w:r>
          </w:p>
        </w:tc>
        <w:tc>
          <w:tcPr>
            <w:tcW w:w="5667" w:type="dxa"/>
          </w:tcPr>
          <w:p>
            <w:pPr>
              <w:pStyle w:val="33"/>
              <w:spacing w:before="42"/>
              <w:ind w:left="102"/>
              <w:rPr>
                <w:sz w:val="21"/>
              </w:rPr>
            </w:pPr>
            <w:r>
              <w:rPr>
                <w:sz w:val="21"/>
              </w:rPr>
              <w:t>见投标人须知 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205" w:type="dxa"/>
            <w:gridSpan w:val="2"/>
          </w:tcPr>
          <w:p>
            <w:pPr>
              <w:pStyle w:val="33"/>
              <w:spacing w:before="45"/>
              <w:ind w:right="434"/>
              <w:jc w:val="right"/>
              <w:rPr>
                <w:sz w:val="21"/>
              </w:rPr>
            </w:pPr>
            <w:r>
              <w:rPr>
                <w:sz w:val="21"/>
              </w:rPr>
              <w:t>6.1</w:t>
            </w:r>
          </w:p>
        </w:tc>
        <w:tc>
          <w:tcPr>
            <w:tcW w:w="2785" w:type="dxa"/>
            <w:gridSpan w:val="3"/>
          </w:tcPr>
          <w:p>
            <w:pPr>
              <w:pStyle w:val="33"/>
              <w:spacing w:before="45"/>
              <w:ind w:left="102"/>
              <w:rPr>
                <w:sz w:val="21"/>
              </w:rPr>
            </w:pPr>
            <w:r>
              <w:rPr>
                <w:sz w:val="21"/>
              </w:rPr>
              <w:t>评标委员会的组建</w:t>
            </w:r>
          </w:p>
        </w:tc>
        <w:tc>
          <w:tcPr>
            <w:tcW w:w="5667" w:type="dxa"/>
          </w:tcPr>
          <w:p>
            <w:pPr>
              <w:pStyle w:val="33"/>
              <w:spacing w:before="45"/>
              <w:ind w:left="102"/>
              <w:rPr>
                <w:sz w:val="21"/>
                <w:highlight w:val="none"/>
              </w:rPr>
            </w:pPr>
            <w:r>
              <w:rPr>
                <w:spacing w:val="-3"/>
                <w:sz w:val="21"/>
              </w:rPr>
              <w:t>评标委员会构成：</w:t>
            </w:r>
            <w:r>
              <w:rPr>
                <w:sz w:val="21"/>
              </w:rPr>
              <w:t>5</w:t>
            </w:r>
            <w:r>
              <w:rPr>
                <w:spacing w:val="-13"/>
                <w:sz w:val="21"/>
              </w:rPr>
              <w:t xml:space="preserve"> 人，</w:t>
            </w:r>
            <w:r>
              <w:rPr>
                <w:spacing w:val="-13"/>
                <w:sz w:val="21"/>
                <w:highlight w:val="none"/>
              </w:rPr>
              <w:t xml:space="preserve">其中采购人代表 </w:t>
            </w:r>
            <w:r>
              <w:rPr>
                <w:rFonts w:hint="eastAsia"/>
                <w:sz w:val="21"/>
                <w:highlight w:val="none"/>
                <w:lang w:val="en-US" w:eastAsia="zh-CN"/>
              </w:rPr>
              <w:t>1</w:t>
            </w:r>
            <w:r>
              <w:rPr>
                <w:spacing w:val="-9"/>
                <w:sz w:val="21"/>
                <w:highlight w:val="none"/>
              </w:rPr>
              <w:t>人，专家评委</w:t>
            </w:r>
          </w:p>
          <w:p>
            <w:pPr>
              <w:pStyle w:val="33"/>
              <w:spacing w:before="85"/>
              <w:ind w:left="102"/>
              <w:rPr>
                <w:sz w:val="21"/>
                <w:highlight w:val="none"/>
              </w:rPr>
            </w:pPr>
            <w:r>
              <w:rPr>
                <w:rFonts w:hint="eastAsia"/>
                <w:sz w:val="21"/>
                <w:highlight w:val="none"/>
                <w:lang w:val="en-US" w:eastAsia="zh-CN"/>
              </w:rPr>
              <w:t>4</w:t>
            </w:r>
            <w:r>
              <w:rPr>
                <w:sz w:val="21"/>
                <w:highlight w:val="none"/>
              </w:rPr>
              <w:t xml:space="preserve"> 人。</w:t>
            </w:r>
          </w:p>
          <w:p>
            <w:pPr>
              <w:pStyle w:val="33"/>
              <w:spacing w:before="85"/>
              <w:ind w:left="102"/>
              <w:rPr>
                <w:sz w:val="21"/>
              </w:rPr>
            </w:pPr>
            <w:r>
              <w:rPr>
                <w:sz w:val="21"/>
              </w:rPr>
              <w:t>评标专家确定方式：开标前从专家库中随机抽取。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5" w:type="dxa"/>
            <w:gridSpan w:val="2"/>
          </w:tcPr>
          <w:p>
            <w:pPr>
              <w:pStyle w:val="33"/>
              <w:spacing w:before="45"/>
              <w:ind w:right="434"/>
              <w:jc w:val="right"/>
              <w:rPr>
                <w:sz w:val="21"/>
              </w:rPr>
            </w:pPr>
            <w:r>
              <w:rPr>
                <w:sz w:val="21"/>
              </w:rPr>
              <w:t>6.3</w:t>
            </w:r>
          </w:p>
        </w:tc>
        <w:tc>
          <w:tcPr>
            <w:tcW w:w="2785" w:type="dxa"/>
            <w:gridSpan w:val="3"/>
          </w:tcPr>
          <w:p>
            <w:pPr>
              <w:pStyle w:val="33"/>
              <w:spacing w:before="45"/>
              <w:ind w:left="102"/>
              <w:rPr>
                <w:sz w:val="21"/>
              </w:rPr>
            </w:pPr>
            <w:r>
              <w:rPr>
                <w:sz w:val="21"/>
              </w:rPr>
              <w:t>评标方式</w:t>
            </w:r>
          </w:p>
        </w:tc>
        <w:tc>
          <w:tcPr>
            <w:tcW w:w="5667" w:type="dxa"/>
          </w:tcPr>
          <w:p>
            <w:pPr>
              <w:pStyle w:val="33"/>
              <w:spacing w:before="45"/>
              <w:ind w:left="102"/>
              <w:rPr>
                <w:sz w:val="21"/>
              </w:rPr>
            </w:pPr>
            <w:r>
              <w:rPr>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205" w:type="dxa"/>
            <w:gridSpan w:val="2"/>
          </w:tcPr>
          <w:p>
            <w:pPr>
              <w:pStyle w:val="33"/>
              <w:spacing w:before="45"/>
              <w:ind w:right="434"/>
              <w:jc w:val="right"/>
              <w:rPr>
                <w:sz w:val="21"/>
              </w:rPr>
            </w:pPr>
            <w:r>
              <w:rPr>
                <w:sz w:val="21"/>
              </w:rPr>
              <w:t>6.5</w:t>
            </w:r>
          </w:p>
        </w:tc>
        <w:tc>
          <w:tcPr>
            <w:tcW w:w="2785" w:type="dxa"/>
            <w:gridSpan w:val="3"/>
          </w:tcPr>
          <w:p>
            <w:pPr>
              <w:pStyle w:val="33"/>
              <w:spacing w:before="45"/>
              <w:ind w:left="102"/>
              <w:rPr>
                <w:sz w:val="21"/>
              </w:rPr>
            </w:pPr>
            <w:r>
              <w:rPr>
                <w:sz w:val="21"/>
              </w:rPr>
              <w:t>评标资料封存方式</w:t>
            </w:r>
          </w:p>
        </w:tc>
        <w:tc>
          <w:tcPr>
            <w:tcW w:w="5667" w:type="dxa"/>
          </w:tcPr>
          <w:p>
            <w:pPr>
              <w:pStyle w:val="33"/>
              <w:spacing w:before="45"/>
              <w:ind w:left="102"/>
              <w:rPr>
                <w:sz w:val="21"/>
              </w:rPr>
            </w:pPr>
            <w:r>
              <w:rPr>
                <w:sz w:val="21"/>
              </w:rPr>
              <w:t>在桂林市公共资源交易中心封存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205" w:type="dxa"/>
            <w:gridSpan w:val="2"/>
          </w:tcPr>
          <w:p>
            <w:pPr>
              <w:pStyle w:val="33"/>
              <w:spacing w:before="117"/>
              <w:ind w:right="328"/>
              <w:jc w:val="right"/>
              <w:rPr>
                <w:sz w:val="21"/>
              </w:rPr>
            </w:pPr>
            <w:r>
              <w:rPr>
                <w:sz w:val="21"/>
              </w:rPr>
              <w:t>6.6.1</w:t>
            </w:r>
          </w:p>
        </w:tc>
        <w:tc>
          <w:tcPr>
            <w:tcW w:w="2785" w:type="dxa"/>
            <w:gridSpan w:val="3"/>
          </w:tcPr>
          <w:p>
            <w:pPr>
              <w:pStyle w:val="33"/>
              <w:spacing w:before="117"/>
              <w:ind w:left="102"/>
              <w:rPr>
                <w:sz w:val="21"/>
              </w:rPr>
            </w:pPr>
            <w:r>
              <w:rPr>
                <w:sz w:val="21"/>
              </w:rPr>
              <w:t>中标候选人公示的媒介</w:t>
            </w:r>
          </w:p>
        </w:tc>
        <w:tc>
          <w:tcPr>
            <w:tcW w:w="5667" w:type="dxa"/>
          </w:tcPr>
          <w:p>
            <w:pPr>
              <w:pStyle w:val="33"/>
              <w:spacing w:before="117"/>
              <w:ind w:left="102"/>
              <w:rPr>
                <w:sz w:val="21"/>
              </w:rPr>
            </w:pPr>
            <w:r>
              <w:rPr>
                <w:sz w:val="21"/>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205" w:type="dxa"/>
            <w:gridSpan w:val="2"/>
          </w:tcPr>
          <w:p>
            <w:pPr>
              <w:pStyle w:val="33"/>
              <w:spacing w:before="42"/>
              <w:ind w:right="434"/>
              <w:jc w:val="right"/>
              <w:rPr>
                <w:sz w:val="21"/>
              </w:rPr>
            </w:pPr>
            <w:r>
              <w:rPr>
                <w:sz w:val="21"/>
              </w:rPr>
              <w:t>7.1</w:t>
            </w:r>
          </w:p>
        </w:tc>
        <w:tc>
          <w:tcPr>
            <w:tcW w:w="2785" w:type="dxa"/>
            <w:gridSpan w:val="3"/>
          </w:tcPr>
          <w:p>
            <w:pPr>
              <w:pStyle w:val="33"/>
              <w:spacing w:line="360" w:lineRule="exact"/>
              <w:ind w:left="102" w:right="7"/>
              <w:rPr>
                <w:sz w:val="21"/>
              </w:rPr>
            </w:pPr>
            <w:r>
              <w:rPr>
                <w:sz w:val="21"/>
              </w:rPr>
              <w:t>是否授权评标委员会确定中标人</w:t>
            </w:r>
          </w:p>
        </w:tc>
        <w:tc>
          <w:tcPr>
            <w:tcW w:w="5667" w:type="dxa"/>
          </w:tcPr>
          <w:p>
            <w:pPr>
              <w:pStyle w:val="33"/>
              <w:spacing w:before="42"/>
              <w:ind w:left="102"/>
              <w:rPr>
                <w:sz w:val="21"/>
              </w:rPr>
            </w:pPr>
            <w:r>
              <w:rPr>
                <w:sz w:val="21"/>
              </w:rPr>
              <w:t>□是</w:t>
            </w:r>
          </w:p>
          <w:p>
            <w:pPr>
              <w:pStyle w:val="33"/>
              <w:spacing w:before="84"/>
              <w:ind w:left="102"/>
              <w:rPr>
                <w:sz w:val="21"/>
              </w:rPr>
            </w:pPr>
            <w:r>
              <w:rPr>
                <w:rFonts w:hint="eastAsia" w:ascii="MS Mincho" w:hAnsi="MS Mincho" w:eastAsia="MS Mincho"/>
                <w:sz w:val="21"/>
              </w:rPr>
              <w:t>☑</w:t>
            </w:r>
            <w:r>
              <w:rPr>
                <w:sz w:val="21"/>
              </w:rPr>
              <w:t>否，推荐的中标候选人数：3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trPr>
        <w:tc>
          <w:tcPr>
            <w:tcW w:w="1205" w:type="dxa"/>
            <w:gridSpan w:val="2"/>
          </w:tcPr>
          <w:p>
            <w:pPr>
              <w:pStyle w:val="33"/>
              <w:spacing w:before="42"/>
              <w:ind w:left="336"/>
              <w:rPr>
                <w:sz w:val="21"/>
              </w:rPr>
            </w:pPr>
            <w:r>
              <w:rPr>
                <w:sz w:val="21"/>
              </w:rPr>
              <w:t>7.3.1</w:t>
            </w:r>
          </w:p>
        </w:tc>
        <w:tc>
          <w:tcPr>
            <w:tcW w:w="2785" w:type="dxa"/>
            <w:gridSpan w:val="3"/>
          </w:tcPr>
          <w:p>
            <w:pPr>
              <w:pStyle w:val="33"/>
              <w:spacing w:before="42"/>
              <w:ind w:left="102"/>
              <w:rPr>
                <w:sz w:val="21"/>
              </w:rPr>
            </w:pPr>
            <w:r>
              <w:rPr>
                <w:sz w:val="21"/>
              </w:rPr>
              <w:t>履约保证金</w:t>
            </w:r>
          </w:p>
        </w:tc>
        <w:tc>
          <w:tcPr>
            <w:tcW w:w="5667" w:type="dxa"/>
          </w:tcPr>
          <w:p>
            <w:pPr>
              <w:pStyle w:val="33"/>
              <w:tabs>
                <w:tab w:val="left" w:pos="719"/>
              </w:tabs>
              <w:spacing w:before="42" w:line="314" w:lineRule="auto"/>
              <w:ind w:left="88" w:right="96"/>
              <w:rPr>
                <w:sz w:val="21"/>
              </w:rPr>
            </w:pPr>
            <w:r>
              <w:rPr>
                <w:rFonts w:hint="eastAsia" w:ascii="MS Mincho" w:hAnsi="MS Mincho" w:eastAsia="MS Mincho"/>
                <w:sz w:val="21"/>
              </w:rPr>
              <w:t>☑</w:t>
            </w:r>
            <w:r>
              <w:rPr>
                <w:sz w:val="21"/>
              </w:rPr>
              <w:t>是</w:t>
            </w:r>
            <w:r>
              <w:rPr>
                <w:sz w:val="21"/>
              </w:rPr>
              <w:tab/>
            </w:r>
            <w:r>
              <w:rPr>
                <w:sz w:val="21"/>
              </w:rPr>
              <w:t>履</w:t>
            </w:r>
            <w:r>
              <w:rPr>
                <w:spacing w:val="-3"/>
                <w:sz w:val="21"/>
              </w:rPr>
              <w:t>约</w:t>
            </w:r>
            <w:r>
              <w:rPr>
                <w:sz w:val="21"/>
              </w:rPr>
              <w:t>保</w:t>
            </w:r>
            <w:r>
              <w:rPr>
                <w:spacing w:val="-3"/>
                <w:sz w:val="21"/>
              </w:rPr>
              <w:t>证</w:t>
            </w:r>
            <w:r>
              <w:rPr>
                <w:sz w:val="21"/>
              </w:rPr>
              <w:t>金</w:t>
            </w:r>
            <w:r>
              <w:rPr>
                <w:spacing w:val="-3"/>
                <w:sz w:val="21"/>
              </w:rPr>
              <w:t>的</w:t>
            </w:r>
            <w:r>
              <w:rPr>
                <w:sz w:val="21"/>
              </w:rPr>
              <w:t>形</w:t>
            </w:r>
            <w:r>
              <w:rPr>
                <w:spacing w:val="-3"/>
                <w:sz w:val="21"/>
              </w:rPr>
              <w:t>式</w:t>
            </w:r>
            <w:r>
              <w:rPr>
                <w:spacing w:val="-17"/>
                <w:sz w:val="21"/>
              </w:rPr>
              <w:t>：</w:t>
            </w:r>
            <w:r>
              <w:rPr>
                <w:spacing w:val="-3"/>
                <w:sz w:val="21"/>
              </w:rPr>
              <w:t>可</w:t>
            </w:r>
            <w:r>
              <w:rPr>
                <w:sz w:val="21"/>
              </w:rPr>
              <w:t>以</w:t>
            </w:r>
            <w:r>
              <w:rPr>
                <w:spacing w:val="-3"/>
                <w:sz w:val="21"/>
              </w:rPr>
              <w:t>采</w:t>
            </w:r>
            <w:r>
              <w:rPr>
                <w:sz w:val="21"/>
              </w:rPr>
              <w:t>用</w:t>
            </w:r>
            <w:r>
              <w:rPr>
                <w:spacing w:val="-3"/>
                <w:sz w:val="21"/>
              </w:rPr>
              <w:t>现金</w:t>
            </w:r>
            <w:r>
              <w:rPr>
                <w:spacing w:val="-17"/>
                <w:sz w:val="21"/>
              </w:rPr>
              <w:t>、</w:t>
            </w:r>
            <w:r>
              <w:rPr>
                <w:spacing w:val="-3"/>
                <w:sz w:val="21"/>
              </w:rPr>
              <w:t>银</w:t>
            </w:r>
            <w:r>
              <w:rPr>
                <w:sz w:val="21"/>
              </w:rPr>
              <w:t>行</w:t>
            </w:r>
            <w:r>
              <w:rPr>
                <w:spacing w:val="-3"/>
                <w:sz w:val="21"/>
              </w:rPr>
              <w:t>保</w:t>
            </w:r>
            <w:r>
              <w:rPr>
                <w:sz w:val="21"/>
              </w:rPr>
              <w:t>函</w:t>
            </w:r>
            <w:r>
              <w:rPr>
                <w:spacing w:val="-20"/>
                <w:sz w:val="21"/>
              </w:rPr>
              <w:t>、</w:t>
            </w:r>
            <w:r>
              <w:rPr>
                <w:sz w:val="21"/>
              </w:rPr>
              <w:t>工 程担</w:t>
            </w:r>
            <w:r>
              <w:rPr>
                <w:spacing w:val="-3"/>
                <w:sz w:val="21"/>
              </w:rPr>
              <w:t>保</w:t>
            </w:r>
            <w:r>
              <w:rPr>
                <w:sz w:val="21"/>
              </w:rPr>
              <w:t>或</w:t>
            </w:r>
            <w:r>
              <w:rPr>
                <w:spacing w:val="-3"/>
                <w:sz w:val="21"/>
              </w:rPr>
              <w:t>保</w:t>
            </w:r>
            <w:r>
              <w:rPr>
                <w:sz w:val="21"/>
              </w:rPr>
              <w:t>证</w:t>
            </w:r>
            <w:r>
              <w:rPr>
                <w:spacing w:val="-3"/>
                <w:sz w:val="21"/>
              </w:rPr>
              <w:t>保</w:t>
            </w:r>
            <w:r>
              <w:rPr>
                <w:sz w:val="21"/>
              </w:rPr>
              <w:t>险</w:t>
            </w:r>
            <w:r>
              <w:rPr>
                <w:spacing w:val="-3"/>
                <w:sz w:val="21"/>
              </w:rPr>
              <w:t>等</w:t>
            </w:r>
            <w:r>
              <w:rPr>
                <w:sz w:val="21"/>
              </w:rPr>
              <w:t>形</w:t>
            </w:r>
            <w:r>
              <w:rPr>
                <w:spacing w:val="-3"/>
                <w:sz w:val="21"/>
              </w:rPr>
              <w:t>式</w:t>
            </w:r>
            <w:r>
              <w:rPr>
                <w:sz w:val="21"/>
              </w:rPr>
              <w:t>。</w:t>
            </w:r>
          </w:p>
          <w:p>
            <w:pPr>
              <w:pStyle w:val="33"/>
              <w:spacing w:before="19"/>
              <w:ind w:left="88"/>
              <w:rPr>
                <w:sz w:val="21"/>
              </w:rPr>
            </w:pPr>
            <w:r>
              <w:rPr>
                <w:sz w:val="21"/>
              </w:rPr>
              <w:t>履约保证金的金额：合同价 5%</w:t>
            </w:r>
          </w:p>
          <w:p>
            <w:pPr>
              <w:pStyle w:val="33"/>
              <w:spacing w:before="84"/>
              <w:ind w:left="88"/>
              <w:rPr>
                <w:sz w:val="21"/>
              </w:rPr>
            </w:pPr>
            <w:r>
              <w:rPr>
                <w:sz w:val="21"/>
              </w:rPr>
              <w:t>提供履约保证金时间：合同签订前</w:t>
            </w:r>
          </w:p>
          <w:p>
            <w:pPr>
              <w:pStyle w:val="33"/>
              <w:spacing w:before="84"/>
              <w:ind w:left="88"/>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trPr>
        <w:tc>
          <w:tcPr>
            <w:tcW w:w="1205" w:type="dxa"/>
            <w:gridSpan w:val="2"/>
          </w:tcPr>
          <w:p>
            <w:pPr>
              <w:pStyle w:val="33"/>
              <w:spacing w:before="42"/>
              <w:ind w:left="336"/>
              <w:rPr>
                <w:sz w:val="21"/>
              </w:rPr>
            </w:pPr>
            <w:r>
              <w:rPr>
                <w:sz w:val="21"/>
              </w:rPr>
              <w:t>7.4.5</w:t>
            </w:r>
          </w:p>
        </w:tc>
        <w:tc>
          <w:tcPr>
            <w:tcW w:w="2785" w:type="dxa"/>
            <w:gridSpan w:val="3"/>
          </w:tcPr>
          <w:p>
            <w:pPr>
              <w:pStyle w:val="33"/>
              <w:spacing w:before="42"/>
              <w:ind w:left="102"/>
              <w:rPr>
                <w:sz w:val="21"/>
              </w:rPr>
            </w:pPr>
            <w:r>
              <w:rPr>
                <w:sz w:val="21"/>
              </w:rPr>
              <w:t>合同备案存档</w:t>
            </w:r>
          </w:p>
        </w:tc>
        <w:tc>
          <w:tcPr>
            <w:tcW w:w="5667" w:type="dxa"/>
          </w:tcPr>
          <w:p>
            <w:pPr>
              <w:pStyle w:val="33"/>
              <w:spacing w:line="360" w:lineRule="exact"/>
              <w:ind w:left="88" w:right="96"/>
              <w:jc w:val="both"/>
              <w:rPr>
                <w:sz w:val="21"/>
              </w:rPr>
            </w:pPr>
            <w:r>
              <w:rPr>
                <w:spacing w:val="0"/>
                <w:sz w:val="21"/>
              </w:rPr>
              <w:t xml:space="preserve">政府采购合同双方自签订之日起 </w:t>
            </w:r>
            <w:r>
              <w:rPr>
                <w:sz w:val="21"/>
              </w:rPr>
              <w:t>1 个工作日内将合同原</w:t>
            </w:r>
            <w:r>
              <w:rPr>
                <w:spacing w:val="-8"/>
                <w:sz w:val="21"/>
              </w:rPr>
              <w:t>件两份交招标代理机构。招标代理机构将政府采购合同在</w:t>
            </w:r>
            <w:r>
              <w:rPr>
                <w:spacing w:val="1"/>
                <w:sz w:val="21"/>
              </w:rPr>
              <w:t>省级以上人民政府财政部门指定媒体上公告并于合同签</w:t>
            </w:r>
            <w:r>
              <w:rPr>
                <w:spacing w:val="5"/>
                <w:sz w:val="21"/>
              </w:rPr>
              <w:t xml:space="preserve">订之日起 </w:t>
            </w:r>
            <w:r>
              <w:rPr>
                <w:sz w:val="21"/>
              </w:rPr>
              <w:t>7 个工作日内将一份合同原件送兴安县人民政</w:t>
            </w:r>
            <w:r>
              <w:rPr>
                <w:spacing w:val="-3"/>
                <w:sz w:val="21"/>
              </w:rPr>
              <w:t>府采购管理办公室备案，一份由招标代理机构存档。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205" w:type="dxa"/>
            <w:gridSpan w:val="2"/>
          </w:tcPr>
          <w:p>
            <w:pPr>
              <w:pStyle w:val="33"/>
              <w:spacing w:before="42"/>
              <w:jc w:val="center"/>
              <w:rPr>
                <w:sz w:val="21"/>
              </w:rPr>
            </w:pPr>
            <w:r>
              <w:rPr>
                <w:w w:val="100"/>
                <w:sz w:val="21"/>
              </w:rPr>
              <w:t>8</w:t>
            </w:r>
          </w:p>
        </w:tc>
        <w:tc>
          <w:tcPr>
            <w:tcW w:w="2785" w:type="dxa"/>
            <w:gridSpan w:val="3"/>
          </w:tcPr>
          <w:p>
            <w:pPr>
              <w:pStyle w:val="33"/>
              <w:spacing w:before="42"/>
              <w:ind w:left="102"/>
              <w:rPr>
                <w:sz w:val="21"/>
              </w:rPr>
            </w:pPr>
            <w:r>
              <w:rPr>
                <w:sz w:val="21"/>
              </w:rPr>
              <w:t>重新招标和不再招标的情形</w:t>
            </w:r>
          </w:p>
        </w:tc>
        <w:tc>
          <w:tcPr>
            <w:tcW w:w="5667" w:type="dxa"/>
          </w:tcPr>
          <w:p>
            <w:pPr>
              <w:pStyle w:val="33"/>
              <w:spacing w:before="42"/>
              <w:ind w:left="88"/>
              <w:rPr>
                <w:sz w:val="21"/>
              </w:rPr>
            </w:pPr>
            <w:r>
              <w:rPr>
                <w:sz w:val="21"/>
              </w:rPr>
              <w:t>投标人须知总则 8.1、8.2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657" w:type="dxa"/>
            <w:gridSpan w:val="6"/>
          </w:tcPr>
          <w:p>
            <w:pPr>
              <w:pStyle w:val="33"/>
              <w:spacing w:before="45"/>
              <w:ind w:left="105"/>
              <w:rPr>
                <w:sz w:val="21"/>
              </w:rPr>
            </w:pPr>
            <w:r>
              <w:rPr>
                <w:sz w:val="21"/>
              </w:rPr>
              <w:t>10.需要补充的其他内容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657" w:type="dxa"/>
            <w:gridSpan w:val="6"/>
          </w:tcPr>
          <w:p>
            <w:pPr>
              <w:pStyle w:val="33"/>
              <w:spacing w:before="42"/>
              <w:ind w:left="105"/>
              <w:rPr>
                <w:color w:val="auto"/>
                <w:sz w:val="21"/>
              </w:rPr>
            </w:pPr>
            <w:r>
              <w:rPr>
                <w:color w:val="auto"/>
                <w:sz w:val="21"/>
              </w:rPr>
              <w:t>10.1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205" w:type="dxa"/>
            <w:gridSpan w:val="2"/>
          </w:tcPr>
          <w:p>
            <w:pPr>
              <w:pStyle w:val="33"/>
              <w:rPr>
                <w:b/>
                <w:color w:val="auto"/>
                <w:sz w:val="17"/>
              </w:rPr>
            </w:pPr>
          </w:p>
          <w:p>
            <w:pPr>
              <w:pStyle w:val="33"/>
              <w:ind w:left="283"/>
              <w:rPr>
                <w:color w:val="auto"/>
                <w:sz w:val="21"/>
              </w:rPr>
            </w:pPr>
            <w:r>
              <w:rPr>
                <w:color w:val="auto"/>
                <w:sz w:val="21"/>
              </w:rPr>
              <w:t>10.1.1</w:t>
            </w:r>
          </w:p>
        </w:tc>
        <w:tc>
          <w:tcPr>
            <w:tcW w:w="2785" w:type="dxa"/>
            <w:gridSpan w:val="3"/>
          </w:tcPr>
          <w:p>
            <w:pPr>
              <w:pStyle w:val="33"/>
              <w:rPr>
                <w:b/>
                <w:color w:val="auto"/>
                <w:sz w:val="17"/>
              </w:rPr>
            </w:pPr>
          </w:p>
          <w:p>
            <w:pPr>
              <w:pStyle w:val="33"/>
              <w:ind w:left="102"/>
              <w:rPr>
                <w:color w:val="auto"/>
                <w:sz w:val="21"/>
              </w:rPr>
            </w:pPr>
            <w:r>
              <w:rPr>
                <w:color w:val="auto"/>
                <w:sz w:val="21"/>
              </w:rPr>
              <w:t>类似项目</w:t>
            </w:r>
          </w:p>
        </w:tc>
        <w:tc>
          <w:tcPr>
            <w:tcW w:w="5667" w:type="dxa"/>
          </w:tcPr>
          <w:p>
            <w:pPr>
              <w:pStyle w:val="33"/>
              <w:spacing w:before="42"/>
              <w:ind w:left="107"/>
              <w:rPr>
                <w:color w:val="auto"/>
                <w:sz w:val="21"/>
              </w:rPr>
            </w:pPr>
            <w:r>
              <w:rPr>
                <w:color w:val="auto"/>
                <w:sz w:val="21"/>
              </w:rPr>
              <w:t>类似项目是指：</w:t>
            </w:r>
            <w:r>
              <w:rPr>
                <w:rFonts w:hint="eastAsia"/>
                <w:color w:val="auto"/>
                <w:sz w:val="21"/>
                <w:lang w:eastAsia="zh-CN"/>
              </w:rPr>
              <w:t>土地开垦、耕地提质改造</w:t>
            </w:r>
            <w:r>
              <w:rPr>
                <w:rFonts w:hint="eastAsia"/>
                <w:color w:val="auto"/>
                <w:sz w:val="21"/>
                <w:lang w:val="en-US" w:eastAsia="zh-CN"/>
              </w:rPr>
              <w:t>(旱改水）、土地整治、新增千亿斤粮食田间工程等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1205" w:type="dxa"/>
            <w:gridSpan w:val="2"/>
          </w:tcPr>
          <w:p>
            <w:pPr>
              <w:pStyle w:val="33"/>
              <w:rPr>
                <w:b/>
                <w:sz w:val="20"/>
              </w:rPr>
            </w:pPr>
          </w:p>
          <w:p>
            <w:pPr>
              <w:pStyle w:val="33"/>
              <w:spacing w:before="141"/>
              <w:ind w:left="283"/>
              <w:rPr>
                <w:sz w:val="21"/>
              </w:rPr>
            </w:pPr>
            <w:r>
              <w:rPr>
                <w:sz w:val="21"/>
              </w:rPr>
              <w:t>10.1.2</w:t>
            </w:r>
          </w:p>
        </w:tc>
        <w:tc>
          <w:tcPr>
            <w:tcW w:w="2785" w:type="dxa"/>
            <w:gridSpan w:val="3"/>
          </w:tcPr>
          <w:p>
            <w:pPr>
              <w:pStyle w:val="33"/>
              <w:rPr>
                <w:b/>
                <w:sz w:val="20"/>
              </w:rPr>
            </w:pPr>
          </w:p>
          <w:p>
            <w:pPr>
              <w:pStyle w:val="33"/>
              <w:spacing w:before="141"/>
              <w:ind w:left="102"/>
              <w:rPr>
                <w:sz w:val="21"/>
              </w:rPr>
            </w:pPr>
            <w:r>
              <w:rPr>
                <w:sz w:val="21"/>
              </w:rPr>
              <w:t>不良行为记录</w:t>
            </w:r>
          </w:p>
        </w:tc>
        <w:tc>
          <w:tcPr>
            <w:tcW w:w="5667" w:type="dxa"/>
          </w:tcPr>
          <w:p>
            <w:pPr>
              <w:pStyle w:val="33"/>
              <w:spacing w:line="360" w:lineRule="exact"/>
              <w:ind w:left="107" w:right="96"/>
              <w:jc w:val="both"/>
              <w:rPr>
                <w:sz w:val="21"/>
              </w:rPr>
            </w:pPr>
            <w:r>
              <w:rPr>
                <w:spacing w:val="-13"/>
                <w:sz w:val="21"/>
              </w:rPr>
              <w:t xml:space="preserve">不良行为记录是指：如近 </w:t>
            </w:r>
            <w:r>
              <w:rPr>
                <w:sz w:val="21"/>
              </w:rPr>
              <w:t>3</w:t>
            </w:r>
            <w:r>
              <w:rPr>
                <w:spacing w:val="-8"/>
                <w:sz w:val="21"/>
              </w:rPr>
              <w:t xml:space="preserve"> 年不存在发生质量或安全生产</w:t>
            </w:r>
            <w:r>
              <w:rPr>
                <w:spacing w:val="-11"/>
                <w:sz w:val="21"/>
              </w:rPr>
              <w:t>责任事故、“三包一靠”建筑市场违法行为、拖欠农民工</w:t>
            </w:r>
            <w:r>
              <w:rPr>
                <w:spacing w:val="-6"/>
                <w:sz w:val="21"/>
              </w:rPr>
              <w:t>工资引发集体性上访、弄虚作假投标违法违规行为。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trPr>
        <w:tc>
          <w:tcPr>
            <w:tcW w:w="1205" w:type="dxa"/>
            <w:gridSpan w:val="2"/>
          </w:tcPr>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spacing w:before="164"/>
              <w:ind w:left="389"/>
              <w:rPr>
                <w:sz w:val="21"/>
              </w:rPr>
            </w:pPr>
            <w:r>
              <w:rPr>
                <w:sz w:val="21"/>
              </w:rPr>
              <w:t>10.2</w:t>
            </w:r>
          </w:p>
        </w:tc>
        <w:tc>
          <w:tcPr>
            <w:tcW w:w="2785" w:type="dxa"/>
            <w:gridSpan w:val="3"/>
            <w:vAlign w:val="center"/>
          </w:tcPr>
          <w:p>
            <w:pPr>
              <w:pStyle w:val="33"/>
              <w:spacing w:before="164"/>
              <w:ind w:left="102"/>
              <w:jc w:val="both"/>
              <w:rPr>
                <w:sz w:val="21"/>
              </w:rPr>
            </w:pPr>
            <w:r>
              <w:rPr>
                <w:sz w:val="21"/>
              </w:rPr>
              <w:t>招标控制价</w:t>
            </w:r>
          </w:p>
        </w:tc>
        <w:tc>
          <w:tcPr>
            <w:tcW w:w="5667" w:type="dxa"/>
          </w:tcPr>
          <w:p>
            <w:pPr>
              <w:pStyle w:val="33"/>
              <w:spacing w:before="45"/>
              <w:ind w:left="107"/>
              <w:jc w:val="both"/>
              <w:rPr>
                <w:sz w:val="21"/>
              </w:rPr>
            </w:pPr>
            <w:r>
              <w:rPr>
                <w:sz w:val="21"/>
              </w:rPr>
              <w:t>□不设招标控制价</w:t>
            </w:r>
          </w:p>
          <w:p>
            <w:pPr>
              <w:pStyle w:val="33"/>
              <w:spacing w:before="85"/>
              <w:ind w:left="107"/>
              <w:jc w:val="both"/>
              <w:rPr>
                <w:sz w:val="21"/>
              </w:rPr>
            </w:pPr>
            <w:r>
              <w:rPr>
                <w:rFonts w:hint="eastAsia" w:ascii="MS Mincho" w:hAnsi="MS Mincho" w:eastAsia="MS Mincho"/>
                <w:sz w:val="21"/>
              </w:rPr>
              <w:t>☑</w:t>
            </w:r>
            <w:r>
              <w:rPr>
                <w:sz w:val="21"/>
              </w:rPr>
              <w:t>设招标控制价</w:t>
            </w:r>
          </w:p>
          <w:p>
            <w:pPr>
              <w:pStyle w:val="33"/>
              <w:spacing w:before="7" w:line="273" w:lineRule="auto"/>
              <w:ind w:left="107" w:right="96"/>
              <w:jc w:val="both"/>
              <w:rPr>
                <w:sz w:val="21"/>
              </w:rPr>
            </w:pPr>
            <w:r>
              <w:rPr>
                <w:rFonts w:hint="eastAsia"/>
                <w:spacing w:val="-7"/>
                <w:sz w:val="21"/>
                <w:lang w:eastAsia="zh-CN"/>
              </w:rPr>
              <w:t>经评审过的</w:t>
            </w:r>
            <w:r>
              <w:rPr>
                <w:spacing w:val="-7"/>
                <w:sz w:val="21"/>
              </w:rPr>
              <w:t>工程预算总造价为</w:t>
            </w:r>
            <w:r>
              <w:rPr>
                <w:rFonts w:hint="eastAsia"/>
                <w:b/>
                <w:bCs/>
                <w:color w:val="0000FF"/>
                <w:spacing w:val="-7"/>
                <w:sz w:val="21"/>
                <w:u w:val="single"/>
                <w:lang w:val="en-US" w:eastAsia="zh-CN"/>
              </w:rPr>
              <w:t xml:space="preserve"> 3011526.16</w:t>
            </w:r>
            <w:r>
              <w:rPr>
                <w:spacing w:val="-3"/>
                <w:sz w:val="21"/>
              </w:rPr>
              <w:t>元，</w:t>
            </w:r>
            <w:r>
              <w:rPr>
                <w:rFonts w:hint="eastAsia"/>
                <w:b/>
                <w:bCs/>
                <w:spacing w:val="-3"/>
                <w:sz w:val="21"/>
              </w:rPr>
              <w:t>本项目工程招标控制价为</w:t>
            </w:r>
            <w:r>
              <w:rPr>
                <w:rFonts w:hint="eastAsia"/>
                <w:b/>
                <w:bCs/>
                <w:color w:val="0000FF"/>
                <w:spacing w:val="-7"/>
                <w:sz w:val="21"/>
                <w:u w:val="single"/>
                <w:lang w:val="en-US" w:eastAsia="zh-CN"/>
              </w:rPr>
              <w:t>2860940.85</w:t>
            </w:r>
            <w:r>
              <w:rPr>
                <w:b/>
                <w:bCs/>
                <w:color w:val="0000FF"/>
                <w:sz w:val="21"/>
                <w:u w:val="single"/>
              </w:rPr>
              <w:t xml:space="preserve"> </w:t>
            </w:r>
            <w:r>
              <w:rPr>
                <w:spacing w:val="-3"/>
                <w:sz w:val="21"/>
              </w:rPr>
              <w:t>元</w:t>
            </w:r>
            <w:r>
              <w:rPr>
                <w:rFonts w:hint="eastAsia"/>
                <w:spacing w:val="-3"/>
                <w:sz w:val="21"/>
                <w:lang w:eastAsia="zh-CN"/>
              </w:rPr>
              <w:t>，</w:t>
            </w:r>
            <w:r>
              <w:rPr>
                <w:spacing w:val="-3"/>
                <w:sz w:val="21"/>
              </w:rPr>
              <w:t>投标人的投标总报价</w:t>
            </w:r>
            <w:r>
              <w:rPr>
                <w:spacing w:val="-9"/>
                <w:sz w:val="21"/>
              </w:rPr>
              <w:t>不得高于招标控制价，否则为无效投标。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657" w:type="dxa"/>
            <w:gridSpan w:val="6"/>
          </w:tcPr>
          <w:p>
            <w:pPr>
              <w:pStyle w:val="33"/>
              <w:spacing w:before="42"/>
              <w:ind w:left="105"/>
              <w:rPr>
                <w:sz w:val="21"/>
              </w:rPr>
            </w:pPr>
            <w:r>
              <w:rPr>
                <w:sz w:val="21"/>
              </w:rPr>
              <w:t>10.3“暗标”评审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205" w:type="dxa"/>
            <w:gridSpan w:val="2"/>
          </w:tcPr>
          <w:p>
            <w:pPr>
              <w:pStyle w:val="33"/>
              <w:rPr>
                <w:rFonts w:ascii="Times New Roman"/>
                <w:sz w:val="20"/>
              </w:rPr>
            </w:pPr>
          </w:p>
        </w:tc>
        <w:tc>
          <w:tcPr>
            <w:tcW w:w="2785" w:type="dxa"/>
            <w:gridSpan w:val="3"/>
          </w:tcPr>
          <w:p>
            <w:pPr>
              <w:pStyle w:val="33"/>
              <w:rPr>
                <w:b/>
                <w:sz w:val="20"/>
              </w:rPr>
            </w:pPr>
          </w:p>
          <w:p>
            <w:pPr>
              <w:pStyle w:val="33"/>
              <w:spacing w:before="141" w:line="314" w:lineRule="auto"/>
              <w:ind w:left="102"/>
              <w:rPr>
                <w:sz w:val="21"/>
              </w:rPr>
            </w:pPr>
            <w:r>
              <w:rPr>
                <w:spacing w:val="-3"/>
                <w:sz w:val="21"/>
              </w:rPr>
              <w:t>施工组织设计是否采用“暗标” 评审方式</w:t>
            </w:r>
          </w:p>
        </w:tc>
        <w:tc>
          <w:tcPr>
            <w:tcW w:w="5667" w:type="dxa"/>
          </w:tcPr>
          <w:p>
            <w:pPr>
              <w:pStyle w:val="33"/>
              <w:spacing w:before="42"/>
              <w:ind w:left="107"/>
              <w:rPr>
                <w:sz w:val="21"/>
              </w:rPr>
            </w:pPr>
            <w:r>
              <w:rPr>
                <w:rFonts w:hint="eastAsia" w:ascii="MS Mincho" w:hAnsi="MS Mincho" w:eastAsia="MS Mincho"/>
                <w:sz w:val="21"/>
              </w:rPr>
              <w:t>☑</w:t>
            </w:r>
            <w:r>
              <w:rPr>
                <w:sz w:val="21"/>
              </w:rPr>
              <w:t>不采用</w:t>
            </w:r>
          </w:p>
          <w:p>
            <w:pPr>
              <w:pStyle w:val="33"/>
              <w:spacing w:before="84" w:line="314" w:lineRule="auto"/>
              <w:ind w:left="107"/>
              <w:rPr>
                <w:sz w:val="21"/>
              </w:rPr>
            </w:pPr>
            <w:r>
              <w:rPr>
                <w:spacing w:val="-21"/>
                <w:sz w:val="21"/>
              </w:rPr>
              <w:t>□采用，投标人应严格按照第八章“投标文件格式”中“施</w:t>
            </w:r>
            <w:r>
              <w:rPr>
                <w:spacing w:val="-7"/>
                <w:sz w:val="21"/>
              </w:rPr>
              <w:t>工组织设计</w:t>
            </w:r>
            <w:r>
              <w:rPr>
                <w:sz w:val="21"/>
              </w:rPr>
              <w:t>（</w:t>
            </w:r>
            <w:r>
              <w:rPr>
                <w:spacing w:val="-3"/>
                <w:sz w:val="21"/>
              </w:rPr>
              <w:t>技术暗标</w:t>
            </w:r>
            <w:r>
              <w:rPr>
                <w:spacing w:val="-27"/>
                <w:sz w:val="21"/>
              </w:rPr>
              <w:t>）</w:t>
            </w:r>
            <w:r>
              <w:rPr>
                <w:spacing w:val="-5"/>
                <w:sz w:val="21"/>
              </w:rPr>
              <w:t>编制及装订要求”编制和装订施</w:t>
            </w:r>
          </w:p>
          <w:p>
            <w:pPr>
              <w:pStyle w:val="33"/>
              <w:spacing w:before="20"/>
              <w:ind w:left="107"/>
              <w:rPr>
                <w:sz w:val="21"/>
              </w:rPr>
            </w:pPr>
            <w:r>
              <w:rPr>
                <w:sz w:val="21"/>
              </w:rPr>
              <w:t>工组织设计。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657" w:type="dxa"/>
            <w:gridSpan w:val="6"/>
          </w:tcPr>
          <w:p>
            <w:pPr>
              <w:pStyle w:val="33"/>
              <w:spacing w:before="42"/>
              <w:ind w:left="105"/>
              <w:rPr>
                <w:sz w:val="21"/>
              </w:rPr>
            </w:pPr>
            <w:r>
              <w:rPr>
                <w:sz w:val="21"/>
              </w:rPr>
              <w:t>10.4 工程量清单电子版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trPr>
        <w:tc>
          <w:tcPr>
            <w:tcW w:w="1001" w:type="dxa"/>
          </w:tcPr>
          <w:p>
            <w:pPr>
              <w:pStyle w:val="33"/>
              <w:rPr>
                <w:rFonts w:ascii="Times New Roman"/>
                <w:sz w:val="20"/>
              </w:rPr>
            </w:pPr>
          </w:p>
        </w:tc>
        <w:tc>
          <w:tcPr>
            <w:tcW w:w="2989" w:type="dxa"/>
            <w:gridSpan w:val="4"/>
            <w:vMerge w:val="restart"/>
            <w:vAlign w:val="center"/>
          </w:tcPr>
          <w:p>
            <w:pPr>
              <w:pStyle w:val="33"/>
              <w:spacing w:before="42" w:line="314" w:lineRule="auto"/>
              <w:ind w:left="105" w:right="12"/>
              <w:jc w:val="both"/>
              <w:rPr>
                <w:sz w:val="21"/>
              </w:rPr>
            </w:pPr>
            <w:r>
              <w:rPr>
                <w:sz w:val="21"/>
              </w:rPr>
              <w:t>投标人在递交投标文件时，同时递交工程量清单电子版</w:t>
            </w:r>
          </w:p>
        </w:tc>
        <w:tc>
          <w:tcPr>
            <w:tcW w:w="5667" w:type="dxa"/>
            <w:vMerge w:val="restart"/>
          </w:tcPr>
          <w:p>
            <w:pPr>
              <w:pStyle w:val="33"/>
              <w:spacing w:before="42" w:line="314" w:lineRule="auto"/>
              <w:ind w:left="107" w:right="93"/>
              <w:jc w:val="both"/>
              <w:rPr>
                <w:sz w:val="21"/>
              </w:rPr>
            </w:pPr>
            <w:r>
              <w:rPr>
                <w:spacing w:val="-6"/>
                <w:sz w:val="21"/>
              </w:rPr>
              <w:t>工程量清单报价表</w:t>
            </w:r>
            <w:r>
              <w:rPr>
                <w:spacing w:val="-3"/>
                <w:sz w:val="21"/>
              </w:rPr>
              <w:t>（即预算备份</w:t>
            </w:r>
            <w:r>
              <w:rPr>
                <w:spacing w:val="-25"/>
                <w:sz w:val="21"/>
              </w:rPr>
              <w:t>）</w:t>
            </w:r>
            <w:r>
              <w:rPr>
                <w:spacing w:val="-7"/>
                <w:sz w:val="21"/>
              </w:rPr>
              <w:t>全套电子文档</w:t>
            </w:r>
            <w:r>
              <w:rPr>
                <w:spacing w:val="-3"/>
                <w:sz w:val="21"/>
              </w:rPr>
              <w:t>（</w:t>
            </w:r>
            <w:r>
              <w:rPr>
                <w:spacing w:val="-2"/>
                <w:sz w:val="21"/>
              </w:rPr>
              <w:t>单位工</w:t>
            </w:r>
            <w:r>
              <w:rPr>
                <w:spacing w:val="-10"/>
                <w:sz w:val="21"/>
              </w:rPr>
              <w:t>程费汇总表、分部分项工程量清单计价表、措施项目清单</w:t>
            </w:r>
            <w:r>
              <w:rPr>
                <w:sz w:val="21"/>
              </w:rPr>
              <w:t>计价表、其他项目清单计价表转为电子表格形式</w:t>
            </w:r>
            <w:r>
              <w:rPr>
                <w:spacing w:val="2"/>
                <w:sz w:val="21"/>
              </w:rPr>
              <w:t>（Exce</w:t>
            </w:r>
            <w:r>
              <w:rPr>
                <w:sz w:val="21"/>
              </w:rPr>
              <w:t>l））。并密封在投标文件商务标中，当投标文件中的工程量清单报价表与电子文档中的工程量清单报价表不一</w:t>
            </w:r>
            <w:r>
              <w:rPr>
                <w:spacing w:val="-9"/>
                <w:sz w:val="21"/>
              </w:rPr>
              <w:t>致时，以投标文件中的工程量清单报价表为准。如投标人以优盘或光盘为载体报送的工程量清单报价表</w:t>
            </w:r>
            <w:r>
              <w:rPr>
                <w:sz w:val="21"/>
              </w:rPr>
              <w:t>（</w:t>
            </w:r>
            <w:r>
              <w:rPr>
                <w:spacing w:val="-2"/>
                <w:sz w:val="21"/>
              </w:rPr>
              <w:t>即预算备份</w:t>
            </w:r>
            <w:r>
              <w:rPr>
                <w:spacing w:val="-36"/>
                <w:sz w:val="21"/>
              </w:rPr>
              <w:t>）</w:t>
            </w:r>
            <w:r>
              <w:rPr>
                <w:spacing w:val="-6"/>
                <w:sz w:val="21"/>
              </w:rPr>
              <w:t>电子文档打不开或资料不全，导致评标委员会对其商</w:t>
            </w:r>
            <w:r>
              <w:rPr>
                <w:spacing w:val="-10"/>
                <w:sz w:val="21"/>
              </w:rPr>
              <w:t>务标无法评审的，经投标人授权委托代理人确认后，其商</w:t>
            </w:r>
            <w:r>
              <w:rPr>
                <w:spacing w:val="-5"/>
                <w:sz w:val="21"/>
              </w:rPr>
              <w:t>务标作废。</w:t>
            </w:r>
          </w:p>
          <w:p>
            <w:pPr>
              <w:pStyle w:val="33"/>
              <w:spacing w:before="19"/>
              <w:ind w:left="103"/>
              <w:jc w:val="both"/>
              <w:rPr>
                <w:sz w:val="21"/>
              </w:rPr>
            </w:pPr>
            <w:r>
              <w:rPr>
                <w:sz w:val="21"/>
              </w:rPr>
              <w:t>投标文件电子版份数：壹份</w:t>
            </w:r>
          </w:p>
          <w:p>
            <w:pPr>
              <w:pStyle w:val="33"/>
              <w:spacing w:before="84" w:line="314" w:lineRule="auto"/>
              <w:ind w:left="103" w:right="96"/>
              <w:jc w:val="both"/>
              <w:rPr>
                <w:sz w:val="21"/>
              </w:rPr>
            </w:pPr>
            <w:r>
              <w:rPr>
                <w:spacing w:val="-9"/>
                <w:sz w:val="21"/>
              </w:rPr>
              <w:t>投标文件电子版形式：优盘或光盘</w:t>
            </w:r>
            <w:r>
              <w:rPr>
                <w:spacing w:val="-3"/>
                <w:sz w:val="21"/>
              </w:rPr>
              <w:t>（注明单位名称或使用软件版本</w:t>
            </w:r>
            <w:r>
              <w:rPr>
                <w:sz w:val="21"/>
              </w:rPr>
              <w:t>）</w:t>
            </w:r>
          </w:p>
          <w:p>
            <w:pPr>
              <w:pStyle w:val="33"/>
              <w:spacing w:before="19" w:line="314" w:lineRule="auto"/>
              <w:ind w:left="103" w:right="96"/>
              <w:jc w:val="both"/>
              <w:rPr>
                <w:sz w:val="21"/>
              </w:rPr>
            </w:pPr>
            <w:r>
              <w:rPr>
                <w:spacing w:val="-8"/>
                <w:sz w:val="21"/>
              </w:rPr>
              <w:t>投标文件电子版密封方式：单独放入一个密封袋中，加贴</w:t>
            </w:r>
            <w:r>
              <w:rPr>
                <w:spacing w:val="-3"/>
                <w:sz w:val="21"/>
              </w:rPr>
              <w:t>封条，在封套封口处加盖投标人法人公章，在封套上标</w:t>
            </w:r>
          </w:p>
          <w:p>
            <w:pPr>
              <w:pStyle w:val="33"/>
              <w:spacing w:before="19"/>
              <w:ind w:left="103"/>
              <w:jc w:val="both"/>
              <w:rPr>
                <w:sz w:val="21"/>
              </w:rPr>
            </w:pPr>
            <w:r>
              <w:rPr>
                <w:sz w:val="21"/>
              </w:rPr>
              <w:t>记“投标文件电子版”字样。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5" w:hRule="atLeast"/>
        </w:trPr>
        <w:tc>
          <w:tcPr>
            <w:tcW w:w="1001" w:type="dxa"/>
          </w:tcPr>
          <w:p>
            <w:pPr>
              <w:pStyle w:val="33"/>
              <w:rPr>
                <w:rFonts w:ascii="Times New Roman"/>
                <w:sz w:val="20"/>
              </w:rPr>
            </w:pPr>
          </w:p>
        </w:tc>
        <w:tc>
          <w:tcPr>
            <w:tcW w:w="2989" w:type="dxa"/>
            <w:gridSpan w:val="4"/>
            <w:vMerge w:val="continue"/>
          </w:tcPr>
          <w:p>
            <w:pPr>
              <w:pStyle w:val="33"/>
              <w:rPr>
                <w:rFonts w:ascii="Times New Roman"/>
                <w:sz w:val="20"/>
              </w:rPr>
            </w:pPr>
          </w:p>
        </w:tc>
        <w:tc>
          <w:tcPr>
            <w:tcW w:w="5667" w:type="dxa"/>
            <w:vMerge w:val="continue"/>
          </w:tcPr>
          <w:p>
            <w:pPr>
              <w:pStyle w:val="33"/>
              <w:spacing w:before="19"/>
              <w:ind w:left="103"/>
              <w:jc w:val="both"/>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657" w:type="dxa"/>
            <w:gridSpan w:val="6"/>
          </w:tcPr>
          <w:p>
            <w:pPr>
              <w:pStyle w:val="33"/>
              <w:spacing w:before="43"/>
              <w:ind w:left="105"/>
              <w:rPr>
                <w:sz w:val="21"/>
              </w:rPr>
            </w:pPr>
            <w:r>
              <w:rPr>
                <w:sz w:val="21"/>
              </w:rPr>
              <w:t>10.5 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trPr>
        <w:tc>
          <w:tcPr>
            <w:tcW w:w="1001" w:type="dxa"/>
          </w:tcPr>
          <w:p>
            <w:pPr>
              <w:pStyle w:val="33"/>
              <w:spacing w:before="42"/>
              <w:ind w:left="105"/>
              <w:rPr>
                <w:sz w:val="21"/>
              </w:rPr>
            </w:pPr>
            <w:r>
              <w:rPr>
                <w:sz w:val="21"/>
              </w:rPr>
              <w:t>10.5</w:t>
            </w:r>
          </w:p>
        </w:tc>
        <w:tc>
          <w:tcPr>
            <w:tcW w:w="1200" w:type="dxa"/>
            <w:gridSpan w:val="2"/>
            <w:vAlign w:val="center"/>
          </w:tcPr>
          <w:p>
            <w:pPr>
              <w:pStyle w:val="33"/>
              <w:spacing w:before="42"/>
              <w:ind w:left="105"/>
              <w:jc w:val="both"/>
              <w:rPr>
                <w:sz w:val="21"/>
              </w:rPr>
            </w:pPr>
            <w:r>
              <w:rPr>
                <w:sz w:val="21"/>
              </w:rPr>
              <w:t>知识产权</w:t>
            </w:r>
          </w:p>
        </w:tc>
        <w:tc>
          <w:tcPr>
            <w:tcW w:w="7456" w:type="dxa"/>
            <w:gridSpan w:val="3"/>
          </w:tcPr>
          <w:p>
            <w:pPr>
              <w:pStyle w:val="33"/>
              <w:spacing w:line="360" w:lineRule="exact"/>
              <w:ind w:left="103" w:right="109"/>
              <w:jc w:val="both"/>
              <w:rPr>
                <w:sz w:val="21"/>
              </w:rPr>
            </w:pPr>
            <w:r>
              <w:rPr>
                <w:sz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657" w:type="dxa"/>
            <w:gridSpan w:val="6"/>
          </w:tcPr>
          <w:p>
            <w:pPr>
              <w:pStyle w:val="33"/>
              <w:spacing w:before="42"/>
              <w:ind w:left="105"/>
              <w:rPr>
                <w:sz w:val="21"/>
              </w:rPr>
            </w:pPr>
            <w:r>
              <w:rPr>
                <w:sz w:val="21"/>
              </w:rPr>
              <w:t>10.6 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001" w:type="dxa"/>
          </w:tcPr>
          <w:p>
            <w:pPr>
              <w:pStyle w:val="33"/>
              <w:rPr>
                <w:rFonts w:ascii="Times New Roman"/>
                <w:sz w:val="20"/>
              </w:rPr>
            </w:pPr>
          </w:p>
        </w:tc>
        <w:tc>
          <w:tcPr>
            <w:tcW w:w="8656" w:type="dxa"/>
            <w:gridSpan w:val="5"/>
          </w:tcPr>
          <w:p>
            <w:pPr>
              <w:pStyle w:val="33"/>
              <w:spacing w:before="2" w:line="360" w:lineRule="exact"/>
              <w:ind w:left="105" w:right="93"/>
              <w:jc w:val="both"/>
              <w:rPr>
                <w:sz w:val="21"/>
              </w:rPr>
            </w:pPr>
            <w:r>
              <w:rPr>
                <w:spacing w:val="-13"/>
                <w:sz w:val="21"/>
              </w:rPr>
              <w:t>构成招标文件组成部分的“通用合同条款”、“专用合同条款”、“技术标准和要求”和“工</w:t>
            </w:r>
            <w:r>
              <w:rPr>
                <w:spacing w:val="-12"/>
                <w:sz w:val="21"/>
              </w:rPr>
              <w:t>程量清单”等章节中出现的措辞“发包人”和“承包人”，在招标投标阶段应当分别按“招</w:t>
            </w:r>
            <w:r>
              <w:rPr>
                <w:spacing w:val="-6"/>
                <w:sz w:val="21"/>
              </w:rPr>
              <w:t>标人”和“投标人”进行理解。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9657" w:type="dxa"/>
            <w:gridSpan w:val="6"/>
          </w:tcPr>
          <w:p>
            <w:pPr>
              <w:pStyle w:val="33"/>
              <w:spacing w:before="42"/>
              <w:ind w:left="105"/>
              <w:rPr>
                <w:sz w:val="21"/>
              </w:rPr>
            </w:pPr>
            <w:r>
              <w:rPr>
                <w:sz w:val="21"/>
              </w:rPr>
              <w:t>10.7 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1001" w:type="dxa"/>
          </w:tcPr>
          <w:p>
            <w:pPr>
              <w:pStyle w:val="33"/>
              <w:rPr>
                <w:rFonts w:ascii="Times New Roman"/>
                <w:sz w:val="20"/>
              </w:rPr>
            </w:pPr>
          </w:p>
        </w:tc>
        <w:tc>
          <w:tcPr>
            <w:tcW w:w="8656" w:type="dxa"/>
            <w:gridSpan w:val="5"/>
          </w:tcPr>
          <w:p>
            <w:pPr>
              <w:pStyle w:val="33"/>
              <w:spacing w:before="43" w:line="314" w:lineRule="auto"/>
              <w:ind w:left="105" w:right="121"/>
              <w:rPr>
                <w:sz w:val="21"/>
              </w:rPr>
            </w:pPr>
            <w:r>
              <w:rPr>
                <w:sz w:val="21"/>
              </w:rPr>
              <w:t>本项目的招标投标活动及其相关当事人应当接受有管辖权的政府采购监督部门依法实施的监督。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657" w:type="dxa"/>
            <w:gridSpan w:val="6"/>
          </w:tcPr>
          <w:p>
            <w:pPr>
              <w:pStyle w:val="33"/>
              <w:spacing w:before="42"/>
              <w:ind w:left="105"/>
              <w:rPr>
                <w:sz w:val="21"/>
              </w:rPr>
            </w:pPr>
            <w:r>
              <w:rPr>
                <w:sz w:val="21"/>
              </w:rPr>
              <w:t>10.8 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0" w:hRule="atLeast"/>
        </w:trPr>
        <w:tc>
          <w:tcPr>
            <w:tcW w:w="1001" w:type="dxa"/>
          </w:tcPr>
          <w:p>
            <w:pPr>
              <w:pStyle w:val="33"/>
              <w:rPr>
                <w:rFonts w:ascii="Times New Roman"/>
                <w:sz w:val="20"/>
              </w:rPr>
            </w:pPr>
          </w:p>
        </w:tc>
        <w:tc>
          <w:tcPr>
            <w:tcW w:w="8656" w:type="dxa"/>
            <w:gridSpan w:val="5"/>
          </w:tcPr>
          <w:p>
            <w:pPr>
              <w:pStyle w:val="33"/>
              <w:spacing w:line="360" w:lineRule="exact"/>
              <w:ind w:left="105" w:right="-18"/>
              <w:rPr>
                <w:sz w:val="21"/>
              </w:rPr>
            </w:pPr>
            <w:r>
              <w:rPr>
                <w:spacing w:val="-3"/>
                <w:sz w:val="21"/>
              </w:rPr>
              <w:t>构成本招标文件的各个组成文件应互为解释，互为说明；如有不明确或不一致，构成合同文</w:t>
            </w:r>
            <w:r>
              <w:rPr>
                <w:spacing w:val="-9"/>
                <w:sz w:val="21"/>
              </w:rPr>
              <w:t>件组成内容的，以合同文件约定内容为准，且以专用合同条款约定的合同文件优先顺序解释； 除招标文件中有特别规定外，仅适用于招标投标阶段的规定，按招标公告</w:t>
            </w:r>
            <w:r>
              <w:rPr>
                <w:spacing w:val="-3"/>
                <w:sz w:val="21"/>
              </w:rPr>
              <w:t>（</w:t>
            </w:r>
            <w:r>
              <w:rPr>
                <w:sz w:val="21"/>
              </w:rPr>
              <w:t>投标邀请书）、</w:t>
            </w:r>
            <w:r>
              <w:rPr>
                <w:spacing w:val="-3"/>
                <w:sz w:val="21"/>
              </w:rPr>
              <w:t>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657" w:type="dxa"/>
            <w:gridSpan w:val="6"/>
          </w:tcPr>
          <w:p>
            <w:pPr>
              <w:pStyle w:val="33"/>
              <w:spacing w:before="42"/>
              <w:ind w:left="105"/>
              <w:rPr>
                <w:sz w:val="21"/>
              </w:rPr>
            </w:pPr>
            <w:r>
              <w:rPr>
                <w:sz w:val="21"/>
              </w:rPr>
              <w:t>10.9 招标人补充的内容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001" w:type="dxa"/>
          </w:tcPr>
          <w:p>
            <w:pPr>
              <w:pStyle w:val="33"/>
              <w:spacing w:before="43"/>
              <w:ind w:left="105"/>
              <w:rPr>
                <w:sz w:val="21"/>
              </w:rPr>
            </w:pPr>
            <w:r>
              <w:rPr>
                <w:sz w:val="21"/>
              </w:rPr>
              <w:t>10.9.1</w:t>
            </w:r>
          </w:p>
        </w:tc>
        <w:tc>
          <w:tcPr>
            <w:tcW w:w="1702" w:type="dxa"/>
            <w:gridSpan w:val="3"/>
            <w:vAlign w:val="center"/>
          </w:tcPr>
          <w:p>
            <w:pPr>
              <w:pStyle w:val="33"/>
              <w:spacing w:before="43"/>
              <w:ind w:left="105"/>
              <w:jc w:val="both"/>
              <w:rPr>
                <w:sz w:val="21"/>
              </w:rPr>
            </w:pPr>
            <w:r>
              <w:rPr>
                <w:sz w:val="21"/>
              </w:rPr>
              <w:t>招标代理服务费</w:t>
            </w:r>
          </w:p>
        </w:tc>
        <w:tc>
          <w:tcPr>
            <w:tcW w:w="6954" w:type="dxa"/>
            <w:gridSpan w:val="2"/>
          </w:tcPr>
          <w:p>
            <w:pPr>
              <w:pStyle w:val="33"/>
              <w:spacing w:line="360" w:lineRule="exact"/>
              <w:ind w:left="105" w:right="93"/>
              <w:jc w:val="both"/>
              <w:rPr>
                <w:sz w:val="21"/>
              </w:rPr>
            </w:pPr>
            <w:r>
              <w:rPr>
                <w:spacing w:val="-3"/>
                <w:sz w:val="21"/>
              </w:rPr>
              <w:t>领取中标通知书前，中标人向</w:t>
            </w:r>
            <w:r>
              <w:rPr>
                <w:rFonts w:hint="eastAsia"/>
                <w:spacing w:val="-3"/>
                <w:sz w:val="21"/>
                <w:lang w:eastAsia="zh-CN"/>
              </w:rPr>
              <w:t>上海正弘建设工程顾问有限公司</w:t>
            </w:r>
            <w:r>
              <w:rPr>
                <w:spacing w:val="-3"/>
                <w:sz w:val="21"/>
              </w:rPr>
              <w:t>一次付清招</w:t>
            </w:r>
            <w:r>
              <w:rPr>
                <w:spacing w:val="-6"/>
                <w:sz w:val="21"/>
              </w:rPr>
              <w:t>标代理服务费，具体收费标准按计价格[</w:t>
            </w:r>
            <w:r>
              <w:rPr>
                <w:sz w:val="21"/>
              </w:rPr>
              <w:t>2002]1980</w:t>
            </w:r>
            <w:r>
              <w:rPr>
                <w:spacing w:val="-8"/>
                <w:sz w:val="21"/>
              </w:rPr>
              <w:t xml:space="preserve"> 号《招标代理服务收费</w:t>
            </w:r>
            <w:r>
              <w:rPr>
                <w:spacing w:val="-6"/>
                <w:sz w:val="21"/>
              </w:rPr>
              <w:t>管理暂行办法》“工程类”收费标准和发改办价格[</w:t>
            </w:r>
            <w:r>
              <w:rPr>
                <w:sz w:val="21"/>
              </w:rPr>
              <w:t>2003]857</w:t>
            </w:r>
            <w:r>
              <w:rPr>
                <w:spacing w:val="2"/>
                <w:sz w:val="21"/>
              </w:rPr>
              <w:t xml:space="preserve"> 号文的规定</w:t>
            </w:r>
            <w:r>
              <w:rPr>
                <w:spacing w:val="-3"/>
                <w:sz w:val="21"/>
              </w:rPr>
              <w:t>执行，以差额定率累进法计算。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001" w:type="dxa"/>
          </w:tcPr>
          <w:p>
            <w:pPr>
              <w:pStyle w:val="33"/>
              <w:spacing w:before="42"/>
              <w:ind w:left="105"/>
              <w:rPr>
                <w:sz w:val="21"/>
              </w:rPr>
            </w:pPr>
            <w:r>
              <w:rPr>
                <w:sz w:val="21"/>
              </w:rPr>
              <w:t>10.9.2</w:t>
            </w:r>
          </w:p>
        </w:tc>
        <w:tc>
          <w:tcPr>
            <w:tcW w:w="1702" w:type="dxa"/>
            <w:gridSpan w:val="3"/>
            <w:vMerge w:val="restart"/>
            <w:vAlign w:val="center"/>
          </w:tcPr>
          <w:p>
            <w:pPr>
              <w:pStyle w:val="33"/>
              <w:spacing w:before="42"/>
              <w:ind w:left="105"/>
              <w:jc w:val="both"/>
              <w:rPr>
                <w:sz w:val="21"/>
              </w:rPr>
            </w:pPr>
            <w:r>
              <w:rPr>
                <w:sz w:val="21"/>
              </w:rPr>
              <w:t>信用查询</w:t>
            </w:r>
          </w:p>
        </w:tc>
        <w:tc>
          <w:tcPr>
            <w:tcW w:w="6954" w:type="dxa"/>
            <w:gridSpan w:val="2"/>
            <w:vMerge w:val="restart"/>
          </w:tcPr>
          <w:p>
            <w:pPr>
              <w:pStyle w:val="33"/>
              <w:spacing w:before="42"/>
              <w:ind w:left="105"/>
              <w:rPr>
                <w:sz w:val="21"/>
              </w:rPr>
            </w:pPr>
            <w:r>
              <w:rPr>
                <w:sz w:val="21"/>
              </w:rPr>
              <w:t>根据《关于做好政府采购有关信用主体标识码登记及在政府采购活动中查</w:t>
            </w:r>
          </w:p>
          <w:p>
            <w:pPr>
              <w:pStyle w:val="33"/>
              <w:spacing w:before="85"/>
              <w:ind w:left="105"/>
              <w:rPr>
                <w:sz w:val="21"/>
              </w:rPr>
            </w:pPr>
            <w:r>
              <w:rPr>
                <w:sz w:val="21"/>
              </w:rPr>
              <w:t>询使用信用记录有关问题的通知》（桂财采〔2016〕37），由招标代理机</w:t>
            </w:r>
          </w:p>
          <w:p>
            <w:pPr>
              <w:pStyle w:val="33"/>
              <w:spacing w:before="42"/>
              <w:ind w:left="105"/>
              <w:rPr>
                <w:sz w:val="21"/>
              </w:rPr>
            </w:pPr>
            <w:r>
              <w:rPr>
                <w:sz w:val="21"/>
              </w:rPr>
              <w:t>构对第一成交候选人进行信用查询：</w:t>
            </w:r>
          </w:p>
          <w:p>
            <w:pPr>
              <w:pStyle w:val="33"/>
              <w:spacing w:before="85" w:line="314" w:lineRule="auto"/>
              <w:ind w:left="105"/>
              <w:rPr>
                <w:sz w:val="21"/>
              </w:rPr>
            </w:pPr>
            <w:r>
              <w:rPr>
                <w:sz w:val="21"/>
              </w:rPr>
              <w:t>⑴查询渠道：“信用中国”网站(www.creditchina.gov.cn)、中国政府采购网(www.ccgp.gov.cn)等；</w:t>
            </w:r>
          </w:p>
          <w:p>
            <w:pPr>
              <w:pStyle w:val="33"/>
              <w:spacing w:before="20"/>
              <w:ind w:left="105"/>
              <w:rPr>
                <w:sz w:val="21"/>
              </w:rPr>
            </w:pPr>
            <w:r>
              <w:rPr>
                <w:sz w:val="21"/>
              </w:rPr>
              <w:t>⑵查询截止时点：成交通知书发出前；</w:t>
            </w:r>
          </w:p>
          <w:p>
            <w:pPr>
              <w:pStyle w:val="33"/>
              <w:spacing w:before="85" w:line="314" w:lineRule="auto"/>
              <w:ind w:left="105"/>
              <w:rPr>
                <w:sz w:val="21"/>
              </w:rPr>
            </w:pPr>
            <w:r>
              <w:rPr>
                <w:sz w:val="21"/>
              </w:rPr>
              <w:t>⑶信用信息查询记录和证据留存方式：在查询网站中直接打印查询记录， 打印材料作为招标活动资料保存。</w:t>
            </w:r>
          </w:p>
          <w:p>
            <w:pPr>
              <w:pStyle w:val="33"/>
              <w:tabs>
                <w:tab w:val="left" w:pos="6380"/>
                <w:tab w:val="left" w:pos="6600"/>
              </w:tabs>
              <w:spacing w:before="20" w:line="314" w:lineRule="auto"/>
              <w:ind w:left="105" w:right="-8"/>
              <w:jc w:val="left"/>
              <w:rPr>
                <w:sz w:val="21"/>
              </w:rPr>
            </w:pPr>
            <w:r>
              <w:rPr>
                <w:spacing w:val="-10"/>
                <w:sz w:val="21"/>
              </w:rPr>
              <w:t>⑷信用信息使用规则：对在“信用中国”网站(</w:t>
            </w:r>
            <w:r>
              <w:rPr>
                <w:spacing w:val="-1"/>
                <w:sz w:val="21"/>
              </w:rPr>
              <w:t>www.creditchina.gov.cn)、</w:t>
            </w:r>
            <w:r>
              <w:rPr>
                <w:spacing w:val="-3"/>
                <w:sz w:val="21"/>
              </w:rPr>
              <w:t>中国政府采购网</w:t>
            </w:r>
            <w:r>
              <w:rPr>
                <w:sz w:val="21"/>
              </w:rPr>
              <w:t>(www.ccgp.gov.cn)</w:t>
            </w:r>
            <w:r>
              <w:rPr>
                <w:spacing w:val="-11"/>
                <w:sz w:val="21"/>
              </w:rPr>
              <w:t>等渠道列入失信被执行人、重大税收违</w:t>
            </w:r>
            <w:r>
              <w:rPr>
                <w:spacing w:val="-16"/>
                <w:sz w:val="21"/>
              </w:rPr>
              <w:t>法案件当事人名单、政府采购严重违法失信行为记录名单及其他不符合《中</w:t>
            </w:r>
            <w:r>
              <w:rPr>
                <w:spacing w:val="-9"/>
                <w:sz w:val="21"/>
              </w:rPr>
              <w:t>华人民共和国政府采购法》第二十二条规定条件的供应商，取消其成交候</w:t>
            </w:r>
            <w:r>
              <w:rPr>
                <w:sz w:val="21"/>
              </w:rPr>
              <w:t>选人资格。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1001" w:type="dxa"/>
          </w:tcPr>
          <w:p>
            <w:pPr>
              <w:pStyle w:val="33"/>
              <w:rPr>
                <w:rFonts w:ascii="Times New Roman"/>
                <w:sz w:val="20"/>
              </w:rPr>
            </w:pPr>
          </w:p>
        </w:tc>
        <w:tc>
          <w:tcPr>
            <w:tcW w:w="1702" w:type="dxa"/>
            <w:gridSpan w:val="3"/>
            <w:vMerge w:val="continue"/>
          </w:tcPr>
          <w:p>
            <w:pPr>
              <w:pStyle w:val="33"/>
              <w:rPr>
                <w:rFonts w:ascii="Times New Roman"/>
                <w:sz w:val="20"/>
              </w:rPr>
            </w:pPr>
          </w:p>
        </w:tc>
        <w:tc>
          <w:tcPr>
            <w:tcW w:w="6954" w:type="dxa"/>
            <w:gridSpan w:val="2"/>
            <w:vMerge w:val="continue"/>
          </w:tcPr>
          <w:p>
            <w:pPr>
              <w:pStyle w:val="33"/>
              <w:spacing w:before="20"/>
              <w:ind w:left="105"/>
              <w:rPr>
                <w:sz w:val="21"/>
              </w:rPr>
            </w:pPr>
          </w:p>
        </w:tc>
      </w:tr>
    </w:tbl>
    <w:p>
      <w:pPr>
        <w:spacing w:after="0"/>
        <w:rPr>
          <w:sz w:val="21"/>
        </w:rPr>
        <w:sectPr>
          <w:pgSz w:w="11910" w:h="16840"/>
          <w:pgMar w:top="1400" w:right="1000" w:bottom="1120" w:left="1000" w:header="0" w:footer="920" w:gutter="0"/>
        </w:sectPr>
      </w:pPr>
    </w:p>
    <w:p>
      <w:pPr>
        <w:spacing w:before="0" w:line="396" w:lineRule="exact"/>
        <w:ind w:left="0" w:right="0" w:firstLine="0"/>
        <w:jc w:val="center"/>
        <w:rPr>
          <w:b/>
          <w:sz w:val="32"/>
        </w:rPr>
      </w:pPr>
      <w:r>
        <w:rPr>
          <w:b/>
          <w:w w:val="95"/>
          <w:sz w:val="32"/>
        </w:rPr>
        <w:t>投标人须知总则</w:t>
      </w:r>
    </w:p>
    <w:p>
      <w:pPr>
        <w:pStyle w:val="32"/>
        <w:numPr>
          <w:ilvl w:val="0"/>
          <w:numId w:val="2"/>
        </w:numPr>
        <w:tabs>
          <w:tab w:val="left" w:pos="315"/>
        </w:tabs>
        <w:spacing w:before="60" w:after="0" w:line="240" w:lineRule="auto"/>
        <w:ind w:left="314" w:right="0" w:hanging="202"/>
        <w:jc w:val="left"/>
        <w:rPr>
          <w:b/>
          <w:sz w:val="20"/>
        </w:rPr>
      </w:pPr>
      <w:r>
        <w:rPr>
          <w:b/>
          <w:sz w:val="20"/>
        </w:rPr>
        <w:t>总则</w:t>
      </w:r>
    </w:p>
    <w:p>
      <w:pPr>
        <w:pStyle w:val="32"/>
        <w:numPr>
          <w:ilvl w:val="1"/>
          <w:numId w:val="2"/>
        </w:numPr>
        <w:tabs>
          <w:tab w:val="left" w:pos="517"/>
        </w:tabs>
        <w:spacing w:before="79" w:after="0" w:line="240" w:lineRule="auto"/>
        <w:ind w:left="533" w:right="0" w:hanging="421"/>
        <w:jc w:val="left"/>
        <w:rPr>
          <w:b/>
          <w:sz w:val="20"/>
        </w:rPr>
      </w:pPr>
      <w:r>
        <w:rPr>
          <w:b/>
          <w:w w:val="95"/>
          <w:sz w:val="20"/>
        </w:rPr>
        <w:t>项目概况</w:t>
      </w:r>
    </w:p>
    <w:p>
      <w:pPr>
        <w:pStyle w:val="32"/>
        <w:numPr>
          <w:ilvl w:val="2"/>
          <w:numId w:val="2"/>
        </w:numPr>
        <w:tabs>
          <w:tab w:val="left" w:pos="1174"/>
        </w:tabs>
        <w:spacing w:before="67" w:after="0" w:line="295" w:lineRule="auto"/>
        <w:ind w:left="112" w:right="110" w:firstLine="421"/>
        <w:jc w:val="left"/>
        <w:rPr>
          <w:sz w:val="21"/>
        </w:rPr>
      </w:pPr>
      <w:r>
        <w:rPr>
          <w:sz w:val="21"/>
        </w:rPr>
        <w:t>根据《 中华人民共和国招标投标法》等有关法律、法规和规章的规定，本招标项目已具备招</w:t>
      </w:r>
      <w:r>
        <w:rPr>
          <w:spacing w:val="-3"/>
          <w:sz w:val="21"/>
        </w:rPr>
        <w:t>标条件，现对本标段施工进行招标。</w:t>
      </w:r>
    </w:p>
    <w:p>
      <w:pPr>
        <w:pStyle w:val="32"/>
        <w:numPr>
          <w:ilvl w:val="2"/>
          <w:numId w:val="2"/>
        </w:numPr>
        <w:tabs>
          <w:tab w:val="left" w:pos="1165"/>
        </w:tabs>
        <w:spacing w:before="17" w:after="0" w:line="240" w:lineRule="auto"/>
        <w:ind w:left="1164" w:right="0" w:hanging="631"/>
        <w:jc w:val="left"/>
        <w:rPr>
          <w:sz w:val="21"/>
        </w:rPr>
      </w:pPr>
      <w:r>
        <w:rPr>
          <w:spacing w:val="-3"/>
          <w:sz w:val="21"/>
        </w:rPr>
        <w:t>本招标项目招标人：见“投标人须知前附表”。</w:t>
      </w:r>
    </w:p>
    <w:p>
      <w:pPr>
        <w:pStyle w:val="32"/>
        <w:numPr>
          <w:ilvl w:val="2"/>
          <w:numId w:val="2"/>
        </w:numPr>
        <w:tabs>
          <w:tab w:val="left" w:pos="1165"/>
        </w:tabs>
        <w:spacing w:before="66" w:after="0" w:line="240" w:lineRule="auto"/>
        <w:ind w:left="1164" w:right="0" w:hanging="631"/>
        <w:jc w:val="left"/>
        <w:rPr>
          <w:sz w:val="21"/>
        </w:rPr>
      </w:pPr>
      <w:r>
        <w:rPr>
          <w:spacing w:val="-3"/>
          <w:sz w:val="21"/>
        </w:rPr>
        <w:t>本标段招标代理机构：见“投标人须知前附表”。</w:t>
      </w:r>
    </w:p>
    <w:p>
      <w:pPr>
        <w:pStyle w:val="32"/>
        <w:numPr>
          <w:ilvl w:val="2"/>
          <w:numId w:val="2"/>
        </w:numPr>
        <w:tabs>
          <w:tab w:val="left" w:pos="1165"/>
        </w:tabs>
        <w:spacing w:before="63" w:after="0" w:line="240" w:lineRule="auto"/>
        <w:ind w:left="1164" w:right="0" w:hanging="631"/>
        <w:jc w:val="left"/>
        <w:rPr>
          <w:sz w:val="21"/>
        </w:rPr>
      </w:pPr>
      <w:r>
        <w:rPr>
          <w:spacing w:val="-3"/>
          <w:sz w:val="21"/>
        </w:rPr>
        <w:t>本招标项目名称及项目编号：见“投标人须知前附表”。</w:t>
      </w:r>
    </w:p>
    <w:p>
      <w:pPr>
        <w:pStyle w:val="32"/>
        <w:numPr>
          <w:ilvl w:val="2"/>
          <w:numId w:val="2"/>
        </w:numPr>
        <w:tabs>
          <w:tab w:val="left" w:pos="1165"/>
        </w:tabs>
        <w:spacing w:before="65" w:after="0" w:line="240" w:lineRule="auto"/>
        <w:ind w:left="1164" w:right="0" w:hanging="631"/>
        <w:jc w:val="left"/>
        <w:rPr>
          <w:sz w:val="21"/>
        </w:rPr>
      </w:pPr>
      <w:r>
        <w:rPr>
          <w:spacing w:val="-3"/>
          <w:sz w:val="21"/>
        </w:rPr>
        <w:t>本标段建设地点：见“投标人须知前附表”。</w:t>
      </w:r>
    </w:p>
    <w:p>
      <w:pPr>
        <w:pStyle w:val="32"/>
        <w:numPr>
          <w:ilvl w:val="1"/>
          <w:numId w:val="2"/>
        </w:numPr>
        <w:tabs>
          <w:tab w:val="left" w:pos="536"/>
        </w:tabs>
        <w:spacing w:before="65" w:after="0" w:line="240" w:lineRule="auto"/>
        <w:ind w:left="535" w:right="0" w:hanging="423"/>
        <w:jc w:val="left"/>
        <w:rPr>
          <w:b/>
          <w:sz w:val="21"/>
        </w:rPr>
      </w:pPr>
      <w:r>
        <w:rPr>
          <w:b/>
          <w:sz w:val="21"/>
        </w:rPr>
        <w:t>资金来源和落实情况</w:t>
      </w:r>
    </w:p>
    <w:p>
      <w:pPr>
        <w:pStyle w:val="32"/>
        <w:numPr>
          <w:ilvl w:val="2"/>
          <w:numId w:val="2"/>
        </w:numPr>
        <w:tabs>
          <w:tab w:val="left" w:pos="1165"/>
        </w:tabs>
        <w:spacing w:before="63" w:after="0" w:line="240" w:lineRule="auto"/>
        <w:ind w:left="1164" w:right="0" w:hanging="631"/>
        <w:jc w:val="left"/>
        <w:rPr>
          <w:sz w:val="21"/>
        </w:rPr>
      </w:pPr>
      <w:r>
        <w:rPr>
          <w:spacing w:val="-3"/>
          <w:sz w:val="21"/>
        </w:rPr>
        <w:t>本招标项目的资金来源：见“投标人须知前附表”。</w:t>
      </w:r>
    </w:p>
    <w:p>
      <w:pPr>
        <w:pStyle w:val="32"/>
        <w:numPr>
          <w:ilvl w:val="2"/>
          <w:numId w:val="2"/>
        </w:numPr>
        <w:tabs>
          <w:tab w:val="left" w:pos="1165"/>
        </w:tabs>
        <w:spacing w:before="66" w:after="0" w:line="240" w:lineRule="auto"/>
        <w:ind w:left="1164" w:right="0" w:hanging="631"/>
        <w:jc w:val="left"/>
        <w:rPr>
          <w:sz w:val="21"/>
        </w:rPr>
      </w:pPr>
      <w:r>
        <w:rPr>
          <w:spacing w:val="-3"/>
          <w:sz w:val="21"/>
        </w:rPr>
        <w:t>本招标项目的出资比例：见“投标人须知前附表”。</w:t>
      </w:r>
    </w:p>
    <w:p>
      <w:pPr>
        <w:pStyle w:val="32"/>
        <w:numPr>
          <w:ilvl w:val="2"/>
          <w:numId w:val="2"/>
        </w:numPr>
        <w:tabs>
          <w:tab w:val="left" w:pos="1165"/>
        </w:tabs>
        <w:spacing w:before="66" w:after="0" w:line="240" w:lineRule="auto"/>
        <w:ind w:left="1164" w:right="0" w:hanging="631"/>
        <w:jc w:val="left"/>
        <w:rPr>
          <w:sz w:val="21"/>
        </w:rPr>
      </w:pPr>
      <w:r>
        <w:rPr>
          <w:spacing w:val="-3"/>
          <w:sz w:val="21"/>
        </w:rPr>
        <w:t>本招标项目的资金落实情况：见“投标人须知前附表”。</w:t>
      </w:r>
    </w:p>
    <w:p>
      <w:pPr>
        <w:pStyle w:val="32"/>
        <w:numPr>
          <w:ilvl w:val="2"/>
          <w:numId w:val="2"/>
        </w:numPr>
        <w:tabs>
          <w:tab w:val="left" w:pos="1112"/>
        </w:tabs>
        <w:spacing w:before="63" w:after="0" w:line="240" w:lineRule="auto"/>
        <w:ind w:left="1111" w:right="0" w:hanging="578"/>
        <w:jc w:val="left"/>
        <w:rPr>
          <w:sz w:val="21"/>
        </w:rPr>
      </w:pPr>
      <w:r>
        <w:rPr>
          <w:spacing w:val="-3"/>
          <w:sz w:val="21"/>
        </w:rPr>
        <w:t>本招标项目的增值税计税方法：见“投标人须知前附表”。</w:t>
      </w:r>
    </w:p>
    <w:p>
      <w:pPr>
        <w:pStyle w:val="32"/>
        <w:numPr>
          <w:ilvl w:val="1"/>
          <w:numId w:val="2"/>
        </w:numPr>
        <w:tabs>
          <w:tab w:val="left" w:pos="536"/>
        </w:tabs>
        <w:spacing w:before="66" w:after="0" w:line="240" w:lineRule="auto"/>
        <w:ind w:left="535" w:right="0" w:hanging="423"/>
        <w:jc w:val="left"/>
        <w:rPr>
          <w:b/>
          <w:sz w:val="21"/>
        </w:rPr>
      </w:pPr>
      <w:r>
        <w:rPr>
          <w:b/>
          <w:spacing w:val="-1"/>
          <w:sz w:val="21"/>
        </w:rPr>
        <w:t>招标范围、计划工期和质量要求</w:t>
      </w:r>
    </w:p>
    <w:p>
      <w:pPr>
        <w:pStyle w:val="32"/>
        <w:numPr>
          <w:ilvl w:val="2"/>
          <w:numId w:val="2"/>
        </w:numPr>
        <w:tabs>
          <w:tab w:val="left" w:pos="1165"/>
        </w:tabs>
        <w:spacing w:before="66" w:after="0" w:line="240" w:lineRule="auto"/>
        <w:ind w:left="1164" w:right="0" w:hanging="631"/>
        <w:jc w:val="left"/>
        <w:rPr>
          <w:sz w:val="21"/>
        </w:rPr>
      </w:pPr>
      <w:r>
        <w:rPr>
          <w:spacing w:val="-3"/>
          <w:sz w:val="21"/>
        </w:rPr>
        <w:t>本次招标范围：见“投标人须知前附表”。</w:t>
      </w:r>
    </w:p>
    <w:p>
      <w:pPr>
        <w:pStyle w:val="32"/>
        <w:numPr>
          <w:ilvl w:val="2"/>
          <w:numId w:val="2"/>
        </w:numPr>
        <w:tabs>
          <w:tab w:val="left" w:pos="1165"/>
        </w:tabs>
        <w:spacing w:before="63" w:after="0" w:line="240" w:lineRule="auto"/>
        <w:ind w:left="1164" w:right="0" w:hanging="631"/>
        <w:jc w:val="left"/>
        <w:rPr>
          <w:sz w:val="21"/>
        </w:rPr>
      </w:pPr>
      <w:r>
        <w:rPr>
          <w:spacing w:val="-3"/>
          <w:sz w:val="21"/>
        </w:rPr>
        <w:t>本标段的要求工期：见“投标人须知前附表”。</w:t>
      </w:r>
    </w:p>
    <w:p>
      <w:pPr>
        <w:pStyle w:val="32"/>
        <w:numPr>
          <w:ilvl w:val="2"/>
          <w:numId w:val="2"/>
        </w:numPr>
        <w:tabs>
          <w:tab w:val="left" w:pos="1165"/>
        </w:tabs>
        <w:spacing w:before="65" w:after="0" w:line="240" w:lineRule="auto"/>
        <w:ind w:left="1164" w:right="0" w:hanging="631"/>
        <w:jc w:val="left"/>
        <w:rPr>
          <w:sz w:val="21"/>
        </w:rPr>
      </w:pPr>
      <w:r>
        <w:rPr>
          <w:spacing w:val="-3"/>
          <w:sz w:val="21"/>
        </w:rPr>
        <w:t>本标段的质量要求：见“投标人须知前附表”。</w:t>
      </w:r>
    </w:p>
    <w:p>
      <w:pPr>
        <w:pStyle w:val="32"/>
        <w:numPr>
          <w:ilvl w:val="1"/>
          <w:numId w:val="2"/>
        </w:numPr>
        <w:tabs>
          <w:tab w:val="left" w:pos="536"/>
        </w:tabs>
        <w:spacing w:before="65" w:after="0" w:line="240" w:lineRule="auto"/>
        <w:ind w:left="535" w:right="0" w:hanging="423"/>
        <w:jc w:val="left"/>
        <w:rPr>
          <w:b/>
          <w:sz w:val="21"/>
        </w:rPr>
      </w:pPr>
      <w:r>
        <w:rPr>
          <w:b/>
          <w:sz w:val="21"/>
        </w:rPr>
        <w:t>投标人资格要求</w:t>
      </w:r>
    </w:p>
    <w:p>
      <w:pPr>
        <w:pStyle w:val="32"/>
        <w:numPr>
          <w:ilvl w:val="2"/>
          <w:numId w:val="2"/>
        </w:numPr>
        <w:tabs>
          <w:tab w:val="left" w:pos="1165"/>
        </w:tabs>
        <w:spacing w:before="63" w:after="0" w:line="240" w:lineRule="auto"/>
        <w:ind w:left="112" w:right="0" w:firstLine="421"/>
        <w:jc w:val="left"/>
        <w:rPr>
          <w:sz w:val="21"/>
        </w:rPr>
      </w:pPr>
      <w:r>
        <w:rPr>
          <w:spacing w:val="-3"/>
          <w:sz w:val="21"/>
        </w:rPr>
        <w:t>投标人应具备承担本标段施工的资质条件：见“投标人须知前附表”。</w:t>
      </w:r>
    </w:p>
    <w:p>
      <w:pPr>
        <w:pStyle w:val="32"/>
        <w:numPr>
          <w:ilvl w:val="2"/>
          <w:numId w:val="2"/>
        </w:numPr>
        <w:tabs>
          <w:tab w:val="left" w:pos="1160"/>
        </w:tabs>
        <w:spacing w:before="66" w:after="0" w:line="297" w:lineRule="auto"/>
        <w:ind w:left="112" w:right="110" w:firstLine="421"/>
        <w:jc w:val="left"/>
        <w:rPr>
          <w:sz w:val="21"/>
        </w:rPr>
      </w:pPr>
      <w:r>
        <w:rPr>
          <w:spacing w:val="-7"/>
          <w:sz w:val="21"/>
        </w:rPr>
        <w:t xml:space="preserve">“投标人须知前附表”规定接受联合体投标的，除应符合本章第 </w:t>
      </w:r>
      <w:r>
        <w:rPr>
          <w:sz w:val="21"/>
        </w:rPr>
        <w:t>1.4.1</w:t>
      </w:r>
      <w:r>
        <w:rPr>
          <w:spacing w:val="-8"/>
          <w:sz w:val="21"/>
        </w:rPr>
        <w:t xml:space="preserve"> 项和“投标人须知前附</w:t>
      </w:r>
      <w:r>
        <w:rPr>
          <w:spacing w:val="-5"/>
          <w:sz w:val="21"/>
        </w:rPr>
        <w:t>表”的要求外，还应遵守以下规定：</w:t>
      </w:r>
    </w:p>
    <w:p>
      <w:pPr>
        <w:pStyle w:val="13"/>
        <w:spacing w:before="13"/>
        <w:ind w:left="533"/>
      </w:pPr>
      <w:r>
        <w:t>（1）联合体各方应按招标文件提供的格式签订联合体协议书，明确联合体牵头人和各方权利义务；</w:t>
      </w:r>
    </w:p>
    <w:p>
      <w:pPr>
        <w:pStyle w:val="13"/>
        <w:spacing w:before="66"/>
        <w:ind w:left="533"/>
      </w:pPr>
      <w:r>
        <w:t>（2）由同一专业的单位组成的联合体，按照资质等级较低的单位确定资质等级；</w:t>
      </w:r>
    </w:p>
    <w:p>
      <w:pPr>
        <w:pStyle w:val="13"/>
        <w:spacing w:before="66"/>
        <w:ind w:left="533"/>
      </w:pPr>
      <w:r>
        <w:t>（3）联合体各方不得再以自己名义单独或参加其他联合体在同一标段中投标。</w:t>
      </w:r>
    </w:p>
    <w:p>
      <w:pPr>
        <w:pStyle w:val="32"/>
        <w:numPr>
          <w:ilvl w:val="2"/>
          <w:numId w:val="2"/>
        </w:numPr>
        <w:tabs>
          <w:tab w:val="left" w:pos="1165"/>
        </w:tabs>
        <w:spacing w:before="63" w:after="0" w:line="240" w:lineRule="auto"/>
        <w:ind w:left="112" w:right="0" w:firstLine="421"/>
        <w:jc w:val="left"/>
        <w:rPr>
          <w:sz w:val="21"/>
        </w:rPr>
      </w:pPr>
      <w:r>
        <w:rPr>
          <w:spacing w:val="-3"/>
          <w:sz w:val="21"/>
        </w:rPr>
        <w:t>投标人不得存在下列情形之一：</w:t>
      </w:r>
    </w:p>
    <w:p>
      <w:pPr>
        <w:pStyle w:val="13"/>
        <w:spacing w:before="65"/>
        <w:ind w:left="533"/>
      </w:pPr>
      <w:r>
        <w:t>（1）与招标人存在利害关系可能影响招标公正性的法人、其他组织；</w:t>
      </w:r>
    </w:p>
    <w:p>
      <w:pPr>
        <w:pStyle w:val="13"/>
        <w:spacing w:before="65"/>
        <w:ind w:left="533"/>
      </w:pPr>
      <w:r>
        <w:t>（2）为本标段前期准备提供设计或咨询服务的，但设计施工总承包的除外；</w:t>
      </w:r>
    </w:p>
    <w:p>
      <w:pPr>
        <w:pStyle w:val="13"/>
        <w:spacing w:before="63"/>
        <w:ind w:left="533"/>
      </w:pPr>
      <w:r>
        <w:t>（3）为本标段的监理人；</w:t>
      </w:r>
    </w:p>
    <w:p>
      <w:pPr>
        <w:pStyle w:val="13"/>
        <w:spacing w:before="66"/>
        <w:ind w:left="533"/>
      </w:pPr>
      <w:r>
        <w:t>（4）为本标段的代建人；</w:t>
      </w:r>
    </w:p>
    <w:p>
      <w:pPr>
        <w:pStyle w:val="13"/>
        <w:spacing w:before="66"/>
        <w:ind w:left="533"/>
      </w:pPr>
      <w:r>
        <w:t>（5）为本标段提供招标代理服务的；</w:t>
      </w:r>
    </w:p>
    <w:p>
      <w:pPr>
        <w:pStyle w:val="13"/>
        <w:spacing w:before="63"/>
        <w:ind w:left="533"/>
      </w:pPr>
      <w:r>
        <w:t>（6）与本标段的监理人或代建人或招标代理机构同为一个法定代表人的；</w:t>
      </w:r>
    </w:p>
    <w:p>
      <w:pPr>
        <w:pStyle w:val="13"/>
        <w:spacing w:before="65"/>
        <w:ind w:left="533"/>
      </w:pPr>
      <w:r>
        <w:t>（7）与本标段的监理人或代建人或招标代理机构相互控股或参股的；</w:t>
      </w:r>
    </w:p>
    <w:p>
      <w:pPr>
        <w:pStyle w:val="13"/>
        <w:spacing w:before="65"/>
        <w:ind w:left="533"/>
      </w:pPr>
      <w:r>
        <w:t>（8）与本标段的监理人或代建人或招标代理机构相互任职或工作的；</w:t>
      </w:r>
    </w:p>
    <w:p>
      <w:pPr>
        <w:pStyle w:val="13"/>
        <w:spacing w:before="63"/>
        <w:ind w:left="533"/>
      </w:pPr>
      <w:r>
        <w:t>（9）被责令停业的；</w:t>
      </w:r>
    </w:p>
    <w:p>
      <w:pPr>
        <w:pStyle w:val="13"/>
        <w:spacing w:before="65"/>
        <w:ind w:left="533"/>
      </w:pPr>
      <w:r>
        <w:t>（10）被暂停或取消投标资格的；</w:t>
      </w:r>
    </w:p>
    <w:p>
      <w:pPr>
        <w:pStyle w:val="13"/>
        <w:spacing w:before="65"/>
        <w:ind w:left="533"/>
      </w:pPr>
      <w:r>
        <w:t>（11）财产被接管或或基本账户被冻结的；</w:t>
      </w:r>
    </w:p>
    <w:p>
      <w:pPr>
        <w:pStyle w:val="13"/>
        <w:spacing w:before="63"/>
        <w:ind w:left="533"/>
      </w:pPr>
      <w:r>
        <w:t>（12）有骗取中标或严重违约或工程质量安全问题，正处在停业整顿或暂停投标期间的。</w:t>
      </w:r>
    </w:p>
    <w:p>
      <w:pPr>
        <w:pStyle w:val="32"/>
        <w:numPr>
          <w:ilvl w:val="1"/>
          <w:numId w:val="2"/>
        </w:numPr>
        <w:tabs>
          <w:tab w:val="left" w:pos="536"/>
        </w:tabs>
        <w:spacing w:before="66" w:after="0" w:line="240" w:lineRule="auto"/>
        <w:ind w:left="535" w:right="0" w:hanging="423"/>
        <w:jc w:val="left"/>
        <w:rPr>
          <w:b/>
          <w:sz w:val="21"/>
        </w:rPr>
      </w:pPr>
      <w:r>
        <w:rPr>
          <w:b/>
          <w:sz w:val="21"/>
        </w:rPr>
        <w:t>费用承担</w:t>
      </w:r>
    </w:p>
    <w:p>
      <w:pPr>
        <w:pStyle w:val="13"/>
        <w:spacing w:before="66"/>
        <w:ind w:left="533"/>
      </w:pPr>
      <w:r>
        <w:t>投标人准备和参加投标活动发生的费用自理。</w:t>
      </w:r>
    </w:p>
    <w:p>
      <w:pPr>
        <w:spacing w:after="0"/>
        <w:sectPr>
          <w:pgSz w:w="11910" w:h="16840"/>
          <w:pgMar w:top="1320" w:right="1020" w:bottom="1120" w:left="1020" w:header="0" w:footer="920" w:gutter="0"/>
        </w:sectPr>
      </w:pPr>
    </w:p>
    <w:p>
      <w:pPr>
        <w:pStyle w:val="32"/>
        <w:numPr>
          <w:ilvl w:val="1"/>
          <w:numId w:val="2"/>
        </w:numPr>
        <w:tabs>
          <w:tab w:val="left" w:pos="536"/>
        </w:tabs>
        <w:spacing w:before="26" w:after="0" w:line="240" w:lineRule="auto"/>
        <w:ind w:left="535" w:right="0" w:hanging="423"/>
        <w:jc w:val="left"/>
        <w:rPr>
          <w:b/>
          <w:sz w:val="21"/>
        </w:rPr>
      </w:pPr>
      <w:r>
        <w:rPr>
          <w:b/>
          <w:sz w:val="21"/>
        </w:rPr>
        <w:t>保密</w:t>
      </w:r>
    </w:p>
    <w:p>
      <w:pPr>
        <w:pStyle w:val="13"/>
        <w:spacing w:before="64" w:line="297" w:lineRule="auto"/>
        <w:ind w:right="178" w:firstLine="420"/>
      </w:pPr>
      <w:r>
        <w:t>参与招标投标活动的各方应对招标文件和投标文件中的商业和技术等秘密保密，违者应对由此造成的后果承担法律责任。</w:t>
      </w:r>
    </w:p>
    <w:p>
      <w:pPr>
        <w:pStyle w:val="32"/>
        <w:numPr>
          <w:ilvl w:val="1"/>
          <w:numId w:val="2"/>
        </w:numPr>
        <w:tabs>
          <w:tab w:val="left" w:pos="536"/>
        </w:tabs>
        <w:spacing w:before="15" w:after="0" w:line="240" w:lineRule="auto"/>
        <w:ind w:left="535" w:right="0" w:hanging="423"/>
        <w:jc w:val="left"/>
        <w:rPr>
          <w:b/>
          <w:sz w:val="21"/>
        </w:rPr>
      </w:pPr>
      <w:r>
        <w:rPr>
          <w:b/>
          <w:sz w:val="21"/>
        </w:rPr>
        <w:t>语言文字</w:t>
      </w:r>
    </w:p>
    <w:p>
      <w:pPr>
        <w:pStyle w:val="13"/>
        <w:spacing w:before="63"/>
        <w:ind w:left="533"/>
      </w:pPr>
      <w:r>
        <w:t>除专用术语外，与招标投标有关的语言均使用中文。必要时专用术语应附有中文注释。</w:t>
      </w:r>
    </w:p>
    <w:p>
      <w:pPr>
        <w:pStyle w:val="32"/>
        <w:numPr>
          <w:ilvl w:val="1"/>
          <w:numId w:val="2"/>
        </w:numPr>
        <w:tabs>
          <w:tab w:val="left" w:pos="536"/>
        </w:tabs>
        <w:spacing w:before="66" w:after="0" w:line="240" w:lineRule="auto"/>
        <w:ind w:left="535" w:right="0" w:hanging="423"/>
        <w:jc w:val="left"/>
        <w:rPr>
          <w:b/>
          <w:sz w:val="21"/>
        </w:rPr>
      </w:pPr>
      <w:r>
        <w:rPr>
          <w:b/>
          <w:sz w:val="21"/>
        </w:rPr>
        <w:t>计量单位</w:t>
      </w:r>
    </w:p>
    <w:p>
      <w:pPr>
        <w:pStyle w:val="13"/>
        <w:spacing w:before="66"/>
        <w:ind w:left="533"/>
      </w:pPr>
      <w:r>
        <w:t>所有计量均采用中华人民共和国法定计量单位。</w:t>
      </w:r>
    </w:p>
    <w:p>
      <w:pPr>
        <w:pStyle w:val="32"/>
        <w:numPr>
          <w:ilvl w:val="1"/>
          <w:numId w:val="2"/>
        </w:numPr>
        <w:tabs>
          <w:tab w:val="left" w:pos="536"/>
        </w:tabs>
        <w:spacing w:before="63" w:after="0" w:line="240" w:lineRule="auto"/>
        <w:ind w:left="535" w:right="0" w:hanging="423"/>
        <w:jc w:val="left"/>
        <w:rPr>
          <w:b/>
          <w:sz w:val="21"/>
        </w:rPr>
      </w:pPr>
      <w:r>
        <w:rPr>
          <w:b/>
          <w:sz w:val="21"/>
        </w:rPr>
        <w:t>踏勘现场</w:t>
      </w:r>
    </w:p>
    <w:p>
      <w:pPr>
        <w:pStyle w:val="32"/>
        <w:numPr>
          <w:ilvl w:val="2"/>
          <w:numId w:val="2"/>
        </w:numPr>
        <w:tabs>
          <w:tab w:val="left" w:pos="1112"/>
        </w:tabs>
        <w:spacing w:before="65" w:after="0" w:line="297" w:lineRule="auto"/>
        <w:ind w:left="112" w:right="206" w:firstLine="421"/>
        <w:jc w:val="left"/>
        <w:rPr>
          <w:sz w:val="21"/>
        </w:rPr>
      </w:pPr>
      <w:r>
        <w:rPr>
          <w:spacing w:val="-6"/>
          <w:sz w:val="21"/>
        </w:rPr>
        <w:t>投标人须知前附表规定组织踏勘现场的，招标人按投标人须知前附表规定的时间、 地点组织投</w:t>
      </w:r>
      <w:r>
        <w:rPr>
          <w:spacing w:val="-3"/>
          <w:sz w:val="21"/>
        </w:rPr>
        <w:t>标人踏勘项目现场。</w:t>
      </w:r>
    </w:p>
    <w:p>
      <w:pPr>
        <w:pStyle w:val="32"/>
        <w:numPr>
          <w:ilvl w:val="2"/>
          <w:numId w:val="2"/>
        </w:numPr>
        <w:tabs>
          <w:tab w:val="left" w:pos="1165"/>
        </w:tabs>
        <w:spacing w:before="12" w:after="0" w:line="240" w:lineRule="auto"/>
        <w:ind w:left="1164" w:right="0" w:hanging="631"/>
        <w:jc w:val="left"/>
        <w:rPr>
          <w:sz w:val="21"/>
        </w:rPr>
      </w:pPr>
      <w:r>
        <w:rPr>
          <w:spacing w:val="-3"/>
          <w:sz w:val="21"/>
        </w:rPr>
        <w:t>投标人踏勘现场发生的费用自理。</w:t>
      </w:r>
    </w:p>
    <w:p>
      <w:pPr>
        <w:pStyle w:val="32"/>
        <w:numPr>
          <w:ilvl w:val="2"/>
          <w:numId w:val="2"/>
        </w:numPr>
        <w:tabs>
          <w:tab w:val="left" w:pos="1165"/>
        </w:tabs>
        <w:spacing w:before="65" w:after="0" w:line="240" w:lineRule="auto"/>
        <w:ind w:left="1164" w:right="0" w:hanging="631"/>
        <w:jc w:val="left"/>
        <w:rPr>
          <w:sz w:val="21"/>
        </w:rPr>
      </w:pPr>
      <w:r>
        <w:rPr>
          <w:spacing w:val="-3"/>
          <w:sz w:val="21"/>
        </w:rPr>
        <w:t>除招标人的原因外，投标人自行负责在踏勘现场中所发生的人员伤亡和财产损失。</w:t>
      </w:r>
    </w:p>
    <w:p>
      <w:pPr>
        <w:pStyle w:val="32"/>
        <w:numPr>
          <w:ilvl w:val="2"/>
          <w:numId w:val="2"/>
        </w:numPr>
        <w:tabs>
          <w:tab w:val="left" w:pos="1165"/>
        </w:tabs>
        <w:spacing w:before="66" w:after="0" w:line="297" w:lineRule="auto"/>
        <w:ind w:left="112" w:right="206" w:firstLine="421"/>
        <w:jc w:val="both"/>
        <w:rPr>
          <w:sz w:val="21"/>
        </w:rPr>
      </w:pPr>
      <w:r>
        <w:rPr>
          <w:spacing w:val="-6"/>
          <w:sz w:val="21"/>
        </w:rPr>
        <w:t>投标人应自行踏勘工程现场，熟悉场地和相关的周边环境情况。如因投标人未踏勘现场，任何</w:t>
      </w:r>
      <w:r>
        <w:rPr>
          <w:spacing w:val="-7"/>
          <w:sz w:val="21"/>
        </w:rPr>
        <w:t>不了解实际情况而导致报价失误、费用增加、风险索赔等将由投标人自行承担，风险索赔包括土方及材料</w:t>
      </w:r>
      <w:r>
        <w:rPr>
          <w:spacing w:val="-8"/>
          <w:sz w:val="21"/>
        </w:rPr>
        <w:t>场内转运、大型机械多次进退场费等。招标人在踏勘现场中介绍的工程场地和相关的周边环境情况，供投</w:t>
      </w:r>
      <w:r>
        <w:rPr>
          <w:spacing w:val="-5"/>
          <w:sz w:val="21"/>
        </w:rPr>
        <w:t>标人在编制投标文件时参考，招标人不对投标人据此作出的判断和决策负责。</w:t>
      </w:r>
    </w:p>
    <w:p>
      <w:pPr>
        <w:pStyle w:val="32"/>
        <w:numPr>
          <w:ilvl w:val="1"/>
          <w:numId w:val="2"/>
        </w:numPr>
        <w:tabs>
          <w:tab w:val="left" w:pos="642"/>
        </w:tabs>
        <w:spacing w:before="13" w:after="0" w:line="297" w:lineRule="auto"/>
        <w:ind w:left="533" w:right="8267" w:hanging="421"/>
        <w:jc w:val="left"/>
        <w:rPr>
          <w:sz w:val="21"/>
        </w:rPr>
      </w:pPr>
      <w:r>
        <w:rPr>
          <w:b/>
          <w:sz w:val="21"/>
        </w:rPr>
        <w:t>投标预备会</w:t>
      </w:r>
      <w:r>
        <w:rPr>
          <w:spacing w:val="-1"/>
          <w:sz w:val="21"/>
        </w:rPr>
        <w:t>不召开。</w:t>
      </w:r>
    </w:p>
    <w:p>
      <w:pPr>
        <w:pStyle w:val="32"/>
        <w:numPr>
          <w:ilvl w:val="1"/>
          <w:numId w:val="2"/>
        </w:numPr>
        <w:tabs>
          <w:tab w:val="left" w:pos="642"/>
        </w:tabs>
        <w:spacing w:before="15" w:after="0" w:line="240" w:lineRule="auto"/>
        <w:ind w:left="641" w:right="0" w:hanging="529"/>
        <w:jc w:val="left"/>
        <w:rPr>
          <w:b/>
          <w:sz w:val="21"/>
        </w:rPr>
      </w:pPr>
      <w:r>
        <w:rPr>
          <w:b/>
          <w:sz w:val="21"/>
        </w:rPr>
        <w:t>分包</w:t>
      </w:r>
    </w:p>
    <w:p>
      <w:pPr>
        <w:pStyle w:val="13"/>
        <w:spacing w:before="63" w:line="297" w:lineRule="auto"/>
        <w:ind w:firstLine="420"/>
      </w:pPr>
      <w:r>
        <w:rPr>
          <w:spacing w:val="-10"/>
        </w:rPr>
        <w:t xml:space="preserve">投标人拟在中标后将中标项目的部分非主体、非关键性工作进行分包的，应符合“投标人须知前附表” </w:t>
      </w:r>
      <w:r>
        <w:rPr>
          <w:spacing w:val="-5"/>
        </w:rPr>
        <w:t>规定的分包内容、分包金额和接受分包的第三人资质要求等限制性条件。</w:t>
      </w:r>
    </w:p>
    <w:p>
      <w:pPr>
        <w:pStyle w:val="32"/>
        <w:numPr>
          <w:ilvl w:val="1"/>
          <w:numId w:val="2"/>
        </w:numPr>
        <w:tabs>
          <w:tab w:val="left" w:pos="642"/>
        </w:tabs>
        <w:spacing w:before="15" w:after="0" w:line="240" w:lineRule="auto"/>
        <w:ind w:left="641" w:right="0" w:hanging="529"/>
        <w:jc w:val="left"/>
        <w:rPr>
          <w:b/>
          <w:sz w:val="21"/>
        </w:rPr>
      </w:pPr>
      <w:r>
        <w:rPr>
          <w:b/>
          <w:sz w:val="21"/>
        </w:rPr>
        <w:t>偏离</w:t>
      </w:r>
    </w:p>
    <w:p>
      <w:pPr>
        <w:pStyle w:val="13"/>
        <w:spacing w:before="63"/>
        <w:ind w:left="533"/>
      </w:pPr>
      <w:r>
        <w:t>不允许。</w:t>
      </w:r>
    </w:p>
    <w:p>
      <w:pPr>
        <w:pStyle w:val="32"/>
        <w:numPr>
          <w:ilvl w:val="0"/>
          <w:numId w:val="2"/>
        </w:numPr>
        <w:tabs>
          <w:tab w:val="left" w:pos="325"/>
        </w:tabs>
        <w:spacing w:before="66" w:after="0" w:line="240" w:lineRule="auto"/>
        <w:ind w:left="324" w:right="0" w:hanging="212"/>
        <w:jc w:val="left"/>
        <w:rPr>
          <w:b/>
          <w:sz w:val="21"/>
        </w:rPr>
      </w:pPr>
      <w:r>
        <w:rPr>
          <w:b/>
          <w:sz w:val="21"/>
        </w:rPr>
        <w:t>招标文件</w:t>
      </w:r>
    </w:p>
    <w:p>
      <w:pPr>
        <w:pStyle w:val="32"/>
        <w:numPr>
          <w:ilvl w:val="1"/>
          <w:numId w:val="2"/>
        </w:numPr>
        <w:tabs>
          <w:tab w:val="left" w:pos="536"/>
        </w:tabs>
        <w:spacing w:before="65" w:after="0" w:line="240" w:lineRule="auto"/>
        <w:ind w:left="535" w:right="0" w:hanging="423"/>
        <w:jc w:val="left"/>
        <w:rPr>
          <w:b/>
          <w:sz w:val="21"/>
        </w:rPr>
      </w:pPr>
      <w:r>
        <w:rPr>
          <w:b/>
          <w:sz w:val="21"/>
        </w:rPr>
        <w:t>招标文件的组成</w:t>
      </w:r>
    </w:p>
    <w:p>
      <w:pPr>
        <w:pStyle w:val="32"/>
        <w:numPr>
          <w:ilvl w:val="2"/>
          <w:numId w:val="2"/>
        </w:numPr>
        <w:tabs>
          <w:tab w:val="left" w:pos="1112"/>
        </w:tabs>
        <w:spacing w:before="63" w:after="0" w:line="240" w:lineRule="auto"/>
        <w:ind w:left="112" w:right="0" w:firstLine="421"/>
        <w:jc w:val="left"/>
        <w:rPr>
          <w:sz w:val="21"/>
        </w:rPr>
      </w:pPr>
      <w:r>
        <w:rPr>
          <w:spacing w:val="-3"/>
          <w:sz w:val="21"/>
        </w:rPr>
        <w:t>本招标文件包括：</w:t>
      </w:r>
    </w:p>
    <w:p>
      <w:pPr>
        <w:pStyle w:val="13"/>
        <w:spacing w:before="66"/>
        <w:ind w:left="533"/>
      </w:pPr>
      <w:r>
        <w:t>（1）招标公告；</w:t>
      </w:r>
    </w:p>
    <w:p>
      <w:pPr>
        <w:pStyle w:val="13"/>
        <w:spacing w:before="66"/>
        <w:ind w:left="533"/>
      </w:pPr>
      <w:r>
        <w:t>（2）投标人须知；</w:t>
      </w:r>
    </w:p>
    <w:p>
      <w:pPr>
        <w:pStyle w:val="13"/>
        <w:spacing w:before="63"/>
        <w:ind w:left="533"/>
      </w:pPr>
      <w:r>
        <w:t>（3）评标办法（综合评估法）；</w:t>
      </w:r>
    </w:p>
    <w:p>
      <w:pPr>
        <w:pStyle w:val="13"/>
        <w:spacing w:before="65"/>
        <w:ind w:left="533"/>
      </w:pPr>
      <w:r>
        <w:t>（4）合同条款及格式；</w:t>
      </w:r>
    </w:p>
    <w:p>
      <w:pPr>
        <w:pStyle w:val="13"/>
        <w:spacing w:before="65"/>
        <w:ind w:left="533"/>
      </w:pPr>
      <w:r>
        <w:t>（5）工程量清单；</w:t>
      </w:r>
    </w:p>
    <w:p>
      <w:pPr>
        <w:pStyle w:val="13"/>
        <w:spacing w:before="63"/>
        <w:ind w:left="533"/>
      </w:pPr>
      <w:r>
        <w:t>（6）图纸；</w:t>
      </w:r>
    </w:p>
    <w:p>
      <w:pPr>
        <w:pStyle w:val="13"/>
        <w:spacing w:before="66"/>
        <w:ind w:left="533"/>
      </w:pPr>
      <w:r>
        <w:t>（7）技术标准和要求；</w:t>
      </w:r>
    </w:p>
    <w:p>
      <w:pPr>
        <w:pStyle w:val="13"/>
        <w:spacing w:before="66"/>
        <w:ind w:left="533"/>
      </w:pPr>
      <w:r>
        <w:t>（8）投标文件格式。</w:t>
      </w:r>
    </w:p>
    <w:p>
      <w:pPr>
        <w:pStyle w:val="32"/>
        <w:numPr>
          <w:ilvl w:val="2"/>
          <w:numId w:val="2"/>
        </w:numPr>
        <w:tabs>
          <w:tab w:val="left" w:pos="1112"/>
        </w:tabs>
        <w:spacing w:before="64" w:after="0" w:line="297" w:lineRule="auto"/>
        <w:ind w:left="112" w:right="211" w:firstLine="421"/>
        <w:jc w:val="left"/>
        <w:rPr>
          <w:sz w:val="21"/>
        </w:rPr>
      </w:pPr>
      <w:r>
        <w:rPr>
          <w:spacing w:val="-11"/>
          <w:sz w:val="21"/>
        </w:rPr>
        <w:t xml:space="preserve">根据本章第 </w:t>
      </w:r>
      <w:r>
        <w:rPr>
          <w:sz w:val="21"/>
        </w:rPr>
        <w:t>2.2</w:t>
      </w:r>
      <w:r>
        <w:rPr>
          <w:spacing w:val="-8"/>
          <w:sz w:val="21"/>
        </w:rPr>
        <w:t xml:space="preserve"> 款和第 </w:t>
      </w:r>
      <w:r>
        <w:rPr>
          <w:sz w:val="21"/>
        </w:rPr>
        <w:t>2.3</w:t>
      </w:r>
      <w:r>
        <w:rPr>
          <w:spacing w:val="-8"/>
          <w:sz w:val="21"/>
        </w:rPr>
        <w:t xml:space="preserve"> 款对招标文件所作的澄清、修改，构成招标文件的组成部分。当招</w:t>
      </w:r>
      <w:r>
        <w:rPr>
          <w:spacing w:val="-3"/>
          <w:sz w:val="21"/>
        </w:rPr>
        <w:t>标文件及其澄清、修改或补充文件对于同一内容表述不一致时，以最后发出的书面文件为准。</w:t>
      </w:r>
    </w:p>
    <w:p>
      <w:pPr>
        <w:pStyle w:val="32"/>
        <w:numPr>
          <w:ilvl w:val="1"/>
          <w:numId w:val="2"/>
        </w:numPr>
        <w:tabs>
          <w:tab w:val="left" w:pos="536"/>
        </w:tabs>
        <w:spacing w:before="15" w:after="0" w:line="240" w:lineRule="auto"/>
        <w:ind w:left="535" w:right="0" w:hanging="423"/>
        <w:jc w:val="left"/>
        <w:rPr>
          <w:b/>
          <w:sz w:val="21"/>
        </w:rPr>
      </w:pPr>
      <w:r>
        <w:rPr>
          <w:b/>
          <w:sz w:val="21"/>
        </w:rPr>
        <w:t>招标文件的澄清</w:t>
      </w:r>
    </w:p>
    <w:p>
      <w:pPr>
        <w:pStyle w:val="32"/>
        <w:numPr>
          <w:ilvl w:val="2"/>
          <w:numId w:val="2"/>
        </w:numPr>
        <w:tabs>
          <w:tab w:val="left" w:pos="1170"/>
        </w:tabs>
        <w:spacing w:before="63" w:after="0" w:line="297" w:lineRule="auto"/>
        <w:ind w:left="112" w:right="100" w:firstLine="426"/>
        <w:jc w:val="left"/>
        <w:rPr>
          <w:sz w:val="21"/>
        </w:rPr>
      </w:pPr>
      <w:r>
        <w:rPr>
          <w:spacing w:val="-9"/>
          <w:sz w:val="21"/>
        </w:rPr>
        <w:t xml:space="preserve">投标人应仔细阅读和检查招标文件的全部内容。如发现缺页或附件不全，应及时向招标人提出， </w:t>
      </w:r>
      <w:r>
        <w:rPr>
          <w:spacing w:val="-6"/>
          <w:sz w:val="21"/>
        </w:rPr>
        <w:t>以便补齐。如有疑问，应在“投标人须知前附表”规定的时间前以书面形式</w:t>
      </w:r>
      <w:r>
        <w:rPr>
          <w:sz w:val="21"/>
        </w:rPr>
        <w:t>（</w:t>
      </w:r>
      <w:r>
        <w:rPr>
          <w:spacing w:val="-4"/>
          <w:sz w:val="21"/>
        </w:rPr>
        <w:t>包括信函、电报、传真等可</w:t>
      </w:r>
      <w:r>
        <w:rPr>
          <w:spacing w:val="-3"/>
          <w:sz w:val="21"/>
        </w:rPr>
        <w:t>以有形地表现所载内容的形式，下同</w:t>
      </w:r>
      <w:r>
        <w:rPr>
          <w:sz w:val="21"/>
        </w:rPr>
        <w:t>）</w:t>
      </w:r>
      <w:r>
        <w:rPr>
          <w:spacing w:val="-3"/>
          <w:sz w:val="21"/>
        </w:rPr>
        <w:t>，要求招标人对招标文件予以澄清。</w:t>
      </w:r>
    </w:p>
    <w:p>
      <w:pPr>
        <w:pStyle w:val="32"/>
        <w:numPr>
          <w:ilvl w:val="2"/>
          <w:numId w:val="2"/>
        </w:numPr>
        <w:tabs>
          <w:tab w:val="left" w:pos="1170"/>
        </w:tabs>
        <w:spacing w:before="13" w:after="0" w:line="240" w:lineRule="auto"/>
        <w:ind w:left="112" w:right="0" w:firstLine="426"/>
        <w:jc w:val="left"/>
        <w:rPr>
          <w:sz w:val="21"/>
        </w:rPr>
      </w:pPr>
      <w:r>
        <w:rPr>
          <w:spacing w:val="-3"/>
          <w:sz w:val="21"/>
        </w:rPr>
        <w:t xml:space="preserve">招标文件的澄清将在投标人须知前附表规定的投标截止时间 </w:t>
      </w:r>
      <w:r>
        <w:rPr>
          <w:sz w:val="21"/>
        </w:rPr>
        <w:t>15</w:t>
      </w:r>
      <w:r>
        <w:rPr>
          <w:spacing w:val="-3"/>
          <w:sz w:val="21"/>
        </w:rPr>
        <w:t xml:space="preserve"> 天前在中国政府采购网、广西</w:t>
      </w:r>
    </w:p>
    <w:p>
      <w:pPr>
        <w:spacing w:after="0" w:line="240" w:lineRule="auto"/>
        <w:jc w:val="left"/>
        <w:rPr>
          <w:sz w:val="21"/>
        </w:rPr>
        <w:sectPr>
          <w:pgSz w:w="11910" w:h="16840"/>
          <w:pgMar w:top="1400" w:right="920" w:bottom="1180" w:left="1020" w:header="0" w:footer="920" w:gutter="0"/>
        </w:sectPr>
      </w:pPr>
    </w:p>
    <w:p>
      <w:pPr>
        <w:pStyle w:val="13"/>
        <w:spacing w:before="26" w:line="297" w:lineRule="auto"/>
        <w:ind w:right="187"/>
        <w:jc w:val="both"/>
      </w:pPr>
      <w:r>
        <w:rPr>
          <w:spacing w:val="-6"/>
        </w:rPr>
        <w:t>壮族自治区政府采购网、桂林市政府采购网、桂林市公共资源交易中心网站公示，已购买招标文件的投标</w:t>
      </w:r>
      <w:r>
        <w:rPr>
          <w:spacing w:val="-7"/>
        </w:rPr>
        <w:t>人自行登录中国政府采购网、广西壮族自治区政府采购网、桂林市政府采购网、桂林市公共资源交易中心</w:t>
      </w:r>
      <w:r>
        <w:rPr>
          <w:spacing w:val="-5"/>
        </w:rPr>
        <w:t xml:space="preserve">网站查询，以便将澄清和补遗内容考虑在投标文件中。如果澄清发出的时间距投标截止时间不足 </w:t>
      </w:r>
      <w:r>
        <w:t>15</w:t>
      </w:r>
      <w:r>
        <w:rPr>
          <w:spacing w:val="3"/>
        </w:rPr>
        <w:t xml:space="preserve"> 天， </w:t>
      </w:r>
      <w:r>
        <w:rPr>
          <w:spacing w:val="-3"/>
        </w:rPr>
        <w:t>且招标文件的澄清内容可能影响投标文件编制的，相应延长投标截止时间。</w:t>
      </w:r>
    </w:p>
    <w:p>
      <w:pPr>
        <w:pStyle w:val="32"/>
        <w:numPr>
          <w:ilvl w:val="2"/>
          <w:numId w:val="2"/>
        </w:numPr>
        <w:tabs>
          <w:tab w:val="left" w:pos="1143"/>
        </w:tabs>
        <w:spacing w:before="13" w:after="0" w:line="297" w:lineRule="auto"/>
        <w:ind w:left="112" w:right="206" w:firstLine="421"/>
        <w:jc w:val="both"/>
        <w:rPr>
          <w:sz w:val="21"/>
        </w:rPr>
      </w:pPr>
      <w:r>
        <w:rPr>
          <w:spacing w:val="-3"/>
          <w:sz w:val="21"/>
        </w:rPr>
        <w:t>招标人在中国政府采购网、广西壮族自治区政府采购网、桂林市政府采购网、桂林市公共资源</w:t>
      </w:r>
      <w:r>
        <w:rPr>
          <w:spacing w:val="-1"/>
          <w:sz w:val="21"/>
        </w:rPr>
        <w:t>交易中心网站发布的同时，视同投标人已知晓招标文件的澄清内容， 投标人应将澄清内容考虑在投标文</w:t>
      </w:r>
      <w:r>
        <w:rPr>
          <w:spacing w:val="-5"/>
          <w:sz w:val="21"/>
        </w:rPr>
        <w:t>件中，投标人在投标截止前未登录中国政府采购网、广西壮族自治区政府采购网、桂林市政府采购网、桂</w:t>
      </w:r>
      <w:r>
        <w:rPr>
          <w:spacing w:val="-6"/>
          <w:sz w:val="21"/>
        </w:rPr>
        <w:t>林市公共资源交易中心网站查看澄清和答疑，造成投标人的投标文件不符合招标文件要求或废标的，由投</w:t>
      </w:r>
      <w:r>
        <w:rPr>
          <w:spacing w:val="-4"/>
          <w:sz w:val="21"/>
        </w:rPr>
        <w:t>标人自行承担责任。</w:t>
      </w:r>
    </w:p>
    <w:p>
      <w:pPr>
        <w:pStyle w:val="32"/>
        <w:numPr>
          <w:ilvl w:val="1"/>
          <w:numId w:val="2"/>
        </w:numPr>
        <w:tabs>
          <w:tab w:val="left" w:pos="536"/>
        </w:tabs>
        <w:spacing w:before="15" w:after="0" w:line="240" w:lineRule="auto"/>
        <w:ind w:left="535" w:right="0" w:hanging="423"/>
        <w:jc w:val="both"/>
        <w:rPr>
          <w:b/>
          <w:sz w:val="21"/>
        </w:rPr>
      </w:pPr>
      <w:r>
        <w:rPr>
          <w:b/>
          <w:sz w:val="21"/>
        </w:rPr>
        <w:t>招标文件的修改</w:t>
      </w:r>
    </w:p>
    <w:p>
      <w:pPr>
        <w:pStyle w:val="32"/>
        <w:numPr>
          <w:ilvl w:val="2"/>
          <w:numId w:val="2"/>
        </w:numPr>
        <w:tabs>
          <w:tab w:val="left" w:pos="1170"/>
        </w:tabs>
        <w:spacing w:before="63" w:after="0" w:line="297" w:lineRule="auto"/>
        <w:ind w:left="112" w:right="100" w:firstLine="426"/>
        <w:jc w:val="left"/>
        <w:rPr>
          <w:sz w:val="21"/>
        </w:rPr>
      </w:pPr>
      <w:r>
        <w:rPr>
          <w:spacing w:val="-1"/>
          <w:sz w:val="21"/>
        </w:rPr>
        <w:t xml:space="preserve">在投标截止时间 </w:t>
      </w:r>
      <w:r>
        <w:rPr>
          <w:sz w:val="21"/>
        </w:rPr>
        <w:t>15</w:t>
      </w:r>
      <w:r>
        <w:rPr>
          <w:spacing w:val="-4"/>
          <w:sz w:val="21"/>
        </w:rPr>
        <w:t xml:space="preserve"> 天前，招标人可以修改招标文件，并以书面形式将招标文件的修改或补充</w:t>
      </w:r>
      <w:r>
        <w:rPr>
          <w:spacing w:val="-12"/>
          <w:sz w:val="21"/>
        </w:rPr>
        <w:t xml:space="preserve">在中国政府采购网、广西壮族自治区政府采购网、桂林市政府采购网、桂林市公共资源交易中心网站公示， </w:t>
      </w:r>
      <w:r>
        <w:rPr>
          <w:spacing w:val="-10"/>
          <w:sz w:val="21"/>
        </w:rPr>
        <w:t>已购买招标文件的投标人自行登录中国政府采购网、广西壮族自治区政府采购网、桂林市政府采购网、桂</w:t>
      </w:r>
      <w:r>
        <w:rPr>
          <w:spacing w:val="-5"/>
          <w:sz w:val="21"/>
        </w:rPr>
        <w:t>林市公共资源交易中心网站查询，以便将澄清和补遗内容考虑在投标文件中，如果修改招标文件的时间距</w:t>
      </w:r>
      <w:r>
        <w:rPr>
          <w:spacing w:val="-1"/>
          <w:sz w:val="21"/>
        </w:rPr>
        <w:t xml:space="preserve">投标截止时间不足 </w:t>
      </w:r>
      <w:r>
        <w:rPr>
          <w:sz w:val="21"/>
        </w:rPr>
        <w:t>15</w:t>
      </w:r>
      <w:r>
        <w:rPr>
          <w:spacing w:val="-3"/>
          <w:sz w:val="21"/>
        </w:rPr>
        <w:t xml:space="preserve"> 天，且招标文件的修改内容可能影响投标文件编制的，相应延长投标截止时间。</w:t>
      </w:r>
    </w:p>
    <w:p>
      <w:pPr>
        <w:pStyle w:val="32"/>
        <w:numPr>
          <w:ilvl w:val="2"/>
          <w:numId w:val="2"/>
        </w:numPr>
        <w:tabs>
          <w:tab w:val="left" w:pos="1143"/>
        </w:tabs>
        <w:spacing w:before="15" w:after="0" w:line="297" w:lineRule="auto"/>
        <w:ind w:left="112" w:right="101" w:firstLine="426"/>
        <w:jc w:val="left"/>
        <w:rPr>
          <w:sz w:val="21"/>
        </w:rPr>
      </w:pPr>
      <w:r>
        <w:rPr>
          <w:spacing w:val="-3"/>
          <w:sz w:val="21"/>
        </w:rPr>
        <w:t>招标人在中国政府采购网、广西壮族自治区政府采购网、桂林市政府采购网、桂林市公共资源</w:t>
      </w:r>
      <w:r>
        <w:rPr>
          <w:spacing w:val="-2"/>
          <w:sz w:val="21"/>
        </w:rPr>
        <w:t>交易中心网站发布的同时，视同投标人已知晓招标文件的澄清内容， 投标人应将澄清内容考虑在投标文</w:t>
      </w:r>
      <w:r>
        <w:rPr>
          <w:spacing w:val="-5"/>
          <w:sz w:val="21"/>
        </w:rPr>
        <w:t>件中，投标人在投标截止前未登录中国政府采购网、广西壮族自治区政府采购网、桂林市政府采购网、桂</w:t>
      </w:r>
      <w:r>
        <w:rPr>
          <w:spacing w:val="-11"/>
          <w:sz w:val="21"/>
        </w:rPr>
        <w:t xml:space="preserve">林市公共资源交易中心网站查看澄清、修改和答疑，造成投标人的投标文件不符合招标文件要求或废标的， </w:t>
      </w:r>
      <w:r>
        <w:rPr>
          <w:spacing w:val="-6"/>
          <w:sz w:val="21"/>
        </w:rPr>
        <w:t>由投标人自行承担责任。</w:t>
      </w:r>
    </w:p>
    <w:p>
      <w:pPr>
        <w:pStyle w:val="32"/>
        <w:numPr>
          <w:ilvl w:val="2"/>
          <w:numId w:val="2"/>
        </w:numPr>
        <w:tabs>
          <w:tab w:val="left" w:pos="1112"/>
        </w:tabs>
        <w:spacing w:before="15" w:after="0" w:line="297" w:lineRule="auto"/>
        <w:ind w:left="112" w:right="103" w:firstLine="421"/>
        <w:jc w:val="left"/>
        <w:rPr>
          <w:sz w:val="21"/>
        </w:rPr>
      </w:pPr>
      <w:r>
        <w:rPr>
          <w:spacing w:val="-9"/>
          <w:sz w:val="21"/>
        </w:rPr>
        <w:t>招标文件的修改内容作为招标文件的组成部分，具有约束作用。 当招标文件、招标文件的修改、</w:t>
      </w:r>
      <w:r>
        <w:rPr>
          <w:spacing w:val="-5"/>
          <w:sz w:val="21"/>
        </w:rPr>
        <w:t>招标文件的补充在同一内容表述不一致时，以最后的文件为准。</w:t>
      </w:r>
    </w:p>
    <w:p>
      <w:pPr>
        <w:pStyle w:val="32"/>
        <w:numPr>
          <w:ilvl w:val="2"/>
          <w:numId w:val="2"/>
        </w:numPr>
        <w:tabs>
          <w:tab w:val="left" w:pos="1143"/>
        </w:tabs>
        <w:spacing w:before="13" w:after="0" w:line="297" w:lineRule="auto"/>
        <w:ind w:left="112" w:right="187" w:firstLine="421"/>
        <w:jc w:val="left"/>
        <w:rPr>
          <w:sz w:val="21"/>
        </w:rPr>
      </w:pPr>
      <w:r>
        <w:rPr>
          <w:spacing w:val="-3"/>
          <w:sz w:val="21"/>
        </w:rPr>
        <w:t>为使投标人在编制投标文件时有充分的时间对招标文件的修改、补充等内容进行研究并做出响应，招标人可酌情延长提交投标文件的截止时间，具体时间在招标文件的修改、补充等通知中予以明确。</w:t>
      </w:r>
    </w:p>
    <w:p>
      <w:pPr>
        <w:pStyle w:val="32"/>
        <w:numPr>
          <w:ilvl w:val="1"/>
          <w:numId w:val="2"/>
        </w:numPr>
        <w:tabs>
          <w:tab w:val="left" w:pos="483"/>
        </w:tabs>
        <w:spacing w:before="15" w:after="0" w:line="240" w:lineRule="auto"/>
        <w:ind w:left="482" w:right="0" w:hanging="370"/>
        <w:jc w:val="both"/>
        <w:rPr>
          <w:b/>
          <w:sz w:val="21"/>
        </w:rPr>
      </w:pPr>
      <w:r>
        <w:rPr>
          <w:b/>
          <w:spacing w:val="-1"/>
          <w:sz w:val="21"/>
        </w:rPr>
        <w:t>潜在的投标人提出异议时间</w:t>
      </w:r>
    </w:p>
    <w:p>
      <w:pPr>
        <w:pStyle w:val="13"/>
        <w:spacing w:before="24" w:line="273" w:lineRule="auto"/>
        <w:ind w:right="86" w:firstLine="420"/>
      </w:pPr>
      <w:r>
        <w:t>投标截止时间 10 天前。投标人不在规定期限内提出，招标人有权不予答复，或答复后投标截止时间由招标人确定是否顺延。</w:t>
      </w:r>
    </w:p>
    <w:p>
      <w:pPr>
        <w:pStyle w:val="32"/>
        <w:numPr>
          <w:ilvl w:val="0"/>
          <w:numId w:val="2"/>
        </w:numPr>
        <w:tabs>
          <w:tab w:val="left" w:pos="325"/>
        </w:tabs>
        <w:spacing w:before="45" w:after="0" w:line="240" w:lineRule="auto"/>
        <w:ind w:left="324" w:right="0" w:hanging="212"/>
        <w:jc w:val="both"/>
        <w:rPr>
          <w:b/>
          <w:sz w:val="21"/>
        </w:rPr>
      </w:pPr>
      <w:r>
        <w:rPr>
          <w:b/>
          <w:sz w:val="21"/>
        </w:rPr>
        <w:t>投标文件</w:t>
      </w:r>
    </w:p>
    <w:p>
      <w:pPr>
        <w:pStyle w:val="32"/>
        <w:numPr>
          <w:ilvl w:val="1"/>
          <w:numId w:val="2"/>
        </w:numPr>
        <w:tabs>
          <w:tab w:val="left" w:pos="536"/>
        </w:tabs>
        <w:spacing w:before="65" w:after="0" w:line="240" w:lineRule="auto"/>
        <w:ind w:left="535" w:right="0" w:hanging="423"/>
        <w:jc w:val="both"/>
        <w:rPr>
          <w:b/>
          <w:sz w:val="21"/>
        </w:rPr>
      </w:pPr>
      <w:r>
        <w:rPr>
          <w:b/>
          <w:sz w:val="21"/>
        </w:rPr>
        <w:t>投标文件的组成</w:t>
      </w:r>
    </w:p>
    <w:p>
      <w:pPr>
        <w:pStyle w:val="32"/>
        <w:numPr>
          <w:ilvl w:val="2"/>
          <w:numId w:val="2"/>
        </w:numPr>
        <w:tabs>
          <w:tab w:val="left" w:pos="1165"/>
        </w:tabs>
        <w:spacing w:before="65" w:after="0" w:line="240" w:lineRule="auto"/>
        <w:ind w:left="1164" w:right="0" w:hanging="631"/>
        <w:jc w:val="left"/>
        <w:rPr>
          <w:sz w:val="21"/>
        </w:rPr>
      </w:pPr>
      <w:r>
        <w:rPr>
          <w:spacing w:val="-3"/>
          <w:sz w:val="21"/>
        </w:rPr>
        <w:t>投标文件应包括下列内容：</w:t>
      </w:r>
    </w:p>
    <w:p>
      <w:pPr>
        <w:pStyle w:val="32"/>
        <w:numPr>
          <w:ilvl w:val="3"/>
          <w:numId w:val="2"/>
        </w:numPr>
        <w:tabs>
          <w:tab w:val="left" w:pos="1330"/>
        </w:tabs>
        <w:spacing w:before="63" w:after="0" w:line="240" w:lineRule="auto"/>
        <w:ind w:left="1330" w:right="0" w:hanging="795"/>
        <w:jc w:val="left"/>
        <w:rPr>
          <w:b/>
          <w:sz w:val="21"/>
        </w:rPr>
      </w:pPr>
      <w:r>
        <w:rPr>
          <w:b/>
          <w:sz w:val="21"/>
        </w:rPr>
        <w:t>资格审查部分：</w:t>
      </w:r>
    </w:p>
    <w:p>
      <w:pPr>
        <w:pStyle w:val="13"/>
        <w:spacing w:before="66" w:line="297" w:lineRule="auto"/>
        <w:ind w:right="86" w:firstLine="314"/>
      </w:pPr>
      <w:r>
        <w:t>（1）投标文件签署授权委托书（原件），（附法定代表人身份证明、代理人身份证等材料的复印件）；</w:t>
      </w:r>
    </w:p>
    <w:p>
      <w:pPr>
        <w:pStyle w:val="13"/>
        <w:spacing w:before="13" w:line="297" w:lineRule="auto"/>
        <w:ind w:right="283" w:firstLine="314"/>
      </w:pPr>
      <w:r>
        <w:rPr>
          <w:spacing w:val="-3"/>
        </w:rPr>
        <w:t>（2）</w:t>
      </w:r>
      <w:r>
        <w:rPr>
          <w:spacing w:val="-4"/>
        </w:rPr>
        <w:t>投标人基本情况表</w:t>
      </w:r>
      <w:r>
        <w:rPr>
          <w:spacing w:val="-3"/>
        </w:rPr>
        <w:t>（</w:t>
      </w:r>
      <w:r>
        <w:rPr>
          <w:spacing w:val="-5"/>
        </w:rPr>
        <w:t>附企业法人营业执照副本、企业资质证书副本、安全生产许可证副本等材料</w:t>
      </w:r>
      <w:r>
        <w:rPr>
          <w:spacing w:val="-2"/>
        </w:rPr>
        <w:t>的复印件</w:t>
      </w:r>
      <w:r>
        <w:t>）；</w:t>
      </w:r>
    </w:p>
    <w:p>
      <w:pPr>
        <w:pStyle w:val="13"/>
        <w:spacing w:before="63"/>
        <w:ind w:left="427"/>
      </w:pPr>
      <w:r>
        <w:t>（</w:t>
      </w:r>
      <w:r>
        <w:rPr>
          <w:rFonts w:hint="eastAsia"/>
          <w:lang w:val="en-US" w:eastAsia="zh-CN"/>
        </w:rPr>
        <w:t>3</w:t>
      </w:r>
      <w:r>
        <w:t>）建设工程项目管理承诺书；</w:t>
      </w:r>
    </w:p>
    <w:p>
      <w:pPr>
        <w:pStyle w:val="13"/>
        <w:spacing w:before="65" w:line="297" w:lineRule="auto"/>
        <w:ind w:right="283" w:firstLine="314"/>
      </w:pPr>
      <w:r>
        <w:rPr>
          <w:spacing w:val="-3"/>
        </w:rPr>
        <w:t>（</w:t>
      </w:r>
      <w:r>
        <w:rPr>
          <w:rFonts w:hint="eastAsia"/>
          <w:spacing w:val="-3"/>
          <w:lang w:val="en-US" w:eastAsia="zh-CN"/>
        </w:rPr>
        <w:t>4</w:t>
      </w:r>
      <w:r>
        <w:rPr>
          <w:spacing w:val="-3"/>
        </w:rPr>
        <w:t>）</w:t>
      </w:r>
      <w:r>
        <w:rPr>
          <w:spacing w:val="-4"/>
        </w:rPr>
        <w:t>近年财务状况表</w:t>
      </w:r>
      <w:r>
        <w:t>（</w:t>
      </w:r>
      <w:r>
        <w:rPr>
          <w:spacing w:val="-5"/>
        </w:rPr>
        <w:t>应附经会计师事务所或审计机构审计的财务会计报表，包括资产负债表、现金</w:t>
      </w:r>
      <w:r>
        <w:rPr>
          <w:spacing w:val="-3"/>
        </w:rPr>
        <w:t>流量表、利润表和财务情况说明书的复印件，具体年份要求见投标人须知前附表</w:t>
      </w:r>
      <w:r>
        <w:t>）；</w:t>
      </w:r>
    </w:p>
    <w:p>
      <w:pPr>
        <w:pStyle w:val="13"/>
        <w:spacing w:before="12"/>
        <w:ind w:left="427"/>
      </w:pPr>
      <w:r>
        <w:t>（</w:t>
      </w:r>
      <w:r>
        <w:rPr>
          <w:rFonts w:hint="eastAsia"/>
          <w:lang w:val="en-US" w:eastAsia="zh-CN"/>
        </w:rPr>
        <w:t>5</w:t>
      </w:r>
      <w:r>
        <w:t>）项目管理机构组成表；</w:t>
      </w:r>
    </w:p>
    <w:p>
      <w:pPr>
        <w:pStyle w:val="13"/>
        <w:spacing w:before="65"/>
        <w:ind w:left="427"/>
      </w:pPr>
      <w:r>
        <w:t>（</w:t>
      </w:r>
      <w:r>
        <w:rPr>
          <w:rFonts w:hint="eastAsia"/>
          <w:lang w:val="en-US" w:eastAsia="zh-CN"/>
        </w:rPr>
        <w:t>6</w:t>
      </w:r>
      <w:r>
        <w:t>）主要人员简历表；</w:t>
      </w:r>
    </w:p>
    <w:p>
      <w:pPr>
        <w:spacing w:after="0"/>
        <w:sectPr>
          <w:pgSz w:w="11910" w:h="16840"/>
          <w:pgMar w:top="1400" w:right="920" w:bottom="1180" w:left="1020" w:header="0" w:footer="920" w:gutter="0"/>
        </w:sectPr>
      </w:pPr>
    </w:p>
    <w:p>
      <w:pPr>
        <w:pStyle w:val="13"/>
        <w:spacing w:before="26"/>
        <w:ind w:left="427"/>
      </w:pPr>
      <w:r>
        <w:t>（</w:t>
      </w:r>
      <w:r>
        <w:rPr>
          <w:rFonts w:hint="eastAsia"/>
          <w:lang w:val="en-US" w:eastAsia="zh-CN"/>
        </w:rPr>
        <w:t>7</w:t>
      </w:r>
      <w:r>
        <w:t>）近年发生的诉讼和仲裁情况（具体年份要求见投标人须知前附表）；</w:t>
      </w:r>
    </w:p>
    <w:p>
      <w:pPr>
        <w:pStyle w:val="13"/>
        <w:spacing w:before="64"/>
        <w:ind w:left="427"/>
      </w:pPr>
      <w:r>
        <w:t>（</w:t>
      </w:r>
      <w:r>
        <w:rPr>
          <w:rFonts w:hint="eastAsia"/>
          <w:lang w:val="en-US" w:eastAsia="zh-CN"/>
        </w:rPr>
        <w:t>8</w:t>
      </w:r>
      <w:r>
        <w:t>）农民工工资保证金承诺书；（按桂劳社发[2009]50 号文件规定承诺）</w:t>
      </w:r>
    </w:p>
    <w:p>
      <w:pPr>
        <w:pStyle w:val="13"/>
        <w:spacing w:before="66" w:line="297" w:lineRule="auto"/>
        <w:ind w:firstLine="314"/>
      </w:pPr>
      <w:r>
        <w:t>（</w:t>
      </w:r>
      <w:r>
        <w:rPr>
          <w:rFonts w:hint="eastAsia"/>
          <w:lang w:val="en-US" w:eastAsia="zh-CN"/>
        </w:rPr>
        <w:t>9</w:t>
      </w:r>
      <w:r>
        <w:t>）工程渣土清运承诺书；（按照桂林市建设工程招标站市建招字[2011]02 号的规定对渣土清运的承诺书）</w:t>
      </w:r>
    </w:p>
    <w:p>
      <w:pPr>
        <w:pStyle w:val="13"/>
        <w:spacing w:before="13"/>
        <w:ind w:left="427"/>
      </w:pPr>
      <w:r>
        <w:t>（1</w:t>
      </w:r>
      <w:r>
        <w:rPr>
          <w:rFonts w:hint="eastAsia"/>
          <w:lang w:val="en-US" w:eastAsia="zh-CN"/>
        </w:rPr>
        <w:t>0</w:t>
      </w:r>
      <w:r>
        <w:t>）拟分包项目情况表；</w:t>
      </w:r>
    </w:p>
    <w:p>
      <w:pPr>
        <w:pStyle w:val="13"/>
        <w:spacing w:before="65"/>
        <w:ind w:left="427"/>
      </w:pPr>
      <w:r>
        <w:t>（1</w:t>
      </w:r>
      <w:r>
        <w:rPr>
          <w:rFonts w:hint="eastAsia"/>
          <w:lang w:val="en-US" w:eastAsia="zh-CN"/>
        </w:rPr>
        <w:t>1</w:t>
      </w:r>
      <w:r>
        <w:t>）其他材料（诚信声明）。</w:t>
      </w:r>
    </w:p>
    <w:p>
      <w:pPr>
        <w:pStyle w:val="32"/>
        <w:numPr>
          <w:ilvl w:val="3"/>
          <w:numId w:val="2"/>
        </w:numPr>
        <w:tabs>
          <w:tab w:val="left" w:pos="1225"/>
        </w:tabs>
        <w:spacing w:before="65" w:after="0" w:line="240" w:lineRule="auto"/>
        <w:ind w:left="1224" w:right="0" w:hanging="794"/>
        <w:jc w:val="left"/>
        <w:rPr>
          <w:b/>
          <w:sz w:val="21"/>
        </w:rPr>
      </w:pPr>
      <w:r>
        <w:rPr>
          <w:b/>
          <w:sz w:val="21"/>
        </w:rPr>
        <w:t>商务标部分：</w:t>
      </w:r>
    </w:p>
    <w:p>
      <w:pPr>
        <w:pStyle w:val="13"/>
        <w:spacing w:before="63"/>
        <w:ind w:left="430"/>
      </w:pPr>
      <w:r>
        <w:t>（1）投标函</w:t>
      </w:r>
      <w:r>
        <w:rPr>
          <w:rFonts w:hint="eastAsia"/>
          <w:lang w:eastAsia="zh-CN"/>
        </w:rPr>
        <w:t>；</w:t>
      </w:r>
    </w:p>
    <w:p>
      <w:pPr>
        <w:pStyle w:val="13"/>
        <w:spacing w:before="65"/>
        <w:ind w:left="430"/>
      </w:pPr>
      <w:r>
        <w:t>（2）投标函附录；</w:t>
      </w:r>
    </w:p>
    <w:p>
      <w:pPr>
        <w:pStyle w:val="13"/>
        <w:spacing w:before="65"/>
        <w:ind w:left="430"/>
      </w:pPr>
      <w:r>
        <w:t>（3）投标报价汇总表；</w:t>
      </w:r>
    </w:p>
    <w:p>
      <w:pPr>
        <w:pStyle w:val="13"/>
        <w:spacing w:before="63"/>
        <w:ind w:left="430"/>
      </w:pPr>
      <w:r>
        <w:t>（4）已标价工程量清单；</w:t>
      </w:r>
    </w:p>
    <w:p>
      <w:pPr>
        <w:pStyle w:val="13"/>
        <w:spacing w:before="65"/>
        <w:ind w:left="430"/>
      </w:pPr>
      <w:r>
        <w:t>（</w:t>
      </w:r>
      <w:r>
        <w:rPr>
          <w:rFonts w:ascii="Calibri" w:eastAsia="Calibri"/>
        </w:rPr>
        <w:t>5</w:t>
      </w:r>
      <w:r>
        <w:t>）投标人可结合本项目的评标办法视自身情况自行提交相关证明材料。</w:t>
      </w:r>
    </w:p>
    <w:p>
      <w:pPr>
        <w:pStyle w:val="32"/>
        <w:numPr>
          <w:ilvl w:val="3"/>
          <w:numId w:val="2"/>
        </w:numPr>
        <w:tabs>
          <w:tab w:val="left" w:pos="1330"/>
        </w:tabs>
        <w:spacing w:before="39" w:after="0" w:line="240" w:lineRule="auto"/>
        <w:ind w:left="1330" w:right="0" w:hanging="795"/>
        <w:jc w:val="left"/>
        <w:rPr>
          <w:b/>
          <w:sz w:val="21"/>
        </w:rPr>
      </w:pPr>
      <w:r>
        <w:rPr>
          <w:b/>
          <w:sz w:val="21"/>
        </w:rPr>
        <w:t>技术标部分</w:t>
      </w:r>
    </w:p>
    <w:p>
      <w:pPr>
        <w:pStyle w:val="13"/>
        <w:spacing w:before="63"/>
        <w:ind w:left="533"/>
      </w:pPr>
      <w:r>
        <w:t>（1）施工组织设计。</w:t>
      </w:r>
    </w:p>
    <w:p>
      <w:pPr>
        <w:pStyle w:val="13"/>
        <w:spacing w:before="65"/>
        <w:ind w:left="533"/>
      </w:pPr>
      <w:r>
        <w:t>（2）项目管理机构配备情况表；</w:t>
      </w:r>
    </w:p>
    <w:p>
      <w:pPr>
        <w:pStyle w:val="13"/>
        <w:spacing w:before="65"/>
        <w:ind w:left="533"/>
      </w:pPr>
      <w:r>
        <w:t>（3）项目经理（注册建造师）简历表；</w:t>
      </w:r>
    </w:p>
    <w:p>
      <w:pPr>
        <w:pStyle w:val="13"/>
        <w:spacing w:before="63"/>
        <w:ind w:left="533"/>
      </w:pPr>
      <w:r>
        <w:t>（4）项目技术负责人简历表。</w:t>
      </w:r>
    </w:p>
    <w:p>
      <w:pPr>
        <w:pStyle w:val="32"/>
        <w:numPr>
          <w:ilvl w:val="3"/>
          <w:numId w:val="2"/>
        </w:numPr>
        <w:tabs>
          <w:tab w:val="left" w:pos="1330"/>
        </w:tabs>
        <w:spacing w:before="27" w:after="0" w:line="240" w:lineRule="auto"/>
        <w:ind w:left="1330" w:right="0" w:hanging="795"/>
        <w:jc w:val="left"/>
        <w:rPr>
          <w:b/>
          <w:sz w:val="21"/>
        </w:rPr>
      </w:pPr>
      <w:r>
        <w:rPr>
          <w:b/>
          <w:spacing w:val="-1"/>
          <w:sz w:val="21"/>
        </w:rPr>
        <w:t>企业信誉实力部分</w:t>
      </w:r>
    </w:p>
    <w:p>
      <w:pPr>
        <w:pStyle w:val="13"/>
        <w:spacing w:before="36"/>
        <w:ind w:left="533"/>
      </w:pPr>
      <w:r>
        <w:t>（1）企业信誉实力一览表。</w:t>
      </w:r>
    </w:p>
    <w:p>
      <w:pPr>
        <w:pStyle w:val="32"/>
        <w:numPr>
          <w:ilvl w:val="2"/>
          <w:numId w:val="3"/>
        </w:numPr>
        <w:tabs>
          <w:tab w:val="left" w:pos="1112"/>
        </w:tabs>
        <w:spacing w:before="75" w:after="0" w:line="297" w:lineRule="auto"/>
        <w:ind w:left="112" w:right="108" w:firstLine="421"/>
        <w:jc w:val="left"/>
        <w:rPr>
          <w:sz w:val="21"/>
        </w:rPr>
      </w:pPr>
      <w:r>
        <w:rPr>
          <w:spacing w:val="-6"/>
          <w:sz w:val="21"/>
        </w:rPr>
        <w:t>招标文件“第八章 投标文件格式”有规定格式要求的，投标人应按规定的格式填写并按要求提</w:t>
      </w:r>
      <w:r>
        <w:rPr>
          <w:spacing w:val="-4"/>
          <w:sz w:val="21"/>
        </w:rPr>
        <w:t>交相关的证明材料。</w:t>
      </w:r>
    </w:p>
    <w:p>
      <w:pPr>
        <w:pStyle w:val="32"/>
        <w:numPr>
          <w:ilvl w:val="2"/>
          <w:numId w:val="3"/>
        </w:numPr>
        <w:tabs>
          <w:tab w:val="left" w:pos="1063"/>
        </w:tabs>
        <w:spacing w:before="13" w:after="0" w:line="297" w:lineRule="auto"/>
        <w:ind w:left="112" w:right="190" w:firstLine="421"/>
        <w:jc w:val="left"/>
        <w:rPr>
          <w:sz w:val="21"/>
        </w:rPr>
      </w:pPr>
      <w:r>
        <w:rPr>
          <w:spacing w:val="-3"/>
          <w:sz w:val="21"/>
        </w:rPr>
        <w:t>“投标人须知前附表”规定不接受联合体投标的，或投标人没有组成联合体的，投标文件不包</w:t>
      </w:r>
      <w:r>
        <w:rPr>
          <w:spacing w:val="-12"/>
          <w:sz w:val="21"/>
        </w:rPr>
        <w:t xml:space="preserve">括本章第 </w:t>
      </w:r>
      <w:r>
        <w:rPr>
          <w:sz w:val="21"/>
        </w:rPr>
        <w:t>3.1.1.1</w:t>
      </w:r>
      <w:r>
        <w:rPr>
          <w:spacing w:val="-8"/>
          <w:sz w:val="21"/>
        </w:rPr>
        <w:t xml:space="preserve"> 中所指的联合体协议书。</w:t>
      </w:r>
    </w:p>
    <w:p>
      <w:pPr>
        <w:pStyle w:val="10"/>
        <w:numPr>
          <w:ilvl w:val="2"/>
          <w:numId w:val="3"/>
        </w:numPr>
        <w:tabs>
          <w:tab w:val="left" w:pos="1215"/>
        </w:tabs>
        <w:spacing w:before="4" w:after="0" w:line="283" w:lineRule="auto"/>
        <w:ind w:left="112" w:right="111" w:firstLine="440"/>
        <w:jc w:val="left"/>
      </w:pPr>
      <w:r>
        <w:rPr>
          <w:spacing w:val="-7"/>
        </w:rPr>
        <w:t>近年财务状况、完成的类似项目、发生的诉讼及仲裁情况的年份要求：见“投标人须知前附表”。</w:t>
      </w:r>
    </w:p>
    <w:p>
      <w:pPr>
        <w:pStyle w:val="32"/>
        <w:numPr>
          <w:ilvl w:val="1"/>
          <w:numId w:val="3"/>
        </w:numPr>
        <w:tabs>
          <w:tab w:val="left" w:pos="536"/>
        </w:tabs>
        <w:spacing w:before="25" w:after="0" w:line="240" w:lineRule="auto"/>
        <w:ind w:left="535" w:right="0" w:hanging="423"/>
        <w:jc w:val="left"/>
        <w:rPr>
          <w:b/>
          <w:sz w:val="21"/>
        </w:rPr>
      </w:pPr>
      <w:r>
        <w:rPr>
          <w:b/>
          <w:sz w:val="21"/>
        </w:rPr>
        <w:t>投标报价</w:t>
      </w:r>
    </w:p>
    <w:p>
      <w:pPr>
        <w:pStyle w:val="32"/>
        <w:numPr>
          <w:ilvl w:val="2"/>
          <w:numId w:val="4"/>
        </w:numPr>
        <w:tabs>
          <w:tab w:val="left" w:pos="1165"/>
        </w:tabs>
        <w:spacing w:before="66" w:after="0" w:line="240" w:lineRule="auto"/>
        <w:ind w:left="112" w:right="0" w:firstLine="421"/>
        <w:jc w:val="left"/>
        <w:rPr>
          <w:sz w:val="21"/>
        </w:rPr>
      </w:pPr>
      <w:r>
        <w:rPr>
          <w:spacing w:val="-3"/>
          <w:sz w:val="21"/>
        </w:rPr>
        <w:t>投标人应按第五章“工程量清单”的要求填写相应表格。</w:t>
      </w:r>
    </w:p>
    <w:p>
      <w:pPr>
        <w:pStyle w:val="32"/>
        <w:numPr>
          <w:ilvl w:val="2"/>
          <w:numId w:val="4"/>
        </w:numPr>
        <w:tabs>
          <w:tab w:val="left" w:pos="1165"/>
        </w:tabs>
        <w:spacing w:before="63" w:after="0" w:line="297" w:lineRule="auto"/>
        <w:ind w:left="112" w:right="106" w:firstLine="421"/>
        <w:jc w:val="left"/>
        <w:rPr>
          <w:sz w:val="21"/>
        </w:rPr>
      </w:pPr>
      <w:r>
        <w:rPr>
          <w:spacing w:val="-6"/>
          <w:sz w:val="21"/>
        </w:rPr>
        <w:t>投标人在投标截止时间前修改投标函中的投标总报价，应同时修改第八章“投标文件格式”中</w:t>
      </w:r>
      <w:r>
        <w:rPr>
          <w:spacing w:val="-7"/>
          <w:sz w:val="21"/>
        </w:rPr>
        <w:t xml:space="preserve">的相应报价。此修改须符合本章第 </w:t>
      </w:r>
      <w:r>
        <w:rPr>
          <w:sz w:val="21"/>
        </w:rPr>
        <w:t>4.3</w:t>
      </w:r>
      <w:r>
        <w:rPr>
          <w:spacing w:val="-1"/>
          <w:sz w:val="21"/>
        </w:rPr>
        <w:t xml:space="preserve"> 款的有关要求。</w:t>
      </w:r>
    </w:p>
    <w:p>
      <w:pPr>
        <w:pStyle w:val="32"/>
        <w:numPr>
          <w:ilvl w:val="1"/>
          <w:numId w:val="4"/>
        </w:numPr>
        <w:tabs>
          <w:tab w:val="left" w:pos="536"/>
        </w:tabs>
        <w:spacing w:before="15" w:after="0" w:line="240" w:lineRule="auto"/>
        <w:ind w:left="535" w:right="0" w:hanging="423"/>
        <w:jc w:val="left"/>
        <w:rPr>
          <w:b/>
          <w:sz w:val="21"/>
        </w:rPr>
      </w:pPr>
      <w:r>
        <w:rPr>
          <w:b/>
          <w:sz w:val="21"/>
        </w:rPr>
        <w:t>投标有效期</w:t>
      </w:r>
    </w:p>
    <w:p>
      <w:pPr>
        <w:pStyle w:val="32"/>
        <w:numPr>
          <w:ilvl w:val="2"/>
          <w:numId w:val="4"/>
        </w:numPr>
        <w:tabs>
          <w:tab w:val="left" w:pos="1165"/>
        </w:tabs>
        <w:spacing w:before="63" w:after="0" w:line="240" w:lineRule="auto"/>
        <w:ind w:left="112" w:right="0" w:firstLine="421"/>
        <w:jc w:val="left"/>
        <w:rPr>
          <w:sz w:val="21"/>
        </w:rPr>
      </w:pPr>
      <w:r>
        <w:rPr>
          <w:spacing w:val="-3"/>
          <w:sz w:val="21"/>
        </w:rPr>
        <w:t>在“投标人须知前附表”规定的投标有效期内，投标人不得要求撤销或修改其投标文件。</w:t>
      </w:r>
    </w:p>
    <w:p>
      <w:pPr>
        <w:pStyle w:val="32"/>
        <w:numPr>
          <w:ilvl w:val="2"/>
          <w:numId w:val="4"/>
        </w:numPr>
        <w:tabs>
          <w:tab w:val="left" w:pos="1165"/>
        </w:tabs>
        <w:spacing w:before="65" w:after="0" w:line="297" w:lineRule="auto"/>
        <w:ind w:left="112" w:right="106" w:firstLine="421"/>
        <w:jc w:val="left"/>
        <w:rPr>
          <w:sz w:val="21"/>
        </w:rPr>
      </w:pPr>
      <w:r>
        <w:rPr>
          <w:spacing w:val="-5"/>
          <w:sz w:val="21"/>
        </w:rPr>
        <w:t>出现特殊情况需要延长投标有效期的，招标人以书面形式通知所有投标人延长投标有效期。但</w:t>
      </w:r>
      <w:r>
        <w:rPr>
          <w:spacing w:val="-4"/>
          <w:sz w:val="21"/>
        </w:rPr>
        <w:t>不得要求或被允许修改或撤销其投标文件；投标人拒绝延长的，其投标失效。</w:t>
      </w:r>
    </w:p>
    <w:p>
      <w:pPr>
        <w:pStyle w:val="32"/>
        <w:numPr>
          <w:ilvl w:val="1"/>
          <w:numId w:val="4"/>
        </w:numPr>
        <w:tabs>
          <w:tab w:val="left" w:pos="431"/>
        </w:tabs>
        <w:spacing w:before="12" w:after="0" w:line="240" w:lineRule="auto"/>
        <w:ind w:left="430" w:right="0" w:hanging="318"/>
        <w:jc w:val="left"/>
        <w:rPr>
          <w:b/>
          <w:sz w:val="21"/>
        </w:rPr>
      </w:pPr>
      <w:r>
        <w:rPr>
          <w:b/>
          <w:sz w:val="21"/>
        </w:rPr>
        <w:t>.备选投标方案</w:t>
      </w:r>
    </w:p>
    <w:p>
      <w:pPr>
        <w:pStyle w:val="13"/>
        <w:spacing w:before="65"/>
        <w:ind w:left="533"/>
      </w:pPr>
      <w:r>
        <w:t>见投标人须知前附表。</w:t>
      </w:r>
    </w:p>
    <w:p>
      <w:pPr>
        <w:pStyle w:val="32"/>
        <w:numPr>
          <w:ilvl w:val="1"/>
          <w:numId w:val="4"/>
        </w:numPr>
        <w:tabs>
          <w:tab w:val="left" w:pos="536"/>
        </w:tabs>
        <w:spacing w:before="66" w:after="0" w:line="240" w:lineRule="auto"/>
        <w:ind w:left="535" w:right="0" w:hanging="423"/>
        <w:jc w:val="left"/>
        <w:rPr>
          <w:b/>
          <w:sz w:val="21"/>
        </w:rPr>
      </w:pPr>
      <w:r>
        <w:rPr>
          <w:b/>
          <w:sz w:val="21"/>
        </w:rPr>
        <w:t>投标文件的编制</w:t>
      </w:r>
    </w:p>
    <w:p>
      <w:pPr>
        <w:pStyle w:val="32"/>
        <w:numPr>
          <w:ilvl w:val="2"/>
          <w:numId w:val="4"/>
        </w:numPr>
        <w:tabs>
          <w:tab w:val="left" w:pos="1165"/>
        </w:tabs>
        <w:spacing w:before="63" w:after="0" w:line="297" w:lineRule="auto"/>
        <w:ind w:left="112" w:right="106" w:firstLine="421"/>
        <w:jc w:val="both"/>
        <w:rPr>
          <w:sz w:val="21"/>
        </w:rPr>
      </w:pPr>
      <w:r>
        <w:rPr>
          <w:spacing w:val="-6"/>
          <w:sz w:val="21"/>
        </w:rPr>
        <w:t>投标文件应按第八章“投标文件格式”进行编写，如有必要，可以增加附页，作为投标文件的</w:t>
      </w:r>
      <w:r>
        <w:rPr>
          <w:spacing w:val="-8"/>
          <w:sz w:val="21"/>
        </w:rPr>
        <w:t>组成部分。其中，投标函附录在满足招标文件实质性要求的基础上，可以提出比招标文件要求更有利于招</w:t>
      </w:r>
      <w:r>
        <w:rPr>
          <w:spacing w:val="-5"/>
          <w:sz w:val="21"/>
        </w:rPr>
        <w:t>标人的承诺。</w:t>
      </w:r>
    </w:p>
    <w:p>
      <w:pPr>
        <w:pStyle w:val="32"/>
        <w:numPr>
          <w:ilvl w:val="2"/>
          <w:numId w:val="4"/>
        </w:numPr>
        <w:tabs>
          <w:tab w:val="left" w:pos="1165"/>
        </w:tabs>
        <w:spacing w:before="12" w:after="0" w:line="297" w:lineRule="auto"/>
        <w:ind w:left="112" w:right="108" w:firstLine="421"/>
        <w:jc w:val="left"/>
        <w:rPr>
          <w:sz w:val="21"/>
        </w:rPr>
      </w:pPr>
      <w:r>
        <w:rPr>
          <w:spacing w:val="-5"/>
          <w:sz w:val="21"/>
        </w:rPr>
        <w:t>投标文件应当对招标文件有关工期、投标有效期、质量要求、技术标准和要求、招标范围等实</w:t>
      </w:r>
      <w:r>
        <w:rPr>
          <w:spacing w:val="-4"/>
          <w:sz w:val="21"/>
        </w:rPr>
        <w:t>质性内容作出响应。</w:t>
      </w:r>
    </w:p>
    <w:p>
      <w:pPr>
        <w:spacing w:after="0" w:line="297" w:lineRule="auto"/>
        <w:jc w:val="left"/>
        <w:rPr>
          <w:sz w:val="21"/>
        </w:rPr>
        <w:sectPr>
          <w:pgSz w:w="11910" w:h="16840"/>
          <w:pgMar w:top="1400" w:right="1020" w:bottom="1180" w:left="1020" w:header="0" w:footer="920" w:gutter="0"/>
        </w:sectPr>
      </w:pPr>
    </w:p>
    <w:p>
      <w:pPr>
        <w:pStyle w:val="32"/>
        <w:numPr>
          <w:ilvl w:val="2"/>
          <w:numId w:val="4"/>
        </w:numPr>
        <w:tabs>
          <w:tab w:val="left" w:pos="1165"/>
        </w:tabs>
        <w:spacing w:before="26" w:after="0" w:line="297" w:lineRule="auto"/>
        <w:ind w:left="112" w:right="206" w:firstLine="421"/>
        <w:jc w:val="both"/>
        <w:rPr>
          <w:sz w:val="21"/>
        </w:rPr>
      </w:pPr>
      <w:r>
        <w:rPr>
          <w:spacing w:val="-5"/>
          <w:sz w:val="21"/>
        </w:rPr>
        <w:t>投标文件应用不褪色的材料书写或打印，并由投标人的法定代表人或其委托代理人在招标文件</w:t>
      </w:r>
      <w:r>
        <w:rPr>
          <w:spacing w:val="-6"/>
          <w:sz w:val="21"/>
        </w:rPr>
        <w:t>规定的位置签字并加盖投标人法人单位章。委托代理人签字的，投标文件应附法定代表人签署的授权委托</w:t>
      </w:r>
      <w:r>
        <w:rPr>
          <w:spacing w:val="-4"/>
          <w:sz w:val="21"/>
        </w:rPr>
        <w:t>书。投标文件应尽量避免涂改、行间插字或删除。如果出现上述情况，改动之处应加盖法人单位章。</w:t>
      </w:r>
    </w:p>
    <w:p>
      <w:pPr>
        <w:pStyle w:val="32"/>
        <w:numPr>
          <w:ilvl w:val="2"/>
          <w:numId w:val="4"/>
        </w:numPr>
        <w:tabs>
          <w:tab w:val="left" w:pos="1165"/>
        </w:tabs>
        <w:spacing w:before="15" w:after="0" w:line="295" w:lineRule="auto"/>
        <w:ind w:left="112" w:right="100" w:firstLine="421"/>
        <w:jc w:val="left"/>
        <w:rPr>
          <w:sz w:val="21"/>
        </w:rPr>
      </w:pPr>
      <w:r>
        <w:rPr>
          <w:spacing w:val="-12"/>
          <w:sz w:val="21"/>
        </w:rPr>
        <w:t>投标文件正本一份，副本肆份。正本和副本的封面上应清楚地标记“正本”或“副本”的字样。</w:t>
      </w:r>
      <w:r>
        <w:rPr>
          <w:spacing w:val="-6"/>
          <w:sz w:val="21"/>
        </w:rPr>
        <w:t>当副本和正本不一致时，以正本为准。</w:t>
      </w:r>
    </w:p>
    <w:p>
      <w:pPr>
        <w:pStyle w:val="32"/>
        <w:numPr>
          <w:ilvl w:val="2"/>
          <w:numId w:val="4"/>
        </w:numPr>
        <w:tabs>
          <w:tab w:val="left" w:pos="1165"/>
        </w:tabs>
        <w:spacing w:before="17" w:after="0" w:line="297" w:lineRule="auto"/>
        <w:ind w:left="112" w:right="184" w:firstLine="421"/>
        <w:jc w:val="left"/>
        <w:rPr>
          <w:sz w:val="21"/>
        </w:rPr>
      </w:pPr>
      <w:r>
        <w:rPr>
          <w:spacing w:val="-3"/>
          <w:sz w:val="21"/>
        </w:rPr>
        <w:t>投标文件的正本与副本应分别装订成册，并编制目录，具体装订要求见“投标人须知前附表” 规定。</w:t>
      </w:r>
    </w:p>
    <w:p>
      <w:pPr>
        <w:pStyle w:val="32"/>
        <w:numPr>
          <w:ilvl w:val="0"/>
          <w:numId w:val="4"/>
        </w:numPr>
        <w:tabs>
          <w:tab w:val="left" w:pos="325"/>
        </w:tabs>
        <w:spacing w:before="13" w:after="0" w:line="240" w:lineRule="auto"/>
        <w:ind w:left="324" w:right="0" w:hanging="212"/>
        <w:jc w:val="left"/>
        <w:rPr>
          <w:b/>
          <w:sz w:val="21"/>
        </w:rPr>
      </w:pPr>
      <w:r>
        <w:rPr>
          <w:b/>
          <w:sz w:val="21"/>
        </w:rPr>
        <w:t>投标</w:t>
      </w:r>
    </w:p>
    <w:p>
      <w:pPr>
        <w:pStyle w:val="32"/>
        <w:numPr>
          <w:ilvl w:val="1"/>
          <w:numId w:val="5"/>
        </w:numPr>
        <w:tabs>
          <w:tab w:val="left" w:pos="536"/>
        </w:tabs>
        <w:spacing w:before="66" w:after="0" w:line="240" w:lineRule="auto"/>
        <w:ind w:left="535" w:right="0" w:hanging="423"/>
        <w:jc w:val="left"/>
        <w:rPr>
          <w:b/>
          <w:sz w:val="21"/>
        </w:rPr>
      </w:pPr>
      <w:r>
        <w:rPr>
          <w:b/>
          <w:spacing w:val="-1"/>
          <w:sz w:val="21"/>
        </w:rPr>
        <w:t>投标文件的密封和标记</w:t>
      </w:r>
    </w:p>
    <w:p>
      <w:pPr>
        <w:pStyle w:val="32"/>
        <w:numPr>
          <w:ilvl w:val="2"/>
          <w:numId w:val="5"/>
        </w:numPr>
        <w:tabs>
          <w:tab w:val="left" w:pos="1112"/>
        </w:tabs>
        <w:spacing w:before="66" w:after="0" w:line="240" w:lineRule="auto"/>
        <w:ind w:left="1111" w:right="0" w:hanging="578"/>
        <w:jc w:val="left"/>
        <w:rPr>
          <w:sz w:val="21"/>
        </w:rPr>
      </w:pPr>
      <w:r>
        <w:rPr>
          <w:spacing w:val="-7"/>
          <w:sz w:val="21"/>
        </w:rPr>
        <w:t xml:space="preserve">见本章投标人须知前附表 </w:t>
      </w:r>
      <w:r>
        <w:rPr>
          <w:sz w:val="21"/>
        </w:rPr>
        <w:t>4.1.1</w:t>
      </w:r>
      <w:r>
        <w:rPr>
          <w:spacing w:val="-23"/>
          <w:sz w:val="21"/>
        </w:rPr>
        <w:t xml:space="preserve"> 项</w:t>
      </w:r>
    </w:p>
    <w:p>
      <w:pPr>
        <w:pStyle w:val="32"/>
        <w:numPr>
          <w:ilvl w:val="2"/>
          <w:numId w:val="5"/>
        </w:numPr>
        <w:tabs>
          <w:tab w:val="left" w:pos="1165"/>
        </w:tabs>
        <w:spacing w:before="63" w:after="0" w:line="240" w:lineRule="auto"/>
        <w:ind w:left="1164" w:right="0" w:hanging="631"/>
        <w:jc w:val="left"/>
        <w:rPr>
          <w:sz w:val="21"/>
        </w:rPr>
      </w:pPr>
      <w:r>
        <w:rPr>
          <w:spacing w:val="-5"/>
          <w:sz w:val="21"/>
        </w:rPr>
        <w:t xml:space="preserve">投标文件的封套上应写明的其他内容见本章投标人须知前附表 </w:t>
      </w:r>
      <w:r>
        <w:rPr>
          <w:sz w:val="21"/>
        </w:rPr>
        <w:t>4.1.2</w:t>
      </w:r>
      <w:r>
        <w:rPr>
          <w:spacing w:val="-13"/>
          <w:sz w:val="21"/>
        </w:rPr>
        <w:t xml:space="preserve"> 项。</w:t>
      </w:r>
    </w:p>
    <w:p>
      <w:pPr>
        <w:pStyle w:val="32"/>
        <w:numPr>
          <w:ilvl w:val="2"/>
          <w:numId w:val="5"/>
        </w:numPr>
        <w:tabs>
          <w:tab w:val="left" w:pos="1165"/>
        </w:tabs>
        <w:spacing w:before="65" w:after="0" w:line="240" w:lineRule="auto"/>
        <w:ind w:left="1164" w:right="0" w:hanging="631"/>
        <w:jc w:val="left"/>
        <w:rPr>
          <w:sz w:val="21"/>
        </w:rPr>
      </w:pPr>
      <w:r>
        <w:rPr>
          <w:spacing w:val="-1"/>
          <w:sz w:val="21"/>
        </w:rPr>
        <w:t xml:space="preserve">未按本章第 </w:t>
      </w:r>
      <w:r>
        <w:rPr>
          <w:sz w:val="21"/>
        </w:rPr>
        <w:t>4.1.1</w:t>
      </w:r>
      <w:r>
        <w:rPr>
          <w:spacing w:val="0"/>
          <w:sz w:val="21"/>
        </w:rPr>
        <w:t xml:space="preserve"> 项或第 </w:t>
      </w:r>
      <w:r>
        <w:rPr>
          <w:sz w:val="21"/>
        </w:rPr>
        <w:t>4.1.2</w:t>
      </w:r>
      <w:r>
        <w:rPr>
          <w:spacing w:val="-3"/>
          <w:sz w:val="21"/>
        </w:rPr>
        <w:t xml:space="preserve"> 项要求密封和加写标记的投标文件，招标人不予受理</w:t>
      </w:r>
    </w:p>
    <w:p>
      <w:pPr>
        <w:pStyle w:val="32"/>
        <w:numPr>
          <w:ilvl w:val="1"/>
          <w:numId w:val="5"/>
        </w:numPr>
        <w:tabs>
          <w:tab w:val="left" w:pos="536"/>
        </w:tabs>
        <w:spacing w:before="66" w:after="0" w:line="240" w:lineRule="auto"/>
        <w:ind w:left="535" w:right="0" w:hanging="423"/>
        <w:jc w:val="left"/>
        <w:rPr>
          <w:b/>
          <w:sz w:val="21"/>
        </w:rPr>
      </w:pPr>
      <w:r>
        <w:rPr>
          <w:b/>
          <w:sz w:val="21"/>
        </w:rPr>
        <w:t>投标文件的递交</w:t>
      </w:r>
    </w:p>
    <w:p>
      <w:pPr>
        <w:pStyle w:val="32"/>
        <w:numPr>
          <w:ilvl w:val="2"/>
          <w:numId w:val="5"/>
        </w:numPr>
        <w:tabs>
          <w:tab w:val="left" w:pos="1165"/>
        </w:tabs>
        <w:spacing w:before="63" w:after="0" w:line="240" w:lineRule="auto"/>
        <w:ind w:left="112" w:right="0" w:firstLine="421"/>
        <w:jc w:val="left"/>
        <w:rPr>
          <w:sz w:val="21"/>
        </w:rPr>
      </w:pPr>
      <w:r>
        <w:rPr>
          <w:spacing w:val="-3"/>
          <w:sz w:val="21"/>
        </w:rPr>
        <w:t>投标文件递交时限：投标人须在投标人须知前附表规定的投标截止时间前递交投标文件。</w:t>
      </w:r>
    </w:p>
    <w:p>
      <w:pPr>
        <w:pStyle w:val="32"/>
        <w:numPr>
          <w:ilvl w:val="2"/>
          <w:numId w:val="5"/>
        </w:numPr>
        <w:tabs>
          <w:tab w:val="left" w:pos="1165"/>
        </w:tabs>
        <w:spacing w:before="65" w:after="0" w:line="297" w:lineRule="auto"/>
        <w:ind w:left="112" w:right="206" w:firstLine="421"/>
        <w:jc w:val="left"/>
        <w:rPr>
          <w:sz w:val="21"/>
        </w:rPr>
      </w:pPr>
      <w:r>
        <w:rPr>
          <w:spacing w:val="-7"/>
          <w:sz w:val="21"/>
        </w:rPr>
        <w:t>投标人递交投标文件的地点：见“投标人须知前附表”，逾期送达的或者未送达指定地点的投</w:t>
      </w:r>
      <w:r>
        <w:rPr>
          <w:spacing w:val="-5"/>
          <w:sz w:val="21"/>
        </w:rPr>
        <w:t>标文件，招标人不予受理。</w:t>
      </w:r>
    </w:p>
    <w:p>
      <w:pPr>
        <w:pStyle w:val="32"/>
        <w:numPr>
          <w:ilvl w:val="2"/>
          <w:numId w:val="5"/>
        </w:numPr>
        <w:tabs>
          <w:tab w:val="left" w:pos="1112"/>
        </w:tabs>
        <w:spacing w:before="12" w:after="0" w:line="240" w:lineRule="auto"/>
        <w:ind w:left="1111" w:right="0" w:hanging="578"/>
        <w:jc w:val="left"/>
        <w:rPr>
          <w:sz w:val="21"/>
        </w:rPr>
      </w:pPr>
      <w:r>
        <w:rPr>
          <w:spacing w:val="-3"/>
          <w:sz w:val="21"/>
        </w:rPr>
        <w:t>是否退还投标文件：见“投标人须知前附表”。</w:t>
      </w:r>
    </w:p>
    <w:p>
      <w:pPr>
        <w:pStyle w:val="32"/>
        <w:numPr>
          <w:ilvl w:val="1"/>
          <w:numId w:val="5"/>
        </w:numPr>
        <w:tabs>
          <w:tab w:val="left" w:pos="536"/>
        </w:tabs>
        <w:spacing w:before="65" w:after="0" w:line="240" w:lineRule="auto"/>
        <w:ind w:left="535" w:right="0" w:hanging="423"/>
        <w:jc w:val="left"/>
        <w:rPr>
          <w:b/>
          <w:sz w:val="21"/>
        </w:rPr>
      </w:pPr>
      <w:r>
        <w:rPr>
          <w:b/>
          <w:spacing w:val="-1"/>
          <w:sz w:val="21"/>
        </w:rPr>
        <w:t>投标文件的修改与撤回</w:t>
      </w:r>
    </w:p>
    <w:p>
      <w:pPr>
        <w:pStyle w:val="32"/>
        <w:numPr>
          <w:ilvl w:val="2"/>
          <w:numId w:val="5"/>
        </w:numPr>
        <w:tabs>
          <w:tab w:val="left" w:pos="1165"/>
        </w:tabs>
        <w:spacing w:before="65" w:after="0" w:line="295" w:lineRule="auto"/>
        <w:ind w:left="112" w:right="209" w:firstLine="421"/>
        <w:jc w:val="left"/>
        <w:rPr>
          <w:sz w:val="21"/>
        </w:rPr>
      </w:pPr>
      <w:r>
        <w:rPr>
          <w:spacing w:val="-11"/>
          <w:sz w:val="21"/>
        </w:rPr>
        <w:t xml:space="preserve">在本章第 </w:t>
      </w:r>
      <w:r>
        <w:rPr>
          <w:sz w:val="21"/>
        </w:rPr>
        <w:t>2.2.1</w:t>
      </w:r>
      <w:r>
        <w:rPr>
          <w:spacing w:val="-7"/>
          <w:sz w:val="21"/>
        </w:rPr>
        <w:t xml:space="preserve"> 项规定的投标截止时间前，投标人可以修改或撤回已递交的投标文件，但应以</w:t>
      </w:r>
      <w:r>
        <w:rPr>
          <w:spacing w:val="-5"/>
          <w:sz w:val="21"/>
        </w:rPr>
        <w:t>书面形式通知招标人。</w:t>
      </w:r>
    </w:p>
    <w:p>
      <w:pPr>
        <w:pStyle w:val="32"/>
        <w:numPr>
          <w:ilvl w:val="2"/>
          <w:numId w:val="5"/>
        </w:numPr>
        <w:tabs>
          <w:tab w:val="left" w:pos="1165"/>
        </w:tabs>
        <w:spacing w:before="17" w:after="0" w:line="297" w:lineRule="auto"/>
        <w:ind w:left="112" w:right="206" w:firstLine="421"/>
        <w:jc w:val="left"/>
        <w:rPr>
          <w:sz w:val="21"/>
        </w:rPr>
      </w:pPr>
      <w:r>
        <w:rPr>
          <w:spacing w:val="-7"/>
          <w:sz w:val="21"/>
        </w:rPr>
        <w:t xml:space="preserve">投标人修改或撤回已递交投标文件的书面通知，应按照本章第 </w:t>
      </w:r>
      <w:r>
        <w:rPr>
          <w:sz w:val="21"/>
        </w:rPr>
        <w:t>3.7.3</w:t>
      </w:r>
      <w:r>
        <w:rPr>
          <w:spacing w:val="-5"/>
          <w:sz w:val="21"/>
        </w:rPr>
        <w:t xml:space="preserve"> 项的要求签字或盖章。招</w:t>
      </w:r>
      <w:r>
        <w:rPr>
          <w:spacing w:val="-4"/>
          <w:sz w:val="21"/>
        </w:rPr>
        <w:t>标人收到书面通知后，向投标人出具签收凭证。</w:t>
      </w:r>
    </w:p>
    <w:p>
      <w:pPr>
        <w:pStyle w:val="32"/>
        <w:numPr>
          <w:ilvl w:val="2"/>
          <w:numId w:val="5"/>
        </w:numPr>
        <w:tabs>
          <w:tab w:val="left" w:pos="1165"/>
        </w:tabs>
        <w:spacing w:before="13" w:after="0" w:line="297" w:lineRule="auto"/>
        <w:ind w:left="112" w:right="103" w:firstLine="421"/>
        <w:jc w:val="left"/>
        <w:rPr>
          <w:sz w:val="21"/>
        </w:rPr>
      </w:pPr>
      <w:r>
        <w:rPr>
          <w:spacing w:val="-12"/>
          <w:sz w:val="21"/>
        </w:rPr>
        <w:t xml:space="preserve">修改的内容为投标文件的组成部分。修改的投标文件应按照本章第 </w:t>
      </w:r>
      <w:r>
        <w:rPr>
          <w:sz w:val="21"/>
        </w:rPr>
        <w:t>3.7</w:t>
      </w:r>
      <w:r>
        <w:rPr>
          <w:spacing w:val="-25"/>
          <w:sz w:val="21"/>
        </w:rPr>
        <w:t xml:space="preserve"> 和第 </w:t>
      </w:r>
      <w:r>
        <w:rPr>
          <w:sz w:val="21"/>
        </w:rPr>
        <w:t>4</w:t>
      </w:r>
      <w:r>
        <w:rPr>
          <w:spacing w:val="-8"/>
          <w:sz w:val="21"/>
        </w:rPr>
        <w:t xml:space="preserve"> 条规定进行编制、</w:t>
      </w:r>
      <w:r>
        <w:rPr>
          <w:spacing w:val="-5"/>
          <w:sz w:val="21"/>
        </w:rPr>
        <w:t>密封、标记和递交，并标明“修改”字样。</w:t>
      </w:r>
    </w:p>
    <w:p>
      <w:pPr>
        <w:pStyle w:val="32"/>
        <w:numPr>
          <w:ilvl w:val="0"/>
          <w:numId w:val="5"/>
        </w:numPr>
        <w:tabs>
          <w:tab w:val="left" w:pos="325"/>
        </w:tabs>
        <w:spacing w:before="15" w:after="0" w:line="240" w:lineRule="auto"/>
        <w:ind w:left="324" w:right="0" w:hanging="212"/>
        <w:jc w:val="left"/>
        <w:rPr>
          <w:b/>
          <w:sz w:val="21"/>
        </w:rPr>
      </w:pPr>
      <w:r>
        <w:rPr>
          <w:b/>
          <w:sz w:val="21"/>
        </w:rPr>
        <w:t>开标</w:t>
      </w:r>
    </w:p>
    <w:p>
      <w:pPr>
        <w:pStyle w:val="32"/>
        <w:numPr>
          <w:ilvl w:val="1"/>
          <w:numId w:val="5"/>
        </w:numPr>
        <w:tabs>
          <w:tab w:val="left" w:pos="536"/>
        </w:tabs>
        <w:spacing w:before="63" w:after="0" w:line="240" w:lineRule="auto"/>
        <w:ind w:left="535" w:right="0" w:hanging="423"/>
        <w:jc w:val="left"/>
        <w:rPr>
          <w:b/>
          <w:sz w:val="21"/>
        </w:rPr>
      </w:pPr>
      <w:r>
        <w:rPr>
          <w:b/>
          <w:sz w:val="21"/>
        </w:rPr>
        <w:t>开标时间和地点</w:t>
      </w:r>
    </w:p>
    <w:p>
      <w:pPr>
        <w:pStyle w:val="13"/>
        <w:spacing w:before="65" w:line="297" w:lineRule="auto"/>
        <w:ind w:right="191" w:firstLine="420"/>
      </w:pPr>
      <w:r>
        <w:rPr>
          <w:spacing w:val="-6"/>
        </w:rPr>
        <w:t xml:space="preserve">招标人在投标人须知前附表 </w:t>
      </w:r>
      <w:r>
        <w:t>4.2.1</w:t>
      </w:r>
      <w:r>
        <w:rPr>
          <w:spacing w:val="-8"/>
        </w:rPr>
        <w:t xml:space="preserve"> 项规定的投标截止时间</w:t>
      </w:r>
      <w:r>
        <w:rPr>
          <w:spacing w:val="-3"/>
        </w:rPr>
        <w:t>（开标时间</w:t>
      </w:r>
      <w:r>
        <w:rPr>
          <w:spacing w:val="-8"/>
        </w:rPr>
        <w:t>）</w:t>
      </w:r>
      <w:r>
        <w:rPr>
          <w:spacing w:val="-4"/>
        </w:rPr>
        <w:t>和“投标人须知前附表”规定</w:t>
      </w:r>
      <w:r>
        <w:rPr>
          <w:spacing w:val="-3"/>
        </w:rPr>
        <w:t>的地点公开开标，并邀请所有投标人的法定代表人或其委托代理人准时参加。</w:t>
      </w:r>
    </w:p>
    <w:p>
      <w:pPr>
        <w:pStyle w:val="32"/>
        <w:numPr>
          <w:ilvl w:val="1"/>
          <w:numId w:val="5"/>
        </w:numPr>
        <w:tabs>
          <w:tab w:val="left" w:pos="536"/>
        </w:tabs>
        <w:spacing w:before="12" w:after="0" w:line="240" w:lineRule="auto"/>
        <w:ind w:left="535" w:right="0" w:hanging="423"/>
        <w:jc w:val="left"/>
        <w:rPr>
          <w:b/>
          <w:sz w:val="21"/>
        </w:rPr>
      </w:pPr>
      <w:r>
        <w:rPr>
          <w:b/>
          <w:sz w:val="21"/>
        </w:rPr>
        <w:t>开标程序</w:t>
      </w:r>
    </w:p>
    <w:p>
      <w:pPr>
        <w:pStyle w:val="13"/>
        <w:spacing w:before="65"/>
        <w:ind w:left="533"/>
      </w:pPr>
      <w:r>
        <w:t>主持人按下列程序进行开标：</w:t>
      </w:r>
    </w:p>
    <w:p>
      <w:pPr>
        <w:pStyle w:val="13"/>
        <w:spacing w:before="65"/>
        <w:ind w:left="533"/>
      </w:pPr>
      <w:r>
        <w:t>（1）宣布开标纪律；</w:t>
      </w:r>
    </w:p>
    <w:p>
      <w:pPr>
        <w:pStyle w:val="13"/>
        <w:spacing w:before="63"/>
        <w:ind w:left="533"/>
      </w:pPr>
      <w:r>
        <w:t>（2）公布在投标截止时间前递交投标文件的投标人名称，并点名确认投标人是否派人到场；</w:t>
      </w:r>
    </w:p>
    <w:p>
      <w:pPr>
        <w:pStyle w:val="13"/>
        <w:spacing w:before="66"/>
        <w:ind w:left="533"/>
      </w:pPr>
      <w:r>
        <w:t>（3）宣布开标人、唱标人、记录人、监标人等有关人员姓名；</w:t>
      </w:r>
    </w:p>
    <w:p>
      <w:pPr>
        <w:pStyle w:val="13"/>
        <w:spacing w:before="66" w:line="295" w:lineRule="auto"/>
        <w:ind w:right="191" w:firstLine="420"/>
      </w:pPr>
      <w:r>
        <w:t>（4）由招标人代表和监标人按照“投标人须知前附表”规定检查投标人的资格证件，投标人代表投标文件的密封情况；</w:t>
      </w:r>
    </w:p>
    <w:p>
      <w:pPr>
        <w:pStyle w:val="13"/>
        <w:spacing w:before="17"/>
        <w:ind w:left="533"/>
      </w:pPr>
      <w:r>
        <w:t>（5）按照“投标人须知前附表”的规定确定并宣布投标文件开标顺序；</w:t>
      </w:r>
    </w:p>
    <w:p>
      <w:pPr>
        <w:pStyle w:val="13"/>
        <w:spacing w:before="65"/>
        <w:ind w:left="533"/>
      </w:pPr>
      <w:r>
        <w:t>（6）公布投标人名称、标段名称、投标报价、质量目标、工期及其他内容，并记录在案；</w:t>
      </w:r>
    </w:p>
    <w:p>
      <w:pPr>
        <w:pStyle w:val="13"/>
        <w:spacing w:before="63"/>
        <w:ind w:left="533"/>
      </w:pPr>
      <w:r>
        <w:t>（7）公布最高投标限价及相关内容；</w:t>
      </w:r>
    </w:p>
    <w:p>
      <w:pPr>
        <w:pStyle w:val="13"/>
        <w:spacing w:before="66"/>
        <w:ind w:left="533"/>
      </w:pPr>
      <w:r>
        <w:t>（8）投标人代表、招标人代表、监标人、记录人等有关人员在开标记录上签字确认；</w:t>
      </w:r>
    </w:p>
    <w:p>
      <w:pPr>
        <w:pStyle w:val="13"/>
        <w:spacing w:before="66"/>
        <w:ind w:left="533"/>
      </w:pPr>
      <w:r>
        <w:t>（9）开标结束。</w:t>
      </w:r>
    </w:p>
    <w:p>
      <w:pPr>
        <w:spacing w:after="0"/>
        <w:sectPr>
          <w:pgSz w:w="11910" w:h="16840"/>
          <w:pgMar w:top="1400" w:right="920" w:bottom="1180" w:left="1020" w:header="0" w:footer="920" w:gutter="0"/>
        </w:sectPr>
      </w:pPr>
    </w:p>
    <w:p>
      <w:pPr>
        <w:pStyle w:val="32"/>
        <w:numPr>
          <w:ilvl w:val="0"/>
          <w:numId w:val="5"/>
        </w:numPr>
        <w:tabs>
          <w:tab w:val="left" w:pos="325"/>
        </w:tabs>
        <w:spacing w:before="26" w:after="0" w:line="240" w:lineRule="auto"/>
        <w:ind w:left="324" w:right="0" w:hanging="212"/>
        <w:jc w:val="left"/>
        <w:rPr>
          <w:b/>
          <w:sz w:val="21"/>
        </w:rPr>
      </w:pPr>
      <w:r>
        <w:rPr>
          <w:b/>
          <w:sz w:val="21"/>
        </w:rPr>
        <w:t>评标</w:t>
      </w:r>
    </w:p>
    <w:p>
      <w:pPr>
        <w:pStyle w:val="32"/>
        <w:numPr>
          <w:ilvl w:val="1"/>
          <w:numId w:val="5"/>
        </w:numPr>
        <w:tabs>
          <w:tab w:val="left" w:pos="536"/>
        </w:tabs>
        <w:spacing w:before="64" w:after="0" w:line="240" w:lineRule="auto"/>
        <w:ind w:left="535" w:right="0" w:hanging="423"/>
        <w:jc w:val="left"/>
        <w:rPr>
          <w:b/>
          <w:sz w:val="21"/>
        </w:rPr>
      </w:pPr>
      <w:r>
        <w:rPr>
          <w:b/>
          <w:sz w:val="21"/>
        </w:rPr>
        <w:t>评标委员会</w:t>
      </w:r>
    </w:p>
    <w:p>
      <w:pPr>
        <w:pStyle w:val="32"/>
        <w:numPr>
          <w:ilvl w:val="2"/>
          <w:numId w:val="5"/>
        </w:numPr>
        <w:tabs>
          <w:tab w:val="left" w:pos="1143"/>
        </w:tabs>
        <w:spacing w:before="66" w:after="0" w:line="297" w:lineRule="auto"/>
        <w:ind w:left="112" w:right="126" w:firstLine="421"/>
        <w:jc w:val="left"/>
        <w:rPr>
          <w:sz w:val="21"/>
        </w:rPr>
      </w:pPr>
      <w:r>
        <w:rPr>
          <w:spacing w:val="-3"/>
          <w:sz w:val="21"/>
        </w:rPr>
        <w:t>评标由招标人依法组建的评标委员会负责。评标委员会成员人数以及技术、经济等方面专家的确定方式见“投标人须知前附表”。</w:t>
      </w:r>
    </w:p>
    <w:p>
      <w:pPr>
        <w:pStyle w:val="32"/>
        <w:numPr>
          <w:ilvl w:val="2"/>
          <w:numId w:val="5"/>
        </w:numPr>
        <w:tabs>
          <w:tab w:val="left" w:pos="1165"/>
        </w:tabs>
        <w:spacing w:before="13" w:after="0" w:line="240" w:lineRule="auto"/>
        <w:ind w:left="1164" w:right="0" w:hanging="631"/>
        <w:jc w:val="left"/>
        <w:rPr>
          <w:sz w:val="21"/>
        </w:rPr>
      </w:pPr>
      <w:r>
        <w:rPr>
          <w:spacing w:val="-3"/>
          <w:sz w:val="21"/>
        </w:rPr>
        <w:t>评标委员会成员有下列情形之一的，应当回避：</w:t>
      </w:r>
    </w:p>
    <w:p>
      <w:pPr>
        <w:pStyle w:val="13"/>
        <w:spacing w:before="65"/>
        <w:ind w:left="533"/>
      </w:pPr>
      <w:r>
        <w:t>（1）投标人或者投标人主要负责人的近亲属；</w:t>
      </w:r>
    </w:p>
    <w:p>
      <w:pPr>
        <w:pStyle w:val="13"/>
        <w:spacing w:before="65"/>
        <w:ind w:left="533"/>
      </w:pPr>
      <w:r>
        <w:t>（2）招标项目主管部门或者招标投标行政监督部门的工作人员；</w:t>
      </w:r>
    </w:p>
    <w:p>
      <w:pPr>
        <w:pStyle w:val="13"/>
        <w:spacing w:before="63"/>
        <w:ind w:left="533"/>
      </w:pPr>
      <w:r>
        <w:t>（3）与投标人有经济利益关系，可能影响对投标公正评审的人员；</w:t>
      </w:r>
    </w:p>
    <w:p>
      <w:pPr>
        <w:pStyle w:val="13"/>
        <w:spacing w:before="65"/>
        <w:ind w:left="533"/>
      </w:pPr>
      <w:r>
        <w:t>（4）曾在招标投标活动中从事违法行为而受过行政处罚或者刑事处罚的人员；</w:t>
      </w:r>
    </w:p>
    <w:p>
      <w:pPr>
        <w:pStyle w:val="13"/>
        <w:spacing w:before="65"/>
        <w:ind w:left="533"/>
      </w:pPr>
      <w:r>
        <w:t>（5）评标委员会成员之间有近亲属关系的；</w:t>
      </w:r>
    </w:p>
    <w:p>
      <w:pPr>
        <w:pStyle w:val="13"/>
        <w:spacing w:before="63"/>
        <w:ind w:left="533"/>
      </w:pPr>
      <w:r>
        <w:t>（6）与投标人有其他利害关系的人员。</w:t>
      </w:r>
    </w:p>
    <w:p>
      <w:pPr>
        <w:pStyle w:val="32"/>
        <w:numPr>
          <w:ilvl w:val="1"/>
          <w:numId w:val="5"/>
        </w:numPr>
        <w:tabs>
          <w:tab w:val="left" w:pos="536"/>
        </w:tabs>
        <w:spacing w:before="65" w:after="0" w:line="240" w:lineRule="auto"/>
        <w:ind w:left="535" w:right="0" w:hanging="423"/>
        <w:jc w:val="left"/>
        <w:rPr>
          <w:b/>
          <w:sz w:val="21"/>
        </w:rPr>
      </w:pPr>
      <w:r>
        <w:rPr>
          <w:b/>
          <w:sz w:val="21"/>
        </w:rPr>
        <w:t>评标原则</w:t>
      </w:r>
    </w:p>
    <w:p>
      <w:pPr>
        <w:pStyle w:val="13"/>
        <w:spacing w:before="66"/>
        <w:ind w:left="533"/>
      </w:pPr>
      <w:r>
        <w:t>评标活动遵循公平、公正、科学和择优的原则。</w:t>
      </w:r>
    </w:p>
    <w:p>
      <w:pPr>
        <w:pStyle w:val="32"/>
        <w:numPr>
          <w:ilvl w:val="1"/>
          <w:numId w:val="5"/>
        </w:numPr>
        <w:tabs>
          <w:tab w:val="left" w:pos="536"/>
        </w:tabs>
        <w:spacing w:before="63" w:after="0" w:line="240" w:lineRule="auto"/>
        <w:ind w:left="535" w:right="0" w:hanging="423"/>
        <w:jc w:val="left"/>
        <w:rPr>
          <w:b/>
          <w:sz w:val="21"/>
        </w:rPr>
      </w:pPr>
      <w:r>
        <w:rPr>
          <w:b/>
          <w:sz w:val="21"/>
        </w:rPr>
        <w:t>评标方式</w:t>
      </w:r>
    </w:p>
    <w:p>
      <w:pPr>
        <w:pStyle w:val="13"/>
        <w:spacing w:before="65" w:line="297" w:lineRule="auto"/>
        <w:ind w:right="98" w:firstLine="420"/>
      </w:pPr>
      <w:r>
        <w:rPr>
          <w:spacing w:val="-7"/>
        </w:rPr>
        <w:t>评标委员会按照第三章“评标办法”规定的方法、评审因素、标准和程序对投标文件进行评审。第三</w:t>
      </w:r>
      <w:r>
        <w:rPr>
          <w:spacing w:val="-3"/>
        </w:rPr>
        <w:t>章“评标办法”没有规定的方法、评审因素和标准，不作为评标依据。</w:t>
      </w:r>
    </w:p>
    <w:p>
      <w:pPr>
        <w:pStyle w:val="32"/>
        <w:numPr>
          <w:ilvl w:val="1"/>
          <w:numId w:val="5"/>
        </w:numPr>
        <w:tabs>
          <w:tab w:val="left" w:pos="536"/>
        </w:tabs>
        <w:spacing w:before="13" w:after="0" w:line="240" w:lineRule="auto"/>
        <w:ind w:left="535" w:right="0" w:hanging="423"/>
        <w:jc w:val="left"/>
        <w:rPr>
          <w:b/>
          <w:sz w:val="21"/>
        </w:rPr>
      </w:pPr>
      <w:r>
        <w:rPr>
          <w:b/>
          <w:sz w:val="21"/>
        </w:rPr>
        <w:t>移交评标资料</w:t>
      </w:r>
    </w:p>
    <w:p>
      <w:pPr>
        <w:pStyle w:val="13"/>
        <w:spacing w:before="66" w:line="297" w:lineRule="auto"/>
        <w:ind w:firstLine="420"/>
      </w:pPr>
      <w:r>
        <w:rPr>
          <w:spacing w:val="-6"/>
        </w:rPr>
        <w:t>评标委员会完成评标后，应立即向招标人提交书面评标报告和中标候选人名单，并同时移交所有评标</w:t>
      </w:r>
      <w:r>
        <w:rPr>
          <w:spacing w:val="-4"/>
        </w:rPr>
        <w:t>涉及资料。</w:t>
      </w:r>
    </w:p>
    <w:p>
      <w:pPr>
        <w:pStyle w:val="32"/>
        <w:numPr>
          <w:ilvl w:val="1"/>
          <w:numId w:val="5"/>
        </w:numPr>
        <w:tabs>
          <w:tab w:val="left" w:pos="536"/>
        </w:tabs>
        <w:spacing w:before="13" w:after="0" w:line="240" w:lineRule="auto"/>
        <w:ind w:left="535" w:right="0" w:hanging="423"/>
        <w:jc w:val="left"/>
        <w:rPr>
          <w:b/>
          <w:sz w:val="21"/>
        </w:rPr>
      </w:pPr>
      <w:r>
        <w:rPr>
          <w:b/>
          <w:sz w:val="21"/>
        </w:rPr>
        <w:t>评标资料封存和启封</w:t>
      </w:r>
    </w:p>
    <w:p>
      <w:pPr>
        <w:pStyle w:val="32"/>
        <w:numPr>
          <w:ilvl w:val="2"/>
          <w:numId w:val="5"/>
        </w:numPr>
        <w:tabs>
          <w:tab w:val="left" w:pos="1165"/>
        </w:tabs>
        <w:spacing w:before="66" w:after="0" w:line="297" w:lineRule="auto"/>
        <w:ind w:left="112" w:right="104" w:firstLine="421"/>
        <w:jc w:val="left"/>
        <w:rPr>
          <w:sz w:val="21"/>
        </w:rPr>
      </w:pPr>
      <w:r>
        <w:rPr>
          <w:spacing w:val="-3"/>
          <w:sz w:val="21"/>
        </w:rPr>
        <w:t>评标结束至中标通知书发放时，招标人或招标人委托的招标代理机构按“投标人须知前附表” 规定的封存方式封存评标资料，封存资料内容包括：</w:t>
      </w:r>
    </w:p>
    <w:p>
      <w:pPr>
        <w:pStyle w:val="13"/>
        <w:spacing w:before="13" w:line="297" w:lineRule="auto"/>
        <w:ind w:right="98" w:firstLine="420"/>
      </w:pPr>
      <w:r>
        <w:t>（1）招标项目开评标资料原件：开标记录表、评标报告及其附件（含评标过程中形成的全部评标表格和清标表格）、投标人开标签到表、专家抽取表、专家签到表、评标纪律、业主委托书（原件）。</w:t>
      </w:r>
    </w:p>
    <w:p>
      <w:pPr>
        <w:pStyle w:val="13"/>
        <w:spacing w:before="15"/>
        <w:ind w:left="533"/>
      </w:pPr>
      <w:r>
        <w:t>（2）本项目所有投标人投标文件正本。</w:t>
      </w:r>
    </w:p>
    <w:p>
      <w:pPr>
        <w:pStyle w:val="13"/>
        <w:spacing w:before="63"/>
        <w:ind w:left="533"/>
      </w:pPr>
      <w:r>
        <w:t>（3）“投标人须知前附表”要求封存的其它材料。</w:t>
      </w:r>
    </w:p>
    <w:p>
      <w:pPr>
        <w:pStyle w:val="13"/>
        <w:spacing w:before="65"/>
        <w:ind w:left="533"/>
      </w:pPr>
      <w:r>
        <w:t>（4）任何接触过评标资料和评标过程的人员均对评标过程和评标资料负有保密的义务。</w:t>
      </w:r>
    </w:p>
    <w:p>
      <w:pPr>
        <w:pStyle w:val="32"/>
        <w:numPr>
          <w:ilvl w:val="2"/>
          <w:numId w:val="5"/>
        </w:numPr>
        <w:tabs>
          <w:tab w:val="left" w:pos="1165"/>
        </w:tabs>
        <w:spacing w:before="65" w:after="0" w:line="295" w:lineRule="auto"/>
        <w:ind w:left="112" w:right="126" w:firstLine="421"/>
        <w:jc w:val="left"/>
        <w:rPr>
          <w:sz w:val="21"/>
        </w:rPr>
      </w:pPr>
      <w:r>
        <w:rPr>
          <w:spacing w:val="-4"/>
          <w:sz w:val="21"/>
        </w:rPr>
        <w:t>如在封存期间处理招标投标利害当事人提出异议或者投诉时需要启封评标资料的，应按当地招</w:t>
      </w:r>
      <w:r>
        <w:rPr>
          <w:spacing w:val="-3"/>
          <w:sz w:val="21"/>
        </w:rPr>
        <w:t>投标监督管理部门规定的程序启封。</w:t>
      </w:r>
    </w:p>
    <w:p>
      <w:pPr>
        <w:pStyle w:val="32"/>
        <w:numPr>
          <w:ilvl w:val="2"/>
          <w:numId w:val="5"/>
        </w:numPr>
        <w:tabs>
          <w:tab w:val="left" w:pos="1165"/>
        </w:tabs>
        <w:spacing w:before="17" w:after="0" w:line="240" w:lineRule="auto"/>
        <w:ind w:left="112" w:right="0" w:firstLine="421"/>
        <w:jc w:val="left"/>
        <w:rPr>
          <w:sz w:val="21"/>
        </w:rPr>
      </w:pPr>
      <w:r>
        <w:rPr>
          <w:spacing w:val="-3"/>
          <w:sz w:val="21"/>
        </w:rPr>
        <w:t>评标资料封存和启封应符合当地招投标监督管理部门的规定。</w:t>
      </w:r>
    </w:p>
    <w:p>
      <w:pPr>
        <w:pStyle w:val="32"/>
        <w:numPr>
          <w:ilvl w:val="1"/>
          <w:numId w:val="5"/>
        </w:numPr>
        <w:tabs>
          <w:tab w:val="left" w:pos="536"/>
        </w:tabs>
        <w:spacing w:before="65" w:after="0" w:line="240" w:lineRule="auto"/>
        <w:ind w:left="535" w:right="0" w:hanging="423"/>
        <w:jc w:val="left"/>
        <w:rPr>
          <w:b/>
          <w:sz w:val="21"/>
        </w:rPr>
      </w:pPr>
      <w:r>
        <w:rPr>
          <w:b/>
          <w:sz w:val="21"/>
        </w:rPr>
        <w:t>中标候选人公示</w:t>
      </w:r>
    </w:p>
    <w:p>
      <w:pPr>
        <w:pStyle w:val="32"/>
        <w:numPr>
          <w:ilvl w:val="2"/>
          <w:numId w:val="5"/>
        </w:numPr>
        <w:tabs>
          <w:tab w:val="left" w:pos="1165"/>
        </w:tabs>
        <w:spacing w:before="63" w:after="0" w:line="297" w:lineRule="auto"/>
        <w:ind w:left="112" w:right="126" w:firstLine="421"/>
        <w:jc w:val="left"/>
        <w:rPr>
          <w:sz w:val="21"/>
        </w:rPr>
      </w:pPr>
      <w:r>
        <w:rPr>
          <w:spacing w:val="-6"/>
          <w:sz w:val="21"/>
        </w:rPr>
        <w:t xml:space="preserve">招标人自收到评标报告之日起 </w:t>
      </w:r>
      <w:r>
        <w:rPr>
          <w:sz w:val="21"/>
        </w:rPr>
        <w:t>3</w:t>
      </w:r>
      <w:r>
        <w:rPr>
          <w:spacing w:val="-9"/>
          <w:sz w:val="21"/>
        </w:rPr>
        <w:t xml:space="preserve"> 日内，必须在“投标人须知前附表”规定的媒介上公示中标候选人。</w:t>
      </w:r>
    </w:p>
    <w:p>
      <w:pPr>
        <w:pStyle w:val="32"/>
        <w:numPr>
          <w:ilvl w:val="2"/>
          <w:numId w:val="5"/>
        </w:numPr>
        <w:tabs>
          <w:tab w:val="left" w:pos="1165"/>
        </w:tabs>
        <w:spacing w:before="15" w:after="0" w:line="297" w:lineRule="auto"/>
        <w:ind w:left="112" w:right="126" w:firstLine="421"/>
        <w:jc w:val="both"/>
        <w:rPr>
          <w:sz w:val="21"/>
        </w:rPr>
      </w:pPr>
      <w:r>
        <w:rPr>
          <w:spacing w:val="-5"/>
          <w:sz w:val="21"/>
        </w:rPr>
        <w:t>投标人或者其他利害关系人对评标结果有异议的，应当在中标候选人公示期间提出。招标人自</w:t>
      </w:r>
      <w:r>
        <w:rPr>
          <w:spacing w:val="-9"/>
          <w:sz w:val="21"/>
        </w:rPr>
        <w:t xml:space="preserve">收到异议之日起 </w:t>
      </w:r>
      <w:r>
        <w:rPr>
          <w:sz w:val="21"/>
        </w:rPr>
        <w:t>3</w:t>
      </w:r>
      <w:r>
        <w:rPr>
          <w:spacing w:val="-11"/>
          <w:sz w:val="21"/>
        </w:rPr>
        <w:t xml:space="preserve"> 日内作出答复。对招标人答复不满意或招标人拒不答复的，投标人可按照本章第 </w:t>
      </w:r>
      <w:r>
        <w:rPr>
          <w:sz w:val="21"/>
        </w:rPr>
        <w:t>9.5</w:t>
      </w:r>
      <w:r>
        <w:rPr>
          <w:spacing w:val="-21"/>
          <w:sz w:val="21"/>
        </w:rPr>
        <w:t xml:space="preserve"> 条</w:t>
      </w:r>
      <w:r>
        <w:rPr>
          <w:spacing w:val="-8"/>
          <w:sz w:val="21"/>
        </w:rPr>
        <w:t>的规定程序向有关行政监督部门投诉。</w:t>
      </w:r>
    </w:p>
    <w:p>
      <w:pPr>
        <w:pStyle w:val="32"/>
        <w:numPr>
          <w:ilvl w:val="2"/>
          <w:numId w:val="5"/>
        </w:numPr>
        <w:tabs>
          <w:tab w:val="left" w:pos="1165"/>
        </w:tabs>
        <w:spacing w:before="15" w:after="0" w:line="240" w:lineRule="auto"/>
        <w:ind w:left="112" w:right="0" w:firstLine="421"/>
        <w:jc w:val="left"/>
        <w:rPr>
          <w:sz w:val="21"/>
        </w:rPr>
      </w:pPr>
      <w:r>
        <w:rPr>
          <w:spacing w:val="-5"/>
          <w:sz w:val="21"/>
        </w:rPr>
        <w:t xml:space="preserve">投标人对中标候选人有投诉的，按照本章第 </w:t>
      </w:r>
      <w:r>
        <w:rPr>
          <w:sz w:val="21"/>
        </w:rPr>
        <w:t>9.5</w:t>
      </w:r>
      <w:r>
        <w:rPr>
          <w:spacing w:val="-7"/>
          <w:sz w:val="21"/>
        </w:rPr>
        <w:t xml:space="preserve"> 条的规定程序执行。</w:t>
      </w:r>
    </w:p>
    <w:p>
      <w:pPr>
        <w:pStyle w:val="32"/>
        <w:numPr>
          <w:ilvl w:val="1"/>
          <w:numId w:val="5"/>
        </w:numPr>
        <w:tabs>
          <w:tab w:val="left" w:pos="483"/>
        </w:tabs>
        <w:spacing w:before="63" w:after="0" w:line="240" w:lineRule="auto"/>
        <w:ind w:left="482" w:right="0" w:hanging="370"/>
        <w:jc w:val="left"/>
        <w:rPr>
          <w:b/>
          <w:sz w:val="21"/>
        </w:rPr>
      </w:pPr>
      <w:r>
        <w:rPr>
          <w:b/>
          <w:sz w:val="21"/>
        </w:rPr>
        <w:t>履约能力审查</w:t>
      </w:r>
    </w:p>
    <w:p>
      <w:pPr>
        <w:pStyle w:val="13"/>
        <w:spacing w:before="65" w:line="297" w:lineRule="auto"/>
        <w:ind w:right="104" w:firstLine="420"/>
        <w:jc w:val="right"/>
      </w:pPr>
      <w:r>
        <w:rPr>
          <w:spacing w:val="-7"/>
        </w:rPr>
        <w:t>在中标通知书发出前，如果中标候选人的经营、财务状况发生较大变化，可能造成不能履行合同、无</w:t>
      </w:r>
      <w:r>
        <w:rPr>
          <w:spacing w:val="-5"/>
        </w:rPr>
        <w:t>法按照招标文件要求提交履约保证金等情形，不符合中标条件的，应在中标公示期及时书面告知招标人。</w:t>
      </w:r>
      <w:r>
        <w:rPr>
          <w:spacing w:val="-3"/>
        </w:rPr>
        <w:t>如招标人认为中标候选人的经营、财务状况发生较大变化或者存在违法行为可能影响其履约能力的，</w:t>
      </w:r>
    </w:p>
    <w:p>
      <w:pPr>
        <w:spacing w:after="0" w:line="297" w:lineRule="auto"/>
        <w:jc w:val="right"/>
        <w:sectPr>
          <w:pgSz w:w="11910" w:h="16840"/>
          <w:pgMar w:top="1400" w:right="1000" w:bottom="1180" w:left="1020" w:header="0" w:footer="920" w:gutter="0"/>
        </w:sectPr>
      </w:pPr>
    </w:p>
    <w:p>
      <w:pPr>
        <w:pStyle w:val="13"/>
        <w:spacing w:before="26"/>
        <w:jc w:val="both"/>
      </w:pPr>
      <w:r>
        <w:t>应当在中标通知书发出前由原评标委员会按照招标文件规定的标准和方法审查确认。</w:t>
      </w:r>
    </w:p>
    <w:p>
      <w:pPr>
        <w:pStyle w:val="32"/>
        <w:numPr>
          <w:ilvl w:val="0"/>
          <w:numId w:val="5"/>
        </w:numPr>
        <w:tabs>
          <w:tab w:val="left" w:pos="325"/>
        </w:tabs>
        <w:spacing w:before="64" w:after="0" w:line="240" w:lineRule="auto"/>
        <w:ind w:left="324" w:right="0" w:hanging="212"/>
        <w:jc w:val="both"/>
        <w:rPr>
          <w:b/>
          <w:sz w:val="21"/>
        </w:rPr>
      </w:pPr>
      <w:r>
        <w:rPr>
          <w:b/>
          <w:sz w:val="21"/>
        </w:rPr>
        <w:t>合同授予</w:t>
      </w:r>
    </w:p>
    <w:p>
      <w:pPr>
        <w:pStyle w:val="32"/>
        <w:numPr>
          <w:ilvl w:val="1"/>
          <w:numId w:val="5"/>
        </w:numPr>
        <w:tabs>
          <w:tab w:val="left" w:pos="536"/>
        </w:tabs>
        <w:spacing w:before="66" w:after="0" w:line="240" w:lineRule="auto"/>
        <w:ind w:left="535" w:right="0" w:hanging="423"/>
        <w:jc w:val="both"/>
        <w:rPr>
          <w:b/>
          <w:sz w:val="21"/>
        </w:rPr>
      </w:pPr>
      <w:r>
        <w:rPr>
          <w:b/>
          <w:sz w:val="21"/>
        </w:rPr>
        <w:t>定标方式</w:t>
      </w:r>
    </w:p>
    <w:p>
      <w:pPr>
        <w:pStyle w:val="13"/>
        <w:spacing w:before="66" w:line="295" w:lineRule="auto"/>
        <w:ind w:right="191" w:firstLine="420"/>
      </w:pPr>
      <w:r>
        <w:rPr>
          <w:spacing w:val="-6"/>
        </w:rPr>
        <w:t>除“投标人须知前附表”规定评标委员会直接确定中标人外，招标人依据评标委员会推荐的中标候选</w:t>
      </w:r>
      <w:r>
        <w:rPr>
          <w:spacing w:val="-3"/>
        </w:rPr>
        <w:t>人依法确定中标人，评标委员会推荐中标候选人的人数见“投标人须知前附表”。</w:t>
      </w:r>
    </w:p>
    <w:p>
      <w:pPr>
        <w:pStyle w:val="32"/>
        <w:numPr>
          <w:ilvl w:val="1"/>
          <w:numId w:val="5"/>
        </w:numPr>
        <w:tabs>
          <w:tab w:val="left" w:pos="536"/>
        </w:tabs>
        <w:spacing w:before="17" w:after="0" w:line="240" w:lineRule="auto"/>
        <w:ind w:left="535" w:right="0" w:hanging="423"/>
        <w:jc w:val="both"/>
        <w:rPr>
          <w:b/>
          <w:sz w:val="21"/>
        </w:rPr>
      </w:pPr>
      <w:r>
        <w:rPr>
          <w:b/>
          <w:sz w:val="21"/>
        </w:rPr>
        <w:t>中标通知</w:t>
      </w:r>
    </w:p>
    <w:p>
      <w:pPr>
        <w:pStyle w:val="13"/>
        <w:spacing w:before="65"/>
        <w:ind w:left="533"/>
      </w:pPr>
      <w:r>
        <w:t>中标候选人公示期满无异议或者异议不成立的，招标人应当在公示期结束后，在投标人须知总则第 3.</w:t>
      </w:r>
    </w:p>
    <w:p>
      <w:pPr>
        <w:pStyle w:val="13"/>
        <w:spacing w:before="63" w:line="297" w:lineRule="auto"/>
        <w:ind w:right="206"/>
        <w:jc w:val="both"/>
      </w:pPr>
      <w:r>
        <w:t>3</w:t>
      </w:r>
      <w:r>
        <w:rPr>
          <w:spacing w:val="-5"/>
        </w:rPr>
        <w:t xml:space="preserve"> 款规定的投标有效期内，招标人以书面形式向中标人发出中标通知书，同时在中国政府采购网、广西壮</w:t>
      </w:r>
      <w:r>
        <w:rPr>
          <w:spacing w:val="-7"/>
        </w:rPr>
        <w:t>族自治区政府采购网、桂林市政府采购网、桂林市公共资源交易中心公示，中标结果在网站上公布后，视</w:t>
      </w:r>
      <w:r>
        <w:rPr>
          <w:spacing w:val="-5"/>
        </w:rPr>
        <w:t>同已通知所有投标人，投标人自行登陆网站查询中标结果。</w:t>
      </w:r>
    </w:p>
    <w:p>
      <w:pPr>
        <w:pStyle w:val="32"/>
        <w:numPr>
          <w:ilvl w:val="1"/>
          <w:numId w:val="5"/>
        </w:numPr>
        <w:tabs>
          <w:tab w:val="left" w:pos="536"/>
        </w:tabs>
        <w:spacing w:before="13" w:after="0" w:line="240" w:lineRule="auto"/>
        <w:ind w:left="535" w:right="0" w:hanging="423"/>
        <w:jc w:val="both"/>
        <w:rPr>
          <w:b/>
          <w:sz w:val="21"/>
        </w:rPr>
      </w:pPr>
      <w:r>
        <w:rPr>
          <w:b/>
          <w:sz w:val="21"/>
        </w:rPr>
        <w:t>履约保证金</w:t>
      </w:r>
    </w:p>
    <w:p>
      <w:pPr>
        <w:pStyle w:val="32"/>
        <w:numPr>
          <w:ilvl w:val="2"/>
          <w:numId w:val="5"/>
        </w:numPr>
        <w:tabs>
          <w:tab w:val="left" w:pos="1112"/>
        </w:tabs>
        <w:spacing w:before="66" w:after="0" w:line="297" w:lineRule="auto"/>
        <w:ind w:left="112" w:right="206" w:firstLine="421"/>
        <w:jc w:val="both"/>
        <w:rPr>
          <w:sz w:val="21"/>
        </w:rPr>
      </w:pPr>
      <w:r>
        <w:rPr>
          <w:spacing w:val="-15"/>
          <w:sz w:val="21"/>
        </w:rPr>
        <w:t>在签订合同前，中标人应按“投标人须知前附表”规定的金额、担保形式和招标文件第四章“合</w:t>
      </w:r>
      <w:r>
        <w:rPr>
          <w:spacing w:val="-9"/>
          <w:sz w:val="21"/>
        </w:rPr>
        <w:t>同条款及格式”规定的履约担保格式向招标人提交履约保证金。联合体中标的，其履约保证金由牵头人递</w:t>
      </w:r>
      <w:r>
        <w:rPr>
          <w:spacing w:val="-6"/>
          <w:sz w:val="21"/>
        </w:rPr>
        <w:t>交，并应符合“投标人须知前附表”规定的金额、担保形式和招标文件第四章“合同条款及格式”规定的</w:t>
      </w:r>
      <w:r>
        <w:rPr>
          <w:spacing w:val="-3"/>
          <w:sz w:val="21"/>
        </w:rPr>
        <w:t>履约担保格式要求。</w:t>
      </w:r>
    </w:p>
    <w:p>
      <w:pPr>
        <w:pStyle w:val="32"/>
        <w:numPr>
          <w:ilvl w:val="2"/>
          <w:numId w:val="5"/>
        </w:numPr>
        <w:tabs>
          <w:tab w:val="left" w:pos="1122"/>
        </w:tabs>
        <w:spacing w:before="15" w:after="0" w:line="295" w:lineRule="auto"/>
        <w:ind w:left="112" w:right="206" w:firstLine="421"/>
        <w:jc w:val="left"/>
        <w:rPr>
          <w:sz w:val="21"/>
        </w:rPr>
      </w:pPr>
      <w:r>
        <w:rPr>
          <w:spacing w:val="-6"/>
          <w:sz w:val="21"/>
        </w:rPr>
        <w:t xml:space="preserve">中标人不能按本章第 </w:t>
      </w:r>
      <w:r>
        <w:rPr>
          <w:sz w:val="21"/>
        </w:rPr>
        <w:t>7.3.1</w:t>
      </w:r>
      <w:r>
        <w:rPr>
          <w:spacing w:val="-6"/>
          <w:sz w:val="21"/>
        </w:rPr>
        <w:t xml:space="preserve"> 项要求提交履约保证金的，视为放弃中标，中标人还应当对超过部</w:t>
      </w:r>
      <w:r>
        <w:rPr>
          <w:spacing w:val="-4"/>
          <w:sz w:val="21"/>
        </w:rPr>
        <w:t>分予以赔偿。</w:t>
      </w:r>
    </w:p>
    <w:p>
      <w:pPr>
        <w:pStyle w:val="32"/>
        <w:numPr>
          <w:ilvl w:val="1"/>
          <w:numId w:val="5"/>
        </w:numPr>
        <w:tabs>
          <w:tab w:val="left" w:pos="536"/>
        </w:tabs>
        <w:spacing w:before="17" w:after="0" w:line="240" w:lineRule="auto"/>
        <w:ind w:left="535" w:right="0" w:hanging="423"/>
        <w:jc w:val="both"/>
        <w:rPr>
          <w:b/>
          <w:sz w:val="21"/>
        </w:rPr>
      </w:pPr>
      <w:r>
        <w:rPr>
          <w:b/>
          <w:sz w:val="21"/>
        </w:rPr>
        <w:t>签订合同</w:t>
      </w:r>
    </w:p>
    <w:p>
      <w:pPr>
        <w:pStyle w:val="32"/>
        <w:numPr>
          <w:ilvl w:val="2"/>
          <w:numId w:val="5"/>
        </w:numPr>
        <w:tabs>
          <w:tab w:val="left" w:pos="1143"/>
        </w:tabs>
        <w:spacing w:before="66" w:after="0" w:line="295" w:lineRule="auto"/>
        <w:ind w:left="112" w:right="206" w:firstLine="421"/>
        <w:jc w:val="left"/>
        <w:rPr>
          <w:sz w:val="21"/>
        </w:rPr>
      </w:pPr>
      <w:r>
        <w:rPr>
          <w:spacing w:val="-2"/>
          <w:sz w:val="21"/>
        </w:rPr>
        <w:t xml:space="preserve">招标人和中标人应当自中标通知书发出之日起 </w:t>
      </w:r>
      <w:r>
        <w:rPr>
          <w:sz w:val="21"/>
        </w:rPr>
        <w:t>30</w:t>
      </w:r>
      <w:r>
        <w:rPr>
          <w:spacing w:val="-3"/>
          <w:sz w:val="21"/>
        </w:rPr>
        <w:t xml:space="preserve"> 天内，根据招标文件和中标人的投标文件订立书面合同。中标人无正当理由拒签合同的，招标人取消其中标资格。</w:t>
      </w:r>
    </w:p>
    <w:p>
      <w:pPr>
        <w:pStyle w:val="32"/>
        <w:numPr>
          <w:ilvl w:val="2"/>
          <w:numId w:val="5"/>
        </w:numPr>
        <w:tabs>
          <w:tab w:val="left" w:pos="1165"/>
        </w:tabs>
        <w:spacing w:before="18" w:after="0" w:line="240" w:lineRule="auto"/>
        <w:ind w:left="1164" w:right="0" w:hanging="631"/>
        <w:jc w:val="left"/>
        <w:rPr>
          <w:sz w:val="21"/>
        </w:rPr>
      </w:pPr>
      <w:r>
        <w:rPr>
          <w:spacing w:val="-3"/>
          <w:sz w:val="21"/>
        </w:rPr>
        <w:t>发出中标通知书后，招标人无正当理由拒签合同的；给中标人造成损失的，还应当赔偿损失。</w:t>
      </w:r>
    </w:p>
    <w:p>
      <w:pPr>
        <w:pStyle w:val="32"/>
        <w:numPr>
          <w:ilvl w:val="2"/>
          <w:numId w:val="5"/>
        </w:numPr>
        <w:tabs>
          <w:tab w:val="left" w:pos="1143"/>
        </w:tabs>
        <w:spacing w:before="66" w:after="0" w:line="295" w:lineRule="auto"/>
        <w:ind w:left="112" w:right="206" w:firstLine="421"/>
        <w:jc w:val="left"/>
        <w:rPr>
          <w:sz w:val="21"/>
        </w:rPr>
      </w:pPr>
      <w:r>
        <w:rPr>
          <w:spacing w:val="-3"/>
          <w:sz w:val="21"/>
        </w:rPr>
        <w:t>招标人与中标人签订的合同条款必须响应招标文件条款、投标文件的承诺，否则双方签订的合同视为无效合同。</w:t>
      </w:r>
    </w:p>
    <w:p>
      <w:pPr>
        <w:pStyle w:val="32"/>
        <w:numPr>
          <w:ilvl w:val="2"/>
          <w:numId w:val="5"/>
        </w:numPr>
        <w:tabs>
          <w:tab w:val="left" w:pos="1143"/>
        </w:tabs>
        <w:spacing w:before="18" w:after="0" w:line="297" w:lineRule="auto"/>
        <w:ind w:left="112" w:right="206" w:firstLine="421"/>
        <w:jc w:val="left"/>
        <w:rPr>
          <w:sz w:val="21"/>
        </w:rPr>
      </w:pPr>
      <w:r>
        <w:rPr>
          <w:spacing w:val="-3"/>
          <w:sz w:val="21"/>
        </w:rPr>
        <w:t>中标人应按规定办理建筑行业职工人身意外伤害保险，并为施工场地内自有人员生命财产和施工机械设备办理保险支付保险费用。</w:t>
      </w:r>
    </w:p>
    <w:p>
      <w:pPr>
        <w:pStyle w:val="32"/>
        <w:numPr>
          <w:ilvl w:val="2"/>
          <w:numId w:val="5"/>
        </w:numPr>
        <w:tabs>
          <w:tab w:val="left" w:pos="1112"/>
        </w:tabs>
        <w:spacing w:before="13" w:after="0" w:line="297" w:lineRule="auto"/>
        <w:ind w:left="112" w:right="100" w:firstLine="421"/>
        <w:jc w:val="left"/>
        <w:rPr>
          <w:sz w:val="21"/>
        </w:rPr>
      </w:pPr>
      <w:r>
        <w:rPr>
          <w:spacing w:val="-12"/>
          <w:sz w:val="21"/>
        </w:rPr>
        <w:t xml:space="preserve">合同备案存档：政府采购合同双方自签订之日起 </w:t>
      </w:r>
      <w:r>
        <w:rPr>
          <w:sz w:val="21"/>
        </w:rPr>
        <w:t>1</w:t>
      </w:r>
      <w:r>
        <w:rPr>
          <w:spacing w:val="-7"/>
          <w:sz w:val="21"/>
        </w:rPr>
        <w:t xml:space="preserve"> 个工作日内将合同原件两份交招标代理机构。招标代理机构将政府采购合同在省级以上人民政府财政部门指定媒体上公告并于合同签订之日起 </w:t>
      </w:r>
      <w:r>
        <w:rPr>
          <w:sz w:val="21"/>
        </w:rPr>
        <w:t>7</w:t>
      </w:r>
      <w:r>
        <w:rPr>
          <w:spacing w:val="-15"/>
          <w:sz w:val="21"/>
        </w:rPr>
        <w:t xml:space="preserve"> 个工作</w:t>
      </w:r>
      <w:r>
        <w:rPr>
          <w:spacing w:val="-7"/>
          <w:sz w:val="21"/>
        </w:rPr>
        <w:t>日内将一份合同原件送兴安县人民政府采购管理办公室备案，一份由招标代理机构存档。</w:t>
      </w:r>
    </w:p>
    <w:p>
      <w:pPr>
        <w:pStyle w:val="32"/>
        <w:numPr>
          <w:ilvl w:val="0"/>
          <w:numId w:val="5"/>
        </w:numPr>
        <w:tabs>
          <w:tab w:val="left" w:pos="325"/>
        </w:tabs>
        <w:spacing w:before="13" w:after="0" w:line="240" w:lineRule="auto"/>
        <w:ind w:left="324" w:right="0" w:hanging="212"/>
        <w:jc w:val="both"/>
        <w:rPr>
          <w:b/>
          <w:sz w:val="21"/>
        </w:rPr>
      </w:pPr>
      <w:r>
        <w:rPr>
          <w:b/>
          <w:sz w:val="21"/>
        </w:rPr>
        <w:t>重新招标和不再招标</w:t>
      </w:r>
    </w:p>
    <w:p>
      <w:pPr>
        <w:pStyle w:val="32"/>
        <w:numPr>
          <w:ilvl w:val="1"/>
          <w:numId w:val="5"/>
        </w:numPr>
        <w:tabs>
          <w:tab w:val="left" w:pos="536"/>
        </w:tabs>
        <w:spacing w:before="66" w:after="0" w:line="240" w:lineRule="auto"/>
        <w:ind w:left="535" w:right="0" w:hanging="423"/>
        <w:jc w:val="both"/>
        <w:rPr>
          <w:b/>
          <w:sz w:val="21"/>
        </w:rPr>
      </w:pPr>
      <w:r>
        <w:rPr>
          <w:b/>
          <w:sz w:val="21"/>
        </w:rPr>
        <w:t>重新招标</w:t>
      </w:r>
    </w:p>
    <w:p>
      <w:pPr>
        <w:pStyle w:val="13"/>
        <w:spacing w:before="66"/>
        <w:ind w:left="533"/>
      </w:pPr>
      <w:r>
        <w:t>有下列情形之一的，招标人将重新招标：</w:t>
      </w:r>
    </w:p>
    <w:p>
      <w:pPr>
        <w:pStyle w:val="13"/>
        <w:spacing w:before="63"/>
        <w:ind w:left="533"/>
      </w:pPr>
      <w:r>
        <w:t>（1）投标截止时，投标人少于 3 个的；</w:t>
      </w:r>
    </w:p>
    <w:p>
      <w:pPr>
        <w:pStyle w:val="13"/>
        <w:spacing w:before="65" w:line="297" w:lineRule="auto"/>
        <w:ind w:right="86" w:firstLine="420"/>
      </w:pPr>
      <w:r>
        <w:t>（2）经评标委员会评审后，所有投标被否决或者部分投标被否决后，有效投标不足 3 个，导致投标明显缺乏竞争的；</w:t>
      </w:r>
    </w:p>
    <w:p>
      <w:pPr>
        <w:pStyle w:val="13"/>
        <w:spacing w:before="13"/>
        <w:ind w:left="533"/>
      </w:pPr>
      <w:r>
        <w:t>（3）其他有关法规和文件规定的应当重新招标的情形。</w:t>
      </w:r>
    </w:p>
    <w:p>
      <w:pPr>
        <w:pStyle w:val="32"/>
        <w:numPr>
          <w:ilvl w:val="1"/>
          <w:numId w:val="5"/>
        </w:numPr>
        <w:tabs>
          <w:tab w:val="left" w:pos="536"/>
        </w:tabs>
        <w:spacing w:before="65" w:after="0" w:line="240" w:lineRule="auto"/>
        <w:ind w:left="535" w:right="0" w:hanging="423"/>
        <w:jc w:val="both"/>
        <w:rPr>
          <w:b/>
          <w:sz w:val="21"/>
        </w:rPr>
      </w:pPr>
      <w:r>
        <w:rPr>
          <w:b/>
          <w:sz w:val="21"/>
        </w:rPr>
        <w:t>不再招标</w:t>
      </w:r>
    </w:p>
    <w:p>
      <w:pPr>
        <w:pStyle w:val="13"/>
        <w:spacing w:before="65" w:line="295" w:lineRule="auto"/>
        <w:ind w:right="203" w:firstLine="420"/>
      </w:pPr>
      <w:r>
        <w:rPr>
          <w:spacing w:val="-6"/>
        </w:rPr>
        <w:t xml:space="preserve">重新招标后投标人仍少于 </w:t>
      </w:r>
      <w:r>
        <w:t>3</w:t>
      </w:r>
      <w:r>
        <w:rPr>
          <w:spacing w:val="-8"/>
        </w:rPr>
        <w:t xml:space="preserve"> 个或者所有投标被否决的或采用其它采购方式仍采购失败的，经政府采购</w:t>
      </w:r>
      <w:r>
        <w:rPr>
          <w:spacing w:val="-5"/>
        </w:rPr>
        <w:t>监督管理部门批准后不再进行招标。</w:t>
      </w:r>
    </w:p>
    <w:p>
      <w:pPr>
        <w:pStyle w:val="32"/>
        <w:numPr>
          <w:ilvl w:val="0"/>
          <w:numId w:val="5"/>
        </w:numPr>
        <w:tabs>
          <w:tab w:val="left" w:pos="325"/>
        </w:tabs>
        <w:spacing w:before="17" w:after="0" w:line="240" w:lineRule="auto"/>
        <w:ind w:left="324" w:right="0" w:hanging="212"/>
        <w:jc w:val="both"/>
        <w:rPr>
          <w:b/>
          <w:sz w:val="21"/>
        </w:rPr>
      </w:pPr>
      <w:r>
        <w:rPr>
          <w:b/>
          <w:sz w:val="21"/>
        </w:rPr>
        <w:t>纪律和监督</w:t>
      </w:r>
    </w:p>
    <w:p>
      <w:pPr>
        <w:pStyle w:val="32"/>
        <w:numPr>
          <w:ilvl w:val="1"/>
          <w:numId w:val="5"/>
        </w:numPr>
        <w:tabs>
          <w:tab w:val="left" w:pos="536"/>
        </w:tabs>
        <w:spacing w:before="65" w:after="0" w:line="240" w:lineRule="auto"/>
        <w:ind w:left="535" w:right="0" w:hanging="423"/>
        <w:jc w:val="both"/>
        <w:rPr>
          <w:b/>
          <w:sz w:val="21"/>
        </w:rPr>
      </w:pPr>
      <w:r>
        <w:rPr>
          <w:b/>
          <w:spacing w:val="-2"/>
          <w:sz w:val="21"/>
        </w:rPr>
        <w:t>对招标人或招标代理机构的纪律要求</w:t>
      </w:r>
    </w:p>
    <w:p>
      <w:pPr>
        <w:pStyle w:val="13"/>
        <w:spacing w:before="63"/>
        <w:ind w:left="533"/>
      </w:pPr>
      <w:r>
        <w:t>招标人或招标代理机构不得泄漏招标投标活动中应当保密的情况和资料，不得与投标人串通损害国家</w:t>
      </w:r>
    </w:p>
    <w:p>
      <w:pPr>
        <w:spacing w:after="0"/>
        <w:sectPr>
          <w:pgSz w:w="11910" w:h="16840"/>
          <w:pgMar w:top="1400" w:right="920" w:bottom="1180" w:left="1020" w:header="0" w:footer="920" w:gutter="0"/>
        </w:sectPr>
      </w:pPr>
    </w:p>
    <w:p>
      <w:pPr>
        <w:pStyle w:val="13"/>
        <w:spacing w:before="26"/>
      </w:pPr>
      <w:r>
        <w:t>利益、社会公共利益或者他人合法权益。</w:t>
      </w:r>
    </w:p>
    <w:p>
      <w:pPr>
        <w:pStyle w:val="32"/>
        <w:numPr>
          <w:ilvl w:val="1"/>
          <w:numId w:val="5"/>
        </w:numPr>
        <w:tabs>
          <w:tab w:val="left" w:pos="536"/>
        </w:tabs>
        <w:spacing w:before="64" w:after="0" w:line="240" w:lineRule="auto"/>
        <w:ind w:left="535" w:right="0" w:hanging="423"/>
        <w:jc w:val="left"/>
        <w:rPr>
          <w:b/>
          <w:sz w:val="21"/>
        </w:rPr>
      </w:pPr>
      <w:r>
        <w:rPr>
          <w:b/>
          <w:sz w:val="21"/>
        </w:rPr>
        <w:t>对投标人的纪律要求</w:t>
      </w:r>
    </w:p>
    <w:p>
      <w:pPr>
        <w:pStyle w:val="13"/>
        <w:spacing w:before="66" w:line="297" w:lineRule="auto"/>
        <w:ind w:right="98" w:firstLine="420"/>
      </w:pPr>
      <w:r>
        <w:t>投标人不得相互串通投标或者与招标人串通投标，不得向招标人或者评标委员会成员行贿谋取中标， 不得以他人名义投标或者以其他方式弄虚作假骗取中标；投标人不得以任何方式干扰、影响评标工作。</w:t>
      </w:r>
    </w:p>
    <w:p>
      <w:pPr>
        <w:pStyle w:val="32"/>
        <w:numPr>
          <w:ilvl w:val="1"/>
          <w:numId w:val="5"/>
        </w:numPr>
        <w:tabs>
          <w:tab w:val="left" w:pos="536"/>
        </w:tabs>
        <w:spacing w:before="13" w:after="0" w:line="240" w:lineRule="auto"/>
        <w:ind w:left="535" w:right="0" w:hanging="423"/>
        <w:jc w:val="left"/>
        <w:rPr>
          <w:b/>
          <w:sz w:val="21"/>
        </w:rPr>
      </w:pPr>
      <w:r>
        <w:rPr>
          <w:b/>
          <w:spacing w:val="-1"/>
          <w:sz w:val="21"/>
        </w:rPr>
        <w:t>对评标委员会成员的纪律要求</w:t>
      </w:r>
    </w:p>
    <w:p>
      <w:pPr>
        <w:pStyle w:val="13"/>
        <w:spacing w:before="65" w:line="297" w:lineRule="auto"/>
        <w:ind w:right="126" w:firstLine="420"/>
        <w:jc w:val="both"/>
      </w:pPr>
      <w:r>
        <w:rPr>
          <w:spacing w:val="-5"/>
        </w:rPr>
        <w:t>评标委员会成员不得收受他人的财物或者其他好处，不得向他人透漏对投标文件的评审和比较、中标</w:t>
      </w:r>
      <w:r>
        <w:rPr>
          <w:spacing w:val="-7"/>
        </w:rPr>
        <w:t>候选人的推荐情况以及评标有关的其他情况。在评标活动中，评标委员会成员不得擅离职守，影响评标程</w:t>
      </w:r>
      <w:r>
        <w:rPr>
          <w:spacing w:val="-5"/>
        </w:rPr>
        <w:t>序正常进行，不得使用第三章“评标办法”没有规定的评审因素和标准进行评标。</w:t>
      </w:r>
    </w:p>
    <w:p>
      <w:pPr>
        <w:pStyle w:val="32"/>
        <w:numPr>
          <w:ilvl w:val="1"/>
          <w:numId w:val="5"/>
        </w:numPr>
        <w:tabs>
          <w:tab w:val="left" w:pos="536"/>
        </w:tabs>
        <w:spacing w:before="15" w:after="0" w:line="240" w:lineRule="auto"/>
        <w:ind w:left="535" w:right="0" w:hanging="423"/>
        <w:jc w:val="left"/>
        <w:rPr>
          <w:b/>
          <w:sz w:val="21"/>
        </w:rPr>
      </w:pPr>
      <w:r>
        <w:rPr>
          <w:b/>
          <w:spacing w:val="-1"/>
          <w:sz w:val="21"/>
        </w:rPr>
        <w:t>对与评标活动有关的工作人员的纪律要求</w:t>
      </w:r>
    </w:p>
    <w:p>
      <w:pPr>
        <w:pStyle w:val="13"/>
        <w:spacing w:before="66" w:line="297" w:lineRule="auto"/>
        <w:ind w:right="126" w:firstLine="420"/>
        <w:jc w:val="both"/>
      </w:pPr>
      <w:r>
        <w:rPr>
          <w:spacing w:val="-4"/>
        </w:rPr>
        <w:t>与评标活动有关的工作人员不得收受他人的财物或者其他好处，不得向他人透漏对投标文件的评审和</w:t>
      </w:r>
      <w:r>
        <w:rPr>
          <w:spacing w:val="-7"/>
        </w:rPr>
        <w:t>比较、中标候选人的推荐情况以及评标有关的其他情况。在评标活动中，与评标活动有关的工作人员不得</w:t>
      </w:r>
      <w:r>
        <w:rPr>
          <w:spacing w:val="-5"/>
        </w:rPr>
        <w:t>擅离职守，影响评标程序正常进行。</w:t>
      </w:r>
    </w:p>
    <w:p>
      <w:pPr>
        <w:pStyle w:val="32"/>
        <w:numPr>
          <w:ilvl w:val="1"/>
          <w:numId w:val="5"/>
        </w:numPr>
        <w:tabs>
          <w:tab w:val="left" w:pos="536"/>
        </w:tabs>
        <w:spacing w:before="16" w:after="0" w:line="240" w:lineRule="auto"/>
        <w:ind w:left="535" w:right="0" w:hanging="423"/>
        <w:jc w:val="left"/>
        <w:rPr>
          <w:b/>
          <w:sz w:val="21"/>
        </w:rPr>
      </w:pPr>
      <w:r>
        <w:rPr>
          <w:b/>
          <w:sz w:val="21"/>
        </w:rPr>
        <w:t>投诉</w:t>
      </w:r>
    </w:p>
    <w:p>
      <w:pPr>
        <w:pStyle w:val="32"/>
        <w:numPr>
          <w:ilvl w:val="2"/>
          <w:numId w:val="5"/>
        </w:numPr>
        <w:tabs>
          <w:tab w:val="left" w:pos="1165"/>
        </w:tabs>
        <w:spacing w:before="63" w:after="0" w:line="297" w:lineRule="auto"/>
        <w:ind w:left="112" w:right="126" w:firstLine="421"/>
        <w:jc w:val="both"/>
        <w:rPr>
          <w:sz w:val="21"/>
        </w:rPr>
      </w:pPr>
      <w:r>
        <w:rPr>
          <w:spacing w:val="-5"/>
          <w:sz w:val="21"/>
        </w:rPr>
        <w:t>质疑投标人必须首先经过质疑程序，在对采购代理机构的答复不满意或者采购代理机构未在规</w:t>
      </w:r>
      <w:r>
        <w:rPr>
          <w:spacing w:val="-4"/>
          <w:sz w:val="21"/>
        </w:rPr>
        <w:t>定的时间内做出答复的，可以在答复期满后十五个工作日内书面向兴安县人民政府采购管理办公室  投诉。</w:t>
      </w:r>
    </w:p>
    <w:p>
      <w:pPr>
        <w:pStyle w:val="32"/>
        <w:numPr>
          <w:ilvl w:val="2"/>
          <w:numId w:val="5"/>
        </w:numPr>
        <w:tabs>
          <w:tab w:val="left" w:pos="1165"/>
        </w:tabs>
        <w:spacing w:before="12" w:after="0" w:line="240" w:lineRule="auto"/>
        <w:ind w:left="112" w:right="0" w:firstLine="421"/>
        <w:jc w:val="left"/>
        <w:rPr>
          <w:sz w:val="21"/>
        </w:rPr>
      </w:pPr>
      <w:r>
        <w:rPr>
          <w:spacing w:val="-3"/>
          <w:sz w:val="21"/>
        </w:rPr>
        <w:t>政府采购监督管理机构在处理投诉事项期间，可以视具体情况书面通知采购人暂停采购活动。</w:t>
      </w:r>
    </w:p>
    <w:p>
      <w:pPr>
        <w:pStyle w:val="32"/>
        <w:numPr>
          <w:ilvl w:val="1"/>
          <w:numId w:val="5"/>
        </w:numPr>
        <w:tabs>
          <w:tab w:val="left" w:pos="483"/>
        </w:tabs>
        <w:spacing w:before="65" w:after="0" w:line="240" w:lineRule="auto"/>
        <w:ind w:left="482" w:right="0" w:hanging="370"/>
        <w:jc w:val="left"/>
        <w:rPr>
          <w:b/>
          <w:sz w:val="21"/>
        </w:rPr>
      </w:pPr>
      <w:r>
        <w:rPr>
          <w:b/>
          <w:spacing w:val="-1"/>
          <w:sz w:val="21"/>
        </w:rPr>
        <w:t>质疑和投诉书面要求</w:t>
      </w:r>
    </w:p>
    <w:p>
      <w:pPr>
        <w:pStyle w:val="32"/>
        <w:numPr>
          <w:ilvl w:val="2"/>
          <w:numId w:val="5"/>
        </w:numPr>
        <w:tabs>
          <w:tab w:val="left" w:pos="1112"/>
        </w:tabs>
        <w:spacing w:before="65" w:after="0" w:line="240" w:lineRule="auto"/>
        <w:ind w:left="1111" w:right="0" w:hanging="578"/>
        <w:jc w:val="left"/>
        <w:rPr>
          <w:sz w:val="21"/>
        </w:rPr>
      </w:pPr>
      <w:r>
        <w:rPr>
          <w:sz w:val="21"/>
        </w:rPr>
        <w:t>质疑</w:t>
      </w:r>
    </w:p>
    <w:p>
      <w:pPr>
        <w:pStyle w:val="32"/>
        <w:numPr>
          <w:ilvl w:val="3"/>
          <w:numId w:val="5"/>
        </w:numPr>
        <w:tabs>
          <w:tab w:val="left" w:pos="1323"/>
        </w:tabs>
        <w:spacing w:before="63" w:after="0" w:line="240" w:lineRule="auto"/>
        <w:ind w:left="112" w:right="0" w:firstLine="421"/>
        <w:jc w:val="left"/>
        <w:rPr>
          <w:sz w:val="21"/>
        </w:rPr>
      </w:pPr>
      <w:r>
        <w:rPr>
          <w:spacing w:val="-3"/>
          <w:sz w:val="21"/>
        </w:rPr>
        <w:t>有关质疑处理依照《广西壮族自治区政府采购供应商质疑处理办法》相关规定执行。</w:t>
      </w:r>
    </w:p>
    <w:p>
      <w:pPr>
        <w:pStyle w:val="32"/>
        <w:numPr>
          <w:ilvl w:val="3"/>
          <w:numId w:val="5"/>
        </w:numPr>
        <w:tabs>
          <w:tab w:val="left" w:pos="1352"/>
        </w:tabs>
        <w:spacing w:before="66" w:after="0" w:line="297" w:lineRule="auto"/>
        <w:ind w:left="112" w:right="126" w:firstLine="421"/>
        <w:jc w:val="left"/>
        <w:rPr>
          <w:sz w:val="21"/>
        </w:rPr>
      </w:pPr>
      <w:r>
        <w:rPr>
          <w:spacing w:val="-3"/>
          <w:sz w:val="21"/>
        </w:rPr>
        <w:t>投标人认为招标文件、招标过程和中标、成交结果使自已的权益受到损害的，可以在知道或者应知其权益受到损害之日起七个工作日内，以书面质疑形式向采购代理机构提交。</w:t>
      </w:r>
    </w:p>
    <w:p>
      <w:pPr>
        <w:pStyle w:val="32"/>
        <w:numPr>
          <w:ilvl w:val="3"/>
          <w:numId w:val="5"/>
        </w:numPr>
        <w:tabs>
          <w:tab w:val="left" w:pos="1352"/>
        </w:tabs>
        <w:spacing w:before="13" w:after="0" w:line="297" w:lineRule="auto"/>
        <w:ind w:left="112" w:right="126" w:firstLine="421"/>
        <w:jc w:val="left"/>
        <w:rPr>
          <w:sz w:val="21"/>
        </w:rPr>
      </w:pPr>
      <w:r>
        <w:rPr>
          <w:spacing w:val="-3"/>
          <w:sz w:val="21"/>
        </w:rPr>
        <w:t>供应商质疑实行实名制，其质疑应当有具体的质疑事项及事实根据，不得进行虚假、恶意质疑。</w:t>
      </w:r>
    </w:p>
    <w:p>
      <w:pPr>
        <w:pStyle w:val="32"/>
        <w:numPr>
          <w:ilvl w:val="3"/>
          <w:numId w:val="5"/>
        </w:numPr>
        <w:tabs>
          <w:tab w:val="left" w:pos="1323"/>
        </w:tabs>
        <w:spacing w:before="15" w:after="0" w:line="240" w:lineRule="auto"/>
        <w:ind w:left="112" w:right="0" w:firstLine="421"/>
        <w:jc w:val="left"/>
        <w:rPr>
          <w:sz w:val="21"/>
        </w:rPr>
      </w:pPr>
      <w:r>
        <w:rPr>
          <w:spacing w:val="-3"/>
          <w:sz w:val="21"/>
        </w:rPr>
        <w:t>供应商质疑时，应当提交质疑书原件，质疑书应当包括下列主要内容：</w:t>
      </w:r>
    </w:p>
    <w:p>
      <w:pPr>
        <w:pStyle w:val="13"/>
        <w:spacing w:before="63"/>
        <w:ind w:left="533"/>
      </w:pPr>
      <w:r>
        <w:t>（1）质疑供应商和被质疑的采购人或采购代理机构名称、地址、邮政编码、联系电话等；</w:t>
      </w:r>
    </w:p>
    <w:p>
      <w:pPr>
        <w:pStyle w:val="13"/>
        <w:spacing w:before="66"/>
        <w:ind w:left="533"/>
      </w:pPr>
      <w:r>
        <w:t>（2）质疑项目的名称、编号；</w:t>
      </w:r>
    </w:p>
    <w:p>
      <w:pPr>
        <w:pStyle w:val="13"/>
        <w:spacing w:before="66"/>
        <w:ind w:left="533"/>
      </w:pPr>
      <w:r>
        <w:t>（3）权益受到损害的事实及理由；</w:t>
      </w:r>
    </w:p>
    <w:p>
      <w:pPr>
        <w:pStyle w:val="13"/>
        <w:spacing w:before="63"/>
        <w:ind w:left="533"/>
      </w:pPr>
      <w:r>
        <w:t>（4）相关证明材料；</w:t>
      </w:r>
    </w:p>
    <w:p>
      <w:pPr>
        <w:pStyle w:val="13"/>
        <w:spacing w:before="65"/>
        <w:ind w:left="533"/>
      </w:pPr>
      <w:r>
        <w:t>（5）质疑人的签章及质疑时间；</w:t>
      </w:r>
    </w:p>
    <w:p>
      <w:pPr>
        <w:pStyle w:val="32"/>
        <w:numPr>
          <w:ilvl w:val="2"/>
          <w:numId w:val="6"/>
        </w:numPr>
        <w:tabs>
          <w:tab w:val="left" w:pos="1112"/>
        </w:tabs>
        <w:spacing w:before="65" w:after="0" w:line="240" w:lineRule="auto"/>
        <w:ind w:left="1111" w:right="0" w:hanging="578"/>
        <w:jc w:val="left"/>
        <w:rPr>
          <w:sz w:val="21"/>
        </w:rPr>
      </w:pPr>
      <w:r>
        <w:rPr>
          <w:sz w:val="21"/>
        </w:rPr>
        <w:t>投诉</w:t>
      </w:r>
    </w:p>
    <w:p>
      <w:pPr>
        <w:pStyle w:val="32"/>
        <w:numPr>
          <w:ilvl w:val="3"/>
          <w:numId w:val="6"/>
        </w:numPr>
        <w:tabs>
          <w:tab w:val="left" w:pos="1352"/>
        </w:tabs>
        <w:spacing w:before="63" w:after="0" w:line="297" w:lineRule="auto"/>
        <w:ind w:left="112" w:right="126" w:firstLine="421"/>
        <w:jc w:val="left"/>
        <w:rPr>
          <w:sz w:val="21"/>
        </w:rPr>
      </w:pPr>
      <w:r>
        <w:rPr>
          <w:spacing w:val="-3"/>
          <w:sz w:val="21"/>
        </w:rPr>
        <w:t>质疑投标人必须首先经过质疑程序，在对采购代理机构的答复不满意或者采购代理机构未在规定的时间内做出答复的，可以在答复期满后十五个工作日内书面向兴安县人民政府采购管理办公室</w:t>
      </w:r>
    </w:p>
    <w:p>
      <w:pPr>
        <w:pStyle w:val="13"/>
        <w:spacing w:before="15"/>
      </w:pPr>
      <w:r>
        <w:t>投拆。</w:t>
      </w:r>
    </w:p>
    <w:p>
      <w:pPr>
        <w:pStyle w:val="32"/>
        <w:numPr>
          <w:ilvl w:val="3"/>
          <w:numId w:val="6"/>
        </w:numPr>
        <w:tabs>
          <w:tab w:val="left" w:pos="1352"/>
        </w:tabs>
        <w:spacing w:before="63" w:after="0" w:line="297" w:lineRule="auto"/>
        <w:ind w:left="112" w:right="126" w:firstLine="421"/>
        <w:jc w:val="left"/>
        <w:rPr>
          <w:sz w:val="21"/>
        </w:rPr>
      </w:pPr>
      <w:r>
        <w:rPr>
          <w:spacing w:val="-3"/>
          <w:sz w:val="21"/>
        </w:rPr>
        <w:t>有关投拆处理依照财政部《政府采购供应商投拆处理办法》及《广西壮族自治区政府采购供应商投拆处理工作规程》等相关规定执行。</w:t>
      </w:r>
    </w:p>
    <w:p>
      <w:pPr>
        <w:spacing w:before="17"/>
        <w:ind w:left="535" w:right="0" w:firstLine="0"/>
        <w:jc w:val="left"/>
        <w:rPr>
          <w:b/>
          <w:sz w:val="21"/>
        </w:rPr>
      </w:pPr>
      <w:r>
        <w:rPr>
          <w:b/>
          <w:sz w:val="21"/>
        </w:rPr>
        <w:t>如未按上述要求所进行的质疑或投诉将被视为无效，不予受理。</w:t>
      </w:r>
    </w:p>
    <w:p>
      <w:pPr>
        <w:pStyle w:val="13"/>
        <w:ind w:left="0"/>
        <w:rPr>
          <w:b/>
          <w:sz w:val="20"/>
        </w:rPr>
      </w:pPr>
    </w:p>
    <w:p>
      <w:pPr>
        <w:pStyle w:val="32"/>
        <w:numPr>
          <w:ilvl w:val="0"/>
          <w:numId w:val="5"/>
        </w:numPr>
        <w:tabs>
          <w:tab w:val="left" w:pos="431"/>
        </w:tabs>
        <w:spacing w:before="1" w:after="0" w:line="240" w:lineRule="auto"/>
        <w:ind w:left="430" w:right="0" w:hanging="318"/>
        <w:jc w:val="left"/>
        <w:rPr>
          <w:b/>
          <w:sz w:val="21"/>
        </w:rPr>
      </w:pPr>
      <w:r>
        <w:rPr>
          <w:b/>
          <w:sz w:val="21"/>
        </w:rPr>
        <w:t>需要补充的其他内容</w:t>
      </w:r>
    </w:p>
    <w:p>
      <w:pPr>
        <w:pStyle w:val="32"/>
        <w:numPr>
          <w:ilvl w:val="1"/>
          <w:numId w:val="5"/>
        </w:numPr>
        <w:tabs>
          <w:tab w:val="left" w:pos="589"/>
        </w:tabs>
        <w:spacing w:before="63" w:after="0" w:line="240" w:lineRule="auto"/>
        <w:ind w:left="588" w:right="0" w:hanging="476"/>
        <w:jc w:val="left"/>
        <w:rPr>
          <w:b/>
          <w:sz w:val="21"/>
        </w:rPr>
      </w:pPr>
      <w:r>
        <w:rPr>
          <w:b/>
          <w:sz w:val="21"/>
        </w:rPr>
        <w:t>词语定义</w:t>
      </w:r>
    </w:p>
    <w:p>
      <w:pPr>
        <w:pStyle w:val="13"/>
        <w:spacing w:before="65"/>
        <w:ind w:left="533"/>
      </w:pPr>
      <w:r>
        <w:t>见投标人须知前附表</w:t>
      </w:r>
    </w:p>
    <w:p>
      <w:pPr>
        <w:spacing w:after="0"/>
        <w:sectPr>
          <w:pgSz w:w="11910" w:h="16840"/>
          <w:pgMar w:top="1400" w:right="1000" w:bottom="1180" w:left="1020" w:header="0" w:footer="920" w:gutter="0"/>
        </w:sectPr>
      </w:pPr>
    </w:p>
    <w:p>
      <w:pPr>
        <w:pStyle w:val="32"/>
        <w:numPr>
          <w:ilvl w:val="1"/>
          <w:numId w:val="5"/>
        </w:numPr>
        <w:tabs>
          <w:tab w:val="left" w:pos="642"/>
        </w:tabs>
        <w:spacing w:before="26" w:after="0" w:line="240" w:lineRule="auto"/>
        <w:ind w:left="641" w:right="0" w:hanging="529"/>
        <w:jc w:val="left"/>
        <w:rPr>
          <w:b/>
          <w:sz w:val="21"/>
        </w:rPr>
      </w:pPr>
      <w:r>
        <w:rPr>
          <w:b/>
          <w:sz w:val="21"/>
        </w:rPr>
        <w:t>招标控制价</w:t>
      </w:r>
    </w:p>
    <w:p>
      <w:pPr>
        <w:pStyle w:val="13"/>
        <w:spacing w:before="64"/>
        <w:ind w:left="533"/>
      </w:pPr>
      <w:r>
        <w:t>招标控制价设置要求见“投标人须知前附表”。</w:t>
      </w:r>
    </w:p>
    <w:p>
      <w:pPr>
        <w:pStyle w:val="13"/>
        <w:spacing w:before="66" w:line="297" w:lineRule="auto"/>
        <w:ind w:right="78" w:firstLine="420"/>
      </w:pPr>
      <w:r>
        <w:t>招标人或受其委托具有相应资质的中介机构，按照国家和地区的相关规定及第五章的要求编制招标工程的招标控制价。</w:t>
      </w:r>
    </w:p>
    <w:p>
      <w:pPr>
        <w:pStyle w:val="13"/>
        <w:spacing w:before="13"/>
        <w:ind w:left="533"/>
      </w:pPr>
      <w:r>
        <w:rPr>
          <w:spacing w:val="-4"/>
        </w:rPr>
        <w:t xml:space="preserve">原则上招标控制价应于投标截止时间 </w:t>
      </w:r>
      <w:r>
        <w:t>15</w:t>
      </w:r>
      <w:r>
        <w:rPr>
          <w:spacing w:val="-7"/>
        </w:rPr>
        <w:t xml:space="preserve"> 日前向所有投标人公布，最迟应当在投标截止时间 </w:t>
      </w:r>
      <w:r>
        <w:t>7</w:t>
      </w:r>
      <w:r>
        <w:rPr>
          <w:spacing w:val="-6"/>
        </w:rPr>
        <w:t xml:space="preserve"> 日前公</w:t>
      </w:r>
    </w:p>
    <w:p>
      <w:pPr>
        <w:pStyle w:val="13"/>
        <w:spacing w:before="65"/>
      </w:pPr>
      <w:r>
        <w:rPr>
          <w:spacing w:val="-6"/>
        </w:rPr>
        <w:t xml:space="preserve">布。潜在投标人或者其他利害关系人对招标控制价有异议的，应当在投标截止时间 </w:t>
      </w:r>
      <w:r>
        <w:t>5</w:t>
      </w:r>
      <w:r>
        <w:rPr>
          <w:spacing w:val="-8"/>
        </w:rPr>
        <w:t xml:space="preserve"> 日前提出。招标人应</w:t>
      </w:r>
    </w:p>
    <w:p>
      <w:pPr>
        <w:pStyle w:val="13"/>
        <w:spacing w:before="65"/>
      </w:pPr>
      <w:r>
        <w:rPr>
          <w:spacing w:val="-6"/>
        </w:rPr>
        <w:t xml:space="preserve">当自收到异议之日起 </w:t>
      </w:r>
      <w:r>
        <w:t>3</w:t>
      </w:r>
      <w:r>
        <w:rPr>
          <w:spacing w:val="-8"/>
        </w:rPr>
        <w:t xml:space="preserve"> 日内作出答复。招标人需重新公布招标控制价的，其最终公布的时间到投标截止时</w:t>
      </w:r>
    </w:p>
    <w:p>
      <w:pPr>
        <w:pStyle w:val="13"/>
        <w:spacing w:before="63"/>
      </w:pPr>
      <w:r>
        <w:t>间不足 7 天可能影响投标文件编制的，应顺延提交投标文件的截止时间。</w:t>
      </w:r>
    </w:p>
    <w:p>
      <w:pPr>
        <w:pStyle w:val="32"/>
        <w:numPr>
          <w:ilvl w:val="1"/>
          <w:numId w:val="5"/>
        </w:numPr>
        <w:tabs>
          <w:tab w:val="left" w:pos="589"/>
        </w:tabs>
        <w:spacing w:before="65" w:after="0" w:line="240" w:lineRule="auto"/>
        <w:ind w:left="588" w:right="0" w:hanging="476"/>
        <w:jc w:val="left"/>
        <w:rPr>
          <w:b/>
          <w:sz w:val="21"/>
        </w:rPr>
      </w:pPr>
      <w:r>
        <w:rPr>
          <w:b/>
          <w:sz w:val="21"/>
        </w:rPr>
        <w:t>暗标评审</w:t>
      </w:r>
    </w:p>
    <w:p>
      <w:pPr>
        <w:pStyle w:val="13"/>
        <w:spacing w:before="65"/>
        <w:ind w:left="533"/>
      </w:pPr>
      <w:r>
        <w:t>不采用。</w:t>
      </w:r>
    </w:p>
    <w:p>
      <w:pPr>
        <w:pStyle w:val="32"/>
        <w:numPr>
          <w:ilvl w:val="1"/>
          <w:numId w:val="5"/>
        </w:numPr>
        <w:tabs>
          <w:tab w:val="left" w:pos="589"/>
        </w:tabs>
        <w:spacing w:before="63" w:after="0" w:line="240" w:lineRule="auto"/>
        <w:ind w:left="588" w:right="0" w:hanging="476"/>
        <w:jc w:val="left"/>
        <w:rPr>
          <w:b/>
          <w:sz w:val="21"/>
        </w:rPr>
      </w:pPr>
      <w:r>
        <w:rPr>
          <w:b/>
          <w:spacing w:val="-1"/>
          <w:sz w:val="21"/>
        </w:rPr>
        <w:t>工程量清单电子版</w:t>
      </w:r>
    </w:p>
    <w:p>
      <w:pPr>
        <w:pStyle w:val="13"/>
        <w:spacing w:before="65"/>
        <w:ind w:left="533"/>
      </w:pPr>
      <w:r>
        <w:t>见“投标人须知前附表要求”</w:t>
      </w:r>
    </w:p>
    <w:p>
      <w:pPr>
        <w:pStyle w:val="32"/>
        <w:numPr>
          <w:ilvl w:val="1"/>
          <w:numId w:val="5"/>
        </w:numPr>
        <w:tabs>
          <w:tab w:val="left" w:pos="589"/>
        </w:tabs>
        <w:spacing w:before="66" w:after="0" w:line="240" w:lineRule="auto"/>
        <w:ind w:left="588" w:right="0" w:hanging="476"/>
        <w:jc w:val="left"/>
        <w:rPr>
          <w:b/>
          <w:sz w:val="21"/>
        </w:rPr>
      </w:pPr>
      <w:r>
        <w:rPr>
          <w:b/>
          <w:sz w:val="21"/>
        </w:rPr>
        <w:t>知识产权</w:t>
      </w:r>
    </w:p>
    <w:p>
      <w:pPr>
        <w:pStyle w:val="13"/>
        <w:spacing w:before="63"/>
        <w:ind w:left="533"/>
      </w:pPr>
      <w:r>
        <w:t>见“投标人须知前附表要求”</w:t>
      </w:r>
    </w:p>
    <w:p>
      <w:pPr>
        <w:pStyle w:val="32"/>
        <w:numPr>
          <w:ilvl w:val="1"/>
          <w:numId w:val="5"/>
        </w:numPr>
        <w:tabs>
          <w:tab w:val="left" w:pos="589"/>
        </w:tabs>
        <w:spacing w:before="65" w:after="0" w:line="240" w:lineRule="auto"/>
        <w:ind w:left="588" w:right="0" w:hanging="476"/>
        <w:jc w:val="left"/>
        <w:rPr>
          <w:b/>
          <w:sz w:val="21"/>
        </w:rPr>
      </w:pPr>
      <w:r>
        <w:rPr>
          <w:b/>
          <w:sz w:val="21"/>
        </w:rPr>
        <w:t>同义词语</w:t>
      </w:r>
    </w:p>
    <w:p>
      <w:pPr>
        <w:pStyle w:val="13"/>
        <w:spacing w:before="65"/>
        <w:ind w:left="533"/>
      </w:pPr>
      <w:r>
        <w:t>见“投标人须知前附表要求”</w:t>
      </w:r>
    </w:p>
    <w:p>
      <w:pPr>
        <w:pStyle w:val="32"/>
        <w:numPr>
          <w:ilvl w:val="1"/>
          <w:numId w:val="5"/>
        </w:numPr>
        <w:tabs>
          <w:tab w:val="left" w:pos="589"/>
        </w:tabs>
        <w:spacing w:before="63" w:after="0" w:line="240" w:lineRule="auto"/>
        <w:ind w:left="588" w:right="0" w:hanging="476"/>
        <w:jc w:val="left"/>
        <w:rPr>
          <w:b/>
          <w:sz w:val="21"/>
        </w:rPr>
      </w:pPr>
      <w:r>
        <w:rPr>
          <w:b/>
          <w:sz w:val="21"/>
        </w:rPr>
        <w:t>监督</w:t>
      </w:r>
    </w:p>
    <w:p>
      <w:pPr>
        <w:pStyle w:val="13"/>
        <w:spacing w:before="66"/>
        <w:ind w:left="533"/>
      </w:pPr>
      <w:r>
        <w:t>见“投标人须知前附表要求”</w:t>
      </w:r>
    </w:p>
    <w:p>
      <w:pPr>
        <w:pStyle w:val="32"/>
        <w:numPr>
          <w:ilvl w:val="1"/>
          <w:numId w:val="5"/>
        </w:numPr>
        <w:tabs>
          <w:tab w:val="left" w:pos="589"/>
        </w:tabs>
        <w:spacing w:before="66" w:after="0" w:line="240" w:lineRule="auto"/>
        <w:ind w:left="588" w:right="0" w:hanging="476"/>
        <w:jc w:val="left"/>
        <w:rPr>
          <w:b/>
          <w:sz w:val="21"/>
        </w:rPr>
      </w:pPr>
      <w:r>
        <w:rPr>
          <w:b/>
          <w:sz w:val="21"/>
        </w:rPr>
        <w:t>解释权</w:t>
      </w:r>
    </w:p>
    <w:p>
      <w:pPr>
        <w:pStyle w:val="13"/>
        <w:spacing w:before="63"/>
        <w:ind w:left="533"/>
      </w:pPr>
      <w:r>
        <w:t>见“投标人须知前附表要求”</w:t>
      </w:r>
    </w:p>
    <w:p>
      <w:pPr>
        <w:pStyle w:val="32"/>
        <w:numPr>
          <w:ilvl w:val="1"/>
          <w:numId w:val="5"/>
        </w:numPr>
        <w:tabs>
          <w:tab w:val="left" w:pos="589"/>
        </w:tabs>
        <w:spacing w:before="65" w:after="0" w:line="240" w:lineRule="auto"/>
        <w:ind w:left="588" w:right="0" w:hanging="476"/>
        <w:jc w:val="left"/>
        <w:rPr>
          <w:b/>
          <w:sz w:val="21"/>
        </w:rPr>
      </w:pPr>
      <w:r>
        <w:rPr>
          <w:b/>
          <w:spacing w:val="-1"/>
          <w:sz w:val="21"/>
        </w:rPr>
        <w:t>招标人的其他补充内容</w:t>
      </w:r>
    </w:p>
    <w:p>
      <w:pPr>
        <w:pStyle w:val="32"/>
        <w:numPr>
          <w:ilvl w:val="2"/>
          <w:numId w:val="5"/>
        </w:numPr>
        <w:tabs>
          <w:tab w:val="left" w:pos="1218"/>
        </w:tabs>
        <w:spacing w:before="65" w:after="0" w:line="295" w:lineRule="auto"/>
        <w:ind w:left="112" w:right="111" w:firstLine="421"/>
        <w:jc w:val="left"/>
        <w:rPr>
          <w:sz w:val="21"/>
        </w:rPr>
      </w:pPr>
      <w:r>
        <w:rPr>
          <w:spacing w:val="-8"/>
          <w:sz w:val="21"/>
        </w:rPr>
        <w:t>领取中标通知书前，中标人向</w:t>
      </w:r>
      <w:r>
        <w:rPr>
          <w:rFonts w:hint="eastAsia"/>
          <w:spacing w:val="-8"/>
          <w:sz w:val="21"/>
          <w:lang w:eastAsia="zh-CN"/>
        </w:rPr>
        <w:t>上海正弘建设工程顾问有限公司</w:t>
      </w:r>
      <w:r>
        <w:rPr>
          <w:spacing w:val="-8"/>
          <w:sz w:val="21"/>
        </w:rPr>
        <w:t>一次付清招标代理服务费。具体</w:t>
      </w:r>
      <w:r>
        <w:rPr>
          <w:spacing w:val="-3"/>
          <w:sz w:val="21"/>
        </w:rPr>
        <w:t>收费标准按计价格[</w:t>
      </w:r>
      <w:r>
        <w:rPr>
          <w:sz w:val="21"/>
        </w:rPr>
        <w:t>2002]1980</w:t>
      </w:r>
      <w:r>
        <w:rPr>
          <w:spacing w:val="-10"/>
          <w:sz w:val="21"/>
        </w:rPr>
        <w:t xml:space="preserve"> 号《招标代理服务收费管理暂行办法》“工程类”收费标准和发改办价格</w:t>
      </w:r>
      <w:r>
        <w:rPr>
          <w:spacing w:val="-3"/>
          <w:sz w:val="21"/>
        </w:rPr>
        <w:t>[2</w:t>
      </w:r>
    </w:p>
    <w:p>
      <w:pPr>
        <w:pStyle w:val="13"/>
        <w:spacing w:before="17"/>
      </w:pPr>
      <w:r>
        <w:t>003]857 号文的规定执行，以差额定率累进法计算。</w:t>
      </w:r>
    </w:p>
    <w:p>
      <w:pPr>
        <w:pStyle w:val="13"/>
        <w:spacing w:before="65" w:after="37"/>
        <w:ind w:left="3881"/>
      </w:pPr>
      <w:r>
        <mc:AlternateContent>
          <mc:Choice Requires="wps">
            <w:drawing>
              <wp:anchor distT="0" distB="0" distL="114300" distR="114300" simplePos="0" relativeHeight="503021568" behindDoc="1" locked="0" layoutInCell="1" allowOverlap="1">
                <wp:simplePos x="0" y="0"/>
                <wp:positionH relativeFrom="page">
                  <wp:posOffset>846455</wp:posOffset>
                </wp:positionH>
                <wp:positionV relativeFrom="paragraph">
                  <wp:posOffset>256540</wp:posOffset>
                </wp:positionV>
                <wp:extent cx="1828800" cy="888365"/>
                <wp:effectExtent l="1270" t="3810" r="17780" b="22225"/>
                <wp:wrapNone/>
                <wp:docPr id="84" name="任意多边形 2"/>
                <wp:cNvGraphicFramePr/>
                <a:graphic xmlns:a="http://schemas.openxmlformats.org/drawingml/2006/main">
                  <a:graphicData uri="http://schemas.microsoft.com/office/word/2010/wordprocessingShape">
                    <wps:wsp>
                      <wps:cNvSpPr/>
                      <wps:spPr>
                        <a:xfrm>
                          <a:off x="0" y="0"/>
                          <a:ext cx="1828800" cy="888365"/>
                        </a:xfrm>
                        <a:custGeom>
                          <a:avLst/>
                          <a:gdLst/>
                          <a:ahLst/>
                          <a:cxnLst/>
                          <a:pathLst>
                            <a:path w="2880" h="1399">
                              <a:moveTo>
                                <a:pt x="575" y="0"/>
                              </a:moveTo>
                              <a:lnTo>
                                <a:pt x="2880" y="1399"/>
                              </a:lnTo>
                              <a:moveTo>
                                <a:pt x="0" y="585"/>
                              </a:moveTo>
                              <a:lnTo>
                                <a:pt x="2880" y="1399"/>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任意多边形 2" o:spid="_x0000_s1026" o:spt="100" style="position:absolute;left:0pt;margin-left:66.65pt;margin-top:20.2pt;height:69.95pt;width:144pt;mso-position-horizontal-relative:page;z-index:-294912;mso-width-relative:page;mso-height-relative:page;" filled="f" stroked="t" coordsize="2880,1399" o:gfxdata="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FXs73YAAAACgEAAA8AAAAAAAAAAQAgAAAAIgAAAGRycy9kb3du&#10;cmV2LnhtbFBLAQIUABQAAAAIAIdO4kA8OdTrOAIAAJwEAAAOAAAAAAAAAAEAIAAAACcBAABkcnMv&#10;ZTJvRG9jLnhtbFBLBQYAAAAABgAGAFkBAADRBQAAAAA=&#10;" path="m575,0l2880,1399m0,585l2880,1399e">
                <v:fill on="f" focussize="0,0"/>
                <v:stroke color="#000000" joinstyle="round"/>
                <v:imagedata o:title=""/>
                <o:lock v:ext="edit" aspectratio="f"/>
              </v:shape>
            </w:pict>
          </mc:Fallback>
        </mc:AlternateContent>
      </w:r>
      <w:r>
        <w:t>招标代理服务收费标准</w:t>
      </w:r>
    </w:p>
    <w:tbl>
      <w:tblPr>
        <w:tblStyle w:val="17"/>
        <w:tblW w:w="9241" w:type="dxa"/>
        <w:tblInd w:w="3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7"/>
        <w:gridCol w:w="1886"/>
        <w:gridCol w:w="2045"/>
        <w:gridCol w:w="2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2957" w:type="dxa"/>
          </w:tcPr>
          <w:p>
            <w:pPr>
              <w:pStyle w:val="33"/>
              <w:tabs>
                <w:tab w:val="left" w:pos="1706"/>
              </w:tabs>
              <w:spacing w:before="30"/>
              <w:ind w:left="129"/>
              <w:rPr>
                <w:sz w:val="21"/>
              </w:rPr>
            </w:pPr>
            <w:r>
              <w:rPr>
                <w:sz w:val="21"/>
              </w:rPr>
              <w:t>费率</w:t>
            </w:r>
            <w:r>
              <w:rPr>
                <w:sz w:val="21"/>
              </w:rPr>
              <w:tab/>
            </w:r>
            <w:r>
              <w:rPr>
                <w:spacing w:val="-3"/>
                <w:sz w:val="21"/>
              </w:rPr>
              <w:t>服</w:t>
            </w:r>
            <w:r>
              <w:rPr>
                <w:sz w:val="21"/>
              </w:rPr>
              <w:t>务</w:t>
            </w:r>
            <w:r>
              <w:rPr>
                <w:spacing w:val="-3"/>
                <w:sz w:val="21"/>
              </w:rPr>
              <w:t>类</w:t>
            </w:r>
            <w:r>
              <w:rPr>
                <w:sz w:val="21"/>
              </w:rPr>
              <w:t>型</w:t>
            </w:r>
          </w:p>
          <w:p>
            <w:pPr>
              <w:pStyle w:val="33"/>
              <w:rPr>
                <w:sz w:val="20"/>
              </w:rPr>
            </w:pPr>
          </w:p>
          <w:p>
            <w:pPr>
              <w:pStyle w:val="33"/>
              <w:rPr>
                <w:sz w:val="20"/>
              </w:rPr>
            </w:pPr>
          </w:p>
          <w:p>
            <w:pPr>
              <w:pStyle w:val="33"/>
              <w:spacing w:before="6"/>
              <w:rPr>
                <w:sz w:val="21"/>
              </w:rPr>
            </w:pPr>
          </w:p>
          <w:p>
            <w:pPr>
              <w:pStyle w:val="33"/>
              <w:ind w:left="129"/>
              <w:rPr>
                <w:sz w:val="21"/>
              </w:rPr>
            </w:pPr>
            <w:r>
              <w:rPr>
                <w:sz w:val="21"/>
              </w:rPr>
              <w:t>中标金额（万元）</w:t>
            </w:r>
          </w:p>
        </w:tc>
        <w:tc>
          <w:tcPr>
            <w:tcW w:w="1886" w:type="dxa"/>
          </w:tcPr>
          <w:p>
            <w:pPr>
              <w:pStyle w:val="33"/>
              <w:rPr>
                <w:sz w:val="20"/>
              </w:rPr>
            </w:pPr>
          </w:p>
          <w:p>
            <w:pPr>
              <w:pStyle w:val="33"/>
              <w:spacing w:before="7"/>
              <w:rPr>
                <w:sz w:val="23"/>
              </w:rPr>
            </w:pPr>
          </w:p>
          <w:p>
            <w:pPr>
              <w:pStyle w:val="33"/>
              <w:spacing w:before="1"/>
              <w:ind w:left="511" w:right="485"/>
              <w:jc w:val="center"/>
              <w:rPr>
                <w:sz w:val="21"/>
              </w:rPr>
            </w:pPr>
            <w:r>
              <w:rPr>
                <w:sz w:val="21"/>
              </w:rPr>
              <w:t>货物招标</w:t>
            </w:r>
          </w:p>
        </w:tc>
        <w:tc>
          <w:tcPr>
            <w:tcW w:w="2045" w:type="dxa"/>
          </w:tcPr>
          <w:p>
            <w:pPr>
              <w:pStyle w:val="33"/>
              <w:rPr>
                <w:sz w:val="20"/>
              </w:rPr>
            </w:pPr>
          </w:p>
          <w:p>
            <w:pPr>
              <w:pStyle w:val="33"/>
              <w:spacing w:before="7"/>
              <w:rPr>
                <w:sz w:val="23"/>
              </w:rPr>
            </w:pPr>
          </w:p>
          <w:p>
            <w:pPr>
              <w:pStyle w:val="33"/>
              <w:spacing w:before="1"/>
              <w:ind w:left="590" w:right="564"/>
              <w:jc w:val="center"/>
              <w:rPr>
                <w:sz w:val="21"/>
              </w:rPr>
            </w:pPr>
            <w:r>
              <w:rPr>
                <w:sz w:val="21"/>
              </w:rPr>
              <w:t>服务招标</w:t>
            </w:r>
          </w:p>
        </w:tc>
        <w:tc>
          <w:tcPr>
            <w:tcW w:w="2353" w:type="dxa"/>
          </w:tcPr>
          <w:p>
            <w:pPr>
              <w:pStyle w:val="33"/>
              <w:rPr>
                <w:sz w:val="20"/>
              </w:rPr>
            </w:pPr>
          </w:p>
          <w:p>
            <w:pPr>
              <w:pStyle w:val="33"/>
              <w:spacing w:before="7"/>
              <w:rPr>
                <w:sz w:val="23"/>
              </w:rPr>
            </w:pPr>
          </w:p>
          <w:p>
            <w:pPr>
              <w:pStyle w:val="33"/>
              <w:spacing w:before="1"/>
              <w:ind w:left="744" w:right="717"/>
              <w:jc w:val="center"/>
              <w:rPr>
                <w:sz w:val="21"/>
              </w:rPr>
            </w:pPr>
            <w:r>
              <w:rPr>
                <w:sz w:val="21"/>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957" w:type="dxa"/>
            <w:vAlign w:val="center"/>
          </w:tcPr>
          <w:p>
            <w:pPr>
              <w:pStyle w:val="33"/>
              <w:spacing w:before="28"/>
              <w:ind w:left="129"/>
              <w:jc w:val="center"/>
              <w:rPr>
                <w:sz w:val="21"/>
              </w:rPr>
            </w:pPr>
            <w:r>
              <w:rPr>
                <w:sz w:val="21"/>
              </w:rPr>
              <w:t>100 以下</w:t>
            </w:r>
          </w:p>
        </w:tc>
        <w:tc>
          <w:tcPr>
            <w:tcW w:w="1886" w:type="dxa"/>
            <w:vAlign w:val="center"/>
          </w:tcPr>
          <w:p>
            <w:pPr>
              <w:pStyle w:val="33"/>
              <w:spacing w:before="28"/>
              <w:ind w:left="511" w:right="483"/>
              <w:jc w:val="center"/>
              <w:rPr>
                <w:sz w:val="21"/>
              </w:rPr>
            </w:pPr>
            <w:r>
              <w:rPr>
                <w:sz w:val="21"/>
              </w:rPr>
              <w:t>1.5%</w:t>
            </w:r>
          </w:p>
        </w:tc>
        <w:tc>
          <w:tcPr>
            <w:tcW w:w="2045" w:type="dxa"/>
            <w:vAlign w:val="center"/>
          </w:tcPr>
          <w:p>
            <w:pPr>
              <w:pStyle w:val="33"/>
              <w:spacing w:before="28"/>
              <w:ind w:left="590" w:right="561"/>
              <w:jc w:val="center"/>
              <w:rPr>
                <w:sz w:val="21"/>
              </w:rPr>
            </w:pPr>
            <w:r>
              <w:rPr>
                <w:sz w:val="21"/>
              </w:rPr>
              <w:t>1.5%</w:t>
            </w:r>
          </w:p>
        </w:tc>
        <w:tc>
          <w:tcPr>
            <w:tcW w:w="2353" w:type="dxa"/>
            <w:vAlign w:val="center"/>
          </w:tcPr>
          <w:p>
            <w:pPr>
              <w:pStyle w:val="33"/>
              <w:spacing w:before="28"/>
              <w:ind w:left="741" w:right="717"/>
              <w:jc w:val="center"/>
              <w:rPr>
                <w:sz w:val="21"/>
              </w:rPr>
            </w:pPr>
            <w:r>
              <w:rPr>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957" w:type="dxa"/>
            <w:vAlign w:val="center"/>
          </w:tcPr>
          <w:p>
            <w:pPr>
              <w:pStyle w:val="33"/>
              <w:spacing w:before="28"/>
              <w:ind w:left="129"/>
              <w:jc w:val="center"/>
              <w:rPr>
                <w:sz w:val="21"/>
              </w:rPr>
            </w:pPr>
            <w:r>
              <w:rPr>
                <w:sz w:val="21"/>
              </w:rPr>
              <w:t>100-500</w:t>
            </w:r>
          </w:p>
        </w:tc>
        <w:tc>
          <w:tcPr>
            <w:tcW w:w="1886" w:type="dxa"/>
            <w:vAlign w:val="center"/>
          </w:tcPr>
          <w:p>
            <w:pPr>
              <w:pStyle w:val="33"/>
              <w:spacing w:before="28"/>
              <w:ind w:left="511" w:right="483"/>
              <w:jc w:val="center"/>
              <w:rPr>
                <w:sz w:val="21"/>
              </w:rPr>
            </w:pPr>
            <w:r>
              <w:rPr>
                <w:sz w:val="21"/>
              </w:rPr>
              <w:t>1.1%</w:t>
            </w:r>
          </w:p>
        </w:tc>
        <w:tc>
          <w:tcPr>
            <w:tcW w:w="2045" w:type="dxa"/>
            <w:vAlign w:val="center"/>
          </w:tcPr>
          <w:p>
            <w:pPr>
              <w:pStyle w:val="33"/>
              <w:spacing w:before="28"/>
              <w:ind w:left="590" w:right="561"/>
              <w:jc w:val="center"/>
              <w:rPr>
                <w:sz w:val="21"/>
              </w:rPr>
            </w:pPr>
            <w:r>
              <w:rPr>
                <w:sz w:val="21"/>
              </w:rPr>
              <w:t>0.8%</w:t>
            </w:r>
          </w:p>
        </w:tc>
        <w:tc>
          <w:tcPr>
            <w:tcW w:w="2353" w:type="dxa"/>
            <w:vAlign w:val="center"/>
          </w:tcPr>
          <w:p>
            <w:pPr>
              <w:pStyle w:val="33"/>
              <w:spacing w:before="28"/>
              <w:ind w:left="741" w:right="717"/>
              <w:jc w:val="center"/>
              <w:rPr>
                <w:sz w:val="21"/>
              </w:rPr>
            </w:pPr>
            <w:r>
              <w:rPr>
                <w:sz w:val="21"/>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957" w:type="dxa"/>
            <w:tcBorders>
              <w:bottom w:val="single" w:color="000000" w:sz="6" w:space="0"/>
            </w:tcBorders>
            <w:vAlign w:val="center"/>
          </w:tcPr>
          <w:p>
            <w:pPr>
              <w:pStyle w:val="33"/>
              <w:spacing w:before="28"/>
              <w:ind w:left="129"/>
              <w:jc w:val="center"/>
              <w:rPr>
                <w:sz w:val="21"/>
              </w:rPr>
            </w:pPr>
            <w:r>
              <w:rPr>
                <w:sz w:val="21"/>
              </w:rPr>
              <w:t>500-1000</w:t>
            </w:r>
          </w:p>
        </w:tc>
        <w:tc>
          <w:tcPr>
            <w:tcW w:w="1886" w:type="dxa"/>
            <w:tcBorders>
              <w:bottom w:val="single" w:color="000000" w:sz="6" w:space="0"/>
            </w:tcBorders>
            <w:vAlign w:val="center"/>
          </w:tcPr>
          <w:p>
            <w:pPr>
              <w:pStyle w:val="33"/>
              <w:spacing w:before="28"/>
              <w:ind w:left="511" w:right="483"/>
              <w:jc w:val="center"/>
              <w:rPr>
                <w:sz w:val="21"/>
              </w:rPr>
            </w:pPr>
            <w:r>
              <w:rPr>
                <w:sz w:val="21"/>
              </w:rPr>
              <w:t>0.8%</w:t>
            </w:r>
          </w:p>
        </w:tc>
        <w:tc>
          <w:tcPr>
            <w:tcW w:w="2045" w:type="dxa"/>
            <w:tcBorders>
              <w:bottom w:val="single" w:color="000000" w:sz="6" w:space="0"/>
            </w:tcBorders>
            <w:vAlign w:val="center"/>
          </w:tcPr>
          <w:p>
            <w:pPr>
              <w:pStyle w:val="33"/>
              <w:spacing w:before="28"/>
              <w:ind w:left="590" w:right="561"/>
              <w:jc w:val="center"/>
              <w:rPr>
                <w:sz w:val="21"/>
              </w:rPr>
            </w:pPr>
            <w:r>
              <w:rPr>
                <w:sz w:val="21"/>
              </w:rPr>
              <w:t>0.45%</w:t>
            </w:r>
          </w:p>
        </w:tc>
        <w:tc>
          <w:tcPr>
            <w:tcW w:w="2353" w:type="dxa"/>
            <w:tcBorders>
              <w:bottom w:val="single" w:color="000000" w:sz="6" w:space="0"/>
            </w:tcBorders>
            <w:vAlign w:val="center"/>
          </w:tcPr>
          <w:p>
            <w:pPr>
              <w:pStyle w:val="33"/>
              <w:spacing w:before="28"/>
              <w:ind w:left="741" w:right="717"/>
              <w:jc w:val="center"/>
              <w:rPr>
                <w:sz w:val="21"/>
              </w:rPr>
            </w:pPr>
            <w:r>
              <w:rPr>
                <w:sz w:val="21"/>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957" w:type="dxa"/>
            <w:tcBorders>
              <w:top w:val="single" w:color="000000" w:sz="6" w:space="0"/>
            </w:tcBorders>
            <w:vAlign w:val="center"/>
          </w:tcPr>
          <w:p>
            <w:pPr>
              <w:pStyle w:val="33"/>
              <w:spacing w:before="26"/>
              <w:ind w:left="129"/>
              <w:jc w:val="center"/>
              <w:rPr>
                <w:sz w:val="21"/>
              </w:rPr>
            </w:pPr>
            <w:r>
              <w:rPr>
                <w:sz w:val="21"/>
              </w:rPr>
              <w:t>1000-5000</w:t>
            </w:r>
          </w:p>
        </w:tc>
        <w:tc>
          <w:tcPr>
            <w:tcW w:w="1886" w:type="dxa"/>
            <w:tcBorders>
              <w:top w:val="single" w:color="000000" w:sz="6" w:space="0"/>
            </w:tcBorders>
            <w:vAlign w:val="center"/>
          </w:tcPr>
          <w:p>
            <w:pPr>
              <w:pStyle w:val="33"/>
              <w:spacing w:before="26"/>
              <w:ind w:left="511" w:right="483"/>
              <w:jc w:val="center"/>
              <w:rPr>
                <w:sz w:val="21"/>
              </w:rPr>
            </w:pPr>
            <w:r>
              <w:rPr>
                <w:sz w:val="21"/>
              </w:rPr>
              <w:t>0.5%</w:t>
            </w:r>
          </w:p>
        </w:tc>
        <w:tc>
          <w:tcPr>
            <w:tcW w:w="2045" w:type="dxa"/>
            <w:tcBorders>
              <w:top w:val="single" w:color="000000" w:sz="6" w:space="0"/>
            </w:tcBorders>
            <w:vAlign w:val="center"/>
          </w:tcPr>
          <w:p>
            <w:pPr>
              <w:pStyle w:val="33"/>
              <w:spacing w:before="26"/>
              <w:ind w:left="590" w:right="561"/>
              <w:jc w:val="center"/>
              <w:rPr>
                <w:sz w:val="21"/>
              </w:rPr>
            </w:pPr>
            <w:r>
              <w:rPr>
                <w:sz w:val="21"/>
              </w:rPr>
              <w:t>0.25%</w:t>
            </w:r>
          </w:p>
        </w:tc>
        <w:tc>
          <w:tcPr>
            <w:tcW w:w="2353" w:type="dxa"/>
            <w:tcBorders>
              <w:top w:val="single" w:color="000000" w:sz="6" w:space="0"/>
            </w:tcBorders>
            <w:vAlign w:val="center"/>
          </w:tcPr>
          <w:p>
            <w:pPr>
              <w:pStyle w:val="33"/>
              <w:spacing w:before="26"/>
              <w:ind w:left="741" w:right="717"/>
              <w:jc w:val="center"/>
              <w:rPr>
                <w:sz w:val="21"/>
              </w:rPr>
            </w:pPr>
            <w:r>
              <w:rPr>
                <w:sz w:val="21"/>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957" w:type="dxa"/>
            <w:vAlign w:val="center"/>
          </w:tcPr>
          <w:p>
            <w:pPr>
              <w:pStyle w:val="33"/>
              <w:spacing w:before="28"/>
              <w:ind w:left="129"/>
              <w:jc w:val="center"/>
              <w:rPr>
                <w:sz w:val="21"/>
              </w:rPr>
            </w:pPr>
            <w:r>
              <w:rPr>
                <w:sz w:val="21"/>
              </w:rPr>
              <w:t>5000-10000</w:t>
            </w:r>
          </w:p>
        </w:tc>
        <w:tc>
          <w:tcPr>
            <w:tcW w:w="1886" w:type="dxa"/>
            <w:vAlign w:val="center"/>
          </w:tcPr>
          <w:p>
            <w:pPr>
              <w:pStyle w:val="33"/>
              <w:spacing w:before="28"/>
              <w:ind w:left="511" w:right="483"/>
              <w:jc w:val="center"/>
              <w:rPr>
                <w:sz w:val="21"/>
              </w:rPr>
            </w:pPr>
            <w:r>
              <w:rPr>
                <w:sz w:val="21"/>
              </w:rPr>
              <w:t>0.25%</w:t>
            </w:r>
          </w:p>
        </w:tc>
        <w:tc>
          <w:tcPr>
            <w:tcW w:w="2045" w:type="dxa"/>
            <w:vAlign w:val="center"/>
          </w:tcPr>
          <w:p>
            <w:pPr>
              <w:pStyle w:val="33"/>
              <w:spacing w:before="28"/>
              <w:ind w:left="590" w:right="561"/>
              <w:jc w:val="center"/>
              <w:rPr>
                <w:sz w:val="21"/>
              </w:rPr>
            </w:pPr>
            <w:r>
              <w:rPr>
                <w:sz w:val="21"/>
              </w:rPr>
              <w:t>0.1%</w:t>
            </w:r>
          </w:p>
        </w:tc>
        <w:tc>
          <w:tcPr>
            <w:tcW w:w="2353" w:type="dxa"/>
            <w:vAlign w:val="center"/>
          </w:tcPr>
          <w:p>
            <w:pPr>
              <w:pStyle w:val="33"/>
              <w:spacing w:before="28"/>
              <w:ind w:left="741" w:right="717"/>
              <w:jc w:val="center"/>
              <w:rPr>
                <w:sz w:val="21"/>
              </w:rPr>
            </w:pPr>
            <w:r>
              <w:rPr>
                <w:sz w:val="21"/>
              </w:rPr>
              <w:t>0.2%</w:t>
            </w:r>
          </w:p>
        </w:tc>
      </w:tr>
    </w:tbl>
    <w:p>
      <w:pPr>
        <w:pStyle w:val="13"/>
        <w:spacing w:before="26"/>
        <w:ind w:left="533"/>
      </w:pPr>
      <w:r>
        <w:t>注：招标代理服务收费按差额定率累进法计算。</w:t>
      </w:r>
    </w:p>
    <w:p>
      <w:pPr>
        <w:spacing w:after="0"/>
        <w:sectPr>
          <w:pgSz w:w="11910" w:h="16840"/>
          <w:pgMar w:top="1400" w:right="1020" w:bottom="1180" w:left="1020" w:header="0" w:footer="920" w:gutter="0"/>
        </w:sectPr>
      </w:pPr>
    </w:p>
    <w:p>
      <w:pPr>
        <w:pStyle w:val="32"/>
        <w:numPr>
          <w:ilvl w:val="2"/>
          <w:numId w:val="5"/>
        </w:numPr>
        <w:tabs>
          <w:tab w:val="left" w:pos="1218"/>
        </w:tabs>
        <w:spacing w:before="26" w:after="0" w:line="295" w:lineRule="auto"/>
        <w:ind w:left="112" w:right="134" w:firstLine="421"/>
        <w:jc w:val="left"/>
        <w:rPr>
          <w:sz w:val="21"/>
        </w:rPr>
      </w:pPr>
      <w:r>
        <w:rPr>
          <w:spacing w:val="-11"/>
          <w:sz w:val="21"/>
        </w:rPr>
        <w:t>信用查询：根据《关于做好政府采购有关信用主体标识码登记及在政府采购活动中查询使用信</w:t>
      </w:r>
      <w:r>
        <w:rPr>
          <w:spacing w:val="-6"/>
          <w:sz w:val="21"/>
        </w:rPr>
        <w:t>用记录有关问题的通知》桂财采〔</w:t>
      </w:r>
      <w:r>
        <w:rPr>
          <w:sz w:val="21"/>
        </w:rPr>
        <w:t>2016</w:t>
      </w:r>
      <w:r>
        <w:rPr>
          <w:spacing w:val="-3"/>
          <w:sz w:val="21"/>
        </w:rPr>
        <w:t>〕</w:t>
      </w:r>
      <w:r>
        <w:rPr>
          <w:sz w:val="21"/>
        </w:rPr>
        <w:t>37</w:t>
      </w:r>
      <w:r>
        <w:rPr>
          <w:spacing w:val="-3"/>
          <w:sz w:val="21"/>
        </w:rPr>
        <w:t xml:space="preserve"> 号的通知，由采购代理机构对第一中标候选人进行信用查询：</w:t>
      </w:r>
    </w:p>
    <w:p>
      <w:pPr>
        <w:pStyle w:val="13"/>
        <w:spacing w:before="17"/>
        <w:ind w:left="533"/>
      </w:pPr>
      <w:r>
        <w:t>⑴查询渠道：“信用中国”网站(www.creditchina.gov.cn)、中国政府采购网(www.ccgp.gov.cn)等；</w:t>
      </w:r>
    </w:p>
    <w:p>
      <w:pPr>
        <w:pStyle w:val="13"/>
        <w:spacing w:before="65"/>
        <w:ind w:left="533"/>
      </w:pPr>
      <w:r>
        <w:t>⑵查询截止时点：中标通知书发出前；</w:t>
      </w:r>
    </w:p>
    <w:p>
      <w:pPr>
        <w:pStyle w:val="13"/>
        <w:spacing w:before="63" w:line="297" w:lineRule="auto"/>
        <w:ind w:right="193" w:firstLine="420"/>
      </w:pPr>
      <w:r>
        <w:rPr>
          <w:spacing w:val="-5"/>
        </w:rPr>
        <w:t>⑶信用信息查询记录和证据留存方式：在查询网站中直接打印查询记录，打印材料作为采购活动资料保存。</w:t>
      </w:r>
    </w:p>
    <w:p>
      <w:pPr>
        <w:pStyle w:val="13"/>
        <w:spacing w:before="15"/>
        <w:ind w:left="533"/>
      </w:pPr>
      <w:r>
        <w:t>⑷信用信息使用规则：对在“信用中国”网站(www.creditchina.gov.cn)、中国政府采购网(www.ccg</w:t>
      </w:r>
    </w:p>
    <w:p>
      <w:pPr>
        <w:pStyle w:val="13"/>
        <w:spacing w:before="63" w:line="297" w:lineRule="auto"/>
        <w:ind w:right="178"/>
      </w:pPr>
      <w:r>
        <w:t>p.gov.cn)等渠道列入失信被执行人、重大税收违法案件当事人名单、政府采购严重违法失信行为记录名单及其他不符合《中华人民共和国政府采购法》第二十二条规定条件的供应商，取消其中标候选人资格。</w:t>
      </w:r>
    </w:p>
    <w:p>
      <w:pPr>
        <w:spacing w:after="0" w:line="297" w:lineRule="auto"/>
        <w:sectPr>
          <w:pgSz w:w="11910" w:h="16840"/>
          <w:pgMar w:top="1400" w:right="920" w:bottom="1180" w:left="1020" w:header="0" w:footer="920" w:gutter="0"/>
        </w:sectPr>
      </w:pPr>
    </w:p>
    <w:p>
      <w:pPr>
        <w:pStyle w:val="3"/>
        <w:tabs>
          <w:tab w:val="left" w:pos="1286"/>
        </w:tabs>
        <w:spacing w:line="390" w:lineRule="exact"/>
        <w:ind w:right="102"/>
      </w:pPr>
      <w:bookmarkStart w:id="2" w:name="_bookmark2"/>
      <w:bookmarkEnd w:id="2"/>
      <w:r>
        <w:t>第三章</w:t>
      </w:r>
      <w:r>
        <w:tab/>
      </w:r>
      <w:r>
        <w:rPr>
          <w:w w:val="95"/>
        </w:rPr>
        <w:t>评标办法（综合评估法）</w:t>
      </w:r>
    </w:p>
    <w:p>
      <w:pPr>
        <w:pStyle w:val="5"/>
        <w:spacing w:before="222"/>
        <w:ind w:right="96"/>
      </w:pPr>
      <w:r>
        <w:rPr>
          <w:w w:val="95"/>
        </w:rPr>
        <w:t>评标办法前附表</w:t>
      </w:r>
    </w:p>
    <w:p>
      <w:pPr>
        <w:pStyle w:val="13"/>
        <w:spacing w:before="7"/>
        <w:ind w:left="0"/>
        <w:rPr>
          <w:b/>
          <w:sz w:val="12"/>
        </w:rPr>
      </w:pPr>
    </w:p>
    <w:tbl>
      <w:tblPr>
        <w:tblStyle w:val="17"/>
        <w:tblW w:w="95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2"/>
        <w:gridCol w:w="912"/>
        <w:gridCol w:w="2065"/>
        <w:gridCol w:w="5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664" w:type="dxa"/>
            <w:gridSpan w:val="2"/>
            <w:tcBorders>
              <w:bottom w:val="single" w:color="auto" w:sz="4" w:space="0"/>
            </w:tcBorders>
          </w:tcPr>
          <w:p>
            <w:pPr>
              <w:pStyle w:val="33"/>
              <w:spacing w:before="145"/>
              <w:ind w:left="509"/>
              <w:rPr>
                <w:sz w:val="21"/>
              </w:rPr>
            </w:pPr>
            <w:r>
              <w:rPr>
                <w:sz w:val="21"/>
              </w:rPr>
              <w:t>条款号</w:t>
            </w:r>
          </w:p>
        </w:tc>
        <w:tc>
          <w:tcPr>
            <w:tcW w:w="7876" w:type="dxa"/>
            <w:gridSpan w:val="2"/>
          </w:tcPr>
          <w:p>
            <w:pPr>
              <w:pStyle w:val="33"/>
              <w:spacing w:before="145"/>
              <w:ind w:left="3493" w:right="3493"/>
              <w:jc w:val="center"/>
              <w:rPr>
                <w:sz w:val="21"/>
              </w:rPr>
            </w:pPr>
            <w:r>
              <w:rPr>
                <w:sz w:val="21"/>
              </w:rPr>
              <w:t>资格评审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52" w:type="dxa"/>
            <w:vMerge w:val="restart"/>
            <w:tcBorders>
              <w:top w:val="single" w:color="auto" w:sz="4" w:space="0"/>
              <w:left w:val="single" w:color="auto" w:sz="4" w:space="0"/>
              <w:bottom w:val="nil"/>
            </w:tcBorders>
          </w:tcPr>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spacing w:before="2"/>
              <w:rPr>
                <w:b/>
                <w:sz w:val="22"/>
              </w:rPr>
            </w:pPr>
          </w:p>
          <w:p>
            <w:pPr>
              <w:pStyle w:val="33"/>
              <w:ind w:left="108"/>
              <w:rPr>
                <w:sz w:val="21"/>
              </w:rPr>
            </w:pPr>
            <w:r>
              <w:rPr>
                <w:sz w:val="21"/>
              </w:rPr>
              <w:t>2.1.1</w:t>
            </w:r>
          </w:p>
        </w:tc>
        <w:tc>
          <w:tcPr>
            <w:tcW w:w="912" w:type="dxa"/>
            <w:tcBorders>
              <w:top w:val="single" w:color="auto" w:sz="4" w:space="0"/>
              <w:right w:val="single" w:color="auto" w:sz="4" w:space="0"/>
            </w:tcBorders>
          </w:tcPr>
          <w:p>
            <w:pPr>
              <w:pStyle w:val="33"/>
              <w:spacing w:before="12"/>
              <w:rPr>
                <w:b/>
                <w:sz w:val="14"/>
              </w:rPr>
            </w:pPr>
          </w:p>
          <w:p>
            <w:pPr>
              <w:pStyle w:val="33"/>
              <w:spacing w:before="1"/>
              <w:ind w:left="134"/>
              <w:rPr>
                <w:sz w:val="21"/>
              </w:rPr>
            </w:pPr>
            <w:r>
              <w:rPr>
                <w:sz w:val="21"/>
              </w:rPr>
              <w:t>合格制</w:t>
            </w:r>
          </w:p>
        </w:tc>
        <w:tc>
          <w:tcPr>
            <w:tcW w:w="2065" w:type="dxa"/>
            <w:tcBorders>
              <w:left w:val="single" w:color="auto" w:sz="4" w:space="0"/>
            </w:tcBorders>
          </w:tcPr>
          <w:p>
            <w:pPr>
              <w:pStyle w:val="33"/>
              <w:spacing w:before="12"/>
              <w:rPr>
                <w:b/>
                <w:sz w:val="14"/>
              </w:rPr>
            </w:pPr>
          </w:p>
          <w:p>
            <w:pPr>
              <w:pStyle w:val="33"/>
              <w:spacing w:before="1"/>
              <w:ind w:left="602"/>
              <w:rPr>
                <w:sz w:val="21"/>
              </w:rPr>
            </w:pPr>
            <w:r>
              <w:rPr>
                <w:sz w:val="21"/>
              </w:rPr>
              <w:t>评审因素</w:t>
            </w:r>
          </w:p>
        </w:tc>
        <w:tc>
          <w:tcPr>
            <w:tcW w:w="5811" w:type="dxa"/>
          </w:tcPr>
          <w:p>
            <w:pPr>
              <w:pStyle w:val="33"/>
              <w:spacing w:before="12"/>
              <w:rPr>
                <w:b/>
                <w:sz w:val="14"/>
              </w:rPr>
            </w:pPr>
          </w:p>
          <w:p>
            <w:pPr>
              <w:pStyle w:val="33"/>
              <w:spacing w:before="1"/>
              <w:ind w:left="2459" w:right="2459"/>
              <w:jc w:val="center"/>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52" w:type="dxa"/>
            <w:vMerge w:val="continue"/>
            <w:tcBorders>
              <w:top w:val="nil"/>
              <w:left w:val="single" w:color="auto" w:sz="4" w:space="0"/>
              <w:bottom w:val="single" w:color="auto" w:sz="4" w:space="0"/>
            </w:tcBorders>
          </w:tcPr>
          <w:p>
            <w:pPr>
              <w:rPr>
                <w:sz w:val="2"/>
                <w:szCs w:val="2"/>
              </w:rPr>
            </w:pPr>
          </w:p>
        </w:tc>
        <w:tc>
          <w:tcPr>
            <w:tcW w:w="912" w:type="dxa"/>
            <w:vMerge w:val="restart"/>
            <w:tcBorders>
              <w:bottom w:val="single" w:color="auto" w:sz="4" w:space="0"/>
              <w:right w:val="single" w:color="auto" w:sz="4" w:space="0"/>
            </w:tcBorders>
          </w:tcPr>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spacing w:before="9"/>
              <w:rPr>
                <w:b/>
                <w:sz w:val="22"/>
              </w:rPr>
            </w:pPr>
          </w:p>
          <w:p>
            <w:pPr>
              <w:pStyle w:val="33"/>
              <w:spacing w:before="1" w:line="297" w:lineRule="auto"/>
              <w:ind w:left="134" w:right="117"/>
              <w:rPr>
                <w:sz w:val="21"/>
              </w:rPr>
            </w:pPr>
            <w:r>
              <w:rPr>
                <w:sz w:val="21"/>
              </w:rPr>
              <w:t>资格评审标准</w:t>
            </w:r>
          </w:p>
        </w:tc>
        <w:tc>
          <w:tcPr>
            <w:tcW w:w="2065" w:type="dxa"/>
            <w:tcBorders>
              <w:left w:val="single" w:color="auto" w:sz="4" w:space="0"/>
            </w:tcBorders>
          </w:tcPr>
          <w:p>
            <w:pPr>
              <w:pStyle w:val="33"/>
              <w:rPr>
                <w:b/>
                <w:sz w:val="14"/>
              </w:rPr>
            </w:pPr>
          </w:p>
          <w:p>
            <w:pPr>
              <w:pStyle w:val="33"/>
              <w:spacing w:before="1"/>
              <w:ind w:left="102"/>
              <w:rPr>
                <w:sz w:val="21"/>
              </w:rPr>
            </w:pPr>
            <w:r>
              <w:rPr>
                <w:sz w:val="21"/>
              </w:rPr>
              <w:t>身份证明</w:t>
            </w:r>
          </w:p>
        </w:tc>
        <w:tc>
          <w:tcPr>
            <w:tcW w:w="5811" w:type="dxa"/>
          </w:tcPr>
          <w:p>
            <w:pPr>
              <w:pStyle w:val="33"/>
              <w:rPr>
                <w:b/>
                <w:sz w:val="14"/>
              </w:rPr>
            </w:pPr>
          </w:p>
          <w:p>
            <w:pPr>
              <w:pStyle w:val="33"/>
              <w:spacing w:before="1"/>
              <w:ind w:left="103"/>
              <w:rPr>
                <w:sz w:val="21"/>
              </w:rPr>
            </w:pPr>
            <w:r>
              <w:rPr>
                <w:sz w:val="21"/>
              </w:rPr>
              <w:t>具备有效的法定代表人身份证明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52" w:type="dxa"/>
            <w:vMerge w:val="continue"/>
            <w:tcBorders>
              <w:top w:val="single" w:color="auto" w:sz="4" w:space="0"/>
              <w:left w:val="single" w:color="auto" w:sz="4" w:space="0"/>
              <w:bottom w:val="single" w:color="auto" w:sz="4" w:space="0"/>
            </w:tcBorders>
          </w:tcPr>
          <w:p>
            <w:pPr>
              <w:rPr>
                <w:sz w:val="2"/>
                <w:szCs w:val="2"/>
              </w:rPr>
            </w:pPr>
          </w:p>
        </w:tc>
        <w:tc>
          <w:tcPr>
            <w:tcW w:w="912" w:type="dxa"/>
            <w:vMerge w:val="continue"/>
            <w:tcBorders>
              <w:top w:val="single" w:color="auto" w:sz="4" w:space="0"/>
              <w:bottom w:val="single" w:color="auto" w:sz="4" w:space="0"/>
              <w:right w:val="single" w:color="auto" w:sz="4" w:space="0"/>
            </w:tcBorders>
          </w:tcPr>
          <w:p>
            <w:pPr>
              <w:rPr>
                <w:sz w:val="2"/>
                <w:szCs w:val="2"/>
              </w:rPr>
            </w:pPr>
          </w:p>
        </w:tc>
        <w:tc>
          <w:tcPr>
            <w:tcW w:w="2065" w:type="dxa"/>
            <w:tcBorders>
              <w:left w:val="single" w:color="auto" w:sz="4" w:space="0"/>
            </w:tcBorders>
          </w:tcPr>
          <w:p>
            <w:pPr>
              <w:pStyle w:val="33"/>
              <w:spacing w:before="177"/>
              <w:ind w:left="102"/>
              <w:rPr>
                <w:sz w:val="21"/>
              </w:rPr>
            </w:pPr>
            <w:r>
              <w:rPr>
                <w:sz w:val="21"/>
              </w:rPr>
              <w:t>授权委托书</w:t>
            </w:r>
          </w:p>
        </w:tc>
        <w:tc>
          <w:tcPr>
            <w:tcW w:w="5811" w:type="dxa"/>
          </w:tcPr>
          <w:p>
            <w:pPr>
              <w:pStyle w:val="33"/>
              <w:spacing w:before="177"/>
              <w:ind w:left="103"/>
              <w:rPr>
                <w:sz w:val="21"/>
              </w:rPr>
            </w:pPr>
            <w:r>
              <w:rPr>
                <w:sz w:val="21"/>
              </w:rPr>
              <w:t>具备有效的法定代表人授权委托书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2" w:type="dxa"/>
            <w:vMerge w:val="continue"/>
            <w:tcBorders>
              <w:top w:val="single" w:color="auto" w:sz="4" w:space="0"/>
              <w:left w:val="single" w:color="auto" w:sz="4" w:space="0"/>
              <w:bottom w:val="single" w:color="auto" w:sz="4" w:space="0"/>
            </w:tcBorders>
          </w:tcPr>
          <w:p>
            <w:pPr>
              <w:rPr>
                <w:sz w:val="2"/>
                <w:szCs w:val="2"/>
              </w:rPr>
            </w:pPr>
          </w:p>
        </w:tc>
        <w:tc>
          <w:tcPr>
            <w:tcW w:w="912" w:type="dxa"/>
            <w:vMerge w:val="continue"/>
            <w:tcBorders>
              <w:top w:val="single" w:color="auto" w:sz="4" w:space="0"/>
              <w:bottom w:val="single" w:color="auto" w:sz="4" w:space="0"/>
              <w:right w:val="single" w:color="auto" w:sz="4" w:space="0"/>
            </w:tcBorders>
          </w:tcPr>
          <w:p>
            <w:pPr>
              <w:rPr>
                <w:sz w:val="2"/>
                <w:szCs w:val="2"/>
              </w:rPr>
            </w:pPr>
          </w:p>
        </w:tc>
        <w:tc>
          <w:tcPr>
            <w:tcW w:w="2065" w:type="dxa"/>
            <w:tcBorders>
              <w:left w:val="single" w:color="auto" w:sz="4" w:space="0"/>
            </w:tcBorders>
          </w:tcPr>
          <w:p>
            <w:pPr>
              <w:pStyle w:val="33"/>
              <w:spacing w:before="146"/>
              <w:ind w:left="102"/>
              <w:rPr>
                <w:sz w:val="21"/>
              </w:rPr>
            </w:pPr>
            <w:r>
              <w:rPr>
                <w:sz w:val="21"/>
              </w:rPr>
              <w:t>营业执照</w:t>
            </w:r>
          </w:p>
        </w:tc>
        <w:tc>
          <w:tcPr>
            <w:tcW w:w="5811" w:type="dxa"/>
          </w:tcPr>
          <w:p>
            <w:pPr>
              <w:pStyle w:val="33"/>
              <w:spacing w:before="146"/>
              <w:ind w:left="103"/>
              <w:rPr>
                <w:sz w:val="21"/>
              </w:rPr>
            </w:pPr>
            <w:r>
              <w:rPr>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52" w:type="dxa"/>
            <w:vMerge w:val="continue"/>
            <w:tcBorders>
              <w:top w:val="single" w:color="auto" w:sz="4" w:space="0"/>
              <w:left w:val="single" w:color="auto" w:sz="4" w:space="0"/>
              <w:bottom w:val="single" w:color="auto" w:sz="4" w:space="0"/>
            </w:tcBorders>
          </w:tcPr>
          <w:p>
            <w:pPr>
              <w:rPr>
                <w:sz w:val="2"/>
                <w:szCs w:val="2"/>
              </w:rPr>
            </w:pPr>
          </w:p>
        </w:tc>
        <w:tc>
          <w:tcPr>
            <w:tcW w:w="912" w:type="dxa"/>
            <w:vMerge w:val="continue"/>
            <w:tcBorders>
              <w:top w:val="single" w:color="auto" w:sz="4" w:space="0"/>
              <w:bottom w:val="single" w:color="auto" w:sz="4" w:space="0"/>
              <w:right w:val="single" w:color="auto" w:sz="4" w:space="0"/>
            </w:tcBorders>
          </w:tcPr>
          <w:p>
            <w:pPr>
              <w:rPr>
                <w:sz w:val="2"/>
                <w:szCs w:val="2"/>
              </w:rPr>
            </w:pPr>
          </w:p>
        </w:tc>
        <w:tc>
          <w:tcPr>
            <w:tcW w:w="2065" w:type="dxa"/>
            <w:tcBorders>
              <w:left w:val="single" w:color="auto" w:sz="4" w:space="0"/>
            </w:tcBorders>
          </w:tcPr>
          <w:p>
            <w:pPr>
              <w:pStyle w:val="33"/>
              <w:spacing w:before="12"/>
              <w:rPr>
                <w:b/>
                <w:sz w:val="14"/>
              </w:rPr>
            </w:pPr>
          </w:p>
          <w:p>
            <w:pPr>
              <w:pStyle w:val="33"/>
              <w:spacing w:before="1"/>
              <w:ind w:left="102"/>
              <w:rPr>
                <w:sz w:val="21"/>
              </w:rPr>
            </w:pPr>
            <w:r>
              <w:rPr>
                <w:sz w:val="21"/>
              </w:rPr>
              <w:t>安全生产许可证</w:t>
            </w:r>
          </w:p>
        </w:tc>
        <w:tc>
          <w:tcPr>
            <w:tcW w:w="5811" w:type="dxa"/>
          </w:tcPr>
          <w:p>
            <w:pPr>
              <w:pStyle w:val="33"/>
              <w:spacing w:before="12"/>
              <w:rPr>
                <w:b/>
                <w:sz w:val="14"/>
              </w:rPr>
            </w:pPr>
          </w:p>
          <w:p>
            <w:pPr>
              <w:pStyle w:val="33"/>
              <w:spacing w:before="1"/>
              <w:ind w:left="103"/>
              <w:rPr>
                <w:sz w:val="21"/>
              </w:rPr>
            </w:pPr>
            <w:r>
              <w:rPr>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52" w:type="dxa"/>
            <w:vMerge w:val="continue"/>
            <w:tcBorders>
              <w:top w:val="single" w:color="auto" w:sz="4" w:space="0"/>
              <w:left w:val="single" w:color="auto" w:sz="4" w:space="0"/>
              <w:bottom w:val="single" w:color="auto" w:sz="4" w:space="0"/>
            </w:tcBorders>
          </w:tcPr>
          <w:p>
            <w:pPr>
              <w:rPr>
                <w:sz w:val="2"/>
                <w:szCs w:val="2"/>
              </w:rPr>
            </w:pPr>
          </w:p>
        </w:tc>
        <w:tc>
          <w:tcPr>
            <w:tcW w:w="912" w:type="dxa"/>
            <w:vMerge w:val="continue"/>
            <w:tcBorders>
              <w:top w:val="single" w:color="auto" w:sz="4" w:space="0"/>
              <w:bottom w:val="single" w:color="auto" w:sz="4" w:space="0"/>
              <w:right w:val="single" w:color="auto" w:sz="4" w:space="0"/>
            </w:tcBorders>
          </w:tcPr>
          <w:p>
            <w:pPr>
              <w:rPr>
                <w:sz w:val="2"/>
                <w:szCs w:val="2"/>
              </w:rPr>
            </w:pPr>
          </w:p>
        </w:tc>
        <w:tc>
          <w:tcPr>
            <w:tcW w:w="2065" w:type="dxa"/>
            <w:tcBorders>
              <w:left w:val="single" w:color="auto" w:sz="4" w:space="0"/>
            </w:tcBorders>
          </w:tcPr>
          <w:p>
            <w:pPr>
              <w:pStyle w:val="33"/>
              <w:spacing w:before="167"/>
              <w:ind w:left="102"/>
              <w:rPr>
                <w:sz w:val="21"/>
              </w:rPr>
            </w:pPr>
            <w:r>
              <w:rPr>
                <w:sz w:val="21"/>
              </w:rPr>
              <w:t>资质等级</w:t>
            </w:r>
          </w:p>
        </w:tc>
        <w:tc>
          <w:tcPr>
            <w:tcW w:w="5811" w:type="dxa"/>
            <w:vAlign w:val="center"/>
          </w:tcPr>
          <w:p>
            <w:pPr>
              <w:pStyle w:val="33"/>
              <w:spacing w:before="167"/>
              <w:ind w:left="103"/>
              <w:jc w:val="both"/>
              <w:rPr>
                <w:sz w:val="21"/>
              </w:rPr>
            </w:pPr>
            <w:r>
              <w:rPr>
                <w:sz w:val="21"/>
              </w:rPr>
              <w:t>具备水利水电工程施工总承包三级（含以上级）和公路工程施工总承包三级（含以上级）资质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752" w:type="dxa"/>
            <w:vMerge w:val="continue"/>
            <w:tcBorders>
              <w:top w:val="single" w:color="auto" w:sz="4" w:space="0"/>
              <w:left w:val="single" w:color="auto" w:sz="4" w:space="0"/>
              <w:bottom w:val="single" w:color="auto" w:sz="4" w:space="0"/>
            </w:tcBorders>
          </w:tcPr>
          <w:p>
            <w:pPr>
              <w:rPr>
                <w:sz w:val="2"/>
                <w:szCs w:val="2"/>
              </w:rPr>
            </w:pPr>
          </w:p>
        </w:tc>
        <w:tc>
          <w:tcPr>
            <w:tcW w:w="912" w:type="dxa"/>
            <w:vMerge w:val="continue"/>
            <w:tcBorders>
              <w:top w:val="single" w:color="auto" w:sz="4" w:space="0"/>
              <w:bottom w:val="single" w:color="auto" w:sz="4" w:space="0"/>
              <w:right w:val="single" w:color="auto" w:sz="4" w:space="0"/>
            </w:tcBorders>
          </w:tcPr>
          <w:p>
            <w:pPr>
              <w:rPr>
                <w:sz w:val="2"/>
                <w:szCs w:val="2"/>
              </w:rPr>
            </w:pPr>
          </w:p>
        </w:tc>
        <w:tc>
          <w:tcPr>
            <w:tcW w:w="2065" w:type="dxa"/>
            <w:tcBorders>
              <w:left w:val="single" w:color="auto" w:sz="4" w:space="0"/>
            </w:tcBorders>
          </w:tcPr>
          <w:p>
            <w:pPr>
              <w:pStyle w:val="33"/>
              <w:rPr>
                <w:b/>
                <w:sz w:val="20"/>
              </w:rPr>
            </w:pPr>
          </w:p>
          <w:p>
            <w:pPr>
              <w:pStyle w:val="33"/>
              <w:rPr>
                <w:b/>
                <w:sz w:val="20"/>
              </w:rPr>
            </w:pPr>
          </w:p>
          <w:p>
            <w:pPr>
              <w:pStyle w:val="33"/>
              <w:spacing w:before="9"/>
              <w:rPr>
                <w:b/>
                <w:sz w:val="15"/>
              </w:rPr>
            </w:pPr>
          </w:p>
          <w:p>
            <w:pPr>
              <w:pStyle w:val="33"/>
              <w:ind w:left="102"/>
              <w:rPr>
                <w:sz w:val="21"/>
              </w:rPr>
            </w:pPr>
            <w:r>
              <w:rPr>
                <w:sz w:val="21"/>
              </w:rPr>
              <w:t>信用书面证明</w:t>
            </w:r>
          </w:p>
        </w:tc>
        <w:tc>
          <w:tcPr>
            <w:tcW w:w="5811" w:type="dxa"/>
          </w:tcPr>
          <w:p>
            <w:pPr>
              <w:pStyle w:val="33"/>
              <w:spacing w:before="145" w:line="297" w:lineRule="auto"/>
              <w:ind w:left="103"/>
              <w:rPr>
                <w:sz w:val="21"/>
              </w:rPr>
            </w:pPr>
            <w:r>
              <w:rPr>
                <w:sz w:val="21"/>
              </w:rPr>
              <w:t>不得被《信用中国》（</w:t>
            </w:r>
            <w:r>
              <w:fldChar w:fldCharType="begin"/>
            </w:r>
            <w:r>
              <w:instrText xml:space="preserve"> HYPERLINK "http://www.creditchina.gov.cn/" \h </w:instrText>
            </w:r>
            <w:r>
              <w:fldChar w:fldCharType="separate"/>
            </w:r>
            <w:r>
              <w:rPr>
                <w:sz w:val="21"/>
              </w:rPr>
              <w:t>http://www.creditchina.gov.cn</w:t>
            </w:r>
            <w:r>
              <w:rPr>
                <w:sz w:val="21"/>
              </w:rPr>
              <w:fldChar w:fldCharType="end"/>
            </w:r>
            <w:r>
              <w:rPr>
                <w:sz w:val="21"/>
              </w:rPr>
              <w:t>）中国政府采购网(www.ccgp.gov.cn)列为受惩黑名单，包括失信</w:t>
            </w:r>
            <w:r>
              <w:rPr>
                <w:spacing w:val="-9"/>
                <w:sz w:val="21"/>
              </w:rPr>
              <w:t>被执行人、企业经营异常、重大税收违法案件当事人、政府采</w:t>
            </w:r>
            <w:r>
              <w:rPr>
                <w:spacing w:val="-16"/>
                <w:sz w:val="21"/>
              </w:rPr>
              <w:t xml:space="preserve">购严重违法失信。须附《信用中国》网站中查询结果记录截图， </w:t>
            </w:r>
            <w:r>
              <w:rPr>
                <w:spacing w:val="-3"/>
                <w:sz w:val="21"/>
              </w:rPr>
              <w:t>并加盖投标人单位公章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6" w:hRule="atLeast"/>
        </w:trPr>
        <w:tc>
          <w:tcPr>
            <w:tcW w:w="752" w:type="dxa"/>
            <w:vMerge w:val="continue"/>
            <w:tcBorders>
              <w:top w:val="single" w:color="auto" w:sz="4" w:space="0"/>
              <w:left w:val="single" w:color="auto" w:sz="4" w:space="0"/>
              <w:bottom w:val="single" w:color="auto" w:sz="4" w:space="0"/>
            </w:tcBorders>
          </w:tcPr>
          <w:p>
            <w:pPr>
              <w:rPr>
                <w:sz w:val="2"/>
                <w:szCs w:val="2"/>
              </w:rPr>
            </w:pPr>
          </w:p>
        </w:tc>
        <w:tc>
          <w:tcPr>
            <w:tcW w:w="912" w:type="dxa"/>
            <w:vMerge w:val="continue"/>
            <w:tcBorders>
              <w:top w:val="single" w:color="auto" w:sz="4" w:space="0"/>
              <w:bottom w:val="single" w:color="auto" w:sz="4" w:space="0"/>
              <w:right w:val="single" w:color="auto" w:sz="4" w:space="0"/>
            </w:tcBorders>
          </w:tcPr>
          <w:p>
            <w:pPr>
              <w:rPr>
                <w:sz w:val="2"/>
                <w:szCs w:val="2"/>
              </w:rPr>
            </w:pPr>
          </w:p>
        </w:tc>
        <w:tc>
          <w:tcPr>
            <w:tcW w:w="2065" w:type="dxa"/>
            <w:tcBorders>
              <w:left w:val="single" w:color="auto" w:sz="4" w:space="0"/>
            </w:tcBorders>
          </w:tcPr>
          <w:p>
            <w:pPr>
              <w:pStyle w:val="33"/>
              <w:rPr>
                <w:b/>
                <w:sz w:val="20"/>
              </w:rPr>
            </w:pPr>
          </w:p>
          <w:p>
            <w:pPr>
              <w:pStyle w:val="33"/>
              <w:rPr>
                <w:b/>
                <w:sz w:val="20"/>
              </w:rPr>
            </w:pPr>
          </w:p>
          <w:p>
            <w:pPr>
              <w:pStyle w:val="33"/>
              <w:rPr>
                <w:b/>
                <w:sz w:val="20"/>
              </w:rPr>
            </w:pPr>
          </w:p>
          <w:p>
            <w:pPr>
              <w:pStyle w:val="33"/>
              <w:spacing w:before="8"/>
              <w:rPr>
                <w:b/>
                <w:sz w:val="14"/>
              </w:rPr>
            </w:pPr>
          </w:p>
          <w:p>
            <w:pPr>
              <w:pStyle w:val="33"/>
              <w:ind w:left="102"/>
              <w:rPr>
                <w:sz w:val="21"/>
              </w:rPr>
            </w:pPr>
            <w:r>
              <w:rPr>
                <w:sz w:val="21"/>
              </w:rPr>
              <w:t>项目经理</w:t>
            </w:r>
          </w:p>
        </w:tc>
        <w:tc>
          <w:tcPr>
            <w:tcW w:w="5811" w:type="dxa"/>
          </w:tcPr>
          <w:p>
            <w:pPr>
              <w:pStyle w:val="33"/>
              <w:spacing w:before="163" w:line="314" w:lineRule="auto"/>
              <w:ind w:left="103" w:right="61"/>
              <w:rPr>
                <w:sz w:val="21"/>
              </w:rPr>
            </w:pPr>
            <w:r>
              <w:rPr>
                <w:sz w:val="21"/>
              </w:rPr>
              <w:t>具备水利水电工程专业二级（含以上级）或公路工程专业二级（含以上级）注册建造师执业资格，具备有效的安全生产</w:t>
            </w:r>
            <w:r>
              <w:rPr>
                <w:spacing w:val="-4"/>
                <w:sz w:val="21"/>
              </w:rPr>
              <w:t>考核合格证书</w:t>
            </w:r>
            <w:r>
              <w:rPr>
                <w:sz w:val="21"/>
              </w:rPr>
              <w:t>（B</w:t>
            </w:r>
            <w:r>
              <w:rPr>
                <w:spacing w:val="-7"/>
                <w:sz w:val="21"/>
              </w:rPr>
              <w:t xml:space="preserve"> 类</w:t>
            </w:r>
            <w:r>
              <w:rPr>
                <w:spacing w:val="-17"/>
                <w:sz w:val="21"/>
              </w:rPr>
              <w:t>）</w:t>
            </w:r>
            <w:r>
              <w:rPr>
                <w:spacing w:val="-6"/>
                <w:sz w:val="21"/>
              </w:rPr>
              <w:t>。本项目不接受有其他在建、已中标未开工或已列为其他项目中标候选人第一名的建造师作为项目经理（符合桂建管【2013】17</w:t>
            </w:r>
            <w:r>
              <w:rPr>
                <w:spacing w:val="-5"/>
                <w:sz w:val="21"/>
              </w:rPr>
              <w:t xml:space="preserve"> 号文除外</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52" w:type="dxa"/>
            <w:vMerge w:val="continue"/>
            <w:tcBorders>
              <w:top w:val="single" w:color="auto" w:sz="4" w:space="0"/>
              <w:left w:val="single" w:color="auto" w:sz="4" w:space="0"/>
              <w:bottom w:val="single" w:color="auto" w:sz="4" w:space="0"/>
            </w:tcBorders>
          </w:tcPr>
          <w:p>
            <w:pPr>
              <w:rPr>
                <w:sz w:val="2"/>
                <w:szCs w:val="2"/>
              </w:rPr>
            </w:pPr>
          </w:p>
        </w:tc>
        <w:tc>
          <w:tcPr>
            <w:tcW w:w="912" w:type="dxa"/>
            <w:vMerge w:val="continue"/>
            <w:tcBorders>
              <w:top w:val="single" w:color="auto" w:sz="4" w:space="0"/>
              <w:bottom w:val="single" w:color="auto" w:sz="4" w:space="0"/>
              <w:right w:val="single" w:color="auto" w:sz="4" w:space="0"/>
            </w:tcBorders>
          </w:tcPr>
          <w:p>
            <w:pPr>
              <w:rPr>
                <w:sz w:val="2"/>
                <w:szCs w:val="2"/>
              </w:rPr>
            </w:pPr>
          </w:p>
        </w:tc>
        <w:tc>
          <w:tcPr>
            <w:tcW w:w="2065" w:type="dxa"/>
            <w:tcBorders>
              <w:left w:val="single" w:color="auto" w:sz="4" w:space="0"/>
            </w:tcBorders>
          </w:tcPr>
          <w:p>
            <w:pPr>
              <w:pStyle w:val="33"/>
              <w:spacing w:before="145" w:line="297" w:lineRule="auto"/>
              <w:ind w:left="102" w:right="82"/>
              <w:rPr>
                <w:sz w:val="21"/>
              </w:rPr>
            </w:pPr>
            <w:r>
              <w:rPr>
                <w:sz w:val="21"/>
              </w:rPr>
              <w:t>建设工程项目管理承诺书</w:t>
            </w:r>
          </w:p>
        </w:tc>
        <w:tc>
          <w:tcPr>
            <w:tcW w:w="5811" w:type="dxa"/>
          </w:tcPr>
          <w:p>
            <w:pPr>
              <w:pStyle w:val="33"/>
              <w:spacing w:before="2"/>
              <w:rPr>
                <w:b/>
                <w:sz w:val="24"/>
              </w:rPr>
            </w:pPr>
          </w:p>
          <w:p>
            <w:pPr>
              <w:pStyle w:val="33"/>
              <w:ind w:left="103"/>
              <w:rPr>
                <w:sz w:val="21"/>
              </w:rPr>
            </w:pPr>
            <w:r>
              <w:rPr>
                <w:sz w:val="21"/>
              </w:rPr>
              <w:t>建设工程项目管理承诺书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52" w:type="dxa"/>
            <w:vMerge w:val="continue"/>
            <w:tcBorders>
              <w:top w:val="single" w:color="auto" w:sz="4" w:space="0"/>
              <w:left w:val="single" w:color="auto" w:sz="4" w:space="0"/>
              <w:bottom w:val="single" w:color="auto" w:sz="4" w:space="0"/>
            </w:tcBorders>
          </w:tcPr>
          <w:p>
            <w:pPr>
              <w:rPr>
                <w:sz w:val="2"/>
                <w:szCs w:val="2"/>
              </w:rPr>
            </w:pPr>
          </w:p>
        </w:tc>
        <w:tc>
          <w:tcPr>
            <w:tcW w:w="912" w:type="dxa"/>
            <w:vMerge w:val="continue"/>
            <w:tcBorders>
              <w:top w:val="single" w:color="auto" w:sz="4" w:space="0"/>
              <w:bottom w:val="single" w:color="auto" w:sz="4" w:space="0"/>
              <w:right w:val="single" w:color="auto" w:sz="4" w:space="0"/>
            </w:tcBorders>
          </w:tcPr>
          <w:p>
            <w:pPr>
              <w:rPr>
                <w:sz w:val="2"/>
                <w:szCs w:val="2"/>
              </w:rPr>
            </w:pPr>
          </w:p>
        </w:tc>
        <w:tc>
          <w:tcPr>
            <w:tcW w:w="2065" w:type="dxa"/>
            <w:tcBorders>
              <w:left w:val="single" w:color="auto" w:sz="4" w:space="0"/>
            </w:tcBorders>
          </w:tcPr>
          <w:p>
            <w:pPr>
              <w:pStyle w:val="33"/>
              <w:rPr>
                <w:b/>
                <w:sz w:val="20"/>
              </w:rPr>
            </w:pPr>
          </w:p>
          <w:p>
            <w:pPr>
              <w:pStyle w:val="33"/>
              <w:spacing w:before="2"/>
              <w:rPr>
                <w:b/>
                <w:sz w:val="17"/>
              </w:rPr>
            </w:pPr>
          </w:p>
          <w:p>
            <w:pPr>
              <w:pStyle w:val="33"/>
              <w:ind w:left="102"/>
              <w:rPr>
                <w:sz w:val="21"/>
              </w:rPr>
            </w:pPr>
            <w:r>
              <w:rPr>
                <w:sz w:val="21"/>
              </w:rPr>
              <w:t>项目管理机构组成</w:t>
            </w:r>
          </w:p>
        </w:tc>
        <w:tc>
          <w:tcPr>
            <w:tcW w:w="5811" w:type="dxa"/>
          </w:tcPr>
          <w:p>
            <w:pPr>
              <w:pStyle w:val="33"/>
              <w:spacing w:before="145" w:line="297" w:lineRule="auto"/>
              <w:ind w:left="103" w:right="96"/>
              <w:jc w:val="both"/>
              <w:rPr>
                <w:sz w:val="21"/>
              </w:rPr>
            </w:pPr>
            <w:r>
              <w:rPr>
                <w:spacing w:val="-4"/>
                <w:sz w:val="21"/>
              </w:rPr>
              <w:t>符合桂林市建设与规划委员会市建规【</w:t>
            </w:r>
            <w:r>
              <w:rPr>
                <w:sz w:val="21"/>
              </w:rPr>
              <w:t>2006</w:t>
            </w:r>
            <w:r>
              <w:rPr>
                <w:spacing w:val="-8"/>
                <w:sz w:val="21"/>
              </w:rPr>
              <w:t>】</w:t>
            </w:r>
            <w:r>
              <w:rPr>
                <w:sz w:val="21"/>
              </w:rPr>
              <w:t>270</w:t>
            </w:r>
            <w:r>
              <w:rPr>
                <w:spacing w:val="-10"/>
                <w:sz w:val="21"/>
              </w:rPr>
              <w:t xml:space="preserve"> 号《关于调整建筑施工现场项目部管理的通知》的规定项规定并按要求提</w:t>
            </w:r>
            <w:r>
              <w:rPr>
                <w:spacing w:val="-5"/>
                <w:sz w:val="21"/>
              </w:rPr>
              <w:t>供证明文件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752" w:type="dxa"/>
            <w:vMerge w:val="continue"/>
            <w:tcBorders>
              <w:top w:val="single" w:color="auto" w:sz="4" w:space="0"/>
              <w:left w:val="single" w:color="auto" w:sz="4" w:space="0"/>
              <w:bottom w:val="single" w:color="auto" w:sz="4" w:space="0"/>
            </w:tcBorders>
          </w:tcPr>
          <w:p>
            <w:pPr>
              <w:rPr>
                <w:sz w:val="2"/>
                <w:szCs w:val="2"/>
              </w:rPr>
            </w:pPr>
          </w:p>
        </w:tc>
        <w:tc>
          <w:tcPr>
            <w:tcW w:w="912" w:type="dxa"/>
            <w:vMerge w:val="continue"/>
            <w:tcBorders>
              <w:top w:val="single" w:color="auto" w:sz="4" w:space="0"/>
              <w:bottom w:val="single" w:color="auto" w:sz="4" w:space="0"/>
              <w:right w:val="single" w:color="auto" w:sz="4" w:space="0"/>
            </w:tcBorders>
          </w:tcPr>
          <w:p>
            <w:pPr>
              <w:rPr>
                <w:sz w:val="2"/>
                <w:szCs w:val="2"/>
              </w:rPr>
            </w:pPr>
          </w:p>
        </w:tc>
        <w:tc>
          <w:tcPr>
            <w:tcW w:w="2065" w:type="dxa"/>
            <w:tcBorders>
              <w:left w:val="single" w:color="auto" w:sz="4" w:space="0"/>
            </w:tcBorders>
          </w:tcPr>
          <w:p>
            <w:pPr>
              <w:pStyle w:val="33"/>
              <w:spacing w:before="148" w:line="295" w:lineRule="auto"/>
              <w:ind w:left="102" w:right="82"/>
              <w:rPr>
                <w:sz w:val="21"/>
              </w:rPr>
            </w:pPr>
            <w:r>
              <w:rPr>
                <w:sz w:val="21"/>
              </w:rPr>
              <w:t>农民工工资保障金承诺书</w:t>
            </w:r>
          </w:p>
        </w:tc>
        <w:tc>
          <w:tcPr>
            <w:tcW w:w="5811" w:type="dxa"/>
          </w:tcPr>
          <w:p>
            <w:pPr>
              <w:pStyle w:val="33"/>
              <w:spacing w:before="2"/>
              <w:rPr>
                <w:b/>
                <w:sz w:val="24"/>
              </w:rPr>
            </w:pPr>
          </w:p>
          <w:p>
            <w:pPr>
              <w:pStyle w:val="33"/>
              <w:ind w:left="103"/>
              <w:rPr>
                <w:sz w:val="21"/>
              </w:rPr>
            </w:pPr>
            <w:r>
              <w:rPr>
                <w:sz w:val="21"/>
              </w:rPr>
              <w:t>符合桂劳社发[2009]50 号文规定并作出承诺</w:t>
            </w:r>
          </w:p>
        </w:tc>
      </w:tr>
    </w:tbl>
    <w:p>
      <w:pPr>
        <w:spacing w:after="0"/>
        <w:rPr>
          <w:sz w:val="21"/>
        </w:rPr>
        <w:sectPr>
          <w:pgSz w:w="11910" w:h="16840"/>
          <w:pgMar w:top="1480" w:right="1020" w:bottom="1180" w:left="1120" w:header="0" w:footer="920" w:gutter="0"/>
        </w:sectPr>
      </w:pPr>
    </w:p>
    <w:tbl>
      <w:tblPr>
        <w:tblStyle w:val="17"/>
        <w:tblW w:w="9556"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158"/>
        <w:gridCol w:w="742"/>
        <w:gridCol w:w="2077"/>
        <w:gridCol w:w="5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768" w:type="dxa"/>
            <w:tcBorders>
              <w:top w:val="single" w:color="auto" w:sz="4" w:space="0"/>
              <w:left w:val="single" w:color="auto" w:sz="4" w:space="0"/>
              <w:bottom w:val="single" w:color="auto" w:sz="4" w:space="0"/>
            </w:tcBorders>
          </w:tcPr>
          <w:p>
            <w:pPr>
              <w:pStyle w:val="33"/>
              <w:rPr>
                <w:rFonts w:ascii="Times New Roman"/>
                <w:sz w:val="20"/>
              </w:rPr>
            </w:pPr>
          </w:p>
        </w:tc>
        <w:tc>
          <w:tcPr>
            <w:tcW w:w="900" w:type="dxa"/>
            <w:gridSpan w:val="2"/>
            <w:tcBorders>
              <w:top w:val="single" w:color="auto" w:sz="4" w:space="0"/>
              <w:bottom w:val="single" w:color="auto" w:sz="4" w:space="0"/>
            </w:tcBorders>
          </w:tcPr>
          <w:p>
            <w:pPr>
              <w:pStyle w:val="33"/>
              <w:rPr>
                <w:rFonts w:ascii="Times New Roman"/>
                <w:sz w:val="20"/>
              </w:rPr>
            </w:pPr>
          </w:p>
        </w:tc>
        <w:tc>
          <w:tcPr>
            <w:tcW w:w="2077" w:type="dxa"/>
            <w:tcBorders>
              <w:top w:val="single" w:color="auto" w:sz="4" w:space="0"/>
              <w:bottom w:val="single" w:color="auto" w:sz="4" w:space="0"/>
              <w:right w:val="single" w:color="auto" w:sz="4" w:space="0"/>
            </w:tcBorders>
          </w:tcPr>
          <w:p>
            <w:pPr>
              <w:pStyle w:val="33"/>
              <w:rPr>
                <w:b/>
                <w:sz w:val="20"/>
              </w:rPr>
            </w:pPr>
          </w:p>
          <w:p>
            <w:pPr>
              <w:pStyle w:val="33"/>
              <w:rPr>
                <w:b/>
                <w:sz w:val="20"/>
              </w:rPr>
            </w:pPr>
          </w:p>
          <w:p>
            <w:pPr>
              <w:pStyle w:val="33"/>
              <w:spacing w:before="148"/>
              <w:ind w:left="115"/>
              <w:rPr>
                <w:sz w:val="21"/>
              </w:rPr>
            </w:pPr>
            <w:r>
              <w:rPr>
                <w:sz w:val="21"/>
              </w:rPr>
              <w:t>渣土清运承诺书</w:t>
            </w:r>
          </w:p>
        </w:tc>
        <w:tc>
          <w:tcPr>
            <w:tcW w:w="5811" w:type="dxa"/>
            <w:tcBorders>
              <w:left w:val="single" w:color="auto" w:sz="4" w:space="0"/>
            </w:tcBorders>
          </w:tcPr>
          <w:p>
            <w:pPr>
              <w:pStyle w:val="33"/>
              <w:rPr>
                <w:b/>
                <w:sz w:val="20"/>
              </w:rPr>
            </w:pPr>
          </w:p>
          <w:p>
            <w:pPr>
              <w:pStyle w:val="33"/>
              <w:spacing w:before="6"/>
              <w:rPr>
                <w:b/>
                <w:sz w:val="18"/>
              </w:rPr>
            </w:pPr>
          </w:p>
          <w:p>
            <w:pPr>
              <w:pStyle w:val="33"/>
              <w:spacing w:line="295" w:lineRule="auto"/>
              <w:ind w:left="103"/>
              <w:rPr>
                <w:sz w:val="21"/>
              </w:rPr>
            </w:pPr>
            <w:r>
              <w:rPr>
                <w:sz w:val="21"/>
              </w:rPr>
              <w:t>符合桂林市建设工程招标站市建招字[2011]02 号的规定并作出承诺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668" w:type="dxa"/>
            <w:gridSpan w:val="3"/>
            <w:tcBorders>
              <w:top w:val="single" w:color="auto" w:sz="4" w:space="0"/>
            </w:tcBorders>
          </w:tcPr>
          <w:p>
            <w:pPr>
              <w:pStyle w:val="33"/>
              <w:spacing w:before="7"/>
              <w:rPr>
                <w:b/>
                <w:sz w:val="15"/>
              </w:rPr>
            </w:pPr>
          </w:p>
          <w:p>
            <w:pPr>
              <w:pStyle w:val="33"/>
              <w:ind w:left="513"/>
              <w:rPr>
                <w:sz w:val="21"/>
              </w:rPr>
            </w:pPr>
            <w:r>
              <w:rPr>
                <w:sz w:val="21"/>
              </w:rPr>
              <w:t>条款号</w:t>
            </w:r>
          </w:p>
        </w:tc>
        <w:tc>
          <w:tcPr>
            <w:tcW w:w="2077" w:type="dxa"/>
            <w:tcBorders>
              <w:top w:val="single" w:color="auto" w:sz="4" w:space="0"/>
            </w:tcBorders>
          </w:tcPr>
          <w:p>
            <w:pPr>
              <w:pStyle w:val="33"/>
              <w:spacing w:before="7"/>
              <w:rPr>
                <w:b/>
                <w:sz w:val="15"/>
              </w:rPr>
            </w:pPr>
          </w:p>
          <w:p>
            <w:pPr>
              <w:pStyle w:val="33"/>
              <w:ind w:left="609"/>
              <w:rPr>
                <w:sz w:val="21"/>
              </w:rPr>
            </w:pPr>
            <w:r>
              <w:rPr>
                <w:sz w:val="21"/>
              </w:rPr>
              <w:t>评审因素</w:t>
            </w:r>
          </w:p>
        </w:tc>
        <w:tc>
          <w:tcPr>
            <w:tcW w:w="5811" w:type="dxa"/>
          </w:tcPr>
          <w:p>
            <w:pPr>
              <w:pStyle w:val="33"/>
              <w:spacing w:before="7"/>
              <w:rPr>
                <w:b/>
                <w:sz w:val="15"/>
              </w:rPr>
            </w:pPr>
          </w:p>
          <w:p>
            <w:pPr>
              <w:pStyle w:val="33"/>
              <w:ind w:left="2460" w:right="2458"/>
              <w:jc w:val="center"/>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26" w:type="dxa"/>
            <w:gridSpan w:val="2"/>
            <w:vMerge w:val="restart"/>
          </w:tcPr>
          <w:p>
            <w:pPr>
              <w:pStyle w:val="33"/>
              <w:rPr>
                <w:b/>
                <w:sz w:val="20"/>
              </w:rPr>
            </w:pPr>
          </w:p>
          <w:p>
            <w:pPr>
              <w:pStyle w:val="33"/>
              <w:rPr>
                <w:b/>
                <w:sz w:val="20"/>
              </w:rPr>
            </w:pPr>
          </w:p>
          <w:p>
            <w:pPr>
              <w:pStyle w:val="33"/>
              <w:rPr>
                <w:b/>
                <w:sz w:val="20"/>
              </w:rPr>
            </w:pPr>
          </w:p>
          <w:p>
            <w:pPr>
              <w:pStyle w:val="33"/>
              <w:rPr>
                <w:b/>
                <w:sz w:val="20"/>
              </w:rPr>
            </w:pPr>
          </w:p>
          <w:p>
            <w:pPr>
              <w:pStyle w:val="33"/>
              <w:spacing w:before="1"/>
              <w:rPr>
                <w:b/>
                <w:sz w:val="17"/>
              </w:rPr>
            </w:pPr>
          </w:p>
          <w:p>
            <w:pPr>
              <w:pStyle w:val="33"/>
              <w:spacing w:before="1"/>
              <w:ind w:left="194"/>
              <w:rPr>
                <w:sz w:val="21"/>
              </w:rPr>
            </w:pPr>
            <w:r>
              <w:rPr>
                <w:sz w:val="21"/>
              </w:rPr>
              <w:t>2.1.2</w:t>
            </w:r>
          </w:p>
        </w:tc>
        <w:tc>
          <w:tcPr>
            <w:tcW w:w="742" w:type="dxa"/>
            <w:vMerge w:val="restart"/>
          </w:tcPr>
          <w:p>
            <w:pPr>
              <w:pStyle w:val="33"/>
              <w:rPr>
                <w:b/>
                <w:sz w:val="20"/>
              </w:rPr>
            </w:pPr>
          </w:p>
          <w:p>
            <w:pPr>
              <w:pStyle w:val="33"/>
              <w:rPr>
                <w:b/>
                <w:sz w:val="20"/>
              </w:rPr>
            </w:pPr>
          </w:p>
          <w:p>
            <w:pPr>
              <w:pStyle w:val="33"/>
              <w:rPr>
                <w:b/>
                <w:sz w:val="20"/>
              </w:rPr>
            </w:pPr>
          </w:p>
          <w:p>
            <w:pPr>
              <w:pStyle w:val="33"/>
              <w:spacing w:before="145" w:line="297" w:lineRule="auto"/>
              <w:ind w:left="158" w:right="150"/>
              <w:jc w:val="both"/>
              <w:rPr>
                <w:sz w:val="21"/>
              </w:rPr>
            </w:pPr>
            <w:r>
              <w:rPr>
                <w:sz w:val="21"/>
              </w:rPr>
              <w:t>形式评审标准</w:t>
            </w:r>
          </w:p>
        </w:tc>
        <w:tc>
          <w:tcPr>
            <w:tcW w:w="2077" w:type="dxa"/>
          </w:tcPr>
          <w:p>
            <w:pPr>
              <w:pStyle w:val="33"/>
              <w:spacing w:before="11"/>
              <w:rPr>
                <w:b/>
                <w:sz w:val="15"/>
              </w:rPr>
            </w:pPr>
          </w:p>
          <w:p>
            <w:pPr>
              <w:pStyle w:val="33"/>
              <w:spacing w:before="1"/>
              <w:ind w:left="2"/>
              <w:rPr>
                <w:sz w:val="21"/>
              </w:rPr>
            </w:pPr>
            <w:r>
              <w:rPr>
                <w:sz w:val="21"/>
              </w:rPr>
              <w:t>投标人名称</w:t>
            </w:r>
          </w:p>
        </w:tc>
        <w:tc>
          <w:tcPr>
            <w:tcW w:w="5811" w:type="dxa"/>
          </w:tcPr>
          <w:p>
            <w:pPr>
              <w:pStyle w:val="33"/>
              <w:spacing w:before="11"/>
              <w:rPr>
                <w:b/>
                <w:sz w:val="15"/>
              </w:rPr>
            </w:pPr>
          </w:p>
          <w:p>
            <w:pPr>
              <w:pStyle w:val="33"/>
              <w:spacing w:before="1"/>
              <w:ind w:left="2"/>
              <w:rPr>
                <w:sz w:val="21"/>
              </w:rPr>
            </w:pPr>
            <w:r>
              <w:rPr>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6" w:type="dxa"/>
            <w:gridSpan w:val="2"/>
            <w:vMerge w:val="continue"/>
            <w:tcBorders>
              <w:top w:val="nil"/>
            </w:tcBorders>
          </w:tcPr>
          <w:p>
            <w:pPr>
              <w:rPr>
                <w:sz w:val="2"/>
                <w:szCs w:val="2"/>
              </w:rPr>
            </w:pPr>
          </w:p>
        </w:tc>
        <w:tc>
          <w:tcPr>
            <w:tcW w:w="742" w:type="dxa"/>
            <w:vMerge w:val="continue"/>
            <w:tcBorders>
              <w:top w:val="nil"/>
            </w:tcBorders>
          </w:tcPr>
          <w:p>
            <w:pPr>
              <w:rPr>
                <w:sz w:val="2"/>
                <w:szCs w:val="2"/>
              </w:rPr>
            </w:pPr>
          </w:p>
        </w:tc>
        <w:tc>
          <w:tcPr>
            <w:tcW w:w="2077" w:type="dxa"/>
          </w:tcPr>
          <w:p>
            <w:pPr>
              <w:pStyle w:val="33"/>
              <w:spacing w:before="9"/>
              <w:rPr>
                <w:b/>
                <w:sz w:val="15"/>
              </w:rPr>
            </w:pPr>
          </w:p>
          <w:p>
            <w:pPr>
              <w:pStyle w:val="33"/>
              <w:ind w:left="2"/>
              <w:rPr>
                <w:sz w:val="21"/>
              </w:rPr>
            </w:pPr>
            <w:r>
              <w:rPr>
                <w:sz w:val="21"/>
              </w:rPr>
              <w:t>投标函签字盖章</w:t>
            </w:r>
          </w:p>
        </w:tc>
        <w:tc>
          <w:tcPr>
            <w:tcW w:w="5811" w:type="dxa"/>
          </w:tcPr>
          <w:p>
            <w:pPr>
              <w:pStyle w:val="33"/>
              <w:spacing w:before="9"/>
              <w:rPr>
                <w:b/>
                <w:sz w:val="15"/>
              </w:rPr>
            </w:pPr>
          </w:p>
          <w:p>
            <w:pPr>
              <w:pStyle w:val="33"/>
              <w:ind w:left="2"/>
              <w:rPr>
                <w:sz w:val="21"/>
              </w:rPr>
            </w:pPr>
            <w:r>
              <w:rPr>
                <w:sz w:val="21"/>
              </w:rPr>
              <w:t>有法定代表人或其委托代理人签字或盖章并加盖单位公章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6" w:type="dxa"/>
            <w:gridSpan w:val="2"/>
            <w:vMerge w:val="continue"/>
            <w:tcBorders>
              <w:top w:val="nil"/>
            </w:tcBorders>
          </w:tcPr>
          <w:p>
            <w:pPr>
              <w:rPr>
                <w:sz w:val="2"/>
                <w:szCs w:val="2"/>
              </w:rPr>
            </w:pPr>
          </w:p>
        </w:tc>
        <w:tc>
          <w:tcPr>
            <w:tcW w:w="742" w:type="dxa"/>
            <w:vMerge w:val="continue"/>
            <w:tcBorders>
              <w:top w:val="nil"/>
            </w:tcBorders>
          </w:tcPr>
          <w:p>
            <w:pPr>
              <w:rPr>
                <w:sz w:val="2"/>
                <w:szCs w:val="2"/>
              </w:rPr>
            </w:pPr>
          </w:p>
        </w:tc>
        <w:tc>
          <w:tcPr>
            <w:tcW w:w="2077" w:type="dxa"/>
          </w:tcPr>
          <w:p>
            <w:pPr>
              <w:pStyle w:val="33"/>
              <w:spacing w:before="7"/>
              <w:rPr>
                <w:b/>
                <w:sz w:val="15"/>
              </w:rPr>
            </w:pPr>
          </w:p>
          <w:p>
            <w:pPr>
              <w:pStyle w:val="33"/>
              <w:ind w:left="2"/>
              <w:rPr>
                <w:sz w:val="21"/>
              </w:rPr>
            </w:pPr>
            <w:r>
              <w:rPr>
                <w:sz w:val="21"/>
              </w:rPr>
              <w:t>投标文件格式</w:t>
            </w:r>
          </w:p>
        </w:tc>
        <w:tc>
          <w:tcPr>
            <w:tcW w:w="5811" w:type="dxa"/>
          </w:tcPr>
          <w:p>
            <w:pPr>
              <w:pStyle w:val="33"/>
              <w:spacing w:before="7"/>
              <w:rPr>
                <w:b/>
                <w:sz w:val="15"/>
              </w:rPr>
            </w:pPr>
          </w:p>
          <w:p>
            <w:pPr>
              <w:pStyle w:val="33"/>
              <w:ind w:left="2"/>
              <w:rPr>
                <w:sz w:val="21"/>
              </w:rPr>
            </w:pPr>
            <w:r>
              <w:rPr>
                <w:sz w:val="21"/>
              </w:rPr>
              <w:t>符合第八章“投标文件格式”的要求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26" w:type="dxa"/>
            <w:gridSpan w:val="2"/>
            <w:vMerge w:val="continue"/>
            <w:tcBorders>
              <w:top w:val="nil"/>
            </w:tcBorders>
          </w:tcPr>
          <w:p>
            <w:pPr>
              <w:rPr>
                <w:sz w:val="2"/>
                <w:szCs w:val="2"/>
              </w:rPr>
            </w:pPr>
          </w:p>
        </w:tc>
        <w:tc>
          <w:tcPr>
            <w:tcW w:w="742" w:type="dxa"/>
            <w:vMerge w:val="continue"/>
            <w:tcBorders>
              <w:top w:val="nil"/>
            </w:tcBorders>
          </w:tcPr>
          <w:p>
            <w:pPr>
              <w:rPr>
                <w:sz w:val="2"/>
                <w:szCs w:val="2"/>
              </w:rPr>
            </w:pPr>
          </w:p>
        </w:tc>
        <w:tc>
          <w:tcPr>
            <w:tcW w:w="2077" w:type="dxa"/>
          </w:tcPr>
          <w:p>
            <w:pPr>
              <w:pStyle w:val="33"/>
              <w:spacing w:before="11"/>
              <w:rPr>
                <w:b/>
                <w:sz w:val="15"/>
              </w:rPr>
            </w:pPr>
          </w:p>
          <w:p>
            <w:pPr>
              <w:pStyle w:val="33"/>
              <w:spacing w:before="1"/>
              <w:ind w:left="2"/>
              <w:rPr>
                <w:sz w:val="21"/>
              </w:rPr>
            </w:pPr>
            <w:r>
              <w:rPr>
                <w:sz w:val="21"/>
              </w:rPr>
              <w:t>报价唯一</w:t>
            </w:r>
          </w:p>
        </w:tc>
        <w:tc>
          <w:tcPr>
            <w:tcW w:w="5811" w:type="dxa"/>
          </w:tcPr>
          <w:p>
            <w:pPr>
              <w:pStyle w:val="33"/>
              <w:spacing w:before="11"/>
              <w:rPr>
                <w:b/>
                <w:sz w:val="15"/>
              </w:rPr>
            </w:pPr>
          </w:p>
          <w:p>
            <w:pPr>
              <w:pStyle w:val="33"/>
              <w:spacing w:before="1"/>
              <w:ind w:left="2"/>
              <w:rPr>
                <w:sz w:val="21"/>
              </w:rPr>
            </w:pPr>
            <w:r>
              <w:rPr>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26" w:type="dxa"/>
            <w:gridSpan w:val="2"/>
            <w:vMerge w:val="restart"/>
          </w:tcPr>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spacing w:before="10"/>
              <w:rPr>
                <w:b/>
                <w:sz w:val="26"/>
              </w:rPr>
            </w:pPr>
          </w:p>
          <w:p>
            <w:pPr>
              <w:pStyle w:val="33"/>
              <w:spacing w:before="1"/>
              <w:ind w:left="197"/>
              <w:rPr>
                <w:sz w:val="21"/>
              </w:rPr>
            </w:pPr>
            <w:r>
              <w:rPr>
                <w:sz w:val="21"/>
              </w:rPr>
              <w:t>2.1.3</w:t>
            </w:r>
          </w:p>
        </w:tc>
        <w:tc>
          <w:tcPr>
            <w:tcW w:w="742" w:type="dxa"/>
            <w:vMerge w:val="restart"/>
          </w:tcPr>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spacing w:before="12"/>
              <w:rPr>
                <w:b/>
                <w:sz w:val="27"/>
              </w:rPr>
            </w:pPr>
          </w:p>
          <w:p>
            <w:pPr>
              <w:pStyle w:val="33"/>
              <w:spacing w:line="297" w:lineRule="auto"/>
              <w:ind w:left="158" w:right="150"/>
              <w:jc w:val="both"/>
              <w:rPr>
                <w:sz w:val="21"/>
              </w:rPr>
            </w:pPr>
            <w:r>
              <w:rPr>
                <w:sz w:val="21"/>
              </w:rPr>
              <w:t>响应性评审标准</w:t>
            </w:r>
          </w:p>
        </w:tc>
        <w:tc>
          <w:tcPr>
            <w:tcW w:w="2077" w:type="dxa"/>
          </w:tcPr>
          <w:p>
            <w:pPr>
              <w:pStyle w:val="33"/>
              <w:spacing w:before="9"/>
              <w:rPr>
                <w:b/>
                <w:sz w:val="15"/>
              </w:rPr>
            </w:pPr>
          </w:p>
          <w:p>
            <w:pPr>
              <w:pStyle w:val="33"/>
              <w:ind w:left="2"/>
              <w:rPr>
                <w:sz w:val="21"/>
              </w:rPr>
            </w:pPr>
            <w:r>
              <w:rPr>
                <w:sz w:val="21"/>
              </w:rPr>
              <w:t>投标内容</w:t>
            </w:r>
          </w:p>
        </w:tc>
        <w:tc>
          <w:tcPr>
            <w:tcW w:w="5811" w:type="dxa"/>
          </w:tcPr>
          <w:p>
            <w:pPr>
              <w:pStyle w:val="33"/>
              <w:spacing w:before="9"/>
              <w:rPr>
                <w:b/>
                <w:sz w:val="15"/>
              </w:rPr>
            </w:pPr>
          </w:p>
          <w:p>
            <w:pPr>
              <w:pStyle w:val="33"/>
              <w:ind w:left="2"/>
              <w:rPr>
                <w:sz w:val="21"/>
              </w:rPr>
            </w:pPr>
            <w:r>
              <w:rPr>
                <w:sz w:val="21"/>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6" w:type="dxa"/>
            <w:gridSpan w:val="2"/>
            <w:vMerge w:val="continue"/>
            <w:tcBorders>
              <w:top w:val="nil"/>
            </w:tcBorders>
          </w:tcPr>
          <w:p>
            <w:pPr>
              <w:rPr>
                <w:sz w:val="2"/>
                <w:szCs w:val="2"/>
              </w:rPr>
            </w:pPr>
          </w:p>
        </w:tc>
        <w:tc>
          <w:tcPr>
            <w:tcW w:w="742" w:type="dxa"/>
            <w:vMerge w:val="continue"/>
            <w:tcBorders>
              <w:top w:val="nil"/>
            </w:tcBorders>
          </w:tcPr>
          <w:p>
            <w:pPr>
              <w:rPr>
                <w:sz w:val="2"/>
                <w:szCs w:val="2"/>
              </w:rPr>
            </w:pPr>
          </w:p>
        </w:tc>
        <w:tc>
          <w:tcPr>
            <w:tcW w:w="2077" w:type="dxa"/>
          </w:tcPr>
          <w:p>
            <w:pPr>
              <w:pStyle w:val="33"/>
              <w:spacing w:before="7"/>
              <w:rPr>
                <w:b/>
                <w:sz w:val="15"/>
              </w:rPr>
            </w:pPr>
          </w:p>
          <w:p>
            <w:pPr>
              <w:pStyle w:val="33"/>
              <w:ind w:left="2"/>
              <w:rPr>
                <w:sz w:val="21"/>
              </w:rPr>
            </w:pPr>
            <w:r>
              <w:rPr>
                <w:sz w:val="21"/>
              </w:rPr>
              <w:t>工期</w:t>
            </w:r>
          </w:p>
        </w:tc>
        <w:tc>
          <w:tcPr>
            <w:tcW w:w="5811" w:type="dxa"/>
          </w:tcPr>
          <w:p>
            <w:pPr>
              <w:pStyle w:val="33"/>
              <w:spacing w:before="7"/>
              <w:rPr>
                <w:b/>
                <w:sz w:val="15"/>
              </w:rPr>
            </w:pPr>
          </w:p>
          <w:p>
            <w:pPr>
              <w:pStyle w:val="33"/>
              <w:ind w:left="2"/>
              <w:rPr>
                <w:sz w:val="21"/>
              </w:rPr>
            </w:pPr>
            <w:r>
              <w:rPr>
                <w:sz w:val="21"/>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6" w:type="dxa"/>
            <w:gridSpan w:val="2"/>
            <w:vMerge w:val="continue"/>
            <w:tcBorders>
              <w:top w:val="nil"/>
            </w:tcBorders>
          </w:tcPr>
          <w:p>
            <w:pPr>
              <w:rPr>
                <w:sz w:val="2"/>
                <w:szCs w:val="2"/>
              </w:rPr>
            </w:pPr>
          </w:p>
        </w:tc>
        <w:tc>
          <w:tcPr>
            <w:tcW w:w="742" w:type="dxa"/>
            <w:vMerge w:val="continue"/>
            <w:tcBorders>
              <w:top w:val="nil"/>
            </w:tcBorders>
          </w:tcPr>
          <w:p>
            <w:pPr>
              <w:rPr>
                <w:sz w:val="2"/>
                <w:szCs w:val="2"/>
              </w:rPr>
            </w:pPr>
          </w:p>
        </w:tc>
        <w:tc>
          <w:tcPr>
            <w:tcW w:w="2077" w:type="dxa"/>
          </w:tcPr>
          <w:p>
            <w:pPr>
              <w:pStyle w:val="33"/>
              <w:spacing w:before="7"/>
              <w:rPr>
                <w:b/>
                <w:sz w:val="15"/>
              </w:rPr>
            </w:pPr>
          </w:p>
          <w:p>
            <w:pPr>
              <w:pStyle w:val="33"/>
              <w:ind w:left="2"/>
              <w:rPr>
                <w:sz w:val="21"/>
              </w:rPr>
            </w:pPr>
            <w:r>
              <w:rPr>
                <w:sz w:val="21"/>
              </w:rPr>
              <w:t>工程质量</w:t>
            </w:r>
          </w:p>
        </w:tc>
        <w:tc>
          <w:tcPr>
            <w:tcW w:w="5811" w:type="dxa"/>
          </w:tcPr>
          <w:p>
            <w:pPr>
              <w:pStyle w:val="33"/>
              <w:spacing w:before="7"/>
              <w:rPr>
                <w:b/>
                <w:sz w:val="15"/>
              </w:rPr>
            </w:pPr>
          </w:p>
          <w:p>
            <w:pPr>
              <w:pStyle w:val="33"/>
              <w:ind w:left="2"/>
              <w:rPr>
                <w:sz w:val="21"/>
              </w:rPr>
            </w:pPr>
            <w:r>
              <w:rPr>
                <w:sz w:val="21"/>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26" w:type="dxa"/>
            <w:gridSpan w:val="2"/>
            <w:vMerge w:val="continue"/>
            <w:tcBorders>
              <w:top w:val="nil"/>
            </w:tcBorders>
          </w:tcPr>
          <w:p>
            <w:pPr>
              <w:rPr>
                <w:sz w:val="2"/>
                <w:szCs w:val="2"/>
              </w:rPr>
            </w:pPr>
          </w:p>
        </w:tc>
        <w:tc>
          <w:tcPr>
            <w:tcW w:w="742" w:type="dxa"/>
            <w:vMerge w:val="continue"/>
            <w:tcBorders>
              <w:top w:val="nil"/>
            </w:tcBorders>
          </w:tcPr>
          <w:p>
            <w:pPr>
              <w:rPr>
                <w:sz w:val="2"/>
                <w:szCs w:val="2"/>
              </w:rPr>
            </w:pPr>
          </w:p>
        </w:tc>
        <w:tc>
          <w:tcPr>
            <w:tcW w:w="2077" w:type="dxa"/>
          </w:tcPr>
          <w:p>
            <w:pPr>
              <w:pStyle w:val="33"/>
              <w:spacing w:before="11"/>
              <w:rPr>
                <w:b/>
                <w:sz w:val="15"/>
              </w:rPr>
            </w:pPr>
          </w:p>
          <w:p>
            <w:pPr>
              <w:pStyle w:val="33"/>
              <w:spacing w:before="1"/>
              <w:ind w:left="2"/>
              <w:rPr>
                <w:sz w:val="21"/>
              </w:rPr>
            </w:pPr>
            <w:r>
              <w:rPr>
                <w:sz w:val="21"/>
              </w:rPr>
              <w:t>投标有效期</w:t>
            </w:r>
          </w:p>
        </w:tc>
        <w:tc>
          <w:tcPr>
            <w:tcW w:w="5811" w:type="dxa"/>
          </w:tcPr>
          <w:p>
            <w:pPr>
              <w:pStyle w:val="33"/>
              <w:spacing w:before="11"/>
              <w:rPr>
                <w:b/>
                <w:sz w:val="15"/>
              </w:rPr>
            </w:pPr>
          </w:p>
          <w:p>
            <w:pPr>
              <w:pStyle w:val="33"/>
              <w:spacing w:before="1"/>
              <w:ind w:left="2"/>
              <w:rPr>
                <w:sz w:val="21"/>
              </w:rPr>
            </w:pPr>
            <w:r>
              <w:rPr>
                <w:sz w:val="21"/>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26" w:type="dxa"/>
            <w:gridSpan w:val="2"/>
            <w:vMerge w:val="continue"/>
            <w:tcBorders>
              <w:top w:val="nil"/>
            </w:tcBorders>
          </w:tcPr>
          <w:p>
            <w:pPr>
              <w:rPr>
                <w:sz w:val="2"/>
                <w:szCs w:val="2"/>
              </w:rPr>
            </w:pPr>
          </w:p>
        </w:tc>
        <w:tc>
          <w:tcPr>
            <w:tcW w:w="742" w:type="dxa"/>
            <w:vMerge w:val="continue"/>
            <w:tcBorders>
              <w:top w:val="nil"/>
            </w:tcBorders>
          </w:tcPr>
          <w:p>
            <w:pPr>
              <w:rPr>
                <w:sz w:val="2"/>
                <w:szCs w:val="2"/>
              </w:rPr>
            </w:pPr>
          </w:p>
        </w:tc>
        <w:tc>
          <w:tcPr>
            <w:tcW w:w="2077" w:type="dxa"/>
          </w:tcPr>
          <w:p>
            <w:pPr>
              <w:pStyle w:val="33"/>
              <w:spacing w:before="1"/>
              <w:rPr>
                <w:b/>
                <w:sz w:val="16"/>
              </w:rPr>
            </w:pPr>
          </w:p>
          <w:p>
            <w:pPr>
              <w:pStyle w:val="33"/>
              <w:ind w:left="2"/>
              <w:rPr>
                <w:sz w:val="21"/>
              </w:rPr>
            </w:pPr>
            <w:r>
              <w:rPr>
                <w:sz w:val="21"/>
              </w:rPr>
              <w:t>权利义务</w:t>
            </w:r>
          </w:p>
        </w:tc>
        <w:tc>
          <w:tcPr>
            <w:tcW w:w="5811" w:type="dxa"/>
          </w:tcPr>
          <w:p>
            <w:pPr>
              <w:pStyle w:val="33"/>
              <w:spacing w:before="1"/>
              <w:rPr>
                <w:b/>
                <w:sz w:val="16"/>
              </w:rPr>
            </w:pPr>
          </w:p>
          <w:p>
            <w:pPr>
              <w:pStyle w:val="33"/>
              <w:ind w:left="2"/>
              <w:rPr>
                <w:sz w:val="21"/>
              </w:rPr>
            </w:pPr>
            <w:r>
              <w:rPr>
                <w:sz w:val="21"/>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6" w:type="dxa"/>
            <w:gridSpan w:val="2"/>
            <w:vMerge w:val="continue"/>
            <w:tcBorders>
              <w:top w:val="nil"/>
            </w:tcBorders>
          </w:tcPr>
          <w:p>
            <w:pPr>
              <w:rPr>
                <w:sz w:val="2"/>
                <w:szCs w:val="2"/>
              </w:rPr>
            </w:pPr>
          </w:p>
        </w:tc>
        <w:tc>
          <w:tcPr>
            <w:tcW w:w="742" w:type="dxa"/>
            <w:vMerge w:val="continue"/>
            <w:tcBorders>
              <w:top w:val="nil"/>
            </w:tcBorders>
          </w:tcPr>
          <w:p>
            <w:pPr>
              <w:rPr>
                <w:sz w:val="2"/>
                <w:szCs w:val="2"/>
              </w:rPr>
            </w:pPr>
          </w:p>
        </w:tc>
        <w:tc>
          <w:tcPr>
            <w:tcW w:w="2077" w:type="dxa"/>
          </w:tcPr>
          <w:p>
            <w:pPr>
              <w:pStyle w:val="33"/>
              <w:spacing w:before="4"/>
              <w:rPr>
                <w:b/>
                <w:sz w:val="15"/>
              </w:rPr>
            </w:pPr>
          </w:p>
          <w:p>
            <w:pPr>
              <w:pStyle w:val="33"/>
              <w:ind w:left="2"/>
              <w:rPr>
                <w:sz w:val="21"/>
              </w:rPr>
            </w:pPr>
            <w:r>
              <w:rPr>
                <w:sz w:val="21"/>
              </w:rPr>
              <w:t>技术标准和要求</w:t>
            </w:r>
          </w:p>
        </w:tc>
        <w:tc>
          <w:tcPr>
            <w:tcW w:w="5811" w:type="dxa"/>
          </w:tcPr>
          <w:p>
            <w:pPr>
              <w:pStyle w:val="33"/>
              <w:spacing w:before="4"/>
              <w:rPr>
                <w:b/>
                <w:sz w:val="15"/>
              </w:rPr>
            </w:pPr>
          </w:p>
          <w:p>
            <w:pPr>
              <w:pStyle w:val="33"/>
              <w:ind w:left="2"/>
              <w:rPr>
                <w:sz w:val="21"/>
              </w:rPr>
            </w:pPr>
            <w:r>
              <w:rPr>
                <w:sz w:val="21"/>
              </w:rPr>
              <w:t>符合第七章“技术标准和要求”规定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926" w:type="dxa"/>
            <w:gridSpan w:val="2"/>
            <w:vMerge w:val="continue"/>
            <w:tcBorders>
              <w:top w:val="nil"/>
            </w:tcBorders>
          </w:tcPr>
          <w:p>
            <w:pPr>
              <w:rPr>
                <w:sz w:val="2"/>
                <w:szCs w:val="2"/>
              </w:rPr>
            </w:pPr>
          </w:p>
        </w:tc>
        <w:tc>
          <w:tcPr>
            <w:tcW w:w="742" w:type="dxa"/>
            <w:vMerge w:val="continue"/>
            <w:tcBorders>
              <w:top w:val="nil"/>
            </w:tcBorders>
          </w:tcPr>
          <w:p>
            <w:pPr>
              <w:rPr>
                <w:sz w:val="2"/>
                <w:szCs w:val="2"/>
              </w:rPr>
            </w:pPr>
          </w:p>
        </w:tc>
        <w:tc>
          <w:tcPr>
            <w:tcW w:w="2077" w:type="dxa"/>
          </w:tcPr>
          <w:p>
            <w:pPr>
              <w:pStyle w:val="33"/>
              <w:spacing w:before="6"/>
              <w:rPr>
                <w:b/>
                <w:sz w:val="24"/>
              </w:rPr>
            </w:pPr>
          </w:p>
          <w:p>
            <w:pPr>
              <w:pStyle w:val="33"/>
              <w:spacing w:before="1"/>
              <w:ind w:left="2"/>
              <w:rPr>
                <w:sz w:val="21"/>
              </w:rPr>
            </w:pPr>
            <w:r>
              <w:rPr>
                <w:sz w:val="21"/>
              </w:rPr>
              <w:t>投标价格</w:t>
            </w:r>
          </w:p>
        </w:tc>
        <w:tc>
          <w:tcPr>
            <w:tcW w:w="5811" w:type="dxa"/>
          </w:tcPr>
          <w:p>
            <w:pPr>
              <w:pStyle w:val="33"/>
              <w:spacing w:before="150" w:line="297" w:lineRule="auto"/>
              <w:ind w:left="2"/>
              <w:rPr>
                <w:sz w:val="21"/>
              </w:rPr>
            </w:pPr>
            <w:r>
              <w:rPr>
                <w:sz w:val="21"/>
              </w:rPr>
              <w:t>低于</w:t>
            </w:r>
            <w:r>
              <w:rPr>
                <w:spacing w:val="-3"/>
                <w:sz w:val="21"/>
              </w:rPr>
              <w:t>（</w:t>
            </w:r>
            <w:r>
              <w:rPr>
                <w:spacing w:val="-2"/>
                <w:sz w:val="21"/>
              </w:rPr>
              <w:t>含等于</w:t>
            </w:r>
            <w:r>
              <w:rPr>
                <w:spacing w:val="-3"/>
                <w:sz w:val="21"/>
              </w:rPr>
              <w:t>）</w:t>
            </w:r>
            <w:r>
              <w:rPr>
                <w:spacing w:val="-6"/>
                <w:sz w:val="21"/>
              </w:rPr>
              <w:t xml:space="preserve">第二章“投标人须知”前附表第 </w:t>
            </w:r>
            <w:r>
              <w:rPr>
                <w:sz w:val="21"/>
              </w:rPr>
              <w:t>10.2</w:t>
            </w:r>
            <w:r>
              <w:rPr>
                <w:spacing w:val="-11"/>
                <w:sz w:val="21"/>
              </w:rPr>
              <w:t xml:space="preserve"> 款载明的</w:t>
            </w:r>
            <w:r>
              <w:rPr>
                <w:spacing w:val="-2"/>
                <w:sz w:val="21"/>
              </w:rPr>
              <w:t>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trPr>
        <w:tc>
          <w:tcPr>
            <w:tcW w:w="926" w:type="dxa"/>
            <w:gridSpan w:val="2"/>
            <w:vMerge w:val="continue"/>
            <w:tcBorders>
              <w:top w:val="nil"/>
            </w:tcBorders>
          </w:tcPr>
          <w:p>
            <w:pPr>
              <w:rPr>
                <w:sz w:val="2"/>
                <w:szCs w:val="2"/>
              </w:rPr>
            </w:pPr>
          </w:p>
        </w:tc>
        <w:tc>
          <w:tcPr>
            <w:tcW w:w="742" w:type="dxa"/>
            <w:vMerge w:val="continue"/>
            <w:tcBorders>
              <w:top w:val="nil"/>
            </w:tcBorders>
          </w:tcPr>
          <w:p>
            <w:pPr>
              <w:rPr>
                <w:sz w:val="2"/>
                <w:szCs w:val="2"/>
              </w:rPr>
            </w:pPr>
          </w:p>
        </w:tc>
        <w:tc>
          <w:tcPr>
            <w:tcW w:w="2077" w:type="dxa"/>
          </w:tcPr>
          <w:p>
            <w:pPr>
              <w:pStyle w:val="33"/>
              <w:rPr>
                <w:b/>
                <w:sz w:val="20"/>
              </w:rPr>
            </w:pPr>
          </w:p>
          <w:p>
            <w:pPr>
              <w:pStyle w:val="33"/>
              <w:rPr>
                <w:b/>
                <w:sz w:val="20"/>
              </w:rPr>
            </w:pPr>
          </w:p>
          <w:p>
            <w:pPr>
              <w:pStyle w:val="33"/>
              <w:spacing w:before="9"/>
              <w:rPr>
                <w:b/>
                <w:sz w:val="28"/>
              </w:rPr>
            </w:pPr>
          </w:p>
          <w:p>
            <w:pPr>
              <w:pStyle w:val="33"/>
              <w:ind w:left="2"/>
              <w:rPr>
                <w:sz w:val="21"/>
              </w:rPr>
            </w:pPr>
            <w:r>
              <w:rPr>
                <w:sz w:val="21"/>
              </w:rPr>
              <w:t>已标价工程量清单</w:t>
            </w:r>
          </w:p>
        </w:tc>
        <w:tc>
          <w:tcPr>
            <w:tcW w:w="5811" w:type="dxa"/>
          </w:tcPr>
          <w:p>
            <w:pPr>
              <w:pStyle w:val="33"/>
              <w:spacing w:before="8"/>
              <w:rPr>
                <w:b/>
                <w:sz w:val="16"/>
              </w:rPr>
            </w:pPr>
          </w:p>
          <w:p>
            <w:pPr>
              <w:pStyle w:val="33"/>
              <w:spacing w:line="297" w:lineRule="auto"/>
              <w:ind w:left="2" w:right="-8"/>
              <w:jc w:val="both"/>
              <w:rPr>
                <w:sz w:val="21"/>
              </w:rPr>
            </w:pPr>
            <w:r>
              <w:rPr>
                <w:spacing w:val="-9"/>
                <w:sz w:val="21"/>
              </w:rPr>
              <w:t>符合第五章“工程量清单”给出的范围及数量。投标人不得采用</w:t>
            </w:r>
            <w:r>
              <w:rPr>
                <w:spacing w:val="-11"/>
                <w:sz w:val="21"/>
              </w:rPr>
              <w:t>总价优惠、总价百分比优惠的方式进行投标报价，其优惠应包含在已标价工程量清单的综合单价中，否则作废标处理；设有暂估</w:t>
            </w:r>
            <w:r>
              <w:rPr>
                <w:spacing w:val="-12"/>
                <w:sz w:val="21"/>
              </w:rPr>
              <w:t>价或暂列金额的，投标时要按招标人工程量清单给出的暂估价或</w:t>
            </w:r>
            <w:r>
              <w:rPr>
                <w:spacing w:val="-6"/>
                <w:sz w:val="21"/>
              </w:rPr>
              <w:t>暂列金额计入投标报价中，否则作废标处理。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26" w:type="dxa"/>
            <w:gridSpan w:val="2"/>
          </w:tcPr>
          <w:p>
            <w:pPr>
              <w:pStyle w:val="33"/>
              <w:spacing w:before="78"/>
              <w:ind w:left="141"/>
              <w:rPr>
                <w:sz w:val="21"/>
              </w:rPr>
            </w:pPr>
            <w:r>
              <w:rPr>
                <w:sz w:val="21"/>
              </w:rPr>
              <w:t>条款号</w:t>
            </w:r>
          </w:p>
        </w:tc>
        <w:tc>
          <w:tcPr>
            <w:tcW w:w="2819" w:type="dxa"/>
            <w:gridSpan w:val="2"/>
          </w:tcPr>
          <w:p>
            <w:pPr>
              <w:pStyle w:val="33"/>
              <w:spacing w:before="78"/>
              <w:ind w:left="595" w:right="595"/>
              <w:jc w:val="center"/>
              <w:rPr>
                <w:sz w:val="21"/>
              </w:rPr>
            </w:pPr>
            <w:r>
              <w:rPr>
                <w:sz w:val="21"/>
              </w:rPr>
              <w:t>评审因素</w:t>
            </w:r>
          </w:p>
        </w:tc>
        <w:tc>
          <w:tcPr>
            <w:tcW w:w="5811" w:type="dxa"/>
          </w:tcPr>
          <w:p>
            <w:pPr>
              <w:pStyle w:val="33"/>
              <w:spacing w:before="78"/>
              <w:ind w:left="2460" w:right="2458"/>
              <w:jc w:val="center"/>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926" w:type="dxa"/>
            <w:gridSpan w:val="2"/>
          </w:tcPr>
          <w:p>
            <w:pPr>
              <w:pStyle w:val="33"/>
              <w:spacing w:before="4"/>
              <w:rPr>
                <w:b/>
                <w:sz w:val="28"/>
              </w:rPr>
            </w:pPr>
          </w:p>
          <w:p>
            <w:pPr>
              <w:pStyle w:val="33"/>
              <w:spacing w:before="1"/>
              <w:ind w:left="194"/>
              <w:rPr>
                <w:sz w:val="21"/>
              </w:rPr>
            </w:pPr>
            <w:r>
              <w:rPr>
                <w:sz w:val="21"/>
              </w:rPr>
              <w:t>2.2.1</w:t>
            </w:r>
          </w:p>
        </w:tc>
        <w:tc>
          <w:tcPr>
            <w:tcW w:w="2819" w:type="dxa"/>
            <w:gridSpan w:val="2"/>
          </w:tcPr>
          <w:p>
            <w:pPr>
              <w:pStyle w:val="33"/>
              <w:spacing w:before="4"/>
              <w:rPr>
                <w:b/>
                <w:sz w:val="15"/>
              </w:rPr>
            </w:pPr>
          </w:p>
          <w:p>
            <w:pPr>
              <w:pStyle w:val="33"/>
              <w:ind w:left="595" w:right="595"/>
              <w:jc w:val="center"/>
              <w:rPr>
                <w:sz w:val="21"/>
              </w:rPr>
            </w:pPr>
            <w:r>
              <w:rPr>
                <w:sz w:val="21"/>
              </w:rPr>
              <w:t>分值构成</w:t>
            </w:r>
          </w:p>
          <w:p>
            <w:pPr>
              <w:pStyle w:val="33"/>
              <w:spacing w:before="65"/>
              <w:ind w:left="597" w:right="595"/>
              <w:jc w:val="center"/>
              <w:rPr>
                <w:sz w:val="21"/>
              </w:rPr>
            </w:pPr>
            <w:r>
              <w:rPr>
                <w:sz w:val="21"/>
              </w:rPr>
              <w:t>（总分 100 分）</w:t>
            </w:r>
          </w:p>
        </w:tc>
        <w:tc>
          <w:tcPr>
            <w:tcW w:w="5811" w:type="dxa"/>
          </w:tcPr>
          <w:p>
            <w:pPr>
              <w:pStyle w:val="33"/>
              <w:spacing w:before="42"/>
              <w:ind w:left="2"/>
              <w:rPr>
                <w:sz w:val="21"/>
              </w:rPr>
            </w:pPr>
            <w:r>
              <w:rPr>
                <w:sz w:val="21"/>
              </w:rPr>
              <w:t>施工组织设计：</w:t>
            </w:r>
            <w:r>
              <w:rPr>
                <w:sz w:val="21"/>
                <w:u w:val="single"/>
              </w:rPr>
              <w:t xml:space="preserve"> 20</w:t>
            </w:r>
            <w:r>
              <w:rPr>
                <w:sz w:val="21"/>
              </w:rPr>
              <w:t xml:space="preserve"> 分</w:t>
            </w:r>
          </w:p>
          <w:p>
            <w:pPr>
              <w:pStyle w:val="33"/>
              <w:spacing w:before="84" w:line="266" w:lineRule="auto"/>
              <w:ind w:left="2" w:right="3469"/>
              <w:rPr>
                <w:sz w:val="21"/>
              </w:rPr>
            </w:pPr>
            <w:r>
              <w:rPr>
                <w:sz w:val="21"/>
              </w:rPr>
              <w:t>商务标评审部分：</w:t>
            </w:r>
            <w:r>
              <w:rPr>
                <w:sz w:val="21"/>
                <w:u w:val="single"/>
              </w:rPr>
              <w:t xml:space="preserve"> 60 </w:t>
            </w:r>
            <w:r>
              <w:rPr>
                <w:sz w:val="21"/>
              </w:rPr>
              <w:t>分企业信誉实力：</w:t>
            </w:r>
            <w:r>
              <w:rPr>
                <w:sz w:val="21"/>
                <w:u w:val="single"/>
              </w:rPr>
              <w:t>20</w:t>
            </w:r>
            <w:r>
              <w:rPr>
                <w:sz w:val="21"/>
              </w:rPr>
              <w:t xml:space="preserve"> 分</w:t>
            </w:r>
          </w:p>
        </w:tc>
      </w:tr>
    </w:tbl>
    <w:p>
      <w:pPr>
        <w:spacing w:after="0" w:line="266" w:lineRule="auto"/>
        <w:rPr>
          <w:sz w:val="21"/>
        </w:rPr>
        <w:sectPr>
          <w:pgSz w:w="11910" w:h="16840"/>
          <w:pgMar w:top="1400" w:right="1020" w:bottom="1120" w:left="1100" w:header="0" w:footer="920" w:gutter="0"/>
        </w:sectPr>
      </w:pPr>
    </w:p>
    <w:p>
      <w:pPr>
        <w:pStyle w:val="13"/>
        <w:ind w:left="0"/>
        <w:rPr>
          <w:b/>
          <w:sz w:val="20"/>
        </w:rPr>
      </w:pPr>
      <w:r>
        <mc:AlternateContent>
          <mc:Choice Requires="wps">
            <w:drawing>
              <wp:anchor distT="0" distB="0" distL="114300" distR="114300" simplePos="0" relativeHeight="2048" behindDoc="0" locked="0" layoutInCell="1" allowOverlap="1">
                <wp:simplePos x="0" y="0"/>
                <wp:positionH relativeFrom="page">
                  <wp:posOffset>768985</wp:posOffset>
                </wp:positionH>
                <wp:positionV relativeFrom="page">
                  <wp:posOffset>900430</wp:posOffset>
                </wp:positionV>
                <wp:extent cx="6077585" cy="780288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077585" cy="7802880"/>
                        </a:xfrm>
                        <a:prstGeom prst="rect">
                          <a:avLst/>
                        </a:prstGeom>
                        <a:noFill/>
                        <a:ln>
                          <a:noFill/>
                        </a:ln>
                      </wps:spPr>
                      <wps:txbx>
                        <w:txbxContent>
                          <w:tbl>
                            <w:tblPr>
                              <w:tblStyle w:val="17"/>
                              <w:tblW w:w="95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691"/>
                              <w:gridCol w:w="2552"/>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0" w:hRule="atLeast"/>
                              </w:trPr>
                              <w:tc>
                                <w:tcPr>
                                  <w:tcW w:w="927"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12"/>
                                    <w:rPr>
                                      <w:sz w:val="13"/>
                                    </w:rPr>
                                  </w:pPr>
                                </w:p>
                                <w:p>
                                  <w:pPr>
                                    <w:pStyle w:val="33"/>
                                    <w:spacing w:before="1"/>
                                    <w:ind w:left="173" w:right="173"/>
                                    <w:jc w:val="center"/>
                                    <w:rPr>
                                      <w:sz w:val="21"/>
                                    </w:rPr>
                                  </w:pPr>
                                  <w:r>
                                    <w:rPr>
                                      <w:sz w:val="21"/>
                                    </w:rPr>
                                    <w:t>2.2.2</w:t>
                                  </w:r>
                                </w:p>
                              </w:tc>
                              <w:tc>
                                <w:tcPr>
                                  <w:tcW w:w="3243" w:type="dxa"/>
                                  <w:gridSpan w:val="2"/>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6"/>
                                    <w:rPr>
                                      <w:sz w:val="15"/>
                                    </w:rPr>
                                  </w:pPr>
                                </w:p>
                                <w:p>
                                  <w:pPr>
                                    <w:pStyle w:val="33"/>
                                    <w:ind w:left="2" w:right="-32"/>
                                    <w:rPr>
                                      <w:sz w:val="21"/>
                                    </w:rPr>
                                  </w:pPr>
                                  <w:r>
                                    <w:rPr>
                                      <w:spacing w:val="-3"/>
                                      <w:sz w:val="21"/>
                                    </w:rPr>
                                    <w:t>商务标评分标准</w:t>
                                  </w:r>
                                  <w:r>
                                    <w:rPr>
                                      <w:sz w:val="21"/>
                                    </w:rPr>
                                    <w:t>（</w:t>
                                  </w:r>
                                  <w:r>
                                    <w:rPr>
                                      <w:spacing w:val="-17"/>
                                      <w:sz w:val="21"/>
                                    </w:rPr>
                                    <w:t xml:space="preserve">满分 </w:t>
                                  </w:r>
                                  <w:r>
                                    <w:rPr>
                                      <w:sz w:val="21"/>
                                    </w:rPr>
                                    <w:t>60</w:t>
                                  </w:r>
                                  <w:r>
                                    <w:rPr>
                                      <w:spacing w:val="-25"/>
                                      <w:sz w:val="21"/>
                                    </w:rPr>
                                    <w:t xml:space="preserve"> 分</w:t>
                                  </w:r>
                                  <w:r>
                                    <w:rPr>
                                      <w:sz w:val="21"/>
                                    </w:rPr>
                                    <w:t>）</w:t>
                                  </w:r>
                                </w:p>
                              </w:tc>
                              <w:tc>
                                <w:tcPr>
                                  <w:tcW w:w="5387" w:type="dxa"/>
                                </w:tcPr>
                                <w:p>
                                  <w:pPr>
                                    <w:pStyle w:val="33"/>
                                    <w:spacing w:before="73" w:line="350" w:lineRule="auto"/>
                                    <w:ind w:left="2" w:right="-8" w:firstLine="420"/>
                                    <w:jc w:val="both"/>
                                    <w:rPr>
                                      <w:sz w:val="21"/>
                                    </w:rPr>
                                  </w:pPr>
                                  <w:r>
                                    <w:rPr>
                                      <w:sz w:val="21"/>
                                    </w:rPr>
                                    <w:t>1.</w:t>
                                  </w:r>
                                  <w:r>
                                    <w:rPr>
                                      <w:spacing w:val="-11"/>
                                      <w:sz w:val="21"/>
                                    </w:rPr>
                                    <w:t>投标报价有效报价范围：为投标报价低于或等于招标控制价，通过资格评审、形式评审、响应性评审，经评标委员会审定</w:t>
                                  </w:r>
                                  <w:r>
                                    <w:rPr>
                                      <w:spacing w:val="-13"/>
                                      <w:sz w:val="21"/>
                                    </w:rPr>
                                    <w:t>不存在严重不平衡、不合理、不低于其企业成本的投标人投标报价。</w:t>
                                  </w:r>
                                </w:p>
                                <w:p>
                                  <w:pPr>
                                    <w:pStyle w:val="33"/>
                                    <w:spacing w:before="28" w:line="348" w:lineRule="auto"/>
                                    <w:ind w:left="2" w:firstLine="420"/>
                                    <w:rPr>
                                      <w:sz w:val="21"/>
                                    </w:rPr>
                                  </w:pPr>
                                  <w:r>
                                    <w:rPr>
                                      <w:sz w:val="21"/>
                                    </w:rPr>
                                    <w:t>2.</w:t>
                                  </w:r>
                                  <w:r>
                                    <w:rPr>
                                      <w:spacing w:val="-11"/>
                                      <w:sz w:val="21"/>
                                    </w:rPr>
                                    <w:t>将通过资格评审、形式评审、响应性评审且在有效报价范</w:t>
                                  </w:r>
                                  <w:r>
                                    <w:rPr>
                                      <w:spacing w:val="-6"/>
                                      <w:sz w:val="21"/>
                                    </w:rPr>
                                    <w:t>围内的合格投标人按其投标报价由低到高的顺序依次排出名次</w:t>
                                  </w:r>
                                </w:p>
                                <w:p>
                                  <w:pPr>
                                    <w:pStyle w:val="33"/>
                                    <w:spacing w:before="73" w:line="350" w:lineRule="auto"/>
                                    <w:ind w:left="2" w:right="-8" w:firstLine="420"/>
                                    <w:jc w:val="both"/>
                                    <w:rPr>
                                      <w:spacing w:val="-11"/>
                                      <w:sz w:val="21"/>
                                    </w:rPr>
                                  </w:pPr>
                                  <w:r>
                                    <w:rPr>
                                      <w:sz w:val="21"/>
                                    </w:rPr>
                                    <w:t>3.</w:t>
                                  </w:r>
                                  <w:r>
                                    <w:rPr>
                                      <w:rFonts w:hint="eastAsia"/>
                                      <w:sz w:val="21"/>
                                      <w:lang w:eastAsia="zh-CN"/>
                                    </w:rPr>
                                    <w:t>将</w:t>
                                  </w:r>
                                  <w:r>
                                    <w:rPr>
                                      <w:spacing w:val="-11"/>
                                      <w:sz w:val="21"/>
                                    </w:rPr>
                                    <w:t>通过资格评审、形式评审、响应性评审且报价有效的</w:t>
                                  </w:r>
                                  <w:r>
                                    <w:rPr>
                                      <w:spacing w:val="-5"/>
                                      <w:sz w:val="21"/>
                                    </w:rPr>
                                    <w:t>全部合格投标人有效投标报价的算术平均值作</w:t>
                                  </w:r>
                                  <w:r>
                                    <w:rPr>
                                      <w:spacing w:val="-4"/>
                                      <w:sz w:val="21"/>
                                    </w:rPr>
                                    <w:t>为评标基准价</w:t>
                                  </w:r>
                                  <w:r>
                                    <w:rPr>
                                      <w:b/>
                                      <w:sz w:val="21"/>
                                    </w:rPr>
                                    <w:t>。</w:t>
                                  </w:r>
                                </w:p>
                                <w:p>
                                  <w:pPr>
                                    <w:pStyle w:val="33"/>
                                    <w:spacing w:before="73" w:line="350" w:lineRule="auto"/>
                                    <w:ind w:left="2" w:right="-8" w:firstLine="420"/>
                                    <w:jc w:val="both"/>
                                    <w:rPr>
                                      <w:sz w:val="21"/>
                                    </w:rPr>
                                  </w:pPr>
                                  <w:r>
                                    <w:rPr>
                                      <w:spacing w:val="-11"/>
                                      <w:sz w:val="21"/>
                                    </w:rPr>
                                    <w:t>4.投标报价评分满分 60 分。评审时以评标基准价为最高分</w:t>
                                  </w:r>
                                  <w:r>
                                    <w:rPr>
                                      <w:rFonts w:hint="eastAsia"/>
                                      <w:spacing w:val="-11"/>
                                      <w:sz w:val="21"/>
                                      <w:lang w:eastAsia="zh-CN"/>
                                    </w:rPr>
                                    <w:t>，</w:t>
                                  </w:r>
                                  <w:r>
                                    <w:rPr>
                                      <w:spacing w:val="-11"/>
                                      <w:sz w:val="21"/>
                                    </w:rPr>
                                    <w:t>采用内插法计算，投标人报价每高于评标基准价 1％的扣 1.5 分</w:t>
                                  </w:r>
                                  <w:r>
                                    <w:rPr>
                                      <w:rFonts w:hint="eastAsia"/>
                                      <w:spacing w:val="-11"/>
                                      <w:sz w:val="21"/>
                                      <w:lang w:eastAsia="zh-CN"/>
                                    </w:rPr>
                                    <w:t>，</w:t>
                                  </w:r>
                                  <w:r>
                                    <w:rPr>
                                      <w:spacing w:val="-11"/>
                                      <w:sz w:val="21"/>
                                    </w:rPr>
                                    <w:t>每低于评标基准价 1％的扣</w:t>
                                  </w:r>
                                  <w:r>
                                    <w:rPr>
                                      <w:rFonts w:hint="eastAsia"/>
                                      <w:spacing w:val="-11"/>
                                      <w:sz w:val="21"/>
                                      <w:lang w:val="en-US" w:eastAsia="zh-CN"/>
                                    </w:rPr>
                                    <w:t>1</w:t>
                                  </w:r>
                                  <w:r>
                                    <w:rPr>
                                      <w:spacing w:val="-11"/>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0" w:hRule="atLeast"/>
                              </w:trPr>
                              <w:tc>
                                <w:tcPr>
                                  <w:tcW w:w="927"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162"/>
                                    <w:ind w:left="175" w:right="170"/>
                                    <w:jc w:val="center"/>
                                    <w:rPr>
                                      <w:sz w:val="21"/>
                                    </w:rPr>
                                  </w:pPr>
                                  <w:r>
                                    <w:rPr>
                                      <w:sz w:val="21"/>
                                    </w:rPr>
                                    <w:t>2.2.3</w:t>
                                  </w:r>
                                </w:p>
                              </w:tc>
                              <w:tc>
                                <w:tcPr>
                                  <w:tcW w:w="691"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3"/>
                                    <w:rPr>
                                      <w:sz w:val="27"/>
                                    </w:rPr>
                                  </w:pPr>
                                </w:p>
                                <w:p>
                                  <w:pPr>
                                    <w:pStyle w:val="33"/>
                                    <w:spacing w:line="297" w:lineRule="auto"/>
                                    <w:ind w:left="26" w:right="19"/>
                                    <w:jc w:val="center"/>
                                    <w:rPr>
                                      <w:sz w:val="21"/>
                                    </w:rPr>
                                  </w:pPr>
                                  <w:r>
                                    <w:rPr>
                                      <w:sz w:val="21"/>
                                    </w:rPr>
                                    <w:t>施工组织设计评分标准（满分 20 分）</w:t>
                                  </w:r>
                                </w:p>
                              </w:tc>
                              <w:tc>
                                <w:tcPr>
                                  <w:tcW w:w="2552"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174"/>
                                    <w:ind w:left="114"/>
                                    <w:rPr>
                                      <w:sz w:val="21"/>
                                    </w:rPr>
                                  </w:pPr>
                                  <w:r>
                                    <w:rPr>
                                      <w:sz w:val="21"/>
                                    </w:rPr>
                                    <w:t>施工方案（满分 2.5 分）</w:t>
                                  </w:r>
                                </w:p>
                              </w:tc>
                              <w:tc>
                                <w:tcPr>
                                  <w:tcW w:w="5387" w:type="dxa"/>
                                </w:tcPr>
                                <w:p>
                                  <w:pPr>
                                    <w:pStyle w:val="33"/>
                                    <w:spacing w:before="59" w:line="331" w:lineRule="auto"/>
                                    <w:ind w:left="2" w:right="-5" w:firstLine="420"/>
                                    <w:jc w:val="both"/>
                                    <w:rPr>
                                      <w:sz w:val="21"/>
                                    </w:rPr>
                                  </w:pPr>
                                  <w:r>
                                    <w:rPr>
                                      <w:spacing w:val="-9"/>
                                      <w:sz w:val="21"/>
                                    </w:rPr>
                                    <w:t>各主要分部施工方法符合项目实际，须有详尽的施工技</w:t>
                                  </w:r>
                                  <w:r>
                                    <w:rPr>
                                      <w:spacing w:val="-12"/>
                                      <w:sz w:val="21"/>
                                    </w:rPr>
                                    <w:t>术方案，工艺先进、方法科学合理、可行，能指导具体施工</w:t>
                                  </w:r>
                                  <w:r>
                                    <w:rPr>
                                      <w:spacing w:val="-6"/>
                                      <w:sz w:val="21"/>
                                    </w:rPr>
                                    <w:t>并确保安全。</w:t>
                                  </w:r>
                                </w:p>
                                <w:p>
                                  <w:pPr>
                                    <w:pStyle w:val="33"/>
                                    <w:spacing w:before="24" w:line="331" w:lineRule="auto"/>
                                    <w:ind w:left="2" w:right="-8" w:firstLine="420"/>
                                    <w:jc w:val="both"/>
                                    <w:rPr>
                                      <w:sz w:val="21"/>
                                    </w:rPr>
                                  </w:pPr>
                                  <w:r>
                                    <w:rPr>
                                      <w:spacing w:val="-8"/>
                                      <w:sz w:val="21"/>
                                    </w:rPr>
                                    <w:t>优</w:t>
                                  </w:r>
                                  <w:r>
                                    <w:rPr>
                                      <w:sz w:val="21"/>
                                    </w:rPr>
                                    <w:t>（2.5</w:t>
                                  </w:r>
                                  <w:r>
                                    <w:rPr>
                                      <w:spacing w:val="-17"/>
                                      <w:sz w:val="21"/>
                                    </w:rPr>
                                    <w:t xml:space="preserve"> 分</w:t>
                                  </w:r>
                                  <w:r>
                                    <w:rPr>
                                      <w:spacing w:val="-9"/>
                                      <w:sz w:val="21"/>
                                    </w:rPr>
                                    <w:t>）</w:t>
                                  </w:r>
                                  <w:r>
                                    <w:rPr>
                                      <w:spacing w:val="-6"/>
                                      <w:sz w:val="21"/>
                                    </w:rPr>
                                    <w:t>：对项目总体有深刻认识，表述清晰、完</w:t>
                                  </w:r>
                                  <w:r>
                                    <w:rPr>
                                      <w:spacing w:val="-12"/>
                                      <w:sz w:val="21"/>
                                    </w:rPr>
                                    <w:t>整、严谨、合理，措施先进、具体、有效、成熟，采用已论</w:t>
                                  </w:r>
                                  <w:r>
                                    <w:rPr>
                                      <w:spacing w:val="-13"/>
                                      <w:sz w:val="21"/>
                                    </w:rPr>
                                    <w:t>证的新技术、新工艺、新材料、新设备；施工段划分呼应总</w:t>
                                  </w:r>
                                  <w:r>
                                    <w:rPr>
                                      <w:spacing w:val="-6"/>
                                      <w:sz w:val="21"/>
                                    </w:rPr>
                                    <w:t>体表述，划分清晰、合理，符合规范要求。</w:t>
                                  </w:r>
                                </w:p>
                                <w:p>
                                  <w:pPr>
                                    <w:pStyle w:val="33"/>
                                    <w:spacing w:before="24" w:line="331" w:lineRule="auto"/>
                                    <w:ind w:left="2" w:right="-3" w:firstLine="420"/>
                                    <w:rPr>
                                      <w:sz w:val="21"/>
                                    </w:rPr>
                                  </w:pPr>
                                  <w:r>
                                    <w:rPr>
                                      <w:spacing w:val="-8"/>
                                      <w:sz w:val="21"/>
                                    </w:rPr>
                                    <w:t>良</w:t>
                                  </w:r>
                                  <w:r>
                                    <w:rPr>
                                      <w:sz w:val="21"/>
                                    </w:rPr>
                                    <w:t>（2.0</w:t>
                                  </w:r>
                                  <w:r>
                                    <w:rPr>
                                      <w:spacing w:val="-16"/>
                                      <w:sz w:val="21"/>
                                    </w:rPr>
                                    <w:t xml:space="preserve"> 分</w:t>
                                  </w:r>
                                  <w:r>
                                    <w:rPr>
                                      <w:spacing w:val="-9"/>
                                      <w:sz w:val="21"/>
                                    </w:rPr>
                                    <w:t>）</w:t>
                                  </w:r>
                                  <w:r>
                                    <w:rPr>
                                      <w:spacing w:val="-6"/>
                                      <w:sz w:val="21"/>
                                    </w:rPr>
                                    <w:t>：对项目总体有一定认识，表述清晰、完</w:t>
                                  </w:r>
                                  <w:r>
                                    <w:rPr>
                                      <w:spacing w:val="-17"/>
                                      <w:sz w:val="21"/>
                                    </w:rPr>
                                    <w:t>整，措施具体、有效；施工段划分呼应总体表述，划分清晰</w:t>
                                  </w:r>
                                  <w:r>
                                    <w:rPr>
                                      <w:spacing w:val="-7"/>
                                      <w:sz w:val="21"/>
                                    </w:rPr>
                                    <w:t>符合规范要求。</w:t>
                                  </w:r>
                                </w:p>
                                <w:p>
                                  <w:pPr>
                                    <w:pStyle w:val="33"/>
                                    <w:spacing w:before="24" w:line="333" w:lineRule="auto"/>
                                    <w:ind w:left="2" w:right="-3" w:firstLine="420"/>
                                    <w:jc w:val="both"/>
                                    <w:rPr>
                                      <w:sz w:val="21"/>
                                    </w:rPr>
                                  </w:pPr>
                                  <w:r>
                                    <w:rPr>
                                      <w:spacing w:val="-8"/>
                                      <w:sz w:val="21"/>
                                    </w:rPr>
                                    <w:t>中</w:t>
                                  </w:r>
                                  <w:r>
                                    <w:rPr>
                                      <w:sz w:val="21"/>
                                    </w:rPr>
                                    <w:t>（1.5</w:t>
                                  </w:r>
                                  <w:r>
                                    <w:rPr>
                                      <w:spacing w:val="-17"/>
                                      <w:sz w:val="21"/>
                                    </w:rPr>
                                    <w:t xml:space="preserve"> 分</w:t>
                                  </w:r>
                                  <w:r>
                                    <w:rPr>
                                      <w:spacing w:val="-10"/>
                                      <w:sz w:val="21"/>
                                    </w:rPr>
                                    <w:t>）：</w:t>
                                  </w:r>
                                  <w:r>
                                    <w:rPr>
                                      <w:spacing w:val="-4"/>
                                      <w:sz w:val="21"/>
                                    </w:rPr>
                                    <w:t>对项目总体有认识，有一定措施但部分</w:t>
                                  </w:r>
                                  <w:r>
                                    <w:rPr>
                                      <w:spacing w:val="-3"/>
                                      <w:sz w:val="21"/>
                                    </w:rPr>
                                    <w:t>不具体，施工段划分合理，符合规范要求。</w:t>
                                  </w:r>
                                </w:p>
                                <w:p>
                                  <w:pPr>
                                    <w:pStyle w:val="33"/>
                                    <w:spacing w:before="23"/>
                                    <w:ind w:left="422" w:right="-3"/>
                                    <w:rPr>
                                      <w:sz w:val="21"/>
                                    </w:rPr>
                                  </w:pPr>
                                  <w:r>
                                    <w:rPr>
                                      <w:spacing w:val="-8"/>
                                      <w:sz w:val="21"/>
                                    </w:rPr>
                                    <w:t>差</w:t>
                                  </w:r>
                                  <w:r>
                                    <w:rPr>
                                      <w:sz w:val="21"/>
                                    </w:rPr>
                                    <w:t>（0.5</w:t>
                                  </w:r>
                                  <w:r>
                                    <w:rPr>
                                      <w:spacing w:val="-14"/>
                                      <w:sz w:val="21"/>
                                    </w:rPr>
                                    <w:t xml:space="preserve"> 分</w:t>
                                  </w:r>
                                  <w:r>
                                    <w:rPr>
                                      <w:spacing w:val="-9"/>
                                      <w:sz w:val="21"/>
                                    </w:rPr>
                                    <w:t>）</w:t>
                                  </w:r>
                                  <w:r>
                                    <w:rPr>
                                      <w:spacing w:val="-6"/>
                                      <w:sz w:val="21"/>
                                    </w:rPr>
                                    <w:t>：对项目认识不足，表述不清晰，措施不</w:t>
                                  </w:r>
                                </w:p>
                                <w:p>
                                  <w:pPr>
                                    <w:pStyle w:val="33"/>
                                    <w:spacing w:before="104"/>
                                    <w:ind w:left="2"/>
                                    <w:rPr>
                                      <w:sz w:val="21"/>
                                    </w:rPr>
                                  </w:pPr>
                                  <w:r>
                                    <w:rPr>
                                      <w:sz w:val="21"/>
                                    </w:rPr>
                                    <w:t>具体，施工段划分不合理。</w:t>
                                  </w:r>
                                </w:p>
                              </w:tc>
                            </w:tr>
                          </w:tbl>
                          <w:p>
                            <w:pPr>
                              <w:pStyle w:val="13"/>
                              <w:ind w:left="0"/>
                            </w:pPr>
                          </w:p>
                        </w:txbxContent>
                      </wps:txbx>
                      <wps:bodyPr lIns="0" tIns="0" rIns="0" bIns="0" upright="1"/>
                    </wps:wsp>
                  </a:graphicData>
                </a:graphic>
              </wp:anchor>
            </w:drawing>
          </mc:Choice>
          <mc:Fallback>
            <w:pict>
              <v:shape id="文本框 3" o:spid="_x0000_s1026" o:spt="202" type="#_x0000_t202" style="position:absolute;left:0pt;margin-left:60.55pt;margin-top:70.9pt;height:614.4pt;width:478.55pt;mso-position-horizontal-relative:page;mso-position-vertical-relative:page;z-index:2048;mso-width-relative:page;mso-height-relative:page;" filled="f" stroked="f" coordsize="21600,21600" o:gfxdata="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tD+AnZAAAADQEAAA8AAAAA&#10;AAAAAQAgAAAAIgAAAGRycy9kb3ducmV2LnhtbFBLAQIUABQAAAAIAIdO4kCigJ43oQEAACUDAAAO&#10;AAAAAAAAAAEAIAAAACgBAABkcnMvZTJvRG9jLnhtbFBLBQYAAAAABgAGAFkBAAA7BQAAAAA=&#10;">
                <v:fill on="f" focussize="0,0"/>
                <v:stroke on="f"/>
                <v:imagedata o:title=""/>
                <o:lock v:ext="edit" aspectratio="f"/>
                <v:textbox inset="0mm,0mm,0mm,0mm">
                  <w:txbxContent>
                    <w:tbl>
                      <w:tblPr>
                        <w:tblStyle w:val="17"/>
                        <w:tblW w:w="95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691"/>
                        <w:gridCol w:w="2552"/>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0" w:hRule="atLeast"/>
                        </w:trPr>
                        <w:tc>
                          <w:tcPr>
                            <w:tcW w:w="927"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12"/>
                              <w:rPr>
                                <w:sz w:val="13"/>
                              </w:rPr>
                            </w:pPr>
                          </w:p>
                          <w:p>
                            <w:pPr>
                              <w:pStyle w:val="33"/>
                              <w:spacing w:before="1"/>
                              <w:ind w:left="173" w:right="173"/>
                              <w:jc w:val="center"/>
                              <w:rPr>
                                <w:sz w:val="21"/>
                              </w:rPr>
                            </w:pPr>
                            <w:r>
                              <w:rPr>
                                <w:sz w:val="21"/>
                              </w:rPr>
                              <w:t>2.2.2</w:t>
                            </w:r>
                          </w:p>
                        </w:tc>
                        <w:tc>
                          <w:tcPr>
                            <w:tcW w:w="3243" w:type="dxa"/>
                            <w:gridSpan w:val="2"/>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6"/>
                              <w:rPr>
                                <w:sz w:val="15"/>
                              </w:rPr>
                            </w:pPr>
                          </w:p>
                          <w:p>
                            <w:pPr>
                              <w:pStyle w:val="33"/>
                              <w:ind w:left="2" w:right="-32"/>
                              <w:rPr>
                                <w:sz w:val="21"/>
                              </w:rPr>
                            </w:pPr>
                            <w:r>
                              <w:rPr>
                                <w:spacing w:val="-3"/>
                                <w:sz w:val="21"/>
                              </w:rPr>
                              <w:t>商务标评分标准</w:t>
                            </w:r>
                            <w:r>
                              <w:rPr>
                                <w:sz w:val="21"/>
                              </w:rPr>
                              <w:t>（</w:t>
                            </w:r>
                            <w:r>
                              <w:rPr>
                                <w:spacing w:val="-17"/>
                                <w:sz w:val="21"/>
                              </w:rPr>
                              <w:t xml:space="preserve">满分 </w:t>
                            </w:r>
                            <w:r>
                              <w:rPr>
                                <w:sz w:val="21"/>
                              </w:rPr>
                              <w:t>60</w:t>
                            </w:r>
                            <w:r>
                              <w:rPr>
                                <w:spacing w:val="-25"/>
                                <w:sz w:val="21"/>
                              </w:rPr>
                              <w:t xml:space="preserve"> 分</w:t>
                            </w:r>
                            <w:r>
                              <w:rPr>
                                <w:sz w:val="21"/>
                              </w:rPr>
                              <w:t>）</w:t>
                            </w:r>
                          </w:p>
                        </w:tc>
                        <w:tc>
                          <w:tcPr>
                            <w:tcW w:w="5387" w:type="dxa"/>
                          </w:tcPr>
                          <w:p>
                            <w:pPr>
                              <w:pStyle w:val="33"/>
                              <w:spacing w:before="73" w:line="350" w:lineRule="auto"/>
                              <w:ind w:left="2" w:right="-8" w:firstLine="420"/>
                              <w:jc w:val="both"/>
                              <w:rPr>
                                <w:sz w:val="21"/>
                              </w:rPr>
                            </w:pPr>
                            <w:r>
                              <w:rPr>
                                <w:sz w:val="21"/>
                              </w:rPr>
                              <w:t>1.</w:t>
                            </w:r>
                            <w:r>
                              <w:rPr>
                                <w:spacing w:val="-11"/>
                                <w:sz w:val="21"/>
                              </w:rPr>
                              <w:t>投标报价有效报价范围：为投标报价低于或等于招标控制价，通过资格评审、形式评审、响应性评审，经评标委员会审定</w:t>
                            </w:r>
                            <w:r>
                              <w:rPr>
                                <w:spacing w:val="-13"/>
                                <w:sz w:val="21"/>
                              </w:rPr>
                              <w:t>不存在严重不平衡、不合理、不低于其企业成本的投标人投标报价。</w:t>
                            </w:r>
                          </w:p>
                          <w:p>
                            <w:pPr>
                              <w:pStyle w:val="33"/>
                              <w:spacing w:before="28" w:line="348" w:lineRule="auto"/>
                              <w:ind w:left="2" w:firstLine="420"/>
                              <w:rPr>
                                <w:sz w:val="21"/>
                              </w:rPr>
                            </w:pPr>
                            <w:r>
                              <w:rPr>
                                <w:sz w:val="21"/>
                              </w:rPr>
                              <w:t>2.</w:t>
                            </w:r>
                            <w:r>
                              <w:rPr>
                                <w:spacing w:val="-11"/>
                                <w:sz w:val="21"/>
                              </w:rPr>
                              <w:t>将通过资格评审、形式评审、响应性评审且在有效报价范</w:t>
                            </w:r>
                            <w:r>
                              <w:rPr>
                                <w:spacing w:val="-6"/>
                                <w:sz w:val="21"/>
                              </w:rPr>
                              <w:t>围内的合格投标人按其投标报价由低到高的顺序依次排出名次</w:t>
                            </w:r>
                          </w:p>
                          <w:p>
                            <w:pPr>
                              <w:pStyle w:val="33"/>
                              <w:spacing w:before="73" w:line="350" w:lineRule="auto"/>
                              <w:ind w:left="2" w:right="-8" w:firstLine="420"/>
                              <w:jc w:val="both"/>
                              <w:rPr>
                                <w:spacing w:val="-11"/>
                                <w:sz w:val="21"/>
                              </w:rPr>
                            </w:pPr>
                            <w:r>
                              <w:rPr>
                                <w:sz w:val="21"/>
                              </w:rPr>
                              <w:t>3.</w:t>
                            </w:r>
                            <w:r>
                              <w:rPr>
                                <w:rFonts w:hint="eastAsia"/>
                                <w:sz w:val="21"/>
                                <w:lang w:eastAsia="zh-CN"/>
                              </w:rPr>
                              <w:t>将</w:t>
                            </w:r>
                            <w:r>
                              <w:rPr>
                                <w:spacing w:val="-11"/>
                                <w:sz w:val="21"/>
                              </w:rPr>
                              <w:t>通过资格评审、形式评审、响应性评审且报价有效的</w:t>
                            </w:r>
                            <w:r>
                              <w:rPr>
                                <w:spacing w:val="-5"/>
                                <w:sz w:val="21"/>
                              </w:rPr>
                              <w:t>全部合格投标人有效投标报价的算术平均值作</w:t>
                            </w:r>
                            <w:r>
                              <w:rPr>
                                <w:spacing w:val="-4"/>
                                <w:sz w:val="21"/>
                              </w:rPr>
                              <w:t>为评标基准价</w:t>
                            </w:r>
                            <w:r>
                              <w:rPr>
                                <w:b/>
                                <w:sz w:val="21"/>
                              </w:rPr>
                              <w:t>。</w:t>
                            </w:r>
                          </w:p>
                          <w:p>
                            <w:pPr>
                              <w:pStyle w:val="33"/>
                              <w:spacing w:before="73" w:line="350" w:lineRule="auto"/>
                              <w:ind w:left="2" w:right="-8" w:firstLine="420"/>
                              <w:jc w:val="both"/>
                              <w:rPr>
                                <w:sz w:val="21"/>
                              </w:rPr>
                            </w:pPr>
                            <w:r>
                              <w:rPr>
                                <w:spacing w:val="-11"/>
                                <w:sz w:val="21"/>
                              </w:rPr>
                              <w:t>4.投标报价评分满分 60 分。评审时以评标基准价为最高分</w:t>
                            </w:r>
                            <w:r>
                              <w:rPr>
                                <w:rFonts w:hint="eastAsia"/>
                                <w:spacing w:val="-11"/>
                                <w:sz w:val="21"/>
                                <w:lang w:eastAsia="zh-CN"/>
                              </w:rPr>
                              <w:t>，</w:t>
                            </w:r>
                            <w:r>
                              <w:rPr>
                                <w:spacing w:val="-11"/>
                                <w:sz w:val="21"/>
                              </w:rPr>
                              <w:t>采用内插法计算，投标人报价每高于评标基准价 1％的扣 1.5 分</w:t>
                            </w:r>
                            <w:r>
                              <w:rPr>
                                <w:rFonts w:hint="eastAsia"/>
                                <w:spacing w:val="-11"/>
                                <w:sz w:val="21"/>
                                <w:lang w:eastAsia="zh-CN"/>
                              </w:rPr>
                              <w:t>，</w:t>
                            </w:r>
                            <w:r>
                              <w:rPr>
                                <w:spacing w:val="-11"/>
                                <w:sz w:val="21"/>
                              </w:rPr>
                              <w:t>每低于评标基准价 1％的扣</w:t>
                            </w:r>
                            <w:r>
                              <w:rPr>
                                <w:rFonts w:hint="eastAsia"/>
                                <w:spacing w:val="-11"/>
                                <w:sz w:val="21"/>
                                <w:lang w:val="en-US" w:eastAsia="zh-CN"/>
                              </w:rPr>
                              <w:t>1</w:t>
                            </w:r>
                            <w:r>
                              <w:rPr>
                                <w:spacing w:val="-11"/>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0" w:hRule="atLeast"/>
                        </w:trPr>
                        <w:tc>
                          <w:tcPr>
                            <w:tcW w:w="927"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162"/>
                              <w:ind w:left="175" w:right="170"/>
                              <w:jc w:val="center"/>
                              <w:rPr>
                                <w:sz w:val="21"/>
                              </w:rPr>
                            </w:pPr>
                            <w:r>
                              <w:rPr>
                                <w:sz w:val="21"/>
                              </w:rPr>
                              <w:t>2.2.3</w:t>
                            </w:r>
                          </w:p>
                        </w:tc>
                        <w:tc>
                          <w:tcPr>
                            <w:tcW w:w="691"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3"/>
                              <w:rPr>
                                <w:sz w:val="27"/>
                              </w:rPr>
                            </w:pPr>
                          </w:p>
                          <w:p>
                            <w:pPr>
                              <w:pStyle w:val="33"/>
                              <w:spacing w:line="297" w:lineRule="auto"/>
                              <w:ind w:left="26" w:right="19"/>
                              <w:jc w:val="center"/>
                              <w:rPr>
                                <w:sz w:val="21"/>
                              </w:rPr>
                            </w:pPr>
                            <w:r>
                              <w:rPr>
                                <w:sz w:val="21"/>
                              </w:rPr>
                              <w:t>施工组织设计评分标准（满分 20 分）</w:t>
                            </w:r>
                          </w:p>
                        </w:tc>
                        <w:tc>
                          <w:tcPr>
                            <w:tcW w:w="2552"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174"/>
                              <w:ind w:left="114"/>
                              <w:rPr>
                                <w:sz w:val="21"/>
                              </w:rPr>
                            </w:pPr>
                            <w:r>
                              <w:rPr>
                                <w:sz w:val="21"/>
                              </w:rPr>
                              <w:t>施工方案（满分 2.5 分）</w:t>
                            </w:r>
                          </w:p>
                        </w:tc>
                        <w:tc>
                          <w:tcPr>
                            <w:tcW w:w="5387" w:type="dxa"/>
                          </w:tcPr>
                          <w:p>
                            <w:pPr>
                              <w:pStyle w:val="33"/>
                              <w:spacing w:before="59" w:line="331" w:lineRule="auto"/>
                              <w:ind w:left="2" w:right="-5" w:firstLine="420"/>
                              <w:jc w:val="both"/>
                              <w:rPr>
                                <w:sz w:val="21"/>
                              </w:rPr>
                            </w:pPr>
                            <w:r>
                              <w:rPr>
                                <w:spacing w:val="-9"/>
                                <w:sz w:val="21"/>
                              </w:rPr>
                              <w:t>各主要分部施工方法符合项目实际，须有详尽的施工技</w:t>
                            </w:r>
                            <w:r>
                              <w:rPr>
                                <w:spacing w:val="-12"/>
                                <w:sz w:val="21"/>
                              </w:rPr>
                              <w:t>术方案，工艺先进、方法科学合理、可行，能指导具体施工</w:t>
                            </w:r>
                            <w:r>
                              <w:rPr>
                                <w:spacing w:val="-6"/>
                                <w:sz w:val="21"/>
                              </w:rPr>
                              <w:t>并确保安全。</w:t>
                            </w:r>
                          </w:p>
                          <w:p>
                            <w:pPr>
                              <w:pStyle w:val="33"/>
                              <w:spacing w:before="24" w:line="331" w:lineRule="auto"/>
                              <w:ind w:left="2" w:right="-8" w:firstLine="420"/>
                              <w:jc w:val="both"/>
                              <w:rPr>
                                <w:sz w:val="21"/>
                              </w:rPr>
                            </w:pPr>
                            <w:r>
                              <w:rPr>
                                <w:spacing w:val="-8"/>
                                <w:sz w:val="21"/>
                              </w:rPr>
                              <w:t>优</w:t>
                            </w:r>
                            <w:r>
                              <w:rPr>
                                <w:sz w:val="21"/>
                              </w:rPr>
                              <w:t>（2.5</w:t>
                            </w:r>
                            <w:r>
                              <w:rPr>
                                <w:spacing w:val="-17"/>
                                <w:sz w:val="21"/>
                              </w:rPr>
                              <w:t xml:space="preserve"> 分</w:t>
                            </w:r>
                            <w:r>
                              <w:rPr>
                                <w:spacing w:val="-9"/>
                                <w:sz w:val="21"/>
                              </w:rPr>
                              <w:t>）</w:t>
                            </w:r>
                            <w:r>
                              <w:rPr>
                                <w:spacing w:val="-6"/>
                                <w:sz w:val="21"/>
                              </w:rPr>
                              <w:t>：对项目总体有深刻认识，表述清晰、完</w:t>
                            </w:r>
                            <w:r>
                              <w:rPr>
                                <w:spacing w:val="-12"/>
                                <w:sz w:val="21"/>
                              </w:rPr>
                              <w:t>整、严谨、合理，措施先进、具体、有效、成熟，采用已论</w:t>
                            </w:r>
                            <w:r>
                              <w:rPr>
                                <w:spacing w:val="-13"/>
                                <w:sz w:val="21"/>
                              </w:rPr>
                              <w:t>证的新技术、新工艺、新材料、新设备；施工段划分呼应总</w:t>
                            </w:r>
                            <w:r>
                              <w:rPr>
                                <w:spacing w:val="-6"/>
                                <w:sz w:val="21"/>
                              </w:rPr>
                              <w:t>体表述，划分清晰、合理，符合规范要求。</w:t>
                            </w:r>
                          </w:p>
                          <w:p>
                            <w:pPr>
                              <w:pStyle w:val="33"/>
                              <w:spacing w:before="24" w:line="331" w:lineRule="auto"/>
                              <w:ind w:left="2" w:right="-3" w:firstLine="420"/>
                              <w:rPr>
                                <w:sz w:val="21"/>
                              </w:rPr>
                            </w:pPr>
                            <w:r>
                              <w:rPr>
                                <w:spacing w:val="-8"/>
                                <w:sz w:val="21"/>
                              </w:rPr>
                              <w:t>良</w:t>
                            </w:r>
                            <w:r>
                              <w:rPr>
                                <w:sz w:val="21"/>
                              </w:rPr>
                              <w:t>（2.0</w:t>
                            </w:r>
                            <w:r>
                              <w:rPr>
                                <w:spacing w:val="-16"/>
                                <w:sz w:val="21"/>
                              </w:rPr>
                              <w:t xml:space="preserve"> 分</w:t>
                            </w:r>
                            <w:r>
                              <w:rPr>
                                <w:spacing w:val="-9"/>
                                <w:sz w:val="21"/>
                              </w:rPr>
                              <w:t>）</w:t>
                            </w:r>
                            <w:r>
                              <w:rPr>
                                <w:spacing w:val="-6"/>
                                <w:sz w:val="21"/>
                              </w:rPr>
                              <w:t>：对项目总体有一定认识，表述清晰、完</w:t>
                            </w:r>
                            <w:r>
                              <w:rPr>
                                <w:spacing w:val="-17"/>
                                <w:sz w:val="21"/>
                              </w:rPr>
                              <w:t>整，措施具体、有效；施工段划分呼应总体表述，划分清晰</w:t>
                            </w:r>
                            <w:r>
                              <w:rPr>
                                <w:spacing w:val="-7"/>
                                <w:sz w:val="21"/>
                              </w:rPr>
                              <w:t>符合规范要求。</w:t>
                            </w:r>
                          </w:p>
                          <w:p>
                            <w:pPr>
                              <w:pStyle w:val="33"/>
                              <w:spacing w:before="24" w:line="333" w:lineRule="auto"/>
                              <w:ind w:left="2" w:right="-3" w:firstLine="420"/>
                              <w:jc w:val="both"/>
                              <w:rPr>
                                <w:sz w:val="21"/>
                              </w:rPr>
                            </w:pPr>
                            <w:r>
                              <w:rPr>
                                <w:spacing w:val="-8"/>
                                <w:sz w:val="21"/>
                              </w:rPr>
                              <w:t>中</w:t>
                            </w:r>
                            <w:r>
                              <w:rPr>
                                <w:sz w:val="21"/>
                              </w:rPr>
                              <w:t>（1.5</w:t>
                            </w:r>
                            <w:r>
                              <w:rPr>
                                <w:spacing w:val="-17"/>
                                <w:sz w:val="21"/>
                              </w:rPr>
                              <w:t xml:space="preserve"> 分</w:t>
                            </w:r>
                            <w:r>
                              <w:rPr>
                                <w:spacing w:val="-10"/>
                                <w:sz w:val="21"/>
                              </w:rPr>
                              <w:t>）：</w:t>
                            </w:r>
                            <w:r>
                              <w:rPr>
                                <w:spacing w:val="-4"/>
                                <w:sz w:val="21"/>
                              </w:rPr>
                              <w:t>对项目总体有认识，有一定措施但部分</w:t>
                            </w:r>
                            <w:r>
                              <w:rPr>
                                <w:spacing w:val="-3"/>
                                <w:sz w:val="21"/>
                              </w:rPr>
                              <w:t>不具体，施工段划分合理，符合规范要求。</w:t>
                            </w:r>
                          </w:p>
                          <w:p>
                            <w:pPr>
                              <w:pStyle w:val="33"/>
                              <w:spacing w:before="23"/>
                              <w:ind w:left="422" w:right="-3"/>
                              <w:rPr>
                                <w:sz w:val="21"/>
                              </w:rPr>
                            </w:pPr>
                            <w:r>
                              <w:rPr>
                                <w:spacing w:val="-8"/>
                                <w:sz w:val="21"/>
                              </w:rPr>
                              <w:t>差</w:t>
                            </w:r>
                            <w:r>
                              <w:rPr>
                                <w:sz w:val="21"/>
                              </w:rPr>
                              <w:t>（0.5</w:t>
                            </w:r>
                            <w:r>
                              <w:rPr>
                                <w:spacing w:val="-14"/>
                                <w:sz w:val="21"/>
                              </w:rPr>
                              <w:t xml:space="preserve"> 分</w:t>
                            </w:r>
                            <w:r>
                              <w:rPr>
                                <w:spacing w:val="-9"/>
                                <w:sz w:val="21"/>
                              </w:rPr>
                              <w:t>）</w:t>
                            </w:r>
                            <w:r>
                              <w:rPr>
                                <w:spacing w:val="-6"/>
                                <w:sz w:val="21"/>
                              </w:rPr>
                              <w:t>：对项目认识不足，表述不清晰，措施不</w:t>
                            </w:r>
                          </w:p>
                          <w:p>
                            <w:pPr>
                              <w:pStyle w:val="33"/>
                              <w:spacing w:before="104"/>
                              <w:ind w:left="2"/>
                              <w:rPr>
                                <w:sz w:val="21"/>
                              </w:rPr>
                            </w:pPr>
                            <w:r>
                              <w:rPr>
                                <w:sz w:val="21"/>
                              </w:rPr>
                              <w:t>具体，施工段划分不合理。</w:t>
                            </w:r>
                          </w:p>
                        </w:tc>
                      </w:tr>
                    </w:tbl>
                    <w:p>
                      <w:pPr>
                        <w:pStyle w:val="13"/>
                        <w:ind w:left="0"/>
                      </w:pPr>
                    </w:p>
                  </w:txbxContent>
                </v:textbox>
              </v:shape>
            </w:pict>
          </mc:Fallback>
        </mc:AlternateContent>
      </w:r>
    </w:p>
    <w:p>
      <w:pPr>
        <w:pStyle w:val="13"/>
        <w:ind w:left="0"/>
        <w:rPr>
          <w:b/>
          <w:sz w:val="20"/>
        </w:rPr>
      </w:pPr>
    </w:p>
    <w:p>
      <w:pPr>
        <w:pStyle w:val="13"/>
        <w:ind w:left="0"/>
        <w:rPr>
          <w:b/>
          <w:sz w:val="20"/>
        </w:rPr>
      </w:pPr>
    </w:p>
    <w:p>
      <w:pPr>
        <w:pStyle w:val="13"/>
        <w:ind w:left="0"/>
        <w:rPr>
          <w:b/>
          <w:sz w:val="20"/>
        </w:rPr>
      </w:pPr>
    </w:p>
    <w:p>
      <w:pPr>
        <w:pStyle w:val="13"/>
        <w:ind w:left="0"/>
        <w:rPr>
          <w:b/>
          <w:sz w:val="20"/>
        </w:rPr>
      </w:pPr>
    </w:p>
    <w:p>
      <w:pPr>
        <w:pStyle w:val="13"/>
        <w:ind w:left="0"/>
        <w:rPr>
          <w:b/>
          <w:sz w:val="20"/>
        </w:rPr>
      </w:pPr>
    </w:p>
    <w:p>
      <w:pPr>
        <w:pStyle w:val="13"/>
        <w:ind w:left="0"/>
        <w:rPr>
          <w:b/>
          <w:sz w:val="20"/>
        </w:rPr>
      </w:pPr>
    </w:p>
    <w:p>
      <w:pPr>
        <w:pStyle w:val="13"/>
        <w:spacing w:before="5"/>
        <w:ind w:left="0"/>
        <w:rPr>
          <w:b/>
          <w:sz w:val="16"/>
        </w:rPr>
      </w:pPr>
    </w:p>
    <w:p>
      <w:pPr>
        <w:pStyle w:val="13"/>
        <w:spacing w:before="36"/>
        <w:ind w:left="0" w:right="112"/>
        <w:jc w:val="right"/>
      </w:pPr>
      <w:r>
        <w:rPr>
          <w:w w:val="100"/>
        </w:rPr>
        <w:t>。</w:t>
      </w:r>
    </w:p>
    <w:p>
      <w:pPr>
        <w:spacing w:after="0"/>
        <w:jc w:val="right"/>
        <w:sectPr>
          <w:pgSz w:w="11910" w:h="16840"/>
          <w:pgMar w:top="1400" w:right="940" w:bottom="1120" w:left="1100" w:header="0" w:footer="920" w:gutter="0"/>
        </w:sectPr>
      </w:pPr>
    </w:p>
    <w:p>
      <w:pPr>
        <w:pStyle w:val="13"/>
        <w:spacing w:before="69"/>
        <w:ind w:left="0" w:right="105"/>
        <w:jc w:val="right"/>
      </w:pPr>
      <w:r>
        <mc:AlternateContent>
          <mc:Choice Requires="wps">
            <w:drawing>
              <wp:anchor distT="0" distB="0" distL="114300" distR="114300" simplePos="0" relativeHeight="2048" behindDoc="0" locked="0" layoutInCell="1" allowOverlap="1">
                <wp:simplePos x="0" y="0"/>
                <wp:positionH relativeFrom="page">
                  <wp:posOffset>768985</wp:posOffset>
                </wp:positionH>
                <wp:positionV relativeFrom="page">
                  <wp:posOffset>900430</wp:posOffset>
                </wp:positionV>
                <wp:extent cx="6077585" cy="78701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077585" cy="7870190"/>
                        </a:xfrm>
                        <a:prstGeom prst="rect">
                          <a:avLst/>
                        </a:prstGeom>
                        <a:noFill/>
                        <a:ln>
                          <a:noFill/>
                        </a:ln>
                      </wps:spPr>
                      <wps:txbx>
                        <w:txbxContent>
                          <w:tbl>
                            <w:tblPr>
                              <w:tblStyle w:val="17"/>
                              <w:tblW w:w="95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691"/>
                              <w:gridCol w:w="2552"/>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927" w:type="dxa"/>
                                  <w:vMerge w:val="restart"/>
                                  <w:tcBorders>
                                    <w:top w:val="single" w:color="auto" w:sz="4" w:space="0"/>
                                    <w:left w:val="single" w:color="auto" w:sz="4" w:space="0"/>
                                    <w:right w:val="single" w:color="auto" w:sz="4" w:space="0"/>
                                  </w:tcBorders>
                                </w:tcPr>
                                <w:p>
                                  <w:pPr>
                                    <w:pStyle w:val="33"/>
                                    <w:rPr>
                                      <w:rFonts w:ascii="Times New Roman"/>
                                      <w:sz w:val="20"/>
                                    </w:rPr>
                                  </w:pPr>
                                </w:p>
                              </w:tc>
                              <w:tc>
                                <w:tcPr>
                                  <w:tcW w:w="691" w:type="dxa"/>
                                  <w:vMerge w:val="restart"/>
                                  <w:tcBorders>
                                    <w:top w:val="single" w:color="auto" w:sz="4" w:space="0"/>
                                    <w:left w:val="single" w:color="auto" w:sz="4" w:space="0"/>
                                  </w:tcBorders>
                                </w:tcPr>
                                <w:p>
                                  <w:pPr>
                                    <w:pStyle w:val="33"/>
                                    <w:rPr>
                                      <w:rFonts w:ascii="Times New Roman"/>
                                      <w:sz w:val="20"/>
                                    </w:rPr>
                                  </w:pPr>
                                </w:p>
                              </w:tc>
                              <w:tc>
                                <w:tcPr>
                                  <w:tcW w:w="2552" w:type="dxa"/>
                                  <w:tcBorders>
                                    <w:top w:val="single" w:color="auto" w:sz="4" w:space="0"/>
                                    <w:right w:val="single" w:color="auto" w:sz="4" w:space="0"/>
                                  </w:tcBorders>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8"/>
                                    <w:rPr>
                                      <w:sz w:val="20"/>
                                    </w:rPr>
                                  </w:pPr>
                                </w:p>
                                <w:p>
                                  <w:pPr>
                                    <w:pStyle w:val="33"/>
                                    <w:spacing w:line="333" w:lineRule="auto"/>
                                    <w:ind w:left="743" w:right="-7" w:hanging="735"/>
                                    <w:rPr>
                                      <w:sz w:val="21"/>
                                    </w:rPr>
                                  </w:pPr>
                                  <w:r>
                                    <w:rPr>
                                      <w:sz w:val="21"/>
                                    </w:rPr>
                                    <w:t>拟投入的主要物资计划（满分 1.5 分）</w:t>
                                  </w:r>
                                </w:p>
                              </w:tc>
                              <w:tc>
                                <w:tcPr>
                                  <w:tcW w:w="5387" w:type="dxa"/>
                                  <w:tcBorders>
                                    <w:top w:val="single" w:color="auto" w:sz="4" w:space="0"/>
                                    <w:left w:val="single" w:color="auto" w:sz="4" w:space="0"/>
                                    <w:right w:val="single" w:color="auto" w:sz="4" w:space="0"/>
                                  </w:tcBorders>
                                </w:tcPr>
                                <w:p>
                                  <w:pPr>
                                    <w:pStyle w:val="33"/>
                                    <w:spacing w:before="59" w:line="331" w:lineRule="auto"/>
                                    <w:ind w:left="2" w:right="104" w:firstLine="420"/>
                                    <w:rPr>
                                      <w:sz w:val="21"/>
                                    </w:rPr>
                                  </w:pPr>
                                  <w:r>
                                    <w:rPr>
                                      <w:sz w:val="21"/>
                                    </w:rPr>
                                    <w:t>投入的施工材料有详细的组织计划且计划周密，数量选型配置、进场时间安排合理，满足施工需要。</w:t>
                                  </w:r>
                                </w:p>
                                <w:p>
                                  <w:pPr>
                                    <w:pStyle w:val="33"/>
                                    <w:spacing w:before="26" w:line="331" w:lineRule="auto"/>
                                    <w:ind w:left="2" w:right="-3" w:firstLine="420"/>
                                    <w:rPr>
                                      <w:sz w:val="21"/>
                                    </w:rPr>
                                  </w:pPr>
                                  <w:r>
                                    <w:rPr>
                                      <w:spacing w:val="-8"/>
                                      <w:sz w:val="21"/>
                                    </w:rPr>
                                    <w:t>优</w:t>
                                  </w:r>
                                  <w:r>
                                    <w:rPr>
                                      <w:sz w:val="21"/>
                                    </w:rPr>
                                    <w:t>（1.5</w:t>
                                  </w:r>
                                  <w:r>
                                    <w:rPr>
                                      <w:spacing w:val="-17"/>
                                      <w:sz w:val="21"/>
                                    </w:rPr>
                                    <w:t xml:space="preserve"> 分</w:t>
                                  </w:r>
                                  <w:r>
                                    <w:rPr>
                                      <w:spacing w:val="-10"/>
                                      <w:sz w:val="21"/>
                                    </w:rPr>
                                    <w:t>）：</w:t>
                                  </w:r>
                                  <w:r>
                                    <w:rPr>
                                      <w:spacing w:val="-4"/>
                                      <w:sz w:val="21"/>
                                    </w:rPr>
                                    <w:t>投入计划与进度计划呼应，较好满足施</w:t>
                                  </w:r>
                                  <w:r>
                                    <w:rPr>
                                      <w:spacing w:val="-3"/>
                                      <w:sz w:val="21"/>
                                    </w:rPr>
                                    <w:t>工要求，调配投入计划合理、准确。</w:t>
                                  </w:r>
                                </w:p>
                                <w:p>
                                  <w:pPr>
                                    <w:pStyle w:val="33"/>
                                    <w:spacing w:before="24" w:line="333" w:lineRule="auto"/>
                                    <w:ind w:left="2" w:right="-3" w:firstLine="420"/>
                                    <w:rPr>
                                      <w:sz w:val="21"/>
                                    </w:rPr>
                                  </w:pPr>
                                  <w:r>
                                    <w:rPr>
                                      <w:spacing w:val="-8"/>
                                      <w:sz w:val="21"/>
                                    </w:rPr>
                                    <w:t>良</w:t>
                                  </w:r>
                                  <w:r>
                                    <w:rPr>
                                      <w:sz w:val="21"/>
                                    </w:rPr>
                                    <w:t>（1.0</w:t>
                                  </w:r>
                                  <w:r>
                                    <w:rPr>
                                      <w:spacing w:val="-17"/>
                                      <w:sz w:val="21"/>
                                    </w:rPr>
                                    <w:t xml:space="preserve"> 分</w:t>
                                  </w:r>
                                  <w:r>
                                    <w:rPr>
                                      <w:spacing w:val="-10"/>
                                      <w:sz w:val="21"/>
                                    </w:rPr>
                                    <w:t>）：</w:t>
                                  </w:r>
                                  <w:r>
                                    <w:rPr>
                                      <w:spacing w:val="-4"/>
                                      <w:sz w:val="21"/>
                                    </w:rPr>
                                    <w:t>投入计划与进度计划呼应，满足施工要</w:t>
                                  </w:r>
                                  <w:r>
                                    <w:rPr>
                                      <w:spacing w:val="-3"/>
                                      <w:sz w:val="21"/>
                                    </w:rPr>
                                    <w:t>求，调配投入计划基本合理、准确。</w:t>
                                  </w:r>
                                </w:p>
                                <w:p>
                                  <w:pPr>
                                    <w:pStyle w:val="33"/>
                                    <w:spacing w:before="22" w:line="331" w:lineRule="auto"/>
                                    <w:ind w:left="2" w:right="-3" w:firstLine="420"/>
                                    <w:rPr>
                                      <w:sz w:val="21"/>
                                    </w:rPr>
                                  </w:pPr>
                                  <w:r>
                                    <w:rPr>
                                      <w:spacing w:val="-8"/>
                                      <w:sz w:val="21"/>
                                    </w:rPr>
                                    <w:t>中</w:t>
                                  </w:r>
                                  <w:r>
                                    <w:rPr>
                                      <w:sz w:val="21"/>
                                    </w:rPr>
                                    <w:t>（0.5</w:t>
                                  </w:r>
                                  <w:r>
                                    <w:rPr>
                                      <w:spacing w:val="-17"/>
                                      <w:sz w:val="21"/>
                                    </w:rPr>
                                    <w:t xml:space="preserve"> 分</w:t>
                                  </w:r>
                                  <w:r>
                                    <w:rPr>
                                      <w:spacing w:val="-10"/>
                                      <w:sz w:val="21"/>
                                    </w:rPr>
                                    <w:t>）：</w:t>
                                  </w:r>
                                  <w:r>
                                    <w:rPr>
                                      <w:spacing w:val="-4"/>
                                      <w:sz w:val="21"/>
                                    </w:rPr>
                                    <w:t>投入计划与进度计划呼应，基本满足施</w:t>
                                  </w:r>
                                  <w:r>
                                    <w:rPr>
                                      <w:spacing w:val="-3"/>
                                      <w:sz w:val="21"/>
                                    </w:rPr>
                                    <w:t>工要求，调配投入计划合理。</w:t>
                                  </w:r>
                                </w:p>
                                <w:p>
                                  <w:pPr>
                                    <w:pStyle w:val="33"/>
                                    <w:spacing w:before="26"/>
                                    <w:ind w:left="422" w:right="-3"/>
                                    <w:rPr>
                                      <w:sz w:val="21"/>
                                    </w:rPr>
                                  </w:pPr>
                                  <w:r>
                                    <w:rPr>
                                      <w:spacing w:val="-8"/>
                                      <w:sz w:val="21"/>
                                    </w:rPr>
                                    <w:t>差</w:t>
                                  </w:r>
                                  <w:r>
                                    <w:rPr>
                                      <w:sz w:val="21"/>
                                    </w:rPr>
                                    <w:t>（0.1</w:t>
                                  </w:r>
                                  <w:r>
                                    <w:rPr>
                                      <w:spacing w:val="-15"/>
                                      <w:sz w:val="21"/>
                                    </w:rPr>
                                    <w:t xml:space="preserve"> 分</w:t>
                                  </w:r>
                                  <w:r>
                                    <w:rPr>
                                      <w:spacing w:val="-10"/>
                                      <w:sz w:val="21"/>
                                    </w:rPr>
                                    <w:t>）：</w:t>
                                  </w:r>
                                  <w:r>
                                    <w:rPr>
                                      <w:spacing w:val="-4"/>
                                      <w:sz w:val="21"/>
                                    </w:rPr>
                                    <w:t>投入计划与进度计划不呼应，不能满足</w:t>
                                  </w:r>
                                </w:p>
                                <w:p>
                                  <w:pPr>
                                    <w:pStyle w:val="33"/>
                                    <w:spacing w:before="104"/>
                                    <w:ind w:left="2"/>
                                    <w:rPr>
                                      <w:sz w:val="21"/>
                                    </w:rPr>
                                  </w:pPr>
                                  <w:r>
                                    <w:rPr>
                                      <w:sz w:val="21"/>
                                    </w:rPr>
                                    <w:t>施工要求。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0" w:hRule="atLeast"/>
                              </w:trPr>
                              <w:tc>
                                <w:tcPr>
                                  <w:tcW w:w="927" w:type="dxa"/>
                                  <w:vMerge w:val="continue"/>
                                  <w:tcBorders>
                                    <w:top w:val="nil"/>
                                    <w:left w:val="single" w:color="auto" w:sz="4" w:space="0"/>
                                    <w:bottom w:val="single" w:color="auto" w:sz="4" w:space="0"/>
                                    <w:right w:val="single" w:color="auto" w:sz="4" w:space="0"/>
                                  </w:tcBorders>
                                </w:tcPr>
                                <w:p>
                                  <w:pPr>
                                    <w:rPr>
                                      <w:sz w:val="2"/>
                                      <w:szCs w:val="2"/>
                                    </w:rPr>
                                  </w:pPr>
                                </w:p>
                              </w:tc>
                              <w:tc>
                                <w:tcPr>
                                  <w:tcW w:w="691" w:type="dxa"/>
                                  <w:vMerge w:val="continue"/>
                                  <w:tcBorders>
                                    <w:top w:val="nil"/>
                                    <w:left w:val="single" w:color="auto" w:sz="4" w:space="0"/>
                                    <w:bottom w:val="single" w:color="auto" w:sz="4" w:space="0"/>
                                  </w:tcBorders>
                                </w:tcPr>
                                <w:p>
                                  <w:pPr>
                                    <w:rPr>
                                      <w:sz w:val="2"/>
                                      <w:szCs w:val="2"/>
                                    </w:rPr>
                                  </w:pPr>
                                </w:p>
                              </w:tc>
                              <w:tc>
                                <w:tcPr>
                                  <w:tcW w:w="2552" w:type="dxa"/>
                                  <w:tcBorders>
                                    <w:bottom w:val="single" w:color="auto" w:sz="4" w:space="0"/>
                                    <w:right w:val="single" w:color="auto" w:sz="4" w:space="0"/>
                                  </w:tcBorders>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4"/>
                                    <w:rPr>
                                      <w:sz w:val="15"/>
                                    </w:rPr>
                                  </w:pPr>
                                </w:p>
                                <w:p>
                                  <w:pPr>
                                    <w:pStyle w:val="33"/>
                                    <w:spacing w:line="331" w:lineRule="auto"/>
                                    <w:ind w:left="455" w:right="-7" w:hanging="447"/>
                                    <w:rPr>
                                      <w:sz w:val="21"/>
                                    </w:rPr>
                                  </w:pPr>
                                  <w:r>
                                    <w:rPr>
                                      <w:sz w:val="21"/>
                                    </w:rPr>
                                    <w:t>拟投入的主要施工机械、设备计划（1.5 分）</w:t>
                                  </w:r>
                                </w:p>
                              </w:tc>
                              <w:tc>
                                <w:tcPr>
                                  <w:tcW w:w="5387" w:type="dxa"/>
                                  <w:tcBorders>
                                    <w:left w:val="single" w:color="auto" w:sz="4" w:space="0"/>
                                    <w:right w:val="single" w:color="auto" w:sz="4" w:space="0"/>
                                  </w:tcBorders>
                                </w:tcPr>
                                <w:p>
                                  <w:pPr>
                                    <w:pStyle w:val="33"/>
                                    <w:spacing w:before="59" w:line="333" w:lineRule="auto"/>
                                    <w:ind w:left="2" w:right="-5" w:firstLine="420"/>
                                    <w:jc w:val="both"/>
                                    <w:rPr>
                                      <w:sz w:val="21"/>
                                    </w:rPr>
                                  </w:pPr>
                                  <w:r>
                                    <w:rPr>
                                      <w:spacing w:val="-12"/>
                                      <w:sz w:val="21"/>
                                    </w:rPr>
                                    <w:t>投入的施工机械、设备、机具有详细的组织计划且计划周密，设备数量、选型配置、进场时间安排合理，满足施工需要。</w:t>
                                  </w:r>
                                </w:p>
                                <w:p>
                                  <w:pPr>
                                    <w:pStyle w:val="33"/>
                                    <w:spacing w:before="22" w:line="333" w:lineRule="auto"/>
                                    <w:ind w:left="2" w:right="-3" w:firstLine="420"/>
                                    <w:jc w:val="both"/>
                                    <w:rPr>
                                      <w:sz w:val="21"/>
                                    </w:rPr>
                                  </w:pPr>
                                  <w:r>
                                    <w:rPr>
                                      <w:spacing w:val="-8"/>
                                      <w:sz w:val="21"/>
                                    </w:rPr>
                                    <w:t>优</w:t>
                                  </w:r>
                                  <w:r>
                                    <w:rPr>
                                      <w:sz w:val="21"/>
                                    </w:rPr>
                                    <w:t>（1.5</w:t>
                                  </w:r>
                                  <w:r>
                                    <w:rPr>
                                      <w:spacing w:val="-17"/>
                                      <w:sz w:val="21"/>
                                    </w:rPr>
                                    <w:t xml:space="preserve"> 分</w:t>
                                  </w:r>
                                  <w:r>
                                    <w:rPr>
                                      <w:spacing w:val="-10"/>
                                      <w:sz w:val="21"/>
                                    </w:rPr>
                                    <w:t>）：</w:t>
                                  </w:r>
                                  <w:r>
                                    <w:rPr>
                                      <w:spacing w:val="-4"/>
                                      <w:sz w:val="21"/>
                                    </w:rPr>
                                    <w:t>投入计划与进度计划呼应，较好满足施</w:t>
                                  </w:r>
                                  <w:r>
                                    <w:rPr>
                                      <w:spacing w:val="-3"/>
                                      <w:sz w:val="21"/>
                                    </w:rPr>
                                    <w:t>工要求，采用较先进机械设备，调配投入计划合理。</w:t>
                                  </w:r>
                                </w:p>
                                <w:p>
                                  <w:pPr>
                                    <w:pStyle w:val="33"/>
                                    <w:spacing w:before="22" w:line="331" w:lineRule="auto"/>
                                    <w:ind w:left="2" w:right="-3" w:firstLine="420"/>
                                    <w:jc w:val="both"/>
                                    <w:rPr>
                                      <w:sz w:val="21"/>
                                    </w:rPr>
                                  </w:pPr>
                                  <w:r>
                                    <w:rPr>
                                      <w:spacing w:val="-8"/>
                                      <w:sz w:val="21"/>
                                    </w:rPr>
                                    <w:t>良</w:t>
                                  </w:r>
                                  <w:r>
                                    <w:rPr>
                                      <w:sz w:val="21"/>
                                    </w:rPr>
                                    <w:t>（1.0</w:t>
                                  </w:r>
                                  <w:r>
                                    <w:rPr>
                                      <w:spacing w:val="-17"/>
                                      <w:sz w:val="21"/>
                                    </w:rPr>
                                    <w:t xml:space="preserve"> 分</w:t>
                                  </w:r>
                                  <w:r>
                                    <w:rPr>
                                      <w:spacing w:val="-10"/>
                                      <w:sz w:val="21"/>
                                    </w:rPr>
                                    <w:t>）：</w:t>
                                  </w:r>
                                  <w:r>
                                    <w:rPr>
                                      <w:spacing w:val="-4"/>
                                      <w:sz w:val="21"/>
                                    </w:rPr>
                                    <w:t>投入计划与进度计划呼应，满足施工要</w:t>
                                  </w:r>
                                  <w:r>
                                    <w:rPr>
                                      <w:spacing w:val="-3"/>
                                      <w:sz w:val="21"/>
                                    </w:rPr>
                                    <w:t>求，调配投入计划合理。</w:t>
                                  </w:r>
                                </w:p>
                                <w:p>
                                  <w:pPr>
                                    <w:pStyle w:val="33"/>
                                    <w:spacing w:before="26" w:line="331" w:lineRule="auto"/>
                                    <w:ind w:left="2" w:right="-3" w:firstLine="420"/>
                                    <w:jc w:val="both"/>
                                    <w:rPr>
                                      <w:sz w:val="21"/>
                                    </w:rPr>
                                  </w:pPr>
                                  <w:r>
                                    <w:rPr>
                                      <w:spacing w:val="-8"/>
                                      <w:sz w:val="21"/>
                                    </w:rPr>
                                    <w:t>中</w:t>
                                  </w:r>
                                  <w:r>
                                    <w:rPr>
                                      <w:sz w:val="21"/>
                                    </w:rPr>
                                    <w:t>（0.5</w:t>
                                  </w:r>
                                  <w:r>
                                    <w:rPr>
                                      <w:spacing w:val="-17"/>
                                      <w:sz w:val="21"/>
                                    </w:rPr>
                                    <w:t xml:space="preserve"> 分</w:t>
                                  </w:r>
                                  <w:r>
                                    <w:rPr>
                                      <w:spacing w:val="-10"/>
                                      <w:sz w:val="21"/>
                                    </w:rPr>
                                    <w:t>）：</w:t>
                                  </w:r>
                                  <w:r>
                                    <w:rPr>
                                      <w:spacing w:val="-4"/>
                                      <w:sz w:val="21"/>
                                    </w:rPr>
                                    <w:t>投入计划与进度计划呼应，基本满足施</w:t>
                                  </w:r>
                                  <w:r>
                                    <w:rPr>
                                      <w:spacing w:val="-3"/>
                                      <w:sz w:val="21"/>
                                    </w:rPr>
                                    <w:t>工要求，调配投入计划合理。</w:t>
                                  </w:r>
                                </w:p>
                                <w:p>
                                  <w:pPr>
                                    <w:pStyle w:val="33"/>
                                    <w:spacing w:before="24"/>
                                    <w:ind w:left="422" w:right="-3"/>
                                    <w:rPr>
                                      <w:sz w:val="21"/>
                                    </w:rPr>
                                  </w:pPr>
                                  <w:r>
                                    <w:rPr>
                                      <w:spacing w:val="-8"/>
                                      <w:sz w:val="21"/>
                                    </w:rPr>
                                    <w:t>差</w:t>
                                  </w:r>
                                  <w:r>
                                    <w:rPr>
                                      <w:sz w:val="21"/>
                                    </w:rPr>
                                    <w:t>（0.1</w:t>
                                  </w:r>
                                  <w:r>
                                    <w:rPr>
                                      <w:spacing w:val="-15"/>
                                      <w:sz w:val="21"/>
                                    </w:rPr>
                                    <w:t xml:space="preserve"> 分</w:t>
                                  </w:r>
                                  <w:r>
                                    <w:rPr>
                                      <w:spacing w:val="-10"/>
                                      <w:sz w:val="21"/>
                                    </w:rPr>
                                    <w:t>）：</w:t>
                                  </w:r>
                                  <w:r>
                                    <w:rPr>
                                      <w:spacing w:val="-4"/>
                                      <w:sz w:val="21"/>
                                    </w:rPr>
                                    <w:t>投入计划与进度计划不呼应，不能满足</w:t>
                                  </w:r>
                                </w:p>
                                <w:p>
                                  <w:pPr>
                                    <w:pStyle w:val="33"/>
                                    <w:spacing w:before="107"/>
                                    <w:ind w:left="2"/>
                                    <w:rPr>
                                      <w:sz w:val="21"/>
                                    </w:rPr>
                                  </w:pPr>
                                  <w:r>
                                    <w:rPr>
                                      <w:sz w:val="21"/>
                                    </w:rPr>
                                    <w:t>施工要求。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0" w:hRule="atLeast"/>
                              </w:trPr>
                              <w:tc>
                                <w:tcPr>
                                  <w:tcW w:w="927"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91" w:type="dxa"/>
                                  <w:vMerge w:val="continue"/>
                                  <w:tcBorders>
                                    <w:top w:val="single" w:color="auto" w:sz="4" w:space="0"/>
                                    <w:left w:val="single" w:color="auto" w:sz="4" w:space="0"/>
                                    <w:bottom w:val="single" w:color="auto" w:sz="4" w:space="0"/>
                                  </w:tcBorders>
                                </w:tcPr>
                                <w:p>
                                  <w:pPr>
                                    <w:rPr>
                                      <w:sz w:val="2"/>
                                      <w:szCs w:val="2"/>
                                    </w:rPr>
                                  </w:pPr>
                                </w:p>
                              </w:tc>
                              <w:tc>
                                <w:tcPr>
                                  <w:tcW w:w="2552" w:type="dxa"/>
                                  <w:tcBorders>
                                    <w:top w:val="single" w:color="auto" w:sz="4" w:space="0"/>
                                    <w:bottom w:val="single" w:color="auto" w:sz="4" w:space="0"/>
                                  </w:tcBorders>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4"/>
                                    <w:rPr>
                                      <w:sz w:val="15"/>
                                    </w:rPr>
                                  </w:pPr>
                                </w:p>
                                <w:p>
                                  <w:pPr>
                                    <w:pStyle w:val="33"/>
                                    <w:ind w:left="35"/>
                                    <w:rPr>
                                      <w:sz w:val="21"/>
                                    </w:rPr>
                                  </w:pPr>
                                  <w:r>
                                    <w:rPr>
                                      <w:spacing w:val="-3"/>
                                      <w:sz w:val="21"/>
                                    </w:rPr>
                                    <w:t>劳动力安排计划</w:t>
                                  </w:r>
                                  <w:r>
                                    <w:rPr>
                                      <w:sz w:val="21"/>
                                    </w:rPr>
                                    <w:t>（1.5</w:t>
                                  </w:r>
                                  <w:r>
                                    <w:rPr>
                                      <w:spacing w:val="-23"/>
                                      <w:sz w:val="21"/>
                                    </w:rPr>
                                    <w:t xml:space="preserve"> 分</w:t>
                                  </w:r>
                                  <w:r>
                                    <w:rPr>
                                      <w:spacing w:val="-3"/>
                                      <w:sz w:val="21"/>
                                    </w:rPr>
                                    <w:t>）</w:t>
                                  </w:r>
                                </w:p>
                              </w:tc>
                              <w:tc>
                                <w:tcPr>
                                  <w:tcW w:w="5387" w:type="dxa"/>
                                  <w:tcBorders>
                                    <w:bottom w:val="single" w:color="auto" w:sz="4" w:space="0"/>
                                    <w:right w:val="single" w:color="auto" w:sz="4" w:space="0"/>
                                  </w:tcBorders>
                                </w:tcPr>
                                <w:p>
                                  <w:pPr>
                                    <w:pStyle w:val="33"/>
                                    <w:spacing w:before="59" w:line="333" w:lineRule="auto"/>
                                    <w:ind w:left="2" w:right="-3" w:firstLine="420"/>
                                    <w:rPr>
                                      <w:sz w:val="21"/>
                                    </w:rPr>
                                  </w:pPr>
                                  <w:r>
                                    <w:rPr>
                                      <w:spacing w:val="-7"/>
                                      <w:sz w:val="21"/>
                                    </w:rPr>
                                    <w:t>各主要施工工序应有详细周密的劳动力安排计划，有各</w:t>
                                  </w:r>
                                  <w:r>
                                    <w:rPr>
                                      <w:spacing w:val="-5"/>
                                      <w:sz w:val="21"/>
                                    </w:rPr>
                                    <w:t>工种劳动力安排计划，劳动力投入合理，满足施工需要。</w:t>
                                  </w:r>
                                </w:p>
                                <w:p>
                                  <w:pPr>
                                    <w:pStyle w:val="33"/>
                                    <w:spacing w:before="21" w:line="331" w:lineRule="auto"/>
                                    <w:ind w:left="2" w:right="-3" w:firstLine="420"/>
                                    <w:rPr>
                                      <w:sz w:val="21"/>
                                    </w:rPr>
                                  </w:pPr>
                                  <w:r>
                                    <w:rPr>
                                      <w:spacing w:val="-10"/>
                                      <w:sz w:val="21"/>
                                    </w:rPr>
                                    <w:t>优</w:t>
                                  </w:r>
                                  <w:r>
                                    <w:rPr>
                                      <w:sz w:val="21"/>
                                    </w:rPr>
                                    <w:t>（1.5</w:t>
                                  </w:r>
                                  <w:r>
                                    <w:rPr>
                                      <w:spacing w:val="-19"/>
                                      <w:sz w:val="21"/>
                                    </w:rPr>
                                    <w:t xml:space="preserve"> 分</w:t>
                                  </w:r>
                                  <w:r>
                                    <w:rPr>
                                      <w:spacing w:val="-12"/>
                                      <w:sz w:val="21"/>
                                    </w:rPr>
                                    <w:t>）</w:t>
                                  </w:r>
                                  <w:r>
                                    <w:rPr>
                                      <w:spacing w:val="-4"/>
                                      <w:sz w:val="21"/>
                                    </w:rPr>
                                    <w:t>：各主要施工工序有较详细周密的劳动力</w:t>
                                  </w:r>
                                  <w:r>
                                    <w:rPr>
                                      <w:spacing w:val="-3"/>
                                      <w:sz w:val="21"/>
                                    </w:rPr>
                                    <w:t>安排计划，能较好满足施工要求。</w:t>
                                  </w:r>
                                </w:p>
                                <w:p>
                                  <w:pPr>
                                    <w:pStyle w:val="33"/>
                                    <w:spacing w:before="26" w:line="331" w:lineRule="auto"/>
                                    <w:ind w:left="2" w:right="-3" w:firstLine="420"/>
                                    <w:rPr>
                                      <w:sz w:val="21"/>
                                    </w:rPr>
                                  </w:pPr>
                                  <w:r>
                                    <w:rPr>
                                      <w:spacing w:val="-10"/>
                                      <w:sz w:val="21"/>
                                    </w:rPr>
                                    <w:t>良</w:t>
                                  </w:r>
                                  <w:r>
                                    <w:rPr>
                                      <w:sz w:val="21"/>
                                    </w:rPr>
                                    <w:t>（1.0</w:t>
                                  </w:r>
                                  <w:r>
                                    <w:rPr>
                                      <w:spacing w:val="-19"/>
                                      <w:sz w:val="21"/>
                                    </w:rPr>
                                    <w:t xml:space="preserve"> 分</w:t>
                                  </w:r>
                                  <w:r>
                                    <w:rPr>
                                      <w:spacing w:val="-12"/>
                                      <w:sz w:val="21"/>
                                    </w:rPr>
                                    <w:t>）</w:t>
                                  </w:r>
                                  <w:r>
                                    <w:rPr>
                                      <w:spacing w:val="-4"/>
                                      <w:sz w:val="21"/>
                                    </w:rPr>
                                    <w:t>：各主要施工工序有详细周密的劳动力安</w:t>
                                  </w:r>
                                  <w:r>
                                    <w:rPr>
                                      <w:spacing w:val="-3"/>
                                      <w:sz w:val="21"/>
                                    </w:rPr>
                                    <w:t>排计划，能满足施工要求。</w:t>
                                  </w:r>
                                </w:p>
                                <w:p>
                                  <w:pPr>
                                    <w:pStyle w:val="33"/>
                                    <w:spacing w:before="24" w:line="333" w:lineRule="auto"/>
                                    <w:ind w:left="2" w:right="-3" w:firstLine="420"/>
                                    <w:rPr>
                                      <w:sz w:val="21"/>
                                    </w:rPr>
                                  </w:pPr>
                                  <w:r>
                                    <w:rPr>
                                      <w:spacing w:val="-8"/>
                                      <w:sz w:val="21"/>
                                    </w:rPr>
                                    <w:t>中</w:t>
                                  </w:r>
                                  <w:r>
                                    <w:rPr>
                                      <w:sz w:val="21"/>
                                    </w:rPr>
                                    <w:t>（0.5</w:t>
                                  </w:r>
                                  <w:r>
                                    <w:rPr>
                                      <w:spacing w:val="-17"/>
                                      <w:sz w:val="21"/>
                                    </w:rPr>
                                    <w:t xml:space="preserve"> 分</w:t>
                                  </w:r>
                                  <w:r>
                                    <w:rPr>
                                      <w:spacing w:val="-10"/>
                                      <w:sz w:val="21"/>
                                    </w:rPr>
                                    <w:t>）：</w:t>
                                  </w:r>
                                  <w:r>
                                    <w:rPr>
                                      <w:spacing w:val="-4"/>
                                      <w:sz w:val="21"/>
                                    </w:rPr>
                                    <w:t>各主要施工工序有劳动力安排计划，基</w:t>
                                  </w:r>
                                  <w:r>
                                    <w:rPr>
                                      <w:spacing w:val="-3"/>
                                      <w:sz w:val="21"/>
                                    </w:rPr>
                                    <w:t>本满足施工要求。</w:t>
                                  </w:r>
                                </w:p>
                                <w:p>
                                  <w:pPr>
                                    <w:pStyle w:val="33"/>
                                    <w:spacing w:before="22"/>
                                    <w:ind w:left="422" w:right="-39"/>
                                    <w:rPr>
                                      <w:sz w:val="21"/>
                                    </w:rPr>
                                  </w:pPr>
                                  <w:r>
                                    <w:rPr>
                                      <w:sz w:val="21"/>
                                    </w:rPr>
                                    <w:t>差（0.1</w:t>
                                  </w:r>
                                  <w:r>
                                    <w:rPr>
                                      <w:spacing w:val="-17"/>
                                      <w:sz w:val="21"/>
                                    </w:rPr>
                                    <w:t xml:space="preserve"> 分</w:t>
                                  </w:r>
                                  <w:r>
                                    <w:rPr>
                                      <w:sz w:val="21"/>
                                    </w:rPr>
                                    <w:t>）</w:t>
                                  </w:r>
                                  <w:r>
                                    <w:rPr>
                                      <w:spacing w:val="-3"/>
                                      <w:sz w:val="21"/>
                                    </w:rPr>
                                    <w:t>：各主要施工工序没有劳动力安排计划，</w:t>
                                  </w:r>
                                </w:p>
                                <w:p>
                                  <w:pPr>
                                    <w:pStyle w:val="33"/>
                                    <w:spacing w:before="104"/>
                                    <w:ind w:left="2"/>
                                    <w:rPr>
                                      <w:sz w:val="21"/>
                                    </w:rPr>
                                  </w:pPr>
                                  <w:r>
                                    <w:rPr>
                                      <w:sz w:val="21"/>
                                    </w:rPr>
                                    <w:t>不能满足施工要求。</w:t>
                                  </w:r>
                                </w:p>
                              </w:tc>
                            </w:tr>
                          </w:tbl>
                          <w:p>
                            <w:pPr>
                              <w:pStyle w:val="13"/>
                              <w:ind w:left="0"/>
                            </w:pPr>
                          </w:p>
                        </w:txbxContent>
                      </wps:txbx>
                      <wps:bodyPr lIns="0" tIns="0" rIns="0" bIns="0" upright="1"/>
                    </wps:wsp>
                  </a:graphicData>
                </a:graphic>
              </wp:anchor>
            </w:drawing>
          </mc:Choice>
          <mc:Fallback>
            <w:pict>
              <v:shape id="_x0000_s1026" o:spid="_x0000_s1026" o:spt="202" type="#_x0000_t202" style="position:absolute;left:0pt;margin-left:60.55pt;margin-top:70.9pt;height:619.7pt;width:478.55pt;mso-position-horizontal-relative:page;mso-position-vertical-relative:page;z-index:2048;mso-width-relative:page;mso-height-relative:page;" filled="f" stroked="f" coordsize="21600,21600" o:gfxdata="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H64snZAAAADQEAAA8AAAAA&#10;AAAAAQAgAAAAIgAAAGRycy9kb3ducmV2LnhtbFBLAQIUABQAAAAIAIdO4kAIMRq/oQEAACUDAAAO&#10;AAAAAAAAAAEAIAAAACgBAABkcnMvZTJvRG9jLnhtbFBLBQYAAAAABgAGAFkBAAA7BQAAAAA=&#10;">
                <v:fill on="f" focussize="0,0"/>
                <v:stroke on="f"/>
                <v:imagedata o:title=""/>
                <o:lock v:ext="edit" aspectratio="f"/>
                <v:textbox inset="0mm,0mm,0mm,0mm">
                  <w:txbxContent>
                    <w:tbl>
                      <w:tblPr>
                        <w:tblStyle w:val="17"/>
                        <w:tblW w:w="95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691"/>
                        <w:gridCol w:w="2552"/>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927" w:type="dxa"/>
                            <w:vMerge w:val="restart"/>
                            <w:tcBorders>
                              <w:top w:val="single" w:color="auto" w:sz="4" w:space="0"/>
                              <w:left w:val="single" w:color="auto" w:sz="4" w:space="0"/>
                              <w:right w:val="single" w:color="auto" w:sz="4" w:space="0"/>
                            </w:tcBorders>
                          </w:tcPr>
                          <w:p>
                            <w:pPr>
                              <w:pStyle w:val="33"/>
                              <w:rPr>
                                <w:rFonts w:ascii="Times New Roman"/>
                                <w:sz w:val="20"/>
                              </w:rPr>
                            </w:pPr>
                          </w:p>
                        </w:tc>
                        <w:tc>
                          <w:tcPr>
                            <w:tcW w:w="691" w:type="dxa"/>
                            <w:vMerge w:val="restart"/>
                            <w:tcBorders>
                              <w:top w:val="single" w:color="auto" w:sz="4" w:space="0"/>
                              <w:left w:val="single" w:color="auto" w:sz="4" w:space="0"/>
                            </w:tcBorders>
                          </w:tcPr>
                          <w:p>
                            <w:pPr>
                              <w:pStyle w:val="33"/>
                              <w:rPr>
                                <w:rFonts w:ascii="Times New Roman"/>
                                <w:sz w:val="20"/>
                              </w:rPr>
                            </w:pPr>
                          </w:p>
                        </w:tc>
                        <w:tc>
                          <w:tcPr>
                            <w:tcW w:w="2552" w:type="dxa"/>
                            <w:tcBorders>
                              <w:top w:val="single" w:color="auto" w:sz="4" w:space="0"/>
                              <w:right w:val="single" w:color="auto" w:sz="4" w:space="0"/>
                            </w:tcBorders>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8"/>
                              <w:rPr>
                                <w:sz w:val="20"/>
                              </w:rPr>
                            </w:pPr>
                          </w:p>
                          <w:p>
                            <w:pPr>
                              <w:pStyle w:val="33"/>
                              <w:spacing w:line="333" w:lineRule="auto"/>
                              <w:ind w:left="743" w:right="-7" w:hanging="735"/>
                              <w:rPr>
                                <w:sz w:val="21"/>
                              </w:rPr>
                            </w:pPr>
                            <w:r>
                              <w:rPr>
                                <w:sz w:val="21"/>
                              </w:rPr>
                              <w:t>拟投入的主要物资计划（满分 1.5 分）</w:t>
                            </w:r>
                          </w:p>
                        </w:tc>
                        <w:tc>
                          <w:tcPr>
                            <w:tcW w:w="5387" w:type="dxa"/>
                            <w:tcBorders>
                              <w:top w:val="single" w:color="auto" w:sz="4" w:space="0"/>
                              <w:left w:val="single" w:color="auto" w:sz="4" w:space="0"/>
                              <w:right w:val="single" w:color="auto" w:sz="4" w:space="0"/>
                            </w:tcBorders>
                          </w:tcPr>
                          <w:p>
                            <w:pPr>
                              <w:pStyle w:val="33"/>
                              <w:spacing w:before="59" w:line="331" w:lineRule="auto"/>
                              <w:ind w:left="2" w:right="104" w:firstLine="420"/>
                              <w:rPr>
                                <w:sz w:val="21"/>
                              </w:rPr>
                            </w:pPr>
                            <w:r>
                              <w:rPr>
                                <w:sz w:val="21"/>
                              </w:rPr>
                              <w:t>投入的施工材料有详细的组织计划且计划周密，数量选型配置、进场时间安排合理，满足施工需要。</w:t>
                            </w:r>
                          </w:p>
                          <w:p>
                            <w:pPr>
                              <w:pStyle w:val="33"/>
                              <w:spacing w:before="26" w:line="331" w:lineRule="auto"/>
                              <w:ind w:left="2" w:right="-3" w:firstLine="420"/>
                              <w:rPr>
                                <w:sz w:val="21"/>
                              </w:rPr>
                            </w:pPr>
                            <w:r>
                              <w:rPr>
                                <w:spacing w:val="-8"/>
                                <w:sz w:val="21"/>
                              </w:rPr>
                              <w:t>优</w:t>
                            </w:r>
                            <w:r>
                              <w:rPr>
                                <w:sz w:val="21"/>
                              </w:rPr>
                              <w:t>（1.5</w:t>
                            </w:r>
                            <w:r>
                              <w:rPr>
                                <w:spacing w:val="-17"/>
                                <w:sz w:val="21"/>
                              </w:rPr>
                              <w:t xml:space="preserve"> 分</w:t>
                            </w:r>
                            <w:r>
                              <w:rPr>
                                <w:spacing w:val="-10"/>
                                <w:sz w:val="21"/>
                              </w:rPr>
                              <w:t>）：</w:t>
                            </w:r>
                            <w:r>
                              <w:rPr>
                                <w:spacing w:val="-4"/>
                                <w:sz w:val="21"/>
                              </w:rPr>
                              <w:t>投入计划与进度计划呼应，较好满足施</w:t>
                            </w:r>
                            <w:r>
                              <w:rPr>
                                <w:spacing w:val="-3"/>
                                <w:sz w:val="21"/>
                              </w:rPr>
                              <w:t>工要求，调配投入计划合理、准确。</w:t>
                            </w:r>
                          </w:p>
                          <w:p>
                            <w:pPr>
                              <w:pStyle w:val="33"/>
                              <w:spacing w:before="24" w:line="333" w:lineRule="auto"/>
                              <w:ind w:left="2" w:right="-3" w:firstLine="420"/>
                              <w:rPr>
                                <w:sz w:val="21"/>
                              </w:rPr>
                            </w:pPr>
                            <w:r>
                              <w:rPr>
                                <w:spacing w:val="-8"/>
                                <w:sz w:val="21"/>
                              </w:rPr>
                              <w:t>良</w:t>
                            </w:r>
                            <w:r>
                              <w:rPr>
                                <w:sz w:val="21"/>
                              </w:rPr>
                              <w:t>（1.0</w:t>
                            </w:r>
                            <w:r>
                              <w:rPr>
                                <w:spacing w:val="-17"/>
                                <w:sz w:val="21"/>
                              </w:rPr>
                              <w:t xml:space="preserve"> 分</w:t>
                            </w:r>
                            <w:r>
                              <w:rPr>
                                <w:spacing w:val="-10"/>
                                <w:sz w:val="21"/>
                              </w:rPr>
                              <w:t>）：</w:t>
                            </w:r>
                            <w:r>
                              <w:rPr>
                                <w:spacing w:val="-4"/>
                                <w:sz w:val="21"/>
                              </w:rPr>
                              <w:t>投入计划与进度计划呼应，满足施工要</w:t>
                            </w:r>
                            <w:r>
                              <w:rPr>
                                <w:spacing w:val="-3"/>
                                <w:sz w:val="21"/>
                              </w:rPr>
                              <w:t>求，调配投入计划基本合理、准确。</w:t>
                            </w:r>
                          </w:p>
                          <w:p>
                            <w:pPr>
                              <w:pStyle w:val="33"/>
                              <w:spacing w:before="22" w:line="331" w:lineRule="auto"/>
                              <w:ind w:left="2" w:right="-3" w:firstLine="420"/>
                              <w:rPr>
                                <w:sz w:val="21"/>
                              </w:rPr>
                            </w:pPr>
                            <w:r>
                              <w:rPr>
                                <w:spacing w:val="-8"/>
                                <w:sz w:val="21"/>
                              </w:rPr>
                              <w:t>中</w:t>
                            </w:r>
                            <w:r>
                              <w:rPr>
                                <w:sz w:val="21"/>
                              </w:rPr>
                              <w:t>（0.5</w:t>
                            </w:r>
                            <w:r>
                              <w:rPr>
                                <w:spacing w:val="-17"/>
                                <w:sz w:val="21"/>
                              </w:rPr>
                              <w:t xml:space="preserve"> 分</w:t>
                            </w:r>
                            <w:r>
                              <w:rPr>
                                <w:spacing w:val="-10"/>
                                <w:sz w:val="21"/>
                              </w:rPr>
                              <w:t>）：</w:t>
                            </w:r>
                            <w:r>
                              <w:rPr>
                                <w:spacing w:val="-4"/>
                                <w:sz w:val="21"/>
                              </w:rPr>
                              <w:t>投入计划与进度计划呼应，基本满足施</w:t>
                            </w:r>
                            <w:r>
                              <w:rPr>
                                <w:spacing w:val="-3"/>
                                <w:sz w:val="21"/>
                              </w:rPr>
                              <w:t>工要求，调配投入计划合理。</w:t>
                            </w:r>
                          </w:p>
                          <w:p>
                            <w:pPr>
                              <w:pStyle w:val="33"/>
                              <w:spacing w:before="26"/>
                              <w:ind w:left="422" w:right="-3"/>
                              <w:rPr>
                                <w:sz w:val="21"/>
                              </w:rPr>
                            </w:pPr>
                            <w:r>
                              <w:rPr>
                                <w:spacing w:val="-8"/>
                                <w:sz w:val="21"/>
                              </w:rPr>
                              <w:t>差</w:t>
                            </w:r>
                            <w:r>
                              <w:rPr>
                                <w:sz w:val="21"/>
                              </w:rPr>
                              <w:t>（0.1</w:t>
                            </w:r>
                            <w:r>
                              <w:rPr>
                                <w:spacing w:val="-15"/>
                                <w:sz w:val="21"/>
                              </w:rPr>
                              <w:t xml:space="preserve"> 分</w:t>
                            </w:r>
                            <w:r>
                              <w:rPr>
                                <w:spacing w:val="-10"/>
                                <w:sz w:val="21"/>
                              </w:rPr>
                              <w:t>）：</w:t>
                            </w:r>
                            <w:r>
                              <w:rPr>
                                <w:spacing w:val="-4"/>
                                <w:sz w:val="21"/>
                              </w:rPr>
                              <w:t>投入计划与进度计划不呼应，不能满足</w:t>
                            </w:r>
                          </w:p>
                          <w:p>
                            <w:pPr>
                              <w:pStyle w:val="33"/>
                              <w:spacing w:before="104"/>
                              <w:ind w:left="2"/>
                              <w:rPr>
                                <w:sz w:val="21"/>
                              </w:rPr>
                            </w:pPr>
                            <w:r>
                              <w:rPr>
                                <w:sz w:val="21"/>
                              </w:rPr>
                              <w:t>施工要求。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0" w:hRule="atLeast"/>
                        </w:trPr>
                        <w:tc>
                          <w:tcPr>
                            <w:tcW w:w="927" w:type="dxa"/>
                            <w:vMerge w:val="continue"/>
                            <w:tcBorders>
                              <w:top w:val="nil"/>
                              <w:left w:val="single" w:color="auto" w:sz="4" w:space="0"/>
                              <w:bottom w:val="single" w:color="auto" w:sz="4" w:space="0"/>
                              <w:right w:val="single" w:color="auto" w:sz="4" w:space="0"/>
                            </w:tcBorders>
                          </w:tcPr>
                          <w:p>
                            <w:pPr>
                              <w:rPr>
                                <w:sz w:val="2"/>
                                <w:szCs w:val="2"/>
                              </w:rPr>
                            </w:pPr>
                          </w:p>
                        </w:tc>
                        <w:tc>
                          <w:tcPr>
                            <w:tcW w:w="691" w:type="dxa"/>
                            <w:vMerge w:val="continue"/>
                            <w:tcBorders>
                              <w:top w:val="nil"/>
                              <w:left w:val="single" w:color="auto" w:sz="4" w:space="0"/>
                              <w:bottom w:val="single" w:color="auto" w:sz="4" w:space="0"/>
                            </w:tcBorders>
                          </w:tcPr>
                          <w:p>
                            <w:pPr>
                              <w:rPr>
                                <w:sz w:val="2"/>
                                <w:szCs w:val="2"/>
                              </w:rPr>
                            </w:pPr>
                          </w:p>
                        </w:tc>
                        <w:tc>
                          <w:tcPr>
                            <w:tcW w:w="2552" w:type="dxa"/>
                            <w:tcBorders>
                              <w:bottom w:val="single" w:color="auto" w:sz="4" w:space="0"/>
                              <w:right w:val="single" w:color="auto" w:sz="4" w:space="0"/>
                            </w:tcBorders>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4"/>
                              <w:rPr>
                                <w:sz w:val="15"/>
                              </w:rPr>
                            </w:pPr>
                          </w:p>
                          <w:p>
                            <w:pPr>
                              <w:pStyle w:val="33"/>
                              <w:spacing w:line="331" w:lineRule="auto"/>
                              <w:ind w:left="455" w:right="-7" w:hanging="447"/>
                              <w:rPr>
                                <w:sz w:val="21"/>
                              </w:rPr>
                            </w:pPr>
                            <w:r>
                              <w:rPr>
                                <w:sz w:val="21"/>
                              </w:rPr>
                              <w:t>拟投入的主要施工机械、设备计划（1.5 分）</w:t>
                            </w:r>
                          </w:p>
                        </w:tc>
                        <w:tc>
                          <w:tcPr>
                            <w:tcW w:w="5387" w:type="dxa"/>
                            <w:tcBorders>
                              <w:left w:val="single" w:color="auto" w:sz="4" w:space="0"/>
                              <w:right w:val="single" w:color="auto" w:sz="4" w:space="0"/>
                            </w:tcBorders>
                          </w:tcPr>
                          <w:p>
                            <w:pPr>
                              <w:pStyle w:val="33"/>
                              <w:spacing w:before="59" w:line="333" w:lineRule="auto"/>
                              <w:ind w:left="2" w:right="-5" w:firstLine="420"/>
                              <w:jc w:val="both"/>
                              <w:rPr>
                                <w:sz w:val="21"/>
                              </w:rPr>
                            </w:pPr>
                            <w:r>
                              <w:rPr>
                                <w:spacing w:val="-12"/>
                                <w:sz w:val="21"/>
                              </w:rPr>
                              <w:t>投入的施工机械、设备、机具有详细的组织计划且计划周密，设备数量、选型配置、进场时间安排合理，满足施工需要。</w:t>
                            </w:r>
                          </w:p>
                          <w:p>
                            <w:pPr>
                              <w:pStyle w:val="33"/>
                              <w:spacing w:before="22" w:line="333" w:lineRule="auto"/>
                              <w:ind w:left="2" w:right="-3" w:firstLine="420"/>
                              <w:jc w:val="both"/>
                              <w:rPr>
                                <w:sz w:val="21"/>
                              </w:rPr>
                            </w:pPr>
                            <w:r>
                              <w:rPr>
                                <w:spacing w:val="-8"/>
                                <w:sz w:val="21"/>
                              </w:rPr>
                              <w:t>优</w:t>
                            </w:r>
                            <w:r>
                              <w:rPr>
                                <w:sz w:val="21"/>
                              </w:rPr>
                              <w:t>（1.5</w:t>
                            </w:r>
                            <w:r>
                              <w:rPr>
                                <w:spacing w:val="-17"/>
                                <w:sz w:val="21"/>
                              </w:rPr>
                              <w:t xml:space="preserve"> 分</w:t>
                            </w:r>
                            <w:r>
                              <w:rPr>
                                <w:spacing w:val="-10"/>
                                <w:sz w:val="21"/>
                              </w:rPr>
                              <w:t>）：</w:t>
                            </w:r>
                            <w:r>
                              <w:rPr>
                                <w:spacing w:val="-4"/>
                                <w:sz w:val="21"/>
                              </w:rPr>
                              <w:t>投入计划与进度计划呼应，较好满足施</w:t>
                            </w:r>
                            <w:r>
                              <w:rPr>
                                <w:spacing w:val="-3"/>
                                <w:sz w:val="21"/>
                              </w:rPr>
                              <w:t>工要求，采用较先进机械设备，调配投入计划合理。</w:t>
                            </w:r>
                          </w:p>
                          <w:p>
                            <w:pPr>
                              <w:pStyle w:val="33"/>
                              <w:spacing w:before="22" w:line="331" w:lineRule="auto"/>
                              <w:ind w:left="2" w:right="-3" w:firstLine="420"/>
                              <w:jc w:val="both"/>
                              <w:rPr>
                                <w:sz w:val="21"/>
                              </w:rPr>
                            </w:pPr>
                            <w:r>
                              <w:rPr>
                                <w:spacing w:val="-8"/>
                                <w:sz w:val="21"/>
                              </w:rPr>
                              <w:t>良</w:t>
                            </w:r>
                            <w:r>
                              <w:rPr>
                                <w:sz w:val="21"/>
                              </w:rPr>
                              <w:t>（1.0</w:t>
                            </w:r>
                            <w:r>
                              <w:rPr>
                                <w:spacing w:val="-17"/>
                                <w:sz w:val="21"/>
                              </w:rPr>
                              <w:t xml:space="preserve"> 分</w:t>
                            </w:r>
                            <w:r>
                              <w:rPr>
                                <w:spacing w:val="-10"/>
                                <w:sz w:val="21"/>
                              </w:rPr>
                              <w:t>）：</w:t>
                            </w:r>
                            <w:r>
                              <w:rPr>
                                <w:spacing w:val="-4"/>
                                <w:sz w:val="21"/>
                              </w:rPr>
                              <w:t>投入计划与进度计划呼应，满足施工要</w:t>
                            </w:r>
                            <w:r>
                              <w:rPr>
                                <w:spacing w:val="-3"/>
                                <w:sz w:val="21"/>
                              </w:rPr>
                              <w:t>求，调配投入计划合理。</w:t>
                            </w:r>
                          </w:p>
                          <w:p>
                            <w:pPr>
                              <w:pStyle w:val="33"/>
                              <w:spacing w:before="26" w:line="331" w:lineRule="auto"/>
                              <w:ind w:left="2" w:right="-3" w:firstLine="420"/>
                              <w:jc w:val="both"/>
                              <w:rPr>
                                <w:sz w:val="21"/>
                              </w:rPr>
                            </w:pPr>
                            <w:r>
                              <w:rPr>
                                <w:spacing w:val="-8"/>
                                <w:sz w:val="21"/>
                              </w:rPr>
                              <w:t>中</w:t>
                            </w:r>
                            <w:r>
                              <w:rPr>
                                <w:sz w:val="21"/>
                              </w:rPr>
                              <w:t>（0.5</w:t>
                            </w:r>
                            <w:r>
                              <w:rPr>
                                <w:spacing w:val="-17"/>
                                <w:sz w:val="21"/>
                              </w:rPr>
                              <w:t xml:space="preserve"> 分</w:t>
                            </w:r>
                            <w:r>
                              <w:rPr>
                                <w:spacing w:val="-10"/>
                                <w:sz w:val="21"/>
                              </w:rPr>
                              <w:t>）：</w:t>
                            </w:r>
                            <w:r>
                              <w:rPr>
                                <w:spacing w:val="-4"/>
                                <w:sz w:val="21"/>
                              </w:rPr>
                              <w:t>投入计划与进度计划呼应，基本满足施</w:t>
                            </w:r>
                            <w:r>
                              <w:rPr>
                                <w:spacing w:val="-3"/>
                                <w:sz w:val="21"/>
                              </w:rPr>
                              <w:t>工要求，调配投入计划合理。</w:t>
                            </w:r>
                          </w:p>
                          <w:p>
                            <w:pPr>
                              <w:pStyle w:val="33"/>
                              <w:spacing w:before="24"/>
                              <w:ind w:left="422" w:right="-3"/>
                              <w:rPr>
                                <w:sz w:val="21"/>
                              </w:rPr>
                            </w:pPr>
                            <w:r>
                              <w:rPr>
                                <w:spacing w:val="-8"/>
                                <w:sz w:val="21"/>
                              </w:rPr>
                              <w:t>差</w:t>
                            </w:r>
                            <w:r>
                              <w:rPr>
                                <w:sz w:val="21"/>
                              </w:rPr>
                              <w:t>（0.1</w:t>
                            </w:r>
                            <w:r>
                              <w:rPr>
                                <w:spacing w:val="-15"/>
                                <w:sz w:val="21"/>
                              </w:rPr>
                              <w:t xml:space="preserve"> 分</w:t>
                            </w:r>
                            <w:r>
                              <w:rPr>
                                <w:spacing w:val="-10"/>
                                <w:sz w:val="21"/>
                              </w:rPr>
                              <w:t>）：</w:t>
                            </w:r>
                            <w:r>
                              <w:rPr>
                                <w:spacing w:val="-4"/>
                                <w:sz w:val="21"/>
                              </w:rPr>
                              <w:t>投入计划与进度计划不呼应，不能满足</w:t>
                            </w:r>
                          </w:p>
                          <w:p>
                            <w:pPr>
                              <w:pStyle w:val="33"/>
                              <w:spacing w:before="107"/>
                              <w:ind w:left="2"/>
                              <w:rPr>
                                <w:sz w:val="21"/>
                              </w:rPr>
                            </w:pPr>
                            <w:r>
                              <w:rPr>
                                <w:sz w:val="21"/>
                              </w:rPr>
                              <w:t>施工要求。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0" w:hRule="atLeast"/>
                        </w:trPr>
                        <w:tc>
                          <w:tcPr>
                            <w:tcW w:w="927"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91" w:type="dxa"/>
                            <w:vMerge w:val="continue"/>
                            <w:tcBorders>
                              <w:top w:val="single" w:color="auto" w:sz="4" w:space="0"/>
                              <w:left w:val="single" w:color="auto" w:sz="4" w:space="0"/>
                              <w:bottom w:val="single" w:color="auto" w:sz="4" w:space="0"/>
                            </w:tcBorders>
                          </w:tcPr>
                          <w:p>
                            <w:pPr>
                              <w:rPr>
                                <w:sz w:val="2"/>
                                <w:szCs w:val="2"/>
                              </w:rPr>
                            </w:pPr>
                          </w:p>
                        </w:tc>
                        <w:tc>
                          <w:tcPr>
                            <w:tcW w:w="2552" w:type="dxa"/>
                            <w:tcBorders>
                              <w:top w:val="single" w:color="auto" w:sz="4" w:space="0"/>
                              <w:bottom w:val="single" w:color="auto" w:sz="4" w:space="0"/>
                            </w:tcBorders>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4"/>
                              <w:rPr>
                                <w:sz w:val="15"/>
                              </w:rPr>
                            </w:pPr>
                          </w:p>
                          <w:p>
                            <w:pPr>
                              <w:pStyle w:val="33"/>
                              <w:ind w:left="35"/>
                              <w:rPr>
                                <w:sz w:val="21"/>
                              </w:rPr>
                            </w:pPr>
                            <w:r>
                              <w:rPr>
                                <w:spacing w:val="-3"/>
                                <w:sz w:val="21"/>
                              </w:rPr>
                              <w:t>劳动力安排计划</w:t>
                            </w:r>
                            <w:r>
                              <w:rPr>
                                <w:sz w:val="21"/>
                              </w:rPr>
                              <w:t>（1.5</w:t>
                            </w:r>
                            <w:r>
                              <w:rPr>
                                <w:spacing w:val="-23"/>
                                <w:sz w:val="21"/>
                              </w:rPr>
                              <w:t xml:space="preserve"> 分</w:t>
                            </w:r>
                            <w:r>
                              <w:rPr>
                                <w:spacing w:val="-3"/>
                                <w:sz w:val="21"/>
                              </w:rPr>
                              <w:t>）</w:t>
                            </w:r>
                          </w:p>
                        </w:tc>
                        <w:tc>
                          <w:tcPr>
                            <w:tcW w:w="5387" w:type="dxa"/>
                            <w:tcBorders>
                              <w:bottom w:val="single" w:color="auto" w:sz="4" w:space="0"/>
                              <w:right w:val="single" w:color="auto" w:sz="4" w:space="0"/>
                            </w:tcBorders>
                          </w:tcPr>
                          <w:p>
                            <w:pPr>
                              <w:pStyle w:val="33"/>
                              <w:spacing w:before="59" w:line="333" w:lineRule="auto"/>
                              <w:ind w:left="2" w:right="-3" w:firstLine="420"/>
                              <w:rPr>
                                <w:sz w:val="21"/>
                              </w:rPr>
                            </w:pPr>
                            <w:r>
                              <w:rPr>
                                <w:spacing w:val="-7"/>
                                <w:sz w:val="21"/>
                              </w:rPr>
                              <w:t>各主要施工工序应有详细周密的劳动力安排计划，有各</w:t>
                            </w:r>
                            <w:r>
                              <w:rPr>
                                <w:spacing w:val="-5"/>
                                <w:sz w:val="21"/>
                              </w:rPr>
                              <w:t>工种劳动力安排计划，劳动力投入合理，满足施工需要。</w:t>
                            </w:r>
                          </w:p>
                          <w:p>
                            <w:pPr>
                              <w:pStyle w:val="33"/>
                              <w:spacing w:before="21" w:line="331" w:lineRule="auto"/>
                              <w:ind w:left="2" w:right="-3" w:firstLine="420"/>
                              <w:rPr>
                                <w:sz w:val="21"/>
                              </w:rPr>
                            </w:pPr>
                            <w:r>
                              <w:rPr>
                                <w:spacing w:val="-10"/>
                                <w:sz w:val="21"/>
                              </w:rPr>
                              <w:t>优</w:t>
                            </w:r>
                            <w:r>
                              <w:rPr>
                                <w:sz w:val="21"/>
                              </w:rPr>
                              <w:t>（1.5</w:t>
                            </w:r>
                            <w:r>
                              <w:rPr>
                                <w:spacing w:val="-19"/>
                                <w:sz w:val="21"/>
                              </w:rPr>
                              <w:t xml:space="preserve"> 分</w:t>
                            </w:r>
                            <w:r>
                              <w:rPr>
                                <w:spacing w:val="-12"/>
                                <w:sz w:val="21"/>
                              </w:rPr>
                              <w:t>）</w:t>
                            </w:r>
                            <w:r>
                              <w:rPr>
                                <w:spacing w:val="-4"/>
                                <w:sz w:val="21"/>
                              </w:rPr>
                              <w:t>：各主要施工工序有较详细周密的劳动力</w:t>
                            </w:r>
                            <w:r>
                              <w:rPr>
                                <w:spacing w:val="-3"/>
                                <w:sz w:val="21"/>
                              </w:rPr>
                              <w:t>安排计划，能较好满足施工要求。</w:t>
                            </w:r>
                          </w:p>
                          <w:p>
                            <w:pPr>
                              <w:pStyle w:val="33"/>
                              <w:spacing w:before="26" w:line="331" w:lineRule="auto"/>
                              <w:ind w:left="2" w:right="-3" w:firstLine="420"/>
                              <w:rPr>
                                <w:sz w:val="21"/>
                              </w:rPr>
                            </w:pPr>
                            <w:r>
                              <w:rPr>
                                <w:spacing w:val="-10"/>
                                <w:sz w:val="21"/>
                              </w:rPr>
                              <w:t>良</w:t>
                            </w:r>
                            <w:r>
                              <w:rPr>
                                <w:sz w:val="21"/>
                              </w:rPr>
                              <w:t>（1.0</w:t>
                            </w:r>
                            <w:r>
                              <w:rPr>
                                <w:spacing w:val="-19"/>
                                <w:sz w:val="21"/>
                              </w:rPr>
                              <w:t xml:space="preserve"> 分</w:t>
                            </w:r>
                            <w:r>
                              <w:rPr>
                                <w:spacing w:val="-12"/>
                                <w:sz w:val="21"/>
                              </w:rPr>
                              <w:t>）</w:t>
                            </w:r>
                            <w:r>
                              <w:rPr>
                                <w:spacing w:val="-4"/>
                                <w:sz w:val="21"/>
                              </w:rPr>
                              <w:t>：各主要施工工序有详细周密的劳动力安</w:t>
                            </w:r>
                            <w:r>
                              <w:rPr>
                                <w:spacing w:val="-3"/>
                                <w:sz w:val="21"/>
                              </w:rPr>
                              <w:t>排计划，能满足施工要求。</w:t>
                            </w:r>
                          </w:p>
                          <w:p>
                            <w:pPr>
                              <w:pStyle w:val="33"/>
                              <w:spacing w:before="24" w:line="333" w:lineRule="auto"/>
                              <w:ind w:left="2" w:right="-3" w:firstLine="420"/>
                              <w:rPr>
                                <w:sz w:val="21"/>
                              </w:rPr>
                            </w:pPr>
                            <w:r>
                              <w:rPr>
                                <w:spacing w:val="-8"/>
                                <w:sz w:val="21"/>
                              </w:rPr>
                              <w:t>中</w:t>
                            </w:r>
                            <w:r>
                              <w:rPr>
                                <w:sz w:val="21"/>
                              </w:rPr>
                              <w:t>（0.5</w:t>
                            </w:r>
                            <w:r>
                              <w:rPr>
                                <w:spacing w:val="-17"/>
                                <w:sz w:val="21"/>
                              </w:rPr>
                              <w:t xml:space="preserve"> 分</w:t>
                            </w:r>
                            <w:r>
                              <w:rPr>
                                <w:spacing w:val="-10"/>
                                <w:sz w:val="21"/>
                              </w:rPr>
                              <w:t>）：</w:t>
                            </w:r>
                            <w:r>
                              <w:rPr>
                                <w:spacing w:val="-4"/>
                                <w:sz w:val="21"/>
                              </w:rPr>
                              <w:t>各主要施工工序有劳动力安排计划，基</w:t>
                            </w:r>
                            <w:r>
                              <w:rPr>
                                <w:spacing w:val="-3"/>
                                <w:sz w:val="21"/>
                              </w:rPr>
                              <w:t>本满足施工要求。</w:t>
                            </w:r>
                          </w:p>
                          <w:p>
                            <w:pPr>
                              <w:pStyle w:val="33"/>
                              <w:spacing w:before="22"/>
                              <w:ind w:left="422" w:right="-39"/>
                              <w:rPr>
                                <w:sz w:val="21"/>
                              </w:rPr>
                            </w:pPr>
                            <w:r>
                              <w:rPr>
                                <w:sz w:val="21"/>
                              </w:rPr>
                              <w:t>差（0.1</w:t>
                            </w:r>
                            <w:r>
                              <w:rPr>
                                <w:spacing w:val="-17"/>
                                <w:sz w:val="21"/>
                              </w:rPr>
                              <w:t xml:space="preserve"> 分</w:t>
                            </w:r>
                            <w:r>
                              <w:rPr>
                                <w:sz w:val="21"/>
                              </w:rPr>
                              <w:t>）</w:t>
                            </w:r>
                            <w:r>
                              <w:rPr>
                                <w:spacing w:val="-3"/>
                                <w:sz w:val="21"/>
                              </w:rPr>
                              <w:t>：各主要施工工序没有劳动力安排计划，</w:t>
                            </w:r>
                          </w:p>
                          <w:p>
                            <w:pPr>
                              <w:pStyle w:val="33"/>
                              <w:spacing w:before="104"/>
                              <w:ind w:left="2"/>
                              <w:rPr>
                                <w:sz w:val="21"/>
                              </w:rPr>
                            </w:pPr>
                            <w:r>
                              <w:rPr>
                                <w:sz w:val="21"/>
                              </w:rPr>
                              <w:t>不能满足施工要求。</w:t>
                            </w:r>
                          </w:p>
                        </w:tc>
                      </w:tr>
                    </w:tbl>
                    <w:p>
                      <w:pPr>
                        <w:pStyle w:val="13"/>
                        <w:ind w:left="0"/>
                      </w:pPr>
                    </w:p>
                  </w:txbxContent>
                </v:textbox>
              </v:shape>
            </w:pict>
          </mc:Fallback>
        </mc:AlternateContent>
      </w:r>
      <w:r>
        <w:rPr>
          <w:w w:val="100"/>
        </w:rPr>
        <w:t>、</w:t>
      </w:r>
    </w:p>
    <w:p>
      <w:pPr>
        <w:spacing w:after="0"/>
        <w:jc w:val="right"/>
        <w:sectPr>
          <w:pgSz w:w="11910" w:h="16840"/>
          <w:pgMar w:top="1400" w:right="940" w:bottom="1180" w:left="1100" w:header="0" w:footer="920" w:gutter="0"/>
        </w:sectPr>
      </w:pPr>
    </w:p>
    <w:p>
      <w:pPr>
        <w:pStyle w:val="13"/>
        <w:ind w:left="0"/>
        <w:rPr>
          <w:sz w:val="20"/>
        </w:rPr>
      </w:pPr>
      <w:r>
        <mc:AlternateContent>
          <mc:Choice Requires="wps">
            <w:drawing>
              <wp:anchor distT="0" distB="0" distL="114300" distR="114300" simplePos="0" relativeHeight="2048" behindDoc="0" locked="0" layoutInCell="1" allowOverlap="1">
                <wp:simplePos x="0" y="0"/>
                <wp:positionH relativeFrom="page">
                  <wp:posOffset>768985</wp:posOffset>
                </wp:positionH>
                <wp:positionV relativeFrom="page">
                  <wp:posOffset>900430</wp:posOffset>
                </wp:positionV>
                <wp:extent cx="6077585" cy="6776720"/>
                <wp:effectExtent l="0" t="0" r="0" b="0"/>
                <wp:wrapNone/>
                <wp:docPr id="6" name="文本框 5"/>
                <wp:cNvGraphicFramePr/>
                <a:graphic xmlns:a="http://schemas.openxmlformats.org/drawingml/2006/main">
                  <a:graphicData uri="http://schemas.microsoft.com/office/word/2010/wordprocessingShape">
                    <wps:wsp>
                      <wps:cNvSpPr txBox="1"/>
                      <wps:spPr>
                        <a:xfrm>
                          <a:off x="0" y="0"/>
                          <a:ext cx="6077585" cy="6776720"/>
                        </a:xfrm>
                        <a:prstGeom prst="rect">
                          <a:avLst/>
                        </a:prstGeom>
                        <a:noFill/>
                        <a:ln>
                          <a:noFill/>
                        </a:ln>
                      </wps:spPr>
                      <wps:txbx>
                        <w:txbxContent>
                          <w:tbl>
                            <w:tblPr>
                              <w:tblStyle w:val="17"/>
                              <w:tblW w:w="95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691"/>
                              <w:gridCol w:w="2552"/>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0" w:hRule="atLeast"/>
                              </w:trPr>
                              <w:tc>
                                <w:tcPr>
                                  <w:tcW w:w="927" w:type="dxa"/>
                                  <w:vMerge w:val="restart"/>
                                  <w:tcBorders>
                                    <w:top w:val="single" w:color="auto" w:sz="4" w:space="0"/>
                                    <w:left w:val="single" w:color="auto" w:sz="4" w:space="0"/>
                                    <w:bottom w:val="single" w:color="auto" w:sz="4" w:space="0"/>
                                    <w:right w:val="single" w:color="auto" w:sz="4" w:space="0"/>
                                  </w:tcBorders>
                                </w:tcPr>
                                <w:p>
                                  <w:pPr>
                                    <w:pStyle w:val="33"/>
                                    <w:rPr>
                                      <w:rFonts w:ascii="Times New Roman"/>
                                      <w:sz w:val="20"/>
                                    </w:rPr>
                                  </w:pPr>
                                </w:p>
                              </w:tc>
                              <w:tc>
                                <w:tcPr>
                                  <w:tcW w:w="691" w:type="dxa"/>
                                  <w:vMerge w:val="restart"/>
                                  <w:tcBorders>
                                    <w:left w:val="single" w:color="auto" w:sz="4" w:space="0"/>
                                  </w:tcBorders>
                                </w:tcPr>
                                <w:p>
                                  <w:pPr>
                                    <w:pStyle w:val="33"/>
                                    <w:rPr>
                                      <w:rFonts w:ascii="Times New Roman"/>
                                      <w:sz w:val="20"/>
                                    </w:rPr>
                                  </w:pPr>
                                </w:p>
                              </w:tc>
                              <w:tc>
                                <w:tcPr>
                                  <w:tcW w:w="2552"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1"/>
                                    <w:rPr>
                                      <w:sz w:val="15"/>
                                    </w:rPr>
                                  </w:pPr>
                                </w:p>
                                <w:p>
                                  <w:pPr>
                                    <w:pStyle w:val="33"/>
                                    <w:spacing w:before="1" w:line="333" w:lineRule="auto"/>
                                    <w:ind w:left="666" w:right="-7" w:hanging="658"/>
                                    <w:rPr>
                                      <w:sz w:val="21"/>
                                    </w:rPr>
                                  </w:pPr>
                                  <w:r>
                                    <w:rPr>
                                      <w:sz w:val="21"/>
                                    </w:rPr>
                                    <w:t>确保工程质量的技术组织措施（2.5 分）</w:t>
                                  </w:r>
                                </w:p>
                              </w:tc>
                              <w:tc>
                                <w:tcPr>
                                  <w:tcW w:w="5387" w:type="dxa"/>
                                </w:tcPr>
                                <w:p>
                                  <w:pPr>
                                    <w:pStyle w:val="33"/>
                                    <w:spacing w:before="59" w:line="331" w:lineRule="auto"/>
                                    <w:ind w:left="2" w:right="-3" w:firstLine="420"/>
                                    <w:rPr>
                                      <w:sz w:val="21"/>
                                    </w:rPr>
                                  </w:pPr>
                                  <w:r>
                                    <w:rPr>
                                      <w:spacing w:val="-3"/>
                                      <w:sz w:val="21"/>
                                    </w:rPr>
                                    <w:t>应有专门的质量技术管理班子和制度，且人员配备合</w:t>
                                  </w:r>
                                  <w:r>
                                    <w:rPr>
                                      <w:spacing w:val="-10"/>
                                      <w:sz w:val="21"/>
                                    </w:rPr>
                                    <w:t>理，制度健全。主要工序应有质量技术保证措施和手段，自</w:t>
                                  </w:r>
                                  <w:r>
                                    <w:rPr>
                                      <w:spacing w:val="-5"/>
                                      <w:sz w:val="21"/>
                                    </w:rPr>
                                    <w:t>控体系完整，能有效保证技术质量，达到承诺的质量标准</w:t>
                                  </w:r>
                                </w:p>
                                <w:p>
                                  <w:pPr>
                                    <w:pStyle w:val="33"/>
                                    <w:spacing w:before="24" w:line="331" w:lineRule="auto"/>
                                    <w:ind w:left="2" w:right="-6" w:firstLine="420"/>
                                    <w:jc w:val="both"/>
                                    <w:rPr>
                                      <w:sz w:val="21"/>
                                    </w:rPr>
                                  </w:pPr>
                                  <w:r>
                                    <w:rPr>
                                      <w:spacing w:val="-8"/>
                                      <w:sz w:val="21"/>
                                    </w:rPr>
                                    <w:t>优</w:t>
                                  </w:r>
                                  <w:r>
                                    <w:rPr>
                                      <w:sz w:val="21"/>
                                    </w:rPr>
                                    <w:t>（2.5</w:t>
                                  </w:r>
                                  <w:r>
                                    <w:rPr>
                                      <w:spacing w:val="-18"/>
                                      <w:sz w:val="21"/>
                                    </w:rPr>
                                    <w:t xml:space="preserve"> 分</w:t>
                                  </w:r>
                                  <w:r>
                                    <w:rPr>
                                      <w:spacing w:val="-10"/>
                                      <w:sz w:val="21"/>
                                    </w:rPr>
                                    <w:t>）：</w:t>
                                  </w:r>
                                  <w:r>
                                    <w:rPr>
                                      <w:spacing w:val="-4"/>
                                      <w:sz w:val="21"/>
                                    </w:rPr>
                                    <w:t>应用新技术新工艺新材料新设备，针对</w:t>
                                  </w:r>
                                  <w:r>
                                    <w:rPr>
                                      <w:spacing w:val="-10"/>
                                      <w:sz w:val="21"/>
                                    </w:rPr>
                                    <w:t>项目实际情况提出先进、可行、具体的保证措施，超过招标</w:t>
                                  </w:r>
                                  <w:r>
                                    <w:rPr>
                                      <w:spacing w:val="-5"/>
                                      <w:sz w:val="21"/>
                                    </w:rPr>
                                    <w:t>文件的质量要求及施工验收规范要求。</w:t>
                                  </w:r>
                                </w:p>
                                <w:p>
                                  <w:pPr>
                                    <w:pStyle w:val="33"/>
                                    <w:spacing w:before="24" w:line="331" w:lineRule="auto"/>
                                    <w:ind w:left="2" w:right="-3" w:firstLine="420"/>
                                    <w:rPr>
                                      <w:sz w:val="21"/>
                                    </w:rPr>
                                  </w:pPr>
                                  <w:r>
                                    <w:rPr>
                                      <w:spacing w:val="-8"/>
                                      <w:sz w:val="21"/>
                                    </w:rPr>
                                    <w:t>良</w:t>
                                  </w:r>
                                  <w:r>
                                    <w:rPr>
                                      <w:sz w:val="21"/>
                                    </w:rPr>
                                    <w:t>（2.0</w:t>
                                  </w:r>
                                  <w:r>
                                    <w:rPr>
                                      <w:spacing w:val="-16"/>
                                      <w:sz w:val="21"/>
                                    </w:rPr>
                                    <w:t xml:space="preserve"> 分</w:t>
                                  </w:r>
                                  <w:r>
                                    <w:rPr>
                                      <w:spacing w:val="-9"/>
                                      <w:sz w:val="21"/>
                                    </w:rPr>
                                    <w:t>）</w:t>
                                  </w:r>
                                  <w:r>
                                    <w:rPr>
                                      <w:spacing w:val="-6"/>
                                      <w:sz w:val="21"/>
                                    </w:rPr>
                                    <w:t>：针对项目实际情况提出先进、可行、具</w:t>
                                  </w:r>
                                  <w:r>
                                    <w:rPr>
                                      <w:spacing w:val="-4"/>
                                      <w:sz w:val="21"/>
                                    </w:rPr>
                                    <w:t>体的保证措施，满足招标文件的质量要求。</w:t>
                                  </w:r>
                                </w:p>
                                <w:p>
                                  <w:pPr>
                                    <w:pStyle w:val="33"/>
                                    <w:spacing w:before="26" w:line="331" w:lineRule="auto"/>
                                    <w:ind w:left="2" w:right="-3" w:firstLine="420"/>
                                    <w:rPr>
                                      <w:sz w:val="21"/>
                                    </w:rPr>
                                  </w:pPr>
                                  <w:r>
                                    <w:rPr>
                                      <w:spacing w:val="-8"/>
                                      <w:sz w:val="21"/>
                                    </w:rPr>
                                    <w:t>中</w:t>
                                  </w:r>
                                  <w:r>
                                    <w:rPr>
                                      <w:sz w:val="21"/>
                                    </w:rPr>
                                    <w:t>（1.5</w:t>
                                  </w:r>
                                  <w:r>
                                    <w:rPr>
                                      <w:spacing w:val="-17"/>
                                      <w:sz w:val="21"/>
                                    </w:rPr>
                                    <w:t xml:space="preserve"> 分</w:t>
                                  </w:r>
                                  <w:r>
                                    <w:rPr>
                                      <w:spacing w:val="-10"/>
                                      <w:sz w:val="21"/>
                                    </w:rPr>
                                    <w:t>）：</w:t>
                                  </w:r>
                                  <w:r>
                                    <w:rPr>
                                      <w:spacing w:val="-4"/>
                                      <w:sz w:val="21"/>
                                    </w:rPr>
                                    <w:t>具体措施可行，满足招标文件的质量要求。</w:t>
                                  </w:r>
                                </w:p>
                                <w:p>
                                  <w:pPr>
                                    <w:pStyle w:val="33"/>
                                    <w:spacing w:before="24"/>
                                    <w:ind w:left="422"/>
                                    <w:rPr>
                                      <w:sz w:val="21"/>
                                    </w:rPr>
                                  </w:pPr>
                                  <w:r>
                                    <w:rPr>
                                      <w:sz w:val="21"/>
                                    </w:rPr>
                                    <w:t>差（0.5 分）：措施不可行。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0" w:hRule="atLeast"/>
                              </w:trPr>
                              <w:tc>
                                <w:tcPr>
                                  <w:tcW w:w="927"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91" w:type="dxa"/>
                                  <w:vMerge w:val="continue"/>
                                  <w:tcBorders>
                                    <w:top w:val="nil"/>
                                    <w:left w:val="single" w:color="auto" w:sz="4" w:space="0"/>
                                  </w:tcBorders>
                                </w:tcPr>
                                <w:p>
                                  <w:pPr>
                                    <w:rPr>
                                      <w:sz w:val="2"/>
                                      <w:szCs w:val="2"/>
                                    </w:rPr>
                                  </w:pPr>
                                </w:p>
                              </w:tc>
                              <w:tc>
                                <w:tcPr>
                                  <w:tcW w:w="2552"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3"/>
                                    <w:rPr>
                                      <w:sz w:val="22"/>
                                    </w:rPr>
                                  </w:pPr>
                                </w:p>
                                <w:p>
                                  <w:pPr>
                                    <w:pStyle w:val="33"/>
                                    <w:spacing w:line="333" w:lineRule="auto"/>
                                    <w:ind w:left="666" w:right="-7" w:hanging="658"/>
                                    <w:rPr>
                                      <w:sz w:val="21"/>
                                    </w:rPr>
                                  </w:pPr>
                                  <w:r>
                                    <w:rPr>
                                      <w:sz w:val="21"/>
                                    </w:rPr>
                                    <w:t>确保安全生产的技术组织措施（2.5 分）</w:t>
                                  </w:r>
                                </w:p>
                              </w:tc>
                              <w:tc>
                                <w:tcPr>
                                  <w:tcW w:w="5387" w:type="dxa"/>
                                </w:tcPr>
                                <w:p>
                                  <w:pPr>
                                    <w:pStyle w:val="33"/>
                                    <w:spacing w:before="60" w:line="331" w:lineRule="auto"/>
                                    <w:ind w:left="2" w:right="-5" w:firstLine="420"/>
                                    <w:jc w:val="both"/>
                                    <w:rPr>
                                      <w:sz w:val="21"/>
                                    </w:rPr>
                                  </w:pPr>
                                  <w:r>
                                    <w:rPr>
                                      <w:spacing w:val="-8"/>
                                      <w:sz w:val="21"/>
                                    </w:rPr>
                                    <w:t>应有专门的安全管理人员和制度，且人员配备合理，制</w:t>
                                  </w:r>
                                  <w:r>
                                    <w:rPr>
                                      <w:spacing w:val="-12"/>
                                      <w:sz w:val="21"/>
                                    </w:rPr>
                                    <w:t>度健全，各道工序安全技术措施针对性强，符合实际且满足有关安全技术标准要求。现场防火、应急救援、社会治安安</w:t>
                                  </w:r>
                                  <w:r>
                                    <w:rPr>
                                      <w:spacing w:val="-6"/>
                                      <w:sz w:val="21"/>
                                    </w:rPr>
                                    <w:t>全措施得力。</w:t>
                                  </w:r>
                                </w:p>
                                <w:p>
                                  <w:pPr>
                                    <w:pStyle w:val="33"/>
                                    <w:spacing w:before="24" w:line="331" w:lineRule="auto"/>
                                    <w:ind w:left="2" w:right="-23" w:firstLine="420"/>
                                    <w:rPr>
                                      <w:sz w:val="21"/>
                                    </w:rPr>
                                  </w:pPr>
                                  <w:r>
                                    <w:rPr>
                                      <w:spacing w:val="-8"/>
                                      <w:sz w:val="21"/>
                                    </w:rPr>
                                    <w:t>优</w:t>
                                  </w:r>
                                  <w:r>
                                    <w:rPr>
                                      <w:sz w:val="21"/>
                                    </w:rPr>
                                    <w:t>（2.5</w:t>
                                  </w:r>
                                  <w:r>
                                    <w:rPr>
                                      <w:spacing w:val="-18"/>
                                      <w:sz w:val="21"/>
                                    </w:rPr>
                                    <w:t xml:space="preserve"> 分</w:t>
                                  </w:r>
                                  <w:r>
                                    <w:rPr>
                                      <w:spacing w:val="-10"/>
                                      <w:sz w:val="21"/>
                                    </w:rPr>
                                    <w:t>）：</w:t>
                                  </w:r>
                                  <w:r>
                                    <w:rPr>
                                      <w:spacing w:val="-4"/>
                                      <w:sz w:val="21"/>
                                    </w:rPr>
                                    <w:t>有专门的安全管理人员和制度，且人员</w:t>
                                  </w:r>
                                  <w:r>
                                    <w:rPr>
                                      <w:spacing w:val="-3"/>
                                      <w:sz w:val="21"/>
                                    </w:rPr>
                                    <w:t>配备合理，制度较健全，各道工序安全技术措施针对性强</w:t>
                                  </w:r>
                                  <w:r>
                                    <w:rPr>
                                      <w:spacing w:val="-8"/>
                                      <w:sz w:val="21"/>
                                    </w:rPr>
                                    <w:t>符合实际且满足有关安全技术标准要求。现场防火、应急救</w:t>
                                  </w:r>
                                  <w:r>
                                    <w:rPr>
                                      <w:spacing w:val="-5"/>
                                      <w:sz w:val="21"/>
                                    </w:rPr>
                                    <w:t>援、社会治安安全措施较得力。</w:t>
                                  </w:r>
                                </w:p>
                                <w:p>
                                  <w:pPr>
                                    <w:pStyle w:val="33"/>
                                    <w:spacing w:before="24" w:line="331" w:lineRule="auto"/>
                                    <w:ind w:left="2" w:right="-5" w:firstLine="420"/>
                                    <w:jc w:val="both"/>
                                    <w:rPr>
                                      <w:sz w:val="21"/>
                                    </w:rPr>
                                  </w:pPr>
                                  <w:r>
                                    <w:rPr>
                                      <w:spacing w:val="-8"/>
                                      <w:sz w:val="21"/>
                                    </w:rPr>
                                    <w:t>良</w:t>
                                  </w:r>
                                  <w:r>
                                    <w:rPr>
                                      <w:sz w:val="21"/>
                                    </w:rPr>
                                    <w:t>（2.0</w:t>
                                  </w:r>
                                  <w:r>
                                    <w:rPr>
                                      <w:spacing w:val="-18"/>
                                      <w:sz w:val="21"/>
                                    </w:rPr>
                                    <w:t xml:space="preserve"> 分</w:t>
                                  </w:r>
                                  <w:r>
                                    <w:rPr>
                                      <w:spacing w:val="-10"/>
                                      <w:sz w:val="21"/>
                                    </w:rPr>
                                    <w:t>）：</w:t>
                                  </w:r>
                                  <w:r>
                                    <w:rPr>
                                      <w:spacing w:val="-4"/>
                                      <w:sz w:val="21"/>
                                    </w:rPr>
                                    <w:t>有专门的安全管理人员和制度，且人员</w:t>
                                  </w:r>
                                  <w:r>
                                    <w:rPr>
                                      <w:spacing w:val="-11"/>
                                      <w:sz w:val="21"/>
                                    </w:rPr>
                                    <w:t>配备合理，制度健全，各道工序安全技术措施合理，符合实际且满足有关安全技术标准要求。现场防火、应急救援、社</w:t>
                                  </w:r>
                                  <w:r>
                                    <w:rPr>
                                      <w:spacing w:val="-6"/>
                                      <w:sz w:val="21"/>
                                    </w:rPr>
                                    <w:t>会治安安全措施得力。</w:t>
                                  </w:r>
                                </w:p>
                                <w:p>
                                  <w:pPr>
                                    <w:pStyle w:val="33"/>
                                    <w:spacing w:before="27" w:line="331" w:lineRule="auto"/>
                                    <w:ind w:left="2" w:right="-5" w:firstLine="420"/>
                                    <w:jc w:val="both"/>
                                    <w:rPr>
                                      <w:sz w:val="21"/>
                                    </w:rPr>
                                  </w:pPr>
                                  <w:r>
                                    <w:rPr>
                                      <w:spacing w:val="-8"/>
                                      <w:sz w:val="21"/>
                                    </w:rPr>
                                    <w:t>中</w:t>
                                  </w:r>
                                  <w:r>
                                    <w:rPr>
                                      <w:sz w:val="21"/>
                                    </w:rPr>
                                    <w:t>（1.5</w:t>
                                  </w:r>
                                  <w:r>
                                    <w:rPr>
                                      <w:spacing w:val="-18"/>
                                      <w:sz w:val="21"/>
                                    </w:rPr>
                                    <w:t xml:space="preserve"> 分</w:t>
                                  </w:r>
                                  <w:r>
                                    <w:rPr>
                                      <w:spacing w:val="-10"/>
                                      <w:sz w:val="21"/>
                                    </w:rPr>
                                    <w:t>）：</w:t>
                                  </w:r>
                                  <w:r>
                                    <w:rPr>
                                      <w:spacing w:val="-4"/>
                                      <w:sz w:val="21"/>
                                    </w:rPr>
                                    <w:t>有专门的安全管理人员和制度，且人员</w:t>
                                  </w:r>
                                  <w:r>
                                    <w:rPr>
                                      <w:spacing w:val="-11"/>
                                      <w:sz w:val="21"/>
                                    </w:rPr>
                                    <w:t>配备基本合理，制度基本健全，基本满足有关安全技术标准要求。</w:t>
                                  </w:r>
                                </w:p>
                                <w:p>
                                  <w:pPr>
                                    <w:pStyle w:val="33"/>
                                    <w:spacing w:before="27"/>
                                    <w:ind w:left="422" w:right="-3"/>
                                    <w:rPr>
                                      <w:sz w:val="21"/>
                                    </w:rPr>
                                  </w:pPr>
                                  <w:r>
                                    <w:rPr>
                                      <w:spacing w:val="-8"/>
                                      <w:sz w:val="21"/>
                                    </w:rPr>
                                    <w:t>差</w:t>
                                  </w:r>
                                  <w:r>
                                    <w:rPr>
                                      <w:sz w:val="21"/>
                                    </w:rPr>
                                    <w:t>（0.5</w:t>
                                  </w:r>
                                  <w:r>
                                    <w:rPr>
                                      <w:spacing w:val="-14"/>
                                      <w:sz w:val="21"/>
                                    </w:rPr>
                                    <w:t xml:space="preserve"> 分</w:t>
                                  </w:r>
                                  <w:r>
                                    <w:rPr>
                                      <w:spacing w:val="-9"/>
                                      <w:sz w:val="21"/>
                                    </w:rPr>
                                    <w:t>）</w:t>
                                  </w:r>
                                  <w:r>
                                    <w:rPr>
                                      <w:spacing w:val="-6"/>
                                      <w:sz w:val="21"/>
                                    </w:rPr>
                                    <w:t>：人员配备不合理，制度不健全，基本不</w:t>
                                  </w:r>
                                </w:p>
                                <w:p>
                                  <w:pPr>
                                    <w:pStyle w:val="33"/>
                                    <w:spacing w:before="104"/>
                                    <w:ind w:left="2"/>
                                    <w:rPr>
                                      <w:sz w:val="21"/>
                                    </w:rPr>
                                  </w:pPr>
                                  <w:r>
                                    <w:rPr>
                                      <w:sz w:val="21"/>
                                    </w:rPr>
                                    <w:t>满足有关安全技术标准要求。</w:t>
                                  </w:r>
                                </w:p>
                              </w:tc>
                            </w:tr>
                          </w:tbl>
                          <w:p>
                            <w:pPr>
                              <w:pStyle w:val="13"/>
                              <w:ind w:left="0"/>
                            </w:pPr>
                          </w:p>
                        </w:txbxContent>
                      </wps:txbx>
                      <wps:bodyPr lIns="0" tIns="0" rIns="0" bIns="0" upright="1"/>
                    </wps:wsp>
                  </a:graphicData>
                </a:graphic>
              </wp:anchor>
            </w:drawing>
          </mc:Choice>
          <mc:Fallback>
            <w:pict>
              <v:shape id="文本框 5" o:spid="_x0000_s1026" o:spt="202" type="#_x0000_t202" style="position:absolute;left:0pt;margin-left:60.55pt;margin-top:70.9pt;height:533.6pt;width:478.55pt;mso-position-horizontal-relative:page;mso-position-vertical-relative:page;z-index:2048;mso-width-relative:page;mso-height-relative:page;" filled="f" stroked="f" coordsize="21600,21600" o:gfxdata="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RHVxLZAAAADQEAAA8AAAAA&#10;AAAAAQAgAAAAIgAAAGRycy9kb3ducmV2LnhtbFBLAQIUABQAAAAIAIdO4kAl72F/oQEAACUDAAAO&#10;AAAAAAAAAAEAIAAAACgBAABkcnMvZTJvRG9jLnhtbFBLBQYAAAAABgAGAFkBAAA7BQAAAAA=&#10;">
                <v:fill on="f" focussize="0,0"/>
                <v:stroke on="f"/>
                <v:imagedata o:title=""/>
                <o:lock v:ext="edit" aspectratio="f"/>
                <v:textbox inset="0mm,0mm,0mm,0mm">
                  <w:txbxContent>
                    <w:tbl>
                      <w:tblPr>
                        <w:tblStyle w:val="17"/>
                        <w:tblW w:w="95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691"/>
                        <w:gridCol w:w="2552"/>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0" w:hRule="atLeast"/>
                        </w:trPr>
                        <w:tc>
                          <w:tcPr>
                            <w:tcW w:w="927" w:type="dxa"/>
                            <w:vMerge w:val="restart"/>
                            <w:tcBorders>
                              <w:top w:val="single" w:color="auto" w:sz="4" w:space="0"/>
                              <w:left w:val="single" w:color="auto" w:sz="4" w:space="0"/>
                              <w:bottom w:val="single" w:color="auto" w:sz="4" w:space="0"/>
                              <w:right w:val="single" w:color="auto" w:sz="4" w:space="0"/>
                            </w:tcBorders>
                          </w:tcPr>
                          <w:p>
                            <w:pPr>
                              <w:pStyle w:val="33"/>
                              <w:rPr>
                                <w:rFonts w:ascii="Times New Roman"/>
                                <w:sz w:val="20"/>
                              </w:rPr>
                            </w:pPr>
                          </w:p>
                        </w:tc>
                        <w:tc>
                          <w:tcPr>
                            <w:tcW w:w="691" w:type="dxa"/>
                            <w:vMerge w:val="restart"/>
                            <w:tcBorders>
                              <w:left w:val="single" w:color="auto" w:sz="4" w:space="0"/>
                            </w:tcBorders>
                          </w:tcPr>
                          <w:p>
                            <w:pPr>
                              <w:pStyle w:val="33"/>
                              <w:rPr>
                                <w:rFonts w:ascii="Times New Roman"/>
                                <w:sz w:val="20"/>
                              </w:rPr>
                            </w:pPr>
                          </w:p>
                        </w:tc>
                        <w:tc>
                          <w:tcPr>
                            <w:tcW w:w="2552"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1"/>
                              <w:rPr>
                                <w:sz w:val="15"/>
                              </w:rPr>
                            </w:pPr>
                          </w:p>
                          <w:p>
                            <w:pPr>
                              <w:pStyle w:val="33"/>
                              <w:spacing w:before="1" w:line="333" w:lineRule="auto"/>
                              <w:ind w:left="666" w:right="-7" w:hanging="658"/>
                              <w:rPr>
                                <w:sz w:val="21"/>
                              </w:rPr>
                            </w:pPr>
                            <w:r>
                              <w:rPr>
                                <w:sz w:val="21"/>
                              </w:rPr>
                              <w:t>确保工程质量的技术组织措施（2.5 分）</w:t>
                            </w:r>
                          </w:p>
                        </w:tc>
                        <w:tc>
                          <w:tcPr>
                            <w:tcW w:w="5387" w:type="dxa"/>
                          </w:tcPr>
                          <w:p>
                            <w:pPr>
                              <w:pStyle w:val="33"/>
                              <w:spacing w:before="59" w:line="331" w:lineRule="auto"/>
                              <w:ind w:left="2" w:right="-3" w:firstLine="420"/>
                              <w:rPr>
                                <w:sz w:val="21"/>
                              </w:rPr>
                            </w:pPr>
                            <w:r>
                              <w:rPr>
                                <w:spacing w:val="-3"/>
                                <w:sz w:val="21"/>
                              </w:rPr>
                              <w:t>应有专门的质量技术管理班子和制度，且人员配备合</w:t>
                            </w:r>
                            <w:r>
                              <w:rPr>
                                <w:spacing w:val="-10"/>
                                <w:sz w:val="21"/>
                              </w:rPr>
                              <w:t>理，制度健全。主要工序应有质量技术保证措施和手段，自</w:t>
                            </w:r>
                            <w:r>
                              <w:rPr>
                                <w:spacing w:val="-5"/>
                                <w:sz w:val="21"/>
                              </w:rPr>
                              <w:t>控体系完整，能有效保证技术质量，达到承诺的质量标准</w:t>
                            </w:r>
                          </w:p>
                          <w:p>
                            <w:pPr>
                              <w:pStyle w:val="33"/>
                              <w:spacing w:before="24" w:line="331" w:lineRule="auto"/>
                              <w:ind w:left="2" w:right="-6" w:firstLine="420"/>
                              <w:jc w:val="both"/>
                              <w:rPr>
                                <w:sz w:val="21"/>
                              </w:rPr>
                            </w:pPr>
                            <w:r>
                              <w:rPr>
                                <w:spacing w:val="-8"/>
                                <w:sz w:val="21"/>
                              </w:rPr>
                              <w:t>优</w:t>
                            </w:r>
                            <w:r>
                              <w:rPr>
                                <w:sz w:val="21"/>
                              </w:rPr>
                              <w:t>（2.5</w:t>
                            </w:r>
                            <w:r>
                              <w:rPr>
                                <w:spacing w:val="-18"/>
                                <w:sz w:val="21"/>
                              </w:rPr>
                              <w:t xml:space="preserve"> 分</w:t>
                            </w:r>
                            <w:r>
                              <w:rPr>
                                <w:spacing w:val="-10"/>
                                <w:sz w:val="21"/>
                              </w:rPr>
                              <w:t>）：</w:t>
                            </w:r>
                            <w:r>
                              <w:rPr>
                                <w:spacing w:val="-4"/>
                                <w:sz w:val="21"/>
                              </w:rPr>
                              <w:t>应用新技术新工艺新材料新设备，针对</w:t>
                            </w:r>
                            <w:r>
                              <w:rPr>
                                <w:spacing w:val="-10"/>
                                <w:sz w:val="21"/>
                              </w:rPr>
                              <w:t>项目实际情况提出先进、可行、具体的保证措施，超过招标</w:t>
                            </w:r>
                            <w:r>
                              <w:rPr>
                                <w:spacing w:val="-5"/>
                                <w:sz w:val="21"/>
                              </w:rPr>
                              <w:t>文件的质量要求及施工验收规范要求。</w:t>
                            </w:r>
                          </w:p>
                          <w:p>
                            <w:pPr>
                              <w:pStyle w:val="33"/>
                              <w:spacing w:before="24" w:line="331" w:lineRule="auto"/>
                              <w:ind w:left="2" w:right="-3" w:firstLine="420"/>
                              <w:rPr>
                                <w:sz w:val="21"/>
                              </w:rPr>
                            </w:pPr>
                            <w:r>
                              <w:rPr>
                                <w:spacing w:val="-8"/>
                                <w:sz w:val="21"/>
                              </w:rPr>
                              <w:t>良</w:t>
                            </w:r>
                            <w:r>
                              <w:rPr>
                                <w:sz w:val="21"/>
                              </w:rPr>
                              <w:t>（2.0</w:t>
                            </w:r>
                            <w:r>
                              <w:rPr>
                                <w:spacing w:val="-16"/>
                                <w:sz w:val="21"/>
                              </w:rPr>
                              <w:t xml:space="preserve"> 分</w:t>
                            </w:r>
                            <w:r>
                              <w:rPr>
                                <w:spacing w:val="-9"/>
                                <w:sz w:val="21"/>
                              </w:rPr>
                              <w:t>）</w:t>
                            </w:r>
                            <w:r>
                              <w:rPr>
                                <w:spacing w:val="-6"/>
                                <w:sz w:val="21"/>
                              </w:rPr>
                              <w:t>：针对项目实际情况提出先进、可行、具</w:t>
                            </w:r>
                            <w:r>
                              <w:rPr>
                                <w:spacing w:val="-4"/>
                                <w:sz w:val="21"/>
                              </w:rPr>
                              <w:t>体的保证措施，满足招标文件的质量要求。</w:t>
                            </w:r>
                          </w:p>
                          <w:p>
                            <w:pPr>
                              <w:pStyle w:val="33"/>
                              <w:spacing w:before="26" w:line="331" w:lineRule="auto"/>
                              <w:ind w:left="2" w:right="-3" w:firstLine="420"/>
                              <w:rPr>
                                <w:sz w:val="21"/>
                              </w:rPr>
                            </w:pPr>
                            <w:r>
                              <w:rPr>
                                <w:spacing w:val="-8"/>
                                <w:sz w:val="21"/>
                              </w:rPr>
                              <w:t>中</w:t>
                            </w:r>
                            <w:r>
                              <w:rPr>
                                <w:sz w:val="21"/>
                              </w:rPr>
                              <w:t>（1.5</w:t>
                            </w:r>
                            <w:r>
                              <w:rPr>
                                <w:spacing w:val="-17"/>
                                <w:sz w:val="21"/>
                              </w:rPr>
                              <w:t xml:space="preserve"> 分</w:t>
                            </w:r>
                            <w:r>
                              <w:rPr>
                                <w:spacing w:val="-10"/>
                                <w:sz w:val="21"/>
                              </w:rPr>
                              <w:t>）：</w:t>
                            </w:r>
                            <w:r>
                              <w:rPr>
                                <w:spacing w:val="-4"/>
                                <w:sz w:val="21"/>
                              </w:rPr>
                              <w:t>具体措施可行，满足招标文件的质量要求。</w:t>
                            </w:r>
                          </w:p>
                          <w:p>
                            <w:pPr>
                              <w:pStyle w:val="33"/>
                              <w:spacing w:before="24"/>
                              <w:ind w:left="422"/>
                              <w:rPr>
                                <w:sz w:val="21"/>
                              </w:rPr>
                            </w:pPr>
                            <w:r>
                              <w:rPr>
                                <w:sz w:val="21"/>
                              </w:rPr>
                              <w:t>差（0.5 分）：措施不可行。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0" w:hRule="atLeast"/>
                        </w:trPr>
                        <w:tc>
                          <w:tcPr>
                            <w:tcW w:w="927"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691" w:type="dxa"/>
                            <w:vMerge w:val="continue"/>
                            <w:tcBorders>
                              <w:top w:val="nil"/>
                              <w:left w:val="single" w:color="auto" w:sz="4" w:space="0"/>
                            </w:tcBorders>
                          </w:tcPr>
                          <w:p>
                            <w:pPr>
                              <w:rPr>
                                <w:sz w:val="2"/>
                                <w:szCs w:val="2"/>
                              </w:rPr>
                            </w:pPr>
                          </w:p>
                        </w:tc>
                        <w:tc>
                          <w:tcPr>
                            <w:tcW w:w="2552"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3"/>
                              <w:rPr>
                                <w:sz w:val="22"/>
                              </w:rPr>
                            </w:pPr>
                          </w:p>
                          <w:p>
                            <w:pPr>
                              <w:pStyle w:val="33"/>
                              <w:spacing w:line="333" w:lineRule="auto"/>
                              <w:ind w:left="666" w:right="-7" w:hanging="658"/>
                              <w:rPr>
                                <w:sz w:val="21"/>
                              </w:rPr>
                            </w:pPr>
                            <w:r>
                              <w:rPr>
                                <w:sz w:val="21"/>
                              </w:rPr>
                              <w:t>确保安全生产的技术组织措施（2.5 分）</w:t>
                            </w:r>
                          </w:p>
                        </w:tc>
                        <w:tc>
                          <w:tcPr>
                            <w:tcW w:w="5387" w:type="dxa"/>
                          </w:tcPr>
                          <w:p>
                            <w:pPr>
                              <w:pStyle w:val="33"/>
                              <w:spacing w:before="60" w:line="331" w:lineRule="auto"/>
                              <w:ind w:left="2" w:right="-5" w:firstLine="420"/>
                              <w:jc w:val="both"/>
                              <w:rPr>
                                <w:sz w:val="21"/>
                              </w:rPr>
                            </w:pPr>
                            <w:r>
                              <w:rPr>
                                <w:spacing w:val="-8"/>
                                <w:sz w:val="21"/>
                              </w:rPr>
                              <w:t>应有专门的安全管理人员和制度，且人员配备合理，制</w:t>
                            </w:r>
                            <w:r>
                              <w:rPr>
                                <w:spacing w:val="-12"/>
                                <w:sz w:val="21"/>
                              </w:rPr>
                              <w:t>度健全，各道工序安全技术措施针对性强，符合实际且满足有关安全技术标准要求。现场防火、应急救援、社会治安安</w:t>
                            </w:r>
                            <w:r>
                              <w:rPr>
                                <w:spacing w:val="-6"/>
                                <w:sz w:val="21"/>
                              </w:rPr>
                              <w:t>全措施得力。</w:t>
                            </w:r>
                          </w:p>
                          <w:p>
                            <w:pPr>
                              <w:pStyle w:val="33"/>
                              <w:spacing w:before="24" w:line="331" w:lineRule="auto"/>
                              <w:ind w:left="2" w:right="-23" w:firstLine="420"/>
                              <w:rPr>
                                <w:sz w:val="21"/>
                              </w:rPr>
                            </w:pPr>
                            <w:r>
                              <w:rPr>
                                <w:spacing w:val="-8"/>
                                <w:sz w:val="21"/>
                              </w:rPr>
                              <w:t>优</w:t>
                            </w:r>
                            <w:r>
                              <w:rPr>
                                <w:sz w:val="21"/>
                              </w:rPr>
                              <w:t>（2.5</w:t>
                            </w:r>
                            <w:r>
                              <w:rPr>
                                <w:spacing w:val="-18"/>
                                <w:sz w:val="21"/>
                              </w:rPr>
                              <w:t xml:space="preserve"> 分</w:t>
                            </w:r>
                            <w:r>
                              <w:rPr>
                                <w:spacing w:val="-10"/>
                                <w:sz w:val="21"/>
                              </w:rPr>
                              <w:t>）：</w:t>
                            </w:r>
                            <w:r>
                              <w:rPr>
                                <w:spacing w:val="-4"/>
                                <w:sz w:val="21"/>
                              </w:rPr>
                              <w:t>有专门的安全管理人员和制度，且人员</w:t>
                            </w:r>
                            <w:r>
                              <w:rPr>
                                <w:spacing w:val="-3"/>
                                <w:sz w:val="21"/>
                              </w:rPr>
                              <w:t>配备合理，制度较健全，各道工序安全技术措施针对性强</w:t>
                            </w:r>
                            <w:r>
                              <w:rPr>
                                <w:spacing w:val="-8"/>
                                <w:sz w:val="21"/>
                              </w:rPr>
                              <w:t>符合实际且满足有关安全技术标准要求。现场防火、应急救</w:t>
                            </w:r>
                            <w:r>
                              <w:rPr>
                                <w:spacing w:val="-5"/>
                                <w:sz w:val="21"/>
                              </w:rPr>
                              <w:t>援、社会治安安全措施较得力。</w:t>
                            </w:r>
                          </w:p>
                          <w:p>
                            <w:pPr>
                              <w:pStyle w:val="33"/>
                              <w:spacing w:before="24" w:line="331" w:lineRule="auto"/>
                              <w:ind w:left="2" w:right="-5" w:firstLine="420"/>
                              <w:jc w:val="both"/>
                              <w:rPr>
                                <w:sz w:val="21"/>
                              </w:rPr>
                            </w:pPr>
                            <w:r>
                              <w:rPr>
                                <w:spacing w:val="-8"/>
                                <w:sz w:val="21"/>
                              </w:rPr>
                              <w:t>良</w:t>
                            </w:r>
                            <w:r>
                              <w:rPr>
                                <w:sz w:val="21"/>
                              </w:rPr>
                              <w:t>（2.0</w:t>
                            </w:r>
                            <w:r>
                              <w:rPr>
                                <w:spacing w:val="-18"/>
                                <w:sz w:val="21"/>
                              </w:rPr>
                              <w:t xml:space="preserve"> 分</w:t>
                            </w:r>
                            <w:r>
                              <w:rPr>
                                <w:spacing w:val="-10"/>
                                <w:sz w:val="21"/>
                              </w:rPr>
                              <w:t>）：</w:t>
                            </w:r>
                            <w:r>
                              <w:rPr>
                                <w:spacing w:val="-4"/>
                                <w:sz w:val="21"/>
                              </w:rPr>
                              <w:t>有专门的安全管理人员和制度，且人员</w:t>
                            </w:r>
                            <w:r>
                              <w:rPr>
                                <w:spacing w:val="-11"/>
                                <w:sz w:val="21"/>
                              </w:rPr>
                              <w:t>配备合理，制度健全，各道工序安全技术措施合理，符合实际且满足有关安全技术标准要求。现场防火、应急救援、社</w:t>
                            </w:r>
                            <w:r>
                              <w:rPr>
                                <w:spacing w:val="-6"/>
                                <w:sz w:val="21"/>
                              </w:rPr>
                              <w:t>会治安安全措施得力。</w:t>
                            </w:r>
                          </w:p>
                          <w:p>
                            <w:pPr>
                              <w:pStyle w:val="33"/>
                              <w:spacing w:before="27" w:line="331" w:lineRule="auto"/>
                              <w:ind w:left="2" w:right="-5" w:firstLine="420"/>
                              <w:jc w:val="both"/>
                              <w:rPr>
                                <w:sz w:val="21"/>
                              </w:rPr>
                            </w:pPr>
                            <w:r>
                              <w:rPr>
                                <w:spacing w:val="-8"/>
                                <w:sz w:val="21"/>
                              </w:rPr>
                              <w:t>中</w:t>
                            </w:r>
                            <w:r>
                              <w:rPr>
                                <w:sz w:val="21"/>
                              </w:rPr>
                              <w:t>（1.5</w:t>
                            </w:r>
                            <w:r>
                              <w:rPr>
                                <w:spacing w:val="-18"/>
                                <w:sz w:val="21"/>
                              </w:rPr>
                              <w:t xml:space="preserve"> 分</w:t>
                            </w:r>
                            <w:r>
                              <w:rPr>
                                <w:spacing w:val="-10"/>
                                <w:sz w:val="21"/>
                              </w:rPr>
                              <w:t>）：</w:t>
                            </w:r>
                            <w:r>
                              <w:rPr>
                                <w:spacing w:val="-4"/>
                                <w:sz w:val="21"/>
                              </w:rPr>
                              <w:t>有专门的安全管理人员和制度，且人员</w:t>
                            </w:r>
                            <w:r>
                              <w:rPr>
                                <w:spacing w:val="-11"/>
                                <w:sz w:val="21"/>
                              </w:rPr>
                              <w:t>配备基本合理，制度基本健全，基本满足有关安全技术标准要求。</w:t>
                            </w:r>
                          </w:p>
                          <w:p>
                            <w:pPr>
                              <w:pStyle w:val="33"/>
                              <w:spacing w:before="27"/>
                              <w:ind w:left="422" w:right="-3"/>
                              <w:rPr>
                                <w:sz w:val="21"/>
                              </w:rPr>
                            </w:pPr>
                            <w:r>
                              <w:rPr>
                                <w:spacing w:val="-8"/>
                                <w:sz w:val="21"/>
                              </w:rPr>
                              <w:t>差</w:t>
                            </w:r>
                            <w:r>
                              <w:rPr>
                                <w:sz w:val="21"/>
                              </w:rPr>
                              <w:t>（0.5</w:t>
                            </w:r>
                            <w:r>
                              <w:rPr>
                                <w:spacing w:val="-14"/>
                                <w:sz w:val="21"/>
                              </w:rPr>
                              <w:t xml:space="preserve"> 分</w:t>
                            </w:r>
                            <w:r>
                              <w:rPr>
                                <w:spacing w:val="-9"/>
                                <w:sz w:val="21"/>
                              </w:rPr>
                              <w:t>）</w:t>
                            </w:r>
                            <w:r>
                              <w:rPr>
                                <w:spacing w:val="-6"/>
                                <w:sz w:val="21"/>
                              </w:rPr>
                              <w:t>：人员配备不合理，制度不健全，基本不</w:t>
                            </w:r>
                          </w:p>
                          <w:p>
                            <w:pPr>
                              <w:pStyle w:val="33"/>
                              <w:spacing w:before="104"/>
                              <w:ind w:left="2"/>
                              <w:rPr>
                                <w:sz w:val="21"/>
                              </w:rPr>
                            </w:pPr>
                            <w:r>
                              <w:rPr>
                                <w:sz w:val="21"/>
                              </w:rPr>
                              <w:t>满足有关安全技术标准要求。</w:t>
                            </w:r>
                          </w:p>
                        </w:tc>
                      </w:tr>
                    </w:tbl>
                    <w:p>
                      <w:pPr>
                        <w:pStyle w:val="13"/>
                        <w:ind w:left="0"/>
                      </w:pPr>
                    </w:p>
                  </w:txbxContent>
                </v:textbox>
              </v:shape>
            </w:pict>
          </mc:Fallback>
        </mc:AlternateContent>
      </w:r>
    </w:p>
    <w:p>
      <w:pPr>
        <w:pStyle w:val="13"/>
        <w:ind w:left="0"/>
        <w:rPr>
          <w:sz w:val="20"/>
        </w:rPr>
      </w:pPr>
    </w:p>
    <w:p>
      <w:pPr>
        <w:pStyle w:val="13"/>
        <w:spacing w:before="8"/>
        <w:ind w:left="0"/>
        <w:rPr>
          <w:sz w:val="20"/>
        </w:rPr>
      </w:pPr>
    </w:p>
    <w:p>
      <w:pPr>
        <w:pStyle w:val="13"/>
        <w:spacing w:before="37"/>
        <w:ind w:left="0" w:right="107"/>
        <w:jc w:val="right"/>
      </w:pPr>
      <w:r>
        <w:rPr>
          <w:w w:val="100"/>
        </w:rPr>
        <w:t>。</w:t>
      </w: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spacing w:before="2"/>
        <w:ind w:left="0"/>
        <w:rPr>
          <w:sz w:val="26"/>
        </w:rPr>
      </w:pPr>
    </w:p>
    <w:p>
      <w:pPr>
        <w:pStyle w:val="13"/>
        <w:ind w:left="0" w:right="104"/>
        <w:jc w:val="right"/>
      </w:pPr>
      <w:r>
        <w:rPr>
          <w:w w:val="100"/>
        </w:rPr>
        <w:t>，</w:t>
      </w:r>
    </w:p>
    <w:p>
      <w:pPr>
        <w:spacing w:after="0"/>
        <w:jc w:val="right"/>
        <w:sectPr>
          <w:pgSz w:w="11910" w:h="16840"/>
          <w:pgMar w:top="1400" w:right="940" w:bottom="1180" w:left="1100" w:header="0" w:footer="920" w:gutter="0"/>
        </w:sectPr>
      </w:pPr>
    </w:p>
    <w:tbl>
      <w:tblPr>
        <w:tblStyle w:val="17"/>
        <w:tblW w:w="9557"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691"/>
        <w:gridCol w:w="2552"/>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0" w:hRule="atLeast"/>
        </w:trPr>
        <w:tc>
          <w:tcPr>
            <w:tcW w:w="927" w:type="dxa"/>
            <w:vMerge w:val="restart"/>
          </w:tcPr>
          <w:p>
            <w:pPr>
              <w:pStyle w:val="33"/>
              <w:rPr>
                <w:rFonts w:ascii="Times New Roman"/>
                <w:sz w:val="20"/>
              </w:rPr>
            </w:pPr>
          </w:p>
        </w:tc>
        <w:tc>
          <w:tcPr>
            <w:tcW w:w="691" w:type="dxa"/>
            <w:vMerge w:val="restart"/>
          </w:tcPr>
          <w:p>
            <w:pPr>
              <w:pStyle w:val="33"/>
              <w:rPr>
                <w:rFonts w:ascii="Times New Roman"/>
                <w:sz w:val="20"/>
              </w:rPr>
            </w:pPr>
          </w:p>
        </w:tc>
        <w:tc>
          <w:tcPr>
            <w:tcW w:w="2552"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11"/>
              <w:rPr>
                <w:sz w:val="14"/>
              </w:rPr>
            </w:pPr>
          </w:p>
          <w:p>
            <w:pPr>
              <w:pStyle w:val="33"/>
              <w:ind w:left="21" w:right="19"/>
              <w:jc w:val="center"/>
              <w:rPr>
                <w:sz w:val="21"/>
              </w:rPr>
            </w:pPr>
            <w:r>
              <w:rPr>
                <w:sz w:val="21"/>
              </w:rPr>
              <w:t>确保工期的技术组织措施</w:t>
            </w:r>
          </w:p>
          <w:p>
            <w:pPr>
              <w:pStyle w:val="33"/>
              <w:spacing w:before="106"/>
              <w:ind w:left="19" w:right="19"/>
              <w:jc w:val="center"/>
              <w:rPr>
                <w:sz w:val="21"/>
              </w:rPr>
            </w:pPr>
            <w:r>
              <w:rPr>
                <w:sz w:val="21"/>
              </w:rPr>
              <w:t>（2.5 分）</w:t>
            </w:r>
          </w:p>
        </w:tc>
        <w:tc>
          <w:tcPr>
            <w:tcW w:w="5387" w:type="dxa"/>
          </w:tcPr>
          <w:p>
            <w:pPr>
              <w:pStyle w:val="33"/>
              <w:spacing w:before="59" w:line="331" w:lineRule="auto"/>
              <w:ind w:left="2" w:right="-8" w:firstLine="420"/>
              <w:jc w:val="both"/>
              <w:rPr>
                <w:sz w:val="21"/>
              </w:rPr>
            </w:pPr>
            <w:r>
              <w:rPr>
                <w:spacing w:val="-11"/>
                <w:sz w:val="21"/>
              </w:rPr>
              <w:t>在施工工艺、施工方法、材料选用、劳动力安排、技术等方面有保证工期的具体措施且措施得当。有控制工期的施</w:t>
            </w:r>
            <w:r>
              <w:rPr>
                <w:spacing w:val="-12"/>
                <w:sz w:val="21"/>
              </w:rPr>
              <w:t>工进度计划。应有施工总进度表或施工网络图，各项计划图</w:t>
            </w:r>
            <w:r>
              <w:rPr>
                <w:spacing w:val="-6"/>
                <w:sz w:val="21"/>
              </w:rPr>
              <w:t>表编制完善，安排科学合理，符合本项目施工实际要求。</w:t>
            </w:r>
          </w:p>
          <w:p>
            <w:pPr>
              <w:pStyle w:val="33"/>
              <w:spacing w:before="24" w:line="331" w:lineRule="auto"/>
              <w:ind w:left="2" w:right="-5" w:firstLine="420"/>
              <w:jc w:val="both"/>
              <w:rPr>
                <w:sz w:val="21"/>
              </w:rPr>
            </w:pPr>
            <w:r>
              <w:rPr>
                <w:spacing w:val="-5"/>
                <w:sz w:val="21"/>
              </w:rPr>
              <w:t>优</w:t>
            </w:r>
            <w:r>
              <w:rPr>
                <w:sz w:val="21"/>
              </w:rPr>
              <w:t>（2.5</w:t>
            </w:r>
            <w:r>
              <w:rPr>
                <w:spacing w:val="-17"/>
                <w:sz w:val="21"/>
              </w:rPr>
              <w:t xml:space="preserve"> 分</w:t>
            </w:r>
            <w:r>
              <w:rPr>
                <w:spacing w:val="-7"/>
                <w:sz w:val="21"/>
              </w:rPr>
              <w:t>）</w:t>
            </w:r>
            <w:r>
              <w:rPr>
                <w:spacing w:val="-6"/>
                <w:sz w:val="21"/>
              </w:rPr>
              <w:t>：施工工艺、施工方法、材料选用、劳动</w:t>
            </w:r>
            <w:r>
              <w:rPr>
                <w:spacing w:val="-12"/>
                <w:sz w:val="21"/>
              </w:rPr>
              <w:t>力安排、技术等方面具体措施较得当。有控制工期的施工进</w:t>
            </w:r>
            <w:r>
              <w:rPr>
                <w:spacing w:val="-13"/>
                <w:sz w:val="21"/>
              </w:rPr>
              <w:t>度计划。有施工总进度表或施工网络图，各项计划图表编制</w:t>
            </w:r>
            <w:r>
              <w:rPr>
                <w:spacing w:val="-6"/>
                <w:sz w:val="21"/>
              </w:rPr>
              <w:t>完善，安排科学合理，能较好满足本项目施工实际要求。</w:t>
            </w:r>
          </w:p>
          <w:p>
            <w:pPr>
              <w:pStyle w:val="33"/>
              <w:spacing w:before="26" w:line="331" w:lineRule="auto"/>
              <w:ind w:left="2" w:right="-5" w:firstLine="420"/>
              <w:jc w:val="both"/>
              <w:rPr>
                <w:sz w:val="21"/>
              </w:rPr>
            </w:pPr>
            <w:r>
              <w:rPr>
                <w:spacing w:val="-5"/>
                <w:sz w:val="21"/>
              </w:rPr>
              <w:t>良</w:t>
            </w:r>
            <w:r>
              <w:rPr>
                <w:sz w:val="21"/>
              </w:rPr>
              <w:t>（2.0</w:t>
            </w:r>
            <w:r>
              <w:rPr>
                <w:spacing w:val="-17"/>
                <w:sz w:val="21"/>
              </w:rPr>
              <w:t xml:space="preserve"> 分</w:t>
            </w:r>
            <w:r>
              <w:rPr>
                <w:spacing w:val="-7"/>
                <w:sz w:val="21"/>
              </w:rPr>
              <w:t>）</w:t>
            </w:r>
            <w:r>
              <w:rPr>
                <w:spacing w:val="-6"/>
                <w:sz w:val="21"/>
              </w:rPr>
              <w:t>：施工工艺、施工方法、材料选用、劳动</w:t>
            </w:r>
            <w:r>
              <w:rPr>
                <w:spacing w:val="-12"/>
                <w:sz w:val="21"/>
              </w:rPr>
              <w:t>力安排、技术等方面具体措施得当。有控制工期的施工进度</w:t>
            </w:r>
            <w:r>
              <w:rPr>
                <w:spacing w:val="-13"/>
                <w:sz w:val="21"/>
              </w:rPr>
              <w:t>计划。有施工总进度表或施工网络图，各项计划图表编制完</w:t>
            </w:r>
            <w:r>
              <w:rPr>
                <w:spacing w:val="-6"/>
                <w:sz w:val="21"/>
              </w:rPr>
              <w:t>善，安排科学合理，能满足本项目施工实际要求。</w:t>
            </w:r>
          </w:p>
          <w:p>
            <w:pPr>
              <w:pStyle w:val="33"/>
              <w:spacing w:before="24" w:line="331" w:lineRule="auto"/>
              <w:ind w:left="2" w:right="-5" w:firstLine="420"/>
              <w:jc w:val="both"/>
              <w:rPr>
                <w:sz w:val="21"/>
              </w:rPr>
            </w:pPr>
            <w:r>
              <w:rPr>
                <w:spacing w:val="-5"/>
                <w:sz w:val="21"/>
              </w:rPr>
              <w:t>中</w:t>
            </w:r>
            <w:r>
              <w:rPr>
                <w:sz w:val="21"/>
              </w:rPr>
              <w:t>（1.5</w:t>
            </w:r>
            <w:r>
              <w:rPr>
                <w:spacing w:val="-17"/>
                <w:sz w:val="21"/>
              </w:rPr>
              <w:t xml:space="preserve"> 分</w:t>
            </w:r>
            <w:r>
              <w:rPr>
                <w:spacing w:val="-7"/>
                <w:sz w:val="21"/>
              </w:rPr>
              <w:t>）</w:t>
            </w:r>
            <w:r>
              <w:rPr>
                <w:spacing w:val="-6"/>
                <w:sz w:val="21"/>
              </w:rPr>
              <w:t>：施工工艺、施工方法、材料选用、劳动</w:t>
            </w:r>
            <w:r>
              <w:rPr>
                <w:spacing w:val="-11"/>
                <w:sz w:val="21"/>
              </w:rPr>
              <w:t>力安排、技术等方面具体措施基本得当。有控制工期的施工</w:t>
            </w:r>
            <w:r>
              <w:rPr>
                <w:spacing w:val="-12"/>
                <w:sz w:val="21"/>
              </w:rPr>
              <w:t>进度计划。有施工总进度表或施工网络图，各项计划图表编</w:t>
            </w:r>
            <w:r>
              <w:rPr>
                <w:spacing w:val="-17"/>
                <w:sz w:val="21"/>
              </w:rPr>
              <w:t>制完善，安排基本科学合理，基本满足本项目施工实际要求</w:t>
            </w:r>
          </w:p>
          <w:p>
            <w:pPr>
              <w:pStyle w:val="33"/>
              <w:rPr>
                <w:sz w:val="20"/>
              </w:rPr>
            </w:pPr>
          </w:p>
          <w:p>
            <w:pPr>
              <w:pStyle w:val="33"/>
              <w:spacing w:before="144" w:line="331" w:lineRule="auto"/>
              <w:ind w:left="2" w:right="-5" w:firstLine="420"/>
              <w:jc w:val="both"/>
              <w:rPr>
                <w:sz w:val="21"/>
              </w:rPr>
            </w:pPr>
            <w:r>
              <w:rPr>
                <w:spacing w:val="-5"/>
                <w:sz w:val="21"/>
              </w:rPr>
              <w:t>差</w:t>
            </w:r>
            <w:r>
              <w:rPr>
                <w:sz w:val="21"/>
              </w:rPr>
              <w:t>（0.5</w:t>
            </w:r>
            <w:r>
              <w:rPr>
                <w:spacing w:val="-17"/>
                <w:sz w:val="21"/>
              </w:rPr>
              <w:t xml:space="preserve"> 分</w:t>
            </w:r>
            <w:r>
              <w:rPr>
                <w:spacing w:val="-7"/>
                <w:sz w:val="21"/>
              </w:rPr>
              <w:t>）</w:t>
            </w:r>
            <w:r>
              <w:rPr>
                <w:spacing w:val="-6"/>
                <w:sz w:val="21"/>
              </w:rPr>
              <w:t>：施工工艺、施工方法、材料选用、劳动</w:t>
            </w:r>
            <w:r>
              <w:rPr>
                <w:spacing w:val="-12"/>
                <w:sz w:val="21"/>
              </w:rPr>
              <w:t>力安排、技术等方面具体措施不得当。没有控制工期的施工进度计划。没有施工总进度表或施工网络图，各项计划图表</w:t>
            </w:r>
            <w:r>
              <w:rPr>
                <w:spacing w:val="-13"/>
                <w:sz w:val="21"/>
              </w:rPr>
              <w:t>编制不完善，安排不科学合理，不能满足本项目施工实际要</w:t>
            </w:r>
          </w:p>
          <w:p>
            <w:pPr>
              <w:pStyle w:val="33"/>
              <w:spacing w:before="24"/>
              <w:ind w:left="2"/>
              <w:rPr>
                <w:sz w:val="21"/>
              </w:rPr>
            </w:pPr>
            <w:r>
              <w:rPr>
                <w:sz w:val="21"/>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0" w:hRule="atLeast"/>
        </w:trPr>
        <w:tc>
          <w:tcPr>
            <w:tcW w:w="9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552"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3"/>
              <w:rPr>
                <w:sz w:val="15"/>
              </w:rPr>
            </w:pPr>
          </w:p>
          <w:p>
            <w:pPr>
              <w:pStyle w:val="33"/>
              <w:spacing w:before="1" w:line="331" w:lineRule="auto"/>
              <w:ind w:left="666" w:right="-7" w:hanging="658"/>
              <w:rPr>
                <w:sz w:val="21"/>
              </w:rPr>
            </w:pPr>
            <w:r>
              <w:rPr>
                <w:sz w:val="21"/>
              </w:rPr>
              <w:t>确保文明施工的技术组织措施（2.5 分）</w:t>
            </w:r>
          </w:p>
        </w:tc>
        <w:tc>
          <w:tcPr>
            <w:tcW w:w="5387" w:type="dxa"/>
          </w:tcPr>
          <w:p>
            <w:pPr>
              <w:pStyle w:val="33"/>
              <w:spacing w:before="59" w:line="331" w:lineRule="auto"/>
              <w:ind w:left="2" w:right="-7" w:firstLine="420"/>
              <w:jc w:val="both"/>
              <w:rPr>
                <w:sz w:val="21"/>
              </w:rPr>
            </w:pPr>
            <w:r>
              <w:rPr>
                <w:spacing w:val="-10"/>
                <w:sz w:val="21"/>
              </w:rPr>
              <w:t>针对本工程项目特点，应有现场文明施工、环境保护措</w:t>
            </w:r>
            <w:r>
              <w:rPr>
                <w:spacing w:val="-5"/>
                <w:sz w:val="21"/>
              </w:rPr>
              <w:t>施，且措施内容应达到《建筑施工安全生产检查标准》</w:t>
            </w:r>
            <w:r>
              <w:rPr>
                <w:sz w:val="21"/>
              </w:rPr>
              <w:t>（J GJ59-2011）</w:t>
            </w:r>
            <w:r>
              <w:rPr>
                <w:spacing w:val="-3"/>
                <w:sz w:val="21"/>
              </w:rPr>
              <w:t>合格标准并符合《广西壮族自治区建筑工程文</w:t>
            </w:r>
            <w:r>
              <w:rPr>
                <w:spacing w:val="-11"/>
                <w:sz w:val="21"/>
              </w:rPr>
              <w:t>明施工导则》要求。各项措施周全、具体、有效。有具体实</w:t>
            </w:r>
            <w:r>
              <w:rPr>
                <w:spacing w:val="-6"/>
                <w:sz w:val="21"/>
              </w:rPr>
              <w:t>现现场文明施工目标的承诺。</w:t>
            </w:r>
          </w:p>
          <w:p>
            <w:pPr>
              <w:pStyle w:val="33"/>
              <w:spacing w:before="24" w:line="331" w:lineRule="auto"/>
              <w:ind w:left="2" w:right="-3" w:firstLine="420"/>
              <w:jc w:val="both"/>
              <w:rPr>
                <w:sz w:val="21"/>
              </w:rPr>
            </w:pPr>
            <w:r>
              <w:rPr>
                <w:spacing w:val="-8"/>
                <w:sz w:val="21"/>
              </w:rPr>
              <w:t>优</w:t>
            </w:r>
            <w:r>
              <w:rPr>
                <w:sz w:val="21"/>
              </w:rPr>
              <w:t>（2.5</w:t>
            </w:r>
            <w:r>
              <w:rPr>
                <w:spacing w:val="-16"/>
                <w:sz w:val="21"/>
              </w:rPr>
              <w:t xml:space="preserve"> 分</w:t>
            </w:r>
            <w:r>
              <w:rPr>
                <w:spacing w:val="-9"/>
                <w:sz w:val="21"/>
              </w:rPr>
              <w:t>）</w:t>
            </w:r>
            <w:r>
              <w:rPr>
                <w:spacing w:val="-6"/>
                <w:sz w:val="21"/>
              </w:rPr>
              <w:t>：针对项目实际情况，有先进具体、完整</w:t>
            </w:r>
            <w:r>
              <w:rPr>
                <w:spacing w:val="-4"/>
                <w:sz w:val="21"/>
              </w:rPr>
              <w:t>可行的实施措施，采用规范正确、清晰。</w:t>
            </w:r>
          </w:p>
          <w:p>
            <w:pPr>
              <w:pStyle w:val="33"/>
              <w:spacing w:before="26" w:line="331" w:lineRule="auto"/>
              <w:ind w:left="2" w:right="-3" w:firstLine="420"/>
              <w:jc w:val="both"/>
              <w:rPr>
                <w:sz w:val="21"/>
              </w:rPr>
            </w:pPr>
            <w:r>
              <w:rPr>
                <w:spacing w:val="-8"/>
                <w:sz w:val="21"/>
              </w:rPr>
              <w:t>良</w:t>
            </w:r>
            <w:r>
              <w:rPr>
                <w:sz w:val="21"/>
              </w:rPr>
              <w:t>（2.0</w:t>
            </w:r>
            <w:r>
              <w:rPr>
                <w:spacing w:val="-17"/>
                <w:sz w:val="21"/>
              </w:rPr>
              <w:t xml:space="preserve"> 分</w:t>
            </w:r>
            <w:r>
              <w:rPr>
                <w:spacing w:val="-10"/>
                <w:sz w:val="21"/>
              </w:rPr>
              <w:t>）：</w:t>
            </w:r>
            <w:r>
              <w:rPr>
                <w:spacing w:val="-4"/>
                <w:sz w:val="21"/>
              </w:rPr>
              <w:t>针对项目实际情况，有合理的措施且具</w:t>
            </w:r>
            <w:r>
              <w:rPr>
                <w:spacing w:val="-3"/>
                <w:sz w:val="21"/>
              </w:rPr>
              <w:t>体、完整，采用规范正确。</w:t>
            </w:r>
          </w:p>
          <w:p>
            <w:pPr>
              <w:pStyle w:val="33"/>
              <w:spacing w:before="24"/>
              <w:ind w:left="422"/>
              <w:rPr>
                <w:sz w:val="21"/>
              </w:rPr>
            </w:pPr>
            <w:r>
              <w:rPr>
                <w:sz w:val="21"/>
              </w:rPr>
              <w:t>中（1.5 分）：有基本合理的措施，采用规范正确。</w:t>
            </w:r>
          </w:p>
          <w:p>
            <w:pPr>
              <w:pStyle w:val="33"/>
              <w:spacing w:before="106"/>
              <w:ind w:left="422"/>
              <w:rPr>
                <w:sz w:val="21"/>
              </w:rPr>
            </w:pPr>
            <w:r>
              <w:rPr>
                <w:spacing w:val="-34"/>
                <w:sz w:val="21"/>
              </w:rPr>
              <w:t>差</w:t>
            </w:r>
            <w:r>
              <w:rPr>
                <w:sz w:val="21"/>
              </w:rPr>
              <w:t>（0.5</w:t>
            </w:r>
            <w:r>
              <w:rPr>
                <w:spacing w:val="-15"/>
                <w:sz w:val="21"/>
              </w:rPr>
              <w:t xml:space="preserve"> 分</w:t>
            </w:r>
            <w:r>
              <w:rPr>
                <w:spacing w:val="-35"/>
                <w:sz w:val="21"/>
              </w:rPr>
              <w:t>）</w:t>
            </w:r>
            <w:r>
              <w:rPr>
                <w:spacing w:val="-10"/>
                <w:sz w:val="21"/>
              </w:rPr>
              <w:t>：文明施工措施不得力，采用规范不正确</w:t>
            </w:r>
          </w:p>
        </w:tc>
      </w:tr>
    </w:tbl>
    <w:p>
      <w:pPr>
        <w:spacing w:after="0"/>
        <w:rPr>
          <w:sz w:val="21"/>
        </w:rPr>
        <w:sectPr>
          <w:pgSz w:w="11910" w:h="16840"/>
          <w:pgMar w:top="1400" w:right="1020" w:bottom="1120" w:left="1100" w:header="0" w:footer="920" w:gutter="0"/>
        </w:sectPr>
      </w:pPr>
    </w:p>
    <w:tbl>
      <w:tblPr>
        <w:tblStyle w:val="17"/>
        <w:tblW w:w="9557"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691"/>
        <w:gridCol w:w="2552"/>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0" w:hRule="atLeast"/>
        </w:trPr>
        <w:tc>
          <w:tcPr>
            <w:tcW w:w="927" w:type="dxa"/>
            <w:vMerge w:val="restart"/>
          </w:tcPr>
          <w:p>
            <w:pPr>
              <w:pStyle w:val="33"/>
              <w:rPr>
                <w:rFonts w:ascii="Times New Roman"/>
                <w:sz w:val="20"/>
              </w:rPr>
            </w:pPr>
          </w:p>
        </w:tc>
        <w:tc>
          <w:tcPr>
            <w:tcW w:w="691" w:type="dxa"/>
            <w:vMerge w:val="restart"/>
          </w:tcPr>
          <w:p>
            <w:pPr>
              <w:pStyle w:val="33"/>
              <w:rPr>
                <w:rFonts w:ascii="Times New Roman"/>
                <w:sz w:val="20"/>
              </w:rPr>
            </w:pPr>
          </w:p>
        </w:tc>
        <w:tc>
          <w:tcPr>
            <w:tcW w:w="2552"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10"/>
              <w:rPr>
                <w:sz w:val="29"/>
              </w:rPr>
            </w:pPr>
          </w:p>
          <w:p>
            <w:pPr>
              <w:pStyle w:val="33"/>
              <w:spacing w:line="331" w:lineRule="auto"/>
              <w:ind w:left="455" w:right="-7" w:hanging="447"/>
              <w:rPr>
                <w:sz w:val="21"/>
              </w:rPr>
            </w:pPr>
            <w:r>
              <w:rPr>
                <w:sz w:val="21"/>
              </w:rPr>
              <w:t>工程施工的重点和难点及保证措施（2.0 分）</w:t>
            </w:r>
          </w:p>
        </w:tc>
        <w:tc>
          <w:tcPr>
            <w:tcW w:w="5387" w:type="dxa"/>
          </w:tcPr>
          <w:p>
            <w:pPr>
              <w:pStyle w:val="33"/>
              <w:spacing w:before="59" w:line="331" w:lineRule="auto"/>
              <w:ind w:left="2" w:right="-5" w:firstLine="420"/>
              <w:jc w:val="both"/>
              <w:rPr>
                <w:sz w:val="21"/>
              </w:rPr>
            </w:pPr>
            <w:r>
              <w:rPr>
                <w:spacing w:val="-10"/>
                <w:sz w:val="21"/>
              </w:rPr>
              <w:t>针对本工程的特点，阐述本工程的重点和难点，解决重</w:t>
            </w:r>
            <w:r>
              <w:rPr>
                <w:spacing w:val="-5"/>
                <w:sz w:val="21"/>
              </w:rPr>
              <w:t>点和难点问题的方法是否合理。</w:t>
            </w:r>
          </w:p>
          <w:p>
            <w:pPr>
              <w:pStyle w:val="33"/>
              <w:spacing w:before="26" w:line="331" w:lineRule="auto"/>
              <w:ind w:left="2" w:right="12" w:firstLine="420"/>
              <w:jc w:val="both"/>
              <w:rPr>
                <w:sz w:val="21"/>
              </w:rPr>
            </w:pPr>
            <w:r>
              <w:rPr>
                <w:sz w:val="21"/>
              </w:rPr>
              <w:t>优（2 分）：对项目关键技术、工艺有深入的表述,对重点、难点有先进合理的施工措施并有可行的安全措施,解决方案完整、经济、安全、切实可行,措施得力。</w:t>
            </w:r>
          </w:p>
          <w:p>
            <w:pPr>
              <w:pStyle w:val="33"/>
              <w:spacing w:before="26" w:line="331" w:lineRule="auto"/>
              <w:ind w:left="2" w:right="12" w:firstLine="420"/>
              <w:jc w:val="both"/>
              <w:rPr>
                <w:sz w:val="21"/>
              </w:rPr>
            </w:pPr>
            <w:r>
              <w:rPr>
                <w:sz w:val="21"/>
              </w:rPr>
              <w:t>良（1.5 分）：对项目关键技术、工艺有深入的表述, 对重点、难点有合理的建议,解决方案经济、安全、基本可行。</w:t>
            </w:r>
          </w:p>
          <w:p>
            <w:pPr>
              <w:pStyle w:val="33"/>
              <w:spacing w:before="26" w:line="331" w:lineRule="auto"/>
              <w:ind w:left="2" w:right="67" w:firstLine="420"/>
              <w:jc w:val="both"/>
              <w:rPr>
                <w:sz w:val="21"/>
              </w:rPr>
            </w:pPr>
            <w:r>
              <w:rPr>
                <w:sz w:val="21"/>
              </w:rPr>
              <w:t>中（1</w:t>
            </w:r>
            <w:r>
              <w:rPr>
                <w:spacing w:val="-18"/>
                <w:sz w:val="21"/>
              </w:rPr>
              <w:t xml:space="preserve"> 分</w:t>
            </w:r>
            <w:r>
              <w:rPr>
                <w:sz w:val="21"/>
              </w:rPr>
              <w:t>）</w:t>
            </w:r>
            <w:r>
              <w:rPr>
                <w:spacing w:val="-3"/>
                <w:sz w:val="21"/>
              </w:rPr>
              <w:t>：对项目关键技术有一定的了解,对重点、难点有建议,解决方案基本可行。</w:t>
            </w:r>
          </w:p>
          <w:p>
            <w:pPr>
              <w:pStyle w:val="33"/>
              <w:spacing w:before="24"/>
              <w:ind w:left="422"/>
              <w:rPr>
                <w:sz w:val="21"/>
              </w:rPr>
            </w:pPr>
            <w:r>
              <w:rPr>
                <w:sz w:val="21"/>
              </w:rPr>
              <w:t>差（0.5 分）：对项目关键技术有表述,对重点、难点</w:t>
            </w:r>
          </w:p>
          <w:p>
            <w:pPr>
              <w:pStyle w:val="33"/>
              <w:spacing w:before="107"/>
              <w:ind w:left="2"/>
              <w:rPr>
                <w:sz w:val="21"/>
              </w:rPr>
            </w:pPr>
            <w:r>
              <w:rPr>
                <w:sz w:val="21"/>
              </w:rPr>
              <w:t>有建议,解决方案不可。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0" w:hRule="atLeast"/>
        </w:trPr>
        <w:tc>
          <w:tcPr>
            <w:tcW w:w="9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552" w:type="dxa"/>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8"/>
              <w:rPr>
                <w:sz w:val="20"/>
              </w:rPr>
            </w:pPr>
          </w:p>
          <w:p>
            <w:pPr>
              <w:pStyle w:val="33"/>
              <w:ind w:left="-1" w:right="103"/>
              <w:jc w:val="center"/>
              <w:rPr>
                <w:sz w:val="21"/>
              </w:rPr>
            </w:pPr>
            <w:r>
              <w:rPr>
                <w:spacing w:val="-7"/>
                <w:sz w:val="21"/>
              </w:rPr>
              <w:t>施工总平面布置图</w:t>
            </w:r>
            <w:r>
              <w:rPr>
                <w:sz w:val="21"/>
              </w:rPr>
              <w:t>（1.0</w:t>
            </w:r>
            <w:r>
              <w:rPr>
                <w:spacing w:val="-24"/>
                <w:sz w:val="21"/>
              </w:rPr>
              <w:t xml:space="preserve"> 分</w:t>
            </w:r>
          </w:p>
        </w:tc>
        <w:tc>
          <w:tcPr>
            <w:tcW w:w="5387" w:type="dxa"/>
          </w:tcPr>
          <w:p>
            <w:pPr>
              <w:pStyle w:val="33"/>
              <w:spacing w:before="59" w:line="331" w:lineRule="auto"/>
              <w:ind w:left="2" w:right="-3" w:firstLine="420"/>
              <w:rPr>
                <w:sz w:val="21"/>
              </w:rPr>
            </w:pPr>
            <w:r>
              <w:rPr>
                <w:spacing w:val="-10"/>
                <w:sz w:val="21"/>
              </w:rPr>
              <w:t>应有施工总平面布置图，安排科学合理，符合本项目施</w:t>
            </w:r>
            <w:r>
              <w:rPr>
                <w:spacing w:val="-5"/>
                <w:sz w:val="21"/>
              </w:rPr>
              <w:t>工实际要求。</w:t>
            </w:r>
          </w:p>
          <w:p>
            <w:pPr>
              <w:pStyle w:val="33"/>
              <w:spacing w:before="26" w:line="331" w:lineRule="auto"/>
              <w:ind w:left="2" w:right="-1" w:firstLine="420"/>
              <w:rPr>
                <w:sz w:val="21"/>
              </w:rPr>
            </w:pPr>
            <w:r>
              <w:rPr>
                <w:sz w:val="21"/>
              </w:rPr>
              <w:t>优（1 分）：总体布置有针对性、合理,较好满足施工需要,符合安全、文明生产要求。</w:t>
            </w:r>
          </w:p>
          <w:p>
            <w:pPr>
              <w:pStyle w:val="33"/>
              <w:tabs>
                <w:tab w:val="left" w:pos="422"/>
              </w:tabs>
              <w:spacing w:before="24" w:line="333" w:lineRule="auto"/>
              <w:ind w:left="2" w:right="-3" w:hanging="116"/>
              <w:rPr>
                <w:sz w:val="21"/>
              </w:rPr>
            </w:pPr>
            <w:r>
              <w:rPr>
                <w:sz w:val="21"/>
              </w:rPr>
              <w:t>）</w:t>
            </w:r>
            <w:r>
              <w:rPr>
                <w:sz w:val="21"/>
              </w:rPr>
              <w:tab/>
            </w:r>
            <w:r>
              <w:rPr>
                <w:spacing w:val="-10"/>
                <w:sz w:val="21"/>
              </w:rPr>
              <w:t>良</w:t>
            </w:r>
            <w:r>
              <w:rPr>
                <w:sz w:val="21"/>
              </w:rPr>
              <w:t>（0.7</w:t>
            </w:r>
            <w:r>
              <w:rPr>
                <w:spacing w:val="-17"/>
                <w:sz w:val="21"/>
              </w:rPr>
              <w:t xml:space="preserve"> 分</w:t>
            </w:r>
            <w:r>
              <w:rPr>
                <w:spacing w:val="-12"/>
                <w:sz w:val="21"/>
              </w:rPr>
              <w:t>）</w:t>
            </w:r>
            <w:r>
              <w:rPr>
                <w:spacing w:val="-4"/>
                <w:sz w:val="21"/>
              </w:rPr>
              <w:t>：总体布置合理,能满足施工需要,基本符</w:t>
            </w:r>
            <w:r>
              <w:rPr>
                <w:spacing w:val="-3"/>
                <w:sz w:val="21"/>
              </w:rPr>
              <w:t>合安全、文明生产要求。</w:t>
            </w:r>
          </w:p>
          <w:p>
            <w:pPr>
              <w:pStyle w:val="33"/>
              <w:spacing w:before="22" w:line="331" w:lineRule="auto"/>
              <w:ind w:left="422" w:right="-1"/>
              <w:rPr>
                <w:sz w:val="21"/>
              </w:rPr>
            </w:pPr>
            <w:r>
              <w:rPr>
                <w:sz w:val="21"/>
              </w:rPr>
              <w:t>中（0.4 分）：总体布置基本合理,基本满足施工需要差（0.1 分）：总体布置不合理,不符合安全、文明生</w:t>
            </w:r>
          </w:p>
          <w:p>
            <w:pPr>
              <w:pStyle w:val="33"/>
              <w:spacing w:before="26"/>
              <w:ind w:left="2"/>
              <w:rPr>
                <w:sz w:val="21"/>
              </w:rPr>
            </w:pPr>
            <w:r>
              <w:rPr>
                <w:sz w:val="21"/>
              </w:rPr>
              <w:t>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927" w:type="dxa"/>
            <w:vMerge w:val="restart"/>
          </w:tcPr>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rPr>
                <w:sz w:val="20"/>
              </w:rPr>
            </w:pPr>
          </w:p>
          <w:p>
            <w:pPr>
              <w:pStyle w:val="33"/>
              <w:spacing w:before="3"/>
              <w:rPr>
                <w:sz w:val="16"/>
              </w:rPr>
            </w:pPr>
          </w:p>
          <w:p>
            <w:pPr>
              <w:pStyle w:val="33"/>
              <w:ind w:left="197"/>
              <w:rPr>
                <w:sz w:val="21"/>
              </w:rPr>
            </w:pPr>
            <w:r>
              <w:rPr>
                <w:sz w:val="21"/>
              </w:rPr>
              <w:t>2.2.3</w:t>
            </w:r>
          </w:p>
        </w:tc>
        <w:tc>
          <w:tcPr>
            <w:tcW w:w="691" w:type="dxa"/>
            <w:vMerge w:val="restart"/>
          </w:tcPr>
          <w:p>
            <w:pPr>
              <w:pStyle w:val="33"/>
              <w:rPr>
                <w:sz w:val="20"/>
              </w:rPr>
            </w:pPr>
          </w:p>
          <w:p>
            <w:pPr>
              <w:pStyle w:val="33"/>
              <w:rPr>
                <w:sz w:val="20"/>
              </w:rPr>
            </w:pPr>
          </w:p>
          <w:p>
            <w:pPr>
              <w:pStyle w:val="33"/>
              <w:rPr>
                <w:sz w:val="20"/>
              </w:rPr>
            </w:pPr>
          </w:p>
          <w:p>
            <w:pPr>
              <w:pStyle w:val="33"/>
              <w:rPr>
                <w:sz w:val="20"/>
              </w:rPr>
            </w:pPr>
          </w:p>
          <w:p>
            <w:pPr>
              <w:pStyle w:val="33"/>
              <w:spacing w:before="1"/>
              <w:rPr>
                <w:sz w:val="22"/>
              </w:rPr>
            </w:pPr>
          </w:p>
          <w:p>
            <w:pPr>
              <w:pStyle w:val="33"/>
              <w:spacing w:line="314" w:lineRule="auto"/>
              <w:ind w:left="2" w:right="-40"/>
              <w:rPr>
                <w:sz w:val="21"/>
              </w:rPr>
            </w:pPr>
            <w:r>
              <w:rPr>
                <w:spacing w:val="22"/>
                <w:sz w:val="21"/>
              </w:rPr>
              <w:t>企业信誉实力</w:t>
            </w:r>
          </w:p>
          <w:p>
            <w:pPr>
              <w:pStyle w:val="33"/>
              <w:spacing w:before="19"/>
              <w:ind w:left="2" w:right="-3"/>
              <w:rPr>
                <w:sz w:val="21"/>
              </w:rPr>
            </w:pPr>
            <w:r>
              <w:rPr>
                <w:spacing w:val="22"/>
                <w:sz w:val="21"/>
              </w:rPr>
              <w:t>（</w:t>
            </w:r>
            <w:r>
              <w:rPr>
                <w:spacing w:val="10"/>
                <w:sz w:val="21"/>
              </w:rPr>
              <w:t>满分</w:t>
            </w:r>
          </w:p>
          <w:p>
            <w:pPr>
              <w:pStyle w:val="33"/>
              <w:spacing w:before="85"/>
              <w:ind w:left="2" w:right="-3"/>
              <w:rPr>
                <w:sz w:val="21"/>
              </w:rPr>
            </w:pPr>
            <w:r>
              <w:rPr>
                <w:sz w:val="21"/>
              </w:rPr>
              <w:t>20</w:t>
            </w:r>
            <w:r>
              <w:rPr>
                <w:spacing w:val="-27"/>
                <w:sz w:val="21"/>
              </w:rPr>
              <w:t xml:space="preserve"> 分</w:t>
            </w:r>
            <w:r>
              <w:rPr>
                <w:spacing w:val="-3"/>
                <w:sz w:val="21"/>
              </w:rPr>
              <w:t>）</w:t>
            </w:r>
          </w:p>
        </w:tc>
        <w:tc>
          <w:tcPr>
            <w:tcW w:w="2552" w:type="dxa"/>
          </w:tcPr>
          <w:p>
            <w:pPr>
              <w:pStyle w:val="33"/>
              <w:rPr>
                <w:sz w:val="20"/>
              </w:rPr>
            </w:pPr>
          </w:p>
          <w:p>
            <w:pPr>
              <w:pStyle w:val="33"/>
              <w:spacing w:before="141"/>
              <w:ind w:left="-1" w:right="19"/>
              <w:jc w:val="center"/>
              <w:rPr>
                <w:sz w:val="21"/>
              </w:rPr>
            </w:pPr>
            <w:r>
              <w:rPr>
                <w:spacing w:val="-2"/>
                <w:sz w:val="21"/>
              </w:rPr>
              <w:t>项目管理信息</w:t>
            </w:r>
            <w:r>
              <w:rPr>
                <w:spacing w:val="-3"/>
                <w:sz w:val="21"/>
              </w:rPr>
              <w:t>（</w:t>
            </w:r>
            <w:r>
              <w:rPr>
                <w:spacing w:val="-17"/>
                <w:sz w:val="21"/>
              </w:rPr>
              <w:t xml:space="preserve">满分 </w:t>
            </w:r>
            <w:r>
              <w:rPr>
                <w:sz w:val="21"/>
              </w:rPr>
              <w:t>2</w:t>
            </w:r>
            <w:r>
              <w:rPr>
                <w:spacing w:val="-25"/>
                <w:sz w:val="21"/>
              </w:rPr>
              <w:t xml:space="preserve"> 分</w:t>
            </w:r>
            <w:r>
              <w:rPr>
                <w:spacing w:val="-3"/>
                <w:sz w:val="21"/>
              </w:rPr>
              <w:t>）</w:t>
            </w:r>
          </w:p>
        </w:tc>
        <w:tc>
          <w:tcPr>
            <w:tcW w:w="5387" w:type="dxa"/>
          </w:tcPr>
          <w:p>
            <w:pPr>
              <w:pStyle w:val="33"/>
              <w:spacing w:before="43"/>
              <w:ind w:left="2" w:right="-8"/>
              <w:rPr>
                <w:sz w:val="21"/>
              </w:rPr>
            </w:pPr>
            <w:r>
              <w:rPr>
                <w:spacing w:val="1"/>
                <w:sz w:val="21"/>
              </w:rPr>
              <w:t xml:space="preserve">投标人在广西水利工程建设项目管理信息系统备案的得 </w:t>
            </w:r>
            <w:r>
              <w:rPr>
                <w:sz w:val="21"/>
              </w:rPr>
              <w:t>2</w:t>
            </w:r>
          </w:p>
          <w:p>
            <w:pPr>
              <w:pStyle w:val="33"/>
              <w:spacing w:line="360" w:lineRule="atLeast"/>
              <w:ind w:left="2" w:right="-3"/>
              <w:rPr>
                <w:b/>
                <w:sz w:val="21"/>
              </w:rPr>
            </w:pPr>
            <w:r>
              <w:rPr>
                <w:spacing w:val="-18"/>
                <w:sz w:val="21"/>
              </w:rPr>
              <w:t xml:space="preserve">分，满分 </w:t>
            </w:r>
            <w:r>
              <w:rPr>
                <w:sz w:val="21"/>
              </w:rPr>
              <w:t>2</w:t>
            </w:r>
            <w:r>
              <w:rPr>
                <w:spacing w:val="-40"/>
                <w:sz w:val="21"/>
              </w:rPr>
              <w:t xml:space="preserve"> 分。</w:t>
            </w:r>
            <w:r>
              <w:rPr>
                <w:b/>
                <w:sz w:val="21"/>
              </w:rPr>
              <w:t>（</w:t>
            </w:r>
            <w:r>
              <w:rPr>
                <w:b/>
                <w:spacing w:val="-3"/>
                <w:sz w:val="21"/>
              </w:rPr>
              <w:t>以在广西水利工程建设项目管理信息系统中打印的《委托代理人信息表》为准，否则不予得分</w:t>
            </w:r>
            <w:r>
              <w:rPr>
                <w:b/>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9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552" w:type="dxa"/>
          </w:tcPr>
          <w:p>
            <w:pPr>
              <w:pStyle w:val="33"/>
              <w:rPr>
                <w:color w:val="auto"/>
                <w:sz w:val="20"/>
              </w:rPr>
            </w:pPr>
          </w:p>
          <w:p>
            <w:pPr>
              <w:pStyle w:val="33"/>
              <w:spacing w:before="2"/>
              <w:rPr>
                <w:color w:val="auto"/>
                <w:sz w:val="28"/>
              </w:rPr>
            </w:pPr>
          </w:p>
          <w:p>
            <w:pPr>
              <w:pStyle w:val="33"/>
              <w:ind w:left="-1" w:right="-13"/>
              <w:jc w:val="center"/>
              <w:rPr>
                <w:color w:val="auto"/>
                <w:sz w:val="21"/>
              </w:rPr>
            </w:pPr>
            <w:r>
              <w:rPr>
                <w:color w:val="auto"/>
                <w:spacing w:val="-14"/>
                <w:sz w:val="21"/>
              </w:rPr>
              <w:t>投标人</w:t>
            </w:r>
            <w:r>
              <w:rPr>
                <w:rFonts w:hint="eastAsia"/>
                <w:color w:val="auto"/>
                <w:spacing w:val="-14"/>
                <w:sz w:val="21"/>
                <w:lang w:eastAsia="zh-CN"/>
              </w:rPr>
              <w:t>在桂林农村公路</w:t>
            </w:r>
            <w:r>
              <w:rPr>
                <w:color w:val="auto"/>
                <w:spacing w:val="-14"/>
                <w:sz w:val="21"/>
              </w:rPr>
              <w:t>信用等级</w:t>
            </w:r>
            <w:r>
              <w:rPr>
                <w:color w:val="auto"/>
                <w:sz w:val="21"/>
              </w:rPr>
              <w:t>（</w:t>
            </w:r>
            <w:r>
              <w:rPr>
                <w:color w:val="auto"/>
                <w:spacing w:val="-17"/>
                <w:sz w:val="21"/>
              </w:rPr>
              <w:t xml:space="preserve">满分 </w:t>
            </w:r>
            <w:r>
              <w:rPr>
                <w:color w:val="auto"/>
                <w:sz w:val="21"/>
              </w:rPr>
              <w:t>3</w:t>
            </w:r>
            <w:r>
              <w:rPr>
                <w:color w:val="auto"/>
                <w:spacing w:val="-26"/>
                <w:sz w:val="21"/>
              </w:rPr>
              <w:t xml:space="preserve"> 分</w:t>
            </w:r>
            <w:r>
              <w:rPr>
                <w:color w:val="auto"/>
                <w:spacing w:val="-94"/>
                <w:sz w:val="21"/>
              </w:rPr>
              <w:t>）</w:t>
            </w:r>
          </w:p>
        </w:tc>
        <w:tc>
          <w:tcPr>
            <w:tcW w:w="5387" w:type="dxa"/>
          </w:tcPr>
          <w:p>
            <w:pPr>
              <w:pStyle w:val="33"/>
              <w:spacing w:before="126" w:line="384" w:lineRule="auto"/>
              <w:ind w:left="2" w:right="91"/>
              <w:jc w:val="both"/>
              <w:rPr>
                <w:b/>
                <w:color w:val="auto"/>
                <w:sz w:val="22"/>
              </w:rPr>
            </w:pPr>
            <w:r>
              <w:rPr>
                <w:color w:val="auto"/>
                <w:spacing w:val="-2"/>
                <w:sz w:val="21"/>
              </w:rPr>
              <w:t xml:space="preserve">投标人获得桂林市公路企业信用等级为 </w:t>
            </w:r>
            <w:r>
              <w:rPr>
                <w:rFonts w:hint="eastAsia"/>
                <w:color w:val="auto"/>
                <w:sz w:val="21"/>
                <w:lang w:val="en-US" w:eastAsia="zh-CN"/>
              </w:rPr>
              <w:t>A</w:t>
            </w:r>
            <w:r>
              <w:rPr>
                <w:color w:val="auto"/>
                <w:spacing w:val="-15"/>
                <w:sz w:val="21"/>
              </w:rPr>
              <w:t xml:space="preserve"> 级</w:t>
            </w:r>
            <w:r>
              <w:rPr>
                <w:color w:val="auto"/>
                <w:spacing w:val="-3"/>
                <w:sz w:val="21"/>
              </w:rPr>
              <w:t>（含</w:t>
            </w:r>
            <w:r>
              <w:rPr>
                <w:color w:val="auto"/>
                <w:spacing w:val="-41"/>
                <w:sz w:val="21"/>
              </w:rPr>
              <w:t>）</w:t>
            </w:r>
            <w:r>
              <w:rPr>
                <w:color w:val="auto"/>
                <w:sz w:val="21"/>
              </w:rPr>
              <w:t>以上的得 3</w:t>
            </w:r>
            <w:r>
              <w:rPr>
                <w:color w:val="auto"/>
                <w:spacing w:val="-21"/>
                <w:sz w:val="21"/>
              </w:rPr>
              <w:t xml:space="preserve"> 分</w:t>
            </w:r>
            <w:r>
              <w:rPr>
                <w:rFonts w:hint="eastAsia"/>
                <w:color w:val="auto"/>
                <w:spacing w:val="-21"/>
                <w:sz w:val="21"/>
                <w:lang w:val="en-US" w:eastAsia="zh-CN"/>
              </w:rPr>
              <w:t>,B 级的得1分，C 级的得0分</w:t>
            </w:r>
            <w:r>
              <w:rPr>
                <w:color w:val="auto"/>
                <w:spacing w:val="-21"/>
                <w:sz w:val="21"/>
              </w:rPr>
              <w:t>。</w:t>
            </w:r>
            <w:r>
              <w:rPr>
                <w:b/>
                <w:color w:val="auto"/>
                <w:sz w:val="21"/>
                <w:szCs w:val="21"/>
              </w:rPr>
              <w:t>（</w:t>
            </w:r>
            <w:r>
              <w:rPr>
                <w:b/>
                <w:color w:val="auto"/>
                <w:spacing w:val="-9"/>
                <w:sz w:val="21"/>
                <w:szCs w:val="21"/>
              </w:rPr>
              <w:t>以提供《</w:t>
            </w:r>
            <w:r>
              <w:rPr>
                <w:b/>
                <w:color w:val="auto"/>
                <w:sz w:val="21"/>
                <w:szCs w:val="21"/>
              </w:rPr>
              <w:t>2019年度桂林市农村公路建设市场</w:t>
            </w:r>
            <w:r>
              <w:rPr>
                <w:b/>
                <w:color w:val="auto"/>
                <w:w w:val="95"/>
                <w:sz w:val="21"/>
                <w:szCs w:val="21"/>
              </w:rPr>
              <w:t>从业单位基本情况表》复印件）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0" w:hRule="atLeast"/>
        </w:trPr>
        <w:tc>
          <w:tcPr>
            <w:tcW w:w="9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2552" w:type="dxa"/>
          </w:tcPr>
          <w:p>
            <w:pPr>
              <w:pStyle w:val="33"/>
              <w:rPr>
                <w:sz w:val="20"/>
              </w:rPr>
            </w:pPr>
          </w:p>
          <w:p>
            <w:pPr>
              <w:pStyle w:val="33"/>
              <w:spacing w:before="11"/>
              <w:rPr>
                <w:sz w:val="20"/>
              </w:rPr>
            </w:pPr>
          </w:p>
          <w:p>
            <w:pPr>
              <w:pStyle w:val="33"/>
              <w:jc w:val="center"/>
              <w:rPr>
                <w:sz w:val="21"/>
              </w:rPr>
            </w:pPr>
            <w:r>
              <w:rPr>
                <w:sz w:val="21"/>
              </w:rPr>
              <w:t>企业管理体系认证评分标准</w:t>
            </w:r>
          </w:p>
          <w:p>
            <w:pPr>
              <w:pStyle w:val="33"/>
              <w:spacing w:before="85"/>
              <w:ind w:left="19" w:right="19"/>
              <w:jc w:val="center"/>
              <w:rPr>
                <w:sz w:val="21"/>
              </w:rPr>
            </w:pPr>
            <w:r>
              <w:rPr>
                <w:sz w:val="21"/>
              </w:rPr>
              <w:t>（满分 3 分）</w:t>
            </w:r>
          </w:p>
        </w:tc>
        <w:tc>
          <w:tcPr>
            <w:tcW w:w="5387" w:type="dxa"/>
          </w:tcPr>
          <w:p>
            <w:pPr>
              <w:pStyle w:val="33"/>
              <w:spacing w:before="42"/>
              <w:ind w:left="2" w:right="-8"/>
              <w:rPr>
                <w:sz w:val="21"/>
              </w:rPr>
            </w:pPr>
            <w:r>
              <w:rPr>
                <w:spacing w:val="-6"/>
                <w:sz w:val="21"/>
              </w:rPr>
              <w:t xml:space="preserve">投标人获得质量管理体系认证的 </w:t>
            </w:r>
            <w:r>
              <w:rPr>
                <w:sz w:val="21"/>
              </w:rPr>
              <w:t>1</w:t>
            </w:r>
            <w:r>
              <w:rPr>
                <w:spacing w:val="-14"/>
                <w:sz w:val="21"/>
              </w:rPr>
              <w:t xml:space="preserve"> 分；获得环境管理体系认</w:t>
            </w:r>
          </w:p>
          <w:p>
            <w:pPr>
              <w:pStyle w:val="33"/>
              <w:spacing w:before="84" w:line="314" w:lineRule="auto"/>
              <w:ind w:left="2" w:right="-3"/>
              <w:rPr>
                <w:sz w:val="21"/>
              </w:rPr>
            </w:pPr>
            <w:r>
              <w:rPr>
                <w:spacing w:val="-16"/>
                <w:sz w:val="21"/>
              </w:rPr>
              <w:t xml:space="preserve">证的 </w:t>
            </w:r>
            <w:r>
              <w:rPr>
                <w:sz w:val="21"/>
              </w:rPr>
              <w:t>1</w:t>
            </w:r>
            <w:r>
              <w:rPr>
                <w:spacing w:val="-12"/>
                <w:sz w:val="21"/>
              </w:rPr>
              <w:t xml:space="preserve"> 分；获得职业健康安全管理体系认证的 </w:t>
            </w:r>
            <w:r>
              <w:rPr>
                <w:sz w:val="21"/>
              </w:rPr>
              <w:t>1</w:t>
            </w:r>
            <w:r>
              <w:rPr>
                <w:spacing w:val="-21"/>
                <w:sz w:val="21"/>
              </w:rPr>
              <w:t xml:space="preserve"> 分，满分 </w:t>
            </w:r>
            <w:r>
              <w:rPr>
                <w:sz w:val="21"/>
              </w:rPr>
              <w:t>3 分。</w:t>
            </w:r>
          </w:p>
          <w:p>
            <w:pPr>
              <w:pStyle w:val="33"/>
              <w:spacing w:line="240" w:lineRule="exact"/>
              <w:ind w:left="2" w:right="-2"/>
              <w:rPr>
                <w:b/>
                <w:sz w:val="21"/>
              </w:rPr>
            </w:pPr>
            <w:r>
              <w:rPr>
                <w:b/>
                <w:spacing w:val="-8"/>
                <w:sz w:val="21"/>
              </w:rPr>
              <w:t>须提供有效的证明材料复印件并加盖投标人公章，否则不得</w:t>
            </w:r>
          </w:p>
          <w:p>
            <w:pPr>
              <w:pStyle w:val="33"/>
              <w:spacing w:before="38"/>
              <w:ind w:left="2"/>
              <w:rPr>
                <w:b/>
                <w:sz w:val="21"/>
              </w:rPr>
            </w:pPr>
            <w:r>
              <w:rPr>
                <w:b/>
                <w:sz w:val="21"/>
              </w:rPr>
              <w:t>分。</w:t>
            </w:r>
          </w:p>
        </w:tc>
      </w:tr>
    </w:tbl>
    <w:p>
      <w:pPr>
        <w:spacing w:after="0"/>
        <w:rPr>
          <w:sz w:val="21"/>
        </w:rPr>
        <w:sectPr>
          <w:pgSz w:w="11910" w:h="16840"/>
          <w:pgMar w:top="1400" w:right="1020" w:bottom="1120" w:left="1100" w:header="0" w:footer="920" w:gutter="0"/>
        </w:sectPr>
      </w:pPr>
    </w:p>
    <w:tbl>
      <w:tblPr>
        <w:tblStyle w:val="17"/>
        <w:tblW w:w="9557"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7"/>
        <w:gridCol w:w="691"/>
        <w:gridCol w:w="2552"/>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3" w:hRule="atLeast"/>
        </w:trPr>
        <w:tc>
          <w:tcPr>
            <w:tcW w:w="927" w:type="dxa"/>
          </w:tcPr>
          <w:p>
            <w:pPr>
              <w:pStyle w:val="33"/>
              <w:rPr>
                <w:rFonts w:ascii="Times New Roman"/>
                <w:sz w:val="20"/>
              </w:rPr>
            </w:pPr>
          </w:p>
        </w:tc>
        <w:tc>
          <w:tcPr>
            <w:tcW w:w="691" w:type="dxa"/>
          </w:tcPr>
          <w:p>
            <w:pPr>
              <w:pStyle w:val="33"/>
              <w:rPr>
                <w:rFonts w:ascii="Times New Roman"/>
                <w:color w:val="auto"/>
                <w:sz w:val="20"/>
              </w:rPr>
            </w:pPr>
          </w:p>
        </w:tc>
        <w:tc>
          <w:tcPr>
            <w:tcW w:w="2552" w:type="dxa"/>
            <w:vAlign w:val="center"/>
          </w:tcPr>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eastAsia="zh-CN" w:bidi="ar-SA"/>
              </w:rPr>
              <w:t>投标人守信激励</w:t>
            </w:r>
          </w:p>
          <w:p>
            <w:pPr>
              <w:keepNext w:val="0"/>
              <w:keepLines w:val="0"/>
              <w:widowControl/>
              <w:suppressLineNumbers w:val="0"/>
              <w:spacing w:line="360" w:lineRule="auto"/>
              <w:ind w:left="0" w:leftChars="0" w:right="0" w:rightChars="0" w:firstLine="420" w:firstLineChars="200"/>
              <w:jc w:val="left"/>
              <w:rPr>
                <w:color w:val="auto"/>
                <w:sz w:val="21"/>
              </w:rPr>
            </w:pPr>
            <w:r>
              <w:rPr>
                <w:rFonts w:hint="eastAsia" w:ascii="宋体" w:hAnsi="宋体" w:eastAsia="宋体" w:cs="宋体"/>
                <w:color w:val="auto"/>
                <w:sz w:val="21"/>
                <w:szCs w:val="21"/>
                <w:lang w:val="en-US" w:eastAsia="zh-CN" w:bidi="ar-SA"/>
              </w:rPr>
              <w:t xml:space="preserve">（满分 </w:t>
            </w:r>
            <w:r>
              <w:rPr>
                <w:rFonts w:hint="eastAsia" w:cs="宋体"/>
                <w:color w:val="auto"/>
                <w:sz w:val="21"/>
                <w:szCs w:val="21"/>
                <w:lang w:val="en-US" w:eastAsia="zh-CN" w:bidi="ar-SA"/>
              </w:rPr>
              <w:t>6</w:t>
            </w:r>
            <w:r>
              <w:rPr>
                <w:rFonts w:hint="eastAsia" w:ascii="宋体" w:hAnsi="宋体" w:eastAsia="宋体" w:cs="宋体"/>
                <w:color w:val="auto"/>
                <w:sz w:val="21"/>
                <w:szCs w:val="21"/>
                <w:lang w:val="en-US" w:eastAsia="zh-CN" w:bidi="ar-SA"/>
              </w:rPr>
              <w:t xml:space="preserve"> 分）</w:t>
            </w:r>
          </w:p>
        </w:tc>
        <w:tc>
          <w:tcPr>
            <w:tcW w:w="5387" w:type="dxa"/>
            <w:vAlign w:val="center"/>
          </w:tcPr>
          <w:p>
            <w:pPr>
              <w:keepNext w:val="0"/>
              <w:keepLines w:val="0"/>
              <w:widowControl/>
              <w:suppressLineNumbers w:val="0"/>
              <w:spacing w:line="360" w:lineRule="auto"/>
              <w:jc w:val="left"/>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lang w:val="en-US" w:eastAsia="zh-CN" w:bidi="ar-SA"/>
              </w:rPr>
              <w:t>投标人近</w:t>
            </w:r>
            <w:r>
              <w:rPr>
                <w:rFonts w:hint="eastAsia" w:cs="宋体"/>
                <w:color w:val="auto"/>
                <w:sz w:val="21"/>
                <w:szCs w:val="21"/>
                <w:lang w:val="en-US" w:eastAsia="zh-CN" w:bidi="ar-SA"/>
              </w:rPr>
              <w:t>三</w:t>
            </w:r>
            <w:r>
              <w:rPr>
                <w:rFonts w:hint="eastAsia" w:ascii="宋体" w:hAnsi="宋体" w:eastAsia="宋体" w:cs="宋体"/>
                <w:color w:val="auto"/>
                <w:sz w:val="21"/>
                <w:szCs w:val="21"/>
                <w:lang w:val="en-US" w:eastAsia="zh-CN" w:bidi="ar-SA"/>
              </w:rPr>
              <w:t>个年度（2017、2018</w:t>
            </w:r>
            <w:r>
              <w:rPr>
                <w:rFonts w:hint="eastAsia" w:cs="宋体"/>
                <w:color w:val="auto"/>
                <w:sz w:val="21"/>
                <w:szCs w:val="21"/>
                <w:lang w:val="en-US" w:eastAsia="zh-CN" w:bidi="ar-SA"/>
              </w:rPr>
              <w:t>、2019</w:t>
            </w:r>
            <w:r>
              <w:rPr>
                <w:rFonts w:hint="eastAsia" w:ascii="宋体" w:hAnsi="宋体" w:eastAsia="宋体" w:cs="宋体"/>
                <w:color w:val="auto"/>
                <w:sz w:val="21"/>
                <w:szCs w:val="21"/>
                <w:lang w:val="en-US" w:eastAsia="zh-CN" w:bidi="ar-SA"/>
              </w:rPr>
              <w:t>年度）入选过“信用中国”网站（www.creditchina.gov.cn）“守信激励对象”的每个年度得2分，满分</w:t>
            </w:r>
            <w:r>
              <w:rPr>
                <w:rFonts w:hint="eastAsia" w:cs="宋体"/>
                <w:color w:val="auto"/>
                <w:sz w:val="21"/>
                <w:szCs w:val="21"/>
                <w:lang w:val="en-US" w:eastAsia="zh-CN" w:bidi="ar-SA"/>
              </w:rPr>
              <w:t>6</w:t>
            </w:r>
            <w:r>
              <w:rPr>
                <w:rFonts w:hint="eastAsia" w:ascii="宋体" w:hAnsi="宋体" w:eastAsia="宋体" w:cs="宋体"/>
                <w:color w:val="auto"/>
                <w:sz w:val="21"/>
                <w:szCs w:val="21"/>
                <w:lang w:val="en-US" w:eastAsia="zh-CN" w:bidi="ar-SA"/>
              </w:rPr>
              <w:t>分。（以“信用中国”网站（www.creditchina.gov.cn）打印件为准，否则不予得分</w:t>
            </w:r>
          </w:p>
          <w:p>
            <w:pPr>
              <w:keepNext w:val="0"/>
              <w:keepLines w:val="0"/>
              <w:widowControl/>
              <w:suppressLineNumbers w:val="0"/>
              <w:spacing w:line="360" w:lineRule="auto"/>
              <w:ind w:left="0" w:leftChars="0" w:right="0" w:rightChars="0" w:firstLine="422" w:firstLineChars="200"/>
              <w:jc w:val="left"/>
              <w:rPr>
                <w:b/>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0" w:hRule="atLeast"/>
        </w:trPr>
        <w:tc>
          <w:tcPr>
            <w:tcW w:w="927" w:type="dxa"/>
          </w:tcPr>
          <w:p>
            <w:pPr>
              <w:pStyle w:val="33"/>
              <w:rPr>
                <w:rFonts w:ascii="Times New Roman"/>
                <w:sz w:val="20"/>
              </w:rPr>
            </w:pPr>
          </w:p>
        </w:tc>
        <w:tc>
          <w:tcPr>
            <w:tcW w:w="691" w:type="dxa"/>
          </w:tcPr>
          <w:p>
            <w:pPr>
              <w:pStyle w:val="33"/>
              <w:rPr>
                <w:rFonts w:ascii="Times New Roman"/>
                <w:color w:val="auto"/>
                <w:sz w:val="20"/>
              </w:rPr>
            </w:pPr>
          </w:p>
        </w:tc>
        <w:tc>
          <w:tcPr>
            <w:tcW w:w="2552" w:type="dxa"/>
            <w:vAlign w:val="top"/>
          </w:tcPr>
          <w:p>
            <w:pPr>
              <w:pStyle w:val="33"/>
              <w:rPr>
                <w:rFonts w:hint="eastAsia" w:ascii="宋体" w:hAnsi="宋体" w:eastAsia="宋体" w:cs="宋体"/>
                <w:color w:val="auto"/>
                <w:sz w:val="21"/>
                <w:szCs w:val="21"/>
                <w:lang w:val="en-US" w:eastAsia="zh-CN" w:bidi="ar-SA"/>
              </w:rPr>
            </w:pPr>
          </w:p>
          <w:p>
            <w:pPr>
              <w:pStyle w:val="33"/>
              <w:rPr>
                <w:rFonts w:hint="eastAsia" w:ascii="宋体" w:hAnsi="宋体" w:eastAsia="宋体" w:cs="宋体"/>
                <w:color w:val="auto"/>
                <w:sz w:val="21"/>
                <w:szCs w:val="21"/>
                <w:lang w:val="en-US" w:eastAsia="zh-CN" w:bidi="ar-SA"/>
              </w:rPr>
            </w:pPr>
          </w:p>
          <w:p>
            <w:pPr>
              <w:pStyle w:val="33"/>
              <w:rPr>
                <w:rFonts w:hint="eastAsia" w:ascii="宋体" w:hAnsi="宋体" w:eastAsia="宋体" w:cs="宋体"/>
                <w:color w:val="auto"/>
                <w:sz w:val="21"/>
                <w:szCs w:val="21"/>
                <w:lang w:val="en-US" w:eastAsia="zh-CN" w:bidi="ar-SA"/>
              </w:rPr>
            </w:pPr>
          </w:p>
          <w:p>
            <w:pPr>
              <w:pStyle w:val="33"/>
              <w:spacing w:before="10"/>
              <w:rPr>
                <w:rFonts w:hint="eastAsia" w:ascii="宋体" w:hAnsi="宋体" w:eastAsia="宋体" w:cs="宋体"/>
                <w:color w:val="auto"/>
                <w:sz w:val="21"/>
                <w:szCs w:val="21"/>
                <w:lang w:val="en-US" w:eastAsia="zh-CN" w:bidi="ar-SA"/>
              </w:rPr>
            </w:pPr>
          </w:p>
          <w:p>
            <w:pPr>
              <w:pStyle w:val="33"/>
              <w:spacing w:before="1"/>
              <w:ind w:left="-1" w:leftChars="0" w:right="0" w:rightChars="0"/>
              <w:jc w:val="center"/>
              <w:rPr>
                <w:color w:val="auto"/>
                <w:sz w:val="21"/>
              </w:rPr>
            </w:pPr>
            <w:r>
              <w:rPr>
                <w:rFonts w:hint="eastAsia" w:ascii="宋体" w:hAnsi="宋体" w:eastAsia="宋体" w:cs="宋体"/>
                <w:color w:val="auto"/>
                <w:sz w:val="21"/>
                <w:szCs w:val="21"/>
                <w:lang w:val="en-US" w:eastAsia="zh-CN" w:bidi="ar-SA"/>
              </w:rPr>
              <w:t xml:space="preserve">企业业绩（满分 </w:t>
            </w:r>
            <w:r>
              <w:rPr>
                <w:rFonts w:hint="eastAsia" w:cs="宋体"/>
                <w:color w:val="auto"/>
                <w:sz w:val="21"/>
                <w:szCs w:val="21"/>
                <w:lang w:val="en-US" w:eastAsia="zh-CN" w:bidi="ar-SA"/>
              </w:rPr>
              <w:t>6</w:t>
            </w:r>
            <w:r>
              <w:rPr>
                <w:rFonts w:hint="eastAsia" w:ascii="宋体" w:hAnsi="宋体" w:eastAsia="宋体" w:cs="宋体"/>
                <w:color w:val="auto"/>
                <w:sz w:val="21"/>
                <w:szCs w:val="21"/>
                <w:lang w:val="en-US" w:eastAsia="zh-CN" w:bidi="ar-SA"/>
              </w:rPr>
              <w:t xml:space="preserve"> 分）</w:t>
            </w:r>
          </w:p>
        </w:tc>
        <w:tc>
          <w:tcPr>
            <w:tcW w:w="5387" w:type="dxa"/>
            <w:vAlign w:val="top"/>
          </w:tcPr>
          <w:p>
            <w:pPr>
              <w:pStyle w:val="33"/>
              <w:spacing w:before="42" w:line="314" w:lineRule="auto"/>
              <w:ind w:left="2" w:leftChars="0" w:right="-8" w:rightChars="0"/>
              <w:jc w:val="both"/>
              <w:rPr>
                <w:color w:val="auto"/>
                <w:sz w:val="21"/>
              </w:rPr>
            </w:pPr>
            <w:r>
              <w:rPr>
                <w:rFonts w:hint="eastAsia" w:ascii="宋体" w:hAnsi="宋体" w:eastAsia="宋体" w:cs="宋体"/>
                <w:color w:val="auto"/>
                <w:sz w:val="21"/>
                <w:szCs w:val="21"/>
                <w:lang w:val="en-US" w:eastAsia="zh-CN" w:bidi="ar-SA"/>
              </w:rPr>
              <w:t>投标人截标之日前三年内完成过</w:t>
            </w:r>
            <w:r>
              <w:rPr>
                <w:rFonts w:hint="eastAsia" w:cs="宋体"/>
                <w:color w:val="auto"/>
                <w:sz w:val="21"/>
                <w:szCs w:val="21"/>
                <w:lang w:val="en-US" w:eastAsia="zh-CN" w:bidi="ar-SA"/>
              </w:rPr>
              <w:t>单个合同金额200万元以上</w:t>
            </w:r>
            <w:r>
              <w:rPr>
                <w:rFonts w:hint="eastAsia" w:ascii="宋体" w:hAnsi="宋体" w:eastAsia="宋体" w:cs="宋体"/>
                <w:color w:val="auto"/>
                <w:sz w:val="21"/>
                <w:szCs w:val="21"/>
                <w:lang w:val="en-US" w:eastAsia="zh-CN" w:bidi="ar-SA"/>
              </w:rPr>
              <w:t>土地开垦项目或</w:t>
            </w:r>
            <w:r>
              <w:rPr>
                <w:rFonts w:hint="eastAsia" w:cs="宋体"/>
                <w:color w:val="auto"/>
                <w:sz w:val="21"/>
                <w:szCs w:val="21"/>
                <w:lang w:val="en-US" w:eastAsia="zh-CN" w:bidi="ar-SA"/>
              </w:rPr>
              <w:t>耕地提质改造（旱改水）或</w:t>
            </w:r>
            <w:r>
              <w:rPr>
                <w:rFonts w:hint="eastAsia" w:ascii="宋体" w:hAnsi="宋体" w:eastAsia="宋体" w:cs="宋体"/>
                <w:color w:val="auto"/>
                <w:sz w:val="21"/>
                <w:szCs w:val="21"/>
                <w:lang w:val="en-US" w:eastAsia="zh-CN" w:bidi="ar-SA"/>
              </w:rPr>
              <w:t xml:space="preserve">土地整治项目或新增千亿斤粮食产能田间工程的业绩，每个得 1 分，满分 </w:t>
            </w:r>
            <w:r>
              <w:rPr>
                <w:rFonts w:hint="eastAsia" w:cs="宋体"/>
                <w:color w:val="auto"/>
                <w:sz w:val="21"/>
                <w:szCs w:val="21"/>
                <w:lang w:val="en-US" w:eastAsia="zh-CN" w:bidi="ar-SA"/>
              </w:rPr>
              <w:t>6</w:t>
            </w:r>
            <w:r>
              <w:rPr>
                <w:rFonts w:hint="eastAsia" w:ascii="宋体" w:hAnsi="宋体" w:eastAsia="宋体" w:cs="宋体"/>
                <w:color w:val="auto"/>
                <w:sz w:val="21"/>
                <w:szCs w:val="21"/>
                <w:lang w:val="en-US" w:eastAsia="zh-CN" w:bidi="ar-SA"/>
              </w:rPr>
              <w:t xml:space="preserve"> 分；（业绩证明材料必须从广西水利工程建设项目管理信息系统或广西建筑业企业诚信信息库中打印且清晰，须打印中标通知书和施工合同及竣工或完工验收证明，</w:t>
            </w:r>
            <w:r>
              <w:rPr>
                <w:rFonts w:hint="eastAsia" w:ascii="宋体" w:hAnsi="宋体" w:eastAsia="宋体" w:cs="宋体"/>
                <w:b/>
                <w:bCs/>
                <w:color w:val="auto"/>
                <w:sz w:val="21"/>
                <w:szCs w:val="21"/>
                <w:lang w:val="en-US" w:eastAsia="zh-CN" w:bidi="ar-SA"/>
              </w:rPr>
              <w:t>且需提供原件核查，否则不予得分）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4170" w:type="dxa"/>
            <w:gridSpan w:val="3"/>
          </w:tcPr>
          <w:p>
            <w:pPr>
              <w:pStyle w:val="33"/>
              <w:rPr>
                <w:sz w:val="20"/>
              </w:rPr>
            </w:pPr>
          </w:p>
          <w:p>
            <w:pPr>
              <w:pStyle w:val="33"/>
              <w:spacing w:before="165"/>
              <w:ind w:left="1346"/>
              <w:rPr>
                <w:sz w:val="21"/>
              </w:rPr>
            </w:pPr>
            <w:r>
              <w:rPr>
                <w:sz w:val="21"/>
              </w:rPr>
              <w:t>投标人汇总得分</w:t>
            </w:r>
          </w:p>
        </w:tc>
        <w:tc>
          <w:tcPr>
            <w:tcW w:w="5387" w:type="dxa"/>
          </w:tcPr>
          <w:p>
            <w:pPr>
              <w:pStyle w:val="33"/>
              <w:spacing w:before="9"/>
              <w:rPr>
                <w:sz w:val="19"/>
              </w:rPr>
            </w:pPr>
          </w:p>
          <w:p>
            <w:pPr>
              <w:pStyle w:val="33"/>
              <w:spacing w:before="1" w:line="295" w:lineRule="auto"/>
              <w:ind w:left="2" w:right="-3"/>
              <w:rPr>
                <w:sz w:val="21"/>
              </w:rPr>
            </w:pPr>
            <w:r>
              <w:rPr>
                <w:spacing w:val="-3"/>
                <w:sz w:val="21"/>
              </w:rPr>
              <w:t>投标人汇总得分=施工组织设计分值+商务标分值+企业信誉实力分值</w:t>
            </w:r>
          </w:p>
        </w:tc>
      </w:tr>
    </w:tbl>
    <w:p>
      <w:pPr>
        <w:spacing w:after="0" w:line="295" w:lineRule="auto"/>
        <w:rPr>
          <w:sz w:val="21"/>
        </w:rPr>
        <w:sectPr>
          <w:pgSz w:w="11910" w:h="16840"/>
          <w:pgMar w:top="1400" w:right="1020" w:bottom="1120" w:left="1100" w:header="0" w:footer="920" w:gutter="0"/>
        </w:sectPr>
      </w:pPr>
    </w:p>
    <w:p>
      <w:pPr>
        <w:pStyle w:val="7"/>
        <w:spacing w:line="352" w:lineRule="exact"/>
        <w:ind w:left="2823"/>
        <w:jc w:val="left"/>
      </w:pPr>
      <w:r>
        <w:rPr>
          <w:w w:val="95"/>
        </w:rPr>
        <w:t>评标办法（综合评估法）正文部分</w:t>
      </w:r>
    </w:p>
    <w:p>
      <w:pPr>
        <w:pStyle w:val="13"/>
        <w:spacing w:before="10"/>
        <w:ind w:left="0"/>
        <w:rPr>
          <w:b/>
          <w:sz w:val="33"/>
        </w:rPr>
      </w:pPr>
    </w:p>
    <w:p>
      <w:pPr>
        <w:spacing w:before="0"/>
        <w:ind w:left="112" w:right="0" w:firstLine="0"/>
        <w:jc w:val="left"/>
        <w:rPr>
          <w:b/>
          <w:sz w:val="20"/>
        </w:rPr>
      </w:pPr>
      <w:r>
        <w:rPr>
          <w:b/>
          <w:sz w:val="20"/>
        </w:rPr>
        <w:t>1.评标方法</w:t>
      </w:r>
    </w:p>
    <w:p>
      <w:pPr>
        <w:pStyle w:val="13"/>
        <w:spacing w:before="105" w:line="331" w:lineRule="auto"/>
        <w:ind w:right="106" w:firstLine="420"/>
        <w:jc w:val="both"/>
      </w:pPr>
      <w:r>
        <w:rPr>
          <w:spacing w:val="0"/>
        </w:rPr>
        <w:t xml:space="preserve">本次评标采用综合评估法。评标委员会对满足招标文件实质要求的投标文件，根据本章第 </w:t>
      </w:r>
      <w:r>
        <w:t>2.2</w:t>
      </w:r>
      <w:r>
        <w:rPr>
          <w:spacing w:val="10"/>
        </w:rPr>
        <w:t xml:space="preserve"> 款规</w:t>
      </w:r>
      <w:r>
        <w:rPr>
          <w:spacing w:val="-5"/>
        </w:rPr>
        <w:t>定的评分标准进行打分，并按得分由高到低顺序推荐中标候选人，但投标报价低于其成本的除外。综合评</w:t>
      </w:r>
      <w:r>
        <w:rPr>
          <w:spacing w:val="-4"/>
        </w:rPr>
        <w:t>分相等时，以投标报价低的优先；投标报价也相等的，由招标人自行确定。</w:t>
      </w:r>
    </w:p>
    <w:p>
      <w:pPr>
        <w:spacing w:before="24"/>
        <w:ind w:left="535" w:right="0" w:firstLine="0"/>
        <w:jc w:val="left"/>
        <w:rPr>
          <w:b/>
          <w:sz w:val="21"/>
        </w:rPr>
      </w:pPr>
      <w:r>
        <w:rPr>
          <w:b/>
          <w:sz w:val="21"/>
        </w:rPr>
        <w:t>评标的详细程序见后附件 A</w:t>
      </w:r>
    </w:p>
    <w:p>
      <w:pPr>
        <w:pStyle w:val="13"/>
        <w:spacing w:before="3"/>
        <w:ind w:left="0"/>
        <w:rPr>
          <w:b/>
          <w:sz w:val="24"/>
        </w:rPr>
      </w:pPr>
    </w:p>
    <w:p>
      <w:pPr>
        <w:spacing w:before="0"/>
        <w:ind w:left="112" w:right="0" w:firstLine="0"/>
        <w:jc w:val="left"/>
        <w:rPr>
          <w:b/>
          <w:sz w:val="20"/>
        </w:rPr>
      </w:pPr>
      <w:r>
        <w:rPr>
          <w:b/>
          <w:sz w:val="20"/>
        </w:rPr>
        <w:t>2.评审标准</w:t>
      </w:r>
    </w:p>
    <w:p>
      <w:pPr>
        <w:pStyle w:val="32"/>
        <w:numPr>
          <w:ilvl w:val="1"/>
          <w:numId w:val="7"/>
        </w:numPr>
        <w:tabs>
          <w:tab w:val="left" w:pos="483"/>
        </w:tabs>
        <w:spacing w:before="105" w:after="0" w:line="240" w:lineRule="auto"/>
        <w:ind w:left="482" w:right="0" w:hanging="370"/>
        <w:jc w:val="left"/>
        <w:rPr>
          <w:b/>
          <w:sz w:val="21"/>
        </w:rPr>
      </w:pPr>
      <w:r>
        <w:rPr>
          <w:b/>
          <w:sz w:val="21"/>
        </w:rPr>
        <w:t>初步评审标准</w:t>
      </w:r>
    </w:p>
    <w:p>
      <w:pPr>
        <w:pStyle w:val="32"/>
        <w:numPr>
          <w:ilvl w:val="2"/>
          <w:numId w:val="7"/>
        </w:numPr>
        <w:tabs>
          <w:tab w:val="left" w:pos="1172"/>
        </w:tabs>
        <w:spacing w:before="106" w:after="0" w:line="240" w:lineRule="auto"/>
        <w:ind w:left="1171" w:right="0" w:hanging="631"/>
        <w:jc w:val="left"/>
        <w:rPr>
          <w:sz w:val="21"/>
        </w:rPr>
      </w:pPr>
      <w:r>
        <w:rPr>
          <w:spacing w:val="-3"/>
          <w:sz w:val="21"/>
        </w:rPr>
        <w:t>资格评审标准：见评标办法前附表。</w:t>
      </w:r>
    </w:p>
    <w:p>
      <w:pPr>
        <w:pStyle w:val="32"/>
        <w:numPr>
          <w:ilvl w:val="2"/>
          <w:numId w:val="7"/>
        </w:numPr>
        <w:tabs>
          <w:tab w:val="left" w:pos="1170"/>
        </w:tabs>
        <w:spacing w:before="105" w:after="0" w:line="240" w:lineRule="auto"/>
        <w:ind w:left="1169" w:right="0" w:hanging="631"/>
        <w:jc w:val="left"/>
        <w:rPr>
          <w:sz w:val="21"/>
        </w:rPr>
      </w:pPr>
      <w:r>
        <w:rPr>
          <w:spacing w:val="-3"/>
          <w:sz w:val="21"/>
        </w:rPr>
        <w:t>形式评审标准：见评标办法前附表。</w:t>
      </w:r>
    </w:p>
    <w:p>
      <w:pPr>
        <w:pStyle w:val="32"/>
        <w:numPr>
          <w:ilvl w:val="2"/>
          <w:numId w:val="7"/>
        </w:numPr>
        <w:tabs>
          <w:tab w:val="left" w:pos="1170"/>
        </w:tabs>
        <w:spacing w:before="104" w:after="0" w:line="240" w:lineRule="auto"/>
        <w:ind w:left="1169" w:right="0" w:hanging="631"/>
        <w:jc w:val="left"/>
        <w:rPr>
          <w:sz w:val="21"/>
        </w:rPr>
      </w:pPr>
      <w:r>
        <w:rPr>
          <w:spacing w:val="-3"/>
          <w:sz w:val="21"/>
        </w:rPr>
        <w:t>响应性评审标准：见评标办法前附表。</w:t>
      </w:r>
    </w:p>
    <w:p>
      <w:pPr>
        <w:pStyle w:val="32"/>
        <w:numPr>
          <w:ilvl w:val="1"/>
          <w:numId w:val="7"/>
        </w:numPr>
        <w:tabs>
          <w:tab w:val="left" w:pos="536"/>
        </w:tabs>
        <w:spacing w:before="106" w:after="0" w:line="240" w:lineRule="auto"/>
        <w:ind w:left="535" w:right="0" w:hanging="423"/>
        <w:jc w:val="left"/>
        <w:rPr>
          <w:b/>
          <w:sz w:val="21"/>
        </w:rPr>
      </w:pPr>
      <w:r>
        <w:rPr>
          <w:b/>
          <w:sz w:val="21"/>
        </w:rPr>
        <w:t>分值构成与评分标准</w:t>
      </w:r>
    </w:p>
    <w:p>
      <w:pPr>
        <w:pStyle w:val="32"/>
        <w:numPr>
          <w:ilvl w:val="2"/>
          <w:numId w:val="7"/>
        </w:numPr>
        <w:tabs>
          <w:tab w:val="left" w:pos="1117"/>
        </w:tabs>
        <w:spacing w:before="104" w:after="0" w:line="240" w:lineRule="auto"/>
        <w:ind w:left="1116" w:right="0" w:hanging="578"/>
        <w:jc w:val="left"/>
        <w:rPr>
          <w:sz w:val="21"/>
        </w:rPr>
      </w:pPr>
      <w:r>
        <w:rPr>
          <w:spacing w:val="-2"/>
          <w:sz w:val="21"/>
        </w:rPr>
        <w:t>分值构成</w:t>
      </w:r>
    </w:p>
    <w:p>
      <w:pPr>
        <w:pStyle w:val="13"/>
        <w:spacing w:before="104"/>
        <w:ind w:left="533"/>
      </w:pPr>
      <w:r>
        <w:t>（1）施工组织设计：见评标办法前附表。</w:t>
      </w:r>
    </w:p>
    <w:p>
      <w:pPr>
        <w:pStyle w:val="13"/>
        <w:spacing w:before="106"/>
        <w:ind w:left="533"/>
      </w:pPr>
      <w:r>
        <w:t>（2）商务标评审：见评标办法前附表。</w:t>
      </w:r>
    </w:p>
    <w:p>
      <w:pPr>
        <w:pStyle w:val="13"/>
        <w:spacing w:before="104"/>
        <w:ind w:left="533"/>
      </w:pPr>
      <w:r>
        <w:t>（3）企业信誉实力：见评标办法前附表。</w:t>
      </w:r>
    </w:p>
    <w:p>
      <w:pPr>
        <w:pStyle w:val="13"/>
        <w:spacing w:before="1"/>
        <w:ind w:left="0"/>
        <w:rPr>
          <w:sz w:val="24"/>
        </w:rPr>
      </w:pPr>
    </w:p>
    <w:p>
      <w:pPr>
        <w:spacing w:before="0"/>
        <w:ind w:left="112" w:right="0" w:firstLine="0"/>
        <w:jc w:val="left"/>
        <w:rPr>
          <w:b/>
          <w:sz w:val="20"/>
        </w:rPr>
      </w:pPr>
      <w:r>
        <w:rPr>
          <w:b/>
          <w:sz w:val="20"/>
        </w:rPr>
        <w:t>3.评标程序</w:t>
      </w:r>
    </w:p>
    <w:p>
      <w:pPr>
        <w:pStyle w:val="13"/>
        <w:spacing w:before="108"/>
        <w:ind w:left="533"/>
      </w:pPr>
      <w:r>
        <w:t>先进行资格审查，进入初步评审中的形式评审、响应性评审及详细评审。</w:t>
      </w:r>
    </w:p>
    <w:p>
      <w:pPr>
        <w:pStyle w:val="13"/>
        <w:spacing w:before="104"/>
        <w:ind w:left="533"/>
      </w:pPr>
      <w:r>
        <w:t>通过初步评审者进入技术标评审，然后对项目管理机构、企业信誉实力评审，再进行商务标评审。</w:t>
      </w:r>
    </w:p>
    <w:p>
      <w:pPr>
        <w:pStyle w:val="32"/>
        <w:numPr>
          <w:ilvl w:val="1"/>
          <w:numId w:val="8"/>
        </w:numPr>
        <w:tabs>
          <w:tab w:val="left" w:pos="483"/>
        </w:tabs>
        <w:spacing w:before="106" w:after="0" w:line="240" w:lineRule="auto"/>
        <w:ind w:left="482" w:right="0" w:hanging="370"/>
        <w:jc w:val="left"/>
        <w:rPr>
          <w:b/>
          <w:sz w:val="21"/>
        </w:rPr>
      </w:pPr>
      <w:r>
        <w:rPr>
          <w:b/>
          <w:sz w:val="21"/>
        </w:rPr>
        <w:t>初步评审</w:t>
      </w:r>
    </w:p>
    <w:p>
      <w:pPr>
        <w:pStyle w:val="32"/>
        <w:numPr>
          <w:ilvl w:val="2"/>
          <w:numId w:val="8"/>
        </w:numPr>
        <w:tabs>
          <w:tab w:val="left" w:pos="1146"/>
        </w:tabs>
        <w:spacing w:before="103" w:after="0" w:line="331" w:lineRule="auto"/>
        <w:ind w:left="112" w:right="106" w:firstLine="426"/>
        <w:jc w:val="both"/>
        <w:rPr>
          <w:sz w:val="21"/>
        </w:rPr>
      </w:pPr>
      <w:r>
        <w:rPr>
          <w:spacing w:val="-3"/>
          <w:sz w:val="21"/>
        </w:rPr>
        <w:t xml:space="preserve">评标委员会可以要求投标人提交第二章“投标人须知”第 </w:t>
      </w:r>
      <w:r>
        <w:rPr>
          <w:sz w:val="21"/>
        </w:rPr>
        <w:t>3.5.1</w:t>
      </w:r>
      <w:r>
        <w:rPr>
          <w:spacing w:val="1"/>
          <w:sz w:val="21"/>
        </w:rPr>
        <w:t xml:space="preserve"> 项至第 </w:t>
      </w:r>
      <w:r>
        <w:rPr>
          <w:sz w:val="21"/>
        </w:rPr>
        <w:t>3.5.5</w:t>
      </w:r>
      <w:r>
        <w:rPr>
          <w:spacing w:val="-1"/>
          <w:sz w:val="21"/>
        </w:rPr>
        <w:t xml:space="preserve"> 项规定的有关</w:t>
      </w:r>
      <w:r>
        <w:rPr>
          <w:sz w:val="21"/>
        </w:rPr>
        <w:t>证明和证件的原件，以便核验。评标委员会依据本章第 2.1 款规定的标准对投标文件进行初步评审。有</w:t>
      </w:r>
      <w:r>
        <w:rPr>
          <w:spacing w:val="-3"/>
          <w:sz w:val="21"/>
        </w:rPr>
        <w:t>一项不符合评审标准的，作废标处理。</w:t>
      </w:r>
    </w:p>
    <w:p>
      <w:pPr>
        <w:pStyle w:val="32"/>
        <w:numPr>
          <w:ilvl w:val="2"/>
          <w:numId w:val="8"/>
        </w:numPr>
        <w:tabs>
          <w:tab w:val="left" w:pos="1170"/>
        </w:tabs>
        <w:spacing w:before="24" w:after="0" w:line="240" w:lineRule="auto"/>
        <w:ind w:left="1169" w:right="0" w:hanging="634"/>
        <w:jc w:val="left"/>
        <w:rPr>
          <w:b/>
          <w:sz w:val="21"/>
        </w:rPr>
      </w:pPr>
      <w:r>
        <w:rPr>
          <w:b/>
          <w:spacing w:val="-5"/>
          <w:sz w:val="21"/>
        </w:rPr>
        <w:t xml:space="preserve">投标人废标的情形详见附件 </w:t>
      </w:r>
      <w:r>
        <w:rPr>
          <w:b/>
          <w:sz w:val="21"/>
        </w:rPr>
        <w:t>B</w:t>
      </w:r>
      <w:r>
        <w:rPr>
          <w:b/>
          <w:spacing w:val="-1"/>
          <w:sz w:val="21"/>
        </w:rPr>
        <w:t>，其投标作废标处理</w:t>
      </w:r>
    </w:p>
    <w:p>
      <w:pPr>
        <w:pStyle w:val="32"/>
        <w:numPr>
          <w:ilvl w:val="1"/>
          <w:numId w:val="8"/>
        </w:numPr>
        <w:tabs>
          <w:tab w:val="left" w:pos="483"/>
        </w:tabs>
        <w:spacing w:before="104" w:after="0" w:line="240" w:lineRule="auto"/>
        <w:ind w:left="482" w:right="0" w:hanging="370"/>
        <w:jc w:val="left"/>
        <w:rPr>
          <w:b/>
          <w:sz w:val="21"/>
        </w:rPr>
      </w:pPr>
      <w:r>
        <w:rPr>
          <w:b/>
          <w:sz w:val="21"/>
        </w:rPr>
        <w:t>详细评审</w:t>
      </w:r>
    </w:p>
    <w:p>
      <w:pPr>
        <w:pStyle w:val="32"/>
        <w:numPr>
          <w:ilvl w:val="2"/>
          <w:numId w:val="8"/>
        </w:numPr>
        <w:tabs>
          <w:tab w:val="left" w:pos="1117"/>
        </w:tabs>
        <w:spacing w:before="106" w:after="0" w:line="240" w:lineRule="auto"/>
        <w:ind w:left="112" w:right="0" w:firstLine="426"/>
        <w:jc w:val="left"/>
        <w:rPr>
          <w:sz w:val="21"/>
        </w:rPr>
      </w:pPr>
      <w:r>
        <w:rPr>
          <w:spacing w:val="-6"/>
          <w:sz w:val="21"/>
        </w:rPr>
        <w:t xml:space="preserve">评标委员会按本章第 </w:t>
      </w:r>
      <w:r>
        <w:rPr>
          <w:sz w:val="21"/>
        </w:rPr>
        <w:t>2.2</w:t>
      </w:r>
      <w:r>
        <w:rPr>
          <w:spacing w:val="-7"/>
          <w:sz w:val="21"/>
        </w:rPr>
        <w:t xml:space="preserve"> 款规定的量化因素和分值进行打分，并计算出综合评估得分。</w:t>
      </w:r>
    </w:p>
    <w:p>
      <w:pPr>
        <w:pStyle w:val="32"/>
        <w:numPr>
          <w:ilvl w:val="2"/>
          <w:numId w:val="8"/>
        </w:numPr>
        <w:tabs>
          <w:tab w:val="left" w:pos="1170"/>
        </w:tabs>
        <w:spacing w:before="104" w:after="0" w:line="240" w:lineRule="auto"/>
        <w:ind w:left="1169" w:right="0" w:hanging="631"/>
        <w:jc w:val="left"/>
        <w:rPr>
          <w:sz w:val="21"/>
        </w:rPr>
      </w:pPr>
      <w:r>
        <w:rPr>
          <w:spacing w:val="-3"/>
          <w:sz w:val="21"/>
        </w:rPr>
        <w:t>评分分值保留小数点后两位，小数点后第三位“四舍五入”。</w:t>
      </w:r>
    </w:p>
    <w:p>
      <w:pPr>
        <w:pStyle w:val="32"/>
        <w:numPr>
          <w:ilvl w:val="2"/>
          <w:numId w:val="8"/>
        </w:numPr>
        <w:tabs>
          <w:tab w:val="left" w:pos="1170"/>
        </w:tabs>
        <w:spacing w:before="104" w:after="0" w:line="331" w:lineRule="auto"/>
        <w:ind w:left="112" w:right="147" w:firstLine="426"/>
        <w:jc w:val="both"/>
        <w:rPr>
          <w:sz w:val="21"/>
        </w:rPr>
      </w:pPr>
      <w:r>
        <w:rPr>
          <w:spacing w:val="-6"/>
          <w:sz w:val="21"/>
        </w:rPr>
        <w:t>评标委员会发现投标人的报价明显低于其他投标报价，或者明显低于预算控制价，使得其投标</w:t>
      </w:r>
      <w:r>
        <w:rPr>
          <w:spacing w:val="-8"/>
          <w:sz w:val="21"/>
        </w:rPr>
        <w:t>报价可能低于其成本的，应当要求该投标人作出书面说明并提供相应的证明材料。投标人不能合理说明或</w:t>
      </w:r>
      <w:r>
        <w:rPr>
          <w:spacing w:val="-9"/>
          <w:sz w:val="21"/>
        </w:rPr>
        <w:t>者不能提供相应证明材料的，由三分之二以上评标委员认定该投标人以低于成本报价竞标，其投标作废标处理。</w:t>
      </w:r>
    </w:p>
    <w:p>
      <w:pPr>
        <w:pStyle w:val="32"/>
        <w:numPr>
          <w:ilvl w:val="1"/>
          <w:numId w:val="8"/>
        </w:numPr>
        <w:tabs>
          <w:tab w:val="left" w:pos="483"/>
        </w:tabs>
        <w:spacing w:before="26" w:after="0" w:line="240" w:lineRule="auto"/>
        <w:ind w:left="482" w:right="0" w:hanging="370"/>
        <w:jc w:val="left"/>
        <w:rPr>
          <w:b/>
          <w:sz w:val="21"/>
        </w:rPr>
      </w:pPr>
      <w:r>
        <w:rPr>
          <w:b/>
          <w:spacing w:val="-1"/>
          <w:sz w:val="21"/>
        </w:rPr>
        <w:t>投标文件的澄清和补正</w:t>
      </w:r>
    </w:p>
    <w:p>
      <w:pPr>
        <w:pStyle w:val="32"/>
        <w:numPr>
          <w:ilvl w:val="2"/>
          <w:numId w:val="8"/>
        </w:numPr>
        <w:tabs>
          <w:tab w:val="left" w:pos="1117"/>
        </w:tabs>
        <w:spacing w:before="103" w:after="0" w:line="331" w:lineRule="auto"/>
        <w:ind w:left="112" w:right="147" w:firstLine="426"/>
        <w:jc w:val="left"/>
        <w:rPr>
          <w:sz w:val="21"/>
        </w:rPr>
      </w:pPr>
      <w:r>
        <w:rPr>
          <w:spacing w:val="-5"/>
          <w:sz w:val="21"/>
        </w:rPr>
        <w:t>在评标过程中，评标委员会可以书面形式要求投标人对所提交的投标文件中不明确的内容进行</w:t>
      </w:r>
      <w:r>
        <w:rPr>
          <w:spacing w:val="-4"/>
          <w:sz w:val="21"/>
        </w:rPr>
        <w:t>书面澄清或说明，或者对细微偏差进行补正。评标委员会不接受投标人主动提出的澄清、说明或补正。</w:t>
      </w:r>
    </w:p>
    <w:p>
      <w:pPr>
        <w:pStyle w:val="32"/>
        <w:numPr>
          <w:ilvl w:val="2"/>
          <w:numId w:val="8"/>
        </w:numPr>
        <w:tabs>
          <w:tab w:val="left" w:pos="1143"/>
        </w:tabs>
        <w:spacing w:before="26" w:after="0" w:line="240" w:lineRule="auto"/>
        <w:ind w:left="1142" w:right="0" w:hanging="604"/>
        <w:jc w:val="left"/>
        <w:rPr>
          <w:sz w:val="21"/>
        </w:rPr>
      </w:pPr>
      <w:r>
        <w:rPr>
          <w:spacing w:val="-3"/>
          <w:sz w:val="21"/>
        </w:rPr>
        <w:t>澄清、说明和补正不得改变投标文件的实质性内容</w:t>
      </w:r>
      <w:r>
        <w:rPr>
          <w:sz w:val="21"/>
        </w:rPr>
        <w:t>（</w:t>
      </w:r>
      <w:r>
        <w:rPr>
          <w:spacing w:val="-3"/>
          <w:sz w:val="21"/>
        </w:rPr>
        <w:t>算术性错误修正的除外</w:t>
      </w:r>
      <w:r>
        <w:rPr>
          <w:sz w:val="21"/>
        </w:rPr>
        <w:t>）</w:t>
      </w:r>
      <w:r>
        <w:rPr>
          <w:spacing w:val="-3"/>
          <w:sz w:val="21"/>
        </w:rPr>
        <w:t>。投标人的书面</w:t>
      </w:r>
    </w:p>
    <w:p>
      <w:pPr>
        <w:spacing w:after="0" w:line="240" w:lineRule="auto"/>
        <w:jc w:val="left"/>
        <w:rPr>
          <w:sz w:val="21"/>
        </w:rPr>
        <w:sectPr>
          <w:pgSz w:w="11910" w:h="16840"/>
          <w:pgMar w:top="1500" w:right="1020" w:bottom="1120" w:left="1020" w:header="0" w:footer="920" w:gutter="0"/>
        </w:sectPr>
      </w:pPr>
    </w:p>
    <w:p>
      <w:pPr>
        <w:pStyle w:val="13"/>
        <w:spacing w:before="19"/>
      </w:pPr>
      <w:r>
        <w:t>澄清、说明和补正属于投标文件的组成部分。</w:t>
      </w:r>
    </w:p>
    <w:p>
      <w:pPr>
        <w:pStyle w:val="32"/>
        <w:numPr>
          <w:ilvl w:val="2"/>
          <w:numId w:val="8"/>
        </w:numPr>
        <w:tabs>
          <w:tab w:val="left" w:pos="1143"/>
        </w:tabs>
        <w:spacing w:before="104" w:after="0" w:line="331" w:lineRule="auto"/>
        <w:ind w:left="112" w:right="186" w:firstLine="426"/>
        <w:jc w:val="left"/>
        <w:rPr>
          <w:sz w:val="21"/>
        </w:rPr>
      </w:pPr>
      <w:r>
        <w:rPr>
          <w:spacing w:val="-3"/>
          <w:sz w:val="21"/>
        </w:rPr>
        <w:t>评标委员会对投标人提交的澄清、说明或补正有疑问的，可以要求投标人进一步澄清、说明或补正，直至满足评标委员会的要求。</w:t>
      </w:r>
    </w:p>
    <w:p>
      <w:pPr>
        <w:pStyle w:val="32"/>
        <w:numPr>
          <w:ilvl w:val="1"/>
          <w:numId w:val="8"/>
        </w:numPr>
        <w:tabs>
          <w:tab w:val="left" w:pos="483"/>
        </w:tabs>
        <w:spacing w:before="26" w:after="0" w:line="240" w:lineRule="auto"/>
        <w:ind w:left="482" w:right="0" w:hanging="370"/>
        <w:jc w:val="left"/>
        <w:rPr>
          <w:b/>
          <w:sz w:val="21"/>
        </w:rPr>
      </w:pPr>
      <w:r>
        <w:rPr>
          <w:b/>
          <w:sz w:val="21"/>
        </w:rPr>
        <w:t>评标结果</w:t>
      </w:r>
    </w:p>
    <w:p>
      <w:pPr>
        <w:pStyle w:val="32"/>
        <w:numPr>
          <w:ilvl w:val="2"/>
          <w:numId w:val="8"/>
        </w:numPr>
        <w:tabs>
          <w:tab w:val="left" w:pos="1167"/>
        </w:tabs>
        <w:spacing w:before="103" w:after="0" w:line="331" w:lineRule="auto"/>
        <w:ind w:left="112" w:right="188" w:firstLine="423"/>
        <w:jc w:val="left"/>
        <w:rPr>
          <w:sz w:val="21"/>
        </w:rPr>
      </w:pPr>
      <w:r>
        <w:rPr>
          <w:spacing w:val="-6"/>
          <w:sz w:val="21"/>
        </w:rPr>
        <w:t>除第二章“投标人须知”前附表授权直接确定中标人外，评标委员会按照得分由高到低的顺序</w:t>
      </w:r>
      <w:r>
        <w:rPr>
          <w:spacing w:val="-4"/>
          <w:sz w:val="21"/>
        </w:rPr>
        <w:t>推荐中标候选人。</w:t>
      </w:r>
    </w:p>
    <w:p>
      <w:pPr>
        <w:pStyle w:val="32"/>
        <w:numPr>
          <w:ilvl w:val="2"/>
          <w:numId w:val="8"/>
        </w:numPr>
        <w:tabs>
          <w:tab w:val="left" w:pos="1167"/>
        </w:tabs>
        <w:spacing w:before="26" w:after="0" w:line="240" w:lineRule="auto"/>
        <w:ind w:left="112" w:right="0" w:firstLine="423"/>
        <w:jc w:val="left"/>
        <w:rPr>
          <w:sz w:val="21"/>
        </w:rPr>
      </w:pPr>
      <w:r>
        <w:rPr>
          <w:spacing w:val="-3"/>
          <w:sz w:val="21"/>
        </w:rPr>
        <w:t>评标委员会完成评标后，应当向招标人提交书面评标报告。</w:t>
      </w:r>
    </w:p>
    <w:p>
      <w:pPr>
        <w:pStyle w:val="32"/>
        <w:numPr>
          <w:ilvl w:val="2"/>
          <w:numId w:val="8"/>
        </w:numPr>
        <w:tabs>
          <w:tab w:val="left" w:pos="1167"/>
        </w:tabs>
        <w:spacing w:before="104" w:after="0" w:line="240" w:lineRule="auto"/>
        <w:ind w:left="112" w:right="0" w:firstLine="423"/>
        <w:jc w:val="left"/>
        <w:rPr>
          <w:sz w:val="21"/>
        </w:rPr>
      </w:pPr>
      <w:r>
        <w:rPr>
          <w:spacing w:val="-3"/>
          <w:sz w:val="21"/>
        </w:rPr>
        <w:t>本评标办法未能考虑的问题，由评标委员会集体研究处理。</w:t>
      </w:r>
    </w:p>
    <w:p>
      <w:pPr>
        <w:pStyle w:val="13"/>
        <w:spacing w:before="11"/>
        <w:ind w:left="0"/>
        <w:rPr>
          <w:sz w:val="15"/>
        </w:rPr>
      </w:pPr>
    </w:p>
    <w:p>
      <w:pPr>
        <w:pStyle w:val="7"/>
        <w:spacing w:before="14"/>
        <w:ind w:left="112"/>
        <w:jc w:val="left"/>
      </w:pPr>
      <w:r>
        <w:t>附件 A：评标详细程序</w:t>
      </w:r>
    </w:p>
    <w:p>
      <w:pPr>
        <w:pStyle w:val="7"/>
        <w:spacing w:before="14"/>
        <w:ind w:left="4071" w:right="4151"/>
      </w:pPr>
      <w:r>
        <w:t>评标详细程序</w:t>
      </w:r>
    </w:p>
    <w:p>
      <w:pPr>
        <w:pStyle w:val="13"/>
        <w:spacing w:before="6"/>
        <w:ind w:left="0"/>
        <w:rPr>
          <w:b/>
          <w:sz w:val="20"/>
        </w:rPr>
      </w:pPr>
    </w:p>
    <w:p>
      <w:pPr>
        <w:tabs>
          <w:tab w:val="left" w:pos="818"/>
        </w:tabs>
        <w:spacing w:before="37"/>
        <w:ind w:left="112" w:right="0" w:firstLine="0"/>
        <w:jc w:val="left"/>
        <w:rPr>
          <w:b/>
          <w:sz w:val="20"/>
        </w:rPr>
      </w:pPr>
      <w:r>
        <w:rPr>
          <w:b/>
          <w:sz w:val="20"/>
        </w:rPr>
        <w:t>A0</w:t>
      </w:r>
      <w:r>
        <w:rPr>
          <w:b/>
          <w:spacing w:val="-1"/>
          <w:sz w:val="20"/>
        </w:rPr>
        <w:t xml:space="preserve"> </w:t>
      </w:r>
      <w:r>
        <w:rPr>
          <w:b/>
          <w:sz w:val="20"/>
        </w:rPr>
        <w:t>总</w:t>
      </w:r>
      <w:r>
        <w:rPr>
          <w:b/>
          <w:sz w:val="20"/>
        </w:rPr>
        <w:tab/>
      </w:r>
      <w:r>
        <w:rPr>
          <w:b/>
          <w:sz w:val="20"/>
        </w:rPr>
        <w:t>则</w:t>
      </w:r>
    </w:p>
    <w:p>
      <w:pPr>
        <w:pStyle w:val="13"/>
        <w:spacing w:before="107" w:line="331" w:lineRule="auto"/>
        <w:ind w:right="171" w:firstLine="420"/>
      </w:pPr>
      <w:r>
        <w:rPr>
          <w:spacing w:val="-5"/>
        </w:rPr>
        <w:t>本附件是本章“评标办法”的组成部分，是对本章规定的评标程序的进一步细化，评标委员会应当按</w:t>
      </w:r>
      <w:r>
        <w:rPr>
          <w:spacing w:val="-4"/>
        </w:rPr>
        <w:t>照本附件所规定的详细程序开展并完成评标工作。</w:t>
      </w:r>
    </w:p>
    <w:p>
      <w:pPr>
        <w:pStyle w:val="13"/>
        <w:spacing w:before="1"/>
        <w:ind w:left="0"/>
        <w:rPr>
          <w:sz w:val="18"/>
        </w:rPr>
      </w:pPr>
    </w:p>
    <w:p>
      <w:pPr>
        <w:spacing w:before="0"/>
        <w:ind w:left="112" w:right="0" w:firstLine="0"/>
        <w:jc w:val="left"/>
        <w:rPr>
          <w:b/>
          <w:sz w:val="20"/>
        </w:rPr>
      </w:pPr>
      <w:r>
        <w:rPr>
          <w:b/>
          <w:sz w:val="20"/>
        </w:rPr>
        <w:t>A1 基本程序</w:t>
      </w:r>
    </w:p>
    <w:p>
      <w:pPr>
        <w:pStyle w:val="13"/>
        <w:spacing w:before="105"/>
        <w:ind w:left="533"/>
      </w:pPr>
      <w:r>
        <w:t>评标活动将按以下五个步骤进行：</w:t>
      </w:r>
    </w:p>
    <w:p>
      <w:pPr>
        <w:pStyle w:val="13"/>
        <w:spacing w:before="106"/>
        <w:ind w:left="533"/>
      </w:pPr>
      <w:r>
        <w:t>（1）评标准备；</w:t>
      </w:r>
    </w:p>
    <w:p>
      <w:pPr>
        <w:pStyle w:val="13"/>
        <w:spacing w:before="103"/>
        <w:ind w:left="533"/>
      </w:pPr>
      <w:r>
        <w:t>（2）初步评审：</w:t>
      </w:r>
    </w:p>
    <w:p>
      <w:pPr>
        <w:pStyle w:val="13"/>
        <w:spacing w:before="103"/>
        <w:ind w:left="533"/>
      </w:pPr>
      <w:r>
        <w:t>（3）详细评审；</w:t>
      </w:r>
    </w:p>
    <w:p>
      <w:pPr>
        <w:pStyle w:val="13"/>
        <w:spacing w:before="106"/>
        <w:ind w:left="533"/>
      </w:pPr>
      <w:r>
        <w:t>（4）澄清、说明或补正；</w:t>
      </w:r>
    </w:p>
    <w:p>
      <w:pPr>
        <w:pStyle w:val="13"/>
        <w:spacing w:before="104"/>
        <w:ind w:left="533"/>
      </w:pPr>
      <w:r>
        <w:t>（5）推荐中标候选人或者直接确定中标人及提交评标报告。</w:t>
      </w:r>
    </w:p>
    <w:p>
      <w:pPr>
        <w:pStyle w:val="13"/>
        <w:ind w:left="0"/>
        <w:rPr>
          <w:sz w:val="24"/>
        </w:rPr>
      </w:pPr>
    </w:p>
    <w:p>
      <w:pPr>
        <w:spacing w:before="0"/>
        <w:ind w:left="112" w:right="0" w:firstLine="0"/>
        <w:jc w:val="left"/>
        <w:rPr>
          <w:b/>
          <w:sz w:val="20"/>
        </w:rPr>
      </w:pPr>
      <w:r>
        <w:rPr>
          <w:b/>
          <w:sz w:val="20"/>
        </w:rPr>
        <w:t>A2 评标准备</w:t>
      </w:r>
    </w:p>
    <w:p>
      <w:pPr>
        <w:spacing w:before="107"/>
        <w:ind w:left="535" w:right="0" w:firstLine="0"/>
        <w:jc w:val="left"/>
        <w:rPr>
          <w:b/>
          <w:sz w:val="21"/>
        </w:rPr>
      </w:pPr>
      <w:r>
        <w:rPr>
          <w:b/>
          <w:sz w:val="21"/>
        </w:rPr>
        <w:t>A2.1 评标委员会成员签到</w:t>
      </w:r>
    </w:p>
    <w:p>
      <w:pPr>
        <w:pStyle w:val="13"/>
        <w:spacing w:before="103"/>
        <w:ind w:left="533"/>
      </w:pPr>
      <w:r>
        <w:t>评标委员会成员到达评标现场时应在签到表上签到以证明其出席。</w:t>
      </w:r>
    </w:p>
    <w:p>
      <w:pPr>
        <w:spacing w:before="106"/>
        <w:ind w:left="535" w:right="0" w:firstLine="0"/>
        <w:jc w:val="left"/>
        <w:rPr>
          <w:b/>
          <w:sz w:val="21"/>
        </w:rPr>
      </w:pPr>
      <w:r>
        <w:rPr>
          <w:b/>
          <w:sz w:val="21"/>
        </w:rPr>
        <w:t>A2.2 评标委员会的分工</w:t>
      </w:r>
    </w:p>
    <w:p>
      <w:pPr>
        <w:pStyle w:val="10"/>
        <w:spacing w:before="92" w:line="316" w:lineRule="auto"/>
        <w:ind w:left="112" w:right="175" w:firstLine="439"/>
      </w:pPr>
      <w:r>
        <w:rPr>
          <w:spacing w:val="-6"/>
        </w:rPr>
        <w:t>评标委员会首先推选一名评标委员会主任。评标委员会主任负责评标活动的组织工作。评标委员</w:t>
      </w:r>
      <w:r>
        <w:rPr>
          <w:spacing w:val="-5"/>
        </w:rPr>
        <w:t>会主任在与其他评标委员会成员商议的基础上可以将评标委员会划分为技术组和商务组。</w:t>
      </w:r>
    </w:p>
    <w:p>
      <w:pPr>
        <w:pStyle w:val="13"/>
        <w:spacing w:before="9"/>
        <w:ind w:left="0"/>
        <w:rPr>
          <w:sz w:val="18"/>
        </w:rPr>
      </w:pPr>
    </w:p>
    <w:p>
      <w:pPr>
        <w:spacing w:before="0"/>
        <w:ind w:left="516" w:right="0" w:firstLine="0"/>
        <w:jc w:val="left"/>
        <w:rPr>
          <w:b/>
          <w:sz w:val="20"/>
        </w:rPr>
      </w:pPr>
      <w:r>
        <w:rPr>
          <w:b/>
          <w:sz w:val="20"/>
        </w:rPr>
        <w:t>A2.3 熟悉文件资料</w:t>
      </w:r>
    </w:p>
    <w:p>
      <w:pPr>
        <w:pStyle w:val="13"/>
        <w:spacing w:before="5"/>
        <w:ind w:left="0"/>
        <w:rPr>
          <w:b/>
          <w:sz w:val="23"/>
        </w:rPr>
      </w:pPr>
    </w:p>
    <w:p>
      <w:pPr>
        <w:pStyle w:val="13"/>
        <w:spacing w:line="331" w:lineRule="auto"/>
        <w:ind w:right="101" w:firstLine="420"/>
      </w:pPr>
      <w:r>
        <w:t>A2.3.1</w:t>
      </w:r>
      <w:r>
        <w:rPr>
          <w:spacing w:val="-6"/>
        </w:rPr>
        <w:t xml:space="preserve"> 评标委员会主任应组织评标委员会成员认真研究招标文件，了解和熟悉招标目的、招标范围、</w:t>
      </w:r>
      <w:r>
        <w:rPr>
          <w:spacing w:val="-7"/>
        </w:rPr>
        <w:t>主要合同条件、技术标准和要求、质量标准和工期要求等，掌握评标标准和方法，熟悉本章及附件中包括</w:t>
      </w:r>
      <w:r>
        <w:rPr>
          <w:spacing w:val="-8"/>
        </w:rPr>
        <w:t>的评标表格的使用，如果本章及附件所附的表格不能满足评标所需时，评标委员会应补充编制评标所需的</w:t>
      </w:r>
      <w:r>
        <w:rPr>
          <w:spacing w:val="-3"/>
        </w:rPr>
        <w:t>表格，尤其是用于详细分析计算的表格。未在招标文件中规定的标准和方法不得作为评标的依据。</w:t>
      </w:r>
    </w:p>
    <w:p>
      <w:pPr>
        <w:pStyle w:val="13"/>
        <w:spacing w:before="24"/>
        <w:ind w:left="533"/>
      </w:pPr>
      <w:r>
        <w:t>A2.3.2 招标人或招标代理机构应向评标委员会提供评标所需的信息和数据。</w:t>
      </w:r>
    </w:p>
    <w:p>
      <w:pPr>
        <w:spacing w:after="0"/>
        <w:sectPr>
          <w:pgSz w:w="11910" w:h="16840"/>
          <w:pgMar w:top="1440" w:right="940" w:bottom="1180" w:left="1020" w:header="0" w:footer="920" w:gutter="0"/>
        </w:sectPr>
      </w:pPr>
    </w:p>
    <w:p>
      <w:pPr>
        <w:spacing w:before="9"/>
        <w:ind w:left="112" w:right="0" w:firstLine="0"/>
        <w:jc w:val="left"/>
        <w:rPr>
          <w:b/>
          <w:sz w:val="20"/>
        </w:rPr>
      </w:pPr>
      <w:r>
        <w:rPr>
          <w:b/>
          <w:sz w:val="20"/>
        </w:rPr>
        <w:t>A3 初步评审</w:t>
      </w:r>
    </w:p>
    <w:p>
      <w:pPr>
        <w:pStyle w:val="13"/>
        <w:spacing w:before="5"/>
        <w:ind w:left="0"/>
        <w:rPr>
          <w:b/>
          <w:sz w:val="24"/>
        </w:rPr>
      </w:pPr>
    </w:p>
    <w:p>
      <w:pPr>
        <w:spacing w:before="0"/>
        <w:ind w:left="112" w:right="0" w:firstLine="0"/>
        <w:jc w:val="left"/>
        <w:rPr>
          <w:b/>
          <w:sz w:val="20"/>
        </w:rPr>
      </w:pPr>
      <w:r>
        <w:rPr>
          <w:b/>
          <w:sz w:val="20"/>
        </w:rPr>
        <w:t>A3.1 资格评审</w:t>
      </w:r>
    </w:p>
    <w:p>
      <w:pPr>
        <w:pStyle w:val="13"/>
        <w:spacing w:before="107"/>
        <w:ind w:left="526"/>
      </w:pPr>
      <w:r>
        <w:rPr>
          <w:spacing w:val="-17"/>
        </w:rPr>
        <w:t>评标委员会根据“评标办法前附表”中规定的评审因素和评审标准，对投标人的投标文件进行资格评审。</w:t>
      </w:r>
    </w:p>
    <w:p>
      <w:pPr>
        <w:pStyle w:val="13"/>
        <w:ind w:left="0"/>
        <w:rPr>
          <w:sz w:val="24"/>
        </w:rPr>
      </w:pPr>
    </w:p>
    <w:p>
      <w:pPr>
        <w:spacing w:before="0"/>
        <w:ind w:left="112" w:right="0" w:firstLine="0"/>
        <w:jc w:val="left"/>
        <w:rPr>
          <w:b/>
          <w:sz w:val="20"/>
        </w:rPr>
      </w:pPr>
      <w:r>
        <w:rPr>
          <w:b/>
          <w:sz w:val="20"/>
        </w:rPr>
        <w:t>A3.2 形式评审</w:t>
      </w:r>
    </w:p>
    <w:p>
      <w:pPr>
        <w:pStyle w:val="13"/>
        <w:spacing w:before="107"/>
        <w:ind w:left="526"/>
      </w:pPr>
      <w:r>
        <w:rPr>
          <w:spacing w:val="-17"/>
        </w:rPr>
        <w:t>评标委员会根据“评标办法前附表”中规定的评审因素和评审标准，对投标人的投标文件进行形式评审。</w:t>
      </w:r>
    </w:p>
    <w:p>
      <w:pPr>
        <w:pStyle w:val="13"/>
        <w:ind w:left="0"/>
        <w:rPr>
          <w:sz w:val="24"/>
        </w:rPr>
      </w:pPr>
    </w:p>
    <w:p>
      <w:pPr>
        <w:spacing w:before="0"/>
        <w:ind w:left="112" w:right="0" w:firstLine="0"/>
        <w:jc w:val="left"/>
        <w:rPr>
          <w:b/>
          <w:sz w:val="20"/>
        </w:rPr>
      </w:pPr>
      <w:r>
        <w:rPr>
          <w:b/>
          <w:sz w:val="20"/>
        </w:rPr>
        <w:t>A3.3 响应性评审</w:t>
      </w:r>
    </w:p>
    <w:p>
      <w:pPr>
        <w:pStyle w:val="13"/>
        <w:spacing w:before="107" w:line="331" w:lineRule="auto"/>
        <w:ind w:right="191" w:firstLine="420"/>
      </w:pPr>
      <w:r>
        <w:t>A3.3.1</w:t>
      </w:r>
      <w:r>
        <w:rPr>
          <w:spacing w:val="-9"/>
        </w:rPr>
        <w:t xml:space="preserve"> 评标委员会根据“评标办法前附表”中规定的评审因素和评审标准，对投标人的投标文件进行</w:t>
      </w:r>
      <w:r>
        <w:rPr>
          <w:spacing w:val="-5"/>
        </w:rPr>
        <w:t>响应性评审。</w:t>
      </w:r>
    </w:p>
    <w:p>
      <w:pPr>
        <w:pStyle w:val="13"/>
        <w:spacing w:before="24" w:line="333" w:lineRule="auto"/>
        <w:ind w:right="191" w:firstLine="420"/>
      </w:pPr>
      <w:r>
        <w:t>A3.3.2</w:t>
      </w:r>
      <w:r>
        <w:rPr>
          <w:spacing w:val="-7"/>
        </w:rPr>
        <w:t xml:space="preserve"> 投标人投标报价不得超出</w:t>
      </w:r>
      <w:r>
        <w:t>（</w:t>
      </w:r>
      <w:r>
        <w:rPr>
          <w:spacing w:val="-3"/>
        </w:rPr>
        <w:t>不含等于）</w:t>
      </w:r>
      <w:r>
        <w:rPr>
          <w:spacing w:val="-5"/>
        </w:rPr>
        <w:t xml:space="preserve">第二章“投标人须知”前附表第 </w:t>
      </w:r>
      <w:r>
        <w:t>10.2</w:t>
      </w:r>
      <w:r>
        <w:rPr>
          <w:spacing w:val="-7"/>
        </w:rPr>
        <w:t xml:space="preserve"> 款载明的最高投</w:t>
      </w:r>
      <w:r>
        <w:rPr>
          <w:spacing w:val="-5"/>
        </w:rPr>
        <w:t>标限价，凡投标人的投标报价超出最高投标限价的，该投标人的投标文件不能通过响应性评审。</w:t>
      </w:r>
    </w:p>
    <w:p>
      <w:pPr>
        <w:pStyle w:val="13"/>
        <w:spacing w:before="10"/>
        <w:ind w:left="0"/>
        <w:rPr>
          <w:sz w:val="17"/>
        </w:rPr>
      </w:pPr>
    </w:p>
    <w:p>
      <w:pPr>
        <w:spacing w:before="1"/>
        <w:ind w:left="112" w:right="0" w:firstLine="0"/>
        <w:jc w:val="left"/>
        <w:rPr>
          <w:b/>
          <w:sz w:val="20"/>
        </w:rPr>
      </w:pPr>
      <w:r>
        <w:rPr>
          <w:b/>
          <w:sz w:val="20"/>
        </w:rPr>
        <w:t>A3.4 施工组织设计评审</w:t>
      </w:r>
    </w:p>
    <w:p>
      <w:pPr>
        <w:pStyle w:val="13"/>
        <w:spacing w:before="108"/>
        <w:ind w:left="526"/>
      </w:pPr>
      <w:r>
        <w:rPr>
          <w:spacing w:val="-17"/>
        </w:rPr>
        <w:t>评标委员会根据“评标办法前附表”中规定的评审因素和评审标准，对投标人的施工组织设计进行评审。</w:t>
      </w:r>
    </w:p>
    <w:p>
      <w:pPr>
        <w:pStyle w:val="13"/>
        <w:ind w:left="0"/>
        <w:rPr>
          <w:sz w:val="24"/>
        </w:rPr>
      </w:pPr>
    </w:p>
    <w:p>
      <w:pPr>
        <w:spacing w:before="1"/>
        <w:ind w:left="112" w:right="0" w:firstLine="0"/>
        <w:jc w:val="left"/>
        <w:rPr>
          <w:b/>
          <w:sz w:val="20"/>
        </w:rPr>
      </w:pPr>
      <w:r>
        <w:rPr>
          <w:b/>
          <w:sz w:val="20"/>
        </w:rPr>
        <w:t>A3.5 判断投标是否为否决投标</w:t>
      </w:r>
    </w:p>
    <w:p>
      <w:pPr>
        <w:pStyle w:val="13"/>
        <w:spacing w:before="108" w:line="331" w:lineRule="auto"/>
        <w:ind w:right="204" w:firstLine="420"/>
      </w:pPr>
      <w:r>
        <w:t>A3.5.1</w:t>
      </w:r>
      <w:r>
        <w:rPr>
          <w:spacing w:val="-9"/>
        </w:rPr>
        <w:t xml:space="preserve"> 判断投标人的投标是否为否决投标的全部条件</w:t>
      </w:r>
      <w:r>
        <w:rPr>
          <w:spacing w:val="-3"/>
        </w:rPr>
        <w:t>（</w:t>
      </w:r>
      <w:r>
        <w:rPr>
          <w:spacing w:val="-10"/>
        </w:rPr>
        <w:t xml:space="preserve">包括本章第 </w:t>
      </w:r>
      <w:r>
        <w:t>3.1.2</w:t>
      </w:r>
      <w:r>
        <w:rPr>
          <w:spacing w:val="-9"/>
        </w:rPr>
        <w:t xml:space="preserve"> 项中规定的条件</w:t>
      </w:r>
      <w:r>
        <w:rPr>
          <w:spacing w:val="-26"/>
        </w:rPr>
        <w:t>）</w:t>
      </w:r>
      <w:r>
        <w:rPr>
          <w:spacing w:val="-8"/>
        </w:rPr>
        <w:t>，在本章</w:t>
      </w:r>
      <w:r>
        <w:rPr>
          <w:spacing w:val="-21"/>
        </w:rPr>
        <w:t xml:space="preserve">附件 </w:t>
      </w:r>
      <w:r>
        <w:t>B</w:t>
      </w:r>
      <w:r>
        <w:rPr>
          <w:spacing w:val="-10"/>
        </w:rPr>
        <w:t xml:space="preserve"> 中集中列示。</w:t>
      </w:r>
    </w:p>
    <w:p>
      <w:pPr>
        <w:pStyle w:val="13"/>
        <w:spacing w:before="24" w:line="333" w:lineRule="auto"/>
        <w:ind w:right="191" w:firstLine="420"/>
      </w:pPr>
      <w:r>
        <w:t>A3.5.2</w:t>
      </w:r>
      <w:r>
        <w:rPr>
          <w:spacing w:val="-15"/>
        </w:rPr>
        <w:t xml:space="preserve"> 本章附件 </w:t>
      </w:r>
      <w:r>
        <w:t>B</w:t>
      </w:r>
      <w:r>
        <w:rPr>
          <w:spacing w:val="-12"/>
        </w:rPr>
        <w:t xml:space="preserve"> 集中列示的否决投标条件不应与第二章“投标人须知”和本章正文部分包括的否决</w:t>
      </w:r>
      <w:r>
        <w:rPr>
          <w:spacing w:val="-6"/>
        </w:rPr>
        <w:t>投标条件抵触，如果出现相互矛盾的情况，以第二章“投标人须知”和本章正文部分的规定为准。</w:t>
      </w:r>
    </w:p>
    <w:p>
      <w:pPr>
        <w:pStyle w:val="13"/>
        <w:spacing w:before="22" w:line="331" w:lineRule="auto"/>
        <w:ind w:right="191" w:firstLine="420"/>
      </w:pPr>
      <w:r>
        <w:t>A3.5.3</w:t>
      </w:r>
      <w:r>
        <w:rPr>
          <w:spacing w:val="-11"/>
        </w:rPr>
        <w:t xml:space="preserve"> 评标委员会在评标</w:t>
      </w:r>
      <w:r>
        <w:t>（</w:t>
      </w:r>
      <w:r>
        <w:rPr>
          <w:spacing w:val="-3"/>
        </w:rPr>
        <w:t>包括初步评审和详细评审</w:t>
      </w:r>
      <w:r>
        <w:rPr>
          <w:spacing w:val="-27"/>
        </w:rPr>
        <w:t>）</w:t>
      </w:r>
      <w:r>
        <w:rPr>
          <w:spacing w:val="-10"/>
        </w:rPr>
        <w:t xml:space="preserve">过程中，依据本章附件 </w:t>
      </w:r>
      <w:r>
        <w:t>B</w:t>
      </w:r>
      <w:r>
        <w:rPr>
          <w:spacing w:val="-8"/>
        </w:rPr>
        <w:t xml:space="preserve"> 中规定的否决投标条</w:t>
      </w:r>
      <w:r>
        <w:rPr>
          <w:spacing w:val="-5"/>
        </w:rPr>
        <w:t>件判断投标人的投标是否为否决投标。</w:t>
      </w:r>
    </w:p>
    <w:p>
      <w:pPr>
        <w:pStyle w:val="13"/>
        <w:spacing w:before="2"/>
        <w:ind w:left="0"/>
        <w:rPr>
          <w:sz w:val="18"/>
        </w:rPr>
      </w:pPr>
    </w:p>
    <w:p>
      <w:pPr>
        <w:spacing w:before="0"/>
        <w:ind w:left="112" w:right="0" w:firstLine="0"/>
        <w:jc w:val="left"/>
        <w:rPr>
          <w:b/>
          <w:sz w:val="20"/>
        </w:rPr>
      </w:pPr>
      <w:r>
        <w:rPr>
          <w:b/>
          <w:sz w:val="20"/>
        </w:rPr>
        <w:t>A3.6 算术错误修正</w:t>
      </w:r>
    </w:p>
    <w:p>
      <w:pPr>
        <w:pStyle w:val="13"/>
        <w:spacing w:before="105" w:line="333" w:lineRule="auto"/>
        <w:ind w:right="178" w:firstLine="420"/>
      </w:pPr>
      <w:r>
        <w:t>评标委员会依据本章中规定的相关原则对投标报价中存在的算术错误进行修正，并根据算术错误修正结果计算评标价。</w:t>
      </w:r>
    </w:p>
    <w:p>
      <w:pPr>
        <w:pStyle w:val="13"/>
        <w:spacing w:before="10"/>
        <w:ind w:left="0"/>
        <w:rPr>
          <w:sz w:val="17"/>
        </w:rPr>
      </w:pPr>
    </w:p>
    <w:p>
      <w:pPr>
        <w:spacing w:before="0"/>
        <w:ind w:left="112" w:right="0" w:firstLine="0"/>
        <w:jc w:val="left"/>
        <w:rPr>
          <w:b/>
          <w:sz w:val="20"/>
        </w:rPr>
      </w:pPr>
      <w:r>
        <w:rPr>
          <w:b/>
          <w:sz w:val="20"/>
        </w:rPr>
        <w:t>A3.7 澄清、说明或补正</w:t>
      </w:r>
    </w:p>
    <w:p>
      <w:pPr>
        <w:pStyle w:val="13"/>
        <w:spacing w:before="108" w:line="331" w:lineRule="auto"/>
        <w:ind w:firstLine="420"/>
      </w:pPr>
      <w:r>
        <w:rPr>
          <w:spacing w:val="-12"/>
        </w:rPr>
        <w:t>在初步评审过程中，评标委员会应当就投标文件中不明确的内容要求投标人进行澄清、说明或者补正。</w:t>
      </w:r>
      <w:r>
        <w:rPr>
          <w:spacing w:val="-8"/>
        </w:rPr>
        <w:t>投标人应当根据问题澄清通知要求，以书面形式予以澄清、说明或者补正。澄清、说明或补正根据本章第</w:t>
      </w:r>
    </w:p>
    <w:p>
      <w:pPr>
        <w:pStyle w:val="13"/>
        <w:spacing w:before="24"/>
      </w:pPr>
      <w:r>
        <w:t>3.3 款的规定进行。</w:t>
      </w:r>
    </w:p>
    <w:p>
      <w:pPr>
        <w:pStyle w:val="13"/>
        <w:spacing w:before="3"/>
        <w:ind w:left="0"/>
        <w:rPr>
          <w:sz w:val="24"/>
        </w:rPr>
      </w:pPr>
    </w:p>
    <w:p>
      <w:pPr>
        <w:spacing w:before="0"/>
        <w:ind w:left="112" w:right="0" w:firstLine="0"/>
        <w:jc w:val="left"/>
        <w:rPr>
          <w:b/>
          <w:sz w:val="20"/>
        </w:rPr>
      </w:pPr>
      <w:r>
        <w:rPr>
          <w:b/>
          <w:sz w:val="20"/>
        </w:rPr>
        <w:t>A4 详细评审</w:t>
      </w:r>
    </w:p>
    <w:p>
      <w:pPr>
        <w:pStyle w:val="13"/>
        <w:spacing w:before="105"/>
        <w:ind w:left="533"/>
      </w:pPr>
      <w:r>
        <w:t>只有通过了初步评审、被判定为合格的投标方可进入详细评审。</w:t>
      </w:r>
    </w:p>
    <w:p>
      <w:pPr>
        <w:pStyle w:val="13"/>
        <w:spacing w:before="106"/>
        <w:ind w:left="533"/>
      </w:pPr>
      <w:r>
        <w:t>A4.1 对投标文件进行基础性数据分析和整理工作（清标）</w:t>
      </w:r>
    </w:p>
    <w:p>
      <w:pPr>
        <w:pStyle w:val="13"/>
        <w:spacing w:before="104"/>
        <w:ind w:left="533"/>
      </w:pPr>
      <w:r>
        <w:t>A4.2 价格折算</w:t>
      </w:r>
    </w:p>
    <w:p>
      <w:pPr>
        <w:pStyle w:val="13"/>
        <w:spacing w:before="104"/>
        <w:ind w:left="533"/>
      </w:pPr>
      <w:r>
        <w:t>评标委员会根据评标办法对投标报价计算出评标价。</w:t>
      </w:r>
    </w:p>
    <w:p>
      <w:pPr>
        <w:pStyle w:val="13"/>
        <w:spacing w:before="106"/>
        <w:ind w:left="533"/>
      </w:pPr>
      <w:r>
        <w:t>A4.3 判断投标报价是否低于成本</w:t>
      </w:r>
    </w:p>
    <w:p>
      <w:pPr>
        <w:pStyle w:val="13"/>
        <w:spacing w:before="104"/>
        <w:ind w:left="533"/>
      </w:pPr>
      <w:r>
        <w:t>由评标委员会认定投标人是否以低于成本竞标。</w:t>
      </w:r>
    </w:p>
    <w:p>
      <w:pPr>
        <w:spacing w:after="0"/>
        <w:sectPr>
          <w:pgSz w:w="11910" w:h="16840"/>
          <w:pgMar w:top="1460" w:right="920" w:bottom="1180" w:left="1020" w:header="0" w:footer="920" w:gutter="0"/>
        </w:sectPr>
      </w:pPr>
    </w:p>
    <w:p>
      <w:pPr>
        <w:pStyle w:val="13"/>
        <w:spacing w:before="19"/>
        <w:ind w:left="533"/>
      </w:pPr>
      <w:r>
        <w:t>A4.4 澄清、说明或补正</w:t>
      </w:r>
    </w:p>
    <w:p>
      <w:pPr>
        <w:pStyle w:val="13"/>
        <w:spacing w:before="104" w:line="331" w:lineRule="auto"/>
        <w:ind w:right="106" w:firstLine="420"/>
        <w:jc w:val="both"/>
      </w:pPr>
      <w:r>
        <w:rPr>
          <w:spacing w:val="-6"/>
        </w:rPr>
        <w:t>在评审过程中，评标委员会应当就投标文件中不明确的内容要求投标人进行澄清、说明或者补正。投</w:t>
      </w:r>
      <w:r>
        <w:rPr>
          <w:spacing w:val="-13"/>
        </w:rPr>
        <w:t xml:space="preserve">标人应当根据问题澄清通知要求，以书面形式予以澄清、说明或者补正。澄清、说明或补正根据本章第 </w:t>
      </w:r>
      <w:r>
        <w:rPr>
          <w:spacing w:val="-3"/>
        </w:rPr>
        <w:t xml:space="preserve">3.3 </w:t>
      </w:r>
      <w:r>
        <w:rPr>
          <w:spacing w:val="-2"/>
        </w:rPr>
        <w:t>款的规定进行。</w:t>
      </w:r>
    </w:p>
    <w:p>
      <w:pPr>
        <w:pStyle w:val="13"/>
        <w:spacing w:before="12"/>
        <w:ind w:left="0"/>
        <w:rPr>
          <w:sz w:val="17"/>
        </w:rPr>
      </w:pPr>
    </w:p>
    <w:p>
      <w:pPr>
        <w:spacing w:before="0"/>
        <w:ind w:left="112" w:right="0" w:firstLine="0"/>
        <w:jc w:val="left"/>
        <w:rPr>
          <w:b/>
          <w:sz w:val="20"/>
        </w:rPr>
      </w:pPr>
      <w:r>
        <w:rPr>
          <w:b/>
          <w:sz w:val="20"/>
        </w:rPr>
        <w:t>A5 推荐中标候选人或者直接确定中标人</w:t>
      </w:r>
    </w:p>
    <w:p>
      <w:pPr>
        <w:spacing w:before="107"/>
        <w:ind w:left="535" w:right="0" w:firstLine="0"/>
        <w:jc w:val="left"/>
        <w:rPr>
          <w:b/>
          <w:sz w:val="21"/>
        </w:rPr>
      </w:pPr>
      <w:r>
        <w:rPr>
          <w:b/>
          <w:sz w:val="21"/>
        </w:rPr>
        <w:t>A5.1 汇总评标结果</w:t>
      </w:r>
    </w:p>
    <w:p>
      <w:pPr>
        <w:pStyle w:val="13"/>
        <w:spacing w:before="104"/>
        <w:ind w:left="533"/>
      </w:pPr>
      <w:r>
        <w:t>投标报价评审工作全部结束后，评标委员会对评标结果进行汇总。</w:t>
      </w:r>
    </w:p>
    <w:p>
      <w:pPr>
        <w:pStyle w:val="13"/>
        <w:spacing w:before="104"/>
        <w:ind w:left="533"/>
      </w:pPr>
      <w:r>
        <w:t>A5.2 推荐中标候选人</w:t>
      </w:r>
    </w:p>
    <w:p>
      <w:pPr>
        <w:pStyle w:val="13"/>
        <w:spacing w:before="106" w:line="331" w:lineRule="auto"/>
        <w:ind w:right="106" w:firstLine="420"/>
      </w:pPr>
      <w:r>
        <w:t>A5.2.1 除第二章“投标人须知”前附表授权直接确定中标人外，评标委员会在推荐中标候选人时， 应遵照以下原则：</w:t>
      </w:r>
    </w:p>
    <w:p>
      <w:pPr>
        <w:pStyle w:val="13"/>
        <w:spacing w:before="25" w:line="333" w:lineRule="auto"/>
        <w:ind w:firstLine="420"/>
      </w:pPr>
      <w:r>
        <w:t>（1）评标委员会按照最终得分由高到底的次序排列，根据第二章“投标人须知”前附表第 7.1 款的规定推荐中标候选人。</w:t>
      </w:r>
    </w:p>
    <w:p>
      <w:pPr>
        <w:pStyle w:val="13"/>
        <w:spacing w:before="22" w:line="331" w:lineRule="auto"/>
        <w:ind w:right="106" w:firstLine="420"/>
        <w:jc w:val="both"/>
      </w:pPr>
      <w:r>
        <w:t>（2）如果评标委员会根据本章的规定作否决投标处理后，有效投标不足三个，且少于第二章““投</w:t>
      </w:r>
      <w:r>
        <w:rPr>
          <w:spacing w:val="-6"/>
        </w:rPr>
        <w:t xml:space="preserve">标人须知”前附表第 </w:t>
      </w:r>
      <w:r>
        <w:t>7.1</w:t>
      </w:r>
      <w:r>
        <w:rPr>
          <w:spacing w:val="-9"/>
        </w:rPr>
        <w:t xml:space="preserve"> 款规定的中标候选人数量的，则评标委员会可以将所有有效投标按评标分数由高</w:t>
      </w:r>
      <w:r>
        <w:rPr>
          <w:spacing w:val="-7"/>
        </w:rPr>
        <w:t>至低的次序作为中标候选人向招标人推荐。如果因有效投标不足三个使得投标明显缺乏竞争的，评标委员</w:t>
      </w:r>
      <w:r>
        <w:rPr>
          <w:spacing w:val="-5"/>
        </w:rPr>
        <w:t>会可以建议招标人重新招标。</w:t>
      </w:r>
    </w:p>
    <w:p>
      <w:pPr>
        <w:pStyle w:val="13"/>
        <w:spacing w:before="24" w:line="333" w:lineRule="auto"/>
        <w:ind w:firstLine="420"/>
      </w:pPr>
      <w:r>
        <w:t>A5.2.2</w:t>
      </w:r>
      <w:r>
        <w:rPr>
          <w:spacing w:val="-9"/>
        </w:rPr>
        <w:t xml:space="preserve"> 投标截止时间前递交投标文件的投标人数量少于三个或者所有投标被否决的，招标人应当依法</w:t>
      </w:r>
      <w:r>
        <w:rPr>
          <w:spacing w:val="-5"/>
        </w:rPr>
        <w:t>重新招标。</w:t>
      </w:r>
    </w:p>
    <w:p>
      <w:pPr>
        <w:pStyle w:val="13"/>
        <w:spacing w:before="22"/>
        <w:ind w:left="533"/>
      </w:pPr>
      <w:r>
        <w:t>A5.3 直接确定中标人</w:t>
      </w:r>
    </w:p>
    <w:p>
      <w:pPr>
        <w:pStyle w:val="13"/>
        <w:spacing w:before="104" w:line="333" w:lineRule="auto"/>
        <w:ind w:right="78" w:firstLine="420"/>
      </w:pPr>
      <w:r>
        <w:t>第二章“投标人须知”前附表授权评标委员会直接确定中标人的，评标委员会对有效的投标按照评标得分由高至低的次序排列，并确定排名第一的投标人为中标人。</w:t>
      </w:r>
    </w:p>
    <w:p>
      <w:pPr>
        <w:pStyle w:val="13"/>
        <w:spacing w:before="22"/>
        <w:ind w:left="533"/>
      </w:pPr>
      <w:r>
        <w:t>A5.4 编制及提交评标报告</w:t>
      </w:r>
    </w:p>
    <w:p>
      <w:pPr>
        <w:pStyle w:val="13"/>
        <w:spacing w:before="103"/>
        <w:ind w:left="533"/>
      </w:pPr>
      <w:r>
        <w:t>评标委员会应向招标人提交评标报告。评标报告应当由全体评标委员会成员签字。</w:t>
      </w:r>
    </w:p>
    <w:p>
      <w:pPr>
        <w:spacing w:before="106"/>
        <w:ind w:left="535" w:right="0" w:firstLine="0"/>
        <w:jc w:val="left"/>
        <w:rPr>
          <w:b/>
          <w:sz w:val="21"/>
        </w:rPr>
      </w:pPr>
      <w:r>
        <w:rPr>
          <w:b/>
          <w:sz w:val="21"/>
        </w:rPr>
        <w:t>A6.2 关于评标活动暂停</w:t>
      </w:r>
    </w:p>
    <w:p>
      <w:pPr>
        <w:pStyle w:val="13"/>
        <w:spacing w:before="104" w:line="331" w:lineRule="auto"/>
        <w:ind w:right="106" w:firstLine="420"/>
      </w:pPr>
      <w:r>
        <w:t>A6.2.1</w:t>
      </w:r>
      <w:r>
        <w:rPr>
          <w:spacing w:val="-10"/>
        </w:rPr>
        <w:t xml:space="preserve"> 评标委员会应当执行连续评标的原则，按评标办法中规定的程序、内容、方法、标准完成全部</w:t>
      </w:r>
      <w:r>
        <w:rPr>
          <w:spacing w:val="-5"/>
        </w:rPr>
        <w:t>评标工作。只有发生不可抗力导致评标工作无法继续时，评标活动方可暂停。</w:t>
      </w:r>
    </w:p>
    <w:p>
      <w:pPr>
        <w:pStyle w:val="13"/>
        <w:spacing w:before="26" w:line="331" w:lineRule="auto"/>
        <w:ind w:right="106" w:firstLine="420"/>
      </w:pPr>
      <w:r>
        <w:t>A6.2.2</w:t>
      </w:r>
      <w:r>
        <w:rPr>
          <w:spacing w:val="-10"/>
        </w:rPr>
        <w:t xml:space="preserve"> 发生评标暂停情况时，评标委员会应当封存全部投标文件和评标记录，待不可抗力的影响结束</w:t>
      </w:r>
      <w:r>
        <w:rPr>
          <w:spacing w:val="-5"/>
        </w:rPr>
        <w:t>且具备继续评标的条件时，由原评标委员会继续评标。</w:t>
      </w:r>
    </w:p>
    <w:p>
      <w:pPr>
        <w:spacing w:before="24"/>
        <w:ind w:left="535" w:right="0" w:firstLine="0"/>
        <w:jc w:val="left"/>
        <w:rPr>
          <w:b/>
          <w:sz w:val="21"/>
        </w:rPr>
      </w:pPr>
      <w:r>
        <w:rPr>
          <w:b/>
          <w:sz w:val="21"/>
        </w:rPr>
        <w:t>A6.3 关于评标中途更换评标委员会成员</w:t>
      </w:r>
    </w:p>
    <w:p>
      <w:pPr>
        <w:pStyle w:val="13"/>
        <w:spacing w:before="107"/>
        <w:ind w:left="533"/>
      </w:pPr>
      <w:r>
        <w:t>A6.3.1 除非发生下列情况之一，评标委员会成员不得在评标中途更换：</w:t>
      </w:r>
    </w:p>
    <w:p>
      <w:pPr>
        <w:pStyle w:val="13"/>
        <w:spacing w:before="105"/>
        <w:ind w:left="533"/>
      </w:pPr>
      <w:r>
        <w:t>（1）因不可抗拒的客观原因，不能到场或需在评标中途退出评标活动。</w:t>
      </w:r>
    </w:p>
    <w:p>
      <w:pPr>
        <w:pStyle w:val="13"/>
        <w:spacing w:before="104"/>
        <w:ind w:left="533"/>
      </w:pPr>
      <w:r>
        <w:t>（2）根据法律法规规定，某个或某几个评标委员会成员需要回避。</w:t>
      </w:r>
    </w:p>
    <w:p>
      <w:pPr>
        <w:pStyle w:val="13"/>
        <w:spacing w:before="106" w:line="331" w:lineRule="auto"/>
        <w:ind w:right="106" w:firstLine="420"/>
      </w:pPr>
      <w:r>
        <w:t>A6.3.2 退出评标的评标委员会成员，其已完成的评标行为无效。由招标人根据本招标文件规定的评标委员会成员产生方式另行确定替代者进行评标。</w:t>
      </w:r>
    </w:p>
    <w:p>
      <w:pPr>
        <w:pStyle w:val="13"/>
        <w:spacing w:before="12"/>
        <w:ind w:left="0"/>
        <w:rPr>
          <w:sz w:val="17"/>
        </w:rPr>
      </w:pPr>
    </w:p>
    <w:p>
      <w:pPr>
        <w:spacing w:before="0"/>
        <w:ind w:left="112" w:right="0" w:firstLine="0"/>
        <w:jc w:val="left"/>
        <w:rPr>
          <w:b/>
          <w:sz w:val="20"/>
        </w:rPr>
      </w:pPr>
      <w:r>
        <w:rPr>
          <w:b/>
          <w:sz w:val="20"/>
        </w:rPr>
        <w:t>A6.4 记名投票</w:t>
      </w:r>
    </w:p>
    <w:p>
      <w:pPr>
        <w:pStyle w:val="13"/>
        <w:spacing w:before="108"/>
        <w:ind w:left="533"/>
      </w:pPr>
      <w:r>
        <w:t>在任何评标环节中，需评标委员会就某项定性的评审结论做出表决的，由评标委员会全体成员按照少</w:t>
      </w:r>
    </w:p>
    <w:p>
      <w:pPr>
        <w:spacing w:after="0"/>
        <w:sectPr>
          <w:pgSz w:w="11910" w:h="16840"/>
          <w:pgMar w:top="1440" w:right="1020" w:bottom="1180" w:left="1020" w:header="0" w:footer="920" w:gutter="0"/>
        </w:sectPr>
      </w:pPr>
    </w:p>
    <w:p>
      <w:pPr>
        <w:pStyle w:val="13"/>
        <w:spacing w:before="19"/>
      </w:pPr>
      <w:r>
        <w:t>数服从多数的原则，以记名投票方式表决。</w:t>
      </w:r>
    </w:p>
    <w:p>
      <w:pPr>
        <w:pStyle w:val="13"/>
        <w:spacing w:before="1"/>
        <w:ind w:left="0"/>
        <w:rPr>
          <w:sz w:val="24"/>
        </w:rPr>
      </w:pPr>
    </w:p>
    <w:p>
      <w:pPr>
        <w:spacing w:before="0"/>
        <w:ind w:left="112" w:right="0" w:firstLine="0"/>
        <w:jc w:val="left"/>
        <w:rPr>
          <w:b/>
          <w:sz w:val="20"/>
        </w:rPr>
      </w:pPr>
      <w:r>
        <w:rPr>
          <w:b/>
          <w:sz w:val="20"/>
        </w:rPr>
        <w:t>A7 补充条款</w:t>
      </w:r>
    </w:p>
    <w:p>
      <w:pPr>
        <w:pStyle w:val="13"/>
        <w:spacing w:before="108"/>
        <w:ind w:left="0" w:right="8375"/>
        <w:jc w:val="center"/>
      </w:pPr>
      <w:r>
        <w:t>……</w:t>
      </w:r>
    </w:p>
    <w:p>
      <w:pPr>
        <w:pStyle w:val="13"/>
        <w:spacing w:before="12"/>
        <w:ind w:left="0"/>
        <w:rPr>
          <w:sz w:val="16"/>
        </w:rPr>
      </w:pPr>
    </w:p>
    <w:p>
      <w:pPr>
        <w:pStyle w:val="7"/>
        <w:ind w:left="112"/>
        <w:jc w:val="left"/>
      </w:pPr>
      <w:r>
        <w:t>附件 B：废标条件</w:t>
      </w:r>
    </w:p>
    <w:p>
      <w:pPr>
        <w:pStyle w:val="13"/>
        <w:spacing w:before="8"/>
        <w:ind w:left="0"/>
        <w:rPr>
          <w:b/>
          <w:sz w:val="22"/>
        </w:rPr>
      </w:pPr>
    </w:p>
    <w:p>
      <w:pPr>
        <w:pStyle w:val="5"/>
        <w:spacing w:before="7"/>
        <w:rPr>
          <w:rFonts w:hint="eastAsia" w:ascii="黑体" w:eastAsia="黑体"/>
        </w:rPr>
      </w:pPr>
      <w:r>
        <w:rPr>
          <w:rFonts w:hint="eastAsia" w:ascii="黑体" w:eastAsia="黑体"/>
          <w:w w:val="95"/>
        </w:rPr>
        <w:t>废标条件</w:t>
      </w:r>
    </w:p>
    <w:p>
      <w:pPr>
        <w:pStyle w:val="9"/>
        <w:tabs>
          <w:tab w:val="left" w:pos="936"/>
        </w:tabs>
        <w:spacing w:before="209"/>
      </w:pPr>
      <w:r>
        <w:rPr>
          <w:rFonts w:hint="eastAsia" w:ascii="Arial Unicode MS" w:eastAsia="Arial Unicode MS"/>
        </w:rPr>
        <w:t>B0</w:t>
      </w:r>
      <w:r>
        <w:rPr>
          <w:rFonts w:hint="eastAsia" w:ascii="Arial Unicode MS" w:eastAsia="Arial Unicode MS"/>
          <w:spacing w:val="52"/>
        </w:rPr>
        <w:t xml:space="preserve"> </w:t>
      </w:r>
      <w:r>
        <w:t>总</w:t>
      </w:r>
      <w:r>
        <w:tab/>
      </w:r>
      <w:r>
        <w:t>则</w:t>
      </w:r>
    </w:p>
    <w:p>
      <w:pPr>
        <w:pStyle w:val="13"/>
        <w:spacing w:before="76" w:line="302" w:lineRule="auto"/>
        <w:ind w:right="106" w:firstLine="420"/>
        <w:jc w:val="both"/>
      </w:pPr>
      <w:r>
        <w:t>本附件所集中列示的否决投标条件，是本章</w:t>
      </w:r>
      <w:r>
        <w:rPr>
          <w:rFonts w:ascii="Calibri" w:hAnsi="Calibri" w:eastAsia="Calibri"/>
        </w:rPr>
        <w:t>“</w:t>
      </w:r>
      <w:r>
        <w:t>评标办法</w:t>
      </w:r>
      <w:r>
        <w:rPr>
          <w:rFonts w:ascii="Calibri" w:hAnsi="Calibri" w:eastAsia="Calibri"/>
        </w:rPr>
        <w:t>”</w:t>
      </w:r>
      <w:r>
        <w:t>的组成部分，是对第二章</w:t>
      </w:r>
      <w:r>
        <w:rPr>
          <w:rFonts w:ascii="Calibri" w:hAnsi="Calibri" w:eastAsia="Calibri"/>
        </w:rPr>
        <w:t>“</w:t>
      </w:r>
      <w:r>
        <w:t>投标人须知</w:t>
      </w:r>
      <w:r>
        <w:rPr>
          <w:rFonts w:ascii="Calibri" w:hAnsi="Calibri" w:eastAsia="Calibri"/>
        </w:rPr>
        <w:t>”</w:t>
      </w:r>
      <w:r>
        <w:t>和本章正文部分所规定的否决投标条件的总结和补充，如果出现相互矛盾的情况，以第二章</w:t>
      </w:r>
      <w:r>
        <w:rPr>
          <w:rFonts w:ascii="Calibri" w:hAnsi="Calibri" w:eastAsia="Calibri"/>
        </w:rPr>
        <w:t>“</w:t>
      </w:r>
      <w:r>
        <w:t>投标人须知</w:t>
      </w:r>
      <w:r>
        <w:rPr>
          <w:rFonts w:ascii="Calibri" w:hAnsi="Calibri" w:eastAsia="Calibri"/>
        </w:rPr>
        <w:t>”</w:t>
      </w:r>
      <w:r>
        <w:t>和本章正文部分的规定为准。</w:t>
      </w:r>
    </w:p>
    <w:p>
      <w:pPr>
        <w:pStyle w:val="9"/>
        <w:spacing w:before="168"/>
      </w:pPr>
      <w:r>
        <w:rPr>
          <w:rFonts w:hint="eastAsia" w:ascii="Arial Unicode MS" w:eastAsia="Arial Unicode MS"/>
        </w:rPr>
        <w:t>B1</w:t>
      </w:r>
      <w:r>
        <w:rPr>
          <w:rFonts w:hint="eastAsia" w:ascii="Arial Unicode MS" w:eastAsia="Arial Unicode MS"/>
          <w:spacing w:val="55"/>
        </w:rPr>
        <w:t xml:space="preserve"> </w:t>
      </w:r>
      <w:r>
        <w:t>废标条件</w:t>
      </w:r>
    </w:p>
    <w:p>
      <w:pPr>
        <w:pStyle w:val="13"/>
        <w:spacing w:before="76"/>
        <w:ind w:left="533"/>
      </w:pPr>
      <w:r>
        <w:t>B1.1 有第二章“投标人须知”第 1.4.3 项规定的任何一种情形的；</w:t>
      </w:r>
    </w:p>
    <w:p>
      <w:pPr>
        <w:pStyle w:val="13"/>
        <w:spacing w:before="103"/>
        <w:ind w:left="533"/>
      </w:pPr>
      <w:r>
        <w:t>B1.2 有串通投标或弄虚作假或有其他违法行为的；</w:t>
      </w:r>
    </w:p>
    <w:p>
      <w:pPr>
        <w:pStyle w:val="13"/>
        <w:spacing w:before="103"/>
        <w:ind w:left="533"/>
      </w:pPr>
      <w:r>
        <w:t>B1.3 不按评标委员会要求澄清、说明或补正的；</w:t>
      </w:r>
    </w:p>
    <w:p>
      <w:pPr>
        <w:pStyle w:val="13"/>
        <w:spacing w:before="106" w:line="331" w:lineRule="auto"/>
        <w:ind w:right="106" w:firstLine="420"/>
      </w:pPr>
      <w:r>
        <w:t>B1.4 在形式评审、资格评审（适用于未进行资格预审的）、响应性评审中，评标委员会认定投标人的投标文件不符合评标办法前附表中规定的任何一项评审标准的；</w:t>
      </w:r>
    </w:p>
    <w:p>
      <w:pPr>
        <w:pStyle w:val="13"/>
        <w:spacing w:before="24" w:line="333" w:lineRule="auto"/>
        <w:ind w:right="106" w:firstLine="420"/>
      </w:pPr>
      <w:r>
        <w:t>B1.5 当投标人资格预审申请文件的内容发生重大变化时，其在投标文件中更新的资料，未能通过资格评审的（如果已进行资格预审的）；</w:t>
      </w:r>
    </w:p>
    <w:p>
      <w:pPr>
        <w:pStyle w:val="13"/>
        <w:spacing w:before="105"/>
        <w:ind w:left="533"/>
      </w:pPr>
      <w:r>
        <w:t>B1.</w:t>
      </w:r>
      <w:r>
        <w:rPr>
          <w:rFonts w:hint="eastAsia"/>
          <w:lang w:val="en-US" w:eastAsia="zh-CN"/>
        </w:rPr>
        <w:t>6</w:t>
      </w:r>
      <w:r>
        <w:t xml:space="preserve"> 在施工组织设计评审中，评标委员会认定投标人的投标未能通过此项评审的；</w:t>
      </w:r>
    </w:p>
    <w:p>
      <w:pPr>
        <w:pStyle w:val="13"/>
        <w:spacing w:before="107"/>
        <w:ind w:left="533"/>
      </w:pPr>
      <w:r>
        <w:t>B1.</w:t>
      </w:r>
      <w:r>
        <w:rPr>
          <w:rFonts w:hint="eastAsia"/>
          <w:lang w:val="en-US" w:eastAsia="zh-CN"/>
        </w:rPr>
        <w:t>7</w:t>
      </w:r>
      <w:r>
        <w:t xml:space="preserve"> 评标委员会认定投标人以低于成本报价竞标的；</w:t>
      </w:r>
    </w:p>
    <w:p>
      <w:pPr>
        <w:pStyle w:val="13"/>
        <w:spacing w:before="104"/>
        <w:ind w:left="533"/>
      </w:pPr>
      <w:r>
        <w:t>B1.</w:t>
      </w:r>
      <w:r>
        <w:rPr>
          <w:rFonts w:hint="eastAsia"/>
          <w:lang w:val="en-US" w:eastAsia="zh-CN"/>
        </w:rPr>
        <w:t>8</w:t>
      </w:r>
      <w:r>
        <w:t xml:space="preserve"> 投标人未按第二章“投标人须知表”第 5.1、5.2 款规定出席开标会的；</w:t>
      </w:r>
    </w:p>
    <w:p>
      <w:pPr>
        <w:pStyle w:val="13"/>
        <w:spacing w:before="104"/>
        <w:ind w:left="533"/>
      </w:pPr>
      <w:r>
        <w:t>B1.</w:t>
      </w:r>
      <w:r>
        <w:rPr>
          <w:rFonts w:hint="eastAsia"/>
          <w:lang w:val="en-US" w:eastAsia="zh-CN"/>
        </w:rPr>
        <w:t>9</w:t>
      </w:r>
      <w:r>
        <w:t xml:space="preserve"> 投标总价超过规定的最高限价或有效报价范围的；</w:t>
      </w:r>
    </w:p>
    <w:p>
      <w:pPr>
        <w:pStyle w:val="13"/>
        <w:spacing w:before="107"/>
        <w:ind w:left="533"/>
      </w:pPr>
      <w:r>
        <w:t>B1.1</w:t>
      </w:r>
      <w:r>
        <w:rPr>
          <w:rFonts w:hint="eastAsia"/>
          <w:lang w:val="en-US" w:eastAsia="zh-CN"/>
        </w:rPr>
        <w:t>0</w:t>
      </w:r>
      <w:r>
        <w:rPr>
          <w:spacing w:val="-12"/>
        </w:rPr>
        <w:t xml:space="preserve">作废的清单项目达 </w:t>
      </w:r>
      <w:r>
        <w:t>3</w:t>
      </w:r>
      <w:r>
        <w:rPr>
          <w:spacing w:val="-7"/>
        </w:rPr>
        <w:t xml:space="preserve"> 项以上</w:t>
      </w:r>
      <w:r>
        <w:t>（</w:t>
      </w:r>
      <w:r>
        <w:rPr>
          <w:spacing w:val="-2"/>
        </w:rPr>
        <w:t>含本数</w:t>
      </w:r>
      <w:r>
        <w:rPr>
          <w:spacing w:val="-41"/>
        </w:rPr>
        <w:t>）</w:t>
      </w:r>
      <w:r>
        <w:rPr>
          <w:spacing w:val="-5"/>
        </w:rPr>
        <w:t xml:space="preserve">或作废的清单项目造价累计超过单位工程投标总价的 </w:t>
      </w:r>
      <w:r>
        <w:t>2%</w:t>
      </w:r>
    </w:p>
    <w:p>
      <w:pPr>
        <w:pStyle w:val="13"/>
        <w:spacing w:before="104"/>
      </w:pPr>
      <w:r>
        <w:t>（含本数）的；</w:t>
      </w:r>
    </w:p>
    <w:p>
      <w:pPr>
        <w:pStyle w:val="13"/>
        <w:spacing w:before="104"/>
        <w:ind w:left="533"/>
      </w:pPr>
      <w:r>
        <w:t>B1.1</w:t>
      </w:r>
      <w:r>
        <w:rPr>
          <w:rFonts w:hint="eastAsia"/>
          <w:lang w:val="en-US" w:eastAsia="zh-CN"/>
        </w:rPr>
        <w:t>1</w:t>
      </w:r>
      <w:r>
        <w:t xml:space="preserve"> 投标函中的报价与投标报价汇总表不一致的；</w:t>
      </w:r>
    </w:p>
    <w:p>
      <w:pPr>
        <w:pStyle w:val="13"/>
        <w:spacing w:before="104"/>
        <w:ind w:left="533"/>
      </w:pPr>
      <w:r>
        <w:t>B1.1</w:t>
      </w:r>
      <w:r>
        <w:rPr>
          <w:rFonts w:hint="eastAsia"/>
          <w:lang w:val="en-US" w:eastAsia="zh-CN"/>
        </w:rPr>
        <w:t>2</w:t>
      </w:r>
      <w:r>
        <w:t>经评标小组审定为严重不平衡报价的；</w:t>
      </w:r>
    </w:p>
    <w:p>
      <w:pPr>
        <w:pStyle w:val="13"/>
        <w:spacing w:before="107"/>
        <w:ind w:left="533"/>
      </w:pPr>
      <w:r>
        <w:t>B1.1</w:t>
      </w:r>
      <w:r>
        <w:rPr>
          <w:rFonts w:hint="eastAsia"/>
          <w:lang w:val="en-US" w:eastAsia="zh-CN"/>
        </w:rPr>
        <w:t>3</w:t>
      </w:r>
      <w:r>
        <w:t xml:space="preserve"> 未按桂劳社发【2009】50 号文规定进行农民工工资承诺的。</w:t>
      </w:r>
    </w:p>
    <w:p>
      <w:pPr>
        <w:spacing w:after="0"/>
        <w:sectPr>
          <w:pgSz w:w="11910" w:h="16840"/>
          <w:pgMar w:top="1440" w:right="1020" w:bottom="1180" w:left="1020" w:header="0" w:footer="920" w:gutter="0"/>
        </w:sectPr>
      </w:pPr>
    </w:p>
    <w:p>
      <w:pPr>
        <w:pStyle w:val="3"/>
        <w:tabs>
          <w:tab w:val="left" w:pos="1286"/>
        </w:tabs>
        <w:spacing w:line="398" w:lineRule="exact"/>
        <w:ind w:right="1"/>
      </w:pPr>
      <w:bookmarkStart w:id="3" w:name="_bookmark3"/>
      <w:bookmarkEnd w:id="3"/>
      <w:r>
        <w:t>第四章</w:t>
      </w:r>
      <w:r>
        <w:tab/>
      </w:r>
      <w:r>
        <w:rPr>
          <w:w w:val="95"/>
        </w:rPr>
        <w:t>合同条款及格式</w:t>
      </w:r>
    </w:p>
    <w:p>
      <w:pPr>
        <w:pStyle w:val="5"/>
        <w:spacing w:before="44"/>
      </w:pPr>
      <w:r>
        <w:t>第一部分 合同协议书</w:t>
      </w:r>
    </w:p>
    <w:p>
      <w:pPr>
        <w:tabs>
          <w:tab w:val="left" w:pos="4013"/>
        </w:tabs>
        <w:spacing w:before="108"/>
        <w:ind w:left="112" w:right="0" w:firstLine="0"/>
        <w:jc w:val="left"/>
        <w:rPr>
          <w:b/>
          <w:sz w:val="21"/>
        </w:rPr>
      </w:pPr>
      <w:r>
        <w:drawing>
          <wp:anchor distT="0" distB="0" distL="0" distR="0" simplePos="0" relativeHeight="268140544" behindDoc="1" locked="0" layoutInCell="1" allowOverlap="1">
            <wp:simplePos x="0" y="0"/>
            <wp:positionH relativeFrom="page">
              <wp:posOffset>1791970</wp:posOffset>
            </wp:positionH>
            <wp:positionV relativeFrom="paragraph">
              <wp:posOffset>107950</wp:posOffset>
            </wp:positionV>
            <wp:extent cx="265430" cy="13398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7" cstate="print"/>
                    <a:stretch>
                      <a:fillRect/>
                    </a:stretch>
                  </pic:blipFill>
                  <pic:spPr>
                    <a:xfrm>
                      <a:off x="0" y="0"/>
                      <a:ext cx="265175" cy="134111"/>
                    </a:xfrm>
                    <a:prstGeom prst="rect">
                      <a:avLst/>
                    </a:prstGeom>
                  </pic:spPr>
                </pic:pic>
              </a:graphicData>
            </a:graphic>
          </wp:anchor>
        </w:drawing>
      </w:r>
      <w:r>
        <w:drawing>
          <wp:anchor distT="0" distB="0" distL="0" distR="0" simplePos="0" relativeHeight="268140544" behindDoc="1" locked="0" layoutInCell="1" allowOverlap="1">
            <wp:simplePos x="0" y="0"/>
            <wp:positionH relativeFrom="page">
              <wp:posOffset>3063875</wp:posOffset>
            </wp:positionH>
            <wp:positionV relativeFrom="paragraph">
              <wp:posOffset>107950</wp:posOffset>
            </wp:positionV>
            <wp:extent cx="265430" cy="13398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7" cstate="print"/>
                    <a:stretch>
                      <a:fillRect/>
                    </a:stretch>
                  </pic:blipFill>
                  <pic:spPr>
                    <a:xfrm>
                      <a:off x="0" y="0"/>
                      <a:ext cx="265175" cy="134111"/>
                    </a:xfrm>
                    <a:prstGeom prst="rect">
                      <a:avLst/>
                    </a:prstGeom>
                  </pic:spPr>
                </pic:pic>
              </a:graphicData>
            </a:graphic>
          </wp:anchor>
        </w:drawing>
      </w:r>
      <w:r>
        <w:rPr>
          <w:b/>
          <w:sz w:val="21"/>
        </w:rPr>
        <w:t>发包人（全称）：</w:t>
      </w:r>
      <w:r>
        <w:rPr>
          <w:b/>
          <w:sz w:val="21"/>
          <w:u w:val="single"/>
        </w:rPr>
        <w:t xml:space="preserve"> </w:t>
      </w:r>
      <w:r>
        <w:rPr>
          <w:b/>
          <w:spacing w:val="1"/>
          <w:sz w:val="21"/>
          <w:u w:val="single"/>
        </w:rPr>
        <w:t xml:space="preserve"> </w:t>
      </w:r>
      <w:r>
        <w:rPr>
          <w:b/>
          <w:sz w:val="21"/>
          <w:u w:val="single"/>
        </w:rPr>
        <w:t>兴</w:t>
      </w:r>
      <w:r>
        <w:rPr>
          <w:b/>
          <w:spacing w:val="-3"/>
          <w:sz w:val="21"/>
          <w:u w:val="single"/>
        </w:rPr>
        <w:t>安</w:t>
      </w:r>
      <w:r>
        <w:rPr>
          <w:b/>
          <w:sz w:val="21"/>
          <w:u w:val="single"/>
        </w:rPr>
        <w:t>县自然资源局</w:t>
      </w:r>
      <w:r>
        <w:rPr>
          <w:b/>
          <w:sz w:val="21"/>
          <w:u w:val="single"/>
        </w:rPr>
        <w:tab/>
      </w:r>
    </w:p>
    <w:p>
      <w:pPr>
        <w:pStyle w:val="13"/>
        <w:spacing w:before="5"/>
        <w:ind w:left="0"/>
        <w:rPr>
          <w:b/>
          <w:sz w:val="11"/>
        </w:rPr>
      </w:pPr>
    </w:p>
    <w:p>
      <w:pPr>
        <w:tabs>
          <w:tab w:val="left" w:pos="6063"/>
        </w:tabs>
        <w:spacing w:before="44"/>
        <w:ind w:left="112" w:right="0" w:firstLine="0"/>
        <w:jc w:val="left"/>
        <w:rPr>
          <w:rFonts w:ascii="Times New Roman" w:eastAsia="Times New Roman"/>
          <w:b/>
          <w:sz w:val="21"/>
        </w:rPr>
      </w:pPr>
      <w:r>
        <w:drawing>
          <wp:anchor distT="0" distB="0" distL="0" distR="0" simplePos="0" relativeHeight="268140544" behindDoc="1" locked="0" layoutInCell="1" allowOverlap="1">
            <wp:simplePos x="0" y="0"/>
            <wp:positionH relativeFrom="page">
              <wp:posOffset>1791970</wp:posOffset>
            </wp:positionH>
            <wp:positionV relativeFrom="paragraph">
              <wp:posOffset>67310</wp:posOffset>
            </wp:positionV>
            <wp:extent cx="778510" cy="13398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pic:cNvPicPr>
                  </pic:nvPicPr>
                  <pic:blipFill>
                    <a:blip r:embed="rId18" cstate="print"/>
                    <a:stretch>
                      <a:fillRect/>
                    </a:stretch>
                  </pic:blipFill>
                  <pic:spPr>
                    <a:xfrm>
                      <a:off x="0" y="0"/>
                      <a:ext cx="778763" cy="134111"/>
                    </a:xfrm>
                    <a:prstGeom prst="rect">
                      <a:avLst/>
                    </a:prstGeom>
                  </pic:spPr>
                </pic:pic>
              </a:graphicData>
            </a:graphic>
          </wp:anchor>
        </w:drawing>
      </w:r>
      <w:r>
        <w:drawing>
          <wp:anchor distT="0" distB="0" distL="0" distR="0" simplePos="0" relativeHeight="268140544" behindDoc="1" locked="0" layoutInCell="1" allowOverlap="1">
            <wp:simplePos x="0" y="0"/>
            <wp:positionH relativeFrom="page">
              <wp:posOffset>3264535</wp:posOffset>
            </wp:positionH>
            <wp:positionV relativeFrom="paragraph">
              <wp:posOffset>67310</wp:posOffset>
            </wp:positionV>
            <wp:extent cx="534670" cy="133985"/>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a:picLocks noChangeAspect="1"/>
                    </pic:cNvPicPr>
                  </pic:nvPicPr>
                  <pic:blipFill>
                    <a:blip r:embed="rId19" cstate="print"/>
                    <a:stretch>
                      <a:fillRect/>
                    </a:stretch>
                  </pic:blipFill>
                  <pic:spPr>
                    <a:xfrm>
                      <a:off x="0" y="0"/>
                      <a:ext cx="534415" cy="134111"/>
                    </a:xfrm>
                    <a:prstGeom prst="rect">
                      <a:avLst/>
                    </a:prstGeom>
                  </pic:spPr>
                </pic:pic>
              </a:graphicData>
            </a:graphic>
          </wp:anchor>
        </w:drawing>
      </w:r>
      <w:r>
        <w:drawing>
          <wp:anchor distT="0" distB="0" distL="0" distR="0" simplePos="0" relativeHeight="268140544" behindDoc="1" locked="0" layoutInCell="1" allowOverlap="1">
            <wp:simplePos x="0" y="0"/>
            <wp:positionH relativeFrom="page">
              <wp:posOffset>4066540</wp:posOffset>
            </wp:positionH>
            <wp:positionV relativeFrom="paragraph">
              <wp:posOffset>67310</wp:posOffset>
            </wp:positionV>
            <wp:extent cx="533400" cy="133985"/>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20" cstate="print"/>
                    <a:stretch>
                      <a:fillRect/>
                    </a:stretch>
                  </pic:blipFill>
                  <pic:spPr>
                    <a:xfrm>
                      <a:off x="0" y="0"/>
                      <a:ext cx="533400" cy="134111"/>
                    </a:xfrm>
                    <a:prstGeom prst="rect">
                      <a:avLst/>
                    </a:prstGeom>
                  </pic:spPr>
                </pic:pic>
              </a:graphicData>
            </a:graphic>
          </wp:anchor>
        </w:drawing>
      </w:r>
      <w:r>
        <w:rPr>
          <w:b/>
          <w:sz w:val="21"/>
        </w:rPr>
        <w:t>承包人（全称）：</w:t>
      </w:r>
      <w:r>
        <w:rPr>
          <w:rFonts w:ascii="Times New Roman" w:eastAsia="Times New Roman"/>
          <w:b/>
          <w:w w:val="100"/>
          <w:sz w:val="21"/>
          <w:u w:val="single"/>
        </w:rPr>
        <w:t xml:space="preserve"> </w:t>
      </w:r>
      <w:r>
        <w:rPr>
          <w:rFonts w:ascii="Times New Roman" w:eastAsia="Times New Roman"/>
          <w:b/>
          <w:sz w:val="21"/>
          <w:u w:val="single"/>
        </w:rPr>
        <w:tab/>
      </w:r>
    </w:p>
    <w:p>
      <w:pPr>
        <w:pStyle w:val="13"/>
        <w:spacing w:before="7"/>
        <w:ind w:left="0"/>
        <w:rPr>
          <w:rFonts w:ascii="Times New Roman"/>
          <w:b/>
          <w:sz w:val="13"/>
        </w:rPr>
      </w:pPr>
    </w:p>
    <w:p>
      <w:pPr>
        <w:pStyle w:val="13"/>
        <w:spacing w:before="36" w:line="408" w:lineRule="auto"/>
        <w:ind w:right="106" w:firstLine="420"/>
        <w:jc w:val="both"/>
      </w:pPr>
      <w:r>
        <w:rPr>
          <w:spacing w:val="-5"/>
        </w:rPr>
        <w:t>根据《中华人民共和国合同法》、《中华人民共和国建筑法》及有关法律规定，遵循平等、自愿、公平和诚实信用的原则，双方就</w:t>
      </w:r>
      <w:r>
        <w:rPr>
          <w:rFonts w:hint="eastAsia"/>
          <w:spacing w:val="-5"/>
          <w:u w:val="single"/>
          <w:lang w:eastAsia="zh-CN"/>
        </w:rPr>
        <w:t>桂林市</w:t>
      </w:r>
      <w:r>
        <w:rPr>
          <w:rFonts w:hint="eastAsia"/>
          <w:spacing w:val="-4"/>
          <w:u w:val="single"/>
        </w:rPr>
        <w:t>兴安县2018年同志村委土地开垦项目</w:t>
      </w:r>
      <w:r>
        <w:rPr>
          <w:spacing w:val="-2"/>
        </w:rPr>
        <w:t>工程施工</w:t>
      </w:r>
      <w:r>
        <w:rPr>
          <w:spacing w:val="-3"/>
        </w:rPr>
        <w:t>及有关事项协商一致，共同达成如下协议：</w:t>
      </w:r>
    </w:p>
    <w:p>
      <w:pPr>
        <w:pStyle w:val="13"/>
        <w:spacing w:before="112"/>
        <w:ind w:left="535"/>
      </w:pPr>
      <w:r>
        <w:t>一、工程概况</w:t>
      </w:r>
    </w:p>
    <w:p>
      <w:pPr>
        <w:pStyle w:val="13"/>
        <w:spacing w:before="8"/>
        <w:ind w:left="0"/>
        <w:rPr>
          <w:sz w:val="19"/>
        </w:rPr>
      </w:pPr>
    </w:p>
    <w:p>
      <w:pPr>
        <w:pStyle w:val="13"/>
        <w:ind w:left="526"/>
      </w:pPr>
      <w:r>
        <w:t>1.工程名称：</w:t>
      </w:r>
      <w:r>
        <w:rPr>
          <w:rFonts w:hint="eastAsia"/>
          <w:spacing w:val="-5"/>
          <w:u w:val="single"/>
          <w:lang w:eastAsia="zh-CN"/>
        </w:rPr>
        <w:t>桂林市</w:t>
      </w:r>
      <w:r>
        <w:rPr>
          <w:rFonts w:hint="eastAsia"/>
          <w:spacing w:val="-4"/>
          <w:u w:val="single"/>
        </w:rPr>
        <w:t>兴安县2018年同志村委土地开垦项目</w:t>
      </w:r>
      <w:r>
        <w:t>。</w:t>
      </w:r>
    </w:p>
    <w:p>
      <w:pPr>
        <w:pStyle w:val="13"/>
        <w:spacing w:before="9"/>
        <w:ind w:left="0"/>
        <w:rPr>
          <w:sz w:val="14"/>
        </w:rPr>
      </w:pPr>
    </w:p>
    <w:p>
      <w:pPr>
        <w:pStyle w:val="13"/>
        <w:tabs>
          <w:tab w:val="left" w:pos="3679"/>
        </w:tabs>
        <w:spacing w:before="1"/>
        <w:ind w:left="526"/>
      </w:pPr>
      <w:r>
        <w:drawing>
          <wp:anchor distT="0" distB="0" distL="0" distR="0" simplePos="0" relativeHeight="268140544" behindDoc="1" locked="0" layoutInCell="1" allowOverlap="1">
            <wp:simplePos x="0" y="0"/>
            <wp:positionH relativeFrom="page">
              <wp:posOffset>1783080</wp:posOffset>
            </wp:positionH>
            <wp:positionV relativeFrom="paragraph">
              <wp:posOffset>40005</wp:posOffset>
            </wp:positionV>
            <wp:extent cx="265430" cy="133985"/>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17" cstate="print"/>
                    <a:stretch>
                      <a:fillRect/>
                    </a:stretch>
                  </pic:blipFill>
                  <pic:spPr>
                    <a:xfrm>
                      <a:off x="0" y="0"/>
                      <a:ext cx="265175" cy="134111"/>
                    </a:xfrm>
                    <a:prstGeom prst="rect">
                      <a:avLst/>
                    </a:prstGeom>
                  </pic:spPr>
                </pic:pic>
              </a:graphicData>
            </a:graphic>
          </wp:anchor>
        </w:drawing>
      </w:r>
      <w:r>
        <w:drawing>
          <wp:anchor distT="0" distB="0" distL="0" distR="0" simplePos="0" relativeHeight="268140544" behindDoc="1" locked="0" layoutInCell="1" allowOverlap="1">
            <wp:simplePos x="0" y="0"/>
            <wp:positionH relativeFrom="page">
              <wp:posOffset>2849880</wp:posOffset>
            </wp:positionH>
            <wp:positionV relativeFrom="paragraph">
              <wp:posOffset>40005</wp:posOffset>
            </wp:positionV>
            <wp:extent cx="267970" cy="133985"/>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png"/>
                    <pic:cNvPicPr>
                      <a:picLocks noChangeAspect="1"/>
                    </pic:cNvPicPr>
                  </pic:nvPicPr>
                  <pic:blipFill>
                    <a:blip r:embed="rId21" cstate="print"/>
                    <a:stretch>
                      <a:fillRect/>
                    </a:stretch>
                  </pic:blipFill>
                  <pic:spPr>
                    <a:xfrm>
                      <a:off x="0" y="0"/>
                      <a:ext cx="268224" cy="134111"/>
                    </a:xfrm>
                    <a:prstGeom prst="rect">
                      <a:avLst/>
                    </a:prstGeom>
                  </pic:spPr>
                </pic:pic>
              </a:graphicData>
            </a:graphic>
          </wp:anchor>
        </w:drawing>
      </w:r>
      <w:r>
        <w:t>2.工</w:t>
      </w:r>
      <w:r>
        <w:rPr>
          <w:spacing w:val="-3"/>
        </w:rPr>
        <w:t>程</w:t>
      </w:r>
      <w:r>
        <w:t>地</w:t>
      </w:r>
      <w:r>
        <w:rPr>
          <w:spacing w:val="-3"/>
        </w:rPr>
        <w:t>点</w:t>
      </w:r>
      <w:r>
        <w:t>：</w:t>
      </w:r>
      <w:r>
        <w:rPr>
          <w:u w:val="single"/>
        </w:rPr>
        <w:t xml:space="preserve"> </w:t>
      </w:r>
      <w:r>
        <w:rPr>
          <w:spacing w:val="5"/>
          <w:u w:val="single"/>
        </w:rPr>
        <w:t xml:space="preserve"> </w:t>
      </w:r>
      <w:r>
        <w:rPr>
          <w:u w:val="single"/>
        </w:rPr>
        <w:t>桂</w:t>
      </w:r>
      <w:r>
        <w:rPr>
          <w:spacing w:val="-3"/>
          <w:u w:val="single"/>
        </w:rPr>
        <w:t>林</w:t>
      </w:r>
      <w:r>
        <w:rPr>
          <w:u w:val="single"/>
        </w:rPr>
        <w:t>市</w:t>
      </w:r>
      <w:r>
        <w:rPr>
          <w:spacing w:val="-3"/>
          <w:u w:val="single"/>
        </w:rPr>
        <w:t>兴</w:t>
      </w:r>
      <w:r>
        <w:rPr>
          <w:u w:val="single"/>
        </w:rPr>
        <w:t>安县内</w:t>
      </w:r>
      <w:r>
        <w:rPr>
          <w:u w:val="single"/>
        </w:rPr>
        <w:tab/>
      </w:r>
      <w:r>
        <w:t>。</w:t>
      </w:r>
    </w:p>
    <w:p>
      <w:pPr>
        <w:pStyle w:val="13"/>
        <w:tabs>
          <w:tab w:val="left" w:pos="5410"/>
        </w:tabs>
        <w:spacing w:before="193"/>
        <w:ind w:left="526"/>
      </w:pPr>
      <w:r>
        <w:drawing>
          <wp:anchor distT="0" distB="0" distL="0" distR="0" simplePos="0" relativeHeight="268140544" behindDoc="1" locked="0" layoutInCell="1" allowOverlap="1">
            <wp:simplePos x="0" y="0"/>
            <wp:positionH relativeFrom="page">
              <wp:posOffset>2316480</wp:posOffset>
            </wp:positionH>
            <wp:positionV relativeFrom="paragraph">
              <wp:posOffset>161925</wp:posOffset>
            </wp:positionV>
            <wp:extent cx="265430" cy="133985"/>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17" cstate="print"/>
                    <a:stretch>
                      <a:fillRect/>
                    </a:stretch>
                  </pic:blipFill>
                  <pic:spPr>
                    <a:xfrm>
                      <a:off x="0" y="0"/>
                      <a:ext cx="265175" cy="134111"/>
                    </a:xfrm>
                    <a:prstGeom prst="rect">
                      <a:avLst/>
                    </a:prstGeom>
                  </pic:spPr>
                </pic:pic>
              </a:graphicData>
            </a:graphic>
          </wp:anchor>
        </w:drawing>
      </w:r>
      <w:r>
        <w:drawing>
          <wp:anchor distT="0" distB="0" distL="0" distR="0" simplePos="0" relativeHeight="268140544" behindDoc="1" locked="0" layoutInCell="1" allowOverlap="1">
            <wp:simplePos x="0" y="0"/>
            <wp:positionH relativeFrom="page">
              <wp:posOffset>3949065</wp:posOffset>
            </wp:positionH>
            <wp:positionV relativeFrom="paragraph">
              <wp:posOffset>161925</wp:posOffset>
            </wp:positionV>
            <wp:extent cx="267970" cy="133985"/>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6.png"/>
                    <pic:cNvPicPr>
                      <a:picLocks noChangeAspect="1"/>
                    </pic:cNvPicPr>
                  </pic:nvPicPr>
                  <pic:blipFill>
                    <a:blip r:embed="rId21" cstate="print"/>
                    <a:stretch>
                      <a:fillRect/>
                    </a:stretch>
                  </pic:blipFill>
                  <pic:spPr>
                    <a:xfrm>
                      <a:off x="0" y="0"/>
                      <a:ext cx="268224" cy="134111"/>
                    </a:xfrm>
                    <a:prstGeom prst="rect">
                      <a:avLst/>
                    </a:prstGeom>
                  </pic:spPr>
                </pic:pic>
              </a:graphicData>
            </a:graphic>
          </wp:anchor>
        </w:drawing>
      </w:r>
      <w:r>
        <w:t>3.工</w:t>
      </w:r>
      <w:r>
        <w:rPr>
          <w:spacing w:val="-3"/>
        </w:rPr>
        <w:t>程</w:t>
      </w:r>
      <w:r>
        <w:t>立</w:t>
      </w:r>
      <w:r>
        <w:rPr>
          <w:spacing w:val="-3"/>
        </w:rPr>
        <w:t>项</w:t>
      </w:r>
      <w:r>
        <w:t>批</w:t>
      </w:r>
      <w:r>
        <w:rPr>
          <w:spacing w:val="-3"/>
        </w:rPr>
        <w:t>准</w:t>
      </w:r>
      <w:r>
        <w:t>文</w:t>
      </w:r>
      <w:r>
        <w:rPr>
          <w:spacing w:val="-3"/>
        </w:rPr>
        <w:t>号</w:t>
      </w:r>
      <w:r>
        <w:t>：</w:t>
      </w:r>
      <w:r>
        <w:rPr>
          <w:u w:val="single"/>
        </w:rPr>
        <w:t xml:space="preserve"> </w:t>
      </w:r>
      <w:r>
        <w:rPr>
          <w:spacing w:val="8"/>
          <w:u w:val="single"/>
        </w:rPr>
        <w:t xml:space="preserve"> </w:t>
      </w:r>
      <w:r>
        <w:rPr>
          <w:u w:val="single"/>
        </w:rPr>
        <w:t>市</w:t>
      </w:r>
      <w:r>
        <w:rPr>
          <w:rFonts w:hint="eastAsia"/>
          <w:u w:val="single"/>
          <w:lang w:eastAsia="zh-CN"/>
        </w:rPr>
        <w:t>国土</w:t>
      </w:r>
      <w:r>
        <w:rPr>
          <w:u w:val="single"/>
        </w:rPr>
        <w:t>资</w:t>
      </w:r>
      <w:r>
        <w:rPr>
          <w:spacing w:val="-3"/>
          <w:u w:val="single"/>
        </w:rPr>
        <w:t>字</w:t>
      </w:r>
      <w:r>
        <w:rPr>
          <w:u w:val="single"/>
        </w:rPr>
        <w:t>【2019</w:t>
      </w:r>
      <w:r>
        <w:rPr>
          <w:spacing w:val="-3"/>
          <w:u w:val="single"/>
        </w:rPr>
        <w:t>】</w:t>
      </w:r>
      <w:r>
        <w:rPr>
          <w:rFonts w:hint="eastAsia"/>
          <w:u w:val="single"/>
          <w:lang w:val="en-US" w:eastAsia="zh-CN"/>
        </w:rPr>
        <w:t>35</w:t>
      </w:r>
      <w:r>
        <w:rPr>
          <w:spacing w:val="-53"/>
          <w:u w:val="single"/>
        </w:rPr>
        <w:t xml:space="preserve"> </w:t>
      </w:r>
      <w:r>
        <w:rPr>
          <w:u w:val="single"/>
        </w:rPr>
        <w:t>号</w:t>
      </w:r>
      <w:r>
        <w:rPr>
          <w:u w:val="single"/>
        </w:rPr>
        <w:tab/>
      </w:r>
      <w:r>
        <w:t>。</w:t>
      </w:r>
    </w:p>
    <w:p>
      <w:pPr>
        <w:pStyle w:val="13"/>
        <w:keepNext w:val="0"/>
        <w:keepLines w:val="0"/>
        <w:pageBreakBefore w:val="0"/>
        <w:widowControl w:val="0"/>
        <w:tabs>
          <w:tab w:val="left" w:pos="4939"/>
        </w:tabs>
        <w:kinsoku/>
        <w:wordWrap/>
        <w:overflowPunct/>
        <w:topLinePunct w:val="0"/>
        <w:autoSpaceDE w:val="0"/>
        <w:autoSpaceDN w:val="0"/>
        <w:bidi w:val="0"/>
        <w:adjustRightInd/>
        <w:snapToGrid/>
        <w:spacing w:before="193" w:line="408" w:lineRule="auto"/>
        <w:ind w:left="527"/>
        <w:textAlignment w:val="auto"/>
        <w:rPr>
          <w:color w:val="auto"/>
          <w:highlight w:val="none"/>
        </w:rPr>
      </w:pPr>
      <w:r>
        <w:drawing>
          <wp:anchor distT="0" distB="0" distL="0" distR="0" simplePos="0" relativeHeight="268140544" behindDoc="1" locked="0" layoutInCell="1" allowOverlap="1">
            <wp:simplePos x="0" y="0"/>
            <wp:positionH relativeFrom="page">
              <wp:posOffset>1783080</wp:posOffset>
            </wp:positionH>
            <wp:positionV relativeFrom="paragraph">
              <wp:posOffset>161925</wp:posOffset>
            </wp:positionV>
            <wp:extent cx="265430" cy="133985"/>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a:picLocks noChangeAspect="1"/>
                    </pic:cNvPicPr>
                  </pic:nvPicPr>
                  <pic:blipFill>
                    <a:blip r:embed="rId17" cstate="print"/>
                    <a:stretch>
                      <a:fillRect/>
                    </a:stretch>
                  </pic:blipFill>
                  <pic:spPr>
                    <a:xfrm>
                      <a:off x="0" y="0"/>
                      <a:ext cx="265175" cy="134112"/>
                    </a:xfrm>
                    <a:prstGeom prst="rect">
                      <a:avLst/>
                    </a:prstGeom>
                  </pic:spPr>
                </pic:pic>
              </a:graphicData>
            </a:graphic>
          </wp:anchor>
        </w:drawing>
      </w:r>
      <w:r>
        <w:drawing>
          <wp:anchor distT="0" distB="0" distL="0" distR="0" simplePos="0" relativeHeight="268140544" behindDoc="1" locked="0" layoutInCell="1" allowOverlap="1">
            <wp:simplePos x="0" y="0"/>
            <wp:positionH relativeFrom="page">
              <wp:posOffset>3650615</wp:posOffset>
            </wp:positionH>
            <wp:positionV relativeFrom="paragraph">
              <wp:posOffset>161925</wp:posOffset>
            </wp:positionV>
            <wp:extent cx="267970" cy="133985"/>
            <wp:effectExtent l="0" t="0" r="0" b="0"/>
            <wp:wrapNone/>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6.png"/>
                    <pic:cNvPicPr>
                      <a:picLocks noChangeAspect="1"/>
                    </pic:cNvPicPr>
                  </pic:nvPicPr>
                  <pic:blipFill>
                    <a:blip r:embed="rId21" cstate="print"/>
                    <a:stretch>
                      <a:fillRect/>
                    </a:stretch>
                  </pic:blipFill>
                  <pic:spPr>
                    <a:xfrm>
                      <a:off x="0" y="0"/>
                      <a:ext cx="268224" cy="134112"/>
                    </a:xfrm>
                    <a:prstGeom prst="rect">
                      <a:avLst/>
                    </a:prstGeom>
                  </pic:spPr>
                </pic:pic>
              </a:graphicData>
            </a:graphic>
          </wp:anchor>
        </w:drawing>
      </w:r>
      <w:r>
        <w:t>4.资</w:t>
      </w:r>
      <w:r>
        <w:rPr>
          <w:spacing w:val="-3"/>
        </w:rPr>
        <w:t>金</w:t>
      </w:r>
      <w:r>
        <w:t>来</w:t>
      </w:r>
      <w:r>
        <w:rPr>
          <w:spacing w:val="-3"/>
        </w:rPr>
        <w:t>源</w:t>
      </w:r>
      <w:r>
        <w:t>：</w:t>
      </w:r>
      <w:r>
        <w:rPr>
          <w:u w:val="single"/>
        </w:rPr>
        <w:t xml:space="preserve"> </w:t>
      </w:r>
      <w:r>
        <w:rPr>
          <w:color w:val="auto"/>
          <w:spacing w:val="10"/>
          <w:highlight w:val="none"/>
          <w:u w:val="single"/>
        </w:rPr>
        <w:t xml:space="preserve"> </w:t>
      </w:r>
      <w:r>
        <w:rPr>
          <w:color w:val="auto"/>
          <w:highlight w:val="none"/>
          <w:u w:val="single"/>
        </w:rPr>
        <w:t>财</w:t>
      </w:r>
      <w:r>
        <w:rPr>
          <w:color w:val="auto"/>
          <w:spacing w:val="-3"/>
          <w:highlight w:val="none"/>
          <w:u w:val="single"/>
        </w:rPr>
        <w:t>政</w:t>
      </w:r>
      <w:r>
        <w:rPr>
          <w:color w:val="auto"/>
          <w:highlight w:val="none"/>
          <w:u w:val="single"/>
        </w:rPr>
        <w:t>资</w:t>
      </w:r>
      <w:r>
        <w:rPr>
          <w:color w:val="auto"/>
          <w:spacing w:val="-3"/>
          <w:highlight w:val="none"/>
          <w:u w:val="single"/>
        </w:rPr>
        <w:t>金</w:t>
      </w:r>
      <w:r>
        <w:rPr>
          <w:color w:val="auto"/>
          <w:highlight w:val="none"/>
          <w:u w:val="single"/>
        </w:rPr>
        <w:t>（</w:t>
      </w:r>
      <w:r>
        <w:rPr>
          <w:rFonts w:hint="eastAsia" w:hAnsi="宋体" w:cs="宋体"/>
          <w:color w:val="auto"/>
          <w:sz w:val="21"/>
          <w:szCs w:val="21"/>
          <w:highlight w:val="none"/>
          <w:u w:val="single"/>
          <w:lang w:val="en-US" w:eastAsia="zh-CN"/>
        </w:rPr>
        <w:t>中标施工单位前期垫资，根据甲乙双方签署的补充协议，施工产出的石方（广西壮族自治区第一地质队已出具石方储量核实报告）按市场价出售后将产生的收入统一缴入兴安县财政局，由</w:t>
      </w:r>
      <w:r>
        <w:rPr>
          <w:rFonts w:hint="eastAsia" w:cs="宋体"/>
          <w:color w:val="auto"/>
          <w:sz w:val="21"/>
          <w:szCs w:val="21"/>
          <w:highlight w:val="none"/>
          <w:u w:val="single"/>
          <w:lang w:val="en-US" w:eastAsia="zh-CN"/>
        </w:rPr>
        <w:t>发包方</w:t>
      </w:r>
      <w:bookmarkStart w:id="767" w:name="_GoBack"/>
      <w:bookmarkEnd w:id="767"/>
      <w:r>
        <w:rPr>
          <w:rFonts w:hint="eastAsia" w:hAnsi="宋体" w:cs="宋体"/>
          <w:color w:val="auto"/>
          <w:sz w:val="21"/>
          <w:szCs w:val="21"/>
          <w:highlight w:val="none"/>
          <w:u w:val="single"/>
          <w:lang w:val="en-US" w:eastAsia="zh-CN"/>
        </w:rPr>
        <w:t>按施工完成进度再行拨付</w:t>
      </w:r>
      <w:r>
        <w:rPr>
          <w:rFonts w:hint="eastAsia" w:cs="宋体"/>
          <w:color w:val="auto"/>
          <w:sz w:val="21"/>
          <w:szCs w:val="21"/>
          <w:highlight w:val="none"/>
          <w:u w:val="single"/>
          <w:lang w:val="en-US" w:eastAsia="zh-CN"/>
        </w:rPr>
        <w:t>）</w:t>
      </w:r>
      <w:r>
        <w:rPr>
          <w:rFonts w:hint="eastAsia"/>
          <w:color w:val="auto"/>
          <w:highlight w:val="none"/>
          <w:u w:val="single"/>
          <w:lang w:eastAsia="zh-CN"/>
        </w:rPr>
        <w:t>。当开采的石方量大于本施工合同时，施工方将开采施工费用扣除后利润部分需全部纳入兴安县政府财政（或相关部门）。</w:t>
      </w:r>
    </w:p>
    <w:p>
      <w:pPr>
        <w:pStyle w:val="13"/>
        <w:keepNext w:val="0"/>
        <w:keepLines w:val="0"/>
        <w:pageBreakBefore w:val="0"/>
        <w:widowControl w:val="0"/>
        <w:kinsoku/>
        <w:wordWrap/>
        <w:overflowPunct/>
        <w:topLinePunct w:val="0"/>
        <w:autoSpaceDE w:val="0"/>
        <w:autoSpaceDN w:val="0"/>
        <w:bidi w:val="0"/>
        <w:adjustRightInd/>
        <w:snapToGrid/>
        <w:spacing w:before="193" w:line="408" w:lineRule="auto"/>
        <w:ind w:left="527" w:right="1290" w:rightChars="0"/>
        <w:textAlignment w:val="auto"/>
      </w:pPr>
      <w:r>
        <w:t>5.工程内容：</w:t>
      </w:r>
      <w:r>
        <w:rPr>
          <w:u w:val="single"/>
        </w:rPr>
        <w:t>土地平整工程、</w:t>
      </w:r>
      <w:r>
        <w:rPr>
          <w:rFonts w:hint="eastAsia"/>
          <w:u w:val="single"/>
          <w:lang w:eastAsia="zh-CN"/>
        </w:rPr>
        <w:t>农田水利</w:t>
      </w:r>
      <w:r>
        <w:rPr>
          <w:u w:val="single"/>
        </w:rPr>
        <w:t>工程、田间道路工程等合同约定的内容</w:t>
      </w:r>
      <w:r>
        <w:t>。</w:t>
      </w:r>
    </w:p>
    <w:p>
      <w:pPr>
        <w:pStyle w:val="13"/>
        <w:spacing w:before="193" w:line="408" w:lineRule="auto"/>
        <w:ind w:left="526" w:right="1764"/>
      </w:pPr>
      <w:r>
        <w:t>群体工程应附《承包人承揽工程项目一览表》（附件 1）。</w:t>
      </w:r>
    </w:p>
    <w:p>
      <w:pPr>
        <w:pStyle w:val="13"/>
        <w:spacing w:before="46"/>
        <w:ind w:left="526"/>
      </w:pPr>
      <w:r>
        <w:t>6.工程承包范围：</w:t>
      </w:r>
    </w:p>
    <w:p>
      <w:pPr>
        <w:pStyle w:val="13"/>
        <w:spacing w:before="7"/>
        <w:ind w:left="0"/>
        <w:rPr>
          <w:sz w:val="16"/>
        </w:rPr>
      </w:pPr>
      <w:r>
        <mc:AlternateContent>
          <mc:Choice Requires="wpg">
            <w:drawing>
              <wp:anchor distT="0" distB="0" distL="0" distR="0" simplePos="0" relativeHeight="2048" behindDoc="0" locked="0" layoutInCell="1" allowOverlap="1">
                <wp:simplePos x="0" y="0"/>
                <wp:positionH relativeFrom="page">
                  <wp:posOffset>972820</wp:posOffset>
                </wp:positionH>
                <wp:positionV relativeFrom="paragraph">
                  <wp:posOffset>162560</wp:posOffset>
                </wp:positionV>
                <wp:extent cx="3404870" cy="142240"/>
                <wp:effectExtent l="0" t="0" r="0" b="0"/>
                <wp:wrapTopAndBottom/>
                <wp:docPr id="14" name="组合 6"/>
                <wp:cNvGraphicFramePr/>
                <a:graphic xmlns:a="http://schemas.openxmlformats.org/drawingml/2006/main">
                  <a:graphicData uri="http://schemas.microsoft.com/office/word/2010/wordprocessingGroup">
                    <wpg:wgp>
                      <wpg:cNvGrpSpPr/>
                      <wpg:grpSpPr>
                        <a:xfrm>
                          <a:off x="0" y="0"/>
                          <a:ext cx="3404870" cy="142240"/>
                          <a:chOff x="1533" y="256"/>
                          <a:chExt cx="5362" cy="224"/>
                        </a:xfrm>
                      </wpg:grpSpPr>
                      <pic:pic xmlns:pic="http://schemas.openxmlformats.org/drawingml/2006/picture">
                        <pic:nvPicPr>
                          <pic:cNvPr id="8" name="图片 7"/>
                          <pic:cNvPicPr>
                            <a:picLocks noChangeAspect="1"/>
                          </pic:cNvPicPr>
                        </pic:nvPicPr>
                        <pic:blipFill>
                          <a:blip r:embed="rId22"/>
                          <a:stretch>
                            <a:fillRect/>
                          </a:stretch>
                        </pic:blipFill>
                        <pic:spPr>
                          <a:xfrm>
                            <a:off x="1538" y="256"/>
                            <a:ext cx="4834" cy="212"/>
                          </a:xfrm>
                          <a:prstGeom prst="rect">
                            <a:avLst/>
                          </a:prstGeom>
                          <a:noFill/>
                          <a:ln>
                            <a:noFill/>
                          </a:ln>
                        </pic:spPr>
                      </pic:pic>
                      <pic:pic xmlns:pic="http://schemas.openxmlformats.org/drawingml/2006/picture">
                        <pic:nvPicPr>
                          <pic:cNvPr id="10" name="图片 8"/>
                          <pic:cNvPicPr>
                            <a:picLocks noChangeAspect="1"/>
                          </pic:cNvPicPr>
                        </pic:nvPicPr>
                        <pic:blipFill>
                          <a:blip r:embed="rId17"/>
                          <a:stretch>
                            <a:fillRect/>
                          </a:stretch>
                        </pic:blipFill>
                        <pic:spPr>
                          <a:xfrm>
                            <a:off x="6476" y="256"/>
                            <a:ext cx="418" cy="212"/>
                          </a:xfrm>
                          <a:prstGeom prst="rect">
                            <a:avLst/>
                          </a:prstGeom>
                          <a:noFill/>
                          <a:ln>
                            <a:noFill/>
                          </a:ln>
                        </pic:spPr>
                      </pic:pic>
                      <wps:wsp>
                        <wps:cNvPr id="12" name="直线 9"/>
                        <wps:cNvCnPr/>
                        <wps:spPr>
                          <a:xfrm>
                            <a:off x="1539" y="473"/>
                            <a:ext cx="5146" cy="0"/>
                          </a:xfrm>
                          <a:prstGeom prst="line">
                            <a:avLst/>
                          </a:prstGeom>
                          <a:ln w="7620" cap="flat" cmpd="sng">
                            <a:solidFill>
                              <a:srgbClr val="000000"/>
                            </a:solidFill>
                            <a:prstDash val="solid"/>
                            <a:headEnd type="none" w="med" len="med"/>
                            <a:tailEnd type="none" w="med" len="med"/>
                          </a:ln>
                        </wps:spPr>
                        <wps:bodyPr upright="1"/>
                      </wps:wsp>
                    </wpg:wgp>
                  </a:graphicData>
                </a:graphic>
              </wp:anchor>
            </w:drawing>
          </mc:Choice>
          <mc:Fallback>
            <w:pict>
              <v:group id="组合 6" o:spid="_x0000_s1026" o:spt="203" style="position:absolute;left:0pt;margin-left:76.6pt;margin-top:12.8pt;height:11.2pt;width:268.1pt;mso-position-horizontal-relative:page;mso-wrap-distance-bottom:0pt;mso-wrap-distance-top:0pt;z-index:2048;mso-width-relative:page;mso-height-relative:page;" coordorigin="1533,256" coordsize="5362,224" o:gfxdata="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&#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">
                <o:lock v:ext="edit" aspectratio="f"/>
                <v:shape id="图片 7" o:spid="_x0000_s1026" o:spt="75" type="#_x0000_t75" style="position:absolute;left:1538;top:256;height:212;width:4834;" filled="f" o:preferrelative="t" stroked="f" coordsize="21600,21600" o:gfxdata="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GpTr7gAAADaAAAA&#10;DwAAAAAAAAABACAAAAAiAAAAZHJzL2Rvd25yZXYueG1sUEsBAhQAFAAAAAgAh07iQDMvBZ47AAAA&#10;OQAAABAAAAAAAAAAAQAgAAAABwEAAGRycy9zaGFwZXhtbC54bWxQSwUGAAAAAAYABgBbAQAAsQMA&#10;AAAA&#10;">
                  <v:fill on="f" focussize="0,0"/>
                  <v:stroke on="f"/>
                  <v:imagedata r:id="rId22" o:title=""/>
                  <o:lock v:ext="edit" aspectratio="t"/>
                </v:shape>
                <v:shape id="图片 8" o:spid="_x0000_s1026" o:spt="75" type="#_x0000_t75" style="position:absolute;left:6476;top:256;height:212;width:418;" filled="f" o:preferrelative="t" stroked="f" coordsize="21600,21600" o:gfxdata="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M+2svQAA&#10;ANsAAAAPAAAAAAAAAAEAIAAAACIAAABkcnMvZG93bnJldi54bWxQSwECFAAUAAAACACHTuJAMy8F&#10;njsAAAA5AAAAEAAAAAAAAAABACAAAAAMAQAAZHJzL3NoYXBleG1sLnhtbFBLBQYAAAAABgAGAFsB&#10;AAC2AwAAAAA=&#10;">
                  <v:fill on="f" focussize="0,0"/>
                  <v:stroke on="f"/>
                  <v:imagedata r:id="rId17" o:title=""/>
                  <o:lock v:ext="edit" aspectratio="t"/>
                </v:shape>
                <v:line id="直线 9" o:spid="_x0000_s1026" o:spt="20" style="position:absolute;left:1539;top:473;height:0;width:5146;" filled="f" stroked="t" coordsize="21600,21600" o:gfxdata="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KoVXugAAANsA&#10;AAAPAAAAAAAAAAEAIAAAACIAAABkcnMvZG93bnJldi54bWxQSwECFAAUAAAACACHTuJAMy8FnjsA&#10;AAA5AAAAEAAAAAAAAAABACAAAAAJAQAAZHJzL3NoYXBleG1sLnhtbFBLBQYAAAAABgAGAFsBAACz&#10;AwAAAAA=&#10;">
                  <v:fill on="f" focussize="0,0"/>
                  <v:stroke weight="0.6pt" color="#000000" joinstyle="round"/>
                  <v:imagedata o:title=""/>
                  <o:lock v:ext="edit" aspectratio="f"/>
                </v:line>
                <w10:wrap type="topAndBottom"/>
              </v:group>
            </w:pict>
          </mc:Fallback>
        </mc:AlternateContent>
      </w:r>
    </w:p>
    <w:p>
      <w:pPr>
        <w:pStyle w:val="13"/>
        <w:spacing w:before="5"/>
        <w:ind w:left="0"/>
        <w:rPr>
          <w:sz w:val="8"/>
        </w:rPr>
      </w:pPr>
    </w:p>
    <w:p>
      <w:pPr>
        <w:pStyle w:val="13"/>
        <w:tabs>
          <w:tab w:val="left" w:pos="5682"/>
        </w:tabs>
        <w:spacing w:before="43" w:line="468" w:lineRule="auto"/>
        <w:ind w:left="430" w:right="3971" w:firstLine="103"/>
      </w:pPr>
      <w:r>
        <mc:AlternateContent>
          <mc:Choice Requires="wpg">
            <w:drawing>
              <wp:anchor distT="0" distB="0" distL="114300" distR="114300" simplePos="0" relativeHeight="503021568" behindDoc="1" locked="0" layoutInCell="1" allowOverlap="1">
                <wp:simplePos x="0" y="0"/>
                <wp:positionH relativeFrom="page">
                  <wp:posOffset>986155</wp:posOffset>
                </wp:positionH>
                <wp:positionV relativeFrom="paragraph">
                  <wp:posOffset>66675</wp:posOffset>
                </wp:positionV>
                <wp:extent cx="3403600" cy="134620"/>
                <wp:effectExtent l="0" t="0" r="0" b="0"/>
                <wp:wrapNone/>
                <wp:docPr id="90" name="组合 10"/>
                <wp:cNvGraphicFramePr/>
                <a:graphic xmlns:a="http://schemas.openxmlformats.org/drawingml/2006/main">
                  <a:graphicData uri="http://schemas.microsoft.com/office/word/2010/wordprocessingGroup">
                    <wpg:wgp>
                      <wpg:cNvGrpSpPr/>
                      <wpg:grpSpPr>
                        <a:xfrm>
                          <a:off x="0" y="0"/>
                          <a:ext cx="3403600" cy="134620"/>
                          <a:chOff x="1553" y="106"/>
                          <a:chExt cx="5360" cy="212"/>
                        </a:xfrm>
                      </wpg:grpSpPr>
                      <pic:pic xmlns:pic="http://schemas.openxmlformats.org/drawingml/2006/picture">
                        <pic:nvPicPr>
                          <pic:cNvPr id="86" name="图片 11"/>
                          <pic:cNvPicPr>
                            <a:picLocks noChangeAspect="1"/>
                          </pic:cNvPicPr>
                        </pic:nvPicPr>
                        <pic:blipFill>
                          <a:blip r:embed="rId22"/>
                          <a:stretch>
                            <a:fillRect/>
                          </a:stretch>
                        </pic:blipFill>
                        <pic:spPr>
                          <a:xfrm>
                            <a:off x="1553" y="105"/>
                            <a:ext cx="4834" cy="212"/>
                          </a:xfrm>
                          <a:prstGeom prst="rect">
                            <a:avLst/>
                          </a:prstGeom>
                          <a:noFill/>
                          <a:ln>
                            <a:noFill/>
                          </a:ln>
                        </pic:spPr>
                      </pic:pic>
                      <pic:pic xmlns:pic="http://schemas.openxmlformats.org/drawingml/2006/picture">
                        <pic:nvPicPr>
                          <pic:cNvPr id="88" name="图片 12"/>
                          <pic:cNvPicPr>
                            <a:picLocks noChangeAspect="1"/>
                          </pic:cNvPicPr>
                        </pic:nvPicPr>
                        <pic:blipFill>
                          <a:blip r:embed="rId23"/>
                          <a:stretch>
                            <a:fillRect/>
                          </a:stretch>
                        </pic:blipFill>
                        <pic:spPr>
                          <a:xfrm>
                            <a:off x="6279" y="105"/>
                            <a:ext cx="634" cy="212"/>
                          </a:xfrm>
                          <a:prstGeom prst="rect">
                            <a:avLst/>
                          </a:prstGeom>
                          <a:noFill/>
                          <a:ln>
                            <a:noFill/>
                          </a:ln>
                        </pic:spPr>
                      </pic:pic>
                    </wpg:wgp>
                  </a:graphicData>
                </a:graphic>
              </wp:anchor>
            </w:drawing>
          </mc:Choice>
          <mc:Fallback>
            <w:pict>
              <v:group id="组合 10" o:spid="_x0000_s1026" o:spt="203" style="position:absolute;left:0pt;margin-left:77.65pt;margin-top:5.25pt;height:10.6pt;width:268pt;mso-position-horizontal-relative:page;z-index:-294912;mso-width-relative:page;mso-height-relative:page;" coordorigin="1553,106" coordsize="5360,212" o:gfxdata="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LmzwAL8AAAClAQAAGQAAAGRycy9fcmVscy9l&#10;Mm9Eb2MueG1sLnJlbHO9kMGKwjAQhu8L+w5h7tu0PSyymPYigldxH2BIpmmwmYQkir69gWVBQfDm&#10;cWb4v/9j1uPFL+JMKbvACrqmBUGsg3FsFfwetl8rELkgG1wCk4IrZRiHz4/1nhYsNZRnF7OoFM4K&#10;5lLij5RZz+QxNyES18sUksdSx2RlRH1ES7Jv22+Z7hkwPDDFzihIO9ODOFxjbX7NDtPkNG2CPnni&#10;8qRCOl+7KxCTpaLAk3H4t+ybyBbkc4fuPQ7dv4N8eO5wA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">
                <o:lock v:ext="edit" aspectratio="f"/>
                <v:shape id="图片 11" o:spid="_x0000_s1026" o:spt="75" type="#_x0000_t75" style="position:absolute;left:1553;top:105;height:212;width:4834;" filled="f" o:preferrelative="t" stroked="f" coordsize="21600,21600" o:gfxdata="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BHjDvQAA&#10;ANsAAAAPAAAAAAAAAAEAIAAAACIAAABkcnMvZG93bnJldi54bWxQSwECFAAUAAAACACHTuJAMy8F&#10;njsAAAA5AAAAEAAAAAAAAAABACAAAAAMAQAAZHJzL3NoYXBleG1sLnhtbFBLBQYAAAAABgAGAFsB&#10;AAC2AwAAAAA=&#10;">
                  <v:fill on="f" focussize="0,0"/>
                  <v:stroke on="f"/>
                  <v:imagedata r:id="rId22" o:title=""/>
                  <o:lock v:ext="edit" aspectratio="t"/>
                </v:shape>
                <v:shape id="图片 12" o:spid="_x0000_s1026" o:spt="75" type="#_x0000_t75" style="position:absolute;left:6279;top:105;height:212;width:634;" filled="f" o:preferrelative="t" stroked="f" coordsize="21600,21600" o:gfxdata="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8zSlugAAANsA&#10;AAAPAAAAAAAAAAEAIAAAACIAAABkcnMvZG93bnJldi54bWxQSwECFAAUAAAACACHTuJAMy8FnjsA&#10;AAA5AAAAEAAAAAAAAAABACAAAAAJAQAAZHJzL3NoYXBleG1sLnhtbFBLBQYAAAAABgAGAFsBAACz&#10;AwAAAAA=&#10;">
                  <v:fill on="f" focussize="0,0"/>
                  <v:stroke on="f"/>
                  <v:imagedata r:id="rId23" o:title=""/>
                  <o:lock v:ext="edit" aspectratio="t"/>
                </v:shape>
              </v:group>
            </w:pict>
          </mc:Fallback>
        </mc:AlternateContent>
      </w:r>
      <w:r>
        <w:rPr>
          <w:rFonts w:ascii="Times New Roman" w:eastAsia="Times New Roman"/>
          <w:w w:val="100"/>
          <w:u w:val="single"/>
        </w:rPr>
        <w:t xml:space="preserve"> </w:t>
      </w:r>
      <w:r>
        <w:rPr>
          <w:rFonts w:ascii="Times New Roman" w:eastAsia="Times New Roman"/>
          <w:u w:val="single"/>
        </w:rPr>
        <w:tab/>
      </w:r>
      <w:r>
        <w:t>。</w:t>
      </w:r>
      <w:r>
        <w:rPr>
          <w:spacing w:val="-3"/>
        </w:rPr>
        <w:t>二、合同工期</w:t>
      </w:r>
    </w:p>
    <w:p>
      <w:pPr>
        <w:pStyle w:val="13"/>
        <w:tabs>
          <w:tab w:val="left" w:pos="3094"/>
          <w:tab w:val="left" w:pos="3934"/>
          <w:tab w:val="left" w:pos="4774"/>
        </w:tabs>
        <w:spacing w:before="56" w:line="408" w:lineRule="auto"/>
        <w:ind w:left="571" w:right="4667"/>
      </w:pPr>
      <w:r>
        <w:drawing>
          <wp:anchor distT="0" distB="0" distL="0" distR="0" simplePos="0" relativeHeight="268140544" behindDoc="1" locked="0" layoutInCell="1" allowOverlap="1">
            <wp:simplePos x="0" y="0"/>
            <wp:positionH relativeFrom="page">
              <wp:posOffset>1944370</wp:posOffset>
            </wp:positionH>
            <wp:positionV relativeFrom="paragraph">
              <wp:posOffset>74930</wp:posOffset>
            </wp:positionV>
            <wp:extent cx="1867535" cy="133985"/>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9.png"/>
                    <pic:cNvPicPr>
                      <a:picLocks noChangeAspect="1"/>
                    </pic:cNvPicPr>
                  </pic:nvPicPr>
                  <pic:blipFill>
                    <a:blip r:embed="rId24" cstate="print"/>
                    <a:stretch>
                      <a:fillRect/>
                    </a:stretch>
                  </pic:blipFill>
                  <pic:spPr>
                    <a:xfrm>
                      <a:off x="0" y="0"/>
                      <a:ext cx="1867789" cy="134112"/>
                    </a:xfrm>
                    <a:prstGeom prst="rect">
                      <a:avLst/>
                    </a:prstGeom>
                  </pic:spPr>
                </pic:pic>
              </a:graphicData>
            </a:graphic>
          </wp:anchor>
        </w:drawing>
      </w:r>
      <w:r>
        <w:drawing>
          <wp:anchor distT="0" distB="0" distL="0" distR="0" simplePos="0" relativeHeight="268140544" behindDoc="1" locked="0" layoutInCell="1" allowOverlap="1">
            <wp:simplePos x="0" y="0"/>
            <wp:positionH relativeFrom="page">
              <wp:posOffset>1944370</wp:posOffset>
            </wp:positionH>
            <wp:positionV relativeFrom="paragraph">
              <wp:posOffset>372110</wp:posOffset>
            </wp:positionV>
            <wp:extent cx="1867535" cy="133985"/>
            <wp:effectExtent l="0" t="0" r="0" b="0"/>
            <wp:wrapNone/>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9.png"/>
                    <pic:cNvPicPr>
                      <a:picLocks noChangeAspect="1"/>
                    </pic:cNvPicPr>
                  </pic:nvPicPr>
                  <pic:blipFill>
                    <a:blip r:embed="rId24" cstate="print"/>
                    <a:stretch>
                      <a:fillRect/>
                    </a:stretch>
                  </pic:blipFill>
                  <pic:spPr>
                    <a:xfrm>
                      <a:off x="0" y="0"/>
                      <a:ext cx="1867789" cy="134112"/>
                    </a:xfrm>
                    <a:prstGeom prst="rect">
                      <a:avLst/>
                    </a:prstGeom>
                  </pic:spPr>
                </pic:pic>
              </a:graphicData>
            </a:graphic>
          </wp:anchor>
        </w:drawing>
      </w:r>
      <w:r>
        <w:t>计划</w:t>
      </w:r>
      <w:r>
        <w:rPr>
          <w:spacing w:val="-3"/>
        </w:rPr>
        <w:t>开</w:t>
      </w:r>
      <w:r>
        <w:t>工</w:t>
      </w:r>
      <w:r>
        <w:rPr>
          <w:spacing w:val="-3"/>
        </w:rPr>
        <w:t>日</w:t>
      </w:r>
      <w:r>
        <w:t>期</w:t>
      </w:r>
      <w:r>
        <w:rPr>
          <w:spacing w:val="-3"/>
        </w:rPr>
        <w:t>：</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t>日。 计划</w:t>
      </w:r>
      <w:r>
        <w:rPr>
          <w:spacing w:val="-3"/>
        </w:rPr>
        <w:t>竣</w:t>
      </w:r>
      <w:r>
        <w:t>工</w:t>
      </w:r>
      <w:r>
        <w:rPr>
          <w:spacing w:val="-3"/>
        </w:rPr>
        <w:t>日</w:t>
      </w:r>
      <w:r>
        <w:t>期</w:t>
      </w:r>
      <w:r>
        <w:rPr>
          <w:spacing w:val="-3"/>
        </w:rPr>
        <w:t>：</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t>日。</w:t>
      </w:r>
    </w:p>
    <w:p>
      <w:pPr>
        <w:pStyle w:val="13"/>
        <w:tabs>
          <w:tab w:val="left" w:pos="3274"/>
        </w:tabs>
        <w:spacing w:before="46" w:line="408" w:lineRule="auto"/>
        <w:ind w:right="106" w:firstLine="458"/>
      </w:pPr>
      <w:r>
        <w:drawing>
          <wp:anchor distT="0" distB="0" distL="0" distR="0" simplePos="0" relativeHeight="268140544" behindDoc="1" locked="0" layoutInCell="1" allowOverlap="1">
            <wp:simplePos x="0" y="0"/>
            <wp:positionH relativeFrom="page">
              <wp:posOffset>2058670</wp:posOffset>
            </wp:positionH>
            <wp:positionV relativeFrom="paragraph">
              <wp:posOffset>68580</wp:posOffset>
            </wp:positionV>
            <wp:extent cx="800735" cy="133985"/>
            <wp:effectExtent l="0" t="0" r="0" b="0"/>
            <wp:wrapNone/>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0.png"/>
                    <pic:cNvPicPr>
                      <a:picLocks noChangeAspect="1"/>
                    </pic:cNvPicPr>
                  </pic:nvPicPr>
                  <pic:blipFill>
                    <a:blip r:embed="rId25" cstate="print"/>
                    <a:stretch>
                      <a:fillRect/>
                    </a:stretch>
                  </pic:blipFill>
                  <pic:spPr>
                    <a:xfrm>
                      <a:off x="0" y="0"/>
                      <a:ext cx="801014" cy="134112"/>
                    </a:xfrm>
                    <a:prstGeom prst="rect">
                      <a:avLst/>
                    </a:prstGeom>
                  </pic:spPr>
                </pic:pic>
              </a:graphicData>
            </a:graphic>
          </wp:anchor>
        </w:drawing>
      </w:r>
      <w:r>
        <w:t>工期</w:t>
      </w:r>
      <w:r>
        <w:rPr>
          <w:spacing w:val="-3"/>
        </w:rPr>
        <w:t>总</w:t>
      </w:r>
      <w:r>
        <w:t>日</w:t>
      </w:r>
      <w:r>
        <w:rPr>
          <w:spacing w:val="-3"/>
        </w:rPr>
        <w:t>历</w:t>
      </w:r>
      <w:r>
        <w:t>天</w:t>
      </w:r>
      <w:r>
        <w:rPr>
          <w:spacing w:val="-3"/>
        </w:rPr>
        <w:t>数</w:t>
      </w:r>
      <w:r>
        <w:rPr>
          <w:spacing w:val="-32"/>
        </w:rPr>
        <w:t>：</w:t>
      </w:r>
      <w:r>
        <w:rPr>
          <w:spacing w:val="-32"/>
          <w:u w:val="single"/>
        </w:rPr>
        <w:t xml:space="preserve"> </w:t>
      </w:r>
      <w:r>
        <w:rPr>
          <w:spacing w:val="-32"/>
          <w:u w:val="single"/>
        </w:rPr>
        <w:tab/>
      </w:r>
      <w:r>
        <w:rPr>
          <w:spacing w:val="-3"/>
        </w:rPr>
        <w:t>天</w:t>
      </w:r>
      <w:r>
        <w:rPr>
          <w:spacing w:val="-32"/>
        </w:rPr>
        <w:t>。</w:t>
      </w:r>
      <w:r>
        <w:rPr>
          <w:spacing w:val="-3"/>
        </w:rPr>
        <w:t>工</w:t>
      </w:r>
      <w:r>
        <w:t>期</w:t>
      </w:r>
      <w:r>
        <w:rPr>
          <w:spacing w:val="-3"/>
        </w:rPr>
        <w:t>总</w:t>
      </w:r>
      <w:r>
        <w:t>日</w:t>
      </w:r>
      <w:r>
        <w:rPr>
          <w:spacing w:val="-3"/>
        </w:rPr>
        <w:t>历</w:t>
      </w:r>
      <w:r>
        <w:t>天</w:t>
      </w:r>
      <w:r>
        <w:rPr>
          <w:spacing w:val="-3"/>
        </w:rPr>
        <w:t>数</w:t>
      </w:r>
      <w:r>
        <w:t>与根</w:t>
      </w:r>
      <w:r>
        <w:rPr>
          <w:spacing w:val="-3"/>
        </w:rPr>
        <w:t>据</w:t>
      </w:r>
      <w:r>
        <w:t>前</w:t>
      </w:r>
      <w:r>
        <w:rPr>
          <w:spacing w:val="-3"/>
        </w:rPr>
        <w:t>述</w:t>
      </w:r>
      <w:r>
        <w:t>计</w:t>
      </w:r>
      <w:r>
        <w:rPr>
          <w:spacing w:val="-3"/>
        </w:rPr>
        <w:t>划</w:t>
      </w:r>
      <w:r>
        <w:t>开</w:t>
      </w:r>
      <w:r>
        <w:rPr>
          <w:spacing w:val="-3"/>
        </w:rPr>
        <w:t>竣</w:t>
      </w:r>
      <w:r>
        <w:t>工</w:t>
      </w:r>
      <w:r>
        <w:rPr>
          <w:spacing w:val="-3"/>
        </w:rPr>
        <w:t>日</w:t>
      </w:r>
      <w:r>
        <w:t>期计</w:t>
      </w:r>
      <w:r>
        <w:rPr>
          <w:spacing w:val="-3"/>
        </w:rPr>
        <w:t>算</w:t>
      </w:r>
      <w:r>
        <w:t>的</w:t>
      </w:r>
      <w:r>
        <w:rPr>
          <w:spacing w:val="-3"/>
        </w:rPr>
        <w:t>工</w:t>
      </w:r>
      <w:r>
        <w:t>期</w:t>
      </w:r>
      <w:r>
        <w:rPr>
          <w:spacing w:val="-3"/>
        </w:rPr>
        <w:t>天</w:t>
      </w:r>
      <w:r>
        <w:t>数</w:t>
      </w:r>
      <w:r>
        <w:rPr>
          <w:spacing w:val="-3"/>
        </w:rPr>
        <w:t>不</w:t>
      </w:r>
      <w:r>
        <w:t>一致 的，</w:t>
      </w:r>
      <w:r>
        <w:rPr>
          <w:spacing w:val="-3"/>
        </w:rPr>
        <w:t>以</w:t>
      </w:r>
      <w:r>
        <w:t>工</w:t>
      </w:r>
      <w:r>
        <w:rPr>
          <w:spacing w:val="-3"/>
        </w:rPr>
        <w:t>期</w:t>
      </w:r>
      <w:r>
        <w:t>总</w:t>
      </w:r>
      <w:r>
        <w:rPr>
          <w:spacing w:val="-3"/>
        </w:rPr>
        <w:t>日</w:t>
      </w:r>
      <w:r>
        <w:t>历</w:t>
      </w:r>
      <w:r>
        <w:rPr>
          <w:spacing w:val="-3"/>
        </w:rPr>
        <w:t>天</w:t>
      </w:r>
      <w:r>
        <w:t>数</w:t>
      </w:r>
      <w:r>
        <w:rPr>
          <w:spacing w:val="-3"/>
        </w:rPr>
        <w:t>为</w:t>
      </w:r>
      <w:r>
        <w:t>准。</w:t>
      </w:r>
    </w:p>
    <w:p>
      <w:pPr>
        <w:pStyle w:val="13"/>
        <w:spacing w:before="113"/>
        <w:ind w:left="535"/>
      </w:pPr>
      <w:r>
        <w:t>三、质量标准</w:t>
      </w:r>
    </w:p>
    <w:p>
      <w:pPr>
        <w:pStyle w:val="13"/>
        <w:spacing w:before="9"/>
        <w:ind w:left="0"/>
        <w:rPr>
          <w:sz w:val="19"/>
        </w:rPr>
      </w:pPr>
    </w:p>
    <w:p>
      <w:pPr>
        <w:pStyle w:val="13"/>
        <w:spacing w:line="468" w:lineRule="auto"/>
        <w:ind w:left="535" w:right="3399" w:firstLine="36"/>
      </w:pPr>
      <w:r>
        <w:t>工程质量符合</w:t>
      </w:r>
      <w:r>
        <w:rPr>
          <w:u w:val="single"/>
        </w:rPr>
        <w:t>国家文件规定的质量和符合规划设计的质量</w:t>
      </w:r>
      <w:r>
        <w:t>标准。四、签约合同价与合同价格形式</w:t>
      </w:r>
    </w:p>
    <w:p>
      <w:pPr>
        <w:pStyle w:val="13"/>
        <w:spacing w:before="55"/>
        <w:ind w:left="533"/>
      </w:pPr>
      <w:r>
        <w:t>1.签约合同价为：</w:t>
      </w:r>
    </w:p>
    <w:p>
      <w:pPr>
        <w:pStyle w:val="13"/>
        <w:spacing w:before="9"/>
        <w:ind w:left="0"/>
        <w:rPr>
          <w:sz w:val="14"/>
        </w:rPr>
      </w:pPr>
    </w:p>
    <w:p>
      <w:pPr>
        <w:pStyle w:val="13"/>
        <w:tabs>
          <w:tab w:val="left" w:pos="3896"/>
          <w:tab w:val="left" w:pos="5365"/>
        </w:tabs>
        <w:spacing w:line="408" w:lineRule="auto"/>
        <w:ind w:left="533" w:right="3971" w:firstLine="105"/>
      </w:pPr>
      <w:r>
        <w:t>人民</w:t>
      </w:r>
      <w:r>
        <w:rPr>
          <w:spacing w:val="-3"/>
        </w:rPr>
        <w:t>币</w:t>
      </w:r>
      <w:r>
        <w:t>（</w:t>
      </w:r>
      <w:r>
        <w:rPr>
          <w:spacing w:val="-3"/>
        </w:rPr>
        <w:t>大</w:t>
      </w:r>
      <w:r>
        <w:t>写</w:t>
      </w:r>
      <w:r>
        <w:rPr>
          <w:spacing w:val="-3"/>
        </w:rPr>
        <w:t>）</w:t>
      </w:r>
      <w:r>
        <w:rPr>
          <w:spacing w:val="-3"/>
          <w:u w:val="single"/>
        </w:rPr>
        <w:t xml:space="preserve"> </w:t>
      </w:r>
      <w:r>
        <w:rPr>
          <w:spacing w:val="-3"/>
          <w:u w:val="single"/>
        </w:rPr>
        <w:tab/>
      </w:r>
      <w:r>
        <w:t>(¥</w:t>
      </w:r>
      <w:r>
        <w:rPr>
          <w:u w:val="single"/>
        </w:rPr>
        <w:t xml:space="preserve"> </w:t>
      </w:r>
      <w:r>
        <w:rPr>
          <w:u w:val="single"/>
        </w:rPr>
        <w:tab/>
      </w:r>
      <w:r>
        <w:t xml:space="preserve">元)； </w:t>
      </w:r>
    </w:p>
    <w:p>
      <w:pPr>
        <w:pStyle w:val="13"/>
        <w:tabs>
          <w:tab w:val="left" w:pos="5574"/>
        </w:tabs>
        <w:spacing w:before="193" w:line="468" w:lineRule="auto"/>
        <w:ind w:left="535" w:right="4079" w:hanging="3"/>
      </w:pPr>
      <w:r>
        <w:drawing>
          <wp:anchor distT="0" distB="0" distL="0" distR="0" simplePos="0" relativeHeight="268140544" behindDoc="1" locked="0" layoutInCell="1" allowOverlap="1">
            <wp:simplePos x="0" y="0"/>
            <wp:positionH relativeFrom="page">
              <wp:posOffset>2054225</wp:posOffset>
            </wp:positionH>
            <wp:positionV relativeFrom="paragraph">
              <wp:posOffset>161925</wp:posOffset>
            </wp:positionV>
            <wp:extent cx="952500" cy="133985"/>
            <wp:effectExtent l="0" t="0" r="0" b="0"/>
            <wp:wrapNone/>
            <wp:docPr id="3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1.png"/>
                    <pic:cNvPicPr>
                      <a:picLocks noChangeAspect="1"/>
                    </pic:cNvPicPr>
                  </pic:nvPicPr>
                  <pic:blipFill>
                    <a:blip r:embed="rId26" cstate="print"/>
                    <a:stretch>
                      <a:fillRect/>
                    </a:stretch>
                  </pic:blipFill>
                  <pic:spPr>
                    <a:xfrm>
                      <a:off x="0" y="0"/>
                      <a:ext cx="952525" cy="134111"/>
                    </a:xfrm>
                    <a:prstGeom prst="rect">
                      <a:avLst/>
                    </a:prstGeom>
                  </pic:spPr>
                </pic:pic>
              </a:graphicData>
            </a:graphic>
          </wp:anchor>
        </w:drawing>
      </w:r>
      <w:r>
        <w:drawing>
          <wp:anchor distT="0" distB="0" distL="0" distR="0" simplePos="0" relativeHeight="268140544" behindDoc="1" locked="0" layoutInCell="1" allowOverlap="1">
            <wp:simplePos x="0" y="0"/>
            <wp:positionH relativeFrom="page">
              <wp:posOffset>3521075</wp:posOffset>
            </wp:positionH>
            <wp:positionV relativeFrom="paragraph">
              <wp:posOffset>161925</wp:posOffset>
            </wp:positionV>
            <wp:extent cx="299720" cy="133985"/>
            <wp:effectExtent l="0" t="0" r="0" b="0"/>
            <wp:wrapNone/>
            <wp:docPr id="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2.png"/>
                    <pic:cNvPicPr>
                      <a:picLocks noChangeAspect="1"/>
                    </pic:cNvPicPr>
                  </pic:nvPicPr>
                  <pic:blipFill>
                    <a:blip r:embed="rId27" cstate="print"/>
                    <a:stretch>
                      <a:fillRect/>
                    </a:stretch>
                  </pic:blipFill>
                  <pic:spPr>
                    <a:xfrm>
                      <a:off x="0" y="0"/>
                      <a:ext cx="299465" cy="134111"/>
                    </a:xfrm>
                    <a:prstGeom prst="rect">
                      <a:avLst/>
                    </a:prstGeom>
                  </pic:spPr>
                </pic:pic>
              </a:graphicData>
            </a:graphic>
          </wp:anchor>
        </w:drawing>
      </w:r>
      <w:r>
        <w:drawing>
          <wp:anchor distT="0" distB="0" distL="0" distR="0" simplePos="0" relativeHeight="268140544" behindDoc="1" locked="0" layoutInCell="1" allowOverlap="1">
            <wp:simplePos x="0" y="0"/>
            <wp:positionH relativeFrom="page">
              <wp:posOffset>4052570</wp:posOffset>
            </wp:positionH>
            <wp:positionV relativeFrom="paragraph">
              <wp:posOffset>161925</wp:posOffset>
            </wp:positionV>
            <wp:extent cx="267970" cy="133985"/>
            <wp:effectExtent l="0" t="0" r="0" b="0"/>
            <wp:wrapNone/>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6.png"/>
                    <pic:cNvPicPr>
                      <a:picLocks noChangeAspect="1"/>
                    </pic:cNvPicPr>
                  </pic:nvPicPr>
                  <pic:blipFill>
                    <a:blip r:embed="rId21" cstate="print"/>
                    <a:stretch>
                      <a:fillRect/>
                    </a:stretch>
                  </pic:blipFill>
                  <pic:spPr>
                    <a:xfrm>
                      <a:off x="0" y="0"/>
                      <a:ext cx="268224" cy="134111"/>
                    </a:xfrm>
                    <a:prstGeom prst="rect">
                      <a:avLst/>
                    </a:prstGeom>
                  </pic:spPr>
                </pic:pic>
              </a:graphicData>
            </a:graphic>
          </wp:anchor>
        </w:drawing>
      </w:r>
      <w:r>
        <w:t>2.合</w:t>
      </w:r>
      <w:r>
        <w:rPr>
          <w:spacing w:val="-3"/>
        </w:rPr>
        <w:t>同</w:t>
      </w:r>
      <w:r>
        <w:t>价</w:t>
      </w:r>
      <w:r>
        <w:rPr>
          <w:spacing w:val="-3"/>
        </w:rPr>
        <w:t>格</w:t>
      </w:r>
      <w:r>
        <w:t>形</w:t>
      </w:r>
      <w:r>
        <w:rPr>
          <w:spacing w:val="-3"/>
        </w:rPr>
        <w:t>式</w:t>
      </w:r>
      <w:r>
        <w:t>：</w:t>
      </w:r>
      <w:r>
        <w:rPr>
          <w:u w:val="single"/>
        </w:rPr>
        <w:t xml:space="preserve"> </w:t>
      </w:r>
      <w:r>
        <w:rPr>
          <w:u w:val="single"/>
        </w:rPr>
        <w:tab/>
      </w:r>
      <w:r>
        <w:t>。五</w:t>
      </w:r>
      <w:r>
        <w:rPr>
          <w:spacing w:val="-3"/>
        </w:rPr>
        <w:t>、</w:t>
      </w:r>
      <w:r>
        <w:t>项</w:t>
      </w:r>
      <w:r>
        <w:rPr>
          <w:spacing w:val="-3"/>
        </w:rPr>
        <w:t>目</w:t>
      </w:r>
      <w:r>
        <w:t>经理</w:t>
      </w:r>
    </w:p>
    <w:p>
      <w:pPr>
        <w:pStyle w:val="13"/>
        <w:tabs>
          <w:tab w:val="left" w:pos="5470"/>
        </w:tabs>
        <w:spacing w:before="57" w:line="468" w:lineRule="auto"/>
        <w:ind w:left="535" w:right="4182" w:hanging="3"/>
      </w:pPr>
      <w:r>
        <w:drawing>
          <wp:anchor distT="0" distB="0" distL="0" distR="0" simplePos="0" relativeHeight="268140544" behindDoc="1" locked="0" layoutInCell="1" allowOverlap="1">
            <wp:simplePos x="0" y="0"/>
            <wp:positionH relativeFrom="page">
              <wp:posOffset>2054225</wp:posOffset>
            </wp:positionH>
            <wp:positionV relativeFrom="paragraph">
              <wp:posOffset>75565</wp:posOffset>
            </wp:positionV>
            <wp:extent cx="824865" cy="133985"/>
            <wp:effectExtent l="0" t="0" r="0" b="0"/>
            <wp:wrapNone/>
            <wp:docPr id="3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3.png"/>
                    <pic:cNvPicPr>
                      <a:picLocks noChangeAspect="1"/>
                    </pic:cNvPicPr>
                  </pic:nvPicPr>
                  <pic:blipFill>
                    <a:blip r:embed="rId28" cstate="print"/>
                    <a:stretch>
                      <a:fillRect/>
                    </a:stretch>
                  </pic:blipFill>
                  <pic:spPr>
                    <a:xfrm>
                      <a:off x="0" y="0"/>
                      <a:ext cx="824674" cy="134111"/>
                    </a:xfrm>
                    <a:prstGeom prst="rect">
                      <a:avLst/>
                    </a:prstGeom>
                  </pic:spPr>
                </pic:pic>
              </a:graphicData>
            </a:graphic>
          </wp:anchor>
        </w:drawing>
      </w:r>
      <w:r>
        <w:drawing>
          <wp:anchor distT="0" distB="0" distL="0" distR="0" simplePos="0" relativeHeight="268140544" behindDoc="1" locked="0" layoutInCell="1" allowOverlap="1">
            <wp:simplePos x="0" y="0"/>
            <wp:positionH relativeFrom="page">
              <wp:posOffset>3587750</wp:posOffset>
            </wp:positionH>
            <wp:positionV relativeFrom="paragraph">
              <wp:posOffset>75565</wp:posOffset>
            </wp:positionV>
            <wp:extent cx="622300" cy="133985"/>
            <wp:effectExtent l="0" t="0" r="0" b="0"/>
            <wp:wrapNone/>
            <wp:docPr id="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4.png"/>
                    <pic:cNvPicPr>
                      <a:picLocks noChangeAspect="1"/>
                    </pic:cNvPicPr>
                  </pic:nvPicPr>
                  <pic:blipFill>
                    <a:blip r:embed="rId29" cstate="print"/>
                    <a:stretch>
                      <a:fillRect/>
                    </a:stretch>
                  </pic:blipFill>
                  <pic:spPr>
                    <a:xfrm>
                      <a:off x="0" y="0"/>
                      <a:ext cx="622300" cy="134111"/>
                    </a:xfrm>
                    <a:prstGeom prst="rect">
                      <a:avLst/>
                    </a:prstGeom>
                  </pic:spPr>
                </pic:pic>
              </a:graphicData>
            </a:graphic>
          </wp:anchor>
        </w:drawing>
      </w:r>
      <w:r>
        <w:t>承包</w:t>
      </w:r>
      <w:r>
        <w:rPr>
          <w:spacing w:val="-3"/>
        </w:rPr>
        <w:t>人</w:t>
      </w:r>
      <w:r>
        <w:t>项</w:t>
      </w:r>
      <w:r>
        <w:rPr>
          <w:spacing w:val="-3"/>
        </w:rPr>
        <w:t>目</w:t>
      </w:r>
      <w:r>
        <w:t>经</w:t>
      </w:r>
      <w:r>
        <w:rPr>
          <w:spacing w:val="-3"/>
        </w:rPr>
        <w:t>理</w:t>
      </w:r>
      <w:r>
        <w:t>：</w:t>
      </w:r>
      <w:r>
        <w:rPr>
          <w:u w:val="single"/>
        </w:rPr>
        <w:t xml:space="preserve"> </w:t>
      </w:r>
      <w:r>
        <w:rPr>
          <w:u w:val="single"/>
        </w:rPr>
        <w:tab/>
      </w:r>
      <w:r>
        <w:t>。六</w:t>
      </w:r>
      <w:r>
        <w:rPr>
          <w:spacing w:val="-3"/>
        </w:rPr>
        <w:t>、</w:t>
      </w:r>
      <w:r>
        <w:t>合</w:t>
      </w:r>
      <w:r>
        <w:rPr>
          <w:spacing w:val="-3"/>
        </w:rPr>
        <w:t>同</w:t>
      </w:r>
      <w:r>
        <w:t>文</w:t>
      </w:r>
      <w:r>
        <w:rPr>
          <w:spacing w:val="-3"/>
        </w:rPr>
        <w:t>件</w:t>
      </w:r>
      <w:r>
        <w:t>构成</w:t>
      </w:r>
    </w:p>
    <w:p>
      <w:pPr>
        <w:pStyle w:val="13"/>
        <w:spacing w:before="58"/>
        <w:ind w:left="533"/>
      </w:pPr>
      <w:r>
        <w:t>本协议书与下列文件一起构成合同文件：</w:t>
      </w:r>
    </w:p>
    <w:p>
      <w:pPr>
        <w:pStyle w:val="13"/>
        <w:spacing w:before="9"/>
        <w:ind w:left="0"/>
        <w:rPr>
          <w:sz w:val="14"/>
        </w:rPr>
      </w:pPr>
    </w:p>
    <w:p>
      <w:pPr>
        <w:pStyle w:val="13"/>
        <w:ind w:left="533"/>
      </w:pPr>
      <w:r>
        <w:t>（1）中标通知书（如果有）；</w:t>
      </w:r>
    </w:p>
    <w:p>
      <w:pPr>
        <w:pStyle w:val="13"/>
        <w:spacing w:before="9"/>
        <w:ind w:left="0"/>
        <w:rPr>
          <w:sz w:val="14"/>
        </w:rPr>
      </w:pPr>
    </w:p>
    <w:p>
      <w:pPr>
        <w:pStyle w:val="13"/>
        <w:ind w:left="533"/>
      </w:pPr>
      <w:r>
        <w:t>（2）投标函及其附录（如果有）；</w:t>
      </w:r>
    </w:p>
    <w:p>
      <w:pPr>
        <w:pStyle w:val="13"/>
        <w:spacing w:before="9"/>
        <w:ind w:left="0"/>
        <w:rPr>
          <w:sz w:val="14"/>
        </w:rPr>
      </w:pPr>
    </w:p>
    <w:p>
      <w:pPr>
        <w:pStyle w:val="13"/>
        <w:ind w:left="533"/>
      </w:pPr>
      <w:r>
        <w:t>（3）专用合同条款及其附件；</w:t>
      </w:r>
    </w:p>
    <w:p>
      <w:pPr>
        <w:pStyle w:val="13"/>
        <w:spacing w:before="9"/>
        <w:ind w:left="0"/>
        <w:rPr>
          <w:sz w:val="14"/>
        </w:rPr>
      </w:pPr>
    </w:p>
    <w:p>
      <w:pPr>
        <w:pStyle w:val="13"/>
        <w:ind w:left="533"/>
      </w:pPr>
      <w:r>
        <w:t>（4）通用合同条款；</w:t>
      </w:r>
    </w:p>
    <w:p>
      <w:pPr>
        <w:pStyle w:val="13"/>
        <w:spacing w:before="9"/>
        <w:ind w:left="0"/>
        <w:rPr>
          <w:sz w:val="14"/>
        </w:rPr>
      </w:pPr>
    </w:p>
    <w:p>
      <w:pPr>
        <w:pStyle w:val="13"/>
        <w:ind w:left="533"/>
      </w:pPr>
      <w:r>
        <w:t>（5）技术标准和要求；</w:t>
      </w:r>
    </w:p>
    <w:p>
      <w:pPr>
        <w:pStyle w:val="13"/>
        <w:spacing w:before="9"/>
        <w:ind w:left="0"/>
        <w:rPr>
          <w:sz w:val="14"/>
        </w:rPr>
      </w:pPr>
    </w:p>
    <w:p>
      <w:pPr>
        <w:pStyle w:val="13"/>
        <w:ind w:left="533"/>
      </w:pPr>
      <w:r>
        <w:t>（6）图纸；</w:t>
      </w:r>
    </w:p>
    <w:p>
      <w:pPr>
        <w:pStyle w:val="13"/>
        <w:spacing w:before="9"/>
        <w:ind w:left="0"/>
        <w:rPr>
          <w:sz w:val="14"/>
        </w:rPr>
      </w:pPr>
    </w:p>
    <w:p>
      <w:pPr>
        <w:pStyle w:val="13"/>
        <w:ind w:left="533"/>
      </w:pPr>
      <w:r>
        <w:t>（7）已标价工程量清单或预算书；</w:t>
      </w:r>
    </w:p>
    <w:p>
      <w:pPr>
        <w:pStyle w:val="13"/>
        <w:spacing w:before="9"/>
        <w:ind w:left="0"/>
        <w:rPr>
          <w:sz w:val="14"/>
        </w:rPr>
      </w:pPr>
    </w:p>
    <w:p>
      <w:pPr>
        <w:pStyle w:val="13"/>
        <w:ind w:left="533"/>
      </w:pPr>
      <w:r>
        <w:t>（8）其他合同文件。</w:t>
      </w:r>
    </w:p>
    <w:p>
      <w:pPr>
        <w:pStyle w:val="13"/>
        <w:spacing w:before="9"/>
        <w:ind w:left="0"/>
        <w:rPr>
          <w:sz w:val="14"/>
        </w:rPr>
      </w:pPr>
    </w:p>
    <w:p>
      <w:pPr>
        <w:pStyle w:val="13"/>
        <w:ind w:left="533"/>
      </w:pPr>
      <w:r>
        <w:t>在合同订立及履行过程中形成的与合同有关的文件均构成合同文件组成部分。</w:t>
      </w:r>
    </w:p>
    <w:p>
      <w:pPr>
        <w:pStyle w:val="13"/>
        <w:spacing w:before="9"/>
        <w:ind w:left="0"/>
        <w:rPr>
          <w:sz w:val="14"/>
        </w:rPr>
      </w:pPr>
    </w:p>
    <w:p>
      <w:pPr>
        <w:pStyle w:val="13"/>
        <w:spacing w:line="408" w:lineRule="auto"/>
        <w:ind w:right="91" w:firstLine="420"/>
      </w:pPr>
      <w:r>
        <w:rPr>
          <w:spacing w:val="-5"/>
        </w:rPr>
        <w:t>上述各项合同文件包括合同当事人就该项合同文件所作出的补充和修改，属于同一类内容的文件，应</w:t>
      </w:r>
      <w:r>
        <w:rPr>
          <w:spacing w:val="-4"/>
        </w:rPr>
        <w:t>以最新签署的为准。专用合同条款及其附件须经合同当事人签字或盖章。</w:t>
      </w:r>
    </w:p>
    <w:p>
      <w:pPr>
        <w:pStyle w:val="13"/>
        <w:spacing w:before="113"/>
        <w:ind w:left="535"/>
        <w:rPr>
          <w:b/>
          <w:bCs/>
        </w:rPr>
      </w:pPr>
      <w:r>
        <w:rPr>
          <w:b/>
          <w:bCs/>
        </w:rPr>
        <w:t>七、承诺</w:t>
      </w:r>
    </w:p>
    <w:p>
      <w:pPr>
        <w:pStyle w:val="13"/>
        <w:spacing w:before="7"/>
        <w:ind w:left="0"/>
        <w:rPr>
          <w:sz w:val="19"/>
        </w:rPr>
      </w:pPr>
    </w:p>
    <w:p>
      <w:pPr>
        <w:pStyle w:val="13"/>
        <w:spacing w:line="408" w:lineRule="auto"/>
        <w:ind w:right="86" w:firstLine="420"/>
      </w:pPr>
      <w:r>
        <w:t>1.</w:t>
      </w:r>
      <w:r>
        <w:rPr>
          <w:spacing w:val="-5"/>
        </w:rPr>
        <w:t>发包人承诺按照法律规定履行项目审批手续、筹集工程建设资金并按照合同约定的期限和方式支付</w:t>
      </w:r>
      <w:r>
        <w:rPr>
          <w:spacing w:val="-4"/>
        </w:rPr>
        <w:t>合同价款。</w:t>
      </w:r>
    </w:p>
    <w:p>
      <w:pPr>
        <w:pStyle w:val="13"/>
        <w:spacing w:before="45" w:line="408" w:lineRule="auto"/>
        <w:ind w:right="86" w:firstLine="420"/>
      </w:pPr>
      <w:r>
        <w:t>2.</w:t>
      </w:r>
      <w:r>
        <w:rPr>
          <w:spacing w:val="-5"/>
        </w:rPr>
        <w:t>承包人承诺按照法律规定及合同约定组织完成工程施工，确保工程质量和安全，不进行转包及违法</w:t>
      </w:r>
      <w:r>
        <w:rPr>
          <w:spacing w:val="-4"/>
        </w:rPr>
        <w:t>分包，并在缺陷责任期及保修期内承担相应的工程维修责任。</w:t>
      </w:r>
    </w:p>
    <w:p>
      <w:pPr>
        <w:pStyle w:val="13"/>
        <w:keepNext w:val="0"/>
        <w:keepLines w:val="0"/>
        <w:pageBreakBefore w:val="0"/>
        <w:widowControl w:val="0"/>
        <w:kinsoku/>
        <w:wordWrap/>
        <w:overflowPunct/>
        <w:topLinePunct w:val="0"/>
        <w:autoSpaceDE w:val="0"/>
        <w:autoSpaceDN w:val="0"/>
        <w:bidi w:val="0"/>
        <w:adjustRightInd/>
        <w:snapToGrid/>
        <w:spacing w:before="45" w:line="408" w:lineRule="auto"/>
        <w:ind w:firstLine="420" w:firstLineChars="200"/>
        <w:textAlignment w:val="auto"/>
        <w:rPr>
          <w:sz w:val="21"/>
        </w:rPr>
      </w:pPr>
      <w:r>
        <w:t>3.发包人和承包人通过招投标形式签订合同的，双方理解并承诺不再就同一工程另行签订与合同实质</w:t>
      </w:r>
      <w:r>
        <w:rPr>
          <w:sz w:val="21"/>
        </w:rPr>
        <w:t>性内容相背离的协议。</w:t>
      </w:r>
    </w:p>
    <w:p>
      <w:pPr>
        <w:pStyle w:val="13"/>
        <w:keepNext w:val="0"/>
        <w:keepLines w:val="0"/>
        <w:pageBreakBefore w:val="0"/>
        <w:widowControl w:val="0"/>
        <w:kinsoku/>
        <w:wordWrap/>
        <w:overflowPunct/>
        <w:topLinePunct w:val="0"/>
        <w:autoSpaceDE w:val="0"/>
        <w:autoSpaceDN w:val="0"/>
        <w:bidi w:val="0"/>
        <w:adjustRightInd/>
        <w:snapToGrid/>
        <w:spacing w:before="45" w:line="408" w:lineRule="auto"/>
        <w:ind w:left="533"/>
        <w:textAlignment w:val="auto"/>
        <w:rPr>
          <w:b/>
          <w:sz w:val="21"/>
        </w:rPr>
      </w:pPr>
      <w:r>
        <w:rPr>
          <w:b/>
          <w:sz w:val="21"/>
        </w:rPr>
        <w:t>八、词语含义</w:t>
      </w:r>
    </w:p>
    <w:p>
      <w:pPr>
        <w:pStyle w:val="13"/>
        <w:keepNext w:val="0"/>
        <w:keepLines w:val="0"/>
        <w:pageBreakBefore w:val="0"/>
        <w:widowControl w:val="0"/>
        <w:kinsoku/>
        <w:wordWrap/>
        <w:overflowPunct/>
        <w:topLinePunct w:val="0"/>
        <w:autoSpaceDE w:val="0"/>
        <w:autoSpaceDN w:val="0"/>
        <w:bidi w:val="0"/>
        <w:adjustRightInd/>
        <w:snapToGrid/>
        <w:spacing w:before="46" w:line="408" w:lineRule="auto"/>
        <w:ind w:left="535" w:right="2568" w:hanging="3"/>
        <w:textAlignment w:val="auto"/>
      </w:pPr>
      <w:r>
        <w:t>本协议书中词语含义与第二部分通用合同条款中赋予的含义相同。九、签订时间</w:t>
      </w:r>
    </w:p>
    <w:p>
      <w:pPr>
        <w:pStyle w:val="13"/>
        <w:tabs>
          <w:tab w:val="left" w:pos="2215"/>
          <w:tab w:val="left" w:pos="2948"/>
          <w:tab w:val="left" w:pos="3579"/>
        </w:tabs>
        <w:spacing w:before="56" w:line="468" w:lineRule="auto"/>
        <w:ind w:left="535" w:right="4782" w:hanging="3"/>
      </w:pPr>
      <w:r>
        <w:t>本合</w:t>
      </w:r>
      <w:r>
        <w:rPr>
          <w:spacing w:val="-3"/>
        </w:rPr>
        <w:t>同</w:t>
      </w:r>
      <w:r>
        <w:t>于</w:t>
      </w:r>
      <w:r>
        <w:rPr>
          <w:u w:val="single"/>
        </w:rPr>
        <w:t xml:space="preserve"> </w:t>
      </w:r>
      <w:r>
        <w:rPr>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r>
        <w:rPr>
          <w:spacing w:val="-3"/>
        </w:rPr>
        <w:t>签</w:t>
      </w:r>
      <w:r>
        <w:t>订。 十</w:t>
      </w:r>
      <w:r>
        <w:rPr>
          <w:spacing w:val="-3"/>
        </w:rPr>
        <w:t>、</w:t>
      </w:r>
      <w:r>
        <w:t>签</w:t>
      </w:r>
      <w:r>
        <w:rPr>
          <w:spacing w:val="-3"/>
        </w:rPr>
        <w:t>订</w:t>
      </w:r>
      <w:r>
        <w:t>地点</w:t>
      </w:r>
    </w:p>
    <w:p>
      <w:pPr>
        <w:pStyle w:val="13"/>
        <w:tabs>
          <w:tab w:val="left" w:pos="5153"/>
        </w:tabs>
        <w:spacing w:before="58" w:line="468" w:lineRule="auto"/>
        <w:ind w:left="535" w:right="3419" w:hanging="3"/>
      </w:pPr>
      <w:r>
        <w:t>本合</w:t>
      </w:r>
      <w:r>
        <w:rPr>
          <w:spacing w:val="-3"/>
        </w:rPr>
        <w:t>同</w:t>
      </w:r>
      <w:r>
        <w:t>在</w:t>
      </w:r>
      <w:r>
        <w:rPr>
          <w:u w:val="single"/>
        </w:rPr>
        <w:t xml:space="preserve"> </w:t>
      </w:r>
      <w:r>
        <w:rPr>
          <w:u w:val="single"/>
        </w:rPr>
        <w:tab/>
      </w:r>
      <w:r>
        <w:rPr>
          <w:spacing w:val="-3"/>
        </w:rPr>
        <w:t>签</w:t>
      </w:r>
      <w:r>
        <w:t>订。 十</w:t>
      </w:r>
      <w:r>
        <w:rPr>
          <w:spacing w:val="-3"/>
        </w:rPr>
        <w:t>一</w:t>
      </w:r>
      <w:r>
        <w:t>、</w:t>
      </w:r>
      <w:r>
        <w:rPr>
          <w:spacing w:val="-3"/>
        </w:rPr>
        <w:t>补</w:t>
      </w:r>
      <w:r>
        <w:t>充</w:t>
      </w:r>
      <w:r>
        <w:rPr>
          <w:spacing w:val="-3"/>
        </w:rPr>
        <w:t>协</w:t>
      </w:r>
      <w:r>
        <w:t>议</w:t>
      </w:r>
    </w:p>
    <w:p>
      <w:pPr>
        <w:pStyle w:val="13"/>
        <w:spacing w:before="56" w:line="468" w:lineRule="auto"/>
        <w:ind w:left="535" w:right="1518" w:hanging="3"/>
      </w:pPr>
      <w:r>
        <w:t>合同未尽事宜，合同当事人另行签订补充协议，补充协议是合同的组成部分。十二、合同生效</w:t>
      </w:r>
    </w:p>
    <w:p>
      <w:pPr>
        <w:pStyle w:val="13"/>
        <w:tabs>
          <w:tab w:val="left" w:pos="5050"/>
        </w:tabs>
        <w:spacing w:before="58" w:line="468" w:lineRule="auto"/>
        <w:ind w:left="535" w:right="3522" w:hanging="3"/>
      </w:pPr>
      <w:r>
        <w:t>本合</w:t>
      </w:r>
      <w:r>
        <w:rPr>
          <w:spacing w:val="-3"/>
        </w:rPr>
        <w:t>同</w:t>
      </w:r>
      <w:r>
        <w:t>自</w:t>
      </w:r>
      <w:r>
        <w:rPr>
          <w:u w:val="single"/>
        </w:rPr>
        <w:t xml:space="preserve"> </w:t>
      </w:r>
      <w:r>
        <w:rPr>
          <w:u w:val="single"/>
        </w:rPr>
        <w:tab/>
      </w:r>
      <w:r>
        <w:rPr>
          <w:spacing w:val="-3"/>
        </w:rPr>
        <w:t>生</w:t>
      </w:r>
      <w:r>
        <w:t>效。 十</w:t>
      </w:r>
      <w:r>
        <w:rPr>
          <w:spacing w:val="-3"/>
        </w:rPr>
        <w:t>三</w:t>
      </w:r>
      <w:r>
        <w:t>、</w:t>
      </w:r>
      <w:r>
        <w:rPr>
          <w:spacing w:val="-3"/>
        </w:rPr>
        <w:t>合</w:t>
      </w:r>
      <w:r>
        <w:t>同</w:t>
      </w:r>
      <w:r>
        <w:rPr>
          <w:spacing w:val="-3"/>
        </w:rPr>
        <w:t>份</w:t>
      </w:r>
      <w:r>
        <w:t>数</w:t>
      </w:r>
    </w:p>
    <w:p>
      <w:pPr>
        <w:pStyle w:val="13"/>
        <w:tabs>
          <w:tab w:val="left" w:pos="2004"/>
          <w:tab w:val="left" w:pos="5787"/>
          <w:tab w:val="left" w:pos="7467"/>
        </w:tabs>
        <w:spacing w:before="56"/>
        <w:ind w:left="533"/>
      </w:pPr>
      <w:r>
        <w:t>本合</w:t>
      </w:r>
      <w:r>
        <w:rPr>
          <w:spacing w:val="-3"/>
        </w:rPr>
        <w:t>同</w:t>
      </w:r>
      <w:r>
        <w:t>一</w:t>
      </w:r>
      <w:r>
        <w:rPr>
          <w:spacing w:val="-3"/>
        </w:rPr>
        <w:t>式</w:t>
      </w:r>
      <w:r>
        <w:rPr>
          <w:spacing w:val="-3"/>
          <w:u w:val="single"/>
        </w:rPr>
        <w:t xml:space="preserve"> </w:t>
      </w:r>
      <w:r>
        <w:rPr>
          <w:spacing w:val="-3"/>
          <w:u w:val="single"/>
        </w:rPr>
        <w:tab/>
      </w:r>
      <w:r>
        <w:t>份</w:t>
      </w:r>
      <w:r>
        <w:rPr>
          <w:spacing w:val="-3"/>
        </w:rPr>
        <w:t>，</w:t>
      </w:r>
      <w:r>
        <w:t>均</w:t>
      </w:r>
      <w:r>
        <w:rPr>
          <w:spacing w:val="-3"/>
        </w:rPr>
        <w:t>具</w:t>
      </w:r>
      <w:r>
        <w:t>有同</w:t>
      </w:r>
      <w:r>
        <w:rPr>
          <w:spacing w:val="-3"/>
        </w:rPr>
        <w:t>等</w:t>
      </w:r>
      <w:r>
        <w:t>法</w:t>
      </w:r>
      <w:r>
        <w:rPr>
          <w:spacing w:val="-3"/>
        </w:rPr>
        <w:t>律</w:t>
      </w:r>
      <w:r>
        <w:t>效</w:t>
      </w:r>
      <w:r>
        <w:rPr>
          <w:spacing w:val="-3"/>
        </w:rPr>
        <w:t>力</w:t>
      </w:r>
      <w:r>
        <w:t>，</w:t>
      </w:r>
      <w:r>
        <w:rPr>
          <w:spacing w:val="-3"/>
        </w:rPr>
        <w:t>发</w:t>
      </w:r>
      <w:r>
        <w:t>包</w:t>
      </w:r>
      <w:r>
        <w:rPr>
          <w:spacing w:val="-3"/>
        </w:rPr>
        <w:t>人</w:t>
      </w:r>
      <w:r>
        <w:t>执</w:t>
      </w:r>
      <w:r>
        <w:rPr>
          <w:u w:val="single"/>
        </w:rPr>
        <w:t xml:space="preserve"> </w:t>
      </w:r>
      <w:r>
        <w:rPr>
          <w:u w:val="single"/>
        </w:rPr>
        <w:tab/>
      </w:r>
      <w:r>
        <w:t>份</w:t>
      </w:r>
      <w:r>
        <w:rPr>
          <w:spacing w:val="-3"/>
        </w:rPr>
        <w:t>，</w:t>
      </w:r>
      <w:r>
        <w:t>承</w:t>
      </w:r>
      <w:r>
        <w:rPr>
          <w:spacing w:val="-3"/>
        </w:rPr>
        <w:t>包</w:t>
      </w:r>
      <w:r>
        <w:t>人</w:t>
      </w:r>
      <w:r>
        <w:rPr>
          <w:spacing w:val="-3"/>
        </w:rPr>
        <w:t>执</w:t>
      </w:r>
      <w:r>
        <w:rPr>
          <w:spacing w:val="-3"/>
          <w:u w:val="single"/>
        </w:rPr>
        <w:t xml:space="preserve"> </w:t>
      </w:r>
      <w:r>
        <w:rPr>
          <w:spacing w:val="-3"/>
          <w:u w:val="single"/>
        </w:rPr>
        <w:tab/>
      </w:r>
      <w:r>
        <w:t>份。</w:t>
      </w:r>
    </w:p>
    <w:p>
      <w:pPr>
        <w:pStyle w:val="13"/>
        <w:ind w:left="0"/>
        <w:rPr>
          <w:sz w:val="22"/>
        </w:rPr>
      </w:pPr>
    </w:p>
    <w:p>
      <w:pPr>
        <w:pStyle w:val="13"/>
        <w:spacing w:before="6"/>
        <w:ind w:left="0"/>
        <w:rPr>
          <w:sz w:val="28"/>
        </w:rPr>
      </w:pPr>
    </w:p>
    <w:p>
      <w:pPr>
        <w:pStyle w:val="13"/>
        <w:tabs>
          <w:tab w:val="left" w:pos="1164"/>
          <w:tab w:val="left" w:pos="3159"/>
          <w:tab w:val="left" w:pos="4210"/>
        </w:tabs>
        <w:spacing w:before="1"/>
      </w:pPr>
      <w:r>
        <w:t>发包人：</w:t>
      </w:r>
      <w:r>
        <w:tab/>
      </w:r>
      <w:r>
        <w:t>(</w:t>
      </w:r>
      <w:r>
        <w:rPr>
          <w:spacing w:val="-3"/>
        </w:rPr>
        <w:t>公</w:t>
      </w:r>
      <w:r>
        <w:t>章)</w:t>
      </w:r>
      <w:r>
        <w:tab/>
      </w:r>
      <w:r>
        <w:t>承</w:t>
      </w:r>
      <w:r>
        <w:rPr>
          <w:spacing w:val="-3"/>
        </w:rPr>
        <w:t>包</w:t>
      </w:r>
      <w:r>
        <w:t>人：</w:t>
      </w:r>
      <w:r>
        <w:tab/>
      </w:r>
      <w:r>
        <w:rPr>
          <w:spacing w:val="-3"/>
        </w:rPr>
        <w:t>(</w:t>
      </w:r>
      <w:r>
        <w:t>公章)</w:t>
      </w:r>
    </w:p>
    <w:p>
      <w:pPr>
        <w:pStyle w:val="13"/>
        <w:ind w:left="0"/>
        <w:rPr>
          <w:sz w:val="20"/>
        </w:rPr>
      </w:pPr>
    </w:p>
    <w:p>
      <w:pPr>
        <w:pStyle w:val="13"/>
        <w:ind w:left="0"/>
        <w:rPr>
          <w:sz w:val="20"/>
        </w:rPr>
      </w:pPr>
    </w:p>
    <w:p>
      <w:pPr>
        <w:pStyle w:val="13"/>
        <w:tabs>
          <w:tab w:val="left" w:pos="3056"/>
        </w:tabs>
        <w:spacing w:before="138"/>
      </w:pPr>
      <w:r>
        <w:t>法定</w:t>
      </w:r>
      <w:r>
        <w:rPr>
          <w:spacing w:val="-3"/>
        </w:rPr>
        <w:t>代</w:t>
      </w:r>
      <w:r>
        <w:t>表</w:t>
      </w:r>
      <w:r>
        <w:rPr>
          <w:spacing w:val="-3"/>
        </w:rPr>
        <w:t>人</w:t>
      </w:r>
      <w:r>
        <w:t>或</w:t>
      </w:r>
      <w:r>
        <w:rPr>
          <w:spacing w:val="-3"/>
        </w:rPr>
        <w:t>其</w:t>
      </w:r>
      <w:r>
        <w:t>委</w:t>
      </w:r>
      <w:r>
        <w:rPr>
          <w:spacing w:val="-3"/>
        </w:rPr>
        <w:t>托</w:t>
      </w:r>
      <w:r>
        <w:t>代</w:t>
      </w:r>
      <w:r>
        <w:rPr>
          <w:spacing w:val="-3"/>
        </w:rPr>
        <w:t>理</w:t>
      </w:r>
      <w:r>
        <w:t>人：</w:t>
      </w:r>
      <w:r>
        <w:tab/>
      </w:r>
      <w:r>
        <w:t>法</w:t>
      </w:r>
      <w:r>
        <w:rPr>
          <w:spacing w:val="-3"/>
        </w:rPr>
        <w:t>定</w:t>
      </w:r>
      <w:r>
        <w:t>代</w:t>
      </w:r>
      <w:r>
        <w:rPr>
          <w:spacing w:val="-3"/>
        </w:rPr>
        <w:t>表</w:t>
      </w:r>
      <w:r>
        <w:t>人</w:t>
      </w:r>
      <w:r>
        <w:rPr>
          <w:spacing w:val="-3"/>
        </w:rPr>
        <w:t>或</w:t>
      </w:r>
      <w:r>
        <w:t>其</w:t>
      </w:r>
      <w:r>
        <w:rPr>
          <w:spacing w:val="-3"/>
        </w:rPr>
        <w:t>委</w:t>
      </w:r>
      <w:r>
        <w:t>托代</w:t>
      </w:r>
      <w:r>
        <w:rPr>
          <w:spacing w:val="-3"/>
        </w:rPr>
        <w:t>理</w:t>
      </w:r>
      <w:r>
        <w:t>人：</w:t>
      </w:r>
    </w:p>
    <w:p>
      <w:pPr>
        <w:pStyle w:val="13"/>
        <w:spacing w:before="9"/>
        <w:ind w:left="0"/>
        <w:rPr>
          <w:sz w:val="14"/>
        </w:rPr>
      </w:pPr>
    </w:p>
    <w:p>
      <w:pPr>
        <w:pStyle w:val="13"/>
        <w:tabs>
          <w:tab w:val="left" w:pos="3053"/>
        </w:tabs>
      </w:pPr>
      <w:r>
        <w:t>（签</w:t>
      </w:r>
      <w:r>
        <w:rPr>
          <w:spacing w:val="-3"/>
        </w:rPr>
        <w:t>字</w:t>
      </w:r>
      <w:r>
        <w:t>）</w:t>
      </w:r>
      <w:r>
        <w:tab/>
      </w:r>
      <w:r>
        <w:t>（</w:t>
      </w:r>
      <w:r>
        <w:rPr>
          <w:spacing w:val="-3"/>
        </w:rPr>
        <w:t>签</w:t>
      </w:r>
      <w:r>
        <w:t>字）</w:t>
      </w:r>
    </w:p>
    <w:p>
      <w:pPr>
        <w:pStyle w:val="13"/>
        <w:ind w:left="0"/>
        <w:rPr>
          <w:sz w:val="20"/>
        </w:rPr>
      </w:pPr>
    </w:p>
    <w:p>
      <w:pPr>
        <w:pStyle w:val="13"/>
        <w:ind w:left="0"/>
        <w:rPr>
          <w:sz w:val="20"/>
        </w:rPr>
      </w:pPr>
    </w:p>
    <w:p>
      <w:pPr>
        <w:pStyle w:val="13"/>
        <w:tabs>
          <w:tab w:val="left" w:pos="2998"/>
          <w:tab w:val="left" w:pos="6356"/>
        </w:tabs>
        <w:spacing w:before="137"/>
        <w:rPr>
          <w:rFonts w:ascii="Times New Roman" w:eastAsia="Times New Roman"/>
        </w:rPr>
      </w:pPr>
      <w:r>
        <w:drawing>
          <wp:anchor distT="0" distB="0" distL="0" distR="0" simplePos="0" relativeHeight="268140544" behindDoc="1" locked="0" layoutInCell="1" allowOverlap="1">
            <wp:simplePos x="0" y="0"/>
            <wp:positionH relativeFrom="page">
              <wp:posOffset>1653540</wp:posOffset>
            </wp:positionH>
            <wp:positionV relativeFrom="paragraph">
              <wp:posOffset>126365</wp:posOffset>
            </wp:positionV>
            <wp:extent cx="953135" cy="133985"/>
            <wp:effectExtent l="0" t="0" r="0" b="0"/>
            <wp:wrapNone/>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5.png"/>
                    <pic:cNvPicPr>
                      <a:picLocks noChangeAspect="1"/>
                    </pic:cNvPicPr>
                  </pic:nvPicPr>
                  <pic:blipFill>
                    <a:blip r:embed="rId26" cstate="print"/>
                    <a:stretch>
                      <a:fillRect/>
                    </a:stretch>
                  </pic:blipFill>
                  <pic:spPr>
                    <a:xfrm>
                      <a:off x="0" y="0"/>
                      <a:ext cx="952931" cy="134112"/>
                    </a:xfrm>
                    <a:prstGeom prst="rect">
                      <a:avLst/>
                    </a:prstGeom>
                  </pic:spPr>
                </pic:pic>
              </a:graphicData>
            </a:graphic>
          </wp:anchor>
        </w:drawing>
      </w:r>
      <w:r>
        <w:drawing>
          <wp:anchor distT="0" distB="0" distL="0" distR="0" simplePos="0" relativeHeight="268140544" behindDoc="1" locked="0" layoutInCell="1" allowOverlap="1">
            <wp:simplePos x="0" y="0"/>
            <wp:positionH relativeFrom="page">
              <wp:posOffset>3587750</wp:posOffset>
            </wp:positionH>
            <wp:positionV relativeFrom="paragraph">
              <wp:posOffset>126365</wp:posOffset>
            </wp:positionV>
            <wp:extent cx="622935" cy="133985"/>
            <wp:effectExtent l="0" t="0" r="0" b="0"/>
            <wp:wrapNone/>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6.png"/>
                    <pic:cNvPicPr>
                      <a:picLocks noChangeAspect="1"/>
                    </pic:cNvPicPr>
                  </pic:nvPicPr>
                  <pic:blipFill>
                    <a:blip r:embed="rId29" cstate="print"/>
                    <a:stretch>
                      <a:fillRect/>
                    </a:stretch>
                  </pic:blipFill>
                  <pic:spPr>
                    <a:xfrm>
                      <a:off x="0" y="0"/>
                      <a:ext cx="622808" cy="134112"/>
                    </a:xfrm>
                    <a:prstGeom prst="rect">
                      <a:avLst/>
                    </a:prstGeom>
                  </pic:spPr>
                </pic:pic>
              </a:graphicData>
            </a:graphic>
          </wp:anchor>
        </w:drawing>
      </w:r>
      <w:r>
        <w:t>组织</w:t>
      </w:r>
      <w:r>
        <w:rPr>
          <w:spacing w:val="-3"/>
        </w:rPr>
        <w:t>机</w:t>
      </w:r>
      <w:r>
        <w:t>构</w:t>
      </w:r>
      <w:r>
        <w:rPr>
          <w:spacing w:val="-3"/>
        </w:rPr>
        <w:t>代</w:t>
      </w:r>
      <w:r>
        <w:t>码</w:t>
      </w:r>
      <w:r>
        <w:rPr>
          <w:spacing w:val="-3"/>
        </w:rPr>
        <w:t>：</w:t>
      </w:r>
      <w:r>
        <w:rPr>
          <w:spacing w:val="-3"/>
          <w:u w:val="single"/>
        </w:rPr>
        <w:tab/>
      </w:r>
      <w:r>
        <w:rPr>
          <w:rFonts w:hint="eastAsia"/>
          <w:spacing w:val="-3"/>
          <w:u w:val="single"/>
          <w:lang w:val="en-US" w:eastAsia="zh-CN"/>
        </w:rPr>
        <w:t xml:space="preserve">   </w:t>
      </w:r>
      <w:r>
        <w:rPr>
          <w:rFonts w:hint="eastAsia"/>
          <w:spacing w:val="-3"/>
          <w:u w:val="none"/>
          <w:lang w:val="en-US" w:eastAsia="zh-CN"/>
        </w:rPr>
        <w:t xml:space="preserve">    </w:t>
      </w:r>
      <w:r>
        <w:t>组</w:t>
      </w:r>
      <w:r>
        <w:rPr>
          <w:spacing w:val="-3"/>
        </w:rPr>
        <w:t>织</w:t>
      </w:r>
      <w:r>
        <w:t>机</w:t>
      </w:r>
      <w:r>
        <w:rPr>
          <w:spacing w:val="-3"/>
        </w:rPr>
        <w:t>构</w:t>
      </w:r>
      <w:r>
        <w:t>代</w:t>
      </w:r>
      <w:r>
        <w:rPr>
          <w:spacing w:val="-3"/>
        </w:rPr>
        <w:t>码</w:t>
      </w:r>
      <w: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13"/>
        </w:rPr>
      </w:pPr>
    </w:p>
    <w:p>
      <w:pPr>
        <w:pStyle w:val="13"/>
        <w:tabs>
          <w:tab w:val="left" w:pos="535"/>
          <w:tab w:val="left" w:pos="2998"/>
          <w:tab w:val="left" w:pos="3579"/>
          <w:tab w:val="left" w:pos="6356"/>
        </w:tabs>
        <w:spacing w:before="43"/>
        <w:rPr>
          <w:rFonts w:ascii="Times New Roman" w:eastAsia="Times New Roman"/>
        </w:rPr>
      </w:pPr>
      <w:r>
        <w:drawing>
          <wp:anchor distT="0" distB="0" distL="0" distR="0" simplePos="0" relativeHeight="268140544" behindDoc="1" locked="0" layoutInCell="1" allowOverlap="1">
            <wp:simplePos x="0" y="0"/>
            <wp:positionH relativeFrom="page">
              <wp:posOffset>1319530</wp:posOffset>
            </wp:positionH>
            <wp:positionV relativeFrom="paragraph">
              <wp:posOffset>66675</wp:posOffset>
            </wp:positionV>
            <wp:extent cx="1310640" cy="133985"/>
            <wp:effectExtent l="0" t="0" r="0" b="0"/>
            <wp:wrapNone/>
            <wp:docPr id="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7.png"/>
                    <pic:cNvPicPr>
                      <a:picLocks noChangeAspect="1"/>
                    </pic:cNvPicPr>
                  </pic:nvPicPr>
                  <pic:blipFill>
                    <a:blip r:embed="rId30" cstate="print"/>
                    <a:stretch>
                      <a:fillRect/>
                    </a:stretch>
                  </pic:blipFill>
                  <pic:spPr>
                    <a:xfrm>
                      <a:off x="0" y="0"/>
                      <a:ext cx="1310386" cy="134112"/>
                    </a:xfrm>
                    <a:prstGeom prst="rect">
                      <a:avLst/>
                    </a:prstGeom>
                  </pic:spPr>
                </pic:pic>
              </a:graphicData>
            </a:graphic>
          </wp:anchor>
        </w:drawing>
      </w:r>
      <w:r>
        <mc:AlternateContent>
          <mc:Choice Requires="wpg">
            <w:drawing>
              <wp:anchor distT="0" distB="0" distL="114300" distR="114300" simplePos="0" relativeHeight="503022592" behindDoc="1" locked="0" layoutInCell="1" allowOverlap="1">
                <wp:simplePos x="0" y="0"/>
                <wp:positionH relativeFrom="page">
                  <wp:posOffset>3187065</wp:posOffset>
                </wp:positionH>
                <wp:positionV relativeFrom="paragraph">
                  <wp:posOffset>66675</wp:posOffset>
                </wp:positionV>
                <wp:extent cx="1235075" cy="134620"/>
                <wp:effectExtent l="0" t="0" r="0" b="0"/>
                <wp:wrapNone/>
                <wp:docPr id="124" name="组合 13"/>
                <wp:cNvGraphicFramePr/>
                <a:graphic xmlns:a="http://schemas.openxmlformats.org/drawingml/2006/main">
                  <a:graphicData uri="http://schemas.microsoft.com/office/word/2010/wordprocessingGroup">
                    <wpg:wgp>
                      <wpg:cNvGrpSpPr/>
                      <wpg:grpSpPr>
                        <a:xfrm>
                          <a:off x="0" y="0"/>
                          <a:ext cx="1235075" cy="134620"/>
                          <a:chOff x="5019" y="106"/>
                          <a:chExt cx="1945" cy="212"/>
                        </a:xfrm>
                      </wpg:grpSpPr>
                      <pic:pic xmlns:pic="http://schemas.openxmlformats.org/drawingml/2006/picture">
                        <pic:nvPicPr>
                          <pic:cNvPr id="118" name="图片 14"/>
                          <pic:cNvPicPr>
                            <a:picLocks noChangeAspect="1"/>
                          </pic:cNvPicPr>
                        </pic:nvPicPr>
                        <pic:blipFill>
                          <a:blip r:embed="rId31"/>
                          <a:stretch>
                            <a:fillRect/>
                          </a:stretch>
                        </pic:blipFill>
                        <pic:spPr>
                          <a:xfrm>
                            <a:off x="5019" y="105"/>
                            <a:ext cx="1050" cy="212"/>
                          </a:xfrm>
                          <a:prstGeom prst="rect">
                            <a:avLst/>
                          </a:prstGeom>
                          <a:noFill/>
                          <a:ln>
                            <a:noFill/>
                          </a:ln>
                        </pic:spPr>
                      </pic:pic>
                      <pic:pic xmlns:pic="http://schemas.openxmlformats.org/drawingml/2006/picture">
                        <pic:nvPicPr>
                          <pic:cNvPr id="120" name="图片 15"/>
                          <pic:cNvPicPr>
                            <a:picLocks noChangeAspect="1"/>
                          </pic:cNvPicPr>
                        </pic:nvPicPr>
                        <pic:blipFill>
                          <a:blip r:embed="rId23"/>
                          <a:stretch>
                            <a:fillRect/>
                          </a:stretch>
                        </pic:blipFill>
                        <pic:spPr>
                          <a:xfrm>
                            <a:off x="5962" y="105"/>
                            <a:ext cx="634" cy="212"/>
                          </a:xfrm>
                          <a:prstGeom prst="rect">
                            <a:avLst/>
                          </a:prstGeom>
                          <a:noFill/>
                          <a:ln>
                            <a:noFill/>
                          </a:ln>
                        </pic:spPr>
                      </pic:pic>
                      <pic:pic xmlns:pic="http://schemas.openxmlformats.org/drawingml/2006/picture">
                        <pic:nvPicPr>
                          <pic:cNvPr id="122" name="图片 16"/>
                          <pic:cNvPicPr>
                            <a:picLocks noChangeAspect="1"/>
                          </pic:cNvPicPr>
                        </pic:nvPicPr>
                        <pic:blipFill>
                          <a:blip r:embed="rId32"/>
                          <a:stretch>
                            <a:fillRect/>
                          </a:stretch>
                        </pic:blipFill>
                        <pic:spPr>
                          <a:xfrm>
                            <a:off x="6488" y="105"/>
                            <a:ext cx="476" cy="212"/>
                          </a:xfrm>
                          <a:prstGeom prst="rect">
                            <a:avLst/>
                          </a:prstGeom>
                          <a:noFill/>
                          <a:ln>
                            <a:noFill/>
                          </a:ln>
                        </pic:spPr>
                      </pic:pic>
                    </wpg:wgp>
                  </a:graphicData>
                </a:graphic>
              </wp:anchor>
            </w:drawing>
          </mc:Choice>
          <mc:Fallback>
            <w:pict>
              <v:group id="组合 13" o:spid="_x0000_s1026" o:spt="203" style="position:absolute;left:0pt;margin-left:250.95pt;margin-top:5.25pt;height:10.6pt;width:97.25pt;mso-position-horizontal-relative:page;z-index:-293888;mso-width-relative:page;mso-height-relative:page;" coordorigin="5019,106" coordsize="1945,212" o:gfxdata="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DcnR2HGAAAAKQIAABkA&#10;AABkcnMvX3JlbHMvZTJvRG9jLnhtbC5yZWxzvZHBagIxEIbvQt8hzL2b3RWKiFkvIngV+wBDMpsN&#10;biYhiaW+vYFSqCD15nFm+L//g9lsv/0svihlF1hB17QgiHUwjq2Cz9P+fQUiF2SDc2BScKUM2+Ft&#10;sTnSjKWG8uRiFpXCWcFUSlxLmfVEHnMTInG9jCF5LHVMVkbUZ7Qk+7b9kOkvA4Y7pjgYBelgliBO&#10;11ibn7PDODpNu6Avnrg8qJDO1+4KxGSpKPBkHP4sl01kC/KxQ/8ah/4/h+41Dt2vg7x78HAD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">
                <o:lock v:ext="edit" aspectratio="f"/>
                <v:shape id="图片 14" o:spid="_x0000_s1026" o:spt="75" type="#_x0000_t75" style="position:absolute;left:5019;top:105;height:212;width:1050;" filled="f" o:preferrelative="t" stroked="f" coordsize="21600,21600" o:gfxdata="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OZIULsAAADc&#10;AAAADwAAAAAAAAABACAAAAAiAAAAZHJzL2Rvd25yZXYueG1sUEsBAhQAFAAAAAgAh07iQDMvBZ47&#10;AAAAOQAAABAAAAAAAAAAAQAgAAAACgEAAGRycy9zaGFwZXhtbC54bWxQSwUGAAAAAAYABgBbAQAA&#10;tAMAAAAA&#10;">
                  <v:fill on="f" focussize="0,0"/>
                  <v:stroke on="f"/>
                  <v:imagedata r:id="rId31" o:title=""/>
                  <o:lock v:ext="edit" aspectratio="t"/>
                </v:shape>
                <v:shape id="图片 15" o:spid="_x0000_s1026" o:spt="75" type="#_x0000_t75" style="position:absolute;left:5962;top:105;height:212;width:634;" filled="f" o:preferrelative="t" stroked="f" coordsize="21600,21600" o:gfxdata="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VJ3y/&#10;AAAA3AAAAA8AAAAAAAAAAQAgAAAAIgAAAGRycy9kb3ducmV2LnhtbFBLAQIUABQAAAAIAIdO4kAz&#10;LwWeOwAAADkAAAAQAAAAAAAAAAEAIAAAAA4BAABkcnMvc2hhcGV4bWwueG1sUEsFBgAAAAAGAAYA&#10;WwEAALgDAAAAAA==&#10;">
                  <v:fill on="f" focussize="0,0"/>
                  <v:stroke on="f"/>
                  <v:imagedata r:id="rId23" o:title=""/>
                  <o:lock v:ext="edit" aspectratio="t"/>
                </v:shape>
                <v:shape id="图片 16" o:spid="_x0000_s1026" o:spt="75" type="#_x0000_t75" style="position:absolute;left:6488;top:105;height:212;width:476;" filled="f" o:preferrelative="t" stroked="f" coordsize="21600,21600" o:gfxdata="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XFQW8AAAA&#10;3AAAAA8AAAAAAAAAAQAgAAAAIgAAAGRycy9kb3ducmV2LnhtbFBLAQIUABQAAAAIAIdO4kAzLwWe&#10;OwAAADkAAAAQAAAAAAAAAAEAIAAAAAsBAABkcnMvc2hhcGV4bWwueG1sUEsFBgAAAAAGAAYAWwEA&#10;ALUDAAAAAA==&#10;">
                  <v:fill on="f" focussize="0,0"/>
                  <v:stroke on="f"/>
                  <v:imagedata r:id="rId32" o:title=""/>
                  <o:lock v:ext="edit" aspectratio="t"/>
                </v:shape>
              </v:group>
            </w:pict>
          </mc:Fallback>
        </mc:AlternateContent>
      </w:r>
      <w:r>
        <w:t>地</w:t>
      </w:r>
      <w:r>
        <w:tab/>
      </w:r>
      <w:r>
        <w:rPr>
          <w:spacing w:val="-3"/>
        </w:rPr>
        <w:t>址</w:t>
      </w:r>
      <w:r>
        <w:t>：</w:t>
      </w:r>
      <w:r>
        <w:rPr>
          <w:u w:val="single"/>
        </w:rPr>
        <w:tab/>
      </w:r>
      <w:r>
        <w:rPr>
          <w:rFonts w:hint="eastAsia"/>
          <w:u w:val="single"/>
          <w:lang w:val="en-US" w:eastAsia="zh-CN"/>
        </w:rPr>
        <w:t xml:space="preserve">    </w:t>
      </w:r>
      <w:r>
        <w:rPr>
          <w:rFonts w:hint="eastAsia"/>
          <w:u w:val="none"/>
          <w:lang w:val="en-US" w:eastAsia="zh-CN"/>
        </w:rPr>
        <w:t xml:space="preserve">   </w:t>
      </w:r>
      <w:r>
        <w:t>地址</w:t>
      </w:r>
      <w:r>
        <w:rPr>
          <w:spacing w:val="-3"/>
        </w:rP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13"/>
        </w:rPr>
      </w:pPr>
    </w:p>
    <w:p>
      <w:pPr>
        <w:pStyle w:val="13"/>
        <w:tabs>
          <w:tab w:val="left" w:pos="3000"/>
          <w:tab w:val="left" w:pos="6358"/>
        </w:tabs>
        <w:spacing w:before="43"/>
        <w:rPr>
          <w:rFonts w:ascii="Times New Roman" w:eastAsia="Times New Roman"/>
        </w:rPr>
      </w:pPr>
      <w:r>
        <mc:AlternateContent>
          <mc:Choice Requires="wpg">
            <w:drawing>
              <wp:anchor distT="0" distB="0" distL="114300" distR="114300" simplePos="0" relativeHeight="503022592" behindDoc="1" locked="0" layoutInCell="1" allowOverlap="1">
                <wp:simplePos x="0" y="0"/>
                <wp:positionH relativeFrom="page">
                  <wp:posOffset>1454150</wp:posOffset>
                </wp:positionH>
                <wp:positionV relativeFrom="paragraph">
                  <wp:posOffset>66675</wp:posOffset>
                </wp:positionV>
                <wp:extent cx="1090930" cy="134620"/>
                <wp:effectExtent l="0" t="0" r="0" b="0"/>
                <wp:wrapNone/>
                <wp:docPr id="130" name="组合 17"/>
                <wp:cNvGraphicFramePr/>
                <a:graphic xmlns:a="http://schemas.openxmlformats.org/drawingml/2006/main">
                  <a:graphicData uri="http://schemas.microsoft.com/office/word/2010/wordprocessingGroup">
                    <wpg:wgp>
                      <wpg:cNvGrpSpPr/>
                      <wpg:grpSpPr>
                        <a:xfrm>
                          <a:off x="0" y="0"/>
                          <a:ext cx="1090930" cy="134620"/>
                          <a:chOff x="2290" y="106"/>
                          <a:chExt cx="1718" cy="212"/>
                        </a:xfrm>
                      </wpg:grpSpPr>
                      <pic:pic xmlns:pic="http://schemas.openxmlformats.org/drawingml/2006/picture">
                        <pic:nvPicPr>
                          <pic:cNvPr id="126" name="图片 18"/>
                          <pic:cNvPicPr>
                            <a:picLocks noChangeAspect="1"/>
                          </pic:cNvPicPr>
                        </pic:nvPicPr>
                        <pic:blipFill>
                          <a:blip r:embed="rId25"/>
                          <a:stretch>
                            <a:fillRect/>
                          </a:stretch>
                        </pic:blipFill>
                        <pic:spPr>
                          <a:xfrm>
                            <a:off x="2290" y="105"/>
                            <a:ext cx="1262" cy="212"/>
                          </a:xfrm>
                          <a:prstGeom prst="rect">
                            <a:avLst/>
                          </a:prstGeom>
                          <a:noFill/>
                          <a:ln>
                            <a:noFill/>
                          </a:ln>
                        </pic:spPr>
                      </pic:pic>
                      <pic:pic xmlns:pic="http://schemas.openxmlformats.org/drawingml/2006/picture">
                        <pic:nvPicPr>
                          <pic:cNvPr id="128" name="图片 19"/>
                          <pic:cNvPicPr>
                            <a:picLocks noChangeAspect="1"/>
                          </pic:cNvPicPr>
                        </pic:nvPicPr>
                        <pic:blipFill>
                          <a:blip r:embed="rId33"/>
                          <a:stretch>
                            <a:fillRect/>
                          </a:stretch>
                        </pic:blipFill>
                        <pic:spPr>
                          <a:xfrm>
                            <a:off x="3444" y="105"/>
                            <a:ext cx="564" cy="212"/>
                          </a:xfrm>
                          <a:prstGeom prst="rect">
                            <a:avLst/>
                          </a:prstGeom>
                          <a:noFill/>
                          <a:ln>
                            <a:noFill/>
                          </a:ln>
                        </pic:spPr>
                      </pic:pic>
                    </wpg:wgp>
                  </a:graphicData>
                </a:graphic>
              </wp:anchor>
            </w:drawing>
          </mc:Choice>
          <mc:Fallback>
            <w:pict>
              <v:group id="组合 17" o:spid="_x0000_s1026" o:spt="203" style="position:absolute;left:0pt;margin-left:114.5pt;margin-top:5.25pt;height:10.6pt;width:85.9pt;mso-position-horizontal-relative:page;z-index:-293888;mso-width-relative:page;mso-height-relative:page;" coordorigin="2290,106" coordsize="1718,212" o:gfxdata="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">
                <o:lock v:ext="edit" aspectratio="f"/>
                <v:shape id="图片 18" o:spid="_x0000_s1026" o:spt="75" type="#_x0000_t75" style="position:absolute;left:2290;top:105;height:212;width:1262;" filled="f" o:preferrelative="t" stroked="f" coordsize="21600,21600" o:gfxdata="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79Dni5AAAA3AAA&#10;AA8AAAAAAAAAAQAgAAAAIgAAAGRycy9kb3ducmV2LnhtbFBLAQIUABQAAAAIAIdO4kAzLwWeOwAA&#10;ADkAAAAQAAAAAAAAAAEAIAAAAAgBAABkcnMvc2hhcGV4bWwueG1sUEsFBgAAAAAGAAYAWwEAALID&#10;AAAAAA==&#10;">
                  <v:fill on="f" focussize="0,0"/>
                  <v:stroke on="f"/>
                  <v:imagedata r:id="rId25" o:title=""/>
                  <o:lock v:ext="edit" aspectratio="t"/>
                </v:shape>
                <v:shape id="图片 19" o:spid="_x0000_s1026" o:spt="75" type="#_x0000_t75" style="position:absolute;left:3444;top:105;height:212;width:564;" filled="f" o:preferrelative="t" stroked="f" coordsize="21600,21600" o:gfxdata="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BehB&#10;wAAAANwAAAAPAAAAAAAAAAEAIAAAACIAAABkcnMvZG93bnJldi54bWxQSwECFAAUAAAACACHTuJA&#10;My8FnjsAAAA5AAAAEAAAAAAAAAABACAAAAAPAQAAZHJzL3NoYXBleG1sLnhtbFBLBQYAAAAABgAG&#10;AFsBAAC5AwAAAAA=&#10;">
                  <v:fill on="f" focussize="0,0"/>
                  <v:stroke on="f"/>
                  <v:imagedata r:id="rId33" o:title=""/>
                  <o:lock v:ext="edit" aspectratio="t"/>
                </v:shape>
              </v:group>
            </w:pict>
          </mc:Fallback>
        </mc:AlternateContent>
      </w:r>
      <w:r>
        <mc:AlternateContent>
          <mc:Choice Requires="wpg">
            <w:drawing>
              <wp:anchor distT="0" distB="0" distL="114300" distR="114300" simplePos="0" relativeHeight="503022592" behindDoc="1" locked="0" layoutInCell="1" allowOverlap="1">
                <wp:simplePos x="0" y="0"/>
                <wp:positionH relativeFrom="page">
                  <wp:posOffset>3321050</wp:posOffset>
                </wp:positionH>
                <wp:positionV relativeFrom="paragraph">
                  <wp:posOffset>66675</wp:posOffset>
                </wp:positionV>
                <wp:extent cx="1417320" cy="134620"/>
                <wp:effectExtent l="0" t="0" r="0" b="0"/>
                <wp:wrapNone/>
                <wp:docPr id="136" name="组合 20"/>
                <wp:cNvGraphicFramePr/>
                <a:graphic xmlns:a="http://schemas.openxmlformats.org/drawingml/2006/main">
                  <a:graphicData uri="http://schemas.microsoft.com/office/word/2010/wordprocessingGroup">
                    <wpg:wgp>
                      <wpg:cNvGrpSpPr/>
                      <wpg:grpSpPr>
                        <a:xfrm>
                          <a:off x="0" y="0"/>
                          <a:ext cx="1417320" cy="134620"/>
                          <a:chOff x="5231" y="106"/>
                          <a:chExt cx="2232" cy="212"/>
                        </a:xfrm>
                      </wpg:grpSpPr>
                      <pic:pic xmlns:pic="http://schemas.openxmlformats.org/drawingml/2006/picture">
                        <pic:nvPicPr>
                          <pic:cNvPr id="132" name="图片 21"/>
                          <pic:cNvPicPr>
                            <a:picLocks noChangeAspect="1"/>
                          </pic:cNvPicPr>
                        </pic:nvPicPr>
                        <pic:blipFill>
                          <a:blip r:embed="rId34"/>
                          <a:stretch>
                            <a:fillRect/>
                          </a:stretch>
                        </pic:blipFill>
                        <pic:spPr>
                          <a:xfrm>
                            <a:off x="5230" y="105"/>
                            <a:ext cx="1682" cy="212"/>
                          </a:xfrm>
                          <a:prstGeom prst="rect">
                            <a:avLst/>
                          </a:prstGeom>
                          <a:noFill/>
                          <a:ln>
                            <a:noFill/>
                          </a:ln>
                        </pic:spPr>
                      </pic:pic>
                      <pic:pic xmlns:pic="http://schemas.openxmlformats.org/drawingml/2006/picture">
                        <pic:nvPicPr>
                          <pic:cNvPr id="134" name="图片 22"/>
                          <pic:cNvPicPr>
                            <a:picLocks noChangeAspect="1"/>
                          </pic:cNvPicPr>
                        </pic:nvPicPr>
                        <pic:blipFill>
                          <a:blip r:embed="rId35"/>
                          <a:stretch>
                            <a:fillRect/>
                          </a:stretch>
                        </pic:blipFill>
                        <pic:spPr>
                          <a:xfrm>
                            <a:off x="6805" y="105"/>
                            <a:ext cx="657" cy="212"/>
                          </a:xfrm>
                          <a:prstGeom prst="rect">
                            <a:avLst/>
                          </a:prstGeom>
                          <a:noFill/>
                          <a:ln>
                            <a:noFill/>
                          </a:ln>
                        </pic:spPr>
                      </pic:pic>
                    </wpg:wgp>
                  </a:graphicData>
                </a:graphic>
              </wp:anchor>
            </w:drawing>
          </mc:Choice>
          <mc:Fallback>
            <w:pict>
              <v:group id="组合 20" o:spid="_x0000_s1026" o:spt="203" style="position:absolute;left:0pt;margin-left:261.5pt;margin-top:5.25pt;height:10.6pt;width:111.6pt;mso-position-horizontal-relative:page;z-index:-293888;mso-width-relative:page;mso-height-relative:page;" coordorigin="5231,106" coordsize="2232,212" o:gfxdata="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LmzwAL8AAAClAQAAGQAAAGRycy9fcmVscy9l&#10;Mm9Eb2MueG1sLnJlbHO9kMGKwjAQhu8L+w5h7tu0PSyymPYigldxH2BIpmmwmYQkir69gWVBQfDm&#10;cWb4v/9j1uPFL+JMKbvACrqmBUGsg3FsFfwetl8rELkgG1wCk4IrZRiHz4/1nhYsNZRnF7OoFM4K&#10;5lLij5RZz+QxNyES18sUksdSx2RlRH1ES7Jv22+Z7hkwPDDFzihIO9ODOFxjbX7NDtPkNG2CPnni&#10;8qRCOl+7KxCTpaLAk3H4t+ybyBbkc4fuPQ7dv4N8eO5wA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">
                <o:lock v:ext="edit" aspectratio="f"/>
                <v:shape id="图片 21" o:spid="_x0000_s1026" o:spt="75" type="#_x0000_t75" style="position:absolute;left:5230;top:105;height:212;width:1682;" filled="f" o:preferrelative="t" stroked="f" coordsize="21600,21600" o:gfxdata="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QqJbsAAADc&#10;AAAADwAAAAAAAAABACAAAAAiAAAAZHJzL2Rvd25yZXYueG1sUEsBAhQAFAAAAAgAh07iQDMvBZ47&#10;AAAAOQAAABAAAAAAAAAAAQAgAAAACgEAAGRycy9zaGFwZXhtbC54bWxQSwUGAAAAAAYABgBbAQAA&#10;tAMAAAAA&#10;">
                  <v:fill on="f" focussize="0,0"/>
                  <v:stroke on="f"/>
                  <v:imagedata r:id="rId34" o:title=""/>
                  <o:lock v:ext="edit" aspectratio="t"/>
                </v:shape>
                <v:shape id="图片 22" o:spid="_x0000_s1026" o:spt="75" type="#_x0000_t75" style="position:absolute;left:6805;top:105;height:212;width:657;" filled="f" o:preferrelative="t" stroked="f" coordsize="21600,21600" o:gfxdata="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qnUCvQAA&#10;ANwAAAAPAAAAAAAAAAEAIAAAACIAAABkcnMvZG93bnJldi54bWxQSwECFAAUAAAACACHTuJAMy8F&#10;njsAAAA5AAAAEAAAAAAAAAABACAAAAAMAQAAZHJzL3NoYXBleG1sLnhtbFBLBQYAAAAABgAGAFsB&#10;AAC2AwAAAAA=&#10;">
                  <v:fill on="f" focussize="0,0"/>
                  <v:stroke on="f"/>
                  <v:imagedata r:id="rId35" o:title=""/>
                  <o:lock v:ext="edit" aspectratio="t"/>
                </v:shape>
              </v:group>
            </w:pict>
          </mc:Fallback>
        </mc:AlternateContent>
      </w:r>
      <w:r>
        <w:t>邮政</w:t>
      </w:r>
      <w:r>
        <w:rPr>
          <w:spacing w:val="-3"/>
        </w:rPr>
        <w:t>编</w:t>
      </w:r>
      <w:r>
        <w:t>码</w:t>
      </w:r>
      <w:r>
        <w:rPr>
          <w:spacing w:val="-3"/>
        </w:rPr>
        <w:t>：</w:t>
      </w:r>
      <w:r>
        <w:rPr>
          <w:spacing w:val="-3"/>
          <w:u w:val="single"/>
        </w:rPr>
        <w:tab/>
      </w:r>
      <w:r>
        <w:rPr>
          <w:rFonts w:hint="eastAsia"/>
          <w:spacing w:val="-3"/>
          <w:u w:val="single"/>
          <w:lang w:val="en-US" w:eastAsia="zh-CN"/>
        </w:rPr>
        <w:t xml:space="preserve">     </w:t>
      </w:r>
      <w:r>
        <w:rPr>
          <w:rFonts w:hint="eastAsia"/>
          <w:spacing w:val="-3"/>
          <w:u w:val="none"/>
          <w:lang w:val="en-US" w:eastAsia="zh-CN"/>
        </w:rPr>
        <w:t xml:space="preserve">  </w:t>
      </w:r>
      <w:r>
        <w:rPr>
          <w:spacing w:val="-3"/>
        </w:rPr>
        <w:t>邮</w:t>
      </w:r>
      <w:r>
        <w:t>政</w:t>
      </w:r>
      <w:r>
        <w:rPr>
          <w:spacing w:val="-3"/>
        </w:rPr>
        <w:t>编</w:t>
      </w:r>
      <w:r>
        <w:t>码</w:t>
      </w:r>
      <w:r>
        <w:rPr>
          <w:spacing w:val="-3"/>
        </w:rP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13"/>
        </w:rPr>
      </w:pPr>
    </w:p>
    <w:p>
      <w:pPr>
        <w:pStyle w:val="13"/>
        <w:tabs>
          <w:tab w:val="left" w:pos="2998"/>
          <w:tab w:val="left" w:pos="6356"/>
        </w:tabs>
        <w:spacing w:before="43"/>
        <w:rPr>
          <w:rFonts w:ascii="Times New Roman" w:eastAsia="Times New Roman"/>
        </w:rPr>
      </w:pPr>
      <w:r>
        <w:drawing>
          <wp:anchor distT="0" distB="0" distL="0" distR="0" simplePos="0" relativeHeight="268141568" behindDoc="1" locked="0" layoutInCell="1" allowOverlap="1">
            <wp:simplePos x="0" y="0"/>
            <wp:positionH relativeFrom="page">
              <wp:posOffset>1520825</wp:posOffset>
            </wp:positionH>
            <wp:positionV relativeFrom="paragraph">
              <wp:posOffset>66675</wp:posOffset>
            </wp:positionV>
            <wp:extent cx="265430" cy="133985"/>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png"/>
                    <pic:cNvPicPr>
                      <a:picLocks noChangeAspect="1"/>
                    </pic:cNvPicPr>
                  </pic:nvPicPr>
                  <pic:blipFill>
                    <a:blip r:embed="rId17" cstate="print"/>
                    <a:stretch>
                      <a:fillRect/>
                    </a:stretch>
                  </pic:blipFill>
                  <pic:spPr>
                    <a:xfrm>
                      <a:off x="0" y="0"/>
                      <a:ext cx="265175" cy="134112"/>
                    </a:xfrm>
                    <a:prstGeom prst="rect">
                      <a:avLst/>
                    </a:prstGeom>
                  </pic:spPr>
                </pic:pic>
              </a:graphicData>
            </a:graphic>
          </wp:anchor>
        </w:drawing>
      </w:r>
      <w:r>
        <w:drawing>
          <wp:anchor distT="0" distB="0" distL="0" distR="0" simplePos="0" relativeHeight="268141568" behindDoc="1" locked="0" layoutInCell="1" allowOverlap="1">
            <wp:simplePos x="0" y="0"/>
            <wp:positionH relativeFrom="page">
              <wp:posOffset>1987550</wp:posOffset>
            </wp:positionH>
            <wp:positionV relativeFrom="paragraph">
              <wp:posOffset>66675</wp:posOffset>
            </wp:positionV>
            <wp:extent cx="267970" cy="133985"/>
            <wp:effectExtent l="0" t="0" r="0" b="0"/>
            <wp:wrapNone/>
            <wp:docPr id="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6.png"/>
                    <pic:cNvPicPr>
                      <a:picLocks noChangeAspect="1"/>
                    </pic:cNvPicPr>
                  </pic:nvPicPr>
                  <pic:blipFill>
                    <a:blip r:embed="rId21" cstate="print"/>
                    <a:stretch>
                      <a:fillRect/>
                    </a:stretch>
                  </pic:blipFill>
                  <pic:spPr>
                    <a:xfrm>
                      <a:off x="0" y="0"/>
                      <a:ext cx="268224" cy="134112"/>
                    </a:xfrm>
                    <a:prstGeom prst="rect">
                      <a:avLst/>
                    </a:prstGeom>
                  </pic:spPr>
                </pic:pic>
              </a:graphicData>
            </a:graphic>
          </wp:anchor>
        </w:drawing>
      </w:r>
      <w:r>
        <w:drawing>
          <wp:anchor distT="0" distB="0" distL="0" distR="0" simplePos="0" relativeHeight="268141568" behindDoc="1" locked="0" layoutInCell="1" allowOverlap="1">
            <wp:simplePos x="0" y="0"/>
            <wp:positionH relativeFrom="page">
              <wp:posOffset>3453765</wp:posOffset>
            </wp:positionH>
            <wp:positionV relativeFrom="paragraph">
              <wp:posOffset>66675</wp:posOffset>
            </wp:positionV>
            <wp:extent cx="267970" cy="133985"/>
            <wp:effectExtent l="0" t="0" r="0" b="0"/>
            <wp:wrapNone/>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6.png"/>
                    <pic:cNvPicPr>
                      <a:picLocks noChangeAspect="1"/>
                    </pic:cNvPicPr>
                  </pic:nvPicPr>
                  <pic:blipFill>
                    <a:blip r:embed="rId21" cstate="print"/>
                    <a:stretch>
                      <a:fillRect/>
                    </a:stretch>
                  </pic:blipFill>
                  <pic:spPr>
                    <a:xfrm>
                      <a:off x="0" y="0"/>
                      <a:ext cx="268224" cy="134112"/>
                    </a:xfrm>
                    <a:prstGeom prst="rect">
                      <a:avLst/>
                    </a:prstGeom>
                  </pic:spPr>
                </pic:pic>
              </a:graphicData>
            </a:graphic>
          </wp:anchor>
        </w:drawing>
      </w:r>
      <w:r>
        <w:drawing>
          <wp:anchor distT="0" distB="0" distL="0" distR="0" simplePos="0" relativeHeight="268141568" behindDoc="1" locked="0" layoutInCell="1" allowOverlap="1">
            <wp:simplePos x="0" y="0"/>
            <wp:positionH relativeFrom="page">
              <wp:posOffset>3987165</wp:posOffset>
            </wp:positionH>
            <wp:positionV relativeFrom="paragraph">
              <wp:posOffset>66675</wp:posOffset>
            </wp:positionV>
            <wp:extent cx="267970" cy="133985"/>
            <wp:effectExtent l="0" t="0" r="0" b="0"/>
            <wp:wrapNone/>
            <wp:docPr id="5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6.png"/>
                    <pic:cNvPicPr>
                      <a:picLocks noChangeAspect="1"/>
                    </pic:cNvPicPr>
                  </pic:nvPicPr>
                  <pic:blipFill>
                    <a:blip r:embed="rId21" cstate="print"/>
                    <a:stretch>
                      <a:fillRect/>
                    </a:stretch>
                  </pic:blipFill>
                  <pic:spPr>
                    <a:xfrm>
                      <a:off x="0" y="0"/>
                      <a:ext cx="268224" cy="134112"/>
                    </a:xfrm>
                    <a:prstGeom prst="rect">
                      <a:avLst/>
                    </a:prstGeom>
                  </pic:spPr>
                </pic:pic>
              </a:graphicData>
            </a:graphic>
          </wp:anchor>
        </w:drawing>
      </w:r>
      <w:r>
        <w:t>法定</w:t>
      </w:r>
      <w:r>
        <w:rPr>
          <w:spacing w:val="-3"/>
        </w:rPr>
        <w:t>代</w:t>
      </w:r>
      <w:r>
        <w:t>表</w:t>
      </w:r>
      <w:r>
        <w:rPr>
          <w:spacing w:val="-3"/>
        </w:rPr>
        <w:t>人</w:t>
      </w:r>
      <w:r>
        <w:t>：</w:t>
      </w:r>
      <w:r>
        <w:rPr>
          <w:u w:val="single"/>
        </w:rPr>
        <w:tab/>
      </w:r>
      <w:r>
        <w:rPr>
          <w:rFonts w:hint="eastAsia"/>
          <w:u w:val="single"/>
          <w:lang w:val="en-US" w:eastAsia="zh-CN"/>
        </w:rPr>
        <w:t xml:space="preserve">     </w:t>
      </w:r>
      <w:r>
        <w:rPr>
          <w:rFonts w:hint="eastAsia"/>
          <w:u w:val="none"/>
          <w:lang w:val="en-US" w:eastAsia="zh-CN"/>
        </w:rPr>
        <w:t xml:space="preserve">  </w:t>
      </w:r>
      <w:r>
        <w:t>法</w:t>
      </w:r>
      <w:r>
        <w:rPr>
          <w:spacing w:val="-3"/>
        </w:rPr>
        <w:t>定</w:t>
      </w:r>
      <w:r>
        <w:t>代</w:t>
      </w:r>
      <w:r>
        <w:rPr>
          <w:spacing w:val="-3"/>
        </w:rPr>
        <w:t>表</w:t>
      </w:r>
      <w:r>
        <w:t>人</w:t>
      </w:r>
      <w:r>
        <w:rPr>
          <w:spacing w:val="-3"/>
        </w:rP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13"/>
        </w:rPr>
      </w:pPr>
    </w:p>
    <w:p>
      <w:pPr>
        <w:pStyle w:val="13"/>
        <w:tabs>
          <w:tab w:val="left" w:pos="2998"/>
          <w:tab w:val="left" w:pos="6356"/>
        </w:tabs>
        <w:spacing w:before="43"/>
        <w:rPr>
          <w:rFonts w:ascii="Times New Roman" w:eastAsia="Times New Roman"/>
        </w:rPr>
      </w:pPr>
      <w:r>
        <w:drawing>
          <wp:anchor distT="0" distB="0" distL="0" distR="0" simplePos="0" relativeHeight="268141568" behindDoc="1" locked="0" layoutInCell="1" allowOverlap="1">
            <wp:simplePos x="0" y="0"/>
            <wp:positionH relativeFrom="page">
              <wp:posOffset>1520825</wp:posOffset>
            </wp:positionH>
            <wp:positionV relativeFrom="paragraph">
              <wp:posOffset>66675</wp:posOffset>
            </wp:positionV>
            <wp:extent cx="445135" cy="133985"/>
            <wp:effectExtent l="0" t="0" r="0" b="0"/>
            <wp:wrapNone/>
            <wp:docPr id="5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3.png"/>
                    <pic:cNvPicPr>
                      <a:picLocks noChangeAspect="1"/>
                    </pic:cNvPicPr>
                  </pic:nvPicPr>
                  <pic:blipFill>
                    <a:blip r:embed="rId36" cstate="print"/>
                    <a:stretch>
                      <a:fillRect/>
                    </a:stretch>
                  </pic:blipFill>
                  <pic:spPr>
                    <a:xfrm>
                      <a:off x="0" y="0"/>
                      <a:ext cx="445007" cy="134112"/>
                    </a:xfrm>
                    <a:prstGeom prst="rect">
                      <a:avLst/>
                    </a:prstGeom>
                  </pic:spPr>
                </pic:pic>
              </a:graphicData>
            </a:graphic>
          </wp:anchor>
        </w:drawing>
      </w:r>
      <w:r>
        <w:drawing>
          <wp:anchor distT="0" distB="0" distL="0" distR="0" simplePos="0" relativeHeight="268141568" behindDoc="1" locked="0" layoutInCell="1" allowOverlap="1">
            <wp:simplePos x="0" y="0"/>
            <wp:positionH relativeFrom="page">
              <wp:posOffset>3453765</wp:posOffset>
            </wp:positionH>
            <wp:positionV relativeFrom="paragraph">
              <wp:posOffset>66675</wp:posOffset>
            </wp:positionV>
            <wp:extent cx="499110" cy="133985"/>
            <wp:effectExtent l="0" t="0" r="0" b="0"/>
            <wp:wrapNone/>
            <wp:docPr id="5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4.png"/>
                    <pic:cNvPicPr>
                      <a:picLocks noChangeAspect="1"/>
                    </pic:cNvPicPr>
                  </pic:nvPicPr>
                  <pic:blipFill>
                    <a:blip r:embed="rId37" cstate="print"/>
                    <a:stretch>
                      <a:fillRect/>
                    </a:stretch>
                  </pic:blipFill>
                  <pic:spPr>
                    <a:xfrm>
                      <a:off x="0" y="0"/>
                      <a:ext cx="499110" cy="134112"/>
                    </a:xfrm>
                    <a:prstGeom prst="rect">
                      <a:avLst/>
                    </a:prstGeom>
                  </pic:spPr>
                </pic:pic>
              </a:graphicData>
            </a:graphic>
          </wp:anchor>
        </w:drawing>
      </w:r>
      <w:r>
        <w:t>委托</w:t>
      </w:r>
      <w:r>
        <w:rPr>
          <w:spacing w:val="-3"/>
        </w:rPr>
        <w:t>代</w:t>
      </w:r>
      <w:r>
        <w:t>理</w:t>
      </w:r>
      <w:r>
        <w:rPr>
          <w:spacing w:val="-3"/>
        </w:rPr>
        <w:t>人</w:t>
      </w:r>
      <w:r>
        <w:t>：</w:t>
      </w:r>
      <w:r>
        <w:rPr>
          <w:u w:val="single"/>
        </w:rPr>
        <w:tab/>
      </w:r>
      <w:r>
        <w:rPr>
          <w:rFonts w:hint="eastAsia"/>
          <w:u w:val="single"/>
          <w:lang w:val="en-US" w:eastAsia="zh-CN"/>
        </w:rPr>
        <w:t xml:space="preserve">      </w:t>
      </w:r>
      <w:r>
        <w:rPr>
          <w:rFonts w:hint="eastAsia"/>
          <w:u w:val="none"/>
          <w:lang w:val="en-US" w:eastAsia="zh-CN"/>
        </w:rPr>
        <w:t xml:space="preserve"> </w:t>
      </w:r>
      <w:r>
        <w:t>委</w:t>
      </w:r>
      <w:r>
        <w:rPr>
          <w:spacing w:val="-3"/>
        </w:rPr>
        <w:t>托</w:t>
      </w:r>
      <w:r>
        <w:t>代</w:t>
      </w:r>
      <w:r>
        <w:rPr>
          <w:spacing w:val="-3"/>
        </w:rPr>
        <w:t>理</w:t>
      </w:r>
      <w:r>
        <w:t>人</w:t>
      </w:r>
      <w:r>
        <w:rPr>
          <w:spacing w:val="-3"/>
        </w:rPr>
        <w:t>：</w:t>
      </w:r>
      <w:r>
        <w:rPr>
          <w:rFonts w:ascii="Times New Roman" w:eastAsia="Times New Roman"/>
          <w:u w:val="single"/>
        </w:rPr>
        <w:t xml:space="preserve"> </w:t>
      </w:r>
      <w:r>
        <w:rPr>
          <w:rFonts w:ascii="Times New Roman" w:eastAsia="Times New Roman"/>
          <w:u w:val="single"/>
        </w:rPr>
        <w:tab/>
      </w:r>
    </w:p>
    <w:p>
      <w:pPr>
        <w:pStyle w:val="13"/>
        <w:spacing w:before="1"/>
        <w:ind w:left="0"/>
        <w:rPr>
          <w:rFonts w:ascii="Times New Roman"/>
          <w:sz w:val="13"/>
        </w:rPr>
      </w:pPr>
    </w:p>
    <w:p>
      <w:pPr>
        <w:pStyle w:val="13"/>
        <w:tabs>
          <w:tab w:val="left" w:pos="535"/>
          <w:tab w:val="left" w:pos="3000"/>
          <w:tab w:val="left" w:pos="3581"/>
          <w:tab w:val="left" w:pos="6358"/>
        </w:tabs>
        <w:spacing w:before="43"/>
        <w:rPr>
          <w:rFonts w:ascii="Times New Roman" w:eastAsia="Times New Roman"/>
        </w:rPr>
      </w:pPr>
      <w:r>
        <w:drawing>
          <wp:anchor distT="0" distB="0" distL="0" distR="0" simplePos="0" relativeHeight="268141568" behindDoc="1" locked="0" layoutInCell="1" allowOverlap="1">
            <wp:simplePos x="0" y="0"/>
            <wp:positionH relativeFrom="page">
              <wp:posOffset>1254125</wp:posOffset>
            </wp:positionH>
            <wp:positionV relativeFrom="paragraph">
              <wp:posOffset>66675</wp:posOffset>
            </wp:positionV>
            <wp:extent cx="1200785" cy="133985"/>
            <wp:effectExtent l="0" t="0" r="0" b="0"/>
            <wp:wrapNone/>
            <wp:docPr id="5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5.png"/>
                    <pic:cNvPicPr>
                      <a:picLocks noChangeAspect="1"/>
                    </pic:cNvPicPr>
                  </pic:nvPicPr>
                  <pic:blipFill>
                    <a:blip r:embed="rId38" cstate="print"/>
                    <a:stretch>
                      <a:fillRect/>
                    </a:stretch>
                  </pic:blipFill>
                  <pic:spPr>
                    <a:xfrm>
                      <a:off x="0" y="0"/>
                      <a:ext cx="1200492" cy="134112"/>
                    </a:xfrm>
                    <a:prstGeom prst="rect">
                      <a:avLst/>
                    </a:prstGeom>
                  </pic:spPr>
                </pic:pic>
              </a:graphicData>
            </a:graphic>
          </wp:anchor>
        </w:drawing>
      </w:r>
      <w:r>
        <w:drawing>
          <wp:anchor distT="0" distB="0" distL="0" distR="0" simplePos="0" relativeHeight="268141568" behindDoc="1" locked="0" layoutInCell="1" allowOverlap="1">
            <wp:simplePos x="0" y="0"/>
            <wp:positionH relativeFrom="page">
              <wp:posOffset>3188335</wp:posOffset>
            </wp:positionH>
            <wp:positionV relativeFrom="paragraph">
              <wp:posOffset>66675</wp:posOffset>
            </wp:positionV>
            <wp:extent cx="1200785" cy="133985"/>
            <wp:effectExtent l="0" t="0" r="0" b="0"/>
            <wp:wrapNone/>
            <wp:docPr id="6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5.png"/>
                    <pic:cNvPicPr>
                      <a:picLocks noChangeAspect="1"/>
                    </pic:cNvPicPr>
                  </pic:nvPicPr>
                  <pic:blipFill>
                    <a:blip r:embed="rId38" cstate="print"/>
                    <a:stretch>
                      <a:fillRect/>
                    </a:stretch>
                  </pic:blipFill>
                  <pic:spPr>
                    <a:xfrm>
                      <a:off x="0" y="0"/>
                      <a:ext cx="1200492" cy="134112"/>
                    </a:xfrm>
                    <a:prstGeom prst="rect">
                      <a:avLst/>
                    </a:prstGeom>
                  </pic:spPr>
                </pic:pic>
              </a:graphicData>
            </a:graphic>
          </wp:anchor>
        </w:drawing>
      </w:r>
      <w:r>
        <w:t>电</w:t>
      </w:r>
      <w:r>
        <w:tab/>
      </w:r>
      <w:r>
        <w:rPr>
          <w:spacing w:val="-3"/>
        </w:rPr>
        <w:t>话</w:t>
      </w:r>
      <w:r>
        <w:t>：</w:t>
      </w:r>
      <w:r>
        <w:rPr>
          <w:u w:val="single"/>
        </w:rPr>
        <w:tab/>
      </w:r>
      <w:r>
        <w:rPr>
          <w:rFonts w:hint="eastAsia"/>
          <w:u w:val="single"/>
          <w:lang w:val="en-US" w:eastAsia="zh-CN"/>
        </w:rPr>
        <w:t xml:space="preserve">      </w:t>
      </w:r>
      <w:r>
        <w:rPr>
          <w:rFonts w:hint="eastAsia"/>
          <w:u w:val="none"/>
          <w:lang w:val="en-US" w:eastAsia="zh-CN"/>
        </w:rPr>
        <w:t xml:space="preserve"> </w:t>
      </w:r>
      <w:r>
        <w:t>电</w:t>
      </w:r>
      <w:r>
        <w:rPr>
          <w:spacing w:val="-3"/>
        </w:rPr>
        <w:t>话</w:t>
      </w:r>
      <w: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13"/>
        </w:rPr>
      </w:pPr>
    </w:p>
    <w:p>
      <w:pPr>
        <w:pStyle w:val="13"/>
        <w:tabs>
          <w:tab w:val="left" w:pos="535"/>
          <w:tab w:val="left" w:pos="3000"/>
          <w:tab w:val="left" w:pos="3581"/>
          <w:tab w:val="left" w:pos="6358"/>
        </w:tabs>
        <w:spacing w:before="43"/>
        <w:rPr>
          <w:rFonts w:ascii="Times New Roman" w:eastAsia="Times New Roman"/>
        </w:rPr>
      </w:pPr>
      <w:r>
        <w:drawing>
          <wp:anchor distT="0" distB="0" distL="0" distR="0" simplePos="0" relativeHeight="268141568" behindDoc="1" locked="0" layoutInCell="1" allowOverlap="1">
            <wp:simplePos x="0" y="0"/>
            <wp:positionH relativeFrom="page">
              <wp:posOffset>1254125</wp:posOffset>
            </wp:positionH>
            <wp:positionV relativeFrom="paragraph">
              <wp:posOffset>66675</wp:posOffset>
            </wp:positionV>
            <wp:extent cx="1260475" cy="133985"/>
            <wp:effectExtent l="0" t="0" r="0" b="0"/>
            <wp:wrapNone/>
            <wp:docPr id="6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6.png"/>
                    <pic:cNvPicPr>
                      <a:picLocks noChangeAspect="1"/>
                    </pic:cNvPicPr>
                  </pic:nvPicPr>
                  <pic:blipFill>
                    <a:blip r:embed="rId39" cstate="print"/>
                    <a:stretch>
                      <a:fillRect/>
                    </a:stretch>
                  </pic:blipFill>
                  <pic:spPr>
                    <a:xfrm>
                      <a:off x="0" y="0"/>
                      <a:ext cx="1260182" cy="134112"/>
                    </a:xfrm>
                    <a:prstGeom prst="rect">
                      <a:avLst/>
                    </a:prstGeom>
                  </pic:spPr>
                </pic:pic>
              </a:graphicData>
            </a:graphic>
          </wp:anchor>
        </w:drawing>
      </w:r>
      <w:r>
        <w:drawing>
          <wp:anchor distT="0" distB="0" distL="0" distR="0" simplePos="0" relativeHeight="268141568" behindDoc="1" locked="0" layoutInCell="1" allowOverlap="1">
            <wp:simplePos x="0" y="0"/>
            <wp:positionH relativeFrom="page">
              <wp:posOffset>3188335</wp:posOffset>
            </wp:positionH>
            <wp:positionV relativeFrom="paragraph">
              <wp:posOffset>66675</wp:posOffset>
            </wp:positionV>
            <wp:extent cx="1066165" cy="133985"/>
            <wp:effectExtent l="0" t="0" r="0" b="0"/>
            <wp:wrapNone/>
            <wp:docPr id="6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7.png"/>
                    <pic:cNvPicPr>
                      <a:picLocks noChangeAspect="1"/>
                    </pic:cNvPicPr>
                  </pic:nvPicPr>
                  <pic:blipFill>
                    <a:blip r:embed="rId40" cstate="print"/>
                    <a:stretch>
                      <a:fillRect/>
                    </a:stretch>
                  </pic:blipFill>
                  <pic:spPr>
                    <a:xfrm>
                      <a:off x="0" y="0"/>
                      <a:ext cx="1066279" cy="134112"/>
                    </a:xfrm>
                    <a:prstGeom prst="rect">
                      <a:avLst/>
                    </a:prstGeom>
                  </pic:spPr>
                </pic:pic>
              </a:graphicData>
            </a:graphic>
          </wp:anchor>
        </w:drawing>
      </w:r>
      <w:r>
        <w:drawing>
          <wp:anchor distT="0" distB="0" distL="0" distR="0" simplePos="0" relativeHeight="268141568" behindDoc="1" locked="0" layoutInCell="1" allowOverlap="1">
            <wp:simplePos x="0" y="0"/>
            <wp:positionH relativeFrom="page">
              <wp:posOffset>4321175</wp:posOffset>
            </wp:positionH>
            <wp:positionV relativeFrom="paragraph">
              <wp:posOffset>66675</wp:posOffset>
            </wp:positionV>
            <wp:extent cx="417195" cy="133985"/>
            <wp:effectExtent l="0" t="0" r="0" b="0"/>
            <wp:wrapNone/>
            <wp:docPr id="6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2.png"/>
                    <pic:cNvPicPr>
                      <a:picLocks noChangeAspect="1"/>
                    </pic:cNvPicPr>
                  </pic:nvPicPr>
                  <pic:blipFill>
                    <a:blip r:embed="rId35" cstate="print"/>
                    <a:stretch>
                      <a:fillRect/>
                    </a:stretch>
                  </pic:blipFill>
                  <pic:spPr>
                    <a:xfrm>
                      <a:off x="0" y="0"/>
                      <a:ext cx="417195" cy="134112"/>
                    </a:xfrm>
                    <a:prstGeom prst="rect">
                      <a:avLst/>
                    </a:prstGeom>
                  </pic:spPr>
                </pic:pic>
              </a:graphicData>
            </a:graphic>
          </wp:anchor>
        </w:drawing>
      </w:r>
      <w:r>
        <w:t>传</w:t>
      </w:r>
      <w:r>
        <w:tab/>
      </w:r>
      <w:r>
        <w:rPr>
          <w:spacing w:val="-3"/>
        </w:rPr>
        <w:t>真</w:t>
      </w:r>
      <w:r>
        <w:t>：</w:t>
      </w:r>
      <w:r>
        <w:rPr>
          <w:u w:val="single"/>
        </w:rPr>
        <w:tab/>
      </w:r>
      <w:r>
        <w:rPr>
          <w:rFonts w:hint="eastAsia"/>
          <w:u w:val="single"/>
          <w:lang w:val="en-US" w:eastAsia="zh-CN"/>
        </w:rPr>
        <w:t xml:space="preserve">      </w:t>
      </w:r>
      <w:r>
        <w:rPr>
          <w:rFonts w:hint="eastAsia"/>
          <w:u w:val="none"/>
          <w:lang w:val="en-US" w:eastAsia="zh-CN"/>
        </w:rPr>
        <w:t xml:space="preserve"> </w:t>
      </w:r>
      <w:r>
        <w:t>传</w:t>
      </w:r>
      <w:r>
        <w:rPr>
          <w:spacing w:val="-3"/>
        </w:rPr>
        <w:t>真</w:t>
      </w:r>
      <w: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13"/>
        </w:rPr>
      </w:pPr>
    </w:p>
    <w:p>
      <w:pPr>
        <w:pStyle w:val="13"/>
        <w:tabs>
          <w:tab w:val="left" w:pos="2998"/>
          <w:tab w:val="left" w:pos="6358"/>
        </w:tabs>
        <w:spacing w:before="43"/>
        <w:rPr>
          <w:rFonts w:ascii="Times New Roman" w:eastAsia="Times New Roman"/>
        </w:rPr>
      </w:pPr>
      <w:r>
        <mc:AlternateContent>
          <mc:Choice Requires="wpg">
            <w:drawing>
              <wp:anchor distT="0" distB="0" distL="114300" distR="114300" simplePos="0" relativeHeight="503022592" behindDoc="1" locked="0" layoutInCell="1" allowOverlap="1">
                <wp:simplePos x="0" y="0"/>
                <wp:positionH relativeFrom="page">
                  <wp:posOffset>3321050</wp:posOffset>
                </wp:positionH>
                <wp:positionV relativeFrom="paragraph">
                  <wp:posOffset>66675</wp:posOffset>
                </wp:positionV>
                <wp:extent cx="1417320" cy="134620"/>
                <wp:effectExtent l="0" t="0" r="0" b="0"/>
                <wp:wrapNone/>
                <wp:docPr id="148" name="组合 23"/>
                <wp:cNvGraphicFramePr/>
                <a:graphic xmlns:a="http://schemas.openxmlformats.org/drawingml/2006/main">
                  <a:graphicData uri="http://schemas.microsoft.com/office/word/2010/wordprocessingGroup">
                    <wpg:wgp>
                      <wpg:cNvGrpSpPr/>
                      <wpg:grpSpPr>
                        <a:xfrm>
                          <a:off x="0" y="0"/>
                          <a:ext cx="1417320" cy="134620"/>
                          <a:chOff x="5231" y="106"/>
                          <a:chExt cx="2232" cy="212"/>
                        </a:xfrm>
                      </wpg:grpSpPr>
                      <pic:pic xmlns:pic="http://schemas.openxmlformats.org/drawingml/2006/picture">
                        <pic:nvPicPr>
                          <pic:cNvPr id="144" name="图片 24"/>
                          <pic:cNvPicPr>
                            <a:picLocks noChangeAspect="1"/>
                          </pic:cNvPicPr>
                        </pic:nvPicPr>
                        <pic:blipFill>
                          <a:blip r:embed="rId34"/>
                          <a:stretch>
                            <a:fillRect/>
                          </a:stretch>
                        </pic:blipFill>
                        <pic:spPr>
                          <a:xfrm>
                            <a:off x="5230" y="105"/>
                            <a:ext cx="1682" cy="212"/>
                          </a:xfrm>
                          <a:prstGeom prst="rect">
                            <a:avLst/>
                          </a:prstGeom>
                          <a:noFill/>
                          <a:ln>
                            <a:noFill/>
                          </a:ln>
                        </pic:spPr>
                      </pic:pic>
                      <pic:pic xmlns:pic="http://schemas.openxmlformats.org/drawingml/2006/picture">
                        <pic:nvPicPr>
                          <pic:cNvPr id="146" name="图片 25"/>
                          <pic:cNvPicPr>
                            <a:picLocks noChangeAspect="1"/>
                          </pic:cNvPicPr>
                        </pic:nvPicPr>
                        <pic:blipFill>
                          <a:blip r:embed="rId35"/>
                          <a:stretch>
                            <a:fillRect/>
                          </a:stretch>
                        </pic:blipFill>
                        <pic:spPr>
                          <a:xfrm>
                            <a:off x="6805" y="105"/>
                            <a:ext cx="657" cy="212"/>
                          </a:xfrm>
                          <a:prstGeom prst="rect">
                            <a:avLst/>
                          </a:prstGeom>
                          <a:noFill/>
                          <a:ln>
                            <a:noFill/>
                          </a:ln>
                        </pic:spPr>
                      </pic:pic>
                    </wpg:wgp>
                  </a:graphicData>
                </a:graphic>
              </wp:anchor>
            </w:drawing>
          </mc:Choice>
          <mc:Fallback>
            <w:pict>
              <v:group id="组合 23" o:spid="_x0000_s1026" o:spt="203" style="position:absolute;left:0pt;margin-left:261.5pt;margin-top:5.25pt;height:10.6pt;width:111.6pt;mso-position-horizontal-relative:page;z-index:-293888;mso-width-relative:page;mso-height-relative:page;" coordorigin="5231,106" coordsize="2232,212" o:gfxdata="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">
                <o:lock v:ext="edit" aspectratio="f"/>
                <v:shape id="图片 24" o:spid="_x0000_s1026" o:spt="75" type="#_x0000_t75" style="position:absolute;left:5230;top:105;height:212;width:1682;" filled="f" o:preferrelative="t" stroked="f" coordsize="21600,21600" o:gfxdata="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dkt7sAAADc&#10;AAAADwAAAAAAAAABACAAAAAiAAAAZHJzL2Rvd25yZXYueG1sUEsBAhQAFAAAAAgAh07iQDMvBZ47&#10;AAAAOQAAABAAAAAAAAAAAQAgAAAACgEAAGRycy9zaGFwZXhtbC54bWxQSwUGAAAAAAYABgBbAQAA&#10;tAMAAAAA&#10;">
                  <v:fill on="f" focussize="0,0"/>
                  <v:stroke on="f"/>
                  <v:imagedata r:id="rId34" o:title=""/>
                  <o:lock v:ext="edit" aspectratio="t"/>
                </v:shape>
                <v:shape id="图片 25" o:spid="_x0000_s1026" o:spt="75" type="#_x0000_t75" style="position:absolute;left:6805;top:105;height:212;width:657;" filled="f" o:preferrelative="t" stroked="f" coordsize="21600,21600" o:gfxdata="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DI9k74A&#10;AADcAAAADwAAAAAAAAABACAAAAAiAAAAZHJzL2Rvd25yZXYueG1sUEsBAhQAFAAAAAgAh07iQDMv&#10;BZ47AAAAOQAAABAAAAAAAAAAAQAgAAAADQEAAGRycy9zaGFwZXhtbC54bWxQSwUGAAAAAAYABgBb&#10;AQAAtwMAAAAA&#10;">
                  <v:fill on="f" focussize="0,0"/>
                  <v:stroke on="f"/>
                  <v:imagedata r:id="rId35" o:title=""/>
                  <o:lock v:ext="edit" aspectratio="t"/>
                </v:shape>
              </v:group>
            </w:pict>
          </mc:Fallback>
        </mc:AlternateContent>
      </w:r>
      <w:r>
        <w:t>电子</w:t>
      </w:r>
      <w:r>
        <w:rPr>
          <w:spacing w:val="-3"/>
        </w:rPr>
        <w:t>信</w:t>
      </w:r>
      <w:r>
        <w:t>箱</w:t>
      </w:r>
      <w:r>
        <w:rPr>
          <w:spacing w:val="-3"/>
        </w:rPr>
        <w:t>：</w:t>
      </w:r>
      <w:r>
        <w:rPr>
          <w:spacing w:val="-3"/>
          <w:u w:val="single"/>
        </w:rPr>
        <w:tab/>
      </w:r>
      <w:r>
        <w:rPr>
          <w:rFonts w:hint="eastAsia"/>
          <w:spacing w:val="-3"/>
          <w:u w:val="single"/>
          <w:lang w:val="en-US" w:eastAsia="zh-CN"/>
        </w:rPr>
        <w:t xml:space="preserve">      </w:t>
      </w:r>
      <w:r>
        <w:rPr>
          <w:rFonts w:hint="eastAsia"/>
          <w:spacing w:val="-3"/>
          <w:u w:val="none"/>
          <w:lang w:val="en-US" w:eastAsia="zh-CN"/>
        </w:rPr>
        <w:t xml:space="preserve"> </w:t>
      </w:r>
      <w:r>
        <w:t>电</w:t>
      </w:r>
      <w:r>
        <w:rPr>
          <w:spacing w:val="-3"/>
        </w:rPr>
        <w:t>子</w:t>
      </w:r>
      <w:r>
        <w:t>信</w:t>
      </w:r>
      <w:r>
        <w:rPr>
          <w:spacing w:val="-3"/>
        </w:rPr>
        <w:t>箱</w:t>
      </w:r>
      <w: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13"/>
        </w:rPr>
      </w:pPr>
    </w:p>
    <w:p>
      <w:pPr>
        <w:pStyle w:val="13"/>
        <w:keepNext w:val="0"/>
        <w:keepLines w:val="0"/>
        <w:pageBreakBefore w:val="0"/>
        <w:widowControl w:val="0"/>
        <w:tabs>
          <w:tab w:val="left" w:pos="3000"/>
          <w:tab w:val="left" w:pos="6358"/>
        </w:tabs>
        <w:kinsoku/>
        <w:wordWrap/>
        <w:overflowPunct/>
        <w:topLinePunct w:val="0"/>
        <w:autoSpaceDE w:val="0"/>
        <w:autoSpaceDN w:val="0"/>
        <w:bidi w:val="0"/>
        <w:adjustRightInd/>
        <w:snapToGrid/>
        <w:spacing w:before="43"/>
        <w:ind w:left="113"/>
        <w:textAlignment w:val="auto"/>
        <w:rPr>
          <w:rFonts w:ascii="Times New Roman" w:eastAsia="Times New Roman"/>
        </w:rPr>
      </w:pPr>
      <w:r>
        <w:drawing>
          <wp:anchor distT="0" distB="0" distL="0" distR="0" simplePos="0" relativeHeight="268141568" behindDoc="1" locked="0" layoutInCell="1" allowOverlap="1">
            <wp:simplePos x="0" y="0"/>
            <wp:positionH relativeFrom="page">
              <wp:posOffset>1386840</wp:posOffset>
            </wp:positionH>
            <wp:positionV relativeFrom="paragraph">
              <wp:posOffset>66675</wp:posOffset>
            </wp:positionV>
            <wp:extent cx="1249045" cy="133985"/>
            <wp:effectExtent l="0" t="0" r="0" b="0"/>
            <wp:wrapNone/>
            <wp:docPr id="6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8.png"/>
                    <pic:cNvPicPr>
                      <a:picLocks noChangeAspect="1"/>
                    </pic:cNvPicPr>
                  </pic:nvPicPr>
                  <pic:blipFill>
                    <a:blip r:embed="rId41" cstate="print"/>
                    <a:stretch>
                      <a:fillRect/>
                    </a:stretch>
                  </pic:blipFill>
                  <pic:spPr>
                    <a:xfrm>
                      <a:off x="0" y="0"/>
                      <a:ext cx="1249248" cy="134112"/>
                    </a:xfrm>
                    <a:prstGeom prst="rect">
                      <a:avLst/>
                    </a:prstGeom>
                  </pic:spPr>
                </pic:pic>
              </a:graphicData>
            </a:graphic>
          </wp:anchor>
        </w:drawing>
      </w:r>
      <w:r>
        <mc:AlternateContent>
          <mc:Choice Requires="wpg">
            <w:drawing>
              <wp:anchor distT="0" distB="0" distL="114300" distR="114300" simplePos="0" relativeHeight="503022592" behindDoc="1" locked="0" layoutInCell="1" allowOverlap="1">
                <wp:simplePos x="0" y="0"/>
                <wp:positionH relativeFrom="page">
                  <wp:posOffset>3321050</wp:posOffset>
                </wp:positionH>
                <wp:positionV relativeFrom="paragraph">
                  <wp:posOffset>66675</wp:posOffset>
                </wp:positionV>
                <wp:extent cx="1417320" cy="134620"/>
                <wp:effectExtent l="0" t="0" r="0" b="0"/>
                <wp:wrapNone/>
                <wp:docPr id="96" name="组合 26"/>
                <wp:cNvGraphicFramePr/>
                <a:graphic xmlns:a="http://schemas.openxmlformats.org/drawingml/2006/main">
                  <a:graphicData uri="http://schemas.microsoft.com/office/word/2010/wordprocessingGroup">
                    <wpg:wgp>
                      <wpg:cNvGrpSpPr/>
                      <wpg:grpSpPr>
                        <a:xfrm>
                          <a:off x="0" y="0"/>
                          <a:ext cx="1417320" cy="134620"/>
                          <a:chOff x="5231" y="106"/>
                          <a:chExt cx="2232" cy="212"/>
                        </a:xfrm>
                      </wpg:grpSpPr>
                      <pic:pic xmlns:pic="http://schemas.openxmlformats.org/drawingml/2006/picture">
                        <pic:nvPicPr>
                          <pic:cNvPr id="92" name="图片 27"/>
                          <pic:cNvPicPr>
                            <a:picLocks noChangeAspect="1"/>
                          </pic:cNvPicPr>
                        </pic:nvPicPr>
                        <pic:blipFill>
                          <a:blip r:embed="rId34"/>
                          <a:stretch>
                            <a:fillRect/>
                          </a:stretch>
                        </pic:blipFill>
                        <pic:spPr>
                          <a:xfrm>
                            <a:off x="5230" y="105"/>
                            <a:ext cx="1682" cy="212"/>
                          </a:xfrm>
                          <a:prstGeom prst="rect">
                            <a:avLst/>
                          </a:prstGeom>
                          <a:noFill/>
                          <a:ln>
                            <a:noFill/>
                          </a:ln>
                        </pic:spPr>
                      </pic:pic>
                      <pic:pic xmlns:pic="http://schemas.openxmlformats.org/drawingml/2006/picture">
                        <pic:nvPicPr>
                          <pic:cNvPr id="94" name="图片 28"/>
                          <pic:cNvPicPr>
                            <a:picLocks noChangeAspect="1"/>
                          </pic:cNvPicPr>
                        </pic:nvPicPr>
                        <pic:blipFill>
                          <a:blip r:embed="rId35"/>
                          <a:stretch>
                            <a:fillRect/>
                          </a:stretch>
                        </pic:blipFill>
                        <pic:spPr>
                          <a:xfrm>
                            <a:off x="6805" y="105"/>
                            <a:ext cx="657" cy="212"/>
                          </a:xfrm>
                          <a:prstGeom prst="rect">
                            <a:avLst/>
                          </a:prstGeom>
                          <a:noFill/>
                          <a:ln>
                            <a:noFill/>
                          </a:ln>
                        </pic:spPr>
                      </pic:pic>
                    </wpg:wgp>
                  </a:graphicData>
                </a:graphic>
              </wp:anchor>
            </w:drawing>
          </mc:Choice>
          <mc:Fallback>
            <w:pict>
              <v:group id="组合 26" o:spid="_x0000_s1026" o:spt="203" style="position:absolute;left:0pt;margin-left:261.5pt;margin-top:5.25pt;height:10.6pt;width:111.6pt;mso-position-horizontal-relative:page;z-index:-293888;mso-width-relative:page;mso-height-relative:page;" coordorigin="5231,106" coordsize="2232,212" o:gfxdata="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LmzwAL8AAAClAQAAGQAAAGRycy9fcmVscy9l&#10;Mm9Eb2MueG1sLnJlbHO9kMGKwjAQhu8L+w5h7tu0PSyymPYigldxH2BIpmmwmYQkir69gWVBQfDm&#10;cWb4v/9j1uPFL+JMKbvACrqmBUGsg3FsFfwetl8rELkgG1wCk4IrZRiHz4/1nhYsNZRnF7OoFM4K&#10;5lLij5RZz+QxNyES18sUksdSx2RlRH1ES7Jv22+Z7hkwPDDFzihIO9ODOFxjbX7NDtPkNG2CPnni&#10;8qRCOl+7KxCTpaLAk3H4t+ybyBbkc4fuPQ7dv4N8eO5wA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">
                <o:lock v:ext="edit" aspectratio="f"/>
                <v:shape id="图片 27" o:spid="_x0000_s1026" o:spt="75" type="#_x0000_t75" style="position:absolute;left:5230;top:105;height:212;width:1682;" filled="f" o:preferrelative="t" stroked="f" coordsize="21600,21600" o:gfxdata="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SoO+8AAAA&#10;2wAAAA8AAAAAAAAAAQAgAAAAIgAAAGRycy9kb3ducmV2LnhtbFBLAQIUABQAAAAIAIdO4kAzLwWe&#10;OwAAADkAAAAQAAAAAAAAAAEAIAAAAAsBAABkcnMvc2hhcGV4bWwueG1sUEsFBgAAAAAGAAYAWwEA&#10;ALUDAAAAAA==&#10;">
                  <v:fill on="f" focussize="0,0"/>
                  <v:stroke on="f"/>
                  <v:imagedata r:id="rId34" o:title=""/>
                  <o:lock v:ext="edit" aspectratio="t"/>
                </v:shape>
                <v:shape id="图片 28" o:spid="_x0000_s1026" o:spt="75" type="#_x0000_t75" style="position:absolute;left:6805;top:105;height:212;width:657;" filled="f" o:preferrelative="t" stroked="f" coordsize="21600,21600" o:gfxdata="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IXtb4A&#10;AADbAAAADwAAAAAAAAABACAAAAAiAAAAZHJzL2Rvd25yZXYueG1sUEsBAhQAFAAAAAgAh07iQDMv&#10;BZ47AAAAOQAAABAAAAAAAAAAAQAgAAAADQEAAGRycy9zaGFwZXhtbC54bWxQSwUGAAAAAAYABgBb&#10;AQAAtwMAAAAA&#10;">
                  <v:fill on="f" focussize="0,0"/>
                  <v:stroke on="f"/>
                  <v:imagedata r:id="rId35" o:title=""/>
                  <o:lock v:ext="edit" aspectratio="t"/>
                </v:shape>
              </v:group>
            </w:pict>
          </mc:Fallback>
        </mc:AlternateContent>
      </w:r>
      <w:r>
        <w:t>开户</w:t>
      </w:r>
      <w:r>
        <w:rPr>
          <w:spacing w:val="-3"/>
        </w:rPr>
        <w:t>银</w:t>
      </w:r>
      <w:r>
        <w:t>行</w:t>
      </w:r>
      <w:r>
        <w:rPr>
          <w:spacing w:val="-3"/>
        </w:rPr>
        <w:t>：</w:t>
      </w:r>
      <w:r>
        <w:rPr>
          <w:spacing w:val="-3"/>
          <w:u w:val="single"/>
        </w:rPr>
        <w:tab/>
      </w:r>
      <w:r>
        <w:rPr>
          <w:rFonts w:hint="eastAsia"/>
          <w:spacing w:val="-3"/>
          <w:u w:val="single"/>
          <w:lang w:val="en-US" w:eastAsia="zh-CN"/>
        </w:rPr>
        <w:t xml:space="preserve">      </w:t>
      </w:r>
      <w:r>
        <w:rPr>
          <w:rFonts w:hint="eastAsia"/>
          <w:spacing w:val="-3"/>
          <w:u w:val="none"/>
          <w:lang w:val="en-US" w:eastAsia="zh-CN"/>
        </w:rPr>
        <w:t xml:space="preserve"> </w:t>
      </w:r>
      <w:r>
        <w:rPr>
          <w:spacing w:val="-3"/>
        </w:rPr>
        <w:t>开</w:t>
      </w:r>
      <w:r>
        <w:t>户</w:t>
      </w:r>
      <w:r>
        <w:rPr>
          <w:spacing w:val="-3"/>
        </w:rPr>
        <w:t>银</w:t>
      </w:r>
      <w:r>
        <w:t>行</w:t>
      </w:r>
      <w:r>
        <w:rPr>
          <w:spacing w:val="-3"/>
        </w:rPr>
        <w:t>：</w:t>
      </w:r>
      <w:r>
        <w:rPr>
          <w:rFonts w:ascii="Times New Roman" w:eastAsia="Times New Roman"/>
          <w:u w:val="single"/>
        </w:rPr>
        <w:t xml:space="preserve"> </w:t>
      </w:r>
      <w:r>
        <w:rPr>
          <w:rFonts w:ascii="Times New Roman" w:eastAsia="Times New Roman"/>
          <w:u w:val="single"/>
        </w:rPr>
        <w:tab/>
      </w:r>
    </w:p>
    <w:p>
      <w:pPr>
        <w:pStyle w:val="13"/>
        <w:keepNext w:val="0"/>
        <w:keepLines w:val="0"/>
        <w:pageBreakBefore w:val="0"/>
        <w:widowControl w:val="0"/>
        <w:tabs>
          <w:tab w:val="left" w:pos="535"/>
          <w:tab w:val="left" w:pos="2998"/>
          <w:tab w:val="left" w:pos="3579"/>
          <w:tab w:val="left" w:pos="6358"/>
        </w:tabs>
        <w:kinsoku/>
        <w:wordWrap/>
        <w:overflowPunct/>
        <w:topLinePunct w:val="0"/>
        <w:autoSpaceDE w:val="0"/>
        <w:autoSpaceDN w:val="0"/>
        <w:bidi w:val="0"/>
        <w:adjustRightInd/>
        <w:snapToGrid/>
        <w:spacing w:before="36"/>
        <w:ind w:left="113"/>
        <w:textAlignment w:val="auto"/>
        <w:rPr>
          <w:rFonts w:ascii="Times New Roman" w:eastAsia="Times New Roman"/>
        </w:rPr>
      </w:pPr>
      <w:r>
        <w:drawing>
          <wp:anchor distT="0" distB="0" distL="0" distR="0" simplePos="0" relativeHeight="268141568" behindDoc="1" locked="0" layoutInCell="1" allowOverlap="1">
            <wp:simplePos x="0" y="0"/>
            <wp:positionH relativeFrom="page">
              <wp:posOffset>1254125</wp:posOffset>
            </wp:positionH>
            <wp:positionV relativeFrom="paragraph">
              <wp:posOffset>62230</wp:posOffset>
            </wp:positionV>
            <wp:extent cx="1363980" cy="133985"/>
            <wp:effectExtent l="0" t="0" r="0" b="0"/>
            <wp:wrapNone/>
            <wp:docPr id="7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9.png"/>
                    <pic:cNvPicPr>
                      <a:picLocks noChangeAspect="1"/>
                    </pic:cNvPicPr>
                  </pic:nvPicPr>
                  <pic:blipFill>
                    <a:blip r:embed="rId42" cstate="print"/>
                    <a:stretch>
                      <a:fillRect/>
                    </a:stretch>
                  </pic:blipFill>
                  <pic:spPr>
                    <a:xfrm>
                      <a:off x="0" y="0"/>
                      <a:ext cx="1364234" cy="134112"/>
                    </a:xfrm>
                    <a:prstGeom prst="rect">
                      <a:avLst/>
                    </a:prstGeom>
                  </pic:spPr>
                </pic:pic>
              </a:graphicData>
            </a:graphic>
          </wp:anchor>
        </w:drawing>
      </w:r>
      <w:r>
        <w:drawing>
          <wp:anchor distT="0" distB="0" distL="0" distR="0" simplePos="0" relativeHeight="268141568" behindDoc="1" locked="0" layoutInCell="1" allowOverlap="1">
            <wp:simplePos x="0" y="0"/>
            <wp:positionH relativeFrom="page">
              <wp:posOffset>3187065</wp:posOffset>
            </wp:positionH>
            <wp:positionV relativeFrom="paragraph">
              <wp:posOffset>62230</wp:posOffset>
            </wp:positionV>
            <wp:extent cx="1202055" cy="133985"/>
            <wp:effectExtent l="0" t="0" r="0" b="0"/>
            <wp:wrapNone/>
            <wp:docPr id="7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0.png"/>
                    <pic:cNvPicPr>
                      <a:picLocks noChangeAspect="1"/>
                    </pic:cNvPicPr>
                  </pic:nvPicPr>
                  <pic:blipFill>
                    <a:blip r:embed="rId43" cstate="print"/>
                    <a:stretch>
                      <a:fillRect/>
                    </a:stretch>
                  </pic:blipFill>
                  <pic:spPr>
                    <a:xfrm>
                      <a:off x="0" y="0"/>
                      <a:ext cx="1202207" cy="134112"/>
                    </a:xfrm>
                    <a:prstGeom prst="rect">
                      <a:avLst/>
                    </a:prstGeom>
                  </pic:spPr>
                </pic:pic>
              </a:graphicData>
            </a:graphic>
          </wp:anchor>
        </w:drawing>
      </w:r>
      <w:r>
        <w:t>账</w:t>
      </w:r>
      <w:r>
        <w:tab/>
      </w:r>
      <w:r>
        <w:rPr>
          <w:spacing w:val="-3"/>
        </w:rPr>
        <w:t>号</w:t>
      </w:r>
      <w:r>
        <w:t>：</w:t>
      </w:r>
      <w:r>
        <w:rPr>
          <w:u w:val="single"/>
        </w:rPr>
        <w:tab/>
      </w:r>
      <w:r>
        <w:rPr>
          <w:rFonts w:hint="eastAsia"/>
          <w:u w:val="single"/>
          <w:lang w:val="en-US" w:eastAsia="zh-CN"/>
        </w:rPr>
        <w:t xml:space="preserve">      </w:t>
      </w:r>
      <w:r>
        <w:rPr>
          <w:rFonts w:hint="eastAsia"/>
          <w:u w:val="none"/>
          <w:lang w:val="en-US" w:eastAsia="zh-CN"/>
        </w:rPr>
        <w:t xml:space="preserve"> </w:t>
      </w:r>
      <w:r>
        <w:t>账号</w:t>
      </w:r>
      <w:r>
        <w:rPr>
          <w:spacing w:val="-3"/>
        </w:rPr>
        <w:t>：</w:t>
      </w:r>
      <w:r>
        <w:rPr>
          <w:rFonts w:ascii="Times New Roman" w:eastAsia="Times New Roman"/>
          <w:u w:val="single"/>
        </w:rPr>
        <w:t xml:space="preserve"> </w:t>
      </w:r>
      <w:r>
        <w:rPr>
          <w:rFonts w:ascii="Times New Roman" w:eastAsia="Times New Roman"/>
          <w:u w:val="single"/>
        </w:rPr>
        <w:tab/>
      </w:r>
    </w:p>
    <w:p>
      <w:pPr>
        <w:spacing w:after="0"/>
        <w:rPr>
          <w:rFonts w:ascii="Times New Roman" w:eastAsia="Times New Roman"/>
        </w:rPr>
        <w:sectPr>
          <w:pgSz w:w="11910" w:h="16840"/>
          <w:pgMar w:top="1440" w:right="1680" w:bottom="1180" w:left="1020" w:header="0" w:footer="920" w:gutter="0"/>
        </w:sectPr>
      </w:pPr>
    </w:p>
    <w:p>
      <w:pPr>
        <w:pStyle w:val="5"/>
        <w:spacing w:line="375" w:lineRule="exact"/>
        <w:ind w:right="101"/>
      </w:pPr>
      <w:r>
        <w:t>第二部分 通用合同条款</w:t>
      </w:r>
    </w:p>
    <w:p>
      <w:pPr>
        <w:pStyle w:val="13"/>
        <w:spacing w:before="6"/>
        <w:ind w:left="0"/>
        <w:rPr>
          <w:b/>
          <w:sz w:val="15"/>
        </w:rPr>
      </w:pPr>
    </w:p>
    <w:p>
      <w:pPr>
        <w:pStyle w:val="32"/>
        <w:numPr>
          <w:ilvl w:val="0"/>
          <w:numId w:val="9"/>
        </w:numPr>
        <w:tabs>
          <w:tab w:val="left" w:pos="431"/>
        </w:tabs>
        <w:spacing w:before="36" w:after="0" w:line="240" w:lineRule="auto"/>
        <w:ind w:left="430" w:right="0" w:hanging="318"/>
        <w:jc w:val="left"/>
        <w:rPr>
          <w:b/>
          <w:sz w:val="21"/>
        </w:rPr>
      </w:pPr>
      <w:r>
        <w:rPr>
          <w:b/>
          <w:sz w:val="21"/>
        </w:rPr>
        <w:t>一般约定</w:t>
      </w:r>
    </w:p>
    <w:p>
      <w:pPr>
        <w:pStyle w:val="13"/>
        <w:spacing w:before="10"/>
        <w:ind w:left="0"/>
        <w:rPr>
          <w:b/>
          <w:sz w:val="18"/>
        </w:rPr>
      </w:pPr>
    </w:p>
    <w:p>
      <w:pPr>
        <w:pStyle w:val="32"/>
        <w:numPr>
          <w:ilvl w:val="1"/>
          <w:numId w:val="9"/>
        </w:numPr>
        <w:tabs>
          <w:tab w:val="left" w:pos="906"/>
        </w:tabs>
        <w:spacing w:before="0" w:after="0" w:line="240" w:lineRule="auto"/>
        <w:ind w:left="905" w:right="0" w:hanging="370"/>
        <w:jc w:val="left"/>
        <w:rPr>
          <w:b/>
          <w:sz w:val="21"/>
        </w:rPr>
      </w:pPr>
      <w:r>
        <w:rPr>
          <w:b/>
          <w:sz w:val="21"/>
        </w:rPr>
        <w:t>词语定义与解释</w:t>
      </w:r>
    </w:p>
    <w:p>
      <w:pPr>
        <w:pStyle w:val="13"/>
        <w:spacing w:before="7"/>
        <w:ind w:left="0"/>
        <w:rPr>
          <w:b/>
          <w:sz w:val="18"/>
        </w:rPr>
      </w:pPr>
    </w:p>
    <w:p>
      <w:pPr>
        <w:pStyle w:val="13"/>
        <w:spacing w:before="1"/>
        <w:ind w:left="533"/>
      </w:pPr>
      <w:r>
        <w:t>合同协议书、通用合同条款、专用合同条款中的下列词语具有本款所赋予的含义：</w:t>
      </w:r>
    </w:p>
    <w:p>
      <w:pPr>
        <w:pStyle w:val="32"/>
        <w:numPr>
          <w:ilvl w:val="2"/>
          <w:numId w:val="9"/>
        </w:numPr>
        <w:tabs>
          <w:tab w:val="left" w:pos="1165"/>
        </w:tabs>
        <w:spacing w:before="126" w:after="0" w:line="240" w:lineRule="auto"/>
        <w:ind w:left="1164" w:right="0" w:hanging="629"/>
        <w:jc w:val="left"/>
        <w:rPr>
          <w:sz w:val="21"/>
        </w:rPr>
      </w:pPr>
      <w:r>
        <w:rPr>
          <w:sz w:val="21"/>
        </w:rPr>
        <w:t>合同</w:t>
      </w:r>
    </w:p>
    <w:p>
      <w:pPr>
        <w:pStyle w:val="32"/>
        <w:numPr>
          <w:ilvl w:val="3"/>
          <w:numId w:val="9"/>
        </w:numPr>
        <w:tabs>
          <w:tab w:val="left" w:pos="1376"/>
        </w:tabs>
        <w:spacing w:before="126" w:after="0" w:line="348" w:lineRule="auto"/>
        <w:ind w:left="112" w:right="206" w:firstLine="421"/>
        <w:jc w:val="both"/>
        <w:rPr>
          <w:sz w:val="21"/>
        </w:rPr>
      </w:pPr>
      <w:r>
        <w:rPr>
          <w:spacing w:val="-6"/>
          <w:sz w:val="21"/>
        </w:rPr>
        <w:t>合同：是指根据法律规定和合同当事人约定具有约束力的文件，构成合同的文件包括合同协</w:t>
      </w:r>
      <w:r>
        <w:rPr>
          <w:spacing w:val="-5"/>
          <w:sz w:val="21"/>
        </w:rPr>
        <w:t>议书、中标通知书</w:t>
      </w:r>
      <w:r>
        <w:rPr>
          <w:spacing w:val="-3"/>
          <w:sz w:val="21"/>
        </w:rPr>
        <w:t>（</w:t>
      </w:r>
      <w:r>
        <w:rPr>
          <w:spacing w:val="-2"/>
          <w:sz w:val="21"/>
        </w:rPr>
        <w:t>如果有</w:t>
      </w:r>
      <w:r>
        <w:rPr>
          <w:spacing w:val="-5"/>
          <w:sz w:val="21"/>
        </w:rPr>
        <w:t>）</w:t>
      </w:r>
      <w:r>
        <w:rPr>
          <w:spacing w:val="-3"/>
          <w:sz w:val="21"/>
        </w:rPr>
        <w:t>、投标函及其附录（</w:t>
      </w:r>
      <w:r>
        <w:rPr>
          <w:spacing w:val="-1"/>
          <w:sz w:val="21"/>
        </w:rPr>
        <w:t>如果有</w:t>
      </w:r>
      <w:r>
        <w:rPr>
          <w:spacing w:val="-5"/>
          <w:sz w:val="21"/>
        </w:rPr>
        <w:t>）、专用合同条款及其附件、通用合同条款、技</w:t>
      </w:r>
      <w:r>
        <w:rPr>
          <w:spacing w:val="-4"/>
          <w:sz w:val="21"/>
        </w:rPr>
        <w:t>术标准和要求、图纸、已标价工程量清单或预算书以及其他合同文件。</w:t>
      </w:r>
    </w:p>
    <w:p>
      <w:pPr>
        <w:pStyle w:val="32"/>
        <w:numPr>
          <w:ilvl w:val="3"/>
          <w:numId w:val="9"/>
        </w:numPr>
        <w:tabs>
          <w:tab w:val="left" w:pos="1376"/>
        </w:tabs>
        <w:spacing w:before="31" w:after="0" w:line="240" w:lineRule="auto"/>
        <w:ind w:left="112" w:right="0" w:firstLine="421"/>
        <w:jc w:val="left"/>
        <w:rPr>
          <w:sz w:val="21"/>
        </w:rPr>
      </w:pPr>
      <w:r>
        <w:rPr>
          <w:spacing w:val="-11"/>
          <w:sz w:val="21"/>
        </w:rPr>
        <w:t>合同协议书：是指构成合同的由发包人和承包人共同签署的称为“合同协议书”的书面文件。</w:t>
      </w:r>
    </w:p>
    <w:p>
      <w:pPr>
        <w:pStyle w:val="32"/>
        <w:numPr>
          <w:ilvl w:val="3"/>
          <w:numId w:val="9"/>
        </w:numPr>
        <w:tabs>
          <w:tab w:val="left" w:pos="1376"/>
        </w:tabs>
        <w:spacing w:before="123" w:after="0" w:line="240" w:lineRule="auto"/>
        <w:ind w:left="112" w:right="0" w:firstLine="421"/>
        <w:jc w:val="left"/>
        <w:rPr>
          <w:sz w:val="21"/>
        </w:rPr>
      </w:pPr>
      <w:r>
        <w:rPr>
          <w:spacing w:val="-3"/>
          <w:sz w:val="21"/>
        </w:rPr>
        <w:t>中标通知书：是指构成合同的由发包人通知承包人中标的书面文件。</w:t>
      </w:r>
    </w:p>
    <w:p>
      <w:pPr>
        <w:pStyle w:val="32"/>
        <w:numPr>
          <w:ilvl w:val="3"/>
          <w:numId w:val="9"/>
        </w:numPr>
        <w:tabs>
          <w:tab w:val="left" w:pos="1376"/>
        </w:tabs>
        <w:spacing w:before="125" w:after="0" w:line="240" w:lineRule="auto"/>
        <w:ind w:left="112" w:right="0" w:firstLine="421"/>
        <w:jc w:val="left"/>
        <w:rPr>
          <w:sz w:val="21"/>
        </w:rPr>
      </w:pPr>
      <w:r>
        <w:rPr>
          <w:spacing w:val="-3"/>
          <w:sz w:val="21"/>
        </w:rPr>
        <w:t>投标函：是指构成合同的由承包人填写并签署的用于投标的称为“投标函”的文件。</w:t>
      </w:r>
    </w:p>
    <w:p>
      <w:pPr>
        <w:pStyle w:val="32"/>
        <w:numPr>
          <w:ilvl w:val="3"/>
          <w:numId w:val="9"/>
        </w:numPr>
        <w:tabs>
          <w:tab w:val="left" w:pos="1376"/>
        </w:tabs>
        <w:spacing w:before="125" w:after="0" w:line="240" w:lineRule="auto"/>
        <w:ind w:left="112" w:right="0" w:firstLine="421"/>
        <w:jc w:val="left"/>
        <w:rPr>
          <w:sz w:val="21"/>
        </w:rPr>
      </w:pPr>
      <w:r>
        <w:rPr>
          <w:spacing w:val="-3"/>
          <w:sz w:val="21"/>
        </w:rPr>
        <w:t>投标函附录：是指构成合同的附在投标函后的称为“投标函附录”的文件。</w:t>
      </w:r>
    </w:p>
    <w:p>
      <w:pPr>
        <w:pStyle w:val="32"/>
        <w:numPr>
          <w:ilvl w:val="3"/>
          <w:numId w:val="9"/>
        </w:numPr>
        <w:tabs>
          <w:tab w:val="left" w:pos="1376"/>
        </w:tabs>
        <w:spacing w:before="123" w:after="0" w:line="350" w:lineRule="auto"/>
        <w:ind w:left="112" w:right="206" w:firstLine="421"/>
        <w:jc w:val="left"/>
        <w:rPr>
          <w:sz w:val="21"/>
        </w:rPr>
      </w:pPr>
      <w:r>
        <w:rPr>
          <w:spacing w:val="-6"/>
          <w:sz w:val="21"/>
        </w:rPr>
        <w:t>技术标准和要求：是指构成合同的施工应当遵守的或指导施工的国家、行业或地方的技术标</w:t>
      </w:r>
      <w:r>
        <w:rPr>
          <w:spacing w:val="-4"/>
          <w:sz w:val="21"/>
        </w:rPr>
        <w:t>准和要求，以及合同约定的技术标准和要求。</w:t>
      </w:r>
    </w:p>
    <w:p>
      <w:pPr>
        <w:pStyle w:val="32"/>
        <w:numPr>
          <w:ilvl w:val="3"/>
          <w:numId w:val="9"/>
        </w:numPr>
        <w:tabs>
          <w:tab w:val="left" w:pos="1376"/>
        </w:tabs>
        <w:spacing w:before="29" w:after="0" w:line="348" w:lineRule="auto"/>
        <w:ind w:left="112" w:right="184" w:firstLine="421"/>
        <w:jc w:val="left"/>
        <w:rPr>
          <w:sz w:val="21"/>
        </w:rPr>
      </w:pPr>
      <w:r>
        <w:rPr>
          <w:spacing w:val="-3"/>
          <w:sz w:val="21"/>
        </w:rPr>
        <w:t>图纸：是指构成合同的图纸，包括由发包人按照合同约定提供或经发包人批准的设计文件、施工图、鸟瞰图及模型等，以及在合同履行过程中形成的图纸文件。图纸应当按照法律规定审查合格。</w:t>
      </w:r>
    </w:p>
    <w:p>
      <w:pPr>
        <w:pStyle w:val="32"/>
        <w:numPr>
          <w:ilvl w:val="3"/>
          <w:numId w:val="9"/>
        </w:numPr>
        <w:tabs>
          <w:tab w:val="left" w:pos="1364"/>
        </w:tabs>
        <w:spacing w:before="31" w:after="0" w:line="350" w:lineRule="auto"/>
        <w:ind w:left="112" w:right="206" w:firstLine="409"/>
        <w:jc w:val="left"/>
        <w:rPr>
          <w:sz w:val="21"/>
        </w:rPr>
      </w:pPr>
      <w:r>
        <w:rPr>
          <w:spacing w:val="-5"/>
          <w:sz w:val="21"/>
        </w:rPr>
        <w:t>已标价工程量清单：是指构成合同的由承包人按照规定的格式和要求填写并标明价格的工程</w:t>
      </w:r>
      <w:r>
        <w:rPr>
          <w:spacing w:val="-4"/>
          <w:sz w:val="21"/>
        </w:rPr>
        <w:t>量清单，包括说明和表格。</w:t>
      </w:r>
    </w:p>
    <w:p>
      <w:pPr>
        <w:pStyle w:val="32"/>
        <w:numPr>
          <w:ilvl w:val="3"/>
          <w:numId w:val="9"/>
        </w:numPr>
        <w:tabs>
          <w:tab w:val="left" w:pos="1364"/>
        </w:tabs>
        <w:spacing w:before="27" w:after="0" w:line="240" w:lineRule="auto"/>
        <w:ind w:left="1363" w:right="0" w:hanging="842"/>
        <w:jc w:val="left"/>
        <w:rPr>
          <w:sz w:val="21"/>
        </w:rPr>
      </w:pPr>
      <w:r>
        <w:rPr>
          <w:spacing w:val="-3"/>
          <w:sz w:val="21"/>
        </w:rPr>
        <w:t>预算书：是指构成合同的由承包人按照发包人规定的格式和要求编制的工程预算文件。</w:t>
      </w:r>
    </w:p>
    <w:p>
      <w:pPr>
        <w:pStyle w:val="32"/>
        <w:numPr>
          <w:ilvl w:val="3"/>
          <w:numId w:val="9"/>
        </w:numPr>
        <w:tabs>
          <w:tab w:val="left" w:pos="1479"/>
        </w:tabs>
        <w:spacing w:before="126" w:after="0" w:line="350" w:lineRule="auto"/>
        <w:ind w:left="112" w:right="290" w:firstLine="421"/>
        <w:jc w:val="left"/>
        <w:rPr>
          <w:sz w:val="21"/>
        </w:rPr>
      </w:pPr>
      <w:r>
        <w:rPr>
          <w:spacing w:val="-3"/>
          <w:sz w:val="21"/>
        </w:rPr>
        <w:t>其他合同文件：是指经合同当事人约定的与工程施工有关的具有合同约束力的文件或书面协议。合同当事人可以在专用合同条款中进行约定。</w:t>
      </w:r>
    </w:p>
    <w:p>
      <w:pPr>
        <w:pStyle w:val="32"/>
        <w:numPr>
          <w:ilvl w:val="2"/>
          <w:numId w:val="10"/>
        </w:numPr>
        <w:tabs>
          <w:tab w:val="left" w:pos="1165"/>
        </w:tabs>
        <w:spacing w:before="26" w:after="0" w:line="240" w:lineRule="auto"/>
        <w:ind w:left="1164" w:right="0" w:hanging="629"/>
        <w:jc w:val="left"/>
        <w:rPr>
          <w:sz w:val="21"/>
        </w:rPr>
      </w:pPr>
      <w:r>
        <w:rPr>
          <w:spacing w:val="-3"/>
          <w:sz w:val="21"/>
        </w:rPr>
        <w:t>合同当事人及其他相关方</w:t>
      </w:r>
    </w:p>
    <w:p>
      <w:pPr>
        <w:pStyle w:val="32"/>
        <w:numPr>
          <w:ilvl w:val="3"/>
          <w:numId w:val="10"/>
        </w:numPr>
        <w:tabs>
          <w:tab w:val="left" w:pos="1376"/>
        </w:tabs>
        <w:spacing w:before="125" w:after="0" w:line="240" w:lineRule="auto"/>
        <w:ind w:left="112" w:right="0" w:firstLine="421"/>
        <w:jc w:val="left"/>
        <w:rPr>
          <w:sz w:val="21"/>
        </w:rPr>
      </w:pPr>
      <w:r>
        <w:rPr>
          <w:spacing w:val="-3"/>
          <w:sz w:val="21"/>
        </w:rPr>
        <w:t>合同当事人：是指发包人和</w:t>
      </w:r>
      <w:r>
        <w:rPr>
          <w:sz w:val="21"/>
        </w:rPr>
        <w:t>（</w:t>
      </w:r>
      <w:r>
        <w:rPr>
          <w:spacing w:val="-3"/>
          <w:sz w:val="21"/>
        </w:rPr>
        <w:t>或</w:t>
      </w:r>
      <w:r>
        <w:rPr>
          <w:sz w:val="21"/>
        </w:rPr>
        <w:t>）</w:t>
      </w:r>
      <w:r>
        <w:rPr>
          <w:spacing w:val="-3"/>
          <w:sz w:val="21"/>
        </w:rPr>
        <w:t>承包人。</w:t>
      </w:r>
    </w:p>
    <w:p>
      <w:pPr>
        <w:pStyle w:val="32"/>
        <w:numPr>
          <w:ilvl w:val="3"/>
          <w:numId w:val="10"/>
        </w:numPr>
        <w:tabs>
          <w:tab w:val="left" w:pos="1376"/>
        </w:tabs>
        <w:spacing w:before="125" w:after="0" w:line="240" w:lineRule="auto"/>
        <w:ind w:left="112" w:right="0" w:firstLine="421"/>
        <w:jc w:val="left"/>
        <w:rPr>
          <w:sz w:val="21"/>
        </w:rPr>
      </w:pPr>
      <w:r>
        <w:rPr>
          <w:spacing w:val="-3"/>
          <w:sz w:val="21"/>
        </w:rPr>
        <w:t>发包人：是指与承包人签订合同协议书的当事人及取得该当事人资格的合法继承人。</w:t>
      </w:r>
    </w:p>
    <w:p>
      <w:pPr>
        <w:pStyle w:val="32"/>
        <w:numPr>
          <w:ilvl w:val="3"/>
          <w:numId w:val="10"/>
        </w:numPr>
        <w:tabs>
          <w:tab w:val="left" w:pos="1376"/>
        </w:tabs>
        <w:spacing w:before="123" w:after="0" w:line="350" w:lineRule="auto"/>
        <w:ind w:left="112" w:right="206" w:firstLine="421"/>
        <w:jc w:val="left"/>
        <w:rPr>
          <w:sz w:val="21"/>
        </w:rPr>
      </w:pPr>
      <w:r>
        <w:rPr>
          <w:spacing w:val="-6"/>
          <w:sz w:val="21"/>
        </w:rPr>
        <w:t>承包人：是指与发包人签订合同协议书的，具有相应工程施工承包资质的当事人及取得该当</w:t>
      </w:r>
      <w:r>
        <w:rPr>
          <w:spacing w:val="-4"/>
          <w:sz w:val="21"/>
        </w:rPr>
        <w:t>事人资格的合法继承人。</w:t>
      </w:r>
    </w:p>
    <w:p>
      <w:pPr>
        <w:pStyle w:val="32"/>
        <w:numPr>
          <w:ilvl w:val="3"/>
          <w:numId w:val="10"/>
        </w:numPr>
        <w:tabs>
          <w:tab w:val="left" w:pos="1376"/>
        </w:tabs>
        <w:spacing w:before="29" w:after="0" w:line="348" w:lineRule="auto"/>
        <w:ind w:left="112" w:right="206" w:firstLine="421"/>
        <w:jc w:val="left"/>
        <w:rPr>
          <w:sz w:val="21"/>
        </w:rPr>
      </w:pPr>
      <w:r>
        <w:rPr>
          <w:spacing w:val="-6"/>
          <w:sz w:val="21"/>
        </w:rPr>
        <w:t>监理人：是指在专用合同条款中指明的，受发包人委托按照法律规定进行工程监督管理的法</w:t>
      </w:r>
      <w:r>
        <w:rPr>
          <w:spacing w:val="-4"/>
          <w:sz w:val="21"/>
        </w:rPr>
        <w:t>人或其他组织。</w:t>
      </w:r>
    </w:p>
    <w:p>
      <w:pPr>
        <w:pStyle w:val="32"/>
        <w:numPr>
          <w:ilvl w:val="3"/>
          <w:numId w:val="10"/>
        </w:numPr>
        <w:tabs>
          <w:tab w:val="left" w:pos="1376"/>
        </w:tabs>
        <w:spacing w:before="32" w:after="0" w:line="350" w:lineRule="auto"/>
        <w:ind w:left="112" w:right="206" w:firstLine="421"/>
        <w:jc w:val="left"/>
        <w:rPr>
          <w:sz w:val="21"/>
        </w:rPr>
      </w:pPr>
      <w:r>
        <w:rPr>
          <w:spacing w:val="-6"/>
          <w:sz w:val="21"/>
        </w:rPr>
        <w:t>设计人：是指在专用合同条款中指明的，受发包人委托负责工程设计并具备相应工程设计资</w:t>
      </w:r>
      <w:r>
        <w:rPr>
          <w:spacing w:val="-4"/>
          <w:sz w:val="21"/>
        </w:rPr>
        <w:t>质的法人或其他组织。</w:t>
      </w:r>
    </w:p>
    <w:p>
      <w:pPr>
        <w:pStyle w:val="32"/>
        <w:numPr>
          <w:ilvl w:val="3"/>
          <w:numId w:val="10"/>
        </w:numPr>
        <w:tabs>
          <w:tab w:val="left" w:pos="1364"/>
        </w:tabs>
        <w:spacing w:before="27" w:after="0" w:line="350" w:lineRule="auto"/>
        <w:ind w:left="112" w:right="208" w:firstLine="409"/>
        <w:jc w:val="left"/>
        <w:rPr>
          <w:sz w:val="21"/>
        </w:rPr>
      </w:pPr>
      <w:r>
        <w:rPr>
          <w:spacing w:val="-6"/>
          <w:sz w:val="21"/>
        </w:rPr>
        <w:t>分包人：是指按照法律规定和合同约定，分包部分工程或工作，并与承包人签订分包合同的</w:t>
      </w:r>
      <w:r>
        <w:rPr>
          <w:spacing w:val="-4"/>
          <w:sz w:val="21"/>
        </w:rPr>
        <w:t>具有相应资质的法人。</w:t>
      </w:r>
    </w:p>
    <w:p>
      <w:pPr>
        <w:pStyle w:val="32"/>
        <w:numPr>
          <w:ilvl w:val="3"/>
          <w:numId w:val="10"/>
        </w:numPr>
        <w:tabs>
          <w:tab w:val="left" w:pos="1376"/>
        </w:tabs>
        <w:spacing w:before="29" w:after="0" w:line="240" w:lineRule="auto"/>
        <w:ind w:left="112" w:right="0" w:firstLine="421"/>
        <w:jc w:val="left"/>
        <w:rPr>
          <w:sz w:val="21"/>
        </w:rPr>
      </w:pPr>
      <w:r>
        <w:rPr>
          <w:spacing w:val="-3"/>
          <w:sz w:val="21"/>
        </w:rPr>
        <w:t>发包人代表：是指由发包人任命并派驻施工现场在发包人授权范围内行使发包人权利的人。</w:t>
      </w:r>
    </w:p>
    <w:p>
      <w:pPr>
        <w:pStyle w:val="32"/>
        <w:numPr>
          <w:ilvl w:val="3"/>
          <w:numId w:val="10"/>
        </w:numPr>
        <w:tabs>
          <w:tab w:val="left" w:pos="1376"/>
        </w:tabs>
        <w:spacing w:before="123" w:after="0" w:line="240" w:lineRule="auto"/>
        <w:ind w:left="112" w:right="0" w:firstLine="421"/>
        <w:jc w:val="left"/>
        <w:rPr>
          <w:sz w:val="21"/>
        </w:rPr>
      </w:pPr>
      <w:r>
        <w:rPr>
          <w:spacing w:val="-7"/>
          <w:sz w:val="21"/>
        </w:rPr>
        <w:t>项目经理：是指由承包人任命并派驻施工现场，在承包人授权范围内负责合同履行，且按照</w:t>
      </w:r>
    </w:p>
    <w:p>
      <w:pPr>
        <w:spacing w:after="0" w:line="240" w:lineRule="auto"/>
        <w:jc w:val="left"/>
        <w:rPr>
          <w:sz w:val="21"/>
        </w:rPr>
        <w:sectPr>
          <w:pgSz w:w="11910" w:h="16840"/>
          <w:pgMar w:top="1420" w:right="920" w:bottom="1180" w:left="1020" w:header="0" w:footer="920" w:gutter="0"/>
        </w:sectPr>
      </w:pPr>
    </w:p>
    <w:p>
      <w:pPr>
        <w:pStyle w:val="13"/>
        <w:spacing w:before="14"/>
      </w:pPr>
      <w:r>
        <w:t>法律规定具有相应资格的项目负责人。</w:t>
      </w:r>
    </w:p>
    <w:p>
      <w:pPr>
        <w:pStyle w:val="32"/>
        <w:numPr>
          <w:ilvl w:val="3"/>
          <w:numId w:val="10"/>
        </w:numPr>
        <w:tabs>
          <w:tab w:val="left" w:pos="1376"/>
        </w:tabs>
        <w:spacing w:before="124" w:after="0" w:line="240" w:lineRule="auto"/>
        <w:ind w:left="112" w:right="0" w:firstLine="421"/>
        <w:jc w:val="left"/>
        <w:rPr>
          <w:sz w:val="21"/>
        </w:rPr>
      </w:pPr>
      <w:r>
        <w:rPr>
          <w:spacing w:val="-3"/>
          <w:sz w:val="21"/>
        </w:rPr>
        <w:t>总监理工程师：是指由监理人任命并派驻施工现场进行工程监理的总负责人。</w:t>
      </w:r>
    </w:p>
    <w:p>
      <w:pPr>
        <w:pStyle w:val="32"/>
        <w:numPr>
          <w:ilvl w:val="2"/>
          <w:numId w:val="11"/>
        </w:numPr>
        <w:tabs>
          <w:tab w:val="left" w:pos="1165"/>
        </w:tabs>
        <w:spacing w:before="126" w:after="0" w:line="240" w:lineRule="auto"/>
        <w:ind w:left="1164" w:right="0" w:hanging="631"/>
        <w:jc w:val="left"/>
        <w:rPr>
          <w:sz w:val="21"/>
        </w:rPr>
      </w:pPr>
      <w:r>
        <w:rPr>
          <w:spacing w:val="-3"/>
          <w:sz w:val="21"/>
        </w:rPr>
        <w:t>工程和设备</w:t>
      </w:r>
    </w:p>
    <w:p>
      <w:pPr>
        <w:pStyle w:val="32"/>
        <w:numPr>
          <w:ilvl w:val="3"/>
          <w:numId w:val="11"/>
        </w:numPr>
        <w:tabs>
          <w:tab w:val="left" w:pos="1376"/>
        </w:tabs>
        <w:spacing w:before="126" w:after="0" w:line="240" w:lineRule="auto"/>
        <w:ind w:left="112" w:right="0" w:firstLine="421"/>
        <w:jc w:val="left"/>
        <w:rPr>
          <w:sz w:val="21"/>
        </w:rPr>
      </w:pPr>
      <w:r>
        <w:rPr>
          <w:spacing w:val="-3"/>
          <w:sz w:val="21"/>
        </w:rPr>
        <w:t>工程：是指与合同协议书中工程承包范围对应的永久工程和（</w:t>
      </w:r>
      <w:r>
        <w:rPr>
          <w:sz w:val="21"/>
        </w:rPr>
        <w:t>或</w:t>
      </w:r>
      <w:r>
        <w:rPr>
          <w:spacing w:val="-3"/>
          <w:sz w:val="21"/>
        </w:rPr>
        <w:t>）</w:t>
      </w:r>
      <w:r>
        <w:rPr>
          <w:spacing w:val="-1"/>
          <w:sz w:val="21"/>
        </w:rPr>
        <w:t>临时工程。</w:t>
      </w:r>
    </w:p>
    <w:p>
      <w:pPr>
        <w:pStyle w:val="32"/>
        <w:numPr>
          <w:ilvl w:val="3"/>
          <w:numId w:val="11"/>
        </w:numPr>
        <w:tabs>
          <w:tab w:val="left" w:pos="1376"/>
        </w:tabs>
        <w:spacing w:before="123" w:after="0" w:line="240" w:lineRule="auto"/>
        <w:ind w:left="112" w:right="0" w:firstLine="421"/>
        <w:jc w:val="left"/>
        <w:rPr>
          <w:sz w:val="21"/>
        </w:rPr>
      </w:pPr>
      <w:r>
        <w:rPr>
          <w:spacing w:val="-3"/>
          <w:sz w:val="21"/>
        </w:rPr>
        <w:t>永久工程：是指按合同约定建造并移交给发包人的工程，包括工程设备。</w:t>
      </w:r>
    </w:p>
    <w:p>
      <w:pPr>
        <w:pStyle w:val="32"/>
        <w:numPr>
          <w:ilvl w:val="3"/>
          <w:numId w:val="11"/>
        </w:numPr>
        <w:tabs>
          <w:tab w:val="left" w:pos="1376"/>
        </w:tabs>
        <w:spacing w:before="125" w:after="0" w:line="240" w:lineRule="auto"/>
        <w:ind w:left="112" w:right="0" w:firstLine="421"/>
        <w:jc w:val="left"/>
        <w:rPr>
          <w:sz w:val="21"/>
        </w:rPr>
      </w:pPr>
      <w:r>
        <w:rPr>
          <w:spacing w:val="-3"/>
          <w:sz w:val="21"/>
        </w:rPr>
        <w:t>临时工程：是指为完成合同约定的永久工程所修建的各类临时性工程，不包括施工设备。</w:t>
      </w:r>
    </w:p>
    <w:p>
      <w:pPr>
        <w:pStyle w:val="32"/>
        <w:numPr>
          <w:ilvl w:val="3"/>
          <w:numId w:val="11"/>
        </w:numPr>
        <w:tabs>
          <w:tab w:val="left" w:pos="1376"/>
        </w:tabs>
        <w:spacing w:before="125" w:after="0" w:line="348" w:lineRule="auto"/>
        <w:ind w:left="112" w:right="126" w:firstLine="421"/>
        <w:jc w:val="left"/>
        <w:rPr>
          <w:sz w:val="21"/>
        </w:rPr>
      </w:pPr>
      <w:r>
        <w:rPr>
          <w:spacing w:val="-6"/>
          <w:sz w:val="21"/>
        </w:rPr>
        <w:t>单位工程：是指在合同协议书中指明的，具备独立施工条件并能形成独立使用功能的永久工程。</w:t>
      </w:r>
    </w:p>
    <w:p>
      <w:pPr>
        <w:pStyle w:val="32"/>
        <w:numPr>
          <w:ilvl w:val="3"/>
          <w:numId w:val="11"/>
        </w:numPr>
        <w:tabs>
          <w:tab w:val="left" w:pos="1376"/>
        </w:tabs>
        <w:spacing w:before="31" w:after="0" w:line="240" w:lineRule="auto"/>
        <w:ind w:left="112" w:right="0" w:firstLine="421"/>
        <w:jc w:val="left"/>
        <w:rPr>
          <w:sz w:val="21"/>
        </w:rPr>
      </w:pPr>
      <w:r>
        <w:rPr>
          <w:spacing w:val="-3"/>
          <w:sz w:val="21"/>
        </w:rPr>
        <w:t>工程设备：是指构成永久工程的机电设备、金属结构设备、仪器及其他类似的设备和装置。</w:t>
      </w:r>
    </w:p>
    <w:p>
      <w:pPr>
        <w:pStyle w:val="32"/>
        <w:numPr>
          <w:ilvl w:val="3"/>
          <w:numId w:val="11"/>
        </w:numPr>
        <w:tabs>
          <w:tab w:val="left" w:pos="1376"/>
        </w:tabs>
        <w:spacing w:before="126" w:after="0" w:line="348" w:lineRule="auto"/>
        <w:ind w:left="112" w:right="126" w:firstLine="421"/>
        <w:jc w:val="left"/>
        <w:rPr>
          <w:sz w:val="21"/>
        </w:rPr>
      </w:pPr>
      <w:r>
        <w:rPr>
          <w:spacing w:val="-7"/>
          <w:sz w:val="21"/>
        </w:rPr>
        <w:t>施工设备：是指为完成合同约定的各项工作所需的设备、器具和其他物品，但不包括工程设</w:t>
      </w:r>
      <w:r>
        <w:rPr>
          <w:spacing w:val="-5"/>
          <w:sz w:val="21"/>
        </w:rPr>
        <w:t>备、临时工程和材料。</w:t>
      </w:r>
    </w:p>
    <w:p>
      <w:pPr>
        <w:pStyle w:val="32"/>
        <w:numPr>
          <w:ilvl w:val="3"/>
          <w:numId w:val="11"/>
        </w:numPr>
        <w:tabs>
          <w:tab w:val="left" w:pos="1376"/>
        </w:tabs>
        <w:spacing w:before="31" w:after="0" w:line="350" w:lineRule="auto"/>
        <w:ind w:left="112" w:right="126" w:firstLine="421"/>
        <w:jc w:val="left"/>
        <w:rPr>
          <w:sz w:val="21"/>
        </w:rPr>
      </w:pPr>
      <w:r>
        <w:rPr>
          <w:spacing w:val="-6"/>
          <w:sz w:val="21"/>
        </w:rPr>
        <w:t>施工现场：是指用于工程施工的场所，以及在专用合同条款中指明作为施工场所组成部分的</w:t>
      </w:r>
      <w:r>
        <w:rPr>
          <w:spacing w:val="-4"/>
          <w:sz w:val="21"/>
        </w:rPr>
        <w:t>其他场所，包括永久占地和临时占地。</w:t>
      </w:r>
    </w:p>
    <w:p>
      <w:pPr>
        <w:pStyle w:val="32"/>
        <w:numPr>
          <w:ilvl w:val="3"/>
          <w:numId w:val="11"/>
        </w:numPr>
        <w:tabs>
          <w:tab w:val="left" w:pos="1323"/>
        </w:tabs>
        <w:spacing w:before="26" w:after="0" w:line="240" w:lineRule="auto"/>
        <w:ind w:left="1322" w:right="0" w:hanging="789"/>
        <w:jc w:val="left"/>
        <w:rPr>
          <w:sz w:val="21"/>
        </w:rPr>
      </w:pPr>
      <w:r>
        <w:rPr>
          <w:spacing w:val="-3"/>
          <w:sz w:val="21"/>
        </w:rPr>
        <w:t>临时设施：是指为完成合同约定的各项工作所服务的临时性生产和生活设施。</w:t>
      </w:r>
    </w:p>
    <w:p>
      <w:pPr>
        <w:pStyle w:val="32"/>
        <w:numPr>
          <w:ilvl w:val="3"/>
          <w:numId w:val="11"/>
        </w:numPr>
        <w:tabs>
          <w:tab w:val="left" w:pos="1376"/>
        </w:tabs>
        <w:spacing w:before="125" w:after="0" w:line="240" w:lineRule="auto"/>
        <w:ind w:left="112" w:right="0" w:firstLine="421"/>
        <w:jc w:val="left"/>
        <w:rPr>
          <w:sz w:val="21"/>
        </w:rPr>
      </w:pPr>
      <w:r>
        <w:rPr>
          <w:spacing w:val="-3"/>
          <w:sz w:val="21"/>
        </w:rPr>
        <w:t>永久占地：是指专用合同条款中指明为实施工程需永久占用的土地。</w:t>
      </w:r>
    </w:p>
    <w:p>
      <w:pPr>
        <w:pStyle w:val="32"/>
        <w:numPr>
          <w:ilvl w:val="3"/>
          <w:numId w:val="11"/>
        </w:numPr>
        <w:tabs>
          <w:tab w:val="left" w:pos="1479"/>
        </w:tabs>
        <w:spacing w:before="125" w:after="0" w:line="240" w:lineRule="auto"/>
        <w:ind w:left="1478" w:right="0" w:hanging="945"/>
        <w:jc w:val="left"/>
        <w:rPr>
          <w:sz w:val="21"/>
        </w:rPr>
      </w:pPr>
      <w:r>
        <w:rPr>
          <w:spacing w:val="-3"/>
          <w:sz w:val="21"/>
        </w:rPr>
        <w:t>临时占地：是指专用合同条款中指明为实施工程需要临时占用的土地。</w:t>
      </w:r>
    </w:p>
    <w:p>
      <w:pPr>
        <w:pStyle w:val="32"/>
        <w:numPr>
          <w:ilvl w:val="2"/>
          <w:numId w:val="12"/>
        </w:numPr>
        <w:tabs>
          <w:tab w:val="left" w:pos="1165"/>
        </w:tabs>
        <w:spacing w:before="123" w:after="0" w:line="240" w:lineRule="auto"/>
        <w:ind w:left="1164" w:right="0" w:hanging="631"/>
        <w:jc w:val="left"/>
        <w:rPr>
          <w:sz w:val="21"/>
        </w:rPr>
      </w:pPr>
      <w:r>
        <w:rPr>
          <w:spacing w:val="-3"/>
          <w:sz w:val="21"/>
        </w:rPr>
        <w:t>日期和期限</w:t>
      </w:r>
    </w:p>
    <w:p>
      <w:pPr>
        <w:pStyle w:val="32"/>
        <w:numPr>
          <w:ilvl w:val="3"/>
          <w:numId w:val="12"/>
        </w:numPr>
        <w:tabs>
          <w:tab w:val="left" w:pos="1376"/>
        </w:tabs>
        <w:spacing w:before="126" w:after="0" w:line="348" w:lineRule="auto"/>
        <w:ind w:left="112" w:right="126" w:firstLine="421"/>
        <w:jc w:val="both"/>
        <w:rPr>
          <w:sz w:val="21"/>
        </w:rPr>
      </w:pPr>
      <w:r>
        <w:rPr>
          <w:spacing w:val="-6"/>
          <w:sz w:val="21"/>
        </w:rPr>
        <w:t>开工日期：包括计划开工日期和实际开工日期。计划开工日期是指合同协议书约定的开工日</w:t>
      </w:r>
      <w:r>
        <w:rPr>
          <w:spacing w:val="-7"/>
          <w:sz w:val="21"/>
        </w:rPr>
        <w:t xml:space="preserve">期；实际开工日期是指监理人按照第 </w:t>
      </w:r>
      <w:r>
        <w:rPr>
          <w:sz w:val="21"/>
        </w:rPr>
        <w:t>7.3.2</w:t>
      </w:r>
      <w:r>
        <w:rPr>
          <w:spacing w:val="-9"/>
          <w:sz w:val="21"/>
        </w:rPr>
        <w:t xml:space="preserve"> 项〔开工通知〕约定发出的符合法律规定的开工通知中载明的</w:t>
      </w:r>
      <w:r>
        <w:rPr>
          <w:spacing w:val="-5"/>
          <w:sz w:val="21"/>
        </w:rPr>
        <w:t>开工日期。</w:t>
      </w:r>
    </w:p>
    <w:p>
      <w:pPr>
        <w:pStyle w:val="32"/>
        <w:numPr>
          <w:ilvl w:val="3"/>
          <w:numId w:val="12"/>
        </w:numPr>
        <w:tabs>
          <w:tab w:val="left" w:pos="1376"/>
        </w:tabs>
        <w:spacing w:before="32" w:after="0" w:line="350" w:lineRule="auto"/>
        <w:ind w:left="112" w:right="126" w:firstLine="421"/>
        <w:jc w:val="left"/>
        <w:rPr>
          <w:sz w:val="21"/>
        </w:rPr>
      </w:pPr>
      <w:r>
        <w:rPr>
          <w:spacing w:val="-6"/>
          <w:sz w:val="21"/>
        </w:rPr>
        <w:t>竣工日期：包括计划竣工日期和实际竣工日期。计划竣工日期是指合同协议书约定的竣工日</w:t>
      </w:r>
      <w:r>
        <w:rPr>
          <w:spacing w:val="-8"/>
          <w:sz w:val="21"/>
        </w:rPr>
        <w:t xml:space="preserve">期；实际竣工日期按照第 </w:t>
      </w:r>
      <w:r>
        <w:rPr>
          <w:sz w:val="21"/>
        </w:rPr>
        <w:t>13.2.3</w:t>
      </w:r>
      <w:r>
        <w:rPr>
          <w:spacing w:val="-8"/>
          <w:sz w:val="21"/>
        </w:rPr>
        <w:t xml:space="preserve"> 项〔竣工日期〕的约定确定。</w:t>
      </w:r>
    </w:p>
    <w:p>
      <w:pPr>
        <w:pStyle w:val="32"/>
        <w:numPr>
          <w:ilvl w:val="3"/>
          <w:numId w:val="12"/>
        </w:numPr>
        <w:tabs>
          <w:tab w:val="left" w:pos="1383"/>
        </w:tabs>
        <w:spacing w:before="27" w:after="0" w:line="350" w:lineRule="auto"/>
        <w:ind w:left="112" w:right="128" w:firstLine="428"/>
        <w:jc w:val="left"/>
        <w:rPr>
          <w:sz w:val="21"/>
        </w:rPr>
      </w:pPr>
      <w:r>
        <w:rPr>
          <w:spacing w:val="-6"/>
          <w:sz w:val="21"/>
        </w:rPr>
        <w:t>工期：是指在合同协议书约定的承包人完成工程所需的期限，包括按照合同约定所作的期限</w:t>
      </w:r>
      <w:r>
        <w:rPr>
          <w:sz w:val="21"/>
        </w:rPr>
        <w:t>变更。</w:t>
      </w:r>
    </w:p>
    <w:p>
      <w:pPr>
        <w:pStyle w:val="32"/>
        <w:numPr>
          <w:ilvl w:val="3"/>
          <w:numId w:val="12"/>
        </w:numPr>
        <w:tabs>
          <w:tab w:val="left" w:pos="1376"/>
        </w:tabs>
        <w:spacing w:before="29" w:after="0" w:line="348" w:lineRule="auto"/>
        <w:ind w:left="112" w:right="126" w:firstLine="421"/>
        <w:jc w:val="left"/>
        <w:rPr>
          <w:sz w:val="21"/>
        </w:rPr>
      </w:pPr>
      <w:r>
        <w:rPr>
          <w:spacing w:val="-6"/>
          <w:sz w:val="21"/>
        </w:rPr>
        <w:t>缺陷责任期：是指承包人按照合同约定承担缺陷修复义务，且发包人预留质量保证金</w:t>
      </w:r>
      <w:r>
        <w:rPr>
          <w:spacing w:val="-3"/>
          <w:sz w:val="21"/>
        </w:rPr>
        <w:t>（</w:t>
      </w:r>
      <w:r>
        <w:rPr>
          <w:spacing w:val="-2"/>
          <w:sz w:val="21"/>
        </w:rPr>
        <w:t>已缴</w:t>
      </w:r>
      <w:r>
        <w:rPr>
          <w:spacing w:val="-3"/>
          <w:sz w:val="21"/>
        </w:rPr>
        <w:t>纳履约保证金的除外</w:t>
      </w:r>
      <w:r>
        <w:rPr>
          <w:sz w:val="21"/>
        </w:rPr>
        <w:t>）</w:t>
      </w:r>
      <w:r>
        <w:rPr>
          <w:spacing w:val="-3"/>
          <w:sz w:val="21"/>
        </w:rPr>
        <w:t>的期限，自工程实际竣工日期起计算。</w:t>
      </w:r>
    </w:p>
    <w:p>
      <w:pPr>
        <w:pStyle w:val="32"/>
        <w:numPr>
          <w:ilvl w:val="3"/>
          <w:numId w:val="12"/>
        </w:numPr>
        <w:tabs>
          <w:tab w:val="left" w:pos="1376"/>
        </w:tabs>
        <w:spacing w:before="31" w:after="0" w:line="350" w:lineRule="auto"/>
        <w:ind w:left="112" w:right="126" w:firstLine="421"/>
        <w:jc w:val="left"/>
        <w:rPr>
          <w:sz w:val="21"/>
        </w:rPr>
      </w:pPr>
      <w:r>
        <w:rPr>
          <w:spacing w:val="-6"/>
          <w:sz w:val="21"/>
        </w:rPr>
        <w:t>保修期：是指承包人按照合同约定对工程承担保修责任的期限，从工程竣工验收合格之日起计算。</w:t>
      </w:r>
    </w:p>
    <w:p>
      <w:pPr>
        <w:pStyle w:val="32"/>
        <w:numPr>
          <w:ilvl w:val="3"/>
          <w:numId w:val="12"/>
        </w:numPr>
        <w:tabs>
          <w:tab w:val="left" w:pos="1376"/>
        </w:tabs>
        <w:spacing w:before="27" w:after="0" w:line="350" w:lineRule="auto"/>
        <w:ind w:left="112" w:right="210" w:firstLine="421"/>
        <w:jc w:val="left"/>
        <w:rPr>
          <w:sz w:val="21"/>
        </w:rPr>
      </w:pPr>
      <w:r>
        <w:rPr>
          <w:spacing w:val="-5"/>
          <w:sz w:val="21"/>
        </w:rPr>
        <w:t xml:space="preserve">基准日期：招标发包的工程以投标截止日前 </w:t>
      </w:r>
      <w:r>
        <w:rPr>
          <w:sz w:val="21"/>
        </w:rPr>
        <w:t>28</w:t>
      </w:r>
      <w:r>
        <w:rPr>
          <w:spacing w:val="-7"/>
          <w:sz w:val="21"/>
        </w:rPr>
        <w:t xml:space="preserve"> 天的日期为基准日期，直接发包的工程以合</w:t>
      </w:r>
      <w:r>
        <w:rPr>
          <w:spacing w:val="-12"/>
          <w:sz w:val="21"/>
        </w:rPr>
        <w:t xml:space="preserve">同签订日前 </w:t>
      </w:r>
      <w:r>
        <w:rPr>
          <w:sz w:val="21"/>
        </w:rPr>
        <w:t>28</w:t>
      </w:r>
      <w:r>
        <w:rPr>
          <w:spacing w:val="-8"/>
          <w:sz w:val="21"/>
        </w:rPr>
        <w:t xml:space="preserve"> 天的日期为基准日期。</w:t>
      </w:r>
    </w:p>
    <w:p>
      <w:pPr>
        <w:pStyle w:val="32"/>
        <w:numPr>
          <w:ilvl w:val="3"/>
          <w:numId w:val="12"/>
        </w:numPr>
        <w:tabs>
          <w:tab w:val="left" w:pos="1376"/>
        </w:tabs>
        <w:spacing w:before="29" w:after="0" w:line="348" w:lineRule="auto"/>
        <w:ind w:left="112" w:right="126" w:firstLine="421"/>
        <w:jc w:val="left"/>
        <w:rPr>
          <w:sz w:val="21"/>
        </w:rPr>
      </w:pPr>
      <w:r>
        <w:rPr>
          <w:spacing w:val="-6"/>
          <w:sz w:val="21"/>
        </w:rPr>
        <w:t>天：除特别指明外，均指日历天。合同中按天计算时间的，开始当天不计入，从次日开始计</w:t>
      </w:r>
      <w:r>
        <w:rPr>
          <w:spacing w:val="-7"/>
          <w:sz w:val="21"/>
        </w:rPr>
        <w:t xml:space="preserve">算，期限最后一天的截止时间为当天 </w:t>
      </w:r>
      <w:r>
        <w:rPr>
          <w:sz w:val="21"/>
        </w:rPr>
        <w:t>24:00</w:t>
      </w:r>
      <w:r>
        <w:rPr>
          <w:spacing w:val="-17"/>
          <w:sz w:val="21"/>
        </w:rPr>
        <w:t xml:space="preserve"> 时。</w:t>
      </w:r>
    </w:p>
    <w:p>
      <w:pPr>
        <w:pStyle w:val="32"/>
        <w:numPr>
          <w:ilvl w:val="2"/>
          <w:numId w:val="13"/>
        </w:numPr>
        <w:tabs>
          <w:tab w:val="left" w:pos="1165"/>
        </w:tabs>
        <w:spacing w:before="31" w:after="0" w:line="240" w:lineRule="auto"/>
        <w:ind w:left="1164" w:right="0" w:hanging="631"/>
        <w:jc w:val="left"/>
        <w:rPr>
          <w:sz w:val="21"/>
        </w:rPr>
      </w:pPr>
      <w:r>
        <w:rPr>
          <w:spacing w:val="-3"/>
          <w:sz w:val="21"/>
        </w:rPr>
        <w:t>合同价格和费用</w:t>
      </w:r>
    </w:p>
    <w:p>
      <w:pPr>
        <w:pStyle w:val="32"/>
        <w:numPr>
          <w:ilvl w:val="3"/>
          <w:numId w:val="13"/>
        </w:numPr>
        <w:tabs>
          <w:tab w:val="left" w:pos="1376"/>
        </w:tabs>
        <w:spacing w:before="126" w:after="0" w:line="348" w:lineRule="auto"/>
        <w:ind w:left="112" w:right="126" w:firstLine="421"/>
        <w:jc w:val="left"/>
        <w:rPr>
          <w:sz w:val="21"/>
        </w:rPr>
      </w:pPr>
      <w:r>
        <w:rPr>
          <w:spacing w:val="-6"/>
          <w:sz w:val="21"/>
        </w:rPr>
        <w:t>签约合同价：是指发包人和承包人在合同协议书中确定的总金额，包括安全文明施工费、暂</w:t>
      </w:r>
      <w:r>
        <w:rPr>
          <w:spacing w:val="-4"/>
          <w:sz w:val="21"/>
        </w:rPr>
        <w:t>估价及暂列金额等。</w:t>
      </w:r>
    </w:p>
    <w:p>
      <w:pPr>
        <w:spacing w:after="0" w:line="348" w:lineRule="auto"/>
        <w:jc w:val="left"/>
        <w:rPr>
          <w:sz w:val="21"/>
        </w:rPr>
        <w:sectPr>
          <w:pgSz w:w="11910" w:h="16840"/>
          <w:pgMar w:top="1460" w:right="1000" w:bottom="1180" w:left="1020" w:header="0" w:footer="920" w:gutter="0"/>
        </w:sectPr>
      </w:pPr>
    </w:p>
    <w:p>
      <w:pPr>
        <w:pStyle w:val="32"/>
        <w:numPr>
          <w:ilvl w:val="3"/>
          <w:numId w:val="13"/>
        </w:numPr>
        <w:tabs>
          <w:tab w:val="left" w:pos="1376"/>
        </w:tabs>
        <w:spacing w:before="14" w:after="0" w:line="348" w:lineRule="auto"/>
        <w:ind w:left="112" w:right="206" w:firstLine="421"/>
        <w:jc w:val="left"/>
        <w:rPr>
          <w:sz w:val="21"/>
        </w:rPr>
      </w:pPr>
      <w:r>
        <w:rPr>
          <w:spacing w:val="-6"/>
          <w:sz w:val="21"/>
        </w:rPr>
        <w:t>合同价格：是指发包人用于支付承包人按照合同约定完成承包范围内全部工作的金额，包括</w:t>
      </w:r>
      <w:r>
        <w:rPr>
          <w:spacing w:val="-4"/>
          <w:sz w:val="21"/>
        </w:rPr>
        <w:t>合同履行过程中按合同约定发生的价格变化。</w:t>
      </w:r>
    </w:p>
    <w:p>
      <w:pPr>
        <w:pStyle w:val="32"/>
        <w:numPr>
          <w:ilvl w:val="3"/>
          <w:numId w:val="13"/>
        </w:numPr>
        <w:tabs>
          <w:tab w:val="left" w:pos="1376"/>
        </w:tabs>
        <w:spacing w:before="31" w:after="0" w:line="350" w:lineRule="auto"/>
        <w:ind w:left="112" w:right="206" w:firstLine="421"/>
        <w:jc w:val="left"/>
        <w:rPr>
          <w:sz w:val="21"/>
        </w:rPr>
      </w:pPr>
      <w:r>
        <w:rPr>
          <w:spacing w:val="-6"/>
          <w:sz w:val="21"/>
        </w:rPr>
        <w:t>费用：是指为履行合同所发生的或将要发生的所有必需的开支，包括管理费和应分摊的其他</w:t>
      </w:r>
      <w:r>
        <w:rPr>
          <w:spacing w:val="-4"/>
          <w:sz w:val="21"/>
        </w:rPr>
        <w:t>费用，但不包括利润。</w:t>
      </w:r>
    </w:p>
    <w:p>
      <w:pPr>
        <w:pStyle w:val="32"/>
        <w:numPr>
          <w:ilvl w:val="3"/>
          <w:numId w:val="13"/>
        </w:numPr>
        <w:tabs>
          <w:tab w:val="left" w:pos="1376"/>
        </w:tabs>
        <w:spacing w:before="26" w:after="0" w:line="350" w:lineRule="auto"/>
        <w:ind w:left="112" w:right="206" w:firstLine="421"/>
        <w:jc w:val="left"/>
        <w:rPr>
          <w:sz w:val="21"/>
        </w:rPr>
      </w:pPr>
      <w:r>
        <w:rPr>
          <w:spacing w:val="-7"/>
          <w:sz w:val="21"/>
        </w:rPr>
        <w:t>暂估价：是指发包人在工程量清单或预算书中提供的用于支付必然发生但暂时不能确定价格</w:t>
      </w:r>
      <w:r>
        <w:rPr>
          <w:spacing w:val="-3"/>
          <w:sz w:val="21"/>
        </w:rPr>
        <w:t>的材料、工程设备的单价、专业工程以及服务工作的金额。</w:t>
      </w:r>
    </w:p>
    <w:p>
      <w:pPr>
        <w:pStyle w:val="32"/>
        <w:numPr>
          <w:ilvl w:val="3"/>
          <w:numId w:val="13"/>
        </w:numPr>
        <w:tabs>
          <w:tab w:val="left" w:pos="1376"/>
        </w:tabs>
        <w:spacing w:before="29" w:after="0" w:line="348" w:lineRule="auto"/>
        <w:ind w:left="112" w:right="101" w:firstLine="421"/>
        <w:jc w:val="left"/>
        <w:rPr>
          <w:sz w:val="21"/>
        </w:rPr>
      </w:pPr>
      <w:r>
        <w:rPr>
          <w:spacing w:val="-6"/>
          <w:sz w:val="21"/>
        </w:rPr>
        <w:t>暂列金额：是指发包人在工程量清单或预算书中暂定并包括在合同价格中的一笔款项，用于</w:t>
      </w:r>
      <w:r>
        <w:rPr>
          <w:spacing w:val="-10"/>
          <w:sz w:val="21"/>
        </w:rPr>
        <w:t>工程合同签订时尚未确定或者不可预见的所需材料、工程设备、服务的采购，施工中可能发生的工程变更、</w:t>
      </w:r>
      <w:r>
        <w:rPr>
          <w:spacing w:val="-5"/>
          <w:sz w:val="21"/>
        </w:rPr>
        <w:t>合同约定调整因素出现时的合同价格调整以及发生的索赔、现场签证确认等的费用。</w:t>
      </w:r>
    </w:p>
    <w:p>
      <w:pPr>
        <w:pStyle w:val="32"/>
        <w:numPr>
          <w:ilvl w:val="3"/>
          <w:numId w:val="13"/>
        </w:numPr>
        <w:tabs>
          <w:tab w:val="left" w:pos="1376"/>
        </w:tabs>
        <w:spacing w:before="31" w:after="0" w:line="348" w:lineRule="auto"/>
        <w:ind w:left="112" w:right="206" w:firstLine="421"/>
        <w:jc w:val="left"/>
        <w:rPr>
          <w:sz w:val="21"/>
        </w:rPr>
      </w:pPr>
      <w:r>
        <w:rPr>
          <w:spacing w:val="-6"/>
          <w:sz w:val="21"/>
        </w:rPr>
        <w:t>计日工：是指合同履行过程中，承包人完成发包人提出的零星工作或需要采用计日工计价的</w:t>
      </w:r>
      <w:r>
        <w:rPr>
          <w:spacing w:val="-4"/>
          <w:sz w:val="21"/>
        </w:rPr>
        <w:t>变更工作时，按合同中约定的单价计价的一种方式。</w:t>
      </w:r>
    </w:p>
    <w:p>
      <w:pPr>
        <w:pStyle w:val="32"/>
        <w:numPr>
          <w:ilvl w:val="3"/>
          <w:numId w:val="13"/>
        </w:numPr>
        <w:tabs>
          <w:tab w:val="left" w:pos="1376"/>
        </w:tabs>
        <w:spacing w:before="31" w:after="0" w:line="350" w:lineRule="auto"/>
        <w:ind w:left="112" w:right="290" w:firstLine="421"/>
        <w:jc w:val="left"/>
        <w:rPr>
          <w:sz w:val="21"/>
        </w:rPr>
      </w:pPr>
      <w:r>
        <w:rPr>
          <w:spacing w:val="-6"/>
          <w:sz w:val="21"/>
        </w:rPr>
        <w:t xml:space="preserve">质量保证金：是指按照第 </w:t>
      </w:r>
      <w:r>
        <w:rPr>
          <w:sz w:val="21"/>
        </w:rPr>
        <w:t>15.3</w:t>
      </w:r>
      <w:r>
        <w:rPr>
          <w:spacing w:val="-7"/>
          <w:sz w:val="21"/>
        </w:rPr>
        <w:t xml:space="preserve"> 款〔质量保证金〕约定承包人用于保证其在缺陷责任期内履</w:t>
      </w:r>
      <w:r>
        <w:rPr>
          <w:spacing w:val="-5"/>
          <w:sz w:val="21"/>
        </w:rPr>
        <w:t>行缺陷修补义务的担保。</w:t>
      </w:r>
    </w:p>
    <w:p>
      <w:pPr>
        <w:pStyle w:val="32"/>
        <w:numPr>
          <w:ilvl w:val="3"/>
          <w:numId w:val="13"/>
        </w:numPr>
        <w:tabs>
          <w:tab w:val="left" w:pos="1376"/>
        </w:tabs>
        <w:spacing w:before="27" w:after="0" w:line="350" w:lineRule="auto"/>
        <w:ind w:left="112" w:right="206" w:firstLine="421"/>
        <w:jc w:val="left"/>
        <w:rPr>
          <w:sz w:val="21"/>
        </w:rPr>
      </w:pPr>
      <w:r>
        <w:rPr>
          <w:spacing w:val="-7"/>
          <w:sz w:val="21"/>
        </w:rPr>
        <w:t>总价项目：是指在现行国家、行业以及地方的计量规则中无工程量计算规则，在已标价工程</w:t>
      </w:r>
      <w:r>
        <w:rPr>
          <w:spacing w:val="-5"/>
          <w:sz w:val="21"/>
        </w:rPr>
        <w:t>量清单或预算书中以总价或以费率形式计算的项目。</w:t>
      </w:r>
    </w:p>
    <w:p>
      <w:pPr>
        <w:pStyle w:val="13"/>
        <w:spacing w:before="29"/>
        <w:ind w:left="533"/>
      </w:pPr>
      <w:r>
        <w:t>1.1.6 其他</w:t>
      </w:r>
    </w:p>
    <w:p>
      <w:pPr>
        <w:pStyle w:val="13"/>
        <w:spacing w:before="123"/>
        <w:ind w:left="533"/>
      </w:pPr>
      <w:r>
        <w:t>1.1.6.1 书面形式：是指合同文件、信函、电报、传真等可以有形地表现所载内容的形式。</w:t>
      </w:r>
    </w:p>
    <w:p>
      <w:pPr>
        <w:pStyle w:val="13"/>
        <w:spacing w:before="10"/>
        <w:ind w:left="0"/>
        <w:rPr>
          <w:sz w:val="18"/>
        </w:rPr>
      </w:pPr>
    </w:p>
    <w:p>
      <w:pPr>
        <w:pStyle w:val="32"/>
        <w:numPr>
          <w:ilvl w:val="1"/>
          <w:numId w:val="14"/>
        </w:numPr>
        <w:tabs>
          <w:tab w:val="left" w:pos="906"/>
        </w:tabs>
        <w:spacing w:before="0" w:after="0" w:line="240" w:lineRule="auto"/>
        <w:ind w:left="905" w:right="0" w:hanging="370"/>
        <w:jc w:val="left"/>
        <w:rPr>
          <w:b/>
          <w:sz w:val="21"/>
        </w:rPr>
      </w:pPr>
      <w:r>
        <w:rPr>
          <w:b/>
          <w:sz w:val="21"/>
        </w:rPr>
        <w:t>语言文字</w:t>
      </w:r>
    </w:p>
    <w:p>
      <w:pPr>
        <w:pStyle w:val="13"/>
        <w:spacing w:before="10"/>
        <w:ind w:left="0"/>
        <w:rPr>
          <w:b/>
          <w:sz w:val="18"/>
        </w:rPr>
      </w:pPr>
    </w:p>
    <w:p>
      <w:pPr>
        <w:pStyle w:val="13"/>
        <w:spacing w:line="348" w:lineRule="auto"/>
        <w:ind w:right="191" w:firstLine="420"/>
      </w:pPr>
      <w:r>
        <w:rPr>
          <w:spacing w:val="-5"/>
        </w:rPr>
        <w:t>合同以中国的汉语简体文字编写、解释和说明。合同当事人在专用合同条款中约定使用两种以上语言</w:t>
      </w:r>
      <w:r>
        <w:rPr>
          <w:spacing w:val="-4"/>
        </w:rPr>
        <w:t>时，汉语为优先解释和说明合同的语言。</w:t>
      </w:r>
    </w:p>
    <w:p>
      <w:pPr>
        <w:pStyle w:val="32"/>
        <w:numPr>
          <w:ilvl w:val="1"/>
          <w:numId w:val="14"/>
        </w:numPr>
        <w:tabs>
          <w:tab w:val="left" w:pos="906"/>
        </w:tabs>
        <w:spacing w:before="151" w:after="0" w:line="240" w:lineRule="auto"/>
        <w:ind w:left="905" w:right="0" w:hanging="370"/>
        <w:jc w:val="left"/>
        <w:rPr>
          <w:b/>
          <w:sz w:val="21"/>
        </w:rPr>
      </w:pPr>
      <w:r>
        <w:rPr>
          <w:b/>
          <w:sz w:val="21"/>
        </w:rPr>
        <w:t>法律</w:t>
      </w:r>
    </w:p>
    <w:p>
      <w:pPr>
        <w:pStyle w:val="13"/>
        <w:spacing w:before="10"/>
        <w:ind w:left="0"/>
        <w:rPr>
          <w:b/>
          <w:sz w:val="18"/>
        </w:rPr>
      </w:pPr>
    </w:p>
    <w:p>
      <w:pPr>
        <w:pStyle w:val="13"/>
        <w:spacing w:line="348" w:lineRule="auto"/>
        <w:ind w:right="191" w:firstLine="420"/>
      </w:pPr>
      <w:r>
        <w:rPr>
          <w:spacing w:val="-5"/>
        </w:rPr>
        <w:t>合同所称法律是指中华人民共和国法律、行政法规、部门规章，以及工程所在地的地方性法规、自治</w:t>
      </w:r>
      <w:r>
        <w:rPr>
          <w:spacing w:val="-4"/>
        </w:rPr>
        <w:t>条例、单行条例和地方政府规章等。</w:t>
      </w:r>
    </w:p>
    <w:p>
      <w:pPr>
        <w:pStyle w:val="13"/>
        <w:spacing w:before="31"/>
        <w:ind w:left="533"/>
      </w:pPr>
      <w:r>
        <w:t>合同当事人可以在专用合同条款中约定合同适用的其他规范性文件。</w:t>
      </w:r>
    </w:p>
    <w:p>
      <w:pPr>
        <w:pStyle w:val="13"/>
        <w:spacing w:before="10"/>
        <w:ind w:left="0"/>
        <w:rPr>
          <w:sz w:val="18"/>
        </w:rPr>
      </w:pPr>
    </w:p>
    <w:p>
      <w:pPr>
        <w:pStyle w:val="32"/>
        <w:numPr>
          <w:ilvl w:val="1"/>
          <w:numId w:val="14"/>
        </w:numPr>
        <w:tabs>
          <w:tab w:val="left" w:pos="959"/>
        </w:tabs>
        <w:spacing w:before="0" w:after="0" w:line="240" w:lineRule="auto"/>
        <w:ind w:left="958" w:right="0" w:hanging="423"/>
        <w:jc w:val="left"/>
        <w:rPr>
          <w:b/>
          <w:sz w:val="21"/>
        </w:rPr>
      </w:pPr>
      <w:r>
        <w:rPr>
          <w:b/>
          <w:sz w:val="21"/>
        </w:rPr>
        <w:t>标准和规范</w:t>
      </w:r>
    </w:p>
    <w:p>
      <w:pPr>
        <w:pStyle w:val="13"/>
        <w:spacing w:before="7"/>
        <w:ind w:left="0"/>
        <w:rPr>
          <w:b/>
          <w:sz w:val="18"/>
        </w:rPr>
      </w:pPr>
    </w:p>
    <w:p>
      <w:pPr>
        <w:pStyle w:val="32"/>
        <w:numPr>
          <w:ilvl w:val="2"/>
          <w:numId w:val="14"/>
        </w:numPr>
        <w:tabs>
          <w:tab w:val="left" w:pos="1386"/>
        </w:tabs>
        <w:spacing w:before="1" w:after="0" w:line="350" w:lineRule="auto"/>
        <w:ind w:left="112" w:right="175" w:firstLine="642"/>
        <w:jc w:val="both"/>
        <w:rPr>
          <w:sz w:val="21"/>
        </w:rPr>
      </w:pPr>
      <w:r>
        <w:rPr>
          <w:spacing w:val="-3"/>
          <w:sz w:val="21"/>
        </w:rPr>
        <w:t>适用于工程的国家标准、行业标准、工程所在地的地方性标准，以及相应的规范、规程等， 合同当事人有特别要求的，应在专用合同条款中约定。</w:t>
      </w:r>
    </w:p>
    <w:p>
      <w:pPr>
        <w:pStyle w:val="32"/>
        <w:numPr>
          <w:ilvl w:val="2"/>
          <w:numId w:val="14"/>
        </w:numPr>
        <w:tabs>
          <w:tab w:val="left" w:pos="1386"/>
        </w:tabs>
        <w:spacing w:before="30" w:after="0" w:line="348" w:lineRule="auto"/>
        <w:ind w:left="112" w:right="206" w:firstLine="642"/>
        <w:jc w:val="both"/>
        <w:rPr>
          <w:sz w:val="21"/>
        </w:rPr>
      </w:pPr>
      <w:r>
        <w:rPr>
          <w:spacing w:val="-6"/>
          <w:sz w:val="21"/>
        </w:rPr>
        <w:t>发包人要求使用国外标准、规范的，发包人负责提供原文版本和中文译本，并在专用合同条</w:t>
      </w:r>
      <w:r>
        <w:rPr>
          <w:spacing w:val="-4"/>
          <w:sz w:val="21"/>
        </w:rPr>
        <w:t>款中约定提供标准规范的名称、份数和时间。</w:t>
      </w:r>
    </w:p>
    <w:p>
      <w:pPr>
        <w:pStyle w:val="32"/>
        <w:numPr>
          <w:ilvl w:val="2"/>
          <w:numId w:val="14"/>
        </w:numPr>
        <w:tabs>
          <w:tab w:val="left" w:pos="1386"/>
        </w:tabs>
        <w:spacing w:before="31" w:after="0" w:line="348" w:lineRule="auto"/>
        <w:ind w:left="112" w:right="206" w:firstLine="642"/>
        <w:jc w:val="both"/>
        <w:rPr>
          <w:sz w:val="21"/>
        </w:rPr>
      </w:pPr>
      <w:r>
        <w:rPr>
          <w:spacing w:val="-6"/>
          <w:sz w:val="21"/>
        </w:rPr>
        <w:t>发包人对工程的技术标准、功能要求高于或严于现行国家、行业或地方标准的，应当在专用合同条款中予以明确。除专用合同条款另有约定外，应视为承包人在签订合同前已充分预见前述技术标准</w:t>
      </w:r>
      <w:r>
        <w:rPr>
          <w:spacing w:val="-4"/>
          <w:sz w:val="21"/>
        </w:rPr>
        <w:t>和功能要求的复杂程度，签约合同价中已包含由此产生的费用。</w:t>
      </w:r>
    </w:p>
    <w:p>
      <w:pPr>
        <w:spacing w:after="0" w:line="348" w:lineRule="auto"/>
        <w:jc w:val="both"/>
        <w:rPr>
          <w:sz w:val="21"/>
        </w:rPr>
        <w:sectPr>
          <w:pgSz w:w="11910" w:h="16840"/>
          <w:pgMar w:top="1460" w:right="920" w:bottom="1180" w:left="1020" w:header="0" w:footer="920" w:gutter="0"/>
        </w:sectPr>
      </w:pPr>
    </w:p>
    <w:p>
      <w:pPr>
        <w:pStyle w:val="32"/>
        <w:numPr>
          <w:ilvl w:val="1"/>
          <w:numId w:val="14"/>
        </w:numPr>
        <w:tabs>
          <w:tab w:val="left" w:pos="959"/>
        </w:tabs>
        <w:spacing w:before="14" w:after="0" w:line="240" w:lineRule="auto"/>
        <w:ind w:left="958" w:right="0" w:hanging="423"/>
        <w:jc w:val="left"/>
        <w:rPr>
          <w:b/>
          <w:sz w:val="21"/>
        </w:rPr>
      </w:pPr>
      <w:r>
        <w:rPr>
          <w:b/>
          <w:sz w:val="21"/>
        </w:rPr>
        <w:t>合同文件的优先顺序</w:t>
      </w:r>
    </w:p>
    <w:p>
      <w:pPr>
        <w:pStyle w:val="13"/>
        <w:spacing w:before="8"/>
        <w:ind w:left="0"/>
        <w:rPr>
          <w:b/>
          <w:sz w:val="18"/>
        </w:rPr>
      </w:pPr>
    </w:p>
    <w:p>
      <w:pPr>
        <w:pStyle w:val="13"/>
        <w:spacing w:line="350" w:lineRule="auto"/>
        <w:ind w:firstLine="420"/>
      </w:pPr>
      <w:r>
        <w:rPr>
          <w:spacing w:val="-6"/>
        </w:rPr>
        <w:t>组成合同的各项文件应互相解释，互为说明。除专用合同条款另有约定外，解释合同文件的优先顺序如下：</w:t>
      </w:r>
    </w:p>
    <w:p>
      <w:pPr>
        <w:pStyle w:val="13"/>
        <w:spacing w:before="29"/>
        <w:ind w:left="533"/>
      </w:pPr>
      <w:r>
        <w:t>（1）合同协议书；</w:t>
      </w:r>
    </w:p>
    <w:p>
      <w:pPr>
        <w:pStyle w:val="13"/>
        <w:spacing w:before="123"/>
        <w:ind w:left="533"/>
      </w:pPr>
      <w:r>
        <w:t>（2）中标通知书（如果有）；</w:t>
      </w:r>
    </w:p>
    <w:p>
      <w:pPr>
        <w:pStyle w:val="13"/>
        <w:spacing w:before="125"/>
        <w:ind w:left="533"/>
      </w:pPr>
      <w:r>
        <w:t>（3）投标函及其附录（如果有）；</w:t>
      </w:r>
    </w:p>
    <w:p>
      <w:pPr>
        <w:pStyle w:val="13"/>
        <w:spacing w:before="125"/>
        <w:ind w:left="533"/>
      </w:pPr>
      <w:r>
        <w:t>（4）专用合同条款及其附件；</w:t>
      </w:r>
    </w:p>
    <w:p>
      <w:pPr>
        <w:pStyle w:val="13"/>
        <w:spacing w:before="123"/>
        <w:ind w:left="533"/>
      </w:pPr>
      <w:r>
        <w:t>（5）通用合同条款；</w:t>
      </w:r>
    </w:p>
    <w:p>
      <w:pPr>
        <w:pStyle w:val="13"/>
        <w:spacing w:before="126"/>
        <w:ind w:left="533"/>
      </w:pPr>
      <w:r>
        <w:t>（6）技术标准和要求；</w:t>
      </w:r>
    </w:p>
    <w:p>
      <w:pPr>
        <w:pStyle w:val="13"/>
        <w:spacing w:before="126"/>
        <w:ind w:left="533"/>
      </w:pPr>
      <w:r>
        <w:t>（7）图纸；</w:t>
      </w:r>
    </w:p>
    <w:p>
      <w:pPr>
        <w:pStyle w:val="13"/>
        <w:spacing w:before="124"/>
        <w:ind w:left="533"/>
      </w:pPr>
      <w:r>
        <w:t>（8）已标价工程量清单或预算书；</w:t>
      </w:r>
    </w:p>
    <w:p>
      <w:pPr>
        <w:pStyle w:val="13"/>
        <w:spacing w:before="125"/>
        <w:ind w:left="533"/>
      </w:pPr>
      <w:r>
        <w:t>（9）其他合同文件。</w:t>
      </w:r>
    </w:p>
    <w:p>
      <w:pPr>
        <w:pStyle w:val="13"/>
        <w:spacing w:before="125" w:line="348" w:lineRule="auto"/>
        <w:ind w:right="106" w:firstLine="446"/>
      </w:pPr>
      <w:r>
        <w:rPr>
          <w:spacing w:val="-5"/>
        </w:rPr>
        <w:t>上述各项合同文件包括合同当事人就该项合同文件所作出的补充和修改，属于同一类内容的文件，应</w:t>
      </w:r>
      <w:r>
        <w:rPr>
          <w:spacing w:val="-4"/>
        </w:rPr>
        <w:t>以最新签署的为准。</w:t>
      </w:r>
    </w:p>
    <w:p>
      <w:pPr>
        <w:pStyle w:val="13"/>
        <w:spacing w:before="31" w:line="350" w:lineRule="auto"/>
        <w:ind w:right="106" w:firstLine="446"/>
      </w:pPr>
      <w:r>
        <w:rPr>
          <w:spacing w:val="-5"/>
        </w:rPr>
        <w:t>在合同订立及履行过程中形成的与合同有关的文件均构成合同文件组成部分，并根据其性质确定优先</w:t>
      </w:r>
      <w:r>
        <w:rPr>
          <w:spacing w:val="-4"/>
        </w:rPr>
        <w:t>解释顺序。</w:t>
      </w:r>
    </w:p>
    <w:p>
      <w:pPr>
        <w:pStyle w:val="32"/>
        <w:numPr>
          <w:ilvl w:val="1"/>
          <w:numId w:val="14"/>
        </w:numPr>
        <w:tabs>
          <w:tab w:val="left" w:pos="906"/>
        </w:tabs>
        <w:spacing w:before="147" w:after="0" w:line="240" w:lineRule="auto"/>
        <w:ind w:left="905" w:right="0" w:hanging="370"/>
        <w:jc w:val="left"/>
        <w:rPr>
          <w:b/>
          <w:sz w:val="21"/>
        </w:rPr>
      </w:pPr>
      <w:r>
        <w:rPr>
          <w:b/>
          <w:sz w:val="21"/>
        </w:rPr>
        <w:t>图纸和承包人文件</w:t>
      </w:r>
    </w:p>
    <w:p>
      <w:pPr>
        <w:pStyle w:val="13"/>
        <w:spacing w:before="10"/>
        <w:ind w:left="0"/>
        <w:rPr>
          <w:b/>
          <w:sz w:val="18"/>
        </w:rPr>
      </w:pPr>
    </w:p>
    <w:p>
      <w:pPr>
        <w:pStyle w:val="32"/>
        <w:numPr>
          <w:ilvl w:val="2"/>
          <w:numId w:val="14"/>
        </w:numPr>
        <w:tabs>
          <w:tab w:val="left" w:pos="1165"/>
        </w:tabs>
        <w:spacing w:before="0" w:after="0" w:line="240" w:lineRule="auto"/>
        <w:ind w:left="1164" w:right="0" w:hanging="631"/>
        <w:jc w:val="left"/>
        <w:rPr>
          <w:sz w:val="21"/>
        </w:rPr>
      </w:pPr>
      <w:r>
        <w:rPr>
          <w:spacing w:val="-3"/>
          <w:sz w:val="21"/>
        </w:rPr>
        <w:t>图纸的提供和交底</w:t>
      </w:r>
    </w:p>
    <w:p>
      <w:pPr>
        <w:pStyle w:val="13"/>
        <w:spacing w:before="125" w:line="348" w:lineRule="auto"/>
        <w:ind w:firstLine="420"/>
      </w:pPr>
      <w:r>
        <w:rPr>
          <w:spacing w:val="-6"/>
        </w:rPr>
        <w:t xml:space="preserve">发包人应按照专用合同条款约定的期限、数量和内容向承包人免费提供图纸，并组织承包人、监理人和设计人进行图纸会审和设计交底。发包人至迟不得晚于第 </w:t>
      </w:r>
      <w:r>
        <w:t>7.3.2</w:t>
      </w:r>
      <w:r>
        <w:rPr>
          <w:spacing w:val="-11"/>
        </w:rPr>
        <w:t xml:space="preserve"> 项〔开工通知〕载明的开工日期前 </w:t>
      </w:r>
      <w:r>
        <w:t xml:space="preserve">14 </w:t>
      </w:r>
      <w:r>
        <w:rPr>
          <w:spacing w:val="-3"/>
        </w:rPr>
        <w:t>天向承包人提供图纸。</w:t>
      </w:r>
    </w:p>
    <w:p>
      <w:pPr>
        <w:pStyle w:val="13"/>
        <w:spacing w:before="31" w:line="348" w:lineRule="auto"/>
        <w:ind w:right="106" w:firstLine="420"/>
      </w:pPr>
      <w:r>
        <w:rPr>
          <w:spacing w:val="-4"/>
        </w:rPr>
        <w:t>因发包人未按合同约定提供图纸导致承包人费用增加和</w:t>
      </w:r>
      <w:r>
        <w:t>（</w:t>
      </w:r>
      <w:r>
        <w:rPr>
          <w:spacing w:val="-3"/>
        </w:rPr>
        <w:t>或</w:t>
      </w:r>
      <w:r>
        <w:rPr>
          <w:spacing w:val="-8"/>
        </w:rPr>
        <w:t>）</w:t>
      </w:r>
      <w:r>
        <w:rPr>
          <w:spacing w:val="-7"/>
        </w:rPr>
        <w:t xml:space="preserve">工期延误的，按照第 </w:t>
      </w:r>
      <w:r>
        <w:t>7.5.1</w:t>
      </w:r>
      <w:r>
        <w:rPr>
          <w:spacing w:val="-10"/>
        </w:rPr>
        <w:t xml:space="preserve"> 项〔因发包</w:t>
      </w:r>
      <w:r>
        <w:rPr>
          <w:spacing w:val="-5"/>
        </w:rPr>
        <w:t>人原因导致工期延误〕约定办理。</w:t>
      </w:r>
    </w:p>
    <w:p>
      <w:pPr>
        <w:pStyle w:val="32"/>
        <w:numPr>
          <w:ilvl w:val="2"/>
          <w:numId w:val="14"/>
        </w:numPr>
        <w:tabs>
          <w:tab w:val="left" w:pos="1165"/>
        </w:tabs>
        <w:spacing w:before="31" w:after="0" w:line="240" w:lineRule="auto"/>
        <w:ind w:left="1164" w:right="0" w:hanging="631"/>
        <w:jc w:val="left"/>
        <w:rPr>
          <w:sz w:val="21"/>
        </w:rPr>
      </w:pPr>
      <w:r>
        <w:rPr>
          <w:spacing w:val="-3"/>
          <w:sz w:val="21"/>
        </w:rPr>
        <w:t>图纸的错误</w:t>
      </w:r>
    </w:p>
    <w:p>
      <w:pPr>
        <w:pStyle w:val="13"/>
        <w:spacing w:before="125" w:line="350" w:lineRule="auto"/>
        <w:ind w:right="106" w:firstLine="420"/>
        <w:jc w:val="both"/>
      </w:pPr>
      <w:r>
        <w:rPr>
          <w:spacing w:val="-6"/>
        </w:rPr>
        <w:t>承包人在收到发包人提供的图纸后，发现图纸存在差错、遗漏或缺陷的，应及时通知监理人。监理人</w:t>
      </w:r>
      <w:r>
        <w:rPr>
          <w:spacing w:val="-7"/>
        </w:rPr>
        <w:t>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pStyle w:val="32"/>
        <w:numPr>
          <w:ilvl w:val="2"/>
          <w:numId w:val="14"/>
        </w:numPr>
        <w:tabs>
          <w:tab w:val="left" w:pos="1165"/>
        </w:tabs>
        <w:spacing w:before="27" w:after="0" w:line="240" w:lineRule="auto"/>
        <w:ind w:left="1164" w:right="0" w:hanging="631"/>
        <w:jc w:val="left"/>
        <w:rPr>
          <w:sz w:val="21"/>
        </w:rPr>
      </w:pPr>
      <w:r>
        <w:rPr>
          <w:spacing w:val="-3"/>
          <w:sz w:val="21"/>
        </w:rPr>
        <w:t>图纸的修改和补充</w:t>
      </w:r>
    </w:p>
    <w:p>
      <w:pPr>
        <w:pStyle w:val="13"/>
        <w:spacing w:before="126" w:line="350" w:lineRule="auto"/>
        <w:ind w:firstLine="420"/>
      </w:pPr>
      <w:r>
        <w:rPr>
          <w:spacing w:val="-6"/>
        </w:rPr>
        <w:t>图纸需要修改和补充的，应经图纸原设计人及审批部门同意，并由监理人在工程或工程相应部位施工</w:t>
      </w:r>
      <w:r>
        <w:rPr>
          <w:spacing w:val="-4"/>
        </w:rPr>
        <w:t>前将修改后的图纸或补充图纸提交给承包人，承包人应按修改或补充后的图纸施工。</w:t>
      </w:r>
    </w:p>
    <w:p>
      <w:pPr>
        <w:pStyle w:val="32"/>
        <w:numPr>
          <w:ilvl w:val="2"/>
          <w:numId w:val="14"/>
        </w:numPr>
        <w:tabs>
          <w:tab w:val="left" w:pos="1165"/>
        </w:tabs>
        <w:spacing w:before="27" w:after="0" w:line="240" w:lineRule="auto"/>
        <w:ind w:left="1164" w:right="0" w:hanging="631"/>
        <w:jc w:val="left"/>
        <w:rPr>
          <w:sz w:val="21"/>
        </w:rPr>
      </w:pPr>
      <w:r>
        <w:rPr>
          <w:spacing w:val="-3"/>
          <w:sz w:val="21"/>
        </w:rPr>
        <w:t>承包人文件</w:t>
      </w:r>
    </w:p>
    <w:p>
      <w:pPr>
        <w:pStyle w:val="13"/>
        <w:spacing w:before="126" w:line="350" w:lineRule="auto"/>
        <w:ind w:right="78" w:firstLine="420"/>
      </w:pPr>
      <w:r>
        <w:t>承包人应按照专用合同条款的约定提供应当由其编制的与工程施工有关的文件，并按照专用合同条款约定的期限、数量和形式提交监理人，并由监理人报送发包人。</w:t>
      </w:r>
    </w:p>
    <w:p>
      <w:pPr>
        <w:spacing w:after="0" w:line="350" w:lineRule="auto"/>
        <w:sectPr>
          <w:pgSz w:w="11910" w:h="16840"/>
          <w:pgMar w:top="1460" w:right="1020" w:bottom="1180" w:left="1020" w:header="0" w:footer="920" w:gutter="0"/>
        </w:sectPr>
      </w:pPr>
    </w:p>
    <w:p>
      <w:pPr>
        <w:pStyle w:val="13"/>
        <w:spacing w:before="14" w:line="348" w:lineRule="auto"/>
        <w:ind w:right="206" w:firstLine="420"/>
        <w:jc w:val="both"/>
      </w:pPr>
      <w:r>
        <w:rPr>
          <w:spacing w:val="-6"/>
        </w:rPr>
        <w:t xml:space="preserve">除专用合同条款另有约定外，监理人应在收到承包人文件后 </w:t>
      </w:r>
      <w:r>
        <w:t>7</w:t>
      </w:r>
      <w:r>
        <w:rPr>
          <w:spacing w:val="-8"/>
        </w:rPr>
        <w:t xml:space="preserve"> 天内审查完毕，监理人对承包人文件有异议的，承包人应予以修改，并重新报送监理人。监理人的审查并不减轻或免除承包人根据合同约定应当</w:t>
      </w:r>
      <w:r>
        <w:rPr>
          <w:spacing w:val="-5"/>
        </w:rPr>
        <w:t>承担的责任。</w:t>
      </w:r>
    </w:p>
    <w:p>
      <w:pPr>
        <w:pStyle w:val="32"/>
        <w:numPr>
          <w:ilvl w:val="2"/>
          <w:numId w:val="14"/>
        </w:numPr>
        <w:tabs>
          <w:tab w:val="left" w:pos="1165"/>
        </w:tabs>
        <w:spacing w:before="31" w:after="0" w:line="240" w:lineRule="auto"/>
        <w:ind w:left="1164" w:right="0" w:hanging="631"/>
        <w:jc w:val="left"/>
        <w:rPr>
          <w:sz w:val="21"/>
        </w:rPr>
      </w:pPr>
      <w:r>
        <w:rPr>
          <w:spacing w:val="-3"/>
          <w:sz w:val="21"/>
        </w:rPr>
        <w:t>图纸和承包人文件的保管</w:t>
      </w:r>
    </w:p>
    <w:p>
      <w:pPr>
        <w:pStyle w:val="13"/>
        <w:spacing w:before="123" w:line="350" w:lineRule="auto"/>
        <w:ind w:right="191" w:firstLine="420"/>
      </w:pPr>
      <w:r>
        <w:rPr>
          <w:spacing w:val="-10"/>
        </w:rPr>
        <w:t>除专用合同条款另有约定外，承包人应在施工现场另外保存一套完整的图纸和承包人文件，供发包人、</w:t>
      </w:r>
      <w:r>
        <w:rPr>
          <w:spacing w:val="-5"/>
        </w:rPr>
        <w:t>监理人及有关人员进行工程检查时使用。</w:t>
      </w:r>
    </w:p>
    <w:p>
      <w:pPr>
        <w:pStyle w:val="32"/>
        <w:numPr>
          <w:ilvl w:val="1"/>
          <w:numId w:val="15"/>
        </w:numPr>
        <w:tabs>
          <w:tab w:val="left" w:pos="906"/>
        </w:tabs>
        <w:spacing w:before="149" w:after="0" w:line="240" w:lineRule="auto"/>
        <w:ind w:left="905" w:right="0" w:hanging="370"/>
        <w:jc w:val="left"/>
        <w:rPr>
          <w:b/>
          <w:sz w:val="21"/>
        </w:rPr>
      </w:pPr>
      <w:r>
        <w:rPr>
          <w:b/>
          <w:sz w:val="21"/>
        </w:rPr>
        <w:t>联络</w:t>
      </w:r>
    </w:p>
    <w:p>
      <w:pPr>
        <w:pStyle w:val="13"/>
        <w:spacing w:before="7"/>
        <w:ind w:left="0"/>
        <w:rPr>
          <w:b/>
          <w:sz w:val="18"/>
        </w:rPr>
      </w:pPr>
    </w:p>
    <w:p>
      <w:pPr>
        <w:pStyle w:val="32"/>
        <w:numPr>
          <w:ilvl w:val="2"/>
          <w:numId w:val="15"/>
        </w:numPr>
        <w:tabs>
          <w:tab w:val="left" w:pos="1165"/>
        </w:tabs>
        <w:spacing w:before="0" w:after="0" w:line="350" w:lineRule="auto"/>
        <w:ind w:left="112" w:right="206" w:firstLine="421"/>
        <w:jc w:val="both"/>
        <w:rPr>
          <w:sz w:val="21"/>
        </w:rPr>
      </w:pPr>
      <w:r>
        <w:rPr>
          <w:spacing w:val="-5"/>
          <w:sz w:val="21"/>
        </w:rPr>
        <w:t>与合同有关的通知、批准、证明、证书、指示、指令、要求、请求、同意、意见、确定和决定</w:t>
      </w:r>
      <w:r>
        <w:rPr>
          <w:spacing w:val="-4"/>
          <w:sz w:val="21"/>
        </w:rPr>
        <w:t>等，均应采用书面形式，并应在合同约定的期限内送达接收人和送达地点。</w:t>
      </w:r>
    </w:p>
    <w:p>
      <w:pPr>
        <w:pStyle w:val="32"/>
        <w:numPr>
          <w:ilvl w:val="2"/>
          <w:numId w:val="15"/>
        </w:numPr>
        <w:tabs>
          <w:tab w:val="left" w:pos="1165"/>
        </w:tabs>
        <w:spacing w:before="28" w:after="0" w:line="348" w:lineRule="auto"/>
        <w:ind w:left="112" w:right="206" w:firstLine="421"/>
        <w:jc w:val="both"/>
        <w:rPr>
          <w:sz w:val="21"/>
        </w:rPr>
      </w:pPr>
      <w:r>
        <w:rPr>
          <w:spacing w:val="-4"/>
          <w:sz w:val="21"/>
        </w:rPr>
        <w:t>发包人和承包人应在专用合同条款中约定各自的送达接收人和送达地点。任何一方合同当事人</w:t>
      </w:r>
      <w:r>
        <w:rPr>
          <w:spacing w:val="-3"/>
          <w:sz w:val="21"/>
        </w:rPr>
        <w:t>指定的接收人或送达地点发生变动的，应提前</w:t>
      </w:r>
      <w:r>
        <w:rPr>
          <w:sz w:val="21"/>
        </w:rPr>
        <w:t>3</w:t>
      </w:r>
      <w:r>
        <w:rPr>
          <w:spacing w:val="-3"/>
          <w:sz w:val="21"/>
        </w:rPr>
        <w:t>天以书面形式通知对方。</w:t>
      </w:r>
    </w:p>
    <w:p>
      <w:pPr>
        <w:pStyle w:val="32"/>
        <w:numPr>
          <w:ilvl w:val="2"/>
          <w:numId w:val="15"/>
        </w:numPr>
        <w:tabs>
          <w:tab w:val="left" w:pos="1165"/>
        </w:tabs>
        <w:spacing w:before="30" w:after="0" w:line="350" w:lineRule="auto"/>
        <w:ind w:left="112" w:right="184" w:firstLine="421"/>
        <w:jc w:val="both"/>
        <w:rPr>
          <w:sz w:val="21"/>
        </w:rPr>
      </w:pPr>
      <w:r>
        <w:rPr>
          <w:spacing w:val="-3"/>
          <w:sz w:val="21"/>
        </w:rPr>
        <w:t>发包人和承包人应当及时签收另一方送达至送达地点和指定接收人的来往信函。拒不签收的， 由此增加的费用和（</w:t>
      </w:r>
      <w:r>
        <w:rPr>
          <w:sz w:val="21"/>
        </w:rPr>
        <w:t>或</w:t>
      </w:r>
      <w:r>
        <w:rPr>
          <w:spacing w:val="-3"/>
          <w:sz w:val="21"/>
        </w:rPr>
        <w:t>）延误的工期由拒绝接收一方承担。</w:t>
      </w:r>
    </w:p>
    <w:p>
      <w:pPr>
        <w:pStyle w:val="32"/>
        <w:numPr>
          <w:ilvl w:val="1"/>
          <w:numId w:val="16"/>
        </w:numPr>
        <w:tabs>
          <w:tab w:val="left" w:pos="906"/>
        </w:tabs>
        <w:spacing w:before="146" w:after="0" w:line="240" w:lineRule="auto"/>
        <w:ind w:left="905" w:right="0" w:hanging="370"/>
        <w:jc w:val="left"/>
        <w:rPr>
          <w:b/>
          <w:sz w:val="21"/>
        </w:rPr>
      </w:pPr>
      <w:r>
        <w:rPr>
          <w:b/>
          <w:sz w:val="21"/>
        </w:rPr>
        <w:t>严禁贿赂</w:t>
      </w:r>
    </w:p>
    <w:p>
      <w:pPr>
        <w:pStyle w:val="13"/>
        <w:spacing w:before="10"/>
        <w:ind w:left="0"/>
        <w:rPr>
          <w:b/>
          <w:sz w:val="18"/>
        </w:rPr>
      </w:pPr>
    </w:p>
    <w:p>
      <w:pPr>
        <w:pStyle w:val="13"/>
        <w:spacing w:line="350" w:lineRule="auto"/>
        <w:ind w:right="206" w:firstLine="420"/>
        <w:jc w:val="both"/>
      </w:pPr>
      <w:r>
        <w:rPr>
          <w:spacing w:val="-5"/>
        </w:rPr>
        <w:t>合同当事人不得以贿赂或变相贿赂的方式，谋取非法利益或损害对方权益。因一方合同当事人的贿赂</w:t>
      </w:r>
      <w:r>
        <w:rPr>
          <w:spacing w:val="-4"/>
        </w:rPr>
        <w:t>造成对方损失的，应赔偿损失，并承担相应的法律责任。</w:t>
      </w:r>
    </w:p>
    <w:p>
      <w:pPr>
        <w:pStyle w:val="13"/>
        <w:spacing w:before="26" w:line="350" w:lineRule="auto"/>
        <w:ind w:right="206" w:firstLine="420"/>
        <w:jc w:val="both"/>
      </w:pPr>
      <w:r>
        <w:rPr>
          <w:spacing w:val="-5"/>
        </w:rPr>
        <w:t>承包人不得与监理人或发包人聘请的第三方串通损害发包人利益。未经发包人书面同意，承包人不得</w:t>
      </w:r>
      <w:r>
        <w:rPr>
          <w:spacing w:val="-4"/>
        </w:rPr>
        <w:t>为监理人提供合同约定以外的通讯设备、交通工具及其他任何形式的利益，不得向监理人支付报酬。</w:t>
      </w:r>
    </w:p>
    <w:p>
      <w:pPr>
        <w:pStyle w:val="32"/>
        <w:numPr>
          <w:ilvl w:val="1"/>
          <w:numId w:val="16"/>
        </w:numPr>
        <w:tabs>
          <w:tab w:val="left" w:pos="906"/>
        </w:tabs>
        <w:spacing w:before="149" w:after="0" w:line="240" w:lineRule="auto"/>
        <w:ind w:left="905" w:right="0" w:hanging="370"/>
        <w:jc w:val="left"/>
        <w:rPr>
          <w:b/>
          <w:sz w:val="21"/>
        </w:rPr>
      </w:pPr>
      <w:r>
        <w:rPr>
          <w:b/>
          <w:sz w:val="21"/>
        </w:rPr>
        <w:t>化石、文物</w:t>
      </w:r>
    </w:p>
    <w:p>
      <w:pPr>
        <w:pStyle w:val="13"/>
        <w:spacing w:before="8"/>
        <w:ind w:left="0"/>
        <w:rPr>
          <w:b/>
          <w:sz w:val="18"/>
        </w:rPr>
      </w:pPr>
    </w:p>
    <w:p>
      <w:pPr>
        <w:pStyle w:val="13"/>
        <w:spacing w:line="350" w:lineRule="auto"/>
        <w:ind w:right="185" w:firstLine="420"/>
        <w:jc w:val="both"/>
      </w:pPr>
      <w:r>
        <w:rPr>
          <w:spacing w:val="-6"/>
        </w:rPr>
        <w:t>在施工现场发掘的所有文物、古迹以及具有地质研究或考古价值的其他遗迹、化石、钱币或物品属于</w:t>
      </w:r>
      <w:r>
        <w:rPr>
          <w:spacing w:val="-4"/>
        </w:rPr>
        <w:t xml:space="preserve">国家所有。一旦发现上述文物，承包人应采取合理有效的保护措施，防止任何人员移动或损坏上述物品， </w:t>
      </w:r>
      <w:r>
        <w:rPr>
          <w:spacing w:val="-3"/>
        </w:rPr>
        <w:t>并立即报告有关政府行政管理部门，同时通知监理人。</w:t>
      </w:r>
    </w:p>
    <w:p>
      <w:pPr>
        <w:pStyle w:val="13"/>
        <w:spacing w:before="27"/>
        <w:ind w:left="533"/>
      </w:pPr>
      <w:r>
        <w:t>发包人、监理人和承包人应按有关政府行政管理部门要求采取妥善的保护措施，由此增加的费用和</w:t>
      </w:r>
    </w:p>
    <w:p>
      <w:pPr>
        <w:pStyle w:val="13"/>
        <w:spacing w:before="126"/>
      </w:pPr>
      <w:r>
        <w:t>（或）延误的工期由发包人承担。</w:t>
      </w:r>
    </w:p>
    <w:p>
      <w:pPr>
        <w:pStyle w:val="13"/>
        <w:spacing w:before="126" w:line="348" w:lineRule="auto"/>
        <w:ind w:right="206" w:firstLine="420"/>
        <w:jc w:val="both"/>
      </w:pPr>
      <w:r>
        <w:rPr>
          <w:spacing w:val="-6"/>
        </w:rPr>
        <w:t>承包人发现文物后不及时报告或隐瞒不报，致使文物丢失或损坏的，应赔偿损失，并承担相应的法律责任。</w:t>
      </w:r>
    </w:p>
    <w:p>
      <w:pPr>
        <w:pStyle w:val="32"/>
        <w:numPr>
          <w:ilvl w:val="1"/>
          <w:numId w:val="16"/>
        </w:numPr>
        <w:tabs>
          <w:tab w:val="left" w:pos="1011"/>
        </w:tabs>
        <w:spacing w:before="151" w:after="0" w:line="240" w:lineRule="auto"/>
        <w:ind w:left="1010" w:right="0" w:hanging="475"/>
        <w:jc w:val="left"/>
        <w:rPr>
          <w:b/>
          <w:sz w:val="21"/>
        </w:rPr>
      </w:pPr>
      <w:r>
        <w:rPr>
          <w:b/>
          <w:sz w:val="21"/>
        </w:rPr>
        <w:t>交通运输</w:t>
      </w:r>
    </w:p>
    <w:p>
      <w:pPr>
        <w:pStyle w:val="13"/>
        <w:spacing w:before="10"/>
        <w:ind w:left="0"/>
        <w:rPr>
          <w:b/>
          <w:sz w:val="18"/>
        </w:rPr>
      </w:pPr>
    </w:p>
    <w:p>
      <w:pPr>
        <w:pStyle w:val="32"/>
        <w:numPr>
          <w:ilvl w:val="2"/>
          <w:numId w:val="16"/>
        </w:numPr>
        <w:tabs>
          <w:tab w:val="left" w:pos="1270"/>
        </w:tabs>
        <w:spacing w:before="0" w:after="0" w:line="240" w:lineRule="auto"/>
        <w:ind w:left="1270" w:right="0" w:hanging="737"/>
        <w:jc w:val="left"/>
        <w:rPr>
          <w:sz w:val="21"/>
        </w:rPr>
      </w:pPr>
      <w:r>
        <w:rPr>
          <w:spacing w:val="-3"/>
          <w:sz w:val="21"/>
        </w:rPr>
        <w:t>出入现场的权利</w:t>
      </w:r>
    </w:p>
    <w:p>
      <w:pPr>
        <w:pStyle w:val="13"/>
        <w:spacing w:before="123" w:line="350" w:lineRule="auto"/>
        <w:ind w:right="185" w:firstLine="420"/>
        <w:jc w:val="both"/>
      </w:pPr>
      <w:r>
        <w:rPr>
          <w:spacing w:val="-5"/>
        </w:rPr>
        <w:t>除专用合同条款另有约定外，发包人应根据施工需要，负责取得出入施工现场所需的批准手续和全部</w:t>
      </w:r>
      <w:r>
        <w:rPr>
          <w:spacing w:val="-4"/>
        </w:rPr>
        <w:t>权利，以及取得因施工所需修建道路、桥梁以及其他基础设施的权利，并承担相关手续费用和建设费用。</w:t>
      </w:r>
      <w:r>
        <w:rPr>
          <w:spacing w:val="-3"/>
        </w:rPr>
        <w:t>承包人应协助发包人办理修建场内外道路、桥梁以及其他基础设施的手续。</w:t>
      </w:r>
    </w:p>
    <w:p>
      <w:pPr>
        <w:pStyle w:val="13"/>
        <w:spacing w:before="27" w:line="350" w:lineRule="auto"/>
        <w:ind w:right="206" w:firstLine="420"/>
        <w:jc w:val="both"/>
      </w:pPr>
      <w:r>
        <w:rPr>
          <w:spacing w:val="-5"/>
        </w:rPr>
        <w:t>承包人应在订立合同前查勘施工现场，并根据工程规模及技术参数合理预见工程施工所需的进出施工</w:t>
      </w:r>
      <w:r>
        <w:rPr>
          <w:spacing w:val="-3"/>
        </w:rPr>
        <w:t>现场的方式、手段、路径等。因承包人未合理预见所增加的费用和</w:t>
      </w:r>
      <w:r>
        <w:t>（</w:t>
      </w:r>
      <w:r>
        <w:rPr>
          <w:spacing w:val="-3"/>
        </w:rPr>
        <w:t>或</w:t>
      </w:r>
      <w:r>
        <w:t>）</w:t>
      </w:r>
      <w:r>
        <w:rPr>
          <w:spacing w:val="-3"/>
        </w:rPr>
        <w:t>延误的工期由承包人承担。</w:t>
      </w:r>
    </w:p>
    <w:p>
      <w:pPr>
        <w:pStyle w:val="32"/>
        <w:numPr>
          <w:ilvl w:val="2"/>
          <w:numId w:val="16"/>
        </w:numPr>
        <w:tabs>
          <w:tab w:val="left" w:pos="1270"/>
        </w:tabs>
        <w:spacing w:before="14" w:after="0" w:line="240" w:lineRule="auto"/>
        <w:ind w:left="1270" w:right="0" w:hanging="737"/>
        <w:jc w:val="left"/>
        <w:rPr>
          <w:sz w:val="21"/>
        </w:rPr>
      </w:pPr>
      <w:r>
        <w:rPr>
          <w:spacing w:val="-3"/>
          <w:sz w:val="21"/>
        </w:rPr>
        <w:t>场外交通</w:t>
      </w:r>
    </w:p>
    <w:p>
      <w:pPr>
        <w:pStyle w:val="13"/>
        <w:spacing w:before="124" w:line="350" w:lineRule="auto"/>
        <w:ind w:right="206" w:firstLine="420"/>
        <w:jc w:val="both"/>
      </w:pPr>
      <w:r>
        <w:rPr>
          <w:spacing w:val="-5"/>
        </w:rPr>
        <w:t>发包人应提供场外交通设施的技术参数和具体条件，承包人应遵守有关交通法规，严格按照道路和桥</w:t>
      </w:r>
      <w:r>
        <w:rPr>
          <w:spacing w:val="-7"/>
        </w:rPr>
        <w:t>梁的限制荷载行驶，执行有关道路限速、限行、禁止超载的规定，并配合交通管理部门的监督和检查。场</w:t>
      </w:r>
      <w:r>
        <w:rPr>
          <w:spacing w:val="-5"/>
        </w:rPr>
        <w:t>外交通设施无法满足工程施工需要的，由发包人负责完善并承担相关费用。</w:t>
      </w:r>
    </w:p>
    <w:p>
      <w:pPr>
        <w:pStyle w:val="32"/>
        <w:numPr>
          <w:ilvl w:val="2"/>
          <w:numId w:val="16"/>
        </w:numPr>
        <w:tabs>
          <w:tab w:val="left" w:pos="1218"/>
        </w:tabs>
        <w:spacing w:before="27" w:after="0" w:line="240" w:lineRule="auto"/>
        <w:ind w:left="1217" w:right="0" w:hanging="684"/>
        <w:jc w:val="left"/>
        <w:rPr>
          <w:sz w:val="21"/>
        </w:rPr>
      </w:pPr>
      <w:r>
        <w:rPr>
          <w:spacing w:val="-3"/>
          <w:sz w:val="21"/>
        </w:rPr>
        <w:t>场内交通</w:t>
      </w:r>
    </w:p>
    <w:p>
      <w:pPr>
        <w:pStyle w:val="13"/>
        <w:spacing w:before="126" w:line="348" w:lineRule="auto"/>
        <w:ind w:right="206" w:firstLine="420"/>
        <w:jc w:val="both"/>
      </w:pPr>
      <w:r>
        <w:rPr>
          <w:spacing w:val="-4"/>
        </w:rPr>
        <w:t>发包人应提供场内交通设施的技术参数和具体条件，并应按照专用合同条款的约定向承包人免费提供</w:t>
      </w:r>
      <w:r>
        <w:rPr>
          <w:spacing w:val="-5"/>
        </w:rPr>
        <w:t>满足工程施工所需的场内道路和交通设施。因承包人原因造成上述道路或交通设施损坏的，承包人负责修</w:t>
      </w:r>
      <w:r>
        <w:rPr>
          <w:spacing w:val="-4"/>
        </w:rPr>
        <w:t>复并承担由此增加的费用。</w:t>
      </w:r>
    </w:p>
    <w:p>
      <w:pPr>
        <w:pStyle w:val="13"/>
        <w:spacing w:before="31" w:line="350" w:lineRule="auto"/>
        <w:ind w:right="206" w:firstLine="420"/>
        <w:jc w:val="both"/>
      </w:pPr>
      <w:r>
        <w:rPr>
          <w:spacing w:val="-6"/>
        </w:rPr>
        <w:t>除发包人按照合同约定提供的场内道路和交通设施外，承包人负责修建、维修、养护和管理施工所需的其他场内临时道路和交通设施。发包人和监理人可以为实现合同目的使用承包人修建的场内临时道路和</w:t>
      </w:r>
      <w:r>
        <w:rPr>
          <w:spacing w:val="-4"/>
        </w:rPr>
        <w:t>交通设施。</w:t>
      </w:r>
    </w:p>
    <w:p>
      <w:pPr>
        <w:pStyle w:val="13"/>
        <w:spacing w:before="29"/>
        <w:ind w:left="533"/>
      </w:pPr>
      <w:r>
        <w:t>场外交通和场内交通的边界由合同当事人在专用合同条款中约定。</w:t>
      </w:r>
    </w:p>
    <w:p>
      <w:pPr>
        <w:pStyle w:val="32"/>
        <w:numPr>
          <w:ilvl w:val="2"/>
          <w:numId w:val="16"/>
        </w:numPr>
        <w:tabs>
          <w:tab w:val="left" w:pos="1270"/>
        </w:tabs>
        <w:spacing w:before="126" w:after="0" w:line="240" w:lineRule="auto"/>
        <w:ind w:left="1270" w:right="0" w:hanging="737"/>
        <w:jc w:val="left"/>
        <w:rPr>
          <w:sz w:val="21"/>
        </w:rPr>
      </w:pPr>
      <w:r>
        <w:rPr>
          <w:spacing w:val="-3"/>
          <w:sz w:val="21"/>
        </w:rPr>
        <w:t>超大件和超重件的运输</w:t>
      </w:r>
    </w:p>
    <w:p>
      <w:pPr>
        <w:pStyle w:val="13"/>
        <w:spacing w:before="123" w:line="350" w:lineRule="auto"/>
        <w:ind w:right="206" w:firstLine="420"/>
        <w:jc w:val="both"/>
      </w:pPr>
      <w:r>
        <w:rPr>
          <w:spacing w:val="-5"/>
        </w:rPr>
        <w:t>由承包人负责运输的超大件或超重件，应由承包人负责向交通管理部门办理申请手续，发包人给予协</w:t>
      </w:r>
      <w:r>
        <w:rPr>
          <w:spacing w:val="-7"/>
        </w:rPr>
        <w:t>助。运输超大件或超重件所需的道路和桥梁临时加固改造费用和其他有关费用，由承包人承担，但专用合</w:t>
      </w:r>
      <w:r>
        <w:rPr>
          <w:spacing w:val="-5"/>
        </w:rPr>
        <w:t>同条款另有约定除外。</w:t>
      </w:r>
    </w:p>
    <w:p>
      <w:pPr>
        <w:pStyle w:val="32"/>
        <w:numPr>
          <w:ilvl w:val="2"/>
          <w:numId w:val="16"/>
        </w:numPr>
        <w:tabs>
          <w:tab w:val="left" w:pos="1270"/>
        </w:tabs>
        <w:spacing w:before="26" w:after="0" w:line="240" w:lineRule="auto"/>
        <w:ind w:left="1270" w:right="0" w:hanging="737"/>
        <w:jc w:val="left"/>
        <w:rPr>
          <w:sz w:val="21"/>
        </w:rPr>
      </w:pPr>
      <w:r>
        <w:rPr>
          <w:spacing w:val="-3"/>
          <w:sz w:val="21"/>
        </w:rPr>
        <w:t>道路和桥梁的损坏责任</w:t>
      </w:r>
    </w:p>
    <w:p>
      <w:pPr>
        <w:pStyle w:val="13"/>
        <w:spacing w:before="125" w:line="350" w:lineRule="auto"/>
        <w:ind w:right="178" w:firstLine="420"/>
      </w:pPr>
      <w:r>
        <w:t>因承包人运输造成施工场地内外公共道路和桥梁损坏的，由承包人承担修复损坏的全部费用和可能引起的赔偿。</w:t>
      </w:r>
    </w:p>
    <w:p>
      <w:pPr>
        <w:pStyle w:val="32"/>
        <w:numPr>
          <w:ilvl w:val="2"/>
          <w:numId w:val="16"/>
        </w:numPr>
        <w:tabs>
          <w:tab w:val="left" w:pos="1270"/>
        </w:tabs>
        <w:spacing w:before="26" w:after="0" w:line="240" w:lineRule="auto"/>
        <w:ind w:left="1270" w:right="0" w:hanging="737"/>
        <w:jc w:val="left"/>
        <w:rPr>
          <w:sz w:val="21"/>
        </w:rPr>
      </w:pPr>
      <w:r>
        <w:rPr>
          <w:spacing w:val="-3"/>
          <w:sz w:val="21"/>
        </w:rPr>
        <w:t>水路和航空运输</w:t>
      </w:r>
    </w:p>
    <w:p>
      <w:pPr>
        <w:pStyle w:val="13"/>
        <w:spacing w:before="126" w:line="350" w:lineRule="auto"/>
        <w:ind w:right="178" w:firstLine="420"/>
      </w:pPr>
      <w:r>
        <w:t>本款前述各项的内容适用于水路运输和航空运输，其中“道路”一词的涵义包括河道、航线、船闸、机场、码头、堤防以及水路或航空运输中其他相似结构物；“车辆”一词的涵义包括船舶和飞机等。</w:t>
      </w:r>
    </w:p>
    <w:p>
      <w:pPr>
        <w:pStyle w:val="32"/>
        <w:numPr>
          <w:ilvl w:val="1"/>
          <w:numId w:val="17"/>
        </w:numPr>
        <w:tabs>
          <w:tab w:val="left" w:pos="1011"/>
        </w:tabs>
        <w:spacing w:before="147" w:after="0" w:line="240" w:lineRule="auto"/>
        <w:ind w:left="1010" w:right="0" w:hanging="475"/>
        <w:jc w:val="left"/>
        <w:rPr>
          <w:b/>
          <w:sz w:val="21"/>
        </w:rPr>
      </w:pPr>
      <w:r>
        <w:rPr>
          <w:b/>
          <w:sz w:val="21"/>
        </w:rPr>
        <w:t>知识产权</w:t>
      </w:r>
    </w:p>
    <w:p>
      <w:pPr>
        <w:pStyle w:val="13"/>
        <w:spacing w:before="10"/>
        <w:ind w:left="0"/>
        <w:rPr>
          <w:b/>
          <w:sz w:val="18"/>
        </w:rPr>
      </w:pPr>
    </w:p>
    <w:p>
      <w:pPr>
        <w:pStyle w:val="32"/>
        <w:numPr>
          <w:ilvl w:val="2"/>
          <w:numId w:val="17"/>
        </w:numPr>
        <w:tabs>
          <w:tab w:val="left" w:pos="1270"/>
        </w:tabs>
        <w:spacing w:before="0" w:after="0" w:line="350" w:lineRule="auto"/>
        <w:ind w:left="112" w:right="206" w:firstLine="421"/>
        <w:jc w:val="left"/>
        <w:rPr>
          <w:sz w:val="21"/>
        </w:rPr>
      </w:pPr>
      <w:r>
        <w:rPr>
          <w:spacing w:val="-3"/>
          <w:sz w:val="21"/>
        </w:rPr>
        <w:t>除专用合同条款另有约定外，发包人提供给承包人的图纸、发包人为实施工程自行编制或委</w:t>
      </w:r>
      <w:r>
        <w:rPr>
          <w:spacing w:val="-4"/>
          <w:sz w:val="21"/>
        </w:rPr>
        <w:t>托编制的技术规范以及反映发包人要求的或其他类似性质的文件的著作权属于发包人，承包人可以为实现</w:t>
      </w:r>
      <w:r>
        <w:rPr>
          <w:spacing w:val="-6"/>
          <w:sz w:val="21"/>
        </w:rPr>
        <w:t>合同目的而复制、使用此类文件，但不能用于与合同无关的其他事项。未经发包人书面同意，承包人不得</w:t>
      </w:r>
      <w:r>
        <w:rPr>
          <w:spacing w:val="-4"/>
          <w:sz w:val="21"/>
        </w:rPr>
        <w:t>为了合同以外的目的而复制、使用上述文件或将之提供给任何第三方。</w:t>
      </w:r>
    </w:p>
    <w:p>
      <w:pPr>
        <w:pStyle w:val="32"/>
        <w:numPr>
          <w:ilvl w:val="2"/>
          <w:numId w:val="17"/>
        </w:numPr>
        <w:tabs>
          <w:tab w:val="left" w:pos="1270"/>
        </w:tabs>
        <w:spacing w:before="29" w:after="0" w:line="350" w:lineRule="auto"/>
        <w:ind w:left="112" w:right="206" w:firstLine="421"/>
        <w:jc w:val="left"/>
        <w:rPr>
          <w:sz w:val="21"/>
        </w:rPr>
      </w:pPr>
      <w:r>
        <w:rPr>
          <w:spacing w:val="-3"/>
          <w:sz w:val="21"/>
        </w:rPr>
        <w:t>除专用合同条款另有约定外，承包人为实施工程所编制的文件，除署名权以外的著作权属于</w:t>
      </w:r>
      <w:r>
        <w:rPr>
          <w:spacing w:val="-7"/>
          <w:sz w:val="21"/>
        </w:rPr>
        <w:t>发包人，承包人可因实施工程的运行、调试、维修、改造等目的而复制、使用此类文件，但不能用于与合</w:t>
      </w:r>
      <w:r>
        <w:rPr>
          <w:spacing w:val="-8"/>
          <w:sz w:val="21"/>
        </w:rPr>
        <w:t>同无关的其他事项。未经发包人书面同意，承包人不得为了合同以外的目的而复制、使用上述文件或将之</w:t>
      </w:r>
      <w:r>
        <w:rPr>
          <w:spacing w:val="-5"/>
          <w:sz w:val="21"/>
        </w:rPr>
        <w:t>提供给任何第三方。</w:t>
      </w:r>
    </w:p>
    <w:p>
      <w:pPr>
        <w:pStyle w:val="32"/>
        <w:numPr>
          <w:ilvl w:val="2"/>
          <w:numId w:val="17"/>
        </w:numPr>
        <w:tabs>
          <w:tab w:val="left" w:pos="1270"/>
        </w:tabs>
        <w:spacing w:before="27" w:after="0" w:line="350" w:lineRule="auto"/>
        <w:ind w:left="112" w:right="101" w:firstLine="421"/>
        <w:jc w:val="left"/>
        <w:rPr>
          <w:sz w:val="21"/>
        </w:rPr>
      </w:pPr>
      <w:r>
        <w:rPr>
          <w:spacing w:val="-3"/>
          <w:sz w:val="21"/>
        </w:rPr>
        <w:t xml:space="preserve">合同当事人保证在履行合同过程中不侵犯对方及第三方的知识产权。承包人在使用材料、施 </w:t>
      </w:r>
      <w:r>
        <w:rPr>
          <w:spacing w:val="-12"/>
          <w:sz w:val="21"/>
        </w:rPr>
        <w:t xml:space="preserve">工设备、工程设备或采用施工工艺时，因侵犯他人的专利权或其他知识产权所引起的责任，由承包人承担； </w:t>
      </w:r>
      <w:r>
        <w:rPr>
          <w:spacing w:val="-6"/>
          <w:sz w:val="21"/>
        </w:rPr>
        <w:t>因发包人提供的材料、施工设备、工程设备或施工工艺导致侵权的，由发包人承担责任。</w:t>
      </w:r>
    </w:p>
    <w:p>
      <w:pPr>
        <w:pStyle w:val="32"/>
        <w:numPr>
          <w:ilvl w:val="2"/>
          <w:numId w:val="17"/>
        </w:numPr>
        <w:tabs>
          <w:tab w:val="left" w:pos="1282"/>
        </w:tabs>
        <w:spacing w:before="14" w:after="0" w:line="348" w:lineRule="auto"/>
        <w:ind w:left="112" w:right="113" w:firstLine="423"/>
        <w:jc w:val="left"/>
        <w:rPr>
          <w:sz w:val="21"/>
        </w:rPr>
      </w:pPr>
      <w:r>
        <w:rPr>
          <w:sz w:val="21"/>
        </w:rPr>
        <w:t>除专用合同条款另有约定外，承包人在合同签订前和签订时已确定采用的专利、专有技术、</w:t>
      </w:r>
      <w:r>
        <w:rPr>
          <w:spacing w:val="-3"/>
          <w:sz w:val="21"/>
        </w:rPr>
        <w:t>技术秘密的使用费已包含在签约合同价中。</w:t>
      </w:r>
    </w:p>
    <w:p>
      <w:pPr>
        <w:pStyle w:val="32"/>
        <w:numPr>
          <w:ilvl w:val="1"/>
          <w:numId w:val="18"/>
        </w:numPr>
        <w:tabs>
          <w:tab w:val="left" w:pos="1011"/>
        </w:tabs>
        <w:spacing w:before="151" w:after="0" w:line="240" w:lineRule="auto"/>
        <w:ind w:left="1010" w:right="0" w:hanging="475"/>
        <w:jc w:val="left"/>
        <w:rPr>
          <w:b/>
          <w:sz w:val="21"/>
        </w:rPr>
      </w:pPr>
      <w:r>
        <w:rPr>
          <w:b/>
          <w:sz w:val="21"/>
        </w:rPr>
        <w:t>保密</w:t>
      </w:r>
    </w:p>
    <w:p>
      <w:pPr>
        <w:pStyle w:val="13"/>
        <w:spacing w:before="9"/>
        <w:ind w:left="0"/>
        <w:rPr>
          <w:b/>
          <w:sz w:val="18"/>
        </w:rPr>
      </w:pPr>
    </w:p>
    <w:p>
      <w:pPr>
        <w:pStyle w:val="13"/>
        <w:spacing w:before="1" w:line="348" w:lineRule="auto"/>
        <w:ind w:firstLine="420"/>
      </w:pPr>
      <w:r>
        <w:rPr>
          <w:spacing w:val="-6"/>
        </w:rPr>
        <w:t>除法律规定或合同另有约定外，未经发包人同意，承包人不得将发包人提供的图纸、文件以及声明需</w:t>
      </w:r>
      <w:r>
        <w:rPr>
          <w:spacing w:val="-4"/>
        </w:rPr>
        <w:t>要保密的资料信息等商业秘密泄露给第三方。</w:t>
      </w:r>
    </w:p>
    <w:p>
      <w:pPr>
        <w:pStyle w:val="13"/>
        <w:spacing w:before="31" w:line="350" w:lineRule="auto"/>
        <w:ind w:right="91" w:firstLine="420"/>
      </w:pPr>
      <w:r>
        <w:rPr>
          <w:spacing w:val="-5"/>
        </w:rPr>
        <w:t>除法律规定或合同另有约定外，未经承包人同意，发包人不得将承包人提供的技术秘密及声明需要保</w:t>
      </w:r>
      <w:r>
        <w:rPr>
          <w:spacing w:val="-4"/>
        </w:rPr>
        <w:t>密的资料信息等商业秘密泄露给第三方。</w:t>
      </w:r>
    </w:p>
    <w:p>
      <w:pPr>
        <w:pStyle w:val="32"/>
        <w:numPr>
          <w:ilvl w:val="1"/>
          <w:numId w:val="18"/>
        </w:numPr>
        <w:tabs>
          <w:tab w:val="left" w:pos="1011"/>
        </w:tabs>
        <w:spacing w:before="146" w:after="0" w:line="240" w:lineRule="auto"/>
        <w:ind w:left="1010" w:right="0" w:hanging="475"/>
        <w:jc w:val="left"/>
        <w:rPr>
          <w:b/>
          <w:sz w:val="21"/>
        </w:rPr>
      </w:pPr>
      <w:r>
        <w:rPr>
          <w:b/>
          <w:spacing w:val="-1"/>
          <w:sz w:val="21"/>
        </w:rPr>
        <w:t>工程量清单错误的修正</w:t>
      </w:r>
    </w:p>
    <w:p>
      <w:pPr>
        <w:pStyle w:val="13"/>
        <w:spacing w:before="10"/>
        <w:ind w:left="0"/>
        <w:rPr>
          <w:b/>
          <w:sz w:val="18"/>
        </w:rPr>
      </w:pPr>
    </w:p>
    <w:p>
      <w:pPr>
        <w:pStyle w:val="13"/>
        <w:spacing w:line="350" w:lineRule="auto"/>
        <w:ind w:firstLine="420"/>
      </w:pPr>
      <w:r>
        <w:rPr>
          <w:spacing w:val="-6"/>
        </w:rPr>
        <w:t>除专用合同条款另有约定外，发包人提供的工程量清单，应被认为是准确的和完整的。出现下列情形</w:t>
      </w:r>
      <w:r>
        <w:rPr>
          <w:spacing w:val="-4"/>
        </w:rPr>
        <w:t>之一时，发包人应予以修正，并相应调整合同价格：</w:t>
      </w:r>
    </w:p>
    <w:p>
      <w:pPr>
        <w:pStyle w:val="13"/>
        <w:spacing w:before="27"/>
        <w:ind w:left="533"/>
      </w:pPr>
      <w:r>
        <w:t>（1）工程量清单存在缺项、漏项的；</w:t>
      </w:r>
    </w:p>
    <w:p>
      <w:pPr>
        <w:pStyle w:val="13"/>
        <w:spacing w:before="126"/>
        <w:ind w:left="533"/>
      </w:pPr>
      <w:r>
        <w:t>（2）工程量清单偏差超出专用合同条款约定的工程量偏差范围的；</w:t>
      </w:r>
    </w:p>
    <w:p>
      <w:pPr>
        <w:pStyle w:val="13"/>
        <w:spacing w:before="126"/>
        <w:ind w:left="533"/>
      </w:pPr>
      <w:r>
        <w:t>（3）未按照国家现行计量规范强制性规定计量的。</w:t>
      </w:r>
    </w:p>
    <w:p>
      <w:pPr>
        <w:pStyle w:val="13"/>
        <w:spacing w:before="8"/>
        <w:ind w:left="0"/>
        <w:rPr>
          <w:sz w:val="18"/>
        </w:rPr>
      </w:pPr>
    </w:p>
    <w:p>
      <w:pPr>
        <w:pStyle w:val="32"/>
        <w:numPr>
          <w:ilvl w:val="0"/>
          <w:numId w:val="9"/>
        </w:numPr>
        <w:tabs>
          <w:tab w:val="left" w:pos="431"/>
        </w:tabs>
        <w:spacing w:before="0" w:after="0" w:line="240" w:lineRule="auto"/>
        <w:ind w:left="430" w:right="0" w:hanging="318"/>
        <w:jc w:val="left"/>
        <w:rPr>
          <w:sz w:val="21"/>
        </w:rPr>
      </w:pPr>
      <w:r>
        <w:rPr>
          <w:spacing w:val="-2"/>
          <w:sz w:val="21"/>
        </w:rPr>
        <w:t>发包人</w:t>
      </w:r>
    </w:p>
    <w:p>
      <w:pPr>
        <w:pStyle w:val="13"/>
        <w:spacing w:before="10"/>
        <w:ind w:left="0"/>
        <w:rPr>
          <w:sz w:val="18"/>
        </w:rPr>
      </w:pPr>
    </w:p>
    <w:p>
      <w:pPr>
        <w:pStyle w:val="32"/>
        <w:numPr>
          <w:ilvl w:val="1"/>
          <w:numId w:val="9"/>
        </w:numPr>
        <w:tabs>
          <w:tab w:val="left" w:pos="959"/>
        </w:tabs>
        <w:spacing w:before="0" w:after="0" w:line="240" w:lineRule="auto"/>
        <w:ind w:left="958" w:right="0" w:hanging="423"/>
        <w:jc w:val="left"/>
        <w:rPr>
          <w:b/>
          <w:sz w:val="21"/>
        </w:rPr>
      </w:pPr>
      <w:r>
        <w:rPr>
          <w:b/>
          <w:sz w:val="21"/>
        </w:rPr>
        <w:t>许可或批准</w:t>
      </w:r>
    </w:p>
    <w:p>
      <w:pPr>
        <w:pStyle w:val="13"/>
        <w:spacing w:before="10"/>
        <w:ind w:left="0"/>
        <w:rPr>
          <w:b/>
          <w:sz w:val="18"/>
        </w:rPr>
      </w:pPr>
    </w:p>
    <w:p>
      <w:pPr>
        <w:pStyle w:val="13"/>
        <w:spacing w:line="348" w:lineRule="auto"/>
        <w:ind w:right="106" w:firstLine="420"/>
        <w:jc w:val="both"/>
      </w:pPr>
      <w:r>
        <w:rPr>
          <w:spacing w:val="-6"/>
        </w:rPr>
        <w:t>发包人应遵守法律，并办理法律规定由其办理的许可、批准或备案，包括但不限于建设用地规划许可</w:t>
      </w:r>
      <w:r>
        <w:rPr>
          <w:spacing w:val="-7"/>
        </w:rPr>
        <w:t>证、建设工程规划许可证、建设工程施工许可证、施工所需临时用水、临时用电、中断道路交通、临时占</w:t>
      </w:r>
      <w:r>
        <w:rPr>
          <w:spacing w:val="-5"/>
        </w:rPr>
        <w:t>用土地等许可和批准。发包人应协助承包人办理法律规定的有关施工证件和批件。</w:t>
      </w:r>
    </w:p>
    <w:p>
      <w:pPr>
        <w:pStyle w:val="13"/>
        <w:spacing w:before="31" w:line="348" w:lineRule="auto"/>
        <w:ind w:firstLine="420"/>
      </w:pPr>
      <w:r>
        <w:rPr>
          <w:spacing w:val="-6"/>
        </w:rPr>
        <w:t>因发包人原因未能及时办理完毕前述许可、批准或备案，由发包人承担由此增加的费用和</w:t>
      </w:r>
      <w:r>
        <w:t>（</w:t>
      </w:r>
      <w:r>
        <w:rPr>
          <w:spacing w:val="-3"/>
        </w:rPr>
        <w:t>或</w:t>
      </w:r>
      <w:r>
        <w:rPr>
          <w:spacing w:val="-8"/>
        </w:rPr>
        <w:t>）</w:t>
      </w:r>
      <w:r>
        <w:t>延误</w:t>
      </w:r>
      <w:r>
        <w:rPr>
          <w:spacing w:val="-3"/>
        </w:rPr>
        <w:t>的工期，并支付承包人合理的利润。</w:t>
      </w:r>
    </w:p>
    <w:p>
      <w:pPr>
        <w:pStyle w:val="32"/>
        <w:numPr>
          <w:ilvl w:val="1"/>
          <w:numId w:val="9"/>
        </w:numPr>
        <w:tabs>
          <w:tab w:val="left" w:pos="959"/>
        </w:tabs>
        <w:spacing w:before="150" w:after="0" w:line="240" w:lineRule="auto"/>
        <w:ind w:left="958" w:right="0" w:hanging="423"/>
        <w:jc w:val="left"/>
        <w:rPr>
          <w:b/>
          <w:sz w:val="21"/>
        </w:rPr>
      </w:pPr>
      <w:r>
        <w:rPr>
          <w:b/>
          <w:sz w:val="21"/>
        </w:rPr>
        <w:t>发包人代表</w:t>
      </w:r>
    </w:p>
    <w:p>
      <w:pPr>
        <w:pStyle w:val="13"/>
        <w:spacing w:before="9"/>
        <w:ind w:left="0"/>
        <w:rPr>
          <w:b/>
          <w:sz w:val="18"/>
        </w:rPr>
      </w:pPr>
    </w:p>
    <w:p>
      <w:pPr>
        <w:pStyle w:val="13"/>
        <w:spacing w:line="348" w:lineRule="auto"/>
        <w:ind w:right="106" w:firstLine="420"/>
        <w:jc w:val="both"/>
      </w:pPr>
      <w:r>
        <w:rPr>
          <w:spacing w:val="-5"/>
        </w:rPr>
        <w:t>发包人应在专用合同条款中明确其派驻施工现场的发包人代表的姓名、职务、联系方式及授权范围等</w:t>
      </w:r>
      <w:r>
        <w:rPr>
          <w:spacing w:val="-7"/>
        </w:rPr>
        <w:t>事项。发包人代表在发包人的授权范围内，负责处理合同履行过程中与发包人有关的具体事宜。发包人代</w:t>
      </w:r>
      <w:r>
        <w:rPr>
          <w:spacing w:val="-5"/>
        </w:rPr>
        <w:t>表在授权范围内的行为由发包人承担法律责任。发包人更换发包人代表的，应提前</w:t>
      </w:r>
      <w:r>
        <w:t>7</w:t>
      </w:r>
      <w:r>
        <w:rPr>
          <w:spacing w:val="-3"/>
        </w:rPr>
        <w:t>天书面通知承包人。</w:t>
      </w:r>
    </w:p>
    <w:p>
      <w:pPr>
        <w:pStyle w:val="13"/>
        <w:spacing w:before="30" w:line="348" w:lineRule="auto"/>
        <w:ind w:right="91" w:firstLine="420"/>
      </w:pPr>
      <w:r>
        <w:rPr>
          <w:spacing w:val="-5"/>
        </w:rPr>
        <w:t>发包人代表不能按照合同约定履行其职责及义务，并导致合同无法继续正常履行的，承包人可以要求</w:t>
      </w:r>
      <w:r>
        <w:rPr>
          <w:spacing w:val="-4"/>
        </w:rPr>
        <w:t>发包人撤换发包人代表。</w:t>
      </w:r>
    </w:p>
    <w:p>
      <w:pPr>
        <w:pStyle w:val="13"/>
        <w:spacing w:before="31"/>
        <w:ind w:left="533"/>
      </w:pPr>
      <w:r>
        <w:t>不属于法定必须监理的工程，监理人的职权可以由发包人代表或发包人指定的其他人员行使。</w:t>
      </w:r>
    </w:p>
    <w:p>
      <w:pPr>
        <w:pStyle w:val="13"/>
        <w:spacing w:before="10"/>
        <w:ind w:left="0"/>
        <w:rPr>
          <w:sz w:val="18"/>
        </w:rPr>
      </w:pPr>
    </w:p>
    <w:p>
      <w:pPr>
        <w:pStyle w:val="32"/>
        <w:numPr>
          <w:ilvl w:val="1"/>
          <w:numId w:val="9"/>
        </w:numPr>
        <w:tabs>
          <w:tab w:val="left" w:pos="959"/>
        </w:tabs>
        <w:spacing w:before="0" w:after="0" w:line="240" w:lineRule="auto"/>
        <w:ind w:left="958" w:right="0" w:hanging="423"/>
        <w:jc w:val="left"/>
        <w:rPr>
          <w:b/>
          <w:sz w:val="21"/>
        </w:rPr>
      </w:pPr>
      <w:r>
        <w:rPr>
          <w:b/>
          <w:sz w:val="21"/>
        </w:rPr>
        <w:t>发包人人员</w:t>
      </w:r>
    </w:p>
    <w:p>
      <w:pPr>
        <w:pStyle w:val="13"/>
        <w:spacing w:before="7"/>
        <w:ind w:left="0"/>
        <w:rPr>
          <w:b/>
          <w:sz w:val="18"/>
        </w:rPr>
      </w:pPr>
    </w:p>
    <w:p>
      <w:pPr>
        <w:pStyle w:val="13"/>
        <w:spacing w:before="1" w:line="350" w:lineRule="auto"/>
        <w:ind w:firstLine="420"/>
      </w:pPr>
      <w:r>
        <w:rPr>
          <w:spacing w:val="-6"/>
        </w:rPr>
        <w:t>发包人应要求在施工现场的发包人人员遵守法律及有关安全、质量、环境保护、文明施工等规定，并</w:t>
      </w:r>
      <w:r>
        <w:rPr>
          <w:spacing w:val="-3"/>
        </w:rPr>
        <w:t>保障承包人免于承受因发包人人员未遵守上述要求给承包人造成的损失和责任。</w:t>
      </w:r>
    </w:p>
    <w:p>
      <w:pPr>
        <w:pStyle w:val="13"/>
        <w:spacing w:before="29"/>
        <w:ind w:left="754"/>
      </w:pPr>
      <w:r>
        <w:t>发包人人员包括发包人代表及其他由发包人派驻施工现场的人员。</w:t>
      </w:r>
    </w:p>
    <w:p>
      <w:pPr>
        <w:pStyle w:val="32"/>
        <w:numPr>
          <w:ilvl w:val="1"/>
          <w:numId w:val="9"/>
        </w:numPr>
        <w:tabs>
          <w:tab w:val="left" w:pos="959"/>
        </w:tabs>
        <w:spacing w:before="14" w:after="0" w:line="240" w:lineRule="auto"/>
        <w:ind w:left="958" w:right="0" w:hanging="423"/>
        <w:jc w:val="left"/>
        <w:rPr>
          <w:b/>
          <w:sz w:val="21"/>
        </w:rPr>
      </w:pPr>
      <w:r>
        <w:rPr>
          <w:b/>
          <w:spacing w:val="-1"/>
          <w:sz w:val="21"/>
        </w:rPr>
        <w:t>施工现场、施工条件和基础资料的提供</w:t>
      </w:r>
    </w:p>
    <w:p>
      <w:pPr>
        <w:pStyle w:val="13"/>
        <w:spacing w:before="8"/>
        <w:ind w:left="0"/>
        <w:rPr>
          <w:b/>
          <w:sz w:val="18"/>
        </w:rPr>
      </w:pPr>
    </w:p>
    <w:p>
      <w:pPr>
        <w:pStyle w:val="32"/>
        <w:numPr>
          <w:ilvl w:val="2"/>
          <w:numId w:val="9"/>
        </w:numPr>
        <w:tabs>
          <w:tab w:val="left" w:pos="1165"/>
        </w:tabs>
        <w:spacing w:before="0" w:after="0" w:line="240" w:lineRule="auto"/>
        <w:ind w:left="1164" w:right="0" w:hanging="631"/>
        <w:jc w:val="left"/>
        <w:rPr>
          <w:sz w:val="21"/>
        </w:rPr>
      </w:pPr>
      <w:r>
        <w:rPr>
          <w:spacing w:val="-3"/>
          <w:sz w:val="21"/>
        </w:rPr>
        <w:t>提供施工现场</w:t>
      </w:r>
    </w:p>
    <w:p>
      <w:pPr>
        <w:pStyle w:val="13"/>
        <w:spacing w:before="125"/>
        <w:ind w:left="533"/>
      </w:pPr>
      <w:r>
        <w:t>除专用合同条款另有约定外，发包人应最迟于开工日期7天前向承包人移交施工现场。</w:t>
      </w:r>
    </w:p>
    <w:p>
      <w:pPr>
        <w:pStyle w:val="32"/>
        <w:numPr>
          <w:ilvl w:val="2"/>
          <w:numId w:val="9"/>
        </w:numPr>
        <w:tabs>
          <w:tab w:val="left" w:pos="1165"/>
        </w:tabs>
        <w:spacing w:before="125" w:after="0" w:line="240" w:lineRule="auto"/>
        <w:ind w:left="1164" w:right="0" w:hanging="631"/>
        <w:jc w:val="left"/>
        <w:rPr>
          <w:sz w:val="21"/>
        </w:rPr>
      </w:pPr>
      <w:r>
        <w:rPr>
          <w:spacing w:val="-3"/>
          <w:sz w:val="21"/>
        </w:rPr>
        <w:t>提供施工条件</w:t>
      </w:r>
    </w:p>
    <w:p>
      <w:pPr>
        <w:pStyle w:val="13"/>
        <w:spacing w:before="123"/>
        <w:ind w:left="533"/>
      </w:pPr>
      <w:r>
        <w:t>除专用合同条款另有约定外，发包人应负责提供施工所需要的条件，包括：</w:t>
      </w:r>
    </w:p>
    <w:p>
      <w:pPr>
        <w:pStyle w:val="13"/>
        <w:spacing w:before="126"/>
        <w:ind w:left="533"/>
      </w:pPr>
      <w:r>
        <w:t>（1）将施工用水、电力、通讯线路等施工所必需的条件接至施工现场内；</w:t>
      </w:r>
    </w:p>
    <w:p>
      <w:pPr>
        <w:pStyle w:val="13"/>
        <w:spacing w:before="126"/>
        <w:ind w:left="533"/>
      </w:pPr>
      <w:r>
        <w:t>（2）保证向承包人提供正常施工所需要的进入施工现场的交通条件；</w:t>
      </w:r>
    </w:p>
    <w:p>
      <w:pPr>
        <w:pStyle w:val="13"/>
        <w:spacing w:before="123" w:line="350" w:lineRule="auto"/>
        <w:ind w:right="283" w:firstLine="420"/>
      </w:pPr>
      <w:r>
        <w:t>（3）协调处理施工现场周围地下管线和邻近建筑物、构筑物、古树名木的保护工作，并承担相关费用；</w:t>
      </w:r>
    </w:p>
    <w:p>
      <w:pPr>
        <w:pStyle w:val="13"/>
        <w:spacing w:before="29"/>
        <w:ind w:left="533"/>
      </w:pPr>
      <w:r>
        <w:t>（4）按照专用合同条款约定应提供的其他设施和条件。</w:t>
      </w:r>
    </w:p>
    <w:p>
      <w:pPr>
        <w:pStyle w:val="32"/>
        <w:numPr>
          <w:ilvl w:val="2"/>
          <w:numId w:val="9"/>
        </w:numPr>
        <w:tabs>
          <w:tab w:val="left" w:pos="1165"/>
        </w:tabs>
        <w:spacing w:before="124" w:after="0" w:line="240" w:lineRule="auto"/>
        <w:ind w:left="1164" w:right="0" w:hanging="631"/>
        <w:jc w:val="left"/>
        <w:rPr>
          <w:sz w:val="21"/>
        </w:rPr>
      </w:pPr>
      <w:r>
        <w:rPr>
          <w:spacing w:val="-3"/>
          <w:sz w:val="21"/>
        </w:rPr>
        <w:t>提供基础资料</w:t>
      </w:r>
    </w:p>
    <w:p>
      <w:pPr>
        <w:pStyle w:val="13"/>
        <w:spacing w:before="125" w:line="348" w:lineRule="auto"/>
        <w:ind w:right="185" w:firstLine="420"/>
        <w:jc w:val="both"/>
      </w:pPr>
      <w:r>
        <w:rPr>
          <w:spacing w:val="-5"/>
        </w:rPr>
        <w:t>发包人应当在移交施工现场前向承包人提供施工现场及工程施工所必需的毗邻区域内供水、排水、供</w:t>
      </w:r>
      <w:r>
        <w:rPr>
          <w:spacing w:val="-4"/>
        </w:rPr>
        <w:t>电、供气、供热、通信、广播电视等地下管线资料，气象和水文观测资料，地质勘察资料，相邻建筑物、</w:t>
      </w:r>
      <w:r>
        <w:rPr>
          <w:spacing w:val="-3"/>
        </w:rPr>
        <w:t>构筑物和地下工程等有关基础资料，并对所提供资料的真实性、准确性和完整性负责。</w:t>
      </w:r>
    </w:p>
    <w:p>
      <w:pPr>
        <w:pStyle w:val="13"/>
        <w:spacing w:before="31" w:line="350" w:lineRule="auto"/>
        <w:ind w:right="178" w:firstLine="420"/>
      </w:pPr>
      <w:r>
        <w:t>按照法律规定确需在开工后方能提供的基础资料，发包人应尽其努力及时地在相应工程施工前的合理期限内提供，合理期限应以不影响承包人的正常施工为限。</w:t>
      </w:r>
    </w:p>
    <w:p>
      <w:pPr>
        <w:pStyle w:val="32"/>
        <w:numPr>
          <w:ilvl w:val="2"/>
          <w:numId w:val="9"/>
        </w:numPr>
        <w:tabs>
          <w:tab w:val="left" w:pos="1165"/>
        </w:tabs>
        <w:spacing w:before="27" w:after="0" w:line="240" w:lineRule="auto"/>
        <w:ind w:left="1164" w:right="0" w:hanging="631"/>
        <w:jc w:val="left"/>
        <w:rPr>
          <w:sz w:val="21"/>
        </w:rPr>
      </w:pPr>
      <w:r>
        <w:rPr>
          <w:spacing w:val="-3"/>
          <w:sz w:val="21"/>
        </w:rPr>
        <w:t>逾期提供的责任</w:t>
      </w:r>
    </w:p>
    <w:p>
      <w:pPr>
        <w:pStyle w:val="13"/>
        <w:spacing w:before="126" w:line="350" w:lineRule="auto"/>
        <w:ind w:right="191" w:firstLine="420"/>
      </w:pPr>
      <w:r>
        <w:rPr>
          <w:spacing w:val="-6"/>
        </w:rPr>
        <w:t>因发包人原因未能按合同约定及时向承包人提供施工现场、施工条件、基础资料的，由发包人承担由</w:t>
      </w:r>
      <w:r>
        <w:rPr>
          <w:spacing w:val="-4"/>
        </w:rPr>
        <w:t>此增加的费用和</w:t>
      </w:r>
      <w:r>
        <w:t>（</w:t>
      </w:r>
      <w:r>
        <w:rPr>
          <w:spacing w:val="-3"/>
        </w:rPr>
        <w:t>或</w:t>
      </w:r>
      <w:r>
        <w:t>）</w:t>
      </w:r>
      <w:r>
        <w:rPr>
          <w:spacing w:val="-3"/>
        </w:rPr>
        <w:t>延误的工期。</w:t>
      </w:r>
    </w:p>
    <w:p>
      <w:pPr>
        <w:pStyle w:val="32"/>
        <w:numPr>
          <w:ilvl w:val="1"/>
          <w:numId w:val="9"/>
        </w:numPr>
        <w:tabs>
          <w:tab w:val="left" w:pos="959"/>
        </w:tabs>
        <w:spacing w:before="147" w:after="0" w:line="240" w:lineRule="auto"/>
        <w:ind w:left="958" w:right="0" w:hanging="423"/>
        <w:jc w:val="left"/>
        <w:rPr>
          <w:b/>
          <w:sz w:val="21"/>
        </w:rPr>
      </w:pPr>
      <w:r>
        <w:rPr>
          <w:b/>
          <w:spacing w:val="-1"/>
          <w:sz w:val="21"/>
        </w:rPr>
        <w:t>资金来源证明及支付担保</w:t>
      </w:r>
    </w:p>
    <w:p>
      <w:pPr>
        <w:pStyle w:val="13"/>
        <w:spacing w:before="9"/>
        <w:ind w:left="0"/>
        <w:rPr>
          <w:b/>
          <w:sz w:val="18"/>
        </w:rPr>
      </w:pPr>
    </w:p>
    <w:p>
      <w:pPr>
        <w:pStyle w:val="13"/>
        <w:spacing w:before="1" w:line="350" w:lineRule="auto"/>
        <w:ind w:right="283" w:firstLine="420"/>
      </w:pPr>
      <w:r>
        <w:rPr>
          <w:spacing w:val="-4"/>
        </w:rPr>
        <w:t xml:space="preserve">除专用合同条款另有约定外，发包人应在收到承包人要求提供资金来源证明的书面通知后 </w:t>
      </w:r>
      <w:r>
        <w:t>28</w:t>
      </w:r>
      <w:r>
        <w:rPr>
          <w:spacing w:val="-9"/>
        </w:rPr>
        <w:t xml:space="preserve"> 天内， </w:t>
      </w:r>
      <w:r>
        <w:rPr>
          <w:spacing w:val="-5"/>
        </w:rPr>
        <w:t>向承包人提供能够按照合同约定支付合同价款的相应资金来源证明。</w:t>
      </w:r>
    </w:p>
    <w:p>
      <w:pPr>
        <w:pStyle w:val="13"/>
        <w:spacing w:before="27" w:line="350" w:lineRule="auto"/>
        <w:ind w:right="191" w:firstLine="420"/>
      </w:pPr>
      <w:r>
        <w:rPr>
          <w:spacing w:val="-10"/>
        </w:rPr>
        <w:t>除专用合同条款另有约定外，发包人要求承包人提供履约担保的，发包人应当向承包人提供支付担保。</w:t>
      </w:r>
      <w:r>
        <w:rPr>
          <w:spacing w:val="-5"/>
        </w:rPr>
        <w:t>支付担保可以采用银行保函或担保公司担保等形式，具体由合同当事人在专用合同条款中约定。</w:t>
      </w:r>
    </w:p>
    <w:p>
      <w:pPr>
        <w:pStyle w:val="32"/>
        <w:numPr>
          <w:ilvl w:val="1"/>
          <w:numId w:val="9"/>
        </w:numPr>
        <w:tabs>
          <w:tab w:val="left" w:pos="959"/>
        </w:tabs>
        <w:spacing w:before="149" w:after="0" w:line="240" w:lineRule="auto"/>
        <w:ind w:left="958" w:right="0" w:hanging="423"/>
        <w:jc w:val="left"/>
        <w:rPr>
          <w:b/>
          <w:sz w:val="21"/>
        </w:rPr>
      </w:pPr>
      <w:r>
        <w:rPr>
          <w:b/>
          <w:sz w:val="21"/>
        </w:rPr>
        <w:t>支付合同价款</w:t>
      </w:r>
    </w:p>
    <w:p>
      <w:pPr>
        <w:pStyle w:val="13"/>
        <w:spacing w:before="7"/>
        <w:ind w:left="0"/>
        <w:rPr>
          <w:b/>
          <w:sz w:val="18"/>
        </w:rPr>
      </w:pPr>
    </w:p>
    <w:p>
      <w:pPr>
        <w:pStyle w:val="13"/>
        <w:ind w:left="533"/>
      </w:pPr>
      <w:r>
        <w:t>发包人应按合同约定向承包人及时支付合同价款。</w:t>
      </w:r>
    </w:p>
    <w:p>
      <w:pPr>
        <w:pStyle w:val="13"/>
        <w:spacing w:before="9"/>
        <w:ind w:left="0"/>
        <w:rPr>
          <w:sz w:val="18"/>
        </w:rPr>
      </w:pPr>
    </w:p>
    <w:p>
      <w:pPr>
        <w:pStyle w:val="32"/>
        <w:numPr>
          <w:ilvl w:val="1"/>
          <w:numId w:val="9"/>
        </w:numPr>
        <w:tabs>
          <w:tab w:val="left" w:pos="959"/>
        </w:tabs>
        <w:spacing w:before="0" w:after="0" w:line="240" w:lineRule="auto"/>
        <w:ind w:left="958" w:right="0" w:hanging="423"/>
        <w:jc w:val="left"/>
        <w:rPr>
          <w:b/>
          <w:sz w:val="21"/>
        </w:rPr>
      </w:pPr>
      <w:r>
        <w:rPr>
          <w:b/>
          <w:sz w:val="21"/>
        </w:rPr>
        <w:t>组织竣工验收</w:t>
      </w:r>
    </w:p>
    <w:p>
      <w:pPr>
        <w:pStyle w:val="13"/>
        <w:spacing w:before="10"/>
        <w:ind w:left="0"/>
        <w:rPr>
          <w:b/>
          <w:sz w:val="18"/>
        </w:rPr>
      </w:pPr>
    </w:p>
    <w:p>
      <w:pPr>
        <w:pStyle w:val="13"/>
        <w:ind w:left="533"/>
      </w:pPr>
      <w:r>
        <w:t>发包人应按合同约定及时组织竣工验收。</w:t>
      </w:r>
    </w:p>
    <w:p>
      <w:pPr>
        <w:pStyle w:val="13"/>
        <w:spacing w:before="7"/>
        <w:ind w:left="0"/>
        <w:rPr>
          <w:sz w:val="18"/>
        </w:rPr>
      </w:pPr>
    </w:p>
    <w:p>
      <w:pPr>
        <w:pStyle w:val="32"/>
        <w:numPr>
          <w:ilvl w:val="1"/>
          <w:numId w:val="9"/>
        </w:numPr>
        <w:tabs>
          <w:tab w:val="left" w:pos="959"/>
        </w:tabs>
        <w:spacing w:before="0" w:after="0" w:line="240" w:lineRule="auto"/>
        <w:ind w:left="958" w:right="0" w:hanging="423"/>
        <w:jc w:val="left"/>
        <w:rPr>
          <w:b/>
          <w:sz w:val="21"/>
        </w:rPr>
      </w:pPr>
      <w:r>
        <w:rPr>
          <w:b/>
          <w:sz w:val="21"/>
        </w:rPr>
        <w:t>现场统一管理协议</w:t>
      </w:r>
    </w:p>
    <w:p>
      <w:pPr>
        <w:pStyle w:val="13"/>
        <w:spacing w:before="9"/>
        <w:ind w:left="0"/>
        <w:rPr>
          <w:b/>
          <w:sz w:val="18"/>
        </w:rPr>
      </w:pPr>
    </w:p>
    <w:p>
      <w:pPr>
        <w:pStyle w:val="13"/>
        <w:spacing w:line="350" w:lineRule="auto"/>
        <w:ind w:right="191" w:firstLine="420"/>
      </w:pPr>
      <w:r>
        <w:rPr>
          <w:spacing w:val="-6"/>
        </w:rPr>
        <w:t>发包人应与承包人、由发包人直接发包的专业工程的承包人签订施工现场统一管理协议，明确各方的</w:t>
      </w:r>
      <w:r>
        <w:rPr>
          <w:spacing w:val="-4"/>
        </w:rPr>
        <w:t>权利义务。施工现场统一管理协议作为专用合同条款的附件。</w:t>
      </w:r>
    </w:p>
    <w:p>
      <w:pPr>
        <w:spacing w:after="0" w:line="350" w:lineRule="auto"/>
        <w:sectPr>
          <w:pgSz w:w="11910" w:h="16840"/>
          <w:pgMar w:top="1460" w:right="920" w:bottom="1180" w:left="1020" w:header="0" w:footer="920" w:gutter="0"/>
        </w:sectPr>
      </w:pPr>
    </w:p>
    <w:p>
      <w:pPr>
        <w:pStyle w:val="32"/>
        <w:numPr>
          <w:ilvl w:val="0"/>
          <w:numId w:val="9"/>
        </w:numPr>
        <w:tabs>
          <w:tab w:val="left" w:pos="431"/>
        </w:tabs>
        <w:spacing w:before="14" w:after="0" w:line="240" w:lineRule="auto"/>
        <w:ind w:left="430" w:right="0" w:hanging="318"/>
        <w:jc w:val="left"/>
        <w:rPr>
          <w:sz w:val="21"/>
        </w:rPr>
      </w:pPr>
      <w:r>
        <w:rPr>
          <w:spacing w:val="-2"/>
          <w:sz w:val="21"/>
        </w:rPr>
        <w:t>承包人</w:t>
      </w:r>
    </w:p>
    <w:p>
      <w:pPr>
        <w:pStyle w:val="13"/>
        <w:spacing w:before="8"/>
        <w:ind w:left="0"/>
        <w:rPr>
          <w:sz w:val="18"/>
        </w:rPr>
      </w:pPr>
    </w:p>
    <w:p>
      <w:pPr>
        <w:pStyle w:val="32"/>
        <w:numPr>
          <w:ilvl w:val="1"/>
          <w:numId w:val="9"/>
        </w:numPr>
        <w:tabs>
          <w:tab w:val="left" w:pos="959"/>
        </w:tabs>
        <w:spacing w:before="0" w:after="0" w:line="240" w:lineRule="auto"/>
        <w:ind w:left="958" w:right="0" w:hanging="423"/>
        <w:jc w:val="left"/>
        <w:rPr>
          <w:b/>
          <w:sz w:val="21"/>
        </w:rPr>
      </w:pPr>
      <w:r>
        <w:rPr>
          <w:b/>
          <w:sz w:val="21"/>
        </w:rPr>
        <w:t>承包人的一般义务</w:t>
      </w:r>
    </w:p>
    <w:p>
      <w:pPr>
        <w:pStyle w:val="13"/>
        <w:spacing w:before="9"/>
        <w:ind w:left="0"/>
        <w:rPr>
          <w:b/>
          <w:sz w:val="18"/>
        </w:rPr>
      </w:pPr>
    </w:p>
    <w:p>
      <w:pPr>
        <w:pStyle w:val="13"/>
        <w:spacing w:before="1"/>
        <w:ind w:left="533"/>
      </w:pPr>
      <w:r>
        <w:t>承包人在履行合同过程中应遵守法律和工程建设标准规范，并履行以下义务：</w:t>
      </w:r>
    </w:p>
    <w:p>
      <w:pPr>
        <w:pStyle w:val="13"/>
        <w:spacing w:before="126"/>
        <w:ind w:left="533"/>
      </w:pPr>
      <w:r>
        <w:t>（1）办理法律规定应由承包人办理的许可和批准，并将办理结果书面报送发包人留存；</w:t>
      </w:r>
    </w:p>
    <w:p>
      <w:pPr>
        <w:pStyle w:val="13"/>
        <w:spacing w:before="123"/>
        <w:ind w:left="533"/>
      </w:pPr>
      <w:r>
        <w:t>（2）按法律规定和合同约定完成工程，并在保修期内承担保修义务；</w:t>
      </w:r>
    </w:p>
    <w:p>
      <w:pPr>
        <w:pStyle w:val="13"/>
        <w:spacing w:before="125" w:line="350" w:lineRule="auto"/>
        <w:ind w:firstLine="420"/>
      </w:pPr>
      <w:r>
        <w:rPr>
          <w:spacing w:val="-3"/>
        </w:rPr>
        <w:t>（3）</w:t>
      </w:r>
      <w:r>
        <w:rPr>
          <w:spacing w:val="-6"/>
        </w:rPr>
        <w:t>按法律规定和合同约定采取施工安全和环境保护措施，办理工伤保险，确保工程及人员、材料、</w:t>
      </w:r>
      <w:r>
        <w:rPr>
          <w:spacing w:val="-4"/>
        </w:rPr>
        <w:t>设备和设施的安全；</w:t>
      </w:r>
    </w:p>
    <w:p>
      <w:pPr>
        <w:pStyle w:val="13"/>
        <w:spacing w:before="26" w:line="350" w:lineRule="auto"/>
        <w:ind w:right="283" w:firstLine="420"/>
      </w:pPr>
      <w:r>
        <w:t>（4）按合同约定的工作内容和施工进度要求，编制施工组织设计和施工措施计划，并对所有施工作业和施工方法的完备性和安全可靠性负责；</w:t>
      </w:r>
    </w:p>
    <w:p>
      <w:pPr>
        <w:pStyle w:val="13"/>
        <w:spacing w:before="29" w:line="350" w:lineRule="auto"/>
        <w:ind w:right="202" w:firstLine="420"/>
      </w:pPr>
      <w:r>
        <w:t>（5）</w:t>
      </w:r>
      <w:r>
        <w:rPr>
          <w:spacing w:val="-3"/>
        </w:rPr>
        <w:t>在进行合同约定的各项工作时，不得侵害发包人与他人使用公用道路、水源、市政管网等公共</w:t>
      </w:r>
      <w:r>
        <w:rPr>
          <w:spacing w:val="-7"/>
        </w:rPr>
        <w:t>设施的权利，避免对邻近的公共设施产生干扰。承包人占用或使用他人的施工场地，影响他人作业或生活</w:t>
      </w:r>
      <w:r>
        <w:rPr>
          <w:spacing w:val="-5"/>
        </w:rPr>
        <w:t>的，应承担相应责任；</w:t>
      </w:r>
    </w:p>
    <w:p>
      <w:pPr>
        <w:pStyle w:val="13"/>
        <w:spacing w:before="29"/>
        <w:ind w:left="533"/>
      </w:pPr>
      <w:r>
        <w:t>（6）按照第6.3款〔环境保护〕约定负责施工场地及其周边环境与生态的保护工作；</w:t>
      </w:r>
    </w:p>
    <w:p>
      <w:pPr>
        <w:pStyle w:val="13"/>
        <w:spacing w:before="123" w:line="350" w:lineRule="auto"/>
        <w:ind w:right="178" w:firstLine="420"/>
      </w:pPr>
      <w:r>
        <w:t>（7）按第6.1款〔安全文明施工〕约定采取施工安全措施，确保工程及其人员、材料、设备和设施的安全，防止因工程施工造成的人身伤害和财产损失；</w:t>
      </w:r>
    </w:p>
    <w:p>
      <w:pPr>
        <w:pStyle w:val="13"/>
        <w:spacing w:before="29" w:line="348" w:lineRule="auto"/>
        <w:ind w:right="283" w:firstLine="420"/>
      </w:pPr>
      <w:r>
        <w:t>（8）将发包人按合同约定支付的各项价款专用于合同工程，且应及时支付其雇用人员工资，并及时向分包人支付合同价款；</w:t>
      </w:r>
    </w:p>
    <w:p>
      <w:pPr>
        <w:pStyle w:val="13"/>
        <w:spacing w:before="31" w:line="350" w:lineRule="auto"/>
        <w:ind w:right="283" w:firstLine="420"/>
      </w:pPr>
      <w:r>
        <w:t>（9）按照法律规定和合同约定编制竣工资料，完成竣工资料立卷及归档，并按专用合同条款约定的竣工资料的套数、内容、时间等要求移交发包人；</w:t>
      </w:r>
    </w:p>
    <w:p>
      <w:pPr>
        <w:pStyle w:val="13"/>
        <w:spacing w:before="27"/>
        <w:ind w:left="533"/>
      </w:pPr>
      <w:r>
        <w:t>（10）应履行的其他义务。</w:t>
      </w:r>
    </w:p>
    <w:p>
      <w:pPr>
        <w:pStyle w:val="13"/>
        <w:spacing w:before="10"/>
        <w:ind w:left="0"/>
        <w:rPr>
          <w:sz w:val="18"/>
        </w:rPr>
      </w:pPr>
    </w:p>
    <w:p>
      <w:pPr>
        <w:pStyle w:val="32"/>
        <w:numPr>
          <w:ilvl w:val="1"/>
          <w:numId w:val="9"/>
        </w:numPr>
        <w:tabs>
          <w:tab w:val="left" w:pos="959"/>
        </w:tabs>
        <w:spacing w:before="0" w:after="0" w:line="240" w:lineRule="auto"/>
        <w:ind w:left="958" w:right="0" w:hanging="423"/>
        <w:jc w:val="left"/>
        <w:rPr>
          <w:b/>
          <w:sz w:val="21"/>
        </w:rPr>
      </w:pPr>
      <w:r>
        <w:rPr>
          <w:b/>
          <w:sz w:val="21"/>
        </w:rPr>
        <w:t>项目经理</w:t>
      </w:r>
    </w:p>
    <w:p>
      <w:pPr>
        <w:pStyle w:val="13"/>
        <w:spacing w:before="10"/>
        <w:ind w:left="0"/>
        <w:rPr>
          <w:b/>
          <w:sz w:val="18"/>
        </w:rPr>
      </w:pPr>
    </w:p>
    <w:p>
      <w:pPr>
        <w:pStyle w:val="32"/>
        <w:numPr>
          <w:ilvl w:val="2"/>
          <w:numId w:val="9"/>
        </w:numPr>
        <w:tabs>
          <w:tab w:val="left" w:pos="1165"/>
        </w:tabs>
        <w:spacing w:before="0" w:after="0" w:line="348" w:lineRule="auto"/>
        <w:ind w:left="112" w:right="206" w:firstLine="421"/>
        <w:jc w:val="both"/>
        <w:rPr>
          <w:sz w:val="21"/>
        </w:rPr>
      </w:pPr>
      <w:r>
        <w:rPr>
          <w:spacing w:val="-6"/>
          <w:sz w:val="21"/>
        </w:rPr>
        <w:t>项目经理应为合同当事人所确认的人选，并在专用合同条款中明确项目经理的姓名、职称、注</w:t>
      </w:r>
      <w:r>
        <w:rPr>
          <w:spacing w:val="-7"/>
          <w:sz w:val="21"/>
        </w:rPr>
        <w:t>册执业证书编号、联系方式及授权范围等事项，项目经理经承包人授权后代表承包人负责履行合同。项目经理应是承包人正式聘用的员工，承包人应向发包人提交项目经理与承包人之间的劳动合同，以及承包人</w:t>
      </w:r>
      <w:r>
        <w:rPr>
          <w:spacing w:val="-8"/>
          <w:sz w:val="21"/>
        </w:rPr>
        <w:t>为项目经理缴纳社会保险的有效证明。承包人不提交上述文件的，项目经理无权履行职责，发包人有权要</w:t>
      </w:r>
      <w:r>
        <w:rPr>
          <w:spacing w:val="-5"/>
          <w:sz w:val="21"/>
        </w:rPr>
        <w:t>求更换项目经理，由此增加的费用和</w:t>
      </w:r>
      <w:r>
        <w:rPr>
          <w:sz w:val="21"/>
        </w:rPr>
        <w:t>（</w:t>
      </w:r>
      <w:r>
        <w:rPr>
          <w:spacing w:val="-3"/>
          <w:sz w:val="21"/>
        </w:rPr>
        <w:t>或</w:t>
      </w:r>
      <w:r>
        <w:rPr>
          <w:sz w:val="21"/>
        </w:rPr>
        <w:t>）</w:t>
      </w:r>
      <w:r>
        <w:rPr>
          <w:spacing w:val="-3"/>
          <w:sz w:val="21"/>
        </w:rPr>
        <w:t>延误的工期由承包人承担。</w:t>
      </w:r>
    </w:p>
    <w:p>
      <w:pPr>
        <w:pStyle w:val="13"/>
        <w:spacing w:before="31" w:line="350" w:lineRule="auto"/>
        <w:ind w:right="206" w:firstLine="420"/>
        <w:jc w:val="both"/>
      </w:pPr>
      <w:r>
        <w:rPr>
          <w:spacing w:val="-5"/>
        </w:rPr>
        <w:t>项目经理应常驻施工现场，且每月在施工现场时间不得少于专用合同条款约定的天数。项目经理不得</w:t>
      </w:r>
      <w:r>
        <w:rPr>
          <w:spacing w:val="-7"/>
        </w:rPr>
        <w:t>同时担任其他项目的项目经理。项目经理确需离开施工现场时，应事先通知监理人，并取得发包人的书面同意。项目经理的通知中应当载明临时代行其职责的人员的注册执业资格、管理经验等资料，该人员应具</w:t>
      </w:r>
      <w:r>
        <w:rPr>
          <w:spacing w:val="-5"/>
        </w:rPr>
        <w:t>备履行相应职责的能力。</w:t>
      </w:r>
    </w:p>
    <w:p>
      <w:pPr>
        <w:pStyle w:val="13"/>
        <w:spacing w:before="29"/>
        <w:ind w:left="533"/>
      </w:pPr>
      <w:r>
        <w:t>承包人违反上述约定的，应按照专用合同条款的约定，承担违约责任。</w:t>
      </w:r>
    </w:p>
    <w:p>
      <w:pPr>
        <w:pStyle w:val="32"/>
        <w:numPr>
          <w:ilvl w:val="2"/>
          <w:numId w:val="9"/>
        </w:numPr>
        <w:tabs>
          <w:tab w:val="left" w:pos="1165"/>
        </w:tabs>
        <w:spacing w:before="123" w:after="0" w:line="350" w:lineRule="auto"/>
        <w:ind w:left="112" w:right="206" w:firstLine="421"/>
        <w:jc w:val="both"/>
        <w:rPr>
          <w:sz w:val="21"/>
        </w:rPr>
      </w:pPr>
      <w:r>
        <w:rPr>
          <w:spacing w:val="-5"/>
          <w:sz w:val="21"/>
        </w:rPr>
        <w:t>项目经理按合同约定组织工程实施。在紧急情况下为确保施工安全和人员安全，在无法与发包</w:t>
      </w:r>
      <w:r>
        <w:rPr>
          <w:spacing w:val="-6"/>
          <w:sz w:val="21"/>
        </w:rPr>
        <w:t>人代表和总监理工程师及时取得联系时，项目经理有权采取必要的措施保证与工程有关的人身、财产和工</w:t>
      </w:r>
      <w:r>
        <w:rPr>
          <w:spacing w:val="-3"/>
          <w:sz w:val="21"/>
        </w:rPr>
        <w:t>程的安全，但应在</w:t>
      </w:r>
      <w:r>
        <w:rPr>
          <w:sz w:val="21"/>
        </w:rPr>
        <w:t>48</w:t>
      </w:r>
      <w:r>
        <w:rPr>
          <w:spacing w:val="-3"/>
          <w:sz w:val="21"/>
        </w:rPr>
        <w:t>小时内向发包人代表和总监理工程师提交书面报告。</w:t>
      </w:r>
    </w:p>
    <w:p>
      <w:pPr>
        <w:spacing w:after="0" w:line="350" w:lineRule="auto"/>
        <w:jc w:val="both"/>
        <w:rPr>
          <w:sz w:val="21"/>
        </w:rPr>
        <w:sectPr>
          <w:pgSz w:w="11910" w:h="16840"/>
          <w:pgMar w:top="1460" w:right="920" w:bottom="1180" w:left="1020" w:header="0" w:footer="920" w:gutter="0"/>
        </w:sectPr>
      </w:pPr>
    </w:p>
    <w:p>
      <w:pPr>
        <w:pStyle w:val="32"/>
        <w:numPr>
          <w:ilvl w:val="2"/>
          <w:numId w:val="9"/>
        </w:numPr>
        <w:tabs>
          <w:tab w:val="left" w:pos="1165"/>
        </w:tabs>
        <w:spacing w:before="14" w:after="0" w:line="350" w:lineRule="auto"/>
        <w:ind w:left="112" w:right="184" w:firstLine="421"/>
        <w:jc w:val="left"/>
        <w:rPr>
          <w:sz w:val="21"/>
        </w:rPr>
      </w:pPr>
      <w:r>
        <w:rPr>
          <w:spacing w:val="-3"/>
          <w:sz w:val="21"/>
        </w:rPr>
        <w:t>承包人需要更换项目经理的，应提前</w:t>
      </w:r>
      <w:r>
        <w:rPr>
          <w:sz w:val="21"/>
        </w:rPr>
        <w:t>14</w:t>
      </w:r>
      <w:r>
        <w:rPr>
          <w:spacing w:val="-3"/>
          <w:sz w:val="21"/>
        </w:rPr>
        <w:t>天书面通知发包人和监理人，并征得发包人书面同意。通知中应当载明继任项目经理的注册执业资格、管理经验等资料，继任项目经理继续履行第</w:t>
      </w:r>
      <w:r>
        <w:rPr>
          <w:sz w:val="21"/>
        </w:rPr>
        <w:t>3.2.1</w:t>
      </w:r>
      <w:r>
        <w:rPr>
          <w:spacing w:val="-3"/>
          <w:sz w:val="21"/>
        </w:rPr>
        <w:t>项约定</w:t>
      </w:r>
      <w:r>
        <w:rPr>
          <w:spacing w:val="-6"/>
          <w:sz w:val="21"/>
        </w:rPr>
        <w:t>的职责。未经发包人书面同意，承包人不得擅自更换项目经理。承包人擅自更换项目经理的，应按照专用</w:t>
      </w:r>
      <w:r>
        <w:rPr>
          <w:spacing w:val="-4"/>
          <w:sz w:val="21"/>
        </w:rPr>
        <w:t>合同条款的约定承担违约责任。</w:t>
      </w:r>
    </w:p>
    <w:p>
      <w:pPr>
        <w:pStyle w:val="32"/>
        <w:numPr>
          <w:ilvl w:val="2"/>
          <w:numId w:val="9"/>
        </w:numPr>
        <w:tabs>
          <w:tab w:val="left" w:pos="1165"/>
        </w:tabs>
        <w:spacing w:before="27" w:after="0" w:line="350" w:lineRule="auto"/>
        <w:ind w:left="112" w:right="184" w:firstLine="421"/>
        <w:jc w:val="left"/>
        <w:rPr>
          <w:sz w:val="21"/>
        </w:rPr>
      </w:pPr>
      <w:r>
        <w:rPr>
          <w:spacing w:val="-3"/>
          <w:sz w:val="21"/>
        </w:rPr>
        <w:t>发包人有权书面通知承包人更换其认为不称职的项目经理，通知中应当载明要求更换的理由。承包人应在接到更换通知后</w:t>
      </w:r>
      <w:r>
        <w:rPr>
          <w:sz w:val="21"/>
        </w:rPr>
        <w:t>14</w:t>
      </w:r>
      <w:r>
        <w:rPr>
          <w:spacing w:val="-3"/>
          <w:sz w:val="21"/>
        </w:rPr>
        <w:t>天内向发包人提出书面的改进报告。发包人收到改进报告后仍要求更换的， 承包人应在接到第二次更换通知的</w:t>
      </w:r>
      <w:r>
        <w:rPr>
          <w:sz w:val="21"/>
        </w:rPr>
        <w:t>28</w:t>
      </w:r>
      <w:r>
        <w:rPr>
          <w:spacing w:val="-6"/>
          <w:sz w:val="21"/>
        </w:rPr>
        <w:t>天内进行更换，并将新任命的项目经理的注册执业资格、管理经验等</w:t>
      </w:r>
      <w:r>
        <w:rPr>
          <w:spacing w:val="-4"/>
          <w:sz w:val="21"/>
        </w:rPr>
        <w:t>资料书面通知发包人。继任项目经理继续履行第</w:t>
      </w:r>
      <w:r>
        <w:rPr>
          <w:sz w:val="21"/>
        </w:rPr>
        <w:t>3.2.1</w:t>
      </w:r>
      <w:r>
        <w:rPr>
          <w:spacing w:val="-3"/>
          <w:sz w:val="21"/>
        </w:rPr>
        <w:t>项约定的职责。承包人无正当理由拒绝更换项目经理的，应按照专用合同条款的约定承担违约责任。</w:t>
      </w:r>
    </w:p>
    <w:p>
      <w:pPr>
        <w:pStyle w:val="32"/>
        <w:numPr>
          <w:ilvl w:val="2"/>
          <w:numId w:val="9"/>
        </w:numPr>
        <w:tabs>
          <w:tab w:val="left" w:pos="1165"/>
        </w:tabs>
        <w:spacing w:before="29" w:after="0" w:line="348" w:lineRule="auto"/>
        <w:ind w:left="112" w:right="206" w:firstLine="421"/>
        <w:jc w:val="left"/>
        <w:rPr>
          <w:sz w:val="21"/>
        </w:rPr>
      </w:pPr>
      <w:r>
        <w:rPr>
          <w:spacing w:val="-4"/>
          <w:sz w:val="21"/>
        </w:rPr>
        <w:t>项目经理因特殊情况授权其下属人员履行其某项工作职责的，该下属人员应具备履行相应职责</w:t>
      </w:r>
      <w:r>
        <w:rPr>
          <w:spacing w:val="-3"/>
          <w:sz w:val="21"/>
        </w:rPr>
        <w:t>的能力，并应提前7天将上述人员的姓名和授权范围书面通知监理人，并征得发包人书面同意。</w:t>
      </w:r>
    </w:p>
    <w:p>
      <w:pPr>
        <w:pStyle w:val="32"/>
        <w:numPr>
          <w:ilvl w:val="1"/>
          <w:numId w:val="19"/>
        </w:numPr>
        <w:tabs>
          <w:tab w:val="left" w:pos="959"/>
        </w:tabs>
        <w:spacing w:before="151" w:after="0" w:line="240" w:lineRule="auto"/>
        <w:ind w:left="958" w:right="0" w:hanging="423"/>
        <w:jc w:val="left"/>
        <w:rPr>
          <w:b/>
          <w:sz w:val="21"/>
        </w:rPr>
      </w:pPr>
      <w:r>
        <w:rPr>
          <w:b/>
          <w:sz w:val="21"/>
        </w:rPr>
        <w:t>承包人人员</w:t>
      </w:r>
    </w:p>
    <w:p>
      <w:pPr>
        <w:pStyle w:val="13"/>
        <w:spacing w:before="10"/>
        <w:ind w:left="0"/>
        <w:rPr>
          <w:b/>
          <w:sz w:val="18"/>
        </w:rPr>
      </w:pPr>
    </w:p>
    <w:p>
      <w:pPr>
        <w:pStyle w:val="32"/>
        <w:numPr>
          <w:ilvl w:val="2"/>
          <w:numId w:val="19"/>
        </w:numPr>
        <w:tabs>
          <w:tab w:val="left" w:pos="1165"/>
        </w:tabs>
        <w:spacing w:before="0" w:after="0" w:line="350" w:lineRule="auto"/>
        <w:ind w:left="112" w:right="206" w:firstLine="421"/>
        <w:jc w:val="left"/>
        <w:rPr>
          <w:sz w:val="21"/>
        </w:rPr>
      </w:pPr>
      <w:r>
        <w:rPr>
          <w:spacing w:val="-3"/>
          <w:sz w:val="21"/>
        </w:rPr>
        <w:t>除专用合同条款另有约定外，承包人应在接到开工通知后7天内，向监理人提交承包人项目管</w:t>
      </w:r>
      <w:r>
        <w:rPr>
          <w:spacing w:val="-5"/>
          <w:sz w:val="21"/>
        </w:rPr>
        <w:t>理机构及施工现场人员安排的报告，其内容应包括合同管理、施工、技术、材料、质量、安全、财务等主</w:t>
      </w:r>
      <w:r>
        <w:rPr>
          <w:spacing w:val="-7"/>
          <w:sz w:val="21"/>
        </w:rPr>
        <w:t>要施工管理人员名单及其岗位、注册执业资格等，以及各工种技术工人的安排情况，并同时提交主要施工</w:t>
      </w:r>
      <w:r>
        <w:rPr>
          <w:spacing w:val="-5"/>
          <w:sz w:val="21"/>
        </w:rPr>
        <w:t>管理人员与承包人之间的劳动关系证明和缴纳社会保险的有效证明。</w:t>
      </w:r>
    </w:p>
    <w:p>
      <w:pPr>
        <w:pStyle w:val="32"/>
        <w:numPr>
          <w:ilvl w:val="2"/>
          <w:numId w:val="19"/>
        </w:numPr>
        <w:tabs>
          <w:tab w:val="left" w:pos="1165"/>
        </w:tabs>
        <w:spacing w:before="26" w:after="0" w:line="350" w:lineRule="auto"/>
        <w:ind w:left="112" w:right="206" w:firstLine="421"/>
        <w:jc w:val="left"/>
        <w:rPr>
          <w:sz w:val="21"/>
        </w:rPr>
      </w:pPr>
      <w:r>
        <w:rPr>
          <w:spacing w:val="-5"/>
          <w:sz w:val="21"/>
        </w:rPr>
        <w:t>承包人派驻到施工现场的主要施工管理人员应相对稳定。施工过程中如有变动，承包人应及时</w:t>
      </w:r>
      <w:r>
        <w:rPr>
          <w:spacing w:val="-4"/>
          <w:sz w:val="21"/>
        </w:rPr>
        <w:t>向监理人提交施工现场人员变动情况的报告。承包人更换主要施工管理人员时，应提前</w:t>
      </w:r>
      <w:r>
        <w:rPr>
          <w:sz w:val="21"/>
        </w:rPr>
        <w:t>7</w:t>
      </w:r>
      <w:r>
        <w:rPr>
          <w:spacing w:val="-3"/>
          <w:sz w:val="21"/>
        </w:rPr>
        <w:t>天书面通知监理人，并征得发包人书面同意。通知中应当载明继任人员的注册执业资格、管理经验等资料。</w:t>
      </w:r>
    </w:p>
    <w:p>
      <w:pPr>
        <w:pStyle w:val="13"/>
        <w:spacing w:before="26"/>
        <w:ind w:left="533"/>
      </w:pPr>
      <w:r>
        <w:t>特殊工种作业人员均应持有相应的资格证明，监理人可以随时检查。</w:t>
      </w:r>
    </w:p>
    <w:p>
      <w:pPr>
        <w:pStyle w:val="32"/>
        <w:numPr>
          <w:ilvl w:val="2"/>
          <w:numId w:val="19"/>
        </w:numPr>
        <w:tabs>
          <w:tab w:val="left" w:pos="1165"/>
        </w:tabs>
        <w:spacing w:before="125" w:after="0" w:line="350" w:lineRule="auto"/>
        <w:ind w:left="112" w:right="206" w:firstLine="421"/>
        <w:jc w:val="both"/>
        <w:rPr>
          <w:sz w:val="21"/>
        </w:rPr>
      </w:pPr>
      <w:r>
        <w:rPr>
          <w:spacing w:val="-4"/>
          <w:sz w:val="21"/>
        </w:rPr>
        <w:t>发包人对于承包人主要施工管理人员的资格或能力有异议的，承包人应提供资料证明被质疑人员有能力完成其岗位工作或不存在发包人所质疑的情形。发包人要求撤换不能按照合同约定履行职责及义</w:t>
      </w:r>
      <w:r>
        <w:rPr>
          <w:spacing w:val="-6"/>
          <w:sz w:val="21"/>
        </w:rPr>
        <w:t>务的主要施工管理人员的，承包人应当撤换。承包人无正当理由拒绝撤换的，应按照专用合同条款的约定</w:t>
      </w:r>
      <w:r>
        <w:rPr>
          <w:spacing w:val="-4"/>
          <w:sz w:val="21"/>
        </w:rPr>
        <w:t>承担违约责任。</w:t>
      </w:r>
    </w:p>
    <w:p>
      <w:pPr>
        <w:pStyle w:val="32"/>
        <w:numPr>
          <w:ilvl w:val="2"/>
          <w:numId w:val="19"/>
        </w:numPr>
        <w:tabs>
          <w:tab w:val="left" w:pos="1165"/>
        </w:tabs>
        <w:spacing w:before="29" w:after="0" w:line="350" w:lineRule="auto"/>
        <w:ind w:left="112" w:right="100" w:firstLine="421"/>
        <w:jc w:val="left"/>
        <w:rPr>
          <w:sz w:val="21"/>
        </w:rPr>
      </w:pPr>
      <w:r>
        <w:rPr>
          <w:spacing w:val="-5"/>
          <w:sz w:val="21"/>
        </w:rPr>
        <w:t>除专用合同条款另有约定外，承包人的主要施工管理人员离开施工现场每月累计不超过</w:t>
      </w:r>
      <w:r>
        <w:rPr>
          <w:spacing w:val="-3"/>
          <w:sz w:val="21"/>
        </w:rPr>
        <w:t>5</w:t>
      </w:r>
      <w:r>
        <w:rPr>
          <w:sz w:val="21"/>
        </w:rPr>
        <w:t xml:space="preserve">天的， </w:t>
      </w:r>
      <w:r>
        <w:rPr>
          <w:spacing w:val="-3"/>
          <w:sz w:val="21"/>
        </w:rPr>
        <w:t>应报监理人同意；离开施工现场每月累计超过</w:t>
      </w:r>
      <w:r>
        <w:rPr>
          <w:sz w:val="21"/>
        </w:rPr>
        <w:t>5</w:t>
      </w:r>
      <w:r>
        <w:rPr>
          <w:spacing w:val="-3"/>
          <w:sz w:val="21"/>
        </w:rPr>
        <w:t>天的，应通知监理人，并征得发包人书面同意。主要施工管</w:t>
      </w:r>
      <w:r>
        <w:rPr>
          <w:spacing w:val="-4"/>
          <w:sz w:val="21"/>
        </w:rPr>
        <w:t>理人员离开施工现场前应指定一名有经验的人员临时代行其职责，该人员应具备履行相应职责的资格和能</w:t>
      </w:r>
      <w:r>
        <w:rPr>
          <w:spacing w:val="-3"/>
          <w:sz w:val="21"/>
        </w:rPr>
        <w:t>力，且应征得监理人或发包人的同意。</w:t>
      </w:r>
    </w:p>
    <w:p>
      <w:pPr>
        <w:pStyle w:val="32"/>
        <w:numPr>
          <w:ilvl w:val="2"/>
          <w:numId w:val="19"/>
        </w:numPr>
        <w:tabs>
          <w:tab w:val="left" w:pos="1165"/>
        </w:tabs>
        <w:spacing w:before="27" w:after="0" w:line="350" w:lineRule="auto"/>
        <w:ind w:left="112" w:right="393" w:firstLine="421"/>
        <w:jc w:val="left"/>
        <w:rPr>
          <w:sz w:val="21"/>
        </w:rPr>
      </w:pPr>
      <w:r>
        <w:rPr>
          <w:spacing w:val="-3"/>
          <w:sz w:val="21"/>
        </w:rPr>
        <w:t>承包人擅自更换主要施工管理人员，或前述人员未经监理人或发包人同意擅自离开施工现场的，应按照专用合同条款约定承担违约责任。</w:t>
      </w:r>
    </w:p>
    <w:p>
      <w:pPr>
        <w:pStyle w:val="32"/>
        <w:numPr>
          <w:ilvl w:val="1"/>
          <w:numId w:val="20"/>
        </w:numPr>
        <w:tabs>
          <w:tab w:val="left" w:pos="959"/>
        </w:tabs>
        <w:spacing w:before="149" w:after="0" w:line="240" w:lineRule="auto"/>
        <w:ind w:left="958" w:right="0" w:hanging="423"/>
        <w:jc w:val="left"/>
        <w:rPr>
          <w:b/>
          <w:sz w:val="21"/>
        </w:rPr>
      </w:pPr>
      <w:r>
        <w:rPr>
          <w:b/>
          <w:sz w:val="21"/>
        </w:rPr>
        <w:t>承包人现场查勘</w:t>
      </w:r>
    </w:p>
    <w:p>
      <w:pPr>
        <w:pStyle w:val="13"/>
        <w:spacing w:before="7"/>
        <w:ind w:left="0"/>
        <w:rPr>
          <w:b/>
          <w:sz w:val="18"/>
        </w:rPr>
      </w:pPr>
    </w:p>
    <w:p>
      <w:pPr>
        <w:pStyle w:val="13"/>
        <w:spacing w:line="350" w:lineRule="auto"/>
        <w:ind w:right="283" w:firstLine="420"/>
      </w:pPr>
      <w:r>
        <w:t>承包人应对基于发包人按照第2.4.3项〔提供基础资料〕提交的基础资料所做出的解释和推断负责， 但因基础资料存在错误、遗漏导致承包人解释或推断失实的，由发包人承担责任。</w:t>
      </w:r>
    </w:p>
    <w:p>
      <w:pPr>
        <w:pStyle w:val="13"/>
        <w:spacing w:before="29"/>
        <w:ind w:left="533"/>
      </w:pPr>
      <w:r>
        <w:t>承包人应对施工现场和施工条件进行查勘，并充分了解工程所在地的气象条件、交通条件、风俗习惯</w:t>
      </w:r>
    </w:p>
    <w:p>
      <w:pPr>
        <w:spacing w:after="0"/>
        <w:sectPr>
          <w:pgSz w:w="11910" w:h="16840"/>
          <w:pgMar w:top="1460" w:right="920" w:bottom="1180" w:left="1020" w:header="0" w:footer="920" w:gutter="0"/>
        </w:sectPr>
      </w:pPr>
    </w:p>
    <w:p>
      <w:pPr>
        <w:pStyle w:val="13"/>
        <w:spacing w:before="14" w:line="348" w:lineRule="auto"/>
        <w:ind w:right="201"/>
      </w:pPr>
      <w:r>
        <w:rPr>
          <w:spacing w:val="-5"/>
        </w:rPr>
        <w:t>以及其他与完成合同工作有关的其他资料。因承包人未能充分查勘、了解前述情况或未能充分估计前述情</w:t>
      </w:r>
      <w:r>
        <w:rPr>
          <w:spacing w:val="-4"/>
        </w:rPr>
        <w:t>况所可能产生后果的，承包人承担由此增加的费用和</w:t>
      </w:r>
      <w:r>
        <w:t>（</w:t>
      </w:r>
      <w:r>
        <w:rPr>
          <w:spacing w:val="-3"/>
        </w:rPr>
        <w:t>或</w:t>
      </w:r>
      <w:r>
        <w:t>）</w:t>
      </w:r>
      <w:r>
        <w:rPr>
          <w:spacing w:val="-3"/>
        </w:rPr>
        <w:t>延误的工期。</w:t>
      </w:r>
    </w:p>
    <w:p>
      <w:pPr>
        <w:pStyle w:val="32"/>
        <w:numPr>
          <w:ilvl w:val="1"/>
          <w:numId w:val="20"/>
        </w:numPr>
        <w:tabs>
          <w:tab w:val="left" w:pos="959"/>
        </w:tabs>
        <w:spacing w:before="151" w:after="0" w:line="240" w:lineRule="auto"/>
        <w:ind w:left="958" w:right="0" w:hanging="423"/>
        <w:jc w:val="left"/>
        <w:rPr>
          <w:b/>
          <w:sz w:val="21"/>
        </w:rPr>
      </w:pPr>
      <w:r>
        <w:rPr>
          <w:b/>
          <w:sz w:val="21"/>
        </w:rPr>
        <w:t>分包</w:t>
      </w:r>
    </w:p>
    <w:p>
      <w:pPr>
        <w:pStyle w:val="13"/>
        <w:spacing w:before="9"/>
        <w:ind w:left="0"/>
        <w:rPr>
          <w:b/>
          <w:sz w:val="18"/>
        </w:rPr>
      </w:pPr>
    </w:p>
    <w:p>
      <w:pPr>
        <w:pStyle w:val="32"/>
        <w:numPr>
          <w:ilvl w:val="2"/>
          <w:numId w:val="20"/>
        </w:numPr>
        <w:tabs>
          <w:tab w:val="left" w:pos="1165"/>
        </w:tabs>
        <w:spacing w:before="1" w:after="0" w:line="240" w:lineRule="auto"/>
        <w:ind w:left="1164" w:right="0" w:hanging="631"/>
        <w:jc w:val="left"/>
        <w:rPr>
          <w:sz w:val="21"/>
        </w:rPr>
      </w:pPr>
      <w:r>
        <w:rPr>
          <w:spacing w:val="-3"/>
          <w:sz w:val="21"/>
        </w:rPr>
        <w:t>分包的一般约定</w:t>
      </w:r>
    </w:p>
    <w:p>
      <w:pPr>
        <w:pStyle w:val="13"/>
        <w:spacing w:before="123" w:line="350" w:lineRule="auto"/>
        <w:ind w:right="206" w:firstLine="420"/>
        <w:jc w:val="both"/>
      </w:pPr>
      <w:r>
        <w:rPr>
          <w:spacing w:val="-5"/>
        </w:rPr>
        <w:t>承包人不得将其承包的全部工程转包给第三人，或将其承包的全部工程肢解后以分包的名义转包给第</w:t>
      </w:r>
      <w:r>
        <w:rPr>
          <w:spacing w:val="-7"/>
        </w:rPr>
        <w:t>三人。承包人不得将工程主体结构、关键性工作及专用合同条款中禁止分包的专业工程分包给第三人，主</w:t>
      </w:r>
      <w:r>
        <w:rPr>
          <w:spacing w:val="-5"/>
        </w:rPr>
        <w:t>体结构、关键性工作的范围由合同当事人按照法律规定在专用合同条款中予以明确。</w:t>
      </w:r>
    </w:p>
    <w:p>
      <w:pPr>
        <w:pStyle w:val="13"/>
        <w:spacing w:before="26"/>
        <w:ind w:left="533"/>
      </w:pPr>
      <w:r>
        <w:t>承包人不得以劳务分包的名义转包或违法分包工程。</w:t>
      </w:r>
    </w:p>
    <w:p>
      <w:pPr>
        <w:pStyle w:val="32"/>
        <w:numPr>
          <w:ilvl w:val="2"/>
          <w:numId w:val="20"/>
        </w:numPr>
        <w:tabs>
          <w:tab w:val="left" w:pos="1165"/>
        </w:tabs>
        <w:spacing w:before="125" w:after="0" w:line="240" w:lineRule="auto"/>
        <w:ind w:left="1164" w:right="0" w:hanging="631"/>
        <w:jc w:val="left"/>
        <w:rPr>
          <w:sz w:val="21"/>
        </w:rPr>
      </w:pPr>
      <w:r>
        <w:rPr>
          <w:spacing w:val="-3"/>
          <w:sz w:val="21"/>
        </w:rPr>
        <w:t>分包的确定</w:t>
      </w:r>
    </w:p>
    <w:p>
      <w:pPr>
        <w:pStyle w:val="13"/>
        <w:spacing w:before="125" w:line="350" w:lineRule="auto"/>
        <w:ind w:right="86" w:firstLine="420"/>
      </w:pPr>
      <w:r>
        <w:rPr>
          <w:spacing w:val="-5"/>
        </w:rPr>
        <w:t>承包人应按专用合同条款的约定进行分包，确定分包人。已标价工程量清单或预算书中给定暂估价的</w:t>
      </w:r>
      <w:r>
        <w:rPr>
          <w:spacing w:val="-7"/>
        </w:rPr>
        <w:t xml:space="preserve">专业工程，按照第 </w:t>
      </w:r>
      <w:r>
        <w:t>10.7</w:t>
      </w:r>
      <w:r>
        <w:rPr>
          <w:spacing w:val="-7"/>
        </w:rPr>
        <w:t xml:space="preserve"> 款〔暂估价〕确定分包人。按照合同约定进行分包的，承包人应确保分包人具有相应的资质和能力。工程分包不减轻或免除承包人的责任和义务，承包人和分包人就分包工程向发包人承担</w:t>
      </w:r>
      <w:r>
        <w:rPr>
          <w:spacing w:val="-15"/>
        </w:rPr>
        <w:t xml:space="preserve">连带责任。除合同另有约定外，承包人应在分包合同签订后 </w:t>
      </w:r>
      <w:r>
        <w:t>7</w:t>
      </w:r>
      <w:r>
        <w:rPr>
          <w:spacing w:val="-7"/>
        </w:rPr>
        <w:t xml:space="preserve"> 天内向发包人和监理人提交分包合同副本。</w:t>
      </w:r>
    </w:p>
    <w:p>
      <w:pPr>
        <w:pStyle w:val="32"/>
        <w:numPr>
          <w:ilvl w:val="2"/>
          <w:numId w:val="20"/>
        </w:numPr>
        <w:tabs>
          <w:tab w:val="left" w:pos="1165"/>
        </w:tabs>
        <w:spacing w:before="26" w:after="0" w:line="240" w:lineRule="auto"/>
        <w:ind w:left="1164" w:right="0" w:hanging="631"/>
        <w:jc w:val="left"/>
        <w:rPr>
          <w:sz w:val="21"/>
        </w:rPr>
      </w:pPr>
      <w:r>
        <w:rPr>
          <w:spacing w:val="-2"/>
          <w:sz w:val="21"/>
        </w:rPr>
        <w:t>分包管理</w:t>
      </w:r>
    </w:p>
    <w:p>
      <w:pPr>
        <w:pStyle w:val="13"/>
        <w:spacing w:before="125" w:line="350" w:lineRule="auto"/>
        <w:ind w:right="191" w:firstLine="420"/>
      </w:pPr>
      <w:r>
        <w:rPr>
          <w:spacing w:val="-5"/>
        </w:rPr>
        <w:t>承包人应向监理人提交分包人的主要施工管理人员表，并对分包人的施工人员进行实名制管理，包括</w:t>
      </w:r>
      <w:r>
        <w:rPr>
          <w:spacing w:val="-4"/>
        </w:rPr>
        <w:t>但不限于进出场管理、登记造册以及各种证照的办理。</w:t>
      </w:r>
    </w:p>
    <w:p>
      <w:pPr>
        <w:pStyle w:val="32"/>
        <w:numPr>
          <w:ilvl w:val="2"/>
          <w:numId w:val="20"/>
        </w:numPr>
        <w:tabs>
          <w:tab w:val="left" w:pos="1165"/>
        </w:tabs>
        <w:spacing w:before="26" w:after="0" w:line="240" w:lineRule="auto"/>
        <w:ind w:left="1164" w:right="0" w:hanging="631"/>
        <w:jc w:val="left"/>
        <w:rPr>
          <w:sz w:val="21"/>
        </w:rPr>
      </w:pPr>
      <w:r>
        <w:rPr>
          <w:spacing w:val="-3"/>
          <w:sz w:val="21"/>
        </w:rPr>
        <w:t>分包合同价款</w:t>
      </w:r>
    </w:p>
    <w:p>
      <w:pPr>
        <w:pStyle w:val="13"/>
        <w:spacing w:before="125" w:line="350" w:lineRule="auto"/>
        <w:ind w:right="191" w:firstLine="420"/>
      </w:pPr>
      <w:r>
        <w:rPr>
          <w:spacing w:val="-12"/>
        </w:rPr>
        <w:t>（1）</w:t>
      </w:r>
      <w:r>
        <w:rPr>
          <w:spacing w:val="-10"/>
        </w:rPr>
        <w:t>除本项第</w:t>
      </w:r>
      <w:r>
        <w:rPr>
          <w:spacing w:val="-13"/>
        </w:rPr>
        <w:t>（2）</w:t>
      </w:r>
      <w:r>
        <w:rPr>
          <w:spacing w:val="-5"/>
        </w:rPr>
        <w:t xml:space="preserve">目约定的情况或专用合同条款另有约定外，分包合同价款由承包人与分包人结算， </w:t>
      </w:r>
      <w:r>
        <w:rPr>
          <w:spacing w:val="-4"/>
        </w:rPr>
        <w:t>未经承包人同意，发包人不得向分包人支付分包工程价款；</w:t>
      </w:r>
    </w:p>
    <w:p>
      <w:pPr>
        <w:pStyle w:val="13"/>
        <w:spacing w:before="27" w:line="350" w:lineRule="auto"/>
        <w:ind w:right="283" w:firstLine="420"/>
      </w:pPr>
      <w:r>
        <w:t>（2）生效法律文书要求发包人向分包人支付分包合同价款的，发包人有权从应付承包人工程款中扣除该部分款项。</w:t>
      </w:r>
    </w:p>
    <w:p>
      <w:pPr>
        <w:pStyle w:val="32"/>
        <w:numPr>
          <w:ilvl w:val="2"/>
          <w:numId w:val="20"/>
        </w:numPr>
        <w:tabs>
          <w:tab w:val="left" w:pos="1165"/>
        </w:tabs>
        <w:spacing w:before="29" w:after="0" w:line="240" w:lineRule="auto"/>
        <w:ind w:left="1164" w:right="0" w:hanging="631"/>
        <w:jc w:val="left"/>
        <w:rPr>
          <w:sz w:val="21"/>
        </w:rPr>
      </w:pPr>
      <w:r>
        <w:rPr>
          <w:spacing w:val="-3"/>
          <w:sz w:val="21"/>
        </w:rPr>
        <w:t>分包合同权益的转让</w:t>
      </w:r>
    </w:p>
    <w:p>
      <w:pPr>
        <w:pStyle w:val="13"/>
        <w:spacing w:before="123" w:line="350" w:lineRule="auto"/>
        <w:ind w:right="206" w:firstLine="420"/>
        <w:jc w:val="both"/>
      </w:pPr>
      <w:r>
        <w:rPr>
          <w:spacing w:val="-5"/>
        </w:rPr>
        <w:t>分包人在分包合同项下的义务持续到缺陷责任期届满以后的，发包人有权在缺陷责任期届满前，要求</w:t>
      </w:r>
      <w:r>
        <w:rPr>
          <w:spacing w:val="-7"/>
        </w:rPr>
        <w:t>承包人将其在分包合同项下的权益转让给发包人，承包人应当转让。除转让合同另有约定外，转让合同生</w:t>
      </w:r>
      <w:r>
        <w:rPr>
          <w:spacing w:val="-5"/>
        </w:rPr>
        <w:t>效后，由分包人向发包人履行义务。</w:t>
      </w:r>
    </w:p>
    <w:p>
      <w:pPr>
        <w:pStyle w:val="32"/>
        <w:numPr>
          <w:ilvl w:val="1"/>
          <w:numId w:val="20"/>
        </w:numPr>
        <w:tabs>
          <w:tab w:val="left" w:pos="959"/>
        </w:tabs>
        <w:spacing w:before="146" w:after="0" w:line="240" w:lineRule="auto"/>
        <w:ind w:left="958" w:right="0" w:hanging="423"/>
        <w:jc w:val="left"/>
        <w:rPr>
          <w:b/>
          <w:sz w:val="21"/>
        </w:rPr>
      </w:pPr>
      <w:r>
        <w:rPr>
          <w:b/>
          <w:spacing w:val="-1"/>
          <w:sz w:val="21"/>
        </w:rPr>
        <w:t>工程照管与成品、半成品保护</w:t>
      </w:r>
    </w:p>
    <w:p>
      <w:pPr>
        <w:pStyle w:val="13"/>
        <w:spacing w:before="9"/>
        <w:ind w:left="0"/>
        <w:rPr>
          <w:b/>
          <w:sz w:val="18"/>
        </w:rPr>
      </w:pPr>
    </w:p>
    <w:p>
      <w:pPr>
        <w:pStyle w:val="13"/>
        <w:spacing w:line="350" w:lineRule="auto"/>
        <w:ind w:right="283" w:firstLine="420"/>
      </w:pPr>
      <w:r>
        <w:t>（1）除专用合同条款另有约定外，自发包人向承包人移交施工现场之日起，承包人应负责照管工程及工程相关的材料、工程设备，直到颁发工程接收证书之日止。</w:t>
      </w:r>
    </w:p>
    <w:p>
      <w:pPr>
        <w:pStyle w:val="13"/>
        <w:spacing w:before="27" w:line="350" w:lineRule="auto"/>
        <w:ind w:right="283" w:firstLine="420"/>
      </w:pPr>
      <w:r>
        <w:t>（2）在承包人负责照管期间，因承包人原因造成工程、材料、工程设备损坏的，由承包人负责修复或更换，并承担由此增加的费用和（或）延误的工期。</w:t>
      </w:r>
    </w:p>
    <w:p>
      <w:pPr>
        <w:pStyle w:val="13"/>
        <w:spacing w:before="29" w:line="348" w:lineRule="auto"/>
        <w:ind w:right="101" w:firstLine="420"/>
      </w:pPr>
      <w:r>
        <w:t>（3）</w:t>
      </w:r>
      <w:r>
        <w:rPr>
          <w:spacing w:val="-3"/>
        </w:rPr>
        <w:t xml:space="preserve">对合同内分期完成的成品和半成品，在工程接收证书颁发前，由承包人承担保护责任。因承包 </w:t>
      </w:r>
      <w:r>
        <w:rPr>
          <w:spacing w:val="-8"/>
        </w:rPr>
        <w:t>人原因造成成品或半成品损坏的，由承包人负责修复或更换，并承担由此增加的费用和</w:t>
      </w:r>
      <w:r>
        <w:rPr>
          <w:spacing w:val="-3"/>
        </w:rPr>
        <w:t>（</w:t>
      </w:r>
      <w:r>
        <w:t>或</w:t>
      </w:r>
      <w:r>
        <w:rPr>
          <w:spacing w:val="-34"/>
        </w:rPr>
        <w:t>）</w:t>
      </w:r>
      <w:r>
        <w:rPr>
          <w:spacing w:val="-3"/>
        </w:rPr>
        <w:t>延误的工期。</w:t>
      </w:r>
    </w:p>
    <w:p>
      <w:pPr>
        <w:spacing w:after="0" w:line="348" w:lineRule="auto"/>
        <w:sectPr>
          <w:pgSz w:w="11910" w:h="16840"/>
          <w:pgMar w:top="1460" w:right="920" w:bottom="1180" w:left="1020" w:header="0" w:footer="920" w:gutter="0"/>
        </w:sectPr>
      </w:pPr>
    </w:p>
    <w:p>
      <w:pPr>
        <w:pStyle w:val="32"/>
        <w:numPr>
          <w:ilvl w:val="1"/>
          <w:numId w:val="20"/>
        </w:numPr>
        <w:tabs>
          <w:tab w:val="left" w:pos="959"/>
        </w:tabs>
        <w:spacing w:before="14" w:after="0" w:line="240" w:lineRule="auto"/>
        <w:ind w:left="958" w:right="0" w:hanging="423"/>
        <w:jc w:val="left"/>
        <w:rPr>
          <w:b/>
          <w:sz w:val="21"/>
        </w:rPr>
      </w:pPr>
      <w:r>
        <w:rPr>
          <w:b/>
          <w:sz w:val="21"/>
        </w:rPr>
        <w:t>履约担保</w:t>
      </w:r>
    </w:p>
    <w:p>
      <w:pPr>
        <w:pStyle w:val="13"/>
        <w:spacing w:before="8"/>
        <w:ind w:left="0"/>
        <w:rPr>
          <w:b/>
          <w:sz w:val="18"/>
        </w:rPr>
      </w:pPr>
    </w:p>
    <w:p>
      <w:pPr>
        <w:pStyle w:val="13"/>
        <w:spacing w:line="350" w:lineRule="auto"/>
        <w:ind w:right="190" w:firstLine="420"/>
      </w:pPr>
      <w:r>
        <w:rPr>
          <w:spacing w:val="-5"/>
        </w:rPr>
        <w:t>发包人需要承包人提供履约担保的，由合同当事人在专用合同条款中约定履约担保的方式、金额及期</w:t>
      </w:r>
      <w:r>
        <w:rPr>
          <w:spacing w:val="-3"/>
        </w:rPr>
        <w:t>限等。履约担保可以采用银行保函或担保公司担保等形式，具体由合同当事人在专用合同条款中约定。</w:t>
      </w:r>
    </w:p>
    <w:p>
      <w:pPr>
        <w:pStyle w:val="13"/>
        <w:spacing w:before="29" w:line="348" w:lineRule="auto"/>
        <w:ind w:right="191" w:firstLine="420"/>
      </w:pPr>
      <w:r>
        <w:rPr>
          <w:spacing w:val="-5"/>
        </w:rPr>
        <w:t>因承包人原因导致工期延长的，继续提供履约担保所增加的费用由承包人承担；非因承包人原因导致</w:t>
      </w:r>
      <w:r>
        <w:rPr>
          <w:spacing w:val="-4"/>
        </w:rPr>
        <w:t>工期延长的，继续提供履约担保所增加的费用由发包人承担。</w:t>
      </w:r>
    </w:p>
    <w:p>
      <w:pPr>
        <w:pStyle w:val="32"/>
        <w:numPr>
          <w:ilvl w:val="1"/>
          <w:numId w:val="20"/>
        </w:numPr>
        <w:tabs>
          <w:tab w:val="left" w:pos="959"/>
        </w:tabs>
        <w:spacing w:before="151" w:after="0" w:line="240" w:lineRule="auto"/>
        <w:ind w:left="958" w:right="0" w:hanging="423"/>
        <w:jc w:val="left"/>
        <w:rPr>
          <w:b/>
          <w:sz w:val="21"/>
        </w:rPr>
      </w:pPr>
      <w:r>
        <w:rPr>
          <w:b/>
          <w:sz w:val="21"/>
        </w:rPr>
        <w:t>联合体</w:t>
      </w:r>
    </w:p>
    <w:p>
      <w:pPr>
        <w:pStyle w:val="13"/>
        <w:spacing w:before="9"/>
        <w:ind w:left="0"/>
        <w:rPr>
          <w:b/>
          <w:sz w:val="18"/>
        </w:rPr>
      </w:pPr>
    </w:p>
    <w:p>
      <w:pPr>
        <w:pStyle w:val="32"/>
        <w:numPr>
          <w:ilvl w:val="2"/>
          <w:numId w:val="20"/>
        </w:numPr>
        <w:tabs>
          <w:tab w:val="left" w:pos="1165"/>
        </w:tabs>
        <w:spacing w:before="1" w:after="0" w:line="348" w:lineRule="auto"/>
        <w:ind w:left="112" w:right="393" w:firstLine="421"/>
        <w:jc w:val="left"/>
        <w:rPr>
          <w:sz w:val="21"/>
        </w:rPr>
      </w:pPr>
      <w:r>
        <w:rPr>
          <w:spacing w:val="-3"/>
          <w:sz w:val="21"/>
        </w:rPr>
        <w:t>联合体各方应共同与发包人签订合同协议书。联合体各方应为履行合同向发包人承担连带责任。</w:t>
      </w:r>
    </w:p>
    <w:p>
      <w:pPr>
        <w:pStyle w:val="32"/>
        <w:numPr>
          <w:ilvl w:val="2"/>
          <w:numId w:val="20"/>
        </w:numPr>
        <w:tabs>
          <w:tab w:val="left" w:pos="1165"/>
        </w:tabs>
        <w:spacing w:before="31" w:after="0" w:line="350" w:lineRule="auto"/>
        <w:ind w:left="112" w:right="206" w:firstLine="421"/>
        <w:jc w:val="left"/>
        <w:rPr>
          <w:sz w:val="21"/>
        </w:rPr>
      </w:pPr>
      <w:r>
        <w:rPr>
          <w:spacing w:val="-6"/>
          <w:sz w:val="21"/>
        </w:rPr>
        <w:t>联合体协议经发包人确认后作为合同附件。在履行合同过程中，未经发包人同意，不得修改联</w:t>
      </w:r>
      <w:r>
        <w:rPr>
          <w:spacing w:val="-4"/>
          <w:sz w:val="21"/>
        </w:rPr>
        <w:t>合体协议。</w:t>
      </w:r>
    </w:p>
    <w:p>
      <w:pPr>
        <w:pStyle w:val="32"/>
        <w:numPr>
          <w:ilvl w:val="2"/>
          <w:numId w:val="20"/>
        </w:numPr>
        <w:tabs>
          <w:tab w:val="left" w:pos="1165"/>
        </w:tabs>
        <w:spacing w:before="26" w:after="0" w:line="240" w:lineRule="auto"/>
        <w:ind w:left="112" w:right="0" w:firstLine="421"/>
        <w:jc w:val="left"/>
        <w:rPr>
          <w:sz w:val="21"/>
        </w:rPr>
      </w:pPr>
      <w:r>
        <w:rPr>
          <w:spacing w:val="-10"/>
          <w:sz w:val="21"/>
        </w:rPr>
        <w:t>联合体牵头人负责与发包人和监理人联系，并接受指示，负责组织联合体各成员全面履行合同。</w:t>
      </w:r>
    </w:p>
    <w:p>
      <w:pPr>
        <w:pStyle w:val="13"/>
        <w:spacing w:before="10"/>
        <w:ind w:left="0"/>
        <w:rPr>
          <w:sz w:val="18"/>
        </w:rPr>
      </w:pPr>
    </w:p>
    <w:p>
      <w:pPr>
        <w:pStyle w:val="32"/>
        <w:numPr>
          <w:ilvl w:val="0"/>
          <w:numId w:val="9"/>
        </w:numPr>
        <w:tabs>
          <w:tab w:val="left" w:pos="431"/>
        </w:tabs>
        <w:spacing w:before="0" w:after="0" w:line="240" w:lineRule="auto"/>
        <w:ind w:left="430" w:right="0" w:hanging="318"/>
        <w:jc w:val="left"/>
        <w:rPr>
          <w:sz w:val="21"/>
        </w:rPr>
      </w:pPr>
      <w:r>
        <w:rPr>
          <w:spacing w:val="-2"/>
          <w:sz w:val="21"/>
        </w:rPr>
        <w:t>监理人</w:t>
      </w:r>
    </w:p>
    <w:p>
      <w:pPr>
        <w:pStyle w:val="13"/>
        <w:spacing w:before="10"/>
        <w:ind w:left="0"/>
        <w:rPr>
          <w:sz w:val="18"/>
        </w:rPr>
      </w:pPr>
    </w:p>
    <w:p>
      <w:pPr>
        <w:pStyle w:val="32"/>
        <w:numPr>
          <w:ilvl w:val="1"/>
          <w:numId w:val="9"/>
        </w:numPr>
        <w:tabs>
          <w:tab w:val="left" w:pos="906"/>
        </w:tabs>
        <w:spacing w:before="0" w:after="0" w:line="240" w:lineRule="auto"/>
        <w:ind w:left="905" w:right="0" w:hanging="370"/>
        <w:jc w:val="left"/>
        <w:rPr>
          <w:b/>
          <w:sz w:val="21"/>
        </w:rPr>
      </w:pPr>
      <w:r>
        <w:rPr>
          <w:b/>
          <w:sz w:val="21"/>
        </w:rPr>
        <w:t>监理人的一般规定</w:t>
      </w:r>
    </w:p>
    <w:p>
      <w:pPr>
        <w:pStyle w:val="13"/>
        <w:spacing w:before="7"/>
        <w:ind w:left="0"/>
        <w:rPr>
          <w:b/>
          <w:sz w:val="18"/>
        </w:rPr>
      </w:pPr>
    </w:p>
    <w:p>
      <w:pPr>
        <w:pStyle w:val="13"/>
        <w:spacing w:line="350" w:lineRule="auto"/>
        <w:ind w:right="206" w:firstLine="420"/>
        <w:jc w:val="both"/>
      </w:pPr>
      <w:r>
        <w:rPr>
          <w:spacing w:val="-6"/>
        </w:rPr>
        <w:t>工程实行监理的，发包人和承包人应在专用合同条款中明确监理人的监理内容及监理权限等事项。监理人应当根据发包人授权及法律规定，代表发包人对工程施工相关事项进行检查、查验、审核、验收，并</w:t>
      </w:r>
      <w:r>
        <w:rPr>
          <w:spacing w:val="-4"/>
        </w:rPr>
        <w:t>签发相关指示，但监理人无权修改合同，且无权减轻或免除合同约定的承包人的任何责任与义务。</w:t>
      </w:r>
    </w:p>
    <w:p>
      <w:pPr>
        <w:pStyle w:val="13"/>
        <w:spacing w:before="26" w:line="350" w:lineRule="auto"/>
        <w:ind w:right="191" w:firstLine="420"/>
      </w:pPr>
      <w:r>
        <w:rPr>
          <w:spacing w:val="-6"/>
        </w:rPr>
        <w:t>除专用合同条款另有约定外，监理人在施工现场的办公场所、生活场所由承包人提供，所发生的费用</w:t>
      </w:r>
      <w:r>
        <w:rPr>
          <w:spacing w:val="-4"/>
        </w:rPr>
        <w:t>由发包人承担。</w:t>
      </w:r>
    </w:p>
    <w:p>
      <w:pPr>
        <w:pStyle w:val="32"/>
        <w:numPr>
          <w:ilvl w:val="1"/>
          <w:numId w:val="9"/>
        </w:numPr>
        <w:tabs>
          <w:tab w:val="left" w:pos="906"/>
        </w:tabs>
        <w:spacing w:before="149" w:after="0" w:line="240" w:lineRule="auto"/>
        <w:ind w:left="905" w:right="0" w:hanging="370"/>
        <w:jc w:val="left"/>
        <w:rPr>
          <w:b/>
          <w:sz w:val="21"/>
        </w:rPr>
      </w:pPr>
      <w:r>
        <w:rPr>
          <w:b/>
          <w:sz w:val="21"/>
        </w:rPr>
        <w:t>监理人员</w:t>
      </w:r>
    </w:p>
    <w:p>
      <w:pPr>
        <w:pStyle w:val="13"/>
        <w:spacing w:before="7"/>
        <w:ind w:left="0"/>
        <w:rPr>
          <w:b/>
          <w:sz w:val="18"/>
        </w:rPr>
      </w:pPr>
    </w:p>
    <w:p>
      <w:pPr>
        <w:pStyle w:val="13"/>
        <w:spacing w:line="350" w:lineRule="auto"/>
        <w:ind w:right="201" w:firstLine="420"/>
      </w:pPr>
      <w:r>
        <w:rPr>
          <w:spacing w:val="-4"/>
        </w:rPr>
        <w:t>发包人授予监理人对工程实施监理的权利由监理人派驻施工现场的监理人员行使，监理人员包括总监</w:t>
      </w:r>
      <w:r>
        <w:rPr>
          <w:spacing w:val="-5"/>
        </w:rPr>
        <w:t>理工程师及监理工程师。监理人应将授权的总监理工程师和监理工程师的姓名及授权范围以书面形式提前</w:t>
      </w:r>
      <w:r>
        <w:rPr>
          <w:spacing w:val="-4"/>
        </w:rPr>
        <w:t>通知承包人。更换总监理工程师的，监理人应提前</w:t>
      </w:r>
      <w:r>
        <w:rPr>
          <w:spacing w:val="-3"/>
        </w:rPr>
        <w:t>7天书面通知承包人；更换其他监理人员，监理人应提前48小时书面通知承包人。</w:t>
      </w:r>
    </w:p>
    <w:p>
      <w:pPr>
        <w:pStyle w:val="32"/>
        <w:numPr>
          <w:ilvl w:val="1"/>
          <w:numId w:val="9"/>
        </w:numPr>
        <w:tabs>
          <w:tab w:val="left" w:pos="906"/>
        </w:tabs>
        <w:spacing w:before="149" w:after="0" w:line="240" w:lineRule="auto"/>
        <w:ind w:left="905" w:right="0" w:hanging="370"/>
        <w:jc w:val="left"/>
        <w:rPr>
          <w:b/>
          <w:sz w:val="21"/>
        </w:rPr>
      </w:pPr>
      <w:r>
        <w:rPr>
          <w:b/>
          <w:sz w:val="21"/>
        </w:rPr>
        <w:t>监理人的指示</w:t>
      </w:r>
    </w:p>
    <w:p>
      <w:pPr>
        <w:pStyle w:val="13"/>
        <w:spacing w:before="10"/>
        <w:ind w:left="0"/>
        <w:rPr>
          <w:b/>
          <w:sz w:val="18"/>
        </w:rPr>
      </w:pPr>
    </w:p>
    <w:p>
      <w:pPr>
        <w:pStyle w:val="13"/>
        <w:spacing w:line="350" w:lineRule="auto"/>
        <w:ind w:right="206" w:firstLine="420"/>
        <w:jc w:val="both"/>
      </w:pPr>
      <w:r>
        <w:rPr>
          <w:spacing w:val="-5"/>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t>24</w:t>
      </w:r>
      <w:r>
        <w:rPr>
          <w:spacing w:val="-4"/>
        </w:rPr>
        <w:t>小时内补发书面监理指示，补发的书面监</w:t>
      </w:r>
      <w:r>
        <w:rPr>
          <w:spacing w:val="-3"/>
        </w:rPr>
        <w:t>理指示应与口头指示一致。</w:t>
      </w:r>
    </w:p>
    <w:p>
      <w:pPr>
        <w:pStyle w:val="13"/>
        <w:spacing w:before="26" w:line="350" w:lineRule="auto"/>
        <w:ind w:firstLine="420"/>
      </w:pPr>
      <w:r>
        <w:rPr>
          <w:spacing w:val="-4"/>
        </w:rPr>
        <w:t>监理人发出的指示应送达承包人项目经理或经项目经理授权接收的人员。因监理人未能按合同约定发</w:t>
      </w:r>
      <w:r>
        <w:rPr>
          <w:spacing w:val="-9"/>
        </w:rPr>
        <w:t>出指示、指示延误或发出了错误指示而导致承包人费用增加和</w:t>
      </w:r>
      <w:r>
        <w:rPr>
          <w:spacing w:val="-3"/>
        </w:rPr>
        <w:t>（</w:t>
      </w:r>
      <w:r>
        <w:t>或</w:t>
      </w:r>
      <w:r>
        <w:rPr>
          <w:spacing w:val="-34"/>
        </w:rPr>
        <w:t>）</w:t>
      </w:r>
      <w:r>
        <w:rPr>
          <w:spacing w:val="-7"/>
        </w:rPr>
        <w:t>工期延误的，由发包人承担相应责任。</w:t>
      </w:r>
      <w:r>
        <w:rPr>
          <w:spacing w:val="-5"/>
        </w:rPr>
        <w:t>除专用合同条款另有约定外，总监理工程师不应将第</w:t>
      </w:r>
      <w:r>
        <w:t>4.4</w:t>
      </w:r>
      <w:r>
        <w:rPr>
          <w:spacing w:val="-3"/>
        </w:rPr>
        <w:t>款〔商定或确定〕约定应由总监理工程师作出确 定的权力授权或委托给其他监理人员。</w:t>
      </w:r>
    </w:p>
    <w:p>
      <w:pPr>
        <w:spacing w:after="0" w:line="350" w:lineRule="auto"/>
        <w:sectPr>
          <w:pgSz w:w="11910" w:h="16840"/>
          <w:pgMar w:top="1460" w:right="920" w:bottom="1180" w:left="1020" w:header="0" w:footer="920" w:gutter="0"/>
        </w:sectPr>
      </w:pPr>
    </w:p>
    <w:p>
      <w:pPr>
        <w:pStyle w:val="13"/>
        <w:spacing w:before="14" w:line="348" w:lineRule="auto"/>
        <w:ind w:right="178" w:firstLine="420"/>
      </w:pPr>
      <w:r>
        <w:t>承包人对监理人发出的指示有疑问的，应向监理人提出书面异议，监理人应在48小时内对该指示予以确认、更改或撤销，监理人逾期未回复的，承包人有权拒绝执行上述指示。</w:t>
      </w:r>
    </w:p>
    <w:p>
      <w:pPr>
        <w:pStyle w:val="13"/>
        <w:spacing w:before="31" w:line="350" w:lineRule="auto"/>
        <w:ind w:right="178" w:firstLine="420"/>
      </w:pPr>
      <w:r>
        <w:t>监理人对承包人的任何工作、工程或其采用的材料和工程设备未在约定的或合理期限内提出意见的， 视为批准，但不免除或减轻承包人对该工作、工程、材料、工程设备等应承担的责任和义务。</w:t>
      </w:r>
    </w:p>
    <w:p>
      <w:pPr>
        <w:pStyle w:val="32"/>
        <w:numPr>
          <w:ilvl w:val="1"/>
          <w:numId w:val="9"/>
        </w:numPr>
        <w:tabs>
          <w:tab w:val="left" w:pos="956"/>
        </w:tabs>
        <w:spacing w:before="146" w:after="0" w:line="240" w:lineRule="auto"/>
        <w:ind w:left="955" w:right="0" w:hanging="422"/>
        <w:jc w:val="left"/>
        <w:rPr>
          <w:sz w:val="21"/>
        </w:rPr>
      </w:pPr>
      <w:r>
        <w:rPr>
          <w:spacing w:val="-3"/>
          <w:sz w:val="21"/>
        </w:rPr>
        <w:t>商定或确定</w:t>
      </w:r>
    </w:p>
    <w:p>
      <w:pPr>
        <w:pStyle w:val="13"/>
        <w:spacing w:before="10"/>
        <w:ind w:left="0"/>
        <w:rPr>
          <w:sz w:val="18"/>
        </w:rPr>
      </w:pPr>
    </w:p>
    <w:p>
      <w:pPr>
        <w:pStyle w:val="13"/>
        <w:spacing w:line="350" w:lineRule="auto"/>
        <w:ind w:right="191" w:firstLine="420"/>
      </w:pPr>
      <w:r>
        <w:rPr>
          <w:spacing w:val="-5"/>
        </w:rPr>
        <w:t>合同当事人进行商定或确定时，总监理工程师应当会同合同当事人尽量通过协商达成一致，不能达成</w:t>
      </w:r>
      <w:r>
        <w:rPr>
          <w:spacing w:val="-4"/>
        </w:rPr>
        <w:t>一致的，由总监理工程师按照合同约定审慎做出公正的确定。</w:t>
      </w:r>
    </w:p>
    <w:p>
      <w:pPr>
        <w:pStyle w:val="13"/>
        <w:spacing w:before="27" w:line="350" w:lineRule="auto"/>
        <w:ind w:right="86" w:firstLine="420"/>
      </w:pPr>
      <w:r>
        <w:rPr>
          <w:spacing w:val="-5"/>
        </w:rPr>
        <w:t>总监理工程师应将确定以书面形式通知发包人和承包人，并附详细依据。合同当事人对总监理工程师</w:t>
      </w:r>
      <w:r>
        <w:rPr>
          <w:spacing w:val="-11"/>
        </w:rPr>
        <w:t>的确定没有异议的，按照总监理工程师的确定执行。任何一方合同当事人有异议，按照第</w:t>
      </w:r>
      <w:r>
        <w:t>20</w:t>
      </w:r>
      <w:r>
        <w:rPr>
          <w:spacing w:val="-7"/>
        </w:rPr>
        <w:t>条〔争议解决〕</w:t>
      </w:r>
      <w:r>
        <w:rPr>
          <w:spacing w:val="-8"/>
        </w:rPr>
        <w:t>约定处理。争议解决前，合同当事人暂按总监理工程师的确定执行；争议解决后，争议解决的结果与总监</w:t>
      </w:r>
      <w:r>
        <w:rPr>
          <w:spacing w:val="-5"/>
        </w:rPr>
        <w:t>理工程师的确定不一致的，按照争议解决的结果执行，由此造成的损失由责任人承担。</w:t>
      </w:r>
    </w:p>
    <w:p>
      <w:pPr>
        <w:pStyle w:val="32"/>
        <w:numPr>
          <w:ilvl w:val="0"/>
          <w:numId w:val="9"/>
        </w:numPr>
        <w:tabs>
          <w:tab w:val="left" w:pos="431"/>
        </w:tabs>
        <w:spacing w:before="149" w:after="0" w:line="240" w:lineRule="auto"/>
        <w:ind w:left="430" w:right="0" w:hanging="318"/>
        <w:jc w:val="left"/>
        <w:rPr>
          <w:sz w:val="21"/>
        </w:rPr>
      </w:pPr>
      <w:r>
        <w:rPr>
          <w:spacing w:val="-3"/>
          <w:sz w:val="21"/>
        </w:rPr>
        <w:t>工程质量</w:t>
      </w:r>
    </w:p>
    <w:p>
      <w:pPr>
        <w:pStyle w:val="13"/>
        <w:spacing w:before="10"/>
        <w:ind w:left="0"/>
        <w:rPr>
          <w:sz w:val="18"/>
        </w:rPr>
      </w:pPr>
    </w:p>
    <w:p>
      <w:pPr>
        <w:pStyle w:val="32"/>
        <w:numPr>
          <w:ilvl w:val="1"/>
          <w:numId w:val="9"/>
        </w:numPr>
        <w:tabs>
          <w:tab w:val="left" w:pos="906"/>
        </w:tabs>
        <w:spacing w:before="0" w:after="0" w:line="240" w:lineRule="auto"/>
        <w:ind w:left="905" w:right="0" w:hanging="370"/>
        <w:jc w:val="left"/>
        <w:rPr>
          <w:b/>
          <w:sz w:val="21"/>
        </w:rPr>
      </w:pPr>
      <w:r>
        <w:rPr>
          <w:b/>
          <w:sz w:val="21"/>
        </w:rPr>
        <w:t>质量要求</w:t>
      </w:r>
    </w:p>
    <w:p>
      <w:pPr>
        <w:pStyle w:val="13"/>
        <w:spacing w:before="8"/>
        <w:ind w:left="0"/>
        <w:rPr>
          <w:b/>
          <w:sz w:val="18"/>
        </w:rPr>
      </w:pPr>
    </w:p>
    <w:p>
      <w:pPr>
        <w:pStyle w:val="32"/>
        <w:numPr>
          <w:ilvl w:val="2"/>
          <w:numId w:val="9"/>
        </w:numPr>
        <w:tabs>
          <w:tab w:val="left" w:pos="1165"/>
        </w:tabs>
        <w:spacing w:before="0" w:after="0" w:line="350" w:lineRule="auto"/>
        <w:ind w:left="112" w:right="206" w:firstLine="421"/>
        <w:jc w:val="left"/>
        <w:rPr>
          <w:sz w:val="21"/>
        </w:rPr>
      </w:pPr>
      <w:r>
        <w:rPr>
          <w:spacing w:val="-4"/>
          <w:sz w:val="21"/>
        </w:rPr>
        <w:t>工程质量标准必须符合现行国家有关工程施工质量验收规范和标准的要求。有关工程质量的特</w:t>
      </w:r>
      <w:r>
        <w:rPr>
          <w:spacing w:val="-3"/>
          <w:sz w:val="21"/>
        </w:rPr>
        <w:t>殊标准或要求由合同当事人在专用合同条款中约定。</w:t>
      </w:r>
    </w:p>
    <w:p>
      <w:pPr>
        <w:pStyle w:val="32"/>
        <w:numPr>
          <w:ilvl w:val="2"/>
          <w:numId w:val="9"/>
        </w:numPr>
        <w:tabs>
          <w:tab w:val="left" w:pos="1165"/>
        </w:tabs>
        <w:spacing w:before="29" w:after="0" w:line="348" w:lineRule="auto"/>
        <w:ind w:left="112" w:right="206" w:firstLine="421"/>
        <w:jc w:val="left"/>
        <w:rPr>
          <w:sz w:val="21"/>
        </w:rPr>
      </w:pPr>
      <w:r>
        <w:rPr>
          <w:spacing w:val="-5"/>
          <w:sz w:val="21"/>
        </w:rPr>
        <w:t>因发包人原因造成工程质量未达到合同约定标准的，由发包人承担由此增加的费用和</w:t>
      </w:r>
      <w:r>
        <w:rPr>
          <w:sz w:val="21"/>
        </w:rPr>
        <w:t>（</w:t>
      </w:r>
      <w:r>
        <w:rPr>
          <w:spacing w:val="-3"/>
          <w:sz w:val="21"/>
        </w:rPr>
        <w:t>或</w:t>
      </w:r>
      <w:r>
        <w:rPr>
          <w:spacing w:val="-10"/>
          <w:sz w:val="21"/>
        </w:rPr>
        <w:t>）</w:t>
      </w:r>
      <w:r>
        <w:rPr>
          <w:sz w:val="21"/>
        </w:rPr>
        <w:t>延</w:t>
      </w:r>
      <w:r>
        <w:rPr>
          <w:spacing w:val="-3"/>
          <w:sz w:val="21"/>
        </w:rPr>
        <w:t>误的工期，并支付承包人合理的利润。</w:t>
      </w:r>
    </w:p>
    <w:p>
      <w:pPr>
        <w:pStyle w:val="32"/>
        <w:numPr>
          <w:ilvl w:val="2"/>
          <w:numId w:val="9"/>
        </w:numPr>
        <w:tabs>
          <w:tab w:val="left" w:pos="1165"/>
        </w:tabs>
        <w:spacing w:before="31" w:after="0" w:line="350" w:lineRule="auto"/>
        <w:ind w:left="112" w:right="206" w:firstLine="421"/>
        <w:jc w:val="left"/>
        <w:rPr>
          <w:sz w:val="21"/>
        </w:rPr>
      </w:pPr>
      <w:r>
        <w:rPr>
          <w:spacing w:val="-4"/>
          <w:sz w:val="21"/>
        </w:rPr>
        <w:t>因承包人原因造成工程质量未达到合同约定标准的，发包人有权要求承包人返工直至工程质量</w:t>
      </w:r>
      <w:r>
        <w:rPr>
          <w:spacing w:val="-3"/>
          <w:sz w:val="21"/>
        </w:rPr>
        <w:t>达到合同约定的标准为止，并由承包人承担由此增加的费用和</w:t>
      </w:r>
      <w:r>
        <w:rPr>
          <w:sz w:val="21"/>
        </w:rPr>
        <w:t>（</w:t>
      </w:r>
      <w:r>
        <w:rPr>
          <w:spacing w:val="-3"/>
          <w:sz w:val="21"/>
        </w:rPr>
        <w:t>或</w:t>
      </w:r>
      <w:r>
        <w:rPr>
          <w:sz w:val="21"/>
        </w:rPr>
        <w:t>）</w:t>
      </w:r>
      <w:r>
        <w:rPr>
          <w:spacing w:val="-3"/>
          <w:sz w:val="21"/>
        </w:rPr>
        <w:t>延误的工期。</w:t>
      </w:r>
    </w:p>
    <w:p>
      <w:pPr>
        <w:pStyle w:val="32"/>
        <w:numPr>
          <w:ilvl w:val="1"/>
          <w:numId w:val="21"/>
        </w:numPr>
        <w:tabs>
          <w:tab w:val="left" w:pos="906"/>
        </w:tabs>
        <w:spacing w:before="147" w:after="0" w:line="240" w:lineRule="auto"/>
        <w:ind w:left="905" w:right="0" w:hanging="370"/>
        <w:jc w:val="left"/>
        <w:rPr>
          <w:b/>
          <w:sz w:val="21"/>
        </w:rPr>
      </w:pPr>
      <w:r>
        <w:rPr>
          <w:b/>
          <w:sz w:val="21"/>
        </w:rPr>
        <w:t>质量保证措施</w:t>
      </w:r>
    </w:p>
    <w:p>
      <w:pPr>
        <w:pStyle w:val="13"/>
        <w:spacing w:before="10"/>
        <w:ind w:left="0"/>
        <w:rPr>
          <w:b/>
          <w:sz w:val="18"/>
        </w:rPr>
      </w:pPr>
    </w:p>
    <w:p>
      <w:pPr>
        <w:pStyle w:val="32"/>
        <w:numPr>
          <w:ilvl w:val="2"/>
          <w:numId w:val="21"/>
        </w:numPr>
        <w:tabs>
          <w:tab w:val="left" w:pos="1165"/>
        </w:tabs>
        <w:spacing w:before="0" w:after="0" w:line="240" w:lineRule="auto"/>
        <w:ind w:left="1164" w:right="0" w:hanging="631"/>
        <w:jc w:val="left"/>
        <w:rPr>
          <w:sz w:val="21"/>
        </w:rPr>
      </w:pPr>
      <w:r>
        <w:rPr>
          <w:spacing w:val="-3"/>
          <w:sz w:val="21"/>
        </w:rPr>
        <w:t>发包人的质量管理</w:t>
      </w:r>
    </w:p>
    <w:p>
      <w:pPr>
        <w:pStyle w:val="13"/>
        <w:spacing w:before="125"/>
        <w:ind w:left="533"/>
      </w:pPr>
      <w:r>
        <w:t>发包人应按照法律规定及合同约定完成与工程质量有关的各项工作。</w:t>
      </w:r>
    </w:p>
    <w:p>
      <w:pPr>
        <w:pStyle w:val="32"/>
        <w:numPr>
          <w:ilvl w:val="2"/>
          <w:numId w:val="21"/>
        </w:numPr>
        <w:tabs>
          <w:tab w:val="left" w:pos="1165"/>
        </w:tabs>
        <w:spacing w:before="123" w:after="0" w:line="240" w:lineRule="auto"/>
        <w:ind w:left="1164" w:right="0" w:hanging="631"/>
        <w:jc w:val="left"/>
        <w:rPr>
          <w:sz w:val="21"/>
        </w:rPr>
      </w:pPr>
      <w:r>
        <w:rPr>
          <w:spacing w:val="-3"/>
          <w:sz w:val="21"/>
        </w:rPr>
        <w:t>承包人的质量管理</w:t>
      </w:r>
    </w:p>
    <w:p>
      <w:pPr>
        <w:pStyle w:val="13"/>
        <w:spacing w:before="126" w:line="348" w:lineRule="auto"/>
        <w:ind w:right="198" w:firstLine="420"/>
      </w:pPr>
      <w:r>
        <w:rPr>
          <w:spacing w:val="-2"/>
        </w:rPr>
        <w:t>承包人按照第</w:t>
      </w:r>
      <w:r>
        <w:t>7.1</w:t>
      </w:r>
      <w:r>
        <w:rPr>
          <w:spacing w:val="-3"/>
        </w:rPr>
        <w:t>款〔施工组织设计〕约定向发包人和监理人提交工程质量保证体系及措施文件，建</w:t>
      </w:r>
      <w:r>
        <w:rPr>
          <w:spacing w:val="-6"/>
        </w:rPr>
        <w:t>立完善的质量检查制度，并提交相应的工程质量文件。对于发包人和监理人违反法律规定和合同约定的错</w:t>
      </w:r>
      <w:r>
        <w:rPr>
          <w:spacing w:val="-4"/>
        </w:rPr>
        <w:t>误指示，承包人有权拒绝实施。</w:t>
      </w:r>
    </w:p>
    <w:p>
      <w:pPr>
        <w:pStyle w:val="13"/>
        <w:spacing w:before="31" w:line="350" w:lineRule="auto"/>
        <w:ind w:right="191" w:firstLine="420"/>
      </w:pPr>
      <w:r>
        <w:rPr>
          <w:spacing w:val="-5"/>
        </w:rPr>
        <w:t>承包人应对施工人员进行质量教育和技术培训，定期考核施工人员的劳动技能，严格执行施工规范和</w:t>
      </w:r>
      <w:r>
        <w:rPr>
          <w:spacing w:val="-4"/>
        </w:rPr>
        <w:t>操作规程。</w:t>
      </w:r>
    </w:p>
    <w:p>
      <w:pPr>
        <w:pStyle w:val="13"/>
        <w:spacing w:before="26" w:line="350" w:lineRule="auto"/>
        <w:ind w:right="206" w:firstLine="420"/>
        <w:jc w:val="both"/>
      </w:pPr>
      <w:r>
        <w:rPr>
          <w:spacing w:val="-5"/>
        </w:rPr>
        <w:t>承包人应按照法律规定和发包人的要求，对材料、工程设备以及工程的所有部位及其施工工艺进行全</w:t>
      </w:r>
      <w:r>
        <w:rPr>
          <w:spacing w:val="-8"/>
        </w:rPr>
        <w:t>过程的质量检查和检验，并作详细记录，编制工程质量报表，报送监理人审查。此外，承包人还应按照法</w:t>
      </w:r>
      <w:r>
        <w:rPr>
          <w:spacing w:val="-7"/>
        </w:rPr>
        <w:t>律规定和发包人的要求，进行施工现场取样试验、工程复核测量和设备性能检测，提供试验样品、提交试</w:t>
      </w:r>
      <w:r>
        <w:rPr>
          <w:spacing w:val="-5"/>
        </w:rPr>
        <w:t>验报告和测量成果以及其他工作。</w:t>
      </w:r>
    </w:p>
    <w:p>
      <w:pPr>
        <w:pStyle w:val="32"/>
        <w:numPr>
          <w:ilvl w:val="2"/>
          <w:numId w:val="21"/>
        </w:numPr>
        <w:tabs>
          <w:tab w:val="left" w:pos="1165"/>
        </w:tabs>
        <w:spacing w:before="29" w:after="0" w:line="240" w:lineRule="auto"/>
        <w:ind w:left="1164" w:right="0" w:hanging="631"/>
        <w:jc w:val="left"/>
        <w:rPr>
          <w:sz w:val="21"/>
        </w:rPr>
      </w:pPr>
      <w:r>
        <w:rPr>
          <w:spacing w:val="-3"/>
          <w:sz w:val="21"/>
        </w:rPr>
        <w:t>监理人的质量检查和检验</w:t>
      </w:r>
    </w:p>
    <w:p>
      <w:pPr>
        <w:spacing w:after="0" w:line="240" w:lineRule="auto"/>
        <w:jc w:val="left"/>
        <w:rPr>
          <w:sz w:val="21"/>
        </w:rPr>
        <w:sectPr>
          <w:pgSz w:w="11910" w:h="16840"/>
          <w:pgMar w:top="1460" w:right="920" w:bottom="1180" w:left="1020" w:header="0" w:footer="920" w:gutter="0"/>
        </w:sectPr>
      </w:pPr>
    </w:p>
    <w:p>
      <w:pPr>
        <w:pStyle w:val="13"/>
        <w:spacing w:before="14" w:line="350" w:lineRule="auto"/>
        <w:ind w:right="98" w:firstLine="420"/>
      </w:pPr>
      <w:r>
        <w:rPr>
          <w:spacing w:val="-3"/>
        </w:rPr>
        <w:t xml:space="preserve">监理人按照法律规定和发包人授权对工程的所有部位及其施工工艺、材料和工程设备进行检查和检 </w:t>
      </w:r>
      <w:r>
        <w:rPr>
          <w:spacing w:val="-6"/>
        </w:rPr>
        <w:t>验。承包人应为监理人的检查和检验提供方便，包括监理人到施工现场，或制造、加工地点，或合同约定的其他地方进行察看和查阅施工原始记录。监理人为此进行的检查和检验，不免除或减轻承包人按照合同</w:t>
      </w:r>
      <w:r>
        <w:rPr>
          <w:spacing w:val="-4"/>
        </w:rPr>
        <w:t>约定应当承担的责任。</w:t>
      </w:r>
    </w:p>
    <w:p>
      <w:pPr>
        <w:pStyle w:val="13"/>
        <w:spacing w:before="27" w:line="350" w:lineRule="auto"/>
        <w:ind w:right="113" w:firstLine="420"/>
      </w:pPr>
      <w:r>
        <w:rPr>
          <w:spacing w:val="-5"/>
        </w:rPr>
        <w:t>监理人的检查和检验不应影响施工正常进行。监理人的检查和检验影响施工正常进行的，且经检查检</w:t>
      </w:r>
      <w:r>
        <w:rPr>
          <w:spacing w:val="-6"/>
        </w:rPr>
        <w:t>验不合格的，影响正常施工的费用由承包人承担，工期不予顺延；经检查检验合格的，由此增加的费用和</w:t>
      </w:r>
    </w:p>
    <w:p>
      <w:pPr>
        <w:pStyle w:val="13"/>
        <w:spacing w:before="29"/>
      </w:pPr>
      <w:r>
        <w:t>（或）延误的工期由发包人承担。</w:t>
      </w:r>
    </w:p>
    <w:p>
      <w:pPr>
        <w:pStyle w:val="13"/>
        <w:spacing w:before="7"/>
        <w:ind w:left="0"/>
        <w:rPr>
          <w:sz w:val="18"/>
        </w:rPr>
      </w:pPr>
    </w:p>
    <w:p>
      <w:pPr>
        <w:pStyle w:val="32"/>
        <w:numPr>
          <w:ilvl w:val="1"/>
          <w:numId w:val="22"/>
        </w:numPr>
        <w:tabs>
          <w:tab w:val="left" w:pos="959"/>
        </w:tabs>
        <w:spacing w:before="0" w:after="0" w:line="240" w:lineRule="auto"/>
        <w:ind w:left="958" w:right="0" w:hanging="423"/>
        <w:jc w:val="left"/>
        <w:rPr>
          <w:b/>
          <w:sz w:val="21"/>
        </w:rPr>
      </w:pPr>
      <w:r>
        <w:rPr>
          <w:b/>
          <w:sz w:val="21"/>
        </w:rPr>
        <w:t>隐蔽工程检查</w:t>
      </w:r>
    </w:p>
    <w:p>
      <w:pPr>
        <w:pStyle w:val="13"/>
        <w:spacing w:before="9"/>
        <w:ind w:left="0"/>
        <w:rPr>
          <w:b/>
          <w:sz w:val="18"/>
        </w:rPr>
      </w:pPr>
    </w:p>
    <w:p>
      <w:pPr>
        <w:pStyle w:val="32"/>
        <w:numPr>
          <w:ilvl w:val="2"/>
          <w:numId w:val="22"/>
        </w:numPr>
        <w:tabs>
          <w:tab w:val="left" w:pos="1112"/>
        </w:tabs>
        <w:spacing w:before="0" w:after="0" w:line="240" w:lineRule="auto"/>
        <w:ind w:left="1111" w:right="0" w:hanging="578"/>
        <w:jc w:val="left"/>
        <w:rPr>
          <w:sz w:val="21"/>
        </w:rPr>
      </w:pPr>
      <w:r>
        <w:rPr>
          <w:spacing w:val="-3"/>
          <w:sz w:val="21"/>
        </w:rPr>
        <w:t>承包人自检</w:t>
      </w:r>
    </w:p>
    <w:p>
      <w:pPr>
        <w:pStyle w:val="13"/>
        <w:spacing w:before="125"/>
        <w:ind w:left="533"/>
      </w:pPr>
      <w:r>
        <w:t>承包人应当对工程隐蔽部位进行自检，并经自检确认是否具备覆盖条件。</w:t>
      </w:r>
    </w:p>
    <w:p>
      <w:pPr>
        <w:pStyle w:val="32"/>
        <w:numPr>
          <w:ilvl w:val="2"/>
          <w:numId w:val="22"/>
        </w:numPr>
        <w:tabs>
          <w:tab w:val="left" w:pos="1112"/>
        </w:tabs>
        <w:spacing w:before="124" w:after="0" w:line="240" w:lineRule="auto"/>
        <w:ind w:left="1111" w:right="0" w:hanging="578"/>
        <w:jc w:val="left"/>
        <w:rPr>
          <w:sz w:val="21"/>
        </w:rPr>
      </w:pPr>
      <w:r>
        <w:rPr>
          <w:spacing w:val="-2"/>
          <w:sz w:val="21"/>
        </w:rPr>
        <w:t>检查程序</w:t>
      </w:r>
    </w:p>
    <w:p>
      <w:pPr>
        <w:pStyle w:val="13"/>
        <w:spacing w:before="126" w:line="348" w:lineRule="auto"/>
        <w:ind w:firstLine="420"/>
      </w:pPr>
      <w:r>
        <w:rPr>
          <w:spacing w:val="-5"/>
        </w:rPr>
        <w:t>除专用合同条款另有约定外，工程隐蔽部位经承包人自检确认具备覆盖条件的，承包人应在共同检查</w:t>
      </w:r>
      <w:r>
        <w:rPr>
          <w:spacing w:val="-22"/>
        </w:rPr>
        <w:t xml:space="preserve">前 </w:t>
      </w:r>
      <w:r>
        <w:t>48</w:t>
      </w:r>
      <w:r>
        <w:rPr>
          <w:spacing w:val="-8"/>
        </w:rPr>
        <w:t xml:space="preserve"> 小时书面通知监理人检查，通知中应载明隐蔽检查的内容、时间和地点，并应附有自检记录和必要</w:t>
      </w:r>
      <w:r>
        <w:rPr>
          <w:spacing w:val="-5"/>
        </w:rPr>
        <w:t>的检查资料。</w:t>
      </w:r>
    </w:p>
    <w:p>
      <w:pPr>
        <w:pStyle w:val="13"/>
        <w:spacing w:before="31" w:line="348" w:lineRule="auto"/>
        <w:ind w:right="107" w:firstLine="420"/>
        <w:jc w:val="both"/>
      </w:pPr>
      <w:r>
        <w:rPr>
          <w:spacing w:val="-5"/>
        </w:rPr>
        <w:t>监理人应按时到场并对隐蔽工程及其施工工艺、材料和工程设备进行检查。经监理人检查确认质量符</w:t>
      </w:r>
      <w:r>
        <w:rPr>
          <w:spacing w:val="-6"/>
        </w:rPr>
        <w:t>合隐蔽要求，并在验收记录上签字后，承包人才能进行覆盖。经监理人检查质量不合格的，承包人应在监</w:t>
      </w:r>
      <w:r>
        <w:rPr>
          <w:spacing w:val="-4"/>
        </w:rPr>
        <w:t>理人指示的时间内完成修复，并由监理人重新检查，由此增加的费用和</w:t>
      </w:r>
      <w:r>
        <w:t>（</w:t>
      </w:r>
      <w:r>
        <w:rPr>
          <w:spacing w:val="-3"/>
        </w:rPr>
        <w:t>或</w:t>
      </w:r>
      <w:r>
        <w:t>）</w:t>
      </w:r>
      <w:r>
        <w:rPr>
          <w:spacing w:val="-3"/>
        </w:rPr>
        <w:t>延误的工期由承包人承担。</w:t>
      </w:r>
    </w:p>
    <w:p>
      <w:pPr>
        <w:pStyle w:val="13"/>
        <w:spacing w:before="31"/>
        <w:ind w:left="533"/>
      </w:pPr>
      <w:r>
        <w:t>除专用合同条款另有约定外，监理人不能按时进行检查的，应在检查前 24 小时向承包人提交书面延</w:t>
      </w:r>
    </w:p>
    <w:p>
      <w:pPr>
        <w:pStyle w:val="13"/>
        <w:spacing w:before="126" w:line="348" w:lineRule="auto"/>
        <w:ind w:right="98"/>
      </w:pPr>
      <w:r>
        <w:rPr>
          <w:spacing w:val="-7"/>
        </w:rPr>
        <w:t xml:space="preserve">期要求，但延期不能超过 </w:t>
      </w:r>
      <w:r>
        <w:t>48</w:t>
      </w:r>
      <w:r>
        <w:rPr>
          <w:spacing w:val="-8"/>
        </w:rPr>
        <w:t xml:space="preserve"> 小时，由此导致工期延误的，工期应予以顺延。监理人未按时进行检查，也</w:t>
      </w:r>
      <w:r>
        <w:rPr>
          <w:spacing w:val="-6"/>
        </w:rPr>
        <w:t>未提出延期要求的，视为隐蔽工程检查合格，承包人可自行完成覆盖工作，并作相应记录报送监理人，监</w:t>
      </w:r>
      <w:r>
        <w:rPr>
          <w:spacing w:val="-5"/>
        </w:rPr>
        <w:t xml:space="preserve">理人应签字确认。监理人事后对检查记录有疑问的，可按第 </w:t>
      </w:r>
      <w:r>
        <w:t>5.3.3</w:t>
      </w:r>
      <w:r>
        <w:rPr>
          <w:spacing w:val="-6"/>
        </w:rPr>
        <w:t xml:space="preserve"> 项〔重新检查〕的约定重新检查。</w:t>
      </w:r>
    </w:p>
    <w:p>
      <w:pPr>
        <w:pStyle w:val="32"/>
        <w:numPr>
          <w:ilvl w:val="2"/>
          <w:numId w:val="22"/>
        </w:numPr>
        <w:tabs>
          <w:tab w:val="left" w:pos="1165"/>
        </w:tabs>
        <w:spacing w:before="31" w:after="0" w:line="240" w:lineRule="auto"/>
        <w:ind w:left="1164" w:right="0" w:hanging="631"/>
        <w:jc w:val="left"/>
        <w:rPr>
          <w:sz w:val="21"/>
        </w:rPr>
      </w:pPr>
      <w:r>
        <w:rPr>
          <w:spacing w:val="-2"/>
          <w:sz w:val="21"/>
        </w:rPr>
        <w:t>重新检查</w:t>
      </w:r>
    </w:p>
    <w:p>
      <w:pPr>
        <w:pStyle w:val="13"/>
        <w:spacing w:before="123" w:line="350" w:lineRule="auto"/>
        <w:ind w:right="126" w:firstLine="420"/>
        <w:jc w:val="both"/>
      </w:pPr>
      <w:r>
        <w:rPr>
          <w:spacing w:val="-5"/>
        </w:rPr>
        <w:t>承包人覆盖工程隐蔽部位后，发包人或监理人对质量有疑问的，可要求承包人对已覆盖的部位进行钻</w:t>
      </w:r>
      <w:r>
        <w:rPr>
          <w:spacing w:val="-7"/>
        </w:rPr>
        <w:t>孔探测或揭开重新检查，承包人应遵照执行，并在检查后重新覆盖恢复原状。经检查证明工程质量符合合</w:t>
      </w:r>
      <w:r>
        <w:rPr>
          <w:spacing w:val="-5"/>
        </w:rPr>
        <w:t>同要求的，由发包人承担由此增加的费用和</w:t>
      </w:r>
      <w:r>
        <w:rPr>
          <w:spacing w:val="-3"/>
        </w:rPr>
        <w:t>（</w:t>
      </w:r>
      <w:r>
        <w:t>或</w:t>
      </w:r>
      <w:r>
        <w:rPr>
          <w:spacing w:val="-8"/>
        </w:rPr>
        <w:t>）</w:t>
      </w:r>
      <w:r>
        <w:rPr>
          <w:spacing w:val="-4"/>
        </w:rPr>
        <w:t>延误的工期，并支付承包人合理的利润；经检查证明工</w:t>
      </w:r>
      <w:r>
        <w:rPr>
          <w:spacing w:val="-3"/>
        </w:rPr>
        <w:t>程质量不符合合同要求的，由此增加的费用和</w:t>
      </w:r>
      <w:r>
        <w:t>（</w:t>
      </w:r>
      <w:r>
        <w:rPr>
          <w:spacing w:val="-3"/>
        </w:rPr>
        <w:t>或</w:t>
      </w:r>
      <w:r>
        <w:t>）</w:t>
      </w:r>
      <w:r>
        <w:rPr>
          <w:spacing w:val="-3"/>
        </w:rPr>
        <w:t>延误的工期由承包人承担。</w:t>
      </w:r>
    </w:p>
    <w:p>
      <w:pPr>
        <w:pStyle w:val="32"/>
        <w:numPr>
          <w:ilvl w:val="2"/>
          <w:numId w:val="22"/>
        </w:numPr>
        <w:tabs>
          <w:tab w:val="left" w:pos="1165"/>
        </w:tabs>
        <w:spacing w:before="29" w:after="0" w:line="240" w:lineRule="auto"/>
        <w:ind w:left="1164" w:right="0" w:hanging="631"/>
        <w:jc w:val="left"/>
        <w:rPr>
          <w:sz w:val="21"/>
        </w:rPr>
      </w:pPr>
      <w:r>
        <w:rPr>
          <w:spacing w:val="-3"/>
          <w:sz w:val="21"/>
        </w:rPr>
        <w:t>承包人私自覆盖</w:t>
      </w:r>
    </w:p>
    <w:p>
      <w:pPr>
        <w:pStyle w:val="13"/>
        <w:spacing w:before="125" w:line="348" w:lineRule="auto"/>
        <w:ind w:right="111" w:firstLine="420"/>
      </w:pPr>
      <w:r>
        <w:rPr>
          <w:spacing w:val="-5"/>
        </w:rPr>
        <w:t>承包人未通知监理人到场检查，私自将工程隐蔽部位覆盖的，监理人有权指示承包人钻孔探测或揭开</w:t>
      </w:r>
      <w:r>
        <w:rPr>
          <w:spacing w:val="-4"/>
        </w:rPr>
        <w:t>检查，无论工程隐蔽部位质量是否合格，由此增加的费用和</w:t>
      </w:r>
      <w:r>
        <w:rPr>
          <w:spacing w:val="-3"/>
        </w:rPr>
        <w:t>（</w:t>
      </w:r>
      <w:r>
        <w:t>或</w:t>
      </w:r>
      <w:r>
        <w:rPr>
          <w:spacing w:val="-3"/>
        </w:rPr>
        <w:t>）延误的工期均由承包人承担。</w:t>
      </w:r>
    </w:p>
    <w:p>
      <w:pPr>
        <w:pStyle w:val="32"/>
        <w:numPr>
          <w:ilvl w:val="1"/>
          <w:numId w:val="23"/>
        </w:numPr>
        <w:tabs>
          <w:tab w:val="left" w:pos="906"/>
        </w:tabs>
        <w:spacing w:before="151" w:after="0" w:line="240" w:lineRule="auto"/>
        <w:ind w:left="905" w:right="0" w:hanging="370"/>
        <w:jc w:val="left"/>
        <w:rPr>
          <w:b/>
          <w:sz w:val="21"/>
        </w:rPr>
      </w:pPr>
      <w:r>
        <w:rPr>
          <w:b/>
          <w:sz w:val="21"/>
        </w:rPr>
        <w:t>不合格工程的处理</w:t>
      </w:r>
    </w:p>
    <w:p>
      <w:pPr>
        <w:pStyle w:val="13"/>
        <w:spacing w:before="9"/>
        <w:ind w:left="0"/>
        <w:rPr>
          <w:b/>
          <w:sz w:val="18"/>
        </w:rPr>
      </w:pPr>
    </w:p>
    <w:p>
      <w:pPr>
        <w:pStyle w:val="32"/>
        <w:numPr>
          <w:ilvl w:val="2"/>
          <w:numId w:val="23"/>
        </w:numPr>
        <w:tabs>
          <w:tab w:val="left" w:pos="1165"/>
        </w:tabs>
        <w:spacing w:before="1" w:after="0" w:line="348" w:lineRule="auto"/>
        <w:ind w:left="112" w:right="126" w:firstLine="421"/>
        <w:jc w:val="left"/>
        <w:rPr>
          <w:sz w:val="21"/>
        </w:rPr>
      </w:pPr>
      <w:r>
        <w:rPr>
          <w:spacing w:val="-5"/>
          <w:sz w:val="21"/>
        </w:rPr>
        <w:t>因承包人原因造成工程不合格的，发包人有权随时要求承包人采取补救措施，直至达到合同要</w:t>
      </w:r>
      <w:r>
        <w:rPr>
          <w:spacing w:val="-4"/>
          <w:sz w:val="21"/>
        </w:rPr>
        <w:t>求的质量标准，由此增加的费用和</w:t>
      </w:r>
      <w:r>
        <w:rPr>
          <w:spacing w:val="-3"/>
          <w:sz w:val="21"/>
        </w:rPr>
        <w:t>（</w:t>
      </w:r>
      <w:r>
        <w:rPr>
          <w:sz w:val="21"/>
        </w:rPr>
        <w:t>或</w:t>
      </w:r>
      <w:r>
        <w:rPr>
          <w:spacing w:val="-3"/>
          <w:sz w:val="21"/>
        </w:rPr>
        <w:t>）</w:t>
      </w:r>
      <w:r>
        <w:rPr>
          <w:spacing w:val="-5"/>
          <w:sz w:val="21"/>
        </w:rPr>
        <w:t xml:space="preserve">延误的工期由承包人承担。无法补救的，按照第 </w:t>
      </w:r>
      <w:r>
        <w:rPr>
          <w:sz w:val="21"/>
        </w:rPr>
        <w:t>13.2.4</w:t>
      </w:r>
      <w:r>
        <w:rPr>
          <w:spacing w:val="-13"/>
          <w:sz w:val="21"/>
        </w:rPr>
        <w:t xml:space="preserve"> 项〔拒</w:t>
      </w:r>
      <w:r>
        <w:rPr>
          <w:spacing w:val="-6"/>
          <w:sz w:val="21"/>
        </w:rPr>
        <w:t>绝接收全部或部分工程〕约定执行。</w:t>
      </w:r>
    </w:p>
    <w:p>
      <w:pPr>
        <w:pStyle w:val="32"/>
        <w:numPr>
          <w:ilvl w:val="2"/>
          <w:numId w:val="23"/>
        </w:numPr>
        <w:tabs>
          <w:tab w:val="left" w:pos="1165"/>
        </w:tabs>
        <w:spacing w:before="31" w:after="0" w:line="240" w:lineRule="auto"/>
        <w:ind w:left="112" w:right="0" w:firstLine="421"/>
        <w:jc w:val="left"/>
        <w:rPr>
          <w:sz w:val="21"/>
        </w:rPr>
      </w:pPr>
      <w:r>
        <w:rPr>
          <w:spacing w:val="-5"/>
          <w:sz w:val="21"/>
        </w:rPr>
        <w:t>因发包人原因造成工程不合格的，由此增加的费用和</w:t>
      </w:r>
      <w:r>
        <w:rPr>
          <w:sz w:val="21"/>
        </w:rPr>
        <w:t>（</w:t>
      </w:r>
      <w:r>
        <w:rPr>
          <w:spacing w:val="-3"/>
          <w:sz w:val="21"/>
        </w:rPr>
        <w:t>或</w:t>
      </w:r>
      <w:r>
        <w:rPr>
          <w:spacing w:val="-8"/>
          <w:sz w:val="21"/>
        </w:rPr>
        <w:t>）</w:t>
      </w:r>
      <w:r>
        <w:rPr>
          <w:spacing w:val="-4"/>
          <w:sz w:val="21"/>
        </w:rPr>
        <w:t>延误的工期由发包人承担，并支付</w:t>
      </w:r>
    </w:p>
    <w:p>
      <w:pPr>
        <w:spacing w:after="0" w:line="240" w:lineRule="auto"/>
        <w:jc w:val="left"/>
        <w:rPr>
          <w:sz w:val="21"/>
        </w:rPr>
        <w:sectPr>
          <w:pgSz w:w="11910" w:h="16840"/>
          <w:pgMar w:top="1460" w:right="1000" w:bottom="1180" w:left="1020" w:header="0" w:footer="920" w:gutter="0"/>
        </w:sectPr>
      </w:pPr>
    </w:p>
    <w:p>
      <w:pPr>
        <w:pStyle w:val="13"/>
        <w:spacing w:before="14"/>
      </w:pPr>
      <w:r>
        <w:t>承包人合理的利润。</w:t>
      </w:r>
    </w:p>
    <w:p>
      <w:pPr>
        <w:pStyle w:val="13"/>
        <w:spacing w:before="8"/>
        <w:ind w:left="0"/>
        <w:rPr>
          <w:sz w:val="18"/>
        </w:rPr>
      </w:pPr>
    </w:p>
    <w:p>
      <w:pPr>
        <w:spacing w:before="0"/>
        <w:ind w:left="535" w:right="0" w:firstLine="0"/>
        <w:jc w:val="left"/>
        <w:rPr>
          <w:b/>
          <w:sz w:val="21"/>
        </w:rPr>
      </w:pPr>
      <w:r>
        <w:rPr>
          <w:b/>
          <w:sz w:val="21"/>
        </w:rPr>
        <w:t>5.5 质量争议检测</w:t>
      </w:r>
    </w:p>
    <w:p>
      <w:pPr>
        <w:pStyle w:val="13"/>
        <w:spacing w:before="9"/>
        <w:ind w:left="0"/>
        <w:rPr>
          <w:b/>
          <w:sz w:val="18"/>
        </w:rPr>
      </w:pPr>
    </w:p>
    <w:p>
      <w:pPr>
        <w:pStyle w:val="13"/>
        <w:spacing w:before="1" w:line="350" w:lineRule="auto"/>
        <w:ind w:right="191" w:firstLine="420"/>
      </w:pPr>
      <w:r>
        <w:rPr>
          <w:spacing w:val="-5"/>
        </w:rPr>
        <w:t>合同当事人对工程质量有争议的，由双方协商确定的工程质量检测机构鉴定，由此产生的费用及因此</w:t>
      </w:r>
      <w:r>
        <w:rPr>
          <w:spacing w:val="-4"/>
        </w:rPr>
        <w:t>造成的损失，由责任方承担。</w:t>
      </w:r>
    </w:p>
    <w:p>
      <w:pPr>
        <w:pStyle w:val="13"/>
        <w:spacing w:before="27" w:line="350" w:lineRule="auto"/>
        <w:ind w:right="283"/>
      </w:pPr>
      <w:r>
        <w:t>合同当事人均有责任的，由双方根据其责任分别承担。合同当事人无法达成一致的，按照第4.4款〔商定或确定〕执行。</w:t>
      </w:r>
    </w:p>
    <w:p>
      <w:pPr>
        <w:pStyle w:val="32"/>
        <w:numPr>
          <w:ilvl w:val="0"/>
          <w:numId w:val="9"/>
        </w:numPr>
        <w:tabs>
          <w:tab w:val="left" w:pos="431"/>
        </w:tabs>
        <w:spacing w:before="149" w:after="0" w:line="240" w:lineRule="auto"/>
        <w:ind w:left="430" w:right="0" w:hanging="318"/>
        <w:jc w:val="left"/>
        <w:rPr>
          <w:sz w:val="21"/>
        </w:rPr>
      </w:pPr>
      <w:r>
        <w:rPr>
          <w:spacing w:val="-3"/>
          <w:sz w:val="21"/>
        </w:rPr>
        <w:t>安全文明施工与环境保护</w:t>
      </w:r>
    </w:p>
    <w:p>
      <w:pPr>
        <w:pStyle w:val="13"/>
        <w:spacing w:before="7"/>
        <w:ind w:left="0"/>
        <w:rPr>
          <w:sz w:val="18"/>
        </w:rPr>
      </w:pPr>
    </w:p>
    <w:p>
      <w:pPr>
        <w:pStyle w:val="32"/>
        <w:numPr>
          <w:ilvl w:val="1"/>
          <w:numId w:val="9"/>
        </w:numPr>
        <w:tabs>
          <w:tab w:val="left" w:pos="906"/>
        </w:tabs>
        <w:spacing w:before="0" w:after="0" w:line="240" w:lineRule="auto"/>
        <w:ind w:left="905" w:right="0" w:hanging="370"/>
        <w:jc w:val="left"/>
        <w:rPr>
          <w:b/>
          <w:sz w:val="21"/>
        </w:rPr>
      </w:pPr>
      <w:r>
        <w:rPr>
          <w:b/>
          <w:sz w:val="21"/>
        </w:rPr>
        <w:t>安全文明施工</w:t>
      </w:r>
    </w:p>
    <w:p>
      <w:pPr>
        <w:pStyle w:val="13"/>
        <w:spacing w:before="9"/>
        <w:ind w:left="0"/>
        <w:rPr>
          <w:b/>
          <w:sz w:val="18"/>
        </w:rPr>
      </w:pPr>
    </w:p>
    <w:p>
      <w:pPr>
        <w:pStyle w:val="32"/>
        <w:numPr>
          <w:ilvl w:val="2"/>
          <w:numId w:val="9"/>
        </w:numPr>
        <w:tabs>
          <w:tab w:val="left" w:pos="1112"/>
        </w:tabs>
        <w:spacing w:before="0" w:after="0" w:line="240" w:lineRule="auto"/>
        <w:ind w:left="1111" w:right="0" w:hanging="578"/>
        <w:jc w:val="left"/>
        <w:rPr>
          <w:sz w:val="21"/>
        </w:rPr>
      </w:pPr>
      <w:r>
        <w:rPr>
          <w:spacing w:val="-3"/>
          <w:sz w:val="21"/>
        </w:rPr>
        <w:t>安全生产要求</w:t>
      </w:r>
    </w:p>
    <w:p>
      <w:pPr>
        <w:pStyle w:val="13"/>
        <w:spacing w:before="126" w:line="348" w:lineRule="auto"/>
        <w:ind w:right="206" w:firstLine="420"/>
        <w:jc w:val="both"/>
      </w:pPr>
      <w:r>
        <w:rPr>
          <w:spacing w:val="-5"/>
        </w:rPr>
        <w:t>合同履行期间，合同当事人均应当遵守国家和工程所在地有关安全生产的要求，合同当事人有特别要</w:t>
      </w:r>
      <w:r>
        <w:rPr>
          <w:spacing w:val="-7"/>
        </w:rPr>
        <w:t>求的，应在专用合同条款中明确施工项目安全生产标准化达标目标及相应事项。承包人有权拒绝发包人及</w:t>
      </w:r>
      <w:r>
        <w:rPr>
          <w:spacing w:val="-5"/>
        </w:rPr>
        <w:t>监理人强令承包人违章作业、冒险施工的任何指示。</w:t>
      </w:r>
    </w:p>
    <w:p>
      <w:pPr>
        <w:pStyle w:val="13"/>
        <w:spacing w:before="31" w:line="348" w:lineRule="auto"/>
        <w:ind w:right="191" w:firstLine="420"/>
      </w:pPr>
      <w:r>
        <w:rPr>
          <w:spacing w:val="-6"/>
        </w:rPr>
        <w:t>在施工过程中，如遇到突发的地质变动、事先未知的地下施工障碍等影响施工安全的紧急情况，承包</w:t>
      </w:r>
      <w:r>
        <w:rPr>
          <w:spacing w:val="-3"/>
        </w:rPr>
        <w:t>人应及时报告监理人和发包人，发包人应当及时下令停工并报政府有关行政管理部门采取应急措施。</w:t>
      </w:r>
    </w:p>
    <w:p>
      <w:pPr>
        <w:pStyle w:val="13"/>
        <w:spacing w:before="31"/>
        <w:ind w:left="533"/>
      </w:pPr>
      <w:r>
        <w:t>因安全生产需要暂停施工的，按照第 7.8 款〔暂停施工〕的约定执行。</w:t>
      </w:r>
    </w:p>
    <w:p>
      <w:pPr>
        <w:pStyle w:val="32"/>
        <w:numPr>
          <w:ilvl w:val="2"/>
          <w:numId w:val="9"/>
        </w:numPr>
        <w:tabs>
          <w:tab w:val="left" w:pos="1165"/>
        </w:tabs>
        <w:spacing w:before="126" w:after="0" w:line="240" w:lineRule="auto"/>
        <w:ind w:left="1164" w:right="0" w:hanging="631"/>
        <w:jc w:val="left"/>
        <w:rPr>
          <w:sz w:val="21"/>
        </w:rPr>
      </w:pPr>
      <w:r>
        <w:rPr>
          <w:spacing w:val="-3"/>
          <w:sz w:val="21"/>
        </w:rPr>
        <w:t>安全生产保证措施</w:t>
      </w:r>
    </w:p>
    <w:p>
      <w:pPr>
        <w:pStyle w:val="13"/>
        <w:spacing w:before="123" w:line="350" w:lineRule="auto"/>
        <w:ind w:right="206" w:firstLine="420"/>
        <w:jc w:val="both"/>
      </w:pPr>
      <w:r>
        <w:rPr>
          <w:spacing w:val="-5"/>
        </w:rPr>
        <w:t>承包人应当按照有关规定编制安全技术措施或者专项施工方案，建立安全生产责任制度、治安保卫制</w:t>
      </w:r>
      <w:r>
        <w:rPr>
          <w:spacing w:val="-6"/>
        </w:rPr>
        <w:t>度及安全生产教育培训制度，并按安全生产法律规定及合同约定履行安全职责，如实编制工程安全生产的</w:t>
      </w:r>
      <w:r>
        <w:rPr>
          <w:spacing w:val="-4"/>
        </w:rPr>
        <w:t>有关记录，接受发包人、监理人及政府安全监督部门的检查与监督。</w:t>
      </w:r>
    </w:p>
    <w:p>
      <w:pPr>
        <w:pStyle w:val="32"/>
        <w:numPr>
          <w:ilvl w:val="2"/>
          <w:numId w:val="9"/>
        </w:numPr>
        <w:tabs>
          <w:tab w:val="left" w:pos="1112"/>
        </w:tabs>
        <w:spacing w:before="26" w:after="0" w:line="240" w:lineRule="auto"/>
        <w:ind w:left="1111" w:right="0" w:hanging="578"/>
        <w:jc w:val="left"/>
        <w:rPr>
          <w:sz w:val="21"/>
        </w:rPr>
      </w:pPr>
      <w:r>
        <w:rPr>
          <w:spacing w:val="-3"/>
          <w:sz w:val="21"/>
        </w:rPr>
        <w:t>特别安全生产事项</w:t>
      </w:r>
    </w:p>
    <w:p>
      <w:pPr>
        <w:pStyle w:val="13"/>
        <w:spacing w:before="125" w:line="348" w:lineRule="auto"/>
        <w:ind w:right="178" w:firstLine="420"/>
      </w:pPr>
      <w:r>
        <w:rPr>
          <w:spacing w:val="-10"/>
        </w:rPr>
        <w:t>承包人应按照法律规定进行施工，开工前做好安全技术交底工作，施工过程中做好各项安全防护措施。</w:t>
      </w:r>
      <w:r>
        <w:t>承包人为实施合同而雇用的特殊工种的人员应受过专门的培训并已取得政府有关管理机构颁发的上岗证 书。</w:t>
      </w:r>
    </w:p>
    <w:p>
      <w:pPr>
        <w:pStyle w:val="13"/>
        <w:spacing w:before="31" w:line="350" w:lineRule="auto"/>
        <w:ind w:right="191" w:firstLine="420"/>
      </w:pPr>
      <w:r>
        <w:rPr>
          <w:spacing w:val="-6"/>
        </w:rPr>
        <w:t>承包人在动力设备、输电线路、地下管道、密封防震车间、易燃易爆地段以及临街交通要道附近施工</w:t>
      </w:r>
      <w:r>
        <w:rPr>
          <w:spacing w:val="-4"/>
        </w:rPr>
        <w:t>时，施工开始前应向发包人和监理人提出安全防护措施，经发包人认可后实施。</w:t>
      </w:r>
    </w:p>
    <w:p>
      <w:pPr>
        <w:pStyle w:val="13"/>
        <w:spacing w:before="27" w:line="350" w:lineRule="auto"/>
        <w:ind w:right="206" w:firstLine="420"/>
        <w:jc w:val="both"/>
      </w:pPr>
      <w:r>
        <w:rPr>
          <w:spacing w:val="-5"/>
        </w:rPr>
        <w:t>实施爆破作业，在放射、毒害性环境中施工</w:t>
      </w:r>
      <w:r>
        <w:t>（</w:t>
      </w:r>
      <w:r>
        <w:rPr>
          <w:spacing w:val="-4"/>
        </w:rPr>
        <w:t>含储存、运输、使用</w:t>
      </w:r>
      <w:r>
        <w:rPr>
          <w:spacing w:val="-3"/>
        </w:rPr>
        <w:t>）</w:t>
      </w:r>
      <w:r>
        <w:rPr>
          <w:spacing w:val="-4"/>
        </w:rPr>
        <w:t>及使用毒害性、腐蚀性物品施工</w:t>
      </w:r>
      <w:r>
        <w:rPr>
          <w:spacing w:val="-7"/>
        </w:rPr>
        <w:t xml:space="preserve">时，承包人应在施工前 </w:t>
      </w:r>
      <w:r>
        <w:t>7</w:t>
      </w:r>
      <w:r>
        <w:rPr>
          <w:spacing w:val="-8"/>
        </w:rPr>
        <w:t xml:space="preserve"> 天以书面通知发包人和监理人，并报送相应的安全防护措施，经发包人认可后实施。</w:t>
      </w:r>
    </w:p>
    <w:p>
      <w:pPr>
        <w:pStyle w:val="13"/>
        <w:spacing w:before="27" w:line="350" w:lineRule="auto"/>
        <w:ind w:right="178" w:firstLine="420"/>
      </w:pPr>
      <w:r>
        <w:t>需单独编制危险性较大分部分项专项工程施工方案的，及要求进行专家论证的超过一定规模的危险性较大的分部分项工程，承包人应及时编制和组织论证。</w:t>
      </w:r>
    </w:p>
    <w:p>
      <w:pPr>
        <w:pStyle w:val="32"/>
        <w:numPr>
          <w:ilvl w:val="2"/>
          <w:numId w:val="9"/>
        </w:numPr>
        <w:tabs>
          <w:tab w:val="left" w:pos="1165"/>
        </w:tabs>
        <w:spacing w:before="28" w:after="0" w:line="240" w:lineRule="auto"/>
        <w:ind w:left="1164" w:right="0" w:hanging="631"/>
        <w:jc w:val="left"/>
        <w:rPr>
          <w:sz w:val="21"/>
        </w:rPr>
      </w:pPr>
      <w:r>
        <w:rPr>
          <w:spacing w:val="-2"/>
          <w:sz w:val="21"/>
        </w:rPr>
        <w:t>治安保卫</w:t>
      </w:r>
    </w:p>
    <w:p>
      <w:pPr>
        <w:pStyle w:val="13"/>
        <w:spacing w:before="123" w:line="350" w:lineRule="auto"/>
        <w:ind w:right="178" w:firstLine="420"/>
      </w:pPr>
      <w:r>
        <w:t>除专用合同条款另有约定外，发包人应与当地公安部门协商，在现场建立治安管理机构或联防组织， 统一管理施工场地的治安保卫事项，履行合同工程的治安保卫职责。</w:t>
      </w:r>
    </w:p>
    <w:p>
      <w:pPr>
        <w:pStyle w:val="13"/>
        <w:spacing w:before="29"/>
        <w:ind w:left="533"/>
      </w:pPr>
      <w:r>
        <w:t>发包人和承包人除应协助现场治安管理机构或联防组织维护施工场地的社会治安外，还应做好包括生</w:t>
      </w:r>
    </w:p>
    <w:p>
      <w:pPr>
        <w:pStyle w:val="13"/>
        <w:spacing w:before="14"/>
      </w:pPr>
      <w:r>
        <w:t>活区在内的各自管辖区的治安保卫工作。</w:t>
      </w:r>
    </w:p>
    <w:p>
      <w:pPr>
        <w:pStyle w:val="13"/>
        <w:spacing w:before="124" w:line="350" w:lineRule="auto"/>
        <w:ind w:right="103" w:firstLine="420"/>
      </w:pPr>
      <w:r>
        <w:rPr>
          <w:spacing w:val="-13"/>
        </w:rPr>
        <w:t xml:space="preserve">除专用合同条款另有约定外，发包人和承包人应在工程开工后 </w:t>
      </w:r>
      <w:r>
        <w:t>7</w:t>
      </w:r>
      <w:r>
        <w:rPr>
          <w:spacing w:val="-8"/>
        </w:rPr>
        <w:t xml:space="preserve"> 天内共同编制施工场地治安管理计划， </w:t>
      </w:r>
      <w:r>
        <w:rPr>
          <w:spacing w:val="-7"/>
        </w:rPr>
        <w:t>并制定应对突发治安事件的紧急预案。在工程施工过程中，发生暴乱、爆炸等恐怖事件，以及群殴、械斗等群体性突发治安事件的，发包人和承包人应立即向当地政府报告。发包人和承包人应积极协助当地有关</w:t>
      </w:r>
      <w:r>
        <w:rPr>
          <w:spacing w:val="-5"/>
        </w:rPr>
        <w:t>部门采取措施平息事态，防止事态扩大，尽量避免人员伤亡和财产损失。</w:t>
      </w:r>
    </w:p>
    <w:p>
      <w:pPr>
        <w:pStyle w:val="32"/>
        <w:numPr>
          <w:ilvl w:val="2"/>
          <w:numId w:val="9"/>
        </w:numPr>
        <w:tabs>
          <w:tab w:val="left" w:pos="1165"/>
        </w:tabs>
        <w:spacing w:before="29" w:after="0" w:line="240" w:lineRule="auto"/>
        <w:ind w:left="1164" w:right="0" w:hanging="631"/>
        <w:jc w:val="left"/>
        <w:rPr>
          <w:sz w:val="21"/>
        </w:rPr>
      </w:pPr>
      <w:r>
        <w:rPr>
          <w:spacing w:val="-2"/>
          <w:sz w:val="21"/>
        </w:rPr>
        <w:t>文明施工</w:t>
      </w:r>
    </w:p>
    <w:p>
      <w:pPr>
        <w:pStyle w:val="13"/>
        <w:spacing w:before="125" w:line="348" w:lineRule="auto"/>
        <w:ind w:right="206" w:firstLine="420"/>
        <w:jc w:val="both"/>
      </w:pPr>
      <w:r>
        <w:rPr>
          <w:spacing w:val="-6"/>
        </w:rPr>
        <w:t>承包人在工程施工期间，应当采取措施保持施工现场平整，物料堆放整齐。工程所在地有关政府行政</w:t>
      </w:r>
      <w:r>
        <w:rPr>
          <w:spacing w:val="-7"/>
        </w:rPr>
        <w:t>管理部门有特殊要求的，按照其要求执行。合同当事人对文明施工有其他要求的，可以在专用合同条款中明确。</w:t>
      </w:r>
    </w:p>
    <w:p>
      <w:pPr>
        <w:pStyle w:val="13"/>
        <w:spacing w:before="31" w:line="350" w:lineRule="auto"/>
        <w:ind w:right="206" w:firstLine="420"/>
        <w:jc w:val="both"/>
      </w:pPr>
      <w:r>
        <w:rPr>
          <w:spacing w:val="-6"/>
        </w:rPr>
        <w:t>在工程移交之前，承包人应当从施工现场清除承包人的全部工程设备、多余材料、垃圾和各种临时工</w:t>
      </w:r>
      <w:r>
        <w:rPr>
          <w:spacing w:val="-7"/>
        </w:rPr>
        <w:t>程，并保持施工现场清洁整齐。经发包人书面同意，承包人可在发包人指定的地点保留承包人履行保修期</w:t>
      </w:r>
      <w:r>
        <w:rPr>
          <w:spacing w:val="-5"/>
        </w:rPr>
        <w:t>内的各项义务所需要的材料、施工设备和临时工程。</w:t>
      </w:r>
    </w:p>
    <w:p>
      <w:pPr>
        <w:pStyle w:val="32"/>
        <w:numPr>
          <w:ilvl w:val="2"/>
          <w:numId w:val="9"/>
        </w:numPr>
        <w:tabs>
          <w:tab w:val="left" w:pos="1165"/>
        </w:tabs>
        <w:spacing w:before="29" w:after="0" w:line="240" w:lineRule="auto"/>
        <w:ind w:left="1164" w:right="0" w:hanging="631"/>
        <w:jc w:val="left"/>
        <w:rPr>
          <w:sz w:val="21"/>
        </w:rPr>
      </w:pPr>
      <w:r>
        <w:rPr>
          <w:spacing w:val="-3"/>
          <w:sz w:val="21"/>
        </w:rPr>
        <w:t>安全文明施工费</w:t>
      </w:r>
    </w:p>
    <w:p>
      <w:pPr>
        <w:pStyle w:val="13"/>
        <w:spacing w:before="123" w:line="350" w:lineRule="auto"/>
        <w:ind w:right="191" w:firstLine="420"/>
      </w:pPr>
      <w:r>
        <w:rPr>
          <w:spacing w:val="-5"/>
        </w:rPr>
        <w:t>安全文明施工费由发包人承担，发包人不得以任何形式扣减该部分费用。因基准日期后合同所适用的</w:t>
      </w:r>
      <w:r>
        <w:rPr>
          <w:spacing w:val="-4"/>
        </w:rPr>
        <w:t>法律或政府有关规定发生变化，增加的安全文明施工费由发包人承担。</w:t>
      </w:r>
    </w:p>
    <w:p>
      <w:pPr>
        <w:pStyle w:val="13"/>
        <w:spacing w:before="29" w:line="348" w:lineRule="auto"/>
        <w:ind w:right="100" w:firstLine="420"/>
      </w:pPr>
      <w:r>
        <w:rPr>
          <w:spacing w:val="-8"/>
        </w:rPr>
        <w:t xml:space="preserve">承包人经发包人同意采取合同约定以外的安全措施所产生的费用，由发包人承担。未经发包人同意的， </w:t>
      </w:r>
      <w:r>
        <w:rPr>
          <w:spacing w:val="-7"/>
        </w:rPr>
        <w:t>如果该措施避免了发包人的损失，则发包人在避免损失的额度内承担该措施费。如果该措施避免了承包人</w:t>
      </w:r>
      <w:r>
        <w:rPr>
          <w:spacing w:val="-5"/>
        </w:rPr>
        <w:t>的损失，由承包人承担该措施费。</w:t>
      </w:r>
    </w:p>
    <w:p>
      <w:pPr>
        <w:pStyle w:val="13"/>
        <w:spacing w:before="31" w:line="350" w:lineRule="auto"/>
        <w:ind w:right="91" w:firstLine="420"/>
      </w:pPr>
      <w:r>
        <w:rPr>
          <w:spacing w:val="-3"/>
        </w:rPr>
        <w:t>除专用合同条款另有约定外，发包人应在开工后</w:t>
      </w:r>
      <w:r>
        <w:t>28</w:t>
      </w:r>
      <w:r>
        <w:rPr>
          <w:spacing w:val="-3"/>
        </w:rPr>
        <w:t>天内预付安全文明施工费总额的</w:t>
      </w:r>
      <w:r>
        <w:t>50</w:t>
      </w:r>
      <w:r>
        <w:rPr>
          <w:spacing w:val="-2"/>
        </w:rPr>
        <w:t xml:space="preserve">%，其余部分与 </w:t>
      </w:r>
      <w:r>
        <w:rPr>
          <w:spacing w:val="-3"/>
        </w:rPr>
        <w:t xml:space="preserve">进度款同期支付。发包人逾期支付安全文明施工费超过7天的，承包人有权向发包人发出要求预付的催告 </w:t>
      </w:r>
      <w:r>
        <w:rPr>
          <w:spacing w:val="-4"/>
        </w:rPr>
        <w:t>通知，发包人收到通知后</w:t>
      </w:r>
      <w:r>
        <w:rPr>
          <w:spacing w:val="-3"/>
        </w:rPr>
        <w:t>7</w:t>
      </w:r>
      <w:r>
        <w:rPr>
          <w:spacing w:val="-5"/>
        </w:rPr>
        <w:t>天内仍未支付的，承包人有权暂停施工，并按第</w:t>
      </w:r>
      <w:r>
        <w:t>16.1.1</w:t>
      </w:r>
      <w:r>
        <w:rPr>
          <w:spacing w:val="-3"/>
        </w:rPr>
        <w:t>项〔发包人违约的情形〕执行。</w:t>
      </w:r>
    </w:p>
    <w:p>
      <w:pPr>
        <w:pStyle w:val="13"/>
        <w:spacing w:before="27" w:line="350" w:lineRule="auto"/>
        <w:ind w:right="206" w:firstLine="420"/>
        <w:jc w:val="both"/>
      </w:pPr>
      <w:r>
        <w:rPr>
          <w:spacing w:val="-6"/>
        </w:rPr>
        <w:t>承包人对安全文明施工费应专款专用，承包人应在财务账目中单独列项备查，不得挪作他用，否则发包人有权责令其限期改正；逾期未改正的，可以责令其暂停施工，由此增加的费用和</w:t>
      </w:r>
      <w:r>
        <w:rPr>
          <w:spacing w:val="-3"/>
        </w:rPr>
        <w:t>（</w:t>
      </w:r>
      <w:r>
        <w:t>或</w:t>
      </w:r>
      <w:r>
        <w:rPr>
          <w:spacing w:val="-8"/>
        </w:rPr>
        <w:t>）</w:t>
      </w:r>
      <w:r>
        <w:rPr>
          <w:spacing w:val="-3"/>
        </w:rPr>
        <w:t>延误的工期由承包人承担。</w:t>
      </w:r>
    </w:p>
    <w:p>
      <w:pPr>
        <w:pStyle w:val="32"/>
        <w:numPr>
          <w:ilvl w:val="2"/>
          <w:numId w:val="9"/>
        </w:numPr>
        <w:tabs>
          <w:tab w:val="left" w:pos="1165"/>
        </w:tabs>
        <w:spacing w:before="27" w:after="0" w:line="240" w:lineRule="auto"/>
        <w:ind w:left="1164" w:right="0" w:hanging="631"/>
        <w:jc w:val="left"/>
        <w:rPr>
          <w:sz w:val="21"/>
        </w:rPr>
      </w:pPr>
      <w:r>
        <w:rPr>
          <w:spacing w:val="-3"/>
          <w:sz w:val="21"/>
        </w:rPr>
        <w:t>紧急情况处理</w:t>
      </w:r>
    </w:p>
    <w:p>
      <w:pPr>
        <w:pStyle w:val="13"/>
        <w:spacing w:before="126" w:line="348" w:lineRule="auto"/>
        <w:ind w:right="185" w:firstLine="420"/>
        <w:jc w:val="both"/>
      </w:pPr>
      <w:r>
        <w:rPr>
          <w:spacing w:val="-5"/>
        </w:rPr>
        <w:t>在工程实施期间或缺陷责任期内发生危及工程安全的事件，监理人通知承包人进行抢救，承包人声明</w:t>
      </w:r>
      <w:r>
        <w:rPr>
          <w:spacing w:val="-4"/>
        </w:rPr>
        <w:t xml:space="preserve">无能力或不愿立即执行的，发包人有权雇佣其他人员进行抢救。此类抢救按合同约定属于承包人义务的， </w:t>
      </w:r>
      <w:r>
        <w:rPr>
          <w:spacing w:val="-3"/>
        </w:rPr>
        <w:t>由此增加的费用和（</w:t>
      </w:r>
      <w:r>
        <w:t>或</w:t>
      </w:r>
      <w:r>
        <w:rPr>
          <w:spacing w:val="-3"/>
        </w:rPr>
        <w:t>）延误的工期由承包人承担。</w:t>
      </w:r>
    </w:p>
    <w:p>
      <w:pPr>
        <w:pStyle w:val="32"/>
        <w:numPr>
          <w:ilvl w:val="2"/>
          <w:numId w:val="9"/>
        </w:numPr>
        <w:tabs>
          <w:tab w:val="left" w:pos="1165"/>
        </w:tabs>
        <w:spacing w:before="32" w:after="0" w:line="240" w:lineRule="auto"/>
        <w:ind w:left="1164" w:right="0" w:hanging="631"/>
        <w:jc w:val="left"/>
        <w:rPr>
          <w:sz w:val="21"/>
        </w:rPr>
      </w:pPr>
      <w:r>
        <w:rPr>
          <w:spacing w:val="-2"/>
          <w:sz w:val="21"/>
        </w:rPr>
        <w:t>事故处理</w:t>
      </w:r>
    </w:p>
    <w:p>
      <w:pPr>
        <w:pStyle w:val="13"/>
        <w:spacing w:before="125" w:line="350" w:lineRule="auto"/>
        <w:ind w:right="99" w:firstLine="420"/>
      </w:pPr>
      <w:r>
        <w:rPr>
          <w:spacing w:val="-6"/>
        </w:rPr>
        <w:t>工程施工过程中发生事故的，承包人应立即通知监理人，监理人应立即通知发包人。发包人和承包人</w:t>
      </w:r>
      <w:r>
        <w:rPr>
          <w:spacing w:val="-10"/>
        </w:rPr>
        <w:t>应立即组织人员和设备进行紧急抢救和抢修，减少人员伤亡和财产损失，防止事故扩大，并保护事故现场。</w:t>
      </w:r>
      <w:r>
        <w:rPr>
          <w:spacing w:val="-5"/>
        </w:rPr>
        <w:t xml:space="preserve">需要移动现场物品时，应作出标记和书面记录，妥善保管有关证据。发包人和承包人应按国家有关规定， </w:t>
      </w:r>
      <w:r>
        <w:rPr>
          <w:spacing w:val="-4"/>
        </w:rPr>
        <w:t>及时如实地向有关部门报告事故发生的情况，以及正在采取的紧急措施等。</w:t>
      </w:r>
    </w:p>
    <w:p>
      <w:pPr>
        <w:pStyle w:val="32"/>
        <w:numPr>
          <w:ilvl w:val="2"/>
          <w:numId w:val="9"/>
        </w:numPr>
        <w:tabs>
          <w:tab w:val="left" w:pos="1165"/>
        </w:tabs>
        <w:spacing w:before="26" w:after="0" w:line="240" w:lineRule="auto"/>
        <w:ind w:left="1164" w:right="0" w:hanging="631"/>
        <w:jc w:val="left"/>
        <w:rPr>
          <w:sz w:val="21"/>
        </w:rPr>
      </w:pPr>
      <w:r>
        <w:rPr>
          <w:spacing w:val="-3"/>
          <w:sz w:val="21"/>
        </w:rPr>
        <w:t>安全生产责任</w:t>
      </w:r>
    </w:p>
    <w:p>
      <w:pPr>
        <w:pStyle w:val="32"/>
        <w:numPr>
          <w:ilvl w:val="3"/>
          <w:numId w:val="9"/>
        </w:numPr>
        <w:tabs>
          <w:tab w:val="left" w:pos="1376"/>
        </w:tabs>
        <w:spacing w:before="14" w:after="0" w:line="240" w:lineRule="auto"/>
        <w:ind w:left="1375" w:right="0" w:hanging="842"/>
        <w:jc w:val="left"/>
        <w:rPr>
          <w:sz w:val="21"/>
        </w:rPr>
      </w:pPr>
      <w:r>
        <w:rPr>
          <w:spacing w:val="-3"/>
          <w:sz w:val="21"/>
        </w:rPr>
        <w:t>发包人的安全责任</w:t>
      </w:r>
    </w:p>
    <w:p>
      <w:pPr>
        <w:pStyle w:val="13"/>
        <w:spacing w:before="124"/>
        <w:ind w:left="533"/>
      </w:pPr>
      <w:r>
        <w:t>发包人应负责赔偿以下各种情况造成的损失：</w:t>
      </w:r>
    </w:p>
    <w:p>
      <w:pPr>
        <w:pStyle w:val="13"/>
        <w:spacing w:before="126"/>
        <w:ind w:left="533"/>
      </w:pPr>
      <w:r>
        <w:t>（1）工程或工程的任何部分对土地的占用所造成的第三者财产损失；</w:t>
      </w:r>
    </w:p>
    <w:p>
      <w:pPr>
        <w:pStyle w:val="13"/>
        <w:spacing w:before="126"/>
        <w:ind w:left="533"/>
      </w:pPr>
      <w:r>
        <w:t>（2）由于发包人原因在施工场地及其毗邻地带造成的第三者人身伤亡和财产损失；</w:t>
      </w:r>
    </w:p>
    <w:p>
      <w:pPr>
        <w:pStyle w:val="13"/>
        <w:spacing w:before="123"/>
        <w:ind w:left="533"/>
      </w:pPr>
      <w:r>
        <w:t>（3）由于发包人原因对承包人、监理人造成的人员人身伤亡和财产损失；</w:t>
      </w:r>
    </w:p>
    <w:p>
      <w:pPr>
        <w:pStyle w:val="13"/>
        <w:spacing w:before="125"/>
        <w:ind w:left="533"/>
      </w:pPr>
      <w:r>
        <w:t>（4）由于发包人原因造成的发包人自身人员的人身伤害以及财产损失。</w:t>
      </w:r>
    </w:p>
    <w:p>
      <w:pPr>
        <w:pStyle w:val="32"/>
        <w:numPr>
          <w:ilvl w:val="3"/>
          <w:numId w:val="9"/>
        </w:numPr>
        <w:tabs>
          <w:tab w:val="left" w:pos="1376"/>
        </w:tabs>
        <w:spacing w:before="125" w:after="0" w:line="240" w:lineRule="auto"/>
        <w:ind w:left="1375" w:right="0" w:hanging="842"/>
        <w:jc w:val="left"/>
        <w:rPr>
          <w:sz w:val="21"/>
        </w:rPr>
      </w:pPr>
      <w:r>
        <w:rPr>
          <w:spacing w:val="-3"/>
          <w:sz w:val="21"/>
        </w:rPr>
        <w:t>承包人的安全责任</w:t>
      </w:r>
    </w:p>
    <w:p>
      <w:pPr>
        <w:pStyle w:val="13"/>
        <w:spacing w:before="123" w:line="350" w:lineRule="auto"/>
        <w:ind w:right="178" w:firstLine="420"/>
      </w:pPr>
      <w:r>
        <w:t>由于承包人原因在施工场地内及其毗邻地带造成的发包人、监理人以及第三者人员伤亡和财产损失， 由承包人负责赔偿。</w:t>
      </w:r>
    </w:p>
    <w:p>
      <w:pPr>
        <w:pStyle w:val="32"/>
        <w:numPr>
          <w:ilvl w:val="1"/>
          <w:numId w:val="24"/>
        </w:numPr>
        <w:tabs>
          <w:tab w:val="left" w:pos="959"/>
        </w:tabs>
        <w:spacing w:before="149" w:after="0" w:line="240" w:lineRule="auto"/>
        <w:ind w:left="958" w:right="0" w:hanging="423"/>
        <w:jc w:val="left"/>
        <w:rPr>
          <w:b/>
          <w:sz w:val="21"/>
        </w:rPr>
      </w:pPr>
      <w:r>
        <w:rPr>
          <w:b/>
          <w:sz w:val="21"/>
        </w:rPr>
        <w:t>职业健康</w:t>
      </w:r>
    </w:p>
    <w:p>
      <w:pPr>
        <w:pStyle w:val="13"/>
        <w:spacing w:before="8"/>
        <w:ind w:left="0"/>
        <w:rPr>
          <w:b/>
          <w:sz w:val="18"/>
        </w:rPr>
      </w:pPr>
    </w:p>
    <w:p>
      <w:pPr>
        <w:pStyle w:val="32"/>
        <w:numPr>
          <w:ilvl w:val="2"/>
          <w:numId w:val="24"/>
        </w:numPr>
        <w:tabs>
          <w:tab w:val="left" w:pos="1165"/>
        </w:tabs>
        <w:spacing w:before="0" w:after="0" w:line="240" w:lineRule="auto"/>
        <w:ind w:left="1164" w:right="0" w:hanging="631"/>
        <w:jc w:val="left"/>
        <w:rPr>
          <w:sz w:val="21"/>
        </w:rPr>
      </w:pPr>
      <w:r>
        <w:rPr>
          <w:spacing w:val="-2"/>
          <w:sz w:val="21"/>
        </w:rPr>
        <w:t>劳动保护</w:t>
      </w:r>
    </w:p>
    <w:p>
      <w:pPr>
        <w:pStyle w:val="13"/>
        <w:spacing w:before="125" w:line="348" w:lineRule="auto"/>
        <w:ind w:right="206" w:firstLine="420"/>
        <w:jc w:val="both"/>
      </w:pPr>
      <w:r>
        <w:rPr>
          <w:spacing w:val="-5"/>
        </w:rPr>
        <w:t>承包人应按照法律规定安排现场施工人员的劳动和休息时间，保障劳动者的休息时间，并支付合理的</w:t>
      </w:r>
      <w:r>
        <w:rPr>
          <w:spacing w:val="-8"/>
        </w:rPr>
        <w:t>报酬和费用。承包人应依法为其履行合同所雇用的人员办理必要的证件、许可、保险和注册等，承包人应</w:t>
      </w:r>
      <w:r>
        <w:rPr>
          <w:spacing w:val="-5"/>
        </w:rPr>
        <w:t>督促其分包人为分包人所雇用的人员办理必要的证件、许可、保险和注册等。</w:t>
      </w:r>
    </w:p>
    <w:p>
      <w:pPr>
        <w:pStyle w:val="13"/>
        <w:spacing w:before="31" w:line="348" w:lineRule="auto"/>
        <w:ind w:firstLine="420"/>
      </w:pPr>
      <w:r>
        <w:rPr>
          <w:spacing w:val="-3"/>
        </w:rPr>
        <w:t xml:space="preserve">承包人应按照法律规定保障现场施工人员的劳动安全，并提供劳动保护,并应按国家有关劳动保护的 </w:t>
      </w:r>
      <w:r>
        <w:rPr>
          <w:spacing w:val="-12"/>
        </w:rPr>
        <w:t>规定，采取有效的防止粉尘、降低噪声、控制有害气体和保障高温、高寒、高空作业安全等劳动保护措施。</w:t>
      </w:r>
      <w:r>
        <w:rPr>
          <w:spacing w:val="-6"/>
        </w:rPr>
        <w:t>承包人雇佣人员在施工中受到伤害的，承包人应立即采取有效措施进行抢救和治疗。</w:t>
      </w:r>
    </w:p>
    <w:p>
      <w:pPr>
        <w:pStyle w:val="13"/>
        <w:spacing w:before="31" w:line="350" w:lineRule="auto"/>
        <w:ind w:right="191" w:firstLine="420"/>
      </w:pPr>
      <w:r>
        <w:rPr>
          <w:spacing w:val="-5"/>
        </w:rPr>
        <w:t>承包人应按法律规定安排工作时间，保证其雇佣人员享有休息和休假的权利。因工程施工的特殊需要</w:t>
      </w:r>
      <w:r>
        <w:rPr>
          <w:spacing w:val="-4"/>
        </w:rPr>
        <w:t>占用休假日或延长工作时间的，应不超过法律规定的限度，并按法律规定给予补休或付酬。</w:t>
      </w:r>
    </w:p>
    <w:p>
      <w:pPr>
        <w:pStyle w:val="32"/>
        <w:numPr>
          <w:ilvl w:val="2"/>
          <w:numId w:val="24"/>
        </w:numPr>
        <w:tabs>
          <w:tab w:val="left" w:pos="1165"/>
        </w:tabs>
        <w:spacing w:before="26" w:after="0" w:line="240" w:lineRule="auto"/>
        <w:ind w:left="1164" w:right="0" w:hanging="631"/>
        <w:jc w:val="left"/>
        <w:rPr>
          <w:sz w:val="21"/>
        </w:rPr>
      </w:pPr>
      <w:r>
        <w:rPr>
          <w:spacing w:val="-2"/>
          <w:sz w:val="21"/>
        </w:rPr>
        <w:t>生活条件</w:t>
      </w:r>
    </w:p>
    <w:p>
      <w:pPr>
        <w:pStyle w:val="13"/>
        <w:spacing w:before="125" w:line="348" w:lineRule="auto"/>
        <w:ind w:right="206" w:firstLine="420"/>
        <w:jc w:val="both"/>
      </w:pPr>
      <w:r>
        <w:rPr>
          <w:spacing w:val="-4"/>
        </w:rPr>
        <w:t>承包人应为其履行合同所雇用的人员提供必要的膳宿条件和生活环境；承包人应采取有效措施预防传</w:t>
      </w:r>
      <w:r>
        <w:rPr>
          <w:spacing w:val="-7"/>
        </w:rPr>
        <w:t>染病，保证施工人员的健康，并定期对施工现场、施工人员生活基地和工程进行防疫和卫生的专业检查和</w:t>
      </w:r>
      <w:r>
        <w:rPr>
          <w:spacing w:val="-3"/>
        </w:rPr>
        <w:t>处理, 在远离城镇的施工场地，还应配备必要的伤病防治和急救的医务人员与医疗设施。</w:t>
      </w:r>
    </w:p>
    <w:p>
      <w:pPr>
        <w:pStyle w:val="32"/>
        <w:numPr>
          <w:ilvl w:val="1"/>
          <w:numId w:val="24"/>
        </w:numPr>
        <w:tabs>
          <w:tab w:val="left" w:pos="959"/>
        </w:tabs>
        <w:spacing w:before="151" w:after="0" w:line="240" w:lineRule="auto"/>
        <w:ind w:left="958" w:right="0" w:hanging="423"/>
        <w:jc w:val="left"/>
        <w:rPr>
          <w:b/>
          <w:sz w:val="21"/>
        </w:rPr>
      </w:pPr>
      <w:r>
        <w:rPr>
          <w:b/>
          <w:sz w:val="21"/>
        </w:rPr>
        <w:t>环境保护</w:t>
      </w:r>
    </w:p>
    <w:p>
      <w:pPr>
        <w:pStyle w:val="13"/>
        <w:spacing w:before="10"/>
        <w:ind w:left="0"/>
        <w:rPr>
          <w:b/>
          <w:sz w:val="18"/>
        </w:rPr>
      </w:pPr>
    </w:p>
    <w:p>
      <w:pPr>
        <w:pStyle w:val="13"/>
        <w:spacing w:line="348" w:lineRule="auto"/>
        <w:ind w:right="178" w:firstLine="420"/>
      </w:pPr>
      <w:r>
        <w:rPr>
          <w:spacing w:val="-5"/>
        </w:rPr>
        <w:t>承包人应在施工组织设计中列明环境保护的具体措施。在合同履行期间，承包人应采取合理措施保护</w:t>
      </w:r>
      <w:r>
        <w:rPr>
          <w:spacing w:val="-13"/>
        </w:rPr>
        <w:t>施工现场环境。对施工作业过程中可能引起的大气、水、噪音以及固体废物污染采取具体可行的防范措施。</w:t>
      </w:r>
    </w:p>
    <w:p>
      <w:pPr>
        <w:pStyle w:val="13"/>
        <w:spacing w:before="31" w:line="350" w:lineRule="auto"/>
        <w:ind w:right="178" w:firstLine="420"/>
      </w:pPr>
      <w:r>
        <w:t>承包人应当承担因其原因引起的环境污染侵权损害赔偿责任，因上述环境污染引起纠纷而导致暂停施工的，由此增加的费用和（或）延误的工期由承包人承担。</w:t>
      </w:r>
    </w:p>
    <w:p>
      <w:pPr>
        <w:pStyle w:val="32"/>
        <w:numPr>
          <w:ilvl w:val="0"/>
          <w:numId w:val="9"/>
        </w:numPr>
        <w:tabs>
          <w:tab w:val="left" w:pos="431"/>
        </w:tabs>
        <w:spacing w:before="147" w:after="0" w:line="240" w:lineRule="auto"/>
        <w:ind w:left="430" w:right="0" w:hanging="318"/>
        <w:jc w:val="left"/>
        <w:rPr>
          <w:sz w:val="21"/>
        </w:rPr>
      </w:pPr>
      <w:r>
        <w:rPr>
          <w:spacing w:val="-3"/>
          <w:sz w:val="21"/>
        </w:rPr>
        <w:t>工期和进度</w:t>
      </w:r>
    </w:p>
    <w:p>
      <w:pPr>
        <w:pStyle w:val="13"/>
        <w:spacing w:before="10"/>
        <w:ind w:left="0"/>
        <w:rPr>
          <w:sz w:val="18"/>
        </w:rPr>
      </w:pPr>
    </w:p>
    <w:p>
      <w:pPr>
        <w:pStyle w:val="32"/>
        <w:numPr>
          <w:ilvl w:val="1"/>
          <w:numId w:val="9"/>
        </w:numPr>
        <w:tabs>
          <w:tab w:val="left" w:pos="906"/>
        </w:tabs>
        <w:spacing w:before="0" w:after="0" w:line="240" w:lineRule="auto"/>
        <w:ind w:left="905" w:right="0" w:hanging="370"/>
        <w:jc w:val="left"/>
        <w:rPr>
          <w:b/>
          <w:sz w:val="21"/>
        </w:rPr>
      </w:pPr>
      <w:r>
        <w:rPr>
          <w:b/>
          <w:sz w:val="21"/>
        </w:rPr>
        <w:t>施工组织设计</w:t>
      </w:r>
    </w:p>
    <w:p>
      <w:pPr>
        <w:pStyle w:val="13"/>
        <w:spacing w:before="10"/>
        <w:ind w:left="0"/>
        <w:rPr>
          <w:b/>
          <w:sz w:val="18"/>
        </w:rPr>
      </w:pPr>
    </w:p>
    <w:p>
      <w:pPr>
        <w:pStyle w:val="32"/>
        <w:numPr>
          <w:ilvl w:val="2"/>
          <w:numId w:val="9"/>
        </w:numPr>
        <w:tabs>
          <w:tab w:val="left" w:pos="1165"/>
        </w:tabs>
        <w:spacing w:before="0" w:after="0" w:line="240" w:lineRule="auto"/>
        <w:ind w:left="1164" w:right="0" w:hanging="631"/>
        <w:jc w:val="left"/>
        <w:rPr>
          <w:sz w:val="21"/>
        </w:rPr>
      </w:pPr>
      <w:r>
        <w:rPr>
          <w:spacing w:val="-3"/>
          <w:sz w:val="21"/>
        </w:rPr>
        <w:t>施工组织设计的内容</w:t>
      </w:r>
    </w:p>
    <w:p>
      <w:pPr>
        <w:pStyle w:val="13"/>
        <w:spacing w:before="123"/>
        <w:ind w:left="533"/>
      </w:pPr>
      <w:r>
        <w:t>施工组织设计应包含以下内容：</w:t>
      </w:r>
    </w:p>
    <w:p>
      <w:pPr>
        <w:pStyle w:val="13"/>
        <w:spacing w:before="126"/>
        <w:ind w:left="533"/>
      </w:pPr>
      <w:r>
        <w:t>（1）施工方案；</w:t>
      </w:r>
    </w:p>
    <w:p>
      <w:pPr>
        <w:pStyle w:val="13"/>
        <w:spacing w:before="14"/>
        <w:ind w:left="533"/>
      </w:pPr>
      <w:r>
        <w:t>（2）施工现场平面布置图；</w:t>
      </w:r>
    </w:p>
    <w:p>
      <w:pPr>
        <w:pStyle w:val="13"/>
        <w:spacing w:before="124"/>
        <w:ind w:left="533"/>
      </w:pPr>
      <w:r>
        <w:t>（3）施工进度计划和保证措施；</w:t>
      </w:r>
    </w:p>
    <w:p>
      <w:pPr>
        <w:pStyle w:val="13"/>
        <w:spacing w:before="126"/>
        <w:ind w:left="533"/>
      </w:pPr>
      <w:r>
        <w:t>（4）劳动力及材料供应计划；</w:t>
      </w:r>
    </w:p>
    <w:p>
      <w:pPr>
        <w:pStyle w:val="13"/>
        <w:spacing w:before="126"/>
        <w:ind w:left="533"/>
      </w:pPr>
      <w:r>
        <w:t>（5）施工机械设备的选用；</w:t>
      </w:r>
    </w:p>
    <w:p>
      <w:pPr>
        <w:pStyle w:val="13"/>
        <w:spacing w:before="123"/>
        <w:ind w:left="533"/>
      </w:pPr>
      <w:r>
        <w:t>（6）质量保证体系及措施；</w:t>
      </w:r>
    </w:p>
    <w:p>
      <w:pPr>
        <w:pStyle w:val="13"/>
        <w:spacing w:before="125"/>
        <w:ind w:left="533"/>
      </w:pPr>
      <w:r>
        <w:t>（7）安全生产、文明施工措施；</w:t>
      </w:r>
    </w:p>
    <w:p>
      <w:pPr>
        <w:pStyle w:val="13"/>
        <w:spacing w:before="125"/>
        <w:ind w:left="533"/>
      </w:pPr>
      <w:r>
        <w:t>（8）环境保护、成本控制措施；</w:t>
      </w:r>
    </w:p>
    <w:p>
      <w:pPr>
        <w:pStyle w:val="13"/>
        <w:spacing w:before="123"/>
        <w:ind w:left="533"/>
      </w:pPr>
      <w:r>
        <w:t>（9）合同当事人约定的其他内容。</w:t>
      </w:r>
    </w:p>
    <w:p>
      <w:pPr>
        <w:pStyle w:val="32"/>
        <w:numPr>
          <w:ilvl w:val="2"/>
          <w:numId w:val="9"/>
        </w:numPr>
        <w:tabs>
          <w:tab w:val="left" w:pos="1165"/>
        </w:tabs>
        <w:spacing w:before="126" w:after="0" w:line="240" w:lineRule="auto"/>
        <w:ind w:left="1164" w:right="0" w:hanging="631"/>
        <w:jc w:val="left"/>
        <w:rPr>
          <w:sz w:val="21"/>
        </w:rPr>
      </w:pPr>
      <w:r>
        <w:rPr>
          <w:spacing w:val="-3"/>
          <w:sz w:val="21"/>
        </w:rPr>
        <w:t>施工组织设计的提交和修改</w:t>
      </w:r>
    </w:p>
    <w:p>
      <w:pPr>
        <w:pStyle w:val="13"/>
        <w:spacing w:before="126" w:line="348" w:lineRule="auto"/>
        <w:ind w:right="191" w:firstLine="420"/>
      </w:pPr>
      <w:r>
        <w:rPr>
          <w:spacing w:val="-4"/>
        </w:rPr>
        <w:t>除专用合同条款另有约定外，承包人应在合同签订后</w:t>
      </w:r>
      <w:r>
        <w:t>14</w:t>
      </w:r>
      <w:r>
        <w:rPr>
          <w:spacing w:val="-4"/>
        </w:rPr>
        <w:t>天内，但至迟不得晚于第</w:t>
      </w:r>
      <w:r>
        <w:t>7.3.2</w:t>
      </w:r>
      <w:r>
        <w:rPr>
          <w:spacing w:val="-4"/>
        </w:rPr>
        <w:t>项〔开工通知〕</w:t>
      </w:r>
      <w:r>
        <w:rPr>
          <w:spacing w:val="-3"/>
        </w:rPr>
        <w:t>载明的开工日期前7天，向监理人提交详细的施工组织设计，并由监理人报送发包人。除专用合同条款另有约定外，发包人和监理人应在监理人收到施工组织设计后7天内确认或提出修改意见。对发包人和监理人提</w:t>
      </w:r>
      <w:r>
        <w:rPr>
          <w:spacing w:val="-6"/>
        </w:rPr>
        <w:t>出的合理意见和要求，承包人应自费修改完善。根据工程实际情况需要修改施工组织设计的，承包人应向</w:t>
      </w:r>
      <w:r>
        <w:rPr>
          <w:spacing w:val="-3"/>
        </w:rPr>
        <w:t>发包人和监理人提交修改后的施工组织设计。</w:t>
      </w:r>
    </w:p>
    <w:p>
      <w:pPr>
        <w:pStyle w:val="13"/>
        <w:spacing w:before="31"/>
        <w:ind w:left="533"/>
      </w:pPr>
      <w:r>
        <w:t>施工进度计划的编制和修改按照第7.2款〔施工进度计划〕执行。</w:t>
      </w:r>
    </w:p>
    <w:p>
      <w:pPr>
        <w:pStyle w:val="13"/>
        <w:spacing w:before="10"/>
        <w:ind w:left="0"/>
        <w:rPr>
          <w:sz w:val="18"/>
        </w:rPr>
      </w:pPr>
    </w:p>
    <w:p>
      <w:pPr>
        <w:pStyle w:val="32"/>
        <w:numPr>
          <w:ilvl w:val="1"/>
          <w:numId w:val="25"/>
        </w:numPr>
        <w:tabs>
          <w:tab w:val="left" w:pos="959"/>
        </w:tabs>
        <w:spacing w:before="0" w:after="0" w:line="240" w:lineRule="auto"/>
        <w:ind w:left="958" w:right="0" w:hanging="423"/>
        <w:jc w:val="left"/>
        <w:rPr>
          <w:b/>
          <w:sz w:val="21"/>
        </w:rPr>
      </w:pPr>
      <w:r>
        <w:rPr>
          <w:b/>
          <w:sz w:val="21"/>
        </w:rPr>
        <w:t>施工进度计划</w:t>
      </w:r>
    </w:p>
    <w:p>
      <w:pPr>
        <w:pStyle w:val="13"/>
        <w:spacing w:before="8"/>
        <w:ind w:left="0"/>
        <w:rPr>
          <w:b/>
          <w:sz w:val="18"/>
        </w:rPr>
      </w:pPr>
    </w:p>
    <w:p>
      <w:pPr>
        <w:pStyle w:val="32"/>
        <w:numPr>
          <w:ilvl w:val="2"/>
          <w:numId w:val="25"/>
        </w:numPr>
        <w:tabs>
          <w:tab w:val="left" w:pos="1165"/>
        </w:tabs>
        <w:spacing w:before="0" w:after="0" w:line="240" w:lineRule="auto"/>
        <w:ind w:left="1164" w:right="0" w:hanging="631"/>
        <w:jc w:val="left"/>
        <w:rPr>
          <w:sz w:val="21"/>
        </w:rPr>
      </w:pPr>
      <w:r>
        <w:rPr>
          <w:spacing w:val="-3"/>
          <w:sz w:val="21"/>
        </w:rPr>
        <w:t>施工进度计划的编制</w:t>
      </w:r>
    </w:p>
    <w:p>
      <w:pPr>
        <w:pStyle w:val="13"/>
        <w:spacing w:before="126" w:line="348" w:lineRule="auto"/>
        <w:ind w:right="200" w:firstLine="420"/>
      </w:pPr>
      <w:r>
        <w:rPr>
          <w:spacing w:val="-3"/>
        </w:rPr>
        <w:t>承包人应按照第</w:t>
      </w:r>
      <w:r>
        <w:t>7.1</w:t>
      </w:r>
      <w:r>
        <w:rPr>
          <w:spacing w:val="-3"/>
        </w:rPr>
        <w:t>款〔施工组织设计〕约定提交详细的施工进度计划，施工进度计划的编制应当符</w:t>
      </w:r>
      <w:r>
        <w:rPr>
          <w:spacing w:val="-5"/>
        </w:rPr>
        <w:t>合国家法律规定和一般工程实践惯例，施工进度计划经发包人批准后实施。施工进度计划是控制工程进度</w:t>
      </w:r>
      <w:r>
        <w:rPr>
          <w:spacing w:val="-4"/>
        </w:rPr>
        <w:t>的依据，发包人和监理人有权按照施工进度计划检查工程进度情况。</w:t>
      </w:r>
    </w:p>
    <w:p>
      <w:pPr>
        <w:pStyle w:val="32"/>
        <w:numPr>
          <w:ilvl w:val="2"/>
          <w:numId w:val="25"/>
        </w:numPr>
        <w:tabs>
          <w:tab w:val="left" w:pos="1165"/>
        </w:tabs>
        <w:spacing w:before="31" w:after="0" w:line="240" w:lineRule="auto"/>
        <w:ind w:left="1164" w:right="0" w:hanging="631"/>
        <w:jc w:val="left"/>
        <w:rPr>
          <w:sz w:val="21"/>
        </w:rPr>
      </w:pPr>
      <w:r>
        <w:rPr>
          <w:spacing w:val="-3"/>
          <w:sz w:val="21"/>
        </w:rPr>
        <w:t>施工进度计划的修订</w:t>
      </w:r>
    </w:p>
    <w:p>
      <w:pPr>
        <w:pStyle w:val="13"/>
        <w:spacing w:before="125" w:line="350" w:lineRule="auto"/>
        <w:ind w:right="191" w:firstLine="420"/>
      </w:pPr>
      <w:r>
        <w:rPr>
          <w:spacing w:val="-4"/>
        </w:rPr>
        <w:t>施工进度计划不符合合同要求或与工程的实际进度不一致的，承包人应向监理人提交修订的施工进度</w:t>
      </w:r>
      <w:r>
        <w:rPr>
          <w:spacing w:val="-7"/>
        </w:rPr>
        <w:t>计划，并附具有关措施和相关资料，由监理人报送发包人。除专用合同条款另有约定外，发包人和监理人</w:t>
      </w:r>
      <w:r>
        <w:rPr>
          <w:spacing w:val="-5"/>
        </w:rPr>
        <w:t>应在收到修订的施工进度计划后</w:t>
      </w:r>
      <w:r>
        <w:t>7</w:t>
      </w:r>
      <w:r>
        <w:rPr>
          <w:spacing w:val="-3"/>
        </w:rPr>
        <w:t>天内完成审核和批准或提出修改意见。发包人和监理人对承包人提交的施工进度计划的确认，不能减轻或免除承包人根据法律规定和合同约定应承担的任何责任或义务。</w:t>
      </w:r>
    </w:p>
    <w:p>
      <w:pPr>
        <w:pStyle w:val="32"/>
        <w:numPr>
          <w:ilvl w:val="1"/>
          <w:numId w:val="25"/>
        </w:numPr>
        <w:tabs>
          <w:tab w:val="left" w:pos="959"/>
        </w:tabs>
        <w:spacing w:before="146" w:after="0" w:line="240" w:lineRule="auto"/>
        <w:ind w:left="958" w:right="0" w:hanging="423"/>
        <w:jc w:val="left"/>
        <w:rPr>
          <w:b/>
          <w:sz w:val="21"/>
        </w:rPr>
      </w:pPr>
      <w:r>
        <w:rPr>
          <w:b/>
          <w:sz w:val="21"/>
        </w:rPr>
        <w:t>开工</w:t>
      </w:r>
    </w:p>
    <w:p>
      <w:pPr>
        <w:pStyle w:val="13"/>
        <w:spacing w:before="9"/>
        <w:ind w:left="0"/>
        <w:rPr>
          <w:b/>
          <w:sz w:val="18"/>
        </w:rPr>
      </w:pPr>
    </w:p>
    <w:p>
      <w:pPr>
        <w:pStyle w:val="32"/>
        <w:numPr>
          <w:ilvl w:val="2"/>
          <w:numId w:val="25"/>
        </w:numPr>
        <w:tabs>
          <w:tab w:val="left" w:pos="1165"/>
        </w:tabs>
        <w:spacing w:before="1" w:after="0" w:line="240" w:lineRule="auto"/>
        <w:ind w:left="1164" w:right="0" w:hanging="631"/>
        <w:jc w:val="left"/>
        <w:rPr>
          <w:sz w:val="21"/>
        </w:rPr>
      </w:pPr>
      <w:r>
        <w:rPr>
          <w:spacing w:val="-2"/>
          <w:sz w:val="21"/>
        </w:rPr>
        <w:t>开工准备</w:t>
      </w:r>
    </w:p>
    <w:p>
      <w:pPr>
        <w:pStyle w:val="13"/>
        <w:spacing w:before="126" w:line="350" w:lineRule="auto"/>
        <w:ind w:right="206" w:firstLine="420"/>
        <w:jc w:val="both"/>
      </w:pPr>
      <w:r>
        <w:rPr>
          <w:spacing w:val="-6"/>
        </w:rPr>
        <w:t xml:space="preserve">除专用合同条款另有约定外，承包人应按照第 </w:t>
      </w:r>
      <w:r>
        <w:t>7.1</w:t>
      </w:r>
      <w:r>
        <w:rPr>
          <w:spacing w:val="-8"/>
        </w:rPr>
        <w:t xml:space="preserve"> 款〔施工组织设计〕约定的期限，向监理人提交工程开工报审表，经监理人报发包人批准后执行。开工报审表应详细说明按施工进度计划正常施工所需的施</w:t>
      </w:r>
      <w:r>
        <w:rPr>
          <w:spacing w:val="-5"/>
        </w:rPr>
        <w:t>工道路、临时设施、材料、工程设备、施工设备、施工人员等落实情况以及工程的进度安排。</w:t>
      </w:r>
    </w:p>
    <w:p>
      <w:pPr>
        <w:pStyle w:val="13"/>
        <w:spacing w:before="29"/>
        <w:ind w:left="533"/>
      </w:pPr>
      <w:r>
        <w:t>除专用合同条款另有约定外，合同当事人应按约定完成开工准备工作。</w:t>
      </w:r>
    </w:p>
    <w:p>
      <w:pPr>
        <w:pStyle w:val="32"/>
        <w:numPr>
          <w:ilvl w:val="2"/>
          <w:numId w:val="25"/>
        </w:numPr>
        <w:tabs>
          <w:tab w:val="left" w:pos="1165"/>
        </w:tabs>
        <w:spacing w:before="123" w:after="0" w:line="240" w:lineRule="auto"/>
        <w:ind w:left="1164" w:right="0" w:hanging="631"/>
        <w:jc w:val="left"/>
        <w:rPr>
          <w:sz w:val="21"/>
        </w:rPr>
      </w:pPr>
      <w:r>
        <w:rPr>
          <w:spacing w:val="-2"/>
          <w:sz w:val="21"/>
        </w:rPr>
        <w:t>开工通知</w:t>
      </w:r>
    </w:p>
    <w:p>
      <w:pPr>
        <w:pStyle w:val="13"/>
        <w:spacing w:before="125" w:line="350" w:lineRule="auto"/>
        <w:ind w:right="86" w:firstLine="420"/>
      </w:pPr>
      <w:r>
        <w:rPr>
          <w:spacing w:val="-5"/>
        </w:rPr>
        <w:t>发包人应按照法律规定获得工程施工所需的许可。经发包人同意后，监理人发出的开工通知应符合法</w:t>
      </w:r>
      <w:r>
        <w:rPr>
          <w:spacing w:val="-6"/>
        </w:rPr>
        <w:t>律规定。监理人应在计划开工日期</w:t>
      </w:r>
      <w:r>
        <w:rPr>
          <w:spacing w:val="-3"/>
        </w:rPr>
        <w:t>7</w:t>
      </w:r>
      <w:r>
        <w:rPr>
          <w:spacing w:val="-4"/>
        </w:rPr>
        <w:t>天前向承包人发出开工通知，工期自开工通知中载明的开工日期起算。</w:t>
      </w:r>
    </w:p>
    <w:p>
      <w:pPr>
        <w:pStyle w:val="13"/>
        <w:spacing w:before="14" w:line="348" w:lineRule="auto"/>
        <w:ind w:right="128" w:firstLine="420"/>
      </w:pPr>
      <w:r>
        <w:rPr>
          <w:spacing w:val="-4"/>
        </w:rPr>
        <w:t xml:space="preserve">除专用合同条款另有约定外，因发包人原因造成监理人未能在计划开工日期之日起 </w:t>
      </w:r>
      <w:r>
        <w:t>90</w:t>
      </w:r>
      <w:r>
        <w:rPr>
          <w:spacing w:val="-9"/>
        </w:rPr>
        <w:t xml:space="preserve"> 天内发出开工</w:t>
      </w:r>
      <w:r>
        <w:rPr>
          <w:spacing w:val="-8"/>
        </w:rPr>
        <w:t>通知的，承包人有权提出价格调整要求，或者解除合同。发包人应当承担由此增加的费用和</w:t>
      </w:r>
      <w:r>
        <w:t>（</w:t>
      </w:r>
      <w:r>
        <w:rPr>
          <w:spacing w:val="-3"/>
        </w:rPr>
        <w:t>或</w:t>
      </w:r>
      <w:r>
        <w:rPr>
          <w:spacing w:val="-5"/>
        </w:rPr>
        <w:t>）</w:t>
      </w:r>
      <w:r>
        <w:rPr>
          <w:spacing w:val="-2"/>
        </w:rPr>
        <w:t>延误的</w:t>
      </w:r>
      <w:r>
        <w:rPr>
          <w:spacing w:val="-3"/>
        </w:rPr>
        <w:t>工期，并向承包人支付合理利润。</w:t>
      </w:r>
    </w:p>
    <w:p>
      <w:pPr>
        <w:pStyle w:val="32"/>
        <w:numPr>
          <w:ilvl w:val="1"/>
          <w:numId w:val="26"/>
        </w:numPr>
        <w:tabs>
          <w:tab w:val="left" w:pos="906"/>
        </w:tabs>
        <w:spacing w:before="151" w:after="0" w:line="240" w:lineRule="auto"/>
        <w:ind w:left="905" w:right="0" w:hanging="370"/>
        <w:jc w:val="left"/>
        <w:rPr>
          <w:b/>
          <w:sz w:val="21"/>
        </w:rPr>
      </w:pPr>
      <w:r>
        <w:rPr>
          <w:b/>
          <w:sz w:val="21"/>
        </w:rPr>
        <w:t>测量放线</w:t>
      </w:r>
    </w:p>
    <w:p>
      <w:pPr>
        <w:pStyle w:val="13"/>
        <w:spacing w:before="7"/>
        <w:ind w:left="0"/>
        <w:rPr>
          <w:b/>
          <w:sz w:val="18"/>
        </w:rPr>
      </w:pPr>
    </w:p>
    <w:p>
      <w:pPr>
        <w:pStyle w:val="32"/>
        <w:numPr>
          <w:ilvl w:val="2"/>
          <w:numId w:val="26"/>
        </w:numPr>
        <w:tabs>
          <w:tab w:val="left" w:pos="1165"/>
        </w:tabs>
        <w:spacing w:before="0" w:after="0" w:line="350" w:lineRule="auto"/>
        <w:ind w:left="112" w:right="210" w:firstLine="421"/>
        <w:jc w:val="both"/>
        <w:rPr>
          <w:sz w:val="21"/>
        </w:rPr>
      </w:pPr>
      <w:r>
        <w:rPr>
          <w:spacing w:val="-3"/>
          <w:sz w:val="21"/>
        </w:rPr>
        <w:t>除专用合同条款另有约定外，发包人应在至迟不得晚于第</w:t>
      </w:r>
      <w:r>
        <w:rPr>
          <w:sz w:val="21"/>
        </w:rPr>
        <w:t>7.3.2</w:t>
      </w:r>
      <w:r>
        <w:rPr>
          <w:spacing w:val="-3"/>
          <w:sz w:val="21"/>
        </w:rPr>
        <w:t>项〔开工通知〕载明的开工日期前7天通过监理人向承包人提供测量基准点、基准线和水准点及其书面资料。发包人应对其提供的测量基准点、基准线和水准点及其书面资料的真实性、准确性和完整性负责。</w:t>
      </w:r>
    </w:p>
    <w:p>
      <w:pPr>
        <w:pStyle w:val="13"/>
        <w:spacing w:before="26" w:line="350" w:lineRule="auto"/>
        <w:ind w:right="126" w:firstLine="420"/>
        <w:jc w:val="both"/>
      </w:pPr>
      <w:r>
        <w:rPr>
          <w:spacing w:val="-5"/>
        </w:rPr>
        <w:t>承包人发现发包人提供的测量基准点、基准线和水准点及其书面资料存在错误或疏漏的，应及时通知</w:t>
      </w:r>
      <w:r>
        <w:rPr>
          <w:spacing w:val="-8"/>
        </w:rPr>
        <w:t>监理人。监理人应及时报告发包人，并会同发包人和承包人予以核实。发包人应就如何处理和是否继续施</w:t>
      </w:r>
      <w:r>
        <w:rPr>
          <w:spacing w:val="-5"/>
        </w:rPr>
        <w:t>工作出决定，并通知监理人和承包人。</w:t>
      </w:r>
    </w:p>
    <w:p>
      <w:pPr>
        <w:pStyle w:val="32"/>
        <w:numPr>
          <w:ilvl w:val="2"/>
          <w:numId w:val="26"/>
        </w:numPr>
        <w:tabs>
          <w:tab w:val="left" w:pos="1165"/>
        </w:tabs>
        <w:spacing w:before="27" w:after="0" w:line="350" w:lineRule="auto"/>
        <w:ind w:left="112" w:right="104" w:firstLine="421"/>
        <w:jc w:val="both"/>
        <w:rPr>
          <w:sz w:val="21"/>
        </w:rPr>
      </w:pPr>
      <w:r>
        <w:rPr>
          <w:spacing w:val="-3"/>
          <w:sz w:val="21"/>
        </w:rPr>
        <w:t>承包人负责施工过程中的全部施工测量放线工作，并配置具有相应资质的人员、合格的仪器、</w:t>
      </w:r>
      <w:r>
        <w:rPr>
          <w:spacing w:val="-6"/>
          <w:sz w:val="21"/>
        </w:rPr>
        <w:t>设备和其他物品。承包人应矫正工程的位置、标高、尺寸或准线中出现的任何差错，并对工程各部分的定</w:t>
      </w:r>
      <w:r>
        <w:rPr>
          <w:spacing w:val="-4"/>
          <w:sz w:val="21"/>
        </w:rPr>
        <w:t>位负责。</w:t>
      </w:r>
    </w:p>
    <w:p>
      <w:pPr>
        <w:pStyle w:val="13"/>
        <w:spacing w:before="27"/>
        <w:ind w:left="533"/>
      </w:pPr>
      <w:r>
        <w:t>施工过程中对施工现场内水准点等测量标志物的保护工作由承包人负责。</w:t>
      </w:r>
    </w:p>
    <w:p>
      <w:pPr>
        <w:pStyle w:val="13"/>
        <w:spacing w:before="10"/>
        <w:ind w:left="0"/>
        <w:rPr>
          <w:sz w:val="18"/>
        </w:rPr>
      </w:pPr>
    </w:p>
    <w:p>
      <w:pPr>
        <w:pStyle w:val="32"/>
        <w:numPr>
          <w:ilvl w:val="1"/>
          <w:numId w:val="27"/>
        </w:numPr>
        <w:tabs>
          <w:tab w:val="left" w:pos="959"/>
        </w:tabs>
        <w:spacing w:before="0" w:after="0" w:line="240" w:lineRule="auto"/>
        <w:ind w:left="958" w:right="0" w:hanging="423"/>
        <w:jc w:val="left"/>
        <w:rPr>
          <w:b/>
          <w:sz w:val="21"/>
        </w:rPr>
      </w:pPr>
      <w:r>
        <w:rPr>
          <w:b/>
          <w:sz w:val="21"/>
        </w:rPr>
        <w:t>工期延误</w:t>
      </w:r>
    </w:p>
    <w:p>
      <w:pPr>
        <w:pStyle w:val="13"/>
        <w:spacing w:before="9"/>
        <w:ind w:left="0"/>
        <w:rPr>
          <w:b/>
          <w:sz w:val="18"/>
        </w:rPr>
      </w:pPr>
    </w:p>
    <w:p>
      <w:pPr>
        <w:pStyle w:val="32"/>
        <w:numPr>
          <w:ilvl w:val="2"/>
          <w:numId w:val="27"/>
        </w:numPr>
        <w:tabs>
          <w:tab w:val="left" w:pos="1165"/>
        </w:tabs>
        <w:spacing w:before="1" w:after="0" w:line="240" w:lineRule="auto"/>
        <w:ind w:left="1164" w:right="0" w:hanging="631"/>
        <w:jc w:val="left"/>
        <w:rPr>
          <w:sz w:val="21"/>
        </w:rPr>
      </w:pPr>
      <w:r>
        <w:rPr>
          <w:spacing w:val="-3"/>
          <w:sz w:val="21"/>
        </w:rPr>
        <w:t>因发包人原因导致工期延误</w:t>
      </w:r>
    </w:p>
    <w:p>
      <w:pPr>
        <w:pStyle w:val="13"/>
        <w:spacing w:before="123"/>
        <w:ind w:left="533"/>
      </w:pPr>
      <w:r>
        <w:t>在合同履行过程中，因下列情况导致工期延误和（或）费用增加的，由发包人承担由此延误的工期和</w:t>
      </w:r>
    </w:p>
    <w:p>
      <w:pPr>
        <w:pStyle w:val="13"/>
        <w:spacing w:before="125"/>
      </w:pPr>
      <w:r>
        <w:t>（或）增加的费用，且发包人应支付承包人合理的利润：</w:t>
      </w:r>
    </w:p>
    <w:p>
      <w:pPr>
        <w:pStyle w:val="13"/>
        <w:spacing w:before="125"/>
        <w:ind w:left="533"/>
      </w:pPr>
      <w:r>
        <w:t>（1）发包人未能按合同约定提供图纸或所提供图纸不符合合同约定的；</w:t>
      </w:r>
    </w:p>
    <w:p>
      <w:pPr>
        <w:pStyle w:val="13"/>
        <w:spacing w:before="123"/>
        <w:ind w:left="533"/>
      </w:pPr>
      <w:r>
        <w:t>（2）发包人未能按合同约定提供施工现场、施工条件、基础资料、许可、批准等开工条件的；</w:t>
      </w:r>
    </w:p>
    <w:p>
      <w:pPr>
        <w:pStyle w:val="13"/>
        <w:spacing w:before="125"/>
        <w:ind w:left="533"/>
      </w:pPr>
      <w:r>
        <w:t>（3）发包人提供的测量基准点、基准线和水准点及其书面资料存在错误或疏漏的；</w:t>
      </w:r>
    </w:p>
    <w:p>
      <w:pPr>
        <w:pStyle w:val="13"/>
        <w:spacing w:before="125"/>
        <w:ind w:left="533"/>
      </w:pPr>
      <w:r>
        <w:t>（4）发包人未能在计划开工日期之日起 7 天内同意下达开工通知的；</w:t>
      </w:r>
    </w:p>
    <w:p>
      <w:pPr>
        <w:pStyle w:val="13"/>
        <w:spacing w:before="123"/>
        <w:ind w:left="533"/>
      </w:pPr>
      <w:r>
        <w:t>（5）发包人未能按合同约定日期支付工程预付款、进度款或竣工结算款的；</w:t>
      </w:r>
    </w:p>
    <w:p>
      <w:pPr>
        <w:pStyle w:val="13"/>
        <w:spacing w:before="125"/>
        <w:ind w:left="533"/>
      </w:pPr>
      <w:r>
        <w:t>（6）监理人未按合同约定发出指示、批准等文件的；</w:t>
      </w:r>
    </w:p>
    <w:p>
      <w:pPr>
        <w:pStyle w:val="13"/>
        <w:spacing w:before="125"/>
        <w:ind w:left="533"/>
      </w:pPr>
      <w:r>
        <w:t>（7）专用合同条款中约定的其他情形。</w:t>
      </w:r>
    </w:p>
    <w:p>
      <w:pPr>
        <w:pStyle w:val="13"/>
        <w:spacing w:before="123" w:line="350" w:lineRule="auto"/>
        <w:ind w:right="126" w:firstLine="420"/>
        <w:jc w:val="both"/>
      </w:pPr>
      <w:r>
        <w:rPr>
          <w:spacing w:val="-5"/>
        </w:rPr>
        <w:t>因发包人原因未按计划开工日期开工的，发包人应按实际开工日期顺延竣工日期，确保实际工期不低</w:t>
      </w:r>
      <w:r>
        <w:rPr>
          <w:spacing w:val="-13"/>
        </w:rPr>
        <w:t xml:space="preserve">于合同约定的工期总日历天数。因发包人原因导致工期延误需要修订施工进度计划的，按照第 </w:t>
      </w:r>
      <w:r>
        <w:t>7.2.2</w:t>
      </w:r>
      <w:r>
        <w:rPr>
          <w:spacing w:val="-30"/>
        </w:rPr>
        <w:t xml:space="preserve"> 项〔施</w:t>
      </w:r>
      <w:r>
        <w:rPr>
          <w:spacing w:val="-9"/>
        </w:rPr>
        <w:t>工进度计划的修订〕执行。</w:t>
      </w:r>
    </w:p>
    <w:p>
      <w:pPr>
        <w:pStyle w:val="32"/>
        <w:numPr>
          <w:ilvl w:val="2"/>
          <w:numId w:val="27"/>
        </w:numPr>
        <w:tabs>
          <w:tab w:val="left" w:pos="1165"/>
        </w:tabs>
        <w:spacing w:before="27" w:after="0" w:line="240" w:lineRule="auto"/>
        <w:ind w:left="1164" w:right="0" w:hanging="631"/>
        <w:jc w:val="left"/>
        <w:rPr>
          <w:sz w:val="21"/>
        </w:rPr>
      </w:pPr>
      <w:r>
        <w:rPr>
          <w:spacing w:val="-3"/>
          <w:sz w:val="21"/>
        </w:rPr>
        <w:t>因承包人原因导致工期延误</w:t>
      </w:r>
    </w:p>
    <w:p>
      <w:pPr>
        <w:pStyle w:val="13"/>
        <w:spacing w:before="125" w:line="350" w:lineRule="auto"/>
        <w:ind w:right="111" w:firstLine="420"/>
      </w:pPr>
      <w:r>
        <w:rPr>
          <w:spacing w:val="-5"/>
        </w:rPr>
        <w:t>因承包人原因造成工期延误的，可以在专用合同条款中约定逾期竣工违约金的计算方法和逾期竣工违</w:t>
      </w:r>
      <w:r>
        <w:rPr>
          <w:spacing w:val="-4"/>
        </w:rPr>
        <w:t>约金的上限。承包人支付逾期竣工违约金后，不免除承包人继续完成工程及修补缺陷的义务。</w:t>
      </w:r>
    </w:p>
    <w:p>
      <w:pPr>
        <w:pStyle w:val="32"/>
        <w:numPr>
          <w:ilvl w:val="1"/>
          <w:numId w:val="28"/>
        </w:numPr>
        <w:tabs>
          <w:tab w:val="left" w:pos="959"/>
        </w:tabs>
        <w:spacing w:before="146" w:after="0" w:line="240" w:lineRule="auto"/>
        <w:ind w:left="958" w:right="0" w:hanging="423"/>
        <w:jc w:val="left"/>
        <w:rPr>
          <w:b/>
          <w:sz w:val="21"/>
        </w:rPr>
      </w:pPr>
      <w:r>
        <w:rPr>
          <w:b/>
          <w:sz w:val="21"/>
        </w:rPr>
        <w:t>不利物质条件</w:t>
      </w:r>
    </w:p>
    <w:p>
      <w:pPr>
        <w:pStyle w:val="13"/>
        <w:spacing w:before="10"/>
        <w:ind w:left="0"/>
        <w:rPr>
          <w:b/>
          <w:sz w:val="18"/>
        </w:rPr>
      </w:pPr>
    </w:p>
    <w:p>
      <w:pPr>
        <w:pStyle w:val="13"/>
        <w:ind w:left="533"/>
      </w:pPr>
      <w:r>
        <w:t>不利物质条件是指有经验的承包人在施工现场遇到的不可预见的自然物质条件、非自然的物质障碍和</w:t>
      </w:r>
    </w:p>
    <w:p>
      <w:pPr>
        <w:pStyle w:val="13"/>
        <w:spacing w:before="14"/>
      </w:pPr>
      <w:r>
        <w:t>污染物，包括地表以下物质条件和水文条件以及专用合同条款约定的其他情形，但不包括气候条件。</w:t>
      </w:r>
    </w:p>
    <w:p>
      <w:pPr>
        <w:pStyle w:val="13"/>
        <w:spacing w:before="124" w:line="350" w:lineRule="auto"/>
        <w:ind w:right="104" w:firstLine="420"/>
        <w:jc w:val="both"/>
      </w:pPr>
      <w:r>
        <w:rPr>
          <w:spacing w:val="-5"/>
        </w:rPr>
        <w:t>承包人遇到不利物质条件时，应采取克服不利物质条件的合理措施继续施工，并及时通知发包人和监</w:t>
      </w:r>
      <w:r>
        <w:rPr>
          <w:spacing w:val="-7"/>
        </w:rPr>
        <w:t>理人。通知应载明不利物质条件的内容以及承包人认为不可预见的理由。监理人经发包人同意后应当及时</w:t>
      </w:r>
      <w:r>
        <w:rPr>
          <w:spacing w:val="-5"/>
        </w:rPr>
        <w:t>发出指示，指示构成变更的，按第</w:t>
      </w:r>
      <w:r>
        <w:t>10</w:t>
      </w:r>
      <w:r>
        <w:rPr>
          <w:spacing w:val="-3"/>
        </w:rPr>
        <w:t>条〔变更〕约定执行。承包人因采取合理措施而增加的费用和（或</w:t>
      </w:r>
      <w:r>
        <w:t xml:space="preserve">） </w:t>
      </w:r>
      <w:r>
        <w:rPr>
          <w:spacing w:val="-3"/>
        </w:rPr>
        <w:t>延误的工期由发包人承担。</w:t>
      </w:r>
    </w:p>
    <w:p>
      <w:pPr>
        <w:pStyle w:val="32"/>
        <w:numPr>
          <w:ilvl w:val="1"/>
          <w:numId w:val="28"/>
        </w:numPr>
        <w:tabs>
          <w:tab w:val="left" w:pos="959"/>
        </w:tabs>
        <w:spacing w:before="149" w:after="0" w:line="240" w:lineRule="auto"/>
        <w:ind w:left="958" w:right="0" w:hanging="423"/>
        <w:jc w:val="left"/>
        <w:rPr>
          <w:b/>
          <w:sz w:val="21"/>
        </w:rPr>
      </w:pPr>
      <w:r>
        <w:rPr>
          <w:b/>
          <w:sz w:val="21"/>
        </w:rPr>
        <w:t>异常恶劣的气候条件</w:t>
      </w:r>
    </w:p>
    <w:p>
      <w:pPr>
        <w:pStyle w:val="13"/>
        <w:spacing w:before="10"/>
        <w:ind w:left="0"/>
        <w:rPr>
          <w:b/>
          <w:sz w:val="18"/>
        </w:rPr>
      </w:pPr>
    </w:p>
    <w:p>
      <w:pPr>
        <w:pStyle w:val="13"/>
        <w:spacing w:line="348" w:lineRule="auto"/>
        <w:ind w:right="126" w:firstLine="420"/>
        <w:jc w:val="both"/>
      </w:pPr>
      <w:r>
        <w:rPr>
          <w:spacing w:val="-5"/>
        </w:rPr>
        <w:t>异常恶劣的气候条件是指在施工过程中遇到的，有经验的承包人在签订合同时不可预见的，对合同履</w:t>
      </w:r>
      <w:r>
        <w:rPr>
          <w:spacing w:val="-6"/>
        </w:rPr>
        <w:t>行造成实质性影响的，但尚未构成不可抗力事件的恶劣气候条件。合同当事人可以在专用合同条款中约定</w:t>
      </w:r>
      <w:r>
        <w:rPr>
          <w:spacing w:val="-4"/>
        </w:rPr>
        <w:t>异常恶劣的气候条件的具体情形。</w:t>
      </w:r>
    </w:p>
    <w:p>
      <w:pPr>
        <w:pStyle w:val="13"/>
        <w:spacing w:before="31" w:line="350" w:lineRule="auto"/>
        <w:ind w:right="126" w:firstLine="420"/>
        <w:jc w:val="both"/>
      </w:pPr>
      <w:r>
        <w:rPr>
          <w:spacing w:val="-5"/>
        </w:rPr>
        <w:t>承包人应采取克服异常恶劣的气候条件的合理措施继续施工，并及时通知发包人和监理人。监理人经发包人同意后应当及时发出指示，指示构成变更的，按第</w:t>
      </w:r>
      <w:r>
        <w:t>10</w:t>
      </w:r>
      <w:r>
        <w:rPr>
          <w:spacing w:val="-5"/>
        </w:rPr>
        <w:t>条〔变更〕约定办理。承包人因采取合理措施</w:t>
      </w:r>
      <w:r>
        <w:rPr>
          <w:spacing w:val="-4"/>
        </w:rPr>
        <w:t>而增加的费用和</w:t>
      </w:r>
      <w:r>
        <w:t>（</w:t>
      </w:r>
      <w:r>
        <w:rPr>
          <w:spacing w:val="-3"/>
        </w:rPr>
        <w:t>或</w:t>
      </w:r>
      <w:r>
        <w:t>）</w:t>
      </w:r>
      <w:r>
        <w:rPr>
          <w:spacing w:val="-3"/>
        </w:rPr>
        <w:t>延误的工期由发包人承担。</w:t>
      </w:r>
    </w:p>
    <w:p>
      <w:pPr>
        <w:pStyle w:val="32"/>
        <w:numPr>
          <w:ilvl w:val="1"/>
          <w:numId w:val="28"/>
        </w:numPr>
        <w:tabs>
          <w:tab w:val="left" w:pos="956"/>
        </w:tabs>
        <w:spacing w:before="29" w:after="0" w:line="240" w:lineRule="auto"/>
        <w:ind w:left="955" w:right="0" w:hanging="422"/>
        <w:jc w:val="left"/>
        <w:rPr>
          <w:sz w:val="21"/>
        </w:rPr>
      </w:pPr>
      <w:r>
        <w:rPr>
          <w:spacing w:val="-3"/>
          <w:sz w:val="21"/>
        </w:rPr>
        <w:t>暂停施工</w:t>
      </w:r>
    </w:p>
    <w:p>
      <w:pPr>
        <w:pStyle w:val="32"/>
        <w:numPr>
          <w:ilvl w:val="2"/>
          <w:numId w:val="28"/>
        </w:numPr>
        <w:tabs>
          <w:tab w:val="left" w:pos="1112"/>
        </w:tabs>
        <w:spacing w:before="123" w:after="0" w:line="240" w:lineRule="auto"/>
        <w:ind w:left="1111" w:right="0" w:hanging="578"/>
        <w:jc w:val="left"/>
        <w:rPr>
          <w:sz w:val="21"/>
        </w:rPr>
      </w:pPr>
      <w:r>
        <w:rPr>
          <w:spacing w:val="-3"/>
          <w:sz w:val="21"/>
        </w:rPr>
        <w:t>发包人原因引起的暂停施工</w:t>
      </w:r>
    </w:p>
    <w:p>
      <w:pPr>
        <w:pStyle w:val="13"/>
        <w:spacing w:before="125" w:line="350" w:lineRule="auto"/>
        <w:ind w:right="126" w:firstLine="420"/>
        <w:jc w:val="both"/>
      </w:pPr>
      <w:r>
        <w:rPr>
          <w:spacing w:val="-6"/>
        </w:rPr>
        <w:t xml:space="preserve">因发包人原因引起暂停施工的，监理人经发包人同意后，应及时下达暂停施工指示。情况紧急且监理人未及时下达暂停施工指示的，按照第 </w:t>
      </w:r>
      <w:r>
        <w:t>7.8.4</w:t>
      </w:r>
      <w:r>
        <w:rPr>
          <w:spacing w:val="-7"/>
        </w:rPr>
        <w:t xml:space="preserve"> 项〔紧急情况下的暂停施工〕执行。</w:t>
      </w:r>
    </w:p>
    <w:p>
      <w:pPr>
        <w:pStyle w:val="13"/>
        <w:spacing w:before="26" w:line="350" w:lineRule="auto"/>
        <w:ind w:right="128" w:firstLine="420"/>
        <w:jc w:val="both"/>
      </w:pPr>
      <w:r>
        <w:rPr>
          <w:spacing w:val="-5"/>
        </w:rPr>
        <w:t>因发包人原因引起的暂停施工，发包人应承担由此增加的费用和</w:t>
      </w:r>
      <w:r>
        <w:t>（</w:t>
      </w:r>
      <w:r>
        <w:rPr>
          <w:spacing w:val="-3"/>
        </w:rPr>
        <w:t>或</w:t>
      </w:r>
      <w:r>
        <w:rPr>
          <w:spacing w:val="-8"/>
        </w:rPr>
        <w:t>）</w:t>
      </w:r>
      <w:r>
        <w:rPr>
          <w:spacing w:val="-4"/>
        </w:rPr>
        <w:t>延误的工期，并支付承包人合</w:t>
      </w:r>
      <w:r>
        <w:rPr>
          <w:spacing w:val="-3"/>
        </w:rPr>
        <w:t>理的利润。</w:t>
      </w:r>
    </w:p>
    <w:p>
      <w:pPr>
        <w:pStyle w:val="32"/>
        <w:numPr>
          <w:ilvl w:val="2"/>
          <w:numId w:val="28"/>
        </w:numPr>
        <w:tabs>
          <w:tab w:val="left" w:pos="1165"/>
        </w:tabs>
        <w:spacing w:before="29" w:after="0" w:line="240" w:lineRule="auto"/>
        <w:ind w:left="1164" w:right="0" w:hanging="631"/>
        <w:jc w:val="left"/>
        <w:rPr>
          <w:sz w:val="21"/>
        </w:rPr>
      </w:pPr>
      <w:r>
        <w:rPr>
          <w:spacing w:val="-3"/>
          <w:sz w:val="21"/>
        </w:rPr>
        <w:t>承包人原因引起的暂停施工</w:t>
      </w:r>
    </w:p>
    <w:p>
      <w:pPr>
        <w:pStyle w:val="13"/>
        <w:spacing w:before="124" w:line="350" w:lineRule="auto"/>
        <w:ind w:right="128" w:firstLine="420"/>
      </w:pPr>
      <w:r>
        <w:rPr>
          <w:spacing w:val="-5"/>
        </w:rPr>
        <w:t>因承包人原因引起的暂停施工，承包人应承担由此增加的费用和</w:t>
      </w:r>
      <w:r>
        <w:t>（</w:t>
      </w:r>
      <w:r>
        <w:rPr>
          <w:spacing w:val="-3"/>
        </w:rPr>
        <w:t>或</w:t>
      </w:r>
      <w:r>
        <w:rPr>
          <w:spacing w:val="-8"/>
        </w:rPr>
        <w:t>）</w:t>
      </w:r>
      <w:r>
        <w:rPr>
          <w:spacing w:val="-4"/>
        </w:rPr>
        <w:t>延误的工期，且承包人在收到</w:t>
      </w:r>
      <w:r>
        <w:rPr>
          <w:spacing w:val="-8"/>
        </w:rPr>
        <w:t xml:space="preserve">监理人复工指示后 </w:t>
      </w:r>
      <w:r>
        <w:t>84</w:t>
      </w:r>
      <w:r>
        <w:rPr>
          <w:spacing w:val="-12"/>
        </w:rPr>
        <w:t xml:space="preserve"> 天内仍未复工的，视为第 </w:t>
      </w:r>
      <w:r>
        <w:t>16.2.1</w:t>
      </w:r>
      <w:r>
        <w:rPr>
          <w:spacing w:val="-8"/>
        </w:rPr>
        <w:t xml:space="preserve"> 项〔承包人违约的情形〕第</w:t>
      </w:r>
      <w:r>
        <w:t>（7）</w:t>
      </w:r>
      <w:r>
        <w:rPr>
          <w:spacing w:val="-3"/>
        </w:rPr>
        <w:t>目约定的承包人无法继续履行合同的情形。</w:t>
      </w:r>
    </w:p>
    <w:p>
      <w:pPr>
        <w:pStyle w:val="32"/>
        <w:numPr>
          <w:ilvl w:val="2"/>
          <w:numId w:val="28"/>
        </w:numPr>
        <w:tabs>
          <w:tab w:val="left" w:pos="1165"/>
        </w:tabs>
        <w:spacing w:before="27" w:after="0" w:line="240" w:lineRule="auto"/>
        <w:ind w:left="1164" w:right="0" w:hanging="631"/>
        <w:jc w:val="left"/>
        <w:rPr>
          <w:sz w:val="21"/>
        </w:rPr>
      </w:pPr>
      <w:r>
        <w:rPr>
          <w:spacing w:val="-3"/>
          <w:sz w:val="21"/>
        </w:rPr>
        <w:t>指示暂停施工</w:t>
      </w:r>
    </w:p>
    <w:p>
      <w:pPr>
        <w:pStyle w:val="13"/>
        <w:spacing w:before="126" w:line="350" w:lineRule="auto"/>
        <w:ind w:right="126" w:firstLine="420"/>
        <w:jc w:val="both"/>
      </w:pPr>
      <w:r>
        <w:rPr>
          <w:spacing w:val="-6"/>
        </w:rPr>
        <w:t>监理人认为有必要时，并经发包人批准后，可向承包人作出暂停施工的指示，承包人应按监理人指示</w:t>
      </w:r>
      <w:r>
        <w:rPr>
          <w:spacing w:val="-4"/>
        </w:rPr>
        <w:t>暂停施工。</w:t>
      </w:r>
    </w:p>
    <w:p>
      <w:pPr>
        <w:pStyle w:val="32"/>
        <w:numPr>
          <w:ilvl w:val="2"/>
          <w:numId w:val="28"/>
        </w:numPr>
        <w:tabs>
          <w:tab w:val="left" w:pos="1165"/>
        </w:tabs>
        <w:spacing w:before="27" w:after="0" w:line="240" w:lineRule="auto"/>
        <w:ind w:left="1164" w:right="0" w:hanging="631"/>
        <w:jc w:val="left"/>
        <w:rPr>
          <w:sz w:val="21"/>
        </w:rPr>
      </w:pPr>
      <w:r>
        <w:rPr>
          <w:spacing w:val="-3"/>
          <w:sz w:val="21"/>
        </w:rPr>
        <w:t>紧急情况下的暂停施工</w:t>
      </w:r>
    </w:p>
    <w:p>
      <w:pPr>
        <w:pStyle w:val="13"/>
        <w:spacing w:before="126" w:line="350" w:lineRule="auto"/>
        <w:ind w:right="126" w:firstLine="420"/>
        <w:jc w:val="both"/>
      </w:pPr>
      <w:r>
        <w:rPr>
          <w:spacing w:val="-6"/>
        </w:rPr>
        <w:t xml:space="preserve">因紧急情况需暂停施工，且监理人未及时下达暂停施工指示的，承包人可先暂停施工，并及时通知监理人。监理人应在接到通知后 </w:t>
      </w:r>
      <w:r>
        <w:t>24</w:t>
      </w:r>
      <w:r>
        <w:rPr>
          <w:spacing w:val="-7"/>
        </w:rPr>
        <w:t xml:space="preserve"> 小时内发出指示，逾期未发出指示，视为同意承包人暂停施工。监理人</w:t>
      </w:r>
    </w:p>
    <w:p>
      <w:pPr>
        <w:pStyle w:val="13"/>
        <w:spacing w:before="27" w:line="350" w:lineRule="auto"/>
        <w:ind w:right="203"/>
      </w:pPr>
      <w:r>
        <w:rPr>
          <w:spacing w:val="-4"/>
        </w:rPr>
        <w:t xml:space="preserve">不同意承包人暂停施工的，应说明理由，承包人对监理人的答复有异议，按照第 </w:t>
      </w:r>
      <w:r>
        <w:t>20</w:t>
      </w:r>
      <w:r>
        <w:rPr>
          <w:spacing w:val="-7"/>
        </w:rPr>
        <w:t xml:space="preserve"> 条〔争议解决〕约定</w:t>
      </w:r>
      <w:r>
        <w:t>处理。</w:t>
      </w:r>
    </w:p>
    <w:p>
      <w:pPr>
        <w:pStyle w:val="32"/>
        <w:numPr>
          <w:ilvl w:val="2"/>
          <w:numId w:val="28"/>
        </w:numPr>
        <w:tabs>
          <w:tab w:val="left" w:pos="1165"/>
        </w:tabs>
        <w:spacing w:before="29" w:after="0" w:line="240" w:lineRule="auto"/>
        <w:ind w:left="1164" w:right="0" w:hanging="631"/>
        <w:jc w:val="left"/>
        <w:rPr>
          <w:sz w:val="21"/>
        </w:rPr>
      </w:pPr>
      <w:r>
        <w:rPr>
          <w:spacing w:val="-3"/>
          <w:sz w:val="21"/>
        </w:rPr>
        <w:t>暂停施工后的复工</w:t>
      </w:r>
    </w:p>
    <w:p>
      <w:pPr>
        <w:pStyle w:val="13"/>
        <w:spacing w:before="123" w:line="350" w:lineRule="auto"/>
        <w:ind w:right="126" w:firstLine="420"/>
        <w:jc w:val="both"/>
      </w:pPr>
      <w:r>
        <w:rPr>
          <w:spacing w:val="-6"/>
        </w:rPr>
        <w:t>暂停施工后，发包人和承包人应采取有效措施积极消除暂停施工的影响。在工程复工前，监理人会同</w:t>
      </w:r>
      <w:r>
        <w:rPr>
          <w:spacing w:val="-7"/>
        </w:rPr>
        <w:t>发包人和承包人确定因暂停施工造成的损失，并确定工程复工条件。当工程具备复工条件时，监理人应经</w:t>
      </w:r>
      <w:r>
        <w:rPr>
          <w:spacing w:val="-5"/>
        </w:rPr>
        <w:t>发包人批准后向承包人发出复工通知，承包人应按照复工通知要求复工。</w:t>
      </w:r>
    </w:p>
    <w:p>
      <w:pPr>
        <w:spacing w:after="0" w:line="350" w:lineRule="auto"/>
        <w:jc w:val="both"/>
        <w:sectPr>
          <w:pgSz w:w="11910" w:h="16840"/>
          <w:pgMar w:top="1460" w:right="1000" w:bottom="1180" w:left="1020" w:header="0" w:footer="920" w:gutter="0"/>
        </w:sectPr>
      </w:pPr>
    </w:p>
    <w:p>
      <w:pPr>
        <w:pStyle w:val="13"/>
        <w:spacing w:before="14" w:line="348" w:lineRule="auto"/>
        <w:ind w:right="178" w:firstLine="420"/>
      </w:pPr>
      <w:r>
        <w:t>承包人无故拖延和拒绝复工的，承包人承担由此增加的费用和（或）延误的工期；因发包人原因无法按时复工的，按照第 7.5.1 项〔因发包人原因导致工期延误〕约定办理。</w:t>
      </w:r>
    </w:p>
    <w:p>
      <w:pPr>
        <w:pStyle w:val="32"/>
        <w:numPr>
          <w:ilvl w:val="2"/>
          <w:numId w:val="28"/>
        </w:numPr>
        <w:tabs>
          <w:tab w:val="left" w:pos="1165"/>
        </w:tabs>
        <w:spacing w:before="31" w:after="0" w:line="240" w:lineRule="auto"/>
        <w:ind w:left="1164" w:right="0" w:hanging="631"/>
        <w:jc w:val="left"/>
        <w:rPr>
          <w:sz w:val="21"/>
        </w:rPr>
      </w:pPr>
      <w:r>
        <w:rPr>
          <w:spacing w:val="-10"/>
          <w:sz w:val="21"/>
        </w:rPr>
        <w:t xml:space="preserve">暂停施工持续 </w:t>
      </w:r>
      <w:r>
        <w:rPr>
          <w:sz w:val="21"/>
        </w:rPr>
        <w:t>56</w:t>
      </w:r>
      <w:r>
        <w:rPr>
          <w:spacing w:val="-14"/>
          <w:sz w:val="21"/>
        </w:rPr>
        <w:t xml:space="preserve"> 天以上</w:t>
      </w:r>
    </w:p>
    <w:p>
      <w:pPr>
        <w:pStyle w:val="13"/>
        <w:spacing w:before="125"/>
        <w:ind w:left="521"/>
      </w:pPr>
      <w:r>
        <w:t>监理人发出暂停施工指示后 56 天内未向承包人发出复工通知，除该项停工属于第 7.8.2 项〔承包人</w:t>
      </w:r>
    </w:p>
    <w:p>
      <w:pPr>
        <w:pStyle w:val="13"/>
        <w:spacing w:before="123"/>
      </w:pPr>
      <w:r>
        <w:t>原因引起的暂停施工〕及第 17 条〔不可抗力〕约定的情形外，承包人可向发包人提交书面通知，要求发</w:t>
      </w:r>
    </w:p>
    <w:p>
      <w:pPr>
        <w:pStyle w:val="13"/>
        <w:spacing w:before="126"/>
      </w:pPr>
      <w:r>
        <w:t>包人在收到书面通知后 28 天内准许已暂停施工的部分或全部工程继续施工。发包人逾期不予批准的，则</w:t>
      </w:r>
    </w:p>
    <w:p>
      <w:pPr>
        <w:pStyle w:val="13"/>
        <w:spacing w:before="126" w:line="348" w:lineRule="auto"/>
        <w:ind w:left="521" w:right="191" w:hanging="409"/>
      </w:pPr>
      <w:r>
        <w:rPr>
          <w:spacing w:val="-5"/>
        </w:rPr>
        <w:t xml:space="preserve">承包人可以通知发包人，将工程受影响的部分视为按第 </w:t>
      </w:r>
      <w:r>
        <w:t>10.1</w:t>
      </w:r>
      <w:r>
        <w:rPr>
          <w:spacing w:val="-8"/>
        </w:rPr>
        <w:t xml:space="preserve"> 款〔变更的范围〕第</w:t>
      </w:r>
      <w:r>
        <w:t>（2）</w:t>
      </w:r>
      <w:r>
        <w:rPr>
          <w:spacing w:val="-3"/>
        </w:rPr>
        <w:t>项的可取消工作。</w:t>
      </w:r>
      <w:r>
        <w:rPr>
          <w:spacing w:val="-10"/>
        </w:rPr>
        <w:t xml:space="preserve">暂停施工持续 </w:t>
      </w:r>
      <w:r>
        <w:t>84</w:t>
      </w:r>
      <w:r>
        <w:rPr>
          <w:spacing w:val="-16"/>
        </w:rPr>
        <w:t xml:space="preserve"> 天以上不复工的，且不属于第 </w:t>
      </w:r>
      <w:r>
        <w:t>7.8.2</w:t>
      </w:r>
      <w:r>
        <w:rPr>
          <w:spacing w:val="-17"/>
        </w:rPr>
        <w:t xml:space="preserve"> 项〔承包人原因引起的暂停施工〕及第 </w:t>
      </w:r>
      <w:r>
        <w:t>17</w:t>
      </w:r>
      <w:r>
        <w:rPr>
          <w:spacing w:val="-27"/>
        </w:rPr>
        <w:t xml:space="preserve"> 条〔不</w:t>
      </w:r>
    </w:p>
    <w:p>
      <w:pPr>
        <w:pStyle w:val="13"/>
        <w:spacing w:before="31" w:line="350" w:lineRule="auto"/>
        <w:ind w:right="204"/>
      </w:pPr>
      <w:r>
        <w:rPr>
          <w:spacing w:val="-5"/>
        </w:rPr>
        <w:t>可抗力〕约定的情形，并影响到整个工程以及合同目的实现的，承包人有权提出价格调整要求，或者解除</w:t>
      </w:r>
      <w:r>
        <w:rPr>
          <w:spacing w:val="-7"/>
        </w:rPr>
        <w:t xml:space="preserve">合同。解除合同的，按照第 </w:t>
      </w:r>
      <w:r>
        <w:t>16.1.3</w:t>
      </w:r>
      <w:r>
        <w:rPr>
          <w:spacing w:val="-8"/>
        </w:rPr>
        <w:t xml:space="preserve"> 项〔因发包人违约解除合同〕执行。</w:t>
      </w:r>
    </w:p>
    <w:p>
      <w:pPr>
        <w:pStyle w:val="32"/>
        <w:numPr>
          <w:ilvl w:val="2"/>
          <w:numId w:val="28"/>
        </w:numPr>
        <w:tabs>
          <w:tab w:val="left" w:pos="1170"/>
        </w:tabs>
        <w:spacing w:before="27" w:after="0" w:line="240" w:lineRule="auto"/>
        <w:ind w:left="1169" w:right="0" w:hanging="631"/>
        <w:jc w:val="left"/>
        <w:rPr>
          <w:sz w:val="21"/>
        </w:rPr>
      </w:pPr>
      <w:r>
        <w:rPr>
          <w:spacing w:val="-3"/>
          <w:sz w:val="21"/>
        </w:rPr>
        <w:t>暂停施工期间的工程照管</w:t>
      </w:r>
    </w:p>
    <w:p>
      <w:pPr>
        <w:pStyle w:val="13"/>
        <w:spacing w:before="125"/>
        <w:ind w:left="533"/>
      </w:pPr>
      <w:r>
        <w:t>暂停施工期间，承包人应负责妥善照管工程并提供安全保障，由此增加的费用由责任方承担。</w:t>
      </w:r>
    </w:p>
    <w:p>
      <w:pPr>
        <w:pStyle w:val="32"/>
        <w:numPr>
          <w:ilvl w:val="2"/>
          <w:numId w:val="28"/>
        </w:numPr>
        <w:tabs>
          <w:tab w:val="left" w:pos="1165"/>
        </w:tabs>
        <w:spacing w:before="125" w:after="0" w:line="240" w:lineRule="auto"/>
        <w:ind w:left="1164" w:right="0" w:hanging="631"/>
        <w:jc w:val="left"/>
        <w:rPr>
          <w:sz w:val="21"/>
        </w:rPr>
      </w:pPr>
      <w:r>
        <w:rPr>
          <w:spacing w:val="-3"/>
          <w:sz w:val="21"/>
        </w:rPr>
        <w:t>暂停施工的措施</w:t>
      </w:r>
    </w:p>
    <w:p>
      <w:pPr>
        <w:pStyle w:val="13"/>
        <w:spacing w:before="123"/>
        <w:ind w:left="533"/>
      </w:pPr>
      <w:r>
        <w:rPr>
          <w:spacing w:val="-12"/>
        </w:rPr>
        <w:t>暂停施工期间，发包人和承包人均应采取必要的措施确保工程质量及安全，防止因暂停施工扩大损失。</w:t>
      </w:r>
    </w:p>
    <w:p>
      <w:pPr>
        <w:pStyle w:val="13"/>
        <w:spacing w:before="10"/>
        <w:ind w:left="0"/>
        <w:rPr>
          <w:sz w:val="18"/>
        </w:rPr>
      </w:pPr>
    </w:p>
    <w:p>
      <w:pPr>
        <w:pStyle w:val="32"/>
        <w:numPr>
          <w:ilvl w:val="1"/>
          <w:numId w:val="28"/>
        </w:numPr>
        <w:tabs>
          <w:tab w:val="left" w:pos="906"/>
        </w:tabs>
        <w:spacing w:before="0" w:after="0" w:line="240" w:lineRule="auto"/>
        <w:ind w:left="905" w:right="0" w:hanging="370"/>
        <w:jc w:val="left"/>
        <w:rPr>
          <w:b/>
          <w:sz w:val="21"/>
        </w:rPr>
      </w:pPr>
      <w:r>
        <w:rPr>
          <w:b/>
          <w:sz w:val="21"/>
        </w:rPr>
        <w:t>提前竣工</w:t>
      </w:r>
    </w:p>
    <w:p>
      <w:pPr>
        <w:pStyle w:val="13"/>
        <w:spacing w:before="10"/>
        <w:ind w:left="0"/>
        <w:rPr>
          <w:b/>
          <w:sz w:val="18"/>
        </w:rPr>
      </w:pPr>
    </w:p>
    <w:p>
      <w:pPr>
        <w:pStyle w:val="32"/>
        <w:numPr>
          <w:ilvl w:val="2"/>
          <w:numId w:val="28"/>
        </w:numPr>
        <w:tabs>
          <w:tab w:val="left" w:pos="1165"/>
        </w:tabs>
        <w:spacing w:before="0" w:after="0" w:line="350" w:lineRule="auto"/>
        <w:ind w:left="112" w:right="206" w:firstLine="421"/>
        <w:jc w:val="both"/>
        <w:rPr>
          <w:sz w:val="21"/>
        </w:rPr>
      </w:pPr>
      <w:r>
        <w:rPr>
          <w:spacing w:val="-5"/>
          <w:sz w:val="21"/>
        </w:rPr>
        <w:t>发包人要求承包人提前竣工的，发包人应通过监理人向承包人下达提前竣工指示，承包人应向</w:t>
      </w:r>
      <w:r>
        <w:rPr>
          <w:spacing w:val="-7"/>
          <w:sz w:val="21"/>
        </w:rPr>
        <w:t>发包人和监理人提交提前竣工建议书，提前竣工建议书应包括实施的方案、缩短的时间、增加的合同价格</w:t>
      </w:r>
      <w:r>
        <w:rPr>
          <w:spacing w:val="-8"/>
          <w:sz w:val="21"/>
        </w:rPr>
        <w:t>等内容。发包人接受该提前竣工建议书的，监理人应与发包人和承包人协商采取加快工程进度的措施，并修订施工进度计划，由此增加的费用由发包人承担。承包人认为提前竣工指示无法执行的，应向监理人和</w:t>
      </w:r>
      <w:r>
        <w:rPr>
          <w:spacing w:val="-7"/>
          <w:sz w:val="21"/>
        </w:rPr>
        <w:t xml:space="preserve">发包人提出书面异议，发包人和监理人应在收到异议后 </w:t>
      </w:r>
      <w:r>
        <w:rPr>
          <w:sz w:val="21"/>
        </w:rPr>
        <w:t>7</w:t>
      </w:r>
      <w:r>
        <w:rPr>
          <w:spacing w:val="-8"/>
          <w:sz w:val="21"/>
        </w:rPr>
        <w:t xml:space="preserve"> 天内予以答复。任何情况下，发包人不得压缩合</w:t>
      </w:r>
      <w:r>
        <w:rPr>
          <w:spacing w:val="-6"/>
          <w:sz w:val="21"/>
        </w:rPr>
        <w:t>理工期。</w:t>
      </w:r>
    </w:p>
    <w:p>
      <w:pPr>
        <w:pStyle w:val="32"/>
        <w:numPr>
          <w:ilvl w:val="2"/>
          <w:numId w:val="28"/>
        </w:numPr>
        <w:tabs>
          <w:tab w:val="left" w:pos="1165"/>
        </w:tabs>
        <w:spacing w:before="29" w:after="0" w:line="348" w:lineRule="auto"/>
        <w:ind w:left="112" w:right="206" w:firstLine="421"/>
        <w:jc w:val="left"/>
        <w:rPr>
          <w:sz w:val="21"/>
        </w:rPr>
      </w:pPr>
      <w:r>
        <w:rPr>
          <w:spacing w:val="-5"/>
          <w:sz w:val="21"/>
        </w:rPr>
        <w:t>发包人要求承包人提前竣工，或承包人提出提前竣工的建议能够给发包人带来效益的，合同当</w:t>
      </w:r>
      <w:r>
        <w:rPr>
          <w:spacing w:val="-4"/>
          <w:sz w:val="21"/>
        </w:rPr>
        <w:t>事人可以在专用合同条款中约定提前竣工的奖励。</w:t>
      </w:r>
    </w:p>
    <w:p>
      <w:pPr>
        <w:pStyle w:val="32"/>
        <w:numPr>
          <w:ilvl w:val="0"/>
          <w:numId w:val="9"/>
        </w:numPr>
        <w:tabs>
          <w:tab w:val="left" w:pos="431"/>
        </w:tabs>
        <w:spacing w:before="151" w:after="0" w:line="240" w:lineRule="auto"/>
        <w:ind w:left="430" w:right="0" w:hanging="318"/>
        <w:jc w:val="left"/>
        <w:rPr>
          <w:sz w:val="21"/>
        </w:rPr>
      </w:pPr>
      <w:r>
        <w:rPr>
          <w:spacing w:val="-3"/>
          <w:sz w:val="21"/>
        </w:rPr>
        <w:t>材料与设备</w:t>
      </w:r>
    </w:p>
    <w:p>
      <w:pPr>
        <w:pStyle w:val="13"/>
        <w:spacing w:before="10"/>
        <w:ind w:left="0"/>
        <w:rPr>
          <w:sz w:val="18"/>
        </w:rPr>
      </w:pPr>
    </w:p>
    <w:p>
      <w:pPr>
        <w:pStyle w:val="32"/>
        <w:numPr>
          <w:ilvl w:val="1"/>
          <w:numId w:val="9"/>
        </w:numPr>
        <w:tabs>
          <w:tab w:val="left" w:pos="906"/>
        </w:tabs>
        <w:spacing w:before="0" w:after="0" w:line="240" w:lineRule="auto"/>
        <w:ind w:left="905" w:right="0" w:hanging="370"/>
        <w:jc w:val="left"/>
        <w:rPr>
          <w:b/>
          <w:sz w:val="21"/>
        </w:rPr>
      </w:pPr>
      <w:r>
        <w:rPr>
          <w:b/>
          <w:spacing w:val="-1"/>
          <w:sz w:val="21"/>
        </w:rPr>
        <w:t>发包人供应材料与工程设备</w:t>
      </w:r>
    </w:p>
    <w:p>
      <w:pPr>
        <w:pStyle w:val="13"/>
        <w:spacing w:before="8"/>
        <w:ind w:left="0"/>
        <w:rPr>
          <w:b/>
          <w:sz w:val="18"/>
        </w:rPr>
      </w:pPr>
    </w:p>
    <w:p>
      <w:pPr>
        <w:pStyle w:val="13"/>
        <w:spacing w:line="350" w:lineRule="auto"/>
        <w:ind w:right="191" w:firstLine="420"/>
      </w:pPr>
      <w:r>
        <w:rPr>
          <w:spacing w:val="-6"/>
        </w:rPr>
        <w:t>发包人自行供应材料、工程设备的，应在签订合同时在专用合同条款的附件《发包人供应材料设备一</w:t>
      </w:r>
      <w:r>
        <w:rPr>
          <w:spacing w:val="-4"/>
        </w:rPr>
        <w:t>览表》中明确材料、工程设备的品种、规格、型号、数量、单价、质量等级和送达地点。</w:t>
      </w:r>
    </w:p>
    <w:p>
      <w:pPr>
        <w:pStyle w:val="13"/>
        <w:spacing w:before="29" w:line="350" w:lineRule="auto"/>
        <w:ind w:right="212" w:firstLine="420"/>
      </w:pPr>
      <w:r>
        <w:rPr>
          <w:spacing w:val="-2"/>
        </w:rPr>
        <w:t>承包人应提前</w:t>
      </w:r>
      <w:r>
        <w:t>30</w:t>
      </w:r>
      <w:r>
        <w:rPr>
          <w:spacing w:val="-3"/>
        </w:rPr>
        <w:t>天通过监理人以书面形式通知发包人供应材料与工程设备进场。承包人按照第</w:t>
      </w:r>
      <w:r>
        <w:t xml:space="preserve">7.2.2 </w:t>
      </w:r>
      <w:r>
        <w:rPr>
          <w:spacing w:val="-6"/>
        </w:rPr>
        <w:t>项〔施工进度计划的修订〕约定修订施工进度计划时，需同时提交经修订后的发包人供应材料与工程设备</w:t>
      </w:r>
      <w:r>
        <w:rPr>
          <w:spacing w:val="-4"/>
        </w:rPr>
        <w:t>的进场计划。</w:t>
      </w:r>
    </w:p>
    <w:p>
      <w:pPr>
        <w:pStyle w:val="32"/>
        <w:numPr>
          <w:ilvl w:val="1"/>
          <w:numId w:val="9"/>
        </w:numPr>
        <w:tabs>
          <w:tab w:val="left" w:pos="906"/>
        </w:tabs>
        <w:spacing w:before="149" w:after="0" w:line="240" w:lineRule="auto"/>
        <w:ind w:left="905" w:right="0" w:hanging="370"/>
        <w:jc w:val="left"/>
        <w:rPr>
          <w:b/>
          <w:sz w:val="21"/>
        </w:rPr>
      </w:pPr>
      <w:r>
        <w:rPr>
          <w:b/>
          <w:spacing w:val="-1"/>
          <w:sz w:val="21"/>
        </w:rPr>
        <w:t>承包人采购材料与工程设备</w:t>
      </w:r>
    </w:p>
    <w:p>
      <w:pPr>
        <w:pStyle w:val="13"/>
        <w:spacing w:before="7"/>
        <w:ind w:left="0"/>
        <w:rPr>
          <w:b/>
          <w:sz w:val="18"/>
        </w:rPr>
      </w:pPr>
    </w:p>
    <w:p>
      <w:pPr>
        <w:pStyle w:val="13"/>
        <w:spacing w:before="1" w:line="350" w:lineRule="auto"/>
        <w:ind w:right="191" w:firstLine="420"/>
      </w:pPr>
      <w:r>
        <w:rPr>
          <w:spacing w:val="-6"/>
        </w:rPr>
        <w:t>承包人负责采购材料、工程设备的，应按照设计和有关标准要求采购，并提供产品合格证明及出厂证明，对材料、工程设备质量负责。合同约定由承包人采购的材料、工程设备，发包人不得指定生产厂家或</w:t>
      </w:r>
    </w:p>
    <w:p>
      <w:pPr>
        <w:spacing w:after="0" w:line="350" w:lineRule="auto"/>
        <w:sectPr>
          <w:pgSz w:w="11910" w:h="16840"/>
          <w:pgMar w:top="1460" w:right="920" w:bottom="1180" w:left="1020" w:header="0" w:footer="920" w:gutter="0"/>
        </w:sectPr>
      </w:pPr>
    </w:p>
    <w:p>
      <w:pPr>
        <w:pStyle w:val="13"/>
        <w:spacing w:before="14"/>
      </w:pPr>
      <w:r>
        <w:t>供应商，发包人违反本款约定指定生产厂家或供应商的，承包人有权拒绝，并由发包人承担相应责任。</w:t>
      </w:r>
    </w:p>
    <w:p>
      <w:pPr>
        <w:pStyle w:val="13"/>
        <w:spacing w:before="8"/>
        <w:ind w:left="0"/>
        <w:rPr>
          <w:sz w:val="18"/>
        </w:rPr>
      </w:pPr>
    </w:p>
    <w:p>
      <w:pPr>
        <w:pStyle w:val="32"/>
        <w:numPr>
          <w:ilvl w:val="1"/>
          <w:numId w:val="9"/>
        </w:numPr>
        <w:tabs>
          <w:tab w:val="left" w:pos="906"/>
        </w:tabs>
        <w:spacing w:before="0" w:after="0" w:line="240" w:lineRule="auto"/>
        <w:ind w:left="905" w:right="0" w:hanging="370"/>
        <w:jc w:val="left"/>
        <w:rPr>
          <w:b/>
          <w:sz w:val="21"/>
        </w:rPr>
      </w:pPr>
      <w:r>
        <w:rPr>
          <w:b/>
          <w:spacing w:val="-1"/>
          <w:sz w:val="21"/>
        </w:rPr>
        <w:t>材料与工程设备的接收与拒收</w:t>
      </w:r>
    </w:p>
    <w:p>
      <w:pPr>
        <w:pStyle w:val="13"/>
        <w:spacing w:before="9"/>
        <w:ind w:left="0"/>
        <w:rPr>
          <w:b/>
          <w:sz w:val="18"/>
        </w:rPr>
      </w:pPr>
    </w:p>
    <w:p>
      <w:pPr>
        <w:pStyle w:val="32"/>
        <w:numPr>
          <w:ilvl w:val="2"/>
          <w:numId w:val="9"/>
        </w:numPr>
        <w:tabs>
          <w:tab w:val="left" w:pos="1165"/>
        </w:tabs>
        <w:spacing w:before="1" w:after="0" w:line="348" w:lineRule="auto"/>
        <w:ind w:left="112" w:right="206" w:firstLine="421"/>
        <w:jc w:val="both"/>
        <w:rPr>
          <w:sz w:val="21"/>
        </w:rPr>
      </w:pPr>
      <w:r>
        <w:rPr>
          <w:spacing w:val="-6"/>
          <w:sz w:val="21"/>
        </w:rPr>
        <w:t>发包人应按《发包人供应材料设备一览表》约定的内容提供材料和工程设备，并向承包人提供产品合格证明及出厂证明，对其质量负责。发包人应提前</w:t>
      </w:r>
      <w:r>
        <w:rPr>
          <w:sz w:val="21"/>
        </w:rPr>
        <w:t>24</w:t>
      </w:r>
      <w:r>
        <w:rPr>
          <w:spacing w:val="-4"/>
          <w:sz w:val="21"/>
        </w:rPr>
        <w:t>小时以书面形式通知承包人、监理人材料和工</w:t>
      </w:r>
      <w:r>
        <w:rPr>
          <w:spacing w:val="-3"/>
          <w:sz w:val="21"/>
        </w:rPr>
        <w:t>程设备到货时间，承包人负责材料和工程设备的清点、检验和接收。</w:t>
      </w:r>
    </w:p>
    <w:p>
      <w:pPr>
        <w:pStyle w:val="13"/>
        <w:spacing w:before="31" w:line="350" w:lineRule="auto"/>
        <w:ind w:right="206" w:firstLine="420"/>
        <w:jc w:val="both"/>
      </w:pPr>
      <w:r>
        <w:rPr>
          <w:spacing w:val="-5"/>
        </w:rPr>
        <w:t>发包人提供的材料和工程设备的规格、数量或质量不符合合同约定的，或因发包人原因导致交货日期</w:t>
      </w:r>
      <w:r>
        <w:rPr>
          <w:spacing w:val="-3"/>
        </w:rPr>
        <w:t>延误或交货地点变更等情况的，按照第</w:t>
      </w:r>
      <w:r>
        <w:t>16.1</w:t>
      </w:r>
      <w:r>
        <w:rPr>
          <w:spacing w:val="-3"/>
        </w:rPr>
        <w:t>款〔发包人违约〕约定办理。</w:t>
      </w:r>
    </w:p>
    <w:p>
      <w:pPr>
        <w:pStyle w:val="32"/>
        <w:numPr>
          <w:ilvl w:val="2"/>
          <w:numId w:val="9"/>
        </w:numPr>
        <w:tabs>
          <w:tab w:val="left" w:pos="1165"/>
        </w:tabs>
        <w:spacing w:before="26" w:after="0" w:line="350" w:lineRule="auto"/>
        <w:ind w:left="112" w:right="206" w:firstLine="421"/>
        <w:jc w:val="both"/>
        <w:rPr>
          <w:sz w:val="21"/>
        </w:rPr>
      </w:pPr>
      <w:r>
        <w:rPr>
          <w:spacing w:val="-5"/>
          <w:sz w:val="21"/>
        </w:rPr>
        <w:t>承包人采购的材料和工程设备，应保证产品质量合格，承包人应在材料和工程设备到货前</w:t>
      </w:r>
      <w:r>
        <w:rPr>
          <w:sz w:val="21"/>
        </w:rPr>
        <w:t>24小</w:t>
      </w:r>
      <w:r>
        <w:rPr>
          <w:spacing w:val="-6"/>
          <w:sz w:val="21"/>
        </w:rPr>
        <w:t>时通知监理人检验。承包人进行永久设备、材料的制造和生产的，应符合相关质量标准，并向监理人提交</w:t>
      </w:r>
      <w:r>
        <w:rPr>
          <w:spacing w:val="-4"/>
          <w:sz w:val="21"/>
        </w:rPr>
        <w:t>材料的样本以及有关资料，并应在使用该材料或工程设备之前获得监理人同意。</w:t>
      </w:r>
    </w:p>
    <w:p>
      <w:pPr>
        <w:pStyle w:val="13"/>
        <w:spacing w:before="27" w:line="350" w:lineRule="auto"/>
        <w:ind w:right="208" w:firstLine="420"/>
        <w:jc w:val="both"/>
      </w:pPr>
      <w:r>
        <w:rPr>
          <w:spacing w:val="-4"/>
        </w:rPr>
        <w:t>承包人采购的材料和工程设备不符合设计或有关标准要求时，承包人应在监理人要求的合理期限内将</w:t>
      </w:r>
      <w:r>
        <w:rPr>
          <w:spacing w:val="-5"/>
        </w:rPr>
        <w:t>不符合设计或有关标准要求的材料、工程设备运出施工现场，并重新采购符合要求的材料、工程设备，由</w:t>
      </w:r>
      <w:r>
        <w:rPr>
          <w:spacing w:val="-4"/>
        </w:rPr>
        <w:t>此增加的费用和</w:t>
      </w:r>
      <w:r>
        <w:t>（</w:t>
      </w:r>
      <w:r>
        <w:rPr>
          <w:spacing w:val="-3"/>
        </w:rPr>
        <w:t>或</w:t>
      </w:r>
      <w:r>
        <w:t>）</w:t>
      </w:r>
      <w:r>
        <w:rPr>
          <w:spacing w:val="-3"/>
        </w:rPr>
        <w:t>延误的工期，由承包人承担。</w:t>
      </w:r>
    </w:p>
    <w:p>
      <w:pPr>
        <w:pStyle w:val="32"/>
        <w:numPr>
          <w:ilvl w:val="1"/>
          <w:numId w:val="29"/>
        </w:numPr>
        <w:tabs>
          <w:tab w:val="left" w:pos="906"/>
        </w:tabs>
        <w:spacing w:before="147" w:after="0" w:line="240" w:lineRule="auto"/>
        <w:ind w:left="905" w:right="0" w:hanging="370"/>
        <w:jc w:val="left"/>
        <w:rPr>
          <w:b/>
          <w:sz w:val="21"/>
        </w:rPr>
      </w:pPr>
      <w:r>
        <w:rPr>
          <w:b/>
          <w:spacing w:val="-1"/>
          <w:sz w:val="21"/>
        </w:rPr>
        <w:t>材料与工程设备的保管与使用</w:t>
      </w:r>
    </w:p>
    <w:p>
      <w:pPr>
        <w:pStyle w:val="13"/>
        <w:spacing w:before="10"/>
        <w:ind w:left="0"/>
        <w:rPr>
          <w:b/>
          <w:sz w:val="18"/>
        </w:rPr>
      </w:pPr>
    </w:p>
    <w:p>
      <w:pPr>
        <w:pStyle w:val="32"/>
        <w:numPr>
          <w:ilvl w:val="2"/>
          <w:numId w:val="29"/>
        </w:numPr>
        <w:tabs>
          <w:tab w:val="left" w:pos="1165"/>
        </w:tabs>
        <w:spacing w:before="0" w:after="0" w:line="240" w:lineRule="auto"/>
        <w:ind w:left="1164" w:right="0" w:hanging="631"/>
        <w:jc w:val="left"/>
        <w:rPr>
          <w:sz w:val="21"/>
        </w:rPr>
      </w:pPr>
      <w:r>
        <w:rPr>
          <w:spacing w:val="-3"/>
          <w:sz w:val="21"/>
        </w:rPr>
        <w:t>发包人供应材料与工程设备的保管与使用</w:t>
      </w:r>
    </w:p>
    <w:p>
      <w:pPr>
        <w:pStyle w:val="13"/>
        <w:spacing w:before="125" w:line="350" w:lineRule="auto"/>
        <w:ind w:right="206" w:firstLine="420"/>
        <w:jc w:val="both"/>
      </w:pPr>
      <w:r>
        <w:rPr>
          <w:spacing w:val="-6"/>
        </w:rPr>
        <w:t>发包人供应的材料和工程设备，承包人清点后由承包人妥善保管，保管费用由发包人承担，但已标价工程量清单或预算书已经列支或专用合同条款另有约定除外。因承包人原因发生丢失毁损的，由承包人负</w:t>
      </w:r>
      <w:r>
        <w:rPr>
          <w:spacing w:val="-8"/>
        </w:rPr>
        <w:t>责赔偿；监理人未通知承包人清点的，承包人不负责材料和工程设备的保管，由此导致丢失毁损的由发包</w:t>
      </w:r>
      <w:r>
        <w:rPr>
          <w:spacing w:val="-6"/>
        </w:rPr>
        <w:t>人负责。</w:t>
      </w:r>
    </w:p>
    <w:p>
      <w:pPr>
        <w:pStyle w:val="13"/>
        <w:spacing w:before="27" w:line="350" w:lineRule="auto"/>
        <w:ind w:right="206" w:firstLine="420"/>
        <w:jc w:val="both"/>
      </w:pPr>
      <w:r>
        <w:rPr>
          <w:spacing w:val="-6"/>
        </w:rPr>
        <w:t>发包人供应的材料和工程设备使用前，由承包人负责检验，检验费用由发包人承担，不合格的不得使用。</w:t>
      </w:r>
    </w:p>
    <w:p>
      <w:pPr>
        <w:pStyle w:val="32"/>
        <w:numPr>
          <w:ilvl w:val="2"/>
          <w:numId w:val="29"/>
        </w:numPr>
        <w:tabs>
          <w:tab w:val="left" w:pos="1165"/>
        </w:tabs>
        <w:spacing w:before="29" w:after="0" w:line="240" w:lineRule="auto"/>
        <w:ind w:left="1164" w:right="0" w:hanging="631"/>
        <w:jc w:val="left"/>
        <w:rPr>
          <w:sz w:val="21"/>
        </w:rPr>
      </w:pPr>
      <w:r>
        <w:rPr>
          <w:spacing w:val="-3"/>
          <w:sz w:val="21"/>
        </w:rPr>
        <w:t>承包人采购材料与工程设备的保管与使用</w:t>
      </w:r>
    </w:p>
    <w:p>
      <w:pPr>
        <w:pStyle w:val="13"/>
        <w:spacing w:before="123" w:line="350" w:lineRule="auto"/>
        <w:ind w:right="86" w:firstLine="420"/>
      </w:pPr>
      <w:r>
        <w:rPr>
          <w:spacing w:val="-5"/>
        </w:rPr>
        <w:t>承包人采购的材料和工程设备由承包人妥善保管，保管费用由承包人承担。法律规定材料和工程设备</w:t>
      </w:r>
      <w:r>
        <w:rPr>
          <w:spacing w:val="-11"/>
        </w:rPr>
        <w:t xml:space="preserve">使用前必须进行检验或试验的，承包人应按监理人的要求进行检验或试验，检验或试验费用由承包人承担， </w:t>
      </w:r>
      <w:r>
        <w:rPr>
          <w:spacing w:val="-6"/>
        </w:rPr>
        <w:t>不合格的不得使用。</w:t>
      </w:r>
    </w:p>
    <w:p>
      <w:pPr>
        <w:pStyle w:val="13"/>
        <w:spacing w:before="26" w:line="350" w:lineRule="auto"/>
        <w:ind w:right="206" w:firstLine="420"/>
        <w:jc w:val="both"/>
      </w:pPr>
      <w:r>
        <w:rPr>
          <w:spacing w:val="-4"/>
        </w:rPr>
        <w:t>发包人或监理人发现承包人使用不符合设计或有关标准要求的材料和工程设备时，有权要求承包人进</w:t>
      </w:r>
      <w:r>
        <w:rPr>
          <w:spacing w:val="-3"/>
        </w:rPr>
        <w:t>行修复、拆除或重新采购，由此增加的费用和</w:t>
      </w:r>
      <w:r>
        <w:t>（</w:t>
      </w:r>
      <w:r>
        <w:rPr>
          <w:spacing w:val="-3"/>
        </w:rPr>
        <w:t>或</w:t>
      </w:r>
      <w:r>
        <w:t>）</w:t>
      </w:r>
      <w:r>
        <w:rPr>
          <w:spacing w:val="-3"/>
        </w:rPr>
        <w:t>延误的工期，由承包人承担。</w:t>
      </w:r>
    </w:p>
    <w:p>
      <w:pPr>
        <w:pStyle w:val="32"/>
        <w:numPr>
          <w:ilvl w:val="1"/>
          <w:numId w:val="30"/>
        </w:numPr>
        <w:tabs>
          <w:tab w:val="left" w:pos="906"/>
        </w:tabs>
        <w:spacing w:before="148" w:after="0" w:line="240" w:lineRule="auto"/>
        <w:ind w:left="905" w:right="0" w:hanging="370"/>
        <w:jc w:val="left"/>
        <w:rPr>
          <w:b/>
          <w:sz w:val="21"/>
        </w:rPr>
      </w:pPr>
      <w:r>
        <w:rPr>
          <w:b/>
          <w:spacing w:val="-1"/>
          <w:sz w:val="21"/>
        </w:rPr>
        <w:t>禁止使用不合格的材料和工程设备</w:t>
      </w:r>
    </w:p>
    <w:p>
      <w:pPr>
        <w:pStyle w:val="13"/>
        <w:spacing w:before="8"/>
        <w:ind w:left="0"/>
        <w:rPr>
          <w:b/>
          <w:sz w:val="18"/>
        </w:rPr>
      </w:pPr>
    </w:p>
    <w:p>
      <w:pPr>
        <w:pStyle w:val="32"/>
        <w:numPr>
          <w:ilvl w:val="2"/>
          <w:numId w:val="30"/>
        </w:numPr>
        <w:tabs>
          <w:tab w:val="left" w:pos="1165"/>
        </w:tabs>
        <w:spacing w:before="0" w:after="0" w:line="350" w:lineRule="auto"/>
        <w:ind w:left="112" w:right="206" w:firstLine="421"/>
        <w:jc w:val="both"/>
        <w:rPr>
          <w:sz w:val="21"/>
        </w:rPr>
      </w:pPr>
      <w:r>
        <w:rPr>
          <w:spacing w:val="-5"/>
          <w:sz w:val="21"/>
        </w:rPr>
        <w:t>监理人有权拒绝承包人提供的不合格材料或工程设备，并要求承包人立即进行更换。监理人应</w:t>
      </w:r>
      <w:r>
        <w:rPr>
          <w:spacing w:val="-4"/>
          <w:sz w:val="21"/>
        </w:rPr>
        <w:t>在更换后再次进行检查和检验，由此增加的费用和</w:t>
      </w:r>
      <w:r>
        <w:rPr>
          <w:sz w:val="21"/>
        </w:rPr>
        <w:t>（或</w:t>
      </w:r>
      <w:r>
        <w:rPr>
          <w:spacing w:val="-3"/>
          <w:sz w:val="21"/>
        </w:rPr>
        <w:t>）延误的工期由承包人承担。</w:t>
      </w:r>
    </w:p>
    <w:p>
      <w:pPr>
        <w:pStyle w:val="32"/>
        <w:numPr>
          <w:ilvl w:val="2"/>
          <w:numId w:val="30"/>
        </w:numPr>
        <w:tabs>
          <w:tab w:val="left" w:pos="1165"/>
        </w:tabs>
        <w:spacing w:before="29" w:after="0" w:line="348" w:lineRule="auto"/>
        <w:ind w:left="112" w:right="206" w:firstLine="421"/>
        <w:jc w:val="both"/>
        <w:rPr>
          <w:sz w:val="21"/>
        </w:rPr>
      </w:pPr>
      <w:r>
        <w:rPr>
          <w:spacing w:val="-5"/>
          <w:sz w:val="21"/>
        </w:rPr>
        <w:t>监理人发现承包人使用了不合格的材料和工程设备，承包人应按照监理人的指示立即改正，并</w:t>
      </w:r>
      <w:r>
        <w:rPr>
          <w:spacing w:val="-4"/>
          <w:sz w:val="21"/>
        </w:rPr>
        <w:t>禁止在工程中继续使用不合格的材料和工程设备。</w:t>
      </w:r>
    </w:p>
    <w:p>
      <w:pPr>
        <w:pStyle w:val="32"/>
        <w:numPr>
          <w:ilvl w:val="2"/>
          <w:numId w:val="30"/>
        </w:numPr>
        <w:tabs>
          <w:tab w:val="left" w:pos="1165"/>
        </w:tabs>
        <w:spacing w:before="31" w:after="0" w:line="240" w:lineRule="auto"/>
        <w:ind w:left="112" w:right="0" w:firstLine="421"/>
        <w:jc w:val="left"/>
        <w:rPr>
          <w:sz w:val="21"/>
        </w:rPr>
      </w:pPr>
      <w:r>
        <w:rPr>
          <w:spacing w:val="-6"/>
          <w:sz w:val="21"/>
        </w:rPr>
        <w:t>发包人提供的材料或工程设备不符合合同要求的，承包人有权拒绝，并可要求发包人更换，由</w:t>
      </w:r>
    </w:p>
    <w:p>
      <w:pPr>
        <w:spacing w:after="0" w:line="240" w:lineRule="auto"/>
        <w:jc w:val="left"/>
        <w:rPr>
          <w:sz w:val="21"/>
        </w:rPr>
        <w:sectPr>
          <w:pgSz w:w="11910" w:h="16840"/>
          <w:pgMar w:top="1460" w:right="920" w:bottom="1180" w:left="1020" w:header="0" w:footer="920" w:gutter="0"/>
        </w:sectPr>
      </w:pPr>
    </w:p>
    <w:p>
      <w:pPr>
        <w:pStyle w:val="13"/>
        <w:spacing w:before="14"/>
      </w:pPr>
      <w:r>
        <w:t>此增加的费用和（或）延误的工期由发包人承担，并支付承包人合理的利润。</w:t>
      </w:r>
    </w:p>
    <w:p>
      <w:pPr>
        <w:pStyle w:val="13"/>
        <w:spacing w:before="8"/>
        <w:ind w:left="0"/>
        <w:rPr>
          <w:sz w:val="18"/>
        </w:rPr>
      </w:pPr>
    </w:p>
    <w:p>
      <w:pPr>
        <w:pStyle w:val="32"/>
        <w:numPr>
          <w:ilvl w:val="1"/>
          <w:numId w:val="31"/>
        </w:numPr>
        <w:tabs>
          <w:tab w:val="left" w:pos="959"/>
        </w:tabs>
        <w:spacing w:before="0" w:after="0" w:line="240" w:lineRule="auto"/>
        <w:ind w:left="958" w:right="0" w:hanging="423"/>
        <w:jc w:val="left"/>
        <w:rPr>
          <w:b/>
          <w:sz w:val="21"/>
        </w:rPr>
      </w:pPr>
      <w:r>
        <w:rPr>
          <w:b/>
          <w:sz w:val="21"/>
        </w:rPr>
        <w:t>样品</w:t>
      </w:r>
    </w:p>
    <w:p>
      <w:pPr>
        <w:pStyle w:val="13"/>
        <w:spacing w:before="9"/>
        <w:ind w:left="0"/>
        <w:rPr>
          <w:b/>
          <w:sz w:val="18"/>
        </w:rPr>
      </w:pPr>
    </w:p>
    <w:p>
      <w:pPr>
        <w:pStyle w:val="32"/>
        <w:numPr>
          <w:ilvl w:val="2"/>
          <w:numId w:val="31"/>
        </w:numPr>
        <w:tabs>
          <w:tab w:val="left" w:pos="1373"/>
          <w:tab w:val="left" w:pos="1374"/>
        </w:tabs>
        <w:spacing w:before="1" w:after="0" w:line="240" w:lineRule="auto"/>
        <w:ind w:left="1373" w:right="0" w:hanging="840"/>
        <w:jc w:val="left"/>
        <w:rPr>
          <w:sz w:val="21"/>
        </w:rPr>
      </w:pPr>
      <w:r>
        <w:rPr>
          <w:spacing w:val="-3"/>
          <w:sz w:val="21"/>
        </w:rPr>
        <w:t>样品的报送与封存</w:t>
      </w:r>
    </w:p>
    <w:p>
      <w:pPr>
        <w:pStyle w:val="13"/>
        <w:spacing w:before="126" w:line="348" w:lineRule="auto"/>
        <w:ind w:firstLine="420"/>
      </w:pPr>
      <w:r>
        <w:rPr>
          <w:spacing w:val="-6"/>
        </w:rPr>
        <w:t>需要承包人报送样品的材料或工程设备，样品的种类、名称、规格、数量等要求均应在专用合同条款</w:t>
      </w:r>
      <w:r>
        <w:rPr>
          <w:spacing w:val="-4"/>
        </w:rPr>
        <w:t>中约定。样品的报送程序如下：</w:t>
      </w:r>
    </w:p>
    <w:p>
      <w:pPr>
        <w:pStyle w:val="13"/>
        <w:spacing w:before="31" w:line="348" w:lineRule="auto"/>
        <w:ind w:right="117" w:firstLine="420"/>
      </w:pPr>
      <w:r>
        <w:t>（1）</w:t>
      </w:r>
      <w:r>
        <w:rPr>
          <w:spacing w:val="-3"/>
        </w:rPr>
        <w:t>承包人应在计划采购前</w:t>
      </w:r>
      <w:r>
        <w:t>28</w:t>
      </w:r>
      <w:r>
        <w:rPr>
          <w:spacing w:val="-3"/>
        </w:rPr>
        <w:t>天向监理人报送样品。承包人报送的样品均应来自供应材料的实际生</w:t>
      </w:r>
      <w:r>
        <w:rPr>
          <w:spacing w:val="-5"/>
        </w:rPr>
        <w:t>产地，且提供的样品的规格、数量足以表明材料或工程设备的质量、型号、颜色、表面处理、质地、误差</w:t>
      </w:r>
      <w:r>
        <w:rPr>
          <w:spacing w:val="-4"/>
        </w:rPr>
        <w:t>和其他要求的特征。</w:t>
      </w:r>
    </w:p>
    <w:p>
      <w:pPr>
        <w:pStyle w:val="13"/>
        <w:spacing w:before="31" w:line="350" w:lineRule="auto"/>
        <w:ind w:right="210" w:firstLine="420"/>
        <w:jc w:val="both"/>
      </w:pPr>
      <w: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pStyle w:val="13"/>
        <w:spacing w:before="29" w:line="350" w:lineRule="auto"/>
        <w:ind w:right="203" w:firstLine="420"/>
      </w:pPr>
      <w:r>
        <w:t>（3）经发包人和监理人审批确认的样品应按约定的方法封样，封存的样品作为检验工程相关部分的标准之一。承包人在施工过程中不得使用与样品不符的材料或工程设备。</w:t>
      </w:r>
    </w:p>
    <w:p>
      <w:pPr>
        <w:pStyle w:val="13"/>
        <w:spacing w:before="26" w:line="350" w:lineRule="auto"/>
        <w:ind w:right="120" w:firstLine="420"/>
      </w:pPr>
      <w:r>
        <w:t>（4）</w:t>
      </w:r>
      <w:r>
        <w:rPr>
          <w:spacing w:val="-3"/>
        </w:rPr>
        <w:t>发包人和监理人对样品的审批确认仅为确认相关材料或工程设备的特征或用途，不得被理解为</w:t>
      </w:r>
      <w:r>
        <w:rPr>
          <w:spacing w:val="-5"/>
        </w:rPr>
        <w:t>对合同的修改或改变，也并不减轻或免除承包人任何的责任和义务。如果封存的样品修改或改变了合同约</w:t>
      </w:r>
      <w:r>
        <w:rPr>
          <w:spacing w:val="-4"/>
        </w:rPr>
        <w:t>定，合同当事人应当以书面协议予以确认。</w:t>
      </w:r>
    </w:p>
    <w:p>
      <w:pPr>
        <w:pStyle w:val="32"/>
        <w:numPr>
          <w:ilvl w:val="2"/>
          <w:numId w:val="31"/>
        </w:numPr>
        <w:tabs>
          <w:tab w:val="left" w:pos="1165"/>
        </w:tabs>
        <w:spacing w:before="26" w:after="0" w:line="240" w:lineRule="auto"/>
        <w:ind w:left="1164" w:right="0" w:hanging="631"/>
        <w:jc w:val="left"/>
        <w:rPr>
          <w:sz w:val="21"/>
        </w:rPr>
      </w:pPr>
      <w:r>
        <w:rPr>
          <w:spacing w:val="-3"/>
          <w:sz w:val="21"/>
        </w:rPr>
        <w:t>样品的保管</w:t>
      </w:r>
    </w:p>
    <w:p>
      <w:pPr>
        <w:pStyle w:val="13"/>
        <w:spacing w:before="125" w:line="350" w:lineRule="auto"/>
        <w:ind w:right="111" w:firstLine="420"/>
      </w:pPr>
      <w:r>
        <w:rPr>
          <w:spacing w:val="-5"/>
        </w:rPr>
        <w:t>经批准的样品应由监理人负责封存于现场，承包人应在现场为保存样品提供适当和固定的场所并保持</w:t>
      </w:r>
      <w:r>
        <w:rPr>
          <w:spacing w:val="-4"/>
        </w:rPr>
        <w:t>适当和良好的存储环境条件。</w:t>
      </w:r>
    </w:p>
    <w:p>
      <w:pPr>
        <w:pStyle w:val="32"/>
        <w:numPr>
          <w:ilvl w:val="1"/>
          <w:numId w:val="32"/>
        </w:numPr>
        <w:tabs>
          <w:tab w:val="left" w:pos="906"/>
        </w:tabs>
        <w:spacing w:before="146" w:after="0" w:line="240" w:lineRule="auto"/>
        <w:ind w:left="905" w:right="0" w:hanging="370"/>
        <w:jc w:val="left"/>
        <w:rPr>
          <w:b/>
          <w:sz w:val="21"/>
        </w:rPr>
      </w:pPr>
      <w:r>
        <w:rPr>
          <w:b/>
          <w:spacing w:val="-2"/>
          <w:sz w:val="21"/>
        </w:rPr>
        <w:t>材料与工程设备的替代</w:t>
      </w:r>
    </w:p>
    <w:p>
      <w:pPr>
        <w:pStyle w:val="13"/>
        <w:spacing w:before="9"/>
        <w:ind w:left="0"/>
        <w:rPr>
          <w:b/>
          <w:sz w:val="18"/>
        </w:rPr>
      </w:pPr>
    </w:p>
    <w:p>
      <w:pPr>
        <w:pStyle w:val="32"/>
        <w:numPr>
          <w:ilvl w:val="2"/>
          <w:numId w:val="32"/>
        </w:numPr>
        <w:tabs>
          <w:tab w:val="left" w:pos="1165"/>
        </w:tabs>
        <w:spacing w:before="0" w:after="0" w:line="240" w:lineRule="auto"/>
        <w:ind w:left="1164" w:right="0" w:hanging="631"/>
        <w:jc w:val="left"/>
        <w:rPr>
          <w:sz w:val="21"/>
        </w:rPr>
      </w:pPr>
      <w:r>
        <w:rPr>
          <w:spacing w:val="-3"/>
          <w:sz w:val="21"/>
        </w:rPr>
        <w:t>出现下列情况需要使用替代材料和工程设备的，承包人应按照第</w:t>
      </w:r>
      <w:r>
        <w:rPr>
          <w:sz w:val="21"/>
        </w:rPr>
        <w:t>8.7.2</w:t>
      </w:r>
      <w:r>
        <w:rPr>
          <w:spacing w:val="-3"/>
          <w:sz w:val="21"/>
        </w:rPr>
        <w:t>项约定的程序执行：</w:t>
      </w:r>
    </w:p>
    <w:p>
      <w:pPr>
        <w:pStyle w:val="13"/>
        <w:spacing w:before="125"/>
        <w:ind w:left="533"/>
      </w:pPr>
      <w:r>
        <w:t>（1）基准日期后生效的法律规定禁止使用的；</w:t>
      </w:r>
    </w:p>
    <w:p>
      <w:pPr>
        <w:pStyle w:val="13"/>
        <w:spacing w:before="123"/>
        <w:ind w:left="533"/>
      </w:pPr>
      <w:r>
        <w:t>（2）发包人要求使用替代品的；</w:t>
      </w:r>
    </w:p>
    <w:p>
      <w:pPr>
        <w:pStyle w:val="13"/>
        <w:spacing w:before="125"/>
        <w:ind w:left="533"/>
      </w:pPr>
      <w:r>
        <w:t>（3）因其他原因必须使用替代品的。</w:t>
      </w:r>
    </w:p>
    <w:p>
      <w:pPr>
        <w:pStyle w:val="32"/>
        <w:numPr>
          <w:ilvl w:val="2"/>
          <w:numId w:val="32"/>
        </w:numPr>
        <w:tabs>
          <w:tab w:val="left" w:pos="1165"/>
        </w:tabs>
        <w:spacing w:before="125" w:after="0" w:line="240" w:lineRule="auto"/>
        <w:ind w:left="1164" w:right="0" w:hanging="631"/>
        <w:jc w:val="left"/>
        <w:rPr>
          <w:sz w:val="21"/>
        </w:rPr>
      </w:pPr>
      <w:r>
        <w:rPr>
          <w:spacing w:val="-3"/>
          <w:sz w:val="21"/>
        </w:rPr>
        <w:t>承包人应在使用替代材料和工程设备</w:t>
      </w:r>
      <w:r>
        <w:rPr>
          <w:sz w:val="21"/>
        </w:rPr>
        <w:t>28</w:t>
      </w:r>
      <w:r>
        <w:rPr>
          <w:spacing w:val="-3"/>
          <w:sz w:val="21"/>
        </w:rPr>
        <w:t>天前书面通知监理人，并附下列文件：</w:t>
      </w:r>
    </w:p>
    <w:p>
      <w:pPr>
        <w:pStyle w:val="13"/>
        <w:spacing w:before="123"/>
        <w:ind w:left="533"/>
      </w:pPr>
      <w:r>
        <w:t>（1）被替代的材料和工程设备的名称、数量、规格、型号、品牌、性能、价格及其他相关资料；</w:t>
      </w:r>
    </w:p>
    <w:p>
      <w:pPr>
        <w:pStyle w:val="13"/>
        <w:spacing w:before="125"/>
        <w:ind w:left="533"/>
      </w:pPr>
      <w:r>
        <w:t>（2）替代品的名称、数量、规格、型号、品牌、性能、价格及其他相关资料；</w:t>
      </w:r>
    </w:p>
    <w:p>
      <w:pPr>
        <w:pStyle w:val="13"/>
        <w:spacing w:before="125"/>
        <w:ind w:left="533"/>
      </w:pPr>
      <w:r>
        <w:t>（3）替代品与被替代产品之间的差异以及使用替代品可能对工程产生的影响；</w:t>
      </w:r>
    </w:p>
    <w:p>
      <w:pPr>
        <w:pStyle w:val="13"/>
        <w:spacing w:before="124"/>
        <w:ind w:left="533"/>
      </w:pPr>
      <w:r>
        <w:t>（4）替代品与被替代产品的价格差异；</w:t>
      </w:r>
    </w:p>
    <w:p>
      <w:pPr>
        <w:pStyle w:val="13"/>
        <w:spacing w:before="126"/>
        <w:ind w:left="533"/>
      </w:pPr>
      <w:r>
        <w:t>（5）使用替代品的理由和原因说明；</w:t>
      </w:r>
    </w:p>
    <w:p>
      <w:pPr>
        <w:pStyle w:val="13"/>
        <w:spacing w:before="126"/>
        <w:ind w:left="533"/>
      </w:pPr>
      <w:r>
        <w:t>（6）监理人要求的其他文件。</w:t>
      </w:r>
    </w:p>
    <w:p>
      <w:pPr>
        <w:pStyle w:val="13"/>
        <w:spacing w:before="123" w:line="350" w:lineRule="auto"/>
        <w:ind w:right="98" w:firstLine="420"/>
      </w:pPr>
      <w:r>
        <w:t>监理人应在收到通知后14天内向承包人发出经发包人签认的书面指示；监理人逾期发出书面指示的， 视为发包人和监理人同意使用替代品。</w:t>
      </w:r>
    </w:p>
    <w:p>
      <w:pPr>
        <w:pStyle w:val="32"/>
        <w:numPr>
          <w:ilvl w:val="2"/>
          <w:numId w:val="32"/>
        </w:numPr>
        <w:tabs>
          <w:tab w:val="left" w:pos="1165"/>
        </w:tabs>
        <w:spacing w:before="28" w:after="0" w:line="240" w:lineRule="auto"/>
        <w:ind w:left="1164" w:right="0" w:hanging="631"/>
        <w:jc w:val="left"/>
        <w:rPr>
          <w:sz w:val="21"/>
        </w:rPr>
      </w:pPr>
      <w:r>
        <w:rPr>
          <w:spacing w:val="-5"/>
          <w:sz w:val="21"/>
        </w:rPr>
        <w:t>发包人认可使用替代材料和工程设备的，替代材料和工程设备的价格，按照已标价工程量清单</w:t>
      </w:r>
    </w:p>
    <w:p>
      <w:pPr>
        <w:spacing w:after="0" w:line="240" w:lineRule="auto"/>
        <w:jc w:val="left"/>
        <w:rPr>
          <w:sz w:val="21"/>
        </w:rPr>
        <w:sectPr>
          <w:pgSz w:w="11910" w:h="16840"/>
          <w:pgMar w:top="1460" w:right="1000" w:bottom="1180" w:left="1020" w:header="0" w:footer="920" w:gutter="0"/>
        </w:sectPr>
      </w:pPr>
    </w:p>
    <w:p>
      <w:pPr>
        <w:pStyle w:val="13"/>
        <w:spacing w:before="14" w:line="348" w:lineRule="auto"/>
        <w:ind w:right="178"/>
      </w:pPr>
      <w:r>
        <w:t>或预算书相同项目的价格认定；无相同项目的，参考相似项目价格认定；既无相同项目也无相似项目的， 按照合理的成本与利润构成的原则，由合同当事人按照第4.4款〔商定或确定〕确定价格。</w:t>
      </w:r>
    </w:p>
    <w:p>
      <w:pPr>
        <w:pStyle w:val="32"/>
        <w:numPr>
          <w:ilvl w:val="1"/>
          <w:numId w:val="33"/>
        </w:numPr>
        <w:tabs>
          <w:tab w:val="left" w:pos="906"/>
        </w:tabs>
        <w:spacing w:before="151" w:after="0" w:line="240" w:lineRule="auto"/>
        <w:ind w:left="905" w:right="0" w:hanging="370"/>
        <w:jc w:val="left"/>
        <w:rPr>
          <w:b/>
          <w:sz w:val="21"/>
        </w:rPr>
      </w:pPr>
      <w:r>
        <w:rPr>
          <w:b/>
          <w:sz w:val="21"/>
        </w:rPr>
        <w:t>施工设备和临时设施</w:t>
      </w:r>
    </w:p>
    <w:p>
      <w:pPr>
        <w:pStyle w:val="13"/>
        <w:spacing w:before="9"/>
        <w:ind w:left="0"/>
        <w:rPr>
          <w:b/>
          <w:sz w:val="18"/>
        </w:rPr>
      </w:pPr>
    </w:p>
    <w:p>
      <w:pPr>
        <w:pStyle w:val="32"/>
        <w:numPr>
          <w:ilvl w:val="2"/>
          <w:numId w:val="33"/>
        </w:numPr>
        <w:tabs>
          <w:tab w:val="left" w:pos="1165"/>
        </w:tabs>
        <w:spacing w:before="1" w:after="0" w:line="240" w:lineRule="auto"/>
        <w:ind w:left="1164" w:right="0" w:hanging="631"/>
        <w:jc w:val="left"/>
        <w:rPr>
          <w:sz w:val="21"/>
        </w:rPr>
      </w:pPr>
      <w:r>
        <w:rPr>
          <w:spacing w:val="-3"/>
          <w:sz w:val="21"/>
        </w:rPr>
        <w:t>承包人提供的施工设备和临时设施</w:t>
      </w:r>
    </w:p>
    <w:p>
      <w:pPr>
        <w:pStyle w:val="13"/>
        <w:spacing w:before="123" w:line="350" w:lineRule="auto"/>
        <w:ind w:right="191" w:firstLine="420"/>
      </w:pPr>
      <w:r>
        <w:rPr>
          <w:spacing w:val="-5"/>
        </w:rPr>
        <w:t>承包人应按合同进度计划的要求，及时配置施工设备和修建临时设施。进入施工场地的承包人设备需</w:t>
      </w:r>
      <w:r>
        <w:rPr>
          <w:spacing w:val="-4"/>
        </w:rPr>
        <w:t>经监理人核查后才能投入使用。承包人更换合同约定的承包人设备的，应报监理人批准。</w:t>
      </w:r>
    </w:p>
    <w:p>
      <w:pPr>
        <w:pStyle w:val="13"/>
        <w:spacing w:before="28" w:line="348" w:lineRule="auto"/>
        <w:ind w:right="191" w:firstLine="420"/>
      </w:pPr>
      <w:r>
        <w:rPr>
          <w:spacing w:val="-6"/>
        </w:rPr>
        <w:t>除专用合同条款另有约定外，承包人应自行承担修建临时设施的费用，需要临时占地的，应由发包人</w:t>
      </w:r>
      <w:r>
        <w:rPr>
          <w:spacing w:val="-4"/>
        </w:rPr>
        <w:t>办理申请手续并承担相应费用。</w:t>
      </w:r>
    </w:p>
    <w:p>
      <w:pPr>
        <w:pStyle w:val="32"/>
        <w:numPr>
          <w:ilvl w:val="2"/>
          <w:numId w:val="33"/>
        </w:numPr>
        <w:tabs>
          <w:tab w:val="left" w:pos="1063"/>
        </w:tabs>
        <w:spacing w:before="31" w:after="0" w:line="240" w:lineRule="auto"/>
        <w:ind w:left="1062" w:right="0" w:hanging="529"/>
        <w:jc w:val="left"/>
        <w:rPr>
          <w:sz w:val="21"/>
        </w:rPr>
      </w:pPr>
      <w:r>
        <w:rPr>
          <w:spacing w:val="-3"/>
          <w:sz w:val="21"/>
        </w:rPr>
        <w:t>发包人提供的施工设备和临时设施</w:t>
      </w:r>
    </w:p>
    <w:p>
      <w:pPr>
        <w:pStyle w:val="13"/>
        <w:spacing w:before="126"/>
        <w:ind w:left="533"/>
      </w:pPr>
      <w:r>
        <w:t>发包人提供的施工设备或临时设施在专用合同条款中约定。</w:t>
      </w:r>
    </w:p>
    <w:p>
      <w:pPr>
        <w:pStyle w:val="32"/>
        <w:numPr>
          <w:ilvl w:val="2"/>
          <w:numId w:val="33"/>
        </w:numPr>
        <w:tabs>
          <w:tab w:val="left" w:pos="1063"/>
        </w:tabs>
        <w:spacing w:before="124" w:after="0" w:line="240" w:lineRule="auto"/>
        <w:ind w:left="1062" w:right="0" w:hanging="529"/>
        <w:jc w:val="left"/>
        <w:rPr>
          <w:sz w:val="21"/>
        </w:rPr>
      </w:pPr>
      <w:r>
        <w:rPr>
          <w:spacing w:val="-3"/>
          <w:sz w:val="21"/>
        </w:rPr>
        <w:t>要求承包人增加或更换施工设备</w:t>
      </w:r>
    </w:p>
    <w:p>
      <w:pPr>
        <w:pStyle w:val="13"/>
        <w:spacing w:before="126" w:line="350" w:lineRule="auto"/>
        <w:ind w:right="178" w:firstLine="420"/>
      </w:pPr>
      <w:r>
        <w:t>承包人使用的施工设备不能满足合同进度计划和（或）质量要求时，监理人有权要求承包人增加或更换施工设备，承包人应及时增加或更换，由此增加的费用和（或）延误的工期由承包人承担。</w:t>
      </w:r>
    </w:p>
    <w:p>
      <w:pPr>
        <w:spacing w:before="147"/>
        <w:ind w:left="535" w:right="0" w:firstLine="0"/>
        <w:jc w:val="left"/>
        <w:rPr>
          <w:b/>
          <w:sz w:val="21"/>
        </w:rPr>
      </w:pPr>
      <w:r>
        <w:rPr>
          <w:b/>
          <w:sz w:val="21"/>
        </w:rPr>
        <w:t>8.9 材料与设备专用要求</w:t>
      </w:r>
    </w:p>
    <w:p>
      <w:pPr>
        <w:pStyle w:val="13"/>
        <w:spacing w:before="10"/>
        <w:ind w:left="0"/>
        <w:rPr>
          <w:b/>
          <w:sz w:val="18"/>
        </w:rPr>
      </w:pPr>
    </w:p>
    <w:p>
      <w:pPr>
        <w:pStyle w:val="13"/>
        <w:spacing w:line="348" w:lineRule="auto"/>
        <w:ind w:right="184" w:firstLine="420"/>
        <w:jc w:val="both"/>
      </w:pPr>
      <w:r>
        <w:rPr>
          <w:spacing w:val="-3"/>
        </w:rPr>
        <w:t>承包人运入施工现场的材料、工程设备、施工设备以及在施工场地建设的临时设施，包括备品备件、</w:t>
      </w:r>
      <w:r>
        <w:rPr>
          <w:spacing w:val="-7"/>
        </w:rPr>
        <w:t>安装工具与资料，必须专用于工程。未经发包人批准，承包人不得运出施工现场或挪作他用；经发包人批</w:t>
      </w:r>
      <w:r>
        <w:rPr>
          <w:spacing w:val="-5"/>
        </w:rPr>
        <w:t>准，承包人可以根据施工进度计划撤走闲置的施工设备和其他物品。</w:t>
      </w:r>
    </w:p>
    <w:p>
      <w:pPr>
        <w:pStyle w:val="32"/>
        <w:numPr>
          <w:ilvl w:val="0"/>
          <w:numId w:val="9"/>
        </w:numPr>
        <w:tabs>
          <w:tab w:val="left" w:pos="431"/>
        </w:tabs>
        <w:spacing w:before="151" w:after="0" w:line="240" w:lineRule="auto"/>
        <w:ind w:left="430" w:right="0" w:hanging="318"/>
        <w:jc w:val="left"/>
        <w:rPr>
          <w:sz w:val="21"/>
        </w:rPr>
      </w:pPr>
      <w:r>
        <w:rPr>
          <w:spacing w:val="-3"/>
          <w:sz w:val="21"/>
        </w:rPr>
        <w:t>试验与检验</w:t>
      </w:r>
    </w:p>
    <w:p>
      <w:pPr>
        <w:pStyle w:val="13"/>
        <w:spacing w:before="10"/>
        <w:ind w:left="0"/>
        <w:rPr>
          <w:sz w:val="18"/>
        </w:rPr>
      </w:pPr>
    </w:p>
    <w:p>
      <w:pPr>
        <w:pStyle w:val="32"/>
        <w:numPr>
          <w:ilvl w:val="1"/>
          <w:numId w:val="9"/>
        </w:numPr>
        <w:tabs>
          <w:tab w:val="left" w:pos="906"/>
        </w:tabs>
        <w:spacing w:before="0" w:after="0" w:line="240" w:lineRule="auto"/>
        <w:ind w:left="905" w:right="0" w:hanging="370"/>
        <w:jc w:val="left"/>
        <w:rPr>
          <w:b/>
          <w:sz w:val="21"/>
        </w:rPr>
      </w:pPr>
      <w:r>
        <w:rPr>
          <w:b/>
          <w:sz w:val="21"/>
        </w:rPr>
        <w:t>试验设备与试验人员</w:t>
      </w:r>
    </w:p>
    <w:p>
      <w:pPr>
        <w:pStyle w:val="13"/>
        <w:spacing w:before="7"/>
        <w:ind w:left="0"/>
        <w:rPr>
          <w:b/>
          <w:sz w:val="18"/>
        </w:rPr>
      </w:pPr>
    </w:p>
    <w:p>
      <w:pPr>
        <w:pStyle w:val="32"/>
        <w:numPr>
          <w:ilvl w:val="2"/>
          <w:numId w:val="9"/>
        </w:numPr>
        <w:tabs>
          <w:tab w:val="left" w:pos="1165"/>
        </w:tabs>
        <w:spacing w:before="0" w:after="0" w:line="350" w:lineRule="auto"/>
        <w:ind w:left="112" w:right="100" w:firstLine="421"/>
        <w:jc w:val="left"/>
        <w:rPr>
          <w:sz w:val="21"/>
        </w:rPr>
      </w:pPr>
      <w:r>
        <w:rPr>
          <w:spacing w:val="-8"/>
          <w:sz w:val="21"/>
        </w:rPr>
        <w:t>承包人根据合同约定或监理人指示进行的现场材料试验，应由承包人提供试验场所、试验人员、</w:t>
      </w:r>
      <w:r>
        <w:rPr>
          <w:spacing w:val="-7"/>
          <w:sz w:val="21"/>
        </w:rPr>
        <w:t>试验设备以及其他必要的试验条件。监理人在必要时可以使用承包人提供的试验场所、试验设备以及其他</w:t>
      </w:r>
      <w:r>
        <w:rPr>
          <w:spacing w:val="-5"/>
          <w:sz w:val="21"/>
        </w:rPr>
        <w:t>试验条件，进行以工程质量检查为目的的材料复核试验，承包人应予以协助。</w:t>
      </w:r>
    </w:p>
    <w:p>
      <w:pPr>
        <w:pStyle w:val="32"/>
        <w:numPr>
          <w:ilvl w:val="2"/>
          <w:numId w:val="9"/>
        </w:numPr>
        <w:tabs>
          <w:tab w:val="left" w:pos="1165"/>
        </w:tabs>
        <w:spacing w:before="26" w:after="0" w:line="350" w:lineRule="auto"/>
        <w:ind w:left="112" w:right="206" w:firstLine="421"/>
        <w:jc w:val="left"/>
        <w:rPr>
          <w:sz w:val="21"/>
        </w:rPr>
      </w:pPr>
      <w:r>
        <w:rPr>
          <w:spacing w:val="-6"/>
          <w:sz w:val="21"/>
        </w:rPr>
        <w:t>承包人应按专用合同条款的约定提供试验设备、取样装置、试验场所和试验条件，并向监理人</w:t>
      </w:r>
      <w:r>
        <w:rPr>
          <w:spacing w:val="-4"/>
          <w:sz w:val="21"/>
        </w:rPr>
        <w:t>提交相应进场计划表。</w:t>
      </w:r>
    </w:p>
    <w:p>
      <w:pPr>
        <w:pStyle w:val="13"/>
        <w:spacing w:before="28" w:line="348" w:lineRule="auto"/>
        <w:ind w:right="178" w:firstLine="420"/>
      </w:pPr>
      <w:r>
        <w:t>承包人配置的试验设备要符合相应试验规程的要求并经过具有资质的检测单位检测，且在正式使用该试验设备前，需要经过监理人与承包人共同校定。</w:t>
      </w:r>
    </w:p>
    <w:p>
      <w:pPr>
        <w:pStyle w:val="32"/>
        <w:numPr>
          <w:ilvl w:val="2"/>
          <w:numId w:val="9"/>
        </w:numPr>
        <w:tabs>
          <w:tab w:val="left" w:pos="1165"/>
        </w:tabs>
        <w:spacing w:before="31" w:after="0" w:line="350" w:lineRule="auto"/>
        <w:ind w:left="112" w:right="206" w:firstLine="421"/>
        <w:jc w:val="left"/>
        <w:rPr>
          <w:sz w:val="21"/>
        </w:rPr>
      </w:pPr>
      <w:r>
        <w:rPr>
          <w:spacing w:val="-5"/>
          <w:sz w:val="21"/>
        </w:rPr>
        <w:t>承包人应向监理人提交试验人员的名单及其岗位、资格等证明资料，试验人员必须能够熟练进</w:t>
      </w:r>
      <w:r>
        <w:rPr>
          <w:spacing w:val="-4"/>
          <w:sz w:val="21"/>
        </w:rPr>
        <w:t>行相应的检测试验，承包人对试验人员的试验程序和试验结果的正确性负责。</w:t>
      </w:r>
    </w:p>
    <w:p>
      <w:pPr>
        <w:pStyle w:val="32"/>
        <w:numPr>
          <w:ilvl w:val="1"/>
          <w:numId w:val="34"/>
        </w:numPr>
        <w:tabs>
          <w:tab w:val="left" w:pos="906"/>
        </w:tabs>
        <w:spacing w:before="147" w:after="0" w:line="240" w:lineRule="auto"/>
        <w:ind w:left="905" w:right="0" w:hanging="370"/>
        <w:jc w:val="left"/>
        <w:rPr>
          <w:b/>
          <w:sz w:val="21"/>
        </w:rPr>
      </w:pPr>
      <w:r>
        <w:rPr>
          <w:b/>
          <w:sz w:val="21"/>
        </w:rPr>
        <w:t>取样</w:t>
      </w:r>
    </w:p>
    <w:p>
      <w:pPr>
        <w:pStyle w:val="13"/>
        <w:spacing w:before="10"/>
        <w:ind w:left="0"/>
        <w:rPr>
          <w:b/>
          <w:sz w:val="18"/>
        </w:rPr>
      </w:pPr>
    </w:p>
    <w:p>
      <w:pPr>
        <w:pStyle w:val="13"/>
        <w:spacing w:line="350" w:lineRule="auto"/>
        <w:ind w:right="191" w:firstLine="420"/>
      </w:pPr>
      <w:r>
        <w:rPr>
          <w:spacing w:val="-7"/>
        </w:rPr>
        <w:t>试验属于自检性质的，承包人可以单独取样。试验属于监理人抽检性质的，可由监理人取样，也可由</w:t>
      </w:r>
      <w:r>
        <w:rPr>
          <w:spacing w:val="-5"/>
        </w:rPr>
        <w:t>承包人的试验人员在监理人的监督下取样。</w:t>
      </w:r>
    </w:p>
    <w:p>
      <w:pPr>
        <w:spacing w:after="0" w:line="350" w:lineRule="auto"/>
        <w:sectPr>
          <w:pgSz w:w="11910" w:h="16840"/>
          <w:pgMar w:top="1460" w:right="920" w:bottom="1180" w:left="1020" w:header="0" w:footer="920" w:gutter="0"/>
        </w:sectPr>
      </w:pPr>
    </w:p>
    <w:p>
      <w:pPr>
        <w:pStyle w:val="32"/>
        <w:numPr>
          <w:ilvl w:val="1"/>
          <w:numId w:val="34"/>
        </w:numPr>
        <w:tabs>
          <w:tab w:val="left" w:pos="906"/>
        </w:tabs>
        <w:spacing w:before="14" w:after="0" w:line="240" w:lineRule="auto"/>
        <w:ind w:left="905" w:right="0" w:hanging="370"/>
        <w:jc w:val="left"/>
        <w:rPr>
          <w:b/>
          <w:sz w:val="21"/>
        </w:rPr>
      </w:pPr>
      <w:r>
        <w:rPr>
          <w:b/>
          <w:spacing w:val="-1"/>
          <w:sz w:val="21"/>
        </w:rPr>
        <w:t>材料、工程设备和工程的试验和检验</w:t>
      </w:r>
    </w:p>
    <w:p>
      <w:pPr>
        <w:pStyle w:val="13"/>
        <w:spacing w:before="8"/>
        <w:ind w:left="0"/>
        <w:rPr>
          <w:b/>
          <w:sz w:val="18"/>
        </w:rPr>
      </w:pPr>
    </w:p>
    <w:p>
      <w:pPr>
        <w:pStyle w:val="32"/>
        <w:numPr>
          <w:ilvl w:val="2"/>
          <w:numId w:val="34"/>
        </w:numPr>
        <w:tabs>
          <w:tab w:val="left" w:pos="1112"/>
        </w:tabs>
        <w:spacing w:before="0" w:after="0" w:line="350" w:lineRule="auto"/>
        <w:ind w:left="112" w:right="206" w:firstLine="421"/>
        <w:jc w:val="both"/>
        <w:rPr>
          <w:sz w:val="21"/>
        </w:rPr>
      </w:pPr>
      <w:r>
        <w:rPr>
          <w:spacing w:val="-3"/>
          <w:sz w:val="21"/>
        </w:rPr>
        <w:t>承包人应按合同约定进行材料、工程设备和工程的试验和检验，并为监理人对上述材料、工程</w:t>
      </w:r>
      <w:r>
        <w:rPr>
          <w:spacing w:val="-4"/>
          <w:sz w:val="21"/>
        </w:rPr>
        <w:t>设备和工程的质量检查提供必要的试验资料和原始记录。按合同约定应由监理人与承包人共同进行试验和</w:t>
      </w:r>
      <w:r>
        <w:rPr>
          <w:spacing w:val="-3"/>
          <w:sz w:val="21"/>
        </w:rPr>
        <w:t>检验的，由承包人负责提供必要的试验资料和原始记录。</w:t>
      </w:r>
    </w:p>
    <w:p>
      <w:pPr>
        <w:pStyle w:val="32"/>
        <w:numPr>
          <w:ilvl w:val="2"/>
          <w:numId w:val="34"/>
        </w:numPr>
        <w:tabs>
          <w:tab w:val="left" w:pos="1112"/>
        </w:tabs>
        <w:spacing w:before="26" w:after="0" w:line="350" w:lineRule="auto"/>
        <w:ind w:left="112" w:right="206" w:firstLine="421"/>
        <w:jc w:val="both"/>
        <w:rPr>
          <w:sz w:val="21"/>
        </w:rPr>
      </w:pPr>
      <w:r>
        <w:rPr>
          <w:spacing w:val="-3"/>
          <w:sz w:val="21"/>
        </w:rPr>
        <w:t>试验属于自检性质的，承包人可以单独进行试验。试验属于监理人抽检性质的，监理人可以单</w:t>
      </w:r>
      <w:r>
        <w:rPr>
          <w:spacing w:val="-7"/>
          <w:sz w:val="21"/>
        </w:rPr>
        <w:t>独进行试验，也可由承包人与监理人共同进行。承包人对由监理人单独进行的试验结果有异议的，可以申</w:t>
      </w:r>
      <w:r>
        <w:rPr>
          <w:spacing w:val="-6"/>
          <w:sz w:val="21"/>
        </w:rPr>
        <w:t>请重新共同进行试验。约定共同进行试验的，监理人未按照约定参加试验的，承包人可自行试验，并将试</w:t>
      </w:r>
      <w:r>
        <w:rPr>
          <w:spacing w:val="-4"/>
          <w:sz w:val="21"/>
        </w:rPr>
        <w:t>验结果报送监理人，监理人应承认该试验结果。</w:t>
      </w:r>
    </w:p>
    <w:p>
      <w:pPr>
        <w:pStyle w:val="32"/>
        <w:numPr>
          <w:ilvl w:val="2"/>
          <w:numId w:val="34"/>
        </w:numPr>
        <w:tabs>
          <w:tab w:val="left" w:pos="1112"/>
        </w:tabs>
        <w:spacing w:before="29" w:after="0" w:line="350" w:lineRule="auto"/>
        <w:ind w:left="112" w:right="187" w:firstLine="421"/>
        <w:jc w:val="both"/>
        <w:rPr>
          <w:sz w:val="21"/>
        </w:rPr>
      </w:pPr>
      <w:r>
        <w:rPr>
          <w:spacing w:val="-3"/>
          <w:sz w:val="21"/>
        </w:rPr>
        <w:t>监理人对承包人的试验和检验结果有异议的，或为查清承包人试验和检验成果的可靠性要求承</w:t>
      </w:r>
      <w:r>
        <w:rPr>
          <w:spacing w:val="-6"/>
          <w:sz w:val="21"/>
        </w:rPr>
        <w:t>包人重新试验和检验的，可由监理人与承包人共同进行。重新试验和检验的结果证明该项材料、工程设备</w:t>
      </w:r>
      <w:r>
        <w:rPr>
          <w:spacing w:val="-5"/>
          <w:sz w:val="21"/>
        </w:rPr>
        <w:t>或工程的质量不符合合同要求的，由此增加的费用和</w:t>
      </w:r>
      <w:r>
        <w:rPr>
          <w:spacing w:val="-3"/>
          <w:sz w:val="21"/>
        </w:rPr>
        <w:t>（或</w:t>
      </w:r>
      <w:r>
        <w:rPr>
          <w:spacing w:val="-5"/>
          <w:sz w:val="21"/>
        </w:rPr>
        <w:t>）</w:t>
      </w:r>
      <w:r>
        <w:rPr>
          <w:spacing w:val="-4"/>
          <w:sz w:val="21"/>
        </w:rPr>
        <w:t>延误的工期由承包人承担；重新试验和检验结</w:t>
      </w:r>
      <w:r>
        <w:rPr>
          <w:spacing w:val="-3"/>
          <w:sz w:val="21"/>
        </w:rPr>
        <w:t>果证明该项材料、工程设备和工程符合合同要求的，由此增加的费用和</w:t>
      </w:r>
      <w:r>
        <w:rPr>
          <w:sz w:val="21"/>
        </w:rPr>
        <w:t>（</w:t>
      </w:r>
      <w:r>
        <w:rPr>
          <w:spacing w:val="-3"/>
          <w:sz w:val="21"/>
        </w:rPr>
        <w:t>或</w:t>
      </w:r>
      <w:r>
        <w:rPr>
          <w:sz w:val="21"/>
        </w:rPr>
        <w:t>）</w:t>
      </w:r>
      <w:r>
        <w:rPr>
          <w:spacing w:val="-3"/>
          <w:sz w:val="21"/>
        </w:rPr>
        <w:t>延误的工期由发包人承担。</w:t>
      </w:r>
    </w:p>
    <w:p>
      <w:pPr>
        <w:pStyle w:val="32"/>
        <w:numPr>
          <w:ilvl w:val="1"/>
          <w:numId w:val="34"/>
        </w:numPr>
        <w:tabs>
          <w:tab w:val="left" w:pos="906"/>
        </w:tabs>
        <w:spacing w:before="149" w:after="0" w:line="240" w:lineRule="auto"/>
        <w:ind w:left="905" w:right="0" w:hanging="370"/>
        <w:jc w:val="left"/>
        <w:rPr>
          <w:b/>
          <w:sz w:val="21"/>
        </w:rPr>
      </w:pPr>
      <w:r>
        <w:rPr>
          <w:b/>
          <w:sz w:val="21"/>
        </w:rPr>
        <w:t>现场工艺试验</w:t>
      </w:r>
    </w:p>
    <w:p>
      <w:pPr>
        <w:pStyle w:val="13"/>
        <w:spacing w:before="7"/>
        <w:ind w:left="0"/>
        <w:rPr>
          <w:b/>
          <w:sz w:val="18"/>
        </w:rPr>
      </w:pPr>
    </w:p>
    <w:p>
      <w:pPr>
        <w:pStyle w:val="13"/>
        <w:spacing w:line="350" w:lineRule="auto"/>
        <w:ind w:right="178" w:firstLine="420"/>
      </w:pPr>
      <w:r>
        <w:t>承包人应按合同约定或监理人指示进行现场工艺试验。对大型的现场工艺试验，监理人认为必要时， 承包人应根据监理人提出的工艺试验要求，编制工艺试验措施计划，报送监理人审查。</w:t>
      </w:r>
    </w:p>
    <w:p>
      <w:pPr>
        <w:pStyle w:val="32"/>
        <w:numPr>
          <w:ilvl w:val="0"/>
          <w:numId w:val="9"/>
        </w:numPr>
        <w:tabs>
          <w:tab w:val="left" w:pos="536"/>
        </w:tabs>
        <w:spacing w:before="149" w:after="0" w:line="240" w:lineRule="auto"/>
        <w:ind w:left="535" w:right="0" w:hanging="423"/>
        <w:jc w:val="left"/>
        <w:rPr>
          <w:sz w:val="21"/>
        </w:rPr>
      </w:pPr>
      <w:r>
        <w:rPr>
          <w:spacing w:val="-3"/>
          <w:sz w:val="21"/>
        </w:rPr>
        <w:t>变更</w:t>
      </w:r>
    </w:p>
    <w:p>
      <w:pPr>
        <w:pStyle w:val="13"/>
        <w:spacing w:before="8"/>
        <w:ind w:left="0"/>
        <w:rPr>
          <w:sz w:val="18"/>
        </w:rPr>
      </w:pPr>
    </w:p>
    <w:p>
      <w:pPr>
        <w:pStyle w:val="32"/>
        <w:numPr>
          <w:ilvl w:val="1"/>
          <w:numId w:val="9"/>
        </w:numPr>
        <w:tabs>
          <w:tab w:val="left" w:pos="1011"/>
        </w:tabs>
        <w:spacing w:before="0" w:after="0" w:line="240" w:lineRule="auto"/>
        <w:ind w:left="1010" w:right="0" w:hanging="475"/>
        <w:jc w:val="left"/>
        <w:rPr>
          <w:b/>
          <w:sz w:val="21"/>
        </w:rPr>
      </w:pPr>
      <w:r>
        <w:rPr>
          <w:b/>
          <w:sz w:val="21"/>
        </w:rPr>
        <w:t>变更的范围</w:t>
      </w:r>
    </w:p>
    <w:p>
      <w:pPr>
        <w:pStyle w:val="13"/>
        <w:spacing w:before="10"/>
        <w:ind w:left="0"/>
        <w:rPr>
          <w:b/>
          <w:sz w:val="18"/>
        </w:rPr>
      </w:pPr>
    </w:p>
    <w:p>
      <w:pPr>
        <w:pStyle w:val="13"/>
        <w:ind w:left="533"/>
      </w:pPr>
      <w:r>
        <w:t>除专用合同条款另有约定外，合同履行过程中发生以下情形的，应按照本条约定进行变更：</w:t>
      </w:r>
    </w:p>
    <w:p>
      <w:pPr>
        <w:pStyle w:val="13"/>
        <w:spacing w:before="126"/>
        <w:ind w:left="533"/>
      </w:pPr>
      <w:r>
        <w:t>（1）增加或减少合同中任何工作，或追加额外的工作；</w:t>
      </w:r>
    </w:p>
    <w:p>
      <w:pPr>
        <w:pStyle w:val="13"/>
        <w:spacing w:before="123"/>
        <w:ind w:left="533"/>
      </w:pPr>
      <w:r>
        <w:t>（2）取消合同中任何工作，但转由他人实施的工作除外；</w:t>
      </w:r>
    </w:p>
    <w:p>
      <w:pPr>
        <w:pStyle w:val="13"/>
        <w:spacing w:before="125"/>
        <w:ind w:left="533"/>
      </w:pPr>
      <w:r>
        <w:t>（3）改变合同中任何工作的质量标准或其他特性；</w:t>
      </w:r>
    </w:p>
    <w:p>
      <w:pPr>
        <w:pStyle w:val="13"/>
        <w:spacing w:before="125"/>
        <w:ind w:left="533"/>
      </w:pPr>
      <w:r>
        <w:t>（4）改变工程的基线、标高、位置和尺寸；</w:t>
      </w:r>
    </w:p>
    <w:p>
      <w:pPr>
        <w:pStyle w:val="13"/>
        <w:spacing w:before="123"/>
        <w:ind w:left="533"/>
      </w:pPr>
      <w:r>
        <w:t>（5）改变工程的时间安排或实施顺序。</w:t>
      </w:r>
    </w:p>
    <w:p>
      <w:pPr>
        <w:pStyle w:val="13"/>
        <w:spacing w:before="10"/>
        <w:ind w:left="0"/>
        <w:rPr>
          <w:sz w:val="18"/>
        </w:rPr>
      </w:pPr>
    </w:p>
    <w:p>
      <w:pPr>
        <w:pStyle w:val="32"/>
        <w:numPr>
          <w:ilvl w:val="1"/>
          <w:numId w:val="9"/>
        </w:numPr>
        <w:tabs>
          <w:tab w:val="left" w:pos="1011"/>
        </w:tabs>
        <w:spacing w:before="0" w:after="0" w:line="240" w:lineRule="auto"/>
        <w:ind w:left="1010" w:right="0" w:hanging="475"/>
        <w:jc w:val="left"/>
        <w:rPr>
          <w:b/>
          <w:sz w:val="21"/>
        </w:rPr>
      </w:pPr>
      <w:r>
        <w:rPr>
          <w:b/>
          <w:sz w:val="21"/>
        </w:rPr>
        <w:t>变更权</w:t>
      </w:r>
    </w:p>
    <w:p>
      <w:pPr>
        <w:pStyle w:val="13"/>
        <w:spacing w:before="10"/>
        <w:ind w:left="0"/>
        <w:rPr>
          <w:b/>
          <w:sz w:val="18"/>
        </w:rPr>
      </w:pPr>
    </w:p>
    <w:p>
      <w:pPr>
        <w:pStyle w:val="13"/>
        <w:spacing w:line="348" w:lineRule="auto"/>
        <w:ind w:right="206" w:firstLine="420"/>
        <w:jc w:val="both"/>
      </w:pPr>
      <w:r>
        <w:rPr>
          <w:spacing w:val="-5"/>
        </w:rPr>
        <w:t>发包人和监理人均可以提出变更。变更指示均通过监理人发出，监理人发出变更指示前应征得发包人</w:t>
      </w:r>
      <w:r>
        <w:rPr>
          <w:spacing w:val="-7"/>
        </w:rPr>
        <w:t>同意。承包人收到经发包人签认的变更指示后，方可实施变更。未经许可，承包人不得擅自对工程的任何</w:t>
      </w:r>
      <w:r>
        <w:rPr>
          <w:spacing w:val="-5"/>
        </w:rPr>
        <w:t>部分进行变更。</w:t>
      </w:r>
    </w:p>
    <w:p>
      <w:pPr>
        <w:pStyle w:val="13"/>
        <w:spacing w:before="32" w:line="348" w:lineRule="auto"/>
        <w:ind w:right="191" w:firstLine="420"/>
      </w:pPr>
      <w:r>
        <w:rPr>
          <w:spacing w:val="-13"/>
        </w:rPr>
        <w:t xml:space="preserve">涉及设计变更的，应由设计人提供变更后的图纸和说明。如变更超过原设计标准或批准的建设规模时， </w:t>
      </w:r>
      <w:r>
        <w:rPr>
          <w:spacing w:val="-6"/>
        </w:rPr>
        <w:t>发包人应及时办理规划、设计变更等审批手续。</w:t>
      </w:r>
    </w:p>
    <w:p>
      <w:pPr>
        <w:pStyle w:val="32"/>
        <w:numPr>
          <w:ilvl w:val="1"/>
          <w:numId w:val="9"/>
        </w:numPr>
        <w:tabs>
          <w:tab w:val="left" w:pos="1011"/>
        </w:tabs>
        <w:spacing w:before="151" w:after="0" w:line="240" w:lineRule="auto"/>
        <w:ind w:left="1010" w:right="0" w:hanging="475"/>
        <w:jc w:val="left"/>
        <w:rPr>
          <w:b/>
          <w:sz w:val="21"/>
        </w:rPr>
      </w:pPr>
      <w:r>
        <w:rPr>
          <w:b/>
          <w:sz w:val="21"/>
        </w:rPr>
        <w:t>变更程序</w:t>
      </w:r>
    </w:p>
    <w:p>
      <w:pPr>
        <w:pStyle w:val="13"/>
        <w:spacing w:before="9"/>
        <w:ind w:left="0"/>
        <w:rPr>
          <w:b/>
          <w:sz w:val="18"/>
        </w:rPr>
      </w:pPr>
    </w:p>
    <w:p>
      <w:pPr>
        <w:pStyle w:val="32"/>
        <w:numPr>
          <w:ilvl w:val="2"/>
          <w:numId w:val="9"/>
        </w:numPr>
        <w:tabs>
          <w:tab w:val="left" w:pos="1270"/>
        </w:tabs>
        <w:spacing w:before="0" w:after="0" w:line="240" w:lineRule="auto"/>
        <w:ind w:left="1270" w:right="0" w:hanging="737"/>
        <w:jc w:val="left"/>
        <w:rPr>
          <w:sz w:val="21"/>
        </w:rPr>
      </w:pPr>
      <w:r>
        <w:rPr>
          <w:spacing w:val="-3"/>
          <w:sz w:val="21"/>
        </w:rPr>
        <w:t>发包人提出变更</w:t>
      </w:r>
    </w:p>
    <w:p>
      <w:pPr>
        <w:pStyle w:val="13"/>
        <w:spacing w:before="122"/>
        <w:ind w:left="533"/>
      </w:pPr>
      <w:r>
        <w:t>发包人提出变更的，应通过监理人向承包人发出变更指示，变更指示应说明计划变更的工程范围和变</w:t>
      </w:r>
    </w:p>
    <w:p>
      <w:pPr>
        <w:spacing w:after="0"/>
        <w:sectPr>
          <w:pgSz w:w="11910" w:h="16840"/>
          <w:pgMar w:top="1460" w:right="920" w:bottom="1180" w:left="1020" w:header="0" w:footer="920" w:gutter="0"/>
        </w:sectPr>
      </w:pPr>
    </w:p>
    <w:p>
      <w:pPr>
        <w:pStyle w:val="13"/>
        <w:spacing w:before="14"/>
      </w:pPr>
      <w:r>
        <w:t>更的内容。</w:t>
      </w:r>
    </w:p>
    <w:p>
      <w:pPr>
        <w:pStyle w:val="32"/>
        <w:numPr>
          <w:ilvl w:val="2"/>
          <w:numId w:val="9"/>
        </w:numPr>
        <w:tabs>
          <w:tab w:val="left" w:pos="1270"/>
        </w:tabs>
        <w:spacing w:before="124" w:after="0" w:line="240" w:lineRule="auto"/>
        <w:ind w:left="1270" w:right="0" w:hanging="737"/>
        <w:jc w:val="left"/>
        <w:rPr>
          <w:sz w:val="21"/>
        </w:rPr>
      </w:pPr>
      <w:r>
        <w:rPr>
          <w:spacing w:val="-3"/>
          <w:sz w:val="21"/>
        </w:rPr>
        <w:t>监理人提出变更建议</w:t>
      </w:r>
    </w:p>
    <w:p>
      <w:pPr>
        <w:pStyle w:val="13"/>
        <w:spacing w:before="126" w:line="348" w:lineRule="auto"/>
        <w:ind w:right="106" w:firstLine="420"/>
        <w:jc w:val="both"/>
      </w:pPr>
      <w:r>
        <w:rPr>
          <w:spacing w:val="-6"/>
        </w:rPr>
        <w:t>监理人提出变更建议的，需要向发包人以书面形式提出变更计划，说明计划变更工程范围和变更的内</w:t>
      </w:r>
      <w:r>
        <w:rPr>
          <w:spacing w:val="-7"/>
        </w:rPr>
        <w:t>容、理由，以及实施该变更对合同价格和工期的影响。发包人同意变更的，由监理人向承包人发出变更指</w:t>
      </w:r>
      <w:r>
        <w:rPr>
          <w:spacing w:val="-5"/>
        </w:rPr>
        <w:t>示。发包人不同意变更的，监理人无权擅自发出变更指示。</w:t>
      </w:r>
    </w:p>
    <w:p>
      <w:pPr>
        <w:pStyle w:val="32"/>
        <w:numPr>
          <w:ilvl w:val="2"/>
          <w:numId w:val="9"/>
        </w:numPr>
        <w:tabs>
          <w:tab w:val="left" w:pos="1270"/>
        </w:tabs>
        <w:spacing w:before="31" w:after="0" w:line="240" w:lineRule="auto"/>
        <w:ind w:left="1270" w:right="0" w:hanging="737"/>
        <w:jc w:val="left"/>
        <w:rPr>
          <w:sz w:val="21"/>
        </w:rPr>
      </w:pPr>
      <w:r>
        <w:rPr>
          <w:spacing w:val="-3"/>
          <w:sz w:val="21"/>
        </w:rPr>
        <w:t>变更执行</w:t>
      </w:r>
    </w:p>
    <w:p>
      <w:pPr>
        <w:pStyle w:val="13"/>
        <w:spacing w:before="125" w:line="348" w:lineRule="auto"/>
        <w:ind w:right="106" w:firstLine="420"/>
        <w:jc w:val="both"/>
      </w:pPr>
      <w:r>
        <w:rPr>
          <w:spacing w:val="-6"/>
        </w:rPr>
        <w:t>承包人收到监理人下达的变更指示后，认为不能执行，应立即提出不能执行该变更指示的理由。承包人认为可以执行变更的，应当书面说明实施该变更指示对合同价格和工期的影响，且合同当事人应当按照</w:t>
      </w:r>
      <w:r>
        <w:rPr>
          <w:spacing w:val="-1"/>
        </w:rPr>
        <w:t>第10.4</w:t>
      </w:r>
      <w:r>
        <w:rPr>
          <w:spacing w:val="-3"/>
        </w:rPr>
        <w:t>款〔变更估价〕约定确定变更估价。</w:t>
      </w:r>
    </w:p>
    <w:p>
      <w:pPr>
        <w:pStyle w:val="32"/>
        <w:numPr>
          <w:ilvl w:val="1"/>
          <w:numId w:val="9"/>
        </w:numPr>
        <w:tabs>
          <w:tab w:val="left" w:pos="1011"/>
        </w:tabs>
        <w:spacing w:before="151" w:after="0" w:line="240" w:lineRule="auto"/>
        <w:ind w:left="1010" w:right="0" w:hanging="475"/>
        <w:jc w:val="left"/>
        <w:rPr>
          <w:b/>
          <w:sz w:val="21"/>
        </w:rPr>
      </w:pPr>
      <w:r>
        <w:rPr>
          <w:b/>
          <w:sz w:val="21"/>
        </w:rPr>
        <w:t>变更估价</w:t>
      </w:r>
    </w:p>
    <w:p>
      <w:pPr>
        <w:pStyle w:val="13"/>
        <w:spacing w:before="8"/>
        <w:ind w:left="0"/>
        <w:rPr>
          <w:b/>
          <w:sz w:val="18"/>
        </w:rPr>
      </w:pPr>
    </w:p>
    <w:p>
      <w:pPr>
        <w:pStyle w:val="32"/>
        <w:numPr>
          <w:ilvl w:val="2"/>
          <w:numId w:val="9"/>
        </w:numPr>
        <w:tabs>
          <w:tab w:val="left" w:pos="1270"/>
        </w:tabs>
        <w:spacing w:before="0" w:after="0" w:line="240" w:lineRule="auto"/>
        <w:ind w:left="1270" w:right="0" w:hanging="737"/>
        <w:jc w:val="left"/>
        <w:rPr>
          <w:sz w:val="21"/>
        </w:rPr>
      </w:pPr>
      <w:r>
        <w:rPr>
          <w:spacing w:val="-3"/>
          <w:sz w:val="21"/>
        </w:rPr>
        <w:t>变更估价原则</w:t>
      </w:r>
    </w:p>
    <w:p>
      <w:pPr>
        <w:pStyle w:val="13"/>
        <w:spacing w:before="125"/>
        <w:ind w:left="533"/>
      </w:pPr>
      <w:r>
        <w:t>除专用合同条款另有约定外，变更估价按照本款约定处理：</w:t>
      </w:r>
    </w:p>
    <w:p>
      <w:pPr>
        <w:pStyle w:val="13"/>
        <w:spacing w:before="125"/>
        <w:ind w:left="533"/>
      </w:pPr>
      <w:r>
        <w:t>（1）已标价工程量清单或预算书有相同项目的，按照相同项目单价认定；</w:t>
      </w:r>
    </w:p>
    <w:p>
      <w:pPr>
        <w:pStyle w:val="13"/>
        <w:spacing w:before="123"/>
        <w:ind w:left="533"/>
      </w:pPr>
      <w:r>
        <w:t>（2）已标价工程量清单或预算书中无相同项目，但有类似项目的，参照类似项目的单价认定；</w:t>
      </w:r>
    </w:p>
    <w:p>
      <w:pPr>
        <w:pStyle w:val="13"/>
        <w:spacing w:before="126" w:line="348" w:lineRule="auto"/>
        <w:ind w:right="190" w:firstLine="420"/>
        <w:jc w:val="both"/>
      </w:pPr>
      <w: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pStyle w:val="32"/>
        <w:numPr>
          <w:ilvl w:val="2"/>
          <w:numId w:val="9"/>
        </w:numPr>
        <w:tabs>
          <w:tab w:val="left" w:pos="1270"/>
        </w:tabs>
        <w:spacing w:before="31" w:after="0" w:line="240" w:lineRule="auto"/>
        <w:ind w:left="1270" w:right="0" w:hanging="737"/>
        <w:jc w:val="left"/>
        <w:rPr>
          <w:sz w:val="21"/>
        </w:rPr>
      </w:pPr>
      <w:r>
        <w:rPr>
          <w:spacing w:val="-3"/>
          <w:sz w:val="21"/>
        </w:rPr>
        <w:t>变更估价程序</w:t>
      </w:r>
    </w:p>
    <w:p>
      <w:pPr>
        <w:pStyle w:val="13"/>
        <w:spacing w:before="125" w:line="350" w:lineRule="auto"/>
        <w:ind w:right="92" w:firstLine="420"/>
      </w:pPr>
      <w:r>
        <w:rPr>
          <w:spacing w:val="-3"/>
        </w:rPr>
        <w:t>承包人应在收到变更指示后</w:t>
      </w:r>
      <w:r>
        <w:t>14</w:t>
      </w:r>
      <w:r>
        <w:rPr>
          <w:spacing w:val="-6"/>
        </w:rPr>
        <w:t>天内，向监理人提交变更估价申请。监理人应在收到承包人提交的变更</w:t>
      </w:r>
      <w:r>
        <w:rPr>
          <w:spacing w:val="-4"/>
        </w:rPr>
        <w:t>估价申请后</w:t>
      </w:r>
      <w:r>
        <w:t>7</w:t>
      </w:r>
      <w:r>
        <w:rPr>
          <w:spacing w:val="-3"/>
        </w:rPr>
        <w:t>天内审查完毕并报送发包人，监理人对变更估价申请有异议，通知承包人修改后重新提交。发包人应在承包人提交变更估价申请后</w:t>
      </w:r>
      <w:r>
        <w:t>14</w:t>
      </w:r>
      <w:r>
        <w:rPr>
          <w:spacing w:val="-6"/>
        </w:rPr>
        <w:t>天内审批完毕。发包人逾期未完成审批或未提出异议的，视为认</w:t>
      </w:r>
      <w:r>
        <w:rPr>
          <w:spacing w:val="-4"/>
        </w:rPr>
        <w:t>可承包人提交的变更估价申请。</w:t>
      </w:r>
    </w:p>
    <w:p>
      <w:pPr>
        <w:pStyle w:val="13"/>
        <w:spacing w:before="26"/>
        <w:ind w:left="533"/>
      </w:pPr>
      <w:r>
        <w:t>因变更引起的价格调整应计入最近一期的进度款中支付。</w:t>
      </w:r>
    </w:p>
    <w:p>
      <w:pPr>
        <w:pStyle w:val="13"/>
        <w:spacing w:before="9"/>
        <w:ind w:left="0"/>
        <w:rPr>
          <w:sz w:val="18"/>
        </w:rPr>
      </w:pPr>
    </w:p>
    <w:p>
      <w:pPr>
        <w:pStyle w:val="32"/>
        <w:numPr>
          <w:ilvl w:val="1"/>
          <w:numId w:val="35"/>
        </w:numPr>
        <w:tabs>
          <w:tab w:val="left" w:pos="1011"/>
        </w:tabs>
        <w:spacing w:before="1" w:after="0" w:line="240" w:lineRule="auto"/>
        <w:ind w:left="1010" w:right="0" w:hanging="475"/>
        <w:jc w:val="left"/>
        <w:rPr>
          <w:b/>
          <w:sz w:val="21"/>
        </w:rPr>
      </w:pPr>
      <w:r>
        <w:rPr>
          <w:b/>
          <w:sz w:val="21"/>
        </w:rPr>
        <w:t>承包人的合理化建议</w:t>
      </w:r>
    </w:p>
    <w:p>
      <w:pPr>
        <w:pStyle w:val="13"/>
        <w:spacing w:before="10"/>
        <w:ind w:left="0"/>
        <w:rPr>
          <w:b/>
          <w:sz w:val="18"/>
        </w:rPr>
      </w:pPr>
    </w:p>
    <w:p>
      <w:pPr>
        <w:pStyle w:val="13"/>
        <w:spacing w:line="348" w:lineRule="auto"/>
        <w:ind w:firstLine="420"/>
      </w:pPr>
      <w:r>
        <w:rPr>
          <w:spacing w:val="-6"/>
        </w:rPr>
        <w:t>承包人提出合理化建议的，应向监理人提交合理化建议说明，说明建议的内容和理由，以及实施该建</w:t>
      </w:r>
      <w:r>
        <w:rPr>
          <w:spacing w:val="-4"/>
        </w:rPr>
        <w:t>议对合同价格和工期的影响。</w:t>
      </w:r>
    </w:p>
    <w:p>
      <w:pPr>
        <w:pStyle w:val="13"/>
        <w:spacing w:before="31" w:line="350" w:lineRule="auto"/>
        <w:ind w:right="106" w:firstLine="420"/>
        <w:jc w:val="both"/>
      </w:pPr>
      <w:r>
        <w:rPr>
          <w:spacing w:val="-3"/>
        </w:rPr>
        <w:t>除专用合同条款另有约定外，监理人应在收到承包人提交的合理化建议后7天内审查完毕并报送发包人，发现其中存在技术上的缺陷，应通知承包人修改。发包人应在收到监理人报送的合理化建议后7天内</w:t>
      </w:r>
      <w:r>
        <w:rPr>
          <w:spacing w:val="-13"/>
        </w:rPr>
        <w:t>审批完毕。合理化建议经发包人批准的，监理人应及时发出变更指示，由此引起的合同价格调整按照第</w:t>
      </w:r>
      <w:r>
        <w:t>10.</w:t>
      </w:r>
    </w:p>
    <w:p>
      <w:pPr>
        <w:pStyle w:val="13"/>
        <w:spacing w:before="29"/>
      </w:pPr>
      <w:r>
        <w:t>4款〔变更估价〕约定执行。发包人不同意变更的，监理人应书面通知承包人。</w:t>
      </w:r>
    </w:p>
    <w:p>
      <w:pPr>
        <w:pStyle w:val="13"/>
        <w:spacing w:before="125" w:line="348" w:lineRule="auto"/>
        <w:ind w:right="91" w:firstLine="420"/>
      </w:pPr>
      <w:r>
        <w:rPr>
          <w:spacing w:val="-5"/>
        </w:rPr>
        <w:t>合理化建议降低了合同价格或者提高了工程经济效益的，发包人可对承包人给予奖励，奖励的方法和</w:t>
      </w:r>
      <w:r>
        <w:rPr>
          <w:spacing w:val="-4"/>
        </w:rPr>
        <w:t>金额在专用合同条款中约定。</w:t>
      </w:r>
    </w:p>
    <w:p>
      <w:pPr>
        <w:spacing w:after="0" w:line="348" w:lineRule="auto"/>
        <w:sectPr>
          <w:pgSz w:w="11910" w:h="16840"/>
          <w:pgMar w:top="1460" w:right="1020" w:bottom="1180" w:left="1020" w:header="0" w:footer="920" w:gutter="0"/>
        </w:sectPr>
      </w:pPr>
    </w:p>
    <w:p>
      <w:pPr>
        <w:pStyle w:val="32"/>
        <w:numPr>
          <w:ilvl w:val="1"/>
          <w:numId w:val="35"/>
        </w:numPr>
        <w:tabs>
          <w:tab w:val="left" w:pos="1011"/>
        </w:tabs>
        <w:spacing w:before="14" w:after="0" w:line="240" w:lineRule="auto"/>
        <w:ind w:left="1010" w:right="0" w:hanging="475"/>
        <w:jc w:val="left"/>
        <w:rPr>
          <w:b/>
          <w:sz w:val="21"/>
        </w:rPr>
      </w:pPr>
      <w:r>
        <w:rPr>
          <w:b/>
          <w:sz w:val="21"/>
        </w:rPr>
        <w:t>变更引起的工期调整</w:t>
      </w:r>
    </w:p>
    <w:p>
      <w:pPr>
        <w:pStyle w:val="13"/>
        <w:spacing w:before="8"/>
        <w:ind w:left="0"/>
        <w:rPr>
          <w:b/>
          <w:sz w:val="18"/>
        </w:rPr>
      </w:pPr>
    </w:p>
    <w:p>
      <w:pPr>
        <w:pStyle w:val="13"/>
        <w:spacing w:line="350" w:lineRule="auto"/>
        <w:ind w:right="283" w:firstLine="420"/>
      </w:pPr>
      <w:r>
        <w:t>因变更引起工期变化的，合同当事人均可要求调整合同工期，由合同当事人按照第4.4款〔商定或确定〕并参考工程所在地的工期定额标准确定增减工期天数。</w:t>
      </w:r>
    </w:p>
    <w:p>
      <w:pPr>
        <w:pStyle w:val="32"/>
        <w:numPr>
          <w:ilvl w:val="1"/>
          <w:numId w:val="35"/>
        </w:numPr>
        <w:tabs>
          <w:tab w:val="left" w:pos="1011"/>
        </w:tabs>
        <w:spacing w:before="149" w:after="0" w:line="240" w:lineRule="auto"/>
        <w:ind w:left="1010" w:right="0" w:hanging="475"/>
        <w:jc w:val="left"/>
        <w:rPr>
          <w:b/>
          <w:sz w:val="21"/>
        </w:rPr>
      </w:pPr>
      <w:r>
        <w:rPr>
          <w:b/>
          <w:sz w:val="21"/>
        </w:rPr>
        <w:t>暂估价</w:t>
      </w:r>
    </w:p>
    <w:p>
      <w:pPr>
        <w:pStyle w:val="13"/>
        <w:spacing w:before="8"/>
        <w:ind w:left="0"/>
        <w:rPr>
          <w:b/>
          <w:sz w:val="18"/>
        </w:rPr>
      </w:pPr>
    </w:p>
    <w:p>
      <w:pPr>
        <w:pStyle w:val="13"/>
        <w:ind w:left="533"/>
      </w:pPr>
      <w:r>
        <w:t>暂估价专业分包工程、服务、材料和工程设备的明细由合同当事人在专用合同条款中约定。</w:t>
      </w:r>
    </w:p>
    <w:p>
      <w:pPr>
        <w:pStyle w:val="32"/>
        <w:numPr>
          <w:ilvl w:val="2"/>
          <w:numId w:val="35"/>
        </w:numPr>
        <w:tabs>
          <w:tab w:val="left" w:pos="1270"/>
        </w:tabs>
        <w:spacing w:before="126" w:after="0" w:line="240" w:lineRule="auto"/>
        <w:ind w:left="112" w:right="0" w:firstLine="421"/>
        <w:jc w:val="left"/>
        <w:rPr>
          <w:sz w:val="21"/>
        </w:rPr>
      </w:pPr>
      <w:r>
        <w:rPr>
          <w:spacing w:val="-3"/>
          <w:sz w:val="21"/>
        </w:rPr>
        <w:t>依法必须招标的暂估价项目</w:t>
      </w:r>
    </w:p>
    <w:p>
      <w:pPr>
        <w:pStyle w:val="13"/>
        <w:spacing w:before="126" w:line="348" w:lineRule="auto"/>
        <w:ind w:right="283" w:firstLine="420"/>
      </w:pPr>
      <w:r>
        <w:rPr>
          <w:spacing w:val="-6"/>
        </w:rPr>
        <w:t xml:space="preserve">对于依法必须招标的暂估价项目，采取以下第 </w:t>
      </w:r>
      <w:r>
        <w:t>1</w:t>
      </w:r>
      <w:r>
        <w:rPr>
          <w:spacing w:val="-8"/>
        </w:rPr>
        <w:t xml:space="preserve"> 种方式确定。合同当事人也可以在专用合同条款中选</w:t>
      </w:r>
      <w:r>
        <w:rPr>
          <w:spacing w:val="-5"/>
        </w:rPr>
        <w:t>择其他招标方式。</w:t>
      </w:r>
    </w:p>
    <w:p>
      <w:pPr>
        <w:pStyle w:val="13"/>
        <w:spacing w:before="31" w:line="350" w:lineRule="auto"/>
        <w:ind w:right="191" w:firstLine="420"/>
      </w:pPr>
      <w:r>
        <w:rPr>
          <w:spacing w:val="-16"/>
        </w:rPr>
        <w:t xml:space="preserve">第 </w:t>
      </w:r>
      <w:r>
        <w:t>1</w:t>
      </w:r>
      <w:r>
        <w:rPr>
          <w:spacing w:val="-9"/>
        </w:rPr>
        <w:t xml:space="preserve"> 种方式：对于依法必须招标的暂估价项目，由承包人招标，对该暂估价项目的确认和批准按照以</w:t>
      </w:r>
      <w:r>
        <w:rPr>
          <w:spacing w:val="-5"/>
        </w:rPr>
        <w:t>下约定执行：</w:t>
      </w:r>
    </w:p>
    <w:p>
      <w:pPr>
        <w:pStyle w:val="13"/>
        <w:spacing w:before="26"/>
        <w:ind w:left="533"/>
      </w:pPr>
      <w:r>
        <w:rPr>
          <w:spacing w:val="-22"/>
        </w:rPr>
        <w:t>（1）</w:t>
      </w:r>
      <w:r>
        <w:rPr>
          <w:spacing w:val="-9"/>
        </w:rPr>
        <w:t xml:space="preserve">承包人应当根据施工进度计划，在招标工作启动前 </w:t>
      </w:r>
      <w:r>
        <w:t>14</w:t>
      </w:r>
      <w:r>
        <w:rPr>
          <w:spacing w:val="-7"/>
        </w:rPr>
        <w:t xml:space="preserve"> 天将招标方案通过监理人报送发包人审查，</w:t>
      </w:r>
    </w:p>
    <w:p>
      <w:pPr>
        <w:pStyle w:val="13"/>
        <w:spacing w:before="125" w:line="350" w:lineRule="auto"/>
        <w:ind w:right="191"/>
      </w:pPr>
      <w:r>
        <w:rPr>
          <w:spacing w:val="-5"/>
        </w:rPr>
        <w:t xml:space="preserve">发包人应当在收到承包人报送的招标方案后 </w:t>
      </w:r>
      <w:r>
        <w:t>7</w:t>
      </w:r>
      <w:r>
        <w:rPr>
          <w:spacing w:val="-9"/>
        </w:rPr>
        <w:t xml:space="preserve"> 天内批准或提出修改意见。承包人应当按照经过发包人批准</w:t>
      </w:r>
      <w:r>
        <w:rPr>
          <w:spacing w:val="-5"/>
        </w:rPr>
        <w:t>的招标方案开展招标工作；</w:t>
      </w:r>
    </w:p>
    <w:p>
      <w:pPr>
        <w:pStyle w:val="13"/>
        <w:spacing w:before="26"/>
        <w:ind w:left="533"/>
      </w:pPr>
      <w:r>
        <w:t>（2）承包人应当根据施工进度计划，提前 14 天将招标文件通过监理人报送发包人审批，发包人应当</w:t>
      </w:r>
    </w:p>
    <w:p>
      <w:pPr>
        <w:pStyle w:val="13"/>
        <w:spacing w:before="125" w:line="350" w:lineRule="auto"/>
        <w:ind w:right="198"/>
      </w:pPr>
      <w:r>
        <w:rPr>
          <w:spacing w:val="-5"/>
        </w:rPr>
        <w:t xml:space="preserve">在收到承包人报送的相关文件后 </w:t>
      </w:r>
      <w:r>
        <w:t>7</w:t>
      </w:r>
      <w:r>
        <w:rPr>
          <w:spacing w:val="-8"/>
        </w:rPr>
        <w:t xml:space="preserve"> 天内完成审批或提出修改意见；发包人有权确定招标控制价并按照法律</w:t>
      </w:r>
      <w:r>
        <w:rPr>
          <w:spacing w:val="-5"/>
        </w:rPr>
        <w:t>规定参加评标；</w:t>
      </w:r>
    </w:p>
    <w:p>
      <w:pPr>
        <w:pStyle w:val="13"/>
        <w:spacing w:before="26"/>
        <w:ind w:left="535"/>
      </w:pPr>
      <w:r>
        <w:t>（3）承包人与供应商、分包人在签订暂估价合同前，应当提前 7 天将确定的中标候选供应商或中标</w:t>
      </w:r>
    </w:p>
    <w:p>
      <w:pPr>
        <w:pStyle w:val="13"/>
        <w:spacing w:before="125"/>
      </w:pPr>
      <w:r>
        <w:t>候选分包人的资料报送发包人，发包人应在收到资料后 3 天内与承包人共同确定中标人；承包人应当在签</w:t>
      </w:r>
    </w:p>
    <w:p>
      <w:pPr>
        <w:pStyle w:val="13"/>
        <w:spacing w:before="125"/>
      </w:pPr>
      <w:r>
        <w:t>订合同后 7 天内，将暂估价合同副本报送发包人留存。</w:t>
      </w:r>
    </w:p>
    <w:p>
      <w:pPr>
        <w:pStyle w:val="13"/>
        <w:spacing w:before="123"/>
        <w:ind w:left="533"/>
      </w:pPr>
      <w:r>
        <w:t>第 2 种方式：对于依法必须招标的暂估价项目，由发包人和承包人共同招标确定暂估价供应商或分包</w:t>
      </w:r>
    </w:p>
    <w:p>
      <w:pPr>
        <w:pStyle w:val="13"/>
        <w:spacing w:before="125"/>
      </w:pPr>
      <w:r>
        <w:t>人的，承包人应按照施工进度计划，在招标工作启动前 14 天通知发包人，并提交暂估价招标方案和工作</w:t>
      </w:r>
    </w:p>
    <w:p>
      <w:pPr>
        <w:pStyle w:val="13"/>
        <w:spacing w:before="125"/>
      </w:pPr>
      <w:r>
        <w:t>分工。发包人应在收到后 7 天内确认。确定中标人后，由发包人、承包人与中标人共同签订暂估价合同。</w:t>
      </w:r>
    </w:p>
    <w:p>
      <w:pPr>
        <w:pStyle w:val="32"/>
        <w:numPr>
          <w:ilvl w:val="2"/>
          <w:numId w:val="35"/>
        </w:numPr>
        <w:tabs>
          <w:tab w:val="left" w:pos="1218"/>
        </w:tabs>
        <w:spacing w:before="123" w:after="0" w:line="240" w:lineRule="auto"/>
        <w:ind w:left="1217" w:right="0" w:hanging="684"/>
        <w:jc w:val="left"/>
        <w:rPr>
          <w:sz w:val="21"/>
        </w:rPr>
      </w:pPr>
      <w:r>
        <w:rPr>
          <w:spacing w:val="-3"/>
          <w:sz w:val="21"/>
        </w:rPr>
        <w:t>不属于依法必须招标的暂估价项目</w:t>
      </w:r>
    </w:p>
    <w:p>
      <w:pPr>
        <w:pStyle w:val="13"/>
        <w:spacing w:before="125"/>
        <w:ind w:left="533"/>
      </w:pPr>
      <w:r>
        <w:t>除专用合同条款另有约定外，对于不属于依法必须招标的暂估价项目，采取以下第 1 种方式确定：</w:t>
      </w:r>
    </w:p>
    <w:p>
      <w:pPr>
        <w:pStyle w:val="13"/>
        <w:spacing w:before="125"/>
        <w:ind w:left="533"/>
      </w:pPr>
      <w:r>
        <w:t>第 1 种方式：对于不属于依法必须招标的暂估价项目，按本项约定确认和批准：</w:t>
      </w:r>
    </w:p>
    <w:p>
      <w:pPr>
        <w:pStyle w:val="13"/>
        <w:spacing w:before="123"/>
        <w:ind w:left="533"/>
      </w:pPr>
      <w:r>
        <w:t>（1）承包人应根据施工进度计划，在签订暂估价项目的采购合同、分包合同前 28 天向监理人提出书</w:t>
      </w:r>
    </w:p>
    <w:p>
      <w:pPr>
        <w:pStyle w:val="13"/>
        <w:spacing w:before="125" w:line="350" w:lineRule="auto"/>
        <w:ind w:right="290"/>
      </w:pPr>
      <w:r>
        <w:rPr>
          <w:spacing w:val="-6"/>
        </w:rPr>
        <w:t xml:space="preserve">面申请。监理人应当在收到申请后 </w:t>
      </w:r>
      <w:r>
        <w:t>3</w:t>
      </w:r>
      <w:r>
        <w:rPr>
          <w:spacing w:val="-10"/>
        </w:rPr>
        <w:t xml:space="preserve"> 天内报送发包人，发包人应当在收到申请后 </w:t>
      </w:r>
      <w:r>
        <w:t>14</w:t>
      </w:r>
      <w:r>
        <w:rPr>
          <w:spacing w:val="-9"/>
        </w:rPr>
        <w:t xml:space="preserve"> 天内给予批准或提出</w:t>
      </w:r>
      <w:r>
        <w:rPr>
          <w:spacing w:val="-3"/>
        </w:rPr>
        <w:t>修改意见，发包人逾期未予批准或提出修改意见的，视为该书面申请已获得同意；</w:t>
      </w:r>
    </w:p>
    <w:p>
      <w:pPr>
        <w:pStyle w:val="13"/>
        <w:spacing w:before="27" w:line="350" w:lineRule="auto"/>
        <w:ind w:right="283" w:firstLine="420"/>
      </w:pPr>
      <w:r>
        <w:t>（2）发包人认为承包人确定的供应商、分包人无法满足工程质量或合同要求的，发包人可以要求承包人重新确定暂估价项目的供应商、分包人;</w:t>
      </w:r>
    </w:p>
    <w:p>
      <w:pPr>
        <w:pStyle w:val="13"/>
        <w:spacing w:before="29"/>
        <w:ind w:left="533"/>
      </w:pPr>
      <w:r>
        <w:t>（3）承包人应当在签订暂估价合同后 7 天内，将暂估价合同副本报送发包人留存。</w:t>
      </w:r>
    </w:p>
    <w:p>
      <w:pPr>
        <w:pStyle w:val="13"/>
        <w:spacing w:before="123" w:line="350" w:lineRule="auto"/>
        <w:ind w:right="290" w:firstLine="420"/>
      </w:pPr>
      <w:r>
        <w:rPr>
          <w:spacing w:val="-23"/>
        </w:rPr>
        <w:t xml:space="preserve">第 </w:t>
      </w:r>
      <w:r>
        <w:t>2</w:t>
      </w:r>
      <w:r>
        <w:rPr>
          <w:spacing w:val="-13"/>
        </w:rPr>
        <w:t xml:space="preserve"> 种方式：承包人按照第 </w:t>
      </w:r>
      <w:r>
        <w:t>10.7.1</w:t>
      </w:r>
      <w:r>
        <w:rPr>
          <w:spacing w:val="-10"/>
        </w:rPr>
        <w:t xml:space="preserve"> 项〔依法必须招标的暂估价项目〕约定的第 </w:t>
      </w:r>
      <w:r>
        <w:t>1</w:t>
      </w:r>
      <w:r>
        <w:rPr>
          <w:spacing w:val="-8"/>
        </w:rPr>
        <w:t xml:space="preserve"> 种方式确定暂估价项目。</w:t>
      </w:r>
    </w:p>
    <w:p>
      <w:pPr>
        <w:pStyle w:val="13"/>
        <w:spacing w:before="29"/>
        <w:ind w:left="533"/>
      </w:pPr>
      <w:r>
        <w:t>第 3 种方式：承包人直接实施的暂估价项目</w:t>
      </w:r>
    </w:p>
    <w:p>
      <w:pPr>
        <w:spacing w:after="0"/>
        <w:sectPr>
          <w:pgSz w:w="11910" w:h="16840"/>
          <w:pgMar w:top="1460" w:right="920" w:bottom="1180" w:left="1020" w:header="0" w:footer="920" w:gutter="0"/>
        </w:sectPr>
      </w:pPr>
    </w:p>
    <w:p>
      <w:pPr>
        <w:pStyle w:val="13"/>
        <w:spacing w:before="14" w:line="348" w:lineRule="auto"/>
        <w:ind w:right="110" w:firstLine="420"/>
      </w:pPr>
      <w:r>
        <w:rPr>
          <w:spacing w:val="-5"/>
        </w:rPr>
        <w:t>承包人具备实施暂估价项目的资格和条件的，经发包人和承包人协商一致后，可由承包人自行实施暂</w:t>
      </w:r>
      <w:r>
        <w:rPr>
          <w:spacing w:val="-3"/>
        </w:rPr>
        <w:t>估价项目，合同当事人可以在专用合同条款约定具体事项。</w:t>
      </w:r>
    </w:p>
    <w:p>
      <w:pPr>
        <w:pStyle w:val="32"/>
        <w:numPr>
          <w:ilvl w:val="2"/>
          <w:numId w:val="35"/>
        </w:numPr>
        <w:tabs>
          <w:tab w:val="left" w:pos="1270"/>
        </w:tabs>
        <w:spacing w:before="31" w:after="0" w:line="348" w:lineRule="auto"/>
        <w:ind w:left="112" w:right="126" w:firstLine="421"/>
        <w:jc w:val="left"/>
        <w:rPr>
          <w:sz w:val="21"/>
        </w:rPr>
      </w:pPr>
      <w:r>
        <w:rPr>
          <w:spacing w:val="-3"/>
          <w:sz w:val="21"/>
        </w:rPr>
        <w:t>因发包人原因导致暂估价合同订立和履行迟延的，由此增加的费用和</w:t>
      </w:r>
      <w:r>
        <w:rPr>
          <w:sz w:val="21"/>
        </w:rPr>
        <w:t>（或</w:t>
      </w:r>
      <w:r>
        <w:rPr>
          <w:spacing w:val="-3"/>
          <w:sz w:val="21"/>
        </w:rPr>
        <w:t>）延误的工期由发</w:t>
      </w:r>
      <w:r>
        <w:rPr>
          <w:spacing w:val="-6"/>
          <w:sz w:val="21"/>
        </w:rPr>
        <w:t>包人承担，并支付承包人合理的利润。因承包人原因导致暂估价合同订立和履行迟延的，由此增加的费用和（</w:t>
      </w:r>
      <w:r>
        <w:rPr>
          <w:spacing w:val="-3"/>
          <w:sz w:val="21"/>
        </w:rPr>
        <w:t>或</w:t>
      </w:r>
      <w:r>
        <w:rPr>
          <w:sz w:val="21"/>
        </w:rPr>
        <w:t>）</w:t>
      </w:r>
      <w:r>
        <w:rPr>
          <w:spacing w:val="-3"/>
          <w:sz w:val="21"/>
        </w:rPr>
        <w:t>延误的工期由承包人承担。</w:t>
      </w:r>
    </w:p>
    <w:p>
      <w:pPr>
        <w:pStyle w:val="32"/>
        <w:numPr>
          <w:ilvl w:val="1"/>
          <w:numId w:val="36"/>
        </w:numPr>
        <w:tabs>
          <w:tab w:val="left" w:pos="1011"/>
        </w:tabs>
        <w:spacing w:before="151" w:after="0" w:line="240" w:lineRule="auto"/>
        <w:ind w:left="1010" w:right="0" w:hanging="475"/>
        <w:jc w:val="left"/>
        <w:rPr>
          <w:b/>
          <w:sz w:val="21"/>
        </w:rPr>
      </w:pPr>
      <w:r>
        <w:rPr>
          <w:b/>
          <w:sz w:val="21"/>
        </w:rPr>
        <w:t>暂列金额</w:t>
      </w:r>
    </w:p>
    <w:p>
      <w:pPr>
        <w:pStyle w:val="13"/>
        <w:spacing w:before="10"/>
        <w:ind w:left="0"/>
        <w:rPr>
          <w:b/>
          <w:sz w:val="18"/>
        </w:rPr>
      </w:pPr>
    </w:p>
    <w:p>
      <w:pPr>
        <w:pStyle w:val="13"/>
        <w:spacing w:line="348" w:lineRule="auto"/>
        <w:ind w:right="111" w:firstLine="420"/>
      </w:pPr>
      <w:r>
        <w:rPr>
          <w:spacing w:val="-5"/>
        </w:rPr>
        <w:t>暂列金额应按照发包人的要求使用，发包人的要求应通过监理人发出。合同当事人可以在专用合同条</w:t>
      </w:r>
      <w:r>
        <w:rPr>
          <w:spacing w:val="-4"/>
        </w:rPr>
        <w:t>款中协商确定有关事项。</w:t>
      </w:r>
    </w:p>
    <w:p>
      <w:pPr>
        <w:pStyle w:val="32"/>
        <w:numPr>
          <w:ilvl w:val="1"/>
          <w:numId w:val="36"/>
        </w:numPr>
        <w:tabs>
          <w:tab w:val="left" w:pos="1011"/>
        </w:tabs>
        <w:spacing w:before="151" w:after="0" w:line="240" w:lineRule="auto"/>
        <w:ind w:left="1010" w:right="0" w:hanging="475"/>
        <w:jc w:val="left"/>
        <w:rPr>
          <w:b/>
          <w:sz w:val="21"/>
        </w:rPr>
      </w:pPr>
      <w:r>
        <w:rPr>
          <w:b/>
          <w:sz w:val="21"/>
        </w:rPr>
        <w:t>计日工</w:t>
      </w:r>
    </w:p>
    <w:p>
      <w:pPr>
        <w:pStyle w:val="13"/>
        <w:spacing w:before="11"/>
        <w:ind w:left="0"/>
        <w:rPr>
          <w:b/>
          <w:sz w:val="18"/>
        </w:rPr>
      </w:pPr>
    </w:p>
    <w:p>
      <w:pPr>
        <w:pStyle w:val="13"/>
        <w:spacing w:line="350" w:lineRule="auto"/>
        <w:ind w:right="104" w:firstLine="420"/>
      </w:pPr>
      <w:r>
        <w:rPr>
          <w:spacing w:val="-3"/>
        </w:rPr>
        <w:t xml:space="preserve">需要采用计日工方式的，经发包人同意后，由监理人通知承包人以计日工计价方式实施相应的工作， </w:t>
      </w:r>
      <w:r>
        <w:rPr>
          <w:spacing w:val="-4"/>
        </w:rPr>
        <w:t>其价款按列入已标价工程量清单或预算书中的计日工计价项目及其单价进行计算；已标价工程量清单或预</w:t>
      </w:r>
      <w:r>
        <w:rPr>
          <w:spacing w:val="-3"/>
        </w:rPr>
        <w:t>算书中无相应的计日工单价的，按照合理的成本与利润构成的原则，由合同当事人按照第</w:t>
      </w:r>
      <w:r>
        <w:t>4.4</w:t>
      </w:r>
      <w:r>
        <w:rPr>
          <w:spacing w:val="-3"/>
        </w:rPr>
        <w:t>款〔商定或确定〕确定计日工的单价。</w:t>
      </w:r>
    </w:p>
    <w:p>
      <w:pPr>
        <w:pStyle w:val="13"/>
        <w:spacing w:before="27" w:line="350" w:lineRule="auto"/>
        <w:ind w:right="111" w:firstLine="420"/>
      </w:pPr>
      <w:r>
        <w:rPr>
          <w:spacing w:val="-5"/>
        </w:rPr>
        <w:t>采用计日工计价的任何一项工作，承包人应在该项工作实施过程中，每天提交以下报表和有关凭证报</w:t>
      </w:r>
      <w:r>
        <w:rPr>
          <w:spacing w:val="-4"/>
        </w:rPr>
        <w:t>送监理人审查：</w:t>
      </w:r>
    </w:p>
    <w:p>
      <w:pPr>
        <w:pStyle w:val="13"/>
        <w:spacing w:before="29"/>
        <w:ind w:left="427"/>
      </w:pPr>
      <w:r>
        <w:t>（1）工作名称、内容和数量；</w:t>
      </w:r>
    </w:p>
    <w:p>
      <w:pPr>
        <w:pStyle w:val="13"/>
        <w:spacing w:before="123"/>
        <w:ind w:left="427"/>
      </w:pPr>
      <w:r>
        <w:t>（2）投入该工作的所有人员的姓名、专业、工种、级别和耗用工时；</w:t>
      </w:r>
    </w:p>
    <w:p>
      <w:pPr>
        <w:pStyle w:val="13"/>
        <w:spacing w:before="126"/>
        <w:ind w:left="427"/>
      </w:pPr>
      <w:r>
        <w:t>（3）投入该工作的材料类别和数量；</w:t>
      </w:r>
    </w:p>
    <w:p>
      <w:pPr>
        <w:pStyle w:val="13"/>
        <w:spacing w:before="126"/>
        <w:ind w:left="427"/>
      </w:pPr>
      <w:r>
        <w:t>（4）投入该工作的施工设备型号、台数和耗用台时；</w:t>
      </w:r>
    </w:p>
    <w:p>
      <w:pPr>
        <w:pStyle w:val="13"/>
        <w:spacing w:before="124"/>
        <w:ind w:left="427"/>
      </w:pPr>
      <w:r>
        <w:t>（5）其他有关资料和凭证。</w:t>
      </w:r>
    </w:p>
    <w:p>
      <w:pPr>
        <w:pStyle w:val="13"/>
        <w:spacing w:before="126" w:line="350" w:lineRule="auto"/>
        <w:ind w:firstLine="420"/>
      </w:pPr>
      <w:r>
        <w:rPr>
          <w:spacing w:val="-6"/>
        </w:rPr>
        <w:t>计日工由承包人汇总后，列入最近一期进度付款申请单，由监理人审查并经发包人批准后列入进度付款。</w:t>
      </w:r>
    </w:p>
    <w:p>
      <w:pPr>
        <w:pStyle w:val="32"/>
        <w:numPr>
          <w:ilvl w:val="0"/>
          <w:numId w:val="9"/>
        </w:numPr>
        <w:tabs>
          <w:tab w:val="left" w:pos="536"/>
        </w:tabs>
        <w:spacing w:before="147" w:after="0" w:line="240" w:lineRule="auto"/>
        <w:ind w:left="535" w:right="0" w:hanging="423"/>
        <w:jc w:val="left"/>
        <w:rPr>
          <w:sz w:val="21"/>
        </w:rPr>
      </w:pPr>
      <w:r>
        <w:rPr>
          <w:spacing w:val="-3"/>
          <w:sz w:val="21"/>
        </w:rPr>
        <w:t>价格调整</w:t>
      </w:r>
    </w:p>
    <w:p>
      <w:pPr>
        <w:pStyle w:val="13"/>
        <w:spacing w:before="10"/>
        <w:ind w:left="0"/>
        <w:rPr>
          <w:sz w:val="18"/>
        </w:rPr>
      </w:pPr>
    </w:p>
    <w:p>
      <w:pPr>
        <w:pStyle w:val="32"/>
        <w:numPr>
          <w:ilvl w:val="1"/>
          <w:numId w:val="9"/>
        </w:numPr>
        <w:tabs>
          <w:tab w:val="left" w:pos="1011"/>
        </w:tabs>
        <w:spacing w:before="0" w:after="0" w:line="240" w:lineRule="auto"/>
        <w:ind w:left="1010" w:right="0" w:hanging="475"/>
        <w:jc w:val="left"/>
        <w:rPr>
          <w:b/>
          <w:sz w:val="21"/>
        </w:rPr>
      </w:pPr>
      <w:r>
        <w:rPr>
          <w:b/>
          <w:spacing w:val="-1"/>
          <w:sz w:val="21"/>
        </w:rPr>
        <w:t>市场价格波动引起的调整</w:t>
      </w:r>
    </w:p>
    <w:p>
      <w:pPr>
        <w:pStyle w:val="13"/>
        <w:spacing w:before="9"/>
        <w:ind w:left="0"/>
        <w:rPr>
          <w:b/>
          <w:sz w:val="18"/>
        </w:rPr>
      </w:pPr>
    </w:p>
    <w:p>
      <w:pPr>
        <w:pStyle w:val="13"/>
        <w:spacing w:before="1" w:line="348" w:lineRule="auto"/>
        <w:ind w:firstLine="420"/>
      </w:pPr>
      <w:r>
        <w:rPr>
          <w:spacing w:val="-6"/>
        </w:rPr>
        <w:t>除专用合同条款另有约定外，市场价格波动超过合同当事人约定的范围，合同价格应当调整。合同当</w:t>
      </w:r>
      <w:r>
        <w:rPr>
          <w:spacing w:val="-4"/>
        </w:rPr>
        <w:t>事人可以在专用合同条款中约定选择以下一种方式对合同价格进行调整：</w:t>
      </w:r>
    </w:p>
    <w:p>
      <w:pPr>
        <w:pStyle w:val="13"/>
        <w:spacing w:before="31"/>
        <w:ind w:left="533"/>
      </w:pPr>
      <w:r>
        <w:t>第 1 种方式：采用价格指数进行价格调整。</w:t>
      </w:r>
    </w:p>
    <w:p>
      <w:pPr>
        <w:pStyle w:val="13"/>
        <w:spacing w:before="126"/>
        <w:ind w:left="533"/>
      </w:pPr>
      <w:r>
        <w:t>（1）价格调整公式</w:t>
      </w:r>
    </w:p>
    <w:p>
      <w:pPr>
        <w:pStyle w:val="13"/>
        <w:spacing w:before="123"/>
        <w:ind w:left="533"/>
      </w:pPr>
      <w:r>
        <w:t>因人工、材料和设备等价格波动影响合同价格时，根据专用合同条款中约定的数据，按以下公式计算</w:t>
      </w:r>
    </w:p>
    <w:p>
      <w:pPr>
        <w:spacing w:after="0"/>
        <w:sectPr>
          <w:pgSz w:w="11910" w:h="16840"/>
          <w:pgMar w:top="1460" w:right="1000" w:bottom="1180" w:left="1020" w:header="0" w:footer="920" w:gutter="0"/>
        </w:sectPr>
      </w:pPr>
    </w:p>
    <w:p>
      <w:pPr>
        <w:pStyle w:val="13"/>
        <w:spacing w:before="125" w:line="296" w:lineRule="exact"/>
        <w:rPr>
          <w:rFonts w:ascii="Symbol" w:hAnsi="Symbol"/>
          <w:sz w:val="28"/>
        </w:rPr>
      </w:pPr>
      <w:r>
        <w:rPr>
          <w:spacing w:val="-17"/>
          <w:w w:val="100"/>
        </w:rPr>
        <w:t>差额并调整合同</w:t>
      </w:r>
      <w:r>
        <w:rPr>
          <w:rFonts w:ascii="Symbol" w:hAnsi="Symbol"/>
          <w:spacing w:val="-15"/>
          <w:w w:val="107"/>
          <w:position w:val="-15"/>
          <w:sz w:val="28"/>
        </w:rPr>
        <w:t></w:t>
      </w:r>
      <w:r>
        <w:rPr>
          <w:spacing w:val="-49"/>
          <w:w w:val="100"/>
        </w:rPr>
        <w:t>价格：</w:t>
      </w:r>
      <w:r>
        <w:rPr>
          <w:rFonts w:ascii="Symbol" w:hAnsi="Symbol"/>
          <w:w w:val="107"/>
          <w:position w:val="-17"/>
          <w:sz w:val="28"/>
        </w:rPr>
        <w:t></w:t>
      </w:r>
    </w:p>
    <w:p>
      <w:pPr>
        <w:spacing w:before="268" w:line="154" w:lineRule="exact"/>
        <w:ind w:left="112" w:right="0" w:firstLine="0"/>
        <w:jc w:val="left"/>
        <w:rPr>
          <w:rFonts w:ascii="Times New Roman"/>
          <w:sz w:val="16"/>
        </w:rPr>
      </w:pPr>
      <w:r>
        <w:br w:type="column"/>
      </w:r>
      <w:r>
        <w:rPr>
          <w:rFonts w:ascii="Times New Roman"/>
          <w:spacing w:val="-7"/>
          <w:w w:val="107"/>
          <w:sz w:val="28"/>
        </w:rPr>
        <w:t>F</w:t>
      </w:r>
      <w:r>
        <w:rPr>
          <w:rFonts w:ascii="Times New Roman"/>
          <w:spacing w:val="-1"/>
          <w:w w:val="103"/>
          <w:sz w:val="16"/>
        </w:rPr>
        <w:t>t1</w:t>
      </w:r>
    </w:p>
    <w:p>
      <w:pPr>
        <w:spacing w:before="268" w:line="154" w:lineRule="exact"/>
        <w:ind w:left="112" w:right="0" w:firstLine="0"/>
        <w:jc w:val="left"/>
        <w:rPr>
          <w:rFonts w:ascii="Times New Roman"/>
          <w:sz w:val="16"/>
        </w:rPr>
      </w:pPr>
      <w:r>
        <w:br w:type="column"/>
      </w:r>
      <w:r>
        <w:rPr>
          <w:rFonts w:ascii="Times New Roman"/>
          <w:spacing w:val="-7"/>
          <w:w w:val="107"/>
          <w:sz w:val="28"/>
        </w:rPr>
        <w:t>F</w:t>
      </w:r>
      <w:r>
        <w:rPr>
          <w:rFonts w:ascii="Times New Roman"/>
          <w:spacing w:val="-1"/>
          <w:w w:val="103"/>
          <w:sz w:val="16"/>
        </w:rPr>
        <w:t>t2</w:t>
      </w:r>
    </w:p>
    <w:p>
      <w:pPr>
        <w:spacing w:before="268" w:line="154" w:lineRule="exact"/>
        <w:ind w:left="112" w:right="0" w:firstLine="0"/>
        <w:jc w:val="left"/>
        <w:rPr>
          <w:rFonts w:ascii="Times New Roman"/>
          <w:sz w:val="16"/>
        </w:rPr>
      </w:pPr>
      <w:r>
        <w:br w:type="column"/>
      </w:r>
      <w:r>
        <w:rPr>
          <w:rFonts w:ascii="Times New Roman"/>
          <w:spacing w:val="-7"/>
          <w:w w:val="107"/>
          <w:sz w:val="28"/>
        </w:rPr>
        <w:t>F</w:t>
      </w:r>
      <w:r>
        <w:rPr>
          <w:rFonts w:ascii="Times New Roman"/>
          <w:spacing w:val="-1"/>
          <w:w w:val="103"/>
          <w:sz w:val="16"/>
        </w:rPr>
        <w:t>t3</w:t>
      </w:r>
    </w:p>
    <w:p>
      <w:pPr>
        <w:tabs>
          <w:tab w:val="left" w:pos="951"/>
        </w:tabs>
        <w:spacing w:before="248" w:line="174" w:lineRule="exact"/>
        <w:ind w:left="112" w:right="0" w:firstLine="0"/>
        <w:jc w:val="left"/>
        <w:rPr>
          <w:rFonts w:ascii="Symbol" w:hAnsi="Symbol"/>
          <w:sz w:val="28"/>
        </w:rPr>
      </w:pPr>
      <w:r>
        <w:br w:type="column"/>
      </w:r>
      <w:r>
        <w:rPr>
          <w:rFonts w:ascii="Times New Roman" w:hAnsi="Times New Roman"/>
          <w:spacing w:val="-3"/>
          <w:w w:val="105"/>
          <w:sz w:val="28"/>
        </w:rPr>
        <w:t>F</w:t>
      </w:r>
      <w:r>
        <w:rPr>
          <w:rFonts w:ascii="Times New Roman" w:hAnsi="Times New Roman"/>
          <w:spacing w:val="-3"/>
          <w:w w:val="105"/>
          <w:sz w:val="16"/>
        </w:rPr>
        <w:t>tn</w:t>
      </w:r>
      <w:r>
        <w:rPr>
          <w:rFonts w:ascii="Times New Roman" w:hAnsi="Times New Roman"/>
          <w:spacing w:val="35"/>
          <w:w w:val="105"/>
          <w:sz w:val="16"/>
        </w:rPr>
        <w:t xml:space="preserve"> </w:t>
      </w:r>
      <w:r>
        <w:rPr>
          <w:rFonts w:ascii="Symbol" w:hAnsi="Symbol"/>
          <w:w w:val="105"/>
          <w:position w:val="-1"/>
          <w:sz w:val="28"/>
        </w:rPr>
        <w:t></w:t>
      </w:r>
      <w:r>
        <w:rPr>
          <w:rFonts w:ascii="Times New Roman" w:hAnsi="Times New Roman"/>
          <w:w w:val="105"/>
          <w:position w:val="-1"/>
          <w:sz w:val="28"/>
        </w:rPr>
        <w:tab/>
      </w:r>
      <w:r>
        <w:rPr>
          <w:rFonts w:ascii="Symbol" w:hAnsi="Symbol"/>
          <w:w w:val="105"/>
          <w:sz w:val="28"/>
        </w:rPr>
        <w:t></w:t>
      </w:r>
    </w:p>
    <w:p>
      <w:pPr>
        <w:spacing w:after="0" w:line="174" w:lineRule="exact"/>
        <w:jc w:val="left"/>
        <w:rPr>
          <w:rFonts w:ascii="Symbol" w:hAnsi="Symbol"/>
          <w:sz w:val="28"/>
        </w:rPr>
        <w:sectPr>
          <w:type w:val="continuous"/>
          <w:pgSz w:w="11910" w:h="16840"/>
          <w:pgMar w:top="1500" w:right="1000" w:bottom="1120" w:left="1020" w:header="720" w:footer="720" w:gutter="0"/>
          <w:cols w:equalWidth="0" w:num="5">
            <w:col w:w="2189" w:space="460"/>
            <w:col w:w="410" w:space="734"/>
            <w:col w:w="409" w:space="744"/>
            <w:col w:w="409" w:space="1259"/>
            <w:col w:w="3276"/>
          </w:cols>
        </w:sectPr>
      </w:pPr>
    </w:p>
    <w:p>
      <w:pPr>
        <w:pStyle w:val="8"/>
        <w:spacing w:before="7" w:line="252" w:lineRule="exact"/>
        <w:ind w:left="578"/>
        <w:rPr>
          <w:rFonts w:ascii="Times New Roman" w:hAnsi="Times New Roman"/>
        </w:rPr>
      </w:pPr>
      <w:r>
        <mc:AlternateContent>
          <mc:Choice Requires="wps">
            <w:drawing>
              <wp:anchor distT="0" distB="0" distL="114300" distR="114300" simplePos="0" relativeHeight="503022592" behindDoc="1" locked="0" layoutInCell="1" allowOverlap="1">
                <wp:simplePos x="0" y="0"/>
                <wp:positionH relativeFrom="page">
                  <wp:posOffset>2376170</wp:posOffset>
                </wp:positionH>
                <wp:positionV relativeFrom="paragraph">
                  <wp:posOffset>137160</wp:posOffset>
                </wp:positionV>
                <wp:extent cx="224155" cy="0"/>
                <wp:effectExtent l="0" t="0" r="0" b="0"/>
                <wp:wrapNone/>
                <wp:docPr id="110" name="直线 29"/>
                <wp:cNvGraphicFramePr/>
                <a:graphic xmlns:a="http://schemas.openxmlformats.org/drawingml/2006/main">
                  <a:graphicData uri="http://schemas.microsoft.com/office/word/2010/wordprocessingShape">
                    <wps:wsp>
                      <wps:cNvCnPr/>
                      <wps:spPr>
                        <a:xfrm>
                          <a:off x="0" y="0"/>
                          <a:ext cx="224155" cy="0"/>
                        </a:xfrm>
                        <a:prstGeom prst="line">
                          <a:avLst/>
                        </a:prstGeom>
                        <a:ln w="7410"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187.1pt;margin-top:10.8pt;height:0pt;width:17.65pt;mso-position-horizontal-relative:page;z-index:-293888;mso-width-relative:page;mso-height-relative:page;" filled="f" stroked="t" coordsize="21600,21600" o:gfxdata="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cgortUAAAAJAQAADwAAAAAAAAABACAAAAAiAAAAZHJz&#10;L2Rvd25yZXYueG1sUEsBAhQAFAAAAAgAh07iQNUfUAjOAQAAjwMAAA4AAAAAAAAAAQAgAAAAJAEA&#10;AGRycy9lMm9Eb2MueG1sUEsFBgAAAAAGAAYAWQEAAGQFAAAAAA==&#10;">
                <v:fill on="f" focussize="0,0"/>
                <v:stroke weight="0.583464566929134pt" color="#000000" joinstyle="round"/>
                <v:imagedata o:title=""/>
                <o:lock v:ext="edit" aspectratio="f"/>
              </v:line>
            </w:pict>
          </mc:Fallback>
        </mc:AlternateContent>
      </w:r>
      <w:r>
        <w:rPr>
          <w:rFonts w:ascii="Symbol" w:hAnsi="Symbol"/>
          <w:spacing w:val="-3"/>
          <w:w w:val="105"/>
        </w:rPr>
        <w:t></w:t>
      </w:r>
      <w:r>
        <w:rPr>
          <w:rFonts w:ascii="Times New Roman" w:hAnsi="Times New Roman"/>
          <w:spacing w:val="-3"/>
          <w:w w:val="105"/>
        </w:rPr>
        <w:t>P</w:t>
      </w:r>
      <w:r>
        <w:rPr>
          <w:rFonts w:ascii="Times New Roman" w:hAnsi="Times New Roman"/>
          <w:w w:val="105"/>
        </w:rPr>
        <w:t xml:space="preserve"> </w:t>
      </w:r>
      <w:r>
        <w:rPr>
          <w:rFonts w:ascii="Symbol" w:hAnsi="Symbol"/>
          <w:w w:val="105"/>
        </w:rPr>
        <w:t></w:t>
      </w:r>
      <w:r>
        <w:rPr>
          <w:rFonts w:ascii="Times New Roman" w:hAnsi="Times New Roman"/>
          <w:spacing w:val="-3"/>
          <w:w w:val="105"/>
        </w:rPr>
        <w:t xml:space="preserve"> </w:t>
      </w:r>
      <w:r>
        <w:rPr>
          <w:rFonts w:ascii="Times New Roman" w:hAnsi="Times New Roman"/>
          <w:spacing w:val="1"/>
          <w:w w:val="105"/>
        </w:rPr>
        <w:t>P</w:t>
      </w:r>
      <w:r>
        <w:rPr>
          <w:rFonts w:ascii="Times New Roman" w:hAnsi="Times New Roman"/>
          <w:spacing w:val="1"/>
          <w:w w:val="105"/>
          <w:sz w:val="16"/>
        </w:rPr>
        <w:t>0</w:t>
      </w:r>
      <w:r>
        <w:rPr>
          <w:rFonts w:ascii="Symbol" w:hAnsi="Symbol"/>
          <w:spacing w:val="1"/>
          <w:w w:val="105"/>
          <w:position w:val="-8"/>
        </w:rPr>
        <w:t></w:t>
      </w:r>
      <w:r>
        <w:rPr>
          <w:rFonts w:ascii="Times New Roman" w:hAnsi="Times New Roman"/>
          <w:spacing w:val="1"/>
          <w:w w:val="105"/>
        </w:rPr>
        <w:t>A</w:t>
      </w:r>
      <w:r>
        <w:rPr>
          <w:rFonts w:ascii="Times New Roman" w:hAnsi="Times New Roman"/>
          <w:spacing w:val="-19"/>
          <w:w w:val="105"/>
        </w:rPr>
        <w:t xml:space="preserve"> </w:t>
      </w:r>
      <w:r>
        <w:rPr>
          <w:rFonts w:ascii="Symbol" w:hAnsi="Symbol"/>
          <w:w w:val="105"/>
        </w:rPr>
        <w:t></w:t>
      </w:r>
      <w:r>
        <w:rPr>
          <w:rFonts w:ascii="Times New Roman" w:hAnsi="Times New Roman"/>
          <w:spacing w:val="-28"/>
          <w:w w:val="105"/>
        </w:rPr>
        <w:t xml:space="preserve"> </w:t>
      </w:r>
      <w:r>
        <w:rPr>
          <w:rFonts w:ascii="Symbol" w:hAnsi="Symbol"/>
          <w:w w:val="105"/>
          <w:position w:val="-1"/>
        </w:rPr>
        <w:t></w:t>
      </w:r>
      <w:r>
        <w:rPr>
          <w:rFonts w:ascii="Times New Roman" w:hAnsi="Times New Roman"/>
          <w:spacing w:val="-39"/>
          <w:w w:val="105"/>
          <w:position w:val="-1"/>
        </w:rPr>
        <w:t xml:space="preserve"> </w:t>
      </w:r>
      <w:r>
        <w:rPr>
          <w:rFonts w:ascii="Times New Roman" w:hAnsi="Times New Roman"/>
          <w:spacing w:val="-4"/>
          <w:w w:val="105"/>
        </w:rPr>
        <w:t>B</w:t>
      </w:r>
      <w:r>
        <w:rPr>
          <w:rFonts w:ascii="Times New Roman" w:hAnsi="Times New Roman"/>
          <w:spacing w:val="-4"/>
          <w:w w:val="105"/>
          <w:sz w:val="16"/>
        </w:rPr>
        <w:t>1</w:t>
      </w:r>
      <w:r>
        <w:rPr>
          <w:rFonts w:ascii="Times New Roman" w:hAnsi="Times New Roman"/>
          <w:spacing w:val="-24"/>
          <w:w w:val="105"/>
          <w:sz w:val="16"/>
        </w:rPr>
        <w:t xml:space="preserve"> </w:t>
      </w:r>
      <w:r>
        <w:rPr>
          <w:rFonts w:ascii="Symbol" w:hAnsi="Symbol"/>
          <w:w w:val="105"/>
        </w:rPr>
        <w:t></w:t>
      </w:r>
      <w:r>
        <w:rPr>
          <w:rFonts w:ascii="Times New Roman" w:hAnsi="Times New Roman"/>
          <w:spacing w:val="-6"/>
          <w:w w:val="105"/>
        </w:rPr>
        <w:t xml:space="preserve"> </w:t>
      </w:r>
      <w:r>
        <w:rPr>
          <w:rFonts w:ascii="Times New Roman" w:hAnsi="Times New Roman"/>
          <w:spacing w:val="-80"/>
          <w:w w:val="105"/>
          <w:position w:val="-22"/>
        </w:rPr>
        <w:t>F</w:t>
      </w:r>
    </w:p>
    <w:p>
      <w:pPr>
        <w:spacing w:before="7" w:line="294" w:lineRule="exact"/>
        <w:ind w:left="186" w:right="0" w:firstLine="0"/>
        <w:jc w:val="left"/>
        <w:rPr>
          <w:rFonts w:ascii="Symbol" w:hAnsi="Symbol"/>
          <w:sz w:val="28"/>
        </w:rPr>
      </w:pPr>
      <w:r>
        <w:br w:type="column"/>
      </w:r>
      <w:r>
        <w:rPr>
          <w:rFonts w:ascii="Symbol" w:hAnsi="Symbol"/>
          <w:w w:val="105"/>
          <w:sz w:val="28"/>
        </w:rPr>
        <w:t></w:t>
      </w:r>
      <w:r>
        <w:rPr>
          <w:rFonts w:ascii="Times New Roman" w:hAnsi="Times New Roman"/>
          <w:w w:val="105"/>
          <w:sz w:val="28"/>
        </w:rPr>
        <w:t xml:space="preserve"> B</w:t>
      </w:r>
      <w:r>
        <w:rPr>
          <w:rFonts w:ascii="Times New Roman" w:hAnsi="Times New Roman"/>
          <w:w w:val="105"/>
          <w:sz w:val="16"/>
        </w:rPr>
        <w:t xml:space="preserve">2 </w:t>
      </w:r>
      <w:r>
        <w:rPr>
          <w:rFonts w:ascii="Symbol" w:hAnsi="Symbol"/>
          <w:w w:val="105"/>
          <w:sz w:val="28"/>
        </w:rPr>
        <w:t></w:t>
      </w:r>
    </w:p>
    <w:p>
      <w:pPr>
        <w:pStyle w:val="8"/>
        <w:spacing w:line="42" w:lineRule="exact"/>
        <w:ind w:left="0"/>
        <w:jc w:val="right"/>
        <w:rPr>
          <w:rFonts w:ascii="Times New Roman"/>
        </w:rPr>
      </w:pPr>
      <w:r>
        <mc:AlternateContent>
          <mc:Choice Requires="wps">
            <w:drawing>
              <wp:anchor distT="0" distB="0" distL="114300" distR="114300" simplePos="0" relativeHeight="3072" behindDoc="0" locked="0" layoutInCell="1" allowOverlap="1">
                <wp:simplePos x="0" y="0"/>
                <wp:positionH relativeFrom="page">
                  <wp:posOffset>3103245</wp:posOffset>
                </wp:positionH>
                <wp:positionV relativeFrom="paragraph">
                  <wp:posOffset>-26670</wp:posOffset>
                </wp:positionV>
                <wp:extent cx="232410" cy="0"/>
                <wp:effectExtent l="0" t="0" r="0" b="0"/>
                <wp:wrapNone/>
                <wp:docPr id="16" name="直线 30"/>
                <wp:cNvGraphicFramePr/>
                <a:graphic xmlns:a="http://schemas.openxmlformats.org/drawingml/2006/main">
                  <a:graphicData uri="http://schemas.microsoft.com/office/word/2010/wordprocessingShape">
                    <wps:wsp>
                      <wps:cNvCnPr/>
                      <wps:spPr>
                        <a:xfrm>
                          <a:off x="0" y="0"/>
                          <a:ext cx="232410" cy="0"/>
                        </a:xfrm>
                        <a:prstGeom prst="line">
                          <a:avLst/>
                        </a:prstGeom>
                        <a:ln w="7410"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244.35pt;margin-top:-2.1pt;height:0pt;width:18.3pt;mso-position-horizontal-relative:page;z-index:3072;mso-width-relative:page;mso-height-relative:page;" filled="f" stroked="t" coordsize="21600,21600" o:gfxdata="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LdBWw1QAAAAkBAAAPAAAAAAAAAAEAIAAAACIAAABkcnMvZG93&#10;bnJldi54bWxQSwECFAAUAAAACACHTuJATeJrssoBAACOAwAADgAAAAAAAAABACAAAAAkAQAAZHJz&#10;L2Uyb0RvYy54bWxQSwUGAAAAAAYABgBZAQAAYAUAAAAA&#10;">
                <v:fill on="f" focussize="0,0"/>
                <v:stroke weight="0.583464566929134pt" color="#000000" joinstyle="round"/>
                <v:imagedata o:title=""/>
                <o:lock v:ext="edit" aspectratio="f"/>
              </v:line>
            </w:pict>
          </mc:Fallback>
        </mc:AlternateContent>
      </w:r>
      <w:r>
        <w:rPr>
          <w:rFonts w:ascii="Times New Roman"/>
          <w:w w:val="107"/>
        </w:rPr>
        <w:t>F</w:t>
      </w:r>
    </w:p>
    <w:p>
      <w:pPr>
        <w:spacing w:before="7" w:line="294" w:lineRule="exact"/>
        <w:ind w:left="199" w:right="0" w:firstLine="0"/>
        <w:jc w:val="left"/>
        <w:rPr>
          <w:rFonts w:ascii="Symbol" w:hAnsi="Symbol"/>
          <w:sz w:val="28"/>
        </w:rPr>
      </w:pPr>
      <w:r>
        <w:br w:type="column"/>
      </w:r>
      <w:r>
        <w:rPr>
          <w:rFonts w:ascii="Symbol" w:hAnsi="Symbol"/>
          <w:w w:val="105"/>
          <w:sz w:val="28"/>
        </w:rPr>
        <w:t></w:t>
      </w:r>
      <w:r>
        <w:rPr>
          <w:rFonts w:ascii="Times New Roman" w:hAnsi="Times New Roman"/>
          <w:w w:val="105"/>
          <w:sz w:val="28"/>
        </w:rPr>
        <w:t xml:space="preserve"> B</w:t>
      </w:r>
      <w:r>
        <w:rPr>
          <w:rFonts w:ascii="Times New Roman" w:hAnsi="Times New Roman"/>
          <w:w w:val="105"/>
          <w:sz w:val="16"/>
        </w:rPr>
        <w:t xml:space="preserve">3 </w:t>
      </w:r>
      <w:r>
        <w:rPr>
          <w:rFonts w:ascii="Symbol" w:hAnsi="Symbol"/>
          <w:w w:val="105"/>
          <w:sz w:val="28"/>
        </w:rPr>
        <w:t></w:t>
      </w:r>
    </w:p>
    <w:p>
      <w:pPr>
        <w:pStyle w:val="8"/>
        <w:spacing w:line="42" w:lineRule="exact"/>
        <w:ind w:left="0"/>
        <w:jc w:val="right"/>
        <w:rPr>
          <w:rFonts w:ascii="Times New Roman"/>
        </w:rPr>
      </w:pPr>
      <w:r>
        <mc:AlternateContent>
          <mc:Choice Requires="wps">
            <w:drawing>
              <wp:anchor distT="0" distB="0" distL="114300" distR="114300" simplePos="0" relativeHeight="3072" behindDoc="0" locked="0" layoutInCell="1" allowOverlap="1">
                <wp:simplePos x="0" y="0"/>
                <wp:positionH relativeFrom="page">
                  <wp:posOffset>3834765</wp:posOffset>
                </wp:positionH>
                <wp:positionV relativeFrom="paragraph">
                  <wp:posOffset>-26670</wp:posOffset>
                </wp:positionV>
                <wp:extent cx="229235" cy="0"/>
                <wp:effectExtent l="0" t="0" r="0" b="0"/>
                <wp:wrapNone/>
                <wp:docPr id="34" name="直线 31"/>
                <wp:cNvGraphicFramePr/>
                <a:graphic xmlns:a="http://schemas.openxmlformats.org/drawingml/2006/main">
                  <a:graphicData uri="http://schemas.microsoft.com/office/word/2010/wordprocessingShape">
                    <wps:wsp>
                      <wps:cNvCnPr/>
                      <wps:spPr>
                        <a:xfrm>
                          <a:off x="0" y="0"/>
                          <a:ext cx="229235" cy="0"/>
                        </a:xfrm>
                        <a:prstGeom prst="line">
                          <a:avLst/>
                        </a:prstGeom>
                        <a:ln w="7410"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301.95pt;margin-top:-2.1pt;height:0pt;width:18.05pt;mso-position-horizontal-relative:page;z-index:3072;mso-width-relative:page;mso-height-relative:page;" filled="f" stroked="t" coordsize="21600,21600" o:gfxdata="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fGJIe1AAAAAkBAAAPAAAAAAAAAAEAIAAAACIAAABkcnMv&#10;ZG93bnJldi54bWxQSwECFAAUAAAACACHTuJAQARKFc4BAACOAwAADgAAAAAAAAABACAAAAAjAQAA&#10;ZHJzL2Uyb0RvYy54bWxQSwUGAAAAAAYABgBZAQAAYwUAAAAA&#10;">
                <v:fill on="f" focussize="0,0"/>
                <v:stroke weight="0.583464566929134pt" color="#000000" joinstyle="round"/>
                <v:imagedata o:title=""/>
                <o:lock v:ext="edit" aspectratio="f"/>
              </v:line>
            </w:pict>
          </mc:Fallback>
        </mc:AlternateContent>
      </w:r>
      <w:r>
        <w:rPr>
          <w:rFonts w:ascii="Times New Roman"/>
          <w:w w:val="107"/>
        </w:rPr>
        <w:t>F</w:t>
      </w:r>
    </w:p>
    <w:p>
      <w:pPr>
        <w:spacing w:before="7" w:line="294" w:lineRule="exact"/>
        <w:ind w:left="194" w:right="0" w:firstLine="0"/>
        <w:jc w:val="left"/>
        <w:rPr>
          <w:rFonts w:ascii="Symbol" w:hAnsi="Symbol"/>
          <w:sz w:val="28"/>
        </w:rPr>
      </w:pPr>
      <w:r>
        <w:br w:type="column"/>
      </w:r>
      <w:r>
        <w:rPr>
          <w:rFonts w:ascii="Symbol" w:hAnsi="Symbol"/>
          <w:w w:val="105"/>
          <w:sz w:val="28"/>
        </w:rPr>
        <w:t></w:t>
      </w:r>
      <w:r>
        <w:rPr>
          <w:rFonts w:ascii="Times New Roman" w:hAnsi="Times New Roman"/>
          <w:w w:val="105"/>
          <w:sz w:val="28"/>
        </w:rPr>
        <w:t xml:space="preserve"> </w:t>
      </w:r>
      <w:r>
        <w:rPr>
          <w:rFonts w:ascii="Symbol" w:hAnsi="Symbol"/>
          <w:w w:val="105"/>
          <w:sz w:val="28"/>
        </w:rPr>
        <w:t></w:t>
      </w:r>
      <w:r>
        <w:rPr>
          <w:rFonts w:ascii="Times New Roman" w:hAnsi="Times New Roman"/>
          <w:w w:val="105"/>
          <w:sz w:val="28"/>
        </w:rPr>
        <w:t xml:space="preserve"> B</w:t>
      </w:r>
      <w:r>
        <w:rPr>
          <w:rFonts w:ascii="Times New Roman" w:hAnsi="Times New Roman"/>
          <w:w w:val="105"/>
          <w:sz w:val="16"/>
        </w:rPr>
        <w:t xml:space="preserve">n </w:t>
      </w:r>
      <w:r>
        <w:rPr>
          <w:rFonts w:ascii="Symbol" w:hAnsi="Symbol"/>
          <w:w w:val="105"/>
          <w:sz w:val="28"/>
        </w:rPr>
        <w:t></w:t>
      </w:r>
    </w:p>
    <w:p>
      <w:pPr>
        <w:pStyle w:val="8"/>
        <w:spacing w:line="42" w:lineRule="exact"/>
        <w:ind w:left="0"/>
        <w:jc w:val="right"/>
        <w:rPr>
          <w:rFonts w:ascii="Times New Roman"/>
        </w:rPr>
      </w:pPr>
      <w:r>
        <mc:AlternateContent>
          <mc:Choice Requires="wps">
            <w:drawing>
              <wp:anchor distT="0" distB="0" distL="114300" distR="114300" simplePos="0" relativeHeight="3072" behindDoc="0" locked="0" layoutInCell="1" allowOverlap="1">
                <wp:simplePos x="0" y="0"/>
                <wp:positionH relativeFrom="page">
                  <wp:posOffset>4893945</wp:posOffset>
                </wp:positionH>
                <wp:positionV relativeFrom="paragraph">
                  <wp:posOffset>-26670</wp:posOffset>
                </wp:positionV>
                <wp:extent cx="238125" cy="0"/>
                <wp:effectExtent l="0" t="0" r="0" b="0"/>
                <wp:wrapNone/>
                <wp:docPr id="26" name="直线 32"/>
                <wp:cNvGraphicFramePr/>
                <a:graphic xmlns:a="http://schemas.openxmlformats.org/drawingml/2006/main">
                  <a:graphicData uri="http://schemas.microsoft.com/office/word/2010/wordprocessingShape">
                    <wps:wsp>
                      <wps:cNvCnPr/>
                      <wps:spPr>
                        <a:xfrm>
                          <a:off x="0" y="0"/>
                          <a:ext cx="238125" cy="0"/>
                        </a:xfrm>
                        <a:prstGeom prst="line">
                          <a:avLst/>
                        </a:prstGeom>
                        <a:ln w="7410"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385.35pt;margin-top:-2.1pt;height:0pt;width:18.75pt;mso-position-horizontal-relative:page;z-index:3072;mso-width-relative:page;mso-height-relative:page;" filled="f" stroked="t" coordsize="21600,21600" o:gfxdata="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AFQCs0wAAAAkBAAAPAAAAAAAAAAEAIAAAACIAAABkcnMv&#10;ZG93bnJldi54bWxQSwECFAAUAAAACACHTuJAwH8f/c8BAACOAwAADgAAAAAAAAABACAAAAAiAQAA&#10;ZHJzL2Uyb0RvYy54bWxQSwUGAAAAAAYABgBZAQAAYwUAAAAA&#10;">
                <v:fill on="f" focussize="0,0"/>
                <v:stroke weight="0.583464566929134pt" color="#000000" joinstyle="round"/>
                <v:imagedata o:title=""/>
                <o:lock v:ext="edit" aspectratio="f"/>
              </v:line>
            </w:pict>
          </mc:Fallback>
        </mc:AlternateContent>
      </w:r>
      <w:r>
        <w:rPr>
          <w:rFonts w:ascii="Times New Roman"/>
          <w:w w:val="107"/>
        </w:rPr>
        <w:t>F</w:t>
      </w:r>
    </w:p>
    <w:p>
      <w:pPr>
        <w:pStyle w:val="8"/>
        <w:spacing w:before="7" w:line="252" w:lineRule="exact"/>
        <w:ind w:left="185"/>
        <w:rPr>
          <w:rFonts w:ascii="Symbol" w:hAnsi="Symbol"/>
        </w:rPr>
      </w:pPr>
      <w:r>
        <w:br w:type="column"/>
      </w:r>
      <w:r>
        <w:rPr>
          <w:rFonts w:ascii="Symbol" w:hAnsi="Symbol"/>
          <w:w w:val="105"/>
          <w:position w:val="-1"/>
        </w:rPr>
        <w:t></w:t>
      </w:r>
      <w:r>
        <w:rPr>
          <w:rFonts w:ascii="Times New Roman" w:hAnsi="Times New Roman"/>
          <w:w w:val="105"/>
          <w:position w:val="-1"/>
        </w:rPr>
        <w:t xml:space="preserve"> </w:t>
      </w:r>
      <w:r>
        <w:rPr>
          <w:rFonts w:ascii="Symbol" w:hAnsi="Symbol"/>
          <w:w w:val="105"/>
        </w:rPr>
        <w:t></w:t>
      </w:r>
      <w:r>
        <w:rPr>
          <w:rFonts w:ascii="Times New Roman" w:hAnsi="Times New Roman"/>
          <w:w w:val="105"/>
        </w:rPr>
        <w:t>1</w:t>
      </w:r>
      <w:r>
        <w:rPr>
          <w:rFonts w:ascii="Symbol" w:hAnsi="Symbol"/>
          <w:w w:val="105"/>
          <w:position w:val="-8"/>
        </w:rPr>
        <w:t></w:t>
      </w:r>
    </w:p>
    <w:p>
      <w:pPr>
        <w:spacing w:after="0" w:line="252" w:lineRule="exact"/>
        <w:rPr>
          <w:rFonts w:ascii="Symbol" w:hAnsi="Symbol"/>
        </w:rPr>
        <w:sectPr>
          <w:type w:val="continuous"/>
          <w:pgSz w:w="11910" w:h="16840"/>
          <w:pgMar w:top="1500" w:right="1000" w:bottom="1120" w:left="1020" w:header="720" w:footer="720" w:gutter="0"/>
          <w:cols w:equalWidth="0" w:num="5">
            <w:col w:w="2910" w:space="40"/>
            <w:col w:w="1105" w:space="40"/>
            <w:col w:w="1112" w:space="40"/>
            <w:col w:w="1628" w:space="40"/>
            <w:col w:w="2975"/>
          </w:cols>
        </w:sectPr>
      </w:pPr>
    </w:p>
    <w:p>
      <w:pPr>
        <w:tabs>
          <w:tab w:val="left" w:pos="2073"/>
          <w:tab w:val="left" w:pos="2902"/>
          <w:tab w:val="left" w:pos="4047"/>
          <w:tab w:val="left" w:pos="5199"/>
          <w:tab w:val="left" w:pos="6867"/>
          <w:tab w:val="left" w:pos="7565"/>
        </w:tabs>
        <w:spacing w:before="3" w:line="294" w:lineRule="exact"/>
        <w:ind w:left="1483" w:right="0" w:firstLine="0"/>
        <w:jc w:val="left"/>
        <w:rPr>
          <w:rFonts w:ascii="Symbol" w:hAnsi="Symbol"/>
          <w:sz w:val="28"/>
        </w:rPr>
      </w:pPr>
      <w:r>
        <w:rPr>
          <w:rFonts w:ascii="Symbol" w:hAnsi="Symbol"/>
          <w:w w:val="105"/>
          <w:position w:val="-5"/>
          <w:sz w:val="28"/>
        </w:rPr>
        <w:t></w:t>
      </w:r>
      <w:r>
        <w:rPr>
          <w:rFonts w:ascii="Times New Roman" w:hAnsi="Times New Roman"/>
          <w:w w:val="105"/>
          <w:position w:val="-5"/>
          <w:sz w:val="28"/>
        </w:rPr>
        <w:tab/>
      </w:r>
      <w:r>
        <w:rPr>
          <w:rFonts w:ascii="Symbol" w:hAnsi="Symbol"/>
          <w:w w:val="105"/>
          <w:position w:val="-2"/>
          <w:sz w:val="28"/>
        </w:rPr>
        <w:t></w:t>
      </w:r>
      <w:r>
        <w:rPr>
          <w:rFonts w:ascii="Times New Roman" w:hAnsi="Times New Roman"/>
          <w:w w:val="105"/>
          <w:position w:val="-2"/>
          <w:sz w:val="28"/>
        </w:rPr>
        <w:tab/>
      </w:r>
      <w:r>
        <w:rPr>
          <w:rFonts w:ascii="Times New Roman" w:hAnsi="Times New Roman"/>
          <w:spacing w:val="3"/>
          <w:w w:val="105"/>
          <w:sz w:val="16"/>
        </w:rPr>
        <w:t>01</w:t>
      </w:r>
      <w:r>
        <w:rPr>
          <w:rFonts w:ascii="Times New Roman" w:hAnsi="Times New Roman"/>
          <w:spacing w:val="3"/>
          <w:w w:val="105"/>
          <w:sz w:val="16"/>
        </w:rPr>
        <w:tab/>
      </w:r>
      <w:r>
        <w:rPr>
          <w:rFonts w:ascii="Times New Roman" w:hAnsi="Times New Roman"/>
          <w:spacing w:val="3"/>
          <w:w w:val="105"/>
          <w:sz w:val="16"/>
        </w:rPr>
        <w:t>02</w:t>
      </w:r>
      <w:r>
        <w:rPr>
          <w:rFonts w:ascii="Times New Roman" w:hAnsi="Times New Roman"/>
          <w:spacing w:val="3"/>
          <w:w w:val="105"/>
          <w:sz w:val="16"/>
        </w:rPr>
        <w:tab/>
      </w:r>
      <w:r>
        <w:rPr>
          <w:rFonts w:ascii="Times New Roman" w:hAnsi="Times New Roman"/>
          <w:spacing w:val="3"/>
          <w:w w:val="105"/>
          <w:sz w:val="16"/>
        </w:rPr>
        <w:t>03</w:t>
      </w:r>
      <w:r>
        <w:rPr>
          <w:rFonts w:ascii="Times New Roman" w:hAnsi="Times New Roman"/>
          <w:spacing w:val="3"/>
          <w:w w:val="105"/>
          <w:sz w:val="16"/>
        </w:rPr>
        <w:tab/>
      </w:r>
      <w:r>
        <w:rPr>
          <w:rFonts w:ascii="Times New Roman" w:hAnsi="Times New Roman"/>
          <w:spacing w:val="3"/>
          <w:w w:val="105"/>
          <w:sz w:val="16"/>
        </w:rPr>
        <w:t>0n</w:t>
      </w:r>
      <w:r>
        <w:rPr>
          <w:rFonts w:ascii="Times New Roman" w:hAnsi="Times New Roman"/>
          <w:spacing w:val="2"/>
          <w:w w:val="105"/>
          <w:sz w:val="16"/>
        </w:rPr>
        <w:t xml:space="preserve"> </w:t>
      </w:r>
      <w:r>
        <w:rPr>
          <w:rFonts w:ascii="Symbol" w:hAnsi="Symbol"/>
          <w:w w:val="105"/>
          <w:position w:val="-2"/>
          <w:sz w:val="28"/>
        </w:rPr>
        <w:t></w:t>
      </w:r>
      <w:r>
        <w:rPr>
          <w:rFonts w:ascii="Times New Roman" w:hAnsi="Times New Roman"/>
          <w:w w:val="105"/>
          <w:position w:val="-2"/>
          <w:sz w:val="28"/>
        </w:rPr>
        <w:tab/>
      </w:r>
      <w:r>
        <w:rPr>
          <w:rFonts w:ascii="Symbol" w:hAnsi="Symbol"/>
          <w:w w:val="105"/>
          <w:position w:val="-5"/>
          <w:sz w:val="28"/>
        </w:rPr>
        <w:t></w:t>
      </w:r>
    </w:p>
    <w:p>
      <w:pPr>
        <w:pStyle w:val="13"/>
        <w:spacing w:line="236" w:lineRule="exact"/>
        <w:ind w:left="754"/>
      </w:pPr>
      <w:r>
        <w:t>公式中：</w:t>
      </w:r>
      <w:r>
        <w:rPr>
          <w:rFonts w:ascii="Arial" w:hAnsi="Arial" w:eastAsia="Arial"/>
        </w:rPr>
        <w:t xml:space="preserve">Δ </w:t>
      </w:r>
      <w:r>
        <w:t>P——需调整的价格差额；</w:t>
      </w:r>
    </w:p>
    <w:p>
      <w:pPr>
        <w:pStyle w:val="13"/>
        <w:spacing w:before="56"/>
        <w:ind w:left="1420"/>
      </w:pPr>
      <w:r>
        <w:rPr>
          <w:rFonts w:ascii="Times New Roman" w:hAnsi="Times New Roman" w:eastAsia="Times New Roman"/>
          <w:position w:val="2"/>
          <w:sz w:val="30"/>
        </w:rPr>
        <w:t>P</w:t>
      </w:r>
      <w:r>
        <w:rPr>
          <w:rFonts w:ascii="Times New Roman" w:hAnsi="Times New Roman" w:eastAsia="Times New Roman"/>
          <w:position w:val="2"/>
          <w:sz w:val="17"/>
        </w:rPr>
        <w:t xml:space="preserve">0  </w:t>
      </w:r>
      <w:r>
        <w:t>——约定的付款证书中承包人应得到的已完成工程量的金额。此项金额应不包括价格调</w:t>
      </w:r>
    </w:p>
    <w:p>
      <w:pPr>
        <w:spacing w:after="0"/>
        <w:sectPr>
          <w:type w:val="continuous"/>
          <w:pgSz w:w="11910" w:h="16840"/>
          <w:pgMar w:top="1500" w:right="1000" w:bottom="1120" w:left="1020" w:header="720" w:footer="720" w:gutter="0"/>
        </w:sectPr>
      </w:pPr>
    </w:p>
    <w:p>
      <w:pPr>
        <w:pStyle w:val="13"/>
        <w:spacing w:before="14" w:line="348" w:lineRule="auto"/>
        <w:ind w:right="98"/>
      </w:pPr>
      <w:r>
        <w:t>整、不计质量保证金的扣留和支付、预付款的支付和扣回。约定的变更及其他金额已按现行价格计价的， 也不计在内；</w:t>
      </w:r>
    </w:p>
    <w:p>
      <w:pPr>
        <w:pStyle w:val="13"/>
        <w:spacing w:before="31"/>
        <w:ind w:left="533"/>
      </w:pPr>
      <w:r>
        <w:t>A——定值权重（即不调部分的权重）；</w:t>
      </w:r>
    </w:p>
    <w:p>
      <w:pPr>
        <w:spacing w:before="51" w:line="319" w:lineRule="auto"/>
        <w:ind w:left="112" w:right="132" w:firstLine="468"/>
        <w:jc w:val="both"/>
        <w:rPr>
          <w:sz w:val="21"/>
        </w:rPr>
      </w:pPr>
      <w:r>
        <w:rPr>
          <w:rFonts w:ascii="Times New Roman" w:hAnsi="Times New Roman" w:eastAsia="Times New Roman"/>
          <w:spacing w:val="-7"/>
          <w:position w:val="3"/>
          <w:sz w:val="31"/>
        </w:rPr>
        <w:t>B</w:t>
      </w:r>
      <w:r>
        <w:rPr>
          <w:rFonts w:ascii="Times New Roman" w:hAnsi="Times New Roman" w:eastAsia="Times New Roman"/>
          <w:spacing w:val="-7"/>
          <w:position w:val="3"/>
          <w:sz w:val="18"/>
        </w:rPr>
        <w:t>1</w:t>
      </w:r>
      <w:r>
        <w:rPr>
          <w:rFonts w:ascii="Times New Roman" w:hAnsi="Times New Roman" w:eastAsia="Times New Roman"/>
          <w:spacing w:val="-8"/>
          <w:position w:val="3"/>
          <w:sz w:val="31"/>
        </w:rPr>
        <w:t xml:space="preserve">; </w:t>
      </w:r>
      <w:r>
        <w:rPr>
          <w:rFonts w:ascii="Times New Roman" w:hAnsi="Times New Roman" w:eastAsia="Times New Roman"/>
          <w:spacing w:val="-7"/>
          <w:position w:val="3"/>
          <w:sz w:val="31"/>
        </w:rPr>
        <w:t>B</w:t>
      </w:r>
      <w:r>
        <w:rPr>
          <w:rFonts w:ascii="Times New Roman" w:hAnsi="Times New Roman" w:eastAsia="Times New Roman"/>
          <w:spacing w:val="-7"/>
          <w:position w:val="3"/>
          <w:sz w:val="18"/>
        </w:rPr>
        <w:t>2</w:t>
      </w:r>
      <w:r>
        <w:rPr>
          <w:rFonts w:ascii="Times New Roman" w:hAnsi="Times New Roman" w:eastAsia="Times New Roman"/>
          <w:spacing w:val="-8"/>
          <w:position w:val="3"/>
          <w:sz w:val="31"/>
        </w:rPr>
        <w:t>; B</w:t>
      </w:r>
      <w:r>
        <w:rPr>
          <w:rFonts w:ascii="Times New Roman" w:hAnsi="Times New Roman" w:eastAsia="Times New Roman"/>
          <w:spacing w:val="-8"/>
          <w:position w:val="3"/>
          <w:sz w:val="18"/>
        </w:rPr>
        <w:t>3</w:t>
      </w:r>
      <w:r>
        <w:rPr>
          <w:rFonts w:ascii="Times New Roman" w:hAnsi="Times New Roman" w:eastAsia="Times New Roman"/>
          <w:spacing w:val="-8"/>
          <w:position w:val="3"/>
          <w:sz w:val="31"/>
        </w:rPr>
        <w:t>......B</w:t>
      </w:r>
      <w:r>
        <w:rPr>
          <w:rFonts w:ascii="Times New Roman" w:hAnsi="Times New Roman" w:eastAsia="Times New Roman"/>
          <w:spacing w:val="-8"/>
          <w:position w:val="3"/>
          <w:sz w:val="18"/>
        </w:rPr>
        <w:t xml:space="preserve">n </w:t>
      </w:r>
      <w:r>
        <w:rPr>
          <w:sz w:val="21"/>
        </w:rPr>
        <w:t>——各可调因子的变值权重（即可调部分的权重）</w:t>
      </w:r>
      <w:r>
        <w:rPr>
          <w:spacing w:val="-8"/>
          <w:sz w:val="21"/>
        </w:rPr>
        <w:t>，为各可调因子在签约合同</w:t>
      </w:r>
      <w:r>
        <w:rPr>
          <w:spacing w:val="-3"/>
          <w:sz w:val="21"/>
        </w:rPr>
        <w:t>价中所占的比例；</w:t>
      </w:r>
    </w:p>
    <w:p>
      <w:pPr>
        <w:spacing w:before="0" w:line="339" w:lineRule="exact"/>
        <w:ind w:left="581" w:right="0" w:firstLine="0"/>
        <w:jc w:val="left"/>
        <w:rPr>
          <w:sz w:val="21"/>
        </w:rPr>
      </w:pPr>
      <w:r>
        <w:rPr>
          <w:rFonts w:ascii="Times New Roman" w:hAnsi="Times New Roman" w:eastAsia="Times New Roman"/>
          <w:spacing w:val="-5"/>
          <w:position w:val="3"/>
          <w:sz w:val="31"/>
        </w:rPr>
        <w:t>F</w:t>
      </w:r>
      <w:r>
        <w:rPr>
          <w:rFonts w:ascii="Times New Roman" w:hAnsi="Times New Roman" w:eastAsia="Times New Roman"/>
          <w:spacing w:val="-5"/>
          <w:position w:val="3"/>
          <w:sz w:val="18"/>
        </w:rPr>
        <w:t>t1</w:t>
      </w:r>
      <w:r>
        <w:rPr>
          <w:rFonts w:ascii="Times New Roman" w:hAnsi="Times New Roman" w:eastAsia="Times New Roman"/>
          <w:spacing w:val="-11"/>
          <w:position w:val="3"/>
          <w:sz w:val="31"/>
        </w:rPr>
        <w:t xml:space="preserve">; </w:t>
      </w:r>
      <w:r>
        <w:rPr>
          <w:rFonts w:ascii="Times New Roman" w:hAnsi="Times New Roman" w:eastAsia="Times New Roman"/>
          <w:spacing w:val="-5"/>
          <w:position w:val="3"/>
          <w:sz w:val="31"/>
        </w:rPr>
        <w:t>F</w:t>
      </w:r>
      <w:r>
        <w:rPr>
          <w:rFonts w:ascii="Times New Roman" w:hAnsi="Times New Roman" w:eastAsia="Times New Roman"/>
          <w:spacing w:val="-5"/>
          <w:position w:val="3"/>
          <w:sz w:val="18"/>
        </w:rPr>
        <w:t>t2</w:t>
      </w:r>
      <w:r>
        <w:rPr>
          <w:rFonts w:ascii="Times New Roman" w:hAnsi="Times New Roman" w:eastAsia="Times New Roman"/>
          <w:spacing w:val="-12"/>
          <w:position w:val="3"/>
          <w:sz w:val="31"/>
        </w:rPr>
        <w:t xml:space="preserve">; </w:t>
      </w:r>
      <w:r>
        <w:rPr>
          <w:rFonts w:ascii="Times New Roman" w:hAnsi="Times New Roman" w:eastAsia="Times New Roman"/>
          <w:spacing w:val="-6"/>
          <w:position w:val="3"/>
          <w:sz w:val="31"/>
        </w:rPr>
        <w:t>F</w:t>
      </w:r>
      <w:r>
        <w:rPr>
          <w:rFonts w:ascii="Times New Roman" w:hAnsi="Times New Roman" w:eastAsia="Times New Roman"/>
          <w:spacing w:val="-6"/>
          <w:position w:val="3"/>
          <w:sz w:val="18"/>
        </w:rPr>
        <w:t>t3</w:t>
      </w:r>
      <w:r>
        <w:rPr>
          <w:rFonts w:ascii="Times New Roman" w:hAnsi="Times New Roman" w:eastAsia="Times New Roman"/>
          <w:spacing w:val="-6"/>
          <w:position w:val="3"/>
          <w:sz w:val="31"/>
        </w:rPr>
        <w:t>......F</w:t>
      </w:r>
      <w:r>
        <w:rPr>
          <w:rFonts w:ascii="Times New Roman" w:hAnsi="Times New Roman" w:eastAsia="Times New Roman"/>
          <w:spacing w:val="-6"/>
          <w:position w:val="3"/>
          <w:sz w:val="18"/>
        </w:rPr>
        <w:t>tn</w:t>
      </w:r>
      <w:r>
        <w:rPr>
          <w:rFonts w:ascii="Times New Roman" w:hAnsi="Times New Roman" w:eastAsia="Times New Roman"/>
          <w:spacing w:val="5"/>
          <w:position w:val="3"/>
          <w:sz w:val="18"/>
        </w:rPr>
        <w:t xml:space="preserve">  </w:t>
      </w:r>
      <w:r>
        <w:rPr>
          <w:spacing w:val="-6"/>
          <w:sz w:val="21"/>
        </w:rPr>
        <w:t xml:space="preserve">——各可调因子的现行价格指数，指约定的付款证书相关周期最后一天的前 </w:t>
      </w:r>
      <w:r>
        <w:rPr>
          <w:spacing w:val="-27"/>
          <w:sz w:val="21"/>
        </w:rPr>
        <w:t>42</w:t>
      </w:r>
    </w:p>
    <w:p>
      <w:pPr>
        <w:pStyle w:val="13"/>
        <w:spacing w:before="118"/>
      </w:pPr>
      <w:r>
        <w:t>天的各可调因子的价格指数；</w:t>
      </w:r>
    </w:p>
    <w:p>
      <w:pPr>
        <w:spacing w:before="48"/>
        <w:ind w:left="579" w:right="0" w:firstLine="0"/>
        <w:jc w:val="left"/>
        <w:rPr>
          <w:sz w:val="21"/>
        </w:rPr>
      </w:pPr>
      <w:r>
        <w:rPr>
          <w:rFonts w:ascii="Times New Roman" w:hAnsi="Times New Roman" w:eastAsia="Times New Roman"/>
          <w:position w:val="3"/>
          <w:sz w:val="31"/>
        </w:rPr>
        <w:t>F</w:t>
      </w:r>
      <w:r>
        <w:rPr>
          <w:rFonts w:ascii="Times New Roman" w:hAnsi="Times New Roman" w:eastAsia="Times New Roman"/>
          <w:position w:val="3"/>
          <w:sz w:val="18"/>
        </w:rPr>
        <w:t>01</w:t>
      </w:r>
      <w:r>
        <w:rPr>
          <w:rFonts w:ascii="Times New Roman" w:hAnsi="Times New Roman" w:eastAsia="Times New Roman"/>
          <w:position w:val="3"/>
          <w:sz w:val="31"/>
        </w:rPr>
        <w:t>; F</w:t>
      </w:r>
      <w:r>
        <w:rPr>
          <w:rFonts w:ascii="Times New Roman" w:hAnsi="Times New Roman" w:eastAsia="Times New Roman"/>
          <w:position w:val="3"/>
          <w:sz w:val="18"/>
        </w:rPr>
        <w:t>02</w:t>
      </w:r>
      <w:r>
        <w:rPr>
          <w:rFonts w:ascii="Times New Roman" w:hAnsi="Times New Roman" w:eastAsia="Times New Roman"/>
          <w:position w:val="3"/>
          <w:sz w:val="31"/>
        </w:rPr>
        <w:t>; F</w:t>
      </w:r>
      <w:r>
        <w:rPr>
          <w:rFonts w:ascii="Times New Roman" w:hAnsi="Times New Roman" w:eastAsia="Times New Roman"/>
          <w:position w:val="3"/>
          <w:sz w:val="18"/>
        </w:rPr>
        <w:t>03</w:t>
      </w:r>
      <w:r>
        <w:rPr>
          <w:rFonts w:ascii="Times New Roman" w:hAnsi="Times New Roman" w:eastAsia="Times New Roman"/>
          <w:position w:val="3"/>
          <w:sz w:val="31"/>
        </w:rPr>
        <w:t>......F</w:t>
      </w:r>
      <w:r>
        <w:rPr>
          <w:rFonts w:ascii="Times New Roman" w:hAnsi="Times New Roman" w:eastAsia="Times New Roman"/>
          <w:position w:val="3"/>
          <w:sz w:val="18"/>
        </w:rPr>
        <w:t xml:space="preserve">0n  </w:t>
      </w:r>
      <w:r>
        <w:rPr>
          <w:sz w:val="21"/>
        </w:rPr>
        <w:t>——各可调因子的基本价格指数，指基准日期的各可调因子的价格指数。</w:t>
      </w:r>
    </w:p>
    <w:p>
      <w:pPr>
        <w:pStyle w:val="13"/>
        <w:spacing w:before="117" w:line="350" w:lineRule="auto"/>
        <w:ind w:right="126" w:firstLine="420"/>
        <w:jc w:val="both"/>
      </w:pPr>
      <w:r>
        <w:rPr>
          <w:spacing w:val="-5"/>
        </w:rPr>
        <w:t>以上价格调整公式中的各可调因子、定值和变值权重，以及基本价格指数及其来源在投标函附录价格</w:t>
      </w:r>
      <w:r>
        <w:rPr>
          <w:spacing w:val="-7"/>
        </w:rPr>
        <w:t>指数和权重表中约定，非招标订立的合同，由合同当事人在专用合同条款中约定。价格指数应首先采用工</w:t>
      </w:r>
      <w:r>
        <w:rPr>
          <w:spacing w:val="-5"/>
        </w:rPr>
        <w:t>程造价管理机构发布的价格指数，无前述价格指数时，可采用工程造价管理机构发布的价格代替。</w:t>
      </w:r>
    </w:p>
    <w:p>
      <w:pPr>
        <w:pStyle w:val="13"/>
        <w:spacing w:before="28"/>
        <w:ind w:left="533"/>
      </w:pPr>
      <w:r>
        <w:t>（2）暂时确定调整差额</w:t>
      </w:r>
    </w:p>
    <w:p>
      <w:pPr>
        <w:pStyle w:val="13"/>
        <w:spacing w:before="125" w:line="348" w:lineRule="auto"/>
        <w:ind w:right="126" w:firstLine="420"/>
        <w:jc w:val="both"/>
      </w:pPr>
      <w:r>
        <w:rPr>
          <w:spacing w:val="-5"/>
        </w:rPr>
        <w:t>在计算调整差额时无现行价格指数的，合同当事人同意暂用前次价格指数计算。实际价格指数有调整</w:t>
      </w:r>
      <w:r>
        <w:rPr>
          <w:spacing w:val="-4"/>
        </w:rPr>
        <w:t>的，合同当事人进行相应调整。</w:t>
      </w:r>
    </w:p>
    <w:p>
      <w:pPr>
        <w:pStyle w:val="13"/>
        <w:spacing w:before="31"/>
        <w:ind w:left="533"/>
      </w:pPr>
      <w:r>
        <w:t>（3）权重的调整</w:t>
      </w:r>
    </w:p>
    <w:p>
      <w:pPr>
        <w:pStyle w:val="13"/>
        <w:spacing w:before="126"/>
        <w:ind w:left="533"/>
      </w:pPr>
      <w:r>
        <w:t>因变更导致合同约定的权重不合理时，按照第 4.4 款〔商定或确定〕执行。</w:t>
      </w:r>
    </w:p>
    <w:p>
      <w:pPr>
        <w:pStyle w:val="13"/>
        <w:spacing w:before="123"/>
        <w:ind w:left="533"/>
      </w:pPr>
      <w:r>
        <w:t>（4）因承包人原因工期延误后的价格调整</w:t>
      </w:r>
    </w:p>
    <w:p>
      <w:pPr>
        <w:pStyle w:val="13"/>
        <w:spacing w:before="125" w:line="350" w:lineRule="auto"/>
        <w:ind w:right="126" w:firstLine="420"/>
        <w:jc w:val="both"/>
      </w:pPr>
      <w:r>
        <w:rPr>
          <w:spacing w:val="-6"/>
        </w:rPr>
        <w:t>因承包人原因未按期竣工的，对合同约定的竣工日期后继续施工的工程，在使用价格调整公式时，应</w:t>
      </w:r>
      <w:r>
        <w:rPr>
          <w:spacing w:val="-4"/>
        </w:rPr>
        <w:t>采用计划竣工日期与实际竣工日期的两个价格指数中较低的一个作为现行价格指数。</w:t>
      </w:r>
    </w:p>
    <w:p>
      <w:pPr>
        <w:pStyle w:val="13"/>
        <w:spacing w:before="26"/>
        <w:ind w:left="533"/>
      </w:pPr>
      <w:r>
        <w:t>第 2 种方式：采用造价信息进行价格调整。</w:t>
      </w:r>
    </w:p>
    <w:p>
      <w:pPr>
        <w:pStyle w:val="13"/>
        <w:spacing w:before="125" w:line="350" w:lineRule="auto"/>
        <w:ind w:right="126" w:firstLine="420"/>
        <w:jc w:val="both"/>
      </w:pPr>
      <w:r>
        <w:rPr>
          <w:spacing w:val="-6"/>
        </w:rPr>
        <w:t>合同履行期间，因人工、材料、工程设备和机械台班价格波动影响合同价格时，人工、机械使用费按</w:t>
      </w:r>
      <w:r>
        <w:rPr>
          <w:spacing w:val="-7"/>
        </w:rPr>
        <w:t>照国家或省、自治区、直辖市建设行政管理部门、行业建设管理部门或其授权的工程造价管理机构发布的</w:t>
      </w:r>
      <w:r>
        <w:rPr>
          <w:spacing w:val="-6"/>
        </w:rPr>
        <w:t>人工、机械使用费系数进行调整；需要进行价格调整的材料，其单价和采购数量应由发包人审批，发包人</w:t>
      </w:r>
      <w:r>
        <w:rPr>
          <w:spacing w:val="-4"/>
        </w:rPr>
        <w:t>确认需调整的材料单价及数量，作为调整合同价格的依据。</w:t>
      </w:r>
    </w:p>
    <w:p>
      <w:pPr>
        <w:pStyle w:val="13"/>
        <w:spacing w:before="28" w:line="348" w:lineRule="auto"/>
        <w:ind w:right="126" w:firstLine="420"/>
        <w:jc w:val="both"/>
      </w:pPr>
      <w:r>
        <w:t>（1）人工单价发生变化且符合省级或行业建设主管部门发布的人工费调整规定，合同当事人应按省</w:t>
      </w:r>
      <w:r>
        <w:rPr>
          <w:spacing w:val="-4"/>
        </w:rPr>
        <w:t>级或行业建设主管部门或其授权的工程造价管理机构发布的人工费等文件调整合同价格，但承包人对人工</w:t>
      </w:r>
      <w:r>
        <w:rPr>
          <w:spacing w:val="-3"/>
        </w:rPr>
        <w:t>费或人工单价的报价高于发布价格的除外。</w:t>
      </w:r>
    </w:p>
    <w:p>
      <w:pPr>
        <w:pStyle w:val="13"/>
        <w:spacing w:before="30"/>
        <w:ind w:left="533"/>
      </w:pPr>
      <w:r>
        <w:t>（2）材料、工程设备价格变化的价款调整按照发包人提供的基准价格，按以下风险范围规定执行:</w:t>
      </w:r>
    </w:p>
    <w:p>
      <w:pPr>
        <w:pStyle w:val="13"/>
        <w:spacing w:before="123" w:line="350" w:lineRule="auto"/>
        <w:ind w:right="126" w:firstLine="420"/>
        <w:jc w:val="both"/>
      </w:pPr>
      <w:r>
        <w:t>①承包人在已标价工程量清单或预算书中载明材料单价低于基准价格的：除专用合同条款另有约定</w:t>
      </w:r>
      <w:r>
        <w:rPr>
          <w:spacing w:val="-9"/>
        </w:rPr>
        <w:t xml:space="preserve">外，合同履行期间材料单价涨幅以基准价格为基础超过 </w:t>
      </w:r>
      <w:r>
        <w:t>5</w:t>
      </w:r>
      <w:r>
        <w:rPr>
          <w:spacing w:val="-8"/>
        </w:rPr>
        <w:t>%时，或材料单价跌幅以在已标价工程量清单或预</w:t>
      </w:r>
      <w:r>
        <w:rPr>
          <w:spacing w:val="-7"/>
        </w:rPr>
        <w:t xml:space="preserve">算书中载明材料单价为基础超过 </w:t>
      </w:r>
      <w:r>
        <w:t>5</w:t>
      </w:r>
      <w:r>
        <w:rPr>
          <w:spacing w:val="-3"/>
        </w:rPr>
        <w:t>%时，其超过部分据实调整。</w:t>
      </w:r>
    </w:p>
    <w:p>
      <w:pPr>
        <w:pStyle w:val="13"/>
        <w:spacing w:before="27" w:line="350" w:lineRule="auto"/>
        <w:ind w:right="126" w:firstLine="420"/>
        <w:jc w:val="both"/>
      </w:pPr>
      <w:r>
        <w:t>②承包人在已标价工程量清单或预算书中载明材料单价高于基准价格的：除专用合同条款另有约定</w:t>
      </w:r>
      <w:r>
        <w:rPr>
          <w:spacing w:val="-9"/>
        </w:rPr>
        <w:t xml:space="preserve">外，合同履行期间材料单价跌幅以基准价格为基础超过 </w:t>
      </w:r>
      <w:r>
        <w:t>5</w:t>
      </w:r>
      <w:r>
        <w:rPr>
          <w:spacing w:val="-8"/>
        </w:rPr>
        <w:t>%时，材料单价涨幅以在已标价工程量清单或预算</w:t>
      </w:r>
      <w:r>
        <w:rPr>
          <w:spacing w:val="-7"/>
        </w:rPr>
        <w:t xml:space="preserve">书中载明材料单价为基础超过 </w:t>
      </w:r>
      <w:r>
        <w:t>5</w:t>
      </w:r>
      <w:r>
        <w:rPr>
          <w:spacing w:val="-3"/>
        </w:rPr>
        <w:t>%时，其超过部分据实调整。</w:t>
      </w:r>
    </w:p>
    <w:p>
      <w:pPr>
        <w:pStyle w:val="13"/>
        <w:spacing w:before="27"/>
        <w:ind w:left="533"/>
      </w:pPr>
      <w:r>
        <w:t>③承包人在已标价工程量清单或预算书中载明材料单价等于基准价格的：除专用合同条款另有约定</w:t>
      </w:r>
    </w:p>
    <w:p>
      <w:pPr>
        <w:spacing w:after="0"/>
        <w:sectPr>
          <w:pgSz w:w="11910" w:h="16840"/>
          <w:pgMar w:top="1460" w:right="1000" w:bottom="1180" w:left="1020" w:header="0" w:footer="920" w:gutter="0"/>
        </w:sectPr>
      </w:pPr>
    </w:p>
    <w:p>
      <w:pPr>
        <w:pStyle w:val="13"/>
        <w:spacing w:before="14"/>
      </w:pPr>
      <w:r>
        <w:t>外，合同履行期间材料单价涨跌幅以基准价格为基础超过±5%时，其超过部分据实调整。</w:t>
      </w:r>
    </w:p>
    <w:p>
      <w:pPr>
        <w:pStyle w:val="13"/>
        <w:spacing w:before="124" w:line="350" w:lineRule="auto"/>
        <w:ind w:right="126" w:firstLine="420"/>
        <w:jc w:val="both"/>
      </w:pPr>
      <w:r>
        <w:rPr>
          <w:spacing w:val="-5"/>
        </w:rPr>
        <w:t>④承包人应在采购材料前将采购数量和新的材料单价报发包人核对，发包人确认用于工程时，发包人</w:t>
      </w:r>
      <w:r>
        <w:rPr>
          <w:spacing w:val="-6"/>
        </w:rPr>
        <w:t xml:space="preserve">应确认采购材料的数量和单价。发包人在收到承包人报送的确认资料后 </w:t>
      </w:r>
      <w:r>
        <w:t>5</w:t>
      </w:r>
      <w:r>
        <w:rPr>
          <w:spacing w:val="-8"/>
        </w:rPr>
        <w:t xml:space="preserve"> 天内不予答复的视为认可，作为</w:t>
      </w:r>
      <w:r>
        <w:rPr>
          <w:spacing w:val="-6"/>
        </w:rPr>
        <w:t>调整合同价格的依据。未经发包人事先核对，承包人自行采购材料的，发包人有权不予调整合同价格。发</w:t>
      </w:r>
      <w:r>
        <w:rPr>
          <w:spacing w:val="-4"/>
        </w:rPr>
        <w:t>包人同意的，可以调整合同价格。</w:t>
      </w:r>
    </w:p>
    <w:p>
      <w:pPr>
        <w:pStyle w:val="13"/>
        <w:spacing w:before="29" w:line="350" w:lineRule="auto"/>
        <w:ind w:right="126" w:firstLine="420"/>
        <w:jc w:val="both"/>
      </w:pPr>
      <w:r>
        <w:rPr>
          <w:spacing w:val="-5"/>
        </w:rPr>
        <w:t>前述基准价格是指由发包人在招标文件或专用合同条款中给定的材料、工程设备的价格，该价格原则</w:t>
      </w:r>
      <w:r>
        <w:rPr>
          <w:spacing w:val="-4"/>
        </w:rPr>
        <w:t>上应当按照省级或行业建设主管部门或其授权的工程造价管理机构发布的信息价编制。</w:t>
      </w:r>
    </w:p>
    <w:p>
      <w:pPr>
        <w:pStyle w:val="13"/>
        <w:spacing w:before="26" w:line="350" w:lineRule="auto"/>
        <w:ind w:right="136" w:firstLine="420"/>
        <w:jc w:val="both"/>
      </w:pPr>
      <w:r>
        <w:t>（3）施工机械台班单价或施工机械使用费发生变化超过省级或行业建设主管部门或其授权的工程造价管理机构规定的范围时，按规定调整合同价格。</w:t>
      </w:r>
    </w:p>
    <w:p>
      <w:pPr>
        <w:pStyle w:val="13"/>
        <w:spacing w:before="28"/>
        <w:ind w:left="533"/>
      </w:pPr>
      <w:r>
        <w:t>第 3 种方式：专用合同条款约定的其他方式。</w:t>
      </w:r>
    </w:p>
    <w:p>
      <w:pPr>
        <w:pStyle w:val="13"/>
        <w:spacing w:before="7"/>
        <w:ind w:left="0"/>
        <w:rPr>
          <w:sz w:val="18"/>
        </w:rPr>
      </w:pPr>
    </w:p>
    <w:p>
      <w:pPr>
        <w:pStyle w:val="32"/>
        <w:numPr>
          <w:ilvl w:val="1"/>
          <w:numId w:val="9"/>
        </w:numPr>
        <w:tabs>
          <w:tab w:val="left" w:pos="1011"/>
        </w:tabs>
        <w:spacing w:before="1" w:after="0" w:line="240" w:lineRule="auto"/>
        <w:ind w:left="1010" w:right="0" w:hanging="475"/>
        <w:jc w:val="left"/>
        <w:rPr>
          <w:b/>
          <w:sz w:val="21"/>
        </w:rPr>
      </w:pPr>
      <w:r>
        <w:rPr>
          <w:b/>
          <w:sz w:val="21"/>
        </w:rPr>
        <w:t>法律变化引起的调整</w:t>
      </w:r>
    </w:p>
    <w:p>
      <w:pPr>
        <w:pStyle w:val="13"/>
        <w:spacing w:before="10"/>
        <w:ind w:left="0"/>
        <w:rPr>
          <w:b/>
          <w:sz w:val="18"/>
        </w:rPr>
      </w:pPr>
    </w:p>
    <w:p>
      <w:pPr>
        <w:pStyle w:val="13"/>
        <w:spacing w:line="348" w:lineRule="auto"/>
        <w:ind w:right="126" w:firstLine="420"/>
        <w:jc w:val="both"/>
      </w:pPr>
      <w:r>
        <w:rPr>
          <w:spacing w:val="-3"/>
        </w:rPr>
        <w:t xml:space="preserve">基准日期后，法律变化导致承包人在合同履行过程中所需要的费用发生除第 </w:t>
      </w:r>
      <w:r>
        <w:t>11.1</w:t>
      </w:r>
      <w:r>
        <w:rPr>
          <w:spacing w:val="-2"/>
        </w:rPr>
        <w:t xml:space="preserve"> 款〔市场价格波动</w:t>
      </w:r>
      <w:r>
        <w:rPr>
          <w:spacing w:val="-7"/>
        </w:rPr>
        <w:t>引起的调整〕约定以外的增加时，由发包人承担由此增加的费用；减少时，应从合同价格中予以扣减。基</w:t>
      </w:r>
      <w:r>
        <w:rPr>
          <w:spacing w:val="-3"/>
        </w:rPr>
        <w:t>准日期后，因法律变化造成工期延误时，工期应予以顺延。</w:t>
      </w:r>
    </w:p>
    <w:p>
      <w:pPr>
        <w:pStyle w:val="13"/>
        <w:spacing w:before="31" w:line="350" w:lineRule="auto"/>
        <w:ind w:right="126" w:firstLine="420"/>
        <w:jc w:val="both"/>
      </w:pPr>
      <w:r>
        <w:rPr>
          <w:spacing w:val="-12"/>
        </w:rPr>
        <w:t xml:space="preserve">因法律变化引起的合同价格和工期调整，合同当事人无法达成一致的，由总监理工程师按第 </w:t>
      </w:r>
      <w:r>
        <w:t>4.4</w:t>
      </w:r>
      <w:r>
        <w:rPr>
          <w:spacing w:val="-29"/>
        </w:rPr>
        <w:t xml:space="preserve"> 款〔商</w:t>
      </w:r>
      <w:r>
        <w:rPr>
          <w:spacing w:val="-9"/>
        </w:rPr>
        <w:t>定或确定〕的约定处理。</w:t>
      </w:r>
    </w:p>
    <w:p>
      <w:pPr>
        <w:pStyle w:val="13"/>
        <w:spacing w:before="27" w:line="350" w:lineRule="auto"/>
        <w:ind w:right="128" w:firstLine="420"/>
        <w:jc w:val="both"/>
      </w:pPr>
      <w:r>
        <w:rPr>
          <w:spacing w:val="-6"/>
        </w:rPr>
        <w:t>因承包人原因造成工期延误，在工期延误期间出现法律变化的，由此增加的费用和</w:t>
      </w:r>
      <w:r>
        <w:rPr>
          <w:spacing w:val="-3"/>
        </w:rPr>
        <w:t>（或</w:t>
      </w:r>
      <w:r>
        <w:rPr>
          <w:spacing w:val="-5"/>
        </w:rPr>
        <w:t>）</w:t>
      </w:r>
      <w:r>
        <w:rPr>
          <w:spacing w:val="-3"/>
        </w:rPr>
        <w:t>延误的工期由承包人承担。</w:t>
      </w:r>
    </w:p>
    <w:p>
      <w:pPr>
        <w:pStyle w:val="32"/>
        <w:numPr>
          <w:ilvl w:val="0"/>
          <w:numId w:val="9"/>
        </w:numPr>
        <w:tabs>
          <w:tab w:val="left" w:pos="536"/>
        </w:tabs>
        <w:spacing w:before="149" w:after="0" w:line="240" w:lineRule="auto"/>
        <w:ind w:left="535" w:right="0" w:hanging="423"/>
        <w:jc w:val="left"/>
        <w:rPr>
          <w:sz w:val="21"/>
        </w:rPr>
      </w:pPr>
      <w:r>
        <w:rPr>
          <w:spacing w:val="-3"/>
          <w:sz w:val="21"/>
        </w:rPr>
        <w:t>合同价格、计量与支付</w:t>
      </w:r>
    </w:p>
    <w:p>
      <w:pPr>
        <w:pStyle w:val="13"/>
        <w:spacing w:before="8"/>
        <w:ind w:left="0"/>
        <w:rPr>
          <w:sz w:val="18"/>
        </w:rPr>
      </w:pPr>
    </w:p>
    <w:p>
      <w:pPr>
        <w:pStyle w:val="32"/>
        <w:numPr>
          <w:ilvl w:val="1"/>
          <w:numId w:val="9"/>
        </w:numPr>
        <w:tabs>
          <w:tab w:val="left" w:pos="1064"/>
        </w:tabs>
        <w:spacing w:before="0" w:after="0" w:line="240" w:lineRule="auto"/>
        <w:ind w:left="1063" w:right="0" w:hanging="528"/>
        <w:jc w:val="left"/>
        <w:rPr>
          <w:b/>
          <w:sz w:val="21"/>
        </w:rPr>
      </w:pPr>
      <w:r>
        <w:rPr>
          <w:b/>
          <w:sz w:val="21"/>
        </w:rPr>
        <w:t>合同价格形式</w:t>
      </w:r>
    </w:p>
    <w:p>
      <w:pPr>
        <w:pStyle w:val="13"/>
        <w:spacing w:before="10"/>
        <w:ind w:left="0"/>
        <w:rPr>
          <w:b/>
          <w:sz w:val="18"/>
        </w:rPr>
      </w:pPr>
    </w:p>
    <w:p>
      <w:pPr>
        <w:pStyle w:val="13"/>
        <w:ind w:left="533"/>
      </w:pPr>
      <w:r>
        <w:t>发包人和承包人应在合同协议书中选择下列一种合同价格形式：</w:t>
      </w:r>
    </w:p>
    <w:p>
      <w:pPr>
        <w:pStyle w:val="13"/>
        <w:spacing w:before="125"/>
        <w:ind w:left="533"/>
      </w:pPr>
      <w:r>
        <w:t>1.单价合同</w:t>
      </w:r>
    </w:p>
    <w:p>
      <w:pPr>
        <w:pStyle w:val="13"/>
        <w:spacing w:before="123" w:line="350" w:lineRule="auto"/>
        <w:ind w:right="126" w:firstLine="420"/>
        <w:jc w:val="both"/>
      </w:pPr>
      <w:r>
        <w:rPr>
          <w:spacing w:val="-4"/>
        </w:rPr>
        <w:t>单价合同是指合同当事人约定以工程量清单及其综合单价进行合同价格计算、调整和确认的建设工程</w:t>
      </w:r>
      <w:r>
        <w:rPr>
          <w:spacing w:val="-6"/>
        </w:rPr>
        <w:t>施工合同，在约定的范围内合同单价不作调整。合同当事人应在专用合同条款中约定综合单价包含的风险范围和风险费用的计算方法，并约定风险范围以外的合同价格的调整方法，其中因市场价格波动引起的调</w:t>
      </w:r>
      <w:r>
        <w:rPr>
          <w:spacing w:val="-1"/>
        </w:rPr>
        <w:t>整按第11.1</w:t>
      </w:r>
      <w:r>
        <w:rPr>
          <w:spacing w:val="-3"/>
        </w:rPr>
        <w:t>款〔市场价格波动引起的调整〕约定执行。</w:t>
      </w:r>
    </w:p>
    <w:p>
      <w:pPr>
        <w:pStyle w:val="13"/>
        <w:spacing w:before="29"/>
        <w:ind w:left="533"/>
      </w:pPr>
      <w:r>
        <w:t>2.总价合同</w:t>
      </w:r>
    </w:p>
    <w:p>
      <w:pPr>
        <w:pStyle w:val="13"/>
        <w:spacing w:before="125" w:line="348" w:lineRule="auto"/>
        <w:ind w:right="104" w:firstLine="420"/>
        <w:jc w:val="both"/>
      </w:pPr>
      <w:r>
        <w:rPr>
          <w:spacing w:val="-3"/>
        </w:rPr>
        <w:t>总价合同是指合同当事人约定以施工图、已标价工程量清单或预算书及有关条件进行合同价格计算、</w:t>
      </w:r>
      <w:r>
        <w:rPr>
          <w:spacing w:val="-5"/>
        </w:rPr>
        <w:t>调整和确认的建设工程施工合同，在约定的范围内合同总价不作调整。合同当事人应在专用合同条款中约</w:t>
      </w:r>
      <w:r>
        <w:rPr>
          <w:spacing w:val="-6"/>
        </w:rPr>
        <w:t>定总价包含的风险范围和风险费用的计算方法，并约定风险范围以外的合同价格的调整方法，其中因市场</w:t>
      </w:r>
      <w:r>
        <w:rPr>
          <w:spacing w:val="-4"/>
        </w:rPr>
        <w:t>价格波动引起的调整按第</w:t>
      </w:r>
      <w:r>
        <w:t>11.1</w:t>
      </w:r>
      <w:r>
        <w:rPr>
          <w:spacing w:val="-5"/>
        </w:rPr>
        <w:t>款〔市场价格波动引起的调整〕、因法律变化引起的调整按第</w:t>
      </w:r>
      <w:r>
        <w:t>11.2</w:t>
      </w:r>
      <w:r>
        <w:rPr>
          <w:spacing w:val="-5"/>
        </w:rPr>
        <w:t>款〔法律</w:t>
      </w:r>
      <w:r>
        <w:rPr>
          <w:spacing w:val="-3"/>
        </w:rPr>
        <w:t>变化引起的调整〕约定执行。</w:t>
      </w:r>
    </w:p>
    <w:p>
      <w:pPr>
        <w:pStyle w:val="13"/>
        <w:spacing w:before="31"/>
        <w:ind w:left="533"/>
      </w:pPr>
      <w:r>
        <w:t>3.其它价格形式</w:t>
      </w:r>
    </w:p>
    <w:p>
      <w:pPr>
        <w:pStyle w:val="13"/>
        <w:spacing w:before="126"/>
        <w:ind w:left="533"/>
      </w:pPr>
      <w:r>
        <w:t>合同当事人可在专用合同条款中约定其他合同价格形式。</w:t>
      </w:r>
    </w:p>
    <w:p>
      <w:pPr>
        <w:spacing w:after="0"/>
        <w:sectPr>
          <w:pgSz w:w="11910" w:h="16840"/>
          <w:pgMar w:top="1460" w:right="1000" w:bottom="1180" w:left="1020" w:header="0" w:footer="920" w:gutter="0"/>
        </w:sectPr>
      </w:pPr>
    </w:p>
    <w:p>
      <w:pPr>
        <w:pStyle w:val="32"/>
        <w:numPr>
          <w:ilvl w:val="1"/>
          <w:numId w:val="9"/>
        </w:numPr>
        <w:tabs>
          <w:tab w:val="left" w:pos="1011"/>
        </w:tabs>
        <w:spacing w:before="14" w:after="0" w:line="240" w:lineRule="auto"/>
        <w:ind w:left="1010" w:right="0" w:hanging="475"/>
        <w:jc w:val="left"/>
        <w:rPr>
          <w:b/>
          <w:sz w:val="21"/>
        </w:rPr>
      </w:pPr>
      <w:r>
        <w:rPr>
          <w:b/>
          <w:sz w:val="21"/>
        </w:rPr>
        <w:t>预付款</w:t>
      </w:r>
    </w:p>
    <w:p>
      <w:pPr>
        <w:pStyle w:val="13"/>
        <w:spacing w:before="8"/>
        <w:ind w:left="0"/>
        <w:rPr>
          <w:b/>
          <w:sz w:val="18"/>
        </w:rPr>
      </w:pPr>
    </w:p>
    <w:p>
      <w:pPr>
        <w:pStyle w:val="32"/>
        <w:numPr>
          <w:ilvl w:val="2"/>
          <w:numId w:val="9"/>
        </w:numPr>
        <w:tabs>
          <w:tab w:val="left" w:pos="1218"/>
        </w:tabs>
        <w:spacing w:before="0" w:after="0" w:line="240" w:lineRule="auto"/>
        <w:ind w:left="1217" w:right="0" w:hanging="684"/>
        <w:jc w:val="left"/>
        <w:rPr>
          <w:sz w:val="21"/>
        </w:rPr>
      </w:pPr>
      <w:r>
        <w:rPr>
          <w:spacing w:val="-3"/>
          <w:sz w:val="21"/>
        </w:rPr>
        <w:t>预付款的支付</w:t>
      </w:r>
    </w:p>
    <w:p>
      <w:pPr>
        <w:pStyle w:val="13"/>
        <w:spacing w:before="125" w:line="350" w:lineRule="auto"/>
        <w:ind w:right="106" w:firstLine="420"/>
      </w:pPr>
      <w:r>
        <w:rPr>
          <w:spacing w:val="-5"/>
        </w:rPr>
        <w:t xml:space="preserve">预付款的支付按照专用合同条款约定执行，但至迟应在开工通知载明的开工日期 </w:t>
      </w:r>
      <w:r>
        <w:t>7</w:t>
      </w:r>
      <w:r>
        <w:rPr>
          <w:spacing w:val="-8"/>
        </w:rPr>
        <w:t xml:space="preserve"> 天前支付。预付款</w:t>
      </w:r>
      <w:r>
        <w:rPr>
          <w:spacing w:val="-5"/>
        </w:rPr>
        <w:t>应当用于材料、工程设备、施工设备的采购及修建临时工程、组织施工队伍进场等。</w:t>
      </w:r>
    </w:p>
    <w:p>
      <w:pPr>
        <w:pStyle w:val="13"/>
        <w:spacing w:before="26" w:line="350" w:lineRule="auto"/>
        <w:ind w:firstLine="420"/>
      </w:pPr>
      <w:r>
        <w:rPr>
          <w:spacing w:val="-6"/>
        </w:rPr>
        <w:t>除专用合同条款另有约定外，预付款在进度付款中同比例扣回。在颁发工程接收证书前，提前解除合</w:t>
      </w:r>
      <w:r>
        <w:rPr>
          <w:spacing w:val="-4"/>
        </w:rPr>
        <w:t>同的，尚未扣完的预付款应与合同价款一并结算。</w:t>
      </w:r>
    </w:p>
    <w:p>
      <w:pPr>
        <w:pStyle w:val="13"/>
        <w:spacing w:before="29"/>
        <w:ind w:left="533"/>
      </w:pPr>
      <w:r>
        <w:rPr>
          <w:spacing w:val="-5"/>
        </w:rPr>
        <w:t xml:space="preserve">发包人逾期支付预付款超过 </w:t>
      </w:r>
      <w:r>
        <w:t>7</w:t>
      </w:r>
      <w:r>
        <w:rPr>
          <w:spacing w:val="-9"/>
        </w:rPr>
        <w:t xml:space="preserve"> 天的，承包人有权向发包人发出要求预付的催告通知，发包人收到通知</w:t>
      </w:r>
    </w:p>
    <w:p>
      <w:pPr>
        <w:pStyle w:val="13"/>
        <w:spacing w:before="123"/>
      </w:pPr>
      <w:r>
        <w:t>后 7 天内仍未支付的，承包人有权暂停施工，并按第 16.1.1 项〔发包人违约的情形〕执行。</w:t>
      </w:r>
    </w:p>
    <w:p>
      <w:pPr>
        <w:pStyle w:val="32"/>
        <w:numPr>
          <w:ilvl w:val="2"/>
          <w:numId w:val="9"/>
        </w:numPr>
        <w:tabs>
          <w:tab w:val="left" w:pos="1270"/>
        </w:tabs>
        <w:spacing w:before="125" w:after="0" w:line="240" w:lineRule="auto"/>
        <w:ind w:left="1270" w:right="0" w:hanging="737"/>
        <w:jc w:val="left"/>
        <w:rPr>
          <w:sz w:val="21"/>
        </w:rPr>
      </w:pPr>
      <w:r>
        <w:rPr>
          <w:spacing w:val="-3"/>
          <w:sz w:val="21"/>
        </w:rPr>
        <w:t>预付款担保</w:t>
      </w:r>
    </w:p>
    <w:p>
      <w:pPr>
        <w:pStyle w:val="13"/>
        <w:spacing w:before="125" w:line="350" w:lineRule="auto"/>
        <w:ind w:right="106" w:firstLine="420"/>
        <w:jc w:val="both"/>
      </w:pPr>
      <w:r>
        <w:rPr>
          <w:spacing w:val="-5"/>
        </w:rPr>
        <w:t xml:space="preserve">发包人要求承包人提供预付款担保的，承包人应在发包人支付预付款 </w:t>
      </w:r>
      <w:r>
        <w:t>7</w:t>
      </w:r>
      <w:r>
        <w:rPr>
          <w:spacing w:val="-8"/>
        </w:rPr>
        <w:t xml:space="preserve"> 天前提供预付款担保，专用合同条款另有约定除外。预付款担保可采用银行保函、担保公司担保等形式，具体由合同当事人在专用合同</w:t>
      </w:r>
      <w:r>
        <w:rPr>
          <w:spacing w:val="-5"/>
        </w:rPr>
        <w:t>条款中约定。在预付款完全扣回之前，承包人应保证预付款担保持续有效。</w:t>
      </w:r>
    </w:p>
    <w:p>
      <w:pPr>
        <w:pStyle w:val="13"/>
        <w:spacing w:before="28" w:line="348" w:lineRule="auto"/>
        <w:ind w:right="91" w:firstLine="420"/>
      </w:pPr>
      <w:r>
        <w:rPr>
          <w:spacing w:val="-5"/>
        </w:rPr>
        <w:t>发包人在工程款中逐期扣回预付款后，预付款担保额度应相应减少，但剩余的预付款担保金额不得低</w:t>
      </w:r>
      <w:r>
        <w:rPr>
          <w:spacing w:val="-4"/>
        </w:rPr>
        <w:t>于未被扣回的预付款金额。</w:t>
      </w:r>
    </w:p>
    <w:p>
      <w:pPr>
        <w:pStyle w:val="32"/>
        <w:numPr>
          <w:ilvl w:val="1"/>
          <w:numId w:val="9"/>
        </w:numPr>
        <w:tabs>
          <w:tab w:val="left" w:pos="1011"/>
        </w:tabs>
        <w:spacing w:before="151" w:after="0" w:line="240" w:lineRule="auto"/>
        <w:ind w:left="1010" w:right="0" w:hanging="475"/>
        <w:jc w:val="left"/>
        <w:rPr>
          <w:b/>
          <w:sz w:val="21"/>
        </w:rPr>
      </w:pPr>
      <w:r>
        <w:rPr>
          <w:b/>
          <w:sz w:val="21"/>
        </w:rPr>
        <w:t>计量</w:t>
      </w:r>
    </w:p>
    <w:p>
      <w:pPr>
        <w:pStyle w:val="13"/>
        <w:spacing w:before="10"/>
        <w:ind w:left="0"/>
        <w:rPr>
          <w:b/>
          <w:sz w:val="18"/>
        </w:rPr>
      </w:pPr>
    </w:p>
    <w:p>
      <w:pPr>
        <w:pStyle w:val="32"/>
        <w:numPr>
          <w:ilvl w:val="2"/>
          <w:numId w:val="9"/>
        </w:numPr>
        <w:tabs>
          <w:tab w:val="left" w:pos="1270"/>
        </w:tabs>
        <w:spacing w:before="0" w:after="0" w:line="240" w:lineRule="auto"/>
        <w:ind w:left="112" w:right="0" w:firstLine="421"/>
        <w:jc w:val="left"/>
        <w:rPr>
          <w:sz w:val="21"/>
        </w:rPr>
      </w:pPr>
      <w:r>
        <w:rPr>
          <w:spacing w:val="-3"/>
          <w:sz w:val="21"/>
        </w:rPr>
        <w:t>计量原则</w:t>
      </w:r>
    </w:p>
    <w:p>
      <w:pPr>
        <w:pStyle w:val="13"/>
        <w:spacing w:before="123" w:line="350" w:lineRule="auto"/>
        <w:ind w:right="91" w:firstLine="420"/>
      </w:pPr>
      <w:r>
        <w:rPr>
          <w:spacing w:val="-5"/>
        </w:rPr>
        <w:t>工程量计量按照合同约定的工程量计算规则、图纸及变更指示等进行计量。工程量计算规则应以相关</w:t>
      </w:r>
      <w:r>
        <w:rPr>
          <w:spacing w:val="-4"/>
        </w:rPr>
        <w:t>的国家标准、行业标准等为依据，由合同当事人在专用合同条款中约定。</w:t>
      </w:r>
    </w:p>
    <w:p>
      <w:pPr>
        <w:pStyle w:val="32"/>
        <w:numPr>
          <w:ilvl w:val="2"/>
          <w:numId w:val="9"/>
        </w:numPr>
        <w:tabs>
          <w:tab w:val="left" w:pos="1270"/>
        </w:tabs>
        <w:spacing w:before="29" w:after="0" w:line="240" w:lineRule="auto"/>
        <w:ind w:left="112" w:right="0" w:firstLine="421"/>
        <w:jc w:val="left"/>
        <w:rPr>
          <w:sz w:val="21"/>
        </w:rPr>
      </w:pPr>
      <w:r>
        <w:rPr>
          <w:spacing w:val="-3"/>
          <w:sz w:val="21"/>
        </w:rPr>
        <w:t>计量周期</w:t>
      </w:r>
    </w:p>
    <w:p>
      <w:pPr>
        <w:pStyle w:val="13"/>
        <w:spacing w:before="123"/>
        <w:ind w:left="533"/>
      </w:pPr>
      <w:r>
        <w:t>除专用合同条款另有约定外，工程量的计量按月进行。</w:t>
      </w:r>
    </w:p>
    <w:p>
      <w:pPr>
        <w:pStyle w:val="32"/>
        <w:numPr>
          <w:ilvl w:val="2"/>
          <w:numId w:val="9"/>
        </w:numPr>
        <w:tabs>
          <w:tab w:val="left" w:pos="1270"/>
        </w:tabs>
        <w:spacing w:before="125" w:after="0" w:line="240" w:lineRule="auto"/>
        <w:ind w:left="112" w:right="0" w:firstLine="421"/>
        <w:jc w:val="left"/>
        <w:rPr>
          <w:sz w:val="21"/>
        </w:rPr>
      </w:pPr>
      <w:r>
        <w:rPr>
          <w:spacing w:val="-3"/>
          <w:sz w:val="21"/>
        </w:rPr>
        <w:t>单价合同的计量</w:t>
      </w:r>
    </w:p>
    <w:p>
      <w:pPr>
        <w:pStyle w:val="13"/>
        <w:spacing w:before="125"/>
        <w:ind w:left="533"/>
      </w:pPr>
      <w:r>
        <w:t>除专用合同条款另有约定外，单价合同的计量按照本项约定执行：</w:t>
      </w:r>
    </w:p>
    <w:p>
      <w:pPr>
        <w:pStyle w:val="13"/>
        <w:spacing w:before="123" w:line="350" w:lineRule="auto"/>
        <w:ind w:right="106" w:firstLine="420"/>
      </w:pPr>
      <w:r>
        <w:rPr>
          <w:spacing w:val="-5"/>
        </w:rPr>
        <w:t>（1）</w:t>
      </w:r>
      <w:r>
        <w:rPr>
          <w:spacing w:val="-9"/>
        </w:rPr>
        <w:t xml:space="preserve">承包人应于每月 </w:t>
      </w:r>
      <w:r>
        <w:t>25</w:t>
      </w:r>
      <w:r>
        <w:rPr>
          <w:spacing w:val="-13"/>
        </w:rPr>
        <w:t xml:space="preserve"> 日向监理人报送上月 </w:t>
      </w:r>
      <w:r>
        <w:t>20</w:t>
      </w:r>
      <w:r>
        <w:rPr>
          <w:spacing w:val="-18"/>
        </w:rPr>
        <w:t xml:space="preserve"> 日至当月 </w:t>
      </w:r>
      <w:r>
        <w:t>19</w:t>
      </w:r>
      <w:r>
        <w:rPr>
          <w:spacing w:val="-9"/>
        </w:rPr>
        <w:t xml:space="preserve"> 日已完成的工程量报告，并附具进度付</w:t>
      </w:r>
      <w:r>
        <w:rPr>
          <w:spacing w:val="-5"/>
        </w:rPr>
        <w:t>款申请单、已完成工程量报表和有关资料。</w:t>
      </w:r>
    </w:p>
    <w:p>
      <w:pPr>
        <w:pStyle w:val="13"/>
        <w:spacing w:before="29" w:line="350" w:lineRule="auto"/>
        <w:ind w:right="106" w:firstLine="420"/>
      </w:pPr>
      <w:r>
        <w:t>（2）</w:t>
      </w:r>
      <w:r>
        <w:rPr>
          <w:spacing w:val="-5"/>
        </w:rPr>
        <w:t xml:space="preserve">监理人应在收到承包人提交的工程量报告后 </w:t>
      </w:r>
      <w:r>
        <w:t>7</w:t>
      </w:r>
      <w:r>
        <w:rPr>
          <w:spacing w:val="-8"/>
        </w:rPr>
        <w:t xml:space="preserve"> 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w:t>
      </w:r>
      <w:r>
        <w:rPr>
          <w:spacing w:val="-5"/>
        </w:rPr>
        <w:t>人要求参加复核或抽样复测的，监理人复核或修正的工程量视为承包人实际完成的工程量。</w:t>
      </w:r>
    </w:p>
    <w:p>
      <w:pPr>
        <w:pStyle w:val="13"/>
        <w:spacing w:before="27" w:line="350" w:lineRule="auto"/>
        <w:ind w:right="183" w:firstLine="420"/>
      </w:pPr>
      <w:r>
        <w:t>（3）</w:t>
      </w:r>
      <w:r>
        <w:rPr>
          <w:spacing w:val="-5"/>
        </w:rPr>
        <w:t xml:space="preserve">监理人未在收到承包人提交的工程量报表后的 </w:t>
      </w:r>
      <w:r>
        <w:t>7</w:t>
      </w:r>
      <w:r>
        <w:rPr>
          <w:spacing w:val="-7"/>
        </w:rPr>
        <w:t xml:space="preserve"> 天内完成审核的，承包人报送的工程量报告中</w:t>
      </w:r>
      <w:r>
        <w:rPr>
          <w:spacing w:val="-5"/>
        </w:rPr>
        <w:t>的工程量视为承包人实际完成的工程量，据此计算工程价款。</w:t>
      </w:r>
    </w:p>
    <w:p>
      <w:pPr>
        <w:pStyle w:val="32"/>
        <w:numPr>
          <w:ilvl w:val="2"/>
          <w:numId w:val="9"/>
        </w:numPr>
        <w:tabs>
          <w:tab w:val="left" w:pos="1270"/>
        </w:tabs>
        <w:spacing w:before="29" w:after="0" w:line="240" w:lineRule="auto"/>
        <w:ind w:left="112" w:right="0" w:firstLine="421"/>
        <w:jc w:val="left"/>
        <w:rPr>
          <w:sz w:val="21"/>
        </w:rPr>
      </w:pPr>
      <w:r>
        <w:rPr>
          <w:spacing w:val="-3"/>
          <w:sz w:val="21"/>
        </w:rPr>
        <w:t>总价合同的计量</w:t>
      </w:r>
    </w:p>
    <w:p>
      <w:pPr>
        <w:pStyle w:val="13"/>
        <w:spacing w:before="123"/>
        <w:ind w:left="533"/>
      </w:pPr>
      <w:r>
        <w:t>除专用合同条款另有约定外，按月计量支付的总价合同，按照本项约定执行：</w:t>
      </w:r>
    </w:p>
    <w:p>
      <w:pPr>
        <w:pStyle w:val="13"/>
        <w:spacing w:before="125" w:line="350" w:lineRule="auto"/>
        <w:ind w:right="106" w:firstLine="420"/>
      </w:pPr>
      <w:r>
        <w:rPr>
          <w:spacing w:val="-5"/>
        </w:rPr>
        <w:t>（1）</w:t>
      </w:r>
      <w:r>
        <w:rPr>
          <w:spacing w:val="-9"/>
        </w:rPr>
        <w:t xml:space="preserve">承包人应于每月 </w:t>
      </w:r>
      <w:r>
        <w:t>25</w:t>
      </w:r>
      <w:r>
        <w:rPr>
          <w:spacing w:val="-13"/>
        </w:rPr>
        <w:t xml:space="preserve"> 日向监理人报送上月 </w:t>
      </w:r>
      <w:r>
        <w:t>20</w:t>
      </w:r>
      <w:r>
        <w:rPr>
          <w:spacing w:val="-18"/>
        </w:rPr>
        <w:t xml:space="preserve"> 日至当月 </w:t>
      </w:r>
      <w:r>
        <w:t>19</w:t>
      </w:r>
      <w:r>
        <w:rPr>
          <w:spacing w:val="-9"/>
        </w:rPr>
        <w:t xml:space="preserve"> 日已完成的工程量报告，并附具进度付</w:t>
      </w:r>
      <w:r>
        <w:rPr>
          <w:spacing w:val="-5"/>
        </w:rPr>
        <w:t>款申请单、已完成工程量报表和有关资料。</w:t>
      </w:r>
    </w:p>
    <w:p>
      <w:pPr>
        <w:spacing w:after="0" w:line="350" w:lineRule="auto"/>
        <w:sectPr>
          <w:pgSz w:w="11910" w:h="16840"/>
          <w:pgMar w:top="1460" w:right="1020" w:bottom="1180" w:left="1020" w:header="0" w:footer="920" w:gutter="0"/>
        </w:sectPr>
      </w:pPr>
    </w:p>
    <w:p>
      <w:pPr>
        <w:pStyle w:val="13"/>
        <w:spacing w:before="14" w:line="350" w:lineRule="auto"/>
        <w:ind w:right="191" w:firstLine="420"/>
      </w:pPr>
      <w:r>
        <w:t>（2）</w:t>
      </w:r>
      <w:r>
        <w:rPr>
          <w:spacing w:val="-5"/>
        </w:rPr>
        <w:t xml:space="preserve">监理人应在收到承包人提交的工程量报告后 </w:t>
      </w:r>
      <w:r>
        <w:t>7</w:t>
      </w:r>
      <w:r>
        <w:rPr>
          <w:spacing w:val="-8"/>
        </w:rPr>
        <w:t xml:space="preserve"> 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w:t>
      </w:r>
      <w:r>
        <w:rPr>
          <w:spacing w:val="-5"/>
        </w:rPr>
        <w:t>要求参加复核或抽样复测的，监理人审核或修正的工程量视为承包人实际完成的工程量。</w:t>
      </w:r>
    </w:p>
    <w:p>
      <w:pPr>
        <w:pStyle w:val="13"/>
        <w:spacing w:before="27" w:line="350" w:lineRule="auto"/>
        <w:ind w:right="283" w:firstLine="420"/>
      </w:pPr>
      <w:r>
        <w:t>（3）</w:t>
      </w:r>
      <w:r>
        <w:rPr>
          <w:spacing w:val="-5"/>
        </w:rPr>
        <w:t xml:space="preserve">监理人未在收到承包人提交的工程量报表后的 </w:t>
      </w:r>
      <w:r>
        <w:t>7</w:t>
      </w:r>
      <w:r>
        <w:rPr>
          <w:spacing w:val="-7"/>
        </w:rPr>
        <w:t xml:space="preserve"> 天内完成复核的，承包人提交的工程量报告中</w:t>
      </w:r>
      <w:r>
        <w:rPr>
          <w:spacing w:val="-5"/>
        </w:rPr>
        <w:t>的工程量视为承包人实际完成的工程量。</w:t>
      </w:r>
    </w:p>
    <w:p>
      <w:pPr>
        <w:pStyle w:val="32"/>
        <w:numPr>
          <w:ilvl w:val="2"/>
          <w:numId w:val="9"/>
        </w:numPr>
        <w:tabs>
          <w:tab w:val="left" w:pos="1270"/>
        </w:tabs>
        <w:spacing w:before="29" w:after="0" w:line="348" w:lineRule="auto"/>
        <w:ind w:left="112" w:right="208" w:firstLine="421"/>
        <w:jc w:val="left"/>
        <w:rPr>
          <w:sz w:val="21"/>
        </w:rPr>
      </w:pPr>
      <w:r>
        <w:rPr>
          <w:spacing w:val="-6"/>
          <w:sz w:val="21"/>
        </w:rPr>
        <w:t xml:space="preserve">总价合同采用支付分解表计量支付的，可以按照第 </w:t>
      </w:r>
      <w:r>
        <w:rPr>
          <w:sz w:val="21"/>
        </w:rPr>
        <w:t>12.3.4</w:t>
      </w:r>
      <w:r>
        <w:rPr>
          <w:spacing w:val="-8"/>
          <w:sz w:val="21"/>
        </w:rPr>
        <w:t xml:space="preserve"> 项〔总价合同的计量〕约定进行计</w:t>
      </w:r>
      <w:r>
        <w:rPr>
          <w:spacing w:val="-5"/>
          <w:sz w:val="21"/>
        </w:rPr>
        <w:t>量，但合同价款按照支付分解表进行支付。</w:t>
      </w:r>
    </w:p>
    <w:p>
      <w:pPr>
        <w:pStyle w:val="32"/>
        <w:numPr>
          <w:ilvl w:val="2"/>
          <w:numId w:val="9"/>
        </w:numPr>
        <w:tabs>
          <w:tab w:val="left" w:pos="1270"/>
        </w:tabs>
        <w:spacing w:before="31" w:after="0" w:line="240" w:lineRule="auto"/>
        <w:ind w:left="112" w:right="0" w:firstLine="421"/>
        <w:jc w:val="left"/>
        <w:rPr>
          <w:sz w:val="21"/>
        </w:rPr>
      </w:pPr>
      <w:r>
        <w:rPr>
          <w:spacing w:val="-3"/>
          <w:sz w:val="21"/>
        </w:rPr>
        <w:t>其他价格形式合同的计量</w:t>
      </w:r>
    </w:p>
    <w:p>
      <w:pPr>
        <w:pStyle w:val="13"/>
        <w:spacing w:before="126"/>
        <w:ind w:left="533"/>
      </w:pPr>
      <w:r>
        <w:t>合同当事人可在专用合同条款中约定其他价格形式合同的计量方式和程序。</w:t>
      </w:r>
    </w:p>
    <w:p>
      <w:pPr>
        <w:pStyle w:val="13"/>
        <w:spacing w:before="8"/>
        <w:ind w:left="0"/>
        <w:rPr>
          <w:sz w:val="18"/>
        </w:rPr>
      </w:pPr>
    </w:p>
    <w:p>
      <w:pPr>
        <w:pStyle w:val="32"/>
        <w:numPr>
          <w:ilvl w:val="1"/>
          <w:numId w:val="37"/>
        </w:numPr>
        <w:tabs>
          <w:tab w:val="left" w:pos="1011"/>
        </w:tabs>
        <w:spacing w:before="1" w:after="0" w:line="240" w:lineRule="auto"/>
        <w:ind w:left="1010" w:right="0" w:hanging="475"/>
        <w:jc w:val="left"/>
        <w:rPr>
          <w:b/>
          <w:sz w:val="21"/>
        </w:rPr>
      </w:pPr>
      <w:r>
        <w:rPr>
          <w:b/>
          <w:sz w:val="21"/>
        </w:rPr>
        <w:t>工程进度款支付</w:t>
      </w:r>
    </w:p>
    <w:p>
      <w:pPr>
        <w:pStyle w:val="13"/>
        <w:spacing w:before="10"/>
        <w:ind w:left="0"/>
        <w:rPr>
          <w:b/>
          <w:sz w:val="18"/>
        </w:rPr>
      </w:pPr>
    </w:p>
    <w:p>
      <w:pPr>
        <w:pStyle w:val="32"/>
        <w:numPr>
          <w:ilvl w:val="2"/>
          <w:numId w:val="37"/>
        </w:numPr>
        <w:tabs>
          <w:tab w:val="left" w:pos="1270"/>
        </w:tabs>
        <w:spacing w:before="0" w:after="0" w:line="240" w:lineRule="auto"/>
        <w:ind w:left="1270" w:right="0" w:hanging="737"/>
        <w:jc w:val="left"/>
        <w:rPr>
          <w:sz w:val="21"/>
        </w:rPr>
      </w:pPr>
      <w:r>
        <w:rPr>
          <w:spacing w:val="-3"/>
          <w:sz w:val="21"/>
        </w:rPr>
        <w:t>付款周期</w:t>
      </w:r>
    </w:p>
    <w:p>
      <w:pPr>
        <w:pStyle w:val="13"/>
        <w:spacing w:before="125"/>
        <w:ind w:left="533"/>
      </w:pPr>
      <w:r>
        <w:rPr>
          <w:spacing w:val="-6"/>
        </w:rPr>
        <w:t xml:space="preserve">除专用合同条款另有约定外，付款周期应按照第 </w:t>
      </w:r>
      <w:r>
        <w:t>12.3.2</w:t>
      </w:r>
      <w:r>
        <w:rPr>
          <w:spacing w:val="-9"/>
        </w:rPr>
        <w:t xml:space="preserve"> 项〔计量周期〕的约定与计量周期保持一致。</w:t>
      </w:r>
    </w:p>
    <w:p>
      <w:pPr>
        <w:pStyle w:val="32"/>
        <w:numPr>
          <w:ilvl w:val="2"/>
          <w:numId w:val="37"/>
        </w:numPr>
        <w:tabs>
          <w:tab w:val="left" w:pos="1270"/>
        </w:tabs>
        <w:spacing w:before="123" w:after="0" w:line="240" w:lineRule="auto"/>
        <w:ind w:left="1270" w:right="0" w:hanging="737"/>
        <w:jc w:val="left"/>
        <w:rPr>
          <w:sz w:val="21"/>
        </w:rPr>
      </w:pPr>
      <w:r>
        <w:rPr>
          <w:spacing w:val="-3"/>
          <w:sz w:val="21"/>
        </w:rPr>
        <w:t>进度付款申请单的编制</w:t>
      </w:r>
    </w:p>
    <w:p>
      <w:pPr>
        <w:pStyle w:val="13"/>
        <w:spacing w:before="125"/>
        <w:ind w:left="533"/>
      </w:pPr>
      <w:r>
        <w:t>除专用合同条款另有约定外，进度付款申请单应包括下列内容：</w:t>
      </w:r>
    </w:p>
    <w:p>
      <w:pPr>
        <w:pStyle w:val="13"/>
        <w:spacing w:before="125"/>
        <w:ind w:left="533"/>
      </w:pPr>
      <w:r>
        <w:t>（1）截至本次付款周期已完成工作对应的金额；</w:t>
      </w:r>
    </w:p>
    <w:p>
      <w:pPr>
        <w:pStyle w:val="13"/>
        <w:spacing w:before="123"/>
        <w:ind w:left="533"/>
      </w:pPr>
      <w:r>
        <w:t>（2）根据第10条〔变更〕应增加和扣减的变更金额；</w:t>
      </w:r>
    </w:p>
    <w:p>
      <w:pPr>
        <w:pStyle w:val="13"/>
        <w:spacing w:before="125"/>
        <w:ind w:left="533"/>
      </w:pPr>
      <w:r>
        <w:t>（3）根据第12.2款〔预付款〕约定应支付的预付款和扣减的返还预付款；</w:t>
      </w:r>
    </w:p>
    <w:p>
      <w:pPr>
        <w:pStyle w:val="13"/>
        <w:spacing w:before="125"/>
        <w:ind w:left="533"/>
      </w:pPr>
      <w:r>
        <w:t>（4）根据第15.3款〔质量保证金〕约定应扣减的质量保证金；</w:t>
      </w:r>
    </w:p>
    <w:p>
      <w:pPr>
        <w:pStyle w:val="13"/>
        <w:spacing w:before="123"/>
        <w:ind w:left="533"/>
      </w:pPr>
      <w:r>
        <w:t>（5）根据第19条〔索赔〕应增加和扣减的索赔金额；</w:t>
      </w:r>
    </w:p>
    <w:p>
      <w:pPr>
        <w:pStyle w:val="13"/>
        <w:spacing w:before="125"/>
        <w:ind w:left="533"/>
      </w:pPr>
      <w:r>
        <w:t>（6）对已签发的进度款支付证书中出现错误的修正，应在本次进度付款中支付或扣除的金额；</w:t>
      </w:r>
    </w:p>
    <w:p>
      <w:pPr>
        <w:pStyle w:val="13"/>
        <w:spacing w:before="125"/>
        <w:ind w:left="533"/>
      </w:pPr>
      <w:r>
        <w:t>（7）根据合同约定应增加和扣减的其他金额。</w:t>
      </w:r>
    </w:p>
    <w:p>
      <w:pPr>
        <w:pStyle w:val="32"/>
        <w:numPr>
          <w:ilvl w:val="2"/>
          <w:numId w:val="37"/>
        </w:numPr>
        <w:tabs>
          <w:tab w:val="left" w:pos="1270"/>
        </w:tabs>
        <w:spacing w:before="123" w:after="0" w:line="240" w:lineRule="auto"/>
        <w:ind w:left="1270" w:right="0" w:hanging="737"/>
        <w:jc w:val="left"/>
        <w:rPr>
          <w:sz w:val="21"/>
        </w:rPr>
      </w:pPr>
      <w:r>
        <w:rPr>
          <w:spacing w:val="-3"/>
          <w:sz w:val="21"/>
        </w:rPr>
        <w:t>进度付款申请单的提交</w:t>
      </w:r>
    </w:p>
    <w:p>
      <w:pPr>
        <w:pStyle w:val="13"/>
        <w:spacing w:before="126"/>
        <w:ind w:left="533"/>
      </w:pPr>
      <w:r>
        <w:t>（1）单价合同进度付款申请单的提交</w:t>
      </w:r>
    </w:p>
    <w:p>
      <w:pPr>
        <w:pStyle w:val="13"/>
        <w:spacing w:before="126" w:line="348" w:lineRule="auto"/>
        <w:ind w:right="206" w:firstLine="420"/>
        <w:jc w:val="both"/>
      </w:pPr>
      <w:r>
        <w:rPr>
          <w:spacing w:val="-4"/>
        </w:rPr>
        <w:t>单价合同的进度付款申请单，按照第</w:t>
      </w:r>
      <w:r>
        <w:t>12.3.3</w:t>
      </w:r>
      <w:r>
        <w:rPr>
          <w:spacing w:val="-5"/>
        </w:rPr>
        <w:t>项〔单价合同的计量〕约定的时间按月向监理人提交，并</w:t>
      </w:r>
      <w:r>
        <w:rPr>
          <w:spacing w:val="-6"/>
        </w:rPr>
        <w:t>附上已完成工程量报表和有关资料。单价合同中的总价项目按月进行支付分解，并汇总列入当期进度付款</w:t>
      </w:r>
      <w:r>
        <w:rPr>
          <w:spacing w:val="-4"/>
        </w:rPr>
        <w:t>申请单。</w:t>
      </w:r>
    </w:p>
    <w:p>
      <w:pPr>
        <w:pStyle w:val="13"/>
        <w:spacing w:before="31"/>
        <w:ind w:left="533"/>
      </w:pPr>
      <w:r>
        <w:t>（2）总价合同进度付款申请单的提交</w:t>
      </w:r>
    </w:p>
    <w:p>
      <w:pPr>
        <w:pStyle w:val="13"/>
        <w:spacing w:before="123" w:line="350" w:lineRule="auto"/>
        <w:ind w:right="178" w:firstLine="420"/>
      </w:pPr>
      <w:r>
        <w:t>总价合同按月计量支付的，承包人按照第12.3.4项〔总价合同的计量〕约定的时间按月向监理人提交进度付款申请单，并附上已完成工程量报表和有关资料。</w:t>
      </w:r>
    </w:p>
    <w:p>
      <w:pPr>
        <w:pStyle w:val="13"/>
        <w:spacing w:before="29" w:line="348" w:lineRule="auto"/>
        <w:ind w:right="86" w:firstLine="420"/>
      </w:pPr>
      <w:r>
        <w:t>总价合同按支付分解表支付的，承包人应按照第12.4.6项〔支付分解表〕及第12.4.2项〔进度付款申请单的编制〕的约定向监理人提交进度付款申请单。</w:t>
      </w:r>
    </w:p>
    <w:p>
      <w:pPr>
        <w:pStyle w:val="13"/>
        <w:spacing w:before="31"/>
        <w:ind w:left="533"/>
      </w:pPr>
      <w:r>
        <w:t>（3）其他价格形式合同的进度付款申请单的提交</w:t>
      </w:r>
    </w:p>
    <w:p>
      <w:pPr>
        <w:pStyle w:val="13"/>
        <w:spacing w:before="125"/>
        <w:ind w:left="533"/>
      </w:pPr>
      <w:r>
        <w:t>合同当事人可在专用合同条款中约定其他价格形式合同的进度付款申请单的编制和提交程序。</w:t>
      </w:r>
    </w:p>
    <w:p>
      <w:pPr>
        <w:spacing w:after="0"/>
        <w:sectPr>
          <w:pgSz w:w="11910" w:h="16840"/>
          <w:pgMar w:top="1460" w:right="920" w:bottom="1180" w:left="1020" w:header="0" w:footer="920" w:gutter="0"/>
        </w:sectPr>
      </w:pPr>
    </w:p>
    <w:p>
      <w:pPr>
        <w:pStyle w:val="32"/>
        <w:numPr>
          <w:ilvl w:val="2"/>
          <w:numId w:val="37"/>
        </w:numPr>
        <w:tabs>
          <w:tab w:val="left" w:pos="1270"/>
        </w:tabs>
        <w:spacing w:before="14" w:after="0" w:line="240" w:lineRule="auto"/>
        <w:ind w:left="1270" w:right="0" w:hanging="737"/>
        <w:jc w:val="left"/>
        <w:rPr>
          <w:sz w:val="21"/>
        </w:rPr>
      </w:pPr>
      <w:r>
        <w:rPr>
          <w:spacing w:val="-3"/>
          <w:sz w:val="21"/>
        </w:rPr>
        <w:t>进度款审核和支付</w:t>
      </w:r>
    </w:p>
    <w:p>
      <w:pPr>
        <w:pStyle w:val="13"/>
        <w:spacing w:before="124" w:line="350" w:lineRule="auto"/>
        <w:ind w:right="91" w:firstLine="420"/>
      </w:pPr>
      <w:r>
        <w:rPr>
          <w:spacing w:val="-5"/>
        </w:rPr>
        <w:t>（1）</w:t>
      </w:r>
      <w:r>
        <w:rPr>
          <w:spacing w:val="-4"/>
        </w:rPr>
        <w:t>除专用合同条款另有约定外，监理人应在收到承包人进度付款申请单以及相关资料后</w:t>
      </w:r>
      <w:r>
        <w:rPr>
          <w:spacing w:val="-3"/>
        </w:rPr>
        <w:t>7</w:t>
      </w:r>
      <w:r>
        <w:rPr>
          <w:spacing w:val="-2"/>
        </w:rPr>
        <w:t>天内完成</w:t>
      </w:r>
      <w:r>
        <w:rPr>
          <w:spacing w:val="-3"/>
        </w:rPr>
        <w:t>审查并报送发包人，发包人应在收到后7天内完成审批并签发进度款支付证书。发包人逾期未完成审批且未提出异议的，视为已签发进度款支付证书。</w:t>
      </w:r>
    </w:p>
    <w:p>
      <w:pPr>
        <w:pStyle w:val="13"/>
        <w:spacing w:before="27" w:line="350" w:lineRule="auto"/>
        <w:ind w:right="91" w:firstLine="420"/>
      </w:pPr>
      <w:r>
        <w:rPr>
          <w:spacing w:val="-5"/>
        </w:rPr>
        <w:t>发包人和监理人对承包人的进度付款申请单有异议的，有权要求承包人修正和提供补充资料，承包人</w:t>
      </w:r>
      <w:r>
        <w:rPr>
          <w:spacing w:val="-4"/>
        </w:rPr>
        <w:t>应提交修正后的进度付款申请单。监理人应在收到承包人修正后的进度付款申请单及相关资料后</w:t>
      </w:r>
      <w:r>
        <w:t>7</w:t>
      </w:r>
      <w:r>
        <w:rPr>
          <w:spacing w:val="-3"/>
        </w:rPr>
        <w:t>天内完成审查并报送发包人，发包人应在收到监理人报送的进度付款申请单及相关资料后</w:t>
      </w:r>
      <w:r>
        <w:t>7</w:t>
      </w:r>
      <w:r>
        <w:rPr>
          <w:spacing w:val="-3"/>
        </w:rPr>
        <w:t>天内，向承包人签发无异议部分的临时进度款支付证书。存在争议的部分，按照第</w:t>
      </w:r>
      <w:r>
        <w:t>20</w:t>
      </w:r>
      <w:r>
        <w:rPr>
          <w:spacing w:val="-3"/>
        </w:rPr>
        <w:t>条〔争议解决〕的约定处理。</w:t>
      </w:r>
    </w:p>
    <w:p>
      <w:pPr>
        <w:pStyle w:val="13"/>
        <w:spacing w:before="29" w:line="350" w:lineRule="auto"/>
        <w:ind w:right="183" w:firstLine="420"/>
      </w:pPr>
      <w:r>
        <w:t>（2）除专用合同条款另有约定外，发包人应在进度款支付证书或临时进度款支付证书签发后14天内完成支付，发包人逾期支付进度款的，应按照中国人民银行发布的同期同类贷款基准利率支付违约金。</w:t>
      </w:r>
    </w:p>
    <w:p>
      <w:pPr>
        <w:pStyle w:val="13"/>
        <w:spacing w:before="27" w:line="350" w:lineRule="auto"/>
        <w:ind w:right="183" w:firstLine="420"/>
      </w:pPr>
      <w:r>
        <w:t>（3）发包人签发进度款支付证书或临时进度款支付证书，不表明发包人已同意、批准或接受了承包人完成的相应部分的工作。</w:t>
      </w:r>
    </w:p>
    <w:p>
      <w:pPr>
        <w:pStyle w:val="32"/>
        <w:numPr>
          <w:ilvl w:val="2"/>
          <w:numId w:val="37"/>
        </w:numPr>
        <w:tabs>
          <w:tab w:val="left" w:pos="1270"/>
        </w:tabs>
        <w:spacing w:before="29" w:after="0" w:line="240" w:lineRule="auto"/>
        <w:ind w:left="1270" w:right="0" w:hanging="737"/>
        <w:jc w:val="left"/>
        <w:rPr>
          <w:sz w:val="21"/>
        </w:rPr>
      </w:pPr>
      <w:r>
        <w:rPr>
          <w:spacing w:val="-3"/>
          <w:sz w:val="21"/>
        </w:rPr>
        <w:t>进度付款的修正</w:t>
      </w:r>
    </w:p>
    <w:p>
      <w:pPr>
        <w:pStyle w:val="13"/>
        <w:spacing w:before="123" w:line="350" w:lineRule="auto"/>
        <w:ind w:right="91" w:firstLine="420"/>
      </w:pPr>
      <w:r>
        <w:rPr>
          <w:spacing w:val="-5"/>
        </w:rPr>
        <w:t>在对已签发的进度款支付证书进行阶段汇总和复核中发现错误、遗漏或重复的，发包人和承包人均有</w:t>
      </w:r>
      <w:r>
        <w:rPr>
          <w:spacing w:val="-4"/>
        </w:rPr>
        <w:t>权提出修正申请。经发包人和承包人同意的修正，应在下期进度付款中支付或扣除。</w:t>
      </w:r>
    </w:p>
    <w:p>
      <w:pPr>
        <w:pStyle w:val="32"/>
        <w:numPr>
          <w:ilvl w:val="2"/>
          <w:numId w:val="37"/>
        </w:numPr>
        <w:tabs>
          <w:tab w:val="left" w:pos="1270"/>
        </w:tabs>
        <w:spacing w:before="29" w:after="0" w:line="240" w:lineRule="auto"/>
        <w:ind w:left="1270" w:right="0" w:hanging="737"/>
        <w:jc w:val="left"/>
        <w:rPr>
          <w:sz w:val="21"/>
        </w:rPr>
      </w:pPr>
      <w:r>
        <w:rPr>
          <w:spacing w:val="-3"/>
          <w:sz w:val="21"/>
        </w:rPr>
        <w:t>支付分解表</w:t>
      </w:r>
    </w:p>
    <w:p>
      <w:pPr>
        <w:pStyle w:val="13"/>
        <w:spacing w:before="123"/>
        <w:ind w:left="533"/>
      </w:pPr>
      <w:r>
        <w:t>1.支付分解表的编制要求</w:t>
      </w:r>
    </w:p>
    <w:p>
      <w:pPr>
        <w:pStyle w:val="13"/>
        <w:spacing w:before="125" w:line="350" w:lineRule="auto"/>
        <w:ind w:right="183" w:firstLine="420"/>
      </w:pPr>
      <w:r>
        <w:t>（1）</w:t>
      </w:r>
      <w:r>
        <w:rPr>
          <w:spacing w:val="-5"/>
        </w:rPr>
        <w:t xml:space="preserve">支付分解表中所列的每期付款金额，应为第 </w:t>
      </w:r>
      <w:r>
        <w:t>12.4.2</w:t>
      </w:r>
      <w:r>
        <w:rPr>
          <w:spacing w:val="-8"/>
        </w:rPr>
        <w:t xml:space="preserve"> 项〔进度付款申请单的编制〕第</w:t>
      </w:r>
      <w:r>
        <w:t>（1）</w:t>
      </w:r>
      <w:r>
        <w:rPr>
          <w:spacing w:val="-2"/>
        </w:rPr>
        <w:t>目的</w:t>
      </w:r>
      <w:r>
        <w:rPr>
          <w:spacing w:val="-3"/>
        </w:rPr>
        <w:t>估算金额；</w:t>
      </w:r>
    </w:p>
    <w:p>
      <w:pPr>
        <w:pStyle w:val="13"/>
        <w:spacing w:before="26" w:line="350" w:lineRule="auto"/>
        <w:ind w:right="183" w:firstLine="420"/>
      </w:pPr>
      <w:r>
        <w:t>（2）</w:t>
      </w:r>
      <w:r>
        <w:rPr>
          <w:spacing w:val="-5"/>
        </w:rPr>
        <w:t xml:space="preserve">实际进度与施工进度计划不一致的，合同当事人可按照第 </w:t>
      </w:r>
      <w:r>
        <w:t>4.4</w:t>
      </w:r>
      <w:r>
        <w:rPr>
          <w:spacing w:val="-7"/>
        </w:rPr>
        <w:t xml:space="preserve"> 款〔商定或确定〕修改支付分解表；</w:t>
      </w:r>
    </w:p>
    <w:p>
      <w:pPr>
        <w:pStyle w:val="13"/>
        <w:spacing w:before="29" w:line="348" w:lineRule="auto"/>
        <w:ind w:right="183" w:firstLine="420"/>
      </w:pPr>
      <w:r>
        <w:t>（3）不采用支付分解表的，承包人应向发包人和监理人提交按季度编制的支付估算分解表，用于支付参考。</w:t>
      </w:r>
    </w:p>
    <w:p>
      <w:pPr>
        <w:pStyle w:val="13"/>
        <w:spacing w:before="31"/>
        <w:ind w:left="533"/>
      </w:pPr>
      <w:r>
        <w:t>2.总价合同支付分解表的编制与审批</w:t>
      </w:r>
    </w:p>
    <w:p>
      <w:pPr>
        <w:pStyle w:val="13"/>
        <w:spacing w:before="125" w:line="348" w:lineRule="auto"/>
        <w:ind w:right="106" w:firstLine="420"/>
      </w:pPr>
      <w:r>
        <w:t>（1）</w:t>
      </w:r>
      <w:r>
        <w:rPr>
          <w:spacing w:val="-5"/>
        </w:rPr>
        <w:t xml:space="preserve">除专用合同条款另有约定外，承包人应根据第 </w:t>
      </w:r>
      <w:r>
        <w:t>7.2</w:t>
      </w:r>
      <w:r>
        <w:rPr>
          <w:spacing w:val="-8"/>
        </w:rPr>
        <w:t xml:space="preserve"> 款〔施工进度计划〕约定的施工进度计划、</w:t>
      </w:r>
      <w:r>
        <w:rPr>
          <w:spacing w:val="-7"/>
        </w:rPr>
        <w:t>签约合同价和工程量等因素对总价合同按月进行分解，编制支付分解表。承包人应当在收到监理人和发包</w:t>
      </w:r>
      <w:r>
        <w:rPr>
          <w:spacing w:val="-8"/>
        </w:rPr>
        <w:t xml:space="preserve">人批准的施工进度计划后 </w:t>
      </w:r>
      <w:r>
        <w:t>7</w:t>
      </w:r>
      <w:r>
        <w:rPr>
          <w:spacing w:val="-7"/>
        </w:rPr>
        <w:t xml:space="preserve"> 天内，将支付分解表及编制支付分解表的支持性资料报送监理人。</w:t>
      </w:r>
    </w:p>
    <w:p>
      <w:pPr>
        <w:pStyle w:val="13"/>
        <w:spacing w:before="31"/>
        <w:ind w:left="533"/>
      </w:pPr>
      <w:r>
        <w:t>（2）监理人应在收到支付分解表后 7 天内完成审核并报送发包人。发包人应在收到经监理人审核的</w:t>
      </w:r>
    </w:p>
    <w:p>
      <w:pPr>
        <w:pStyle w:val="13"/>
        <w:spacing w:before="123"/>
      </w:pPr>
      <w:r>
        <w:t>支付分解表后 7 天内完成审批，经发包人批准的支付分解表为有约束力的支付分解表。</w:t>
      </w:r>
    </w:p>
    <w:p>
      <w:pPr>
        <w:pStyle w:val="13"/>
        <w:spacing w:before="126" w:line="350" w:lineRule="auto"/>
        <w:ind w:right="181" w:firstLine="422"/>
      </w:pPr>
      <w:r>
        <w:t>（3）发包人逾期未完成支付分解表审批的，也未及时要求承包人进行修正和提供补充资料的，则承包人提交的支付分解表视为已经获得发包人批准。</w:t>
      </w:r>
    </w:p>
    <w:p>
      <w:pPr>
        <w:pStyle w:val="13"/>
        <w:spacing w:before="27"/>
        <w:ind w:left="533"/>
      </w:pPr>
      <w:r>
        <w:t>3.单价合同的总价项目支付分解表的编制与审批</w:t>
      </w:r>
    </w:p>
    <w:p>
      <w:pPr>
        <w:pStyle w:val="13"/>
        <w:spacing w:before="126" w:line="348" w:lineRule="auto"/>
        <w:ind w:right="106" w:firstLine="420"/>
        <w:jc w:val="both"/>
      </w:pPr>
      <w:r>
        <w:rPr>
          <w:spacing w:val="-5"/>
        </w:rPr>
        <w:t>除专用合同条款另有约定外，单价合同的总价项目，由承包人根据施工进度计划和总价项目的总价构</w:t>
      </w:r>
      <w:r>
        <w:rPr>
          <w:spacing w:val="-6"/>
        </w:rPr>
        <w:t>成、费用性质、计划发生时间和相应工程量等因素按月进行分解，形成支付分解表，其编制与审批参照总</w:t>
      </w:r>
      <w:r>
        <w:rPr>
          <w:spacing w:val="-4"/>
        </w:rPr>
        <w:t>价合同支付分解表的编制与审批执行。</w:t>
      </w:r>
    </w:p>
    <w:p>
      <w:pPr>
        <w:spacing w:after="0" w:line="348" w:lineRule="auto"/>
        <w:jc w:val="both"/>
        <w:sectPr>
          <w:pgSz w:w="11910" w:h="16840"/>
          <w:pgMar w:top="1460" w:right="1020" w:bottom="1180" w:left="1020" w:header="0" w:footer="920" w:gutter="0"/>
        </w:sectPr>
      </w:pPr>
    </w:p>
    <w:p>
      <w:pPr>
        <w:spacing w:before="14"/>
        <w:ind w:left="535" w:right="0" w:firstLine="0"/>
        <w:jc w:val="left"/>
        <w:rPr>
          <w:b/>
          <w:sz w:val="21"/>
        </w:rPr>
      </w:pPr>
      <w:r>
        <w:rPr>
          <w:b/>
          <w:sz w:val="21"/>
        </w:rPr>
        <w:t>12.5 支付账户</w:t>
      </w:r>
    </w:p>
    <w:p>
      <w:pPr>
        <w:pStyle w:val="13"/>
        <w:spacing w:before="8"/>
        <w:ind w:left="0"/>
        <w:rPr>
          <w:b/>
          <w:sz w:val="18"/>
        </w:rPr>
      </w:pPr>
    </w:p>
    <w:p>
      <w:pPr>
        <w:pStyle w:val="13"/>
        <w:ind w:left="533"/>
      </w:pPr>
      <w:r>
        <w:t>发包人应将合同价款支付至合同协议书中约定的承包人账户。</w:t>
      </w:r>
    </w:p>
    <w:p>
      <w:pPr>
        <w:pStyle w:val="13"/>
        <w:spacing w:before="9"/>
        <w:ind w:left="0"/>
        <w:rPr>
          <w:sz w:val="18"/>
        </w:rPr>
      </w:pPr>
    </w:p>
    <w:p>
      <w:pPr>
        <w:pStyle w:val="32"/>
        <w:numPr>
          <w:ilvl w:val="0"/>
          <w:numId w:val="9"/>
        </w:numPr>
        <w:tabs>
          <w:tab w:val="left" w:pos="536"/>
        </w:tabs>
        <w:spacing w:before="1" w:after="0" w:line="240" w:lineRule="auto"/>
        <w:ind w:left="535" w:right="0" w:hanging="423"/>
        <w:jc w:val="left"/>
        <w:rPr>
          <w:sz w:val="21"/>
        </w:rPr>
      </w:pPr>
      <w:r>
        <w:rPr>
          <w:spacing w:val="-3"/>
          <w:sz w:val="21"/>
        </w:rPr>
        <w:t>验收和工程试车</w:t>
      </w:r>
    </w:p>
    <w:p>
      <w:pPr>
        <w:pStyle w:val="13"/>
        <w:spacing w:before="10"/>
        <w:ind w:left="0"/>
        <w:rPr>
          <w:sz w:val="18"/>
        </w:rPr>
      </w:pPr>
    </w:p>
    <w:p>
      <w:pPr>
        <w:pStyle w:val="32"/>
        <w:numPr>
          <w:ilvl w:val="1"/>
          <w:numId w:val="9"/>
        </w:numPr>
        <w:tabs>
          <w:tab w:val="left" w:pos="1011"/>
        </w:tabs>
        <w:spacing w:before="0" w:after="0" w:line="240" w:lineRule="auto"/>
        <w:ind w:left="1010" w:right="0" w:hanging="475"/>
        <w:jc w:val="left"/>
        <w:rPr>
          <w:b/>
          <w:sz w:val="21"/>
        </w:rPr>
      </w:pPr>
      <w:r>
        <w:rPr>
          <w:b/>
          <w:sz w:val="21"/>
        </w:rPr>
        <w:t>分部分项工程验收</w:t>
      </w:r>
    </w:p>
    <w:p>
      <w:pPr>
        <w:pStyle w:val="13"/>
        <w:spacing w:before="7"/>
        <w:ind w:left="0"/>
        <w:rPr>
          <w:b/>
          <w:sz w:val="18"/>
        </w:rPr>
      </w:pPr>
    </w:p>
    <w:p>
      <w:pPr>
        <w:pStyle w:val="32"/>
        <w:numPr>
          <w:ilvl w:val="2"/>
          <w:numId w:val="9"/>
        </w:numPr>
        <w:tabs>
          <w:tab w:val="left" w:pos="1282"/>
        </w:tabs>
        <w:spacing w:before="0" w:after="0" w:line="350" w:lineRule="auto"/>
        <w:ind w:left="112" w:right="211" w:firstLine="421"/>
        <w:jc w:val="left"/>
        <w:rPr>
          <w:sz w:val="21"/>
        </w:rPr>
      </w:pPr>
      <w:r>
        <w:rPr>
          <w:sz w:val="21"/>
        </w:rPr>
        <w:t>分部分项工程质量应符合国家有关工程施工验收规范、标准及合同约定，承包人应按照施工</w:t>
      </w:r>
      <w:r>
        <w:rPr>
          <w:spacing w:val="-3"/>
          <w:sz w:val="21"/>
        </w:rPr>
        <w:t>组织设计的要求完成分部分项工程施工。</w:t>
      </w:r>
    </w:p>
    <w:p>
      <w:pPr>
        <w:pStyle w:val="32"/>
        <w:numPr>
          <w:ilvl w:val="2"/>
          <w:numId w:val="9"/>
        </w:numPr>
        <w:tabs>
          <w:tab w:val="left" w:pos="1282"/>
        </w:tabs>
        <w:spacing w:before="29" w:after="0" w:line="350" w:lineRule="auto"/>
        <w:ind w:left="112" w:right="105" w:firstLine="421"/>
        <w:jc w:val="left"/>
        <w:rPr>
          <w:sz w:val="21"/>
        </w:rPr>
      </w:pPr>
      <w:r>
        <w:rPr>
          <w:sz w:val="21"/>
        </w:rPr>
        <w:t>除专用合同条款另有约定外，分部分项工程经承包人自检合格并具备验收条件的，承包人应</w:t>
      </w:r>
      <w:r>
        <w:rPr>
          <w:spacing w:val="-15"/>
          <w:sz w:val="21"/>
        </w:rPr>
        <w:t xml:space="preserve">提前 </w:t>
      </w:r>
      <w:r>
        <w:rPr>
          <w:sz w:val="21"/>
        </w:rPr>
        <w:t>48</w:t>
      </w:r>
      <w:r>
        <w:rPr>
          <w:spacing w:val="-13"/>
          <w:sz w:val="21"/>
        </w:rPr>
        <w:t xml:space="preserve"> 小时通知监理人进行验收。监理人不能按时进行验收的，应在验收前 </w:t>
      </w:r>
      <w:r>
        <w:rPr>
          <w:sz w:val="21"/>
        </w:rPr>
        <w:t>24</w:t>
      </w:r>
      <w:r>
        <w:rPr>
          <w:spacing w:val="-9"/>
          <w:sz w:val="21"/>
        </w:rPr>
        <w:t xml:space="preserve"> 小时向承包人提交书面延期要求，但延期不能超过 </w:t>
      </w:r>
      <w:r>
        <w:rPr>
          <w:sz w:val="21"/>
        </w:rPr>
        <w:t>48</w:t>
      </w:r>
      <w:r>
        <w:rPr>
          <w:spacing w:val="-8"/>
          <w:sz w:val="21"/>
        </w:rPr>
        <w:t xml:space="preserve"> 小时。监理人未按时进行验收，也未提出延期要求的，承包人有权自行验收， </w:t>
      </w:r>
      <w:r>
        <w:rPr>
          <w:spacing w:val="-5"/>
          <w:sz w:val="21"/>
        </w:rPr>
        <w:t>监理人应认可验收结果。分部分项工程未经验收的，不得进入下一道工序施工。</w:t>
      </w:r>
    </w:p>
    <w:p>
      <w:pPr>
        <w:pStyle w:val="13"/>
        <w:spacing w:before="27"/>
        <w:ind w:left="533"/>
      </w:pPr>
      <w:r>
        <w:t>分部分项工程的验收资料应当作为竣工资料的组成部分。</w:t>
      </w:r>
    </w:p>
    <w:p>
      <w:pPr>
        <w:pStyle w:val="13"/>
        <w:spacing w:before="10"/>
        <w:ind w:left="0"/>
        <w:rPr>
          <w:sz w:val="18"/>
        </w:rPr>
      </w:pPr>
    </w:p>
    <w:p>
      <w:pPr>
        <w:pStyle w:val="32"/>
        <w:numPr>
          <w:ilvl w:val="1"/>
          <w:numId w:val="38"/>
        </w:numPr>
        <w:tabs>
          <w:tab w:val="left" w:pos="1011"/>
        </w:tabs>
        <w:spacing w:before="0" w:after="0" w:line="240" w:lineRule="auto"/>
        <w:ind w:left="1010" w:right="0" w:hanging="475"/>
        <w:jc w:val="left"/>
        <w:rPr>
          <w:b/>
          <w:sz w:val="21"/>
        </w:rPr>
      </w:pPr>
      <w:r>
        <w:rPr>
          <w:b/>
          <w:sz w:val="21"/>
        </w:rPr>
        <w:t>竣工验收</w:t>
      </w:r>
    </w:p>
    <w:p>
      <w:pPr>
        <w:pStyle w:val="13"/>
        <w:spacing w:before="10"/>
        <w:ind w:left="0"/>
        <w:rPr>
          <w:b/>
          <w:sz w:val="18"/>
        </w:rPr>
      </w:pPr>
    </w:p>
    <w:p>
      <w:pPr>
        <w:pStyle w:val="32"/>
        <w:numPr>
          <w:ilvl w:val="2"/>
          <w:numId w:val="38"/>
        </w:numPr>
        <w:tabs>
          <w:tab w:val="left" w:pos="1218"/>
        </w:tabs>
        <w:spacing w:before="0" w:after="0" w:line="240" w:lineRule="auto"/>
        <w:ind w:left="1217" w:right="0" w:hanging="684"/>
        <w:jc w:val="left"/>
        <w:rPr>
          <w:sz w:val="21"/>
        </w:rPr>
      </w:pPr>
      <w:r>
        <w:rPr>
          <w:spacing w:val="-3"/>
          <w:sz w:val="21"/>
        </w:rPr>
        <w:t>竣工验收条件</w:t>
      </w:r>
    </w:p>
    <w:p>
      <w:pPr>
        <w:pStyle w:val="13"/>
        <w:spacing w:before="123"/>
        <w:ind w:left="533"/>
      </w:pPr>
      <w:r>
        <w:t>工程具备以下条件的，承包人可以申请竣工验收：</w:t>
      </w:r>
    </w:p>
    <w:p>
      <w:pPr>
        <w:pStyle w:val="13"/>
        <w:spacing w:before="125" w:line="350" w:lineRule="auto"/>
        <w:ind w:right="283" w:firstLine="420"/>
      </w:pPr>
      <w:r>
        <w:t>（1）除发包人同意的甩项工作和缺陷修补工作外，合同范围内的全部工程以及有关工作，包括合同要求的试验、试运行以及检验均已完成，并符合合同要求；</w:t>
      </w:r>
    </w:p>
    <w:p>
      <w:pPr>
        <w:pStyle w:val="13"/>
        <w:spacing w:before="26"/>
        <w:ind w:left="533"/>
      </w:pPr>
      <w:r>
        <w:t>（2）已按合同约定编制了甩项工作和缺陷修补工作清单以及相应的施工计划；</w:t>
      </w:r>
    </w:p>
    <w:p>
      <w:pPr>
        <w:pStyle w:val="13"/>
        <w:spacing w:before="125"/>
        <w:ind w:left="533"/>
      </w:pPr>
      <w:r>
        <w:t>（3）已按合同约定的内容和份数备齐竣工资料。</w:t>
      </w:r>
    </w:p>
    <w:p>
      <w:pPr>
        <w:pStyle w:val="32"/>
        <w:numPr>
          <w:ilvl w:val="2"/>
          <w:numId w:val="38"/>
        </w:numPr>
        <w:tabs>
          <w:tab w:val="left" w:pos="1218"/>
        </w:tabs>
        <w:spacing w:before="126" w:after="0" w:line="240" w:lineRule="auto"/>
        <w:ind w:left="1217" w:right="0" w:hanging="684"/>
        <w:jc w:val="left"/>
        <w:rPr>
          <w:sz w:val="21"/>
        </w:rPr>
      </w:pPr>
      <w:r>
        <w:rPr>
          <w:spacing w:val="-3"/>
          <w:sz w:val="21"/>
        </w:rPr>
        <w:t>竣工验收程序</w:t>
      </w:r>
    </w:p>
    <w:p>
      <w:pPr>
        <w:pStyle w:val="13"/>
        <w:spacing w:before="123"/>
        <w:ind w:left="533"/>
      </w:pPr>
      <w:r>
        <w:t>除专用合同条款另有约定外，承包人申请竣工验收的，应当按照以下程序进行：</w:t>
      </w:r>
    </w:p>
    <w:p>
      <w:pPr>
        <w:pStyle w:val="13"/>
        <w:spacing w:before="125" w:line="348" w:lineRule="auto"/>
        <w:ind w:right="206" w:firstLine="420"/>
        <w:jc w:val="both"/>
      </w:pPr>
      <w:r>
        <w:rPr>
          <w:spacing w:val="-5"/>
        </w:rPr>
        <w:t xml:space="preserve">（1）承包人向监理人报送竣工验收申请报告，监理人应在收到竣工验收申请报告后 </w:t>
      </w:r>
      <w:r>
        <w:t>14</w:t>
      </w:r>
      <w:r>
        <w:rPr>
          <w:spacing w:val="-7"/>
        </w:rPr>
        <w:t xml:space="preserve"> 天内完成审查</w:t>
      </w:r>
      <w:r>
        <w:rPr>
          <w:spacing w:val="-8"/>
        </w:rPr>
        <w:t>并报送发包人。监理人审查后认为尚不具备验收条件的，应通知承包人在竣工验收前承包人还需完成的工</w:t>
      </w:r>
      <w:r>
        <w:rPr>
          <w:spacing w:val="-5"/>
        </w:rPr>
        <w:t>作内容，承包人应在完成监理人通知的全部工作内容后，再次提交竣工验收申请报告。</w:t>
      </w:r>
    </w:p>
    <w:p>
      <w:pPr>
        <w:pStyle w:val="13"/>
        <w:spacing w:before="31" w:line="348" w:lineRule="auto"/>
        <w:ind w:right="290" w:firstLine="420"/>
        <w:jc w:val="both"/>
      </w:pPr>
      <w:r>
        <w:t>（2）</w:t>
      </w:r>
      <w:r>
        <w:rPr>
          <w:spacing w:val="-3"/>
        </w:rPr>
        <w:t>监理人审查后认为已具备竣工验收条件的，应将竣工验收申请报告提交发包人，发包人应在收</w:t>
      </w:r>
      <w:r>
        <w:rPr>
          <w:spacing w:val="-5"/>
        </w:rPr>
        <w:t xml:space="preserve">到经监理人审核的竣工验收申请报告后 </w:t>
      </w:r>
      <w:r>
        <w:t>28</w:t>
      </w:r>
      <w:r>
        <w:rPr>
          <w:spacing w:val="-7"/>
        </w:rPr>
        <w:t xml:space="preserve"> 天内审批完毕并组织监理人、承包人、设计人等相关单位完成</w:t>
      </w:r>
      <w:r>
        <w:rPr>
          <w:spacing w:val="-4"/>
        </w:rPr>
        <w:t>竣工验收。</w:t>
      </w:r>
    </w:p>
    <w:p>
      <w:pPr>
        <w:pStyle w:val="13"/>
        <w:spacing w:before="31"/>
        <w:ind w:left="533"/>
      </w:pPr>
      <w:r>
        <w:t>（3）竣工验收合格的，发包人应在验收合格后 14 天内向承包人签发工程接收证书。发包人无正当理</w:t>
      </w:r>
    </w:p>
    <w:p>
      <w:pPr>
        <w:pStyle w:val="13"/>
        <w:spacing w:before="126"/>
      </w:pPr>
      <w:r>
        <w:t>由逾期不颁发工程接收证书的，自验收合格后第 15 天起视为已颁发工程接收证书。</w:t>
      </w:r>
    </w:p>
    <w:p>
      <w:pPr>
        <w:pStyle w:val="13"/>
        <w:spacing w:before="123" w:line="350" w:lineRule="auto"/>
        <w:ind w:right="102" w:firstLine="420"/>
      </w:pPr>
      <w:r>
        <w:t>（4）</w:t>
      </w:r>
      <w:r>
        <w:rPr>
          <w:spacing w:val="-3"/>
        </w:rPr>
        <w:t xml:space="preserve">竣工验收不合格的，监理人应按照验收意见发出指示，要求承包人对不合格工程返工、修复或 </w:t>
      </w:r>
      <w:r>
        <w:rPr>
          <w:spacing w:val="-9"/>
        </w:rPr>
        <w:t>采取其他补救措施，由此增加的费用和</w:t>
      </w:r>
      <w:r>
        <w:t>（</w:t>
      </w:r>
      <w:r>
        <w:rPr>
          <w:spacing w:val="-3"/>
        </w:rPr>
        <w:t>或</w:t>
      </w:r>
      <w:r>
        <w:rPr>
          <w:spacing w:val="-32"/>
        </w:rPr>
        <w:t>）</w:t>
      </w:r>
      <w:r>
        <w:rPr>
          <w:spacing w:val="-6"/>
        </w:rPr>
        <w:t>延误的工期由承包人承担。承包人在完成不合格工程的返工、</w:t>
      </w:r>
      <w:r>
        <w:rPr>
          <w:spacing w:val="-4"/>
        </w:rPr>
        <w:t>修复或采取其他补救措施后，应重新提交竣工验收申请报告，并按本项约定的程序重新进行验收。</w:t>
      </w:r>
    </w:p>
    <w:p>
      <w:pPr>
        <w:pStyle w:val="13"/>
        <w:spacing w:before="26"/>
        <w:ind w:left="533"/>
      </w:pPr>
      <w:r>
        <w:t>（5）工程未经验收或验收不合格，发包人擅自使用的，应在转移占有工程后 7 天内向承包人颁发工</w:t>
      </w:r>
    </w:p>
    <w:p>
      <w:pPr>
        <w:pStyle w:val="13"/>
        <w:spacing w:before="125"/>
      </w:pPr>
      <w:r>
        <w:t>程接收证书；发包人无正当理由逾期不颁发工程接收证书的，自转移占有后第 15 天起视为已颁发工程接</w:t>
      </w:r>
    </w:p>
    <w:p>
      <w:pPr>
        <w:spacing w:after="0"/>
        <w:sectPr>
          <w:pgSz w:w="11910" w:h="16840"/>
          <w:pgMar w:top="1460" w:right="920" w:bottom="1180" w:left="1020" w:header="0" w:footer="920" w:gutter="0"/>
        </w:sectPr>
      </w:pPr>
    </w:p>
    <w:p>
      <w:pPr>
        <w:pStyle w:val="13"/>
        <w:spacing w:before="14"/>
      </w:pPr>
      <w:r>
        <w:t>收证书。</w:t>
      </w:r>
    </w:p>
    <w:p>
      <w:pPr>
        <w:pStyle w:val="13"/>
        <w:spacing w:before="124" w:line="350" w:lineRule="auto"/>
        <w:ind w:right="191" w:firstLine="420"/>
      </w:pPr>
      <w:r>
        <w:rPr>
          <w:spacing w:val="-6"/>
        </w:rPr>
        <w:t>除专用合同条款另有约定外，发包人不按照本项约定组织竣工验收、颁发工程接收证书的，每逾期一</w:t>
      </w:r>
      <w:r>
        <w:rPr>
          <w:spacing w:val="-4"/>
        </w:rPr>
        <w:t>天，应以签约合同价为基数，按照中国人民银行发布的同期同类贷款基准利率支付违约金。</w:t>
      </w:r>
    </w:p>
    <w:p>
      <w:pPr>
        <w:pStyle w:val="32"/>
        <w:numPr>
          <w:ilvl w:val="2"/>
          <w:numId w:val="38"/>
        </w:numPr>
        <w:tabs>
          <w:tab w:val="left" w:pos="1218"/>
        </w:tabs>
        <w:spacing w:before="29" w:after="0" w:line="240" w:lineRule="auto"/>
        <w:ind w:left="1217" w:right="0" w:hanging="684"/>
        <w:jc w:val="left"/>
        <w:rPr>
          <w:sz w:val="21"/>
        </w:rPr>
      </w:pPr>
      <w:r>
        <w:rPr>
          <w:spacing w:val="-3"/>
          <w:sz w:val="21"/>
        </w:rPr>
        <w:t>竣工日期</w:t>
      </w:r>
    </w:p>
    <w:p>
      <w:pPr>
        <w:pStyle w:val="13"/>
        <w:spacing w:before="123" w:line="350" w:lineRule="auto"/>
        <w:ind w:right="206" w:firstLine="420"/>
        <w:jc w:val="both"/>
      </w:pPr>
      <w:r>
        <w:rPr>
          <w:spacing w:val="-6"/>
        </w:rPr>
        <w:t>工程经竣工验收合格的，以承包人提交竣工验收申请报告之日为实际竣工日期，并在工程接收证书中载明；因发包人原因，未在监理人收到承包人提交的竣工验收申请报告</w:t>
      </w:r>
      <w:r>
        <w:t>42</w:t>
      </w:r>
      <w:r>
        <w:rPr>
          <w:spacing w:val="-4"/>
        </w:rPr>
        <w:t>天内完成竣工验收，或完成竣工</w:t>
      </w:r>
      <w:r>
        <w:rPr>
          <w:spacing w:val="-6"/>
        </w:rPr>
        <w:t>验收不予签发工程接收证书的，以提交竣工验收申请报告的日期为实际竣工日期；工程未经竣工验收，发</w:t>
      </w:r>
      <w:r>
        <w:rPr>
          <w:spacing w:val="-4"/>
        </w:rPr>
        <w:t>包人擅自使用的，以转移占有工程之日为实际竣工日期。</w:t>
      </w:r>
    </w:p>
    <w:p>
      <w:pPr>
        <w:pStyle w:val="32"/>
        <w:numPr>
          <w:ilvl w:val="2"/>
          <w:numId w:val="38"/>
        </w:numPr>
        <w:tabs>
          <w:tab w:val="left" w:pos="1270"/>
        </w:tabs>
        <w:spacing w:before="29" w:after="0" w:line="240" w:lineRule="auto"/>
        <w:ind w:left="1270" w:right="0" w:hanging="737"/>
        <w:jc w:val="left"/>
        <w:rPr>
          <w:sz w:val="21"/>
        </w:rPr>
      </w:pPr>
      <w:r>
        <w:rPr>
          <w:spacing w:val="-3"/>
          <w:sz w:val="21"/>
        </w:rPr>
        <w:t>拒绝接收全部或部分工程</w:t>
      </w:r>
    </w:p>
    <w:p>
      <w:pPr>
        <w:pStyle w:val="13"/>
        <w:spacing w:before="126" w:line="350" w:lineRule="auto"/>
        <w:ind w:right="206" w:firstLine="420"/>
        <w:jc w:val="both"/>
      </w:pPr>
      <w:r>
        <w:rPr>
          <w:spacing w:val="-6"/>
        </w:rPr>
        <w:t>对于竣工验收不合格的工程，承包人完成整改后，应当重新进行竣工验收，经重新组织验收仍不合格的且无法采取措施补救的，则发包人可以拒绝接收不合格工程，因不合格工程导致其他工程不能正常使用</w:t>
      </w:r>
      <w:r>
        <w:rPr>
          <w:spacing w:val="-4"/>
        </w:rPr>
        <w:t>的，承包人应采取措施确保相关工程的正常使用，由此增加的费用和</w:t>
      </w:r>
      <w:r>
        <w:rPr>
          <w:spacing w:val="-3"/>
        </w:rPr>
        <w:t>（</w:t>
      </w:r>
      <w:r>
        <w:t>或</w:t>
      </w:r>
      <w:r>
        <w:rPr>
          <w:spacing w:val="-3"/>
        </w:rPr>
        <w:t>）延误的工期由承包人承担。</w:t>
      </w:r>
    </w:p>
    <w:p>
      <w:pPr>
        <w:pStyle w:val="32"/>
        <w:numPr>
          <w:ilvl w:val="2"/>
          <w:numId w:val="38"/>
        </w:numPr>
        <w:tabs>
          <w:tab w:val="left" w:pos="1270"/>
        </w:tabs>
        <w:spacing w:before="29" w:after="0" w:line="240" w:lineRule="auto"/>
        <w:ind w:left="1270" w:right="0" w:hanging="737"/>
        <w:jc w:val="left"/>
        <w:rPr>
          <w:sz w:val="21"/>
        </w:rPr>
      </w:pPr>
      <w:r>
        <w:rPr>
          <w:spacing w:val="-3"/>
          <w:sz w:val="21"/>
        </w:rPr>
        <w:t>移交、接收全部与部分工程</w:t>
      </w:r>
    </w:p>
    <w:p>
      <w:pPr>
        <w:pStyle w:val="13"/>
        <w:spacing w:before="123"/>
        <w:ind w:left="533"/>
      </w:pPr>
      <w:r>
        <w:t>除专用合同条款另有约定外，合同当事人应当在颁发工程接收证书后7天内完成工程的移交。</w:t>
      </w:r>
    </w:p>
    <w:p>
      <w:pPr>
        <w:pStyle w:val="13"/>
        <w:spacing w:before="126" w:line="350" w:lineRule="auto"/>
        <w:ind w:right="190" w:firstLine="420"/>
      </w:pPr>
      <w:r>
        <w:rPr>
          <w:spacing w:val="-5"/>
        </w:rPr>
        <w:t>发包人无正当理由不接收工程的，发包人自应当接收工程之日起，承担工程照管、成品保护、保管等</w:t>
      </w:r>
      <w:r>
        <w:rPr>
          <w:spacing w:val="-3"/>
        </w:rPr>
        <w:t>与工程有关的各项费用，合同当事人可以在专用合同条款中另行约定发包人逾期接收工程的违约责任。</w:t>
      </w:r>
    </w:p>
    <w:p>
      <w:pPr>
        <w:pStyle w:val="13"/>
        <w:spacing w:before="27" w:line="350" w:lineRule="auto"/>
        <w:ind w:firstLine="420"/>
      </w:pPr>
      <w:r>
        <w:rPr>
          <w:spacing w:val="-10"/>
        </w:rPr>
        <w:t xml:space="preserve">承包人无正当理由不移交工程的，承包人应承担工程照管、成品保护、保管等与工程有关的各项费用， </w:t>
      </w:r>
      <w:r>
        <w:rPr>
          <w:spacing w:val="-5"/>
        </w:rPr>
        <w:t>合同当事人可以在专用合同条款中另行约定承包人无正当理由不移交工程的违约责任。</w:t>
      </w:r>
    </w:p>
    <w:p>
      <w:pPr>
        <w:pStyle w:val="32"/>
        <w:numPr>
          <w:ilvl w:val="1"/>
          <w:numId w:val="39"/>
        </w:numPr>
        <w:tabs>
          <w:tab w:val="left" w:pos="1011"/>
        </w:tabs>
        <w:spacing w:before="149" w:after="0" w:line="240" w:lineRule="auto"/>
        <w:ind w:left="1010" w:right="0" w:hanging="475"/>
        <w:jc w:val="left"/>
        <w:rPr>
          <w:b/>
          <w:sz w:val="21"/>
        </w:rPr>
      </w:pPr>
      <w:r>
        <w:rPr>
          <w:b/>
          <w:sz w:val="21"/>
        </w:rPr>
        <w:t>工程试车</w:t>
      </w:r>
    </w:p>
    <w:p>
      <w:pPr>
        <w:pStyle w:val="13"/>
        <w:spacing w:before="8"/>
        <w:ind w:left="0"/>
        <w:rPr>
          <w:b/>
          <w:sz w:val="18"/>
        </w:rPr>
      </w:pPr>
    </w:p>
    <w:p>
      <w:pPr>
        <w:pStyle w:val="32"/>
        <w:numPr>
          <w:ilvl w:val="2"/>
          <w:numId w:val="39"/>
        </w:numPr>
        <w:tabs>
          <w:tab w:val="left" w:pos="1218"/>
        </w:tabs>
        <w:spacing w:before="0" w:after="0" w:line="240" w:lineRule="auto"/>
        <w:ind w:left="1217" w:right="0" w:hanging="684"/>
        <w:jc w:val="left"/>
        <w:rPr>
          <w:sz w:val="21"/>
        </w:rPr>
      </w:pPr>
      <w:r>
        <w:rPr>
          <w:spacing w:val="-3"/>
          <w:sz w:val="21"/>
        </w:rPr>
        <w:t>试车程序</w:t>
      </w:r>
    </w:p>
    <w:p>
      <w:pPr>
        <w:pStyle w:val="13"/>
        <w:spacing w:before="126" w:line="350" w:lineRule="auto"/>
        <w:ind w:right="191" w:firstLine="420"/>
      </w:pPr>
      <w:r>
        <w:rPr>
          <w:spacing w:val="-6"/>
        </w:rPr>
        <w:t>工程需要试车的，除专用合同条款另有约定外，试车内容应与承包人承包范围相一致，试车费用由承</w:t>
      </w:r>
      <w:r>
        <w:rPr>
          <w:spacing w:val="-4"/>
        </w:rPr>
        <w:t>包人承担。工程试车应按如下程序进行：</w:t>
      </w:r>
    </w:p>
    <w:p>
      <w:pPr>
        <w:pStyle w:val="13"/>
        <w:spacing w:before="27" w:line="350" w:lineRule="auto"/>
        <w:ind w:right="212" w:firstLine="420"/>
      </w:pPr>
      <w:r>
        <w:rPr>
          <w:spacing w:val="-3"/>
        </w:rPr>
        <w:t>（1）</w:t>
      </w:r>
      <w:r>
        <w:rPr>
          <w:spacing w:val="-7"/>
        </w:rPr>
        <w:t xml:space="preserve">具备单机无负荷试车条件，承包人组织试车，并在试车前 </w:t>
      </w:r>
      <w:r>
        <w:t>48</w:t>
      </w:r>
      <w:r>
        <w:rPr>
          <w:spacing w:val="-7"/>
        </w:rPr>
        <w:t xml:space="preserve"> 小时书面通知监理人，通知中应载</w:t>
      </w:r>
      <w:r>
        <w:rPr>
          <w:spacing w:val="-8"/>
        </w:rPr>
        <w:t>明试车内容、时间、地点。承包人准备试车记录，发包人根据承包人要求为试车提供必要条件。试车合格</w:t>
      </w:r>
      <w:r>
        <w:rPr>
          <w:spacing w:val="-6"/>
        </w:rPr>
        <w:t xml:space="preserve">的，监理人在试车记录上签字。监理人在试车合格后不在试车记录上签字，自试车结束满 </w:t>
      </w:r>
      <w:r>
        <w:t>24</w:t>
      </w:r>
      <w:r>
        <w:rPr>
          <w:spacing w:val="-10"/>
        </w:rPr>
        <w:t xml:space="preserve"> 小时后视为</w:t>
      </w:r>
      <w:r>
        <w:rPr>
          <w:spacing w:val="-5"/>
        </w:rPr>
        <w:t>监理人已经认可试车记录，承包人可继续施工或办理竣工验收手续。</w:t>
      </w:r>
    </w:p>
    <w:p>
      <w:pPr>
        <w:pStyle w:val="13"/>
        <w:spacing w:before="29"/>
        <w:ind w:left="533"/>
      </w:pPr>
      <w:r>
        <w:rPr>
          <w:spacing w:val="-8"/>
        </w:rPr>
        <w:t xml:space="preserve">监理人不能按时参加试车，应在试车前 </w:t>
      </w:r>
      <w:r>
        <w:t>24</w:t>
      </w:r>
      <w:r>
        <w:rPr>
          <w:spacing w:val="-11"/>
        </w:rPr>
        <w:t xml:space="preserve"> 小时以书面形式向承包人提出延期要求，但延期不能超过 </w:t>
      </w:r>
      <w:r>
        <w:t>4</w:t>
      </w:r>
    </w:p>
    <w:p>
      <w:pPr>
        <w:pStyle w:val="32"/>
        <w:numPr>
          <w:ilvl w:val="0"/>
          <w:numId w:val="28"/>
        </w:numPr>
        <w:tabs>
          <w:tab w:val="left" w:pos="272"/>
        </w:tabs>
        <w:spacing w:before="125" w:after="0" w:line="348" w:lineRule="auto"/>
        <w:ind w:left="112" w:right="235" w:firstLine="0"/>
        <w:jc w:val="left"/>
        <w:rPr>
          <w:sz w:val="21"/>
        </w:rPr>
      </w:pPr>
      <w:r>
        <w:rPr>
          <w:spacing w:val="-3"/>
          <w:sz w:val="21"/>
        </w:rPr>
        <w:t>小时，由此导致工期延误的，工期应予以顺延。监理人未能在前述期限内提出延期要求，又不参加试车的，视为认可试车记录。</w:t>
      </w:r>
    </w:p>
    <w:p>
      <w:pPr>
        <w:pStyle w:val="13"/>
        <w:spacing w:before="31" w:line="348" w:lineRule="auto"/>
        <w:ind w:right="207" w:firstLine="420"/>
        <w:jc w:val="both"/>
      </w:pPr>
      <w:r>
        <w:rPr>
          <w:spacing w:val="-3"/>
        </w:rPr>
        <w:t>（2）</w:t>
      </w:r>
      <w:r>
        <w:rPr>
          <w:spacing w:val="-7"/>
        </w:rPr>
        <w:t xml:space="preserve">具备无负荷联动试车条件，发包人组织试车，并在试车前 </w:t>
      </w:r>
      <w:r>
        <w:t>48</w:t>
      </w:r>
      <w:r>
        <w:rPr>
          <w:spacing w:val="-8"/>
        </w:rPr>
        <w:t xml:space="preserve"> 小时以书面形式通知承包人。通知</w:t>
      </w:r>
      <w:r>
        <w:rPr>
          <w:spacing w:val="-7"/>
        </w:rPr>
        <w:t>中应载明试车内容、时间、地点和对承包人的要求，承包人按要求做好准备工作。试车合格，合同当事人</w:t>
      </w:r>
      <w:r>
        <w:rPr>
          <w:spacing w:val="-5"/>
        </w:rPr>
        <w:t>在试车记录上签字。承包人无正当理由不参加试车的，视为认可试车记录。</w:t>
      </w:r>
    </w:p>
    <w:p>
      <w:pPr>
        <w:pStyle w:val="32"/>
        <w:numPr>
          <w:ilvl w:val="2"/>
          <w:numId w:val="39"/>
        </w:numPr>
        <w:tabs>
          <w:tab w:val="left" w:pos="1270"/>
        </w:tabs>
        <w:spacing w:before="31" w:after="0" w:line="240" w:lineRule="auto"/>
        <w:ind w:left="1270" w:right="0" w:hanging="737"/>
        <w:jc w:val="left"/>
        <w:rPr>
          <w:sz w:val="21"/>
        </w:rPr>
      </w:pPr>
      <w:r>
        <w:rPr>
          <w:spacing w:val="-3"/>
          <w:sz w:val="21"/>
        </w:rPr>
        <w:t>试车中的责任</w:t>
      </w:r>
    </w:p>
    <w:p>
      <w:pPr>
        <w:pStyle w:val="13"/>
        <w:spacing w:before="125"/>
        <w:ind w:left="533"/>
      </w:pPr>
      <w:r>
        <w:t>因设计原因导致试车达不到验收要求，发包人应要求设计人修改设计，承包人按修改后的设计重新安</w:t>
      </w:r>
    </w:p>
    <w:p>
      <w:pPr>
        <w:spacing w:after="0"/>
        <w:sectPr>
          <w:pgSz w:w="11910" w:h="16840"/>
          <w:pgMar w:top="1460" w:right="920" w:bottom="1180" w:left="1020" w:header="0" w:footer="920" w:gutter="0"/>
        </w:sectPr>
      </w:pPr>
    </w:p>
    <w:p>
      <w:pPr>
        <w:pStyle w:val="13"/>
        <w:spacing w:before="14" w:line="348" w:lineRule="auto"/>
        <w:ind w:right="201"/>
      </w:pPr>
      <w:r>
        <w:rPr>
          <w:spacing w:val="-5"/>
        </w:rPr>
        <w:t>装。发包人承担修改设计、拆除及重新安装的全部费用，工期相应顺延。因承包人原因导致试车达不到验</w:t>
      </w:r>
      <w:r>
        <w:rPr>
          <w:spacing w:val="-4"/>
        </w:rPr>
        <w:t>收要求，承包人按监理人要求重新安装和试车，并承担重新安装和试车的费用，工期不予顺延。</w:t>
      </w:r>
    </w:p>
    <w:p>
      <w:pPr>
        <w:pStyle w:val="13"/>
        <w:spacing w:before="31" w:line="348" w:lineRule="auto"/>
        <w:ind w:right="206" w:firstLine="420"/>
        <w:jc w:val="both"/>
      </w:pPr>
      <w:r>
        <w:rPr>
          <w:spacing w:val="-4"/>
        </w:rPr>
        <w:t>因工程设备制造原因导致试车达不到验收要求的，由采购该工程设备的合同当事人负责重新购置或修</w:t>
      </w:r>
      <w:r>
        <w:rPr>
          <w:spacing w:val="-5"/>
        </w:rPr>
        <w:t>理，承包人负责拆除和重新安装，由此增加的修理、重新购置、拆除及重新安装的费用及延误的工期由采</w:t>
      </w:r>
      <w:r>
        <w:rPr>
          <w:spacing w:val="-4"/>
        </w:rPr>
        <w:t>购该工程设备的合同当事人承担。</w:t>
      </w:r>
    </w:p>
    <w:p>
      <w:pPr>
        <w:pStyle w:val="32"/>
        <w:numPr>
          <w:ilvl w:val="2"/>
          <w:numId w:val="39"/>
        </w:numPr>
        <w:tabs>
          <w:tab w:val="left" w:pos="1270"/>
        </w:tabs>
        <w:spacing w:before="31" w:after="0" w:line="240" w:lineRule="auto"/>
        <w:ind w:left="1270" w:right="0" w:hanging="737"/>
        <w:jc w:val="left"/>
        <w:rPr>
          <w:sz w:val="21"/>
        </w:rPr>
      </w:pPr>
      <w:r>
        <w:rPr>
          <w:spacing w:val="-3"/>
          <w:sz w:val="21"/>
        </w:rPr>
        <w:t>投料试车</w:t>
      </w:r>
    </w:p>
    <w:p>
      <w:pPr>
        <w:pStyle w:val="13"/>
        <w:spacing w:before="126" w:line="348" w:lineRule="auto"/>
        <w:ind w:right="190" w:firstLine="420"/>
      </w:pPr>
      <w:r>
        <w:rPr>
          <w:spacing w:val="-5"/>
        </w:rPr>
        <w:t>如需进行投料试车的，发包人应在工程竣工验收后组织投料试车。发包人要求在工程竣工验收前进行</w:t>
      </w:r>
      <w:r>
        <w:rPr>
          <w:spacing w:val="-3"/>
        </w:rPr>
        <w:t>或需要承包人配合时，应征得承包人同意，并在专用合同条款中约定有关事项。</w:t>
      </w:r>
    </w:p>
    <w:p>
      <w:pPr>
        <w:pStyle w:val="13"/>
        <w:spacing w:before="31" w:line="350" w:lineRule="auto"/>
        <w:ind w:right="206" w:firstLine="420"/>
        <w:jc w:val="both"/>
      </w:pPr>
      <w:r>
        <w:rPr>
          <w:spacing w:val="-6"/>
        </w:rPr>
        <w:t>投料试车合格的，费用由发包人承担；因承包人原因造成投料试车不合格的，承包人应按照发包人要</w:t>
      </w:r>
      <w:r>
        <w:rPr>
          <w:spacing w:val="-7"/>
        </w:rPr>
        <w:t>求进行整改，由此产生的整改费用由承包人承担；非因承包人原因导致投料试车不合格的，如发包人要求</w:t>
      </w:r>
      <w:r>
        <w:rPr>
          <w:spacing w:val="-5"/>
        </w:rPr>
        <w:t>承包人进行整改的，由此产生的费用由发包人承担。</w:t>
      </w:r>
    </w:p>
    <w:p>
      <w:pPr>
        <w:pStyle w:val="32"/>
        <w:numPr>
          <w:ilvl w:val="1"/>
          <w:numId w:val="39"/>
        </w:numPr>
        <w:tabs>
          <w:tab w:val="left" w:pos="1011"/>
        </w:tabs>
        <w:spacing w:before="149" w:after="0" w:line="240" w:lineRule="auto"/>
        <w:ind w:left="1010" w:right="0" w:hanging="475"/>
        <w:jc w:val="left"/>
        <w:rPr>
          <w:b/>
          <w:sz w:val="21"/>
        </w:rPr>
      </w:pPr>
      <w:r>
        <w:rPr>
          <w:b/>
          <w:spacing w:val="-1"/>
          <w:sz w:val="21"/>
        </w:rPr>
        <w:t>提前交付单位工程的验收</w:t>
      </w:r>
    </w:p>
    <w:p>
      <w:pPr>
        <w:pStyle w:val="13"/>
        <w:spacing w:before="10"/>
        <w:ind w:left="0"/>
        <w:rPr>
          <w:b/>
          <w:sz w:val="18"/>
        </w:rPr>
      </w:pPr>
    </w:p>
    <w:p>
      <w:pPr>
        <w:pStyle w:val="32"/>
        <w:numPr>
          <w:ilvl w:val="2"/>
          <w:numId w:val="39"/>
        </w:numPr>
        <w:tabs>
          <w:tab w:val="left" w:pos="1270"/>
        </w:tabs>
        <w:spacing w:before="0" w:after="0" w:line="348" w:lineRule="auto"/>
        <w:ind w:left="112" w:right="290" w:firstLine="421"/>
        <w:jc w:val="left"/>
        <w:rPr>
          <w:sz w:val="21"/>
        </w:rPr>
      </w:pPr>
      <w:r>
        <w:rPr>
          <w:spacing w:val="-3"/>
          <w:sz w:val="21"/>
        </w:rPr>
        <w:t>发包人需要在工程竣工前使用单位工程的，或承包人提出提前交付已经竣工的单位工程且经</w:t>
      </w:r>
      <w:r>
        <w:rPr>
          <w:spacing w:val="-5"/>
          <w:sz w:val="21"/>
        </w:rPr>
        <w:t xml:space="preserve">发包人同意的，可进行单位工程验收，验收的程序按照第 </w:t>
      </w:r>
      <w:r>
        <w:rPr>
          <w:sz w:val="21"/>
        </w:rPr>
        <w:t>13.2</w:t>
      </w:r>
      <w:r>
        <w:rPr>
          <w:spacing w:val="-7"/>
          <w:sz w:val="21"/>
        </w:rPr>
        <w:t xml:space="preserve"> 款〔竣工验收〕的约定进行。</w:t>
      </w:r>
    </w:p>
    <w:p>
      <w:pPr>
        <w:pStyle w:val="13"/>
        <w:spacing w:before="31" w:line="350" w:lineRule="auto"/>
        <w:ind w:right="191" w:firstLine="420"/>
      </w:pPr>
      <w:r>
        <w:rPr>
          <w:spacing w:val="-5"/>
        </w:rPr>
        <w:t>验收合格后，由监理人向承包人出具经发包人签认的单位工程接收证书。已签发单位工程接收证书的</w:t>
      </w:r>
      <w:r>
        <w:rPr>
          <w:spacing w:val="-4"/>
        </w:rPr>
        <w:t>单位工程由发包人负责照管。单位工程的验收成果和结论作为整体工程竣工验收申请报告的附件。</w:t>
      </w:r>
    </w:p>
    <w:p>
      <w:pPr>
        <w:pStyle w:val="32"/>
        <w:numPr>
          <w:ilvl w:val="2"/>
          <w:numId w:val="39"/>
        </w:numPr>
        <w:tabs>
          <w:tab w:val="left" w:pos="1270"/>
        </w:tabs>
        <w:spacing w:before="27" w:after="0" w:line="350" w:lineRule="auto"/>
        <w:ind w:left="112" w:right="290" w:firstLine="421"/>
        <w:jc w:val="left"/>
        <w:rPr>
          <w:sz w:val="21"/>
        </w:rPr>
      </w:pPr>
      <w:r>
        <w:rPr>
          <w:spacing w:val="-3"/>
          <w:sz w:val="21"/>
        </w:rPr>
        <w:t>发包人要求在工程竣工前交付单位工程，由此导致承包人费用增加和</w:t>
      </w:r>
      <w:r>
        <w:rPr>
          <w:sz w:val="21"/>
        </w:rPr>
        <w:t>（或</w:t>
      </w:r>
      <w:r>
        <w:rPr>
          <w:spacing w:val="-3"/>
          <w:sz w:val="21"/>
        </w:rPr>
        <w:t>）工期延误的，由发包人承担由此增加的费用和（</w:t>
      </w:r>
      <w:r>
        <w:rPr>
          <w:sz w:val="21"/>
        </w:rPr>
        <w:t>或</w:t>
      </w:r>
      <w:r>
        <w:rPr>
          <w:spacing w:val="-3"/>
          <w:sz w:val="21"/>
        </w:rPr>
        <w:t>）延误的工期，并支付承包人合理的利润。</w:t>
      </w:r>
    </w:p>
    <w:p>
      <w:pPr>
        <w:pStyle w:val="32"/>
        <w:numPr>
          <w:ilvl w:val="1"/>
          <w:numId w:val="40"/>
        </w:numPr>
        <w:tabs>
          <w:tab w:val="left" w:pos="1064"/>
        </w:tabs>
        <w:spacing w:before="149" w:after="0" w:line="240" w:lineRule="auto"/>
        <w:ind w:left="1063" w:right="0" w:hanging="528"/>
        <w:jc w:val="left"/>
        <w:rPr>
          <w:b/>
          <w:sz w:val="21"/>
        </w:rPr>
      </w:pPr>
      <w:r>
        <w:rPr>
          <w:b/>
          <w:sz w:val="21"/>
        </w:rPr>
        <w:t>施工期运行</w:t>
      </w:r>
    </w:p>
    <w:p>
      <w:pPr>
        <w:pStyle w:val="13"/>
        <w:spacing w:before="8"/>
        <w:ind w:left="0"/>
        <w:rPr>
          <w:b/>
          <w:sz w:val="18"/>
        </w:rPr>
      </w:pPr>
    </w:p>
    <w:p>
      <w:pPr>
        <w:pStyle w:val="32"/>
        <w:numPr>
          <w:ilvl w:val="2"/>
          <w:numId w:val="40"/>
        </w:numPr>
        <w:tabs>
          <w:tab w:val="left" w:pos="1270"/>
        </w:tabs>
        <w:spacing w:before="0" w:after="0" w:line="350" w:lineRule="auto"/>
        <w:ind w:left="112" w:right="103" w:firstLine="421"/>
        <w:jc w:val="left"/>
        <w:rPr>
          <w:sz w:val="21"/>
        </w:rPr>
      </w:pPr>
      <w:r>
        <w:rPr>
          <w:spacing w:val="-5"/>
          <w:sz w:val="21"/>
        </w:rPr>
        <w:t xml:space="preserve">施工期运行是指合同工程尚未全部竣工，其中某项或某几项单位工程或工程设备安装已竣工， 根据专用合同条款约定，需要投入施工期运行的，经发包人按第 </w:t>
      </w:r>
      <w:r>
        <w:rPr>
          <w:sz w:val="21"/>
        </w:rPr>
        <w:t>13.4</w:t>
      </w:r>
      <w:r>
        <w:rPr>
          <w:spacing w:val="-7"/>
          <w:sz w:val="21"/>
        </w:rPr>
        <w:t xml:space="preserve"> 款〔提前交付单位工程的验收〕的约</w:t>
      </w:r>
      <w:r>
        <w:rPr>
          <w:spacing w:val="-4"/>
          <w:sz w:val="21"/>
        </w:rPr>
        <w:t>定验收合格，证明能确保安全后，才能在施工期投入运行。</w:t>
      </w:r>
    </w:p>
    <w:p>
      <w:pPr>
        <w:pStyle w:val="32"/>
        <w:numPr>
          <w:ilvl w:val="2"/>
          <w:numId w:val="40"/>
        </w:numPr>
        <w:tabs>
          <w:tab w:val="left" w:pos="1270"/>
        </w:tabs>
        <w:spacing w:before="27" w:after="0" w:line="350" w:lineRule="auto"/>
        <w:ind w:left="112" w:right="103" w:firstLine="421"/>
        <w:jc w:val="left"/>
        <w:rPr>
          <w:sz w:val="21"/>
        </w:rPr>
      </w:pPr>
      <w:r>
        <w:rPr>
          <w:spacing w:val="-7"/>
          <w:sz w:val="21"/>
        </w:rPr>
        <w:t xml:space="preserve">在施工期运行中发现工程或工程设备损坏或存在缺陷的，由承包人按第 </w:t>
      </w:r>
      <w:r>
        <w:rPr>
          <w:sz w:val="21"/>
        </w:rPr>
        <w:t>15.2</w:t>
      </w:r>
      <w:r>
        <w:rPr>
          <w:spacing w:val="-14"/>
          <w:sz w:val="21"/>
        </w:rPr>
        <w:t xml:space="preserve"> 款〔缺陷责任期〕</w:t>
      </w:r>
      <w:r>
        <w:rPr>
          <w:spacing w:val="-6"/>
          <w:sz w:val="21"/>
        </w:rPr>
        <w:t>约定进行修复。</w:t>
      </w:r>
    </w:p>
    <w:p>
      <w:pPr>
        <w:pStyle w:val="32"/>
        <w:numPr>
          <w:ilvl w:val="1"/>
          <w:numId w:val="41"/>
        </w:numPr>
        <w:tabs>
          <w:tab w:val="left" w:pos="1064"/>
        </w:tabs>
        <w:spacing w:before="149" w:after="0" w:line="240" w:lineRule="auto"/>
        <w:ind w:left="1063" w:right="0" w:hanging="528"/>
        <w:jc w:val="left"/>
        <w:rPr>
          <w:b/>
          <w:sz w:val="21"/>
        </w:rPr>
      </w:pPr>
      <w:r>
        <w:rPr>
          <w:b/>
          <w:sz w:val="21"/>
        </w:rPr>
        <w:t>竣工退场</w:t>
      </w:r>
    </w:p>
    <w:p>
      <w:pPr>
        <w:pStyle w:val="13"/>
        <w:spacing w:before="7"/>
        <w:ind w:left="0"/>
        <w:rPr>
          <w:b/>
          <w:sz w:val="18"/>
        </w:rPr>
      </w:pPr>
    </w:p>
    <w:p>
      <w:pPr>
        <w:pStyle w:val="32"/>
        <w:numPr>
          <w:ilvl w:val="2"/>
          <w:numId w:val="41"/>
        </w:numPr>
        <w:tabs>
          <w:tab w:val="left" w:pos="1270"/>
        </w:tabs>
        <w:spacing w:before="0" w:after="0" w:line="240" w:lineRule="auto"/>
        <w:ind w:left="1270" w:right="0" w:hanging="737"/>
        <w:jc w:val="left"/>
        <w:rPr>
          <w:sz w:val="21"/>
        </w:rPr>
      </w:pPr>
      <w:r>
        <w:rPr>
          <w:spacing w:val="-3"/>
          <w:sz w:val="21"/>
        </w:rPr>
        <w:t>竣工退场</w:t>
      </w:r>
    </w:p>
    <w:p>
      <w:pPr>
        <w:pStyle w:val="13"/>
        <w:spacing w:before="125"/>
        <w:ind w:left="533"/>
      </w:pPr>
      <w:r>
        <w:t>颁发工程接收证书后，承包人应按以下要求对施工现场进行清理：</w:t>
      </w:r>
    </w:p>
    <w:p>
      <w:pPr>
        <w:pStyle w:val="13"/>
        <w:spacing w:before="126"/>
        <w:ind w:left="533"/>
      </w:pPr>
      <w:r>
        <w:t>（1）施工现场内残留的垃圾已全部清除出场；</w:t>
      </w:r>
    </w:p>
    <w:p>
      <w:pPr>
        <w:pStyle w:val="13"/>
        <w:spacing w:before="123"/>
        <w:ind w:left="533"/>
      </w:pPr>
      <w:r>
        <w:t>（2）临时工程已拆除，场地已进行清理、平整或复原；</w:t>
      </w:r>
    </w:p>
    <w:p>
      <w:pPr>
        <w:pStyle w:val="13"/>
        <w:spacing w:before="125" w:line="350" w:lineRule="auto"/>
        <w:ind w:right="283" w:firstLine="420"/>
      </w:pPr>
      <w:r>
        <w:t>（3）按合同约定应撤离的人员、承包人施工设备和剩余的材料，包括废弃的施工设备和材料，已按计划撤离施工现场；</w:t>
      </w:r>
    </w:p>
    <w:p>
      <w:pPr>
        <w:pStyle w:val="13"/>
        <w:spacing w:before="26"/>
        <w:ind w:left="533"/>
      </w:pPr>
      <w:r>
        <w:t>（4）施工现场周边及其附近道路、河道的施工堆积物，已全部清理；</w:t>
      </w:r>
    </w:p>
    <w:p>
      <w:pPr>
        <w:pStyle w:val="13"/>
        <w:spacing w:before="125"/>
        <w:ind w:left="533"/>
      </w:pPr>
      <w:r>
        <w:t>（5）施工现场其他场地清理工作已全部完成。</w:t>
      </w:r>
    </w:p>
    <w:p>
      <w:pPr>
        <w:spacing w:after="0"/>
        <w:sectPr>
          <w:pgSz w:w="11910" w:h="16840"/>
          <w:pgMar w:top="1460" w:right="920" w:bottom="1180" w:left="1020" w:header="0" w:footer="920" w:gutter="0"/>
        </w:sectPr>
      </w:pPr>
    </w:p>
    <w:p>
      <w:pPr>
        <w:pStyle w:val="13"/>
        <w:spacing w:before="14" w:line="348" w:lineRule="auto"/>
        <w:ind w:right="206" w:firstLine="420"/>
        <w:jc w:val="both"/>
      </w:pPr>
      <w:r>
        <w:rPr>
          <w:spacing w:val="-5"/>
        </w:rPr>
        <w:t>施工现场的竣工退场费用由承包人承担。承包人应在专用合同条款约定的期限内完成竣工退场，逾期</w:t>
      </w:r>
      <w:r>
        <w:rPr>
          <w:spacing w:val="-8"/>
        </w:rPr>
        <w:t>未完成的，发包人有权出售或另行处理承包人遗留的物品，由此支出的费用由承包人承担，发包人出售承</w:t>
      </w:r>
      <w:r>
        <w:rPr>
          <w:spacing w:val="-5"/>
        </w:rPr>
        <w:t>包人遗留物品所得款项在扣除必要费用后应返还承包人。</w:t>
      </w:r>
    </w:p>
    <w:p>
      <w:pPr>
        <w:pStyle w:val="32"/>
        <w:numPr>
          <w:ilvl w:val="2"/>
          <w:numId w:val="41"/>
        </w:numPr>
        <w:tabs>
          <w:tab w:val="left" w:pos="1270"/>
        </w:tabs>
        <w:spacing w:before="31" w:after="0" w:line="240" w:lineRule="auto"/>
        <w:ind w:left="1270" w:right="0" w:hanging="737"/>
        <w:jc w:val="left"/>
        <w:rPr>
          <w:sz w:val="21"/>
        </w:rPr>
      </w:pPr>
      <w:r>
        <w:rPr>
          <w:spacing w:val="-3"/>
          <w:sz w:val="21"/>
        </w:rPr>
        <w:t>地表还原</w:t>
      </w:r>
    </w:p>
    <w:p>
      <w:pPr>
        <w:pStyle w:val="13"/>
        <w:spacing w:before="123" w:line="350" w:lineRule="auto"/>
        <w:ind w:right="191" w:firstLine="420"/>
      </w:pPr>
      <w:r>
        <w:rPr>
          <w:spacing w:val="-5"/>
        </w:rPr>
        <w:t>承包人应按发包人要求恢复临时占地及清理场地，承包人未按发包人的要求恢复临时占地，或者场地</w:t>
      </w:r>
      <w:r>
        <w:rPr>
          <w:spacing w:val="-4"/>
        </w:rPr>
        <w:t>清理未达到合同约定要求的，发包人有权委托其他人恢复或清理，所发生的费用由承包人承担。</w:t>
      </w:r>
    </w:p>
    <w:p>
      <w:pPr>
        <w:pStyle w:val="32"/>
        <w:numPr>
          <w:ilvl w:val="0"/>
          <w:numId w:val="9"/>
        </w:numPr>
        <w:tabs>
          <w:tab w:val="left" w:pos="536"/>
        </w:tabs>
        <w:spacing w:before="149" w:after="0" w:line="240" w:lineRule="auto"/>
        <w:ind w:left="535" w:right="0" w:hanging="423"/>
        <w:jc w:val="left"/>
        <w:rPr>
          <w:sz w:val="21"/>
        </w:rPr>
      </w:pPr>
      <w:r>
        <w:rPr>
          <w:spacing w:val="-3"/>
          <w:sz w:val="21"/>
        </w:rPr>
        <w:t>竣工结算</w:t>
      </w:r>
    </w:p>
    <w:p>
      <w:pPr>
        <w:pStyle w:val="13"/>
        <w:spacing w:before="7"/>
        <w:ind w:left="0"/>
        <w:rPr>
          <w:sz w:val="18"/>
        </w:rPr>
      </w:pPr>
    </w:p>
    <w:p>
      <w:pPr>
        <w:pStyle w:val="32"/>
        <w:numPr>
          <w:ilvl w:val="1"/>
          <w:numId w:val="9"/>
        </w:numPr>
        <w:tabs>
          <w:tab w:val="left" w:pos="1064"/>
        </w:tabs>
        <w:spacing w:before="0" w:after="0" w:line="240" w:lineRule="auto"/>
        <w:ind w:left="1063" w:right="0" w:hanging="528"/>
        <w:jc w:val="left"/>
        <w:rPr>
          <w:b/>
          <w:sz w:val="21"/>
        </w:rPr>
      </w:pPr>
      <w:r>
        <w:rPr>
          <w:b/>
          <w:sz w:val="21"/>
        </w:rPr>
        <w:t>竣工结算申请</w:t>
      </w:r>
    </w:p>
    <w:p>
      <w:pPr>
        <w:pStyle w:val="13"/>
        <w:spacing w:before="9"/>
        <w:ind w:left="0"/>
        <w:rPr>
          <w:b/>
          <w:sz w:val="18"/>
        </w:rPr>
      </w:pPr>
    </w:p>
    <w:p>
      <w:pPr>
        <w:pStyle w:val="13"/>
        <w:spacing w:line="350" w:lineRule="auto"/>
        <w:ind w:right="206" w:firstLine="420"/>
        <w:jc w:val="both"/>
      </w:pPr>
      <w:r>
        <w:rPr>
          <w:spacing w:val="-5"/>
        </w:rPr>
        <w:t>除专用合同条款另有约定外，承包人应在工程竣工验收合格后</w:t>
      </w:r>
      <w:r>
        <w:t>28</w:t>
      </w:r>
      <w:r>
        <w:rPr>
          <w:spacing w:val="-3"/>
        </w:rPr>
        <w:t>天内向发包人和监理人提交竣工结算</w:t>
      </w:r>
      <w:r>
        <w:rPr>
          <w:spacing w:val="-6"/>
        </w:rPr>
        <w:t>申请单，并提交完整的结算资料，有关竣工结算申请单的资料清单和份数等要求由合同当事人在专用合同</w:t>
      </w:r>
      <w:r>
        <w:rPr>
          <w:spacing w:val="-4"/>
        </w:rPr>
        <w:t>条款中约定。</w:t>
      </w:r>
    </w:p>
    <w:p>
      <w:pPr>
        <w:pStyle w:val="13"/>
        <w:spacing w:before="28"/>
        <w:ind w:left="533"/>
      </w:pPr>
      <w:r>
        <w:t>除专用合同条款另有约定外，竣工结算申请单应包括以下内容：</w:t>
      </w:r>
    </w:p>
    <w:p>
      <w:pPr>
        <w:pStyle w:val="13"/>
        <w:spacing w:before="125"/>
        <w:ind w:left="533"/>
      </w:pPr>
      <w:r>
        <w:t>（1）竣工结算合同价格；</w:t>
      </w:r>
    </w:p>
    <w:p>
      <w:pPr>
        <w:pStyle w:val="13"/>
        <w:spacing w:before="123"/>
        <w:ind w:left="533"/>
      </w:pPr>
      <w:r>
        <w:t>（2）发包人已支付承包人的款项；</w:t>
      </w:r>
    </w:p>
    <w:p>
      <w:pPr>
        <w:pStyle w:val="13"/>
        <w:spacing w:before="125"/>
        <w:ind w:left="533"/>
      </w:pPr>
      <w:r>
        <w:t>（3）应扣留的质量保证金。已缴纳履约保证金的或提供其他工程质量担保方式的除外；</w:t>
      </w:r>
    </w:p>
    <w:p>
      <w:pPr>
        <w:pStyle w:val="13"/>
        <w:spacing w:before="125"/>
        <w:ind w:left="533"/>
      </w:pPr>
      <w:r>
        <w:t>（4）发包人应支付承包人的合同价款。</w:t>
      </w:r>
    </w:p>
    <w:p>
      <w:pPr>
        <w:pStyle w:val="13"/>
        <w:spacing w:before="7"/>
        <w:ind w:left="0"/>
        <w:rPr>
          <w:sz w:val="18"/>
        </w:rPr>
      </w:pPr>
    </w:p>
    <w:p>
      <w:pPr>
        <w:pStyle w:val="32"/>
        <w:numPr>
          <w:ilvl w:val="1"/>
          <w:numId w:val="9"/>
        </w:numPr>
        <w:tabs>
          <w:tab w:val="left" w:pos="1064"/>
        </w:tabs>
        <w:spacing w:before="1" w:after="0" w:line="240" w:lineRule="auto"/>
        <w:ind w:left="1063" w:right="0" w:hanging="528"/>
        <w:jc w:val="left"/>
        <w:rPr>
          <w:b/>
          <w:sz w:val="21"/>
        </w:rPr>
      </w:pPr>
      <w:r>
        <w:rPr>
          <w:b/>
          <w:sz w:val="21"/>
        </w:rPr>
        <w:t>竣工结算审核</w:t>
      </w:r>
    </w:p>
    <w:p>
      <w:pPr>
        <w:pStyle w:val="13"/>
        <w:spacing w:before="10"/>
        <w:ind w:left="0"/>
        <w:rPr>
          <w:b/>
          <w:sz w:val="18"/>
        </w:rPr>
      </w:pPr>
    </w:p>
    <w:p>
      <w:pPr>
        <w:pStyle w:val="13"/>
        <w:spacing w:line="350" w:lineRule="auto"/>
        <w:ind w:right="87" w:firstLine="420"/>
      </w:pPr>
      <w:r>
        <w:rPr>
          <w:spacing w:val="-5"/>
        </w:rPr>
        <w:t>（1）</w:t>
      </w:r>
      <w:r>
        <w:rPr>
          <w:spacing w:val="-4"/>
        </w:rPr>
        <w:t>除专用合同条款另有约定外，监理人应在收到竣工结算申请单后</w:t>
      </w:r>
      <w:r>
        <w:t>14</w:t>
      </w:r>
      <w:r>
        <w:rPr>
          <w:spacing w:val="-3"/>
        </w:rPr>
        <w:t>天内完成核查并报送发包人。发包人应在收到监理人提交的经审核的竣工结算申请单后</w:t>
      </w:r>
      <w:r>
        <w:t>14</w:t>
      </w:r>
      <w:r>
        <w:rPr>
          <w:spacing w:val="-7"/>
        </w:rPr>
        <w:t>天内完成审批，并由监理人向承包人签发经发包人签认的竣工付款证书。监理人或发包人对竣工结算申请单有异议的，有权要求承包人进行修正和提供</w:t>
      </w:r>
      <w:r>
        <w:rPr>
          <w:spacing w:val="-5"/>
        </w:rPr>
        <w:t>补充资料，承包人应提交修正后的竣工结算申请单。</w:t>
      </w:r>
    </w:p>
    <w:p>
      <w:pPr>
        <w:pStyle w:val="13"/>
        <w:spacing w:before="28" w:line="348" w:lineRule="auto"/>
        <w:ind w:right="206" w:firstLine="420"/>
        <w:jc w:val="both"/>
      </w:pPr>
      <w:r>
        <w:rPr>
          <w:spacing w:val="-3"/>
        </w:rPr>
        <w:t>发包人在收到承包人提交竣工结算申请书后</w:t>
      </w:r>
      <w:r>
        <w:t>28</w:t>
      </w:r>
      <w:r>
        <w:rPr>
          <w:spacing w:val="-5"/>
        </w:rPr>
        <w:t>天内未完成审批且未提出异议的，视为发包人认可承包</w:t>
      </w:r>
      <w:r>
        <w:rPr>
          <w:spacing w:val="-6"/>
        </w:rPr>
        <w:t>人提交的竣工结算申请单，并自发包人收到承包人提交的竣工结算申请单后第</w:t>
      </w:r>
      <w:r>
        <w:t>29</w:t>
      </w:r>
      <w:r>
        <w:rPr>
          <w:spacing w:val="-3"/>
        </w:rPr>
        <w:t>天起视为已签发竣工付款证书。</w:t>
      </w:r>
    </w:p>
    <w:p>
      <w:pPr>
        <w:pStyle w:val="13"/>
        <w:spacing w:before="30" w:line="348" w:lineRule="auto"/>
        <w:ind w:right="208" w:firstLine="420"/>
        <w:jc w:val="both"/>
      </w:pPr>
      <w:r>
        <w:rPr>
          <w:spacing w:val="-4"/>
        </w:rPr>
        <w:t>（2）除专用合同条款另有约定外，发包人应在签发竣工付款证书后的</w:t>
      </w:r>
      <w:r>
        <w:t>14</w:t>
      </w:r>
      <w:r>
        <w:rPr>
          <w:spacing w:val="-1"/>
        </w:rPr>
        <w:t xml:space="preserve"> 天内，完成对承包人的竣工</w:t>
      </w:r>
      <w:r>
        <w:rPr>
          <w:spacing w:val="-6"/>
        </w:rPr>
        <w:t>付款。发包人逾期支付的，按照中国人民银行发布的同期同类贷款基准利率支付违约金；逾期支付超过</w:t>
      </w:r>
      <w:r>
        <w:rPr>
          <w:spacing w:val="-3"/>
        </w:rPr>
        <w:t>56 天的，按照中国人民银行发布的同期同类贷款基准利率的两倍支付违约金。</w:t>
      </w:r>
    </w:p>
    <w:p>
      <w:pPr>
        <w:pStyle w:val="13"/>
        <w:spacing w:before="30" w:line="348" w:lineRule="auto"/>
        <w:ind w:right="283" w:firstLine="420"/>
      </w:pPr>
      <w:r>
        <w:t>（3）承包人对发包人签认的竣工付款证书有异议的，对于有异议部分应在收到发包人签认的竣工付款证书后7天内提出异议，并由合同当事人按照专用合同条款约定的方式和程序进行复核，或按照第20条</w:t>
      </w:r>
    </w:p>
    <w:p>
      <w:pPr>
        <w:pStyle w:val="13"/>
        <w:spacing w:before="30" w:line="350" w:lineRule="auto"/>
        <w:ind w:right="283"/>
      </w:pPr>
      <w:r>
        <w:t>〔争议解决〕约定处理。对于无异议部分，发包人应签发临时竣工付款证书，并按本款第（2）项完成付款。承包人逾期未提出异议的，视为认可发包人的审批结果。</w:t>
      </w:r>
    </w:p>
    <w:p>
      <w:pPr>
        <w:pStyle w:val="32"/>
        <w:numPr>
          <w:ilvl w:val="1"/>
          <w:numId w:val="9"/>
        </w:numPr>
        <w:tabs>
          <w:tab w:val="left" w:pos="1064"/>
        </w:tabs>
        <w:spacing w:before="146" w:after="0" w:line="240" w:lineRule="auto"/>
        <w:ind w:left="1063" w:right="0" w:hanging="528"/>
        <w:jc w:val="left"/>
        <w:rPr>
          <w:b/>
          <w:sz w:val="21"/>
        </w:rPr>
      </w:pPr>
      <w:r>
        <w:rPr>
          <w:b/>
          <w:sz w:val="21"/>
        </w:rPr>
        <w:t>甩项竣工协议</w:t>
      </w:r>
    </w:p>
    <w:p>
      <w:pPr>
        <w:pStyle w:val="13"/>
        <w:spacing w:before="10"/>
        <w:ind w:left="0"/>
        <w:rPr>
          <w:b/>
          <w:sz w:val="18"/>
        </w:rPr>
      </w:pPr>
    </w:p>
    <w:p>
      <w:pPr>
        <w:pStyle w:val="13"/>
        <w:ind w:left="526"/>
      </w:pPr>
      <w:r>
        <w:t>发包人要求甩项竣工的，合同当事人应签订甩项竣工协议。在甩项竣工协议中应明确，合同当事人按</w:t>
      </w:r>
    </w:p>
    <w:p>
      <w:pPr>
        <w:spacing w:after="0"/>
        <w:sectPr>
          <w:pgSz w:w="11910" w:h="16840"/>
          <w:pgMar w:top="1460" w:right="920" w:bottom="1180" w:left="1020" w:header="0" w:footer="920" w:gutter="0"/>
        </w:sectPr>
      </w:pPr>
    </w:p>
    <w:p>
      <w:pPr>
        <w:pStyle w:val="13"/>
        <w:spacing w:before="14" w:line="348" w:lineRule="auto"/>
        <w:ind w:right="111"/>
      </w:pPr>
      <w:r>
        <w:t>照第14.1</w:t>
      </w:r>
      <w:r>
        <w:rPr>
          <w:spacing w:val="-4"/>
        </w:rPr>
        <w:t>款〔竣工结算申请〕及</w:t>
      </w:r>
      <w:r>
        <w:t>14.2</w:t>
      </w:r>
      <w:r>
        <w:rPr>
          <w:spacing w:val="-6"/>
        </w:rPr>
        <w:t>款〔竣工结算审核〕的约定，对已完合格工程进行结算，并支付相应</w:t>
      </w:r>
      <w:r>
        <w:rPr>
          <w:spacing w:val="-4"/>
        </w:rPr>
        <w:t>合同价款。</w:t>
      </w:r>
    </w:p>
    <w:p>
      <w:pPr>
        <w:pStyle w:val="32"/>
        <w:numPr>
          <w:ilvl w:val="1"/>
          <w:numId w:val="9"/>
        </w:numPr>
        <w:tabs>
          <w:tab w:val="left" w:pos="1064"/>
        </w:tabs>
        <w:spacing w:before="151" w:after="0" w:line="240" w:lineRule="auto"/>
        <w:ind w:left="1063" w:right="0" w:hanging="528"/>
        <w:jc w:val="left"/>
        <w:rPr>
          <w:b/>
          <w:sz w:val="21"/>
        </w:rPr>
      </w:pPr>
      <w:r>
        <w:rPr>
          <w:b/>
          <w:sz w:val="21"/>
        </w:rPr>
        <w:t>最终结清</w:t>
      </w:r>
    </w:p>
    <w:p>
      <w:pPr>
        <w:pStyle w:val="13"/>
        <w:spacing w:before="9"/>
        <w:ind w:left="0"/>
        <w:rPr>
          <w:b/>
          <w:sz w:val="18"/>
        </w:rPr>
      </w:pPr>
    </w:p>
    <w:p>
      <w:pPr>
        <w:pStyle w:val="32"/>
        <w:numPr>
          <w:ilvl w:val="2"/>
          <w:numId w:val="9"/>
        </w:numPr>
        <w:tabs>
          <w:tab w:val="left" w:pos="1270"/>
        </w:tabs>
        <w:spacing w:before="1" w:after="0" w:line="240" w:lineRule="auto"/>
        <w:ind w:left="1270" w:right="0" w:hanging="737"/>
        <w:jc w:val="left"/>
        <w:rPr>
          <w:sz w:val="21"/>
        </w:rPr>
      </w:pPr>
      <w:r>
        <w:rPr>
          <w:spacing w:val="-3"/>
          <w:sz w:val="21"/>
        </w:rPr>
        <w:t>最终结清申请单</w:t>
      </w:r>
    </w:p>
    <w:p>
      <w:pPr>
        <w:pStyle w:val="13"/>
        <w:spacing w:before="123" w:line="350" w:lineRule="auto"/>
        <w:ind w:right="98" w:firstLine="420"/>
      </w:pPr>
      <w:r>
        <w:t>（1）除专用合同条款另有约定外，承包人应在缺陷责任期终止证书颁发后7天内，按专用合同条款约定的份数向发包人提交最终结清申请单，并提供相关证明材料。</w:t>
      </w:r>
    </w:p>
    <w:p>
      <w:pPr>
        <w:pStyle w:val="13"/>
        <w:spacing w:before="28" w:line="348" w:lineRule="auto"/>
        <w:ind w:firstLine="420"/>
      </w:pPr>
      <w:r>
        <w:rPr>
          <w:spacing w:val="-6"/>
        </w:rPr>
        <w:t>除专用合同条款另有约定外，最终结清申请单应列明质量保证金、应扣除的质量保证金、缺陷责任期</w:t>
      </w:r>
      <w:r>
        <w:rPr>
          <w:spacing w:val="-4"/>
        </w:rPr>
        <w:t>内发生的增减费用。</w:t>
      </w:r>
    </w:p>
    <w:p>
      <w:pPr>
        <w:pStyle w:val="13"/>
        <w:spacing w:before="31" w:line="350" w:lineRule="auto"/>
        <w:ind w:right="203" w:firstLine="420"/>
      </w:pPr>
      <w:r>
        <w:t>（2）发包人对最终结清申请单内容有异议的，有权要求承包人进行修正和提供补充资料，承包人应向发包人提交修正后的最终结清申请单。</w:t>
      </w:r>
    </w:p>
    <w:p>
      <w:pPr>
        <w:pStyle w:val="32"/>
        <w:numPr>
          <w:ilvl w:val="2"/>
          <w:numId w:val="9"/>
        </w:numPr>
        <w:tabs>
          <w:tab w:val="left" w:pos="1270"/>
        </w:tabs>
        <w:spacing w:before="27" w:after="0" w:line="240" w:lineRule="auto"/>
        <w:ind w:left="1270" w:right="0" w:hanging="737"/>
        <w:jc w:val="left"/>
        <w:rPr>
          <w:sz w:val="21"/>
        </w:rPr>
      </w:pPr>
      <w:r>
        <w:rPr>
          <w:spacing w:val="-3"/>
          <w:sz w:val="21"/>
        </w:rPr>
        <w:t>最终结清证书和支付</w:t>
      </w:r>
    </w:p>
    <w:p>
      <w:pPr>
        <w:pStyle w:val="13"/>
        <w:spacing w:before="125" w:line="348" w:lineRule="auto"/>
        <w:ind w:firstLine="420"/>
      </w:pPr>
      <w:r>
        <w:t>（1）</w:t>
      </w:r>
      <w:r>
        <w:rPr>
          <w:spacing w:val="-3"/>
        </w:rPr>
        <w:t>除专用合同条款另有约定外，发包人应在收到承包人提交的最终结清申请单后</w:t>
      </w:r>
      <w:r>
        <w:t>14</w:t>
      </w:r>
      <w:r>
        <w:rPr>
          <w:spacing w:val="-3"/>
        </w:rPr>
        <w:t>天内完成审批</w:t>
      </w:r>
      <w:r>
        <w:rPr>
          <w:spacing w:val="-6"/>
        </w:rPr>
        <w:t>并向承包人颁发最终结清证书。发包人逾期未完成审批，又未提出修改意见的，视为发包人同意承包人提</w:t>
      </w:r>
      <w:r>
        <w:rPr>
          <w:spacing w:val="-3"/>
        </w:rPr>
        <w:t>交的最终结清申请单，且自发包人收到承包人提交的最终结清申请单后</w:t>
      </w:r>
      <w:r>
        <w:t>15</w:t>
      </w:r>
      <w:r>
        <w:rPr>
          <w:spacing w:val="-3"/>
        </w:rPr>
        <w:t>天起视为已颁发最终结清证书。</w:t>
      </w:r>
    </w:p>
    <w:p>
      <w:pPr>
        <w:pStyle w:val="13"/>
        <w:spacing w:before="31" w:line="348" w:lineRule="auto"/>
        <w:ind w:right="126" w:firstLine="420"/>
        <w:jc w:val="both"/>
      </w:pPr>
      <w:r>
        <w:rPr>
          <w:spacing w:val="-4"/>
        </w:rPr>
        <w:t>（2）除专用合同条款另有约定外，发包人应在颁发最终结清证书后</w:t>
      </w:r>
      <w:r>
        <w:t>7</w:t>
      </w:r>
      <w:r>
        <w:rPr>
          <w:spacing w:val="-4"/>
        </w:rPr>
        <w:t>天内完成支付。发包人逾期支付</w:t>
      </w:r>
      <w:r>
        <w:rPr>
          <w:spacing w:val="-5"/>
        </w:rPr>
        <w:t>的，按照中国人民银行发布的同期同类贷款基准利率支付违约金；逾期支付超过</w:t>
      </w:r>
      <w:r>
        <w:t>56</w:t>
      </w:r>
      <w:r>
        <w:rPr>
          <w:spacing w:val="-4"/>
        </w:rPr>
        <w:t>天的，按照中国人民银</w:t>
      </w:r>
      <w:r>
        <w:rPr>
          <w:spacing w:val="-3"/>
        </w:rPr>
        <w:t>行发布的同期同类贷款基准利率的两倍支付违约金。</w:t>
      </w:r>
    </w:p>
    <w:p>
      <w:pPr>
        <w:pStyle w:val="13"/>
        <w:spacing w:before="31"/>
        <w:ind w:left="533"/>
      </w:pPr>
      <w:r>
        <w:t>（3）承包人对发包人颁发的最终结清证书有异议的，按第20条〔争议解决〕的约定办理。</w:t>
      </w:r>
    </w:p>
    <w:p>
      <w:pPr>
        <w:pStyle w:val="13"/>
        <w:spacing w:before="10"/>
        <w:ind w:left="0"/>
        <w:rPr>
          <w:sz w:val="18"/>
        </w:rPr>
      </w:pPr>
    </w:p>
    <w:p>
      <w:pPr>
        <w:pStyle w:val="32"/>
        <w:numPr>
          <w:ilvl w:val="0"/>
          <w:numId w:val="9"/>
        </w:numPr>
        <w:tabs>
          <w:tab w:val="left" w:pos="536"/>
        </w:tabs>
        <w:spacing w:before="0" w:after="0" w:line="240" w:lineRule="auto"/>
        <w:ind w:left="535" w:right="0" w:hanging="423"/>
        <w:jc w:val="left"/>
        <w:rPr>
          <w:sz w:val="21"/>
        </w:rPr>
      </w:pPr>
      <w:r>
        <w:rPr>
          <w:spacing w:val="-3"/>
          <w:sz w:val="21"/>
        </w:rPr>
        <w:t>缺陷责任与保修</w:t>
      </w:r>
    </w:p>
    <w:p>
      <w:pPr>
        <w:pStyle w:val="13"/>
        <w:spacing w:before="8"/>
        <w:ind w:left="0"/>
        <w:rPr>
          <w:sz w:val="18"/>
        </w:rPr>
      </w:pPr>
    </w:p>
    <w:p>
      <w:pPr>
        <w:pStyle w:val="32"/>
        <w:numPr>
          <w:ilvl w:val="1"/>
          <w:numId w:val="9"/>
        </w:numPr>
        <w:tabs>
          <w:tab w:val="left" w:pos="1064"/>
        </w:tabs>
        <w:spacing w:before="0" w:after="0" w:line="240" w:lineRule="auto"/>
        <w:ind w:left="1063" w:right="0" w:hanging="528"/>
        <w:jc w:val="left"/>
        <w:rPr>
          <w:b/>
          <w:sz w:val="21"/>
        </w:rPr>
      </w:pPr>
      <w:r>
        <w:rPr>
          <w:b/>
          <w:sz w:val="21"/>
        </w:rPr>
        <w:t>工程保修的原则</w:t>
      </w:r>
    </w:p>
    <w:p>
      <w:pPr>
        <w:pStyle w:val="13"/>
        <w:spacing w:before="10"/>
        <w:ind w:left="0"/>
        <w:rPr>
          <w:b/>
          <w:sz w:val="18"/>
        </w:rPr>
      </w:pPr>
    </w:p>
    <w:p>
      <w:pPr>
        <w:pStyle w:val="13"/>
        <w:spacing w:line="350" w:lineRule="auto"/>
        <w:ind w:firstLine="420"/>
      </w:pPr>
      <w:r>
        <w:rPr>
          <w:spacing w:val="-6"/>
        </w:rPr>
        <w:t>在工程移交发包人后，因承包人原因产生的质量缺陷，承包人应承担质量缺陷责任和保修义务。缺陷</w:t>
      </w:r>
      <w:r>
        <w:rPr>
          <w:spacing w:val="-4"/>
        </w:rPr>
        <w:t>责任期届满，承包人仍应按合同约定的工程各部位保修年限承担保修义务。</w:t>
      </w:r>
    </w:p>
    <w:p>
      <w:pPr>
        <w:pStyle w:val="32"/>
        <w:numPr>
          <w:ilvl w:val="1"/>
          <w:numId w:val="9"/>
        </w:numPr>
        <w:tabs>
          <w:tab w:val="left" w:pos="1064"/>
        </w:tabs>
        <w:spacing w:before="146" w:after="0" w:line="240" w:lineRule="auto"/>
        <w:ind w:left="1063" w:right="0" w:hanging="528"/>
        <w:jc w:val="left"/>
        <w:rPr>
          <w:b/>
          <w:sz w:val="21"/>
        </w:rPr>
      </w:pPr>
      <w:r>
        <w:rPr>
          <w:b/>
          <w:sz w:val="21"/>
        </w:rPr>
        <w:t>缺陷责任期</w:t>
      </w:r>
    </w:p>
    <w:p>
      <w:pPr>
        <w:pStyle w:val="13"/>
        <w:spacing w:before="9"/>
        <w:ind w:left="0"/>
        <w:rPr>
          <w:b/>
          <w:sz w:val="18"/>
        </w:rPr>
      </w:pPr>
    </w:p>
    <w:p>
      <w:pPr>
        <w:pStyle w:val="32"/>
        <w:numPr>
          <w:ilvl w:val="2"/>
          <w:numId w:val="9"/>
        </w:numPr>
        <w:tabs>
          <w:tab w:val="left" w:pos="1270"/>
        </w:tabs>
        <w:spacing w:before="0" w:after="0" w:line="350" w:lineRule="auto"/>
        <w:ind w:left="112" w:right="210" w:firstLine="421"/>
        <w:jc w:val="left"/>
        <w:rPr>
          <w:sz w:val="21"/>
        </w:rPr>
      </w:pPr>
      <w:r>
        <w:rPr>
          <w:spacing w:val="-3"/>
          <w:sz w:val="21"/>
        </w:rPr>
        <w:t>缺陷责任期从工程通过竣工验收之日起计算，合同当事人应在专用合同条款约定缺陷责任期的具体期限，但该期限最长不超过</w:t>
      </w:r>
      <w:r>
        <w:rPr>
          <w:sz w:val="21"/>
        </w:rPr>
        <w:t>24</w:t>
      </w:r>
      <w:r>
        <w:rPr>
          <w:spacing w:val="-2"/>
          <w:sz w:val="21"/>
        </w:rPr>
        <w:t>个月。</w:t>
      </w:r>
    </w:p>
    <w:p>
      <w:pPr>
        <w:pStyle w:val="13"/>
        <w:spacing w:before="26" w:line="350" w:lineRule="auto"/>
        <w:ind w:right="126" w:firstLine="420"/>
        <w:jc w:val="both"/>
      </w:pPr>
      <w:r>
        <w:rPr>
          <w:spacing w:val="-5"/>
        </w:rPr>
        <w:t>单位工程先于全部工程进行验收，经验收合格并交付使用的，该单位工程缺陷责任期自单位工程验收</w:t>
      </w:r>
      <w:r>
        <w:rPr>
          <w:spacing w:val="-7"/>
        </w:rPr>
        <w:t>合格之日起算。因承包人原因导致工程无法按合同约定期限进行竣工验收的，缺陷责任期从实际通过竣工验收之日起计算。因发包人原因导致工程无法按合同约定期限进行竣工验收的，在承包人提交竣工验收报告90</w:t>
      </w:r>
      <w:r>
        <w:rPr>
          <w:spacing w:val="-6"/>
        </w:rPr>
        <w:t>天后，工程自动进入缺陷责任期；发包人未经竣工验收擅自使用工程的，缺陷责任期自工程转移占有</w:t>
      </w:r>
      <w:r>
        <w:rPr>
          <w:spacing w:val="-4"/>
        </w:rPr>
        <w:t>之日起开始计算。</w:t>
      </w:r>
    </w:p>
    <w:p>
      <w:pPr>
        <w:pStyle w:val="32"/>
        <w:numPr>
          <w:ilvl w:val="2"/>
          <w:numId w:val="9"/>
        </w:numPr>
        <w:tabs>
          <w:tab w:val="left" w:pos="1168"/>
        </w:tabs>
        <w:spacing w:before="29" w:after="0" w:line="348" w:lineRule="auto"/>
        <w:ind w:left="112" w:right="126" w:firstLine="421"/>
        <w:jc w:val="both"/>
        <w:rPr>
          <w:sz w:val="21"/>
        </w:rPr>
      </w:pPr>
      <w:r>
        <w:rPr>
          <w:spacing w:val="-5"/>
          <w:sz w:val="21"/>
        </w:rPr>
        <w:t>缺陷责任期内，由承包人原因造成的缺陷，承包人应负责维修，并承担鉴定及维修费用。如承</w:t>
      </w:r>
      <w:r>
        <w:rPr>
          <w:spacing w:val="-7"/>
          <w:sz w:val="21"/>
        </w:rPr>
        <w:t>包人不维修也不承担费用，发包人可按合同约定向承包人进行索赔。承包人维修并承担相应费用后，不免除对工程的损失赔偿责任。发包人有权要求承包人延长缺陷责任期，并应在原缺陷责任期届满前发出延长</w:t>
      </w:r>
    </w:p>
    <w:p>
      <w:pPr>
        <w:spacing w:after="0" w:line="348" w:lineRule="auto"/>
        <w:jc w:val="both"/>
        <w:rPr>
          <w:sz w:val="21"/>
        </w:rPr>
        <w:sectPr>
          <w:pgSz w:w="11910" w:h="16840"/>
          <w:pgMar w:top="1460" w:right="1000" w:bottom="1180" w:left="1020" w:header="0" w:footer="920" w:gutter="0"/>
        </w:sectPr>
      </w:pPr>
    </w:p>
    <w:p>
      <w:pPr>
        <w:pStyle w:val="13"/>
        <w:spacing w:before="14"/>
      </w:pPr>
      <w:r>
        <w:t>通知。但缺陷责任期（含延长部分）最长不能超过24个月。</w:t>
      </w:r>
    </w:p>
    <w:p>
      <w:pPr>
        <w:pStyle w:val="13"/>
        <w:spacing w:before="124"/>
        <w:ind w:left="533"/>
      </w:pPr>
      <w:r>
        <w:t>由他人原因造成的缺陷，发包人负责组织维修，承包人不承担费用。</w:t>
      </w:r>
    </w:p>
    <w:p>
      <w:pPr>
        <w:pStyle w:val="32"/>
        <w:numPr>
          <w:ilvl w:val="2"/>
          <w:numId w:val="9"/>
        </w:numPr>
        <w:tabs>
          <w:tab w:val="left" w:pos="1270"/>
        </w:tabs>
        <w:spacing w:before="126" w:after="0" w:line="350" w:lineRule="auto"/>
        <w:ind w:left="112" w:right="210" w:firstLine="421"/>
        <w:jc w:val="left"/>
        <w:rPr>
          <w:sz w:val="21"/>
        </w:rPr>
      </w:pPr>
      <w:r>
        <w:rPr>
          <w:spacing w:val="-3"/>
          <w:sz w:val="21"/>
        </w:rPr>
        <w:t>任何一项缺陷或损坏修复后，经检查证明其影响了工程或工程设备的使用性能，承包人应重新进行合同约定的试验和试运行，试验和试运行的全部费用应由责任方承担。</w:t>
      </w:r>
    </w:p>
    <w:p>
      <w:pPr>
        <w:pStyle w:val="32"/>
        <w:numPr>
          <w:ilvl w:val="2"/>
          <w:numId w:val="9"/>
        </w:numPr>
        <w:tabs>
          <w:tab w:val="left" w:pos="1270"/>
        </w:tabs>
        <w:spacing w:before="27" w:after="0" w:line="350" w:lineRule="auto"/>
        <w:ind w:left="112" w:right="107" w:firstLine="421"/>
        <w:jc w:val="both"/>
        <w:rPr>
          <w:sz w:val="21"/>
        </w:rPr>
      </w:pPr>
      <w:r>
        <w:rPr>
          <w:spacing w:val="-5"/>
          <w:sz w:val="21"/>
        </w:rPr>
        <w:t>除专用合同条款另有约定外，承包人应于缺陷责任期届满后</w:t>
      </w:r>
      <w:r>
        <w:rPr>
          <w:sz w:val="21"/>
        </w:rPr>
        <w:t>7</w:t>
      </w:r>
      <w:r>
        <w:rPr>
          <w:spacing w:val="-3"/>
          <w:sz w:val="21"/>
        </w:rPr>
        <w:t>天内向发包人发出缺陷责任期届</w:t>
      </w:r>
      <w:r>
        <w:rPr>
          <w:spacing w:val="-5"/>
          <w:sz w:val="21"/>
        </w:rPr>
        <w:t>满通知，发包人应在收到缺陷责任期满通知后</w:t>
      </w:r>
      <w:r>
        <w:rPr>
          <w:sz w:val="21"/>
        </w:rPr>
        <w:t>14</w:t>
      </w:r>
      <w:r>
        <w:rPr>
          <w:spacing w:val="-4"/>
          <w:sz w:val="21"/>
        </w:rPr>
        <w:t>天内核实承包人是否履行缺陷修复义务，承包人未能履行</w:t>
      </w:r>
      <w:r>
        <w:rPr>
          <w:spacing w:val="-3"/>
          <w:sz w:val="21"/>
        </w:rPr>
        <w:t>缺陷修复义务的，发包人有权扣除相应金额的维修费用。发包人应在收到缺陷责任期届满通知后</w:t>
      </w:r>
      <w:r>
        <w:rPr>
          <w:sz w:val="21"/>
        </w:rPr>
        <w:t>14</w:t>
      </w:r>
      <w:r>
        <w:rPr>
          <w:spacing w:val="-3"/>
          <w:sz w:val="21"/>
        </w:rPr>
        <w:t>天内， 向承包人颁发缺陷责任期终止证书。</w:t>
      </w:r>
    </w:p>
    <w:p>
      <w:pPr>
        <w:pStyle w:val="32"/>
        <w:numPr>
          <w:ilvl w:val="1"/>
          <w:numId w:val="42"/>
        </w:numPr>
        <w:tabs>
          <w:tab w:val="left" w:pos="1064"/>
        </w:tabs>
        <w:spacing w:before="149" w:after="0" w:line="240" w:lineRule="auto"/>
        <w:ind w:left="1063" w:right="0" w:hanging="528"/>
        <w:jc w:val="left"/>
        <w:rPr>
          <w:b/>
          <w:sz w:val="21"/>
        </w:rPr>
      </w:pPr>
      <w:r>
        <w:rPr>
          <w:b/>
          <w:sz w:val="21"/>
        </w:rPr>
        <w:t>质量保证金</w:t>
      </w:r>
    </w:p>
    <w:p>
      <w:pPr>
        <w:pStyle w:val="13"/>
        <w:spacing w:before="10"/>
        <w:ind w:left="0"/>
        <w:rPr>
          <w:b/>
          <w:sz w:val="18"/>
        </w:rPr>
      </w:pPr>
    </w:p>
    <w:p>
      <w:pPr>
        <w:pStyle w:val="13"/>
        <w:ind w:left="533"/>
      </w:pPr>
      <w:r>
        <w:t>经合同当事人协商一致扣留质量保证金的，应在专用合同条款中予以明确。</w:t>
      </w:r>
    </w:p>
    <w:p>
      <w:pPr>
        <w:pStyle w:val="13"/>
        <w:spacing w:before="124"/>
        <w:ind w:left="533"/>
      </w:pPr>
      <w:r>
        <w:t>在工程项目竣工前，承包人已经提供履约担保的，发包人不得同时预留工程质量保证金。</w:t>
      </w:r>
    </w:p>
    <w:p>
      <w:pPr>
        <w:pStyle w:val="13"/>
        <w:ind w:left="0"/>
        <w:rPr>
          <w:sz w:val="20"/>
        </w:rPr>
      </w:pPr>
    </w:p>
    <w:p>
      <w:pPr>
        <w:pStyle w:val="13"/>
        <w:spacing w:before="3"/>
        <w:ind w:left="0"/>
        <w:rPr>
          <w:sz w:val="20"/>
        </w:rPr>
      </w:pPr>
    </w:p>
    <w:p>
      <w:pPr>
        <w:pStyle w:val="32"/>
        <w:numPr>
          <w:ilvl w:val="2"/>
          <w:numId w:val="42"/>
        </w:numPr>
        <w:tabs>
          <w:tab w:val="left" w:pos="1270"/>
        </w:tabs>
        <w:spacing w:before="0" w:after="0" w:line="240" w:lineRule="auto"/>
        <w:ind w:left="1270" w:right="0" w:hanging="737"/>
        <w:jc w:val="left"/>
        <w:rPr>
          <w:sz w:val="21"/>
        </w:rPr>
      </w:pPr>
      <w:r>
        <w:rPr>
          <w:spacing w:val="-3"/>
          <w:sz w:val="21"/>
        </w:rPr>
        <w:t>承包人提供质量保证金的方式</w:t>
      </w:r>
    </w:p>
    <w:p>
      <w:pPr>
        <w:pStyle w:val="13"/>
        <w:spacing w:before="123"/>
        <w:ind w:left="533"/>
      </w:pPr>
      <w:r>
        <w:t>承包人提供质量保证金有以下三种方式：</w:t>
      </w:r>
    </w:p>
    <w:p>
      <w:pPr>
        <w:pStyle w:val="13"/>
        <w:spacing w:before="125"/>
        <w:ind w:left="533"/>
      </w:pPr>
      <w:r>
        <w:t>（1）质量保证金保函；</w:t>
      </w:r>
    </w:p>
    <w:p>
      <w:pPr>
        <w:pStyle w:val="13"/>
        <w:spacing w:before="125"/>
        <w:ind w:left="533"/>
      </w:pPr>
      <w:r>
        <w:t>（2）相应比例的工程款；</w:t>
      </w:r>
    </w:p>
    <w:p>
      <w:pPr>
        <w:pStyle w:val="13"/>
        <w:spacing w:before="123"/>
        <w:ind w:left="533"/>
      </w:pPr>
      <w:r>
        <w:t>（3）双方约定的其他方式。</w:t>
      </w:r>
    </w:p>
    <w:p>
      <w:pPr>
        <w:pStyle w:val="13"/>
        <w:spacing w:before="125"/>
        <w:ind w:left="533"/>
      </w:pPr>
      <w:r>
        <w:t>除专用合同条款另有约定外，质量保证金原则上采用上述第（1）种方式。</w:t>
      </w:r>
    </w:p>
    <w:p>
      <w:pPr>
        <w:pStyle w:val="32"/>
        <w:numPr>
          <w:ilvl w:val="2"/>
          <w:numId w:val="42"/>
        </w:numPr>
        <w:tabs>
          <w:tab w:val="left" w:pos="1270"/>
        </w:tabs>
        <w:spacing w:before="125" w:after="0" w:line="240" w:lineRule="auto"/>
        <w:ind w:left="1270" w:right="0" w:hanging="737"/>
        <w:jc w:val="left"/>
        <w:rPr>
          <w:sz w:val="21"/>
        </w:rPr>
      </w:pPr>
      <w:r>
        <w:rPr>
          <w:spacing w:val="-3"/>
          <w:sz w:val="21"/>
        </w:rPr>
        <w:t>质量保证金的扣留</w:t>
      </w:r>
    </w:p>
    <w:p>
      <w:pPr>
        <w:pStyle w:val="13"/>
        <w:spacing w:before="123"/>
        <w:ind w:left="533"/>
      </w:pPr>
      <w:r>
        <w:t>质量保证金的扣留有以下三种方式：</w:t>
      </w:r>
    </w:p>
    <w:p>
      <w:pPr>
        <w:pStyle w:val="13"/>
        <w:spacing w:before="125" w:line="350" w:lineRule="auto"/>
        <w:ind w:right="203" w:firstLine="420"/>
      </w:pPr>
      <w:r>
        <w:t>（1）在支付工程进度款时逐次扣留，在此情形下，质量保证金的计算基数不包括预付款的支付、扣回以及价格调整的金额；</w:t>
      </w:r>
    </w:p>
    <w:p>
      <w:pPr>
        <w:pStyle w:val="13"/>
        <w:spacing w:before="26"/>
        <w:ind w:left="533"/>
      </w:pPr>
      <w:r>
        <w:t>（2）工程竣工结算时一次性扣留质量保证金；</w:t>
      </w:r>
    </w:p>
    <w:p>
      <w:pPr>
        <w:pStyle w:val="13"/>
        <w:spacing w:before="125"/>
        <w:ind w:left="533"/>
      </w:pPr>
      <w:r>
        <w:t>（3）双方约定的其他扣留方式。</w:t>
      </w:r>
    </w:p>
    <w:p>
      <w:pPr>
        <w:pStyle w:val="13"/>
        <w:spacing w:before="125"/>
        <w:ind w:left="533"/>
      </w:pPr>
      <w:r>
        <w:t>除专用合同条款另有约定外，质量保证金的扣留原则上采用上述第（1）种方式。</w:t>
      </w:r>
    </w:p>
    <w:p>
      <w:pPr>
        <w:pStyle w:val="13"/>
        <w:spacing w:before="123" w:line="350" w:lineRule="auto"/>
        <w:ind w:right="126" w:firstLine="420"/>
        <w:jc w:val="both"/>
      </w:pPr>
      <w:r>
        <w:rPr>
          <w:spacing w:val="-3"/>
        </w:rPr>
        <w:t>发包人累计扣留的质量保证金不得超过工程价款结算总额的</w:t>
      </w:r>
      <w:r>
        <w:t>3</w:t>
      </w:r>
      <w:r>
        <w:rPr>
          <w:spacing w:val="-6"/>
        </w:rPr>
        <w:t>%。如承包人在发包人签发竣工付款证书后28</w:t>
      </w:r>
      <w:r>
        <w:rPr>
          <w:spacing w:val="-5"/>
        </w:rPr>
        <w:t>天内提交质量保证金保函，发包人应同时退还扣留的作为质量保证金的工程价款；保函金额不得超过</w:t>
      </w:r>
      <w:r>
        <w:rPr>
          <w:spacing w:val="-4"/>
        </w:rPr>
        <w:t>工程价款结算总额的</w:t>
      </w:r>
      <w:r>
        <w:t>3%。</w:t>
      </w:r>
    </w:p>
    <w:p>
      <w:pPr>
        <w:pStyle w:val="13"/>
        <w:spacing w:before="27"/>
        <w:ind w:left="533"/>
      </w:pPr>
      <w:r>
        <w:t>发包人在退还质量保证金的同时按照中国人民银行发布的同期同类贷款基准利率支付利息。</w:t>
      </w:r>
    </w:p>
    <w:p>
      <w:pPr>
        <w:pStyle w:val="32"/>
        <w:numPr>
          <w:ilvl w:val="2"/>
          <w:numId w:val="42"/>
        </w:numPr>
        <w:tabs>
          <w:tab w:val="left" w:pos="1270"/>
        </w:tabs>
        <w:spacing w:before="126" w:after="0" w:line="240" w:lineRule="auto"/>
        <w:ind w:left="1270" w:right="0" w:hanging="737"/>
        <w:jc w:val="left"/>
        <w:rPr>
          <w:sz w:val="21"/>
        </w:rPr>
      </w:pPr>
      <w:r>
        <w:rPr>
          <w:spacing w:val="-3"/>
          <w:sz w:val="21"/>
        </w:rPr>
        <w:t>质量保证金的退还</w:t>
      </w:r>
    </w:p>
    <w:p>
      <w:pPr>
        <w:pStyle w:val="13"/>
        <w:spacing w:before="125"/>
        <w:ind w:left="533"/>
      </w:pPr>
      <w:r>
        <w:t>缺陷责任期内，承包人认真履行合同约定的责任，到期后，承包人可向发包人申请返还保证金。</w:t>
      </w:r>
    </w:p>
    <w:p>
      <w:pPr>
        <w:pStyle w:val="13"/>
        <w:spacing w:before="123" w:line="350" w:lineRule="auto"/>
        <w:ind w:right="126" w:firstLine="420"/>
        <w:jc w:val="both"/>
      </w:pPr>
      <w:r>
        <w:rPr>
          <w:spacing w:val="-4"/>
        </w:rPr>
        <w:t>发包人在接到承包人返还保证金申请后，应于</w:t>
      </w:r>
      <w:r>
        <w:t>14</w:t>
      </w:r>
      <w:r>
        <w:rPr>
          <w:spacing w:val="-4"/>
        </w:rPr>
        <w:t>天内会同承包人按照合同约定的内容进行核实。如无</w:t>
      </w:r>
      <w:r>
        <w:rPr>
          <w:spacing w:val="-7"/>
        </w:rPr>
        <w:t>异议，发包人应当按照约定将保证金返还给承包人。对返还期限没有约定或者约定不明确的，发包人应当</w:t>
      </w:r>
      <w:r>
        <w:rPr>
          <w:spacing w:val="-2"/>
        </w:rPr>
        <w:t>在核实后</w:t>
      </w:r>
      <w:r>
        <w:t>14</w:t>
      </w:r>
      <w:r>
        <w:rPr>
          <w:spacing w:val="-6"/>
        </w:rPr>
        <w:t>天内将保证金返还承包人，逾期未返还的，依法承担违约责任。发包人在接到承包人返还保证</w:t>
      </w:r>
    </w:p>
    <w:p>
      <w:pPr>
        <w:spacing w:after="0" w:line="350" w:lineRule="auto"/>
        <w:jc w:val="both"/>
        <w:sectPr>
          <w:pgSz w:w="11910" w:h="16840"/>
          <w:pgMar w:top="1460" w:right="1000" w:bottom="1180" w:left="1020" w:header="0" w:footer="920" w:gutter="0"/>
        </w:sectPr>
      </w:pPr>
    </w:p>
    <w:p>
      <w:pPr>
        <w:pStyle w:val="13"/>
        <w:spacing w:before="14"/>
      </w:pPr>
      <w:r>
        <w:t>金申请后14天内不予答复，经催告后14天内仍不予答复，视同认可承包人的返还保证金申请。</w:t>
      </w:r>
    </w:p>
    <w:p>
      <w:pPr>
        <w:pStyle w:val="13"/>
        <w:spacing w:before="124" w:line="350" w:lineRule="auto"/>
        <w:ind w:firstLine="420"/>
      </w:pPr>
      <w:r>
        <w:rPr>
          <w:spacing w:val="-6"/>
        </w:rPr>
        <w:t>发包人和承包人对保证金预留、返还以及工程维修质量、费用有争议的，按本合同第</w:t>
      </w:r>
      <w:r>
        <w:t>20</w:t>
      </w:r>
      <w:r>
        <w:rPr>
          <w:spacing w:val="-3"/>
        </w:rPr>
        <w:t>条约定的争议和纠纷解决程序处理。</w:t>
      </w:r>
    </w:p>
    <w:p>
      <w:pPr>
        <w:pStyle w:val="32"/>
        <w:numPr>
          <w:ilvl w:val="1"/>
          <w:numId w:val="42"/>
        </w:numPr>
        <w:tabs>
          <w:tab w:val="left" w:pos="1064"/>
        </w:tabs>
        <w:spacing w:before="149" w:after="0" w:line="240" w:lineRule="auto"/>
        <w:ind w:left="1063" w:right="0" w:hanging="528"/>
        <w:jc w:val="left"/>
        <w:rPr>
          <w:b/>
          <w:sz w:val="21"/>
        </w:rPr>
      </w:pPr>
      <w:r>
        <w:rPr>
          <w:b/>
          <w:sz w:val="21"/>
        </w:rPr>
        <w:t>保修</w:t>
      </w:r>
    </w:p>
    <w:p>
      <w:pPr>
        <w:pStyle w:val="13"/>
        <w:spacing w:before="7"/>
        <w:ind w:left="0"/>
        <w:rPr>
          <w:b/>
          <w:sz w:val="18"/>
        </w:rPr>
      </w:pPr>
    </w:p>
    <w:p>
      <w:pPr>
        <w:pStyle w:val="32"/>
        <w:numPr>
          <w:ilvl w:val="2"/>
          <w:numId w:val="42"/>
        </w:numPr>
        <w:tabs>
          <w:tab w:val="left" w:pos="1218"/>
        </w:tabs>
        <w:spacing w:before="0" w:after="0" w:line="240" w:lineRule="auto"/>
        <w:ind w:left="1217" w:right="0" w:hanging="684"/>
        <w:jc w:val="left"/>
        <w:rPr>
          <w:sz w:val="21"/>
        </w:rPr>
      </w:pPr>
      <w:r>
        <w:rPr>
          <w:spacing w:val="-3"/>
          <w:sz w:val="21"/>
        </w:rPr>
        <w:t>保修责任</w:t>
      </w:r>
    </w:p>
    <w:p>
      <w:pPr>
        <w:pStyle w:val="13"/>
        <w:spacing w:before="125" w:line="348" w:lineRule="auto"/>
        <w:ind w:right="106" w:firstLine="420"/>
        <w:jc w:val="both"/>
      </w:pPr>
      <w:r>
        <w:rPr>
          <w:spacing w:val="-5"/>
        </w:rPr>
        <w:t>工程保修期从工程竣工验收合格之日起算，具体分部分项工程的保修期由合同当事人在专用合同条款</w:t>
      </w:r>
      <w:r>
        <w:rPr>
          <w:spacing w:val="-8"/>
        </w:rPr>
        <w:t>中约定，但不得低于法定最低保修年限。在工程保修期内，承包人应当根据有关法律规定以及合同约定承</w:t>
      </w:r>
      <w:r>
        <w:rPr>
          <w:spacing w:val="-5"/>
        </w:rPr>
        <w:t>担保修责任。</w:t>
      </w:r>
    </w:p>
    <w:p>
      <w:pPr>
        <w:pStyle w:val="13"/>
        <w:spacing w:before="31"/>
        <w:ind w:left="533"/>
      </w:pPr>
      <w:r>
        <w:t>发包人未经竣工验收擅自使用工程的，保修期自转移占有之日起算。</w:t>
      </w:r>
    </w:p>
    <w:p>
      <w:pPr>
        <w:pStyle w:val="32"/>
        <w:numPr>
          <w:ilvl w:val="2"/>
          <w:numId w:val="42"/>
        </w:numPr>
        <w:tabs>
          <w:tab w:val="left" w:pos="1270"/>
        </w:tabs>
        <w:spacing w:before="125" w:after="0" w:line="240" w:lineRule="auto"/>
        <w:ind w:left="1270" w:right="0" w:hanging="737"/>
        <w:jc w:val="left"/>
        <w:rPr>
          <w:sz w:val="21"/>
        </w:rPr>
      </w:pPr>
      <w:r>
        <w:rPr>
          <w:spacing w:val="-3"/>
          <w:sz w:val="21"/>
        </w:rPr>
        <w:t>修复费用</w:t>
      </w:r>
    </w:p>
    <w:p>
      <w:pPr>
        <w:pStyle w:val="13"/>
        <w:spacing w:before="123"/>
        <w:ind w:left="533"/>
      </w:pPr>
      <w:r>
        <w:t>保修期内，修复的费用按照以下约定处理：</w:t>
      </w:r>
    </w:p>
    <w:p>
      <w:pPr>
        <w:pStyle w:val="13"/>
        <w:spacing w:before="125" w:line="350" w:lineRule="auto"/>
        <w:ind w:right="183" w:firstLine="420"/>
      </w:pPr>
      <w:r>
        <w:t>（1）保修期内，因承包人原因造成工程的缺陷、损坏，承包人应负责修复，并承担修复的费用以及因工程的缺陷、损坏造成的人身伤害和财产损失；</w:t>
      </w:r>
    </w:p>
    <w:p>
      <w:pPr>
        <w:pStyle w:val="13"/>
        <w:spacing w:before="26" w:line="350" w:lineRule="auto"/>
        <w:ind w:right="183" w:firstLine="420"/>
      </w:pPr>
      <w:r>
        <w:t>（2）保修期内，因发包人使用不当造成工程的缺陷、损坏，可以委托承包人修复，但发包人应承担修复的费用，并支付承包人合理利润；</w:t>
      </w:r>
    </w:p>
    <w:p>
      <w:pPr>
        <w:pStyle w:val="13"/>
        <w:spacing w:before="29" w:line="348" w:lineRule="auto"/>
        <w:ind w:right="183" w:firstLine="420"/>
      </w:pPr>
      <w:r>
        <w:t>（3）因其他原因造成工程的缺陷、损坏，可以委托承包人修复，发包人应承担修复的费用，并支付承包人合理的利润，因工程的缺陷、损坏造成的人身伤害和财产损失由责任方承担。</w:t>
      </w:r>
    </w:p>
    <w:p>
      <w:pPr>
        <w:pStyle w:val="32"/>
        <w:numPr>
          <w:ilvl w:val="2"/>
          <w:numId w:val="42"/>
        </w:numPr>
        <w:tabs>
          <w:tab w:val="left" w:pos="1270"/>
        </w:tabs>
        <w:spacing w:before="31" w:after="0" w:line="240" w:lineRule="auto"/>
        <w:ind w:left="1270" w:right="0" w:hanging="737"/>
        <w:jc w:val="left"/>
        <w:rPr>
          <w:sz w:val="21"/>
        </w:rPr>
      </w:pPr>
      <w:r>
        <w:rPr>
          <w:spacing w:val="-3"/>
          <w:sz w:val="21"/>
        </w:rPr>
        <w:t>修复通知</w:t>
      </w:r>
    </w:p>
    <w:p>
      <w:pPr>
        <w:pStyle w:val="13"/>
        <w:spacing w:before="125" w:line="348" w:lineRule="auto"/>
        <w:ind w:firstLine="420"/>
      </w:pPr>
      <w:r>
        <w:rPr>
          <w:spacing w:val="-6"/>
        </w:rPr>
        <w:t>在保修期内，发包人在使用过程中，发现已接收的工程存在缺陷或损坏的，应书面通知承包人予以修</w:t>
      </w:r>
      <w:r>
        <w:rPr>
          <w:spacing w:val="-5"/>
        </w:rPr>
        <w:t xml:space="preserve">复，但情况紧急必须立即修复缺陷或损坏的，发包人可以口头通知承包人并在口头通知后 </w:t>
      </w:r>
      <w:r>
        <w:t>48</w:t>
      </w:r>
      <w:r>
        <w:rPr>
          <w:spacing w:val="-10"/>
        </w:rPr>
        <w:t xml:space="preserve"> 小时内书面</w:t>
      </w:r>
      <w:r>
        <w:rPr>
          <w:spacing w:val="-5"/>
        </w:rPr>
        <w:t>确认，承包人应在专用合同条款约定的合理期限内到达工程现场并修复缺陷或损坏。</w:t>
      </w:r>
    </w:p>
    <w:p>
      <w:pPr>
        <w:pStyle w:val="32"/>
        <w:numPr>
          <w:ilvl w:val="2"/>
          <w:numId w:val="42"/>
        </w:numPr>
        <w:tabs>
          <w:tab w:val="left" w:pos="1270"/>
        </w:tabs>
        <w:spacing w:before="31" w:after="0" w:line="240" w:lineRule="auto"/>
        <w:ind w:left="1270" w:right="0" w:hanging="737"/>
        <w:jc w:val="left"/>
        <w:rPr>
          <w:sz w:val="21"/>
        </w:rPr>
      </w:pPr>
      <w:r>
        <w:rPr>
          <w:spacing w:val="-3"/>
          <w:sz w:val="21"/>
        </w:rPr>
        <w:t>未能修复</w:t>
      </w:r>
    </w:p>
    <w:p>
      <w:pPr>
        <w:pStyle w:val="13"/>
        <w:spacing w:before="123" w:line="350" w:lineRule="auto"/>
        <w:ind w:right="106" w:firstLine="420"/>
        <w:jc w:val="both"/>
      </w:pPr>
      <w:r>
        <w:rPr>
          <w:spacing w:val="-5"/>
        </w:rPr>
        <w:t>因承包人原因造成工程的缺陷或损坏，承包人拒绝维修或未能在合理期限内修复缺陷或损坏，且经发</w:t>
      </w:r>
      <w:r>
        <w:rPr>
          <w:spacing w:val="-7"/>
        </w:rPr>
        <w:t>包人书面催告后仍未修复的，发包人有权自行修复或委托第三方修复，所需费用由承包人承担。但修复范</w:t>
      </w:r>
      <w:r>
        <w:rPr>
          <w:spacing w:val="-5"/>
        </w:rPr>
        <w:t>围超出缺陷或损坏范围的，超出范围部分的修复费用由发包人承担。</w:t>
      </w:r>
    </w:p>
    <w:p>
      <w:pPr>
        <w:pStyle w:val="32"/>
        <w:numPr>
          <w:ilvl w:val="2"/>
          <w:numId w:val="42"/>
        </w:numPr>
        <w:tabs>
          <w:tab w:val="left" w:pos="1270"/>
        </w:tabs>
        <w:spacing w:before="26" w:after="0" w:line="240" w:lineRule="auto"/>
        <w:ind w:left="1270" w:right="0" w:hanging="737"/>
        <w:jc w:val="left"/>
        <w:rPr>
          <w:sz w:val="21"/>
        </w:rPr>
      </w:pPr>
      <w:r>
        <w:rPr>
          <w:spacing w:val="-3"/>
          <w:sz w:val="21"/>
        </w:rPr>
        <w:t>承包人出入权</w:t>
      </w:r>
    </w:p>
    <w:p>
      <w:pPr>
        <w:pStyle w:val="13"/>
        <w:spacing w:before="125" w:line="348" w:lineRule="auto"/>
        <w:ind w:right="106" w:firstLine="420"/>
      </w:pPr>
      <w:r>
        <w:rPr>
          <w:spacing w:val="-6"/>
        </w:rPr>
        <w:t>在保修期内，为了修复缺陷或损坏，承包人有权出入工程现场，除情况紧急必须立即修复缺陷或损坏</w:t>
      </w:r>
      <w:r>
        <w:rPr>
          <w:spacing w:val="-9"/>
        </w:rPr>
        <w:t xml:space="preserve">外，承包人应提前 </w:t>
      </w:r>
      <w:r>
        <w:t>24</w:t>
      </w:r>
      <w:r>
        <w:rPr>
          <w:spacing w:val="-8"/>
        </w:rPr>
        <w:t xml:space="preserve"> 小时通知发包人进场修复的时间。承包人进入工程现场前应获得发包人同意，且不</w:t>
      </w:r>
      <w:r>
        <w:rPr>
          <w:spacing w:val="-5"/>
        </w:rPr>
        <w:t>应影响发包人正常的生产经营，并应遵守发包人有关保安和保密等规定。</w:t>
      </w:r>
    </w:p>
    <w:p>
      <w:pPr>
        <w:pStyle w:val="32"/>
        <w:numPr>
          <w:ilvl w:val="0"/>
          <w:numId w:val="9"/>
        </w:numPr>
        <w:tabs>
          <w:tab w:val="left" w:pos="536"/>
        </w:tabs>
        <w:spacing w:before="151" w:after="0" w:line="240" w:lineRule="auto"/>
        <w:ind w:left="535" w:right="0" w:hanging="423"/>
        <w:jc w:val="left"/>
        <w:rPr>
          <w:sz w:val="21"/>
        </w:rPr>
      </w:pPr>
      <w:r>
        <w:rPr>
          <w:spacing w:val="-3"/>
          <w:sz w:val="21"/>
        </w:rPr>
        <w:t>违约</w:t>
      </w:r>
    </w:p>
    <w:p>
      <w:pPr>
        <w:pStyle w:val="13"/>
        <w:spacing w:before="9"/>
        <w:ind w:left="0"/>
        <w:rPr>
          <w:sz w:val="18"/>
        </w:rPr>
      </w:pPr>
    </w:p>
    <w:p>
      <w:pPr>
        <w:pStyle w:val="32"/>
        <w:numPr>
          <w:ilvl w:val="1"/>
          <w:numId w:val="9"/>
        </w:numPr>
        <w:tabs>
          <w:tab w:val="left" w:pos="1064"/>
        </w:tabs>
        <w:spacing w:before="1" w:after="0" w:line="240" w:lineRule="auto"/>
        <w:ind w:left="1063" w:right="0" w:hanging="528"/>
        <w:jc w:val="left"/>
        <w:rPr>
          <w:b/>
          <w:sz w:val="21"/>
        </w:rPr>
      </w:pPr>
      <w:r>
        <w:rPr>
          <w:b/>
          <w:sz w:val="21"/>
        </w:rPr>
        <w:t>发包人违约</w:t>
      </w:r>
    </w:p>
    <w:p>
      <w:pPr>
        <w:pStyle w:val="13"/>
        <w:spacing w:before="8"/>
        <w:ind w:left="0"/>
        <w:rPr>
          <w:b/>
          <w:sz w:val="18"/>
        </w:rPr>
      </w:pPr>
    </w:p>
    <w:p>
      <w:pPr>
        <w:pStyle w:val="32"/>
        <w:numPr>
          <w:ilvl w:val="2"/>
          <w:numId w:val="9"/>
        </w:numPr>
        <w:tabs>
          <w:tab w:val="left" w:pos="1270"/>
        </w:tabs>
        <w:spacing w:before="0" w:after="0" w:line="240" w:lineRule="auto"/>
        <w:ind w:left="1270" w:right="0" w:hanging="737"/>
        <w:jc w:val="left"/>
        <w:rPr>
          <w:sz w:val="21"/>
        </w:rPr>
      </w:pPr>
      <w:r>
        <w:rPr>
          <w:spacing w:val="-3"/>
          <w:sz w:val="21"/>
        </w:rPr>
        <w:t>发包人违约的情形</w:t>
      </w:r>
    </w:p>
    <w:p>
      <w:pPr>
        <w:pStyle w:val="13"/>
        <w:spacing w:before="125"/>
        <w:ind w:left="533"/>
      </w:pPr>
      <w:r>
        <w:t>在合同履行过程中发生的下列情形，属于发包人违约：</w:t>
      </w:r>
    </w:p>
    <w:p>
      <w:pPr>
        <w:pStyle w:val="13"/>
        <w:spacing w:before="125"/>
        <w:ind w:left="533"/>
      </w:pPr>
      <w:r>
        <w:t>（1）因发包人原因未能在计划开工日期前7天内下达开工通知的；</w:t>
      </w:r>
    </w:p>
    <w:p>
      <w:pPr>
        <w:spacing w:after="0"/>
        <w:sectPr>
          <w:pgSz w:w="11910" w:h="16840"/>
          <w:pgMar w:top="1460" w:right="1020" w:bottom="1180" w:left="1020" w:header="0" w:footer="920" w:gutter="0"/>
        </w:sectPr>
      </w:pPr>
    </w:p>
    <w:p>
      <w:pPr>
        <w:pStyle w:val="13"/>
        <w:spacing w:before="14"/>
        <w:ind w:left="533"/>
      </w:pPr>
      <w:r>
        <w:t>（2）因发包人原因未能按合同约定支付合同价款的；</w:t>
      </w:r>
    </w:p>
    <w:p>
      <w:pPr>
        <w:pStyle w:val="13"/>
        <w:spacing w:before="124"/>
        <w:ind w:left="533"/>
      </w:pPr>
      <w:r>
        <w:rPr>
          <w:spacing w:val="-9"/>
        </w:rPr>
        <w:t>（3）</w:t>
      </w:r>
      <w:r>
        <w:rPr>
          <w:spacing w:val="-3"/>
        </w:rPr>
        <w:t>发包人违反第</w:t>
      </w:r>
      <w:r>
        <w:t>10.1</w:t>
      </w:r>
      <w:r>
        <w:rPr>
          <w:spacing w:val="-11"/>
        </w:rPr>
        <w:t>款〔变更的范围〕第</w:t>
      </w:r>
      <w:r>
        <w:rPr>
          <w:spacing w:val="-9"/>
        </w:rPr>
        <w:t>（2）</w:t>
      </w:r>
      <w:r>
        <w:rPr>
          <w:spacing w:val="-6"/>
        </w:rPr>
        <w:t>项约定，自行实施被取消的工作或转由他人实施的；</w:t>
      </w:r>
    </w:p>
    <w:p>
      <w:pPr>
        <w:pStyle w:val="13"/>
        <w:spacing w:before="126" w:line="350" w:lineRule="auto"/>
        <w:ind w:right="283" w:firstLine="420"/>
      </w:pPr>
      <w:r>
        <w:t>（4）发包人提供的材料、工程设备的规格、数量或质量不符合合同约定，或因发包人原因导致交货日期延误或交货地点变更等情况的；</w:t>
      </w:r>
    </w:p>
    <w:p>
      <w:pPr>
        <w:pStyle w:val="13"/>
        <w:spacing w:before="27"/>
        <w:ind w:left="533"/>
      </w:pPr>
      <w:r>
        <w:t>（5）因发包人违反合同约定造成暂停施工的；</w:t>
      </w:r>
    </w:p>
    <w:p>
      <w:pPr>
        <w:pStyle w:val="13"/>
        <w:spacing w:before="126"/>
        <w:ind w:left="533"/>
      </w:pPr>
      <w:r>
        <w:t>（6）发包人无正当理由没有在约定期限内发出复工指示，导致承包人无法复工的；</w:t>
      </w:r>
    </w:p>
    <w:p>
      <w:pPr>
        <w:pStyle w:val="13"/>
        <w:spacing w:before="126"/>
        <w:ind w:left="533"/>
      </w:pPr>
      <w:r>
        <w:t>（7）发包人明确表示或者以其行为表明不履行合同主要义务的；</w:t>
      </w:r>
    </w:p>
    <w:p>
      <w:pPr>
        <w:pStyle w:val="13"/>
        <w:spacing w:before="123"/>
        <w:ind w:left="533"/>
      </w:pPr>
      <w:r>
        <w:t>（8）发包人未能按照合同约定履行其他义务的。</w:t>
      </w:r>
    </w:p>
    <w:p>
      <w:pPr>
        <w:pStyle w:val="13"/>
        <w:spacing w:before="125" w:line="350" w:lineRule="auto"/>
        <w:ind w:right="206" w:firstLine="420"/>
      </w:pPr>
      <w:r>
        <w:rPr>
          <w:spacing w:val="-3"/>
        </w:rPr>
        <w:t>发包人发生除本项第（7）目以外的违约情况时，承包人可向发包人发出通知，要求发包人采取有效</w:t>
      </w:r>
      <w:r>
        <w:rPr>
          <w:spacing w:val="-5"/>
        </w:rPr>
        <w:t>措施纠正违约行为。发包人收到承包人通知后</w:t>
      </w:r>
      <w:r>
        <w:t>28</w:t>
      </w:r>
      <w:r>
        <w:rPr>
          <w:spacing w:val="-4"/>
        </w:rPr>
        <w:t>天内仍不纠正违约行为的，承包人有权暂停相应部位工程</w:t>
      </w:r>
      <w:r>
        <w:rPr>
          <w:spacing w:val="-3"/>
        </w:rPr>
        <w:t>施工，并通知监理人。</w:t>
      </w:r>
    </w:p>
    <w:p>
      <w:pPr>
        <w:pStyle w:val="32"/>
        <w:numPr>
          <w:ilvl w:val="2"/>
          <w:numId w:val="9"/>
        </w:numPr>
        <w:tabs>
          <w:tab w:val="left" w:pos="1270"/>
        </w:tabs>
        <w:spacing w:before="29" w:after="0" w:line="240" w:lineRule="auto"/>
        <w:ind w:left="1270" w:right="0" w:hanging="737"/>
        <w:jc w:val="left"/>
        <w:rPr>
          <w:sz w:val="21"/>
        </w:rPr>
      </w:pPr>
      <w:r>
        <w:rPr>
          <w:spacing w:val="-3"/>
          <w:sz w:val="21"/>
        </w:rPr>
        <w:t>发包人违约的责任</w:t>
      </w:r>
    </w:p>
    <w:p>
      <w:pPr>
        <w:pStyle w:val="13"/>
        <w:spacing w:before="126" w:line="348" w:lineRule="auto"/>
        <w:ind w:right="178" w:firstLine="420"/>
      </w:pPr>
      <w:r>
        <w:t>发包人应承担因其违约给承包人增加的费用和（或）延误的工期，并支付承包人合理的利润。此外， 合同当事人可在专用合同条款中另行约定发包人违约责任的承担方式和计算方法。</w:t>
      </w:r>
    </w:p>
    <w:p>
      <w:pPr>
        <w:pStyle w:val="32"/>
        <w:numPr>
          <w:ilvl w:val="2"/>
          <w:numId w:val="9"/>
        </w:numPr>
        <w:tabs>
          <w:tab w:val="left" w:pos="1270"/>
        </w:tabs>
        <w:spacing w:before="31" w:after="0" w:line="240" w:lineRule="auto"/>
        <w:ind w:left="1270" w:right="0" w:hanging="737"/>
        <w:jc w:val="left"/>
        <w:rPr>
          <w:sz w:val="21"/>
        </w:rPr>
      </w:pPr>
      <w:r>
        <w:rPr>
          <w:spacing w:val="-3"/>
          <w:sz w:val="21"/>
        </w:rPr>
        <w:t>因发包人违约解除合同</w:t>
      </w:r>
    </w:p>
    <w:p>
      <w:pPr>
        <w:pStyle w:val="13"/>
        <w:spacing w:before="125" w:line="348" w:lineRule="auto"/>
        <w:ind w:right="283" w:firstLine="420"/>
      </w:pPr>
      <w:r>
        <w:rPr>
          <w:spacing w:val="-4"/>
        </w:rPr>
        <w:t>除专用合同条款另有约定外，承包人按第</w:t>
      </w:r>
      <w:r>
        <w:t>16.1.1</w:t>
      </w:r>
      <w:r>
        <w:rPr>
          <w:spacing w:val="-4"/>
        </w:rPr>
        <w:t>项〔发包人违约的情形〕约定暂停施工满</w:t>
      </w:r>
      <w:r>
        <w:t>28</w:t>
      </w:r>
      <w:r>
        <w:rPr>
          <w:spacing w:val="-3"/>
        </w:rPr>
        <w:t>天后，发包人仍不纠正其违约行为并致使合同目的不能实现的，或出现第</w:t>
      </w:r>
      <w:r>
        <w:t>16.1.1</w:t>
      </w:r>
      <w:r>
        <w:rPr>
          <w:spacing w:val="-3"/>
        </w:rPr>
        <w:t>项〔发包人违约的情形〕第</w:t>
      </w:r>
      <w:r>
        <w:t xml:space="preserve">（7） </w:t>
      </w:r>
      <w:r>
        <w:rPr>
          <w:spacing w:val="-3"/>
        </w:rPr>
        <w:t>目约定的违约情况，承包人有权解除合同，发包人应承担由此增加的费用，并支付承包人合理的利润。</w:t>
      </w:r>
    </w:p>
    <w:p>
      <w:pPr>
        <w:pStyle w:val="32"/>
        <w:numPr>
          <w:ilvl w:val="2"/>
          <w:numId w:val="9"/>
        </w:numPr>
        <w:tabs>
          <w:tab w:val="left" w:pos="1270"/>
        </w:tabs>
        <w:spacing w:before="31" w:after="0" w:line="240" w:lineRule="auto"/>
        <w:ind w:left="1270" w:right="0" w:hanging="737"/>
        <w:jc w:val="left"/>
        <w:rPr>
          <w:sz w:val="21"/>
        </w:rPr>
      </w:pPr>
      <w:r>
        <w:rPr>
          <w:spacing w:val="-3"/>
          <w:sz w:val="21"/>
        </w:rPr>
        <w:t>因发包人违约解除合同后的付款</w:t>
      </w:r>
    </w:p>
    <w:p>
      <w:pPr>
        <w:pStyle w:val="13"/>
        <w:spacing w:before="123"/>
        <w:ind w:left="533"/>
      </w:pPr>
      <w:r>
        <w:t>承包人按照本款约定解除合同的，发包人应在解除合同后 28 天内支付下列款项，并解除履约担保：</w:t>
      </w:r>
    </w:p>
    <w:p>
      <w:pPr>
        <w:pStyle w:val="13"/>
        <w:spacing w:before="125"/>
        <w:ind w:left="533"/>
      </w:pPr>
      <w:r>
        <w:t>（1）合同解除前所完成工作的价款；</w:t>
      </w:r>
    </w:p>
    <w:p>
      <w:pPr>
        <w:pStyle w:val="13"/>
        <w:spacing w:before="125"/>
        <w:ind w:left="533"/>
      </w:pPr>
      <w:r>
        <w:t>（2）承包人为工程施工订购并已付款的材料、工程设备和其他物品的价款；</w:t>
      </w:r>
    </w:p>
    <w:p>
      <w:pPr>
        <w:pStyle w:val="13"/>
        <w:spacing w:before="123"/>
        <w:ind w:left="533"/>
      </w:pPr>
      <w:r>
        <w:t>（3）承包人撤离施工现场以及遣散承包人人员的款项；</w:t>
      </w:r>
    </w:p>
    <w:p>
      <w:pPr>
        <w:pStyle w:val="13"/>
        <w:spacing w:before="125"/>
        <w:ind w:left="533"/>
      </w:pPr>
      <w:r>
        <w:t>（4）按照合同约定在合同解除前应支付的违约金；</w:t>
      </w:r>
    </w:p>
    <w:p>
      <w:pPr>
        <w:pStyle w:val="13"/>
        <w:spacing w:before="125"/>
        <w:ind w:left="533"/>
      </w:pPr>
      <w:r>
        <w:t>（5）按照合同约定应当支付给承包人的其他款项；</w:t>
      </w:r>
    </w:p>
    <w:p>
      <w:pPr>
        <w:pStyle w:val="13"/>
        <w:spacing w:before="123"/>
        <w:ind w:left="533"/>
      </w:pPr>
      <w:r>
        <w:t>（6）按照合同约定应退还的质量保证金；</w:t>
      </w:r>
    </w:p>
    <w:p>
      <w:pPr>
        <w:pStyle w:val="13"/>
        <w:spacing w:before="125"/>
        <w:ind w:left="533"/>
      </w:pPr>
      <w:r>
        <w:t>（7）因解除合同给承包人造成的损失。</w:t>
      </w:r>
    </w:p>
    <w:p>
      <w:pPr>
        <w:pStyle w:val="13"/>
        <w:spacing w:before="125"/>
        <w:ind w:left="533"/>
      </w:pPr>
      <w:r>
        <w:t>合同当事人未能就解除合同后的结清达成一致的，按照第 20 条〔争议解决〕的约定处理。</w:t>
      </w:r>
    </w:p>
    <w:p>
      <w:pPr>
        <w:pStyle w:val="13"/>
        <w:spacing w:before="123" w:line="350" w:lineRule="auto"/>
        <w:ind w:right="191" w:firstLine="420"/>
      </w:pPr>
      <w:r>
        <w:rPr>
          <w:spacing w:val="-5"/>
        </w:rPr>
        <w:t>承包人应妥善做好已完工程和与工程有关的已购材料、工程设备的保护和移交工作，并将施工设备和</w:t>
      </w:r>
      <w:r>
        <w:rPr>
          <w:spacing w:val="-4"/>
        </w:rPr>
        <w:t>人员撤出施工现场，发包人应为承包人撤出提供必要条件。</w:t>
      </w:r>
    </w:p>
    <w:p>
      <w:pPr>
        <w:pStyle w:val="32"/>
        <w:numPr>
          <w:ilvl w:val="1"/>
          <w:numId w:val="43"/>
        </w:numPr>
        <w:tabs>
          <w:tab w:val="left" w:pos="1064"/>
        </w:tabs>
        <w:spacing w:before="149" w:after="0" w:line="240" w:lineRule="auto"/>
        <w:ind w:left="1063" w:right="0" w:hanging="528"/>
        <w:jc w:val="left"/>
        <w:rPr>
          <w:b/>
          <w:sz w:val="21"/>
        </w:rPr>
      </w:pPr>
      <w:r>
        <w:rPr>
          <w:b/>
          <w:sz w:val="21"/>
        </w:rPr>
        <w:t>承包人违约</w:t>
      </w:r>
    </w:p>
    <w:p>
      <w:pPr>
        <w:pStyle w:val="13"/>
        <w:spacing w:before="7"/>
        <w:ind w:left="0"/>
        <w:rPr>
          <w:b/>
          <w:sz w:val="18"/>
        </w:rPr>
      </w:pPr>
    </w:p>
    <w:p>
      <w:pPr>
        <w:pStyle w:val="32"/>
        <w:numPr>
          <w:ilvl w:val="2"/>
          <w:numId w:val="43"/>
        </w:numPr>
        <w:tabs>
          <w:tab w:val="left" w:pos="1270"/>
        </w:tabs>
        <w:spacing w:before="1" w:after="0" w:line="240" w:lineRule="auto"/>
        <w:ind w:left="1270" w:right="0" w:hanging="737"/>
        <w:jc w:val="left"/>
        <w:rPr>
          <w:sz w:val="21"/>
        </w:rPr>
      </w:pPr>
      <w:r>
        <w:rPr>
          <w:spacing w:val="-3"/>
          <w:sz w:val="21"/>
        </w:rPr>
        <w:t>承包人违约的情形</w:t>
      </w:r>
    </w:p>
    <w:p>
      <w:pPr>
        <w:pStyle w:val="13"/>
        <w:spacing w:before="126"/>
        <w:ind w:left="533"/>
      </w:pPr>
      <w:r>
        <w:t>在合同履行过程中发生的下列情形，属于承包人违约：</w:t>
      </w:r>
    </w:p>
    <w:p>
      <w:pPr>
        <w:pStyle w:val="13"/>
        <w:spacing w:before="126"/>
        <w:ind w:left="533"/>
      </w:pPr>
      <w:r>
        <w:t>（1）承包人违反合同约定进行转包或违法分包的；</w:t>
      </w:r>
    </w:p>
    <w:p>
      <w:pPr>
        <w:spacing w:after="0"/>
        <w:sectPr>
          <w:pgSz w:w="11910" w:h="16840"/>
          <w:pgMar w:top="1460" w:right="920" w:bottom="1180" w:left="1020" w:header="0" w:footer="920" w:gutter="0"/>
        </w:sectPr>
      </w:pPr>
    </w:p>
    <w:p>
      <w:pPr>
        <w:pStyle w:val="13"/>
        <w:spacing w:before="14"/>
        <w:ind w:left="533"/>
      </w:pPr>
      <w:r>
        <w:t>（2）承包人违反合同约定采购和使用不合格的材料和工程设备的；</w:t>
      </w:r>
    </w:p>
    <w:p>
      <w:pPr>
        <w:pStyle w:val="13"/>
        <w:spacing w:before="124"/>
        <w:ind w:left="533"/>
      </w:pPr>
      <w:r>
        <w:t>（3）因承包人原因导致工程质量不符合合同要求的；</w:t>
      </w:r>
    </w:p>
    <w:p>
      <w:pPr>
        <w:pStyle w:val="13"/>
        <w:spacing w:before="126" w:line="350" w:lineRule="auto"/>
        <w:ind w:right="102" w:firstLine="420"/>
      </w:pPr>
      <w:r>
        <w:rPr>
          <w:spacing w:val="-3"/>
        </w:rPr>
        <w:t>（4）承包人违反第</w:t>
      </w:r>
      <w:r>
        <w:t>8.9</w:t>
      </w:r>
      <w:r>
        <w:rPr>
          <w:spacing w:val="-6"/>
        </w:rPr>
        <w:t>款〔材料与设备专用要求〕的约定，未经批准，私自将已按照合同约定进入施</w:t>
      </w:r>
      <w:r>
        <w:rPr>
          <w:spacing w:val="-4"/>
        </w:rPr>
        <w:t>工现场的材料或设备撤离施工现场的；</w:t>
      </w:r>
    </w:p>
    <w:p>
      <w:pPr>
        <w:pStyle w:val="13"/>
        <w:spacing w:before="27"/>
        <w:ind w:left="533"/>
      </w:pPr>
      <w:r>
        <w:t>（5）承包人未能按施工进度计划及时完成合同约定的工作，造成工期延误的；</w:t>
      </w:r>
    </w:p>
    <w:p>
      <w:pPr>
        <w:pStyle w:val="13"/>
        <w:spacing w:before="126" w:line="350" w:lineRule="auto"/>
        <w:ind w:right="183" w:firstLine="420"/>
      </w:pPr>
      <w:r>
        <w:t>（6）承包人在缺陷责任期及保修期内，未能在合理期限对工程缺陷进行修复，或拒绝按发包人要求进行修复的；</w:t>
      </w:r>
    </w:p>
    <w:p>
      <w:pPr>
        <w:pStyle w:val="13"/>
        <w:spacing w:before="27"/>
        <w:ind w:left="533"/>
      </w:pPr>
      <w:r>
        <w:t>（7）承包人明确表示或者以其行为表明不履行合同主要义务的；</w:t>
      </w:r>
    </w:p>
    <w:p>
      <w:pPr>
        <w:pStyle w:val="13"/>
        <w:spacing w:before="126"/>
        <w:ind w:left="533"/>
      </w:pPr>
      <w:r>
        <w:t>（8）承包人未能按照合同约定履行其他义务的。</w:t>
      </w:r>
    </w:p>
    <w:p>
      <w:pPr>
        <w:pStyle w:val="13"/>
        <w:spacing w:before="126" w:line="348" w:lineRule="auto"/>
        <w:ind w:right="183" w:firstLine="420"/>
      </w:pPr>
      <w:r>
        <w:t>承包人发生除本项第（7）目约定以外的其他违约情况时，监理人可向承包人发出整改通知，要求其在指定的期限内改正。</w:t>
      </w:r>
    </w:p>
    <w:p>
      <w:pPr>
        <w:pStyle w:val="32"/>
        <w:numPr>
          <w:ilvl w:val="2"/>
          <w:numId w:val="43"/>
        </w:numPr>
        <w:tabs>
          <w:tab w:val="left" w:pos="1270"/>
        </w:tabs>
        <w:spacing w:before="31" w:after="0" w:line="240" w:lineRule="auto"/>
        <w:ind w:left="1270" w:right="0" w:hanging="737"/>
        <w:jc w:val="left"/>
        <w:rPr>
          <w:sz w:val="21"/>
        </w:rPr>
      </w:pPr>
      <w:r>
        <w:rPr>
          <w:spacing w:val="-3"/>
          <w:sz w:val="21"/>
        </w:rPr>
        <w:t>承包人违约的责任</w:t>
      </w:r>
    </w:p>
    <w:p>
      <w:pPr>
        <w:pStyle w:val="13"/>
        <w:spacing w:before="125" w:line="348" w:lineRule="auto"/>
        <w:ind w:right="78" w:firstLine="420"/>
      </w:pPr>
      <w:r>
        <w:t>承包人应承担因其违约行为而增加的费用和（或）延误的工期。此外，合同当事人可在专用合同条款中另行约定承包人违约责任的承担方式和计算方法。</w:t>
      </w:r>
    </w:p>
    <w:p>
      <w:pPr>
        <w:pStyle w:val="32"/>
        <w:numPr>
          <w:ilvl w:val="2"/>
          <w:numId w:val="43"/>
        </w:numPr>
        <w:tabs>
          <w:tab w:val="left" w:pos="1270"/>
        </w:tabs>
        <w:spacing w:before="31" w:after="0" w:line="240" w:lineRule="auto"/>
        <w:ind w:left="1270" w:right="0" w:hanging="737"/>
        <w:jc w:val="left"/>
        <w:rPr>
          <w:sz w:val="21"/>
        </w:rPr>
      </w:pPr>
      <w:r>
        <w:rPr>
          <w:spacing w:val="-3"/>
          <w:sz w:val="21"/>
        </w:rPr>
        <w:t>因承包人违约解除合同</w:t>
      </w:r>
    </w:p>
    <w:p>
      <w:pPr>
        <w:pStyle w:val="13"/>
        <w:spacing w:before="126" w:line="348" w:lineRule="auto"/>
        <w:ind w:right="106" w:firstLine="420"/>
      </w:pPr>
      <w:r>
        <w:rPr>
          <w:spacing w:val="-3"/>
        </w:rPr>
        <w:t>除专用合同条款另有约定外，出现第</w:t>
      </w:r>
      <w:r>
        <w:t>16.2.1</w:t>
      </w:r>
      <w:r>
        <w:rPr>
          <w:spacing w:val="-3"/>
        </w:rPr>
        <w:t>项〔承包人违约的情形〕第</w:t>
      </w:r>
      <w:r>
        <w:t>（7）</w:t>
      </w:r>
      <w:r>
        <w:rPr>
          <w:spacing w:val="-3"/>
        </w:rPr>
        <w:t xml:space="preserve">目约定的违约情况时， </w:t>
      </w:r>
      <w:r>
        <w:rPr>
          <w:spacing w:val="-5"/>
        </w:rPr>
        <w:t>或监理人发出整改通知后，承包人在指定的合理期限内仍不纠正违约行为并致使合同目的不能实现的，发</w:t>
      </w:r>
      <w:r>
        <w:rPr>
          <w:spacing w:val="-7"/>
        </w:rPr>
        <w:t>包人有权解除合同。合同解除后，因继续完成工程的需要，发包人有权使用承包人在施工现场的材料、设备、临时工程、承包人文件和由承包人或以其名义编制的其他文件，合同当事人应在专用合同条款约定相</w:t>
      </w:r>
      <w:r>
        <w:rPr>
          <w:spacing w:val="-3"/>
        </w:rPr>
        <w:t>应费用的承担方式。发包人继续使用的行为不免除或减轻承包人应承担的违约责任。</w:t>
      </w:r>
    </w:p>
    <w:p>
      <w:pPr>
        <w:pStyle w:val="32"/>
        <w:numPr>
          <w:ilvl w:val="2"/>
          <w:numId w:val="43"/>
        </w:numPr>
        <w:tabs>
          <w:tab w:val="left" w:pos="1218"/>
        </w:tabs>
        <w:spacing w:before="32" w:after="0" w:line="240" w:lineRule="auto"/>
        <w:ind w:left="1217" w:right="0" w:hanging="684"/>
        <w:jc w:val="left"/>
        <w:rPr>
          <w:sz w:val="21"/>
        </w:rPr>
      </w:pPr>
      <w:r>
        <w:rPr>
          <w:spacing w:val="-3"/>
          <w:sz w:val="21"/>
        </w:rPr>
        <w:t>因承包人违约解除合同后的处理</w:t>
      </w:r>
    </w:p>
    <w:p>
      <w:pPr>
        <w:pStyle w:val="13"/>
        <w:spacing w:before="126" w:line="348" w:lineRule="auto"/>
        <w:ind w:right="183" w:firstLine="420"/>
      </w:pPr>
      <w:r>
        <w:rPr>
          <w:spacing w:val="-5"/>
        </w:rPr>
        <w:t xml:space="preserve">因承包人原因导致合同解除的，则合同当事人应在合同解除后 </w:t>
      </w:r>
      <w:r>
        <w:t>28</w:t>
      </w:r>
      <w:r>
        <w:rPr>
          <w:spacing w:val="-7"/>
        </w:rPr>
        <w:t xml:space="preserve"> 天内完成估价、付款和清算，并按</w:t>
      </w:r>
      <w:r>
        <w:rPr>
          <w:spacing w:val="-5"/>
        </w:rPr>
        <w:t>以下约定执行：</w:t>
      </w:r>
    </w:p>
    <w:p>
      <w:pPr>
        <w:pStyle w:val="13"/>
        <w:spacing w:before="31" w:line="350" w:lineRule="auto"/>
        <w:ind w:right="239" w:firstLine="420"/>
      </w:pPr>
      <w:r>
        <w:t>（1）</w:t>
      </w:r>
      <w:r>
        <w:rPr>
          <w:spacing w:val="-7"/>
        </w:rPr>
        <w:t xml:space="preserve">合同解除后，按第 </w:t>
      </w:r>
      <w:r>
        <w:t>4.4</w:t>
      </w:r>
      <w:r>
        <w:rPr>
          <w:spacing w:val="-7"/>
        </w:rPr>
        <w:t xml:space="preserve"> 款〔商定或确定〕商定或确定承包人实际完成工作对应的合同价款，以</w:t>
      </w:r>
      <w:r>
        <w:rPr>
          <w:spacing w:val="-5"/>
        </w:rPr>
        <w:t>及承包人已提供的材料、工程设备、施工设备和临时工程等的价值；</w:t>
      </w:r>
    </w:p>
    <w:p>
      <w:pPr>
        <w:pStyle w:val="13"/>
        <w:spacing w:before="26"/>
        <w:ind w:left="533"/>
      </w:pPr>
      <w:r>
        <w:t>（2）合同解除后，承包人应支付的违约金；</w:t>
      </w:r>
    </w:p>
    <w:p>
      <w:pPr>
        <w:pStyle w:val="13"/>
        <w:spacing w:before="125"/>
        <w:ind w:left="533"/>
      </w:pPr>
      <w:r>
        <w:t>（3）合同解除后，因解除合同给发包人造成的损失；</w:t>
      </w:r>
    </w:p>
    <w:p>
      <w:pPr>
        <w:pStyle w:val="13"/>
        <w:spacing w:before="125"/>
        <w:ind w:left="533"/>
      </w:pPr>
      <w:r>
        <w:t>（4）合同解除后，承包人应按照发包人要求和监理人的指示完成现场的清理和撤离；</w:t>
      </w:r>
    </w:p>
    <w:p>
      <w:pPr>
        <w:pStyle w:val="13"/>
        <w:spacing w:before="123"/>
        <w:ind w:left="533"/>
      </w:pPr>
      <w:r>
        <w:t>（5）发包人和承包人应在合同解除后进行清算，出具最终结清付款证书，结清全部款项。</w:t>
      </w:r>
    </w:p>
    <w:p>
      <w:pPr>
        <w:pStyle w:val="13"/>
        <w:spacing w:before="126" w:line="350" w:lineRule="auto"/>
        <w:ind w:firstLine="420"/>
      </w:pPr>
      <w:r>
        <w:rPr>
          <w:spacing w:val="-6"/>
        </w:rPr>
        <w:t>因承包人违约解除合同的，发包人有权暂停对承包人的付款，查清各项付款和已扣款项。发包人和承</w:t>
      </w:r>
      <w:r>
        <w:rPr>
          <w:spacing w:val="-5"/>
        </w:rPr>
        <w:t xml:space="preserve">包人未能就合同解除后的清算和款项支付达成一致的，按照第 </w:t>
      </w:r>
      <w:r>
        <w:t>20</w:t>
      </w:r>
      <w:r>
        <w:rPr>
          <w:spacing w:val="-7"/>
        </w:rPr>
        <w:t xml:space="preserve"> 条〔争议解决〕的约定处理。</w:t>
      </w:r>
    </w:p>
    <w:p>
      <w:pPr>
        <w:pStyle w:val="32"/>
        <w:numPr>
          <w:ilvl w:val="2"/>
          <w:numId w:val="43"/>
        </w:numPr>
        <w:tabs>
          <w:tab w:val="left" w:pos="1218"/>
        </w:tabs>
        <w:spacing w:before="26" w:after="0" w:line="240" w:lineRule="auto"/>
        <w:ind w:left="1217" w:right="0" w:hanging="684"/>
        <w:jc w:val="left"/>
        <w:rPr>
          <w:sz w:val="21"/>
        </w:rPr>
      </w:pPr>
      <w:r>
        <w:rPr>
          <w:spacing w:val="-3"/>
          <w:sz w:val="21"/>
        </w:rPr>
        <w:t>采购合同权益转让</w:t>
      </w:r>
    </w:p>
    <w:p>
      <w:pPr>
        <w:pStyle w:val="13"/>
        <w:spacing w:before="125" w:line="348" w:lineRule="auto"/>
        <w:ind w:right="93" w:firstLine="420"/>
      </w:pPr>
      <w:r>
        <w:rPr>
          <w:spacing w:val="-5"/>
        </w:rPr>
        <w:t>因承包人违约解除合同的，发包人有权要求承包人将其为实施合同而签订的材料和设备的采购合同的</w:t>
      </w:r>
      <w:r>
        <w:rPr>
          <w:spacing w:val="-6"/>
        </w:rPr>
        <w:t xml:space="preserve">权益转让给发包人，承包人应在收到解除合同通知后 </w:t>
      </w:r>
      <w:r>
        <w:t>14</w:t>
      </w:r>
      <w:r>
        <w:rPr>
          <w:spacing w:val="-8"/>
        </w:rPr>
        <w:t xml:space="preserve"> 天内，协助发包人与采购合同的供应商达成相关</w:t>
      </w:r>
      <w:r>
        <w:rPr>
          <w:spacing w:val="-5"/>
        </w:rPr>
        <w:t>的转让协议。</w:t>
      </w:r>
    </w:p>
    <w:p>
      <w:pPr>
        <w:spacing w:after="0" w:line="348" w:lineRule="auto"/>
        <w:sectPr>
          <w:pgSz w:w="11910" w:h="16840"/>
          <w:pgMar w:top="1460" w:right="1020" w:bottom="1180" w:left="1020" w:header="0" w:footer="920" w:gutter="0"/>
        </w:sectPr>
      </w:pPr>
    </w:p>
    <w:p>
      <w:pPr>
        <w:spacing w:before="14"/>
        <w:ind w:left="535" w:right="0" w:firstLine="0"/>
        <w:jc w:val="left"/>
        <w:rPr>
          <w:b/>
          <w:sz w:val="21"/>
        </w:rPr>
      </w:pPr>
      <w:r>
        <w:rPr>
          <w:b/>
          <w:sz w:val="21"/>
        </w:rPr>
        <w:t>16.3 第三人造成的违约</w:t>
      </w:r>
    </w:p>
    <w:p>
      <w:pPr>
        <w:pStyle w:val="13"/>
        <w:spacing w:before="8"/>
        <w:ind w:left="0"/>
        <w:rPr>
          <w:b/>
          <w:sz w:val="18"/>
        </w:rPr>
      </w:pPr>
    </w:p>
    <w:p>
      <w:pPr>
        <w:pStyle w:val="13"/>
        <w:spacing w:line="350" w:lineRule="auto"/>
        <w:ind w:firstLine="420"/>
      </w:pPr>
      <w:r>
        <w:rPr>
          <w:spacing w:val="-6"/>
        </w:rPr>
        <w:t>在履行合同过程中，一方当事人因第三人的原因造成违约的，应当向对方当事人承担违约责任。一方</w:t>
      </w:r>
      <w:r>
        <w:rPr>
          <w:spacing w:val="-4"/>
        </w:rPr>
        <w:t>当事人和第三人之间的纠纷，依照法律规定或者按照约定解决。</w:t>
      </w:r>
    </w:p>
    <w:p>
      <w:pPr>
        <w:pStyle w:val="32"/>
        <w:numPr>
          <w:ilvl w:val="0"/>
          <w:numId w:val="9"/>
        </w:numPr>
        <w:tabs>
          <w:tab w:val="left" w:pos="536"/>
        </w:tabs>
        <w:spacing w:before="149" w:after="0" w:line="240" w:lineRule="auto"/>
        <w:ind w:left="535" w:right="0" w:hanging="423"/>
        <w:jc w:val="left"/>
        <w:rPr>
          <w:sz w:val="21"/>
        </w:rPr>
      </w:pPr>
      <w:r>
        <w:rPr>
          <w:spacing w:val="-3"/>
          <w:sz w:val="21"/>
        </w:rPr>
        <w:t>不可抗力</w:t>
      </w:r>
    </w:p>
    <w:p>
      <w:pPr>
        <w:pStyle w:val="13"/>
        <w:spacing w:before="8"/>
        <w:ind w:left="0"/>
        <w:rPr>
          <w:sz w:val="18"/>
        </w:rPr>
      </w:pPr>
    </w:p>
    <w:p>
      <w:pPr>
        <w:pStyle w:val="32"/>
        <w:numPr>
          <w:ilvl w:val="1"/>
          <w:numId w:val="9"/>
        </w:numPr>
        <w:tabs>
          <w:tab w:val="left" w:pos="1064"/>
        </w:tabs>
        <w:spacing w:before="0" w:after="0" w:line="240" w:lineRule="auto"/>
        <w:ind w:left="1063" w:right="0" w:hanging="528"/>
        <w:jc w:val="left"/>
        <w:rPr>
          <w:b/>
          <w:sz w:val="21"/>
        </w:rPr>
      </w:pPr>
      <w:r>
        <w:rPr>
          <w:b/>
          <w:sz w:val="21"/>
        </w:rPr>
        <w:t>不可抗力的确认</w:t>
      </w:r>
    </w:p>
    <w:p>
      <w:pPr>
        <w:pStyle w:val="13"/>
        <w:spacing w:before="10"/>
        <w:ind w:left="0"/>
        <w:rPr>
          <w:b/>
          <w:sz w:val="18"/>
        </w:rPr>
      </w:pPr>
    </w:p>
    <w:p>
      <w:pPr>
        <w:pStyle w:val="13"/>
        <w:spacing w:line="348" w:lineRule="auto"/>
        <w:ind w:right="107" w:firstLine="420"/>
        <w:jc w:val="right"/>
      </w:pPr>
      <w:r>
        <w:t>不可抗力是指合同当事人在签订合同时不可预见，在合同履行过程中不可避免且不能克服的自然灾害和社会性突发事件，如地震、海啸、瘟疫、骚乱、戒严、暴动、战争和专用合同条款中约定的其他情形。不可抗力发生后，发包人和承包人应收集证明不可抗力发生及不可抗力造成损失的证据，并及时认真</w:t>
      </w:r>
    </w:p>
    <w:p>
      <w:pPr>
        <w:pStyle w:val="13"/>
        <w:spacing w:before="31" w:line="350" w:lineRule="auto"/>
        <w:ind w:right="203"/>
      </w:pPr>
      <w:r>
        <w:t>统计所造成的损失。合同当事人对是否属于不可抗力或其损失的意见不一致的，由监理人按第4.4款〔商定或确定〕的约定处理。发生争议时，按第20条〔争议解决〕的约定处理。</w:t>
      </w:r>
    </w:p>
    <w:p>
      <w:pPr>
        <w:pStyle w:val="32"/>
        <w:numPr>
          <w:ilvl w:val="1"/>
          <w:numId w:val="9"/>
        </w:numPr>
        <w:tabs>
          <w:tab w:val="left" w:pos="1064"/>
        </w:tabs>
        <w:spacing w:before="146" w:after="0" w:line="240" w:lineRule="auto"/>
        <w:ind w:left="1063" w:right="0" w:hanging="528"/>
        <w:jc w:val="left"/>
        <w:rPr>
          <w:b/>
          <w:sz w:val="21"/>
        </w:rPr>
      </w:pPr>
      <w:r>
        <w:rPr>
          <w:b/>
          <w:sz w:val="21"/>
        </w:rPr>
        <w:t>不可抗力的通知</w:t>
      </w:r>
    </w:p>
    <w:p>
      <w:pPr>
        <w:pStyle w:val="13"/>
        <w:spacing w:before="9"/>
        <w:ind w:left="0"/>
        <w:rPr>
          <w:b/>
          <w:sz w:val="18"/>
        </w:rPr>
      </w:pPr>
    </w:p>
    <w:p>
      <w:pPr>
        <w:pStyle w:val="13"/>
        <w:spacing w:line="350" w:lineRule="auto"/>
        <w:ind w:right="111" w:firstLine="420"/>
      </w:pPr>
      <w:r>
        <w:rPr>
          <w:spacing w:val="-5"/>
        </w:rPr>
        <w:t>合同一方当事人遇到不可抗力事件，使其履行合同义务受到阻碍时，应立即通知合同另一方当事人和</w:t>
      </w:r>
      <w:r>
        <w:rPr>
          <w:spacing w:val="-4"/>
        </w:rPr>
        <w:t>监理人，书面说明不可抗力和受阻碍的详细情况，并提供必要的证明。</w:t>
      </w:r>
    </w:p>
    <w:p>
      <w:pPr>
        <w:pStyle w:val="13"/>
        <w:spacing w:before="26" w:line="350" w:lineRule="auto"/>
        <w:ind w:right="110" w:firstLine="420"/>
      </w:pPr>
      <w:r>
        <w:rPr>
          <w:spacing w:val="-5"/>
        </w:rPr>
        <w:t>不可抗力持续发生的，合同一方当事人应及时向合同另一方当事人和监理人提交中间报告，说明不可</w:t>
      </w:r>
      <w:r>
        <w:rPr>
          <w:spacing w:val="-3"/>
        </w:rPr>
        <w:t>抗力和履行合同受阻的情况，并于不可抗力事件结束后</w:t>
      </w:r>
      <w:r>
        <w:t>28</w:t>
      </w:r>
      <w:r>
        <w:rPr>
          <w:spacing w:val="-3"/>
        </w:rPr>
        <w:t>天内提交最终报告及有关资料。</w:t>
      </w:r>
    </w:p>
    <w:p>
      <w:pPr>
        <w:pStyle w:val="32"/>
        <w:numPr>
          <w:ilvl w:val="1"/>
          <w:numId w:val="9"/>
        </w:numPr>
        <w:tabs>
          <w:tab w:val="left" w:pos="1064"/>
        </w:tabs>
        <w:spacing w:before="149" w:after="0" w:line="240" w:lineRule="auto"/>
        <w:ind w:left="1063" w:right="0" w:hanging="528"/>
        <w:jc w:val="left"/>
        <w:rPr>
          <w:b/>
          <w:sz w:val="21"/>
        </w:rPr>
      </w:pPr>
      <w:r>
        <w:rPr>
          <w:b/>
          <w:sz w:val="21"/>
        </w:rPr>
        <w:t>不可抗力后果的承担</w:t>
      </w:r>
    </w:p>
    <w:p>
      <w:pPr>
        <w:pStyle w:val="13"/>
        <w:spacing w:before="7"/>
        <w:ind w:left="0"/>
        <w:rPr>
          <w:b/>
          <w:sz w:val="18"/>
        </w:rPr>
      </w:pPr>
    </w:p>
    <w:p>
      <w:pPr>
        <w:pStyle w:val="32"/>
        <w:numPr>
          <w:ilvl w:val="2"/>
          <w:numId w:val="9"/>
        </w:numPr>
        <w:tabs>
          <w:tab w:val="left" w:pos="1270"/>
        </w:tabs>
        <w:spacing w:before="1" w:after="0" w:line="350" w:lineRule="auto"/>
        <w:ind w:left="112" w:right="210" w:firstLine="421"/>
        <w:jc w:val="left"/>
        <w:rPr>
          <w:sz w:val="21"/>
        </w:rPr>
      </w:pPr>
      <w:r>
        <w:rPr>
          <w:spacing w:val="-3"/>
          <w:sz w:val="21"/>
        </w:rPr>
        <w:t>不可抗力引起的后果及造成的损失由合同当事人按照法律规定及合同约定各自承担。不可抗力发生前已完成的工程应当按照合同约定进行计量支付。</w:t>
      </w:r>
    </w:p>
    <w:p>
      <w:pPr>
        <w:pStyle w:val="32"/>
        <w:numPr>
          <w:ilvl w:val="2"/>
          <w:numId w:val="9"/>
        </w:numPr>
        <w:tabs>
          <w:tab w:val="left" w:pos="1270"/>
        </w:tabs>
        <w:spacing w:before="29" w:after="0" w:line="348" w:lineRule="auto"/>
        <w:ind w:left="112" w:right="210" w:firstLine="421"/>
        <w:jc w:val="left"/>
        <w:rPr>
          <w:sz w:val="21"/>
        </w:rPr>
      </w:pPr>
      <w:r>
        <w:rPr>
          <w:spacing w:val="-3"/>
          <w:sz w:val="21"/>
        </w:rPr>
        <w:t>不可抗力导致的人员伤亡、财产损失、费用增加和</w:t>
      </w:r>
      <w:r>
        <w:rPr>
          <w:sz w:val="21"/>
        </w:rPr>
        <w:t>（</w:t>
      </w:r>
      <w:r>
        <w:rPr>
          <w:spacing w:val="-3"/>
          <w:sz w:val="21"/>
        </w:rPr>
        <w:t>或</w:t>
      </w:r>
      <w:r>
        <w:rPr>
          <w:sz w:val="21"/>
        </w:rPr>
        <w:t>）</w:t>
      </w:r>
      <w:r>
        <w:rPr>
          <w:spacing w:val="-3"/>
          <w:sz w:val="21"/>
        </w:rPr>
        <w:t>工期延误等后果，由合同当事人按以下原则承担：</w:t>
      </w:r>
    </w:p>
    <w:p>
      <w:pPr>
        <w:pStyle w:val="13"/>
        <w:spacing w:before="31" w:line="350" w:lineRule="auto"/>
        <w:ind w:right="203" w:firstLine="420"/>
      </w:pPr>
      <w:r>
        <w:t>（1）永久工程、已运至施工现场的材料和工程设备的损坏，以及因工程损坏造成的第三人人员伤亡和财产损失由发包人承担；</w:t>
      </w:r>
    </w:p>
    <w:p>
      <w:pPr>
        <w:pStyle w:val="13"/>
        <w:spacing w:before="27"/>
        <w:ind w:left="533"/>
      </w:pPr>
      <w:r>
        <w:t>（2）承包人施工设备的损坏由承包人承担；</w:t>
      </w:r>
    </w:p>
    <w:p>
      <w:pPr>
        <w:pStyle w:val="13"/>
        <w:spacing w:before="126"/>
        <w:ind w:left="533"/>
      </w:pPr>
      <w:r>
        <w:t>（3）发包人和承包人承担各自人员伤亡和财产的损失；</w:t>
      </w:r>
    </w:p>
    <w:p>
      <w:pPr>
        <w:pStyle w:val="13"/>
        <w:spacing w:before="126" w:line="348" w:lineRule="auto"/>
        <w:ind w:right="203" w:firstLine="420"/>
      </w:pPr>
      <w:r>
        <w:t>（4）</w:t>
      </w:r>
      <w:r>
        <w:rPr>
          <w:spacing w:val="-3"/>
        </w:rPr>
        <w:t>因不可抗力影响承包人履行合同约定的义务，已经引起或将引起工期延误的，应当顺延工期， 由此导致承包人停工的费用损失由发包人和承包人合理分担，停工期间必须支付的工人工资由发包人承担；</w:t>
      </w:r>
    </w:p>
    <w:p>
      <w:pPr>
        <w:pStyle w:val="13"/>
        <w:spacing w:before="32"/>
        <w:ind w:left="533"/>
      </w:pPr>
      <w:r>
        <w:t>（5）因不可抗力引起或将引起工期延误，发包人要求赶工的，由此增加的赶工费用由发包人承担；</w:t>
      </w:r>
    </w:p>
    <w:p>
      <w:pPr>
        <w:pStyle w:val="13"/>
        <w:spacing w:before="123"/>
        <w:ind w:left="533"/>
      </w:pPr>
      <w:r>
        <w:t>（6）承包人在停工期间按照发包人要求照管、清理和修复工程的费用由发包人承担。</w:t>
      </w:r>
    </w:p>
    <w:p>
      <w:pPr>
        <w:pStyle w:val="13"/>
        <w:spacing w:before="125" w:line="350" w:lineRule="auto"/>
        <w:ind w:firstLine="420"/>
      </w:pPr>
      <w:r>
        <w:rPr>
          <w:spacing w:val="-6"/>
        </w:rPr>
        <w:t>不可抗力发生后，合同当事人均应采取措施尽量避免和减少损失的扩大，任何一方当事人没有采取有</w:t>
      </w:r>
      <w:r>
        <w:rPr>
          <w:spacing w:val="-4"/>
        </w:rPr>
        <w:t>效措施导致损失扩大的，应对扩大的损失承担责任。</w:t>
      </w:r>
    </w:p>
    <w:p>
      <w:pPr>
        <w:pStyle w:val="13"/>
        <w:spacing w:before="26"/>
        <w:ind w:left="533"/>
      </w:pPr>
      <w:r>
        <w:t>因合同一方迟延履行合同义务，在迟延履行期间遭遇不可抗力的，不免除其违约责任。</w:t>
      </w:r>
    </w:p>
    <w:p>
      <w:pPr>
        <w:spacing w:after="0"/>
        <w:sectPr>
          <w:pgSz w:w="11910" w:h="16840"/>
          <w:pgMar w:top="1460" w:right="1000" w:bottom="1180" w:left="1020" w:header="0" w:footer="920" w:gutter="0"/>
        </w:sectPr>
      </w:pPr>
    </w:p>
    <w:p>
      <w:pPr>
        <w:spacing w:before="14"/>
        <w:ind w:left="535" w:right="0" w:firstLine="0"/>
        <w:jc w:val="left"/>
        <w:rPr>
          <w:b/>
          <w:sz w:val="21"/>
        </w:rPr>
      </w:pPr>
      <w:r>
        <w:rPr>
          <w:b/>
          <w:sz w:val="21"/>
        </w:rPr>
        <w:t>17.4 因不可抗力解除合同</w:t>
      </w:r>
    </w:p>
    <w:p>
      <w:pPr>
        <w:pStyle w:val="13"/>
        <w:spacing w:before="8"/>
        <w:ind w:left="0"/>
        <w:rPr>
          <w:b/>
          <w:sz w:val="18"/>
        </w:rPr>
      </w:pPr>
    </w:p>
    <w:p>
      <w:pPr>
        <w:pStyle w:val="13"/>
        <w:ind w:left="533"/>
      </w:pPr>
      <w:r>
        <w:rPr>
          <w:spacing w:val="-6"/>
        </w:rPr>
        <w:t xml:space="preserve">因不可抗力导致合同无法履行连续超过 </w:t>
      </w:r>
      <w:r>
        <w:t>84</w:t>
      </w:r>
      <w:r>
        <w:rPr>
          <w:spacing w:val="-14"/>
        </w:rPr>
        <w:t xml:space="preserve"> 天或累计超过 </w:t>
      </w:r>
      <w:r>
        <w:t>140</w:t>
      </w:r>
      <w:r>
        <w:rPr>
          <w:spacing w:val="-10"/>
        </w:rPr>
        <w:t xml:space="preserve"> 天的，发包人和承包人均有权解除合同。</w:t>
      </w:r>
    </w:p>
    <w:p>
      <w:pPr>
        <w:pStyle w:val="13"/>
        <w:spacing w:before="125"/>
      </w:pPr>
      <w:r>
        <w:t>合同解除后，由双方当事人按照第 4.4 款〔商定或确定〕商定或确定发包人应支付的款项，该款项包括：</w:t>
      </w:r>
    </w:p>
    <w:p>
      <w:pPr>
        <w:pStyle w:val="13"/>
        <w:spacing w:before="125"/>
        <w:ind w:left="533"/>
      </w:pPr>
      <w:r>
        <w:t>（1）合同解除前承包人已完成工作的价款；</w:t>
      </w:r>
    </w:p>
    <w:p>
      <w:pPr>
        <w:pStyle w:val="13"/>
        <w:spacing w:before="123" w:line="350" w:lineRule="auto"/>
        <w:ind w:right="283" w:firstLine="420"/>
      </w:pPr>
      <w:r>
        <w:t>（2）承包人为工程订购的并已交付给承包人，或承包人有责任接受交付的材料、工程设备和其他物品的价款；</w:t>
      </w:r>
    </w:p>
    <w:p>
      <w:pPr>
        <w:pStyle w:val="13"/>
        <w:spacing w:before="29"/>
        <w:ind w:left="533"/>
      </w:pPr>
      <w:r>
        <w:t>（3）发包人要求承包人退货或解除订货合同而产生的费用，或因不能退货或解除合同而产生的损失；</w:t>
      </w:r>
    </w:p>
    <w:p>
      <w:pPr>
        <w:pStyle w:val="13"/>
        <w:spacing w:before="123"/>
        <w:ind w:left="533"/>
      </w:pPr>
      <w:r>
        <w:t>（4）承包人撤离施工现场以及遣散承包人人员的费用；</w:t>
      </w:r>
    </w:p>
    <w:p>
      <w:pPr>
        <w:pStyle w:val="13"/>
        <w:spacing w:before="125"/>
        <w:ind w:left="533"/>
      </w:pPr>
      <w:r>
        <w:t>（5）按照合同约定在合同解除前应支付给承包人的其他款项；</w:t>
      </w:r>
    </w:p>
    <w:p>
      <w:pPr>
        <w:pStyle w:val="13"/>
        <w:spacing w:before="125"/>
        <w:ind w:left="533"/>
      </w:pPr>
      <w:r>
        <w:t>（6）扣减承包人按照合同约定应向发包人支付的款项；</w:t>
      </w:r>
    </w:p>
    <w:p>
      <w:pPr>
        <w:pStyle w:val="13"/>
        <w:spacing w:before="124"/>
        <w:ind w:left="533"/>
      </w:pPr>
      <w:r>
        <w:t>（7）双方商定或确定的其他款项。</w:t>
      </w:r>
    </w:p>
    <w:p>
      <w:pPr>
        <w:pStyle w:val="13"/>
        <w:spacing w:before="126" w:line="350" w:lineRule="auto"/>
        <w:ind w:right="283" w:firstLine="420"/>
      </w:pPr>
      <w:r>
        <w:rPr>
          <w:spacing w:val="-4"/>
        </w:rPr>
        <w:t xml:space="preserve">除专用合同条款另有约定外，合同解除后，发包人应在商定或确定上述款项后 </w:t>
      </w:r>
      <w:r>
        <w:t>28</w:t>
      </w:r>
      <w:r>
        <w:rPr>
          <w:spacing w:val="-7"/>
        </w:rPr>
        <w:t xml:space="preserve"> 天内完成上述款项</w:t>
      </w:r>
      <w:r>
        <w:rPr>
          <w:spacing w:val="-5"/>
        </w:rPr>
        <w:t>的支付。</w:t>
      </w:r>
    </w:p>
    <w:p>
      <w:pPr>
        <w:pStyle w:val="32"/>
        <w:numPr>
          <w:ilvl w:val="0"/>
          <w:numId w:val="9"/>
        </w:numPr>
        <w:tabs>
          <w:tab w:val="left" w:pos="536"/>
        </w:tabs>
        <w:spacing w:before="147" w:after="0" w:line="240" w:lineRule="auto"/>
        <w:ind w:left="535" w:right="0" w:hanging="423"/>
        <w:jc w:val="left"/>
        <w:rPr>
          <w:sz w:val="21"/>
        </w:rPr>
      </w:pPr>
      <w:r>
        <w:rPr>
          <w:spacing w:val="-3"/>
          <w:sz w:val="21"/>
        </w:rPr>
        <w:t>保险</w:t>
      </w:r>
    </w:p>
    <w:p>
      <w:pPr>
        <w:pStyle w:val="13"/>
        <w:spacing w:before="10"/>
        <w:ind w:left="0"/>
        <w:rPr>
          <w:sz w:val="18"/>
        </w:rPr>
      </w:pPr>
    </w:p>
    <w:p>
      <w:pPr>
        <w:pStyle w:val="32"/>
        <w:numPr>
          <w:ilvl w:val="1"/>
          <w:numId w:val="9"/>
        </w:numPr>
        <w:tabs>
          <w:tab w:val="left" w:pos="1064"/>
        </w:tabs>
        <w:spacing w:before="0" w:after="0" w:line="240" w:lineRule="auto"/>
        <w:ind w:left="1063" w:right="0" w:hanging="528"/>
        <w:jc w:val="left"/>
        <w:rPr>
          <w:b/>
          <w:sz w:val="21"/>
        </w:rPr>
      </w:pPr>
      <w:r>
        <w:rPr>
          <w:b/>
          <w:sz w:val="21"/>
        </w:rPr>
        <w:t>工程保险</w:t>
      </w:r>
    </w:p>
    <w:p>
      <w:pPr>
        <w:pStyle w:val="13"/>
        <w:spacing w:before="9"/>
        <w:ind w:left="0"/>
        <w:rPr>
          <w:b/>
          <w:sz w:val="18"/>
        </w:rPr>
      </w:pPr>
    </w:p>
    <w:p>
      <w:pPr>
        <w:pStyle w:val="13"/>
        <w:spacing w:before="1" w:line="348" w:lineRule="auto"/>
        <w:ind w:right="191" w:firstLine="420"/>
      </w:pPr>
      <w:r>
        <w:rPr>
          <w:spacing w:val="-5"/>
        </w:rPr>
        <w:t>除专用合同条款另有约定外，发包人应投保建筑工程一切险或安装工程一切险；发包人委托承包人投</w:t>
      </w:r>
      <w:r>
        <w:rPr>
          <w:spacing w:val="-4"/>
        </w:rPr>
        <w:t>保的，因投保产生的保险费和其他相关费用由发包人承担。</w:t>
      </w:r>
    </w:p>
    <w:p>
      <w:pPr>
        <w:pStyle w:val="32"/>
        <w:numPr>
          <w:ilvl w:val="1"/>
          <w:numId w:val="9"/>
        </w:numPr>
        <w:tabs>
          <w:tab w:val="left" w:pos="1064"/>
        </w:tabs>
        <w:spacing w:before="151" w:after="0" w:line="240" w:lineRule="auto"/>
        <w:ind w:left="1063" w:right="0" w:hanging="528"/>
        <w:jc w:val="left"/>
        <w:rPr>
          <w:b/>
          <w:sz w:val="21"/>
        </w:rPr>
      </w:pPr>
      <w:r>
        <w:rPr>
          <w:b/>
          <w:sz w:val="21"/>
        </w:rPr>
        <w:t>工伤保险</w:t>
      </w:r>
    </w:p>
    <w:p>
      <w:pPr>
        <w:pStyle w:val="13"/>
        <w:spacing w:before="10"/>
        <w:ind w:left="0"/>
        <w:rPr>
          <w:b/>
          <w:sz w:val="18"/>
        </w:rPr>
      </w:pPr>
    </w:p>
    <w:p>
      <w:pPr>
        <w:pStyle w:val="32"/>
        <w:numPr>
          <w:ilvl w:val="2"/>
          <w:numId w:val="9"/>
        </w:numPr>
        <w:tabs>
          <w:tab w:val="left" w:pos="1270"/>
        </w:tabs>
        <w:spacing w:before="0" w:after="0" w:line="348" w:lineRule="auto"/>
        <w:ind w:left="112" w:right="290" w:firstLine="421"/>
        <w:jc w:val="left"/>
        <w:rPr>
          <w:sz w:val="21"/>
        </w:rPr>
      </w:pPr>
      <w:r>
        <w:rPr>
          <w:spacing w:val="-3"/>
          <w:sz w:val="21"/>
        </w:rPr>
        <w:t>发包人应依照法律规定参加工伤保险，并为在施工现场的全部员工办理工伤保险，缴纳工伤保险费，并要求监理人及由发包人为履行合同聘请的第三方依法参加工伤保险。</w:t>
      </w:r>
    </w:p>
    <w:p>
      <w:pPr>
        <w:pStyle w:val="32"/>
        <w:numPr>
          <w:ilvl w:val="2"/>
          <w:numId w:val="9"/>
        </w:numPr>
        <w:tabs>
          <w:tab w:val="left" w:pos="1270"/>
        </w:tabs>
        <w:spacing w:before="31" w:after="0" w:line="350" w:lineRule="auto"/>
        <w:ind w:left="112" w:right="290" w:firstLine="421"/>
        <w:jc w:val="left"/>
        <w:rPr>
          <w:sz w:val="21"/>
        </w:rPr>
      </w:pPr>
      <w:r>
        <w:rPr>
          <w:spacing w:val="-3"/>
          <w:sz w:val="21"/>
        </w:rPr>
        <w:t>承包人应依照法律规定参加工伤保险，并为其履行合同的全部员工办理工伤保险，缴纳工伤保险费，并要求分包人及由承包人为履行合同聘请的第三方依法参加工伤保险。</w:t>
      </w:r>
    </w:p>
    <w:p>
      <w:pPr>
        <w:pStyle w:val="32"/>
        <w:numPr>
          <w:ilvl w:val="1"/>
          <w:numId w:val="9"/>
        </w:numPr>
        <w:tabs>
          <w:tab w:val="left" w:pos="1011"/>
        </w:tabs>
        <w:spacing w:before="146" w:after="0" w:line="240" w:lineRule="auto"/>
        <w:ind w:left="1010" w:right="0" w:hanging="475"/>
        <w:jc w:val="left"/>
        <w:rPr>
          <w:b/>
          <w:sz w:val="21"/>
        </w:rPr>
      </w:pPr>
      <w:r>
        <w:rPr>
          <w:b/>
          <w:sz w:val="21"/>
        </w:rPr>
        <w:t>其他保险</w:t>
      </w:r>
    </w:p>
    <w:p>
      <w:pPr>
        <w:pStyle w:val="13"/>
        <w:spacing w:before="9"/>
        <w:ind w:left="0"/>
        <w:rPr>
          <w:b/>
          <w:sz w:val="18"/>
        </w:rPr>
      </w:pPr>
    </w:p>
    <w:p>
      <w:pPr>
        <w:pStyle w:val="13"/>
        <w:spacing w:line="350" w:lineRule="auto"/>
        <w:ind w:right="178" w:firstLine="420"/>
      </w:pPr>
      <w:r>
        <w:t>发包人和承包人可以为其施工现场的全部人员办理意外伤害保险并支付保险费，包括其员工及为履行合同聘请的第三方的人员，具体事项由合同当事人在专用合同条款约定。</w:t>
      </w:r>
    </w:p>
    <w:p>
      <w:pPr>
        <w:pStyle w:val="13"/>
        <w:spacing w:before="26"/>
        <w:ind w:left="533"/>
      </w:pPr>
      <w:r>
        <w:t>除专用合同条款另有约定外，承包人应为其施工设备等办理财产保险。</w:t>
      </w:r>
    </w:p>
    <w:p>
      <w:pPr>
        <w:pStyle w:val="13"/>
        <w:spacing w:before="10"/>
        <w:ind w:left="0"/>
        <w:rPr>
          <w:sz w:val="18"/>
        </w:rPr>
      </w:pPr>
    </w:p>
    <w:p>
      <w:pPr>
        <w:pStyle w:val="32"/>
        <w:numPr>
          <w:ilvl w:val="1"/>
          <w:numId w:val="9"/>
        </w:numPr>
        <w:tabs>
          <w:tab w:val="left" w:pos="1011"/>
        </w:tabs>
        <w:spacing w:before="0" w:after="0" w:line="240" w:lineRule="auto"/>
        <w:ind w:left="1010" w:right="0" w:hanging="475"/>
        <w:jc w:val="left"/>
        <w:rPr>
          <w:b/>
          <w:sz w:val="21"/>
        </w:rPr>
      </w:pPr>
      <w:r>
        <w:rPr>
          <w:b/>
          <w:sz w:val="21"/>
        </w:rPr>
        <w:t>持续保险</w:t>
      </w:r>
    </w:p>
    <w:p>
      <w:pPr>
        <w:pStyle w:val="13"/>
        <w:spacing w:before="9"/>
        <w:ind w:left="0"/>
        <w:rPr>
          <w:b/>
          <w:sz w:val="18"/>
        </w:rPr>
      </w:pPr>
    </w:p>
    <w:p>
      <w:pPr>
        <w:pStyle w:val="13"/>
        <w:spacing w:line="348" w:lineRule="auto"/>
        <w:ind w:right="191" w:firstLine="420"/>
      </w:pPr>
      <w:r>
        <w:rPr>
          <w:spacing w:val="-5"/>
        </w:rPr>
        <w:t>合同当事人应与保险人保持联系，使保险人能够随时了解工程实施中的变动，并确保按保险合同条款</w:t>
      </w:r>
      <w:r>
        <w:rPr>
          <w:spacing w:val="-4"/>
        </w:rPr>
        <w:t>要求持续保险。</w:t>
      </w:r>
    </w:p>
    <w:p>
      <w:pPr>
        <w:pStyle w:val="32"/>
        <w:numPr>
          <w:ilvl w:val="1"/>
          <w:numId w:val="9"/>
        </w:numPr>
        <w:tabs>
          <w:tab w:val="left" w:pos="1064"/>
        </w:tabs>
        <w:spacing w:before="150" w:after="0" w:line="240" w:lineRule="auto"/>
        <w:ind w:left="1063" w:right="0" w:hanging="528"/>
        <w:jc w:val="left"/>
        <w:rPr>
          <w:b/>
          <w:sz w:val="21"/>
        </w:rPr>
      </w:pPr>
      <w:r>
        <w:rPr>
          <w:b/>
          <w:sz w:val="21"/>
        </w:rPr>
        <w:t>保险凭证</w:t>
      </w:r>
    </w:p>
    <w:p>
      <w:pPr>
        <w:pStyle w:val="13"/>
        <w:spacing w:before="9"/>
        <w:ind w:left="0"/>
        <w:rPr>
          <w:b/>
          <w:sz w:val="18"/>
        </w:rPr>
      </w:pPr>
    </w:p>
    <w:p>
      <w:pPr>
        <w:pStyle w:val="13"/>
        <w:ind w:left="533"/>
      </w:pPr>
      <w:r>
        <w:t>合同当事人应及时向另一方当事人提交其已投保的各项保险的凭证和保险单复印件。</w:t>
      </w:r>
    </w:p>
    <w:p>
      <w:pPr>
        <w:spacing w:after="0"/>
        <w:sectPr>
          <w:pgSz w:w="11910" w:h="16840"/>
          <w:pgMar w:top="1460" w:right="920" w:bottom="1180" w:left="1020" w:header="0" w:footer="920" w:gutter="0"/>
        </w:sectPr>
      </w:pPr>
    </w:p>
    <w:p>
      <w:pPr>
        <w:pStyle w:val="32"/>
        <w:numPr>
          <w:ilvl w:val="1"/>
          <w:numId w:val="9"/>
        </w:numPr>
        <w:tabs>
          <w:tab w:val="left" w:pos="1064"/>
        </w:tabs>
        <w:spacing w:before="14" w:after="0" w:line="240" w:lineRule="auto"/>
        <w:ind w:left="1063" w:right="0" w:hanging="528"/>
        <w:jc w:val="left"/>
        <w:rPr>
          <w:b/>
          <w:sz w:val="21"/>
        </w:rPr>
      </w:pPr>
      <w:r>
        <w:rPr>
          <w:b/>
          <w:sz w:val="21"/>
        </w:rPr>
        <w:t>未按约定投保的补救</w:t>
      </w:r>
    </w:p>
    <w:p>
      <w:pPr>
        <w:pStyle w:val="13"/>
        <w:spacing w:before="8"/>
        <w:ind w:left="0"/>
        <w:rPr>
          <w:b/>
          <w:sz w:val="18"/>
        </w:rPr>
      </w:pPr>
    </w:p>
    <w:p>
      <w:pPr>
        <w:pStyle w:val="32"/>
        <w:numPr>
          <w:ilvl w:val="2"/>
          <w:numId w:val="9"/>
        </w:numPr>
        <w:tabs>
          <w:tab w:val="left" w:pos="1218"/>
        </w:tabs>
        <w:spacing w:before="0" w:after="0" w:line="350" w:lineRule="auto"/>
        <w:ind w:left="112" w:right="211" w:firstLine="421"/>
        <w:jc w:val="left"/>
        <w:rPr>
          <w:sz w:val="21"/>
        </w:rPr>
      </w:pPr>
      <w:r>
        <w:rPr>
          <w:spacing w:val="-7"/>
          <w:sz w:val="21"/>
        </w:rPr>
        <w:t>发包人未按合同约定办理保险，或未能使保险持续有效的，则承包人可代为办理，所需费用由</w:t>
      </w:r>
      <w:r>
        <w:rPr>
          <w:spacing w:val="-5"/>
          <w:sz w:val="21"/>
        </w:rPr>
        <w:t>发包人承担。发包人未按合同约定办理保险，导致未能得到足额赔偿的，由发包人负责补足。</w:t>
      </w:r>
    </w:p>
    <w:p>
      <w:pPr>
        <w:pStyle w:val="32"/>
        <w:numPr>
          <w:ilvl w:val="2"/>
          <w:numId w:val="9"/>
        </w:numPr>
        <w:tabs>
          <w:tab w:val="left" w:pos="1218"/>
        </w:tabs>
        <w:spacing w:before="29" w:after="0" w:line="348" w:lineRule="auto"/>
        <w:ind w:left="112" w:right="211" w:firstLine="421"/>
        <w:jc w:val="left"/>
        <w:rPr>
          <w:sz w:val="21"/>
        </w:rPr>
      </w:pPr>
      <w:r>
        <w:rPr>
          <w:spacing w:val="-7"/>
          <w:sz w:val="21"/>
        </w:rPr>
        <w:t>承包人未按合同约定办理保险，或未能使保险持续有效的，则发包人可代为办理，所需费用由</w:t>
      </w:r>
      <w:r>
        <w:rPr>
          <w:spacing w:val="-5"/>
          <w:sz w:val="21"/>
        </w:rPr>
        <w:t>承包人承担。承包人未按合同约定办理保险，导致未能得到足额赔偿的，由承包人负责补足。</w:t>
      </w:r>
    </w:p>
    <w:p>
      <w:pPr>
        <w:spacing w:before="151"/>
        <w:ind w:left="535" w:right="0" w:firstLine="0"/>
        <w:jc w:val="left"/>
        <w:rPr>
          <w:b/>
          <w:sz w:val="21"/>
        </w:rPr>
      </w:pPr>
      <w:r>
        <w:rPr>
          <w:b/>
          <w:sz w:val="21"/>
        </w:rPr>
        <w:t>18.7 通知义务</w:t>
      </w:r>
    </w:p>
    <w:p>
      <w:pPr>
        <w:pStyle w:val="13"/>
        <w:spacing w:before="9"/>
        <w:ind w:left="0"/>
        <w:rPr>
          <w:b/>
          <w:sz w:val="18"/>
        </w:rPr>
      </w:pPr>
    </w:p>
    <w:p>
      <w:pPr>
        <w:pStyle w:val="13"/>
        <w:spacing w:before="1" w:line="348" w:lineRule="auto"/>
        <w:ind w:right="191" w:firstLine="420"/>
      </w:pPr>
      <w:r>
        <w:rPr>
          <w:spacing w:val="-6"/>
        </w:rPr>
        <w:t>除专用合同条款另有约定外，发包人变更除工伤保险之外的保险合同时，应事先征得承包人同意，并</w:t>
      </w:r>
      <w:r>
        <w:rPr>
          <w:spacing w:val="-4"/>
        </w:rPr>
        <w:t>通知监理人；承包人变更除工伤保险之外的保险合同时，应事先征得发包人同意，并通知监理人。</w:t>
      </w:r>
    </w:p>
    <w:p>
      <w:pPr>
        <w:pStyle w:val="13"/>
        <w:spacing w:before="31" w:line="350" w:lineRule="auto"/>
        <w:ind w:right="191" w:firstLine="420"/>
      </w:pPr>
      <w:r>
        <w:rPr>
          <w:spacing w:val="-6"/>
        </w:rPr>
        <w:t>保险事故发生时，投保人应按照保险合同规定的条件和期限及时向保险人报告。发包人和承包人应当</w:t>
      </w:r>
      <w:r>
        <w:rPr>
          <w:spacing w:val="-4"/>
        </w:rPr>
        <w:t>在知道保险事故发生后及时通知对方。</w:t>
      </w:r>
    </w:p>
    <w:p>
      <w:pPr>
        <w:pStyle w:val="32"/>
        <w:numPr>
          <w:ilvl w:val="0"/>
          <w:numId w:val="9"/>
        </w:numPr>
        <w:tabs>
          <w:tab w:val="left" w:pos="536"/>
        </w:tabs>
        <w:spacing w:before="146" w:after="0" w:line="240" w:lineRule="auto"/>
        <w:ind w:left="535" w:right="0" w:hanging="423"/>
        <w:jc w:val="left"/>
        <w:rPr>
          <w:sz w:val="21"/>
        </w:rPr>
      </w:pPr>
      <w:r>
        <w:rPr>
          <w:spacing w:val="-3"/>
          <w:sz w:val="21"/>
        </w:rPr>
        <w:t>索赔</w:t>
      </w:r>
    </w:p>
    <w:p>
      <w:pPr>
        <w:pStyle w:val="13"/>
        <w:spacing w:before="10"/>
        <w:ind w:left="0"/>
        <w:rPr>
          <w:sz w:val="18"/>
        </w:rPr>
      </w:pPr>
    </w:p>
    <w:p>
      <w:pPr>
        <w:pStyle w:val="32"/>
        <w:numPr>
          <w:ilvl w:val="1"/>
          <w:numId w:val="9"/>
        </w:numPr>
        <w:tabs>
          <w:tab w:val="left" w:pos="1011"/>
        </w:tabs>
        <w:spacing w:before="0" w:after="0" w:line="240" w:lineRule="auto"/>
        <w:ind w:left="533" w:right="0" w:firstLine="2"/>
        <w:jc w:val="left"/>
        <w:rPr>
          <w:b/>
          <w:sz w:val="21"/>
        </w:rPr>
      </w:pPr>
      <w:r>
        <w:rPr>
          <w:b/>
          <w:sz w:val="21"/>
        </w:rPr>
        <w:t>承包人的索赔</w:t>
      </w:r>
    </w:p>
    <w:p>
      <w:pPr>
        <w:pStyle w:val="13"/>
        <w:spacing w:before="10"/>
        <w:ind w:left="0"/>
        <w:rPr>
          <w:b/>
          <w:sz w:val="18"/>
        </w:rPr>
      </w:pPr>
    </w:p>
    <w:p>
      <w:pPr>
        <w:pStyle w:val="13"/>
        <w:ind w:left="533"/>
      </w:pPr>
      <w:r>
        <w:rPr>
          <w:spacing w:val="-10"/>
        </w:rPr>
        <w:t>根据合同约定，承包人认为有权得到追加付款和</w:t>
      </w:r>
      <w:r>
        <w:rPr>
          <w:spacing w:val="-3"/>
        </w:rPr>
        <w:t>（</w:t>
      </w:r>
      <w:r>
        <w:t>或</w:t>
      </w:r>
      <w:r>
        <w:rPr>
          <w:spacing w:val="-34"/>
        </w:rPr>
        <w:t>）</w:t>
      </w:r>
      <w:r>
        <w:rPr>
          <w:spacing w:val="-8"/>
        </w:rPr>
        <w:t>延长工期的，应按以下程序向发包人提出索赔：</w:t>
      </w:r>
    </w:p>
    <w:p>
      <w:pPr>
        <w:pStyle w:val="13"/>
        <w:spacing w:before="123" w:line="350" w:lineRule="auto"/>
        <w:ind w:right="196" w:firstLine="420"/>
      </w:pPr>
      <w:r>
        <w:t>（1）</w:t>
      </w:r>
      <w:r>
        <w:rPr>
          <w:spacing w:val="-3"/>
        </w:rPr>
        <w:t>承包人应在知道或应当知道索赔事件发生后</w:t>
      </w:r>
      <w:r>
        <w:t>28</w:t>
      </w:r>
      <w:r>
        <w:rPr>
          <w:spacing w:val="-3"/>
        </w:rPr>
        <w:t>天内，向监理人递交索赔意向通知书，并说明发</w:t>
      </w:r>
      <w:r>
        <w:rPr>
          <w:spacing w:val="-4"/>
        </w:rPr>
        <w:t>生索赔事件的事由；承包人未在前述</w:t>
      </w:r>
      <w:r>
        <w:t>28</w:t>
      </w:r>
      <w:r>
        <w:rPr>
          <w:spacing w:val="-5"/>
        </w:rPr>
        <w:t>天内发出索赔意向通知书的，丧失要求追加付款和</w:t>
      </w:r>
      <w:r>
        <w:t>（</w:t>
      </w:r>
      <w:r>
        <w:rPr>
          <w:spacing w:val="-3"/>
        </w:rPr>
        <w:t>或</w:t>
      </w:r>
      <w:r>
        <w:rPr>
          <w:spacing w:val="-8"/>
        </w:rPr>
        <w:t>）</w:t>
      </w:r>
      <w:r>
        <w:rPr>
          <w:spacing w:val="-2"/>
        </w:rPr>
        <w:t>延长工期</w:t>
      </w:r>
      <w:r>
        <w:rPr>
          <w:spacing w:val="-3"/>
        </w:rPr>
        <w:t>的权利；</w:t>
      </w:r>
    </w:p>
    <w:p>
      <w:pPr>
        <w:pStyle w:val="13"/>
        <w:spacing w:before="26" w:line="350" w:lineRule="auto"/>
        <w:ind w:right="283" w:firstLine="420"/>
      </w:pPr>
      <w:r>
        <w:t>（2）承包人应在发出索赔意向通知书后28天内，向监理人正式递交索赔报告；索赔报告应详细说明索赔理由以及要求追加的付款金额和（或）延长的工期，并附必要的记录和证明材料；</w:t>
      </w:r>
    </w:p>
    <w:p>
      <w:pPr>
        <w:pStyle w:val="13"/>
        <w:spacing w:before="29" w:line="348" w:lineRule="auto"/>
        <w:ind w:right="283" w:firstLine="420"/>
      </w:pPr>
      <w:r>
        <w:t>（3）索赔事件具有持续影响的，承包人应按合理时间间隔继续递交延续索赔通知，说明持续影响的实际情况和记录，列出累计的追加付款金额和（或）工期延长天数；</w:t>
      </w:r>
    </w:p>
    <w:p>
      <w:pPr>
        <w:pStyle w:val="13"/>
        <w:spacing w:before="31" w:line="350" w:lineRule="auto"/>
        <w:ind w:right="283" w:firstLine="420"/>
      </w:pPr>
      <w:r>
        <w:t>（4）在索赔事件影响结束后28天内，承包人应向监理人递交最终索赔报告，说明最终要求索赔的追加付款金额和（或）延长的工期，并附必要的记录和证明材料。</w:t>
      </w:r>
    </w:p>
    <w:p>
      <w:pPr>
        <w:pStyle w:val="32"/>
        <w:numPr>
          <w:ilvl w:val="1"/>
          <w:numId w:val="9"/>
        </w:numPr>
        <w:tabs>
          <w:tab w:val="left" w:pos="1064"/>
        </w:tabs>
        <w:spacing w:before="146" w:after="0" w:line="456" w:lineRule="auto"/>
        <w:ind w:left="533" w:right="6908" w:firstLine="2"/>
        <w:jc w:val="left"/>
        <w:rPr>
          <w:sz w:val="21"/>
        </w:rPr>
      </w:pPr>
      <w:r>
        <w:rPr>
          <w:b/>
          <w:sz w:val="21"/>
        </w:rPr>
        <w:t>对承包人索赔的处理</w:t>
      </w:r>
      <w:r>
        <w:rPr>
          <w:spacing w:val="-3"/>
          <w:sz w:val="21"/>
        </w:rPr>
        <w:t>对承包人索赔的处理如下：</w:t>
      </w:r>
    </w:p>
    <w:p>
      <w:pPr>
        <w:pStyle w:val="13"/>
        <w:spacing w:line="212" w:lineRule="exact"/>
        <w:ind w:left="533"/>
      </w:pPr>
      <w:r>
        <w:t>（1）监理人应在收到索赔报告后14天内完成审查并报送发包人。监理人对索赔报告存在异议的，有</w:t>
      </w:r>
    </w:p>
    <w:p>
      <w:pPr>
        <w:pStyle w:val="13"/>
        <w:spacing w:before="124"/>
      </w:pPr>
      <w:r>
        <w:t>权要求承包人提交全部原始记录副本；</w:t>
      </w:r>
    </w:p>
    <w:p>
      <w:pPr>
        <w:pStyle w:val="13"/>
        <w:spacing w:before="126" w:line="350" w:lineRule="auto"/>
        <w:ind w:right="283" w:firstLine="420"/>
      </w:pPr>
      <w:r>
        <w:t>（2）发包人应在监理人收到索赔报告或有关索赔的进一步证明材料后的28天内，由监理人向承包人出具经发包人签认的索赔处理结果。发包人逾期答复的，则视为认可承包人的索赔要求；</w:t>
      </w:r>
    </w:p>
    <w:p>
      <w:pPr>
        <w:pStyle w:val="13"/>
        <w:spacing w:before="27" w:line="350" w:lineRule="auto"/>
        <w:ind w:right="283" w:firstLine="420"/>
      </w:pPr>
      <w:r>
        <w:t>（3）承包人接受索赔处理结果的，索赔款项在当期进度款中进行支付；承包人不接受索赔处理结果的，按照第20条〔争议解决〕约定处理。</w:t>
      </w:r>
    </w:p>
    <w:p>
      <w:pPr>
        <w:pStyle w:val="32"/>
        <w:numPr>
          <w:ilvl w:val="1"/>
          <w:numId w:val="9"/>
        </w:numPr>
        <w:tabs>
          <w:tab w:val="left" w:pos="1011"/>
        </w:tabs>
        <w:spacing w:before="149" w:after="0" w:line="240" w:lineRule="auto"/>
        <w:ind w:left="533" w:right="0" w:firstLine="2"/>
        <w:jc w:val="left"/>
        <w:rPr>
          <w:b/>
          <w:sz w:val="21"/>
        </w:rPr>
      </w:pPr>
      <w:r>
        <w:rPr>
          <w:b/>
          <w:sz w:val="21"/>
        </w:rPr>
        <w:t>发包人的索赔</w:t>
      </w:r>
    </w:p>
    <w:p>
      <w:pPr>
        <w:pStyle w:val="13"/>
        <w:spacing w:before="7"/>
        <w:ind w:left="0"/>
        <w:rPr>
          <w:b/>
          <w:sz w:val="18"/>
        </w:rPr>
      </w:pPr>
    </w:p>
    <w:p>
      <w:pPr>
        <w:pStyle w:val="13"/>
        <w:ind w:left="533"/>
      </w:pPr>
      <w:r>
        <w:t>根据合同约定，发包人认为有权得到赔付金额和（或）延长缺陷责任期的，监理人应向承包人发出通</w:t>
      </w:r>
    </w:p>
    <w:p>
      <w:pPr>
        <w:spacing w:after="0"/>
        <w:sectPr>
          <w:pgSz w:w="11910" w:h="16840"/>
          <w:pgMar w:top="1460" w:right="920" w:bottom="1180" w:left="1020" w:header="0" w:footer="920" w:gutter="0"/>
        </w:sectPr>
      </w:pPr>
    </w:p>
    <w:p>
      <w:pPr>
        <w:pStyle w:val="13"/>
        <w:spacing w:before="14"/>
      </w:pPr>
      <w:r>
        <w:t>知并附有详细的证明。</w:t>
      </w:r>
    </w:p>
    <w:p>
      <w:pPr>
        <w:pStyle w:val="13"/>
        <w:spacing w:before="124" w:line="350" w:lineRule="auto"/>
        <w:ind w:right="206" w:firstLine="420"/>
        <w:jc w:val="both"/>
      </w:pPr>
      <w:r>
        <w:rPr>
          <w:spacing w:val="-3"/>
        </w:rPr>
        <w:t>发包人应在知道或应当知道索赔事件发生后</w:t>
      </w:r>
      <w:r>
        <w:t>28</w:t>
      </w:r>
      <w:r>
        <w:rPr>
          <w:spacing w:val="-5"/>
        </w:rPr>
        <w:t>天内通过监理人向承包人提出索赔意向通知书，发包人</w:t>
      </w:r>
      <w:r>
        <w:rPr>
          <w:spacing w:val="-4"/>
        </w:rPr>
        <w:t>未在前述</w:t>
      </w:r>
      <w:r>
        <w:t>28</w:t>
      </w:r>
      <w:r>
        <w:rPr>
          <w:spacing w:val="-5"/>
        </w:rPr>
        <w:t>天内发出索赔意向通知书的，丧失要求赔付金额和</w:t>
      </w:r>
      <w:r>
        <w:rPr>
          <w:spacing w:val="-3"/>
        </w:rPr>
        <w:t>（或</w:t>
      </w:r>
      <w:r>
        <w:rPr>
          <w:spacing w:val="-5"/>
        </w:rPr>
        <w:t>）</w:t>
      </w:r>
      <w:r>
        <w:rPr>
          <w:spacing w:val="-4"/>
        </w:rPr>
        <w:t>延长缺陷责任期的权利。发包人应在</w:t>
      </w:r>
      <w:r>
        <w:rPr>
          <w:spacing w:val="-3"/>
        </w:rPr>
        <w:t>发出索赔意向通知书后</w:t>
      </w:r>
      <w:r>
        <w:t>28</w:t>
      </w:r>
      <w:r>
        <w:rPr>
          <w:spacing w:val="-3"/>
        </w:rPr>
        <w:t>天内，通过监理人向承包人正式递交索赔报告。</w:t>
      </w:r>
    </w:p>
    <w:p>
      <w:pPr>
        <w:pStyle w:val="32"/>
        <w:numPr>
          <w:ilvl w:val="1"/>
          <w:numId w:val="9"/>
        </w:numPr>
        <w:tabs>
          <w:tab w:val="left" w:pos="1064"/>
        </w:tabs>
        <w:spacing w:before="147" w:after="0" w:line="456" w:lineRule="auto"/>
        <w:ind w:left="533" w:right="6908" w:firstLine="2"/>
        <w:jc w:val="left"/>
        <w:rPr>
          <w:sz w:val="21"/>
        </w:rPr>
      </w:pPr>
      <w:r>
        <w:rPr>
          <w:b/>
          <w:sz w:val="21"/>
        </w:rPr>
        <w:t>对发包人索赔的处理</w:t>
      </w:r>
      <w:r>
        <w:rPr>
          <w:spacing w:val="-3"/>
          <w:sz w:val="21"/>
        </w:rPr>
        <w:t>对发包人索赔的处理如下：</w:t>
      </w:r>
    </w:p>
    <w:p>
      <w:pPr>
        <w:pStyle w:val="13"/>
        <w:spacing w:line="212" w:lineRule="exact"/>
        <w:ind w:left="533"/>
      </w:pPr>
      <w:r>
        <w:t>（1）承包人收到发包人提交的索赔报告后，应及时审查索赔报告的内容、查验发包人证明材料；</w:t>
      </w:r>
    </w:p>
    <w:p>
      <w:pPr>
        <w:pStyle w:val="13"/>
        <w:spacing w:before="123" w:line="350" w:lineRule="auto"/>
        <w:ind w:right="73" w:firstLine="420"/>
      </w:pPr>
      <w:r>
        <w:t>（2）承包人应在收到索赔报告或有关索赔的进一步证明材料后28天内，将索赔处理结果答复发包人。如果承包人未在上述期限内作出答复的，则视为对发包人索赔要求的认可；</w:t>
      </w:r>
    </w:p>
    <w:p>
      <w:pPr>
        <w:pStyle w:val="13"/>
        <w:spacing w:before="29" w:line="348" w:lineRule="auto"/>
        <w:ind w:right="283" w:firstLine="420"/>
      </w:pPr>
      <w:r>
        <w:t>（3）承包人接受索赔处理结果的，发包人可从应支付给承包人的合同价款中扣除赔付的金额或延长缺陷责任期；发包人不接受索赔处理结果的，按第20条〔争议解决〕约定处理。</w:t>
      </w:r>
    </w:p>
    <w:p>
      <w:pPr>
        <w:pStyle w:val="32"/>
        <w:numPr>
          <w:ilvl w:val="1"/>
          <w:numId w:val="9"/>
        </w:numPr>
        <w:tabs>
          <w:tab w:val="left" w:pos="1064"/>
        </w:tabs>
        <w:spacing w:before="151" w:after="0" w:line="240" w:lineRule="auto"/>
        <w:ind w:left="1063" w:right="0" w:hanging="528"/>
        <w:jc w:val="left"/>
        <w:rPr>
          <w:b/>
          <w:sz w:val="21"/>
        </w:rPr>
      </w:pPr>
      <w:r>
        <w:rPr>
          <w:b/>
          <w:sz w:val="21"/>
        </w:rPr>
        <w:t>提出索赔的期限</w:t>
      </w:r>
    </w:p>
    <w:p>
      <w:pPr>
        <w:pStyle w:val="13"/>
        <w:spacing w:before="9"/>
        <w:ind w:left="0"/>
        <w:rPr>
          <w:b/>
          <w:sz w:val="18"/>
        </w:rPr>
      </w:pPr>
    </w:p>
    <w:p>
      <w:pPr>
        <w:pStyle w:val="13"/>
        <w:spacing w:before="1" w:line="348" w:lineRule="auto"/>
        <w:ind w:right="204" w:firstLine="420"/>
      </w:pPr>
      <w:r>
        <w:rPr>
          <w:spacing w:val="-3"/>
        </w:rPr>
        <w:t>（1）</w:t>
      </w:r>
      <w:r>
        <w:rPr>
          <w:spacing w:val="-8"/>
        </w:rPr>
        <w:t xml:space="preserve">承包人按第 </w:t>
      </w:r>
      <w:r>
        <w:t>14.2</w:t>
      </w:r>
      <w:r>
        <w:rPr>
          <w:spacing w:val="-8"/>
        </w:rPr>
        <w:t xml:space="preserve"> 款〔竣工结算审核〕约定接收竣工付款证书后，应被视为已无权再提出在工程</w:t>
      </w:r>
      <w:r>
        <w:rPr>
          <w:spacing w:val="-5"/>
        </w:rPr>
        <w:t>接收证书颁发前所发生的任何索赔。</w:t>
      </w:r>
    </w:p>
    <w:p>
      <w:pPr>
        <w:pStyle w:val="13"/>
        <w:spacing w:before="31" w:line="350" w:lineRule="auto"/>
        <w:ind w:right="191" w:firstLine="420"/>
      </w:pPr>
      <w:r>
        <w:rPr>
          <w:spacing w:val="-3"/>
        </w:rPr>
        <w:t>（2）</w:t>
      </w:r>
      <w:r>
        <w:rPr>
          <w:spacing w:val="-8"/>
        </w:rPr>
        <w:t xml:space="preserve">承包人按第 </w:t>
      </w:r>
      <w:r>
        <w:t>14.4</w:t>
      </w:r>
      <w:r>
        <w:rPr>
          <w:spacing w:val="-9"/>
        </w:rPr>
        <w:t xml:space="preserve"> 款〔最终结清〕提交的最终结清申请单中，只限于提出工程接收证书颁发后发</w:t>
      </w:r>
      <w:r>
        <w:rPr>
          <w:spacing w:val="-5"/>
        </w:rPr>
        <w:t>生的索赔。提出索赔的期限自接受最终结清证书时终止。</w:t>
      </w:r>
    </w:p>
    <w:p>
      <w:pPr>
        <w:pStyle w:val="32"/>
        <w:numPr>
          <w:ilvl w:val="0"/>
          <w:numId w:val="9"/>
        </w:numPr>
        <w:tabs>
          <w:tab w:val="left" w:pos="536"/>
        </w:tabs>
        <w:spacing w:before="146" w:after="0" w:line="240" w:lineRule="auto"/>
        <w:ind w:left="535" w:right="0" w:hanging="423"/>
        <w:jc w:val="left"/>
        <w:rPr>
          <w:sz w:val="21"/>
        </w:rPr>
      </w:pPr>
      <w:r>
        <w:rPr>
          <w:spacing w:val="-3"/>
          <w:sz w:val="21"/>
        </w:rPr>
        <w:t>争议解决</w:t>
      </w:r>
    </w:p>
    <w:p>
      <w:pPr>
        <w:pStyle w:val="13"/>
        <w:spacing w:before="10"/>
        <w:ind w:left="0"/>
        <w:rPr>
          <w:sz w:val="18"/>
        </w:rPr>
      </w:pPr>
    </w:p>
    <w:p>
      <w:pPr>
        <w:pStyle w:val="32"/>
        <w:numPr>
          <w:ilvl w:val="1"/>
          <w:numId w:val="9"/>
        </w:numPr>
        <w:tabs>
          <w:tab w:val="left" w:pos="1011"/>
        </w:tabs>
        <w:spacing w:before="0" w:after="0" w:line="240" w:lineRule="auto"/>
        <w:ind w:left="1010" w:right="0" w:hanging="475"/>
        <w:jc w:val="left"/>
        <w:rPr>
          <w:b/>
          <w:sz w:val="21"/>
        </w:rPr>
      </w:pPr>
      <w:r>
        <w:rPr>
          <w:b/>
          <w:sz w:val="21"/>
        </w:rPr>
        <w:t>和解</w:t>
      </w:r>
    </w:p>
    <w:p>
      <w:pPr>
        <w:pStyle w:val="13"/>
        <w:spacing w:before="10"/>
        <w:ind w:left="0"/>
        <w:rPr>
          <w:b/>
          <w:sz w:val="18"/>
        </w:rPr>
      </w:pPr>
    </w:p>
    <w:p>
      <w:pPr>
        <w:pStyle w:val="13"/>
        <w:spacing w:line="348" w:lineRule="auto"/>
        <w:ind w:right="191" w:firstLine="420"/>
      </w:pPr>
      <w:r>
        <w:rPr>
          <w:spacing w:val="-5"/>
        </w:rPr>
        <w:t>合同当事人可以就争议自行和解，自行和解达成协议的经双方签字并盖章后作为合同补充文件，双方</w:t>
      </w:r>
      <w:r>
        <w:rPr>
          <w:spacing w:val="-4"/>
        </w:rPr>
        <w:t>均应遵照执行。</w:t>
      </w:r>
    </w:p>
    <w:p>
      <w:pPr>
        <w:pStyle w:val="32"/>
        <w:numPr>
          <w:ilvl w:val="1"/>
          <w:numId w:val="9"/>
        </w:numPr>
        <w:tabs>
          <w:tab w:val="left" w:pos="1011"/>
        </w:tabs>
        <w:spacing w:before="150" w:after="0" w:line="240" w:lineRule="auto"/>
        <w:ind w:left="1010" w:right="0" w:hanging="475"/>
        <w:jc w:val="left"/>
        <w:rPr>
          <w:b/>
          <w:sz w:val="21"/>
        </w:rPr>
      </w:pPr>
      <w:r>
        <w:rPr>
          <w:b/>
          <w:sz w:val="21"/>
        </w:rPr>
        <w:t>调解</w:t>
      </w:r>
    </w:p>
    <w:p>
      <w:pPr>
        <w:pStyle w:val="13"/>
        <w:spacing w:before="9"/>
        <w:ind w:left="0"/>
        <w:rPr>
          <w:b/>
          <w:sz w:val="18"/>
        </w:rPr>
      </w:pPr>
    </w:p>
    <w:p>
      <w:pPr>
        <w:pStyle w:val="13"/>
        <w:spacing w:line="348" w:lineRule="auto"/>
        <w:ind w:right="178" w:firstLine="420"/>
      </w:pPr>
      <w:r>
        <w:t>合同当事人可以就争议请求建设行政主管部门、行业协会或其他第三方进行调解，调解达成协议的， 经双方签字并盖章后作为合同补充文件，双方均应遵照执行。</w:t>
      </w:r>
    </w:p>
    <w:p>
      <w:pPr>
        <w:pStyle w:val="32"/>
        <w:numPr>
          <w:ilvl w:val="1"/>
          <w:numId w:val="9"/>
        </w:numPr>
        <w:tabs>
          <w:tab w:val="left" w:pos="1011"/>
        </w:tabs>
        <w:spacing w:before="151" w:after="0" w:line="240" w:lineRule="auto"/>
        <w:ind w:left="1010" w:right="0" w:hanging="475"/>
        <w:jc w:val="left"/>
        <w:rPr>
          <w:b/>
          <w:sz w:val="21"/>
        </w:rPr>
      </w:pPr>
      <w:r>
        <w:rPr>
          <w:b/>
          <w:sz w:val="21"/>
        </w:rPr>
        <w:t>争议评审</w:t>
      </w:r>
    </w:p>
    <w:p>
      <w:pPr>
        <w:pStyle w:val="13"/>
        <w:spacing w:before="10"/>
        <w:ind w:left="0"/>
        <w:rPr>
          <w:b/>
          <w:sz w:val="18"/>
        </w:rPr>
      </w:pPr>
    </w:p>
    <w:p>
      <w:pPr>
        <w:pStyle w:val="13"/>
        <w:ind w:left="533"/>
      </w:pPr>
      <w:r>
        <w:t>合同当事人在专用合同条款中约定采取争议评审方式解决争议以及评审规则，并按下列约定执行：</w:t>
      </w:r>
    </w:p>
    <w:p>
      <w:pPr>
        <w:pStyle w:val="32"/>
        <w:numPr>
          <w:ilvl w:val="2"/>
          <w:numId w:val="9"/>
        </w:numPr>
        <w:tabs>
          <w:tab w:val="left" w:pos="1270"/>
        </w:tabs>
        <w:spacing w:before="123" w:after="0" w:line="240" w:lineRule="auto"/>
        <w:ind w:left="1270" w:right="0" w:hanging="737"/>
        <w:jc w:val="left"/>
        <w:rPr>
          <w:sz w:val="21"/>
        </w:rPr>
      </w:pPr>
      <w:r>
        <w:rPr>
          <w:spacing w:val="-3"/>
          <w:sz w:val="21"/>
        </w:rPr>
        <w:t>争议评审小组的确定</w:t>
      </w:r>
    </w:p>
    <w:p>
      <w:pPr>
        <w:pStyle w:val="13"/>
        <w:spacing w:before="126" w:line="350" w:lineRule="auto"/>
        <w:ind w:right="178" w:firstLine="420"/>
      </w:pPr>
      <w:r>
        <w:t>合同当事人可以共同选择一名或三名争议评审员，组成争议评审小组。除专用合同条款另有约定外， 合同当事人应当自合同签订后28天内，或者争议发生后14天内，选定争议评审员。</w:t>
      </w:r>
    </w:p>
    <w:p>
      <w:pPr>
        <w:pStyle w:val="13"/>
        <w:spacing w:before="26" w:line="350" w:lineRule="auto"/>
        <w:ind w:right="206" w:firstLine="420"/>
        <w:jc w:val="both"/>
      </w:pPr>
      <w:r>
        <w:rPr>
          <w:spacing w:val="-6"/>
        </w:rPr>
        <w:t>选择一名争议评审员的，由合同当事人共同确定；选择三名争议评审员的，各自选定一名，第三名成员为首席争议评审员，由合同当事人共同确定或由合同当事人委托已选定的争议评审员共同确定，或由专</w:t>
      </w:r>
      <w:r>
        <w:rPr>
          <w:spacing w:val="-4"/>
        </w:rPr>
        <w:t>用合同条款约定的评审机构指定第三名首席争议评审员。</w:t>
      </w:r>
    </w:p>
    <w:p>
      <w:pPr>
        <w:pStyle w:val="13"/>
        <w:spacing w:before="26"/>
        <w:ind w:left="533"/>
      </w:pPr>
      <w:r>
        <w:t>除专用合同条款另有约定外，评审员报酬由发包人和承包人各承担一半。</w:t>
      </w:r>
    </w:p>
    <w:p>
      <w:pPr>
        <w:pStyle w:val="32"/>
        <w:numPr>
          <w:ilvl w:val="2"/>
          <w:numId w:val="9"/>
        </w:numPr>
        <w:tabs>
          <w:tab w:val="left" w:pos="1270"/>
        </w:tabs>
        <w:spacing w:before="14" w:after="0" w:line="240" w:lineRule="auto"/>
        <w:ind w:left="1270" w:right="0" w:hanging="737"/>
        <w:jc w:val="left"/>
        <w:rPr>
          <w:sz w:val="21"/>
        </w:rPr>
      </w:pPr>
      <w:r>
        <w:rPr>
          <w:spacing w:val="-3"/>
          <w:sz w:val="21"/>
        </w:rPr>
        <w:t>争议评审小组的决定</w:t>
      </w:r>
    </w:p>
    <w:p>
      <w:pPr>
        <w:pStyle w:val="13"/>
        <w:spacing w:before="124" w:line="350" w:lineRule="auto"/>
        <w:ind w:right="101" w:firstLine="420"/>
      </w:pPr>
      <w:r>
        <w:rPr>
          <w:spacing w:val="-4"/>
        </w:rPr>
        <w:t>合同当事人可在任何时间将与合同有关的任何争议共同提请争议评审小组进行评审。争议评审小组应</w:t>
      </w:r>
      <w:r>
        <w:rPr>
          <w:spacing w:val="-13"/>
        </w:rPr>
        <w:t xml:space="preserve">秉持客观、公正原则，充分听取合同当事人的意见，依据相关法律、规范、标准、案例经验及商业惯例等， </w:t>
      </w:r>
      <w:r>
        <w:rPr>
          <w:spacing w:val="-6"/>
        </w:rPr>
        <w:t>自收到争议评审申请报告后</w:t>
      </w:r>
      <w:r>
        <w:t>14</w:t>
      </w:r>
      <w:r>
        <w:rPr>
          <w:spacing w:val="-6"/>
        </w:rPr>
        <w:t>天内作出书面决定，并说明理由。合同当事人可以在专用合同条款中对本项</w:t>
      </w:r>
      <w:r>
        <w:rPr>
          <w:spacing w:val="-4"/>
        </w:rPr>
        <w:t>事项另行约定。</w:t>
      </w:r>
    </w:p>
    <w:p>
      <w:pPr>
        <w:pStyle w:val="32"/>
        <w:numPr>
          <w:ilvl w:val="2"/>
          <w:numId w:val="9"/>
        </w:numPr>
        <w:tabs>
          <w:tab w:val="left" w:pos="1270"/>
        </w:tabs>
        <w:spacing w:before="29" w:after="0" w:line="240" w:lineRule="auto"/>
        <w:ind w:left="1270" w:right="0" w:hanging="737"/>
        <w:jc w:val="left"/>
        <w:rPr>
          <w:sz w:val="21"/>
        </w:rPr>
      </w:pPr>
      <w:r>
        <w:rPr>
          <w:spacing w:val="-3"/>
          <w:sz w:val="21"/>
        </w:rPr>
        <w:t>争议评审小组决定的效力</w:t>
      </w:r>
    </w:p>
    <w:p>
      <w:pPr>
        <w:pStyle w:val="13"/>
        <w:spacing w:before="125"/>
        <w:ind w:left="533"/>
      </w:pPr>
      <w:r>
        <w:t>争议评审小组作出的书面决定经合同当事人签字确认后，对双方具有约束力，双方应遵照执行。</w:t>
      </w:r>
    </w:p>
    <w:p>
      <w:pPr>
        <w:pStyle w:val="13"/>
        <w:spacing w:before="123" w:line="350" w:lineRule="auto"/>
        <w:ind w:right="178" w:firstLine="420"/>
      </w:pPr>
      <w:r>
        <w:t>任何一方当事人不接受争议评审小组决定或不履行争议评审小组决定的，双方可选择采用其他争议解决方式。</w:t>
      </w:r>
    </w:p>
    <w:p>
      <w:pPr>
        <w:pStyle w:val="32"/>
        <w:numPr>
          <w:ilvl w:val="1"/>
          <w:numId w:val="9"/>
        </w:numPr>
        <w:tabs>
          <w:tab w:val="left" w:pos="1011"/>
        </w:tabs>
        <w:spacing w:before="149" w:after="0" w:line="240" w:lineRule="auto"/>
        <w:ind w:left="1010" w:right="0" w:hanging="475"/>
        <w:jc w:val="left"/>
        <w:rPr>
          <w:b/>
          <w:sz w:val="21"/>
        </w:rPr>
      </w:pPr>
      <w:r>
        <w:rPr>
          <w:b/>
          <w:sz w:val="21"/>
        </w:rPr>
        <w:t>仲裁或诉讼</w:t>
      </w:r>
    </w:p>
    <w:p>
      <w:pPr>
        <w:pStyle w:val="13"/>
        <w:spacing w:before="8"/>
        <w:ind w:left="0"/>
        <w:rPr>
          <w:b/>
          <w:sz w:val="18"/>
        </w:rPr>
      </w:pPr>
    </w:p>
    <w:p>
      <w:pPr>
        <w:pStyle w:val="13"/>
        <w:ind w:left="533"/>
      </w:pPr>
      <w:r>
        <w:t>因合同及合同有关事项产生的争议，合同当事人可以在专用合同条款中约定以下一种方式解决争议：</w:t>
      </w:r>
    </w:p>
    <w:p>
      <w:pPr>
        <w:pStyle w:val="13"/>
        <w:spacing w:before="126"/>
        <w:ind w:left="533"/>
      </w:pPr>
      <w:r>
        <w:t>（1）向约定的仲裁委员会申请仲裁；</w:t>
      </w:r>
    </w:p>
    <w:p>
      <w:pPr>
        <w:pStyle w:val="13"/>
        <w:spacing w:before="126"/>
        <w:ind w:left="533"/>
      </w:pPr>
      <w:r>
        <w:t>（2）向有管辖权的人民法院起诉。</w:t>
      </w:r>
    </w:p>
    <w:p>
      <w:pPr>
        <w:pStyle w:val="13"/>
        <w:spacing w:before="7"/>
        <w:ind w:left="0"/>
        <w:rPr>
          <w:sz w:val="18"/>
        </w:rPr>
      </w:pPr>
    </w:p>
    <w:p>
      <w:pPr>
        <w:pStyle w:val="32"/>
        <w:numPr>
          <w:ilvl w:val="1"/>
          <w:numId w:val="9"/>
        </w:numPr>
        <w:tabs>
          <w:tab w:val="left" w:pos="1011"/>
        </w:tabs>
        <w:spacing w:before="1" w:after="0" w:line="240" w:lineRule="auto"/>
        <w:ind w:left="1010" w:right="0" w:hanging="475"/>
        <w:jc w:val="left"/>
        <w:rPr>
          <w:b/>
          <w:sz w:val="21"/>
        </w:rPr>
      </w:pPr>
      <w:r>
        <w:rPr>
          <w:b/>
          <w:sz w:val="21"/>
        </w:rPr>
        <w:t>争议解决条款效力</w:t>
      </w:r>
    </w:p>
    <w:p>
      <w:pPr>
        <w:pStyle w:val="13"/>
        <w:spacing w:before="159"/>
      </w:pPr>
      <w:r>
        <w:t>合同有关争议解决的条款独立存在，合同的变更、解除、终止、无效或者被撤销均不影响其效力。</w:t>
      </w:r>
    </w:p>
    <w:p>
      <w:pPr>
        <w:spacing w:after="0"/>
        <w:sectPr>
          <w:pgSz w:w="11910" w:h="16840"/>
          <w:pgMar w:top="1460" w:right="920" w:bottom="1180" w:left="1020" w:header="0" w:footer="920" w:gutter="0"/>
        </w:sectPr>
      </w:pPr>
    </w:p>
    <w:p>
      <w:pPr>
        <w:pStyle w:val="5"/>
        <w:spacing w:line="375" w:lineRule="exact"/>
      </w:pPr>
      <w:r>
        <w:t>第三部分 专用合同条款</w:t>
      </w:r>
    </w:p>
    <w:p>
      <w:pPr>
        <w:pStyle w:val="13"/>
        <w:spacing w:before="7"/>
        <w:ind w:left="0"/>
        <w:rPr>
          <w:b/>
          <w:sz w:val="12"/>
        </w:rPr>
      </w:pPr>
    </w:p>
    <w:p>
      <w:pPr>
        <w:pStyle w:val="35"/>
        <w:wordWrap w:val="0"/>
        <w:topLinePunct/>
        <w:spacing w:line="360" w:lineRule="auto"/>
        <w:rPr>
          <w:rFonts w:hint="eastAsia" w:ascii="宋体" w:cs="宋体"/>
          <w:sz w:val="21"/>
          <w:szCs w:val="21"/>
        </w:rPr>
      </w:pPr>
      <w:bookmarkStart w:id="4" w:name="_Toc433801683"/>
      <w:bookmarkStart w:id="5" w:name="_Toc351203633"/>
      <w:bookmarkStart w:id="6" w:name="_Toc419286821"/>
      <w:r>
        <w:rPr>
          <w:rFonts w:hint="eastAsia" w:ascii="宋体" w:cs="宋体"/>
          <w:sz w:val="21"/>
          <w:szCs w:val="21"/>
        </w:rPr>
        <w:t>1</w:t>
      </w:r>
      <w:bookmarkStart w:id="7" w:name="_Toc296944495"/>
      <w:bookmarkStart w:id="8" w:name="_Toc296891196"/>
      <w:bookmarkStart w:id="9" w:name="_Toc297048342"/>
      <w:bookmarkStart w:id="10" w:name="_Toc297120456"/>
      <w:bookmarkStart w:id="11" w:name="_Toc296503156"/>
      <w:bookmarkStart w:id="12" w:name="_Toc292559361"/>
      <w:bookmarkStart w:id="13" w:name="_Toc292559866"/>
      <w:bookmarkStart w:id="14" w:name="_Toc296890984"/>
      <w:bookmarkStart w:id="15" w:name="_Toc296346657"/>
      <w:bookmarkStart w:id="16" w:name="_Toc296347155"/>
      <w:r>
        <w:rPr>
          <w:rFonts w:hint="eastAsia" w:ascii="宋体" w:cs="宋体"/>
          <w:sz w:val="21"/>
          <w:szCs w:val="21"/>
        </w:rPr>
        <w:t>. 一般约定</w:t>
      </w:r>
      <w:bookmarkEnd w:id="4"/>
      <w:bookmarkEnd w:id="5"/>
      <w:bookmarkEnd w:id="6"/>
    </w:p>
    <w:bookmarkEnd w:id="7"/>
    <w:bookmarkEnd w:id="8"/>
    <w:bookmarkEnd w:id="9"/>
    <w:bookmarkEnd w:id="10"/>
    <w:bookmarkEnd w:id="11"/>
    <w:bookmarkEnd w:id="12"/>
    <w:bookmarkEnd w:id="13"/>
    <w:bookmarkEnd w:id="14"/>
    <w:bookmarkEnd w:id="15"/>
    <w:bookmarkEnd w:id="16"/>
    <w:p>
      <w:pPr>
        <w:pStyle w:val="35"/>
        <w:wordWrap w:val="0"/>
        <w:topLinePunct/>
        <w:spacing w:line="360" w:lineRule="auto"/>
        <w:rPr>
          <w:rFonts w:hint="eastAsia" w:ascii="宋体" w:cs="宋体"/>
          <w:sz w:val="21"/>
          <w:szCs w:val="21"/>
        </w:rPr>
      </w:pPr>
      <w:bookmarkStart w:id="17" w:name="_Toc419286822"/>
      <w:bookmarkStart w:id="18" w:name="_Toc433801684"/>
      <w:r>
        <w:rPr>
          <w:rFonts w:hint="eastAsia" w:ascii="宋体" w:cs="宋体"/>
          <w:sz w:val="21"/>
          <w:szCs w:val="21"/>
        </w:rPr>
        <w:t>1.1 词语定义</w:t>
      </w:r>
      <w:bookmarkEnd w:id="17"/>
      <w:bookmarkEnd w:id="18"/>
    </w:p>
    <w:p>
      <w:pPr>
        <w:pStyle w:val="36"/>
        <w:wordWrap w:val="0"/>
        <w:topLinePunct/>
        <w:spacing w:line="360" w:lineRule="auto"/>
        <w:ind w:firstLine="480"/>
        <w:rPr>
          <w:rFonts w:hint="eastAsia" w:hAnsi="宋体" w:cs="宋体"/>
          <w:sz w:val="21"/>
          <w:szCs w:val="21"/>
        </w:rPr>
      </w:pPr>
      <w:r>
        <w:rPr>
          <w:rFonts w:hint="eastAsia" w:hAnsi="宋体" w:cs="宋体"/>
          <w:sz w:val="21"/>
          <w:szCs w:val="21"/>
        </w:rPr>
        <w:t>1.1.1合同</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1.1.1.10其他合同文件包括：</w:t>
      </w:r>
      <w:r>
        <w:rPr>
          <w:rFonts w:hint="eastAsia" w:hAnsi="宋体" w:cs="宋体"/>
          <w:sz w:val="21"/>
          <w:szCs w:val="21"/>
          <w:u w:val="single"/>
        </w:rPr>
        <w:t>经合同双方当事人确认构成合同文件的其他文件</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1.1.2 合同当事人及其他相关方</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1.1.2.4监理人：</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名    称：</w:t>
      </w:r>
      <w:r>
        <w:rPr>
          <w:rFonts w:hint="eastAsia" w:hAnsi="宋体" w:cs="宋体"/>
          <w:sz w:val="21"/>
          <w:szCs w:val="21"/>
          <w:u w:val="single"/>
        </w:rPr>
        <w:t xml:space="preserve">（中标后、签订合同时填写）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资质类别和等级：</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联系电话：</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电子信箱：</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通信地址：</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1.1.2.5 设计人：</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名    称：</w:t>
      </w:r>
      <w:r>
        <w:rPr>
          <w:rFonts w:hint="eastAsia" w:hAnsi="宋体" w:cs="宋体"/>
          <w:sz w:val="21"/>
          <w:szCs w:val="21"/>
          <w:u w:val="single"/>
        </w:rPr>
        <w:t xml:space="preserve">（中标后、签订合同时填写）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资质类别和等级：</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联系电话：</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电子信箱：</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通信地址：</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1.1.3 工程和设备</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1.1.3.7 作为施工现场组成部分的其他场所包括：</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1.1.3.9 永久占地包括：</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1.1.3.10 临时占地包括：</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19" w:name="_Toc419286823"/>
      <w:bookmarkStart w:id="20" w:name="_Toc433801685"/>
      <w:r>
        <w:rPr>
          <w:rFonts w:hint="eastAsia" w:ascii="宋体" w:cs="宋体"/>
          <w:sz w:val="21"/>
          <w:szCs w:val="21"/>
        </w:rPr>
        <w:t>1.3法律</w:t>
      </w:r>
      <w:bookmarkEnd w:id="19"/>
      <w:bookmarkEnd w:id="20"/>
    </w:p>
    <w:p>
      <w:pPr>
        <w:pStyle w:val="36"/>
        <w:wordWrap w:val="0"/>
        <w:topLinePunct/>
        <w:spacing w:line="360" w:lineRule="auto"/>
        <w:ind w:firstLine="480"/>
        <w:rPr>
          <w:rFonts w:hint="eastAsia" w:hAnsi="宋体" w:cs="宋体"/>
          <w:sz w:val="21"/>
          <w:szCs w:val="21"/>
        </w:rPr>
      </w:pPr>
      <w:r>
        <w:rPr>
          <w:rFonts w:hint="eastAsia" w:hAnsi="宋体" w:cs="宋体"/>
          <w:sz w:val="21"/>
          <w:szCs w:val="21"/>
        </w:rPr>
        <w:t>适用于合同的其他规范性文件：</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21" w:name="_Toc433801686"/>
      <w:bookmarkStart w:id="22" w:name="_Toc419286824"/>
      <w:r>
        <w:rPr>
          <w:rFonts w:hint="eastAsia" w:ascii="宋体" w:cs="宋体"/>
          <w:sz w:val="21"/>
          <w:szCs w:val="21"/>
        </w:rPr>
        <w:t>1.4 标准和规范</w:t>
      </w:r>
      <w:bookmarkEnd w:id="21"/>
      <w:bookmarkEnd w:id="22"/>
    </w:p>
    <w:p>
      <w:pPr>
        <w:pStyle w:val="36"/>
        <w:wordWrap w:val="0"/>
        <w:topLinePunct/>
        <w:spacing w:line="360" w:lineRule="auto"/>
        <w:ind w:firstLine="480"/>
        <w:rPr>
          <w:rFonts w:hint="eastAsia" w:hAnsi="宋体" w:cs="宋体"/>
          <w:sz w:val="21"/>
          <w:szCs w:val="21"/>
        </w:rPr>
      </w:pPr>
      <w:r>
        <w:rPr>
          <w:rFonts w:hint="eastAsia" w:hAnsi="宋体" w:cs="宋体"/>
          <w:sz w:val="21"/>
          <w:szCs w:val="21"/>
        </w:rPr>
        <w:t>1.4.1适用于工程的标准规范包括：</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1.4.2 发包人提供国外标准、规范的名称：</w:t>
      </w:r>
      <w:r>
        <w:rPr>
          <w:rFonts w:hint="eastAsia" w:hAnsi="宋体" w:cs="宋体"/>
          <w:sz w:val="21"/>
          <w:szCs w:val="21"/>
          <w:u w:val="single"/>
        </w:rPr>
        <w:t xml:space="preserve">无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发包人提供国外标准、规范的份数：</w:t>
      </w:r>
      <w:r>
        <w:rPr>
          <w:rFonts w:hint="eastAsia" w:hAnsi="宋体" w:cs="宋体"/>
          <w:sz w:val="21"/>
          <w:szCs w:val="21"/>
          <w:u w:val="single"/>
        </w:rPr>
        <w:t xml:space="preserve">  /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发包人提供国外标准、规范的名称：</w:t>
      </w:r>
      <w:r>
        <w:rPr>
          <w:rFonts w:hint="eastAsia" w:hAnsi="宋体" w:cs="宋体"/>
          <w:sz w:val="21"/>
          <w:szCs w:val="21"/>
          <w:u w:val="single"/>
        </w:rPr>
        <w:t xml:space="preserve">  /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1.4.3发包人对工程的技术标准和功能要求的特殊要求：</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23" w:name="_Toc433801687"/>
      <w:bookmarkStart w:id="24" w:name="_Toc419286825"/>
      <w:r>
        <w:rPr>
          <w:rFonts w:hint="eastAsia" w:ascii="宋体" w:cs="宋体"/>
          <w:sz w:val="21"/>
          <w:szCs w:val="21"/>
        </w:rPr>
        <w:t>1.5 合同文件的优先顺序</w:t>
      </w:r>
      <w:bookmarkEnd w:id="23"/>
      <w:bookmarkEnd w:id="24"/>
    </w:p>
    <w:p>
      <w:pPr>
        <w:pStyle w:val="36"/>
        <w:wordWrap w:val="0"/>
        <w:topLinePunct/>
        <w:spacing w:line="360" w:lineRule="auto"/>
        <w:ind w:firstLine="0" w:firstLineChars="0"/>
        <w:rPr>
          <w:rFonts w:hint="eastAsia" w:hAnsi="宋体" w:cs="宋体"/>
          <w:sz w:val="21"/>
          <w:szCs w:val="21"/>
        </w:rPr>
      </w:pPr>
      <w:r>
        <w:rPr>
          <w:rFonts w:hint="eastAsia" w:hAnsi="宋体" w:cs="宋体"/>
          <w:sz w:val="21"/>
          <w:szCs w:val="21"/>
        </w:rPr>
        <w:t>合同文件组成及优先顺序为：</w:t>
      </w:r>
      <w:r>
        <w:rPr>
          <w:rFonts w:hint="eastAsia" w:hAnsi="宋体" w:cs="宋体"/>
          <w:sz w:val="21"/>
          <w:szCs w:val="21"/>
          <w:u w:val="single"/>
        </w:rPr>
        <w:t xml:space="preserve">按通用条款，无特殊约定  </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25" w:name="_Toc433801688"/>
      <w:bookmarkStart w:id="26" w:name="_Toc419286826"/>
      <w:r>
        <w:rPr>
          <w:rFonts w:hint="eastAsia" w:ascii="宋体" w:cs="宋体"/>
          <w:sz w:val="21"/>
          <w:szCs w:val="21"/>
        </w:rPr>
        <w:t>1.6 图纸和承包人文件</w:t>
      </w:r>
      <w:bookmarkEnd w:id="25"/>
      <w:bookmarkEnd w:id="26"/>
      <w:r>
        <w:rPr>
          <w:rFonts w:hint="eastAsia" w:ascii="宋体" w:cs="宋体"/>
          <w:sz w:val="21"/>
          <w:szCs w:val="21"/>
        </w:rPr>
        <w:tab/>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1.6.1 图纸的提供</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发包人向承包人提供图纸的期限：</w:t>
      </w:r>
      <w:r>
        <w:rPr>
          <w:rFonts w:hint="eastAsia" w:hAnsi="宋体" w:cs="宋体"/>
          <w:sz w:val="21"/>
          <w:szCs w:val="21"/>
          <w:u w:val="single"/>
        </w:rPr>
        <w:t xml:space="preserve">合同生效后7天内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发包人向承包人提供图纸的数量：</w:t>
      </w:r>
      <w:r>
        <w:rPr>
          <w:rFonts w:hint="eastAsia" w:hAnsi="宋体" w:cs="宋体"/>
          <w:sz w:val="21"/>
          <w:szCs w:val="21"/>
          <w:u w:val="single"/>
          <w:lang w:val="en-US" w:eastAsia="zh-CN"/>
        </w:rPr>
        <w:t xml:space="preserve">1 </w:t>
      </w:r>
      <w:r>
        <w:rPr>
          <w:rFonts w:hint="eastAsia" w:hAnsi="宋体" w:cs="宋体"/>
          <w:sz w:val="21"/>
          <w:szCs w:val="21"/>
          <w:u w:val="single"/>
        </w:rPr>
        <w:t>份</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发包人向承包人提供图纸的内容：</w:t>
      </w:r>
      <w:r>
        <w:rPr>
          <w:rFonts w:hint="eastAsia" w:hAnsi="宋体" w:cs="宋体"/>
          <w:sz w:val="21"/>
          <w:szCs w:val="21"/>
          <w:u w:val="single"/>
        </w:rPr>
        <w:t xml:space="preserve">设计人提供的设计施工图纸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1.6.4 承包人文件</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需要由承包人提供的文件，包括：</w:t>
      </w:r>
      <w:r>
        <w:rPr>
          <w:rFonts w:hint="eastAsia" w:hAnsi="宋体" w:cs="宋体"/>
          <w:sz w:val="21"/>
          <w:szCs w:val="21"/>
          <w:u w:val="single"/>
        </w:rPr>
        <w:t>提供施工图以外的大样图、加工图等</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承包人提供的文件的期限为：</w:t>
      </w:r>
      <w:r>
        <w:rPr>
          <w:rFonts w:hint="eastAsia" w:hAnsi="宋体" w:cs="宋体"/>
          <w:sz w:val="21"/>
          <w:szCs w:val="21"/>
          <w:u w:val="single"/>
        </w:rPr>
        <w:t xml:space="preserve">构件开始施工前7天内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承包人提供的文件的数量为：</w:t>
      </w:r>
      <w:r>
        <w:rPr>
          <w:rFonts w:hint="eastAsia" w:hAnsi="宋体" w:cs="宋体"/>
          <w:sz w:val="21"/>
          <w:szCs w:val="21"/>
          <w:u w:val="single"/>
        </w:rPr>
        <w:t>根据发包人或监理人要求</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承包人提供的文件的形式为：</w:t>
      </w:r>
      <w:r>
        <w:rPr>
          <w:rFonts w:hint="eastAsia" w:hAnsi="宋体" w:cs="宋体"/>
          <w:sz w:val="21"/>
          <w:szCs w:val="21"/>
          <w:u w:val="single"/>
        </w:rPr>
        <w:t>书面形式</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发包人审批承包人文件的期限：</w:t>
      </w:r>
      <w:r>
        <w:rPr>
          <w:rFonts w:hint="eastAsia" w:hAnsi="宋体" w:cs="宋体"/>
          <w:sz w:val="21"/>
          <w:szCs w:val="21"/>
          <w:u w:val="single"/>
        </w:rPr>
        <w:t>7天</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1.6.5 现场图纸准备</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关于现场图纸准备的约定：</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27" w:name="_Toc419286827"/>
      <w:bookmarkStart w:id="28" w:name="_Toc433801689"/>
      <w:r>
        <w:rPr>
          <w:rFonts w:hint="eastAsia" w:ascii="宋体" w:cs="宋体"/>
          <w:sz w:val="21"/>
          <w:szCs w:val="21"/>
        </w:rPr>
        <w:t>1.7 联络</w:t>
      </w:r>
      <w:bookmarkEnd w:id="27"/>
      <w:bookmarkEnd w:id="28"/>
    </w:p>
    <w:p>
      <w:pPr>
        <w:pStyle w:val="36"/>
        <w:wordWrap w:val="0"/>
        <w:topLinePunct/>
        <w:spacing w:line="360" w:lineRule="auto"/>
        <w:ind w:firstLine="480"/>
        <w:rPr>
          <w:rFonts w:hint="eastAsia" w:hAnsi="宋体" w:cs="宋体"/>
          <w:sz w:val="21"/>
          <w:szCs w:val="21"/>
        </w:rPr>
      </w:pPr>
      <w:r>
        <w:rPr>
          <w:rFonts w:hint="eastAsia" w:hAnsi="宋体" w:cs="宋体"/>
          <w:sz w:val="21"/>
          <w:szCs w:val="21"/>
        </w:rPr>
        <w:t>1.7.1发包人和承包人应当在</w:t>
      </w:r>
      <w:r>
        <w:rPr>
          <w:rFonts w:hint="eastAsia" w:hAnsi="宋体" w:cs="宋体"/>
          <w:sz w:val="21"/>
          <w:szCs w:val="21"/>
          <w:u w:val="single"/>
        </w:rPr>
        <w:t>7　</w:t>
      </w:r>
      <w:r>
        <w:rPr>
          <w:rFonts w:hint="eastAsia" w:hAnsi="宋体" w:cs="宋体"/>
          <w:sz w:val="21"/>
          <w:szCs w:val="21"/>
        </w:rPr>
        <w:t>天内将与合同有关的通知、批准、证明、证书、指示、指令、要求、请求、同意、意见、确定和决定等书面函件送达对方当事人。</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1.7.2 发包人接收文件的地点：</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发包人指定的接收人为：</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承包人接收文件的地点：</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承包人指定的接收人为：</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监理人接收文件的地点：</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监理人指定的接收人为：</w:t>
      </w:r>
      <w:r>
        <w:rPr>
          <w:rFonts w:hint="eastAsia" w:hAnsi="宋体" w:cs="宋体"/>
          <w:sz w:val="21"/>
          <w:szCs w:val="21"/>
          <w:u w:val="single"/>
        </w:rPr>
        <w:t>（中标后、签订合同时填写）</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29" w:name="_Toc433801690"/>
      <w:bookmarkStart w:id="30" w:name="_Toc419286828"/>
      <w:r>
        <w:rPr>
          <w:rFonts w:hint="eastAsia" w:ascii="宋体" w:cs="宋体"/>
          <w:sz w:val="21"/>
          <w:szCs w:val="21"/>
        </w:rPr>
        <w:t>1.10 交通运输</w:t>
      </w:r>
      <w:bookmarkEnd w:id="29"/>
      <w:bookmarkEnd w:id="30"/>
    </w:p>
    <w:p>
      <w:pPr>
        <w:pStyle w:val="36"/>
        <w:wordWrap w:val="0"/>
        <w:topLinePunct/>
        <w:spacing w:line="360" w:lineRule="auto"/>
        <w:ind w:firstLine="480"/>
        <w:rPr>
          <w:rFonts w:hint="eastAsia" w:hAnsi="宋体" w:cs="宋体"/>
          <w:sz w:val="21"/>
          <w:szCs w:val="21"/>
        </w:rPr>
      </w:pPr>
      <w:r>
        <w:rPr>
          <w:rFonts w:hint="eastAsia" w:hAnsi="宋体" w:cs="宋体"/>
          <w:sz w:val="21"/>
          <w:szCs w:val="21"/>
        </w:rPr>
        <w:t>1</w:t>
      </w:r>
      <w:bookmarkStart w:id="31" w:name="_Toc300934943"/>
      <w:bookmarkStart w:id="32" w:name="_Toc303539100"/>
      <w:bookmarkStart w:id="33" w:name="_Toc312677986"/>
      <w:bookmarkStart w:id="34" w:name="_Toc318581155"/>
      <w:bookmarkStart w:id="35" w:name="_Toc304295521"/>
      <w:r>
        <w:rPr>
          <w:rFonts w:hint="eastAsia" w:hAnsi="宋体" w:cs="宋体"/>
          <w:sz w:val="21"/>
          <w:szCs w:val="21"/>
        </w:rPr>
        <w:t>.10.1 出入现场的权利</w:t>
      </w:r>
    </w:p>
    <w:p>
      <w:pPr>
        <w:pStyle w:val="36"/>
        <w:wordWrap w:val="0"/>
        <w:topLinePunct/>
        <w:spacing w:line="360" w:lineRule="auto"/>
        <w:ind w:firstLine="0" w:firstLineChars="0"/>
        <w:rPr>
          <w:rFonts w:hint="eastAsia" w:hAnsi="宋体" w:cs="宋体"/>
          <w:sz w:val="21"/>
          <w:szCs w:val="21"/>
        </w:rPr>
      </w:pPr>
      <w:r>
        <w:rPr>
          <w:rFonts w:hint="eastAsia" w:hAnsi="宋体" w:cs="宋体"/>
          <w:sz w:val="21"/>
          <w:szCs w:val="21"/>
        </w:rPr>
        <w:t>关于出入现场的权利的约定：</w:t>
      </w:r>
      <w:r>
        <w:rPr>
          <w:rFonts w:hint="eastAsia" w:hAnsi="宋体" w:cs="宋体"/>
          <w:sz w:val="21"/>
          <w:szCs w:val="21"/>
          <w:u w:val="single"/>
        </w:rPr>
        <w:t>按通用条款，无特殊约定</w:t>
      </w:r>
      <w:r>
        <w:rPr>
          <w:rFonts w:hint="eastAsia" w:hAnsi="宋体" w:cs="宋体"/>
          <w:sz w:val="21"/>
          <w:szCs w:val="21"/>
        </w:rPr>
        <w:t>。</w:t>
      </w:r>
    </w:p>
    <w:bookmarkEnd w:id="31"/>
    <w:bookmarkEnd w:id="32"/>
    <w:bookmarkEnd w:id="33"/>
    <w:bookmarkEnd w:id="34"/>
    <w:bookmarkEnd w:id="35"/>
    <w:p>
      <w:pPr>
        <w:pStyle w:val="36"/>
        <w:wordWrap w:val="0"/>
        <w:topLinePunct/>
        <w:spacing w:line="360" w:lineRule="auto"/>
        <w:ind w:firstLine="480"/>
        <w:rPr>
          <w:rFonts w:hint="eastAsia" w:hAnsi="宋体" w:cs="宋体"/>
          <w:sz w:val="21"/>
          <w:szCs w:val="21"/>
        </w:rPr>
      </w:pPr>
      <w:r>
        <w:rPr>
          <w:rFonts w:hint="eastAsia" w:hAnsi="宋体" w:cs="宋体"/>
          <w:sz w:val="21"/>
          <w:szCs w:val="21"/>
        </w:rPr>
        <w:t>1</w:t>
      </w:r>
      <w:bookmarkStart w:id="36" w:name="_Toc318581156"/>
      <w:bookmarkStart w:id="37" w:name="_Toc312677987"/>
      <w:bookmarkStart w:id="38" w:name="_Toc303539101"/>
      <w:bookmarkStart w:id="39" w:name="_Toc304295522"/>
      <w:bookmarkStart w:id="40" w:name="_Toc300934944"/>
      <w:r>
        <w:rPr>
          <w:rFonts w:hint="eastAsia" w:hAnsi="宋体" w:cs="宋体"/>
          <w:sz w:val="21"/>
          <w:szCs w:val="21"/>
        </w:rPr>
        <w:t>.10.3 场内交通</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关于场外交通和场内交通的边界的约定：</w:t>
      </w:r>
      <w:r>
        <w:rPr>
          <w:rFonts w:hint="eastAsia" w:hAnsi="宋体" w:cs="宋体"/>
          <w:sz w:val="21"/>
          <w:szCs w:val="21"/>
          <w:u w:val="single"/>
        </w:rPr>
        <w:t>发包人交付给承包人使用的施工现场内的交通为场内交通，以外的部分为场外交通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关于发包人向承包人免费提供满足工程施工需要的场内道路和交通设施的约定：</w:t>
      </w:r>
      <w:r>
        <w:rPr>
          <w:rFonts w:hint="eastAsia" w:hAnsi="宋体" w:cs="宋体"/>
          <w:sz w:val="21"/>
          <w:szCs w:val="21"/>
          <w:u w:val="single"/>
        </w:rPr>
        <w:t>按通用条款，无特殊约定</w:t>
      </w:r>
      <w:r>
        <w:rPr>
          <w:rFonts w:hint="eastAsia" w:hAnsi="宋体" w:cs="宋体"/>
          <w:sz w:val="21"/>
          <w:szCs w:val="21"/>
        </w:rPr>
        <w:t>。</w:t>
      </w:r>
      <w:bookmarkEnd w:id="36"/>
      <w:bookmarkEnd w:id="37"/>
      <w:bookmarkEnd w:id="38"/>
      <w:bookmarkEnd w:id="39"/>
      <w:bookmarkEnd w:id="40"/>
      <w:bookmarkStart w:id="41" w:name="_Toc318581157"/>
    </w:p>
    <w:p>
      <w:pPr>
        <w:pStyle w:val="36"/>
        <w:wordWrap w:val="0"/>
        <w:topLinePunct/>
        <w:spacing w:line="360" w:lineRule="auto"/>
        <w:ind w:firstLine="480"/>
        <w:rPr>
          <w:rFonts w:hint="eastAsia" w:hAnsi="宋体" w:cs="宋体"/>
          <w:sz w:val="21"/>
          <w:szCs w:val="21"/>
        </w:rPr>
      </w:pPr>
      <w:r>
        <w:rPr>
          <w:rFonts w:hint="eastAsia" w:hAnsi="宋体" w:cs="宋体"/>
          <w:sz w:val="21"/>
          <w:szCs w:val="21"/>
        </w:rPr>
        <w:t>1.10.4超大件和超重件的运输</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运输超大件或超重件所需的道路和桥梁临时加固改造费用和其他有关费用由</w:t>
      </w:r>
      <w:r>
        <w:rPr>
          <w:rFonts w:hint="eastAsia" w:hAnsi="宋体" w:cs="宋体"/>
          <w:sz w:val="21"/>
          <w:szCs w:val="21"/>
          <w:u w:val="single"/>
        </w:rPr>
        <w:t>承包人</w:t>
      </w:r>
      <w:r>
        <w:rPr>
          <w:rFonts w:hint="eastAsia" w:hAnsi="宋体" w:cs="宋体"/>
          <w:sz w:val="21"/>
          <w:szCs w:val="21"/>
        </w:rPr>
        <w:t>承担。</w:t>
      </w:r>
    </w:p>
    <w:bookmarkEnd w:id="41"/>
    <w:p>
      <w:pPr>
        <w:pStyle w:val="35"/>
        <w:wordWrap w:val="0"/>
        <w:topLinePunct/>
        <w:spacing w:line="360" w:lineRule="auto"/>
        <w:rPr>
          <w:rFonts w:hint="eastAsia" w:ascii="宋体" w:cs="宋体"/>
          <w:sz w:val="21"/>
          <w:szCs w:val="21"/>
        </w:rPr>
      </w:pPr>
      <w:bookmarkStart w:id="42" w:name="_Toc419286829"/>
      <w:bookmarkStart w:id="43" w:name="_Toc433801691"/>
      <w:r>
        <w:rPr>
          <w:rFonts w:hint="eastAsia" w:ascii="宋体" w:cs="宋体"/>
          <w:sz w:val="21"/>
          <w:szCs w:val="21"/>
        </w:rPr>
        <w:t>1.11 知识产权</w:t>
      </w:r>
      <w:bookmarkEnd w:id="42"/>
      <w:bookmarkEnd w:id="43"/>
    </w:p>
    <w:p>
      <w:pPr>
        <w:pStyle w:val="36"/>
        <w:wordWrap w:val="0"/>
        <w:topLinePunct/>
        <w:spacing w:line="360" w:lineRule="auto"/>
        <w:ind w:firstLine="0" w:firstLineChars="0"/>
        <w:rPr>
          <w:rFonts w:hint="eastAsia" w:hAnsi="宋体" w:cs="宋体"/>
          <w:sz w:val="21"/>
          <w:szCs w:val="21"/>
        </w:rPr>
      </w:pPr>
      <w:r>
        <w:rPr>
          <w:rFonts w:hint="eastAsia" w:hAnsi="宋体" w:cs="宋体"/>
          <w:sz w:val="21"/>
          <w:szCs w:val="21"/>
        </w:rPr>
        <w:t>1.11.1关于发包人提供给承包人的图纸、发包人为实施工程自行编制或委托编制的技术规范以及反映发包人关于合同要求或其他类似性质的文件的著作权的归属：</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0" w:firstLineChars="0"/>
        <w:rPr>
          <w:rFonts w:hint="eastAsia" w:hAnsi="宋体" w:cs="宋体"/>
          <w:sz w:val="21"/>
          <w:szCs w:val="21"/>
        </w:rPr>
      </w:pPr>
      <w:r>
        <w:rPr>
          <w:rFonts w:hint="eastAsia" w:hAnsi="宋体" w:cs="宋体"/>
          <w:sz w:val="21"/>
          <w:szCs w:val="21"/>
        </w:rPr>
        <w:t>关于发包人提供的上述文件的使用限制的要求：</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0" w:firstLineChars="0"/>
        <w:rPr>
          <w:rFonts w:hint="eastAsia" w:hAnsi="宋体" w:cs="宋体"/>
          <w:sz w:val="21"/>
          <w:szCs w:val="21"/>
        </w:rPr>
      </w:pPr>
      <w:r>
        <w:rPr>
          <w:rFonts w:hint="eastAsia" w:hAnsi="宋体" w:cs="宋体"/>
          <w:sz w:val="21"/>
          <w:szCs w:val="21"/>
        </w:rPr>
        <w:t>1.11.2 关于承包人为实施工程所编制文件的著作权的归属</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0" w:firstLineChars="0"/>
        <w:rPr>
          <w:rFonts w:hint="eastAsia" w:hAnsi="宋体" w:cs="宋体"/>
          <w:sz w:val="21"/>
          <w:szCs w:val="21"/>
        </w:rPr>
      </w:pPr>
      <w:r>
        <w:rPr>
          <w:rFonts w:hint="eastAsia" w:hAnsi="宋体" w:cs="宋体"/>
          <w:sz w:val="21"/>
          <w:szCs w:val="21"/>
        </w:rPr>
        <w:t>关于承包人提供的上述文件的使用限制的要求：</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0" w:firstLineChars="0"/>
        <w:rPr>
          <w:rFonts w:hint="eastAsia" w:hAnsi="宋体" w:cs="宋体"/>
          <w:sz w:val="21"/>
          <w:szCs w:val="21"/>
          <w:u w:val="single"/>
        </w:rPr>
      </w:pPr>
      <w:r>
        <w:rPr>
          <w:rFonts w:hint="eastAsia" w:hAnsi="宋体" w:cs="宋体"/>
          <w:sz w:val="21"/>
          <w:szCs w:val="21"/>
        </w:rPr>
        <w:t>1.11.4 承包人在施工过程中所采用的专利、专有技术、技术秘密的使用费的承担方式：</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44" w:name="_Toc433801692"/>
      <w:bookmarkStart w:id="45" w:name="_Toc419286830"/>
      <w:r>
        <w:rPr>
          <w:rFonts w:hint="eastAsia" w:ascii="宋体" w:cs="宋体"/>
          <w:sz w:val="21"/>
          <w:szCs w:val="21"/>
        </w:rPr>
        <w:t>1.13工程量清单错误的修正</w:t>
      </w:r>
      <w:bookmarkEnd w:id="44"/>
      <w:bookmarkEnd w:id="45"/>
    </w:p>
    <w:p>
      <w:pPr>
        <w:pStyle w:val="36"/>
        <w:wordWrap w:val="0"/>
        <w:topLinePunct/>
        <w:spacing w:line="360" w:lineRule="auto"/>
        <w:ind w:firstLine="480"/>
        <w:rPr>
          <w:rFonts w:hint="eastAsia" w:hAnsi="宋体" w:cs="宋体"/>
          <w:sz w:val="21"/>
          <w:szCs w:val="21"/>
        </w:rPr>
      </w:pPr>
      <w:r>
        <w:rPr>
          <w:rFonts w:hint="eastAsia" w:hAnsi="宋体" w:cs="宋体"/>
          <w:sz w:val="21"/>
          <w:szCs w:val="21"/>
        </w:rPr>
        <w:t>出现工程量清单错误时，是否调整合同价格：</w:t>
      </w:r>
      <w:r>
        <w:rPr>
          <w:rFonts w:hint="eastAsia" w:hAnsi="宋体" w:cs="宋体"/>
          <w:sz w:val="21"/>
          <w:szCs w:val="21"/>
          <w:u w:val="single"/>
        </w:rPr>
        <w:t>调整</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允许调整合同价格的工程量偏差范围：</w:t>
      </w:r>
      <w:r>
        <w:rPr>
          <w:rFonts w:hint="eastAsia" w:hAnsi="宋体" w:cs="宋体"/>
          <w:sz w:val="21"/>
          <w:szCs w:val="21"/>
          <w:u w:val="single"/>
        </w:rPr>
        <w:t>按《土地开发整理项目预算定额标准》(2011)规定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46" w:name="_Toc419286831"/>
      <w:bookmarkStart w:id="47" w:name="_Toc351203634"/>
      <w:bookmarkStart w:id="48" w:name="_Toc433801693"/>
      <w:r>
        <w:rPr>
          <w:rFonts w:hint="eastAsia" w:ascii="宋体" w:cs="宋体"/>
          <w:sz w:val="21"/>
          <w:szCs w:val="21"/>
        </w:rPr>
        <w:t>2</w:t>
      </w:r>
      <w:bookmarkStart w:id="49" w:name="_Toc296346658"/>
      <w:bookmarkStart w:id="50" w:name="_Toc297048343"/>
      <w:bookmarkStart w:id="51" w:name="_Toc297120457"/>
      <w:bookmarkStart w:id="52" w:name="_Toc296891197"/>
      <w:bookmarkStart w:id="53" w:name="_Toc292559867"/>
      <w:bookmarkStart w:id="54" w:name="_Toc296890985"/>
      <w:bookmarkStart w:id="55" w:name="_Toc296944496"/>
      <w:bookmarkStart w:id="56" w:name="_Toc296347156"/>
      <w:bookmarkStart w:id="57" w:name="_Toc296503157"/>
      <w:bookmarkStart w:id="58" w:name="_Toc292559362"/>
      <w:r>
        <w:rPr>
          <w:rFonts w:hint="eastAsia" w:ascii="宋体" w:cs="宋体"/>
          <w:sz w:val="21"/>
          <w:szCs w:val="21"/>
        </w:rPr>
        <w:t>. 发包人</w:t>
      </w:r>
      <w:bookmarkEnd w:id="46"/>
      <w:bookmarkEnd w:id="47"/>
      <w:bookmarkEnd w:id="48"/>
    </w:p>
    <w:bookmarkEnd w:id="49"/>
    <w:bookmarkEnd w:id="50"/>
    <w:bookmarkEnd w:id="51"/>
    <w:bookmarkEnd w:id="52"/>
    <w:bookmarkEnd w:id="53"/>
    <w:bookmarkEnd w:id="54"/>
    <w:bookmarkEnd w:id="55"/>
    <w:bookmarkEnd w:id="56"/>
    <w:bookmarkEnd w:id="57"/>
    <w:bookmarkEnd w:id="58"/>
    <w:p>
      <w:pPr>
        <w:pStyle w:val="35"/>
        <w:wordWrap w:val="0"/>
        <w:topLinePunct/>
        <w:spacing w:line="360" w:lineRule="auto"/>
        <w:rPr>
          <w:rFonts w:hint="eastAsia" w:ascii="宋体" w:cs="宋体"/>
          <w:sz w:val="21"/>
          <w:szCs w:val="21"/>
        </w:rPr>
      </w:pPr>
      <w:bookmarkStart w:id="59" w:name="_Toc433801694"/>
      <w:bookmarkStart w:id="60" w:name="_Toc419286832"/>
      <w:r>
        <w:rPr>
          <w:rFonts w:hint="eastAsia" w:ascii="宋体" w:cs="宋体"/>
          <w:sz w:val="21"/>
          <w:szCs w:val="21"/>
        </w:rPr>
        <w:t>2.2 发包人代表</w:t>
      </w:r>
      <w:bookmarkEnd w:id="59"/>
      <w:bookmarkEnd w:id="60"/>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发包人代表：</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姓    名：</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身份证号：；</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职    务：；</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联系电话：；</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电子信箱：；</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通信地址：。</w:t>
      </w:r>
    </w:p>
    <w:p>
      <w:pPr>
        <w:pStyle w:val="36"/>
        <w:wordWrap w:val="0"/>
        <w:topLinePunct/>
        <w:spacing w:line="360" w:lineRule="auto"/>
        <w:ind w:firstLine="480"/>
        <w:rPr>
          <w:rFonts w:hint="eastAsia" w:hAnsi="宋体" w:cs="宋体"/>
          <w:b/>
          <w:sz w:val="21"/>
          <w:szCs w:val="21"/>
        </w:rPr>
      </w:pPr>
      <w:r>
        <w:rPr>
          <w:rFonts w:hint="eastAsia" w:hAnsi="宋体" w:cs="宋体"/>
          <w:sz w:val="21"/>
          <w:szCs w:val="21"/>
        </w:rPr>
        <w:t>发包人对发包人代表的授权范围如下：</w:t>
      </w:r>
      <w:r>
        <w:rPr>
          <w:rFonts w:hint="eastAsia" w:hAnsi="宋体" w:cs="宋体"/>
          <w:sz w:val="21"/>
          <w:szCs w:val="21"/>
          <w:u w:val="single"/>
        </w:rPr>
        <w:t>对工程进度、质量进行监督、办理中间交工工程验收手续，负责现场签证，解决由发包人授权处理的事宜</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61" w:name="_Toc419286833"/>
      <w:bookmarkStart w:id="62" w:name="_Toc433801695"/>
      <w:r>
        <w:rPr>
          <w:rFonts w:hint="eastAsia" w:ascii="宋体" w:cs="宋体"/>
          <w:sz w:val="21"/>
          <w:szCs w:val="21"/>
        </w:rPr>
        <w:t>2.4 施工现场、施工条件和基础资料的提供</w:t>
      </w:r>
      <w:bookmarkEnd w:id="61"/>
      <w:bookmarkEnd w:id="62"/>
    </w:p>
    <w:p>
      <w:pPr>
        <w:pStyle w:val="36"/>
        <w:wordWrap w:val="0"/>
        <w:topLinePunct/>
        <w:spacing w:line="360" w:lineRule="auto"/>
        <w:ind w:firstLine="480"/>
        <w:rPr>
          <w:rFonts w:hint="eastAsia" w:hAnsi="宋体" w:cs="宋体"/>
          <w:sz w:val="21"/>
          <w:szCs w:val="21"/>
        </w:rPr>
      </w:pPr>
      <w:r>
        <w:rPr>
          <w:rFonts w:hint="eastAsia" w:hAnsi="宋体" w:cs="宋体"/>
          <w:sz w:val="21"/>
          <w:szCs w:val="21"/>
        </w:rPr>
        <w:t>2.4.1 提供施工现场</w:t>
      </w:r>
    </w:p>
    <w:p>
      <w:pPr>
        <w:pStyle w:val="36"/>
        <w:wordWrap w:val="0"/>
        <w:topLinePunct/>
        <w:spacing w:line="360" w:lineRule="auto"/>
        <w:ind w:firstLine="0" w:firstLineChars="0"/>
        <w:rPr>
          <w:rFonts w:hint="eastAsia" w:hAnsi="宋体" w:cs="宋体"/>
          <w:sz w:val="21"/>
          <w:szCs w:val="21"/>
        </w:rPr>
      </w:pPr>
      <w:r>
        <w:rPr>
          <w:rFonts w:hint="eastAsia" w:hAnsi="宋体" w:cs="宋体"/>
          <w:sz w:val="21"/>
          <w:szCs w:val="21"/>
        </w:rPr>
        <w:t>关于发包人移交施工现场的期限要求：</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2.4.2 提供施工条件</w:t>
      </w:r>
    </w:p>
    <w:p>
      <w:pPr>
        <w:pStyle w:val="36"/>
        <w:wordWrap w:val="0"/>
        <w:topLinePunct/>
        <w:spacing w:line="360" w:lineRule="auto"/>
        <w:ind w:firstLine="0" w:firstLineChars="0"/>
        <w:rPr>
          <w:rFonts w:hint="eastAsia" w:hAnsi="宋体" w:cs="宋体"/>
          <w:sz w:val="21"/>
          <w:szCs w:val="21"/>
          <w:u w:val="single"/>
        </w:rPr>
      </w:pPr>
      <w:r>
        <w:rPr>
          <w:rFonts w:hint="eastAsia" w:hAnsi="宋体" w:cs="宋体"/>
          <w:sz w:val="21"/>
          <w:szCs w:val="21"/>
        </w:rPr>
        <w:t>关于发包人应负责提供施工所需要的条件，包括：</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63" w:name="_Toc433801696"/>
      <w:bookmarkStart w:id="64" w:name="_Toc419286834"/>
      <w:r>
        <w:rPr>
          <w:rFonts w:hint="eastAsia" w:ascii="宋体" w:cs="宋体"/>
          <w:sz w:val="21"/>
          <w:szCs w:val="21"/>
        </w:rPr>
        <w:t>2.5 资金来源证明及支付担保</w:t>
      </w:r>
      <w:bookmarkEnd w:id="63"/>
      <w:bookmarkEnd w:id="64"/>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发包人提供资金来源证明的期限要求：</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发包人是否提供支付担保：</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发包人提供支付担保的形式：</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65" w:name="_Toc433801697"/>
      <w:bookmarkStart w:id="66" w:name="_Toc419286835"/>
      <w:bookmarkStart w:id="67" w:name="_Toc351203635"/>
      <w:r>
        <w:rPr>
          <w:rFonts w:hint="eastAsia" w:ascii="宋体" w:cs="宋体"/>
          <w:sz w:val="21"/>
          <w:szCs w:val="21"/>
        </w:rPr>
        <w:t>3</w:t>
      </w:r>
      <w:bookmarkStart w:id="68" w:name="_Toc297048344"/>
      <w:bookmarkStart w:id="69" w:name="_Toc292559363"/>
      <w:bookmarkStart w:id="70" w:name="_Toc296944497"/>
      <w:bookmarkStart w:id="71" w:name="_Toc296891198"/>
      <w:bookmarkStart w:id="72" w:name="_Toc296503158"/>
      <w:bookmarkStart w:id="73" w:name="_Toc296890986"/>
      <w:bookmarkStart w:id="74" w:name="_Toc297120458"/>
      <w:bookmarkStart w:id="75" w:name="_Toc296347157"/>
      <w:bookmarkStart w:id="76" w:name="_Toc292559868"/>
      <w:bookmarkStart w:id="77" w:name="_Toc296346659"/>
      <w:r>
        <w:rPr>
          <w:rFonts w:hint="eastAsia" w:ascii="宋体" w:cs="宋体"/>
          <w:sz w:val="21"/>
          <w:szCs w:val="21"/>
        </w:rPr>
        <w:t>. 承包人</w:t>
      </w:r>
      <w:bookmarkEnd w:id="65"/>
      <w:bookmarkEnd w:id="66"/>
      <w:bookmarkEnd w:id="67"/>
    </w:p>
    <w:bookmarkEnd w:id="68"/>
    <w:bookmarkEnd w:id="69"/>
    <w:bookmarkEnd w:id="70"/>
    <w:bookmarkEnd w:id="71"/>
    <w:bookmarkEnd w:id="72"/>
    <w:bookmarkEnd w:id="73"/>
    <w:bookmarkEnd w:id="74"/>
    <w:bookmarkEnd w:id="75"/>
    <w:bookmarkEnd w:id="76"/>
    <w:bookmarkEnd w:id="77"/>
    <w:p>
      <w:pPr>
        <w:pStyle w:val="35"/>
        <w:wordWrap w:val="0"/>
        <w:topLinePunct/>
        <w:spacing w:line="360" w:lineRule="auto"/>
        <w:rPr>
          <w:rFonts w:hint="eastAsia" w:ascii="宋体" w:cs="宋体"/>
          <w:sz w:val="21"/>
          <w:szCs w:val="21"/>
        </w:rPr>
      </w:pPr>
      <w:bookmarkStart w:id="78" w:name="_Toc419286836"/>
      <w:bookmarkStart w:id="79" w:name="_Toc433801698"/>
      <w:r>
        <w:rPr>
          <w:rFonts w:hint="eastAsia" w:ascii="宋体" w:cs="宋体"/>
          <w:sz w:val="21"/>
          <w:szCs w:val="21"/>
        </w:rPr>
        <w:t>3.1 承包人的一般义务</w:t>
      </w:r>
      <w:bookmarkEnd w:id="78"/>
      <w:bookmarkEnd w:id="79"/>
    </w:p>
    <w:p>
      <w:pPr>
        <w:pStyle w:val="36"/>
        <w:wordWrap w:val="0"/>
        <w:topLinePunct/>
        <w:spacing w:line="360" w:lineRule="auto"/>
        <w:ind w:firstLine="480"/>
        <w:rPr>
          <w:rFonts w:hint="eastAsia" w:hAnsi="宋体" w:cs="宋体"/>
          <w:sz w:val="21"/>
          <w:szCs w:val="21"/>
        </w:rPr>
      </w:pPr>
      <w:r>
        <w:rPr>
          <w:rFonts w:hint="eastAsia" w:hAnsi="宋体" w:cs="宋体"/>
          <w:sz w:val="21"/>
          <w:szCs w:val="21"/>
        </w:rPr>
        <w:t>（9）承包人提交的竣工资料的内容：</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承包人需要提交的竣工资料套数：</w:t>
      </w:r>
      <w:r>
        <w:rPr>
          <w:rFonts w:hint="eastAsia" w:hAnsi="宋体" w:cs="宋体"/>
          <w:sz w:val="21"/>
          <w:szCs w:val="21"/>
          <w:u w:val="single"/>
        </w:rPr>
        <w:t>全套竣工资料一式4份</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承包人提交的竣工资料的费用承担：</w:t>
      </w:r>
      <w:r>
        <w:rPr>
          <w:rFonts w:hint="eastAsia" w:hAnsi="宋体" w:cs="宋体"/>
          <w:sz w:val="21"/>
          <w:szCs w:val="21"/>
          <w:u w:val="single"/>
        </w:rPr>
        <w:t>由承包人承担相关费用</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承包人提交的竣工资料移交时间：</w:t>
      </w:r>
      <w:r>
        <w:rPr>
          <w:rFonts w:hint="eastAsia" w:hAnsi="宋体" w:cs="宋体"/>
          <w:sz w:val="21"/>
          <w:szCs w:val="21"/>
          <w:u w:val="single"/>
        </w:rPr>
        <w:t>竣工验收后14天内</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承包人提交的竣工资料形式要求：</w:t>
      </w:r>
      <w:r>
        <w:rPr>
          <w:rFonts w:hint="eastAsia" w:hAnsi="宋体" w:cs="宋体"/>
          <w:sz w:val="21"/>
          <w:szCs w:val="21"/>
          <w:u w:val="single"/>
        </w:rPr>
        <w:t>装订成册</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（10）承包人应履行的其他义务：</w:t>
      </w:r>
      <w:r>
        <w:rPr>
          <w:rFonts w:hint="eastAsia" w:hAnsi="宋体" w:cs="宋体"/>
          <w:sz w:val="21"/>
          <w:szCs w:val="21"/>
          <w:u w:val="single"/>
        </w:rPr>
        <w:t>a、安全生产，文明施工必须符合当地建设行政主管部门规定。b、按建设行政主管部门有关规定配合发包人其他工程的施工。c、根据现场场地条件，必须负责施工场地二次围场施工，所发生的费用由承包人自行负责。d、严格按建设行政主管部门迎接住建部检查的有关要求进行资料和现场准备。e、</w:t>
      </w:r>
      <w:r>
        <w:rPr>
          <w:rFonts w:hint="eastAsia" w:hAnsi="宋体" w:cs="宋体"/>
          <w:spacing w:val="-1"/>
          <w:sz w:val="21"/>
          <w:szCs w:val="21"/>
          <w:u w:val="single"/>
        </w:rPr>
        <w:t>施工期间和施工完毕后，均应及时对施工场地和为其施工提供的公共道路进行保洁、维护以及维修，产生的垃圾和被破坏的场地，必须遵照监理工程师和发包人的指示进行清理、修复，并根据实际情况将场地恢复到原</w:t>
      </w:r>
      <w:r>
        <w:rPr>
          <w:rFonts w:hint="eastAsia" w:hAnsi="宋体" w:cs="宋体"/>
          <w:sz w:val="21"/>
          <w:szCs w:val="21"/>
          <w:u w:val="single"/>
        </w:rPr>
        <w:t>有状态，费用自理</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80" w:name="_Toc433801699"/>
      <w:bookmarkStart w:id="81" w:name="_Toc419286837"/>
      <w:r>
        <w:rPr>
          <w:rFonts w:hint="eastAsia" w:ascii="宋体" w:cs="宋体"/>
          <w:sz w:val="21"/>
          <w:szCs w:val="21"/>
        </w:rPr>
        <w:t>3.2 项目经理</w:t>
      </w:r>
      <w:bookmarkEnd w:id="80"/>
      <w:bookmarkEnd w:id="81"/>
    </w:p>
    <w:p>
      <w:pPr>
        <w:pStyle w:val="36"/>
        <w:wordWrap w:val="0"/>
        <w:topLinePunct/>
        <w:spacing w:line="360" w:lineRule="auto"/>
        <w:ind w:firstLine="480"/>
        <w:rPr>
          <w:rFonts w:hint="eastAsia" w:hAnsi="宋体" w:cs="宋体"/>
          <w:sz w:val="21"/>
          <w:szCs w:val="21"/>
        </w:rPr>
      </w:pPr>
      <w:r>
        <w:rPr>
          <w:rFonts w:hint="eastAsia" w:hAnsi="宋体" w:cs="宋体"/>
          <w:sz w:val="21"/>
          <w:szCs w:val="21"/>
        </w:rPr>
        <w:t>3.2.1 项目经理：</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姓    名：</w:t>
      </w:r>
      <w:r>
        <w:rPr>
          <w:rFonts w:hint="eastAsia" w:hAnsi="宋体" w:cs="宋体"/>
          <w:sz w:val="21"/>
          <w:szCs w:val="21"/>
          <w:u w:val="single"/>
        </w:rPr>
        <w:t xml:space="preserve"> </w:t>
      </w:r>
      <w:r>
        <w:rPr>
          <w:rFonts w:hint="eastAsia" w:hAnsi="宋体" w:cs="宋体"/>
          <w:sz w:val="21"/>
          <w:szCs w:val="21"/>
          <w:u w:val="single"/>
          <w:lang w:val="en-US" w:eastAsia="zh-CN"/>
        </w:rPr>
        <w:t xml:space="preserve">  </w:t>
      </w:r>
      <w:r>
        <w:rPr>
          <w:rFonts w:hint="eastAsia" w:hAnsi="宋体" w:cs="宋体"/>
          <w:sz w:val="21"/>
          <w:szCs w:val="21"/>
          <w:u w:val="single"/>
          <w:lang w:eastAsia="zh-CN"/>
        </w:rPr>
        <w:t xml:space="preserve">    </w:t>
      </w:r>
      <w:r>
        <w:rPr>
          <w:rFonts w:hint="eastAsia" w:hAnsi="宋体" w:cs="宋体"/>
          <w:sz w:val="21"/>
          <w:szCs w:val="21"/>
          <w:u w:val="single"/>
          <w:lang w:val="en-US" w:eastAsia="zh-CN"/>
        </w:rPr>
        <w:t xml:space="preserve">    </w:t>
      </w:r>
      <w:r>
        <w:rPr>
          <w:rFonts w:hint="eastAsia" w:hAnsi="宋体" w:cs="宋体"/>
          <w:sz w:val="21"/>
          <w:szCs w:val="21"/>
          <w:u w:val="single"/>
        </w:rPr>
        <w:t xml:space="preserve">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身份证号：</w:t>
      </w:r>
      <w:r>
        <w:rPr>
          <w:rFonts w:hint="eastAsia" w:hAnsi="宋体"/>
          <w:sz w:val="21"/>
          <w:szCs w:val="21"/>
          <w:u w:val="single"/>
        </w:rPr>
        <w:t xml:space="preserve"> </w:t>
      </w:r>
      <w:r>
        <w:rPr>
          <w:rFonts w:hint="eastAsia" w:hAnsi="宋体"/>
          <w:sz w:val="21"/>
          <w:szCs w:val="21"/>
          <w:u w:val="single"/>
          <w:lang w:val="en-US" w:eastAsia="zh-CN"/>
        </w:rPr>
        <w:t xml:space="preserve">  </w:t>
      </w:r>
      <w:r>
        <w:rPr>
          <w:rFonts w:hint="eastAsia" w:hAnsi="宋体"/>
          <w:sz w:val="21"/>
          <w:szCs w:val="21"/>
          <w:u w:val="single"/>
          <w:lang w:eastAsia="zh-CN"/>
        </w:rPr>
        <w:t xml:space="preserve">         </w:t>
      </w:r>
      <w:r>
        <w:rPr>
          <w:rFonts w:hint="eastAsia" w:hAnsi="宋体" w:cs="宋体"/>
          <w:sz w:val="21"/>
          <w:szCs w:val="21"/>
          <w:u w:val="single"/>
        </w:rPr>
        <w:t xml:space="preserve">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建造师执业资格等级：</w:t>
      </w:r>
      <w:r>
        <w:rPr>
          <w:rFonts w:hint="eastAsia" w:hAnsi="宋体" w:cs="宋体"/>
          <w:sz w:val="21"/>
          <w:szCs w:val="21"/>
          <w:u w:val="single"/>
          <w:lang w:val="en-US" w:eastAsia="zh-CN"/>
        </w:rPr>
        <w:t xml:space="preserve">  </w:t>
      </w:r>
      <w:r>
        <w:rPr>
          <w:rFonts w:hint="eastAsia" w:hAnsi="宋体" w:cs="宋体"/>
          <w:sz w:val="21"/>
          <w:szCs w:val="21"/>
          <w:u w:val="single"/>
          <w:lang w:eastAsia="zh-CN"/>
        </w:rPr>
        <w:t xml:space="preserve">   </w:t>
      </w:r>
      <w:r>
        <w:rPr>
          <w:rFonts w:hint="eastAsia" w:hAnsi="宋体" w:cs="宋体"/>
          <w:sz w:val="21"/>
          <w:szCs w:val="21"/>
          <w:u w:val="single"/>
        </w:rPr>
        <w:t xml:space="preserve">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建造师注册证书号：</w:t>
      </w:r>
      <w:r>
        <w:rPr>
          <w:rFonts w:hint="eastAsia" w:hAnsi="宋体" w:cs="宋体"/>
          <w:sz w:val="21"/>
          <w:szCs w:val="21"/>
          <w:u w:val="single"/>
        </w:rPr>
        <w:t xml:space="preserve"> </w:t>
      </w:r>
      <w:r>
        <w:rPr>
          <w:rFonts w:hint="eastAsia" w:hAnsi="宋体"/>
          <w:sz w:val="21"/>
          <w:szCs w:val="21"/>
          <w:u w:val="single"/>
          <w:lang w:val="en-US" w:eastAsia="zh-CN"/>
        </w:rPr>
        <w:t xml:space="preserve"> </w:t>
      </w:r>
      <w:r>
        <w:rPr>
          <w:rFonts w:hint="eastAsia" w:hAnsi="宋体"/>
          <w:sz w:val="21"/>
          <w:szCs w:val="21"/>
          <w:u w:val="single"/>
          <w:lang w:eastAsia="zh-CN"/>
        </w:rPr>
        <w:t xml:space="preserve">        </w:t>
      </w:r>
      <w:r>
        <w:rPr>
          <w:rFonts w:hint="eastAsia" w:hAnsi="宋体"/>
          <w:sz w:val="21"/>
          <w:szCs w:val="21"/>
          <w:u w:val="single"/>
          <w:lang w:val="en-US" w:eastAsia="zh-CN"/>
        </w:rPr>
        <w:t xml:space="preserve">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建造师执业印章号：</w:t>
      </w:r>
      <w:r>
        <w:rPr>
          <w:rFonts w:hint="eastAsia" w:hAnsi="宋体" w:cs="宋体"/>
          <w:sz w:val="21"/>
          <w:szCs w:val="21"/>
          <w:u w:val="single"/>
        </w:rPr>
        <w:t xml:space="preserve">        </w:t>
      </w:r>
      <w:r>
        <w:rPr>
          <w:rFonts w:hint="eastAsia" w:hAnsi="宋体" w:cs="宋体"/>
          <w:sz w:val="21"/>
          <w:szCs w:val="21"/>
          <w:u w:val="single"/>
          <w:lang w:eastAsia="zh-CN"/>
        </w:rPr>
        <w:t xml:space="preserve"> </w:t>
      </w:r>
      <w:r>
        <w:rPr>
          <w:rFonts w:hint="eastAsia" w:hAnsi="宋体" w:cs="宋体"/>
          <w:sz w:val="21"/>
          <w:szCs w:val="21"/>
          <w:u w:val="single"/>
        </w:rPr>
        <w:t xml:space="preserve">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安全生产考核合格证书号：</w:t>
      </w:r>
      <w:r>
        <w:rPr>
          <w:rFonts w:hint="eastAsia" w:hAnsi="宋体"/>
          <w:sz w:val="21"/>
          <w:szCs w:val="21"/>
          <w:u w:val="single"/>
          <w:lang w:val="en-US" w:eastAsia="zh-CN"/>
        </w:rPr>
        <w:t xml:space="preserve"> </w:t>
      </w:r>
      <w:r>
        <w:rPr>
          <w:rFonts w:hint="eastAsia" w:hAnsi="宋体"/>
          <w:sz w:val="21"/>
          <w:szCs w:val="21"/>
          <w:u w:val="single"/>
          <w:lang w:eastAsia="zh-CN"/>
        </w:rPr>
        <w:t xml:space="preserve">       </w:t>
      </w:r>
      <w:r>
        <w:rPr>
          <w:rFonts w:hint="eastAsia" w:hAnsi="宋体"/>
          <w:sz w:val="21"/>
          <w:szCs w:val="21"/>
          <w:u w:val="single"/>
          <w:lang w:val="en-US" w:eastAsia="zh-CN"/>
        </w:rPr>
        <w:t xml:space="preserve">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联系电话：</w:t>
      </w:r>
      <w:r>
        <w:rPr>
          <w:rFonts w:hint="eastAsia" w:hAnsi="宋体" w:cs="宋体"/>
          <w:sz w:val="21"/>
          <w:szCs w:val="21"/>
          <w:u w:val="single"/>
          <w:lang w:eastAsia="zh-CN"/>
        </w:rPr>
        <w:t xml:space="preserve">           </w:t>
      </w:r>
      <w:r>
        <w:rPr>
          <w:rFonts w:hint="eastAsia" w:hAnsi="宋体" w:cs="宋体"/>
          <w:sz w:val="21"/>
          <w:szCs w:val="21"/>
          <w:u w:val="single"/>
        </w:rPr>
        <w:t xml:space="preserve">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电子信箱：</w:t>
      </w:r>
      <w:r>
        <w:rPr>
          <w:rFonts w:hint="eastAsia" w:hAnsi="宋体" w:cs="宋体"/>
          <w:sz w:val="21"/>
          <w:szCs w:val="21"/>
          <w:u w:val="single"/>
        </w:rPr>
        <w:t xml:space="preserve">      </w:t>
      </w:r>
      <w:r>
        <w:rPr>
          <w:rFonts w:hint="eastAsia" w:hAnsi="宋体" w:cs="宋体"/>
          <w:sz w:val="21"/>
          <w:szCs w:val="21"/>
          <w:u w:val="single"/>
          <w:lang w:eastAsia="zh-CN"/>
        </w:rPr>
        <w:t xml:space="preserve">  </w:t>
      </w:r>
      <w:r>
        <w:rPr>
          <w:rFonts w:hint="eastAsia" w:hAnsi="宋体" w:cs="宋体"/>
          <w:sz w:val="21"/>
          <w:szCs w:val="21"/>
          <w:u w:val="single"/>
        </w:rPr>
        <w:t xml:space="preserve">       </w:t>
      </w:r>
      <w:r>
        <w:rPr>
          <w:rFonts w:hint="eastAsia" w:hAnsi="宋体" w:cs="宋体"/>
          <w:sz w:val="21"/>
          <w:szCs w:val="21"/>
        </w:rPr>
        <w:t>；</w:t>
      </w:r>
    </w:p>
    <w:p>
      <w:pPr>
        <w:pStyle w:val="38"/>
        <w:spacing w:line="500" w:lineRule="exact"/>
        <w:ind w:firstLine="420" w:firstLineChars="200"/>
        <w:rPr>
          <w:rFonts w:hint="eastAsia" w:hAnsi="宋体"/>
          <w:color w:val="auto"/>
          <w:sz w:val="21"/>
          <w:szCs w:val="21"/>
        </w:rPr>
      </w:pPr>
      <w:r>
        <w:rPr>
          <w:rFonts w:hint="eastAsia" w:hAnsi="宋体"/>
          <w:color w:val="auto"/>
          <w:sz w:val="21"/>
          <w:szCs w:val="21"/>
        </w:rPr>
        <w:t>通信地址：</w:t>
      </w:r>
      <w:r>
        <w:rPr>
          <w:rFonts w:hint="eastAsia" w:hAnsi="宋体"/>
          <w:color w:val="auto"/>
          <w:sz w:val="21"/>
          <w:szCs w:val="21"/>
          <w:u w:val="single"/>
        </w:rPr>
        <w:t xml:space="preserve">                           </w:t>
      </w:r>
      <w:r>
        <w:rPr>
          <w:rFonts w:hint="eastAsia" w:hAnsi="宋体"/>
          <w:color w:val="auto"/>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承包人对项目经理的授权范围如下：</w:t>
      </w:r>
      <w:r>
        <w:rPr>
          <w:rFonts w:hint="eastAsia" w:hAnsi="宋体" w:cs="宋体"/>
          <w:sz w:val="21"/>
          <w:szCs w:val="21"/>
          <w:u w:val="single"/>
          <w:lang w:val="zh-CN"/>
        </w:rPr>
        <w:t>项目经理全权代表承包人对本工程的建设进行全面管理，行使合同约定的权利，履行合同约定的义务。承包人的要求、通知均应以书面形式由承包人项目经理签字并加盖承包人项目经理部或承包人公司公章后递交发包人。除此以外，承包人项目经理还要代表承包人接受发包人发出的指示和指令</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关于项目经理每月在施工现场的时间要求：</w:t>
      </w:r>
      <w:r>
        <w:rPr>
          <w:rFonts w:hint="eastAsia" w:hAnsi="宋体" w:cs="宋体"/>
          <w:sz w:val="21"/>
          <w:szCs w:val="21"/>
          <w:u w:val="single"/>
        </w:rPr>
        <w:t>项目经理每月在岗带班时间不得少于当月施工时间的80%</w:t>
      </w:r>
      <w:r>
        <w:rPr>
          <w:rFonts w:hint="eastAsia" w:hAnsi="宋体" w:cs="宋体"/>
          <w:sz w:val="21"/>
          <w:szCs w:val="21"/>
        </w:rPr>
        <w:t>。</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项目经理未经批准，擅自离开施工现场的违约责任：</w:t>
      </w:r>
      <w:r>
        <w:rPr>
          <w:rFonts w:hint="eastAsia" w:hAnsi="宋体" w:cs="宋体"/>
          <w:sz w:val="21"/>
          <w:szCs w:val="21"/>
          <w:u w:val="single"/>
        </w:rPr>
        <w:t>项目经理每月在岗带班时间不得少于当月施工时间的80%。未经发包人同意或正当理由，项目经理每月在岗带班时间少于当月施工时间80%的，少在岗带班一天，发包人有权处违约金200元/日（人民币）</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承包人未提交劳动合同，以及没有为项目经理缴纳社会保险证明的违约责任：</w:t>
      </w:r>
      <w:r>
        <w:rPr>
          <w:rFonts w:hint="eastAsia" w:hAnsi="宋体" w:cs="宋体"/>
          <w:sz w:val="21"/>
          <w:szCs w:val="21"/>
          <w:u w:val="single"/>
        </w:rPr>
        <w:t>由承包人自行承担相关责任</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3.2.3 承包人擅自更换项目经理的违约责任：</w:t>
      </w:r>
      <w:r>
        <w:rPr>
          <w:rFonts w:hint="eastAsia" w:hAnsi="宋体" w:cs="宋体"/>
          <w:sz w:val="21"/>
          <w:szCs w:val="21"/>
          <w:u w:val="single"/>
        </w:rPr>
        <w:t>承包人项目经理必须与承包人投标时所承诺的人员一致，并在  （开工日期）  前到任。在监理人向承包人颁发    （竣工证明材料名称）    前，项目经理不得同时兼任其他任何项目的项目经理（符合桂建管﹝2013﹞17号和桂建管﹝2014﹞25号文除外）。未经发包人书面同意，承包人擅自更换项目经理的视为违约，违约金处3000元/人•次（人民币）</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3.2.4 承包人无正当理由拒绝更换项目经理的违约责任：</w:t>
      </w:r>
      <w:r>
        <w:rPr>
          <w:rFonts w:hint="eastAsia" w:hAnsi="宋体" w:cs="宋体"/>
          <w:sz w:val="21"/>
          <w:szCs w:val="21"/>
          <w:u w:val="single"/>
        </w:rPr>
        <w:t>因承包人项目经理不称职，发包人要求调换而未及时调换的，视为承包人违约，必须向发包人交纳处罚金3000元/人•次（人民币）</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p>
    <w:p>
      <w:pPr>
        <w:pStyle w:val="35"/>
        <w:wordWrap w:val="0"/>
        <w:topLinePunct/>
        <w:spacing w:line="360" w:lineRule="auto"/>
        <w:rPr>
          <w:rFonts w:hint="eastAsia" w:ascii="宋体" w:cs="宋体"/>
          <w:sz w:val="21"/>
          <w:szCs w:val="21"/>
        </w:rPr>
      </w:pPr>
      <w:bookmarkStart w:id="82" w:name="_Toc395382511"/>
      <w:bookmarkStart w:id="83" w:name="_Toc373478356"/>
      <w:bookmarkStart w:id="84" w:name="_Toc433801700"/>
      <w:bookmarkStart w:id="85" w:name="_Toc419286838"/>
      <w:bookmarkStart w:id="86" w:name="_Toc373227709"/>
      <w:bookmarkStart w:id="87" w:name="_Toc389065275"/>
      <w:r>
        <w:rPr>
          <w:rFonts w:hint="eastAsia" w:ascii="宋体" w:cs="宋体"/>
          <w:sz w:val="21"/>
          <w:szCs w:val="21"/>
        </w:rPr>
        <w:t>3.3 承包人人员</w:t>
      </w:r>
      <w:bookmarkEnd w:id="82"/>
      <w:bookmarkEnd w:id="83"/>
      <w:bookmarkEnd w:id="84"/>
      <w:bookmarkEnd w:id="85"/>
      <w:bookmarkEnd w:id="86"/>
      <w:bookmarkEnd w:id="87"/>
    </w:p>
    <w:p>
      <w:pPr>
        <w:pStyle w:val="36"/>
        <w:wordWrap w:val="0"/>
        <w:topLinePunct/>
        <w:spacing w:line="360" w:lineRule="auto"/>
        <w:ind w:firstLine="480"/>
        <w:rPr>
          <w:rFonts w:hint="eastAsia" w:hAnsi="宋体" w:cs="宋体"/>
          <w:sz w:val="21"/>
          <w:szCs w:val="21"/>
        </w:rPr>
      </w:pPr>
      <w:r>
        <w:rPr>
          <w:rFonts w:hint="eastAsia" w:hAnsi="宋体" w:cs="宋体"/>
          <w:sz w:val="21"/>
          <w:szCs w:val="21"/>
        </w:rPr>
        <w:t>3.3.1 承包人提交项目管理机构及施工现场管理人员安排报告（格式见合同附件3）的期限：</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3.3.3 承包人无正当理由拒绝撤换主要施工管理人员的违约责任：</w:t>
      </w:r>
      <w:r>
        <w:rPr>
          <w:rFonts w:hint="eastAsia" w:hAnsi="宋体" w:cs="宋体"/>
          <w:sz w:val="21"/>
          <w:szCs w:val="21"/>
          <w:u w:val="single"/>
        </w:rPr>
        <w:t>因承包人主要施工管理人员不称职，发包人要求调换而无正当理由拒绝撤换或未及时调换的，视为承包人违约，必须向发包人交纳处罚金，处罚标准：技术负责人2500元/人•次（人民币）；专业工程师1500元/人•次（人民币）</w:t>
      </w:r>
      <w:r>
        <w:rPr>
          <w:rFonts w:hint="eastAsia" w:hAnsi="宋体" w:cs="宋体"/>
          <w:sz w:val="21"/>
          <w:szCs w:val="21"/>
        </w:rPr>
        <w:t>。</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3.3.4 承包人主要施工管理人员离开施工现场的批准要求：</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3.3.5 承包人擅自更换主要施工管理人员的违约责任：</w:t>
      </w:r>
      <w:r>
        <w:rPr>
          <w:rFonts w:hint="eastAsia" w:hAnsi="宋体" w:cs="宋体"/>
          <w:sz w:val="21"/>
          <w:szCs w:val="21"/>
          <w:u w:val="single"/>
        </w:rPr>
        <w:t>项目技术负责人、专职安全员及其承诺的其它在场管理人员未经发包人书面同意不准擅自更换，擅自更换项目技术负责人处2500元/人•次（人民币）违约金；擅自更换专职安全员处1500元/人•次（人民币）违约金；擅自更换其它在场管理人员处1000元/人•次（人民币）违约金</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承包人主要施工管理人员擅自离开施工现场的违约责任：</w:t>
      </w:r>
      <w:r>
        <w:rPr>
          <w:rFonts w:hint="eastAsia" w:hAnsi="宋体" w:cs="宋体"/>
          <w:sz w:val="21"/>
          <w:szCs w:val="21"/>
          <w:u w:val="single"/>
        </w:rPr>
        <w:t>未经发包人同意，项目技术负责人擅自离岗的，视为承包人违约，发包人有权处违约金2500元/人•次（人民币）；未经发包人同意，专职安全员擅自离岗的，视为承包人违约，发包人有权处违约金1500元/人•次（人民币）；其它在场管理人员擅自离岗的，视为承包人违约，发包人有权处违约金1000元/人•次（人民币）</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88" w:name="_Toc419286839"/>
      <w:bookmarkStart w:id="89" w:name="_Toc433801701"/>
      <w:r>
        <w:rPr>
          <w:rFonts w:hint="eastAsia" w:ascii="宋体" w:cs="宋体"/>
          <w:sz w:val="21"/>
          <w:szCs w:val="21"/>
        </w:rPr>
        <w:t>3</w:t>
      </w:r>
      <w:bookmarkStart w:id="90" w:name="_Toc304295523"/>
      <w:bookmarkStart w:id="91" w:name="_Toc296346660"/>
      <w:bookmarkStart w:id="92" w:name="_Toc292559869"/>
      <w:bookmarkStart w:id="93" w:name="_Toc297120459"/>
      <w:bookmarkStart w:id="94" w:name="_Toc297216151"/>
      <w:bookmarkStart w:id="95" w:name="_Toc300934945"/>
      <w:bookmarkStart w:id="96" w:name="_Toc296347158"/>
      <w:bookmarkStart w:id="97" w:name="_Toc297123492"/>
      <w:bookmarkStart w:id="98" w:name="_Toc296944498"/>
      <w:bookmarkStart w:id="99" w:name="_Toc296891199"/>
      <w:bookmarkStart w:id="100" w:name="_Toc297048345"/>
      <w:bookmarkStart w:id="101" w:name="_Toc303539102"/>
      <w:bookmarkStart w:id="102" w:name="_Toc312677988"/>
      <w:bookmarkStart w:id="103" w:name="_Toc292559364"/>
      <w:bookmarkStart w:id="104" w:name="_Toc296890987"/>
      <w:bookmarkStart w:id="105" w:name="_Toc296503159"/>
      <w:r>
        <w:rPr>
          <w:rFonts w:hint="eastAsia" w:ascii="宋体" w:cs="宋体"/>
          <w:sz w:val="21"/>
          <w:szCs w:val="21"/>
        </w:rPr>
        <w:t>.5 分包</w:t>
      </w:r>
      <w:bookmarkEnd w:id="88"/>
      <w:bookmarkEnd w:id="89"/>
    </w:p>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Pr>
        <w:pStyle w:val="36"/>
        <w:wordWrap w:val="0"/>
        <w:topLinePunct/>
        <w:spacing w:line="360" w:lineRule="auto"/>
        <w:ind w:firstLine="480"/>
        <w:rPr>
          <w:rFonts w:hint="eastAsia" w:hAnsi="宋体" w:cs="宋体"/>
          <w:sz w:val="21"/>
          <w:szCs w:val="21"/>
        </w:rPr>
      </w:pPr>
      <w:r>
        <w:rPr>
          <w:rFonts w:hint="eastAsia" w:hAnsi="宋体" w:cs="宋体"/>
          <w:sz w:val="21"/>
          <w:szCs w:val="21"/>
        </w:rPr>
        <w:t>3</w:t>
      </w:r>
      <w:bookmarkStart w:id="106" w:name="_Toc304295524"/>
      <w:bookmarkStart w:id="107" w:name="_Toc303539103"/>
      <w:bookmarkStart w:id="108" w:name="_Toc296944499"/>
      <w:bookmarkStart w:id="109" w:name="_Toc292559365"/>
      <w:bookmarkStart w:id="110" w:name="_Toc297048346"/>
      <w:bookmarkStart w:id="111" w:name="_Toc297216152"/>
      <w:bookmarkStart w:id="112" w:name="_Toc297120460"/>
      <w:bookmarkStart w:id="113" w:name="_Toc296891200"/>
      <w:bookmarkStart w:id="114" w:name="_Toc300934946"/>
      <w:bookmarkStart w:id="115" w:name="_Toc292559870"/>
      <w:bookmarkStart w:id="116" w:name="_Toc296347159"/>
      <w:bookmarkStart w:id="117" w:name="_Toc296890988"/>
      <w:bookmarkStart w:id="118" w:name="_Toc296503160"/>
      <w:bookmarkStart w:id="119" w:name="_Toc296346661"/>
      <w:bookmarkStart w:id="120" w:name="_Toc297123493"/>
      <w:bookmarkStart w:id="121" w:name="_Toc318581158"/>
      <w:bookmarkStart w:id="122" w:name="_Toc312677989"/>
      <w:r>
        <w:rPr>
          <w:rFonts w:hint="eastAsia" w:hAnsi="宋体" w:cs="宋体"/>
          <w:sz w:val="21"/>
          <w:szCs w:val="21"/>
        </w:rPr>
        <w:t>.5.1 分包的一般约定</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禁止分包的工程包括：</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主体结构、关键性工作的范围：</w:t>
      </w:r>
      <w:r>
        <w:rPr>
          <w:rFonts w:hint="eastAsia" w:hAnsi="宋体" w:cs="宋体"/>
          <w:sz w:val="21"/>
          <w:szCs w:val="21"/>
          <w:u w:val="single"/>
        </w:rPr>
        <w:t>按通用条款，无特殊约定</w:t>
      </w:r>
      <w:r>
        <w:rPr>
          <w:rFonts w:hint="eastAsia" w:hAnsi="宋体" w:cs="宋体"/>
          <w:sz w:val="21"/>
          <w:szCs w:val="21"/>
        </w:rPr>
        <w:t>。</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Start w:id="123" w:name="_Toc296503161"/>
      <w:bookmarkStart w:id="124" w:name="_Toc297048347"/>
      <w:bookmarkStart w:id="125" w:name="_Toc297120461"/>
      <w:bookmarkStart w:id="126" w:name="_Toc296891201"/>
      <w:bookmarkStart w:id="127" w:name="_Toc296944500"/>
      <w:bookmarkStart w:id="128" w:name="_Toc300934947"/>
      <w:bookmarkStart w:id="129" w:name="_Toc297216153"/>
      <w:bookmarkStart w:id="130" w:name="_Toc296346662"/>
      <w:bookmarkStart w:id="131" w:name="_Toc296890989"/>
      <w:bookmarkStart w:id="132" w:name="_Toc304295525"/>
      <w:bookmarkStart w:id="133" w:name="_Toc296347160"/>
      <w:bookmarkStart w:id="134" w:name="_Toc297123494"/>
      <w:bookmarkStart w:id="135" w:name="_Toc303539104"/>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Pr>
        <w:pStyle w:val="36"/>
        <w:wordWrap w:val="0"/>
        <w:topLinePunct/>
        <w:spacing w:line="360" w:lineRule="auto"/>
        <w:ind w:firstLine="480"/>
        <w:rPr>
          <w:rFonts w:hint="eastAsia" w:hAnsi="宋体" w:cs="宋体"/>
          <w:sz w:val="21"/>
          <w:szCs w:val="21"/>
        </w:rPr>
      </w:pPr>
      <w:r>
        <w:rPr>
          <w:rFonts w:hint="eastAsia" w:hAnsi="宋体" w:cs="宋体"/>
          <w:sz w:val="21"/>
          <w:szCs w:val="21"/>
        </w:rPr>
        <w:t>3</w:t>
      </w:r>
      <w:bookmarkStart w:id="136" w:name="_Toc318581159"/>
      <w:bookmarkStart w:id="137" w:name="_Toc312677990"/>
      <w:r>
        <w:rPr>
          <w:rFonts w:hint="eastAsia" w:hAnsi="宋体" w:cs="宋体"/>
          <w:sz w:val="21"/>
          <w:szCs w:val="21"/>
        </w:rPr>
        <w:t>.5.2分包的确定</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允许分包的专业工程包括：</w:t>
      </w:r>
      <w:r>
        <w:rPr>
          <w:rFonts w:hint="eastAsia" w:hAnsi="宋体" w:cs="宋体"/>
          <w:sz w:val="21"/>
          <w:szCs w:val="21"/>
          <w:u w:val="single"/>
        </w:rPr>
        <w:t xml:space="preserve">  / </w:t>
      </w:r>
      <w:r>
        <w:rPr>
          <w:rFonts w:hint="eastAsia" w:hAnsi="宋体" w:cs="宋体"/>
          <w:sz w:val="21"/>
          <w:szCs w:val="21"/>
        </w:rPr>
        <w:t>。</w:t>
      </w:r>
    </w:p>
    <w:bookmarkEnd w:id="136"/>
    <w:bookmarkEnd w:id="137"/>
    <w:p>
      <w:pPr>
        <w:pStyle w:val="35"/>
        <w:wordWrap w:val="0"/>
        <w:topLinePunct/>
        <w:spacing w:line="360" w:lineRule="auto"/>
        <w:rPr>
          <w:rFonts w:hint="eastAsia" w:ascii="宋体" w:cs="宋体"/>
          <w:sz w:val="21"/>
          <w:szCs w:val="21"/>
        </w:rPr>
      </w:pPr>
      <w:bookmarkStart w:id="138" w:name="_Toc433801702"/>
      <w:bookmarkStart w:id="139" w:name="_Toc419286840"/>
      <w:r>
        <w:rPr>
          <w:rFonts w:hint="eastAsia" w:ascii="宋体" w:cs="宋体"/>
          <w:sz w:val="21"/>
          <w:szCs w:val="21"/>
        </w:rPr>
        <w:t>3.6 工程照管与成品、半成品保护</w:t>
      </w:r>
      <w:bookmarkEnd w:id="138"/>
      <w:bookmarkEnd w:id="139"/>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承包人负责照管工程及工程相关的材料、工程设备的起始时间：</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140" w:name="_Toc419286841"/>
      <w:bookmarkStart w:id="141" w:name="_Toc433801703"/>
      <w:r>
        <w:rPr>
          <w:rFonts w:hint="eastAsia" w:ascii="宋体" w:cs="宋体"/>
          <w:sz w:val="21"/>
          <w:szCs w:val="21"/>
        </w:rPr>
        <w:t>3.7 履约担保</w:t>
      </w:r>
      <w:bookmarkEnd w:id="140"/>
      <w:bookmarkEnd w:id="141"/>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承包人是否提供履约担保：</w:t>
      </w:r>
      <w:r>
        <w:rPr>
          <w:rFonts w:hint="eastAsia" w:hAnsi="宋体" w:cs="宋体"/>
          <w:sz w:val="21"/>
          <w:szCs w:val="21"/>
          <w:u w:val="single"/>
        </w:rPr>
        <w:t>提供履约担保</w:t>
      </w:r>
      <w:r>
        <w:rPr>
          <w:rFonts w:hint="eastAsia" w:hAnsi="宋体" w:cs="宋体"/>
          <w:sz w:val="21"/>
          <w:szCs w:val="21"/>
        </w:rPr>
        <w:t>。</w:t>
      </w:r>
    </w:p>
    <w:p>
      <w:pPr>
        <w:wordWrap w:val="0"/>
        <w:topLinePunct/>
        <w:spacing w:line="360" w:lineRule="auto"/>
        <w:ind w:firstLine="420" w:firstLineChars="200"/>
        <w:jc w:val="left"/>
        <w:rPr>
          <w:rFonts w:hint="eastAsia" w:ascii="宋体" w:hAnsi="宋体" w:cs="宋体"/>
          <w:sz w:val="21"/>
          <w:szCs w:val="21"/>
        </w:rPr>
      </w:pPr>
      <w:r>
        <w:rPr>
          <w:rFonts w:hint="eastAsia" w:ascii="宋体" w:hAnsi="宋体" w:cs="宋体"/>
          <w:sz w:val="21"/>
          <w:szCs w:val="21"/>
        </w:rPr>
        <w:t>承包人提供履约担保的形式、金额及期限的：</w:t>
      </w:r>
      <w:r>
        <w:rPr>
          <w:rFonts w:hint="eastAsia" w:ascii="宋体" w:hAnsi="宋体" w:cs="宋体"/>
          <w:sz w:val="21"/>
          <w:szCs w:val="21"/>
          <w:u w:val="single"/>
        </w:rPr>
        <w:t>承包人在收到中标通知书后，须在30日内（签订合同前）向发包人提交合同价款扣除发包人材料价款、暂估专业工程、暂列金额后的现金5%的履约担保（格式见合同附件5）或中标总价10%的履约保函</w:t>
      </w:r>
      <w:r>
        <w:rPr>
          <w:rFonts w:hint="eastAsia" w:ascii="宋体" w:hAnsi="宋体" w:cs="宋体"/>
          <w:sz w:val="21"/>
          <w:szCs w:val="21"/>
        </w:rPr>
        <w:t>为履约担保，</w:t>
      </w:r>
      <w:r>
        <w:rPr>
          <w:rFonts w:hint="eastAsia" w:ascii="宋体" w:hAnsi="宋体" w:cs="宋体"/>
          <w:sz w:val="21"/>
          <w:szCs w:val="21"/>
          <w:u w:val="single"/>
        </w:rPr>
        <w:t>履约担保的有效期应当自本合同生效之日起至发包人签认并由监理人向承包人出具 （竣工证明材料名称）之日止。如果承包人无法获得一份不带具体截止日期的担保，履约担保中应当有“变更工程竣工日期的，保证期间按照变更后的竣工日期做相应调整”或类似约定的条款。</w:t>
      </w:r>
    </w:p>
    <w:p>
      <w:pPr>
        <w:wordWrap w:val="0"/>
        <w:topLinePunct/>
        <w:spacing w:line="360" w:lineRule="auto"/>
        <w:ind w:firstLine="420" w:firstLineChars="200"/>
        <w:rPr>
          <w:rFonts w:hint="eastAsia" w:ascii="宋体" w:hAnsi="宋体" w:cs="宋体"/>
          <w:sz w:val="21"/>
          <w:szCs w:val="21"/>
          <w:u w:val="single"/>
        </w:rPr>
      </w:pPr>
      <w:r>
        <w:rPr>
          <w:rFonts w:hint="eastAsia" w:ascii="宋体" w:hAnsi="宋体" w:cs="宋体"/>
          <w:sz w:val="21"/>
          <w:szCs w:val="21"/>
          <w:u w:val="single"/>
        </w:rPr>
        <w:t>工程竣工验收合格并对验收发现的问题完成整改后的7个日历天内，发包人支付履约保证金的50%；承包人向发包人完成（施工）竣工资料移交手续后，可向发包人申请退还剩余履约保证金，发包人应在收到申请之日起28个日历天内扣减承包人赔偿金和其他应从承包人扣回的款项后，将履约保证金的余额退还给承包人（无息）。</w:t>
      </w:r>
    </w:p>
    <w:p>
      <w:pPr>
        <w:wordWrap w:val="0"/>
        <w:topLinePunct/>
        <w:spacing w:line="360" w:lineRule="auto"/>
        <w:ind w:firstLine="420" w:firstLineChars="200"/>
        <w:rPr>
          <w:rFonts w:hint="eastAsia" w:ascii="宋体" w:hAnsi="宋体" w:cs="宋体"/>
          <w:sz w:val="21"/>
          <w:szCs w:val="21"/>
          <w:u w:val="single"/>
        </w:rPr>
      </w:pPr>
      <w:r>
        <w:rPr>
          <w:rFonts w:hint="eastAsia" w:ascii="宋体" w:hAnsi="宋体" w:cs="宋体"/>
          <w:sz w:val="21"/>
          <w:szCs w:val="21"/>
          <w:u w:val="single"/>
        </w:rPr>
        <w:t>承包人在中标后7个工作日内，按建设行政主管部门规定将农民工工资保障金存入帐户。工程竣工验收结算经审定后，按照规定程序，将农民工工资保障金没有使用或剩余的金额退还给承包人。</w:t>
      </w:r>
    </w:p>
    <w:p>
      <w:pPr>
        <w:pStyle w:val="35"/>
        <w:wordWrap w:val="0"/>
        <w:topLinePunct/>
        <w:spacing w:line="360" w:lineRule="auto"/>
        <w:rPr>
          <w:rFonts w:hint="eastAsia" w:ascii="宋体" w:cs="宋体"/>
          <w:sz w:val="21"/>
          <w:szCs w:val="21"/>
        </w:rPr>
      </w:pPr>
      <w:bookmarkStart w:id="142" w:name="_Toc351203636"/>
      <w:bookmarkStart w:id="143" w:name="_Toc433801704"/>
      <w:bookmarkStart w:id="144" w:name="_Toc419286842"/>
      <w:r>
        <w:rPr>
          <w:rFonts w:hint="eastAsia" w:ascii="宋体" w:cs="宋体"/>
          <w:sz w:val="21"/>
          <w:szCs w:val="21"/>
        </w:rPr>
        <w:t>4</w:t>
      </w:r>
      <w:bookmarkStart w:id="145" w:name="_Toc296890990"/>
      <w:bookmarkStart w:id="146" w:name="_Toc297120462"/>
      <w:bookmarkStart w:id="147" w:name="_Toc292559366"/>
      <w:bookmarkStart w:id="148" w:name="_Toc267251413"/>
      <w:bookmarkStart w:id="149" w:name="_Toc296503162"/>
      <w:bookmarkStart w:id="150" w:name="_Toc296944501"/>
      <w:bookmarkStart w:id="151" w:name="_Toc292559871"/>
      <w:bookmarkStart w:id="152" w:name="_Toc296346663"/>
      <w:bookmarkStart w:id="153" w:name="_Toc296347161"/>
      <w:bookmarkStart w:id="154" w:name="_Toc297048348"/>
      <w:bookmarkStart w:id="155" w:name="_Toc296891202"/>
      <w:r>
        <w:rPr>
          <w:rFonts w:hint="eastAsia" w:ascii="宋体" w:cs="宋体"/>
          <w:sz w:val="21"/>
          <w:szCs w:val="21"/>
        </w:rPr>
        <w:t>. 监</w:t>
      </w:r>
      <w:bookmarkEnd w:id="145"/>
      <w:bookmarkEnd w:id="146"/>
      <w:bookmarkEnd w:id="147"/>
      <w:bookmarkEnd w:id="148"/>
      <w:bookmarkEnd w:id="149"/>
      <w:bookmarkEnd w:id="150"/>
      <w:bookmarkEnd w:id="151"/>
      <w:bookmarkEnd w:id="152"/>
      <w:bookmarkEnd w:id="153"/>
      <w:bookmarkEnd w:id="154"/>
      <w:bookmarkEnd w:id="155"/>
      <w:r>
        <w:rPr>
          <w:rFonts w:hint="eastAsia" w:ascii="宋体" w:cs="宋体"/>
          <w:sz w:val="21"/>
          <w:szCs w:val="21"/>
        </w:rPr>
        <w:t>理人</w:t>
      </w:r>
      <w:bookmarkEnd w:id="142"/>
      <w:bookmarkEnd w:id="143"/>
      <w:bookmarkEnd w:id="144"/>
    </w:p>
    <w:p>
      <w:pPr>
        <w:pStyle w:val="35"/>
        <w:wordWrap w:val="0"/>
        <w:topLinePunct/>
        <w:spacing w:line="360" w:lineRule="auto"/>
        <w:rPr>
          <w:rFonts w:hint="eastAsia" w:ascii="宋体" w:cs="宋体"/>
          <w:sz w:val="21"/>
          <w:szCs w:val="21"/>
        </w:rPr>
      </w:pPr>
      <w:bookmarkStart w:id="156" w:name="_Toc433801705"/>
      <w:bookmarkStart w:id="157" w:name="_Toc419286843"/>
      <w:r>
        <w:rPr>
          <w:rFonts w:hint="eastAsia" w:ascii="宋体" w:cs="宋体"/>
          <w:sz w:val="21"/>
          <w:szCs w:val="21"/>
        </w:rPr>
        <w:t>4.1监理人的一般规定</w:t>
      </w:r>
      <w:bookmarkEnd w:id="156"/>
      <w:bookmarkEnd w:id="157"/>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关于监理人的监理内容：</w:t>
      </w:r>
      <w:r>
        <w:rPr>
          <w:rFonts w:hint="eastAsia" w:hAnsi="宋体" w:cs="宋体"/>
          <w:sz w:val="21"/>
          <w:szCs w:val="21"/>
          <w:u w:val="single"/>
        </w:rPr>
        <w:t>本项目承包人负责施工的所有内容</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关于监理人的监理权限：</w:t>
      </w:r>
      <w:r>
        <w:rPr>
          <w:rFonts w:hint="eastAsia" w:hAnsi="宋体" w:cs="宋体"/>
          <w:sz w:val="21"/>
          <w:szCs w:val="21"/>
          <w:u w:val="single"/>
        </w:rPr>
        <w:t>按通用条款，无特殊约定</w:t>
      </w:r>
      <w:r>
        <w:rPr>
          <w:rFonts w:hint="eastAsia" w:hAnsi="宋体" w:cs="宋体"/>
          <w:sz w:val="21"/>
          <w:szCs w:val="21"/>
        </w:rPr>
        <w:t xml:space="preserve">。 </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关于监理人在施工现场的办公场所、生活场所的提供和费用承担的约定：</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158" w:name="_Toc419286844"/>
      <w:bookmarkStart w:id="159" w:name="_Toc433801706"/>
      <w:r>
        <w:rPr>
          <w:rFonts w:hint="eastAsia" w:ascii="宋体" w:cs="宋体"/>
          <w:sz w:val="21"/>
          <w:szCs w:val="21"/>
        </w:rPr>
        <w:t>4.2 监理人员</w:t>
      </w:r>
      <w:bookmarkEnd w:id="158"/>
      <w:bookmarkEnd w:id="159"/>
    </w:p>
    <w:p>
      <w:pPr>
        <w:pStyle w:val="36"/>
        <w:wordWrap w:val="0"/>
        <w:topLinePunct/>
        <w:spacing w:line="360" w:lineRule="auto"/>
        <w:ind w:firstLine="480"/>
        <w:rPr>
          <w:rFonts w:hint="eastAsia" w:hAnsi="宋体" w:cs="宋体"/>
          <w:sz w:val="21"/>
          <w:szCs w:val="21"/>
        </w:rPr>
      </w:pPr>
      <w:r>
        <w:rPr>
          <w:rFonts w:hint="eastAsia" w:hAnsi="宋体" w:cs="宋体"/>
          <w:sz w:val="21"/>
          <w:szCs w:val="21"/>
        </w:rPr>
        <w:t>总监理工程师：</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姓    名：</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职    务：</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监理工程师执业资格证书号：</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联系电话：</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电子信箱：</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通信地址：</w:t>
      </w:r>
      <w:r>
        <w:rPr>
          <w:rFonts w:hint="eastAsia" w:hAnsi="宋体" w:cs="宋体"/>
          <w:sz w:val="21"/>
          <w:szCs w:val="21"/>
          <w:u w:val="single"/>
        </w:rPr>
        <w:t>（中标后、签订合同时填写）</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关于监理人的其他约定：</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160" w:name="_Toc433801707"/>
      <w:bookmarkStart w:id="161" w:name="_Toc419286845"/>
      <w:r>
        <w:rPr>
          <w:rFonts w:hint="eastAsia" w:ascii="宋体" w:cs="宋体"/>
          <w:sz w:val="21"/>
          <w:szCs w:val="21"/>
        </w:rPr>
        <w:t>4.4 商定或确定</w:t>
      </w:r>
      <w:bookmarkEnd w:id="160"/>
      <w:bookmarkEnd w:id="161"/>
    </w:p>
    <w:p>
      <w:pPr>
        <w:pStyle w:val="36"/>
        <w:wordWrap w:val="0"/>
        <w:topLinePunct/>
        <w:spacing w:line="360" w:lineRule="auto"/>
        <w:ind w:firstLine="480"/>
        <w:rPr>
          <w:rFonts w:hint="eastAsia" w:hAnsi="宋体" w:cs="宋体"/>
          <w:sz w:val="21"/>
          <w:szCs w:val="21"/>
        </w:rPr>
      </w:pPr>
      <w:bookmarkStart w:id="162" w:name="_Toc267251418"/>
      <w:r>
        <w:rPr>
          <w:rFonts w:hint="eastAsia" w:hAnsi="宋体" w:cs="宋体"/>
          <w:sz w:val="21"/>
          <w:szCs w:val="21"/>
        </w:rPr>
        <w:t>在发包人和承包人不能通过协商达成一致意见时，发包人授权监理人对以下事项进行确定：</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163" w:name="_Toc433801708"/>
      <w:bookmarkStart w:id="164" w:name="_Toc351203637"/>
      <w:bookmarkStart w:id="165" w:name="_Toc419286846"/>
      <w:r>
        <w:rPr>
          <w:rFonts w:hint="eastAsia" w:ascii="宋体" w:cs="宋体"/>
          <w:sz w:val="21"/>
          <w:szCs w:val="21"/>
        </w:rPr>
        <w:t>5</w:t>
      </w:r>
      <w:bookmarkEnd w:id="162"/>
      <w:bookmarkStart w:id="166" w:name="_Toc292559872"/>
      <w:bookmarkStart w:id="167" w:name="_Toc297120463"/>
      <w:bookmarkStart w:id="168" w:name="_Toc296944502"/>
      <w:bookmarkStart w:id="169" w:name="_Toc296347162"/>
      <w:bookmarkStart w:id="170" w:name="_Toc296503163"/>
      <w:bookmarkStart w:id="171" w:name="_Toc296346664"/>
      <w:bookmarkStart w:id="172" w:name="_Toc292559367"/>
      <w:bookmarkStart w:id="173" w:name="_Toc297048349"/>
      <w:bookmarkStart w:id="174" w:name="_Toc296891203"/>
      <w:bookmarkStart w:id="175" w:name="_Toc296890991"/>
      <w:r>
        <w:rPr>
          <w:rFonts w:hint="eastAsia" w:ascii="宋体" w:cs="宋体"/>
          <w:sz w:val="21"/>
          <w:szCs w:val="21"/>
        </w:rPr>
        <w:t>. 工程质量</w:t>
      </w:r>
      <w:bookmarkEnd w:id="163"/>
      <w:bookmarkEnd w:id="164"/>
      <w:bookmarkEnd w:id="165"/>
    </w:p>
    <w:p>
      <w:pPr>
        <w:pStyle w:val="35"/>
        <w:wordWrap w:val="0"/>
        <w:topLinePunct/>
        <w:spacing w:line="360" w:lineRule="auto"/>
        <w:rPr>
          <w:rFonts w:hint="eastAsia" w:ascii="宋体" w:cs="宋体"/>
          <w:sz w:val="21"/>
          <w:szCs w:val="21"/>
        </w:rPr>
      </w:pPr>
      <w:bookmarkStart w:id="176" w:name="_Toc419286847"/>
      <w:bookmarkStart w:id="177" w:name="_Toc433801709"/>
      <w:r>
        <w:rPr>
          <w:rFonts w:hint="eastAsia" w:ascii="宋体" w:cs="宋体"/>
          <w:sz w:val="21"/>
          <w:szCs w:val="21"/>
        </w:rPr>
        <w:t>5.1 质量要求</w:t>
      </w:r>
      <w:bookmarkEnd w:id="176"/>
      <w:bookmarkEnd w:id="177"/>
    </w:p>
    <w:p>
      <w:pPr>
        <w:pStyle w:val="36"/>
        <w:wordWrap w:val="0"/>
        <w:topLinePunct/>
        <w:spacing w:line="360" w:lineRule="auto"/>
        <w:ind w:firstLine="480"/>
        <w:rPr>
          <w:rFonts w:hint="eastAsia" w:hAnsi="宋体" w:cs="宋体"/>
          <w:sz w:val="21"/>
          <w:szCs w:val="21"/>
        </w:rPr>
      </w:pPr>
      <w:r>
        <w:rPr>
          <w:rFonts w:hint="eastAsia" w:hAnsi="宋体" w:cs="宋体"/>
          <w:sz w:val="21"/>
          <w:szCs w:val="21"/>
        </w:rPr>
        <w:t>5</w:t>
      </w:r>
      <w:bookmarkStart w:id="178" w:name="_Toc297123496"/>
      <w:bookmarkStart w:id="179" w:name="_Toc303539106"/>
      <w:bookmarkStart w:id="180" w:name="_Toc318581164"/>
      <w:bookmarkStart w:id="181" w:name="_Toc304295527"/>
      <w:bookmarkStart w:id="182" w:name="_Toc300934949"/>
      <w:bookmarkStart w:id="183" w:name="_Toc312677997"/>
      <w:bookmarkStart w:id="184" w:name="_Toc297216155"/>
      <w:r>
        <w:rPr>
          <w:rFonts w:hint="eastAsia" w:hAnsi="宋体" w:cs="宋体"/>
          <w:sz w:val="21"/>
          <w:szCs w:val="21"/>
        </w:rPr>
        <w:t>.1.1 特殊质量标准和要求：</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关于工程奖项的约定：</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185" w:name="_Toc433801710"/>
      <w:bookmarkStart w:id="186" w:name="_Toc419286848"/>
      <w:r>
        <w:rPr>
          <w:rFonts w:hint="eastAsia" w:ascii="宋体" w:cs="宋体"/>
          <w:sz w:val="21"/>
          <w:szCs w:val="21"/>
        </w:rPr>
        <w:t>5.3 隐蔽工程检查</w:t>
      </w:r>
      <w:bookmarkEnd w:id="185"/>
      <w:bookmarkEnd w:id="186"/>
    </w:p>
    <w:p>
      <w:pPr>
        <w:pStyle w:val="36"/>
        <w:wordWrap w:val="0"/>
        <w:topLinePunct/>
        <w:spacing w:line="360" w:lineRule="auto"/>
        <w:ind w:firstLine="480"/>
        <w:rPr>
          <w:rFonts w:hint="eastAsia" w:hAnsi="宋体" w:cs="宋体"/>
          <w:sz w:val="21"/>
          <w:szCs w:val="21"/>
        </w:rPr>
      </w:pPr>
      <w:r>
        <w:rPr>
          <w:rFonts w:hint="eastAsia" w:hAnsi="宋体" w:cs="宋体"/>
          <w:sz w:val="21"/>
          <w:szCs w:val="21"/>
        </w:rPr>
        <w:t>5.3.2承包人提前通知监理人隐蔽工程检查的期限的约定：</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监理人不能按时进行检查时，应提前</w:t>
      </w:r>
      <w:r>
        <w:rPr>
          <w:rFonts w:hint="eastAsia" w:hAnsi="宋体" w:cs="宋体"/>
          <w:sz w:val="21"/>
          <w:szCs w:val="21"/>
          <w:u w:val="single"/>
        </w:rPr>
        <w:t>按通用条款，无特殊约定</w:t>
      </w:r>
      <w:r>
        <w:rPr>
          <w:rFonts w:hint="eastAsia" w:hAnsi="宋体" w:cs="宋体"/>
          <w:sz w:val="21"/>
          <w:szCs w:val="21"/>
        </w:rPr>
        <w:t>小时提交书面延期要求。</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关于延期最长不得超过：</w:t>
      </w:r>
      <w:r>
        <w:rPr>
          <w:rFonts w:hint="eastAsia" w:hAnsi="宋体" w:cs="宋体"/>
          <w:sz w:val="21"/>
          <w:szCs w:val="21"/>
          <w:u w:val="single"/>
        </w:rPr>
        <w:t>按通用条款，无特殊约定</w:t>
      </w:r>
      <w:r>
        <w:rPr>
          <w:rFonts w:hint="eastAsia" w:hAnsi="宋体" w:cs="宋体"/>
          <w:sz w:val="21"/>
          <w:szCs w:val="21"/>
        </w:rPr>
        <w:t>小时。</w:t>
      </w:r>
    </w:p>
    <w:p>
      <w:pPr>
        <w:pStyle w:val="35"/>
        <w:wordWrap w:val="0"/>
        <w:topLinePunct/>
        <w:spacing w:line="360" w:lineRule="auto"/>
        <w:rPr>
          <w:rFonts w:hint="eastAsia" w:ascii="宋体" w:cs="宋体"/>
          <w:sz w:val="21"/>
          <w:szCs w:val="21"/>
        </w:rPr>
      </w:pPr>
      <w:bookmarkStart w:id="187" w:name="_Toc351203638"/>
      <w:bookmarkStart w:id="188" w:name="_Toc433801711"/>
      <w:bookmarkStart w:id="189" w:name="_Toc419286849"/>
      <w:r>
        <w:rPr>
          <w:rFonts w:hint="eastAsia" w:ascii="宋体" w:cs="宋体"/>
          <w:sz w:val="21"/>
          <w:szCs w:val="21"/>
        </w:rPr>
        <w:t>6. 安全文明施工与环境保护</w:t>
      </w:r>
      <w:bookmarkEnd w:id="187"/>
      <w:bookmarkEnd w:id="188"/>
      <w:bookmarkEnd w:id="189"/>
    </w:p>
    <w:p>
      <w:pPr>
        <w:pStyle w:val="35"/>
        <w:wordWrap w:val="0"/>
        <w:topLinePunct/>
        <w:spacing w:line="360" w:lineRule="auto"/>
        <w:rPr>
          <w:rFonts w:hint="eastAsia" w:ascii="宋体" w:cs="宋体"/>
          <w:sz w:val="21"/>
          <w:szCs w:val="21"/>
        </w:rPr>
      </w:pPr>
      <w:bookmarkStart w:id="190" w:name="_Toc433801712"/>
      <w:bookmarkStart w:id="191" w:name="_Toc419286850"/>
      <w:r>
        <w:rPr>
          <w:rFonts w:hint="eastAsia" w:ascii="宋体" w:cs="宋体"/>
          <w:sz w:val="21"/>
          <w:szCs w:val="21"/>
        </w:rPr>
        <w:t>6.1安全文明施工</w:t>
      </w:r>
      <w:bookmarkEnd w:id="190"/>
      <w:bookmarkEnd w:id="191"/>
    </w:p>
    <w:p>
      <w:pPr>
        <w:pStyle w:val="36"/>
        <w:wordWrap w:val="0"/>
        <w:topLinePunct/>
        <w:spacing w:line="360" w:lineRule="auto"/>
        <w:ind w:firstLine="480"/>
        <w:rPr>
          <w:rFonts w:hint="eastAsia" w:hAnsi="宋体" w:cs="宋体"/>
          <w:sz w:val="21"/>
          <w:szCs w:val="21"/>
        </w:rPr>
      </w:pPr>
      <w:r>
        <w:rPr>
          <w:rFonts w:hint="eastAsia" w:hAnsi="宋体" w:cs="宋体"/>
          <w:sz w:val="21"/>
          <w:szCs w:val="21"/>
        </w:rPr>
        <w:t>6.1.1 项目安全生产的达标目标及相应事项的约定：</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6.1.4 关于治安保卫的特别约定：</w:t>
      </w:r>
      <w:r>
        <w:rPr>
          <w:rFonts w:hint="eastAsia" w:hAnsi="宋体" w:cs="宋体"/>
          <w:sz w:val="21"/>
          <w:szCs w:val="21"/>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关于编制施工场地治安管理计划的约定：</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6.1.5 文明施工</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合同当事人对文明施工的要求：</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6.1.6 关于安全文明施工费支付比例和支付期限的约定：</w:t>
      </w:r>
      <w:r>
        <w:rPr>
          <w:rFonts w:hint="eastAsia" w:hAnsi="宋体" w:cs="宋体"/>
          <w:sz w:val="21"/>
          <w:szCs w:val="21"/>
          <w:u w:val="single"/>
        </w:rPr>
        <w:t xml:space="preserve">     \      </w:t>
      </w:r>
      <w:r>
        <w:rPr>
          <w:rFonts w:hint="eastAsia" w:hAnsi="宋体" w:cs="宋体"/>
          <w:sz w:val="21"/>
          <w:szCs w:val="21"/>
        </w:rPr>
        <w:t>。</w:t>
      </w:r>
    </w:p>
    <w:bookmarkEnd w:id="178"/>
    <w:bookmarkEnd w:id="179"/>
    <w:bookmarkEnd w:id="180"/>
    <w:bookmarkEnd w:id="181"/>
    <w:bookmarkEnd w:id="182"/>
    <w:bookmarkEnd w:id="183"/>
    <w:bookmarkEnd w:id="184"/>
    <w:p>
      <w:pPr>
        <w:pStyle w:val="35"/>
        <w:wordWrap w:val="0"/>
        <w:topLinePunct/>
        <w:spacing w:line="360" w:lineRule="auto"/>
        <w:rPr>
          <w:rFonts w:hint="eastAsia" w:ascii="宋体" w:cs="宋体"/>
          <w:sz w:val="21"/>
          <w:szCs w:val="21"/>
        </w:rPr>
      </w:pPr>
      <w:bookmarkStart w:id="192" w:name="_Toc351203639"/>
      <w:bookmarkStart w:id="193" w:name="_Toc433801713"/>
      <w:bookmarkStart w:id="194" w:name="_Toc419286851"/>
      <w:r>
        <w:rPr>
          <w:rFonts w:hint="eastAsia" w:ascii="宋体" w:cs="宋体"/>
          <w:sz w:val="21"/>
          <w:szCs w:val="21"/>
        </w:rPr>
        <w:t>7. 工期和进度</w:t>
      </w:r>
      <w:bookmarkEnd w:id="192"/>
      <w:bookmarkEnd w:id="193"/>
      <w:bookmarkEnd w:id="194"/>
    </w:p>
    <w:p>
      <w:pPr>
        <w:pStyle w:val="35"/>
        <w:wordWrap w:val="0"/>
        <w:topLinePunct/>
        <w:spacing w:line="360" w:lineRule="auto"/>
        <w:rPr>
          <w:rFonts w:hint="eastAsia" w:ascii="宋体" w:cs="宋体"/>
          <w:sz w:val="21"/>
          <w:szCs w:val="21"/>
        </w:rPr>
      </w:pPr>
      <w:bookmarkStart w:id="195" w:name="_Toc419286852"/>
      <w:bookmarkStart w:id="196" w:name="_Toc433801714"/>
      <w:r>
        <w:rPr>
          <w:rFonts w:hint="eastAsia" w:ascii="宋体" w:cs="宋体"/>
          <w:sz w:val="21"/>
          <w:szCs w:val="21"/>
        </w:rPr>
        <w:t>7.1 施工组织设计</w:t>
      </w:r>
      <w:bookmarkEnd w:id="195"/>
      <w:bookmarkEnd w:id="196"/>
    </w:p>
    <w:p>
      <w:pPr>
        <w:pStyle w:val="36"/>
        <w:wordWrap w:val="0"/>
        <w:topLinePunct/>
        <w:spacing w:line="360" w:lineRule="auto"/>
        <w:ind w:firstLine="480"/>
        <w:rPr>
          <w:rFonts w:hint="eastAsia" w:hAnsi="宋体" w:cs="宋体"/>
          <w:sz w:val="21"/>
          <w:szCs w:val="21"/>
        </w:rPr>
      </w:pPr>
      <w:r>
        <w:rPr>
          <w:rFonts w:hint="eastAsia" w:hAnsi="宋体" w:cs="宋体"/>
          <w:sz w:val="21"/>
          <w:szCs w:val="21"/>
        </w:rPr>
        <w:t>7.1.1 合同当事人约定的施工组织设计应包括的其他内容：</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7.1.2 施工组织设计的提交和修改</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承包人提交详细施工组织设计的期限的约定：</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发包人和监理人在收到详细的施工组织设计后确认或提出修改意见的期限：</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197" w:name="_Toc433801715"/>
      <w:bookmarkStart w:id="198" w:name="_Toc419286853"/>
      <w:r>
        <w:rPr>
          <w:rFonts w:hint="eastAsia" w:ascii="宋体" w:cs="宋体"/>
          <w:sz w:val="21"/>
          <w:szCs w:val="21"/>
        </w:rPr>
        <w:t>7</w:t>
      </w:r>
      <w:bookmarkStart w:id="199" w:name="_Toc312678005"/>
      <w:bookmarkStart w:id="200" w:name="_Toc312677479"/>
      <w:bookmarkStart w:id="201" w:name="_Toc303539123"/>
      <w:bookmarkStart w:id="202" w:name="_Toc297216173"/>
      <w:bookmarkStart w:id="203" w:name="_Toc300934966"/>
      <w:bookmarkStart w:id="204" w:name="_Toc297123514"/>
      <w:bookmarkStart w:id="205" w:name="_Toc304295541"/>
      <w:r>
        <w:rPr>
          <w:rFonts w:hint="eastAsia" w:ascii="宋体" w:cs="宋体"/>
          <w:sz w:val="21"/>
          <w:szCs w:val="21"/>
        </w:rPr>
        <w:t>.2 施工进度计划</w:t>
      </w:r>
      <w:bookmarkEnd w:id="197"/>
      <w:bookmarkEnd w:id="198"/>
    </w:p>
    <w:p>
      <w:pPr>
        <w:pStyle w:val="36"/>
        <w:wordWrap w:val="0"/>
        <w:topLinePunct/>
        <w:spacing w:line="360" w:lineRule="auto"/>
        <w:ind w:firstLine="480"/>
        <w:rPr>
          <w:rFonts w:hint="eastAsia" w:hAnsi="宋体" w:cs="宋体"/>
          <w:sz w:val="21"/>
          <w:szCs w:val="21"/>
        </w:rPr>
      </w:pPr>
      <w:r>
        <w:rPr>
          <w:rFonts w:hint="eastAsia" w:hAnsi="宋体" w:cs="宋体"/>
          <w:sz w:val="21"/>
          <w:szCs w:val="21"/>
        </w:rPr>
        <w:t>7.2.2 施工进度计划的修订</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发包人和监理人在收到修订的施工进度计划后确认或提出修改意见的期限：</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206" w:name="_Toc433801716"/>
      <w:bookmarkStart w:id="207" w:name="_Toc419286854"/>
      <w:r>
        <w:rPr>
          <w:rFonts w:hint="eastAsia" w:ascii="宋体" w:cs="宋体"/>
          <w:sz w:val="21"/>
          <w:szCs w:val="21"/>
        </w:rPr>
        <w:t>7.3 开工</w:t>
      </w:r>
      <w:bookmarkEnd w:id="206"/>
      <w:bookmarkEnd w:id="207"/>
    </w:p>
    <w:p>
      <w:pPr>
        <w:pStyle w:val="36"/>
        <w:wordWrap w:val="0"/>
        <w:topLinePunct/>
        <w:spacing w:line="360" w:lineRule="auto"/>
        <w:ind w:firstLine="480"/>
        <w:rPr>
          <w:rFonts w:hint="eastAsia" w:hAnsi="宋体" w:cs="宋体"/>
          <w:sz w:val="21"/>
          <w:szCs w:val="21"/>
        </w:rPr>
      </w:pPr>
      <w:r>
        <w:rPr>
          <w:rFonts w:hint="eastAsia" w:hAnsi="宋体" w:cs="宋体"/>
          <w:sz w:val="21"/>
          <w:szCs w:val="21"/>
        </w:rPr>
        <w:t>7.3.1 开工准备</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关于承包人提交工程开工报审表的期限：</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关于发包人应完成的其他开工准备工作及期限：</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关于承包人应完成的其他开工准备工作及期限：</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7.3.2开工通知</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因发包人原因造成监理人未能在计划开工日期之日起</w:t>
      </w:r>
      <w:r>
        <w:rPr>
          <w:rFonts w:hint="eastAsia" w:hAnsi="宋体" w:cs="宋体"/>
          <w:sz w:val="21"/>
          <w:szCs w:val="21"/>
          <w:u w:val="single"/>
        </w:rPr>
        <w:t>按通用条款，无特殊约定</w:t>
      </w:r>
      <w:r>
        <w:rPr>
          <w:rFonts w:hint="eastAsia" w:hAnsi="宋体" w:cs="宋体"/>
          <w:sz w:val="21"/>
          <w:szCs w:val="21"/>
        </w:rPr>
        <w:t>天内发出开工通知的，承包人有权提出价格调整要求，或者解除合同。</w:t>
      </w:r>
    </w:p>
    <w:bookmarkEnd w:id="199"/>
    <w:bookmarkEnd w:id="200"/>
    <w:bookmarkEnd w:id="201"/>
    <w:bookmarkEnd w:id="202"/>
    <w:bookmarkEnd w:id="203"/>
    <w:bookmarkEnd w:id="204"/>
    <w:bookmarkEnd w:id="205"/>
    <w:p>
      <w:pPr>
        <w:pStyle w:val="35"/>
        <w:wordWrap w:val="0"/>
        <w:topLinePunct/>
        <w:spacing w:line="360" w:lineRule="auto"/>
        <w:rPr>
          <w:rFonts w:hint="eastAsia" w:ascii="宋体" w:cs="宋体"/>
          <w:sz w:val="21"/>
          <w:szCs w:val="21"/>
        </w:rPr>
      </w:pPr>
      <w:bookmarkStart w:id="208" w:name="_Toc419286855"/>
      <w:bookmarkStart w:id="209" w:name="_Toc433801717"/>
      <w:r>
        <w:rPr>
          <w:rFonts w:hint="eastAsia" w:ascii="宋体" w:cs="宋体"/>
          <w:sz w:val="21"/>
          <w:szCs w:val="21"/>
        </w:rPr>
        <w:t>7.4 测量放线</w:t>
      </w:r>
      <w:bookmarkEnd w:id="208"/>
      <w:bookmarkEnd w:id="209"/>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7.4.1发包人通过监理人向承包人提供测量基准点、基准线和水准点及其书面资料的期限：</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210" w:name="_Toc433801718"/>
      <w:bookmarkStart w:id="211" w:name="_Toc419286856"/>
      <w:r>
        <w:rPr>
          <w:rFonts w:hint="eastAsia" w:ascii="宋体" w:cs="宋体"/>
          <w:sz w:val="21"/>
          <w:szCs w:val="21"/>
        </w:rPr>
        <w:t>7</w:t>
      </w:r>
      <w:bookmarkStart w:id="212" w:name="_Toc312677484"/>
      <w:bookmarkStart w:id="213" w:name="_Toc304295546"/>
      <w:bookmarkStart w:id="214" w:name="_Toc300934968"/>
      <w:bookmarkStart w:id="215" w:name="_Toc297123516"/>
      <w:bookmarkStart w:id="216" w:name="_Toc303539125"/>
      <w:bookmarkStart w:id="217" w:name="_Toc312678010"/>
      <w:bookmarkStart w:id="218" w:name="_Toc297216175"/>
      <w:r>
        <w:rPr>
          <w:rFonts w:hint="eastAsia" w:ascii="宋体" w:cs="宋体"/>
          <w:sz w:val="21"/>
          <w:szCs w:val="21"/>
        </w:rPr>
        <w:t>.5 工期延误</w:t>
      </w:r>
      <w:bookmarkEnd w:id="210"/>
      <w:bookmarkEnd w:id="211"/>
    </w:p>
    <w:bookmarkEnd w:id="212"/>
    <w:bookmarkEnd w:id="213"/>
    <w:bookmarkEnd w:id="214"/>
    <w:bookmarkEnd w:id="215"/>
    <w:bookmarkEnd w:id="216"/>
    <w:bookmarkEnd w:id="217"/>
    <w:bookmarkEnd w:id="218"/>
    <w:p>
      <w:pPr>
        <w:pStyle w:val="36"/>
        <w:wordWrap w:val="0"/>
        <w:topLinePunct/>
        <w:spacing w:line="360" w:lineRule="auto"/>
        <w:ind w:firstLine="480"/>
        <w:outlineLvl w:val="0"/>
        <w:rPr>
          <w:rFonts w:hint="eastAsia" w:hAnsi="宋体" w:cs="宋体"/>
          <w:sz w:val="21"/>
          <w:szCs w:val="21"/>
        </w:rPr>
      </w:pPr>
      <w:bookmarkStart w:id="219" w:name="_Toc419286857"/>
      <w:bookmarkStart w:id="220" w:name="_Toc433801719"/>
      <w:r>
        <w:rPr>
          <w:rFonts w:hint="eastAsia" w:hAnsi="宋体" w:cs="宋体"/>
          <w:sz w:val="21"/>
          <w:szCs w:val="21"/>
        </w:rPr>
        <w:t>7.5.1 因发包人原因导致工期延误</w:t>
      </w:r>
      <w:bookmarkEnd w:id="219"/>
      <w:bookmarkEnd w:id="220"/>
    </w:p>
    <w:p>
      <w:pPr>
        <w:pStyle w:val="36"/>
        <w:wordWrap w:val="0"/>
        <w:topLinePunct/>
        <w:spacing w:line="360" w:lineRule="auto"/>
        <w:ind w:firstLine="480"/>
        <w:rPr>
          <w:rFonts w:hint="eastAsia" w:hAnsi="宋体" w:cs="宋体"/>
          <w:color w:val="000000"/>
          <w:sz w:val="21"/>
          <w:szCs w:val="21"/>
        </w:rPr>
      </w:pPr>
      <w:r>
        <w:rPr>
          <w:rFonts w:hint="eastAsia" w:hAnsi="宋体" w:cs="宋体"/>
          <w:sz w:val="21"/>
          <w:szCs w:val="21"/>
        </w:rPr>
        <w:t>（7）因发包人原因导致工期延误的其他情形：</w:t>
      </w:r>
      <w:r>
        <w:rPr>
          <w:rFonts w:hint="eastAsia" w:hAnsi="宋体" w:cs="宋体"/>
          <w:color w:val="000000"/>
          <w:sz w:val="21"/>
          <w:szCs w:val="21"/>
          <w:u w:val="single"/>
        </w:rPr>
        <w:t>因征地纠纷原因、未按合同约定按时支付工程进度款、增加合同工作内容及设计变更导致工期拖延的，工期给予相应顺延</w:t>
      </w:r>
      <w:r>
        <w:rPr>
          <w:rFonts w:hint="eastAsia" w:hAnsi="宋体" w:cs="宋体"/>
          <w:color w:val="000000"/>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7</w:t>
      </w:r>
      <w:bookmarkStart w:id="221" w:name="_Toc312678012"/>
      <w:bookmarkStart w:id="222" w:name="_Toc312677486"/>
      <w:bookmarkStart w:id="223" w:name="_Toc318581169"/>
      <w:bookmarkStart w:id="224" w:name="_Toc304295548"/>
      <w:bookmarkStart w:id="225" w:name="_Toc297216177"/>
      <w:bookmarkStart w:id="226" w:name="_Toc303539127"/>
      <w:bookmarkStart w:id="227" w:name="_Toc297123518"/>
      <w:bookmarkStart w:id="228" w:name="_Toc300934970"/>
      <w:r>
        <w:rPr>
          <w:rFonts w:hint="eastAsia" w:hAnsi="宋体" w:cs="宋体"/>
          <w:sz w:val="21"/>
          <w:szCs w:val="21"/>
        </w:rPr>
        <w:t>.5.2 因承包人原因导致工期延误</w:t>
      </w:r>
    </w:p>
    <w:bookmarkEnd w:id="221"/>
    <w:bookmarkEnd w:id="222"/>
    <w:bookmarkEnd w:id="223"/>
    <w:p>
      <w:pPr>
        <w:pStyle w:val="36"/>
        <w:wordWrap w:val="0"/>
        <w:topLinePunct/>
        <w:spacing w:line="360" w:lineRule="auto"/>
        <w:ind w:firstLine="480"/>
        <w:rPr>
          <w:rFonts w:hint="eastAsia" w:hAnsi="宋体" w:cs="宋体"/>
          <w:sz w:val="21"/>
          <w:szCs w:val="21"/>
          <w:u w:val="single"/>
        </w:rPr>
      </w:pPr>
      <w:bookmarkStart w:id="229" w:name="_Toc312677487"/>
      <w:bookmarkStart w:id="230" w:name="_Toc312678013"/>
      <w:bookmarkStart w:id="231" w:name="_Toc318581170"/>
      <w:r>
        <w:rPr>
          <w:rFonts w:hint="eastAsia" w:hAnsi="宋体" w:cs="宋体"/>
          <w:sz w:val="21"/>
          <w:szCs w:val="21"/>
        </w:rPr>
        <w:t>因承包人原因造成工期延误，逾期竣工违约金的计算方法为：</w:t>
      </w:r>
      <w:r>
        <w:rPr>
          <w:rFonts w:hint="eastAsia" w:hAnsi="宋体" w:cs="宋体"/>
          <w:sz w:val="21"/>
          <w:szCs w:val="21"/>
          <w:u w:val="single"/>
        </w:rPr>
        <w:t xml:space="preserve">非上述原因，承包人不能按合同约定的时间竣工，承包人应承担违约责任。应向发包人支付误期赔偿费（每天赔偿金额为合同价款扣除发包人材料价款、暂估专业工程、暂列金额后的的万分之二），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因承包人原因造成工期延误，逾期竣工违约金的上限：</w:t>
      </w:r>
      <w:r>
        <w:rPr>
          <w:rFonts w:hint="eastAsia" w:hAnsi="宋体" w:cs="宋体"/>
          <w:sz w:val="21"/>
          <w:szCs w:val="21"/>
          <w:u w:val="single"/>
        </w:rPr>
        <w:t>合同价扣除发包人材料价款、暂估专业工程、暂列金额后的2%</w:t>
      </w:r>
      <w:r>
        <w:rPr>
          <w:rFonts w:hint="eastAsia" w:hAnsi="宋体" w:cs="宋体"/>
          <w:sz w:val="21"/>
          <w:szCs w:val="21"/>
        </w:rPr>
        <w:t>。</w:t>
      </w:r>
      <w:bookmarkEnd w:id="224"/>
      <w:bookmarkEnd w:id="225"/>
      <w:bookmarkEnd w:id="226"/>
      <w:bookmarkEnd w:id="227"/>
      <w:bookmarkEnd w:id="228"/>
      <w:bookmarkEnd w:id="229"/>
      <w:bookmarkEnd w:id="230"/>
    </w:p>
    <w:bookmarkEnd w:id="231"/>
    <w:p>
      <w:pPr>
        <w:pStyle w:val="35"/>
        <w:wordWrap w:val="0"/>
        <w:topLinePunct/>
        <w:spacing w:line="360" w:lineRule="auto"/>
        <w:rPr>
          <w:rFonts w:hint="eastAsia" w:ascii="宋体" w:cs="宋体"/>
          <w:sz w:val="21"/>
          <w:szCs w:val="21"/>
        </w:rPr>
      </w:pPr>
      <w:bookmarkStart w:id="232" w:name="_Toc419286858"/>
      <w:bookmarkStart w:id="233" w:name="_Toc433801720"/>
      <w:r>
        <w:rPr>
          <w:rFonts w:hint="eastAsia" w:ascii="宋体" w:cs="宋体"/>
          <w:sz w:val="21"/>
          <w:szCs w:val="21"/>
        </w:rPr>
        <w:t>7</w:t>
      </w:r>
      <w:bookmarkStart w:id="234" w:name="_Toc303539128"/>
      <w:bookmarkStart w:id="235" w:name="_Toc300934971"/>
      <w:bookmarkStart w:id="236" w:name="_Toc304295549"/>
      <w:bookmarkStart w:id="237" w:name="_Toc312678015"/>
      <w:bookmarkStart w:id="238" w:name="_Toc297216178"/>
      <w:bookmarkStart w:id="239" w:name="_Toc297123519"/>
      <w:r>
        <w:rPr>
          <w:rFonts w:hint="eastAsia" w:ascii="宋体" w:cs="宋体"/>
          <w:sz w:val="21"/>
          <w:szCs w:val="21"/>
        </w:rPr>
        <w:t>.6 不</w:t>
      </w:r>
      <w:bookmarkEnd w:id="234"/>
      <w:bookmarkEnd w:id="235"/>
      <w:bookmarkEnd w:id="236"/>
      <w:bookmarkEnd w:id="237"/>
      <w:bookmarkEnd w:id="238"/>
      <w:bookmarkEnd w:id="239"/>
      <w:r>
        <w:rPr>
          <w:rFonts w:hint="eastAsia" w:ascii="宋体" w:cs="宋体"/>
          <w:sz w:val="21"/>
          <w:szCs w:val="21"/>
        </w:rPr>
        <w:t>利物质条件</w:t>
      </w:r>
      <w:bookmarkEnd w:id="232"/>
      <w:bookmarkEnd w:id="233"/>
    </w:p>
    <w:p>
      <w:pPr>
        <w:pStyle w:val="36"/>
        <w:wordWrap w:val="0"/>
        <w:topLinePunct/>
        <w:spacing w:line="360" w:lineRule="auto"/>
        <w:ind w:firstLine="480"/>
        <w:rPr>
          <w:rFonts w:hint="eastAsia" w:hAnsi="宋体" w:cs="宋体"/>
          <w:sz w:val="21"/>
          <w:szCs w:val="21"/>
        </w:rPr>
      </w:pPr>
      <w:bookmarkStart w:id="240" w:name="_Toc303539129"/>
      <w:bookmarkStart w:id="241" w:name="_Toc297123520"/>
      <w:bookmarkStart w:id="242" w:name="_Toc304295550"/>
      <w:bookmarkStart w:id="243" w:name="_Toc297216179"/>
      <w:bookmarkStart w:id="244" w:name="_Toc312678016"/>
      <w:bookmarkStart w:id="245" w:name="_Toc318581172"/>
      <w:bookmarkStart w:id="246" w:name="_Toc300934972"/>
      <w:r>
        <w:rPr>
          <w:rFonts w:hint="eastAsia" w:hAnsi="宋体" w:cs="宋体"/>
          <w:sz w:val="21"/>
          <w:szCs w:val="21"/>
        </w:rPr>
        <w:t>不利物质条件的其他情形和有关约定：</w:t>
      </w:r>
      <w:r>
        <w:rPr>
          <w:rFonts w:hint="eastAsia" w:hAnsi="宋体" w:cs="宋体"/>
          <w:sz w:val="21"/>
          <w:szCs w:val="21"/>
          <w:u w:val="single"/>
        </w:rPr>
        <w:t>按通用条款，无特殊约定</w:t>
      </w:r>
      <w:r>
        <w:rPr>
          <w:rFonts w:hint="eastAsia" w:hAnsi="宋体" w:cs="宋体"/>
          <w:sz w:val="21"/>
          <w:szCs w:val="21"/>
        </w:rPr>
        <w:t>。</w:t>
      </w:r>
    </w:p>
    <w:bookmarkEnd w:id="240"/>
    <w:bookmarkEnd w:id="241"/>
    <w:bookmarkEnd w:id="242"/>
    <w:bookmarkEnd w:id="243"/>
    <w:bookmarkEnd w:id="244"/>
    <w:bookmarkEnd w:id="245"/>
    <w:bookmarkEnd w:id="246"/>
    <w:p>
      <w:pPr>
        <w:pStyle w:val="35"/>
        <w:wordWrap w:val="0"/>
        <w:topLinePunct/>
        <w:spacing w:line="360" w:lineRule="auto"/>
        <w:rPr>
          <w:rFonts w:hint="eastAsia" w:ascii="宋体" w:cs="宋体"/>
          <w:sz w:val="21"/>
          <w:szCs w:val="21"/>
        </w:rPr>
      </w:pPr>
      <w:bookmarkStart w:id="247" w:name="_Toc419286859"/>
      <w:bookmarkStart w:id="248" w:name="_Toc433801721"/>
      <w:r>
        <w:rPr>
          <w:rFonts w:hint="eastAsia" w:ascii="宋体" w:cs="宋体"/>
          <w:sz w:val="21"/>
          <w:szCs w:val="21"/>
        </w:rPr>
        <w:t>7</w:t>
      </w:r>
      <w:bookmarkStart w:id="249" w:name="_Toc297123521"/>
      <w:bookmarkStart w:id="250" w:name="_Toc300934973"/>
      <w:bookmarkStart w:id="251" w:name="_Toc304295551"/>
      <w:bookmarkStart w:id="252" w:name="_Toc303539130"/>
      <w:bookmarkStart w:id="253" w:name="_Toc312678017"/>
      <w:bookmarkStart w:id="254" w:name="_Toc297216180"/>
      <w:r>
        <w:rPr>
          <w:rFonts w:hint="eastAsia" w:ascii="宋体" w:cs="宋体"/>
          <w:sz w:val="21"/>
          <w:szCs w:val="21"/>
        </w:rPr>
        <w:t>.7异常恶劣的气候条件</w:t>
      </w:r>
      <w:bookmarkEnd w:id="247"/>
      <w:bookmarkEnd w:id="248"/>
    </w:p>
    <w:bookmarkEnd w:id="249"/>
    <w:bookmarkEnd w:id="250"/>
    <w:bookmarkEnd w:id="251"/>
    <w:bookmarkEnd w:id="252"/>
    <w:bookmarkEnd w:id="253"/>
    <w:bookmarkEnd w:id="254"/>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发包人和承包人同意以下情形视为异常恶劣的气候条件：</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w:t>
      </w:r>
      <w:r>
        <w:rPr>
          <w:rFonts w:hint="eastAsia" w:hAnsi="宋体" w:cs="宋体"/>
          <w:sz w:val="21"/>
          <w:szCs w:val="21"/>
          <w:u w:val="single"/>
        </w:rPr>
        <w:t>10级以上持续1天的大风</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（2）</w:t>
      </w:r>
      <w:r>
        <w:rPr>
          <w:rFonts w:hint="eastAsia" w:hAnsi="宋体" w:cs="宋体"/>
          <w:sz w:val="21"/>
          <w:szCs w:val="21"/>
          <w:u w:val="single"/>
        </w:rPr>
        <w:t>暴雨级以上持续1天的大雨</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（3）</w:t>
      </w:r>
      <w:r>
        <w:rPr>
          <w:rFonts w:hint="eastAsia" w:hAnsi="宋体" w:cs="宋体"/>
          <w:sz w:val="21"/>
          <w:szCs w:val="21"/>
          <w:u w:val="single"/>
        </w:rPr>
        <w:t>50年一遇及以上，持续2天的高温天气</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（4）</w:t>
      </w:r>
      <w:r>
        <w:rPr>
          <w:rFonts w:hint="eastAsia" w:hAnsi="宋体" w:cs="宋体"/>
          <w:sz w:val="21"/>
          <w:szCs w:val="21"/>
          <w:u w:val="single"/>
        </w:rPr>
        <w:t>50年一遇及以上，持续2天的低温天气</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255" w:name="_Toc433801722"/>
      <w:bookmarkStart w:id="256" w:name="_Toc419286860"/>
      <w:r>
        <w:rPr>
          <w:rFonts w:hint="eastAsia" w:ascii="宋体" w:cs="宋体"/>
          <w:sz w:val="21"/>
          <w:szCs w:val="21"/>
        </w:rPr>
        <w:t>7.9 提前竣工的奖励</w:t>
      </w:r>
      <w:bookmarkEnd w:id="255"/>
      <w:bookmarkEnd w:id="256"/>
    </w:p>
    <w:p>
      <w:pPr>
        <w:pStyle w:val="36"/>
        <w:wordWrap w:val="0"/>
        <w:topLinePunct/>
        <w:spacing w:line="360" w:lineRule="auto"/>
        <w:ind w:firstLine="480"/>
        <w:rPr>
          <w:rFonts w:hint="eastAsia" w:hAnsi="宋体" w:cs="宋体"/>
          <w:sz w:val="21"/>
          <w:szCs w:val="21"/>
        </w:rPr>
      </w:pPr>
      <w:r>
        <w:rPr>
          <w:rFonts w:hint="eastAsia" w:hAnsi="宋体" w:cs="宋体"/>
          <w:sz w:val="21"/>
          <w:szCs w:val="21"/>
        </w:rPr>
        <w:t>7.9.2提前竣工的奖励：</w:t>
      </w:r>
      <w:r>
        <w:rPr>
          <w:rFonts w:hint="eastAsia" w:hAnsi="宋体" w:cs="宋体"/>
          <w:sz w:val="21"/>
          <w:szCs w:val="21"/>
          <w:u w:val="single"/>
        </w:rPr>
        <w:t xml:space="preserve">  </w:t>
      </w:r>
      <w:r>
        <w:rPr>
          <w:rFonts w:hint="eastAsia" w:hAnsi="宋体" w:cs="宋体"/>
          <w:sz w:val="21"/>
          <w:szCs w:val="21"/>
          <w:u w:val="single"/>
          <w:lang w:eastAsia="zh-CN"/>
        </w:rPr>
        <w:t xml:space="preserve">                   </w:t>
      </w:r>
      <w:r>
        <w:rPr>
          <w:rFonts w:hint="eastAsia" w:hAnsi="宋体" w:cs="宋体"/>
          <w:sz w:val="21"/>
          <w:szCs w:val="21"/>
          <w:u w:val="single"/>
        </w:rPr>
        <w:t xml:space="preserve">  </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257" w:name="_Toc433801723"/>
      <w:bookmarkStart w:id="258" w:name="_Toc419286861"/>
      <w:bookmarkStart w:id="259" w:name="_Toc351203640"/>
      <w:r>
        <w:rPr>
          <w:rFonts w:hint="eastAsia" w:ascii="宋体" w:cs="宋体"/>
          <w:sz w:val="21"/>
          <w:szCs w:val="21"/>
        </w:rPr>
        <w:t>8. 材料与设备</w:t>
      </w:r>
      <w:bookmarkEnd w:id="257"/>
      <w:bookmarkEnd w:id="258"/>
      <w:bookmarkEnd w:id="259"/>
    </w:p>
    <w:bookmarkEnd w:id="166"/>
    <w:bookmarkEnd w:id="167"/>
    <w:bookmarkEnd w:id="168"/>
    <w:bookmarkEnd w:id="169"/>
    <w:bookmarkEnd w:id="170"/>
    <w:bookmarkEnd w:id="171"/>
    <w:bookmarkEnd w:id="172"/>
    <w:bookmarkEnd w:id="173"/>
    <w:bookmarkEnd w:id="174"/>
    <w:bookmarkEnd w:id="175"/>
    <w:p>
      <w:pPr>
        <w:pStyle w:val="35"/>
        <w:topLinePunct/>
        <w:spacing w:line="360" w:lineRule="auto"/>
        <w:rPr>
          <w:rFonts w:hint="eastAsia" w:ascii="宋体" w:cs="宋体"/>
          <w:sz w:val="21"/>
          <w:szCs w:val="21"/>
        </w:rPr>
      </w:pPr>
      <w:bookmarkStart w:id="260" w:name="_Toc419286862"/>
      <w:bookmarkStart w:id="261" w:name="_Toc433801724"/>
      <w:r>
        <w:rPr>
          <w:rFonts w:hint="eastAsia" w:ascii="宋体" w:cs="宋体"/>
          <w:sz w:val="21"/>
          <w:szCs w:val="21"/>
        </w:rPr>
        <w:t>8.1发包人供应材料与工程设备</w:t>
      </w:r>
    </w:p>
    <w:p>
      <w:pPr>
        <w:pStyle w:val="36"/>
        <w:topLinePunct/>
        <w:spacing w:line="360" w:lineRule="auto"/>
        <w:ind w:firstLine="480"/>
        <w:rPr>
          <w:rFonts w:hint="eastAsia" w:hAnsi="宋体" w:cs="宋体"/>
          <w:sz w:val="21"/>
          <w:szCs w:val="21"/>
        </w:rPr>
      </w:pPr>
      <w:r>
        <w:rPr>
          <w:rFonts w:hint="eastAsia" w:hAnsi="宋体" w:cs="宋体"/>
          <w:sz w:val="21"/>
          <w:szCs w:val="21"/>
        </w:rPr>
        <w:t>本项目由发包人提供动力（水、电），即施工用水、施工用电由发包人提供至施工场地。</w:t>
      </w:r>
    </w:p>
    <w:p>
      <w:pPr>
        <w:pStyle w:val="35"/>
        <w:wordWrap w:val="0"/>
        <w:topLinePunct/>
        <w:spacing w:line="360" w:lineRule="auto"/>
        <w:rPr>
          <w:rFonts w:hint="eastAsia" w:ascii="宋体" w:cs="宋体"/>
          <w:sz w:val="21"/>
          <w:szCs w:val="21"/>
        </w:rPr>
      </w:pPr>
      <w:r>
        <w:rPr>
          <w:rFonts w:hint="eastAsia" w:ascii="宋体" w:cs="宋体"/>
          <w:sz w:val="21"/>
          <w:szCs w:val="21"/>
        </w:rPr>
        <w:t>8</w:t>
      </w:r>
      <w:bookmarkStart w:id="262" w:name="_Toc303539136"/>
      <w:bookmarkStart w:id="263" w:name="_Toc292559372"/>
      <w:bookmarkStart w:id="264" w:name="_Toc296347166"/>
      <w:bookmarkStart w:id="265" w:name="_Toc312678019"/>
      <w:bookmarkStart w:id="266" w:name="_Toc304295556"/>
      <w:bookmarkStart w:id="267" w:name="_Toc296891207"/>
      <w:bookmarkStart w:id="268" w:name="_Toc297120467"/>
      <w:bookmarkStart w:id="269" w:name="_Toc312677493"/>
      <w:bookmarkStart w:id="270" w:name="_Toc297216186"/>
      <w:bookmarkStart w:id="271" w:name="_Toc297123527"/>
      <w:bookmarkStart w:id="272" w:name="_Toc280868654"/>
      <w:bookmarkStart w:id="273" w:name="_Toc296944506"/>
      <w:bookmarkStart w:id="274" w:name="_Toc300934979"/>
      <w:bookmarkStart w:id="275" w:name="_Toc296890995"/>
      <w:bookmarkStart w:id="276" w:name="_Toc296503167"/>
      <w:bookmarkStart w:id="277" w:name="_Toc297048353"/>
      <w:bookmarkStart w:id="278" w:name="_Toc292559877"/>
      <w:bookmarkStart w:id="279" w:name="_Toc296346668"/>
      <w:bookmarkStart w:id="280" w:name="_Toc280868656"/>
      <w:bookmarkStart w:id="281" w:name="_Toc267251424"/>
      <w:bookmarkStart w:id="282" w:name="_Toc280868655"/>
      <w:r>
        <w:rPr>
          <w:rFonts w:hint="eastAsia" w:ascii="宋体" w:cs="宋体"/>
          <w:sz w:val="21"/>
          <w:szCs w:val="21"/>
        </w:rPr>
        <w:t>.4材料与工程设备的保管与使用</w:t>
      </w:r>
      <w:bookmarkEnd w:id="260"/>
      <w:bookmarkEnd w:id="261"/>
    </w:p>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Pr>
        <w:pStyle w:val="36"/>
        <w:wordWrap w:val="0"/>
        <w:topLinePunct/>
        <w:spacing w:line="360" w:lineRule="auto"/>
        <w:ind w:firstLine="480"/>
        <w:rPr>
          <w:rFonts w:hint="eastAsia" w:hAnsi="宋体" w:cs="宋体"/>
          <w:sz w:val="21"/>
          <w:szCs w:val="21"/>
        </w:rPr>
      </w:pPr>
      <w:r>
        <w:rPr>
          <w:rFonts w:hint="eastAsia" w:hAnsi="宋体" w:cs="宋体"/>
          <w:sz w:val="21"/>
          <w:szCs w:val="21"/>
        </w:rPr>
        <w:t>8</w:t>
      </w:r>
      <w:bookmarkStart w:id="283" w:name="_Toc292559373"/>
      <w:bookmarkStart w:id="284" w:name="_Toc292559878"/>
      <w:bookmarkStart w:id="285" w:name="_Toc297123528"/>
      <w:bookmarkStart w:id="286" w:name="_Toc296944507"/>
      <w:bookmarkStart w:id="287" w:name="_Toc297216187"/>
      <w:bookmarkStart w:id="288" w:name="_Toc297048354"/>
      <w:bookmarkStart w:id="289" w:name="_Toc303539137"/>
      <w:bookmarkStart w:id="290" w:name="_Toc304295557"/>
      <w:bookmarkStart w:id="291" w:name="_Toc312677494"/>
      <w:bookmarkStart w:id="292" w:name="_Toc296891208"/>
      <w:bookmarkStart w:id="293" w:name="_Toc312678020"/>
      <w:bookmarkStart w:id="294" w:name="_Toc318581173"/>
      <w:bookmarkStart w:id="295" w:name="_Toc296503168"/>
      <w:bookmarkStart w:id="296" w:name="_Toc296890996"/>
      <w:bookmarkStart w:id="297" w:name="_Toc296347167"/>
      <w:bookmarkStart w:id="298" w:name="_Toc300934980"/>
      <w:bookmarkStart w:id="299" w:name="_Toc297120468"/>
      <w:bookmarkStart w:id="300" w:name="_Toc296346669"/>
      <w:r>
        <w:rPr>
          <w:rFonts w:hint="eastAsia" w:hAnsi="宋体" w:cs="宋体"/>
          <w:sz w:val="21"/>
          <w:szCs w:val="21"/>
        </w:rPr>
        <w:t>.4.1发包人供应的材料设备的保管费用的承担：</w:t>
      </w:r>
      <w:r>
        <w:rPr>
          <w:rFonts w:hint="eastAsia" w:hAnsi="宋体" w:cs="宋体"/>
          <w:sz w:val="21"/>
          <w:szCs w:val="21"/>
          <w:u w:val="single"/>
        </w:rPr>
        <w:t>按通用条款，无特殊约定</w:t>
      </w:r>
      <w:r>
        <w:rPr>
          <w:rFonts w:hint="eastAsia" w:hAnsi="宋体" w:cs="宋体"/>
          <w:sz w:val="21"/>
          <w:szCs w:val="21"/>
        </w:rPr>
        <w:t>。</w:t>
      </w:r>
      <w:bookmarkEnd w:id="283"/>
      <w:bookmarkEnd w:id="284"/>
    </w:p>
    <w:p>
      <w:pPr>
        <w:pStyle w:val="35"/>
        <w:wordWrap w:val="0"/>
        <w:topLinePunct/>
        <w:spacing w:line="360" w:lineRule="auto"/>
        <w:rPr>
          <w:rFonts w:hint="eastAsia" w:ascii="宋体" w:cs="宋体"/>
          <w:sz w:val="21"/>
          <w:szCs w:val="21"/>
        </w:rPr>
      </w:pPr>
      <w:bookmarkStart w:id="301" w:name="_Toc433801725"/>
      <w:bookmarkStart w:id="302" w:name="_Toc419286863"/>
      <w:r>
        <w:rPr>
          <w:rFonts w:hint="eastAsia" w:ascii="宋体" w:cs="宋体"/>
          <w:sz w:val="21"/>
          <w:szCs w:val="21"/>
        </w:rPr>
        <w:t>8.6 样品</w:t>
      </w:r>
      <w:bookmarkEnd w:id="301"/>
      <w:bookmarkEnd w:id="302"/>
    </w:p>
    <w:p>
      <w:pPr>
        <w:pStyle w:val="36"/>
        <w:wordWrap w:val="0"/>
        <w:topLinePunct/>
        <w:spacing w:line="360" w:lineRule="auto"/>
        <w:ind w:firstLine="480"/>
        <w:rPr>
          <w:rFonts w:hint="eastAsia" w:hAnsi="宋体" w:cs="宋体"/>
          <w:sz w:val="21"/>
          <w:szCs w:val="21"/>
        </w:rPr>
      </w:pPr>
      <w:r>
        <w:rPr>
          <w:rFonts w:hint="eastAsia" w:hAnsi="宋体" w:cs="宋体"/>
          <w:sz w:val="21"/>
          <w:szCs w:val="21"/>
        </w:rPr>
        <w:t>8.6.1样品的报送与封存</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需要承包人报送样品的材料或工程设备，样品的种类、名称、规格、数量要求：</w:t>
      </w:r>
      <w:r>
        <w:rPr>
          <w:rFonts w:hint="eastAsia" w:hAnsi="宋体" w:cs="宋体"/>
          <w:sz w:val="21"/>
          <w:szCs w:val="21"/>
          <w:u w:val="single"/>
          <w:lang w:eastAsia="zh-CN"/>
        </w:rPr>
        <w:t xml:space="preserve">                </w:t>
      </w:r>
      <w:r>
        <w:rPr>
          <w:rFonts w:hint="eastAsia" w:hAnsi="宋体" w:cs="宋体"/>
          <w:sz w:val="21"/>
          <w:szCs w:val="21"/>
          <w:u w:val="single"/>
        </w:rPr>
        <w:t xml:space="preserve"> </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303" w:name="_Toc433801726"/>
      <w:bookmarkStart w:id="304" w:name="_Toc419286864"/>
      <w:r>
        <w:rPr>
          <w:rFonts w:hint="eastAsia" w:ascii="宋体" w:cs="宋体"/>
          <w:sz w:val="21"/>
          <w:szCs w:val="21"/>
        </w:rPr>
        <w:t>8.8 施工设备和临时设施</w:t>
      </w:r>
      <w:bookmarkEnd w:id="303"/>
      <w:bookmarkEnd w:id="304"/>
    </w:p>
    <w:p>
      <w:pPr>
        <w:pStyle w:val="36"/>
        <w:wordWrap w:val="0"/>
        <w:topLinePunct/>
        <w:spacing w:line="360" w:lineRule="auto"/>
        <w:ind w:firstLine="480"/>
        <w:rPr>
          <w:rFonts w:hint="eastAsia" w:hAnsi="宋体" w:cs="宋体"/>
          <w:sz w:val="21"/>
          <w:szCs w:val="21"/>
        </w:rPr>
      </w:pPr>
      <w:r>
        <w:rPr>
          <w:rFonts w:hint="eastAsia" w:hAnsi="宋体" w:cs="宋体"/>
          <w:sz w:val="21"/>
          <w:szCs w:val="21"/>
        </w:rPr>
        <w:t>8.8.1 承包人提供的施工设备和临时设施：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 xml:space="preserve">关于修建临时设施费用承担的约定： </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u w:val="single"/>
        </w:rPr>
        <w:t>①承包人的临时用地（含项目部驻地等）租用费（含拆迁补偿）、临时用地的环保、恢复、临时用地的青苗补偿及地面附着物拆除等费用均由承包人负责，以上费用在投标报价中综合考虑。</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u w:val="single"/>
        </w:rPr>
        <w:t>②承包人负责合同实施期间其合同段内临时交通道路（含场内外连接公共交通道路）和交通设施的修建、维修、养护和交通管理工作，并承担一切费用。</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wordWrap w:val="0"/>
        <w:topLinePunct/>
        <w:adjustRightIn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8.8.2 发包人提供的施工设备和临时设施</w:t>
      </w:r>
    </w:p>
    <w:p>
      <w:pPr>
        <w:wordWrap w:val="0"/>
        <w:topLinePunct/>
        <w:adjustRightIn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发包人提供的施工设备和临时设施：</w:t>
      </w:r>
      <w:r>
        <w:rPr>
          <w:rFonts w:hint="eastAsia" w:ascii="宋体" w:hAnsi="宋体" w:cs="宋体"/>
          <w:sz w:val="21"/>
          <w:szCs w:val="21"/>
          <w:u w:val="single"/>
        </w:rPr>
        <w:t xml:space="preserve"> /</w:t>
      </w:r>
      <w:r>
        <w:rPr>
          <w:rFonts w:hint="eastAsia" w:ascii="宋体" w:hAnsi="宋体" w:cs="宋体"/>
          <w:sz w:val="21"/>
          <w:szCs w:val="21"/>
        </w:rPr>
        <w:t>。</w:t>
      </w:r>
    </w:p>
    <w:p>
      <w:pPr>
        <w:wordWrap w:val="0"/>
        <w:topLinePunct/>
        <w:adjustRightIn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发包人提供的施工设备和临时设施的运行、维护、拆除、清运费用的承担人：</w:t>
      </w:r>
      <w:r>
        <w:rPr>
          <w:rFonts w:hint="eastAsia" w:ascii="宋体" w:hAnsi="宋体" w:cs="宋体"/>
          <w:sz w:val="21"/>
          <w:szCs w:val="21"/>
          <w:u w:val="single"/>
        </w:rPr>
        <w:t xml:space="preserve"> /</w:t>
      </w:r>
      <w:r>
        <w:rPr>
          <w:rFonts w:hint="eastAsia" w:ascii="宋体" w:hAnsi="宋体" w:cs="宋体"/>
          <w:sz w:val="21"/>
          <w:szCs w:val="21"/>
        </w:rPr>
        <w:t>。</w:t>
      </w:r>
    </w:p>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Pr>
        <w:pStyle w:val="35"/>
        <w:wordWrap w:val="0"/>
        <w:topLinePunct/>
        <w:spacing w:line="360" w:lineRule="auto"/>
        <w:rPr>
          <w:rFonts w:hint="eastAsia" w:ascii="宋体" w:cs="宋体"/>
          <w:sz w:val="21"/>
          <w:szCs w:val="21"/>
        </w:rPr>
      </w:pPr>
      <w:bookmarkStart w:id="305" w:name="_Toc351203641"/>
      <w:bookmarkStart w:id="306" w:name="_Toc433801727"/>
      <w:bookmarkStart w:id="307" w:name="_Toc419286865"/>
      <w:r>
        <w:rPr>
          <w:rFonts w:hint="eastAsia" w:ascii="宋体" w:cs="宋体"/>
          <w:sz w:val="21"/>
          <w:szCs w:val="21"/>
        </w:rPr>
        <w:t>9</w:t>
      </w:r>
      <w:bookmarkEnd w:id="280"/>
      <w:bookmarkEnd w:id="281"/>
      <w:bookmarkEnd w:id="282"/>
      <w:bookmarkStart w:id="308" w:name="_Toc312678021"/>
      <w:bookmarkStart w:id="309" w:name="_Toc300934982"/>
      <w:bookmarkStart w:id="310" w:name="_Toc297216192"/>
      <w:bookmarkStart w:id="311" w:name="_Toc312677495"/>
      <w:bookmarkStart w:id="312" w:name="_Toc303539139"/>
      <w:bookmarkStart w:id="313" w:name="_Toc304295559"/>
      <w:bookmarkStart w:id="314" w:name="_Toc297123533"/>
      <w:bookmarkStart w:id="315" w:name="_Toc267251428"/>
      <w:bookmarkStart w:id="316" w:name="_Toc292559883"/>
      <w:bookmarkStart w:id="317" w:name="_Toc296347172"/>
      <w:bookmarkStart w:id="318" w:name="_Toc292559378"/>
      <w:bookmarkStart w:id="319" w:name="_Toc297048359"/>
      <w:bookmarkStart w:id="320" w:name="_Toc296503173"/>
      <w:bookmarkStart w:id="321" w:name="_Toc296891213"/>
      <w:bookmarkStart w:id="322" w:name="_Toc296346674"/>
      <w:bookmarkStart w:id="323" w:name="_Toc267251427"/>
      <w:bookmarkStart w:id="324" w:name="_Toc296891001"/>
      <w:bookmarkStart w:id="325" w:name="_Toc296944512"/>
      <w:bookmarkStart w:id="326" w:name="_Toc297120473"/>
      <w:r>
        <w:rPr>
          <w:rFonts w:hint="eastAsia" w:ascii="宋体" w:cs="宋体"/>
          <w:sz w:val="21"/>
          <w:szCs w:val="21"/>
        </w:rPr>
        <w:t>. 试验与检验</w:t>
      </w:r>
      <w:bookmarkEnd w:id="305"/>
      <w:bookmarkEnd w:id="306"/>
      <w:bookmarkEnd w:id="307"/>
    </w:p>
    <w:bookmarkEnd w:id="308"/>
    <w:bookmarkEnd w:id="309"/>
    <w:bookmarkEnd w:id="310"/>
    <w:bookmarkEnd w:id="311"/>
    <w:bookmarkEnd w:id="312"/>
    <w:bookmarkEnd w:id="313"/>
    <w:bookmarkEnd w:id="314"/>
    <w:p>
      <w:pPr>
        <w:pStyle w:val="35"/>
        <w:wordWrap w:val="0"/>
        <w:topLinePunct/>
        <w:spacing w:line="360" w:lineRule="auto"/>
        <w:rPr>
          <w:rFonts w:hint="eastAsia" w:ascii="宋体" w:cs="宋体"/>
          <w:sz w:val="21"/>
          <w:szCs w:val="21"/>
        </w:rPr>
      </w:pPr>
      <w:bookmarkStart w:id="327" w:name="_Toc433801728"/>
      <w:bookmarkStart w:id="328" w:name="_Toc419286866"/>
      <w:r>
        <w:rPr>
          <w:rFonts w:hint="eastAsia" w:ascii="宋体" w:cs="宋体"/>
          <w:sz w:val="21"/>
          <w:szCs w:val="21"/>
        </w:rPr>
        <w:t>9</w:t>
      </w:r>
      <w:bookmarkStart w:id="329" w:name="_Toc312678022"/>
      <w:bookmarkStart w:id="330" w:name="_Toc312677496"/>
      <w:bookmarkStart w:id="331" w:name="_Toc304295560"/>
      <w:bookmarkStart w:id="332" w:name="_Toc300934983"/>
      <w:bookmarkStart w:id="333" w:name="_Toc303539140"/>
      <w:bookmarkStart w:id="334" w:name="_Toc297216193"/>
      <w:bookmarkStart w:id="335" w:name="_Toc297123534"/>
      <w:r>
        <w:rPr>
          <w:rFonts w:hint="eastAsia" w:ascii="宋体" w:cs="宋体"/>
          <w:sz w:val="21"/>
          <w:szCs w:val="21"/>
        </w:rPr>
        <w:t>.1试验设备与试验人员</w:t>
      </w:r>
      <w:bookmarkEnd w:id="327"/>
      <w:bookmarkEnd w:id="328"/>
    </w:p>
    <w:bookmarkEnd w:id="329"/>
    <w:bookmarkEnd w:id="330"/>
    <w:bookmarkEnd w:id="331"/>
    <w:bookmarkEnd w:id="332"/>
    <w:bookmarkEnd w:id="333"/>
    <w:bookmarkEnd w:id="334"/>
    <w:bookmarkEnd w:id="335"/>
    <w:p>
      <w:pPr>
        <w:pStyle w:val="36"/>
        <w:wordWrap w:val="0"/>
        <w:topLinePunct/>
        <w:spacing w:line="360" w:lineRule="auto"/>
        <w:ind w:firstLine="480"/>
        <w:rPr>
          <w:rFonts w:hint="eastAsia" w:hAnsi="宋体" w:cs="宋体"/>
          <w:sz w:val="21"/>
          <w:szCs w:val="21"/>
        </w:rPr>
      </w:pPr>
      <w:r>
        <w:rPr>
          <w:rFonts w:hint="eastAsia" w:hAnsi="宋体" w:cs="宋体"/>
          <w:sz w:val="21"/>
          <w:szCs w:val="21"/>
        </w:rPr>
        <w:t>9</w:t>
      </w:r>
      <w:bookmarkStart w:id="336" w:name="_Toc312677497"/>
      <w:bookmarkStart w:id="337" w:name="_Toc300934984"/>
      <w:bookmarkStart w:id="338" w:name="_Toc297216194"/>
      <w:bookmarkStart w:id="339" w:name="_Toc303539141"/>
      <w:bookmarkStart w:id="340" w:name="_Toc297123535"/>
      <w:bookmarkStart w:id="341" w:name="_Toc304295561"/>
      <w:bookmarkStart w:id="342" w:name="_Toc312678023"/>
      <w:bookmarkStart w:id="343" w:name="_Toc318581174"/>
      <w:r>
        <w:rPr>
          <w:rFonts w:hint="eastAsia" w:hAnsi="宋体" w:cs="宋体"/>
          <w:sz w:val="21"/>
          <w:szCs w:val="21"/>
        </w:rPr>
        <w:t>.1.2 试验设备</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施工现场需要配置的试验场所：</w:t>
      </w:r>
      <w:bookmarkEnd w:id="336"/>
      <w:bookmarkEnd w:id="337"/>
      <w:bookmarkEnd w:id="338"/>
      <w:bookmarkEnd w:id="339"/>
      <w:bookmarkEnd w:id="340"/>
      <w:bookmarkEnd w:id="341"/>
      <w:bookmarkEnd w:id="342"/>
      <w:bookmarkStart w:id="344" w:name="_Toc297123536"/>
      <w:bookmarkStart w:id="345" w:name="_Toc304295562"/>
      <w:bookmarkStart w:id="346" w:name="_Toc312677498"/>
      <w:bookmarkStart w:id="347" w:name="_Toc300934985"/>
      <w:bookmarkStart w:id="348" w:name="_Toc312678024"/>
      <w:bookmarkStart w:id="349" w:name="_Toc297216195"/>
      <w:bookmarkStart w:id="350" w:name="_Toc303539142"/>
      <w:r>
        <w:rPr>
          <w:rFonts w:hint="eastAsia" w:hAnsi="宋体" w:cs="宋体"/>
          <w:sz w:val="21"/>
          <w:szCs w:val="21"/>
          <w:u w:val="single"/>
        </w:rPr>
        <w:t>按项目实际特点配置，无特殊约定</w:t>
      </w:r>
      <w:r>
        <w:rPr>
          <w:rFonts w:hint="eastAsia" w:hAnsi="宋体" w:cs="宋体"/>
          <w:sz w:val="21"/>
          <w:szCs w:val="21"/>
        </w:rPr>
        <w:t xml:space="preserve">。 </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施工现场需要配备的试验设备：</w:t>
      </w:r>
      <w:r>
        <w:rPr>
          <w:rFonts w:hint="eastAsia" w:hAnsi="宋体" w:cs="宋体"/>
          <w:sz w:val="21"/>
          <w:szCs w:val="21"/>
          <w:u w:val="single"/>
        </w:rPr>
        <w:t>按项目实际特点配备，无特殊约定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施工现场需要具备的其他试验条件：</w:t>
      </w:r>
      <w:r>
        <w:rPr>
          <w:rFonts w:hint="eastAsia" w:hAnsi="宋体" w:cs="宋体"/>
          <w:sz w:val="21"/>
          <w:szCs w:val="21"/>
          <w:u w:val="single"/>
        </w:rPr>
        <w:t>按项目实际特点配备，无特殊约定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351" w:name="_Toc419286867"/>
      <w:bookmarkStart w:id="352" w:name="_Toc433801729"/>
      <w:r>
        <w:rPr>
          <w:rFonts w:hint="eastAsia" w:ascii="宋体" w:cs="宋体"/>
          <w:sz w:val="21"/>
          <w:szCs w:val="21"/>
        </w:rPr>
        <w:t>9.4 现场工艺试验</w:t>
      </w:r>
      <w:bookmarkEnd w:id="351"/>
      <w:bookmarkEnd w:id="352"/>
    </w:p>
    <w:p>
      <w:pPr>
        <w:pStyle w:val="36"/>
        <w:wordWrap w:val="0"/>
        <w:topLinePunct/>
        <w:spacing w:line="360" w:lineRule="auto"/>
        <w:ind w:firstLine="480"/>
        <w:rPr>
          <w:rFonts w:hint="eastAsia" w:hAnsi="宋体" w:cs="宋体"/>
          <w:sz w:val="21"/>
          <w:szCs w:val="21"/>
        </w:rPr>
      </w:pPr>
      <w:r>
        <w:rPr>
          <w:rFonts w:hint="eastAsia" w:hAnsi="宋体" w:cs="宋体"/>
          <w:sz w:val="21"/>
          <w:szCs w:val="21"/>
        </w:rPr>
        <w:t>现场工艺试验的有关约定：</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353" w:name="_Toc433801730"/>
      <w:bookmarkStart w:id="354" w:name="_Toc395382541"/>
      <w:bookmarkStart w:id="355" w:name="_Toc406420990"/>
      <w:bookmarkStart w:id="356" w:name="_Toc419286868"/>
      <w:bookmarkStart w:id="357" w:name="OLE_LINK1"/>
      <w:r>
        <w:rPr>
          <w:rFonts w:hint="eastAsia" w:ascii="宋体" w:cs="宋体"/>
          <w:sz w:val="21"/>
          <w:szCs w:val="21"/>
        </w:rPr>
        <w:t>9.5 检验费用</w:t>
      </w:r>
      <w:bookmarkEnd w:id="353"/>
      <w:bookmarkEnd w:id="354"/>
      <w:bookmarkEnd w:id="355"/>
      <w:bookmarkEnd w:id="356"/>
    </w:p>
    <w:p>
      <w:pPr>
        <w:wordWrap w:val="0"/>
        <w:topLinePunct/>
        <w:spacing w:line="360" w:lineRule="auto"/>
        <w:ind w:firstLine="411" w:firstLineChars="196"/>
        <w:rPr>
          <w:rFonts w:hint="eastAsia" w:ascii="宋体" w:hAnsi="宋体" w:cs="宋体"/>
          <w:sz w:val="21"/>
          <w:szCs w:val="21"/>
        </w:rPr>
      </w:pPr>
      <w:r>
        <w:rPr>
          <w:rFonts w:hint="eastAsia" w:ascii="宋体" w:hAnsi="宋体" w:cs="宋体"/>
          <w:sz w:val="21"/>
          <w:szCs w:val="21"/>
        </w:rPr>
        <w:t>根据《建设工程质量检测管理办法》（建设部令第141号）以及</w:t>
      </w:r>
      <w:r>
        <w:rPr>
          <w:rFonts w:hint="eastAsia" w:ascii="宋体" w:hAnsi="宋体" w:cs="宋体"/>
          <w:bCs/>
          <w:sz w:val="21"/>
          <w:szCs w:val="21"/>
        </w:rPr>
        <w:t>《广西壮族自治区建设工程质量检测管理规定》（桂建管〔2013〕11号）</w:t>
      </w:r>
      <w:r>
        <w:rPr>
          <w:rFonts w:hint="eastAsia" w:ascii="宋体" w:hAnsi="宋体" w:cs="宋体"/>
          <w:sz w:val="21"/>
          <w:szCs w:val="21"/>
        </w:rPr>
        <w:t>规定，工程质量检测业务由招标人委托有相应资质的检测机构检测。费用从招标人的项目建设经费中支出并直接支付给检测机构，不计入合同价款内。</w:t>
      </w:r>
    </w:p>
    <w:bookmarkEnd w:id="343"/>
    <w:bookmarkEnd w:id="344"/>
    <w:bookmarkEnd w:id="345"/>
    <w:bookmarkEnd w:id="346"/>
    <w:bookmarkEnd w:id="347"/>
    <w:bookmarkEnd w:id="348"/>
    <w:bookmarkEnd w:id="349"/>
    <w:bookmarkEnd w:id="350"/>
    <w:bookmarkEnd w:id="357"/>
    <w:p>
      <w:pPr>
        <w:pStyle w:val="35"/>
        <w:wordWrap w:val="0"/>
        <w:topLinePunct/>
        <w:spacing w:line="360" w:lineRule="auto"/>
        <w:rPr>
          <w:rFonts w:hint="eastAsia" w:ascii="宋体" w:cs="宋体"/>
          <w:sz w:val="21"/>
          <w:szCs w:val="21"/>
        </w:rPr>
      </w:pPr>
      <w:bookmarkStart w:id="358" w:name="_Toc419286869"/>
      <w:bookmarkStart w:id="359" w:name="_Toc433801731"/>
      <w:bookmarkStart w:id="360" w:name="_Toc351203642"/>
      <w:r>
        <w:rPr>
          <w:rFonts w:hint="eastAsia" w:ascii="宋体" w:cs="宋体"/>
          <w:sz w:val="21"/>
          <w:szCs w:val="21"/>
        </w:rPr>
        <w:t>1</w:t>
      </w:r>
      <w:bookmarkEnd w:id="315"/>
      <w:bookmarkEnd w:id="316"/>
      <w:bookmarkEnd w:id="317"/>
      <w:bookmarkEnd w:id="318"/>
      <w:bookmarkEnd w:id="319"/>
      <w:bookmarkEnd w:id="320"/>
      <w:bookmarkEnd w:id="321"/>
      <w:bookmarkEnd w:id="322"/>
      <w:bookmarkEnd w:id="323"/>
      <w:bookmarkEnd w:id="324"/>
      <w:bookmarkEnd w:id="325"/>
      <w:bookmarkEnd w:id="326"/>
      <w:bookmarkStart w:id="361" w:name="_Toc296346694"/>
      <w:bookmarkStart w:id="362" w:name="_Toc292559903"/>
      <w:bookmarkStart w:id="363" w:name="_Toc303539146"/>
      <w:bookmarkStart w:id="364" w:name="_Toc297048379"/>
      <w:bookmarkStart w:id="365" w:name="_Toc296347192"/>
      <w:bookmarkStart w:id="366" w:name="_Toc296944532"/>
      <w:bookmarkStart w:id="367" w:name="_Toc296891233"/>
      <w:bookmarkStart w:id="368" w:name="_Toc297216199"/>
      <w:bookmarkStart w:id="369" w:name="_Toc296503193"/>
      <w:bookmarkStart w:id="370" w:name="_Toc296891021"/>
      <w:bookmarkStart w:id="371" w:name="_Toc304295566"/>
      <w:bookmarkStart w:id="372" w:name="_Toc297123540"/>
      <w:bookmarkStart w:id="373" w:name="_Toc300934989"/>
      <w:bookmarkStart w:id="374" w:name="_Toc292559398"/>
      <w:bookmarkStart w:id="375" w:name="_Toc297120493"/>
      <w:bookmarkStart w:id="376" w:name="_Toc312677499"/>
      <w:bookmarkStart w:id="377" w:name="_Toc312678025"/>
      <w:bookmarkStart w:id="378" w:name="_Toc267251439"/>
      <w:bookmarkStart w:id="379" w:name="_Toc267251441"/>
      <w:bookmarkStart w:id="380" w:name="_Toc267251437"/>
      <w:bookmarkStart w:id="381" w:name="_Toc267251433"/>
      <w:bookmarkStart w:id="382" w:name="_Toc267251435"/>
      <w:bookmarkStart w:id="383" w:name="_Toc267251440"/>
      <w:bookmarkStart w:id="384" w:name="_Toc267251442"/>
      <w:r>
        <w:rPr>
          <w:rFonts w:hint="eastAsia" w:ascii="宋体" w:cs="宋体"/>
          <w:sz w:val="21"/>
          <w:szCs w:val="21"/>
        </w:rPr>
        <w:t>0. 变更</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bookmarkEnd w:id="376"/>
    <w:bookmarkEnd w:id="377"/>
    <w:p>
      <w:pPr>
        <w:pStyle w:val="35"/>
        <w:wordWrap w:val="0"/>
        <w:topLinePunct/>
        <w:spacing w:line="360" w:lineRule="auto"/>
        <w:rPr>
          <w:rFonts w:hint="eastAsia" w:ascii="宋体" w:cs="宋体"/>
          <w:sz w:val="21"/>
          <w:szCs w:val="21"/>
        </w:rPr>
      </w:pPr>
      <w:bookmarkStart w:id="385" w:name="_Toc433801732"/>
      <w:bookmarkStart w:id="386" w:name="_Toc419286870"/>
      <w:r>
        <w:rPr>
          <w:rFonts w:hint="eastAsia" w:ascii="宋体" w:cs="宋体"/>
          <w:sz w:val="21"/>
          <w:szCs w:val="21"/>
        </w:rPr>
        <w:t>1</w:t>
      </w:r>
      <w:bookmarkStart w:id="387" w:name="_Toc297216200"/>
      <w:bookmarkStart w:id="388" w:name="_Toc296346695"/>
      <w:bookmarkStart w:id="389" w:name="_Toc292559399"/>
      <w:bookmarkStart w:id="390" w:name="_Toc312677500"/>
      <w:bookmarkStart w:id="391" w:name="_Toc296503194"/>
      <w:bookmarkStart w:id="392" w:name="_Toc296891234"/>
      <w:bookmarkStart w:id="393" w:name="_Toc296891022"/>
      <w:bookmarkStart w:id="394" w:name="_Toc296347193"/>
      <w:bookmarkStart w:id="395" w:name="_Toc297120494"/>
      <w:bookmarkStart w:id="396" w:name="_Toc304295567"/>
      <w:bookmarkStart w:id="397" w:name="_Toc303539147"/>
      <w:bookmarkStart w:id="398" w:name="_Toc297048380"/>
      <w:bookmarkStart w:id="399" w:name="_Toc312678026"/>
      <w:bookmarkStart w:id="400" w:name="_Toc292559904"/>
      <w:bookmarkStart w:id="401" w:name="_Toc296944533"/>
      <w:bookmarkStart w:id="402" w:name="_Toc300934990"/>
      <w:bookmarkStart w:id="403" w:name="_Toc297123541"/>
      <w:r>
        <w:rPr>
          <w:rFonts w:hint="eastAsia" w:ascii="宋体" w:cs="宋体"/>
          <w:sz w:val="21"/>
          <w:szCs w:val="21"/>
        </w:rPr>
        <w:t>0.1变更的范围</w:t>
      </w:r>
      <w:bookmarkEnd w:id="385"/>
      <w:bookmarkEnd w:id="386"/>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关于变更的范围的约定：</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404" w:name="_Toc395382544"/>
      <w:bookmarkStart w:id="405" w:name="_Toc433801733"/>
      <w:bookmarkStart w:id="406" w:name="_Toc419286871"/>
      <w:bookmarkStart w:id="407" w:name="_Toc373478388"/>
      <w:bookmarkStart w:id="408" w:name="_Toc373227741"/>
      <w:bookmarkStart w:id="409" w:name="_Toc389065307"/>
      <w:r>
        <w:rPr>
          <w:rFonts w:hint="eastAsia" w:ascii="宋体" w:cs="宋体"/>
          <w:sz w:val="21"/>
          <w:szCs w:val="21"/>
        </w:rPr>
        <w:t>10.3 变更程序</w:t>
      </w:r>
      <w:bookmarkEnd w:id="404"/>
      <w:bookmarkEnd w:id="405"/>
      <w:bookmarkEnd w:id="406"/>
      <w:bookmarkEnd w:id="407"/>
      <w:bookmarkEnd w:id="408"/>
      <w:bookmarkEnd w:id="409"/>
    </w:p>
    <w:p>
      <w:pPr>
        <w:pStyle w:val="36"/>
        <w:wordWrap w:val="0"/>
        <w:topLinePunct/>
        <w:spacing w:line="360" w:lineRule="auto"/>
        <w:ind w:firstLine="480"/>
        <w:rPr>
          <w:rFonts w:hint="eastAsia" w:hAnsi="宋体" w:cs="宋体"/>
          <w:bCs/>
          <w:sz w:val="21"/>
          <w:szCs w:val="21"/>
        </w:rPr>
      </w:pPr>
      <w:r>
        <w:rPr>
          <w:rFonts w:hint="eastAsia" w:hAnsi="宋体" w:cs="宋体"/>
          <w:bCs/>
          <w:sz w:val="21"/>
          <w:szCs w:val="21"/>
        </w:rPr>
        <w:t>10.3.1 国有投资项目：</w:t>
      </w:r>
    </w:p>
    <w:p>
      <w:pPr>
        <w:pStyle w:val="36"/>
        <w:wordWrap w:val="0"/>
        <w:topLinePunct/>
        <w:spacing w:line="360" w:lineRule="auto"/>
        <w:ind w:firstLine="480"/>
        <w:rPr>
          <w:rFonts w:hint="eastAsia" w:hAnsi="宋体" w:cs="宋体"/>
          <w:bCs/>
          <w:sz w:val="21"/>
          <w:szCs w:val="21"/>
        </w:rPr>
      </w:pPr>
      <w:r>
        <w:rPr>
          <w:rFonts w:hint="eastAsia" w:hAnsi="宋体" w:cs="宋体"/>
          <w:bCs/>
          <w:sz w:val="21"/>
          <w:szCs w:val="21"/>
        </w:rPr>
        <w:t>⑴设计变更和工程签证，按各市政府或相关部门的规定办理。属不可抗力（自然灾害、突发事件等）造成变更的，按特事特办原则予以办理。</w:t>
      </w:r>
    </w:p>
    <w:p>
      <w:pPr>
        <w:pStyle w:val="36"/>
        <w:wordWrap w:val="0"/>
        <w:topLinePunct/>
        <w:spacing w:line="360" w:lineRule="auto"/>
        <w:ind w:firstLine="480"/>
        <w:rPr>
          <w:rFonts w:hint="eastAsia" w:hAnsi="宋体" w:cs="宋体"/>
          <w:bCs/>
          <w:sz w:val="21"/>
          <w:szCs w:val="21"/>
        </w:rPr>
      </w:pPr>
      <w:r>
        <w:rPr>
          <w:rFonts w:hint="eastAsia" w:hAnsi="宋体" w:cs="宋体"/>
          <w:bCs/>
          <w:sz w:val="21"/>
          <w:szCs w:val="21"/>
        </w:rPr>
        <w:t>⑵建设单位在实施项目过程中，若发生单价变动，由建设单位、监理单位、施工单位及其他相关单位共同商定并签字确认。</w:t>
      </w:r>
    </w:p>
    <w:p>
      <w:pPr>
        <w:pStyle w:val="36"/>
        <w:wordWrap w:val="0"/>
        <w:topLinePunct/>
        <w:spacing w:line="360" w:lineRule="auto"/>
        <w:ind w:firstLine="480"/>
        <w:rPr>
          <w:rFonts w:hint="eastAsia" w:hAnsi="宋体" w:cs="宋体"/>
          <w:bCs/>
          <w:sz w:val="21"/>
          <w:szCs w:val="21"/>
        </w:rPr>
      </w:pPr>
      <w:r>
        <w:rPr>
          <w:rFonts w:hint="eastAsia" w:hAnsi="宋体" w:cs="宋体"/>
          <w:bCs/>
          <w:sz w:val="21"/>
          <w:szCs w:val="21"/>
        </w:rPr>
        <w:t>⑶ 当合同规定的合同价款调整情况发生后，承包人未在规定时间内通知发包人，或者未在规定时间内提出调整报告，发包人可以根据有关资料，决定是否调整和调整的金额，并书面通知承包人。</w:t>
      </w:r>
    </w:p>
    <w:p>
      <w:pPr>
        <w:pStyle w:val="36"/>
        <w:wordWrap w:val="0"/>
        <w:topLinePunct/>
        <w:spacing w:line="360" w:lineRule="auto"/>
        <w:ind w:firstLine="480"/>
        <w:rPr>
          <w:rFonts w:hint="eastAsia" w:hAnsi="宋体" w:cs="宋体"/>
          <w:bCs/>
          <w:sz w:val="21"/>
          <w:szCs w:val="21"/>
        </w:rPr>
      </w:pPr>
      <w:r>
        <w:rPr>
          <w:rFonts w:hint="eastAsia" w:hAnsi="宋体" w:cs="宋体"/>
          <w:bCs/>
          <w:sz w:val="21"/>
          <w:szCs w:val="21"/>
        </w:rPr>
        <w:t xml:space="preserve">10.3.2 非国有投资项目： </w:t>
      </w:r>
      <w:r>
        <w:rPr>
          <w:rFonts w:hint="eastAsia" w:hAnsi="宋体" w:cs="宋体"/>
          <w:bCs/>
          <w:sz w:val="21"/>
          <w:szCs w:val="21"/>
          <w:u w:val="single"/>
        </w:rPr>
        <w:t xml:space="preserve">   /　</w:t>
      </w:r>
      <w:r>
        <w:rPr>
          <w:rFonts w:hint="eastAsia" w:hAnsi="宋体" w:cs="宋体"/>
          <w:bCs/>
          <w:sz w:val="21"/>
          <w:szCs w:val="21"/>
        </w:rPr>
        <w:t>。</w:t>
      </w:r>
    </w:p>
    <w:p>
      <w:pPr>
        <w:pStyle w:val="35"/>
        <w:wordWrap w:val="0"/>
        <w:topLinePunct/>
        <w:spacing w:line="360" w:lineRule="auto"/>
        <w:rPr>
          <w:rFonts w:hint="eastAsia" w:ascii="宋体" w:cs="宋体"/>
          <w:sz w:val="21"/>
          <w:szCs w:val="21"/>
        </w:rPr>
      </w:pPr>
      <w:bookmarkStart w:id="410" w:name="_Toc419286872"/>
      <w:bookmarkStart w:id="411" w:name="_Toc433801734"/>
      <w:r>
        <w:rPr>
          <w:rFonts w:hint="eastAsia" w:ascii="宋体" w:cs="宋体"/>
          <w:sz w:val="21"/>
          <w:szCs w:val="21"/>
        </w:rPr>
        <w:t>10.4 变更估价</w:t>
      </w:r>
      <w:bookmarkEnd w:id="410"/>
      <w:bookmarkEnd w:id="411"/>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 xml:space="preserve">10.4.1 变更估价原则: </w:t>
      </w:r>
      <w:bookmarkStart w:id="412" w:name="_Toc251051742"/>
      <w:r>
        <w:rPr>
          <w:rFonts w:hint="eastAsia" w:hAnsi="宋体" w:cs="宋体"/>
          <w:bCs/>
          <w:sz w:val="21"/>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w:t>
      </w:r>
      <w:r>
        <w:rPr>
          <w:rFonts w:hint="eastAsia" w:hAnsi="宋体" w:cs="宋体"/>
          <w:b/>
          <w:sz w:val="21"/>
          <w:szCs w:val="21"/>
        </w:rPr>
        <w:fldChar w:fldCharType="begin"/>
      </w:r>
      <w:r>
        <w:rPr>
          <w:rFonts w:hint="eastAsia" w:hAnsi="宋体" w:cs="宋体"/>
          <w:b/>
          <w:sz w:val="21"/>
          <w:szCs w:val="21"/>
        </w:rPr>
        <w:instrText xml:space="preserve">eq \o\ac(</w:instrText>
      </w:r>
      <w:r>
        <w:rPr>
          <w:rFonts w:hint="eastAsia" w:hAnsi="宋体" w:cs="宋体"/>
          <w:b/>
          <w:position w:val="-4"/>
          <w:sz w:val="31"/>
          <w:szCs w:val="21"/>
        </w:rPr>
        <w:instrText xml:space="preserve">□</w:instrText>
      </w:r>
      <w:r>
        <w:rPr>
          <w:rFonts w:hint="eastAsia" w:hAnsi="宋体" w:cs="宋体"/>
          <w:b/>
          <w:position w:val="0"/>
          <w:sz w:val="21"/>
          <w:szCs w:val="21"/>
        </w:rPr>
        <w:instrText xml:space="preserve">,√)</w:instrText>
      </w:r>
      <w:r>
        <w:rPr>
          <w:rFonts w:hint="eastAsia" w:hAnsi="宋体" w:cs="宋体"/>
          <w:b/>
          <w:sz w:val="21"/>
          <w:szCs w:val="21"/>
        </w:rPr>
        <w:fldChar w:fldCharType="end"/>
      </w:r>
      <w:r>
        <w:rPr>
          <w:rFonts w:hint="eastAsia" w:hAnsi="宋体" w:cs="宋体"/>
          <w:bCs/>
          <w:sz w:val="21"/>
          <w:szCs w:val="21"/>
          <w:u w:val="single"/>
        </w:rPr>
        <w:t>乘以下浮系数 （</w:t>
      </w:r>
      <w:r>
        <w:rPr>
          <w:rFonts w:hint="eastAsia" w:hAnsi="宋体" w:cs="宋体"/>
          <w:sz w:val="21"/>
          <w:szCs w:val="21"/>
          <w:u w:val="single"/>
        </w:rPr>
        <w:t>中标后、签订合同时填写</w:t>
      </w:r>
      <w:r>
        <w:rPr>
          <w:rFonts w:hint="eastAsia" w:hAnsi="宋体" w:cs="宋体"/>
          <w:bCs/>
          <w:sz w:val="21"/>
          <w:szCs w:val="21"/>
          <w:u w:val="single"/>
        </w:rPr>
        <w:t>） %，</w:t>
      </w:r>
      <w:r>
        <w:rPr>
          <w:rFonts w:hint="eastAsia" w:hAnsi="宋体" w:cs="宋体"/>
          <w:sz w:val="21"/>
          <w:szCs w:val="21"/>
          <w:u w:val="single"/>
        </w:rPr>
        <w:t>□</w:t>
      </w:r>
      <w:r>
        <w:rPr>
          <w:rFonts w:hint="eastAsia" w:hAnsi="宋体" w:cs="宋体"/>
          <w:bCs/>
          <w:sz w:val="21"/>
          <w:szCs w:val="21"/>
          <w:u w:val="single"/>
        </w:rPr>
        <w:t>不乘下浮系数）计算，其中材料价格按施工期间的</w:t>
      </w:r>
      <w:r>
        <w:rPr>
          <w:rFonts w:hint="eastAsia" w:hAnsi="宋体" w:cs="宋体"/>
          <w:sz w:val="21"/>
          <w:szCs w:val="21"/>
          <w:u w:val="single"/>
        </w:rPr>
        <w:t>《桂林市建设工程造价信息》中的桂林市兴安县信息价</w:t>
      </w:r>
      <w:r>
        <w:rPr>
          <w:rFonts w:hint="eastAsia" w:hAnsi="宋体" w:cs="宋体"/>
          <w:bCs/>
          <w:sz w:val="21"/>
          <w:szCs w:val="21"/>
          <w:u w:val="single"/>
        </w:rPr>
        <w:t>进行计算；《桂林市建设工程造价信息》没有相应价格信息的按市场价计算；无定额可套的，根据市场价格协商确定综合价格；对于国有资产投资的项目，新增项目的单价必须经发包人委托的造价咨询中介机构审定</w:t>
      </w:r>
      <w:bookmarkEnd w:id="412"/>
      <w:r>
        <w:rPr>
          <w:rFonts w:hint="eastAsia" w:hAnsi="宋体" w:cs="宋体"/>
          <w:sz w:val="21"/>
          <w:szCs w:val="21"/>
        </w:rPr>
        <w:t>。</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关于变更估价的约定：</w:t>
      </w:r>
      <w:r>
        <w:rPr>
          <w:rFonts w:hint="eastAsia" w:hAnsi="宋体" w:cs="宋体"/>
          <w:sz w:val="21"/>
          <w:szCs w:val="21"/>
          <w:u w:val="single"/>
        </w:rPr>
        <w:t>参照《土地开发整理项目预算定额标准》(2011)相关规定及我区现行相关规定执行</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413" w:name="_Toc419286873"/>
      <w:bookmarkStart w:id="414" w:name="_Toc433801735"/>
      <w:r>
        <w:rPr>
          <w:rFonts w:hint="eastAsia" w:ascii="宋体" w:cs="宋体"/>
          <w:sz w:val="21"/>
          <w:szCs w:val="21"/>
        </w:rPr>
        <w:t>1</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Start w:id="415" w:name="_Toc296891237"/>
      <w:bookmarkStart w:id="416" w:name="_Toc300934993"/>
      <w:bookmarkStart w:id="417" w:name="_Toc297123544"/>
      <w:bookmarkStart w:id="418" w:name="_Toc292559402"/>
      <w:bookmarkStart w:id="419" w:name="_Toc296347196"/>
      <w:bookmarkStart w:id="420" w:name="_Toc297048383"/>
      <w:bookmarkStart w:id="421" w:name="_Toc296944536"/>
      <w:bookmarkStart w:id="422" w:name="_Toc297120497"/>
      <w:bookmarkStart w:id="423" w:name="_Toc297216203"/>
      <w:bookmarkStart w:id="424" w:name="_Toc292559907"/>
      <w:bookmarkStart w:id="425" w:name="_Toc303539150"/>
      <w:bookmarkStart w:id="426" w:name="_Toc296891025"/>
      <w:bookmarkStart w:id="427" w:name="_Toc296346698"/>
      <w:bookmarkStart w:id="428" w:name="_Toc296503197"/>
      <w:bookmarkStart w:id="429" w:name="_Toc312678029"/>
      <w:bookmarkStart w:id="430" w:name="_Toc312677503"/>
      <w:bookmarkStart w:id="431" w:name="_Toc304295570"/>
      <w:r>
        <w:rPr>
          <w:rFonts w:hint="eastAsia" w:ascii="宋体" w:cs="宋体"/>
          <w:sz w:val="21"/>
          <w:szCs w:val="21"/>
        </w:rPr>
        <w:t>0.5承</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Start w:id="432" w:name="_Toc297216204"/>
      <w:bookmarkStart w:id="433" w:name="_Toc296503203"/>
      <w:bookmarkStart w:id="434" w:name="_Toc292559913"/>
      <w:bookmarkStart w:id="435" w:name="_Toc297048389"/>
      <w:bookmarkStart w:id="436" w:name="_Toc300934994"/>
      <w:bookmarkStart w:id="437" w:name="_Toc296891243"/>
      <w:bookmarkStart w:id="438" w:name="_Toc297120503"/>
      <w:bookmarkStart w:id="439" w:name="_Toc303539151"/>
      <w:bookmarkStart w:id="440" w:name="_Toc296891031"/>
      <w:bookmarkStart w:id="441" w:name="_Toc297123545"/>
      <w:bookmarkStart w:id="442" w:name="_Toc292559408"/>
      <w:bookmarkStart w:id="443" w:name="_Toc296347202"/>
      <w:bookmarkStart w:id="444" w:name="_Toc296944542"/>
      <w:bookmarkStart w:id="445" w:name="_Toc296346704"/>
      <w:r>
        <w:rPr>
          <w:rFonts w:hint="eastAsia" w:ascii="宋体" w:cs="宋体"/>
          <w:sz w:val="21"/>
          <w:szCs w:val="21"/>
        </w:rPr>
        <w:t>包人的合理化建议</w:t>
      </w:r>
      <w:bookmarkEnd w:id="413"/>
      <w:bookmarkEnd w:id="414"/>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Pr>
        <w:pStyle w:val="36"/>
        <w:wordWrap w:val="0"/>
        <w:topLinePunct/>
        <w:spacing w:line="360" w:lineRule="auto"/>
        <w:ind w:firstLine="480"/>
        <w:rPr>
          <w:rFonts w:hint="eastAsia" w:hAnsi="宋体" w:cs="宋体"/>
          <w:sz w:val="21"/>
          <w:szCs w:val="21"/>
        </w:rPr>
      </w:pPr>
      <w:r>
        <w:rPr>
          <w:rFonts w:hint="eastAsia" w:hAnsi="宋体" w:cs="宋体"/>
          <w:sz w:val="21"/>
          <w:szCs w:val="21"/>
        </w:rPr>
        <w:t>监理人审查承包人合理化建议的期限：</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发包人审批承包人合理化建议的期限：</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承</w:t>
      </w:r>
      <w:bookmarkStart w:id="446" w:name="_Toc304295571"/>
      <w:bookmarkStart w:id="447" w:name="_Toc292559409"/>
      <w:bookmarkStart w:id="448" w:name="_Toc312678030"/>
      <w:bookmarkStart w:id="449" w:name="_Toc303539152"/>
      <w:bookmarkStart w:id="450" w:name="_Toc296346705"/>
      <w:bookmarkStart w:id="451" w:name="_Toc296891244"/>
      <w:bookmarkStart w:id="452" w:name="_Toc297120504"/>
      <w:bookmarkStart w:id="453" w:name="_Toc312677504"/>
      <w:bookmarkStart w:id="454" w:name="_Toc318581175"/>
      <w:bookmarkStart w:id="455" w:name="_Toc300934995"/>
      <w:bookmarkStart w:id="456" w:name="_Toc296944543"/>
      <w:bookmarkStart w:id="457" w:name="_Toc297048390"/>
      <w:bookmarkStart w:id="458" w:name="_Toc297123546"/>
      <w:bookmarkStart w:id="459" w:name="_Toc296891032"/>
      <w:bookmarkStart w:id="460" w:name="_Toc296503204"/>
      <w:bookmarkStart w:id="461" w:name="_Toc292559914"/>
      <w:bookmarkStart w:id="462" w:name="_Toc296347203"/>
      <w:bookmarkStart w:id="463" w:name="_Toc297216205"/>
      <w:r>
        <w:rPr>
          <w:rFonts w:hint="eastAsia" w:hAnsi="宋体" w:cs="宋体"/>
          <w:sz w:val="21"/>
          <w:szCs w:val="21"/>
        </w:rPr>
        <w:t>包人提出的合理化建议降低了合同价格或者提高了工程经济效益的奖励的方法和金额为：</w:t>
      </w:r>
      <w:r>
        <w:rPr>
          <w:rFonts w:hint="eastAsia" w:hAnsi="宋体" w:cs="宋体"/>
          <w:sz w:val="21"/>
          <w:szCs w:val="21"/>
          <w:u w:val="single"/>
        </w:rPr>
        <w:t xml:space="preserve">  /  </w:t>
      </w:r>
      <w:r>
        <w:rPr>
          <w:rFonts w:hint="eastAsia" w:hAnsi="宋体" w:cs="宋体"/>
          <w:sz w:val="21"/>
          <w:szCs w:val="21"/>
        </w:rPr>
        <w:t>。</w:t>
      </w:r>
    </w:p>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Pr>
        <w:pStyle w:val="35"/>
        <w:wordWrap w:val="0"/>
        <w:topLinePunct/>
        <w:spacing w:line="360" w:lineRule="auto"/>
        <w:rPr>
          <w:rFonts w:hint="eastAsia" w:ascii="宋体" w:cs="宋体"/>
          <w:sz w:val="21"/>
          <w:szCs w:val="21"/>
        </w:rPr>
      </w:pPr>
      <w:bookmarkStart w:id="464" w:name="_Toc433801736"/>
      <w:bookmarkStart w:id="465" w:name="_Toc419286874"/>
      <w:r>
        <w:rPr>
          <w:rFonts w:hint="eastAsia" w:ascii="宋体" w:cs="宋体"/>
          <w:sz w:val="21"/>
          <w:szCs w:val="21"/>
        </w:rPr>
        <w:t>1</w:t>
      </w:r>
      <w:bookmarkStart w:id="466" w:name="_Toc296347198"/>
      <w:bookmarkStart w:id="467" w:name="_Toc297216207"/>
      <w:bookmarkStart w:id="468" w:name="_Toc297048385"/>
      <w:bookmarkStart w:id="469" w:name="_Toc297123548"/>
      <w:bookmarkStart w:id="470" w:name="_Toc303539154"/>
      <w:bookmarkStart w:id="471" w:name="_Toc297120499"/>
      <w:bookmarkStart w:id="472" w:name="_Toc296503199"/>
      <w:bookmarkStart w:id="473" w:name="_Toc296891027"/>
      <w:bookmarkStart w:id="474" w:name="_Toc296944538"/>
      <w:bookmarkStart w:id="475" w:name="_Toc292559909"/>
      <w:bookmarkStart w:id="476" w:name="_Toc292559404"/>
      <w:bookmarkStart w:id="477" w:name="_Toc304295574"/>
      <w:bookmarkStart w:id="478" w:name="_Toc312677507"/>
      <w:bookmarkStart w:id="479" w:name="_Toc296891239"/>
      <w:bookmarkStart w:id="480" w:name="_Toc300934997"/>
      <w:bookmarkStart w:id="481" w:name="_Toc296346700"/>
      <w:bookmarkStart w:id="482" w:name="_Toc312678033"/>
      <w:r>
        <w:rPr>
          <w:rFonts w:hint="eastAsia" w:ascii="宋体" w:cs="宋体"/>
          <w:sz w:val="21"/>
          <w:szCs w:val="21"/>
        </w:rPr>
        <w:t>0.7 暂估价</w:t>
      </w:r>
      <w:bookmarkEnd w:id="464"/>
      <w:bookmarkEnd w:id="465"/>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Pr>
        <w:pStyle w:val="36"/>
        <w:wordWrap w:val="0"/>
        <w:topLinePunct/>
        <w:spacing w:line="360" w:lineRule="auto"/>
        <w:ind w:firstLine="480"/>
        <w:rPr>
          <w:rFonts w:hint="eastAsia" w:hAnsi="宋体" w:cs="宋体"/>
          <w:sz w:val="21"/>
          <w:szCs w:val="21"/>
        </w:rPr>
      </w:pPr>
      <w:r>
        <w:rPr>
          <w:rFonts w:hint="eastAsia" w:hAnsi="宋体" w:cs="宋体"/>
          <w:sz w:val="21"/>
          <w:szCs w:val="21"/>
        </w:rPr>
        <w:t>暂估价材料和工程设备的明细详见附件11：《暂估价一览表》。</w:t>
      </w:r>
    </w:p>
    <w:p>
      <w:pPr>
        <w:pStyle w:val="36"/>
        <w:wordWrap w:val="0"/>
        <w:topLinePunct/>
        <w:spacing w:line="360" w:lineRule="auto"/>
        <w:ind w:firstLine="480"/>
        <w:outlineLvl w:val="0"/>
        <w:rPr>
          <w:rFonts w:hint="eastAsia" w:hAnsi="宋体" w:cs="宋体"/>
          <w:sz w:val="21"/>
          <w:szCs w:val="21"/>
        </w:rPr>
      </w:pPr>
      <w:bookmarkStart w:id="483" w:name="_Toc406419390"/>
      <w:bookmarkStart w:id="484" w:name="_Toc433801737"/>
      <w:bookmarkStart w:id="485" w:name="_Toc419286875"/>
      <w:bookmarkStart w:id="486" w:name="_Toc406522266"/>
      <w:r>
        <w:rPr>
          <w:rFonts w:hint="eastAsia" w:hAnsi="宋体" w:cs="宋体"/>
          <w:sz w:val="21"/>
          <w:szCs w:val="21"/>
        </w:rPr>
        <w:t>1</w:t>
      </w:r>
      <w:bookmarkStart w:id="487" w:name="_Toc312678035"/>
      <w:bookmarkStart w:id="488" w:name="_Toc318581177"/>
      <w:bookmarkStart w:id="489" w:name="_Toc312677509"/>
      <w:r>
        <w:rPr>
          <w:rFonts w:hint="eastAsia" w:hAnsi="宋体" w:cs="宋体"/>
          <w:sz w:val="21"/>
          <w:szCs w:val="21"/>
        </w:rPr>
        <w:t>0.7.1 依法必须招标的暂估价项目</w:t>
      </w:r>
      <w:bookmarkEnd w:id="483"/>
      <w:bookmarkEnd w:id="484"/>
      <w:bookmarkEnd w:id="485"/>
      <w:bookmarkEnd w:id="486"/>
    </w:p>
    <w:bookmarkEnd w:id="487"/>
    <w:bookmarkEnd w:id="488"/>
    <w:bookmarkEnd w:id="489"/>
    <w:p>
      <w:pPr>
        <w:pStyle w:val="36"/>
        <w:wordWrap w:val="0"/>
        <w:topLinePunct/>
        <w:spacing w:line="360" w:lineRule="auto"/>
        <w:ind w:firstLine="480"/>
        <w:rPr>
          <w:rFonts w:hint="eastAsia" w:hAnsi="宋体" w:cs="宋体"/>
          <w:sz w:val="21"/>
          <w:szCs w:val="21"/>
        </w:rPr>
      </w:pPr>
      <w:r>
        <w:rPr>
          <w:rFonts w:hint="eastAsia" w:hAnsi="宋体" w:cs="宋体"/>
          <w:sz w:val="21"/>
          <w:szCs w:val="21"/>
        </w:rPr>
        <w:t>对于依法必须招标的暂估价项目的确认和批准采取第</w:t>
      </w:r>
      <w:r>
        <w:rPr>
          <w:rFonts w:hint="eastAsia" w:hAnsi="宋体" w:cs="宋体"/>
          <w:sz w:val="21"/>
          <w:szCs w:val="21"/>
          <w:u w:val="single"/>
        </w:rPr>
        <w:t>2</w:t>
      </w:r>
      <w:r>
        <w:rPr>
          <w:rFonts w:hint="eastAsia" w:hAnsi="宋体" w:cs="宋体"/>
          <w:sz w:val="21"/>
          <w:szCs w:val="21"/>
        </w:rPr>
        <w:t>种方式确定。</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10.7.2 不属于依法必须招标的暂估价项目</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对于不属于依法必须招标的暂估价项目的确认和批准采取第</w:t>
      </w:r>
      <w:r>
        <w:rPr>
          <w:rFonts w:hint="eastAsia" w:hAnsi="宋体" w:cs="宋体"/>
          <w:sz w:val="21"/>
          <w:szCs w:val="21"/>
          <w:u w:val="single"/>
        </w:rPr>
        <w:t>1</w:t>
      </w:r>
      <w:r>
        <w:rPr>
          <w:rFonts w:hint="eastAsia" w:hAnsi="宋体" w:cs="宋体"/>
          <w:sz w:val="21"/>
          <w:szCs w:val="21"/>
        </w:rPr>
        <w:t>种方式确定。</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第3种方式：承包人直接实施的暂估价项目</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承包人直接实施的暂估价项目的约定：</w:t>
      </w:r>
      <w:r>
        <w:rPr>
          <w:rFonts w:hint="eastAsia" w:hAnsi="宋体" w:cs="宋体"/>
          <w:sz w:val="21"/>
          <w:szCs w:val="21"/>
          <w:u w:val="single"/>
        </w:rPr>
        <w:t>　　 　　/　　　　　　　</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490" w:name="_Toc433801738"/>
      <w:bookmarkStart w:id="491" w:name="_Toc419286876"/>
      <w:r>
        <w:rPr>
          <w:rFonts w:hint="eastAsia" w:ascii="宋体" w:cs="宋体"/>
          <w:sz w:val="21"/>
          <w:szCs w:val="21"/>
        </w:rPr>
        <w:t>10.8 暂列金额</w:t>
      </w:r>
      <w:bookmarkEnd w:id="490"/>
      <w:bookmarkEnd w:id="491"/>
    </w:p>
    <w:p>
      <w:pPr>
        <w:pStyle w:val="36"/>
        <w:wordWrap w:val="0"/>
        <w:topLinePunct/>
        <w:spacing w:line="360" w:lineRule="auto"/>
        <w:ind w:firstLine="480"/>
        <w:rPr>
          <w:rFonts w:hint="eastAsia" w:hAnsi="宋体" w:cs="宋体"/>
          <w:sz w:val="21"/>
          <w:szCs w:val="21"/>
        </w:rPr>
      </w:pPr>
      <w:r>
        <w:rPr>
          <w:rFonts w:hint="eastAsia" w:hAnsi="宋体" w:cs="宋体"/>
          <w:sz w:val="21"/>
          <w:szCs w:val="21"/>
        </w:rPr>
        <w:t>合同当事人关于暂列金额使用的约定：</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492" w:name="_Toc419286877"/>
      <w:bookmarkStart w:id="493" w:name="_Toc351203643"/>
      <w:bookmarkStart w:id="494" w:name="_Toc433801739"/>
      <w:r>
        <w:rPr>
          <w:rFonts w:hint="eastAsia" w:ascii="宋体" w:cs="宋体"/>
          <w:sz w:val="21"/>
          <w:szCs w:val="21"/>
        </w:rPr>
        <w:t>11. 价格调整</w:t>
      </w:r>
      <w:bookmarkEnd w:id="492"/>
      <w:bookmarkEnd w:id="493"/>
      <w:bookmarkEnd w:id="494"/>
    </w:p>
    <w:p>
      <w:pPr>
        <w:pStyle w:val="35"/>
        <w:wordWrap w:val="0"/>
        <w:topLinePunct/>
        <w:spacing w:line="360" w:lineRule="auto"/>
        <w:rPr>
          <w:rFonts w:hint="eastAsia" w:ascii="宋体" w:cs="宋体"/>
          <w:sz w:val="21"/>
          <w:szCs w:val="21"/>
        </w:rPr>
      </w:pPr>
      <w:bookmarkStart w:id="495" w:name="_Toc433801740"/>
      <w:bookmarkStart w:id="496" w:name="_Toc419286878"/>
      <w:bookmarkStart w:id="497" w:name="_Toc312678039"/>
      <w:bookmarkStart w:id="498" w:name="_Toc297120501"/>
      <w:bookmarkStart w:id="499" w:name="_Toc296891241"/>
      <w:bookmarkStart w:id="500" w:name="_Toc296346702"/>
      <w:bookmarkStart w:id="501" w:name="_Toc300935000"/>
      <w:bookmarkStart w:id="502" w:name="_Toc296347200"/>
      <w:bookmarkStart w:id="503" w:name="_Toc296503201"/>
      <w:bookmarkStart w:id="504" w:name="_Toc296891029"/>
      <w:bookmarkStart w:id="505" w:name="_Toc292559406"/>
      <w:bookmarkStart w:id="506" w:name="_Toc292559911"/>
      <w:bookmarkStart w:id="507" w:name="_Toc297048387"/>
      <w:bookmarkStart w:id="508" w:name="_Toc297123550"/>
      <w:bookmarkStart w:id="509" w:name="_Toc303539157"/>
      <w:bookmarkStart w:id="510" w:name="_Toc297216209"/>
      <w:bookmarkStart w:id="511" w:name="_Toc304295577"/>
      <w:bookmarkStart w:id="512" w:name="_Toc296944540"/>
      <w:r>
        <w:rPr>
          <w:rFonts w:hint="eastAsia" w:ascii="宋体" w:cs="宋体"/>
          <w:sz w:val="21"/>
          <w:szCs w:val="21"/>
        </w:rPr>
        <w:t>11.1 市场价格波动引起的调整</w:t>
      </w:r>
      <w:bookmarkEnd w:id="495"/>
      <w:bookmarkEnd w:id="496"/>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Pr>
        <w:pStyle w:val="36"/>
        <w:wordWrap w:val="0"/>
        <w:topLinePunct/>
        <w:spacing w:line="360" w:lineRule="auto"/>
        <w:ind w:firstLine="480"/>
        <w:rPr>
          <w:rFonts w:hint="eastAsia" w:hAnsi="宋体" w:cs="宋体"/>
          <w:sz w:val="21"/>
          <w:szCs w:val="21"/>
        </w:rPr>
      </w:pPr>
      <w:r>
        <w:rPr>
          <w:rFonts w:hint="eastAsia" w:hAnsi="宋体" w:cs="宋体"/>
          <w:sz w:val="21"/>
          <w:szCs w:val="21"/>
        </w:rPr>
        <w:t>市场价格波动是否调整合同价格的约定：</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因市场价格波动调整合同价格，采用以下第</w:t>
      </w:r>
      <w:r>
        <w:rPr>
          <w:rFonts w:hint="eastAsia" w:hAnsi="宋体" w:cs="宋体"/>
          <w:sz w:val="21"/>
          <w:szCs w:val="21"/>
          <w:u w:val="single"/>
        </w:rPr>
        <w:t>2</w:t>
      </w:r>
      <w:r>
        <w:rPr>
          <w:rFonts w:hint="eastAsia" w:hAnsi="宋体" w:cs="宋体"/>
          <w:sz w:val="21"/>
          <w:szCs w:val="21"/>
        </w:rPr>
        <w:t>种方式对合同价格进行调整：</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第1种方式：采用价格指数进行价格调整。</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 xml:space="preserve">关于各可调因子、定值和变值权重，以及基本价格指数及其来源的约定： </w:t>
      </w:r>
      <w:r>
        <w:rPr>
          <w:rFonts w:hint="eastAsia" w:hAnsi="宋体" w:cs="宋体"/>
          <w:sz w:val="21"/>
          <w:szCs w:val="21"/>
          <w:u w:val="single"/>
        </w:rPr>
        <w:t>/　</w:t>
      </w:r>
      <w:r>
        <w:rPr>
          <w:rFonts w:hint="eastAsia" w:hAnsi="宋体" w:cs="宋体"/>
          <w:sz w:val="21"/>
          <w:szCs w:val="21"/>
        </w:rPr>
        <w:t xml:space="preserve">；  </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第2种方式：采用造价信息进行价格调整。</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（2）关于基准价格的约定：</w:t>
      </w:r>
      <w:r>
        <w:rPr>
          <w:rFonts w:hint="eastAsia" w:hAnsi="宋体" w:cs="宋体"/>
          <w:sz w:val="21"/>
          <w:szCs w:val="21"/>
          <w:u w:val="single"/>
        </w:rPr>
        <w:t>招标预算价（招标控制价）审定的201</w:t>
      </w:r>
      <w:r>
        <w:rPr>
          <w:rFonts w:hint="eastAsia" w:hAnsi="宋体" w:cs="宋体"/>
          <w:sz w:val="21"/>
          <w:szCs w:val="21"/>
          <w:u w:val="single"/>
          <w:lang w:val="en-US" w:eastAsia="zh-CN"/>
        </w:rPr>
        <w:t>9</w:t>
      </w:r>
      <w:r>
        <w:rPr>
          <w:rFonts w:hint="eastAsia" w:hAnsi="宋体" w:cs="宋体"/>
          <w:sz w:val="21"/>
          <w:szCs w:val="21"/>
          <w:u w:val="single"/>
        </w:rPr>
        <w:t>年第</w:t>
      </w:r>
      <w:r>
        <w:rPr>
          <w:rFonts w:hint="eastAsia" w:hAnsi="宋体" w:cs="宋体"/>
          <w:sz w:val="21"/>
          <w:szCs w:val="21"/>
          <w:u w:val="single"/>
          <w:lang w:val="en-US" w:eastAsia="zh-CN"/>
        </w:rPr>
        <w:t>10</w:t>
      </w:r>
      <w:r>
        <w:rPr>
          <w:rFonts w:hint="eastAsia" w:hAnsi="宋体" w:cs="宋体"/>
          <w:sz w:val="21"/>
          <w:szCs w:val="21"/>
          <w:u w:val="single"/>
        </w:rPr>
        <w:t>期《桂林市建设工程造价信息》上发布的兴安县信息价为基准材料价格</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专用合同条款①承包人在已标价工程量清单或预算书中载明的材料单价低于基准价格的：专用合同条款合同履行期间材料单价涨幅以基准价格为基础超过</w:t>
      </w:r>
      <w:r>
        <w:rPr>
          <w:rFonts w:hint="eastAsia" w:hAnsi="宋体" w:cs="宋体"/>
          <w:sz w:val="21"/>
          <w:szCs w:val="21"/>
          <w:u w:val="single"/>
        </w:rPr>
        <w:t xml:space="preserve"> 10 </w:t>
      </w:r>
      <w:r>
        <w:rPr>
          <w:rFonts w:hint="eastAsia" w:hAnsi="宋体" w:cs="宋体"/>
          <w:sz w:val="21"/>
          <w:szCs w:val="21"/>
        </w:rPr>
        <w:t>%时，或材料单价跌幅以已标价工程量清单或预算书中载明材料单价为基础超过</w:t>
      </w:r>
      <w:r>
        <w:rPr>
          <w:rFonts w:hint="eastAsia" w:hAnsi="宋体" w:cs="宋体"/>
          <w:sz w:val="21"/>
          <w:szCs w:val="21"/>
          <w:u w:val="single"/>
        </w:rPr>
        <w:t xml:space="preserve"> 10 </w:t>
      </w:r>
      <w:r>
        <w:rPr>
          <w:rFonts w:hint="eastAsia" w:hAnsi="宋体" w:cs="宋体"/>
          <w:sz w:val="21"/>
          <w:szCs w:val="21"/>
        </w:rPr>
        <w:t>%时，其超过部分据实调整。</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②承包人在已标价工程量清单或预算书中载明的材料单价高于基准价格的：专用合同条款合同履行期间材料单价跌幅以基准价格为基础超过</w:t>
      </w:r>
      <w:r>
        <w:rPr>
          <w:rFonts w:hint="eastAsia" w:hAnsi="宋体" w:cs="宋体"/>
          <w:sz w:val="21"/>
          <w:szCs w:val="21"/>
          <w:u w:val="single"/>
        </w:rPr>
        <w:t xml:space="preserve"> 10 </w:t>
      </w:r>
      <w:r>
        <w:rPr>
          <w:rFonts w:hint="eastAsia" w:hAnsi="宋体" w:cs="宋体"/>
          <w:sz w:val="21"/>
          <w:szCs w:val="21"/>
        </w:rPr>
        <w:t>%时，材料单价涨幅以已标价工程量清单或预算书中载明材料单价为基础超过</w:t>
      </w:r>
      <w:r>
        <w:rPr>
          <w:rFonts w:hint="eastAsia" w:hAnsi="宋体" w:cs="宋体"/>
          <w:sz w:val="21"/>
          <w:szCs w:val="21"/>
          <w:u w:val="single"/>
        </w:rPr>
        <w:t xml:space="preserve">  10 </w:t>
      </w:r>
      <w:r>
        <w:rPr>
          <w:rFonts w:hint="eastAsia" w:hAnsi="宋体" w:cs="宋体"/>
          <w:sz w:val="21"/>
          <w:szCs w:val="21"/>
        </w:rPr>
        <w:t>%时，其超过部分据实调整。</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③承包人在已标价工程量清单或预算书中载明的材料单价等于基准单价的：专用合同条款合同履行期间材料单价涨跌幅以基准单价为基础超过</w:t>
      </w:r>
      <w:r>
        <w:rPr>
          <w:rFonts w:hint="eastAsia" w:hAnsi="宋体" w:cs="宋体"/>
          <w:sz w:val="21"/>
          <w:szCs w:val="21"/>
          <w:u w:val="single"/>
        </w:rPr>
        <w:t xml:space="preserve">±10 </w:t>
      </w:r>
      <w:r>
        <w:rPr>
          <w:rFonts w:hint="eastAsia" w:hAnsi="宋体" w:cs="宋体"/>
          <w:sz w:val="21"/>
          <w:szCs w:val="21"/>
        </w:rPr>
        <w:t>%时，其超过部分据实调整。</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第3种方式：其他价格调整方式：</w:t>
      </w:r>
      <w:r>
        <w:rPr>
          <w:rFonts w:hint="eastAsia" w:hAnsi="宋体" w:cs="宋体"/>
          <w:sz w:val="21"/>
          <w:szCs w:val="21"/>
          <w:u w:val="single"/>
        </w:rPr>
        <w:t xml:space="preserve">  无　</w:t>
      </w:r>
      <w:r>
        <w:rPr>
          <w:rFonts w:hint="eastAsia" w:hAnsi="宋体" w:cs="宋体"/>
          <w:sz w:val="21"/>
          <w:szCs w:val="21"/>
        </w:rPr>
        <w:t>。</w:t>
      </w:r>
    </w:p>
    <w:bookmarkEnd w:id="378"/>
    <w:bookmarkEnd w:id="379"/>
    <w:bookmarkEnd w:id="380"/>
    <w:bookmarkEnd w:id="381"/>
    <w:bookmarkEnd w:id="382"/>
    <w:bookmarkEnd w:id="383"/>
    <w:p>
      <w:pPr>
        <w:pStyle w:val="35"/>
        <w:wordWrap w:val="0"/>
        <w:topLinePunct/>
        <w:spacing w:line="360" w:lineRule="auto"/>
        <w:rPr>
          <w:rFonts w:hint="eastAsia" w:ascii="宋体" w:cs="宋体"/>
          <w:sz w:val="21"/>
          <w:szCs w:val="21"/>
        </w:rPr>
      </w:pPr>
      <w:bookmarkStart w:id="513" w:name="_Toc292559915"/>
      <w:bookmarkStart w:id="514" w:name="_Toc296891245"/>
      <w:bookmarkStart w:id="515" w:name="_Toc297120505"/>
      <w:bookmarkStart w:id="516" w:name="_Toc296346706"/>
      <w:bookmarkStart w:id="517" w:name="_Toc292559410"/>
      <w:bookmarkStart w:id="518" w:name="_Toc296347204"/>
      <w:bookmarkStart w:id="519" w:name="_Toc296944544"/>
      <w:bookmarkStart w:id="520" w:name="_Toc296503205"/>
      <w:bookmarkStart w:id="521" w:name="_Toc296891033"/>
      <w:bookmarkStart w:id="522" w:name="_Toc297048391"/>
      <w:bookmarkStart w:id="523" w:name="_Toc433801741"/>
      <w:bookmarkStart w:id="524" w:name="_Toc419286879"/>
      <w:bookmarkStart w:id="525" w:name="_Toc351203644"/>
      <w:bookmarkStart w:id="526" w:name="_Toc297123552"/>
      <w:bookmarkStart w:id="527" w:name="_Toc303539159"/>
      <w:bookmarkStart w:id="528" w:name="_Toc312678040"/>
      <w:bookmarkStart w:id="529" w:name="_Toc300935002"/>
      <w:bookmarkStart w:id="530" w:name="_Toc297216211"/>
      <w:bookmarkStart w:id="531" w:name="_Toc304295579"/>
      <w:r>
        <w:rPr>
          <w:rFonts w:hint="eastAsia" w:ascii="宋体" w:cs="宋体"/>
          <w:sz w:val="21"/>
          <w:szCs w:val="21"/>
        </w:rPr>
        <w:t xml:space="preserve">12. </w:t>
      </w:r>
      <w:bookmarkEnd w:id="513"/>
      <w:bookmarkEnd w:id="514"/>
      <w:bookmarkEnd w:id="515"/>
      <w:bookmarkEnd w:id="516"/>
      <w:bookmarkEnd w:id="517"/>
      <w:bookmarkEnd w:id="518"/>
      <w:bookmarkEnd w:id="519"/>
      <w:bookmarkEnd w:id="520"/>
      <w:bookmarkEnd w:id="521"/>
      <w:bookmarkEnd w:id="522"/>
      <w:r>
        <w:rPr>
          <w:rFonts w:hint="eastAsia" w:ascii="宋体" w:cs="宋体"/>
          <w:sz w:val="21"/>
          <w:szCs w:val="21"/>
        </w:rPr>
        <w:t>合同价格、计量与支付</w:t>
      </w:r>
      <w:bookmarkEnd w:id="523"/>
      <w:bookmarkEnd w:id="524"/>
      <w:bookmarkEnd w:id="525"/>
    </w:p>
    <w:bookmarkEnd w:id="526"/>
    <w:bookmarkEnd w:id="527"/>
    <w:bookmarkEnd w:id="528"/>
    <w:bookmarkEnd w:id="529"/>
    <w:bookmarkEnd w:id="530"/>
    <w:bookmarkEnd w:id="531"/>
    <w:p>
      <w:pPr>
        <w:pStyle w:val="35"/>
        <w:wordWrap w:val="0"/>
        <w:topLinePunct/>
        <w:spacing w:line="360" w:lineRule="auto"/>
        <w:rPr>
          <w:rFonts w:hint="eastAsia" w:ascii="宋体" w:cs="宋体"/>
          <w:sz w:val="21"/>
          <w:szCs w:val="21"/>
        </w:rPr>
      </w:pPr>
      <w:bookmarkStart w:id="532" w:name="_Toc292559916"/>
      <w:bookmarkStart w:id="533" w:name="_Toc292559411"/>
      <w:bookmarkStart w:id="534" w:name="_Toc267251461"/>
      <w:bookmarkStart w:id="535" w:name="_Toc296891246"/>
      <w:bookmarkStart w:id="536" w:name="_Toc296944545"/>
      <w:bookmarkStart w:id="537" w:name="_Toc297120506"/>
      <w:bookmarkStart w:id="538" w:name="_Toc297048392"/>
      <w:bookmarkStart w:id="539" w:name="_Toc296347205"/>
      <w:bookmarkStart w:id="540" w:name="_Toc296346707"/>
      <w:bookmarkStart w:id="541" w:name="_Toc296503206"/>
      <w:bookmarkStart w:id="542" w:name="_Toc296891034"/>
      <w:bookmarkStart w:id="543" w:name="_Toc433801742"/>
      <w:bookmarkStart w:id="544" w:name="_Toc373478396"/>
      <w:bookmarkStart w:id="545" w:name="_Toc419286880"/>
      <w:bookmarkStart w:id="546" w:name="_Toc406421001"/>
      <w:bookmarkStart w:id="547" w:name="_Toc373227749"/>
      <w:bookmarkStart w:id="548" w:name="_Toc395382552"/>
      <w:bookmarkStart w:id="549" w:name="_Toc389065314"/>
      <w:bookmarkStart w:id="550" w:name="_Toc300935003"/>
      <w:bookmarkStart w:id="551" w:name="_Toc297123553"/>
      <w:bookmarkStart w:id="552" w:name="_Toc297216212"/>
      <w:bookmarkStart w:id="553" w:name="_Toc312678041"/>
      <w:bookmarkStart w:id="554" w:name="_Toc303539160"/>
      <w:bookmarkStart w:id="555" w:name="_Toc304295580"/>
      <w:bookmarkStart w:id="556" w:name="_Toc297216213"/>
      <w:bookmarkStart w:id="557" w:name="_Toc303539161"/>
      <w:bookmarkStart w:id="558" w:name="_Toc297123554"/>
      <w:bookmarkStart w:id="559" w:name="_Toc300935004"/>
      <w:bookmarkStart w:id="560" w:name="_Toc304295581"/>
      <w:bookmarkStart w:id="561" w:name="_Toc312678042"/>
      <w:bookmarkStart w:id="562" w:name="_Toc296346708"/>
      <w:bookmarkStart w:id="563" w:name="_Toc296503207"/>
      <w:bookmarkStart w:id="564" w:name="_Toc297048393"/>
      <w:bookmarkStart w:id="565" w:name="_Toc292559917"/>
      <w:bookmarkStart w:id="566" w:name="_Toc296944546"/>
      <w:bookmarkStart w:id="567" w:name="_Toc297120507"/>
      <w:bookmarkStart w:id="568" w:name="_Toc292559412"/>
      <w:bookmarkStart w:id="569" w:name="_Toc296891035"/>
      <w:bookmarkStart w:id="570" w:name="_Toc296891247"/>
      <w:bookmarkStart w:id="571" w:name="_Toc296347206"/>
      <w:r>
        <w:rPr>
          <w:rFonts w:hint="eastAsia" w:ascii="宋体" w:cs="宋体"/>
          <w:sz w:val="21"/>
          <w:szCs w:val="21"/>
        </w:rPr>
        <w:t>12.1 合</w:t>
      </w:r>
      <w:bookmarkEnd w:id="532"/>
      <w:bookmarkEnd w:id="533"/>
      <w:bookmarkEnd w:id="534"/>
      <w:r>
        <w:rPr>
          <w:rFonts w:hint="eastAsia" w:ascii="宋体" w:cs="宋体"/>
          <w:sz w:val="21"/>
          <w:szCs w:val="21"/>
        </w:rPr>
        <w:t>同价</w:t>
      </w:r>
      <w:bookmarkEnd w:id="535"/>
      <w:bookmarkEnd w:id="536"/>
      <w:bookmarkEnd w:id="537"/>
      <w:bookmarkEnd w:id="538"/>
      <w:bookmarkEnd w:id="539"/>
      <w:bookmarkEnd w:id="540"/>
      <w:bookmarkEnd w:id="541"/>
      <w:bookmarkEnd w:id="542"/>
      <w:r>
        <w:rPr>
          <w:rFonts w:hint="eastAsia" w:ascii="宋体" w:cs="宋体"/>
          <w:sz w:val="21"/>
          <w:szCs w:val="21"/>
        </w:rPr>
        <w:t>格形式</w:t>
      </w:r>
      <w:bookmarkEnd w:id="543"/>
      <w:bookmarkEnd w:id="544"/>
      <w:bookmarkEnd w:id="545"/>
      <w:bookmarkEnd w:id="546"/>
      <w:bookmarkEnd w:id="547"/>
      <w:bookmarkEnd w:id="548"/>
      <w:bookmarkEnd w:id="549"/>
    </w:p>
    <w:bookmarkEnd w:id="550"/>
    <w:bookmarkEnd w:id="551"/>
    <w:bookmarkEnd w:id="552"/>
    <w:bookmarkEnd w:id="553"/>
    <w:bookmarkEnd w:id="554"/>
    <w:bookmarkEnd w:id="555"/>
    <w:p>
      <w:pPr>
        <w:wordWrap w:val="0"/>
        <w:topLinePunct/>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（1）单价合同。</w:t>
      </w:r>
    </w:p>
    <w:p>
      <w:pPr>
        <w:wordWrap w:val="0"/>
        <w:topLinePunct/>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本合同价款采用固定综合单价方式确定。</w:t>
      </w:r>
    </w:p>
    <w:p>
      <w:pPr>
        <w:wordWrap w:val="0"/>
        <w:topLinePunct/>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综合单价包含的风险范围：</w:t>
      </w:r>
      <w:r>
        <w:rPr>
          <w:rFonts w:hint="eastAsia" w:ascii="宋体" w:hAnsi="宋体" w:cs="宋体"/>
          <w:sz w:val="21"/>
          <w:szCs w:val="21"/>
          <w:u w:val="single"/>
        </w:rPr>
        <w:t>除工程变更、政策性调整、《承包人提供主要材料和设备一览表》约定的材料、设备价格变动风险以外因素。</w:t>
      </w:r>
    </w:p>
    <w:p>
      <w:pPr>
        <w:wordWrap w:val="0"/>
        <w:topLinePunct/>
        <w:adjustRightInd w:val="0"/>
        <w:snapToGrid w:val="0"/>
        <w:spacing w:line="360" w:lineRule="auto"/>
        <w:ind w:firstLine="441" w:firstLineChars="210"/>
        <w:rPr>
          <w:rFonts w:hint="eastAsia" w:ascii="宋体" w:hAnsi="宋体" w:cs="宋体"/>
          <w:sz w:val="21"/>
          <w:szCs w:val="21"/>
        </w:rPr>
      </w:pPr>
      <w:r>
        <w:rPr>
          <w:rFonts w:hint="eastAsia" w:ascii="宋体" w:hAnsi="宋体" w:cs="宋体"/>
          <w:sz w:val="21"/>
          <w:szCs w:val="21"/>
        </w:rPr>
        <w:t>风险范围以外合同价格的调整方法：</w:t>
      </w:r>
      <w:r>
        <w:rPr>
          <w:rFonts w:hint="eastAsia" w:ascii="宋体" w:hAnsi="宋体" w:cs="宋体"/>
          <w:sz w:val="21"/>
          <w:szCs w:val="21"/>
          <w:u w:val="single"/>
        </w:rPr>
        <w:t>按通用条款，无特殊约定</w:t>
      </w:r>
      <w:r>
        <w:rPr>
          <w:rFonts w:hint="eastAsia" w:ascii="宋体" w:hAnsi="宋体" w:cs="宋体"/>
          <w:sz w:val="21"/>
          <w:szCs w:val="21"/>
        </w:rPr>
        <w:t>。　</w:t>
      </w:r>
    </w:p>
    <w:p>
      <w:pPr>
        <w:wordWrap w:val="0"/>
        <w:topLinePunct/>
        <w:adjustRightInd w:val="0"/>
        <w:snapToGrid w:val="0"/>
        <w:spacing w:line="360" w:lineRule="auto"/>
        <w:ind w:firstLine="441" w:firstLineChars="210"/>
        <w:rPr>
          <w:rFonts w:hint="eastAsia" w:ascii="宋体" w:hAnsi="宋体" w:cs="宋体"/>
          <w:sz w:val="21"/>
          <w:szCs w:val="21"/>
        </w:rPr>
      </w:pPr>
      <w:r>
        <w:rPr>
          <w:rFonts w:hint="eastAsia" w:ascii="宋体" w:hAnsi="宋体" w:cs="宋体"/>
          <w:sz w:val="21"/>
          <w:szCs w:val="21"/>
        </w:rPr>
        <w:t>①工程变更：按10.4.1变更估价原则的约定调整。</w:t>
      </w:r>
    </w:p>
    <w:p>
      <w:pPr>
        <w:wordWrap w:val="0"/>
        <w:topLinePunct/>
        <w:adjustRightInd w:val="0"/>
        <w:snapToGrid w:val="0"/>
        <w:spacing w:line="360" w:lineRule="auto"/>
        <w:ind w:firstLine="441" w:firstLineChars="210"/>
        <w:rPr>
          <w:rFonts w:hint="eastAsia" w:ascii="宋体" w:hAnsi="宋体" w:cs="宋体"/>
          <w:sz w:val="21"/>
          <w:szCs w:val="21"/>
        </w:rPr>
      </w:pPr>
      <w:r>
        <w:rPr>
          <w:rFonts w:hint="eastAsia" w:ascii="宋体" w:hAnsi="宋体" w:cs="宋体"/>
          <w:sz w:val="21"/>
          <w:szCs w:val="21"/>
        </w:rPr>
        <w:t>②政策性调整：按自治区建设行政主管部门颁布的文件执行。</w:t>
      </w:r>
    </w:p>
    <w:p>
      <w:pPr>
        <w:wordWrap w:val="0"/>
        <w:topLinePunct/>
        <w:adjustRightInd w:val="0"/>
        <w:snapToGrid w:val="0"/>
        <w:spacing w:line="360" w:lineRule="auto"/>
        <w:ind w:firstLine="441" w:firstLineChars="210"/>
        <w:rPr>
          <w:rFonts w:hint="eastAsia" w:ascii="宋体" w:hAnsi="宋体" w:cs="宋体"/>
          <w:sz w:val="21"/>
          <w:szCs w:val="21"/>
        </w:rPr>
      </w:pPr>
      <w:r>
        <w:rPr>
          <w:rFonts w:hint="eastAsia" w:ascii="宋体" w:hAnsi="宋体" w:cs="宋体"/>
          <w:sz w:val="21"/>
          <w:szCs w:val="21"/>
        </w:rPr>
        <w:t>③材料价格风险：按11.1的约定调整。</w:t>
      </w:r>
    </w:p>
    <w:p>
      <w:pPr>
        <w:wordWrap w:val="0"/>
        <w:topLinePunct/>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④其它：</w:t>
      </w:r>
      <w:r>
        <w:rPr>
          <w:rFonts w:hint="eastAsia" w:ascii="宋体" w:hAnsi="宋体" w:cs="宋体"/>
          <w:sz w:val="21"/>
          <w:szCs w:val="21"/>
          <w:u w:val="single"/>
        </w:rPr>
        <w:t xml:space="preserve">  / </w:t>
      </w:r>
      <w:r>
        <w:rPr>
          <w:rFonts w:hint="eastAsia" w:ascii="宋体" w:hAnsi="宋体" w:cs="宋体"/>
          <w:sz w:val="21"/>
          <w:szCs w:val="21"/>
        </w:rPr>
        <w:t>。</w:t>
      </w:r>
    </w:p>
    <w:p>
      <w:pPr>
        <w:wordWrap w:val="0"/>
        <w:topLinePunct/>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（2）总价合同。</w:t>
      </w:r>
    </w:p>
    <w:p>
      <w:pPr>
        <w:wordWrap w:val="0"/>
        <w:topLinePunct/>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总价包含的风险范围：</w:t>
      </w:r>
      <w:r>
        <w:rPr>
          <w:rFonts w:hint="eastAsia" w:ascii="宋体" w:hAnsi="宋体" w:cs="宋体"/>
          <w:sz w:val="21"/>
          <w:szCs w:val="21"/>
          <w:u w:val="single"/>
        </w:rPr>
        <w:t xml:space="preserve">  / </w:t>
      </w:r>
      <w:r>
        <w:rPr>
          <w:rFonts w:hint="eastAsia" w:ascii="宋体" w:hAnsi="宋体" w:cs="宋体"/>
          <w:sz w:val="21"/>
          <w:szCs w:val="21"/>
        </w:rPr>
        <w:t>。</w:t>
      </w:r>
    </w:p>
    <w:p>
      <w:pPr>
        <w:wordWrap w:val="0"/>
        <w:topLinePunct/>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风险范围以外合同价格的调整方法：</w:t>
      </w:r>
      <w:r>
        <w:rPr>
          <w:rFonts w:hint="eastAsia" w:ascii="宋体" w:hAnsi="宋体" w:cs="宋体"/>
          <w:sz w:val="21"/>
          <w:szCs w:val="21"/>
          <w:u w:val="single"/>
        </w:rPr>
        <w:t xml:space="preserve">   /  </w:t>
      </w:r>
      <w:r>
        <w:rPr>
          <w:rFonts w:hint="eastAsia" w:ascii="宋体" w:hAnsi="宋体" w:cs="宋体"/>
          <w:sz w:val="21"/>
          <w:szCs w:val="21"/>
        </w:rPr>
        <w:t>。</w:t>
      </w:r>
    </w:p>
    <w:p>
      <w:pPr>
        <w:wordWrap w:val="0"/>
        <w:topLinePunct/>
        <w:adjustRightInd w:val="0"/>
        <w:snapToGrid w:val="0"/>
        <w:spacing w:line="360" w:lineRule="auto"/>
        <w:ind w:firstLine="420" w:firstLineChars="200"/>
        <w:jc w:val="left"/>
        <w:rPr>
          <w:rFonts w:hint="eastAsia" w:ascii="宋体" w:hAnsi="宋体" w:cs="宋体"/>
          <w:sz w:val="21"/>
          <w:szCs w:val="21"/>
        </w:rPr>
      </w:pPr>
      <w:r>
        <w:rPr>
          <w:rFonts w:hint="eastAsia" w:ascii="宋体" w:hAnsi="宋体" w:cs="宋体"/>
          <w:sz w:val="21"/>
          <w:szCs w:val="21"/>
        </w:rPr>
        <w:t>（3）其他价格方式：</w:t>
      </w:r>
      <w:r>
        <w:rPr>
          <w:rFonts w:hint="eastAsia" w:ascii="宋体" w:hAnsi="宋体" w:cs="宋体"/>
          <w:sz w:val="21"/>
          <w:szCs w:val="21"/>
          <w:u w:val="single"/>
        </w:rPr>
        <w:t xml:space="preserve">   /   </w:t>
      </w:r>
      <w:r>
        <w:rPr>
          <w:rFonts w:hint="eastAsia" w:ascii="宋体" w:hAnsi="宋体" w:cs="宋体"/>
          <w:sz w:val="21"/>
          <w:szCs w:val="21"/>
        </w:rPr>
        <w:t>。</w:t>
      </w:r>
    </w:p>
    <w:p>
      <w:pPr>
        <w:pStyle w:val="35"/>
        <w:wordWrap w:val="0"/>
        <w:topLinePunct/>
        <w:spacing w:line="360" w:lineRule="auto"/>
        <w:rPr>
          <w:rFonts w:hint="eastAsia" w:ascii="宋体" w:cs="宋体"/>
          <w:sz w:val="21"/>
          <w:szCs w:val="21"/>
        </w:rPr>
      </w:pPr>
      <w:bookmarkStart w:id="572" w:name="_Toc433801743"/>
      <w:bookmarkStart w:id="573" w:name="_Toc419286881"/>
      <w:r>
        <w:rPr>
          <w:rFonts w:hint="eastAsia" w:ascii="宋体" w:cs="宋体"/>
          <w:sz w:val="21"/>
          <w:szCs w:val="21"/>
        </w:rPr>
        <w:t>12.2 预付款</w:t>
      </w:r>
      <w:bookmarkEnd w:id="572"/>
      <w:bookmarkEnd w:id="573"/>
    </w:p>
    <w:bookmarkEnd w:id="556"/>
    <w:bookmarkEnd w:id="557"/>
    <w:bookmarkEnd w:id="558"/>
    <w:bookmarkEnd w:id="559"/>
    <w:bookmarkEnd w:id="560"/>
    <w:bookmarkEnd w:id="561"/>
    <w:p>
      <w:pPr>
        <w:pStyle w:val="36"/>
        <w:wordWrap w:val="0"/>
        <w:topLinePunct/>
        <w:spacing w:line="360" w:lineRule="auto"/>
        <w:ind w:firstLine="480"/>
        <w:rPr>
          <w:rFonts w:hint="eastAsia" w:hAnsi="宋体" w:cs="宋体"/>
          <w:sz w:val="21"/>
          <w:szCs w:val="21"/>
        </w:rPr>
      </w:pPr>
      <w:r>
        <w:rPr>
          <w:rFonts w:hint="eastAsia" w:hAnsi="宋体" w:cs="宋体"/>
          <w:sz w:val="21"/>
          <w:szCs w:val="21"/>
        </w:rPr>
        <w:t>12.2.1 预付款的支付</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预付款支付比例或金额：</w:t>
      </w:r>
      <w:r>
        <w:rPr>
          <w:rFonts w:hint="eastAsia" w:hAnsi="宋体" w:cs="宋体"/>
          <w:sz w:val="21"/>
          <w:szCs w:val="21"/>
          <w:u w:val="single"/>
        </w:rPr>
        <w:t xml:space="preserve">   /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预付款支付期限：</w:t>
      </w:r>
      <w:r>
        <w:rPr>
          <w:rFonts w:hint="eastAsia" w:hAnsi="宋体" w:cs="宋体"/>
          <w:sz w:val="21"/>
          <w:szCs w:val="21"/>
          <w:u w:val="single"/>
        </w:rPr>
        <w:t xml:space="preserve">  /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预付款扣回的方式：</w:t>
      </w:r>
      <w:r>
        <w:rPr>
          <w:rFonts w:hint="eastAsia" w:hAnsi="宋体" w:cs="宋体"/>
          <w:sz w:val="21"/>
          <w:szCs w:val="21"/>
          <w:u w:val="single"/>
        </w:rPr>
        <w:t xml:space="preserve">   /  </w:t>
      </w:r>
      <w:r>
        <w:rPr>
          <w:rFonts w:hint="eastAsia" w:hAnsi="宋体" w:cs="宋体"/>
          <w:sz w:val="21"/>
          <w:szCs w:val="21"/>
        </w:rPr>
        <w:t>。</w:t>
      </w:r>
    </w:p>
    <w:p>
      <w:pPr>
        <w:pStyle w:val="36"/>
        <w:wordWrap w:val="0"/>
        <w:topLinePunct/>
        <w:spacing w:line="360" w:lineRule="auto"/>
        <w:ind w:firstLine="480"/>
        <w:outlineLvl w:val="0"/>
        <w:rPr>
          <w:rFonts w:hint="eastAsia" w:hAnsi="宋体" w:cs="宋体"/>
          <w:sz w:val="21"/>
          <w:szCs w:val="21"/>
        </w:rPr>
      </w:pPr>
      <w:bookmarkStart w:id="574" w:name="_Toc419286882"/>
      <w:bookmarkStart w:id="575" w:name="_Toc406522273"/>
      <w:bookmarkStart w:id="576" w:name="_Toc406419397"/>
      <w:bookmarkStart w:id="577" w:name="_Toc433801744"/>
      <w:r>
        <w:rPr>
          <w:rFonts w:hint="eastAsia" w:hAnsi="宋体" w:cs="宋体"/>
          <w:sz w:val="21"/>
          <w:szCs w:val="21"/>
        </w:rPr>
        <w:t>12.2.2 预付款担保</w:t>
      </w:r>
      <w:bookmarkEnd w:id="574"/>
      <w:bookmarkEnd w:id="575"/>
      <w:bookmarkEnd w:id="576"/>
      <w:bookmarkEnd w:id="577"/>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承包人提交预付款担保的期限：</w:t>
      </w:r>
      <w:r>
        <w:rPr>
          <w:rFonts w:hint="eastAsia" w:hAnsi="宋体" w:cs="宋体"/>
          <w:sz w:val="21"/>
          <w:szCs w:val="21"/>
          <w:u w:val="single"/>
        </w:rPr>
        <w:t xml:space="preserve">   /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预付款担保的形式为：</w:t>
      </w:r>
      <w:r>
        <w:rPr>
          <w:rFonts w:hint="eastAsia" w:hAnsi="宋体" w:cs="宋体"/>
          <w:sz w:val="21"/>
          <w:szCs w:val="21"/>
          <w:u w:val="single"/>
        </w:rPr>
        <w:t xml:space="preserve">  /  </w:t>
      </w:r>
      <w:r>
        <w:rPr>
          <w:rFonts w:hint="eastAsia" w:hAnsi="宋体" w:cs="宋体"/>
          <w:sz w:val="21"/>
          <w:szCs w:val="21"/>
        </w:rPr>
        <w:t>。</w:t>
      </w:r>
    </w:p>
    <w:bookmarkEnd w:id="562"/>
    <w:bookmarkEnd w:id="563"/>
    <w:bookmarkEnd w:id="564"/>
    <w:bookmarkEnd w:id="565"/>
    <w:bookmarkEnd w:id="566"/>
    <w:bookmarkEnd w:id="567"/>
    <w:bookmarkEnd w:id="568"/>
    <w:bookmarkEnd w:id="569"/>
    <w:bookmarkEnd w:id="570"/>
    <w:bookmarkEnd w:id="571"/>
    <w:p>
      <w:pPr>
        <w:pStyle w:val="35"/>
        <w:wordWrap w:val="0"/>
        <w:topLinePunct/>
        <w:spacing w:line="360" w:lineRule="auto"/>
        <w:rPr>
          <w:rFonts w:hint="eastAsia" w:ascii="宋体" w:cs="宋体"/>
          <w:sz w:val="21"/>
          <w:szCs w:val="21"/>
        </w:rPr>
      </w:pPr>
      <w:bookmarkStart w:id="578" w:name="_Toc433801745"/>
      <w:bookmarkStart w:id="579" w:name="_Toc419286883"/>
      <w:r>
        <w:rPr>
          <w:rFonts w:hint="eastAsia" w:ascii="宋体" w:cs="宋体"/>
          <w:sz w:val="21"/>
          <w:szCs w:val="21"/>
        </w:rPr>
        <w:t>12.3 计量</w:t>
      </w:r>
      <w:bookmarkEnd w:id="578"/>
      <w:bookmarkEnd w:id="579"/>
    </w:p>
    <w:p>
      <w:pPr>
        <w:wordWrap w:val="0"/>
        <w:topLinePunct/>
        <w:spacing w:line="360" w:lineRule="auto"/>
        <w:ind w:firstLine="420" w:firstLineChars="200"/>
        <w:jc w:val="left"/>
        <w:rPr>
          <w:rFonts w:hint="eastAsia" w:ascii="宋体" w:hAnsi="宋体" w:cs="宋体"/>
          <w:sz w:val="21"/>
          <w:szCs w:val="21"/>
        </w:rPr>
      </w:pPr>
      <w:bookmarkStart w:id="580" w:name="_Toc406419399"/>
      <w:r>
        <w:rPr>
          <w:rFonts w:hint="eastAsia" w:ascii="宋体" w:hAnsi="宋体" w:cs="宋体"/>
          <w:sz w:val="21"/>
          <w:szCs w:val="21"/>
        </w:rPr>
        <w:t>12.3.1 计量原则</w:t>
      </w:r>
    </w:p>
    <w:p>
      <w:pPr>
        <w:wordWrap w:val="0"/>
        <w:topLinePunct/>
        <w:spacing w:line="360" w:lineRule="auto"/>
        <w:ind w:firstLine="420" w:firstLineChars="200"/>
        <w:jc w:val="left"/>
        <w:rPr>
          <w:rFonts w:hint="eastAsia" w:ascii="宋体" w:hAnsi="宋体" w:cs="宋体"/>
          <w:sz w:val="21"/>
          <w:szCs w:val="21"/>
        </w:rPr>
      </w:pPr>
      <w:r>
        <w:rPr>
          <w:rFonts w:hint="eastAsia" w:ascii="宋体" w:hAnsi="宋体" w:cs="宋体"/>
          <w:sz w:val="21"/>
          <w:szCs w:val="21"/>
        </w:rPr>
        <w:t>工程量计算规则：</w:t>
      </w:r>
      <w:r>
        <w:rPr>
          <w:rFonts w:hint="eastAsia" w:ascii="宋体" w:hAnsi="宋体" w:cs="宋体"/>
          <w:sz w:val="21"/>
          <w:szCs w:val="21"/>
          <w:u w:val="single"/>
        </w:rPr>
        <w:t>工程的计量以《土地开发整理项目预算定额标准》(2011)、本工程补充项目清单为准。</w:t>
      </w:r>
    </w:p>
    <w:p>
      <w:pPr>
        <w:pStyle w:val="36"/>
        <w:wordWrap w:val="0"/>
        <w:topLinePunct/>
        <w:spacing w:line="360" w:lineRule="auto"/>
        <w:ind w:firstLine="480"/>
        <w:outlineLvl w:val="0"/>
        <w:rPr>
          <w:rFonts w:hint="eastAsia" w:hAnsi="宋体" w:cs="宋体"/>
          <w:sz w:val="21"/>
          <w:szCs w:val="21"/>
        </w:rPr>
      </w:pPr>
      <w:bookmarkStart w:id="581" w:name="_Toc406522275"/>
      <w:bookmarkStart w:id="582" w:name="_Toc419286884"/>
      <w:bookmarkStart w:id="583" w:name="_Toc433801746"/>
      <w:r>
        <w:rPr>
          <w:rFonts w:hint="eastAsia" w:hAnsi="宋体" w:cs="宋体"/>
          <w:sz w:val="21"/>
          <w:szCs w:val="21"/>
        </w:rPr>
        <w:t>12.3.2 计量周期</w:t>
      </w:r>
      <w:bookmarkEnd w:id="580"/>
      <w:bookmarkEnd w:id="581"/>
      <w:bookmarkEnd w:id="582"/>
      <w:bookmarkEnd w:id="583"/>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关于计量周期的约定：</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12.3.3 单价合同的计量</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关于单价合同计量的约定：</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outlineLvl w:val="0"/>
        <w:rPr>
          <w:rFonts w:hint="eastAsia" w:hAnsi="宋体" w:cs="宋体"/>
          <w:sz w:val="21"/>
          <w:szCs w:val="21"/>
        </w:rPr>
      </w:pPr>
      <w:bookmarkStart w:id="584" w:name="_Toc406522276"/>
      <w:bookmarkStart w:id="585" w:name="_Toc433801747"/>
      <w:bookmarkStart w:id="586" w:name="_Toc419286885"/>
      <w:bookmarkStart w:id="587" w:name="_Toc406419400"/>
      <w:r>
        <w:rPr>
          <w:rFonts w:hint="eastAsia" w:hAnsi="宋体" w:cs="宋体"/>
          <w:sz w:val="21"/>
          <w:szCs w:val="21"/>
        </w:rPr>
        <w:t>12.3.4 总价合同的计量</w:t>
      </w:r>
      <w:bookmarkEnd w:id="584"/>
      <w:bookmarkEnd w:id="585"/>
      <w:bookmarkEnd w:id="586"/>
      <w:bookmarkEnd w:id="587"/>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关于总价合同计量的约定：</w:t>
      </w:r>
      <w:r>
        <w:rPr>
          <w:rFonts w:hint="eastAsia" w:hAnsi="宋体" w:cs="宋体"/>
          <w:sz w:val="21"/>
          <w:szCs w:val="21"/>
          <w:u w:val="single"/>
        </w:rPr>
        <w:t xml:space="preserve">  /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12.3.5总价合同采用支付分解表计量支付的，是否适用第12.3.4 项〔总价合同的计量〕约定进行计量：</w:t>
      </w:r>
      <w:r>
        <w:rPr>
          <w:rFonts w:hint="eastAsia" w:hAnsi="宋体" w:cs="宋体"/>
          <w:sz w:val="21"/>
          <w:szCs w:val="21"/>
          <w:u w:val="single"/>
        </w:rPr>
        <w:t xml:space="preserve">  /  </w:t>
      </w:r>
      <w:r>
        <w:rPr>
          <w:rFonts w:hint="eastAsia" w:hAnsi="宋体" w:cs="宋体"/>
          <w:sz w:val="21"/>
          <w:szCs w:val="21"/>
        </w:rPr>
        <w:t>。</w:t>
      </w:r>
    </w:p>
    <w:p>
      <w:pPr>
        <w:pStyle w:val="36"/>
        <w:wordWrap w:val="0"/>
        <w:topLinePunct/>
        <w:spacing w:line="360" w:lineRule="auto"/>
        <w:ind w:firstLine="480"/>
        <w:outlineLvl w:val="0"/>
        <w:rPr>
          <w:rFonts w:hint="eastAsia" w:hAnsi="宋体" w:cs="宋体"/>
          <w:sz w:val="21"/>
          <w:szCs w:val="21"/>
        </w:rPr>
      </w:pPr>
      <w:bookmarkStart w:id="588" w:name="_Toc406522277"/>
      <w:bookmarkStart w:id="589" w:name="_Toc419286886"/>
      <w:bookmarkStart w:id="590" w:name="_Toc433801748"/>
      <w:bookmarkStart w:id="591" w:name="_Toc406419401"/>
      <w:r>
        <w:rPr>
          <w:rFonts w:hint="eastAsia" w:hAnsi="宋体" w:cs="宋体"/>
          <w:sz w:val="21"/>
          <w:szCs w:val="21"/>
        </w:rPr>
        <w:t>12.3.6 其他价格形式合同的计量</w:t>
      </w:r>
      <w:bookmarkEnd w:id="588"/>
      <w:bookmarkEnd w:id="589"/>
      <w:bookmarkEnd w:id="590"/>
      <w:bookmarkEnd w:id="591"/>
    </w:p>
    <w:p>
      <w:pPr>
        <w:pStyle w:val="36"/>
        <w:wordWrap w:val="0"/>
        <w:topLinePunct/>
        <w:spacing w:line="360" w:lineRule="auto"/>
        <w:ind w:firstLine="480"/>
        <w:rPr>
          <w:rFonts w:hint="eastAsia" w:hAnsi="宋体" w:cs="宋体"/>
          <w:sz w:val="21"/>
          <w:szCs w:val="21"/>
        </w:rPr>
      </w:pPr>
      <w:r>
        <w:rPr>
          <w:rFonts w:hint="eastAsia" w:hAnsi="宋体" w:cs="宋体"/>
          <w:sz w:val="21"/>
          <w:szCs w:val="21"/>
        </w:rPr>
        <w:t>其他价格形式的计量方式和程序：</w:t>
      </w:r>
      <w:r>
        <w:rPr>
          <w:rFonts w:hint="eastAsia" w:hAnsi="宋体" w:cs="宋体"/>
          <w:sz w:val="21"/>
          <w:szCs w:val="21"/>
          <w:u w:val="single"/>
        </w:rPr>
        <w:t xml:space="preserve">   /  </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592" w:name="_Toc433801749"/>
      <w:bookmarkStart w:id="593" w:name="_Toc419286887"/>
      <w:r>
        <w:rPr>
          <w:rFonts w:hint="eastAsia" w:ascii="宋体" w:cs="宋体"/>
          <w:sz w:val="21"/>
          <w:szCs w:val="21"/>
        </w:rPr>
        <w:t>12.4 工程进度款支付</w:t>
      </w:r>
      <w:bookmarkEnd w:id="592"/>
      <w:bookmarkEnd w:id="593"/>
    </w:p>
    <w:p>
      <w:pPr>
        <w:pStyle w:val="36"/>
        <w:wordWrap w:val="0"/>
        <w:topLinePunct/>
        <w:spacing w:line="360" w:lineRule="auto"/>
        <w:ind w:firstLine="480"/>
        <w:rPr>
          <w:rFonts w:hint="eastAsia" w:hAnsi="宋体" w:cs="宋体"/>
          <w:color w:val="auto"/>
          <w:sz w:val="21"/>
          <w:szCs w:val="21"/>
          <w:highlight w:val="none"/>
        </w:rPr>
      </w:pPr>
      <w:bookmarkStart w:id="594" w:name="_Toc296346712"/>
      <w:bookmarkStart w:id="595" w:name="_Toc292559921"/>
      <w:bookmarkStart w:id="596" w:name="_Toc297120511"/>
      <w:bookmarkStart w:id="597" w:name="_Toc296944550"/>
      <w:bookmarkStart w:id="598" w:name="_Toc303539163"/>
      <w:bookmarkStart w:id="599" w:name="_Toc296891251"/>
      <w:bookmarkStart w:id="600" w:name="_Toc297216215"/>
      <w:bookmarkStart w:id="601" w:name="_Toc292559416"/>
      <w:bookmarkStart w:id="602" w:name="_Toc296347210"/>
      <w:bookmarkStart w:id="603" w:name="_Toc296891039"/>
      <w:bookmarkStart w:id="604" w:name="_Toc297048397"/>
      <w:bookmarkStart w:id="605" w:name="_Toc297123556"/>
      <w:bookmarkStart w:id="606" w:name="_Toc296503211"/>
      <w:bookmarkStart w:id="607" w:name="_Toc300935006"/>
      <w:r>
        <w:rPr>
          <w:rFonts w:hint="eastAsia" w:hAnsi="宋体" w:cs="宋体"/>
          <w:sz w:val="21"/>
          <w:szCs w:val="21"/>
        </w:rPr>
        <w:t>12.4.1 付款周期</w:t>
      </w:r>
    </w:p>
    <w:p>
      <w:pPr>
        <w:pStyle w:val="36"/>
        <w:wordWrap w:val="0"/>
        <w:topLinePunct/>
        <w:spacing w:line="360" w:lineRule="auto"/>
        <w:ind w:firstLine="480"/>
        <w:rPr>
          <w:rFonts w:hint="eastAsia" w:hAnsi="宋体" w:cs="宋体"/>
          <w:color w:val="auto"/>
          <w:sz w:val="21"/>
          <w:szCs w:val="21"/>
          <w:highlight w:val="none"/>
          <w:u w:val="none"/>
          <w:lang w:val="en-US" w:eastAsia="zh-CN"/>
        </w:rPr>
      </w:pPr>
      <w:r>
        <w:rPr>
          <w:rFonts w:hint="eastAsia" w:hAnsi="宋体" w:cs="宋体"/>
          <w:color w:val="auto"/>
          <w:sz w:val="21"/>
          <w:szCs w:val="21"/>
          <w:highlight w:val="none"/>
        </w:rPr>
        <w:t>关于付款周期的约定：</w:t>
      </w:r>
      <w:r>
        <w:rPr>
          <w:rFonts w:hint="eastAsia" w:hAnsi="宋体" w:cs="宋体"/>
          <w:color w:val="auto"/>
          <w:sz w:val="21"/>
          <w:szCs w:val="21"/>
          <w:highlight w:val="none"/>
          <w:u w:val="single"/>
          <w:lang w:val="en-US" w:eastAsia="zh-CN"/>
        </w:rPr>
        <w:t xml:space="preserve"> 中标施工单位前期垫资，根据甲乙双方签署的补充协议，施工产出的石方（广西壮族自治区第一地质队已出具石方储量核实报告）按市场价出售后将产生的收入统一缴入兴安县财政局（或相关部门），由发包方按施工完成进度再行拨付</w:t>
      </w:r>
      <w:r>
        <w:rPr>
          <w:rFonts w:hint="eastAsia" w:hAnsi="宋体" w:cs="宋体"/>
          <w:color w:val="auto"/>
          <w:sz w:val="21"/>
          <w:szCs w:val="21"/>
          <w:highlight w:val="none"/>
          <w:u w:val="none"/>
          <w:lang w:val="en-US" w:eastAsia="zh-CN"/>
        </w:rPr>
        <w:t>。</w:t>
      </w:r>
      <w:r>
        <w:rPr>
          <w:color w:val="auto"/>
          <w:spacing w:val="10"/>
          <w:highlight w:val="none"/>
          <w:u w:val="single"/>
        </w:rPr>
        <w:t xml:space="preserve"> </w:t>
      </w:r>
      <w:r>
        <w:rPr>
          <w:rFonts w:hint="eastAsia"/>
          <w:color w:val="auto"/>
          <w:highlight w:val="none"/>
          <w:u w:val="single"/>
          <w:lang w:eastAsia="zh-CN"/>
        </w:rPr>
        <w:t>当开采的石方量大于本施工合同时，施工方将开采施工费用扣除后利润部分需全部纳入兴安县政府财政（或相关部门）。</w:t>
      </w:r>
    </w:p>
    <w:p>
      <w:pPr>
        <w:pStyle w:val="36"/>
        <w:wordWrap w:val="0"/>
        <w:topLinePunct/>
        <w:spacing w:line="360" w:lineRule="auto"/>
        <w:ind w:firstLine="480"/>
        <w:rPr>
          <w:rFonts w:hint="eastAsia" w:hAnsi="宋体" w:cs="宋体"/>
          <w:color w:val="auto"/>
          <w:sz w:val="21"/>
          <w:szCs w:val="21"/>
          <w:highlight w:val="none"/>
          <w:u w:val="single"/>
        </w:rPr>
      </w:pPr>
      <w:r>
        <w:rPr>
          <w:rFonts w:hint="eastAsia" w:hAnsi="宋体"/>
          <w:color w:val="auto"/>
          <w:sz w:val="21"/>
          <w:szCs w:val="21"/>
          <w:highlight w:val="none"/>
          <w:u w:val="single"/>
          <w:lang w:val="en-US"/>
        </w:rPr>
        <w:t>工程款原则上按月支付，合同内进度款支付限额为已完成工程量的</w:t>
      </w:r>
      <w:r>
        <w:rPr>
          <w:rFonts w:hint="eastAsia" w:hAnsi="宋体"/>
          <w:color w:val="auto"/>
          <w:sz w:val="21"/>
          <w:szCs w:val="21"/>
          <w:highlight w:val="none"/>
          <w:u w:val="single"/>
          <w:lang w:val="en-US" w:eastAsia="zh-CN"/>
        </w:rPr>
        <w:t>80%</w:t>
      </w:r>
      <w:r>
        <w:rPr>
          <w:rFonts w:hint="eastAsia" w:hAnsi="宋体"/>
          <w:color w:val="auto"/>
          <w:sz w:val="21"/>
          <w:szCs w:val="21"/>
          <w:highlight w:val="none"/>
          <w:u w:val="single"/>
          <w:lang w:val="en-US"/>
        </w:rPr>
        <w:t>，工程变更部分进度款支付限额为已完成工程量的</w:t>
      </w:r>
      <w:r>
        <w:rPr>
          <w:rFonts w:hint="eastAsia" w:hAnsi="宋体"/>
          <w:color w:val="auto"/>
          <w:sz w:val="21"/>
          <w:szCs w:val="21"/>
          <w:highlight w:val="none"/>
          <w:u w:val="single"/>
          <w:lang w:val="en-US" w:eastAsia="zh-CN"/>
        </w:rPr>
        <w:t>8</w:t>
      </w:r>
      <w:r>
        <w:rPr>
          <w:rFonts w:hint="eastAsia" w:hAnsi="宋体"/>
          <w:color w:val="auto"/>
          <w:sz w:val="21"/>
          <w:szCs w:val="21"/>
          <w:highlight w:val="none"/>
          <w:u w:val="single"/>
          <w:lang w:val="en-US"/>
        </w:rPr>
        <w:t>0%；工程完工验收达到质量要求，结算经</w:t>
      </w:r>
      <w:r>
        <w:rPr>
          <w:rFonts w:hint="eastAsia" w:hAnsi="宋体"/>
          <w:color w:val="auto"/>
          <w:sz w:val="21"/>
          <w:szCs w:val="21"/>
          <w:highlight w:val="none"/>
          <w:u w:val="single"/>
          <w:lang w:val="en-US" w:eastAsia="zh-CN"/>
        </w:rPr>
        <w:t>兴安</w:t>
      </w:r>
      <w:r>
        <w:rPr>
          <w:rFonts w:hint="eastAsia" w:hAnsi="宋体"/>
          <w:color w:val="auto"/>
          <w:sz w:val="21"/>
          <w:szCs w:val="21"/>
          <w:highlight w:val="none"/>
          <w:u w:val="single"/>
          <w:lang w:val="en-US"/>
        </w:rPr>
        <w:t>县财政性投资预决算评审中心审定后，工程款支付至结算总价的97%；发包人按工程价款结算总额的3%预留工程质量保修金，待工程质量保修期满后返还。</w:t>
      </w:r>
    </w:p>
    <w:p>
      <w:pPr>
        <w:pStyle w:val="36"/>
        <w:wordWrap w:val="0"/>
        <w:topLinePunct/>
        <w:spacing w:line="360" w:lineRule="auto"/>
        <w:ind w:firstLine="480"/>
        <w:outlineLvl w:val="0"/>
        <w:rPr>
          <w:rFonts w:hint="eastAsia" w:hAnsi="宋体" w:cs="宋体"/>
          <w:sz w:val="21"/>
          <w:szCs w:val="21"/>
        </w:rPr>
      </w:pPr>
      <w:bookmarkStart w:id="608" w:name="_Toc406522279"/>
      <w:bookmarkStart w:id="609" w:name="_Toc433801750"/>
      <w:bookmarkStart w:id="610" w:name="_Toc406419403"/>
      <w:bookmarkStart w:id="611" w:name="_Toc419286888"/>
      <w:r>
        <w:rPr>
          <w:rFonts w:hint="eastAsia" w:hAnsi="宋体" w:cs="宋体"/>
          <w:sz w:val="21"/>
          <w:szCs w:val="21"/>
        </w:rPr>
        <w:t>12.4.2 进度付款申请单的编制</w:t>
      </w:r>
      <w:bookmarkEnd w:id="608"/>
      <w:bookmarkEnd w:id="609"/>
      <w:bookmarkEnd w:id="610"/>
      <w:bookmarkEnd w:id="611"/>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关于进度付款申请单编制的约定：</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Pr>
          <w:rFonts w:hint="eastAsia" w:hAnsi="宋体" w:cs="宋体"/>
          <w:sz w:val="21"/>
          <w:szCs w:val="21"/>
        </w:rPr>
        <w:t>2.4.3 进度付款申请单的提交</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（1）单价合同进度付款申请单提交的约定：</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（2）总价合同进度付款申请单提交的约定：</w:t>
      </w:r>
      <w:r>
        <w:rPr>
          <w:rFonts w:hint="eastAsia" w:hAnsi="宋体" w:cs="宋体"/>
          <w:sz w:val="21"/>
          <w:szCs w:val="21"/>
          <w:u w:val="single"/>
        </w:rPr>
        <w:t>　　/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（3）其他价格形式合同进度付款申请单提交的约定：</w:t>
      </w:r>
      <w:r>
        <w:rPr>
          <w:rFonts w:hint="eastAsia" w:hAnsi="宋体" w:cs="宋体"/>
          <w:sz w:val="21"/>
          <w:szCs w:val="21"/>
          <w:u w:val="single"/>
        </w:rPr>
        <w:t>　/　　</w:t>
      </w:r>
      <w:r>
        <w:rPr>
          <w:rFonts w:hint="eastAsia" w:hAnsi="宋体" w:cs="宋体"/>
          <w:sz w:val="21"/>
          <w:szCs w:val="21"/>
        </w:rPr>
        <w:t>。</w:t>
      </w:r>
    </w:p>
    <w:p>
      <w:pPr>
        <w:pStyle w:val="36"/>
        <w:wordWrap w:val="0"/>
        <w:topLinePunct/>
        <w:spacing w:line="360" w:lineRule="auto"/>
        <w:ind w:firstLine="480"/>
        <w:outlineLvl w:val="0"/>
        <w:rPr>
          <w:rFonts w:hint="eastAsia" w:hAnsi="宋体" w:cs="宋体"/>
          <w:sz w:val="21"/>
          <w:szCs w:val="21"/>
        </w:rPr>
      </w:pPr>
      <w:bookmarkStart w:id="612" w:name="_Toc419286889"/>
      <w:bookmarkStart w:id="613" w:name="_Toc406522280"/>
      <w:bookmarkStart w:id="614" w:name="_Toc406419404"/>
      <w:bookmarkStart w:id="615" w:name="_Toc433801751"/>
      <w:r>
        <w:rPr>
          <w:rFonts w:hint="eastAsia" w:hAnsi="宋体" w:cs="宋体"/>
          <w:sz w:val="21"/>
          <w:szCs w:val="21"/>
        </w:rPr>
        <w:t>12.4.4 进度款审核和支付</w:t>
      </w:r>
      <w:bookmarkEnd w:id="612"/>
      <w:bookmarkEnd w:id="613"/>
      <w:bookmarkEnd w:id="614"/>
      <w:bookmarkEnd w:id="615"/>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（1）监理人审查并报送发包人的期限：</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发包人完成审批并签发进度款支付证书的期限：</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（2）发包人支付进度款的期限：</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发包人逾期支付进度款的违约金的计算方式：</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12.4.6 支付分解表的编制</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2、总价合同支付分解表的编制与审批：</w:t>
      </w:r>
      <w:r>
        <w:rPr>
          <w:rFonts w:hint="eastAsia" w:hAnsi="宋体" w:cs="宋体"/>
          <w:sz w:val="21"/>
          <w:szCs w:val="21"/>
          <w:u w:val="single"/>
        </w:rPr>
        <w:t xml:space="preserve">  /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3、单价合同的总价项目支付分解表的编制与审批：</w:t>
      </w:r>
      <w:r>
        <w:rPr>
          <w:rFonts w:hint="eastAsia" w:hAnsi="宋体" w:cs="宋体"/>
          <w:sz w:val="21"/>
          <w:szCs w:val="21"/>
          <w:u w:val="single"/>
        </w:rPr>
        <w:t>按通用条款，无特殊约定</w:t>
      </w:r>
      <w:r>
        <w:rPr>
          <w:rFonts w:hint="eastAsia" w:hAnsi="宋体" w:cs="宋体"/>
          <w:sz w:val="21"/>
          <w:szCs w:val="21"/>
        </w:rPr>
        <w:t>。</w:t>
      </w:r>
    </w:p>
    <w:bookmarkEnd w:id="384"/>
    <w:p>
      <w:pPr>
        <w:pStyle w:val="35"/>
        <w:wordWrap w:val="0"/>
        <w:topLinePunct/>
        <w:spacing w:line="360" w:lineRule="auto"/>
        <w:rPr>
          <w:rFonts w:hint="eastAsia" w:ascii="宋体" w:cs="宋体"/>
          <w:sz w:val="21"/>
          <w:szCs w:val="21"/>
        </w:rPr>
      </w:pPr>
      <w:bookmarkStart w:id="616" w:name="_Toc351203645"/>
      <w:bookmarkStart w:id="617" w:name="_Toc419286890"/>
      <w:bookmarkStart w:id="618" w:name="_Toc433801752"/>
      <w:bookmarkStart w:id="619" w:name="_Toc296944558"/>
      <w:bookmarkStart w:id="620" w:name="_Toc304295593"/>
      <w:bookmarkStart w:id="621" w:name="_Toc296347218"/>
      <w:bookmarkStart w:id="622" w:name="_Toc296891047"/>
      <w:bookmarkStart w:id="623" w:name="_Toc297123564"/>
      <w:bookmarkStart w:id="624" w:name="_Toc296346720"/>
      <w:bookmarkStart w:id="625" w:name="_Toc297048405"/>
      <w:bookmarkStart w:id="626" w:name="_Toc296503219"/>
      <w:bookmarkStart w:id="627" w:name="_Toc303539172"/>
      <w:bookmarkStart w:id="628" w:name="_Toc292559929"/>
      <w:bookmarkStart w:id="629" w:name="_Toc297216223"/>
      <w:bookmarkStart w:id="630" w:name="_Toc297120519"/>
      <w:bookmarkStart w:id="631" w:name="_Toc296891259"/>
      <w:bookmarkStart w:id="632" w:name="_Toc292559424"/>
      <w:bookmarkStart w:id="633" w:name="_Toc300935015"/>
      <w:bookmarkStart w:id="634" w:name="_Toc312678053"/>
      <w:r>
        <w:rPr>
          <w:rFonts w:hint="eastAsia" w:ascii="宋体" w:cs="宋体"/>
          <w:sz w:val="21"/>
          <w:szCs w:val="21"/>
        </w:rPr>
        <w:t>13. 验收和工程试车</w:t>
      </w:r>
      <w:bookmarkEnd w:id="616"/>
      <w:bookmarkEnd w:id="617"/>
      <w:bookmarkEnd w:id="618"/>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Pr>
        <w:pStyle w:val="35"/>
        <w:wordWrap w:val="0"/>
        <w:topLinePunct/>
        <w:spacing w:line="360" w:lineRule="auto"/>
        <w:rPr>
          <w:rFonts w:hint="eastAsia" w:ascii="宋体" w:cs="宋体"/>
          <w:sz w:val="21"/>
          <w:szCs w:val="21"/>
        </w:rPr>
      </w:pPr>
      <w:bookmarkStart w:id="635" w:name="_Toc419286891"/>
      <w:bookmarkStart w:id="636" w:name="_Toc433801753"/>
      <w:r>
        <w:rPr>
          <w:rFonts w:hint="eastAsia" w:ascii="宋体" w:cs="宋体"/>
          <w:sz w:val="21"/>
          <w:szCs w:val="21"/>
        </w:rPr>
        <w:t>13.1 分部分项工程验收</w:t>
      </w:r>
      <w:bookmarkEnd w:id="635"/>
      <w:bookmarkEnd w:id="636"/>
    </w:p>
    <w:p>
      <w:pPr>
        <w:pStyle w:val="36"/>
        <w:wordWrap w:val="0"/>
        <w:topLinePunct/>
        <w:spacing w:line="360" w:lineRule="auto"/>
        <w:ind w:firstLine="480"/>
        <w:rPr>
          <w:rFonts w:hint="eastAsia" w:hAnsi="宋体" w:cs="宋体"/>
          <w:sz w:val="21"/>
          <w:szCs w:val="21"/>
        </w:rPr>
      </w:pPr>
      <w:r>
        <w:rPr>
          <w:rFonts w:hint="eastAsia" w:hAnsi="宋体" w:cs="宋体"/>
          <w:sz w:val="21"/>
          <w:szCs w:val="21"/>
        </w:rPr>
        <w:t>13.1.2监理人不能按时进行验收时，应提前</w:t>
      </w:r>
      <w:r>
        <w:rPr>
          <w:rFonts w:hint="eastAsia" w:hAnsi="宋体" w:cs="宋体"/>
          <w:sz w:val="21"/>
          <w:szCs w:val="21"/>
          <w:u w:val="single"/>
        </w:rPr>
        <w:t>按通用条款，无特殊约定</w:t>
      </w:r>
      <w:r>
        <w:rPr>
          <w:rFonts w:hint="eastAsia" w:hAnsi="宋体" w:cs="宋体"/>
          <w:sz w:val="21"/>
          <w:szCs w:val="21"/>
        </w:rPr>
        <w:t>小时提交书面延期要求。</w:t>
      </w:r>
    </w:p>
    <w:p>
      <w:pPr>
        <w:pStyle w:val="36"/>
        <w:wordWrap w:val="0"/>
        <w:topLinePunct/>
        <w:spacing w:line="360" w:lineRule="auto"/>
        <w:ind w:firstLine="480"/>
        <w:rPr>
          <w:rFonts w:hint="eastAsia" w:hAnsi="宋体" w:cs="宋体"/>
          <w:b/>
          <w:sz w:val="21"/>
          <w:szCs w:val="21"/>
        </w:rPr>
      </w:pPr>
      <w:r>
        <w:rPr>
          <w:rFonts w:hint="eastAsia" w:hAnsi="宋体" w:cs="宋体"/>
          <w:sz w:val="21"/>
          <w:szCs w:val="21"/>
        </w:rPr>
        <w:t>关于延期最长不得超过：</w:t>
      </w:r>
      <w:r>
        <w:rPr>
          <w:rFonts w:hint="eastAsia" w:hAnsi="宋体" w:cs="宋体"/>
          <w:sz w:val="21"/>
          <w:szCs w:val="21"/>
          <w:u w:val="single"/>
        </w:rPr>
        <w:t>按通用条款，无特殊约定</w:t>
      </w:r>
      <w:r>
        <w:rPr>
          <w:rFonts w:hint="eastAsia" w:hAnsi="宋体" w:cs="宋体"/>
          <w:sz w:val="21"/>
          <w:szCs w:val="21"/>
        </w:rPr>
        <w:t>小时。</w:t>
      </w:r>
    </w:p>
    <w:p>
      <w:pPr>
        <w:pStyle w:val="35"/>
        <w:wordWrap w:val="0"/>
        <w:topLinePunct/>
        <w:spacing w:line="360" w:lineRule="auto"/>
        <w:rPr>
          <w:rFonts w:hint="eastAsia" w:ascii="宋体" w:cs="宋体"/>
          <w:sz w:val="21"/>
          <w:szCs w:val="21"/>
        </w:rPr>
      </w:pPr>
      <w:bookmarkStart w:id="637" w:name="_Toc419286892"/>
      <w:bookmarkStart w:id="638" w:name="_Toc433801754"/>
      <w:bookmarkStart w:id="639" w:name="_Toc296944562"/>
      <w:bookmarkStart w:id="640" w:name="_Toc292559428"/>
      <w:bookmarkStart w:id="641" w:name="_Toc297216224"/>
      <w:bookmarkStart w:id="642" w:name="_Toc296347222"/>
      <w:bookmarkStart w:id="643" w:name="_Toc297120523"/>
      <w:bookmarkStart w:id="644" w:name="_Toc292559933"/>
      <w:bookmarkStart w:id="645" w:name="_Toc300935016"/>
      <w:bookmarkStart w:id="646" w:name="_Toc296503223"/>
      <w:bookmarkStart w:id="647" w:name="_Toc304295596"/>
      <w:bookmarkStart w:id="648" w:name="_Toc296891051"/>
      <w:bookmarkStart w:id="649" w:name="_Toc303539173"/>
      <w:bookmarkStart w:id="650" w:name="_Toc296346724"/>
      <w:bookmarkStart w:id="651" w:name="_Toc312678056"/>
      <w:bookmarkStart w:id="652" w:name="_Toc296891263"/>
      <w:bookmarkStart w:id="653" w:name="_Toc297123565"/>
      <w:bookmarkStart w:id="654" w:name="_Toc297048409"/>
      <w:bookmarkStart w:id="655" w:name="_Toc267251472"/>
      <w:bookmarkStart w:id="656" w:name="_Toc267251476"/>
      <w:bookmarkStart w:id="657" w:name="_Toc267251473"/>
      <w:bookmarkStart w:id="658" w:name="_Toc267251474"/>
      <w:bookmarkStart w:id="659" w:name="_Toc267251475"/>
      <w:bookmarkStart w:id="660" w:name="_Toc267251470"/>
      <w:bookmarkStart w:id="661" w:name="_Toc267251471"/>
      <w:r>
        <w:rPr>
          <w:rFonts w:hint="eastAsia" w:ascii="宋体" w:cs="宋体"/>
          <w:sz w:val="21"/>
          <w:szCs w:val="21"/>
        </w:rPr>
        <w:t>13.2 竣工验收</w:t>
      </w:r>
      <w:bookmarkEnd w:id="637"/>
      <w:bookmarkEnd w:id="638"/>
    </w:p>
    <w:p>
      <w:pPr>
        <w:pStyle w:val="36"/>
        <w:wordWrap w:val="0"/>
        <w:topLinePunct/>
        <w:spacing w:line="360" w:lineRule="auto"/>
        <w:ind w:firstLine="480"/>
        <w:rPr>
          <w:rFonts w:hint="eastAsia" w:hAnsi="宋体" w:cs="宋体"/>
          <w:sz w:val="21"/>
          <w:szCs w:val="21"/>
        </w:rPr>
      </w:pPr>
      <w:r>
        <w:rPr>
          <w:rFonts w:hint="eastAsia" w:hAnsi="宋体" w:cs="宋体"/>
          <w:sz w:val="21"/>
          <w:szCs w:val="21"/>
        </w:rPr>
        <w:t>13.2.1竣工验收条件</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（3）承包人负责整理和提交的竣工验收资料应当符合工程所在地建设行政主管部门和(或)城市建设档案管理机构有关施工资料的要求，具体内容包括：</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竣工验收资料的份数：</w:t>
      </w:r>
      <w:r>
        <w:rPr>
          <w:rFonts w:hint="eastAsia" w:hAnsi="宋体" w:cs="宋体"/>
          <w:sz w:val="21"/>
          <w:szCs w:val="21"/>
          <w:u w:val="single"/>
        </w:rPr>
        <w:t xml:space="preserve"> </w:t>
      </w:r>
      <w:r>
        <w:rPr>
          <w:rFonts w:hint="eastAsia" w:hAnsi="宋体" w:cs="宋体"/>
          <w:sz w:val="21"/>
          <w:szCs w:val="21"/>
          <w:u w:val="single"/>
          <w:lang w:val="en-US" w:eastAsia="zh-CN"/>
        </w:rPr>
        <w:t>5</w:t>
      </w:r>
      <w:r>
        <w:rPr>
          <w:rFonts w:hint="eastAsia" w:hAnsi="宋体" w:cs="宋体"/>
          <w:sz w:val="21"/>
          <w:szCs w:val="21"/>
          <w:u w:val="single"/>
        </w:rPr>
        <w:t xml:space="preserve">份 </w:t>
      </w:r>
      <w:r>
        <w:rPr>
          <w:rFonts w:hint="eastAsia" w:hAnsi="宋体" w:cs="宋体"/>
          <w:sz w:val="21"/>
          <w:szCs w:val="21"/>
        </w:rPr>
        <w:t>。</w:t>
      </w:r>
    </w:p>
    <w:p>
      <w:pPr>
        <w:pStyle w:val="36"/>
        <w:topLinePunct/>
        <w:spacing w:line="360" w:lineRule="auto"/>
        <w:ind w:firstLine="480"/>
        <w:rPr>
          <w:rFonts w:hint="eastAsia" w:hAnsi="宋体" w:cs="宋体"/>
          <w:sz w:val="21"/>
          <w:szCs w:val="21"/>
        </w:rPr>
      </w:pPr>
      <w:r>
        <w:rPr>
          <w:rFonts w:hint="eastAsia" w:hAnsi="宋体" w:cs="宋体"/>
          <w:bCs/>
          <w:sz w:val="21"/>
          <w:szCs w:val="21"/>
        </w:rPr>
        <w:t>承包人提供竣工图的约定：</w:t>
      </w:r>
      <w:r>
        <w:rPr>
          <w:rFonts w:hint="eastAsia" w:hAnsi="宋体" w:cs="宋体"/>
          <w:bCs/>
          <w:sz w:val="21"/>
          <w:szCs w:val="21"/>
          <w:u w:val="single"/>
        </w:rPr>
        <w:t>竣工验收正式通过后5天（工程造价在500万元以下含500万元）、10天（工程造价在500万元至1000万元之间含1000万元）、15天（工程造价在1000万元以上），提供竣工图的数量分别为2套、4套、6套。</w:t>
      </w:r>
    </w:p>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Pr>
        <w:pStyle w:val="36"/>
        <w:wordWrap w:val="0"/>
        <w:topLinePunct/>
        <w:spacing w:line="360" w:lineRule="auto"/>
        <w:ind w:firstLine="480"/>
        <w:rPr>
          <w:rFonts w:hint="eastAsia" w:hAnsi="宋体" w:cs="宋体"/>
          <w:sz w:val="21"/>
          <w:szCs w:val="21"/>
        </w:rPr>
      </w:pPr>
      <w:bookmarkStart w:id="662" w:name="_Toc280868704"/>
      <w:bookmarkStart w:id="663" w:name="_Toc280868705"/>
      <w:bookmarkStart w:id="664" w:name="_Toc280868706"/>
      <w:bookmarkStart w:id="665" w:name="_Toc280868707"/>
      <w:bookmarkStart w:id="666" w:name="_Toc280868708"/>
      <w:bookmarkStart w:id="667" w:name="_Toc280868709"/>
      <w:r>
        <w:rPr>
          <w:rFonts w:hint="eastAsia" w:hAnsi="宋体" w:cs="宋体"/>
          <w:sz w:val="21"/>
          <w:szCs w:val="21"/>
        </w:rPr>
        <w:t>13.2.2竣工验收程序</w:t>
      </w:r>
    </w:p>
    <w:bookmarkEnd w:id="662"/>
    <w:p>
      <w:pPr>
        <w:pStyle w:val="36"/>
        <w:wordWrap w:val="0"/>
        <w:topLinePunct/>
        <w:spacing w:line="360" w:lineRule="auto"/>
        <w:ind w:firstLine="480"/>
        <w:rPr>
          <w:rFonts w:hint="eastAsia" w:hAnsi="宋体" w:cs="宋体"/>
          <w:sz w:val="21"/>
          <w:szCs w:val="21"/>
        </w:rPr>
      </w:pPr>
      <w:r>
        <w:rPr>
          <w:rFonts w:hint="eastAsia" w:hAnsi="宋体" w:cs="宋体"/>
          <w:sz w:val="21"/>
          <w:szCs w:val="21"/>
        </w:rPr>
        <w:t>关于竣工验收程序的约定：</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发包人不按照本项约定组织竣工验收、颁发工程接收证书的违约金的计算方法：</w:t>
      </w:r>
      <w:r>
        <w:rPr>
          <w:rFonts w:hint="eastAsia" w:hAnsi="宋体" w:cs="宋体"/>
          <w:sz w:val="21"/>
          <w:szCs w:val="21"/>
          <w:u w:val="single"/>
        </w:rPr>
        <w:t>按通用条款，无特殊约定</w:t>
      </w:r>
      <w:r>
        <w:rPr>
          <w:rFonts w:hint="eastAsia" w:hAnsi="宋体" w:cs="宋体"/>
          <w:sz w:val="21"/>
          <w:szCs w:val="21"/>
        </w:rPr>
        <w:t>。</w:t>
      </w:r>
    </w:p>
    <w:bookmarkEnd w:id="663"/>
    <w:p>
      <w:pPr>
        <w:pStyle w:val="36"/>
        <w:wordWrap w:val="0"/>
        <w:topLinePunct/>
        <w:spacing w:line="360" w:lineRule="auto"/>
        <w:ind w:firstLine="480"/>
        <w:rPr>
          <w:rFonts w:hint="eastAsia" w:hAnsi="宋体" w:cs="宋体"/>
          <w:sz w:val="21"/>
          <w:szCs w:val="21"/>
        </w:rPr>
      </w:pPr>
      <w:r>
        <w:rPr>
          <w:rFonts w:hint="eastAsia" w:hAnsi="宋体" w:cs="宋体"/>
          <w:sz w:val="21"/>
          <w:szCs w:val="21"/>
        </w:rPr>
        <w:t>13.2.5移交、接收全部与部分工程</w:t>
      </w:r>
    </w:p>
    <w:bookmarkEnd w:id="664"/>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承包人向发包人移交工程的期限：</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发包人未按本合同约定接收全部或部分工程的，违约金的计算方法为：</w:t>
      </w:r>
      <w:r>
        <w:rPr>
          <w:rFonts w:hint="eastAsia" w:hAnsi="宋体" w:cs="宋体"/>
          <w:sz w:val="21"/>
          <w:szCs w:val="21"/>
          <w:u w:val="single"/>
        </w:rPr>
        <w:t>按通用条款，无特殊约定</w:t>
      </w:r>
      <w:r>
        <w:rPr>
          <w:rFonts w:hint="eastAsia" w:hAnsi="宋体" w:cs="宋体"/>
          <w:sz w:val="21"/>
          <w:szCs w:val="21"/>
        </w:rPr>
        <w:t>。</w:t>
      </w:r>
    </w:p>
    <w:bookmarkEnd w:id="665"/>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承包人未按时移交工程的，违约金的计算方法为：</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668" w:name="_Toc419286893"/>
      <w:bookmarkStart w:id="669" w:name="_Toc433801755"/>
      <w:r>
        <w:rPr>
          <w:rFonts w:hint="eastAsia" w:ascii="宋体" w:cs="宋体"/>
          <w:sz w:val="21"/>
          <w:szCs w:val="21"/>
        </w:rPr>
        <w:t>13.3 工程试车</w:t>
      </w:r>
      <w:bookmarkEnd w:id="668"/>
      <w:bookmarkEnd w:id="669"/>
    </w:p>
    <w:bookmarkEnd w:id="666"/>
    <w:p>
      <w:pPr>
        <w:pStyle w:val="36"/>
        <w:wordWrap w:val="0"/>
        <w:topLinePunct/>
        <w:spacing w:line="360" w:lineRule="auto"/>
        <w:ind w:firstLine="480"/>
        <w:outlineLvl w:val="0"/>
        <w:rPr>
          <w:rFonts w:hint="eastAsia" w:hAnsi="宋体" w:cs="宋体"/>
          <w:sz w:val="21"/>
          <w:szCs w:val="21"/>
        </w:rPr>
      </w:pPr>
      <w:bookmarkStart w:id="670" w:name="_Toc419286894"/>
      <w:bookmarkStart w:id="671" w:name="_Toc433801756"/>
      <w:bookmarkStart w:id="672" w:name="_Toc406522285"/>
      <w:bookmarkStart w:id="673" w:name="_Toc406419409"/>
      <w:r>
        <w:rPr>
          <w:rFonts w:hint="eastAsia" w:hAnsi="宋体" w:cs="宋体"/>
          <w:sz w:val="21"/>
          <w:szCs w:val="21"/>
        </w:rPr>
        <w:t>13.3.1 试车程序</w:t>
      </w:r>
      <w:bookmarkEnd w:id="670"/>
      <w:bookmarkEnd w:id="671"/>
      <w:bookmarkEnd w:id="672"/>
      <w:bookmarkEnd w:id="673"/>
    </w:p>
    <w:p>
      <w:pPr>
        <w:pStyle w:val="36"/>
        <w:wordWrap w:val="0"/>
        <w:topLinePunct/>
        <w:spacing w:line="360" w:lineRule="auto"/>
        <w:ind w:firstLine="480"/>
        <w:rPr>
          <w:rFonts w:hint="eastAsia" w:hAnsi="宋体" w:cs="宋体"/>
          <w:sz w:val="21"/>
          <w:szCs w:val="21"/>
        </w:rPr>
      </w:pPr>
      <w:r>
        <w:rPr>
          <w:rFonts w:hint="eastAsia" w:hAnsi="宋体" w:cs="宋体"/>
          <w:sz w:val="21"/>
          <w:szCs w:val="21"/>
        </w:rPr>
        <w:t>工程试车内容：</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（1）单机无负荷试车费用由</w:t>
      </w:r>
      <w:r>
        <w:rPr>
          <w:rFonts w:hint="eastAsia" w:hAnsi="宋体" w:cs="宋体"/>
          <w:sz w:val="21"/>
          <w:szCs w:val="21"/>
          <w:u w:val="single"/>
        </w:rPr>
        <w:t>按通用条款，无特殊约定</w:t>
      </w:r>
      <w:r>
        <w:rPr>
          <w:rFonts w:hint="eastAsia" w:hAnsi="宋体" w:cs="宋体"/>
          <w:sz w:val="21"/>
          <w:szCs w:val="21"/>
        </w:rPr>
        <w:t>承担；</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（2）无负荷联动试车费用由</w:t>
      </w:r>
      <w:r>
        <w:rPr>
          <w:rFonts w:hint="eastAsia" w:hAnsi="宋体" w:cs="宋体"/>
          <w:sz w:val="21"/>
          <w:szCs w:val="21"/>
          <w:u w:val="single"/>
        </w:rPr>
        <w:t>按通用条款，无特殊约定</w:t>
      </w:r>
      <w:r>
        <w:rPr>
          <w:rFonts w:hint="eastAsia" w:hAnsi="宋体" w:cs="宋体"/>
          <w:sz w:val="21"/>
          <w:szCs w:val="21"/>
        </w:rPr>
        <w:t>承担。</w:t>
      </w:r>
    </w:p>
    <w:p>
      <w:pPr>
        <w:pStyle w:val="36"/>
        <w:wordWrap w:val="0"/>
        <w:topLinePunct/>
        <w:spacing w:line="360" w:lineRule="auto"/>
        <w:ind w:firstLine="480"/>
        <w:outlineLvl w:val="0"/>
        <w:rPr>
          <w:rFonts w:hint="eastAsia" w:hAnsi="宋体" w:cs="宋体"/>
          <w:sz w:val="21"/>
          <w:szCs w:val="21"/>
        </w:rPr>
      </w:pPr>
      <w:bookmarkStart w:id="674" w:name="_Toc406522286"/>
      <w:bookmarkStart w:id="675" w:name="_Toc433801757"/>
      <w:bookmarkStart w:id="676" w:name="_Toc406419410"/>
      <w:bookmarkStart w:id="677" w:name="_Toc419286895"/>
      <w:r>
        <w:rPr>
          <w:rFonts w:hint="eastAsia" w:hAnsi="宋体" w:cs="宋体"/>
          <w:sz w:val="21"/>
          <w:szCs w:val="21"/>
        </w:rPr>
        <w:t>13.3.3 投料试车</w:t>
      </w:r>
      <w:bookmarkEnd w:id="674"/>
      <w:bookmarkEnd w:id="675"/>
      <w:bookmarkEnd w:id="676"/>
      <w:bookmarkEnd w:id="677"/>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关于投料试车相关事项的约定：</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678" w:name="_Toc433801758"/>
      <w:bookmarkStart w:id="679" w:name="_Toc419286896"/>
      <w:r>
        <w:rPr>
          <w:rFonts w:hint="eastAsia" w:ascii="宋体" w:cs="宋体"/>
          <w:sz w:val="21"/>
          <w:szCs w:val="21"/>
        </w:rPr>
        <w:t>13.6 竣工退场</w:t>
      </w:r>
      <w:bookmarkEnd w:id="678"/>
      <w:bookmarkEnd w:id="679"/>
    </w:p>
    <w:p>
      <w:pPr>
        <w:pStyle w:val="36"/>
        <w:wordWrap w:val="0"/>
        <w:topLinePunct/>
        <w:spacing w:line="360" w:lineRule="auto"/>
        <w:ind w:firstLine="480"/>
        <w:rPr>
          <w:rFonts w:hint="eastAsia" w:hAnsi="宋体" w:cs="宋体"/>
          <w:sz w:val="21"/>
          <w:szCs w:val="21"/>
        </w:rPr>
      </w:pPr>
      <w:r>
        <w:rPr>
          <w:rFonts w:hint="eastAsia" w:hAnsi="宋体" w:cs="宋体"/>
          <w:sz w:val="21"/>
          <w:szCs w:val="21"/>
        </w:rPr>
        <w:t>13.6.1 竣工退场</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承包人完成竣工退场的期限：</w:t>
      </w:r>
      <w:r>
        <w:rPr>
          <w:rFonts w:hint="eastAsia" w:hAnsi="宋体" w:cs="宋体"/>
          <w:sz w:val="21"/>
          <w:szCs w:val="21"/>
          <w:u w:val="single"/>
        </w:rPr>
        <w:t>颁发工程接收证书后14天内</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680" w:name="_Toc433801759"/>
      <w:bookmarkStart w:id="681" w:name="_Toc419286897"/>
      <w:bookmarkStart w:id="682" w:name="_Toc351203646"/>
      <w:r>
        <w:rPr>
          <w:rFonts w:hint="eastAsia" w:ascii="宋体" w:cs="宋体"/>
          <w:sz w:val="21"/>
          <w:szCs w:val="21"/>
        </w:rPr>
        <w:t>14. 竣工结算</w:t>
      </w:r>
      <w:bookmarkEnd w:id="680"/>
      <w:bookmarkEnd w:id="681"/>
      <w:bookmarkEnd w:id="682"/>
    </w:p>
    <w:p>
      <w:pPr>
        <w:pStyle w:val="35"/>
        <w:wordWrap w:val="0"/>
        <w:topLinePunct/>
        <w:spacing w:line="360" w:lineRule="auto"/>
        <w:rPr>
          <w:rFonts w:hint="eastAsia" w:ascii="宋体" w:cs="宋体"/>
          <w:sz w:val="21"/>
          <w:szCs w:val="21"/>
        </w:rPr>
      </w:pPr>
      <w:bookmarkStart w:id="683" w:name="_Toc433801760"/>
      <w:bookmarkStart w:id="684" w:name="_Toc419286898"/>
      <w:r>
        <w:rPr>
          <w:rFonts w:hint="eastAsia" w:ascii="宋体" w:cs="宋体"/>
          <w:sz w:val="21"/>
          <w:szCs w:val="21"/>
        </w:rPr>
        <w:t>14.1 竣工结算申请</w:t>
      </w:r>
      <w:bookmarkEnd w:id="683"/>
      <w:bookmarkEnd w:id="684"/>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承包人提交竣工结算申请单的期限：</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color w:val="FF0000"/>
          <w:sz w:val="21"/>
          <w:szCs w:val="21"/>
        </w:rPr>
      </w:pPr>
      <w:r>
        <w:rPr>
          <w:rFonts w:hint="eastAsia" w:hAnsi="宋体" w:cs="宋体"/>
          <w:sz w:val="21"/>
          <w:szCs w:val="21"/>
        </w:rPr>
        <w:t>竣工结算申请单应包括的内容：</w:t>
      </w:r>
      <w:r>
        <w:rPr>
          <w:rFonts w:hint="eastAsia" w:hAnsi="宋体" w:cs="宋体"/>
          <w:sz w:val="21"/>
          <w:szCs w:val="21"/>
          <w:u w:val="single"/>
        </w:rPr>
        <w:t>按桂林市</w:t>
      </w:r>
      <w:r>
        <w:rPr>
          <w:rFonts w:hint="eastAsia" w:hAnsi="宋体" w:cs="宋体"/>
          <w:bCs/>
          <w:sz w:val="21"/>
          <w:szCs w:val="21"/>
          <w:u w:val="single"/>
        </w:rPr>
        <w:t>兴安县审计局的要求提供</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685" w:name="_Toc419286899"/>
      <w:bookmarkStart w:id="686" w:name="_Toc433801761"/>
      <w:r>
        <w:rPr>
          <w:rFonts w:hint="eastAsia" w:ascii="宋体" w:cs="宋体"/>
          <w:sz w:val="21"/>
          <w:szCs w:val="21"/>
        </w:rPr>
        <w:t>14.2 竣工结算审核</w:t>
      </w:r>
      <w:bookmarkEnd w:id="685"/>
      <w:bookmarkEnd w:id="686"/>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发包人审批竣工付款申请单的期限：</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36"/>
              <w:topLinePunct/>
              <w:spacing w:line="240" w:lineRule="auto"/>
              <w:ind w:firstLine="0" w:firstLineChars="0"/>
              <w:jc w:val="center"/>
              <w:rPr>
                <w:rFonts w:hint="eastAsia" w:hAnsi="宋体" w:cs="宋体"/>
                <w:bCs/>
                <w:sz w:val="21"/>
                <w:szCs w:val="21"/>
                <w:lang w:val="en-US" w:eastAsia="zh-CN"/>
              </w:rPr>
            </w:pPr>
          </w:p>
        </w:tc>
        <w:tc>
          <w:tcPr>
            <w:tcW w:w="2466" w:type="dxa"/>
            <w:noWrap w:val="0"/>
            <w:vAlign w:val="center"/>
          </w:tcPr>
          <w:p>
            <w:pPr>
              <w:pStyle w:val="36"/>
              <w:wordWrap w:val="0"/>
              <w:topLinePunct/>
              <w:spacing w:line="240" w:lineRule="auto"/>
              <w:ind w:firstLine="0" w:firstLineChars="0"/>
              <w:rPr>
                <w:rFonts w:hint="eastAsia" w:hAnsi="宋体" w:cs="宋体"/>
                <w:bCs/>
                <w:sz w:val="21"/>
                <w:szCs w:val="21"/>
                <w:lang w:val="en-US" w:eastAsia="zh-CN"/>
              </w:rPr>
            </w:pPr>
            <w:r>
              <w:rPr>
                <w:rFonts w:hint="eastAsia" w:hAnsi="宋体" w:cs="宋体"/>
                <w:bCs/>
                <w:sz w:val="21"/>
                <w:szCs w:val="21"/>
                <w:lang w:val="en-US" w:eastAsia="zh-CN"/>
              </w:rPr>
              <w:t>工程竣工结算报告金额</w:t>
            </w:r>
          </w:p>
        </w:tc>
        <w:tc>
          <w:tcPr>
            <w:tcW w:w="5967" w:type="dxa"/>
            <w:noWrap w:val="0"/>
            <w:vAlign w:val="center"/>
          </w:tcPr>
          <w:p>
            <w:pPr>
              <w:pStyle w:val="36"/>
              <w:wordWrap w:val="0"/>
              <w:topLinePunct/>
              <w:spacing w:line="240" w:lineRule="auto"/>
              <w:ind w:firstLine="0" w:firstLineChars="0"/>
              <w:rPr>
                <w:rFonts w:hint="eastAsia" w:hAnsi="宋体" w:cs="宋体"/>
                <w:bCs/>
                <w:sz w:val="21"/>
                <w:szCs w:val="21"/>
                <w:lang w:val="en-US" w:eastAsia="zh-CN"/>
              </w:rPr>
            </w:pPr>
            <w:r>
              <w:rPr>
                <w:rFonts w:hint="eastAsia" w:hAnsi="宋体" w:cs="宋体"/>
                <w:bCs/>
                <w:sz w:val="21"/>
                <w:szCs w:val="21"/>
                <w:lang w:val="en-US" w:eastAsia="zh-CN"/>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36"/>
              <w:wordWrap w:val="0"/>
              <w:topLinePunct/>
              <w:spacing w:line="240" w:lineRule="auto"/>
              <w:ind w:firstLine="0" w:firstLineChars="0"/>
              <w:jc w:val="center"/>
              <w:rPr>
                <w:rFonts w:hint="eastAsia" w:hAnsi="宋体" w:cs="宋体"/>
                <w:bCs/>
                <w:sz w:val="21"/>
                <w:szCs w:val="21"/>
                <w:lang w:val="en-US" w:eastAsia="zh-CN"/>
              </w:rPr>
            </w:pPr>
            <w:r>
              <w:rPr>
                <w:rFonts w:hint="eastAsia" w:hAnsi="宋体" w:cs="宋体"/>
                <w:bCs/>
                <w:sz w:val="21"/>
                <w:szCs w:val="21"/>
                <w:lang w:val="en-US" w:eastAsia="zh-CN"/>
              </w:rPr>
              <w:t>1</w:t>
            </w:r>
          </w:p>
        </w:tc>
        <w:tc>
          <w:tcPr>
            <w:tcW w:w="2466" w:type="dxa"/>
            <w:noWrap w:val="0"/>
            <w:vAlign w:val="center"/>
          </w:tcPr>
          <w:p>
            <w:pPr>
              <w:pStyle w:val="36"/>
              <w:wordWrap w:val="0"/>
              <w:topLinePunct/>
              <w:spacing w:line="240" w:lineRule="auto"/>
              <w:ind w:firstLine="0" w:firstLineChars="0"/>
              <w:rPr>
                <w:rFonts w:hint="eastAsia" w:hAnsi="宋体" w:cs="宋体"/>
                <w:bCs/>
                <w:sz w:val="21"/>
                <w:szCs w:val="21"/>
                <w:lang w:val="en-US" w:eastAsia="zh-CN"/>
              </w:rPr>
            </w:pPr>
            <w:r>
              <w:rPr>
                <w:rFonts w:hint="eastAsia" w:hAnsi="宋体" w:cs="宋体"/>
                <w:bCs/>
                <w:sz w:val="21"/>
                <w:szCs w:val="21"/>
                <w:lang w:val="en-US" w:eastAsia="zh-CN"/>
              </w:rPr>
              <w:t>500万元以下</w:t>
            </w:r>
          </w:p>
        </w:tc>
        <w:tc>
          <w:tcPr>
            <w:tcW w:w="5967" w:type="dxa"/>
            <w:noWrap w:val="0"/>
            <w:vAlign w:val="center"/>
          </w:tcPr>
          <w:p>
            <w:pPr>
              <w:pStyle w:val="36"/>
              <w:wordWrap w:val="0"/>
              <w:topLinePunct/>
              <w:spacing w:line="240" w:lineRule="auto"/>
              <w:ind w:firstLine="0" w:firstLineChars="0"/>
              <w:rPr>
                <w:rFonts w:hint="eastAsia" w:hAnsi="宋体" w:cs="宋体"/>
                <w:bCs/>
                <w:sz w:val="21"/>
                <w:szCs w:val="21"/>
                <w:lang w:val="en-US" w:eastAsia="zh-CN"/>
              </w:rPr>
            </w:pPr>
            <w:r>
              <w:rPr>
                <w:rFonts w:hint="eastAsia" w:hAnsi="宋体" w:cs="宋体"/>
                <w:bCs/>
                <w:sz w:val="21"/>
                <w:szCs w:val="21"/>
                <w:lang w:val="en-US" w:eastAsia="zh-CN"/>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36"/>
              <w:wordWrap w:val="0"/>
              <w:topLinePunct/>
              <w:spacing w:line="240" w:lineRule="auto"/>
              <w:ind w:firstLine="0" w:firstLineChars="0"/>
              <w:jc w:val="center"/>
              <w:rPr>
                <w:rFonts w:hint="eastAsia" w:hAnsi="宋体" w:cs="宋体"/>
                <w:bCs/>
                <w:sz w:val="21"/>
                <w:szCs w:val="21"/>
                <w:lang w:val="en-US" w:eastAsia="zh-CN"/>
              </w:rPr>
            </w:pPr>
            <w:r>
              <w:rPr>
                <w:rFonts w:hint="eastAsia" w:hAnsi="宋体" w:cs="宋体"/>
                <w:bCs/>
                <w:sz w:val="21"/>
                <w:szCs w:val="21"/>
                <w:lang w:val="en-US" w:eastAsia="zh-CN"/>
              </w:rPr>
              <w:t>2</w:t>
            </w:r>
          </w:p>
        </w:tc>
        <w:tc>
          <w:tcPr>
            <w:tcW w:w="2466" w:type="dxa"/>
            <w:noWrap w:val="0"/>
            <w:vAlign w:val="center"/>
          </w:tcPr>
          <w:p>
            <w:pPr>
              <w:pStyle w:val="36"/>
              <w:wordWrap w:val="0"/>
              <w:topLinePunct/>
              <w:spacing w:line="240" w:lineRule="auto"/>
              <w:ind w:firstLine="0" w:firstLineChars="0"/>
              <w:rPr>
                <w:rFonts w:hint="eastAsia" w:hAnsi="宋体" w:cs="宋体"/>
                <w:bCs/>
                <w:sz w:val="21"/>
                <w:szCs w:val="21"/>
                <w:lang w:val="en-US" w:eastAsia="zh-CN"/>
              </w:rPr>
            </w:pPr>
            <w:r>
              <w:rPr>
                <w:rFonts w:hint="eastAsia" w:hAnsi="宋体" w:cs="宋体"/>
                <w:bCs/>
                <w:sz w:val="21"/>
                <w:szCs w:val="21"/>
                <w:lang w:val="en-US" w:eastAsia="zh-CN"/>
              </w:rPr>
              <w:t>500万元-2000万元</w:t>
            </w:r>
          </w:p>
        </w:tc>
        <w:tc>
          <w:tcPr>
            <w:tcW w:w="5967" w:type="dxa"/>
            <w:noWrap w:val="0"/>
            <w:vAlign w:val="center"/>
          </w:tcPr>
          <w:p>
            <w:pPr>
              <w:pStyle w:val="36"/>
              <w:wordWrap w:val="0"/>
              <w:topLinePunct/>
              <w:spacing w:line="240" w:lineRule="auto"/>
              <w:ind w:firstLine="0" w:firstLineChars="0"/>
              <w:rPr>
                <w:rFonts w:hint="eastAsia" w:hAnsi="宋体" w:cs="宋体"/>
                <w:bCs/>
                <w:sz w:val="21"/>
                <w:szCs w:val="21"/>
                <w:lang w:val="en-US" w:eastAsia="zh-CN"/>
              </w:rPr>
            </w:pPr>
            <w:r>
              <w:rPr>
                <w:rFonts w:hint="eastAsia" w:hAnsi="宋体" w:cs="宋体"/>
                <w:bCs/>
                <w:sz w:val="21"/>
                <w:szCs w:val="21"/>
                <w:lang w:val="en-US" w:eastAsia="zh-CN"/>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36"/>
              <w:wordWrap w:val="0"/>
              <w:topLinePunct/>
              <w:spacing w:line="240" w:lineRule="auto"/>
              <w:ind w:firstLine="0" w:firstLineChars="0"/>
              <w:jc w:val="center"/>
              <w:rPr>
                <w:rFonts w:hint="eastAsia" w:hAnsi="宋体" w:cs="宋体"/>
                <w:bCs/>
                <w:sz w:val="21"/>
                <w:szCs w:val="21"/>
                <w:lang w:val="en-US" w:eastAsia="zh-CN"/>
              </w:rPr>
            </w:pPr>
            <w:r>
              <w:rPr>
                <w:rFonts w:hint="eastAsia" w:hAnsi="宋体" w:cs="宋体"/>
                <w:bCs/>
                <w:sz w:val="21"/>
                <w:szCs w:val="21"/>
                <w:lang w:val="en-US" w:eastAsia="zh-CN"/>
              </w:rPr>
              <w:t>3</w:t>
            </w:r>
          </w:p>
        </w:tc>
        <w:tc>
          <w:tcPr>
            <w:tcW w:w="2466" w:type="dxa"/>
            <w:noWrap w:val="0"/>
            <w:vAlign w:val="center"/>
          </w:tcPr>
          <w:p>
            <w:pPr>
              <w:pStyle w:val="36"/>
              <w:wordWrap w:val="0"/>
              <w:topLinePunct/>
              <w:spacing w:line="240" w:lineRule="auto"/>
              <w:ind w:firstLine="0" w:firstLineChars="0"/>
              <w:rPr>
                <w:rFonts w:hint="eastAsia" w:hAnsi="宋体" w:cs="宋体"/>
                <w:bCs/>
                <w:sz w:val="21"/>
                <w:szCs w:val="21"/>
                <w:lang w:val="en-US" w:eastAsia="zh-CN"/>
              </w:rPr>
            </w:pPr>
            <w:r>
              <w:rPr>
                <w:rFonts w:hint="eastAsia" w:hAnsi="宋体" w:cs="宋体"/>
                <w:bCs/>
                <w:sz w:val="21"/>
                <w:szCs w:val="21"/>
                <w:lang w:val="en-US" w:eastAsia="zh-CN"/>
              </w:rPr>
              <w:t>2000万元-5000万元</w:t>
            </w:r>
          </w:p>
        </w:tc>
        <w:tc>
          <w:tcPr>
            <w:tcW w:w="5967" w:type="dxa"/>
            <w:noWrap w:val="0"/>
            <w:vAlign w:val="center"/>
          </w:tcPr>
          <w:p>
            <w:pPr>
              <w:pStyle w:val="36"/>
              <w:wordWrap w:val="0"/>
              <w:topLinePunct/>
              <w:spacing w:line="240" w:lineRule="auto"/>
              <w:ind w:firstLine="0" w:firstLineChars="0"/>
              <w:rPr>
                <w:rFonts w:hint="eastAsia" w:hAnsi="宋体" w:cs="宋体"/>
                <w:bCs/>
                <w:sz w:val="21"/>
                <w:szCs w:val="21"/>
                <w:lang w:val="en-US" w:eastAsia="zh-CN"/>
              </w:rPr>
            </w:pPr>
            <w:r>
              <w:rPr>
                <w:rFonts w:hint="eastAsia" w:hAnsi="宋体" w:cs="宋体"/>
                <w:bCs/>
                <w:sz w:val="21"/>
                <w:szCs w:val="21"/>
                <w:lang w:val="en-US" w:eastAsia="zh-CN"/>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pStyle w:val="36"/>
              <w:wordWrap w:val="0"/>
              <w:topLinePunct/>
              <w:spacing w:line="240" w:lineRule="auto"/>
              <w:ind w:firstLine="0" w:firstLineChars="0"/>
              <w:jc w:val="center"/>
              <w:rPr>
                <w:rFonts w:hint="eastAsia" w:hAnsi="宋体" w:cs="宋体"/>
                <w:bCs/>
                <w:sz w:val="21"/>
                <w:szCs w:val="21"/>
                <w:lang w:val="en-US" w:eastAsia="zh-CN"/>
              </w:rPr>
            </w:pPr>
            <w:r>
              <w:rPr>
                <w:rFonts w:hint="eastAsia" w:hAnsi="宋体" w:cs="宋体"/>
                <w:bCs/>
                <w:sz w:val="21"/>
                <w:szCs w:val="21"/>
                <w:lang w:val="en-US" w:eastAsia="zh-CN"/>
              </w:rPr>
              <w:t>4</w:t>
            </w:r>
          </w:p>
        </w:tc>
        <w:tc>
          <w:tcPr>
            <w:tcW w:w="2466" w:type="dxa"/>
            <w:noWrap w:val="0"/>
            <w:vAlign w:val="center"/>
          </w:tcPr>
          <w:p>
            <w:pPr>
              <w:pStyle w:val="36"/>
              <w:wordWrap w:val="0"/>
              <w:topLinePunct/>
              <w:spacing w:line="240" w:lineRule="auto"/>
              <w:ind w:firstLine="0" w:firstLineChars="0"/>
              <w:rPr>
                <w:rFonts w:hint="eastAsia" w:hAnsi="宋体" w:cs="宋体"/>
                <w:bCs/>
                <w:sz w:val="21"/>
                <w:szCs w:val="21"/>
                <w:lang w:val="en-US" w:eastAsia="zh-CN"/>
              </w:rPr>
            </w:pPr>
            <w:r>
              <w:rPr>
                <w:rFonts w:hint="eastAsia" w:hAnsi="宋体" w:cs="宋体"/>
                <w:bCs/>
                <w:sz w:val="21"/>
                <w:szCs w:val="21"/>
                <w:lang w:val="en-US" w:eastAsia="zh-CN"/>
              </w:rPr>
              <w:t>5000万元以上</w:t>
            </w:r>
          </w:p>
        </w:tc>
        <w:tc>
          <w:tcPr>
            <w:tcW w:w="5967" w:type="dxa"/>
            <w:noWrap w:val="0"/>
            <w:vAlign w:val="center"/>
          </w:tcPr>
          <w:p>
            <w:pPr>
              <w:pStyle w:val="36"/>
              <w:wordWrap w:val="0"/>
              <w:topLinePunct/>
              <w:spacing w:line="240" w:lineRule="auto"/>
              <w:ind w:firstLine="0" w:firstLineChars="0"/>
              <w:rPr>
                <w:rFonts w:hint="eastAsia" w:hAnsi="宋体" w:cs="宋体"/>
                <w:bCs/>
                <w:sz w:val="21"/>
                <w:szCs w:val="21"/>
                <w:lang w:val="en-US" w:eastAsia="zh-CN"/>
              </w:rPr>
            </w:pPr>
            <w:r>
              <w:rPr>
                <w:rFonts w:hint="eastAsia" w:hAnsi="宋体" w:cs="宋体"/>
                <w:bCs/>
                <w:sz w:val="21"/>
                <w:szCs w:val="21"/>
                <w:lang w:val="en-US" w:eastAsia="zh-CN"/>
              </w:rPr>
              <w:t>从接到竣工结算报告和完整的竣工结算资料之日起60天</w:t>
            </w:r>
          </w:p>
        </w:tc>
      </w:tr>
    </w:tbl>
    <w:p>
      <w:pPr>
        <w:pStyle w:val="36"/>
        <w:wordWrap w:val="0"/>
        <w:topLinePunct/>
        <w:spacing w:line="360" w:lineRule="auto"/>
        <w:ind w:firstLine="480"/>
        <w:rPr>
          <w:rFonts w:hint="eastAsia" w:hAnsi="宋体" w:cs="宋体"/>
          <w:sz w:val="21"/>
          <w:szCs w:val="21"/>
        </w:rPr>
      </w:pPr>
      <w:r>
        <w:rPr>
          <w:rFonts w:hint="eastAsia" w:hAnsi="宋体" w:cs="宋体"/>
          <w:bCs/>
          <w:sz w:val="21"/>
          <w:szCs w:val="21"/>
        </w:rPr>
        <w:t>因承包人提供的结算资料不完整而需要补充或承包人不按时对账耽误时间时，审查时间应相应顺延</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发包人审批竣工付款申请单的期限：</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发包人完成竣工付款的期限：</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关于竣工付款证书异议部分复核的方式和程序：</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687" w:name="_Toc419286900"/>
      <w:bookmarkStart w:id="688" w:name="_Toc433801762"/>
      <w:r>
        <w:rPr>
          <w:rFonts w:hint="eastAsia" w:ascii="宋体" w:cs="宋体"/>
          <w:sz w:val="21"/>
          <w:szCs w:val="21"/>
        </w:rPr>
        <w:t>14.4 最终结清</w:t>
      </w:r>
      <w:bookmarkEnd w:id="687"/>
      <w:bookmarkEnd w:id="688"/>
    </w:p>
    <w:p>
      <w:pPr>
        <w:pStyle w:val="36"/>
        <w:wordWrap w:val="0"/>
        <w:topLinePunct/>
        <w:spacing w:line="360" w:lineRule="auto"/>
        <w:ind w:firstLine="480"/>
        <w:rPr>
          <w:rFonts w:hint="eastAsia" w:hAnsi="宋体" w:cs="宋体"/>
          <w:sz w:val="21"/>
          <w:szCs w:val="21"/>
        </w:rPr>
      </w:pPr>
      <w:r>
        <w:rPr>
          <w:rFonts w:hint="eastAsia" w:hAnsi="宋体" w:cs="宋体"/>
          <w:sz w:val="21"/>
          <w:szCs w:val="21"/>
        </w:rPr>
        <w:t>14.4.1 最终结清申请单</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承包人提交最终结清申请单的份数：</w:t>
      </w:r>
      <w:r>
        <w:rPr>
          <w:rFonts w:hint="eastAsia" w:hAnsi="宋体" w:cs="宋体"/>
          <w:sz w:val="21"/>
          <w:szCs w:val="21"/>
          <w:u w:val="single"/>
          <w:lang w:val="en-US" w:eastAsia="zh-CN"/>
        </w:rPr>
        <w:t>5</w:t>
      </w:r>
      <w:r>
        <w:rPr>
          <w:rFonts w:hint="eastAsia" w:hAnsi="宋体" w:cs="宋体"/>
          <w:sz w:val="21"/>
          <w:szCs w:val="21"/>
          <w:u w:val="single"/>
        </w:rPr>
        <w:t>份</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承包人提交最终结算申请单的期限：</w:t>
      </w:r>
      <w:r>
        <w:rPr>
          <w:rFonts w:hint="eastAsia" w:hAnsi="宋体" w:cs="宋体"/>
          <w:sz w:val="21"/>
          <w:szCs w:val="21"/>
          <w:u w:val="single"/>
        </w:rPr>
        <w:t>按通用条款，无特殊约定</w:t>
      </w:r>
      <w:r>
        <w:rPr>
          <w:rFonts w:hint="eastAsia" w:hAnsi="宋体" w:cs="宋体"/>
          <w:sz w:val="21"/>
          <w:szCs w:val="21"/>
        </w:rPr>
        <w:t xml:space="preserve">。 </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14.4.2 最终结清证书和支付</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（1）发包人完成最终结清申请单的审批并颁发最终结清证书的期限：</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（2）发包人完成支付的期限：</w:t>
      </w:r>
      <w:r>
        <w:rPr>
          <w:rFonts w:hint="eastAsia" w:hAnsi="宋体" w:cs="宋体"/>
          <w:sz w:val="21"/>
          <w:szCs w:val="21"/>
          <w:u w:val="single"/>
        </w:rPr>
        <w:t>按通用条款，无特殊约定</w:t>
      </w:r>
      <w:r>
        <w:rPr>
          <w:rFonts w:hint="eastAsia" w:hAnsi="宋体" w:cs="宋体"/>
          <w:sz w:val="21"/>
          <w:szCs w:val="21"/>
        </w:rPr>
        <w:t>。</w:t>
      </w:r>
    </w:p>
    <w:bookmarkEnd w:id="655"/>
    <w:bookmarkEnd w:id="656"/>
    <w:bookmarkEnd w:id="657"/>
    <w:bookmarkEnd w:id="658"/>
    <w:bookmarkEnd w:id="659"/>
    <w:bookmarkEnd w:id="660"/>
    <w:bookmarkEnd w:id="661"/>
    <w:bookmarkEnd w:id="667"/>
    <w:p>
      <w:pPr>
        <w:pStyle w:val="35"/>
        <w:wordWrap w:val="0"/>
        <w:topLinePunct/>
        <w:spacing w:line="360" w:lineRule="auto"/>
        <w:rPr>
          <w:rFonts w:hint="eastAsia" w:ascii="宋体" w:cs="宋体"/>
          <w:sz w:val="21"/>
          <w:szCs w:val="21"/>
        </w:rPr>
      </w:pPr>
      <w:bookmarkStart w:id="689" w:name="_Toc433801763"/>
      <w:bookmarkStart w:id="690" w:name="_Toc351203647"/>
      <w:bookmarkStart w:id="691" w:name="_Toc419286901"/>
      <w:bookmarkStart w:id="692" w:name="_Toc267251483"/>
      <w:bookmarkStart w:id="693" w:name="_Toc267251482"/>
      <w:bookmarkStart w:id="694" w:name="_Toc267251484"/>
      <w:bookmarkStart w:id="695" w:name="_Toc267251485"/>
      <w:bookmarkStart w:id="696" w:name="_Toc267251489"/>
      <w:bookmarkStart w:id="697" w:name="_Toc267251488"/>
      <w:bookmarkStart w:id="698" w:name="_Toc267251486"/>
      <w:bookmarkStart w:id="699" w:name="_Toc267251490"/>
      <w:bookmarkStart w:id="700" w:name="_Toc267251492"/>
      <w:bookmarkStart w:id="701" w:name="_Toc267251498"/>
      <w:bookmarkStart w:id="702" w:name="_Toc267251495"/>
      <w:bookmarkStart w:id="703" w:name="_Toc267251497"/>
      <w:bookmarkStart w:id="704" w:name="_Toc267251496"/>
      <w:bookmarkStart w:id="705" w:name="_Toc267251501"/>
      <w:bookmarkStart w:id="706" w:name="_Toc267251493"/>
      <w:bookmarkStart w:id="707" w:name="_Toc267251499"/>
      <w:bookmarkStart w:id="708" w:name="_Toc267251494"/>
      <w:bookmarkStart w:id="709" w:name="_Toc267251491"/>
      <w:bookmarkStart w:id="710" w:name="_Toc267251503"/>
      <w:bookmarkStart w:id="711" w:name="_Toc267251502"/>
      <w:bookmarkStart w:id="712" w:name="_Toc267251506"/>
      <w:bookmarkStart w:id="713" w:name="_Toc267251504"/>
      <w:bookmarkStart w:id="714" w:name="_Toc267251507"/>
      <w:bookmarkStart w:id="715" w:name="_Toc267251508"/>
      <w:bookmarkStart w:id="716" w:name="_Toc267251515"/>
      <w:bookmarkStart w:id="717" w:name="_Toc267251510"/>
      <w:bookmarkStart w:id="718" w:name="_Toc267251514"/>
      <w:bookmarkStart w:id="719" w:name="_Toc267251513"/>
      <w:bookmarkStart w:id="720" w:name="_Toc267251509"/>
      <w:bookmarkStart w:id="721" w:name="_Toc267251511"/>
      <w:r>
        <w:rPr>
          <w:rFonts w:hint="eastAsia" w:ascii="宋体" w:cs="宋体"/>
          <w:sz w:val="21"/>
          <w:szCs w:val="21"/>
        </w:rPr>
        <w:t>15. 缺陷责任期与保修</w:t>
      </w:r>
      <w:bookmarkEnd w:id="689"/>
      <w:bookmarkEnd w:id="690"/>
      <w:bookmarkEnd w:id="691"/>
    </w:p>
    <w:p>
      <w:pPr>
        <w:pStyle w:val="35"/>
        <w:wordWrap w:val="0"/>
        <w:topLinePunct/>
        <w:spacing w:line="360" w:lineRule="auto"/>
        <w:rPr>
          <w:rFonts w:hint="eastAsia" w:ascii="宋体" w:cs="宋体"/>
          <w:sz w:val="21"/>
          <w:szCs w:val="21"/>
        </w:rPr>
      </w:pPr>
      <w:bookmarkStart w:id="722" w:name="_Toc433801764"/>
      <w:bookmarkStart w:id="723" w:name="_Toc419286902"/>
      <w:r>
        <w:rPr>
          <w:rFonts w:hint="eastAsia" w:ascii="宋体" w:cs="宋体"/>
          <w:sz w:val="21"/>
          <w:szCs w:val="21"/>
        </w:rPr>
        <w:t>15.2缺陷责任期</w:t>
      </w:r>
      <w:bookmarkEnd w:id="692"/>
      <w:bookmarkEnd w:id="722"/>
      <w:bookmarkEnd w:id="723"/>
    </w:p>
    <w:p>
      <w:pPr>
        <w:pStyle w:val="36"/>
        <w:wordWrap w:val="0"/>
        <w:topLinePunct/>
        <w:spacing w:line="360" w:lineRule="auto"/>
        <w:ind w:firstLine="480"/>
        <w:rPr>
          <w:rFonts w:hint="eastAsia" w:hAnsi="宋体" w:cs="宋体"/>
          <w:sz w:val="21"/>
          <w:szCs w:val="21"/>
        </w:rPr>
      </w:pPr>
      <w:r>
        <w:rPr>
          <w:rFonts w:hint="eastAsia" w:hAnsi="宋体" w:cs="宋体"/>
          <w:sz w:val="21"/>
          <w:szCs w:val="21"/>
        </w:rPr>
        <w:t>缺陷责任期的具体期限：</w:t>
      </w:r>
      <w:r>
        <w:rPr>
          <w:rFonts w:hint="eastAsia" w:hAnsi="宋体" w:cs="宋体"/>
          <w:sz w:val="21"/>
          <w:szCs w:val="21"/>
          <w:u w:val="single"/>
        </w:rPr>
        <w:t>12个月</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724" w:name="_Toc419286903"/>
      <w:bookmarkStart w:id="725" w:name="_Toc433801765"/>
      <w:r>
        <w:rPr>
          <w:rFonts w:hint="eastAsia" w:ascii="宋体" w:cs="宋体"/>
          <w:sz w:val="21"/>
          <w:szCs w:val="21"/>
        </w:rPr>
        <w:t>15.3 质量保证金</w:t>
      </w:r>
      <w:bookmarkEnd w:id="724"/>
      <w:bookmarkEnd w:id="725"/>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关于是否扣留质量保证金的约定：</w:t>
      </w:r>
      <w:r>
        <w:rPr>
          <w:rFonts w:hint="eastAsia" w:hAnsi="宋体" w:cs="宋体"/>
          <w:sz w:val="21"/>
          <w:szCs w:val="21"/>
          <w:u w:val="single"/>
        </w:rPr>
        <w:t>扣留质量保证金</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15.3.1 承包人提供质量保证金的方式</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质量保证金采用以下第</w:t>
      </w:r>
      <w:r>
        <w:rPr>
          <w:rFonts w:hint="eastAsia" w:hAnsi="宋体" w:cs="宋体"/>
          <w:sz w:val="21"/>
          <w:szCs w:val="21"/>
          <w:u w:val="single"/>
        </w:rPr>
        <w:t>2</w:t>
      </w:r>
      <w:r>
        <w:rPr>
          <w:rFonts w:hint="eastAsia" w:hAnsi="宋体" w:cs="宋体"/>
          <w:sz w:val="21"/>
          <w:szCs w:val="21"/>
        </w:rPr>
        <w:t>种方式：</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（1）质量保证金保函，保证金额为：</w:t>
      </w:r>
      <w:r>
        <w:rPr>
          <w:rFonts w:hint="eastAsia" w:hAnsi="宋体" w:cs="宋体"/>
          <w:sz w:val="21"/>
          <w:szCs w:val="21"/>
          <w:u w:val="single"/>
        </w:rPr>
        <w:t xml:space="preserve">  /  </w:t>
      </w:r>
      <w:r>
        <w:rPr>
          <w:rFonts w:hint="eastAsia" w:hAnsi="宋体" w:cs="宋体"/>
          <w:sz w:val="21"/>
          <w:szCs w:val="21"/>
        </w:rPr>
        <w:t xml:space="preserve">； </w:t>
      </w:r>
    </w:p>
    <w:p>
      <w:pPr>
        <w:wordWrap w:val="0"/>
        <w:topLinePunct/>
        <w:adjustRightInd w:val="0"/>
        <w:spacing w:line="360" w:lineRule="auto"/>
        <w:ind w:firstLine="420" w:firstLineChars="200"/>
        <w:jc w:val="left"/>
        <w:rPr>
          <w:rFonts w:hint="eastAsia" w:ascii="宋体" w:hAnsi="宋体" w:cs="宋体"/>
          <w:kern w:val="0"/>
          <w:sz w:val="21"/>
          <w:szCs w:val="21"/>
        </w:rPr>
      </w:pPr>
      <w:r>
        <w:rPr>
          <w:rFonts w:hint="eastAsia" w:ascii="宋体" w:hAnsi="宋体" w:cs="宋体"/>
          <w:kern w:val="0"/>
          <w:sz w:val="21"/>
          <w:szCs w:val="21"/>
        </w:rPr>
        <w:t>（2）</w:t>
      </w:r>
      <w:r>
        <w:rPr>
          <w:rFonts w:hint="eastAsia" w:ascii="宋体" w:hAnsi="宋体" w:cs="宋体"/>
          <w:bCs/>
          <w:sz w:val="21"/>
          <w:szCs w:val="21"/>
        </w:rPr>
        <w:t>发包人按工程价款结算总额的</w:t>
      </w:r>
      <w:r>
        <w:rPr>
          <w:rFonts w:hint="eastAsia" w:ascii="宋体" w:hAnsi="宋体" w:cs="宋体"/>
          <w:bCs/>
          <w:sz w:val="21"/>
          <w:szCs w:val="21"/>
          <w:u w:val="single"/>
        </w:rPr>
        <w:t xml:space="preserve"> 3 </w:t>
      </w:r>
      <w:r>
        <w:rPr>
          <w:rFonts w:hint="eastAsia" w:ascii="宋体" w:hAnsi="宋体" w:cs="宋体"/>
          <w:bCs/>
          <w:sz w:val="21"/>
          <w:szCs w:val="21"/>
        </w:rPr>
        <w:t>%预留工程质量保修金，待缺陷责任期满后返还</w:t>
      </w:r>
      <w:r>
        <w:rPr>
          <w:rFonts w:hint="eastAsia" w:ascii="宋体" w:hAnsi="宋体" w:cs="宋体"/>
          <w:kern w:val="0"/>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（3）其他方式：</w:t>
      </w:r>
      <w:r>
        <w:rPr>
          <w:rFonts w:hint="eastAsia" w:hAnsi="宋体" w:cs="宋体"/>
          <w:sz w:val="21"/>
          <w:szCs w:val="21"/>
          <w:u w:val="single"/>
        </w:rPr>
        <w:t xml:space="preserve">  /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 xml:space="preserve">15.3.2 质量保证金的扣留 </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质量保证金的扣留采取以下第</w:t>
      </w:r>
      <w:r>
        <w:rPr>
          <w:rFonts w:hint="eastAsia" w:hAnsi="宋体" w:cs="宋体"/>
          <w:sz w:val="21"/>
          <w:szCs w:val="21"/>
          <w:u w:val="single"/>
        </w:rPr>
        <w:t>2</w:t>
      </w:r>
      <w:r>
        <w:rPr>
          <w:rFonts w:hint="eastAsia" w:hAnsi="宋体" w:cs="宋体"/>
          <w:sz w:val="21"/>
          <w:szCs w:val="21"/>
        </w:rPr>
        <w:t>种方式：</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（1）在支付工程进度款时逐次扣留，在此情形下，质量保证金的计算基数不包括预付款的支付、扣回以及价格调整的金额；</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（2）工程竣工结算时一次性扣留质量保证金；</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（3）其他扣留方式：</w:t>
      </w:r>
      <w:r>
        <w:rPr>
          <w:rFonts w:hint="eastAsia" w:hAnsi="宋体" w:cs="宋体"/>
          <w:sz w:val="21"/>
          <w:szCs w:val="21"/>
          <w:u w:val="single"/>
        </w:rPr>
        <w:t xml:space="preserve">  /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关于质量保证金的补充约定：</w:t>
      </w:r>
      <w:r>
        <w:rPr>
          <w:rFonts w:hint="eastAsia" w:hAnsi="宋体" w:cs="宋体"/>
          <w:sz w:val="21"/>
          <w:szCs w:val="21"/>
          <w:u w:val="single"/>
        </w:rPr>
        <w:t>按通用条款，无特殊约定</w:t>
      </w:r>
      <w:r>
        <w:rPr>
          <w:rFonts w:hint="eastAsia" w:hAnsi="宋体" w:cs="宋体"/>
          <w:sz w:val="21"/>
          <w:szCs w:val="21"/>
        </w:rPr>
        <w:t>。</w:t>
      </w:r>
    </w:p>
    <w:bookmarkEnd w:id="693"/>
    <w:bookmarkEnd w:id="694"/>
    <w:p>
      <w:pPr>
        <w:pStyle w:val="35"/>
        <w:wordWrap w:val="0"/>
        <w:topLinePunct/>
        <w:spacing w:line="360" w:lineRule="auto"/>
        <w:rPr>
          <w:rFonts w:hint="eastAsia" w:ascii="宋体" w:cs="宋体"/>
          <w:sz w:val="21"/>
          <w:szCs w:val="21"/>
        </w:rPr>
      </w:pPr>
      <w:bookmarkStart w:id="726" w:name="_Toc433801766"/>
      <w:bookmarkStart w:id="727" w:name="_Toc419286904"/>
      <w:r>
        <w:rPr>
          <w:rFonts w:hint="eastAsia" w:ascii="宋体" w:cs="宋体"/>
          <w:sz w:val="21"/>
          <w:szCs w:val="21"/>
        </w:rPr>
        <w:t>15.4保修</w:t>
      </w:r>
      <w:bookmarkEnd w:id="726"/>
      <w:bookmarkEnd w:id="727"/>
    </w:p>
    <w:bookmarkEnd w:id="695"/>
    <w:p>
      <w:pPr>
        <w:pStyle w:val="36"/>
        <w:wordWrap w:val="0"/>
        <w:topLinePunct/>
        <w:spacing w:line="360" w:lineRule="auto"/>
        <w:ind w:firstLine="480"/>
        <w:rPr>
          <w:rFonts w:hint="eastAsia" w:hAnsi="宋体" w:cs="宋体"/>
          <w:sz w:val="21"/>
          <w:szCs w:val="21"/>
        </w:rPr>
      </w:pPr>
      <w:r>
        <w:rPr>
          <w:rFonts w:hint="eastAsia" w:hAnsi="宋体" w:cs="宋体"/>
          <w:sz w:val="21"/>
          <w:szCs w:val="21"/>
        </w:rPr>
        <w:t>15.4.1 保修责任</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工程保修期为：</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15.4.3 修复通知</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承包人收到保修通知并到达工程现场的合理时间：</w:t>
      </w:r>
      <w:r>
        <w:rPr>
          <w:rFonts w:hint="eastAsia" w:hAnsi="宋体" w:cs="宋体"/>
          <w:sz w:val="21"/>
          <w:szCs w:val="21"/>
          <w:u w:val="single"/>
        </w:rPr>
        <w:t>按通用条款，无特殊约定</w:t>
      </w:r>
      <w:r>
        <w:rPr>
          <w:rFonts w:hint="eastAsia" w:hAnsi="宋体" w:cs="宋体"/>
          <w:sz w:val="21"/>
          <w:szCs w:val="21"/>
        </w:rPr>
        <w:t>。</w:t>
      </w:r>
    </w:p>
    <w:bookmarkEnd w:id="696"/>
    <w:bookmarkEnd w:id="697"/>
    <w:bookmarkEnd w:id="698"/>
    <w:bookmarkEnd w:id="699"/>
    <w:p>
      <w:pPr>
        <w:pStyle w:val="35"/>
        <w:wordWrap w:val="0"/>
        <w:topLinePunct/>
        <w:spacing w:line="360" w:lineRule="auto"/>
        <w:rPr>
          <w:rFonts w:hint="eastAsia" w:ascii="宋体" w:cs="宋体"/>
          <w:sz w:val="21"/>
          <w:szCs w:val="21"/>
        </w:rPr>
      </w:pPr>
      <w:bookmarkStart w:id="728" w:name="_Toc419286905"/>
      <w:bookmarkStart w:id="729" w:name="_Toc351203648"/>
      <w:bookmarkStart w:id="730" w:name="_Toc433801767"/>
      <w:bookmarkStart w:id="731" w:name="_Toc280868717"/>
      <w:bookmarkStart w:id="732" w:name="_Toc280868718"/>
      <w:r>
        <w:rPr>
          <w:rFonts w:hint="eastAsia" w:ascii="宋体" w:cs="宋体"/>
          <w:sz w:val="21"/>
          <w:szCs w:val="21"/>
        </w:rPr>
        <w:t>16. 违约</w:t>
      </w:r>
      <w:bookmarkEnd w:id="728"/>
      <w:bookmarkEnd w:id="729"/>
      <w:bookmarkEnd w:id="730"/>
    </w:p>
    <w:p>
      <w:pPr>
        <w:pStyle w:val="35"/>
        <w:wordWrap w:val="0"/>
        <w:topLinePunct/>
        <w:spacing w:line="360" w:lineRule="auto"/>
        <w:rPr>
          <w:rFonts w:hint="eastAsia" w:ascii="宋体" w:cs="宋体"/>
          <w:sz w:val="21"/>
          <w:szCs w:val="21"/>
        </w:rPr>
      </w:pPr>
      <w:bookmarkStart w:id="733" w:name="_Toc433801768"/>
      <w:bookmarkStart w:id="734" w:name="_Toc419286906"/>
      <w:r>
        <w:rPr>
          <w:rFonts w:hint="eastAsia" w:ascii="宋体" w:cs="宋体"/>
          <w:sz w:val="21"/>
          <w:szCs w:val="21"/>
        </w:rPr>
        <w:t>16.1 发包人违约</w:t>
      </w:r>
      <w:bookmarkEnd w:id="733"/>
      <w:bookmarkEnd w:id="734"/>
    </w:p>
    <w:p>
      <w:pPr>
        <w:pStyle w:val="36"/>
        <w:wordWrap w:val="0"/>
        <w:topLinePunct/>
        <w:spacing w:line="360" w:lineRule="auto"/>
        <w:ind w:firstLine="480"/>
        <w:rPr>
          <w:rFonts w:hint="eastAsia" w:hAnsi="宋体" w:cs="宋体"/>
          <w:sz w:val="21"/>
          <w:szCs w:val="21"/>
        </w:rPr>
      </w:pPr>
      <w:r>
        <w:rPr>
          <w:rFonts w:hint="eastAsia" w:hAnsi="宋体" w:cs="宋体"/>
          <w:sz w:val="21"/>
          <w:szCs w:val="21"/>
        </w:rPr>
        <w:t>16.1.1发包人违约的情形</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发包人违约的其他情形：</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outlineLvl w:val="0"/>
        <w:rPr>
          <w:rFonts w:hint="eastAsia" w:hAnsi="宋体" w:cs="宋体"/>
          <w:sz w:val="21"/>
          <w:szCs w:val="21"/>
        </w:rPr>
      </w:pPr>
      <w:bookmarkStart w:id="735" w:name="_Toc433801769"/>
      <w:bookmarkStart w:id="736" w:name="_Toc406522298"/>
      <w:bookmarkStart w:id="737" w:name="_Toc419286907"/>
      <w:bookmarkStart w:id="738" w:name="_Toc406419422"/>
      <w:r>
        <w:rPr>
          <w:rFonts w:hint="eastAsia" w:hAnsi="宋体" w:cs="宋体"/>
          <w:sz w:val="21"/>
          <w:szCs w:val="21"/>
        </w:rPr>
        <w:t>16.1.2 发包人违约的责任</w:t>
      </w:r>
      <w:bookmarkEnd w:id="735"/>
      <w:bookmarkEnd w:id="736"/>
      <w:bookmarkEnd w:id="737"/>
      <w:bookmarkEnd w:id="738"/>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发包人违约责任的承担方式和计算方法：</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（1）因发包人原因未能在计划开工日期前7天内下达开工通知的违约责任：</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（2）因发包人原因未能按合同约定支付合同价款的违约责任：</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（3）发包人违反第10.1款〔变更的范围〕第（2）项约定，自行实施被取消的工作或转由他人实施的违约责任：</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（4）发包人提供的材料、工程设备的规格、数量或质量不符合合同约定，或因发包人原因导致交货日期延误或交货地点变更等情况的违约责任：</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（5）因发包人违反合同约定造成暂停施工的违约责任：</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（6）发包人无正当理由没有在约定期限内发出复工指示，导致承包人无法复工的违约责任：</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（7）其他：           。</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16.1.3 因发包人违约解除合同</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承包人按16.1.1项〔发包人违约的情形〕约定暂停施工满</w:t>
      </w:r>
      <w:r>
        <w:rPr>
          <w:rFonts w:hint="eastAsia" w:hAnsi="宋体" w:cs="宋体"/>
          <w:sz w:val="21"/>
          <w:szCs w:val="21"/>
          <w:u w:val="single"/>
        </w:rPr>
        <w:t>60</w:t>
      </w:r>
      <w:r>
        <w:rPr>
          <w:rFonts w:hint="eastAsia" w:hAnsi="宋体" w:cs="宋体"/>
          <w:sz w:val="21"/>
          <w:szCs w:val="21"/>
        </w:rPr>
        <w:t>天后发包人仍不纠正其违约行为并致使合同目的不能实现的，承包人有权解除合同。</w:t>
      </w:r>
    </w:p>
    <w:p>
      <w:pPr>
        <w:pStyle w:val="35"/>
        <w:wordWrap w:val="0"/>
        <w:topLinePunct/>
        <w:spacing w:line="360" w:lineRule="auto"/>
        <w:rPr>
          <w:rFonts w:hint="eastAsia" w:ascii="宋体" w:cs="宋体"/>
          <w:sz w:val="21"/>
          <w:szCs w:val="21"/>
        </w:rPr>
      </w:pPr>
      <w:bookmarkStart w:id="739" w:name="_Toc419286908"/>
      <w:bookmarkStart w:id="740" w:name="_Toc433801770"/>
      <w:r>
        <w:rPr>
          <w:rFonts w:hint="eastAsia" w:ascii="宋体" w:cs="宋体"/>
          <w:sz w:val="21"/>
          <w:szCs w:val="21"/>
        </w:rPr>
        <w:t>16.2 承包人违约</w:t>
      </w:r>
      <w:bookmarkEnd w:id="739"/>
      <w:bookmarkEnd w:id="740"/>
    </w:p>
    <w:p>
      <w:pPr>
        <w:pStyle w:val="36"/>
        <w:wordWrap w:val="0"/>
        <w:topLinePunct/>
        <w:spacing w:line="360" w:lineRule="auto"/>
        <w:ind w:firstLine="480"/>
        <w:rPr>
          <w:rFonts w:hint="eastAsia" w:hAnsi="宋体" w:cs="宋体"/>
          <w:sz w:val="21"/>
          <w:szCs w:val="21"/>
        </w:rPr>
      </w:pPr>
      <w:r>
        <w:rPr>
          <w:rFonts w:hint="eastAsia" w:hAnsi="宋体" w:cs="宋体"/>
          <w:sz w:val="21"/>
          <w:szCs w:val="21"/>
        </w:rPr>
        <w:t>16.2.1 承包人违约的情形</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承包人违约的其他情形：</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16.2.2承包人违约的责任</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承包人违约责任的承担方式和计算方法：</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16.2.3 因承包人违约解除合同</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关于承包人违约解除合同的特别约定：</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发包人继续使用承包人在施工现场的材料、设备、临时工程、承包人文件和由承包人或以其名义编制的其他文件的费用承担方式：</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0" w:firstLineChars="0"/>
        <w:rPr>
          <w:rFonts w:hint="eastAsia" w:hAnsi="宋体" w:cs="宋体"/>
          <w:b/>
          <w:bCs/>
          <w:sz w:val="21"/>
          <w:szCs w:val="21"/>
        </w:rPr>
      </w:pPr>
      <w:bookmarkStart w:id="741" w:name="_Toc419286909"/>
      <w:bookmarkStart w:id="742" w:name="_Toc433801771"/>
      <w:bookmarkStart w:id="743" w:name="_Toc351203649"/>
      <w:r>
        <w:rPr>
          <w:rFonts w:hint="eastAsia" w:hAnsi="宋体" w:cs="宋体"/>
          <w:b/>
          <w:bCs/>
          <w:sz w:val="21"/>
          <w:szCs w:val="21"/>
        </w:rPr>
        <w:t>17. 不可抗力</w:t>
      </w:r>
      <w:bookmarkEnd w:id="731"/>
      <w:bookmarkEnd w:id="741"/>
      <w:bookmarkEnd w:id="742"/>
      <w:bookmarkEnd w:id="743"/>
    </w:p>
    <w:p>
      <w:pPr>
        <w:pStyle w:val="35"/>
        <w:wordWrap w:val="0"/>
        <w:topLinePunct/>
        <w:spacing w:line="360" w:lineRule="auto"/>
        <w:rPr>
          <w:rFonts w:hint="eastAsia" w:ascii="宋体" w:cs="宋体"/>
          <w:sz w:val="21"/>
          <w:szCs w:val="21"/>
        </w:rPr>
      </w:pPr>
      <w:bookmarkStart w:id="744" w:name="_Toc433801772"/>
      <w:bookmarkStart w:id="745" w:name="_Toc419286910"/>
      <w:r>
        <w:rPr>
          <w:rFonts w:hint="eastAsia" w:ascii="宋体" w:cs="宋体"/>
          <w:sz w:val="21"/>
          <w:szCs w:val="21"/>
        </w:rPr>
        <w:t>17.1 不可抗力的确认</w:t>
      </w:r>
      <w:bookmarkEnd w:id="744"/>
      <w:bookmarkEnd w:id="745"/>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除通用合同条款约定的不可抗力事件之外，视为不可抗力的其他情形：</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17.4 因不可抗力解除合同</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合同解除后，发包人应在商定或确定发包人应支付款项后</w:t>
      </w:r>
      <w:r>
        <w:rPr>
          <w:rFonts w:hint="eastAsia" w:hAnsi="宋体" w:cs="宋体"/>
          <w:sz w:val="21"/>
          <w:szCs w:val="21"/>
          <w:u w:val="single"/>
        </w:rPr>
        <w:t>按通用条款，无特殊约定</w:t>
      </w:r>
      <w:r>
        <w:rPr>
          <w:rFonts w:hint="eastAsia" w:hAnsi="宋体" w:cs="宋体"/>
          <w:sz w:val="21"/>
          <w:szCs w:val="21"/>
        </w:rPr>
        <w:t>天内完成款项的支付。</w:t>
      </w:r>
    </w:p>
    <w:p>
      <w:pPr>
        <w:pStyle w:val="35"/>
        <w:wordWrap w:val="0"/>
        <w:topLinePunct/>
        <w:spacing w:line="360" w:lineRule="auto"/>
        <w:rPr>
          <w:rFonts w:hint="eastAsia" w:ascii="宋体" w:cs="宋体"/>
          <w:sz w:val="21"/>
          <w:szCs w:val="21"/>
        </w:rPr>
      </w:pPr>
      <w:bookmarkStart w:id="746" w:name="_Toc351203650"/>
      <w:bookmarkStart w:id="747" w:name="_Toc419286911"/>
      <w:bookmarkStart w:id="748" w:name="_Toc433801773"/>
      <w:r>
        <w:rPr>
          <w:rFonts w:hint="eastAsia" w:ascii="宋体" w:cs="宋体"/>
          <w:sz w:val="21"/>
          <w:szCs w:val="21"/>
        </w:rPr>
        <w:t>18. 保险</w:t>
      </w:r>
      <w:bookmarkEnd w:id="746"/>
      <w:bookmarkEnd w:id="747"/>
      <w:bookmarkEnd w:id="748"/>
    </w:p>
    <w:bookmarkEnd w:id="732"/>
    <w:p>
      <w:pPr>
        <w:pStyle w:val="35"/>
        <w:wordWrap w:val="0"/>
        <w:topLinePunct/>
        <w:spacing w:line="360" w:lineRule="auto"/>
        <w:rPr>
          <w:rFonts w:hint="eastAsia" w:ascii="宋体" w:cs="宋体"/>
          <w:sz w:val="21"/>
          <w:szCs w:val="21"/>
        </w:rPr>
      </w:pPr>
      <w:bookmarkStart w:id="749" w:name="_Toc433801774"/>
      <w:bookmarkStart w:id="750" w:name="_Toc419286912"/>
      <w:r>
        <w:rPr>
          <w:rFonts w:hint="eastAsia" w:ascii="宋体" w:cs="宋体"/>
          <w:sz w:val="21"/>
          <w:szCs w:val="21"/>
        </w:rPr>
        <w:t>18.1 工程保险</w:t>
      </w:r>
      <w:bookmarkEnd w:id="749"/>
      <w:bookmarkEnd w:id="750"/>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关于工程保险的特别约定：</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751" w:name="_Toc419286913"/>
      <w:bookmarkStart w:id="752" w:name="_Toc433801775"/>
      <w:r>
        <w:rPr>
          <w:rFonts w:hint="eastAsia" w:ascii="宋体" w:cs="宋体"/>
          <w:sz w:val="21"/>
          <w:szCs w:val="21"/>
        </w:rPr>
        <w:t>18.3 其他保险</w:t>
      </w:r>
      <w:bookmarkEnd w:id="751"/>
      <w:bookmarkEnd w:id="752"/>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关于其他保险的约定：</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承包人是否应为其施工设备等办理财产保险：</w:t>
      </w:r>
      <w:r>
        <w:rPr>
          <w:rFonts w:hint="eastAsia" w:hAnsi="宋体" w:cs="宋体"/>
          <w:sz w:val="21"/>
          <w:szCs w:val="21"/>
          <w:u w:val="single"/>
        </w:rPr>
        <w:t>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753" w:name="_Toc419286914"/>
      <w:bookmarkStart w:id="754" w:name="_Toc433801776"/>
      <w:r>
        <w:rPr>
          <w:rFonts w:hint="eastAsia" w:ascii="宋体" w:cs="宋体"/>
          <w:sz w:val="21"/>
          <w:szCs w:val="21"/>
        </w:rPr>
        <w:t>18.7 通知义务</w:t>
      </w:r>
      <w:bookmarkEnd w:id="753"/>
      <w:bookmarkEnd w:id="754"/>
    </w:p>
    <w:p>
      <w:pPr>
        <w:pStyle w:val="36"/>
        <w:wordWrap w:val="0"/>
        <w:topLinePunct/>
        <w:spacing w:line="360" w:lineRule="auto"/>
        <w:ind w:firstLine="480"/>
        <w:rPr>
          <w:rFonts w:hint="eastAsia" w:hAnsi="宋体" w:cs="宋体"/>
          <w:sz w:val="21"/>
          <w:szCs w:val="21"/>
        </w:rPr>
      </w:pPr>
      <w:r>
        <w:rPr>
          <w:rFonts w:hint="eastAsia" w:hAnsi="宋体" w:cs="宋体"/>
          <w:sz w:val="21"/>
          <w:szCs w:val="21"/>
        </w:rPr>
        <w:t>关于变更保险合同时的通知义务的约定：</w:t>
      </w:r>
      <w:r>
        <w:rPr>
          <w:rFonts w:hint="eastAsia" w:hAnsi="宋体" w:cs="宋体"/>
          <w:sz w:val="21"/>
          <w:szCs w:val="21"/>
          <w:u w:val="single"/>
        </w:rPr>
        <w:t>按通用条款，无特殊约定</w:t>
      </w:r>
      <w:r>
        <w:rPr>
          <w:rFonts w:hint="eastAsia" w:hAnsi="宋体" w:cs="宋体"/>
          <w:sz w:val="21"/>
          <w:szCs w:val="21"/>
        </w:rPr>
        <w:t>。</w:t>
      </w:r>
    </w:p>
    <w:bookmarkEnd w:id="700"/>
    <w:bookmarkEnd w:id="701"/>
    <w:bookmarkEnd w:id="702"/>
    <w:bookmarkEnd w:id="703"/>
    <w:bookmarkEnd w:id="704"/>
    <w:bookmarkEnd w:id="705"/>
    <w:bookmarkEnd w:id="706"/>
    <w:bookmarkEnd w:id="707"/>
    <w:bookmarkEnd w:id="708"/>
    <w:bookmarkEnd w:id="709"/>
    <w:bookmarkEnd w:id="710"/>
    <w:bookmarkEnd w:id="711"/>
    <w:p>
      <w:pPr>
        <w:pStyle w:val="35"/>
        <w:wordWrap w:val="0"/>
        <w:topLinePunct/>
        <w:spacing w:line="360" w:lineRule="auto"/>
        <w:rPr>
          <w:rFonts w:hint="eastAsia" w:ascii="宋体" w:cs="宋体"/>
          <w:sz w:val="21"/>
          <w:szCs w:val="21"/>
        </w:rPr>
      </w:pPr>
      <w:bookmarkStart w:id="755" w:name="_Toc351203651"/>
      <w:bookmarkStart w:id="756" w:name="_Toc419286915"/>
      <w:bookmarkStart w:id="757" w:name="_Toc433801777"/>
      <w:r>
        <w:rPr>
          <w:rFonts w:hint="eastAsia" w:ascii="宋体" w:cs="宋体"/>
          <w:sz w:val="21"/>
          <w:szCs w:val="21"/>
        </w:rPr>
        <w:t>20. 争议解决</w:t>
      </w:r>
      <w:bookmarkEnd w:id="755"/>
      <w:bookmarkEnd w:id="756"/>
      <w:bookmarkEnd w:id="757"/>
    </w:p>
    <w:bookmarkEnd w:id="712"/>
    <w:bookmarkEnd w:id="713"/>
    <w:p>
      <w:pPr>
        <w:pStyle w:val="35"/>
        <w:wordWrap w:val="0"/>
        <w:topLinePunct/>
        <w:spacing w:line="360" w:lineRule="auto"/>
        <w:rPr>
          <w:rFonts w:hint="eastAsia" w:ascii="宋体" w:cs="宋体"/>
          <w:sz w:val="21"/>
          <w:szCs w:val="21"/>
        </w:rPr>
      </w:pPr>
      <w:bookmarkStart w:id="758" w:name="_Toc419286916"/>
      <w:bookmarkStart w:id="759" w:name="_Toc433801778"/>
      <w:r>
        <w:rPr>
          <w:rFonts w:hint="eastAsia" w:ascii="宋体" w:cs="宋体"/>
          <w:sz w:val="21"/>
          <w:szCs w:val="21"/>
        </w:rPr>
        <w:t>20.3 争</w:t>
      </w:r>
      <w:bookmarkEnd w:id="714"/>
      <w:r>
        <w:rPr>
          <w:rFonts w:hint="eastAsia" w:ascii="宋体" w:cs="宋体"/>
          <w:sz w:val="21"/>
          <w:szCs w:val="21"/>
        </w:rPr>
        <w:t>议评审</w:t>
      </w:r>
      <w:bookmarkEnd w:id="758"/>
      <w:bookmarkEnd w:id="759"/>
    </w:p>
    <w:p>
      <w:pPr>
        <w:pStyle w:val="36"/>
        <w:wordWrap w:val="0"/>
        <w:topLinePunct/>
        <w:spacing w:line="360" w:lineRule="auto"/>
        <w:ind w:firstLine="480"/>
        <w:rPr>
          <w:rFonts w:hint="eastAsia" w:hAnsi="宋体" w:cs="宋体"/>
          <w:sz w:val="21"/>
          <w:szCs w:val="21"/>
        </w:rPr>
      </w:pPr>
      <w:r>
        <w:rPr>
          <w:rFonts w:hint="eastAsia" w:hAnsi="宋体" w:cs="宋体"/>
          <w:sz w:val="21"/>
          <w:szCs w:val="21"/>
        </w:rPr>
        <w:t>合同当事人是否同意将工程争议提交争议评审小组决定：</w:t>
      </w:r>
      <w:r>
        <w:rPr>
          <w:rFonts w:hint="eastAsia" w:hAnsi="宋体" w:cs="宋体"/>
          <w:sz w:val="21"/>
          <w:szCs w:val="21"/>
          <w:u w:val="single"/>
        </w:rPr>
        <w:t xml:space="preserve">　同意 </w:t>
      </w:r>
      <w:r>
        <w:rPr>
          <w:rFonts w:hint="eastAsia" w:hAnsi="宋体" w:cs="宋体"/>
          <w:sz w:val="21"/>
          <w:szCs w:val="21"/>
        </w:rPr>
        <w:t xml:space="preserve">。  </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20.3.1 争议评审小组的确定</w:t>
      </w:r>
    </w:p>
    <w:p>
      <w:pPr>
        <w:pStyle w:val="36"/>
        <w:wordWrap w:val="0"/>
        <w:topLinePunct/>
        <w:spacing w:line="360" w:lineRule="auto"/>
        <w:ind w:firstLine="480"/>
        <w:rPr>
          <w:rFonts w:hint="eastAsia" w:hAnsi="宋体" w:cs="宋体"/>
          <w:sz w:val="21"/>
          <w:szCs w:val="21"/>
          <w:u w:val="single"/>
        </w:rPr>
      </w:pPr>
      <w:r>
        <w:rPr>
          <w:rFonts w:hint="eastAsia" w:hAnsi="宋体" w:cs="宋体"/>
          <w:sz w:val="21"/>
          <w:szCs w:val="21"/>
        </w:rPr>
        <w:t>争议评审小组成员的确定：</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选定争议评审员的期限：</w:t>
      </w:r>
      <w:r>
        <w:rPr>
          <w:rFonts w:hint="eastAsia" w:hAnsi="宋体" w:cs="宋体"/>
          <w:sz w:val="21"/>
          <w:szCs w:val="21"/>
          <w:u w:val="single"/>
        </w:rPr>
        <w:t>按通用条款，无特殊约定</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争议评审小组成员的报酬承担方式：</w:t>
      </w:r>
      <w:r>
        <w:rPr>
          <w:rFonts w:hint="eastAsia" w:hAnsi="宋体" w:cs="宋体"/>
          <w:sz w:val="21"/>
          <w:szCs w:val="21"/>
          <w:u w:val="single"/>
        </w:rPr>
        <w:t>由承包人承担</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其他事项的约定：</w:t>
      </w:r>
      <w:r>
        <w:rPr>
          <w:rFonts w:hint="eastAsia" w:hAnsi="宋体" w:cs="宋体"/>
          <w:sz w:val="21"/>
          <w:szCs w:val="21"/>
          <w:u w:val="single"/>
        </w:rPr>
        <w:t xml:space="preserve">  /  </w:t>
      </w:r>
      <w:r>
        <w:rPr>
          <w:rFonts w:hint="eastAsia" w:hAnsi="宋体" w:cs="宋体"/>
          <w:sz w:val="21"/>
          <w:szCs w:val="21"/>
        </w:rPr>
        <w:t>。</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20.3.2 争议评审小组的决定</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合同当事人关于本项的约定：</w:t>
      </w:r>
      <w:r>
        <w:rPr>
          <w:rFonts w:hint="eastAsia" w:hAnsi="宋体" w:cs="宋体"/>
          <w:sz w:val="21"/>
          <w:szCs w:val="21"/>
          <w:u w:val="single"/>
        </w:rPr>
        <w:t xml:space="preserve">   按通用条款，无特殊约定</w:t>
      </w:r>
      <w:r>
        <w:rPr>
          <w:rFonts w:hint="eastAsia" w:hAnsi="宋体" w:cs="宋体"/>
          <w:sz w:val="21"/>
          <w:szCs w:val="21"/>
        </w:rPr>
        <w:t>。</w:t>
      </w:r>
    </w:p>
    <w:p>
      <w:pPr>
        <w:pStyle w:val="35"/>
        <w:wordWrap w:val="0"/>
        <w:topLinePunct/>
        <w:spacing w:line="360" w:lineRule="auto"/>
        <w:rPr>
          <w:rFonts w:hint="eastAsia" w:ascii="宋体" w:cs="宋体"/>
          <w:sz w:val="21"/>
          <w:szCs w:val="21"/>
        </w:rPr>
      </w:pPr>
      <w:bookmarkStart w:id="760" w:name="_Toc433801779"/>
      <w:bookmarkStart w:id="761" w:name="_Toc419286917"/>
      <w:r>
        <w:rPr>
          <w:rFonts w:hint="eastAsia" w:ascii="宋体" w:cs="宋体"/>
          <w:sz w:val="21"/>
          <w:szCs w:val="21"/>
        </w:rPr>
        <w:t>20.4仲裁或诉讼</w:t>
      </w:r>
      <w:bookmarkEnd w:id="715"/>
      <w:bookmarkEnd w:id="760"/>
      <w:bookmarkEnd w:id="761"/>
    </w:p>
    <w:p>
      <w:pPr>
        <w:pStyle w:val="36"/>
        <w:wordWrap w:val="0"/>
        <w:topLinePunct/>
        <w:spacing w:line="360" w:lineRule="auto"/>
        <w:ind w:firstLine="480"/>
        <w:rPr>
          <w:rFonts w:hint="eastAsia" w:hAnsi="宋体" w:cs="宋体"/>
          <w:sz w:val="21"/>
          <w:szCs w:val="21"/>
        </w:rPr>
      </w:pPr>
      <w:r>
        <w:rPr>
          <w:rFonts w:hint="eastAsia" w:hAnsi="宋体" w:cs="宋体"/>
          <w:sz w:val="21"/>
          <w:szCs w:val="21"/>
        </w:rPr>
        <w:t>因合同及合同有关事项发生的争议，按下列第</w:t>
      </w:r>
      <w:r>
        <w:rPr>
          <w:rFonts w:hint="eastAsia" w:hAnsi="宋体" w:cs="宋体"/>
          <w:sz w:val="21"/>
          <w:szCs w:val="21"/>
          <w:u w:val="single"/>
        </w:rPr>
        <w:t>（1）</w:t>
      </w:r>
      <w:r>
        <w:rPr>
          <w:rFonts w:hint="eastAsia" w:hAnsi="宋体" w:cs="宋体"/>
          <w:sz w:val="21"/>
          <w:szCs w:val="21"/>
        </w:rPr>
        <w:t>种方式解决：</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（1）向</w:t>
      </w:r>
      <w:r>
        <w:rPr>
          <w:rFonts w:hint="eastAsia" w:hAnsi="宋体" w:cs="宋体"/>
          <w:sz w:val="21"/>
          <w:szCs w:val="21"/>
          <w:u w:val="single"/>
        </w:rPr>
        <w:t>桂林市</w:t>
      </w:r>
      <w:r>
        <w:rPr>
          <w:rFonts w:hint="eastAsia" w:hAnsi="宋体" w:cs="宋体"/>
          <w:sz w:val="21"/>
          <w:szCs w:val="21"/>
        </w:rPr>
        <w:t>仲裁委员会申请仲裁；</w:t>
      </w:r>
    </w:p>
    <w:p>
      <w:pPr>
        <w:pStyle w:val="36"/>
        <w:wordWrap w:val="0"/>
        <w:topLinePunct/>
        <w:spacing w:line="360" w:lineRule="auto"/>
        <w:ind w:firstLine="480"/>
        <w:rPr>
          <w:rFonts w:hint="eastAsia" w:hAnsi="宋体" w:cs="宋体"/>
          <w:sz w:val="21"/>
          <w:szCs w:val="21"/>
        </w:rPr>
      </w:pPr>
      <w:r>
        <w:rPr>
          <w:rFonts w:hint="eastAsia" w:hAnsi="宋体" w:cs="宋体"/>
          <w:sz w:val="21"/>
          <w:szCs w:val="21"/>
        </w:rPr>
        <w:t>（2）向</w:t>
      </w:r>
      <w:r>
        <w:rPr>
          <w:rFonts w:hint="eastAsia" w:hAnsi="宋体" w:cs="宋体"/>
          <w:sz w:val="21"/>
          <w:szCs w:val="21"/>
          <w:u w:val="single"/>
        </w:rPr>
        <w:t>有管辖权的</w:t>
      </w:r>
      <w:r>
        <w:rPr>
          <w:rFonts w:hint="eastAsia" w:hAnsi="宋体" w:cs="宋体"/>
          <w:sz w:val="21"/>
          <w:szCs w:val="21"/>
        </w:rPr>
        <w:t>人民法院起诉。</w:t>
      </w:r>
      <w:bookmarkEnd w:id="716"/>
      <w:bookmarkEnd w:id="717"/>
      <w:bookmarkEnd w:id="718"/>
      <w:bookmarkEnd w:id="719"/>
      <w:bookmarkEnd w:id="720"/>
      <w:bookmarkEnd w:id="721"/>
    </w:p>
    <w:p>
      <w:pPr>
        <w:spacing w:before="25"/>
        <w:ind w:left="116" w:right="0" w:firstLine="0"/>
        <w:jc w:val="left"/>
        <w:rPr>
          <w:b/>
          <w:sz w:val="20"/>
        </w:rPr>
      </w:pPr>
    </w:p>
    <w:p>
      <w:pPr>
        <w:spacing w:before="25"/>
        <w:ind w:left="116" w:right="0" w:firstLine="0"/>
        <w:jc w:val="left"/>
        <w:rPr>
          <w:b/>
          <w:sz w:val="20"/>
        </w:rPr>
      </w:pPr>
    </w:p>
    <w:p>
      <w:pPr>
        <w:spacing w:before="25"/>
        <w:ind w:left="116" w:right="0" w:firstLine="0"/>
        <w:jc w:val="left"/>
        <w:rPr>
          <w:b/>
          <w:sz w:val="20"/>
        </w:rPr>
      </w:pPr>
    </w:p>
    <w:p>
      <w:pPr>
        <w:spacing w:before="25"/>
        <w:ind w:left="116" w:right="0" w:firstLine="0"/>
        <w:jc w:val="left"/>
        <w:rPr>
          <w:b/>
          <w:sz w:val="20"/>
        </w:rPr>
      </w:pPr>
    </w:p>
    <w:p>
      <w:pPr>
        <w:spacing w:before="25"/>
        <w:ind w:left="116" w:right="0" w:firstLine="0"/>
        <w:jc w:val="left"/>
        <w:rPr>
          <w:b/>
          <w:sz w:val="20"/>
        </w:rPr>
      </w:pPr>
    </w:p>
    <w:p>
      <w:pPr>
        <w:spacing w:before="25"/>
        <w:ind w:left="116" w:right="0" w:firstLine="0"/>
        <w:jc w:val="left"/>
        <w:rPr>
          <w:b/>
          <w:sz w:val="20"/>
        </w:rPr>
      </w:pPr>
    </w:p>
    <w:p>
      <w:pPr>
        <w:spacing w:before="25"/>
        <w:ind w:left="116" w:right="0" w:firstLine="0"/>
        <w:jc w:val="left"/>
        <w:rPr>
          <w:b/>
          <w:sz w:val="20"/>
        </w:rPr>
      </w:pPr>
      <w:r>
        <w:rPr>
          <w:b/>
          <w:sz w:val="20"/>
        </w:rPr>
        <w:t>附件</w:t>
      </w:r>
    </w:p>
    <w:p>
      <w:pPr>
        <w:spacing w:before="136"/>
        <w:ind w:left="114" w:right="0" w:firstLine="0"/>
        <w:jc w:val="left"/>
        <w:rPr>
          <w:sz w:val="20"/>
        </w:rPr>
      </w:pPr>
      <w:r>
        <w:rPr>
          <w:w w:val="95"/>
          <w:sz w:val="20"/>
        </w:rPr>
        <w:t>协议书附件：</w:t>
      </w:r>
    </w:p>
    <w:p>
      <w:pPr>
        <w:spacing w:before="138" w:line="367" w:lineRule="auto"/>
        <w:ind w:left="114" w:right="5476" w:firstLine="0"/>
        <w:jc w:val="left"/>
        <w:rPr>
          <w:sz w:val="20"/>
        </w:rPr>
      </w:pPr>
      <w:r>
        <w:rPr>
          <w:sz w:val="20"/>
        </w:rPr>
        <w:t>附件 1：承包人承揽工程项目一览表</w:t>
      </w:r>
      <w:r>
        <w:rPr>
          <w:w w:val="95"/>
          <w:sz w:val="20"/>
        </w:rPr>
        <w:t>专用合同条款附件：</w:t>
      </w:r>
    </w:p>
    <w:p>
      <w:pPr>
        <w:spacing w:before="30" w:line="367" w:lineRule="auto"/>
        <w:ind w:left="114" w:right="5476" w:firstLine="0"/>
        <w:jc w:val="left"/>
        <w:rPr>
          <w:sz w:val="20"/>
        </w:rPr>
      </w:pPr>
      <w:r>
        <w:rPr>
          <w:sz w:val="20"/>
        </w:rPr>
        <w:t>附件 2：发包人供应材料设备一览表附件 3：工程质量保修书</w:t>
      </w:r>
    </w:p>
    <w:p>
      <w:pPr>
        <w:spacing w:before="33"/>
        <w:ind w:left="114" w:right="0" w:firstLine="0"/>
        <w:jc w:val="left"/>
        <w:rPr>
          <w:sz w:val="20"/>
        </w:rPr>
      </w:pPr>
      <w:r>
        <w:rPr>
          <w:sz w:val="20"/>
        </w:rPr>
        <w:t>附件 4：主要建设工程文件目录</w:t>
      </w:r>
    </w:p>
    <w:p>
      <w:pPr>
        <w:spacing w:before="136" w:line="367" w:lineRule="auto"/>
        <w:ind w:left="114" w:right="4676" w:firstLine="0"/>
        <w:jc w:val="left"/>
        <w:rPr>
          <w:sz w:val="20"/>
        </w:rPr>
      </w:pPr>
      <w:r>
        <w:rPr>
          <w:sz w:val="20"/>
        </w:rPr>
        <w:t>附件 5：承包人用于本工程施工的机械设备表附件 6：承包人主要施工管理人员表</w:t>
      </w:r>
    </w:p>
    <w:p>
      <w:pPr>
        <w:spacing w:before="32" w:line="364" w:lineRule="auto"/>
        <w:ind w:left="114" w:right="5476" w:firstLine="0"/>
        <w:jc w:val="left"/>
        <w:rPr>
          <w:sz w:val="20"/>
        </w:rPr>
      </w:pPr>
      <w:r>
        <w:rPr>
          <w:sz w:val="20"/>
        </w:rPr>
        <w:t>附件 7：分包人主要施工管理人员表附件 8：履约担保格式</w:t>
      </w:r>
    </w:p>
    <w:p>
      <w:pPr>
        <w:spacing w:before="34" w:line="367" w:lineRule="auto"/>
        <w:ind w:left="114" w:right="6476" w:firstLine="0"/>
        <w:jc w:val="left"/>
        <w:rPr>
          <w:sz w:val="20"/>
        </w:rPr>
      </w:pPr>
      <w:r>
        <w:rPr>
          <w:sz w:val="20"/>
        </w:rPr>
        <w:t>附件 9：预付款担保格式附件 10：支付担保格式附件 11：暂估价一览表</w:t>
      </w:r>
    </w:p>
    <w:p>
      <w:pPr>
        <w:spacing w:after="0" w:line="367" w:lineRule="auto"/>
        <w:jc w:val="left"/>
        <w:rPr>
          <w:sz w:val="20"/>
        </w:rPr>
        <w:sectPr>
          <w:pgSz w:w="11910" w:h="16840"/>
          <w:pgMar w:top="1460" w:right="1680" w:bottom="1180" w:left="1420" w:header="0" w:footer="920" w:gutter="0"/>
        </w:sectPr>
      </w:pPr>
    </w:p>
    <w:p>
      <w:pPr>
        <w:pStyle w:val="13"/>
        <w:ind w:left="0"/>
        <w:rPr>
          <w:sz w:val="20"/>
        </w:rPr>
      </w:pPr>
    </w:p>
    <w:p>
      <w:pPr>
        <w:pStyle w:val="6"/>
        <w:spacing w:before="170"/>
        <w:ind w:left="1158"/>
      </w:pPr>
      <w:r>
        <w:t>附件 1：</w:t>
      </w:r>
    </w:p>
    <w:p>
      <w:pPr>
        <w:pStyle w:val="13"/>
        <w:spacing w:before="11"/>
        <w:ind w:left="0"/>
        <w:rPr>
          <w:sz w:val="16"/>
        </w:rPr>
      </w:pPr>
    </w:p>
    <w:p>
      <w:pPr>
        <w:pStyle w:val="6"/>
        <w:spacing w:before="8"/>
        <w:ind w:left="5969" w:right="5271"/>
        <w:jc w:val="center"/>
      </w:pPr>
      <w:r>
        <w:t>承包人承揽工程项目一览表</w:t>
      </w:r>
    </w:p>
    <w:p>
      <w:pPr>
        <w:pStyle w:val="13"/>
        <w:spacing w:before="5"/>
        <w:ind w:left="0"/>
        <w:rPr>
          <w:sz w:val="18"/>
        </w:rPr>
      </w:pPr>
    </w:p>
    <w:tbl>
      <w:tblPr>
        <w:tblStyle w:val="17"/>
        <w:tblW w:w="14604" w:type="dxa"/>
        <w:tblInd w:w="11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80"/>
        <w:gridCol w:w="1843"/>
        <w:gridCol w:w="1416"/>
        <w:gridCol w:w="2410"/>
        <w:gridCol w:w="850"/>
        <w:gridCol w:w="1560"/>
        <w:gridCol w:w="2126"/>
        <w:gridCol w:w="1419"/>
        <w:gridCol w:w="850"/>
        <w:gridCol w:w="8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0" w:hRule="atLeast"/>
        </w:trPr>
        <w:tc>
          <w:tcPr>
            <w:tcW w:w="1280" w:type="dxa"/>
            <w:tcBorders>
              <w:bottom w:val="double" w:color="000000" w:sz="2" w:space="0"/>
              <w:right w:val="single" w:color="000000" w:sz="6" w:space="0"/>
            </w:tcBorders>
          </w:tcPr>
          <w:p>
            <w:pPr>
              <w:pStyle w:val="33"/>
              <w:spacing w:before="10" w:line="276" w:lineRule="auto"/>
              <w:ind w:left="345" w:right="53" w:hanging="281"/>
              <w:rPr>
                <w:sz w:val="28"/>
              </w:rPr>
            </w:pPr>
            <w:r>
              <w:rPr>
                <w:sz w:val="28"/>
              </w:rPr>
              <w:t>单位工程名称</w:t>
            </w:r>
          </w:p>
        </w:tc>
        <w:tc>
          <w:tcPr>
            <w:tcW w:w="1843" w:type="dxa"/>
            <w:tcBorders>
              <w:left w:val="single" w:color="000000" w:sz="6" w:space="0"/>
              <w:bottom w:val="double" w:color="000000" w:sz="2" w:space="0"/>
              <w:right w:val="single" w:color="000000" w:sz="6" w:space="0"/>
            </w:tcBorders>
          </w:tcPr>
          <w:p>
            <w:pPr>
              <w:pStyle w:val="33"/>
              <w:spacing w:before="219"/>
              <w:ind w:left="352"/>
              <w:rPr>
                <w:sz w:val="28"/>
              </w:rPr>
            </w:pPr>
            <w:r>
              <w:rPr>
                <w:sz w:val="28"/>
              </w:rPr>
              <w:t>建设规模</w:t>
            </w:r>
          </w:p>
        </w:tc>
        <w:tc>
          <w:tcPr>
            <w:tcW w:w="1416" w:type="dxa"/>
            <w:tcBorders>
              <w:left w:val="single" w:color="000000" w:sz="6" w:space="0"/>
              <w:bottom w:val="double" w:color="000000" w:sz="2" w:space="0"/>
              <w:right w:val="single" w:color="000000" w:sz="6" w:space="0"/>
            </w:tcBorders>
          </w:tcPr>
          <w:p>
            <w:pPr>
              <w:pStyle w:val="33"/>
              <w:spacing w:before="10"/>
              <w:ind w:left="138"/>
              <w:rPr>
                <w:sz w:val="28"/>
              </w:rPr>
            </w:pPr>
            <w:r>
              <w:rPr>
                <w:sz w:val="28"/>
              </w:rPr>
              <w:t>建筑面积</w:t>
            </w:r>
          </w:p>
          <w:p>
            <w:pPr>
              <w:pStyle w:val="33"/>
              <w:spacing w:before="53"/>
              <w:ind w:left="138"/>
              <w:rPr>
                <w:sz w:val="28"/>
              </w:rPr>
            </w:pPr>
            <w:r>
              <w:rPr>
                <w:sz w:val="28"/>
              </w:rPr>
              <w:t>(平方米)</w:t>
            </w:r>
          </w:p>
        </w:tc>
        <w:tc>
          <w:tcPr>
            <w:tcW w:w="2410" w:type="dxa"/>
            <w:tcBorders>
              <w:left w:val="single" w:color="000000" w:sz="6" w:space="0"/>
              <w:bottom w:val="double" w:color="000000" w:sz="2" w:space="0"/>
              <w:right w:val="single" w:color="000000" w:sz="6" w:space="0"/>
            </w:tcBorders>
          </w:tcPr>
          <w:p>
            <w:pPr>
              <w:pStyle w:val="33"/>
              <w:spacing w:before="219"/>
              <w:ind w:left="636"/>
              <w:rPr>
                <w:sz w:val="28"/>
              </w:rPr>
            </w:pPr>
            <w:r>
              <w:rPr>
                <w:sz w:val="28"/>
              </w:rPr>
              <w:t>结构形式</w:t>
            </w:r>
          </w:p>
        </w:tc>
        <w:tc>
          <w:tcPr>
            <w:tcW w:w="850" w:type="dxa"/>
            <w:tcBorders>
              <w:left w:val="single" w:color="000000" w:sz="6" w:space="0"/>
              <w:bottom w:val="double" w:color="000000" w:sz="2" w:space="0"/>
              <w:right w:val="single" w:color="000000" w:sz="6" w:space="0"/>
            </w:tcBorders>
          </w:tcPr>
          <w:p>
            <w:pPr>
              <w:pStyle w:val="33"/>
              <w:spacing w:before="219"/>
              <w:ind w:left="138"/>
              <w:rPr>
                <w:sz w:val="28"/>
              </w:rPr>
            </w:pPr>
            <w:r>
              <w:rPr>
                <w:sz w:val="28"/>
              </w:rPr>
              <w:t>层数</w:t>
            </w:r>
          </w:p>
        </w:tc>
        <w:tc>
          <w:tcPr>
            <w:tcW w:w="1560" w:type="dxa"/>
            <w:tcBorders>
              <w:left w:val="single" w:color="000000" w:sz="6" w:space="0"/>
              <w:bottom w:val="double" w:color="000000" w:sz="2" w:space="0"/>
              <w:right w:val="single" w:color="000000" w:sz="6" w:space="0"/>
            </w:tcBorders>
          </w:tcPr>
          <w:p>
            <w:pPr>
              <w:pStyle w:val="33"/>
              <w:spacing w:before="219"/>
              <w:ind w:left="213"/>
              <w:rPr>
                <w:sz w:val="28"/>
              </w:rPr>
            </w:pPr>
            <w:r>
              <w:rPr>
                <w:sz w:val="28"/>
              </w:rPr>
              <w:t>生产能力</w:t>
            </w:r>
          </w:p>
        </w:tc>
        <w:tc>
          <w:tcPr>
            <w:tcW w:w="2126" w:type="dxa"/>
            <w:tcBorders>
              <w:left w:val="single" w:color="000000" w:sz="6" w:space="0"/>
              <w:bottom w:val="double" w:color="000000" w:sz="2" w:space="0"/>
              <w:right w:val="single" w:color="000000" w:sz="6" w:space="0"/>
            </w:tcBorders>
          </w:tcPr>
          <w:p>
            <w:pPr>
              <w:pStyle w:val="33"/>
              <w:spacing w:before="219"/>
              <w:ind w:left="215"/>
              <w:rPr>
                <w:sz w:val="28"/>
              </w:rPr>
            </w:pPr>
            <w:r>
              <w:rPr>
                <w:sz w:val="28"/>
              </w:rPr>
              <w:t>设备安装内容</w:t>
            </w:r>
          </w:p>
        </w:tc>
        <w:tc>
          <w:tcPr>
            <w:tcW w:w="1419" w:type="dxa"/>
            <w:tcBorders>
              <w:left w:val="single" w:color="000000" w:sz="6" w:space="0"/>
              <w:bottom w:val="double" w:color="000000" w:sz="2" w:space="0"/>
              <w:right w:val="single" w:color="000000" w:sz="6" w:space="0"/>
            </w:tcBorders>
          </w:tcPr>
          <w:p>
            <w:pPr>
              <w:pStyle w:val="33"/>
              <w:spacing w:before="10"/>
              <w:ind w:left="122" w:right="121"/>
              <w:jc w:val="center"/>
              <w:rPr>
                <w:sz w:val="28"/>
              </w:rPr>
            </w:pPr>
            <w:r>
              <w:rPr>
                <w:sz w:val="28"/>
              </w:rPr>
              <w:t>合同价格</w:t>
            </w:r>
          </w:p>
          <w:p>
            <w:pPr>
              <w:pStyle w:val="33"/>
              <w:spacing w:before="53"/>
              <w:ind w:left="121" w:right="121"/>
              <w:jc w:val="center"/>
              <w:rPr>
                <w:sz w:val="28"/>
              </w:rPr>
            </w:pPr>
            <w:r>
              <w:rPr>
                <w:sz w:val="28"/>
              </w:rPr>
              <w:t>（元）</w:t>
            </w:r>
          </w:p>
        </w:tc>
        <w:tc>
          <w:tcPr>
            <w:tcW w:w="850" w:type="dxa"/>
            <w:tcBorders>
              <w:left w:val="single" w:color="000000" w:sz="6" w:space="0"/>
              <w:bottom w:val="double" w:color="000000" w:sz="2" w:space="0"/>
              <w:right w:val="single" w:color="000000" w:sz="6" w:space="0"/>
            </w:tcBorders>
          </w:tcPr>
          <w:p>
            <w:pPr>
              <w:pStyle w:val="33"/>
              <w:spacing w:before="10" w:line="276" w:lineRule="auto"/>
              <w:ind w:left="136" w:right="118"/>
              <w:rPr>
                <w:sz w:val="28"/>
              </w:rPr>
            </w:pPr>
            <w:r>
              <w:rPr>
                <w:sz w:val="28"/>
              </w:rPr>
              <w:t>开工日期</w:t>
            </w:r>
          </w:p>
        </w:tc>
        <w:tc>
          <w:tcPr>
            <w:tcW w:w="850" w:type="dxa"/>
            <w:tcBorders>
              <w:left w:val="single" w:color="000000" w:sz="6" w:space="0"/>
              <w:bottom w:val="double" w:color="000000" w:sz="2" w:space="0"/>
            </w:tcBorders>
          </w:tcPr>
          <w:p>
            <w:pPr>
              <w:pStyle w:val="33"/>
              <w:spacing w:before="10" w:line="276" w:lineRule="auto"/>
              <w:ind w:left="138" w:right="109"/>
              <w:rPr>
                <w:sz w:val="28"/>
              </w:rPr>
            </w:pPr>
            <w:r>
              <w:rPr>
                <w:sz w:val="28"/>
              </w:rPr>
              <w:t>竣工日期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280" w:type="dxa"/>
            <w:tcBorders>
              <w:top w:val="double" w:color="000000" w:sz="2" w:space="0"/>
              <w:bottom w:val="single" w:color="000000" w:sz="6" w:space="0"/>
              <w:right w:val="single" w:color="000000" w:sz="6" w:space="0"/>
            </w:tcBorders>
          </w:tcPr>
          <w:p>
            <w:pPr>
              <w:pStyle w:val="33"/>
              <w:rPr>
                <w:rFonts w:ascii="Times New Roman"/>
                <w:sz w:val="28"/>
              </w:rPr>
            </w:pPr>
          </w:p>
        </w:tc>
        <w:tc>
          <w:tcPr>
            <w:tcW w:w="1843"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1416"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2410"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1560"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2126"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double" w:color="000000" w:sz="2"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280" w:type="dxa"/>
            <w:tcBorders>
              <w:top w:val="single" w:color="000000" w:sz="6" w:space="0"/>
              <w:bottom w:val="single" w:color="000000" w:sz="6" w:space="0"/>
              <w:right w:val="single" w:color="000000" w:sz="6" w:space="0"/>
            </w:tcBorders>
          </w:tcPr>
          <w:p>
            <w:pPr>
              <w:pStyle w:val="33"/>
              <w:rPr>
                <w:rFonts w:ascii="Times New Roman"/>
                <w:sz w:val="28"/>
              </w:rPr>
            </w:pPr>
          </w:p>
        </w:tc>
        <w:tc>
          <w:tcPr>
            <w:tcW w:w="184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41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56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12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1280" w:type="dxa"/>
            <w:tcBorders>
              <w:top w:val="single" w:color="000000" w:sz="6" w:space="0"/>
              <w:bottom w:val="single" w:color="000000" w:sz="6" w:space="0"/>
              <w:right w:val="single" w:color="000000" w:sz="6" w:space="0"/>
            </w:tcBorders>
          </w:tcPr>
          <w:p>
            <w:pPr>
              <w:pStyle w:val="33"/>
              <w:rPr>
                <w:rFonts w:ascii="Times New Roman"/>
                <w:sz w:val="28"/>
              </w:rPr>
            </w:pPr>
          </w:p>
        </w:tc>
        <w:tc>
          <w:tcPr>
            <w:tcW w:w="184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41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56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12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280" w:type="dxa"/>
            <w:tcBorders>
              <w:top w:val="single" w:color="000000" w:sz="6" w:space="0"/>
              <w:bottom w:val="single" w:color="000000" w:sz="6" w:space="0"/>
              <w:right w:val="single" w:color="000000" w:sz="6" w:space="0"/>
            </w:tcBorders>
          </w:tcPr>
          <w:p>
            <w:pPr>
              <w:pStyle w:val="33"/>
              <w:rPr>
                <w:rFonts w:ascii="Times New Roman"/>
                <w:sz w:val="28"/>
              </w:rPr>
            </w:pPr>
          </w:p>
        </w:tc>
        <w:tc>
          <w:tcPr>
            <w:tcW w:w="184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41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56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12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1280" w:type="dxa"/>
            <w:tcBorders>
              <w:top w:val="single" w:color="000000" w:sz="6" w:space="0"/>
              <w:bottom w:val="single" w:color="000000" w:sz="6" w:space="0"/>
              <w:right w:val="single" w:color="000000" w:sz="6" w:space="0"/>
            </w:tcBorders>
          </w:tcPr>
          <w:p>
            <w:pPr>
              <w:pStyle w:val="33"/>
              <w:rPr>
                <w:rFonts w:ascii="Times New Roman"/>
                <w:sz w:val="28"/>
              </w:rPr>
            </w:pPr>
          </w:p>
        </w:tc>
        <w:tc>
          <w:tcPr>
            <w:tcW w:w="184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41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56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12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280" w:type="dxa"/>
            <w:tcBorders>
              <w:top w:val="single" w:color="000000" w:sz="6" w:space="0"/>
              <w:bottom w:val="single" w:color="000000" w:sz="6" w:space="0"/>
              <w:right w:val="single" w:color="000000" w:sz="6" w:space="0"/>
            </w:tcBorders>
          </w:tcPr>
          <w:p>
            <w:pPr>
              <w:pStyle w:val="33"/>
              <w:rPr>
                <w:rFonts w:ascii="Times New Roman"/>
                <w:sz w:val="28"/>
              </w:rPr>
            </w:pPr>
          </w:p>
        </w:tc>
        <w:tc>
          <w:tcPr>
            <w:tcW w:w="184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41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56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12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280" w:type="dxa"/>
            <w:tcBorders>
              <w:top w:val="single" w:color="000000" w:sz="6" w:space="0"/>
              <w:bottom w:val="single" w:color="000000" w:sz="6" w:space="0"/>
              <w:right w:val="single" w:color="000000" w:sz="6" w:space="0"/>
            </w:tcBorders>
          </w:tcPr>
          <w:p>
            <w:pPr>
              <w:pStyle w:val="33"/>
              <w:rPr>
                <w:rFonts w:ascii="Times New Roman"/>
                <w:sz w:val="28"/>
              </w:rPr>
            </w:pPr>
          </w:p>
        </w:tc>
        <w:tc>
          <w:tcPr>
            <w:tcW w:w="184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41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56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12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1280" w:type="dxa"/>
            <w:tcBorders>
              <w:top w:val="single" w:color="000000" w:sz="6" w:space="0"/>
              <w:bottom w:val="single" w:color="000000" w:sz="6" w:space="0"/>
              <w:right w:val="single" w:color="000000" w:sz="6" w:space="0"/>
            </w:tcBorders>
          </w:tcPr>
          <w:p>
            <w:pPr>
              <w:pStyle w:val="33"/>
              <w:rPr>
                <w:rFonts w:ascii="Times New Roman"/>
                <w:sz w:val="28"/>
              </w:rPr>
            </w:pPr>
          </w:p>
        </w:tc>
        <w:tc>
          <w:tcPr>
            <w:tcW w:w="184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41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56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12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280" w:type="dxa"/>
            <w:tcBorders>
              <w:top w:val="single" w:color="000000" w:sz="6" w:space="0"/>
              <w:bottom w:val="single" w:color="000000" w:sz="6" w:space="0"/>
              <w:right w:val="single" w:color="000000" w:sz="6" w:space="0"/>
            </w:tcBorders>
          </w:tcPr>
          <w:p>
            <w:pPr>
              <w:pStyle w:val="33"/>
              <w:rPr>
                <w:rFonts w:ascii="Times New Roman"/>
                <w:sz w:val="28"/>
              </w:rPr>
            </w:pPr>
          </w:p>
        </w:tc>
        <w:tc>
          <w:tcPr>
            <w:tcW w:w="184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41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56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212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1280" w:type="dxa"/>
            <w:tcBorders>
              <w:top w:val="single" w:color="000000" w:sz="6" w:space="0"/>
              <w:right w:val="single" w:color="000000" w:sz="6" w:space="0"/>
            </w:tcBorders>
          </w:tcPr>
          <w:p>
            <w:pPr>
              <w:pStyle w:val="33"/>
              <w:rPr>
                <w:rFonts w:ascii="Times New Roman"/>
                <w:sz w:val="28"/>
              </w:rPr>
            </w:pPr>
          </w:p>
        </w:tc>
        <w:tc>
          <w:tcPr>
            <w:tcW w:w="1843" w:type="dxa"/>
            <w:tcBorders>
              <w:top w:val="single" w:color="000000" w:sz="6" w:space="0"/>
              <w:left w:val="single" w:color="000000" w:sz="6" w:space="0"/>
              <w:right w:val="single" w:color="000000" w:sz="6" w:space="0"/>
            </w:tcBorders>
          </w:tcPr>
          <w:p>
            <w:pPr>
              <w:pStyle w:val="33"/>
              <w:rPr>
                <w:rFonts w:ascii="Times New Roman"/>
                <w:sz w:val="28"/>
              </w:rPr>
            </w:pPr>
          </w:p>
        </w:tc>
        <w:tc>
          <w:tcPr>
            <w:tcW w:w="1416" w:type="dxa"/>
            <w:tcBorders>
              <w:top w:val="single" w:color="000000" w:sz="6" w:space="0"/>
              <w:left w:val="single" w:color="000000" w:sz="6" w:space="0"/>
              <w:right w:val="single" w:color="000000" w:sz="6" w:space="0"/>
            </w:tcBorders>
          </w:tcPr>
          <w:p>
            <w:pPr>
              <w:pStyle w:val="33"/>
              <w:rPr>
                <w:rFonts w:ascii="Times New Roman"/>
                <w:sz w:val="28"/>
              </w:rPr>
            </w:pPr>
          </w:p>
        </w:tc>
        <w:tc>
          <w:tcPr>
            <w:tcW w:w="2410" w:type="dxa"/>
            <w:tcBorders>
              <w:top w:val="single" w:color="000000" w:sz="6" w:space="0"/>
              <w:left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right w:val="single" w:color="000000" w:sz="6" w:space="0"/>
            </w:tcBorders>
          </w:tcPr>
          <w:p>
            <w:pPr>
              <w:pStyle w:val="33"/>
              <w:rPr>
                <w:rFonts w:ascii="Times New Roman"/>
                <w:sz w:val="28"/>
              </w:rPr>
            </w:pPr>
          </w:p>
        </w:tc>
        <w:tc>
          <w:tcPr>
            <w:tcW w:w="1560" w:type="dxa"/>
            <w:tcBorders>
              <w:top w:val="single" w:color="000000" w:sz="6" w:space="0"/>
              <w:left w:val="single" w:color="000000" w:sz="6" w:space="0"/>
              <w:right w:val="single" w:color="000000" w:sz="6" w:space="0"/>
            </w:tcBorders>
          </w:tcPr>
          <w:p>
            <w:pPr>
              <w:pStyle w:val="33"/>
              <w:rPr>
                <w:rFonts w:ascii="Times New Roman"/>
                <w:sz w:val="28"/>
              </w:rPr>
            </w:pPr>
          </w:p>
        </w:tc>
        <w:tc>
          <w:tcPr>
            <w:tcW w:w="2126" w:type="dxa"/>
            <w:tcBorders>
              <w:top w:val="single" w:color="000000" w:sz="6" w:space="0"/>
              <w:left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tcBorders>
          </w:tcPr>
          <w:p>
            <w:pPr>
              <w:pStyle w:val="33"/>
              <w:rPr>
                <w:rFonts w:ascii="Times New Roman"/>
                <w:sz w:val="28"/>
              </w:rPr>
            </w:pPr>
          </w:p>
        </w:tc>
      </w:tr>
    </w:tbl>
    <w:p>
      <w:pPr>
        <w:pStyle w:val="13"/>
        <w:spacing w:before="8"/>
        <w:ind w:left="0"/>
        <w:rPr>
          <w:sz w:val="29"/>
        </w:rPr>
      </w:pPr>
    </w:p>
    <w:p>
      <w:pPr>
        <w:pStyle w:val="13"/>
        <w:spacing w:before="1"/>
        <w:ind w:left="5513" w:right="5271"/>
        <w:jc w:val="center"/>
        <w:rPr>
          <w:rFonts w:ascii="仿宋"/>
        </w:rPr>
      </w:pPr>
      <w:r>
        <w:rPr>
          <w:rFonts w:ascii="仿宋"/>
        </w:rPr>
        <w:t>101</w:t>
      </w:r>
    </w:p>
    <w:p>
      <w:pPr>
        <w:spacing w:after="0"/>
        <w:jc w:val="center"/>
        <w:rPr>
          <w:rFonts w:ascii="仿宋"/>
        </w:rPr>
        <w:sectPr>
          <w:footerReference r:id="rId5" w:type="default"/>
          <w:pgSz w:w="16840" w:h="11910" w:orient="landscape"/>
          <w:pgMar w:top="1100" w:right="1100" w:bottom="280" w:left="860" w:header="0" w:footer="0" w:gutter="0"/>
        </w:sectPr>
      </w:pPr>
    </w:p>
    <w:p>
      <w:pPr>
        <w:pStyle w:val="6"/>
        <w:spacing w:line="373" w:lineRule="exact"/>
        <w:ind w:left="1193"/>
      </w:pPr>
      <w:r>
        <w:t>附件 2：</w:t>
      </w:r>
    </w:p>
    <w:p>
      <w:pPr>
        <w:pStyle w:val="13"/>
        <w:spacing w:before="12"/>
        <w:ind w:left="0"/>
        <w:rPr>
          <w:sz w:val="16"/>
        </w:rPr>
      </w:pPr>
    </w:p>
    <w:p>
      <w:pPr>
        <w:pStyle w:val="6"/>
        <w:spacing w:before="8"/>
        <w:ind w:left="3982"/>
      </w:pPr>
      <w:r>
        <w:t>发包人供应材料设备一览表</w:t>
      </w:r>
    </w:p>
    <w:p>
      <w:pPr>
        <w:pStyle w:val="13"/>
        <w:spacing w:before="5"/>
        <w:ind w:left="0"/>
        <w:rPr>
          <w:sz w:val="18"/>
        </w:rPr>
      </w:pPr>
    </w:p>
    <w:tbl>
      <w:tblPr>
        <w:tblStyle w:val="17"/>
        <w:tblW w:w="10710" w:type="dxa"/>
        <w:tblInd w:w="1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52"/>
        <w:gridCol w:w="1274"/>
        <w:gridCol w:w="1419"/>
        <w:gridCol w:w="941"/>
        <w:gridCol w:w="850"/>
        <w:gridCol w:w="1044"/>
        <w:gridCol w:w="994"/>
        <w:gridCol w:w="850"/>
        <w:gridCol w:w="1488"/>
        <w:gridCol w:w="99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0" w:hRule="atLeast"/>
        </w:trPr>
        <w:tc>
          <w:tcPr>
            <w:tcW w:w="852" w:type="dxa"/>
            <w:tcBorders>
              <w:bottom w:val="double" w:color="000000" w:sz="2" w:space="0"/>
              <w:right w:val="single" w:color="000000" w:sz="6" w:space="0"/>
            </w:tcBorders>
          </w:tcPr>
          <w:p>
            <w:pPr>
              <w:pStyle w:val="33"/>
              <w:spacing w:before="6"/>
              <w:rPr>
                <w:sz w:val="24"/>
              </w:rPr>
            </w:pPr>
          </w:p>
          <w:p>
            <w:pPr>
              <w:pStyle w:val="33"/>
              <w:ind w:left="131"/>
              <w:rPr>
                <w:sz w:val="28"/>
              </w:rPr>
            </w:pPr>
            <w:r>
              <w:rPr>
                <w:sz w:val="28"/>
              </w:rPr>
              <w:t>序号</w:t>
            </w:r>
          </w:p>
        </w:tc>
        <w:tc>
          <w:tcPr>
            <w:tcW w:w="1274" w:type="dxa"/>
            <w:tcBorders>
              <w:left w:val="single" w:color="000000" w:sz="6" w:space="0"/>
              <w:bottom w:val="double" w:color="000000" w:sz="2" w:space="0"/>
              <w:right w:val="single" w:color="000000" w:sz="6" w:space="0"/>
            </w:tcBorders>
          </w:tcPr>
          <w:p>
            <w:pPr>
              <w:pStyle w:val="33"/>
              <w:spacing w:before="10" w:line="405" w:lineRule="auto"/>
              <w:ind w:left="69" w:right="50" w:firstLine="141"/>
              <w:rPr>
                <w:sz w:val="28"/>
              </w:rPr>
            </w:pPr>
            <w:r>
              <w:rPr>
                <w:sz w:val="28"/>
              </w:rPr>
              <w:t>材料、设备品种</w:t>
            </w:r>
          </w:p>
        </w:tc>
        <w:tc>
          <w:tcPr>
            <w:tcW w:w="1419" w:type="dxa"/>
            <w:tcBorders>
              <w:left w:val="single" w:color="000000" w:sz="6" w:space="0"/>
              <w:bottom w:val="double" w:color="000000" w:sz="2" w:space="0"/>
              <w:right w:val="single" w:color="000000" w:sz="6" w:space="0"/>
            </w:tcBorders>
          </w:tcPr>
          <w:p>
            <w:pPr>
              <w:pStyle w:val="33"/>
              <w:spacing w:before="6"/>
              <w:rPr>
                <w:sz w:val="24"/>
              </w:rPr>
            </w:pPr>
          </w:p>
          <w:p>
            <w:pPr>
              <w:pStyle w:val="33"/>
              <w:ind w:left="141"/>
              <w:rPr>
                <w:sz w:val="28"/>
              </w:rPr>
            </w:pPr>
            <w:r>
              <w:rPr>
                <w:sz w:val="28"/>
              </w:rPr>
              <w:t>规格型号</w:t>
            </w:r>
          </w:p>
        </w:tc>
        <w:tc>
          <w:tcPr>
            <w:tcW w:w="941" w:type="dxa"/>
            <w:tcBorders>
              <w:left w:val="single" w:color="000000" w:sz="6" w:space="0"/>
              <w:bottom w:val="double" w:color="000000" w:sz="2" w:space="0"/>
              <w:right w:val="single" w:color="000000" w:sz="6" w:space="0"/>
            </w:tcBorders>
          </w:tcPr>
          <w:p>
            <w:pPr>
              <w:pStyle w:val="33"/>
              <w:spacing w:before="6"/>
              <w:rPr>
                <w:sz w:val="24"/>
              </w:rPr>
            </w:pPr>
          </w:p>
          <w:p>
            <w:pPr>
              <w:pStyle w:val="33"/>
              <w:ind w:left="182"/>
              <w:rPr>
                <w:sz w:val="28"/>
              </w:rPr>
            </w:pPr>
            <w:r>
              <w:rPr>
                <w:sz w:val="28"/>
              </w:rPr>
              <w:t>单位</w:t>
            </w:r>
          </w:p>
        </w:tc>
        <w:tc>
          <w:tcPr>
            <w:tcW w:w="850" w:type="dxa"/>
            <w:tcBorders>
              <w:left w:val="single" w:color="000000" w:sz="6" w:space="0"/>
              <w:bottom w:val="double" w:color="000000" w:sz="2" w:space="0"/>
              <w:right w:val="single" w:color="000000" w:sz="6" w:space="0"/>
            </w:tcBorders>
          </w:tcPr>
          <w:p>
            <w:pPr>
              <w:pStyle w:val="33"/>
              <w:spacing w:before="6"/>
              <w:rPr>
                <w:sz w:val="24"/>
              </w:rPr>
            </w:pPr>
          </w:p>
          <w:p>
            <w:pPr>
              <w:pStyle w:val="33"/>
              <w:ind w:left="138"/>
              <w:rPr>
                <w:sz w:val="28"/>
              </w:rPr>
            </w:pPr>
            <w:r>
              <w:rPr>
                <w:sz w:val="28"/>
              </w:rPr>
              <w:t>数量</w:t>
            </w:r>
          </w:p>
        </w:tc>
        <w:tc>
          <w:tcPr>
            <w:tcW w:w="1044" w:type="dxa"/>
            <w:tcBorders>
              <w:left w:val="single" w:color="000000" w:sz="6" w:space="0"/>
              <w:bottom w:val="double" w:color="000000" w:sz="2" w:space="0"/>
              <w:right w:val="single" w:color="000000" w:sz="6" w:space="0"/>
            </w:tcBorders>
          </w:tcPr>
          <w:p>
            <w:pPr>
              <w:pStyle w:val="33"/>
              <w:spacing w:before="109"/>
              <w:ind w:left="74" w:right="72"/>
              <w:jc w:val="center"/>
              <w:rPr>
                <w:sz w:val="28"/>
              </w:rPr>
            </w:pPr>
            <w:r>
              <w:rPr>
                <w:sz w:val="28"/>
              </w:rPr>
              <w:t>单价</w:t>
            </w:r>
          </w:p>
          <w:p>
            <w:pPr>
              <w:pStyle w:val="33"/>
              <w:spacing w:before="53"/>
              <w:ind w:left="76" w:right="72"/>
              <w:jc w:val="center"/>
              <w:rPr>
                <w:sz w:val="28"/>
              </w:rPr>
            </w:pPr>
            <w:r>
              <w:rPr>
                <w:sz w:val="28"/>
              </w:rPr>
              <w:t>（元）</w:t>
            </w:r>
          </w:p>
        </w:tc>
        <w:tc>
          <w:tcPr>
            <w:tcW w:w="994" w:type="dxa"/>
            <w:tcBorders>
              <w:left w:val="single" w:color="000000" w:sz="6" w:space="0"/>
              <w:bottom w:val="double" w:color="000000" w:sz="2" w:space="0"/>
              <w:right w:val="single" w:color="000000" w:sz="6" w:space="0"/>
            </w:tcBorders>
          </w:tcPr>
          <w:p>
            <w:pPr>
              <w:pStyle w:val="33"/>
              <w:spacing w:before="10" w:line="405" w:lineRule="auto"/>
              <w:ind w:left="208" w:right="190"/>
              <w:rPr>
                <w:sz w:val="28"/>
              </w:rPr>
            </w:pPr>
            <w:r>
              <w:rPr>
                <w:sz w:val="28"/>
              </w:rPr>
              <w:t>质量等级</w:t>
            </w:r>
          </w:p>
        </w:tc>
        <w:tc>
          <w:tcPr>
            <w:tcW w:w="850" w:type="dxa"/>
            <w:tcBorders>
              <w:left w:val="single" w:color="000000" w:sz="6" w:space="0"/>
              <w:bottom w:val="double" w:color="000000" w:sz="2" w:space="0"/>
              <w:right w:val="single" w:color="000000" w:sz="6" w:space="0"/>
            </w:tcBorders>
          </w:tcPr>
          <w:p>
            <w:pPr>
              <w:pStyle w:val="33"/>
              <w:spacing w:before="10" w:line="405" w:lineRule="auto"/>
              <w:ind w:left="138" w:right="117"/>
              <w:rPr>
                <w:sz w:val="28"/>
              </w:rPr>
            </w:pPr>
            <w:r>
              <w:rPr>
                <w:sz w:val="28"/>
              </w:rPr>
              <w:t>供应时间</w:t>
            </w:r>
          </w:p>
        </w:tc>
        <w:tc>
          <w:tcPr>
            <w:tcW w:w="1488" w:type="dxa"/>
            <w:tcBorders>
              <w:left w:val="single" w:color="000000" w:sz="6" w:space="0"/>
              <w:bottom w:val="double" w:color="000000" w:sz="2" w:space="0"/>
              <w:right w:val="single" w:color="000000" w:sz="6" w:space="0"/>
            </w:tcBorders>
          </w:tcPr>
          <w:p>
            <w:pPr>
              <w:pStyle w:val="33"/>
              <w:spacing w:before="6"/>
              <w:rPr>
                <w:sz w:val="24"/>
              </w:rPr>
            </w:pPr>
          </w:p>
          <w:p>
            <w:pPr>
              <w:pStyle w:val="33"/>
              <w:ind w:left="174"/>
              <w:rPr>
                <w:sz w:val="28"/>
              </w:rPr>
            </w:pPr>
            <w:r>
              <w:rPr>
                <w:sz w:val="28"/>
              </w:rPr>
              <w:t>送达地点</w:t>
            </w:r>
          </w:p>
        </w:tc>
        <w:tc>
          <w:tcPr>
            <w:tcW w:w="998" w:type="dxa"/>
            <w:tcBorders>
              <w:left w:val="single" w:color="000000" w:sz="6" w:space="0"/>
              <w:bottom w:val="double" w:color="000000" w:sz="2" w:space="0"/>
            </w:tcBorders>
          </w:tcPr>
          <w:p>
            <w:pPr>
              <w:pStyle w:val="33"/>
              <w:spacing w:before="6"/>
              <w:rPr>
                <w:sz w:val="24"/>
              </w:rPr>
            </w:pPr>
          </w:p>
          <w:p>
            <w:pPr>
              <w:pStyle w:val="33"/>
              <w:ind w:left="208"/>
              <w:rPr>
                <w:sz w:val="28"/>
              </w:rPr>
            </w:pPr>
            <w:r>
              <w:rPr>
                <w:sz w:val="28"/>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852" w:type="dxa"/>
            <w:tcBorders>
              <w:top w:val="double" w:color="000000" w:sz="2" w:space="0"/>
              <w:bottom w:val="single" w:color="000000" w:sz="6" w:space="0"/>
              <w:right w:val="single" w:color="000000" w:sz="6" w:space="0"/>
            </w:tcBorders>
          </w:tcPr>
          <w:p>
            <w:pPr>
              <w:pStyle w:val="33"/>
              <w:rPr>
                <w:rFonts w:ascii="Times New Roman"/>
                <w:sz w:val="28"/>
              </w:rPr>
            </w:pPr>
          </w:p>
        </w:tc>
        <w:tc>
          <w:tcPr>
            <w:tcW w:w="1274"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941"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1044"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994"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1488"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998" w:type="dxa"/>
            <w:tcBorders>
              <w:top w:val="double" w:color="000000" w:sz="2"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852" w:type="dxa"/>
            <w:tcBorders>
              <w:top w:val="single" w:color="000000" w:sz="6" w:space="0"/>
              <w:bottom w:val="single" w:color="000000" w:sz="6" w:space="0"/>
              <w:right w:val="single" w:color="000000" w:sz="6" w:space="0"/>
            </w:tcBorders>
          </w:tcPr>
          <w:p>
            <w:pPr>
              <w:pStyle w:val="33"/>
              <w:rPr>
                <w:rFonts w:ascii="Times New Roman"/>
                <w:sz w:val="28"/>
              </w:rPr>
            </w:pPr>
          </w:p>
        </w:tc>
        <w:tc>
          <w:tcPr>
            <w:tcW w:w="127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4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0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8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8"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852" w:type="dxa"/>
            <w:tcBorders>
              <w:top w:val="single" w:color="000000" w:sz="6" w:space="0"/>
              <w:bottom w:val="single" w:color="000000" w:sz="6" w:space="0"/>
              <w:right w:val="single" w:color="000000" w:sz="6" w:space="0"/>
            </w:tcBorders>
          </w:tcPr>
          <w:p>
            <w:pPr>
              <w:pStyle w:val="33"/>
              <w:rPr>
                <w:rFonts w:ascii="Times New Roman"/>
                <w:sz w:val="28"/>
              </w:rPr>
            </w:pPr>
          </w:p>
        </w:tc>
        <w:tc>
          <w:tcPr>
            <w:tcW w:w="127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4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0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8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8"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852" w:type="dxa"/>
            <w:tcBorders>
              <w:top w:val="single" w:color="000000" w:sz="6" w:space="0"/>
              <w:bottom w:val="single" w:color="000000" w:sz="6" w:space="0"/>
              <w:right w:val="single" w:color="000000" w:sz="6" w:space="0"/>
            </w:tcBorders>
          </w:tcPr>
          <w:p>
            <w:pPr>
              <w:pStyle w:val="33"/>
              <w:rPr>
                <w:rFonts w:ascii="Times New Roman"/>
                <w:sz w:val="28"/>
              </w:rPr>
            </w:pPr>
          </w:p>
        </w:tc>
        <w:tc>
          <w:tcPr>
            <w:tcW w:w="127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4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0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8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8"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852" w:type="dxa"/>
            <w:tcBorders>
              <w:top w:val="single" w:color="000000" w:sz="6" w:space="0"/>
              <w:bottom w:val="single" w:color="000000" w:sz="6" w:space="0"/>
              <w:right w:val="single" w:color="000000" w:sz="6" w:space="0"/>
            </w:tcBorders>
          </w:tcPr>
          <w:p>
            <w:pPr>
              <w:pStyle w:val="33"/>
              <w:rPr>
                <w:rFonts w:ascii="Times New Roman"/>
                <w:sz w:val="28"/>
              </w:rPr>
            </w:pPr>
          </w:p>
        </w:tc>
        <w:tc>
          <w:tcPr>
            <w:tcW w:w="127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4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0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8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8"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852" w:type="dxa"/>
            <w:tcBorders>
              <w:top w:val="single" w:color="000000" w:sz="6" w:space="0"/>
              <w:bottom w:val="single" w:color="000000" w:sz="6" w:space="0"/>
              <w:right w:val="single" w:color="000000" w:sz="6" w:space="0"/>
            </w:tcBorders>
          </w:tcPr>
          <w:p>
            <w:pPr>
              <w:pStyle w:val="33"/>
              <w:rPr>
                <w:rFonts w:ascii="Times New Roman"/>
                <w:sz w:val="28"/>
              </w:rPr>
            </w:pPr>
          </w:p>
        </w:tc>
        <w:tc>
          <w:tcPr>
            <w:tcW w:w="127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4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0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8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8"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852" w:type="dxa"/>
            <w:tcBorders>
              <w:top w:val="single" w:color="000000" w:sz="6" w:space="0"/>
              <w:bottom w:val="single" w:color="000000" w:sz="6" w:space="0"/>
              <w:right w:val="single" w:color="000000" w:sz="6" w:space="0"/>
            </w:tcBorders>
          </w:tcPr>
          <w:p>
            <w:pPr>
              <w:pStyle w:val="33"/>
              <w:rPr>
                <w:rFonts w:ascii="Times New Roman"/>
                <w:sz w:val="28"/>
              </w:rPr>
            </w:pPr>
          </w:p>
        </w:tc>
        <w:tc>
          <w:tcPr>
            <w:tcW w:w="127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4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0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8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8"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852" w:type="dxa"/>
            <w:tcBorders>
              <w:top w:val="single" w:color="000000" w:sz="6" w:space="0"/>
              <w:bottom w:val="single" w:color="000000" w:sz="6" w:space="0"/>
              <w:right w:val="single" w:color="000000" w:sz="6" w:space="0"/>
            </w:tcBorders>
          </w:tcPr>
          <w:p>
            <w:pPr>
              <w:pStyle w:val="33"/>
              <w:rPr>
                <w:rFonts w:ascii="Times New Roman"/>
                <w:sz w:val="28"/>
              </w:rPr>
            </w:pPr>
          </w:p>
        </w:tc>
        <w:tc>
          <w:tcPr>
            <w:tcW w:w="127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4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0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8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8"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852" w:type="dxa"/>
            <w:tcBorders>
              <w:top w:val="single" w:color="000000" w:sz="6" w:space="0"/>
              <w:bottom w:val="single" w:color="000000" w:sz="6" w:space="0"/>
              <w:right w:val="single" w:color="000000" w:sz="6" w:space="0"/>
            </w:tcBorders>
          </w:tcPr>
          <w:p>
            <w:pPr>
              <w:pStyle w:val="33"/>
              <w:rPr>
                <w:rFonts w:ascii="Times New Roman"/>
                <w:sz w:val="28"/>
              </w:rPr>
            </w:pPr>
          </w:p>
        </w:tc>
        <w:tc>
          <w:tcPr>
            <w:tcW w:w="127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4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0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8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8"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852" w:type="dxa"/>
            <w:tcBorders>
              <w:top w:val="single" w:color="000000" w:sz="6" w:space="0"/>
              <w:bottom w:val="single" w:color="000000" w:sz="6" w:space="0"/>
              <w:right w:val="single" w:color="000000" w:sz="6" w:space="0"/>
            </w:tcBorders>
          </w:tcPr>
          <w:p>
            <w:pPr>
              <w:pStyle w:val="33"/>
              <w:rPr>
                <w:rFonts w:ascii="Times New Roman"/>
                <w:sz w:val="28"/>
              </w:rPr>
            </w:pPr>
          </w:p>
        </w:tc>
        <w:tc>
          <w:tcPr>
            <w:tcW w:w="127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4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0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8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8"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852" w:type="dxa"/>
            <w:tcBorders>
              <w:top w:val="single" w:color="000000" w:sz="6" w:space="0"/>
              <w:bottom w:val="single" w:color="000000" w:sz="6" w:space="0"/>
              <w:right w:val="single" w:color="000000" w:sz="6" w:space="0"/>
            </w:tcBorders>
          </w:tcPr>
          <w:p>
            <w:pPr>
              <w:pStyle w:val="33"/>
              <w:rPr>
                <w:rFonts w:ascii="Times New Roman"/>
                <w:sz w:val="28"/>
              </w:rPr>
            </w:pPr>
          </w:p>
        </w:tc>
        <w:tc>
          <w:tcPr>
            <w:tcW w:w="127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4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0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8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8"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852" w:type="dxa"/>
            <w:tcBorders>
              <w:top w:val="single" w:color="000000" w:sz="6" w:space="0"/>
              <w:bottom w:val="single" w:color="000000" w:sz="6" w:space="0"/>
              <w:right w:val="single" w:color="000000" w:sz="6" w:space="0"/>
            </w:tcBorders>
          </w:tcPr>
          <w:p>
            <w:pPr>
              <w:pStyle w:val="33"/>
              <w:rPr>
                <w:rFonts w:ascii="Times New Roman"/>
                <w:sz w:val="28"/>
              </w:rPr>
            </w:pPr>
          </w:p>
        </w:tc>
        <w:tc>
          <w:tcPr>
            <w:tcW w:w="127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4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0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8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8"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852" w:type="dxa"/>
            <w:tcBorders>
              <w:top w:val="single" w:color="000000" w:sz="6" w:space="0"/>
              <w:bottom w:val="single" w:color="000000" w:sz="6" w:space="0"/>
              <w:right w:val="single" w:color="000000" w:sz="6" w:space="0"/>
            </w:tcBorders>
          </w:tcPr>
          <w:p>
            <w:pPr>
              <w:pStyle w:val="33"/>
              <w:rPr>
                <w:rFonts w:ascii="Times New Roman"/>
                <w:sz w:val="28"/>
              </w:rPr>
            </w:pPr>
          </w:p>
        </w:tc>
        <w:tc>
          <w:tcPr>
            <w:tcW w:w="127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4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0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8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8"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852" w:type="dxa"/>
            <w:tcBorders>
              <w:top w:val="single" w:color="000000" w:sz="6" w:space="0"/>
              <w:bottom w:val="single" w:color="000000" w:sz="6" w:space="0"/>
              <w:right w:val="single" w:color="000000" w:sz="6" w:space="0"/>
            </w:tcBorders>
          </w:tcPr>
          <w:p>
            <w:pPr>
              <w:pStyle w:val="33"/>
              <w:rPr>
                <w:rFonts w:ascii="Times New Roman"/>
                <w:sz w:val="28"/>
              </w:rPr>
            </w:pPr>
          </w:p>
        </w:tc>
        <w:tc>
          <w:tcPr>
            <w:tcW w:w="127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4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0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8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8"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852" w:type="dxa"/>
            <w:tcBorders>
              <w:top w:val="single" w:color="000000" w:sz="6" w:space="0"/>
              <w:bottom w:val="single" w:color="000000" w:sz="6" w:space="0"/>
              <w:right w:val="single" w:color="000000" w:sz="6" w:space="0"/>
            </w:tcBorders>
          </w:tcPr>
          <w:p>
            <w:pPr>
              <w:pStyle w:val="33"/>
              <w:rPr>
                <w:rFonts w:ascii="Times New Roman"/>
                <w:sz w:val="28"/>
              </w:rPr>
            </w:pPr>
          </w:p>
        </w:tc>
        <w:tc>
          <w:tcPr>
            <w:tcW w:w="127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4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0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8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998"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852" w:type="dxa"/>
            <w:tcBorders>
              <w:top w:val="single" w:color="000000" w:sz="6" w:space="0"/>
              <w:right w:val="single" w:color="000000" w:sz="6" w:space="0"/>
            </w:tcBorders>
          </w:tcPr>
          <w:p>
            <w:pPr>
              <w:pStyle w:val="33"/>
              <w:rPr>
                <w:rFonts w:ascii="Times New Roman"/>
                <w:sz w:val="28"/>
              </w:rPr>
            </w:pPr>
          </w:p>
        </w:tc>
        <w:tc>
          <w:tcPr>
            <w:tcW w:w="1274" w:type="dxa"/>
            <w:tcBorders>
              <w:top w:val="single" w:color="000000" w:sz="6" w:space="0"/>
              <w:left w:val="single" w:color="000000" w:sz="6" w:space="0"/>
              <w:right w:val="single" w:color="000000" w:sz="6" w:space="0"/>
            </w:tcBorders>
          </w:tcPr>
          <w:p>
            <w:pPr>
              <w:pStyle w:val="33"/>
              <w:rPr>
                <w:rFonts w:ascii="Times New Roman"/>
                <w:sz w:val="28"/>
              </w:rPr>
            </w:pPr>
          </w:p>
        </w:tc>
        <w:tc>
          <w:tcPr>
            <w:tcW w:w="1419" w:type="dxa"/>
            <w:tcBorders>
              <w:top w:val="single" w:color="000000" w:sz="6" w:space="0"/>
              <w:left w:val="single" w:color="000000" w:sz="6" w:space="0"/>
              <w:right w:val="single" w:color="000000" w:sz="6" w:space="0"/>
            </w:tcBorders>
          </w:tcPr>
          <w:p>
            <w:pPr>
              <w:pStyle w:val="33"/>
              <w:rPr>
                <w:rFonts w:ascii="Times New Roman"/>
                <w:sz w:val="28"/>
              </w:rPr>
            </w:pPr>
          </w:p>
        </w:tc>
        <w:tc>
          <w:tcPr>
            <w:tcW w:w="941" w:type="dxa"/>
            <w:tcBorders>
              <w:top w:val="single" w:color="000000" w:sz="6" w:space="0"/>
              <w:left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right w:val="single" w:color="000000" w:sz="6" w:space="0"/>
            </w:tcBorders>
          </w:tcPr>
          <w:p>
            <w:pPr>
              <w:pStyle w:val="33"/>
              <w:rPr>
                <w:rFonts w:ascii="Times New Roman"/>
                <w:sz w:val="28"/>
              </w:rPr>
            </w:pPr>
          </w:p>
        </w:tc>
        <w:tc>
          <w:tcPr>
            <w:tcW w:w="1044" w:type="dxa"/>
            <w:tcBorders>
              <w:top w:val="single" w:color="000000" w:sz="6" w:space="0"/>
              <w:left w:val="single" w:color="000000" w:sz="6" w:space="0"/>
              <w:right w:val="single" w:color="000000" w:sz="6" w:space="0"/>
            </w:tcBorders>
          </w:tcPr>
          <w:p>
            <w:pPr>
              <w:pStyle w:val="33"/>
              <w:rPr>
                <w:rFonts w:ascii="Times New Roman"/>
                <w:sz w:val="28"/>
              </w:rPr>
            </w:pPr>
          </w:p>
        </w:tc>
        <w:tc>
          <w:tcPr>
            <w:tcW w:w="994" w:type="dxa"/>
            <w:tcBorders>
              <w:top w:val="single" w:color="000000" w:sz="6" w:space="0"/>
              <w:left w:val="single" w:color="000000" w:sz="6" w:space="0"/>
              <w:right w:val="single" w:color="000000" w:sz="6" w:space="0"/>
            </w:tcBorders>
          </w:tcPr>
          <w:p>
            <w:pPr>
              <w:pStyle w:val="33"/>
              <w:rPr>
                <w:rFonts w:ascii="Times New Roman"/>
                <w:sz w:val="28"/>
              </w:rPr>
            </w:pPr>
          </w:p>
        </w:tc>
        <w:tc>
          <w:tcPr>
            <w:tcW w:w="850" w:type="dxa"/>
            <w:tcBorders>
              <w:top w:val="single" w:color="000000" w:sz="6" w:space="0"/>
              <w:left w:val="single" w:color="000000" w:sz="6" w:space="0"/>
              <w:right w:val="single" w:color="000000" w:sz="6" w:space="0"/>
            </w:tcBorders>
          </w:tcPr>
          <w:p>
            <w:pPr>
              <w:pStyle w:val="33"/>
              <w:rPr>
                <w:rFonts w:ascii="Times New Roman"/>
                <w:sz w:val="28"/>
              </w:rPr>
            </w:pPr>
          </w:p>
        </w:tc>
        <w:tc>
          <w:tcPr>
            <w:tcW w:w="1488" w:type="dxa"/>
            <w:tcBorders>
              <w:top w:val="single" w:color="000000" w:sz="6" w:space="0"/>
              <w:left w:val="single" w:color="000000" w:sz="6" w:space="0"/>
              <w:right w:val="single" w:color="000000" w:sz="6" w:space="0"/>
            </w:tcBorders>
          </w:tcPr>
          <w:p>
            <w:pPr>
              <w:pStyle w:val="33"/>
              <w:rPr>
                <w:rFonts w:ascii="Times New Roman"/>
                <w:sz w:val="28"/>
              </w:rPr>
            </w:pPr>
          </w:p>
        </w:tc>
        <w:tc>
          <w:tcPr>
            <w:tcW w:w="998" w:type="dxa"/>
            <w:tcBorders>
              <w:top w:val="single" w:color="000000" w:sz="6" w:space="0"/>
              <w:left w:val="single" w:color="000000" w:sz="6" w:space="0"/>
            </w:tcBorders>
          </w:tcPr>
          <w:p>
            <w:pPr>
              <w:pStyle w:val="33"/>
              <w:rPr>
                <w:rFonts w:ascii="Times New Roman"/>
                <w:sz w:val="28"/>
              </w:rPr>
            </w:pPr>
          </w:p>
        </w:tc>
      </w:tr>
    </w:tbl>
    <w:p>
      <w:pPr>
        <w:spacing w:after="0"/>
        <w:rPr>
          <w:rFonts w:ascii="Times New Roman"/>
          <w:sz w:val="28"/>
        </w:rPr>
        <w:sectPr>
          <w:footerReference r:id="rId6" w:type="default"/>
          <w:pgSz w:w="11910" w:h="16840"/>
          <w:pgMar w:top="1120" w:right="380" w:bottom="1160" w:left="540" w:header="0" w:footer="975" w:gutter="0"/>
          <w:pgNumType w:start="102"/>
        </w:sectPr>
      </w:pPr>
    </w:p>
    <w:p>
      <w:pPr>
        <w:pStyle w:val="6"/>
        <w:spacing w:line="373" w:lineRule="exact"/>
        <w:ind w:left="713"/>
      </w:pPr>
      <w:r>
        <w:t>附件 3：</w:t>
      </w:r>
    </w:p>
    <w:p>
      <w:pPr>
        <w:pStyle w:val="13"/>
        <w:spacing w:before="12"/>
        <w:ind w:left="0"/>
        <w:rPr>
          <w:sz w:val="16"/>
        </w:rPr>
      </w:pPr>
    </w:p>
    <w:p>
      <w:pPr>
        <w:pStyle w:val="4"/>
        <w:ind w:left="2924"/>
        <w:jc w:val="left"/>
        <w:rPr>
          <w:rFonts w:hint="eastAsia" w:ascii="黑体" w:eastAsia="黑体"/>
        </w:rPr>
      </w:pPr>
      <w:r>
        <w:rPr>
          <w:rFonts w:hint="eastAsia" w:ascii="黑体" w:eastAsia="黑体"/>
          <w:w w:val="95"/>
        </w:rPr>
        <w:t>工程质量保修书（建筑工程）</w:t>
      </w:r>
    </w:p>
    <w:p>
      <w:pPr>
        <w:pStyle w:val="13"/>
        <w:spacing w:before="12"/>
        <w:ind w:left="0"/>
        <w:rPr>
          <w:rFonts w:ascii="黑体"/>
          <w:sz w:val="17"/>
        </w:rPr>
      </w:pPr>
    </w:p>
    <w:p>
      <w:pPr>
        <w:pStyle w:val="13"/>
        <w:spacing w:before="36" w:line="350" w:lineRule="auto"/>
        <w:ind w:left="533" w:right="7250" w:rightChars="0"/>
      </w:pPr>
      <w:r>
        <w:t xml:space="preserve">发包人（全称）： </w:t>
      </w:r>
    </w:p>
    <w:p>
      <w:pPr>
        <w:pStyle w:val="13"/>
        <w:spacing w:before="36" w:line="350" w:lineRule="auto"/>
        <w:ind w:left="533" w:right="7250" w:rightChars="0"/>
      </w:pPr>
      <w:r>
        <w:t>承包人（全称）：</w:t>
      </w:r>
    </w:p>
    <w:p>
      <w:pPr>
        <w:pStyle w:val="13"/>
        <w:ind w:left="0"/>
        <w:rPr>
          <w:sz w:val="20"/>
        </w:rPr>
      </w:pPr>
    </w:p>
    <w:p>
      <w:pPr>
        <w:keepNext w:val="0"/>
        <w:keepLines w:val="0"/>
        <w:pageBreakBefore w:val="0"/>
        <w:widowControl w:val="0"/>
        <w:kinsoku/>
        <w:wordWrap w:val="0"/>
        <w:overflowPunct/>
        <w:topLinePunct/>
        <w:bidi w:val="0"/>
        <w:adjustRightInd/>
        <w:snapToGrid/>
        <w:spacing w:line="408" w:lineRule="auto"/>
        <w:ind w:firstLine="420" w:firstLineChars="200"/>
        <w:textAlignment w:val="auto"/>
        <w:rPr>
          <w:rFonts w:hint="eastAsia" w:ascii="宋体" w:hAnsi="宋体" w:cs="宋体"/>
          <w:sz w:val="21"/>
          <w:szCs w:val="21"/>
        </w:rPr>
      </w:pPr>
      <w:r>
        <w:rPr>
          <w:rFonts w:hint="eastAsia" w:ascii="宋体" w:hAnsi="宋体" w:cs="宋体"/>
          <w:sz w:val="21"/>
          <w:szCs w:val="21"/>
        </w:rPr>
        <w:t>为保证</w:t>
      </w:r>
      <w:r>
        <w:rPr>
          <w:rFonts w:hint="eastAsia" w:ascii="宋体" w:hAnsi="宋体" w:cs="宋体"/>
          <w:sz w:val="21"/>
          <w:szCs w:val="21"/>
          <w:u w:val="single"/>
        </w:rPr>
        <w:t>桂林市兴安县2018年同志村委土地开垦项目</w:t>
      </w:r>
      <w:r>
        <w:rPr>
          <w:rFonts w:hint="eastAsia" w:ascii="宋体" w:hAnsi="宋体" w:cs="宋体"/>
          <w:sz w:val="21"/>
          <w:szCs w:val="21"/>
        </w:rPr>
        <w:t>在合理使用期限内正常使用，发包人承包人协商一致签订工程质量保修书，承包人在质量保修期内按照有关管规定及双方约定承担工程质量保修责任。</w:t>
      </w:r>
    </w:p>
    <w:p>
      <w:pPr>
        <w:keepNext w:val="0"/>
        <w:keepLines w:val="0"/>
        <w:pageBreakBefore w:val="0"/>
        <w:widowControl w:val="0"/>
        <w:kinsoku/>
        <w:wordWrap w:val="0"/>
        <w:overflowPunct/>
        <w:topLinePunct/>
        <w:bidi w:val="0"/>
        <w:adjustRightInd/>
        <w:snapToGrid/>
        <w:spacing w:line="408" w:lineRule="auto"/>
        <w:ind w:firstLine="422" w:firstLineChars="200"/>
        <w:textAlignment w:val="auto"/>
        <w:rPr>
          <w:rFonts w:hint="eastAsia" w:ascii="宋体" w:hAnsi="宋体" w:cs="宋体"/>
          <w:sz w:val="21"/>
          <w:szCs w:val="21"/>
        </w:rPr>
      </w:pPr>
      <w:r>
        <w:rPr>
          <w:rFonts w:hint="eastAsia" w:ascii="宋体" w:hAnsi="宋体" w:cs="宋体"/>
          <w:b/>
          <w:bCs/>
          <w:sz w:val="21"/>
          <w:szCs w:val="21"/>
        </w:rPr>
        <w:t>一</w:t>
      </w:r>
      <w:r>
        <w:rPr>
          <w:rFonts w:hint="eastAsia" w:ascii="宋体" w:hAnsi="宋体" w:cs="宋体"/>
          <w:sz w:val="21"/>
          <w:szCs w:val="21"/>
        </w:rPr>
        <w:t>、工程质量保修范围和内容</w:t>
      </w:r>
    </w:p>
    <w:p>
      <w:pPr>
        <w:keepNext w:val="0"/>
        <w:keepLines w:val="0"/>
        <w:pageBreakBefore w:val="0"/>
        <w:widowControl w:val="0"/>
        <w:kinsoku/>
        <w:wordWrap w:val="0"/>
        <w:overflowPunct/>
        <w:topLinePunct/>
        <w:bidi w:val="0"/>
        <w:adjustRightInd/>
        <w:snapToGrid/>
        <w:spacing w:line="408" w:lineRule="auto"/>
        <w:ind w:firstLine="420" w:firstLineChars="200"/>
        <w:textAlignment w:val="auto"/>
        <w:rPr>
          <w:rFonts w:hint="eastAsia" w:ascii="宋体" w:hAnsi="宋体" w:cs="宋体"/>
          <w:sz w:val="21"/>
          <w:szCs w:val="21"/>
          <w:u w:val="single"/>
        </w:rPr>
      </w:pPr>
      <w:r>
        <w:rPr>
          <w:rFonts w:hint="eastAsia" w:ascii="宋体" w:hAnsi="宋体" w:cs="宋体"/>
          <w:sz w:val="21"/>
          <w:szCs w:val="21"/>
        </w:rPr>
        <w:t>质量保修范围包括项目区内的土地平整、农田水利工程、田间道路工程等合同范围内的项目。具体质量保修内容双方约定：</w:t>
      </w:r>
      <w:r>
        <w:rPr>
          <w:rFonts w:hint="eastAsia" w:ascii="宋体" w:hAnsi="宋体" w:cs="宋体"/>
          <w:sz w:val="21"/>
          <w:szCs w:val="21"/>
          <w:u w:val="single"/>
        </w:rPr>
        <w:t>在承包范围内的属承包人责任造成的工程质量问题，由承包人承担保修责任。</w:t>
      </w:r>
    </w:p>
    <w:p>
      <w:pPr>
        <w:keepNext w:val="0"/>
        <w:keepLines w:val="0"/>
        <w:pageBreakBefore w:val="0"/>
        <w:widowControl w:val="0"/>
        <w:kinsoku/>
        <w:wordWrap w:val="0"/>
        <w:overflowPunct/>
        <w:topLinePunct/>
        <w:bidi w:val="0"/>
        <w:adjustRightInd/>
        <w:snapToGrid/>
        <w:spacing w:line="408" w:lineRule="auto"/>
        <w:ind w:firstLine="420" w:firstLineChars="200"/>
        <w:textAlignment w:val="auto"/>
        <w:rPr>
          <w:rFonts w:hint="eastAsia" w:ascii="宋体" w:hAnsi="宋体" w:cs="宋体"/>
          <w:sz w:val="21"/>
          <w:szCs w:val="21"/>
        </w:rPr>
      </w:pPr>
      <w:r>
        <w:rPr>
          <w:rFonts w:hint="eastAsia" w:ascii="宋体" w:hAnsi="宋体" w:cs="宋体"/>
          <w:sz w:val="21"/>
          <w:szCs w:val="21"/>
        </w:rPr>
        <w:t>二、质量保修期</w:t>
      </w:r>
    </w:p>
    <w:p>
      <w:pPr>
        <w:keepNext w:val="0"/>
        <w:keepLines w:val="0"/>
        <w:pageBreakBefore w:val="0"/>
        <w:widowControl w:val="0"/>
        <w:kinsoku/>
        <w:wordWrap w:val="0"/>
        <w:overflowPunct/>
        <w:topLinePunct/>
        <w:bidi w:val="0"/>
        <w:adjustRightInd/>
        <w:snapToGrid/>
        <w:spacing w:line="408" w:lineRule="auto"/>
        <w:ind w:firstLine="420" w:firstLineChars="200"/>
        <w:textAlignment w:val="auto"/>
        <w:rPr>
          <w:rFonts w:hint="eastAsia" w:ascii="宋体" w:hAnsi="宋体" w:cs="宋体"/>
          <w:sz w:val="21"/>
          <w:szCs w:val="21"/>
        </w:rPr>
      </w:pPr>
      <w:r>
        <w:rPr>
          <w:rFonts w:hint="eastAsia" w:ascii="宋体" w:hAnsi="宋体" w:cs="宋体"/>
          <w:sz w:val="21"/>
          <w:szCs w:val="21"/>
        </w:rPr>
        <w:t>质量保修期从工程实际竣工之日算起。分单项竣工验收的工程，按单项工程分计算质量保修期。</w:t>
      </w:r>
    </w:p>
    <w:p>
      <w:pPr>
        <w:pStyle w:val="2"/>
        <w:keepNext w:val="0"/>
        <w:keepLines w:val="0"/>
        <w:pageBreakBefore w:val="0"/>
        <w:widowControl w:val="0"/>
        <w:kinsoku/>
        <w:overflowPunct/>
        <w:bidi w:val="0"/>
        <w:adjustRightInd/>
        <w:snapToGrid/>
        <w:spacing w:line="408" w:lineRule="auto"/>
        <w:ind w:firstLine="420" w:firstLineChars="200"/>
        <w:textAlignment w:val="auto"/>
        <w:rPr>
          <w:rFonts w:hint="eastAsia" w:ascii="宋体" w:hAnsi="宋体" w:cs="宋体"/>
          <w:sz w:val="21"/>
          <w:szCs w:val="21"/>
        </w:rPr>
      </w:pPr>
      <w:r>
        <w:rPr>
          <w:rFonts w:hint="eastAsia" w:ascii="宋体" w:hAnsi="宋体" w:cs="宋体"/>
          <w:sz w:val="21"/>
          <w:szCs w:val="21"/>
        </w:rPr>
        <w:t>双方根据国家有关规定，结合具体工程约定质量保修期如下:所有项目工程的质量保修期为</w:t>
      </w:r>
      <w:r>
        <w:rPr>
          <w:rFonts w:hint="eastAsia" w:ascii="宋体" w:hAnsi="宋体" w:cs="宋体"/>
          <w:b/>
          <w:bCs/>
          <w:sz w:val="21"/>
          <w:szCs w:val="21"/>
          <w:u w:val="single"/>
        </w:rPr>
        <w:t>1</w:t>
      </w:r>
      <w:r>
        <w:rPr>
          <w:rFonts w:hint="eastAsia" w:ascii="宋体" w:hAnsi="宋体" w:cs="宋体"/>
          <w:sz w:val="21"/>
          <w:szCs w:val="21"/>
        </w:rPr>
        <w:t>年。</w:t>
      </w:r>
    </w:p>
    <w:p>
      <w:pPr>
        <w:keepNext w:val="0"/>
        <w:keepLines w:val="0"/>
        <w:pageBreakBefore w:val="0"/>
        <w:widowControl w:val="0"/>
        <w:kinsoku/>
        <w:wordWrap w:val="0"/>
        <w:overflowPunct/>
        <w:topLinePunct/>
        <w:bidi w:val="0"/>
        <w:adjustRightInd/>
        <w:snapToGrid/>
        <w:spacing w:line="408" w:lineRule="auto"/>
        <w:ind w:firstLine="420" w:firstLineChars="200"/>
        <w:textAlignment w:val="auto"/>
        <w:rPr>
          <w:rFonts w:hint="eastAsia" w:ascii="宋体" w:hAnsi="宋体" w:cs="宋体"/>
          <w:sz w:val="21"/>
          <w:szCs w:val="21"/>
        </w:rPr>
      </w:pPr>
      <w:r>
        <w:rPr>
          <w:rFonts w:hint="eastAsia" w:ascii="宋体" w:hAnsi="宋体" w:cs="宋体"/>
          <w:sz w:val="21"/>
          <w:szCs w:val="21"/>
        </w:rPr>
        <w:t>三、质量保修责任</w:t>
      </w:r>
    </w:p>
    <w:p>
      <w:pPr>
        <w:pStyle w:val="2"/>
        <w:keepNext w:val="0"/>
        <w:keepLines w:val="0"/>
        <w:pageBreakBefore w:val="0"/>
        <w:widowControl w:val="0"/>
        <w:kinsoku/>
        <w:overflowPunct/>
        <w:bidi w:val="0"/>
        <w:adjustRightInd/>
        <w:snapToGrid/>
        <w:spacing w:line="408" w:lineRule="auto"/>
        <w:ind w:firstLine="420" w:firstLineChars="200"/>
        <w:textAlignment w:val="auto"/>
        <w:rPr>
          <w:rFonts w:hint="eastAsia" w:ascii="宋体" w:hAnsi="宋体" w:cs="宋体"/>
          <w:sz w:val="21"/>
          <w:szCs w:val="21"/>
        </w:rPr>
      </w:pPr>
      <w:r>
        <w:rPr>
          <w:rFonts w:hint="eastAsia" w:ascii="宋体" w:hAnsi="宋体" w:cs="宋体"/>
          <w:sz w:val="21"/>
          <w:szCs w:val="21"/>
        </w:rPr>
        <w:t>1、属于保修范围、内容的项目，承包人应当在接到保修通知之日起7日内派人保修。承包人不在约定期限内派人保修的，发包人可以委托他人修理，保修费用从质量保修金内扣除。</w:t>
      </w:r>
    </w:p>
    <w:p>
      <w:pPr>
        <w:keepNext w:val="0"/>
        <w:keepLines w:val="0"/>
        <w:pageBreakBefore w:val="0"/>
        <w:widowControl w:val="0"/>
        <w:kinsoku/>
        <w:wordWrap w:val="0"/>
        <w:overflowPunct/>
        <w:topLinePunct/>
        <w:bidi w:val="0"/>
        <w:adjustRightInd/>
        <w:snapToGrid/>
        <w:spacing w:line="408" w:lineRule="auto"/>
        <w:ind w:firstLine="420" w:firstLineChars="200"/>
        <w:textAlignment w:val="auto"/>
        <w:rPr>
          <w:rFonts w:hint="eastAsia" w:ascii="宋体" w:hAnsi="宋体" w:cs="宋体"/>
          <w:sz w:val="21"/>
          <w:szCs w:val="21"/>
        </w:rPr>
      </w:pPr>
      <w:r>
        <w:rPr>
          <w:rFonts w:hint="eastAsia" w:ascii="宋体" w:hAnsi="宋体" w:cs="宋体"/>
          <w:sz w:val="21"/>
          <w:szCs w:val="21"/>
        </w:rPr>
        <w:t>2、发生紧急抢修事故的，承包人在接到事故通知后，应当立即到达事故现场抢修。</w:t>
      </w:r>
    </w:p>
    <w:p>
      <w:pPr>
        <w:pStyle w:val="2"/>
        <w:keepNext w:val="0"/>
        <w:keepLines w:val="0"/>
        <w:pageBreakBefore w:val="0"/>
        <w:widowControl w:val="0"/>
        <w:kinsoku/>
        <w:overflowPunct/>
        <w:bidi w:val="0"/>
        <w:adjustRightInd/>
        <w:snapToGrid/>
        <w:spacing w:line="408" w:lineRule="auto"/>
        <w:ind w:firstLine="420" w:firstLineChars="200"/>
        <w:textAlignment w:val="auto"/>
        <w:rPr>
          <w:rFonts w:hint="eastAsia" w:ascii="宋体" w:hAnsi="宋体" w:cs="宋体"/>
          <w:sz w:val="21"/>
          <w:szCs w:val="21"/>
        </w:rPr>
      </w:pPr>
      <w:r>
        <w:rPr>
          <w:rFonts w:hint="eastAsia" w:ascii="宋体" w:hAnsi="宋体" w:cs="宋体"/>
          <w:sz w:val="21"/>
          <w:szCs w:val="21"/>
        </w:rPr>
        <w:t>3、在国家规定的工程合理使用期限内，承包人确保地基基础工程和主体结构的质量，因承包人原因致使工程在合理使用期限内造成人身和财产损害的，承包人应承担损害赔偿责任。</w:t>
      </w:r>
    </w:p>
    <w:p>
      <w:pPr>
        <w:keepNext w:val="0"/>
        <w:keepLines w:val="0"/>
        <w:pageBreakBefore w:val="0"/>
        <w:widowControl w:val="0"/>
        <w:kinsoku/>
        <w:wordWrap w:val="0"/>
        <w:overflowPunct/>
        <w:topLinePunct/>
        <w:bidi w:val="0"/>
        <w:adjustRightInd/>
        <w:snapToGrid/>
        <w:spacing w:line="408" w:lineRule="auto"/>
        <w:ind w:firstLine="420" w:firstLineChars="200"/>
        <w:textAlignment w:val="auto"/>
        <w:rPr>
          <w:rFonts w:hint="eastAsia" w:ascii="宋体" w:hAnsi="宋体" w:cs="宋体"/>
          <w:sz w:val="21"/>
          <w:szCs w:val="21"/>
        </w:rPr>
      </w:pPr>
      <w:r>
        <w:rPr>
          <w:rFonts w:hint="eastAsia" w:ascii="宋体" w:hAnsi="宋体" w:cs="宋体"/>
          <w:sz w:val="21"/>
          <w:szCs w:val="21"/>
        </w:rPr>
        <w:t>四、保修费用</w:t>
      </w:r>
    </w:p>
    <w:p>
      <w:pPr>
        <w:keepNext w:val="0"/>
        <w:keepLines w:val="0"/>
        <w:pageBreakBefore w:val="0"/>
        <w:widowControl w:val="0"/>
        <w:kinsoku/>
        <w:wordWrap w:val="0"/>
        <w:overflowPunct/>
        <w:topLinePunct/>
        <w:bidi w:val="0"/>
        <w:adjustRightInd/>
        <w:snapToGrid/>
        <w:spacing w:line="408" w:lineRule="auto"/>
        <w:ind w:firstLine="420" w:firstLineChars="200"/>
        <w:textAlignment w:val="auto"/>
        <w:rPr>
          <w:rFonts w:hint="eastAsia" w:ascii="宋体" w:hAnsi="宋体" w:cs="宋体"/>
          <w:sz w:val="21"/>
          <w:szCs w:val="21"/>
        </w:rPr>
      </w:pPr>
      <w:r>
        <w:rPr>
          <w:rFonts w:hint="eastAsia" w:ascii="宋体" w:hAnsi="宋体" w:cs="宋体"/>
          <w:sz w:val="21"/>
          <w:szCs w:val="21"/>
        </w:rPr>
        <w:t>保修费用由造成质量缺陷的责任方承担。</w:t>
      </w:r>
    </w:p>
    <w:p>
      <w:pPr>
        <w:pStyle w:val="2"/>
        <w:keepNext w:val="0"/>
        <w:keepLines w:val="0"/>
        <w:pageBreakBefore w:val="0"/>
        <w:widowControl w:val="0"/>
        <w:numPr>
          <w:ilvl w:val="0"/>
          <w:numId w:val="44"/>
        </w:numPr>
        <w:kinsoku/>
        <w:overflowPunct/>
        <w:bidi w:val="0"/>
        <w:adjustRightInd/>
        <w:snapToGrid/>
        <w:spacing w:line="408" w:lineRule="auto"/>
        <w:textAlignment w:val="auto"/>
        <w:rPr>
          <w:rFonts w:hint="eastAsia" w:ascii="宋体" w:hAnsi="宋体" w:cs="宋体"/>
          <w:sz w:val="21"/>
          <w:szCs w:val="21"/>
        </w:rPr>
      </w:pPr>
      <w:r>
        <w:rPr>
          <w:rFonts w:hint="eastAsia" w:ascii="宋体" w:hAnsi="宋体" w:cs="宋体"/>
          <w:sz w:val="21"/>
          <w:szCs w:val="21"/>
        </w:rPr>
        <w:t>质量保修金的支付</w:t>
      </w:r>
    </w:p>
    <w:p>
      <w:pPr>
        <w:pStyle w:val="2"/>
        <w:keepNext w:val="0"/>
        <w:keepLines w:val="0"/>
        <w:pageBreakBefore w:val="0"/>
        <w:widowControl w:val="0"/>
        <w:kinsoku/>
        <w:overflowPunct/>
        <w:bidi w:val="0"/>
        <w:adjustRightInd/>
        <w:snapToGrid/>
        <w:spacing w:line="408" w:lineRule="auto"/>
        <w:ind w:firstLine="420" w:firstLineChars="200"/>
        <w:textAlignment w:val="auto"/>
        <w:rPr>
          <w:rFonts w:hint="eastAsia" w:ascii="宋体" w:hAnsi="宋体" w:cs="宋体"/>
          <w:sz w:val="21"/>
          <w:szCs w:val="21"/>
        </w:rPr>
      </w:pPr>
      <w:r>
        <w:rPr>
          <w:rFonts w:hint="eastAsia" w:ascii="宋体" w:hAnsi="宋体" w:cs="宋体"/>
          <w:sz w:val="21"/>
          <w:szCs w:val="21"/>
        </w:rPr>
        <w:t>本工程约定的工程质量保修金为施工结算价的5％，质量保修金银行利率为零。</w:t>
      </w:r>
    </w:p>
    <w:p>
      <w:pPr>
        <w:keepNext w:val="0"/>
        <w:keepLines w:val="0"/>
        <w:pageBreakBefore w:val="0"/>
        <w:widowControl w:val="0"/>
        <w:kinsoku/>
        <w:overflowPunct/>
        <w:bidi w:val="0"/>
        <w:adjustRightInd/>
        <w:snapToGrid/>
        <w:spacing w:line="408" w:lineRule="auto"/>
        <w:textAlignment w:val="auto"/>
        <w:rPr>
          <w:rFonts w:hint="eastAsia" w:ascii="宋体" w:hAnsi="宋体" w:cs="宋体"/>
          <w:sz w:val="21"/>
          <w:szCs w:val="21"/>
        </w:rPr>
      </w:pPr>
      <w:r>
        <w:rPr>
          <w:rFonts w:hint="eastAsia" w:ascii="宋体" w:hAnsi="宋体" w:cs="宋体"/>
          <w:sz w:val="21"/>
          <w:szCs w:val="21"/>
        </w:rPr>
        <w:t>六、质量保修金的返还</w:t>
      </w:r>
    </w:p>
    <w:p>
      <w:pPr>
        <w:keepNext w:val="0"/>
        <w:keepLines w:val="0"/>
        <w:pageBreakBefore w:val="0"/>
        <w:widowControl w:val="0"/>
        <w:kinsoku/>
        <w:overflowPunct/>
        <w:bidi w:val="0"/>
        <w:adjustRightInd/>
        <w:snapToGrid/>
        <w:spacing w:line="408" w:lineRule="auto"/>
        <w:ind w:firstLine="420" w:firstLineChars="200"/>
        <w:textAlignment w:val="auto"/>
        <w:rPr>
          <w:rFonts w:hint="eastAsia" w:ascii="宋体" w:hAnsi="宋体" w:cs="宋体"/>
          <w:sz w:val="21"/>
          <w:szCs w:val="21"/>
        </w:rPr>
      </w:pPr>
      <w:r>
        <w:rPr>
          <w:rFonts w:hint="eastAsia" w:ascii="宋体" w:hAnsi="宋体" w:cs="宋体"/>
          <w:sz w:val="21"/>
          <w:szCs w:val="21"/>
        </w:rPr>
        <w:t>在工程竣工验收满一年后14天内，将保修金(不计利息)退回给乙方。在保修期内乙方应按保修内容进行保修，若乙方接到甲方保修通知书之日起7日内未派人进行修理的，甲方则安排其它公司修理，在保修期内发生的修理费用由乙方负责或由甲方从保修金中扣出。</w:t>
      </w:r>
    </w:p>
    <w:p>
      <w:pPr>
        <w:keepNext w:val="0"/>
        <w:keepLines w:val="0"/>
        <w:pageBreakBefore w:val="0"/>
        <w:widowControl w:val="0"/>
        <w:kinsoku/>
        <w:wordWrap w:val="0"/>
        <w:overflowPunct/>
        <w:topLinePunct/>
        <w:bidi w:val="0"/>
        <w:adjustRightInd/>
        <w:snapToGrid/>
        <w:spacing w:line="408" w:lineRule="auto"/>
        <w:ind w:firstLine="420" w:firstLineChars="200"/>
        <w:textAlignment w:val="auto"/>
        <w:rPr>
          <w:rFonts w:hint="eastAsia" w:ascii="宋体" w:hAnsi="宋体" w:cs="宋体"/>
          <w:sz w:val="21"/>
          <w:szCs w:val="21"/>
        </w:rPr>
      </w:pPr>
      <w:r>
        <w:rPr>
          <w:rFonts w:hint="eastAsia" w:ascii="宋体" w:hAnsi="宋体" w:cs="宋体"/>
          <w:sz w:val="21"/>
          <w:szCs w:val="21"/>
        </w:rPr>
        <w:t>七、其他</w:t>
      </w:r>
    </w:p>
    <w:p>
      <w:pPr>
        <w:keepNext w:val="0"/>
        <w:keepLines w:val="0"/>
        <w:pageBreakBefore w:val="0"/>
        <w:widowControl w:val="0"/>
        <w:kinsoku/>
        <w:wordWrap w:val="0"/>
        <w:overflowPunct/>
        <w:topLinePunct/>
        <w:bidi w:val="0"/>
        <w:adjustRightInd/>
        <w:snapToGrid/>
        <w:spacing w:line="408" w:lineRule="auto"/>
        <w:ind w:firstLine="420" w:firstLineChars="200"/>
        <w:textAlignment w:val="auto"/>
        <w:rPr>
          <w:rFonts w:hint="eastAsia" w:ascii="宋体" w:hAnsi="宋体" w:cs="宋体"/>
          <w:sz w:val="21"/>
          <w:szCs w:val="21"/>
        </w:rPr>
      </w:pPr>
      <w:r>
        <w:rPr>
          <w:rFonts w:hint="eastAsia" w:ascii="宋体" w:hAnsi="宋体" w:cs="宋体"/>
          <w:sz w:val="21"/>
          <w:szCs w:val="21"/>
        </w:rPr>
        <w:t>双方约定的其它工程质量保修事项:保修期内，约发生属承包人责任的质量问题，按本保修书第三条约定，发包人委托他人修理，其费用由发包人在质量保修金中扣除。</w:t>
      </w:r>
    </w:p>
    <w:p>
      <w:pPr>
        <w:keepNext w:val="0"/>
        <w:keepLines w:val="0"/>
        <w:pageBreakBefore w:val="0"/>
        <w:widowControl w:val="0"/>
        <w:kinsoku/>
        <w:wordWrap w:val="0"/>
        <w:overflowPunct/>
        <w:topLinePunct/>
        <w:bidi w:val="0"/>
        <w:adjustRightInd/>
        <w:snapToGrid/>
        <w:spacing w:line="408" w:lineRule="auto"/>
        <w:ind w:firstLine="420" w:firstLineChars="200"/>
        <w:textAlignment w:val="auto"/>
        <w:rPr>
          <w:rFonts w:hint="eastAsia" w:ascii="宋体" w:hAnsi="宋体" w:cs="宋体"/>
          <w:sz w:val="21"/>
          <w:szCs w:val="21"/>
        </w:rPr>
      </w:pPr>
      <w:r>
        <w:rPr>
          <w:rFonts w:hint="eastAsia" w:ascii="宋体" w:hAnsi="宋体" w:cs="宋体"/>
          <w:sz w:val="21"/>
          <w:szCs w:val="21"/>
        </w:rPr>
        <w:t>本工程质量保修书作为施工合同附件，由施工合同发包人承包人双方共同签署。</w:t>
      </w:r>
    </w:p>
    <w:p>
      <w:pPr>
        <w:keepNext w:val="0"/>
        <w:keepLines w:val="0"/>
        <w:pageBreakBefore w:val="0"/>
        <w:widowControl w:val="0"/>
        <w:kinsoku/>
        <w:wordWrap w:val="0"/>
        <w:overflowPunct/>
        <w:topLinePunct/>
        <w:bidi w:val="0"/>
        <w:adjustRightInd/>
        <w:snapToGrid/>
        <w:spacing w:line="408" w:lineRule="auto"/>
        <w:ind w:firstLine="420" w:firstLineChars="200"/>
        <w:textAlignment w:val="auto"/>
        <w:rPr>
          <w:rFonts w:hint="eastAsia" w:ascii="宋体" w:hAnsi="宋体" w:cs="宋体"/>
          <w:sz w:val="21"/>
          <w:szCs w:val="21"/>
        </w:rPr>
      </w:pPr>
    </w:p>
    <w:p>
      <w:pPr>
        <w:keepNext w:val="0"/>
        <w:keepLines w:val="0"/>
        <w:pageBreakBefore w:val="0"/>
        <w:widowControl w:val="0"/>
        <w:kinsoku/>
        <w:wordWrap w:val="0"/>
        <w:overflowPunct/>
        <w:topLinePunct/>
        <w:bidi w:val="0"/>
        <w:adjustRightInd/>
        <w:snapToGrid/>
        <w:spacing w:line="408" w:lineRule="auto"/>
        <w:textAlignment w:val="auto"/>
        <w:rPr>
          <w:rFonts w:hint="eastAsia" w:ascii="宋体" w:hAnsi="宋体" w:cs="宋体"/>
          <w:sz w:val="21"/>
          <w:szCs w:val="21"/>
        </w:rPr>
      </w:pPr>
      <w:r>
        <w:rPr>
          <w:rFonts w:hint="eastAsia" w:ascii="宋体" w:hAnsi="宋体" w:cs="宋体"/>
          <w:sz w:val="21"/>
          <w:szCs w:val="21"/>
        </w:rPr>
        <w:t>发包人：（公章）                    承包人： （公章）</w:t>
      </w:r>
    </w:p>
    <w:p>
      <w:pPr>
        <w:keepNext w:val="0"/>
        <w:keepLines w:val="0"/>
        <w:pageBreakBefore w:val="0"/>
        <w:widowControl w:val="0"/>
        <w:kinsoku/>
        <w:wordWrap w:val="0"/>
        <w:overflowPunct/>
        <w:topLinePunct/>
        <w:bidi w:val="0"/>
        <w:adjustRightInd/>
        <w:snapToGrid/>
        <w:spacing w:line="408" w:lineRule="auto"/>
        <w:ind w:left="4912" w:leftChars="228" w:hanging="4410" w:hangingChars="2100"/>
        <w:textAlignment w:val="auto"/>
        <w:rPr>
          <w:rFonts w:hint="eastAsia" w:ascii="宋体" w:hAnsi="宋体" w:cs="宋体"/>
          <w:sz w:val="21"/>
          <w:szCs w:val="21"/>
        </w:rPr>
      </w:pPr>
    </w:p>
    <w:p>
      <w:pPr>
        <w:keepNext w:val="0"/>
        <w:keepLines w:val="0"/>
        <w:pageBreakBefore w:val="0"/>
        <w:widowControl w:val="0"/>
        <w:kinsoku/>
        <w:wordWrap w:val="0"/>
        <w:overflowPunct/>
        <w:topLinePunct/>
        <w:bidi w:val="0"/>
        <w:adjustRightInd/>
        <w:snapToGrid/>
        <w:spacing w:line="408" w:lineRule="auto"/>
        <w:ind w:left="5520" w:hanging="4830" w:hangingChars="2300"/>
        <w:textAlignment w:val="auto"/>
        <w:rPr>
          <w:rFonts w:hint="eastAsia" w:ascii="宋体" w:hAnsi="宋体" w:cs="宋体"/>
          <w:sz w:val="21"/>
          <w:szCs w:val="21"/>
        </w:rPr>
      </w:pPr>
      <w:r>
        <w:rPr>
          <w:rFonts w:hint="eastAsia" w:ascii="宋体" w:hAnsi="宋体" w:cs="宋体"/>
          <w:sz w:val="21"/>
          <w:szCs w:val="21"/>
        </w:rPr>
        <w:t>法定地址：</w:t>
      </w:r>
      <w:r>
        <w:rPr>
          <w:rFonts w:hint="eastAsia" w:ascii="宋体" w:hAnsi="宋体" w:cs="宋体"/>
          <w:sz w:val="21"/>
          <w:szCs w:val="21"/>
          <w:u w:val="single"/>
        </w:rPr>
        <w:t xml:space="preserve">  兴安县银杏路11号   </w:t>
      </w:r>
      <w:r>
        <w:rPr>
          <w:rFonts w:hint="eastAsia" w:ascii="宋体" w:hAnsi="宋体" w:cs="宋体"/>
          <w:sz w:val="21"/>
          <w:szCs w:val="21"/>
        </w:rPr>
        <w:t xml:space="preserve">   法定地址：</w:t>
      </w:r>
      <w:r>
        <w:rPr>
          <w:rFonts w:hint="eastAsia" w:ascii="宋体" w:hAnsi="宋体" w:cs="宋体"/>
          <w:color w:val="000000"/>
          <w:sz w:val="21"/>
          <w:szCs w:val="21"/>
          <w:u w:val="single"/>
        </w:rPr>
        <w:t xml:space="preserve">                 </w:t>
      </w:r>
    </w:p>
    <w:p>
      <w:pPr>
        <w:keepNext w:val="0"/>
        <w:keepLines w:val="0"/>
        <w:pageBreakBefore w:val="0"/>
        <w:widowControl w:val="0"/>
        <w:kinsoku/>
        <w:wordWrap w:val="0"/>
        <w:overflowPunct/>
        <w:topLinePunct/>
        <w:bidi w:val="0"/>
        <w:adjustRightInd/>
        <w:snapToGrid/>
        <w:spacing w:line="408" w:lineRule="auto"/>
        <w:textAlignment w:val="auto"/>
        <w:rPr>
          <w:rFonts w:hint="eastAsia" w:ascii="宋体" w:hAnsi="宋体" w:cs="宋体"/>
          <w:sz w:val="21"/>
          <w:szCs w:val="21"/>
        </w:rPr>
      </w:pPr>
      <w:r>
        <w:rPr>
          <w:rFonts w:hint="eastAsia" w:ascii="宋体" w:hAnsi="宋体" w:cs="宋体"/>
          <w:sz w:val="21"/>
          <w:szCs w:val="21"/>
        </w:rPr>
        <w:t>法定代表人：</w:t>
      </w:r>
      <w:r>
        <w:rPr>
          <w:rFonts w:hint="eastAsia" w:ascii="宋体" w:hAnsi="宋体" w:cs="宋体"/>
          <w:sz w:val="21"/>
          <w:szCs w:val="21"/>
          <w:u w:val="single"/>
        </w:rPr>
        <w:t xml:space="preserve">                    </w:t>
      </w:r>
      <w:r>
        <w:rPr>
          <w:rFonts w:hint="eastAsia" w:ascii="宋体" w:hAnsi="宋体" w:cs="宋体"/>
          <w:sz w:val="21"/>
          <w:szCs w:val="21"/>
        </w:rPr>
        <w:t xml:space="preserve">    法定代表人：</w:t>
      </w:r>
      <w:r>
        <w:rPr>
          <w:rFonts w:hint="eastAsia" w:ascii="宋体" w:hAnsi="宋体" w:cs="宋体"/>
          <w:sz w:val="21"/>
          <w:szCs w:val="21"/>
          <w:u w:val="single"/>
        </w:rPr>
        <w:t xml:space="preserve">                    </w:t>
      </w:r>
      <w:r>
        <w:rPr>
          <w:rFonts w:hint="eastAsia" w:ascii="宋体" w:hAnsi="宋体" w:cs="宋体"/>
          <w:sz w:val="21"/>
          <w:szCs w:val="21"/>
        </w:rPr>
        <w:t xml:space="preserve"> </w:t>
      </w:r>
    </w:p>
    <w:p>
      <w:pPr>
        <w:keepNext w:val="0"/>
        <w:keepLines w:val="0"/>
        <w:pageBreakBefore w:val="0"/>
        <w:widowControl w:val="0"/>
        <w:kinsoku/>
        <w:wordWrap w:val="0"/>
        <w:overflowPunct/>
        <w:topLinePunct/>
        <w:bidi w:val="0"/>
        <w:adjustRightInd/>
        <w:snapToGrid/>
        <w:spacing w:line="408" w:lineRule="auto"/>
        <w:textAlignment w:val="auto"/>
        <w:rPr>
          <w:rFonts w:hint="eastAsia" w:ascii="宋体" w:hAnsi="宋体" w:cs="宋体"/>
          <w:sz w:val="21"/>
          <w:szCs w:val="21"/>
          <w:u w:val="single"/>
        </w:rPr>
      </w:pPr>
      <w:r>
        <w:rPr>
          <w:rFonts w:hint="eastAsia" w:ascii="宋体" w:hAnsi="宋体" w:cs="宋体"/>
          <w:sz w:val="21"/>
          <w:szCs w:val="21"/>
        </w:rPr>
        <w:t>委托代理人：</w:t>
      </w:r>
      <w:r>
        <w:rPr>
          <w:rFonts w:hint="eastAsia" w:ascii="宋体" w:hAnsi="宋体" w:cs="宋体"/>
          <w:sz w:val="21"/>
          <w:szCs w:val="21"/>
          <w:u w:val="single"/>
        </w:rPr>
        <w:t xml:space="preserve">（签字）              </w:t>
      </w:r>
      <w:r>
        <w:rPr>
          <w:rFonts w:hint="eastAsia" w:ascii="宋体" w:hAnsi="宋体" w:cs="宋体"/>
          <w:sz w:val="21"/>
          <w:szCs w:val="21"/>
        </w:rPr>
        <w:t xml:space="preserve">   委托代理人： </w:t>
      </w:r>
      <w:r>
        <w:rPr>
          <w:rFonts w:hint="eastAsia" w:ascii="宋体" w:hAnsi="宋体" w:cs="宋体"/>
          <w:sz w:val="21"/>
          <w:szCs w:val="21"/>
          <w:u w:val="single"/>
        </w:rPr>
        <w:t xml:space="preserve">                   </w:t>
      </w:r>
    </w:p>
    <w:p>
      <w:pPr>
        <w:pStyle w:val="36"/>
        <w:keepNext w:val="0"/>
        <w:keepLines w:val="0"/>
        <w:pageBreakBefore w:val="0"/>
        <w:widowControl w:val="0"/>
        <w:kinsoku/>
        <w:overflowPunct/>
        <w:bidi w:val="0"/>
        <w:adjustRightInd/>
        <w:snapToGrid/>
        <w:spacing w:line="408" w:lineRule="auto"/>
        <w:ind w:firstLine="0" w:firstLineChars="0"/>
        <w:textAlignment w:val="auto"/>
        <w:rPr>
          <w:rFonts w:hint="eastAsia" w:hAnsi="宋体" w:cs="宋体"/>
          <w:color w:val="000000"/>
          <w:sz w:val="21"/>
          <w:szCs w:val="21"/>
        </w:rPr>
      </w:pPr>
      <w:r>
        <w:rPr>
          <w:rFonts w:hint="eastAsia" w:hAnsi="宋体" w:cs="宋体"/>
          <w:color w:val="000000"/>
          <w:sz w:val="21"/>
          <w:szCs w:val="21"/>
        </w:rPr>
        <w:t>电话：</w:t>
      </w:r>
      <w:r>
        <w:rPr>
          <w:rFonts w:hint="eastAsia" w:hAnsi="宋体" w:cs="宋体"/>
          <w:color w:val="000000"/>
          <w:sz w:val="21"/>
          <w:szCs w:val="21"/>
          <w:u w:val="single"/>
        </w:rPr>
        <w:t xml:space="preserve">         </w:t>
      </w:r>
      <w:r>
        <w:rPr>
          <w:rFonts w:hint="eastAsia" w:hAnsi="宋体" w:cs="宋体"/>
          <w:color w:val="000000"/>
          <w:sz w:val="21"/>
          <w:szCs w:val="21"/>
        </w:rPr>
        <w:t xml:space="preserve">     电     话：</w:t>
      </w:r>
      <w:r>
        <w:rPr>
          <w:rFonts w:hint="eastAsia" w:hAnsi="宋体" w:cs="宋体"/>
          <w:color w:val="000000"/>
          <w:sz w:val="21"/>
          <w:szCs w:val="21"/>
          <w:u w:val="single"/>
        </w:rPr>
        <w:t></w:t>
      </w:r>
      <w:r>
        <w:rPr>
          <w:rFonts w:hint="eastAsia" w:hAnsi="宋体" w:cs="宋体"/>
          <w:color w:val="000000"/>
          <w:sz w:val="21"/>
          <w:szCs w:val="21"/>
          <w:u w:val="single"/>
          <w:lang w:eastAsia="zh-CN"/>
        </w:rPr>
        <w:t xml:space="preserve"> </w:t>
      </w:r>
      <w:r>
        <w:rPr>
          <w:rFonts w:hint="eastAsia" w:hAnsi="宋体" w:cs="宋体"/>
          <w:color w:val="000000"/>
          <w:sz w:val="21"/>
          <w:szCs w:val="21"/>
          <w:u w:val="single"/>
          <w:lang w:val="en-US" w:eastAsia="zh-CN"/>
        </w:rPr>
        <w:t xml:space="preserve"> </w:t>
      </w:r>
      <w:r>
        <w:rPr>
          <w:rFonts w:hint="eastAsia" w:hAnsi="宋体" w:cs="宋体"/>
          <w:color w:val="000000"/>
          <w:sz w:val="21"/>
          <w:szCs w:val="21"/>
          <w:u w:val="single"/>
        </w:rPr>
        <w:t xml:space="preserve">            </w:t>
      </w:r>
    </w:p>
    <w:p>
      <w:pPr>
        <w:pStyle w:val="36"/>
        <w:keepNext w:val="0"/>
        <w:keepLines w:val="0"/>
        <w:pageBreakBefore w:val="0"/>
        <w:widowControl w:val="0"/>
        <w:kinsoku/>
        <w:overflowPunct/>
        <w:bidi w:val="0"/>
        <w:adjustRightInd/>
        <w:snapToGrid/>
        <w:spacing w:line="408" w:lineRule="auto"/>
        <w:ind w:firstLine="0" w:firstLineChars="0"/>
        <w:textAlignment w:val="auto"/>
        <w:rPr>
          <w:rFonts w:hint="eastAsia" w:hAnsi="宋体" w:cs="宋体"/>
          <w:color w:val="000000"/>
          <w:sz w:val="21"/>
          <w:szCs w:val="21"/>
        </w:rPr>
      </w:pPr>
      <w:r>
        <w:rPr>
          <w:rFonts w:hint="eastAsia" w:hAnsi="宋体" w:cs="宋体"/>
          <w:color w:val="000000"/>
          <w:sz w:val="21"/>
          <w:szCs w:val="21"/>
        </w:rPr>
        <w:t>传真：</w:t>
      </w:r>
      <w:r>
        <w:rPr>
          <w:rFonts w:hint="eastAsia" w:hAnsi="宋体" w:cs="宋体"/>
          <w:color w:val="000000"/>
          <w:sz w:val="21"/>
          <w:szCs w:val="21"/>
          <w:u w:val="single"/>
        </w:rPr>
        <w:t xml:space="preserve">         </w:t>
      </w:r>
      <w:r>
        <w:rPr>
          <w:rFonts w:hint="eastAsia" w:hAnsi="宋体" w:cs="宋体"/>
          <w:color w:val="000000"/>
          <w:sz w:val="21"/>
          <w:szCs w:val="21"/>
        </w:rPr>
        <w:t xml:space="preserve">     传     真：</w:t>
      </w:r>
      <w:r>
        <w:rPr>
          <w:rFonts w:hint="eastAsia" w:hAnsi="宋体" w:cs="宋体"/>
          <w:color w:val="000000"/>
          <w:sz w:val="21"/>
          <w:szCs w:val="21"/>
          <w:u w:val="single"/>
        </w:rPr>
        <w:t></w:t>
      </w:r>
      <w:r>
        <w:rPr>
          <w:rFonts w:hint="eastAsia" w:hAnsi="宋体" w:cs="宋体"/>
          <w:color w:val="000000"/>
          <w:sz w:val="21"/>
          <w:szCs w:val="21"/>
          <w:u w:val="single"/>
          <w:lang w:eastAsia="zh-CN"/>
        </w:rPr>
        <w:t xml:space="preserve"> </w:t>
      </w:r>
      <w:r>
        <w:rPr>
          <w:rFonts w:hint="eastAsia" w:hAnsi="宋体" w:cs="宋体"/>
          <w:color w:val="000000"/>
          <w:sz w:val="21"/>
          <w:szCs w:val="21"/>
          <w:u w:val="single"/>
        </w:rPr>
        <w:t xml:space="preserve">          </w:t>
      </w:r>
    </w:p>
    <w:p>
      <w:pPr>
        <w:keepNext w:val="0"/>
        <w:keepLines w:val="0"/>
        <w:pageBreakBefore w:val="0"/>
        <w:widowControl w:val="0"/>
        <w:kinsoku/>
        <w:wordWrap w:val="0"/>
        <w:overflowPunct/>
        <w:topLinePunct/>
        <w:bidi w:val="0"/>
        <w:adjustRightInd/>
        <w:snapToGrid/>
        <w:spacing w:line="408" w:lineRule="auto"/>
        <w:textAlignment w:val="auto"/>
        <w:rPr>
          <w:rFonts w:hint="eastAsia" w:ascii="宋体" w:hAnsi="宋体" w:cs="宋体"/>
          <w:sz w:val="21"/>
          <w:szCs w:val="21"/>
          <w:u w:val="single"/>
        </w:rPr>
      </w:pPr>
      <w:r>
        <w:rPr>
          <w:rFonts w:hint="eastAsia" w:ascii="宋体" w:hAnsi="宋体" w:cs="宋体"/>
          <w:sz w:val="21"/>
          <w:szCs w:val="21"/>
        </w:rPr>
        <w:t>电子邮箱：</w:t>
      </w:r>
      <w:r>
        <w:rPr>
          <w:rFonts w:hint="eastAsia" w:ascii="宋体" w:hAnsi="宋体" w:cs="宋体"/>
          <w:sz w:val="21"/>
          <w:szCs w:val="21"/>
          <w:u w:val="single"/>
        </w:rPr>
        <w:t xml:space="preserve">                     </w:t>
      </w:r>
      <w:r>
        <w:rPr>
          <w:rFonts w:hint="eastAsia" w:ascii="宋体" w:hAnsi="宋体" w:cs="宋体"/>
          <w:sz w:val="21"/>
          <w:szCs w:val="21"/>
        </w:rPr>
        <w:t xml:space="preserve">     电子邮箱：</w:t>
      </w:r>
      <w:r>
        <w:rPr>
          <w:rFonts w:hint="eastAsia" w:ascii="宋体" w:hAnsi="宋体" w:cs="宋体"/>
          <w:sz w:val="21"/>
          <w:szCs w:val="21"/>
          <w:u w:val="single"/>
        </w:rPr>
        <w:t xml:space="preserve">            </w:t>
      </w:r>
    </w:p>
    <w:p>
      <w:pPr>
        <w:pStyle w:val="36"/>
        <w:keepNext w:val="0"/>
        <w:keepLines w:val="0"/>
        <w:pageBreakBefore w:val="0"/>
        <w:widowControl w:val="0"/>
        <w:kinsoku/>
        <w:overflowPunct/>
        <w:bidi w:val="0"/>
        <w:adjustRightInd/>
        <w:snapToGrid/>
        <w:spacing w:line="408" w:lineRule="auto"/>
        <w:ind w:right="-328" w:rightChars="-149" w:firstLine="0" w:firstLineChars="0"/>
        <w:textAlignment w:val="auto"/>
        <w:rPr>
          <w:rFonts w:hint="eastAsia" w:hAnsi="宋体" w:cs="宋体"/>
          <w:color w:val="000000"/>
          <w:sz w:val="21"/>
          <w:szCs w:val="21"/>
        </w:rPr>
      </w:pPr>
      <w:r>
        <w:rPr>
          <w:rFonts w:hint="eastAsia" w:hAnsi="宋体" w:cs="宋体"/>
          <w:color w:val="000000"/>
          <w:sz w:val="21"/>
          <w:szCs w:val="21"/>
        </w:rPr>
        <w:t>开户银行：</w:t>
      </w:r>
      <w:r>
        <w:rPr>
          <w:rFonts w:hint="eastAsia" w:hAnsi="宋体" w:cs="宋体"/>
          <w:color w:val="000000"/>
          <w:sz w:val="21"/>
          <w:szCs w:val="21"/>
          <w:u w:val="single"/>
        </w:rPr>
        <w:t xml:space="preserve">  </w:t>
      </w:r>
      <w:r>
        <w:rPr>
          <w:rFonts w:hint="eastAsia" w:hAnsi="宋体" w:cs="宋体"/>
          <w:color w:val="000000"/>
          <w:sz w:val="21"/>
          <w:szCs w:val="21"/>
          <w:u w:val="single"/>
          <w:lang w:val="en-US" w:eastAsia="zh-CN"/>
        </w:rPr>
        <w:t xml:space="preserve"> </w:t>
      </w:r>
      <w:r>
        <w:rPr>
          <w:rFonts w:hint="eastAsia" w:hAnsi="宋体" w:cs="宋体"/>
          <w:color w:val="000000"/>
          <w:sz w:val="21"/>
          <w:szCs w:val="21"/>
          <w:u w:val="single"/>
        </w:rPr>
        <w:t xml:space="preserve">    </w:t>
      </w:r>
      <w:r>
        <w:rPr>
          <w:rFonts w:hint="eastAsia" w:hAnsi="宋体" w:cs="宋体"/>
          <w:color w:val="000000"/>
          <w:sz w:val="21"/>
          <w:szCs w:val="21"/>
        </w:rPr>
        <w:t xml:space="preserve">     开户银行：</w:t>
      </w:r>
      <w:r>
        <w:rPr>
          <w:rFonts w:hint="eastAsia" w:hAnsi="宋体" w:cs="宋体"/>
          <w:sz w:val="21"/>
          <w:szCs w:val="21"/>
          <w:u w:val="single"/>
          <w:lang w:val="en-US" w:eastAsia="zh-CN"/>
        </w:rPr>
        <w:t xml:space="preserve"> </w:t>
      </w:r>
      <w:r>
        <w:rPr>
          <w:rFonts w:hint="eastAsia" w:hAnsi="宋体" w:cs="宋体"/>
          <w:sz w:val="21"/>
          <w:szCs w:val="21"/>
          <w:u w:val="single"/>
          <w:lang w:eastAsia="zh-CN"/>
        </w:rPr>
        <w:t xml:space="preserve"> </w:t>
      </w:r>
      <w:r>
        <w:rPr>
          <w:rFonts w:hint="eastAsia" w:hAnsi="宋体" w:cs="宋体"/>
          <w:sz w:val="21"/>
          <w:szCs w:val="21"/>
          <w:u w:val="single"/>
          <w:lang w:val="en-US" w:eastAsia="zh-CN"/>
        </w:rPr>
        <w:t xml:space="preserve">                        </w:t>
      </w:r>
      <w:r>
        <w:rPr>
          <w:rFonts w:hint="eastAsia" w:hAnsi="宋体" w:cs="宋体"/>
          <w:color w:val="000000"/>
          <w:sz w:val="21"/>
          <w:szCs w:val="21"/>
          <w:u w:val="single"/>
        </w:rPr>
        <w:t xml:space="preserve">  </w:t>
      </w:r>
    </w:p>
    <w:p>
      <w:pPr>
        <w:keepNext w:val="0"/>
        <w:keepLines w:val="0"/>
        <w:pageBreakBefore w:val="0"/>
        <w:widowControl w:val="0"/>
        <w:kinsoku/>
        <w:wordWrap w:val="0"/>
        <w:overflowPunct/>
        <w:topLinePunct/>
        <w:bidi w:val="0"/>
        <w:adjustRightInd/>
        <w:snapToGrid/>
        <w:spacing w:line="408" w:lineRule="auto"/>
        <w:ind w:right="-328" w:rightChars="-149"/>
        <w:textAlignment w:val="auto"/>
        <w:rPr>
          <w:rFonts w:hint="eastAsia" w:ascii="宋体" w:hAnsi="宋体" w:cs="宋体"/>
          <w:color w:val="000000"/>
          <w:sz w:val="21"/>
          <w:szCs w:val="21"/>
          <w:u w:val="single"/>
        </w:rPr>
      </w:pPr>
      <w:r>
        <w:rPr>
          <w:rFonts w:hint="eastAsia" w:ascii="宋体" w:hAnsi="宋体" w:cs="宋体"/>
          <w:color w:val="000000"/>
          <w:sz w:val="21"/>
          <w:szCs w:val="21"/>
        </w:rPr>
        <w:t>账号：</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账   号：</w:t>
      </w:r>
      <w:r>
        <w:rPr>
          <w:rFonts w:hint="eastAsia" w:ascii="宋体" w:hAnsi="宋体" w:cs="宋体"/>
          <w:sz w:val="21"/>
          <w:szCs w:val="21"/>
          <w:u w:val="single"/>
        </w:rPr>
        <w:t xml:space="preserve">  </w:t>
      </w:r>
      <w:r>
        <w:rPr>
          <w:rFonts w:hint="eastAsia" w:ascii="宋体" w:hAnsi="宋体" w:cs="宋体"/>
          <w:kern w:val="0"/>
          <w:sz w:val="21"/>
          <w:szCs w:val="21"/>
          <w:u w:val="single"/>
        </w:rPr>
        <w:t xml:space="preserve">  </w:t>
      </w:r>
      <w:r>
        <w:rPr>
          <w:rFonts w:hint="eastAsia" w:ascii="宋体" w:hAnsi="宋体" w:cs="宋体"/>
          <w:sz w:val="21"/>
          <w:szCs w:val="21"/>
          <w:u w:val="single"/>
        </w:rPr>
        <w:t xml:space="preserve">       </w:t>
      </w:r>
      <w:r>
        <w:rPr>
          <w:rFonts w:hint="eastAsia" w:ascii="宋体" w:hAnsi="宋体" w:cs="宋体"/>
          <w:color w:val="000000"/>
          <w:sz w:val="21"/>
          <w:szCs w:val="21"/>
          <w:u w:val="single"/>
        </w:rPr>
        <w:t xml:space="preserve">   </w:t>
      </w:r>
    </w:p>
    <w:p>
      <w:pPr>
        <w:keepNext w:val="0"/>
        <w:keepLines w:val="0"/>
        <w:pageBreakBefore w:val="0"/>
        <w:widowControl w:val="0"/>
        <w:kinsoku/>
        <w:wordWrap w:val="0"/>
        <w:overflowPunct/>
        <w:topLinePunct/>
        <w:bidi w:val="0"/>
        <w:adjustRightInd/>
        <w:snapToGrid/>
        <w:spacing w:line="408" w:lineRule="auto"/>
        <w:ind w:right="-328" w:rightChars="-149"/>
        <w:textAlignment w:val="auto"/>
        <w:rPr>
          <w:rFonts w:hint="eastAsia" w:ascii="宋体" w:hAnsi="宋体" w:cs="宋体"/>
          <w:sz w:val="21"/>
          <w:szCs w:val="21"/>
          <w:u w:val="single"/>
        </w:rPr>
      </w:pPr>
      <w:r>
        <w:rPr>
          <w:rFonts w:hint="eastAsia" w:ascii="宋体" w:hAnsi="宋体" w:cs="宋体"/>
          <w:sz w:val="21"/>
          <w:szCs w:val="21"/>
        </w:rPr>
        <w:t>邮政编码：</w:t>
      </w:r>
      <w:r>
        <w:rPr>
          <w:rFonts w:hint="eastAsia" w:ascii="宋体" w:hAnsi="宋体" w:cs="宋体"/>
          <w:sz w:val="21"/>
          <w:szCs w:val="21"/>
          <w:u w:val="single"/>
        </w:rPr>
        <w:t xml:space="preserve">                      </w:t>
      </w:r>
      <w:r>
        <w:rPr>
          <w:rFonts w:hint="eastAsia" w:ascii="宋体" w:hAnsi="宋体" w:cs="宋体"/>
          <w:sz w:val="21"/>
          <w:szCs w:val="21"/>
        </w:rPr>
        <w:t xml:space="preserve">    邮政编码：</w:t>
      </w:r>
      <w:r>
        <w:rPr>
          <w:rFonts w:hint="eastAsia" w:ascii="宋体" w:hAnsi="宋体" w:cs="宋体"/>
          <w:sz w:val="21"/>
          <w:szCs w:val="21"/>
          <w:u w:val="single"/>
        </w:rPr>
        <w:t xml:space="preserve">                         </w:t>
      </w:r>
    </w:p>
    <w:p>
      <w:pPr>
        <w:pStyle w:val="6"/>
        <w:spacing w:line="376" w:lineRule="exact"/>
      </w:pPr>
    </w:p>
    <w:p>
      <w:pPr>
        <w:pStyle w:val="6"/>
        <w:spacing w:line="376" w:lineRule="exact"/>
      </w:pPr>
    </w:p>
    <w:p>
      <w:pPr>
        <w:pStyle w:val="6"/>
        <w:spacing w:line="376" w:lineRule="exact"/>
      </w:pPr>
    </w:p>
    <w:p>
      <w:pPr>
        <w:pStyle w:val="6"/>
        <w:spacing w:line="376" w:lineRule="exact"/>
      </w:pPr>
    </w:p>
    <w:p>
      <w:pPr>
        <w:pStyle w:val="6"/>
        <w:spacing w:line="376" w:lineRule="exact"/>
      </w:pPr>
    </w:p>
    <w:p>
      <w:pPr>
        <w:pStyle w:val="6"/>
        <w:spacing w:line="376" w:lineRule="exact"/>
      </w:pPr>
    </w:p>
    <w:p>
      <w:pPr>
        <w:pStyle w:val="6"/>
        <w:spacing w:line="376" w:lineRule="exact"/>
      </w:pPr>
    </w:p>
    <w:p>
      <w:pPr>
        <w:pStyle w:val="6"/>
        <w:spacing w:line="376" w:lineRule="exact"/>
      </w:pPr>
    </w:p>
    <w:p>
      <w:pPr>
        <w:pStyle w:val="6"/>
        <w:spacing w:line="376" w:lineRule="exact"/>
      </w:pPr>
    </w:p>
    <w:p>
      <w:pPr>
        <w:pStyle w:val="6"/>
        <w:spacing w:line="376" w:lineRule="exact"/>
      </w:pPr>
    </w:p>
    <w:p>
      <w:pPr>
        <w:pStyle w:val="6"/>
        <w:spacing w:line="376" w:lineRule="exact"/>
      </w:pPr>
    </w:p>
    <w:p>
      <w:pPr>
        <w:pStyle w:val="6"/>
        <w:spacing w:line="376" w:lineRule="exact"/>
      </w:pPr>
    </w:p>
    <w:p/>
    <w:p/>
    <w:p>
      <w:pPr>
        <w:pStyle w:val="2"/>
      </w:pPr>
    </w:p>
    <w:p>
      <w:pPr>
        <w:pStyle w:val="6"/>
        <w:spacing w:line="376" w:lineRule="exact"/>
      </w:pPr>
    </w:p>
    <w:p>
      <w:pPr>
        <w:pStyle w:val="6"/>
        <w:spacing w:line="376" w:lineRule="exact"/>
      </w:pPr>
    </w:p>
    <w:p>
      <w:pPr>
        <w:pStyle w:val="6"/>
        <w:spacing w:line="376" w:lineRule="exact"/>
      </w:pPr>
    </w:p>
    <w:p>
      <w:pPr>
        <w:pStyle w:val="6"/>
        <w:spacing w:line="376" w:lineRule="exact"/>
      </w:pPr>
    </w:p>
    <w:p>
      <w:pPr>
        <w:pStyle w:val="6"/>
        <w:spacing w:line="376" w:lineRule="exact"/>
      </w:pPr>
    </w:p>
    <w:p>
      <w:pPr>
        <w:pStyle w:val="6"/>
        <w:spacing w:line="376" w:lineRule="exact"/>
      </w:pPr>
    </w:p>
    <w:p>
      <w:pPr>
        <w:pStyle w:val="6"/>
        <w:spacing w:line="376" w:lineRule="exact"/>
      </w:pPr>
    </w:p>
    <w:p>
      <w:pPr>
        <w:pStyle w:val="6"/>
        <w:spacing w:line="376" w:lineRule="exact"/>
      </w:pPr>
    </w:p>
    <w:p>
      <w:pPr>
        <w:pStyle w:val="6"/>
        <w:spacing w:line="376" w:lineRule="exact"/>
      </w:pPr>
    </w:p>
    <w:p>
      <w:pPr>
        <w:pStyle w:val="6"/>
        <w:spacing w:line="376" w:lineRule="exact"/>
      </w:pPr>
    </w:p>
    <w:p>
      <w:pPr>
        <w:pStyle w:val="6"/>
        <w:spacing w:line="377" w:lineRule="exact"/>
      </w:pPr>
      <w:r>
        <w:t>附件 4：</w:t>
      </w:r>
    </w:p>
    <w:p>
      <w:pPr>
        <w:pStyle w:val="6"/>
        <w:spacing w:before="198"/>
        <w:ind w:left="3502"/>
        <w:rPr>
          <w:sz w:val="21"/>
          <w:szCs w:val="21"/>
        </w:rPr>
      </w:pPr>
      <w:r>
        <w:rPr>
          <w:sz w:val="21"/>
          <w:szCs w:val="21"/>
        </w:rPr>
        <w:t>主要建设工程文件目录</w:t>
      </w:r>
    </w:p>
    <w:p>
      <w:pPr>
        <w:pStyle w:val="13"/>
        <w:spacing w:before="6"/>
        <w:ind w:left="0"/>
        <w:rPr>
          <w:sz w:val="21"/>
          <w:szCs w:val="21"/>
        </w:rPr>
      </w:pPr>
    </w:p>
    <w:tbl>
      <w:tblPr>
        <w:tblStyle w:val="17"/>
        <w:tblW w:w="9040" w:type="dxa"/>
        <w:tblInd w:w="4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51"/>
        <w:gridCol w:w="1277"/>
        <w:gridCol w:w="1450"/>
        <w:gridCol w:w="1244"/>
        <w:gridCol w:w="1450"/>
        <w:gridCol w:w="166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1951" w:type="dxa"/>
            <w:tcBorders>
              <w:bottom w:val="double" w:color="000000" w:sz="2" w:space="0"/>
              <w:right w:val="single" w:color="000000" w:sz="6" w:space="0"/>
            </w:tcBorders>
          </w:tcPr>
          <w:p>
            <w:pPr>
              <w:pStyle w:val="33"/>
              <w:spacing w:before="25"/>
              <w:ind w:left="400"/>
              <w:rPr>
                <w:sz w:val="21"/>
                <w:szCs w:val="21"/>
              </w:rPr>
            </w:pPr>
            <w:r>
              <w:rPr>
                <w:sz w:val="21"/>
                <w:szCs w:val="21"/>
              </w:rPr>
              <w:t>文件名称</w:t>
            </w:r>
          </w:p>
        </w:tc>
        <w:tc>
          <w:tcPr>
            <w:tcW w:w="1277" w:type="dxa"/>
            <w:tcBorders>
              <w:left w:val="single" w:color="000000" w:sz="6" w:space="0"/>
              <w:bottom w:val="double" w:color="000000" w:sz="2" w:space="0"/>
              <w:right w:val="single" w:color="000000" w:sz="6" w:space="0"/>
            </w:tcBorders>
          </w:tcPr>
          <w:p>
            <w:pPr>
              <w:pStyle w:val="33"/>
              <w:spacing w:before="25"/>
              <w:ind w:left="353"/>
              <w:rPr>
                <w:sz w:val="21"/>
                <w:szCs w:val="21"/>
              </w:rPr>
            </w:pPr>
            <w:r>
              <w:rPr>
                <w:sz w:val="21"/>
                <w:szCs w:val="21"/>
              </w:rPr>
              <w:t>套数</w:t>
            </w:r>
          </w:p>
        </w:tc>
        <w:tc>
          <w:tcPr>
            <w:tcW w:w="1450" w:type="dxa"/>
            <w:tcBorders>
              <w:left w:val="single" w:color="000000" w:sz="6" w:space="0"/>
              <w:bottom w:val="double" w:color="000000" w:sz="2" w:space="0"/>
              <w:right w:val="single" w:color="000000" w:sz="6" w:space="0"/>
            </w:tcBorders>
          </w:tcPr>
          <w:p>
            <w:pPr>
              <w:pStyle w:val="33"/>
              <w:spacing w:before="25"/>
              <w:ind w:left="83" w:right="-51"/>
              <w:rPr>
                <w:sz w:val="21"/>
                <w:szCs w:val="21"/>
              </w:rPr>
            </w:pPr>
            <w:r>
              <w:rPr>
                <w:sz w:val="21"/>
                <w:szCs w:val="21"/>
              </w:rPr>
              <w:t>费用（</w:t>
            </w:r>
            <w:r>
              <w:rPr>
                <w:spacing w:val="-3"/>
                <w:sz w:val="21"/>
                <w:szCs w:val="21"/>
              </w:rPr>
              <w:t>元</w:t>
            </w:r>
            <w:r>
              <w:rPr>
                <w:sz w:val="21"/>
                <w:szCs w:val="21"/>
              </w:rPr>
              <w:t>）</w:t>
            </w:r>
          </w:p>
        </w:tc>
        <w:tc>
          <w:tcPr>
            <w:tcW w:w="1244" w:type="dxa"/>
            <w:tcBorders>
              <w:left w:val="single" w:color="000000" w:sz="6" w:space="0"/>
              <w:bottom w:val="double" w:color="000000" w:sz="2" w:space="0"/>
              <w:right w:val="single" w:color="000000" w:sz="6" w:space="0"/>
            </w:tcBorders>
          </w:tcPr>
          <w:p>
            <w:pPr>
              <w:pStyle w:val="33"/>
              <w:spacing w:before="25"/>
              <w:ind w:left="333"/>
              <w:rPr>
                <w:sz w:val="21"/>
                <w:szCs w:val="21"/>
              </w:rPr>
            </w:pPr>
            <w:r>
              <w:rPr>
                <w:sz w:val="21"/>
                <w:szCs w:val="21"/>
              </w:rPr>
              <w:t>质量</w:t>
            </w:r>
          </w:p>
        </w:tc>
        <w:tc>
          <w:tcPr>
            <w:tcW w:w="1450" w:type="dxa"/>
            <w:tcBorders>
              <w:left w:val="single" w:color="000000" w:sz="6" w:space="0"/>
              <w:bottom w:val="double" w:color="000000" w:sz="2" w:space="0"/>
              <w:right w:val="single" w:color="000000" w:sz="6" w:space="0"/>
            </w:tcBorders>
          </w:tcPr>
          <w:p>
            <w:pPr>
              <w:pStyle w:val="33"/>
              <w:spacing w:before="25"/>
              <w:ind w:left="158"/>
              <w:rPr>
                <w:sz w:val="21"/>
                <w:szCs w:val="21"/>
              </w:rPr>
            </w:pPr>
            <w:r>
              <w:rPr>
                <w:sz w:val="21"/>
                <w:szCs w:val="21"/>
              </w:rPr>
              <w:t>移交时间</w:t>
            </w:r>
          </w:p>
        </w:tc>
        <w:tc>
          <w:tcPr>
            <w:tcW w:w="1668" w:type="dxa"/>
            <w:tcBorders>
              <w:left w:val="single" w:color="000000" w:sz="6" w:space="0"/>
              <w:bottom w:val="double" w:color="000000" w:sz="2" w:space="0"/>
            </w:tcBorders>
          </w:tcPr>
          <w:p>
            <w:pPr>
              <w:pStyle w:val="33"/>
              <w:spacing w:before="25"/>
              <w:ind w:left="405"/>
              <w:rPr>
                <w:sz w:val="21"/>
                <w:szCs w:val="21"/>
              </w:rPr>
            </w:pPr>
            <w:r>
              <w:rPr>
                <w:sz w:val="21"/>
                <w:szCs w:val="21"/>
              </w:rPr>
              <w:t>责任人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1951" w:type="dxa"/>
            <w:tcBorders>
              <w:top w:val="double" w:color="000000" w:sz="2" w:space="0"/>
              <w:bottom w:val="single" w:color="000000" w:sz="6" w:space="0"/>
              <w:right w:val="single" w:color="000000" w:sz="6" w:space="0"/>
            </w:tcBorders>
          </w:tcPr>
          <w:p>
            <w:pPr>
              <w:pStyle w:val="33"/>
              <w:rPr>
                <w:rFonts w:ascii="Times New Roman"/>
                <w:sz w:val="21"/>
                <w:szCs w:val="21"/>
              </w:rPr>
            </w:pPr>
          </w:p>
        </w:tc>
        <w:tc>
          <w:tcPr>
            <w:tcW w:w="1277" w:type="dxa"/>
            <w:tcBorders>
              <w:top w:val="double" w:color="000000" w:sz="2"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double" w:color="000000" w:sz="2" w:space="0"/>
              <w:left w:val="single" w:color="000000" w:sz="6" w:space="0"/>
              <w:bottom w:val="single" w:color="000000" w:sz="6" w:space="0"/>
              <w:right w:val="single" w:color="000000" w:sz="6" w:space="0"/>
            </w:tcBorders>
          </w:tcPr>
          <w:p>
            <w:pPr>
              <w:pStyle w:val="33"/>
              <w:rPr>
                <w:rFonts w:ascii="Times New Roman"/>
                <w:sz w:val="21"/>
                <w:szCs w:val="21"/>
              </w:rPr>
            </w:pPr>
          </w:p>
        </w:tc>
        <w:tc>
          <w:tcPr>
            <w:tcW w:w="1244" w:type="dxa"/>
            <w:tcBorders>
              <w:top w:val="double" w:color="000000" w:sz="2"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double" w:color="000000" w:sz="2" w:space="0"/>
              <w:left w:val="single" w:color="000000" w:sz="6" w:space="0"/>
              <w:bottom w:val="single" w:color="000000" w:sz="6" w:space="0"/>
              <w:right w:val="single" w:color="000000" w:sz="6" w:space="0"/>
            </w:tcBorders>
          </w:tcPr>
          <w:p>
            <w:pPr>
              <w:pStyle w:val="33"/>
              <w:rPr>
                <w:rFonts w:ascii="Times New Roman"/>
                <w:sz w:val="21"/>
                <w:szCs w:val="21"/>
              </w:rPr>
            </w:pPr>
          </w:p>
        </w:tc>
        <w:tc>
          <w:tcPr>
            <w:tcW w:w="1668" w:type="dxa"/>
            <w:tcBorders>
              <w:top w:val="double" w:color="000000" w:sz="2"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951"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668"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951"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668"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951"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668"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951"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668"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951"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668"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951"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668"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951"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668"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951"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668"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951"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668"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951"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668"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951"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668"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951"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668"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951"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277"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244"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668"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951" w:type="dxa"/>
            <w:tcBorders>
              <w:top w:val="single" w:color="000000" w:sz="6" w:space="0"/>
              <w:right w:val="single" w:color="000000" w:sz="6" w:space="0"/>
            </w:tcBorders>
          </w:tcPr>
          <w:p>
            <w:pPr>
              <w:pStyle w:val="33"/>
              <w:rPr>
                <w:rFonts w:ascii="Times New Roman"/>
                <w:sz w:val="21"/>
                <w:szCs w:val="21"/>
              </w:rPr>
            </w:pPr>
          </w:p>
        </w:tc>
        <w:tc>
          <w:tcPr>
            <w:tcW w:w="1277"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1244"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1450"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1668" w:type="dxa"/>
            <w:tcBorders>
              <w:top w:val="single" w:color="000000" w:sz="6" w:space="0"/>
              <w:left w:val="single" w:color="000000" w:sz="6" w:space="0"/>
            </w:tcBorders>
          </w:tcPr>
          <w:p>
            <w:pPr>
              <w:pStyle w:val="33"/>
              <w:rPr>
                <w:rFonts w:ascii="Times New Roman"/>
                <w:sz w:val="21"/>
                <w:szCs w:val="21"/>
              </w:rPr>
            </w:pPr>
          </w:p>
        </w:tc>
      </w:tr>
    </w:tbl>
    <w:p>
      <w:pPr>
        <w:spacing w:after="0"/>
        <w:rPr>
          <w:rFonts w:ascii="Times New Roman"/>
          <w:sz w:val="21"/>
          <w:szCs w:val="21"/>
        </w:rPr>
        <w:sectPr>
          <w:pgSz w:w="11910" w:h="16840"/>
          <w:pgMar w:top="1100" w:right="1220" w:bottom="1160" w:left="1020" w:header="0" w:footer="975" w:gutter="0"/>
        </w:sectPr>
      </w:pPr>
    </w:p>
    <w:p>
      <w:pPr>
        <w:pStyle w:val="6"/>
        <w:spacing w:line="377" w:lineRule="exact"/>
      </w:pPr>
      <w:r>
        <w:t>附件 5：</w:t>
      </w:r>
    </w:p>
    <w:p>
      <w:pPr>
        <w:pStyle w:val="6"/>
        <w:spacing w:before="198"/>
        <w:ind w:left="2622"/>
        <w:rPr>
          <w:sz w:val="21"/>
          <w:szCs w:val="21"/>
        </w:rPr>
      </w:pPr>
      <w:r>
        <w:rPr>
          <w:sz w:val="21"/>
          <w:szCs w:val="21"/>
        </w:rPr>
        <w:t>承包人用于本工程施工的机械设备表</w:t>
      </w:r>
    </w:p>
    <w:p>
      <w:pPr>
        <w:pStyle w:val="13"/>
        <w:spacing w:before="3"/>
        <w:ind w:left="0"/>
        <w:rPr>
          <w:sz w:val="21"/>
          <w:szCs w:val="21"/>
        </w:rPr>
      </w:pPr>
    </w:p>
    <w:tbl>
      <w:tblPr>
        <w:tblStyle w:val="17"/>
        <w:tblW w:w="9809" w:type="dxa"/>
        <w:tblInd w:w="10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62"/>
        <w:gridCol w:w="1418"/>
        <w:gridCol w:w="850"/>
        <w:gridCol w:w="1058"/>
        <w:gridCol w:w="881"/>
        <w:gridCol w:w="1020"/>
        <w:gridCol w:w="1481"/>
        <w:gridCol w:w="1020"/>
        <w:gridCol w:w="9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1162" w:type="dxa"/>
            <w:tcBorders>
              <w:bottom w:val="double" w:color="000000" w:sz="2" w:space="0"/>
              <w:right w:val="single" w:color="000000" w:sz="6" w:space="0"/>
            </w:tcBorders>
          </w:tcPr>
          <w:p>
            <w:pPr>
              <w:pStyle w:val="33"/>
              <w:spacing w:before="246"/>
              <w:ind w:left="287"/>
              <w:rPr>
                <w:sz w:val="21"/>
                <w:szCs w:val="21"/>
              </w:rPr>
            </w:pPr>
            <w:r>
              <w:rPr>
                <w:sz w:val="21"/>
                <w:szCs w:val="21"/>
              </w:rPr>
              <w:t>序号</w:t>
            </w:r>
          </w:p>
        </w:tc>
        <w:tc>
          <w:tcPr>
            <w:tcW w:w="1418" w:type="dxa"/>
            <w:tcBorders>
              <w:left w:val="single" w:color="000000" w:sz="6" w:space="0"/>
              <w:bottom w:val="double" w:color="000000" w:sz="2" w:space="0"/>
              <w:right w:val="single" w:color="000000" w:sz="6" w:space="0"/>
            </w:tcBorders>
          </w:tcPr>
          <w:p>
            <w:pPr>
              <w:pStyle w:val="33"/>
              <w:spacing w:before="2" w:line="440" w:lineRule="exact"/>
              <w:ind w:left="282" w:right="121" w:hanging="140"/>
              <w:rPr>
                <w:sz w:val="21"/>
                <w:szCs w:val="21"/>
              </w:rPr>
            </w:pPr>
            <w:r>
              <w:rPr>
                <w:sz w:val="21"/>
                <w:szCs w:val="21"/>
              </w:rPr>
              <w:t>机械或设备名称</w:t>
            </w:r>
          </w:p>
        </w:tc>
        <w:tc>
          <w:tcPr>
            <w:tcW w:w="850" w:type="dxa"/>
            <w:tcBorders>
              <w:left w:val="single" w:color="000000" w:sz="6" w:space="0"/>
              <w:bottom w:val="double" w:color="000000" w:sz="2" w:space="0"/>
              <w:right w:val="single" w:color="000000" w:sz="6" w:space="0"/>
            </w:tcBorders>
          </w:tcPr>
          <w:p>
            <w:pPr>
              <w:pStyle w:val="33"/>
              <w:spacing w:before="2" w:line="440" w:lineRule="exact"/>
              <w:ind w:left="139" w:right="116"/>
              <w:rPr>
                <w:sz w:val="21"/>
                <w:szCs w:val="21"/>
              </w:rPr>
            </w:pPr>
            <w:r>
              <w:rPr>
                <w:sz w:val="21"/>
                <w:szCs w:val="21"/>
              </w:rPr>
              <w:t>规格型号</w:t>
            </w:r>
          </w:p>
        </w:tc>
        <w:tc>
          <w:tcPr>
            <w:tcW w:w="1058" w:type="dxa"/>
            <w:tcBorders>
              <w:left w:val="single" w:color="000000" w:sz="6" w:space="0"/>
              <w:bottom w:val="double" w:color="000000" w:sz="2" w:space="0"/>
              <w:right w:val="single" w:color="000000" w:sz="6" w:space="0"/>
            </w:tcBorders>
          </w:tcPr>
          <w:p>
            <w:pPr>
              <w:pStyle w:val="33"/>
              <w:spacing w:before="246"/>
              <w:ind w:left="244"/>
              <w:rPr>
                <w:sz w:val="21"/>
                <w:szCs w:val="21"/>
              </w:rPr>
            </w:pPr>
            <w:r>
              <w:rPr>
                <w:sz w:val="21"/>
                <w:szCs w:val="21"/>
              </w:rPr>
              <w:t>数量</w:t>
            </w:r>
          </w:p>
        </w:tc>
        <w:tc>
          <w:tcPr>
            <w:tcW w:w="881" w:type="dxa"/>
            <w:tcBorders>
              <w:left w:val="single" w:color="000000" w:sz="6" w:space="0"/>
              <w:bottom w:val="double" w:color="000000" w:sz="2" w:space="0"/>
              <w:right w:val="single" w:color="000000" w:sz="6" w:space="0"/>
            </w:tcBorders>
          </w:tcPr>
          <w:p>
            <w:pPr>
              <w:pStyle w:val="33"/>
              <w:spacing w:before="246"/>
              <w:ind w:left="153"/>
              <w:rPr>
                <w:sz w:val="21"/>
                <w:szCs w:val="21"/>
              </w:rPr>
            </w:pPr>
            <w:r>
              <w:rPr>
                <w:sz w:val="21"/>
                <w:szCs w:val="21"/>
              </w:rPr>
              <w:t>产地</w:t>
            </w:r>
          </w:p>
        </w:tc>
        <w:tc>
          <w:tcPr>
            <w:tcW w:w="1020" w:type="dxa"/>
            <w:tcBorders>
              <w:left w:val="single" w:color="000000" w:sz="6" w:space="0"/>
              <w:bottom w:val="double" w:color="000000" w:sz="2" w:space="0"/>
              <w:right w:val="single" w:color="000000" w:sz="6" w:space="0"/>
            </w:tcBorders>
          </w:tcPr>
          <w:p>
            <w:pPr>
              <w:pStyle w:val="33"/>
              <w:spacing w:before="2" w:line="440" w:lineRule="exact"/>
              <w:ind w:left="222" w:right="203"/>
              <w:rPr>
                <w:sz w:val="21"/>
                <w:szCs w:val="21"/>
              </w:rPr>
            </w:pPr>
            <w:r>
              <w:rPr>
                <w:sz w:val="21"/>
                <w:szCs w:val="21"/>
              </w:rPr>
              <w:t>制造年份</w:t>
            </w:r>
          </w:p>
        </w:tc>
        <w:tc>
          <w:tcPr>
            <w:tcW w:w="1481" w:type="dxa"/>
            <w:tcBorders>
              <w:left w:val="single" w:color="000000" w:sz="6" w:space="0"/>
              <w:bottom w:val="double" w:color="000000" w:sz="2" w:space="0"/>
              <w:right w:val="single" w:color="000000" w:sz="6" w:space="0"/>
            </w:tcBorders>
          </w:tcPr>
          <w:p>
            <w:pPr>
              <w:pStyle w:val="33"/>
              <w:spacing w:before="2" w:line="440" w:lineRule="exact"/>
              <w:ind w:left="453" w:right="154" w:hanging="281"/>
              <w:rPr>
                <w:sz w:val="21"/>
                <w:szCs w:val="21"/>
              </w:rPr>
            </w:pPr>
            <w:r>
              <w:rPr>
                <w:sz w:val="21"/>
                <w:szCs w:val="21"/>
              </w:rPr>
              <w:t>额定功率(kW)</w:t>
            </w:r>
          </w:p>
        </w:tc>
        <w:tc>
          <w:tcPr>
            <w:tcW w:w="1020" w:type="dxa"/>
            <w:tcBorders>
              <w:left w:val="single" w:color="000000" w:sz="6" w:space="0"/>
              <w:bottom w:val="double" w:color="000000" w:sz="2" w:space="0"/>
              <w:right w:val="single" w:color="000000" w:sz="6" w:space="0"/>
            </w:tcBorders>
          </w:tcPr>
          <w:p>
            <w:pPr>
              <w:pStyle w:val="33"/>
              <w:spacing w:before="2" w:line="440" w:lineRule="exact"/>
              <w:ind w:left="222" w:right="203"/>
              <w:rPr>
                <w:sz w:val="21"/>
                <w:szCs w:val="21"/>
              </w:rPr>
            </w:pPr>
            <w:r>
              <w:rPr>
                <w:sz w:val="21"/>
                <w:szCs w:val="21"/>
              </w:rPr>
              <w:t>生产能力</w:t>
            </w:r>
          </w:p>
        </w:tc>
        <w:tc>
          <w:tcPr>
            <w:tcW w:w="919" w:type="dxa"/>
            <w:tcBorders>
              <w:left w:val="single" w:color="000000" w:sz="6" w:space="0"/>
              <w:bottom w:val="double" w:color="000000" w:sz="2" w:space="0"/>
            </w:tcBorders>
          </w:tcPr>
          <w:p>
            <w:pPr>
              <w:pStyle w:val="33"/>
              <w:spacing w:before="246"/>
              <w:ind w:left="172"/>
              <w:rPr>
                <w:sz w:val="21"/>
                <w:szCs w:val="21"/>
              </w:rPr>
            </w:pPr>
            <w:r>
              <w:rPr>
                <w:sz w:val="21"/>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0" w:hRule="atLeast"/>
        </w:trPr>
        <w:tc>
          <w:tcPr>
            <w:tcW w:w="1162" w:type="dxa"/>
            <w:tcBorders>
              <w:top w:val="double" w:color="000000" w:sz="2" w:space="0"/>
              <w:bottom w:val="single" w:color="000000" w:sz="6" w:space="0"/>
              <w:right w:val="single" w:color="000000" w:sz="6" w:space="0"/>
            </w:tcBorders>
          </w:tcPr>
          <w:p>
            <w:pPr>
              <w:pStyle w:val="33"/>
              <w:rPr>
                <w:rFonts w:ascii="Times New Roman"/>
                <w:sz w:val="21"/>
                <w:szCs w:val="21"/>
              </w:rPr>
            </w:pPr>
          </w:p>
        </w:tc>
        <w:tc>
          <w:tcPr>
            <w:tcW w:w="1418" w:type="dxa"/>
            <w:tcBorders>
              <w:top w:val="double" w:color="000000" w:sz="2" w:space="0"/>
              <w:left w:val="single" w:color="000000" w:sz="6" w:space="0"/>
              <w:bottom w:val="single" w:color="000000" w:sz="6" w:space="0"/>
              <w:right w:val="single" w:color="000000" w:sz="6" w:space="0"/>
            </w:tcBorders>
          </w:tcPr>
          <w:p>
            <w:pPr>
              <w:pStyle w:val="33"/>
              <w:rPr>
                <w:rFonts w:ascii="Times New Roman"/>
                <w:sz w:val="21"/>
                <w:szCs w:val="21"/>
              </w:rPr>
            </w:pPr>
          </w:p>
        </w:tc>
        <w:tc>
          <w:tcPr>
            <w:tcW w:w="850" w:type="dxa"/>
            <w:tcBorders>
              <w:top w:val="double" w:color="000000" w:sz="2" w:space="0"/>
              <w:left w:val="single" w:color="000000" w:sz="6" w:space="0"/>
              <w:bottom w:val="single" w:color="000000" w:sz="6" w:space="0"/>
              <w:right w:val="single" w:color="000000" w:sz="6" w:space="0"/>
            </w:tcBorders>
          </w:tcPr>
          <w:p>
            <w:pPr>
              <w:pStyle w:val="33"/>
              <w:rPr>
                <w:rFonts w:ascii="Times New Roman"/>
                <w:sz w:val="21"/>
                <w:szCs w:val="21"/>
              </w:rPr>
            </w:pPr>
          </w:p>
        </w:tc>
        <w:tc>
          <w:tcPr>
            <w:tcW w:w="1058" w:type="dxa"/>
            <w:tcBorders>
              <w:top w:val="double" w:color="000000" w:sz="2" w:space="0"/>
              <w:left w:val="single" w:color="000000" w:sz="6" w:space="0"/>
              <w:bottom w:val="single" w:color="000000" w:sz="6" w:space="0"/>
              <w:right w:val="single" w:color="000000" w:sz="6" w:space="0"/>
            </w:tcBorders>
          </w:tcPr>
          <w:p>
            <w:pPr>
              <w:pStyle w:val="33"/>
              <w:rPr>
                <w:rFonts w:ascii="Times New Roman"/>
                <w:sz w:val="21"/>
                <w:szCs w:val="21"/>
              </w:rPr>
            </w:pPr>
          </w:p>
        </w:tc>
        <w:tc>
          <w:tcPr>
            <w:tcW w:w="881" w:type="dxa"/>
            <w:tcBorders>
              <w:top w:val="double" w:color="000000" w:sz="2"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double" w:color="000000" w:sz="2" w:space="0"/>
              <w:left w:val="single" w:color="000000" w:sz="6" w:space="0"/>
              <w:bottom w:val="single" w:color="000000" w:sz="6" w:space="0"/>
              <w:right w:val="single" w:color="000000" w:sz="6" w:space="0"/>
            </w:tcBorders>
          </w:tcPr>
          <w:p>
            <w:pPr>
              <w:pStyle w:val="33"/>
              <w:rPr>
                <w:rFonts w:ascii="Times New Roman"/>
                <w:sz w:val="21"/>
                <w:szCs w:val="21"/>
              </w:rPr>
            </w:pPr>
          </w:p>
        </w:tc>
        <w:tc>
          <w:tcPr>
            <w:tcW w:w="1481" w:type="dxa"/>
            <w:tcBorders>
              <w:top w:val="double" w:color="000000" w:sz="2"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double" w:color="000000" w:sz="2" w:space="0"/>
              <w:left w:val="single" w:color="000000" w:sz="6" w:space="0"/>
              <w:bottom w:val="single" w:color="000000" w:sz="6" w:space="0"/>
              <w:right w:val="single" w:color="000000" w:sz="6" w:space="0"/>
            </w:tcBorders>
          </w:tcPr>
          <w:p>
            <w:pPr>
              <w:pStyle w:val="33"/>
              <w:rPr>
                <w:rFonts w:ascii="Times New Roman"/>
                <w:sz w:val="21"/>
                <w:szCs w:val="21"/>
              </w:rPr>
            </w:pPr>
          </w:p>
        </w:tc>
        <w:tc>
          <w:tcPr>
            <w:tcW w:w="919" w:type="dxa"/>
            <w:tcBorders>
              <w:top w:val="double" w:color="000000" w:sz="2"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162"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919"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162"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919"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162"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919"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162"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919"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0" w:hRule="atLeast"/>
        </w:trPr>
        <w:tc>
          <w:tcPr>
            <w:tcW w:w="1162"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919"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162"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919"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162"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919"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162"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919"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162"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919"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162"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919"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162"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919"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162" w:type="dxa"/>
            <w:tcBorders>
              <w:top w:val="single" w:color="000000" w:sz="6" w:space="0"/>
              <w:bottom w:val="single" w:color="000000" w:sz="6" w:space="0"/>
              <w:right w:val="single" w:color="000000" w:sz="6" w:space="0"/>
            </w:tcBorders>
          </w:tcPr>
          <w:p>
            <w:pPr>
              <w:pStyle w:val="33"/>
              <w:rPr>
                <w:rFonts w:ascii="Times New Roman"/>
                <w:sz w:val="21"/>
                <w:szCs w:val="21"/>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5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5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8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481"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919"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1162" w:type="dxa"/>
            <w:tcBorders>
              <w:top w:val="single" w:color="000000" w:sz="6" w:space="0"/>
              <w:right w:val="single" w:color="000000" w:sz="6" w:space="0"/>
            </w:tcBorders>
          </w:tcPr>
          <w:p>
            <w:pPr>
              <w:pStyle w:val="33"/>
              <w:rPr>
                <w:rFonts w:ascii="Times New Roman"/>
                <w:sz w:val="21"/>
                <w:szCs w:val="21"/>
              </w:rPr>
            </w:pPr>
          </w:p>
        </w:tc>
        <w:tc>
          <w:tcPr>
            <w:tcW w:w="1418"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850"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1058"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881"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1481"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1020"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919" w:type="dxa"/>
            <w:tcBorders>
              <w:top w:val="single" w:color="000000" w:sz="6" w:space="0"/>
              <w:left w:val="single" w:color="000000" w:sz="6" w:space="0"/>
            </w:tcBorders>
          </w:tcPr>
          <w:p>
            <w:pPr>
              <w:pStyle w:val="33"/>
              <w:rPr>
                <w:rFonts w:ascii="Times New Roman"/>
                <w:sz w:val="21"/>
                <w:szCs w:val="21"/>
              </w:rPr>
            </w:pPr>
          </w:p>
        </w:tc>
      </w:tr>
    </w:tbl>
    <w:p>
      <w:pPr>
        <w:spacing w:after="0"/>
        <w:rPr>
          <w:rFonts w:ascii="Times New Roman"/>
          <w:sz w:val="21"/>
          <w:szCs w:val="21"/>
        </w:rPr>
        <w:sectPr>
          <w:pgSz w:w="11910" w:h="16840"/>
          <w:pgMar w:top="1500" w:right="840" w:bottom="1160" w:left="1000" w:header="0" w:footer="975" w:gutter="0"/>
        </w:sectPr>
      </w:pPr>
    </w:p>
    <w:p>
      <w:pPr>
        <w:pStyle w:val="6"/>
        <w:spacing w:line="377" w:lineRule="exact"/>
      </w:pPr>
      <w:r>
        <w:t>附件 6：</w:t>
      </w:r>
    </w:p>
    <w:p>
      <w:pPr>
        <w:pStyle w:val="6"/>
        <w:spacing w:before="198"/>
        <w:ind w:left="3222"/>
        <w:rPr>
          <w:sz w:val="21"/>
          <w:szCs w:val="21"/>
        </w:rPr>
      </w:pPr>
      <w:r>
        <w:rPr>
          <w:sz w:val="21"/>
          <w:szCs w:val="21"/>
        </w:rPr>
        <w:t>承包人主要施工管理人员表</w:t>
      </w:r>
    </w:p>
    <w:p>
      <w:pPr>
        <w:pStyle w:val="13"/>
        <w:spacing w:before="3"/>
        <w:ind w:left="0"/>
        <w:rPr>
          <w:sz w:val="21"/>
          <w:szCs w:val="21"/>
        </w:rPr>
      </w:pPr>
    </w:p>
    <w:tbl>
      <w:tblPr>
        <w:tblStyle w:val="17"/>
        <w:tblW w:w="9811" w:type="dxa"/>
        <w:tblInd w:w="10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056"/>
        <w:gridCol w:w="1235"/>
        <w:gridCol w:w="1133"/>
        <w:gridCol w:w="1136"/>
        <w:gridCol w:w="42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056" w:type="dxa"/>
            <w:tcBorders>
              <w:bottom w:val="double" w:color="000000" w:sz="2" w:space="0"/>
              <w:right w:val="single" w:color="000000" w:sz="6" w:space="0"/>
            </w:tcBorders>
          </w:tcPr>
          <w:p>
            <w:pPr>
              <w:pStyle w:val="33"/>
              <w:tabs>
                <w:tab w:val="left" w:pos="842"/>
              </w:tabs>
              <w:spacing w:before="90"/>
              <w:ind w:right="5"/>
              <w:jc w:val="center"/>
              <w:rPr>
                <w:sz w:val="21"/>
                <w:szCs w:val="21"/>
              </w:rPr>
            </w:pPr>
            <w:r>
              <w:rPr>
                <w:sz w:val="21"/>
                <w:szCs w:val="21"/>
              </w:rPr>
              <w:t>名</w:t>
            </w:r>
            <w:r>
              <w:rPr>
                <w:sz w:val="21"/>
                <w:szCs w:val="21"/>
              </w:rPr>
              <w:tab/>
            </w:r>
            <w:r>
              <w:rPr>
                <w:sz w:val="21"/>
                <w:szCs w:val="21"/>
              </w:rPr>
              <w:t>称</w:t>
            </w:r>
          </w:p>
        </w:tc>
        <w:tc>
          <w:tcPr>
            <w:tcW w:w="1235" w:type="dxa"/>
            <w:tcBorders>
              <w:left w:val="single" w:color="000000" w:sz="6" w:space="0"/>
              <w:bottom w:val="double" w:color="000000" w:sz="2" w:space="0"/>
              <w:right w:val="single" w:color="000000" w:sz="6" w:space="0"/>
            </w:tcBorders>
          </w:tcPr>
          <w:p>
            <w:pPr>
              <w:pStyle w:val="33"/>
              <w:spacing w:before="90"/>
              <w:ind w:left="422"/>
              <w:rPr>
                <w:sz w:val="21"/>
                <w:szCs w:val="21"/>
              </w:rPr>
            </w:pPr>
            <w:r>
              <w:rPr>
                <w:sz w:val="21"/>
                <w:szCs w:val="21"/>
              </w:rPr>
              <w:t>姓名</w:t>
            </w:r>
          </w:p>
        </w:tc>
        <w:tc>
          <w:tcPr>
            <w:tcW w:w="1133" w:type="dxa"/>
            <w:tcBorders>
              <w:left w:val="single" w:color="000000" w:sz="6" w:space="0"/>
              <w:bottom w:val="double" w:color="000000" w:sz="2" w:space="0"/>
              <w:right w:val="single" w:color="000000" w:sz="6" w:space="0"/>
            </w:tcBorders>
          </w:tcPr>
          <w:p>
            <w:pPr>
              <w:pStyle w:val="33"/>
              <w:spacing w:before="66"/>
              <w:ind w:left="258"/>
              <w:rPr>
                <w:sz w:val="21"/>
                <w:szCs w:val="21"/>
              </w:rPr>
            </w:pPr>
            <w:r>
              <w:rPr>
                <w:sz w:val="21"/>
                <w:szCs w:val="21"/>
              </w:rPr>
              <w:t>职务</w:t>
            </w:r>
          </w:p>
        </w:tc>
        <w:tc>
          <w:tcPr>
            <w:tcW w:w="1136" w:type="dxa"/>
            <w:tcBorders>
              <w:left w:val="single" w:color="000000" w:sz="6" w:space="0"/>
              <w:bottom w:val="double" w:color="000000" w:sz="2" w:space="0"/>
              <w:right w:val="single" w:color="000000" w:sz="6" w:space="0"/>
            </w:tcBorders>
          </w:tcPr>
          <w:p>
            <w:pPr>
              <w:pStyle w:val="33"/>
              <w:spacing w:before="66"/>
              <w:ind w:left="258"/>
              <w:rPr>
                <w:sz w:val="21"/>
                <w:szCs w:val="21"/>
              </w:rPr>
            </w:pPr>
            <w:r>
              <w:rPr>
                <w:sz w:val="21"/>
                <w:szCs w:val="21"/>
              </w:rPr>
              <w:t>职称</w:t>
            </w:r>
          </w:p>
        </w:tc>
        <w:tc>
          <w:tcPr>
            <w:tcW w:w="4251" w:type="dxa"/>
            <w:tcBorders>
              <w:left w:val="single" w:color="000000" w:sz="6" w:space="0"/>
              <w:bottom w:val="double" w:color="000000" w:sz="2" w:space="0"/>
            </w:tcBorders>
          </w:tcPr>
          <w:p>
            <w:pPr>
              <w:pStyle w:val="33"/>
              <w:spacing w:before="66"/>
              <w:ind w:left="83"/>
              <w:rPr>
                <w:sz w:val="21"/>
                <w:szCs w:val="21"/>
              </w:rPr>
            </w:pPr>
            <w:r>
              <w:rPr>
                <w:spacing w:val="-12"/>
                <w:sz w:val="21"/>
                <w:szCs w:val="21"/>
              </w:rPr>
              <w:t>主要资历、经验及承担过的项目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9811" w:type="dxa"/>
            <w:gridSpan w:val="5"/>
            <w:tcBorders>
              <w:top w:val="double" w:color="000000" w:sz="2" w:space="0"/>
              <w:bottom w:val="single" w:color="000000" w:sz="6" w:space="0"/>
            </w:tcBorders>
          </w:tcPr>
          <w:p>
            <w:pPr>
              <w:pStyle w:val="33"/>
              <w:spacing w:before="104"/>
              <w:ind w:left="4032" w:right="4028"/>
              <w:jc w:val="center"/>
              <w:rPr>
                <w:sz w:val="21"/>
                <w:szCs w:val="21"/>
              </w:rPr>
            </w:pPr>
            <w:r>
              <w:rPr>
                <w:sz w:val="21"/>
                <w:szCs w:val="21"/>
              </w:rPr>
              <w:t>一、总部人员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056" w:type="dxa"/>
            <w:tcBorders>
              <w:top w:val="single" w:color="000000" w:sz="6" w:space="0"/>
              <w:bottom w:val="single" w:color="000000" w:sz="6" w:space="0"/>
              <w:right w:val="single" w:color="000000" w:sz="6" w:space="0"/>
            </w:tcBorders>
          </w:tcPr>
          <w:p>
            <w:pPr>
              <w:pStyle w:val="33"/>
              <w:spacing w:before="88"/>
              <w:ind w:right="4"/>
              <w:jc w:val="center"/>
              <w:rPr>
                <w:sz w:val="21"/>
                <w:szCs w:val="21"/>
              </w:rPr>
            </w:pPr>
            <w:r>
              <w:rPr>
                <w:sz w:val="21"/>
                <w:szCs w:val="21"/>
              </w:rPr>
              <w:t>项目主管</w:t>
            </w: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056" w:type="dxa"/>
            <w:vMerge w:val="restart"/>
            <w:tcBorders>
              <w:top w:val="single" w:color="000000" w:sz="6" w:space="0"/>
              <w:bottom w:val="single" w:color="000000" w:sz="6" w:space="0"/>
              <w:right w:val="single" w:color="000000" w:sz="6" w:space="0"/>
            </w:tcBorders>
          </w:tcPr>
          <w:p>
            <w:pPr>
              <w:pStyle w:val="33"/>
              <w:rPr>
                <w:sz w:val="21"/>
                <w:szCs w:val="21"/>
              </w:rPr>
            </w:pPr>
          </w:p>
          <w:p>
            <w:pPr>
              <w:pStyle w:val="33"/>
              <w:spacing w:before="8"/>
              <w:rPr>
                <w:sz w:val="21"/>
                <w:szCs w:val="21"/>
              </w:rPr>
            </w:pPr>
          </w:p>
          <w:p>
            <w:pPr>
              <w:pStyle w:val="33"/>
              <w:ind w:left="359"/>
              <w:rPr>
                <w:sz w:val="21"/>
                <w:szCs w:val="21"/>
              </w:rPr>
            </w:pPr>
            <w:r>
              <w:rPr>
                <w:sz w:val="21"/>
                <w:szCs w:val="21"/>
              </w:rPr>
              <w:t>其他人员</w:t>
            </w: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056" w:type="dxa"/>
            <w:vMerge w:val="continue"/>
            <w:tcBorders>
              <w:top w:val="nil"/>
              <w:bottom w:val="single" w:color="000000" w:sz="6" w:space="0"/>
              <w:right w:val="single" w:color="000000" w:sz="6" w:space="0"/>
            </w:tcBorders>
          </w:tcPr>
          <w:p>
            <w:pPr>
              <w:rPr>
                <w:sz w:val="21"/>
                <w:szCs w:val="21"/>
              </w:rPr>
            </w:pP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2056" w:type="dxa"/>
            <w:vMerge w:val="continue"/>
            <w:tcBorders>
              <w:top w:val="nil"/>
              <w:bottom w:val="single" w:color="000000" w:sz="6" w:space="0"/>
              <w:right w:val="single" w:color="000000" w:sz="6" w:space="0"/>
            </w:tcBorders>
          </w:tcPr>
          <w:p>
            <w:pPr>
              <w:rPr>
                <w:sz w:val="21"/>
                <w:szCs w:val="21"/>
              </w:rPr>
            </w:pP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9811" w:type="dxa"/>
            <w:gridSpan w:val="5"/>
            <w:tcBorders>
              <w:top w:val="single" w:color="000000" w:sz="6" w:space="0"/>
              <w:bottom w:val="single" w:color="000000" w:sz="6" w:space="0"/>
            </w:tcBorders>
          </w:tcPr>
          <w:p>
            <w:pPr>
              <w:pStyle w:val="33"/>
              <w:spacing w:before="90"/>
              <w:ind w:left="4032" w:right="4028"/>
              <w:jc w:val="center"/>
              <w:rPr>
                <w:sz w:val="21"/>
                <w:szCs w:val="21"/>
              </w:rPr>
            </w:pPr>
            <w:r>
              <w:rPr>
                <w:sz w:val="21"/>
                <w:szCs w:val="21"/>
              </w:rPr>
              <w:t>二、现场人员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056" w:type="dxa"/>
            <w:tcBorders>
              <w:top w:val="single" w:color="000000" w:sz="6" w:space="0"/>
              <w:bottom w:val="single" w:color="000000" w:sz="6" w:space="0"/>
              <w:right w:val="single" w:color="000000" w:sz="6" w:space="0"/>
            </w:tcBorders>
          </w:tcPr>
          <w:p>
            <w:pPr>
              <w:pStyle w:val="33"/>
              <w:spacing w:before="90"/>
              <w:ind w:right="4"/>
              <w:jc w:val="center"/>
              <w:rPr>
                <w:sz w:val="21"/>
                <w:szCs w:val="21"/>
              </w:rPr>
            </w:pPr>
            <w:r>
              <w:rPr>
                <w:sz w:val="21"/>
                <w:szCs w:val="21"/>
              </w:rPr>
              <w:t>项目经理</w:t>
            </w: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056" w:type="dxa"/>
            <w:tcBorders>
              <w:top w:val="single" w:color="000000" w:sz="6" w:space="0"/>
              <w:bottom w:val="single" w:color="000000" w:sz="6" w:space="0"/>
              <w:right w:val="single" w:color="000000" w:sz="6" w:space="0"/>
            </w:tcBorders>
          </w:tcPr>
          <w:p>
            <w:pPr>
              <w:pStyle w:val="33"/>
              <w:spacing w:before="90"/>
              <w:ind w:right="5"/>
              <w:jc w:val="center"/>
              <w:rPr>
                <w:color w:val="auto"/>
                <w:sz w:val="21"/>
                <w:szCs w:val="21"/>
              </w:rPr>
            </w:pPr>
            <w:r>
              <w:rPr>
                <w:color w:val="auto"/>
                <w:sz w:val="21"/>
                <w:szCs w:val="21"/>
              </w:rPr>
              <w:t>项目副经理</w:t>
            </w:r>
            <w:r>
              <w:rPr>
                <w:rFonts w:hint="eastAsia"/>
                <w:color w:val="auto"/>
                <w:sz w:val="21"/>
                <w:szCs w:val="21"/>
                <w:lang w:eastAsia="zh-CN"/>
              </w:rPr>
              <w:t>（如有）</w:t>
            </w: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056" w:type="dxa"/>
            <w:tcBorders>
              <w:top w:val="single" w:color="000000" w:sz="6" w:space="0"/>
              <w:bottom w:val="single" w:color="000000" w:sz="6" w:space="0"/>
              <w:right w:val="single" w:color="000000" w:sz="6" w:space="0"/>
            </w:tcBorders>
          </w:tcPr>
          <w:p>
            <w:pPr>
              <w:pStyle w:val="33"/>
              <w:spacing w:before="88"/>
              <w:ind w:right="5"/>
              <w:jc w:val="center"/>
              <w:rPr>
                <w:color w:val="auto"/>
                <w:sz w:val="21"/>
                <w:szCs w:val="21"/>
              </w:rPr>
            </w:pPr>
            <w:r>
              <w:rPr>
                <w:color w:val="auto"/>
                <w:sz w:val="21"/>
                <w:szCs w:val="21"/>
              </w:rPr>
              <w:t>技术负责人</w:t>
            </w: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056" w:type="dxa"/>
            <w:tcBorders>
              <w:top w:val="single" w:color="000000" w:sz="6" w:space="0"/>
              <w:bottom w:val="single" w:color="000000" w:sz="6" w:space="0"/>
              <w:right w:val="single" w:color="000000" w:sz="6" w:space="0"/>
            </w:tcBorders>
          </w:tcPr>
          <w:p>
            <w:pPr>
              <w:pStyle w:val="33"/>
              <w:spacing w:before="88"/>
              <w:ind w:right="4"/>
              <w:jc w:val="center"/>
              <w:rPr>
                <w:color w:val="auto"/>
                <w:sz w:val="21"/>
                <w:szCs w:val="21"/>
              </w:rPr>
            </w:pPr>
            <w:r>
              <w:rPr>
                <w:color w:val="auto"/>
                <w:sz w:val="21"/>
                <w:szCs w:val="21"/>
              </w:rPr>
              <w:t>造价管理</w:t>
            </w: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056" w:type="dxa"/>
            <w:tcBorders>
              <w:top w:val="single" w:color="000000" w:sz="6" w:space="0"/>
              <w:bottom w:val="single" w:color="000000" w:sz="6" w:space="0"/>
              <w:right w:val="single" w:color="000000" w:sz="6" w:space="0"/>
            </w:tcBorders>
          </w:tcPr>
          <w:p>
            <w:pPr>
              <w:pStyle w:val="33"/>
              <w:spacing w:before="88"/>
              <w:ind w:right="4"/>
              <w:jc w:val="center"/>
              <w:rPr>
                <w:color w:val="auto"/>
                <w:sz w:val="21"/>
                <w:szCs w:val="21"/>
              </w:rPr>
            </w:pPr>
            <w:r>
              <w:rPr>
                <w:color w:val="auto"/>
                <w:sz w:val="21"/>
                <w:szCs w:val="21"/>
              </w:rPr>
              <w:t>质量管理</w:t>
            </w: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056" w:type="dxa"/>
            <w:tcBorders>
              <w:top w:val="single" w:color="000000" w:sz="6" w:space="0"/>
              <w:bottom w:val="single" w:color="000000" w:sz="6" w:space="0"/>
              <w:right w:val="single" w:color="000000" w:sz="6" w:space="0"/>
            </w:tcBorders>
          </w:tcPr>
          <w:p>
            <w:pPr>
              <w:pStyle w:val="33"/>
              <w:spacing w:before="88"/>
              <w:ind w:right="4"/>
              <w:jc w:val="center"/>
              <w:rPr>
                <w:color w:val="auto"/>
                <w:sz w:val="21"/>
                <w:szCs w:val="21"/>
              </w:rPr>
            </w:pPr>
            <w:r>
              <w:rPr>
                <w:color w:val="auto"/>
                <w:sz w:val="21"/>
                <w:szCs w:val="21"/>
              </w:rPr>
              <w:t>材料管理</w:t>
            </w: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056" w:type="dxa"/>
            <w:tcBorders>
              <w:top w:val="single" w:color="000000" w:sz="6" w:space="0"/>
              <w:bottom w:val="single" w:color="000000" w:sz="6" w:space="0"/>
              <w:right w:val="single" w:color="000000" w:sz="6" w:space="0"/>
            </w:tcBorders>
          </w:tcPr>
          <w:p>
            <w:pPr>
              <w:pStyle w:val="33"/>
              <w:spacing w:before="88"/>
              <w:ind w:right="4"/>
              <w:jc w:val="center"/>
              <w:rPr>
                <w:color w:val="auto"/>
                <w:sz w:val="21"/>
                <w:szCs w:val="21"/>
              </w:rPr>
            </w:pPr>
            <w:r>
              <w:rPr>
                <w:rFonts w:hint="eastAsia"/>
                <w:color w:val="auto"/>
                <w:sz w:val="21"/>
                <w:szCs w:val="21"/>
                <w:lang w:eastAsia="zh-CN"/>
              </w:rPr>
              <w:t>施工</w:t>
            </w:r>
            <w:r>
              <w:rPr>
                <w:color w:val="auto"/>
                <w:sz w:val="21"/>
                <w:szCs w:val="21"/>
              </w:rPr>
              <w:t>管理</w:t>
            </w: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2056" w:type="dxa"/>
            <w:tcBorders>
              <w:top w:val="single" w:color="000000" w:sz="6" w:space="0"/>
              <w:bottom w:val="single" w:color="000000" w:sz="6" w:space="0"/>
              <w:right w:val="single" w:color="000000" w:sz="6" w:space="0"/>
            </w:tcBorders>
          </w:tcPr>
          <w:p>
            <w:pPr>
              <w:pStyle w:val="33"/>
              <w:spacing w:before="88"/>
              <w:ind w:right="4"/>
              <w:jc w:val="center"/>
              <w:rPr>
                <w:sz w:val="21"/>
                <w:szCs w:val="21"/>
              </w:rPr>
            </w:pPr>
            <w:r>
              <w:rPr>
                <w:sz w:val="21"/>
                <w:szCs w:val="21"/>
              </w:rPr>
              <w:t>安全管理</w:t>
            </w: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2056" w:type="dxa"/>
            <w:vMerge w:val="restart"/>
            <w:tcBorders>
              <w:top w:val="single" w:color="000000" w:sz="6" w:space="0"/>
              <w:right w:val="single" w:color="000000" w:sz="6" w:space="0"/>
            </w:tcBorders>
          </w:tcPr>
          <w:p>
            <w:pPr>
              <w:pStyle w:val="33"/>
              <w:rPr>
                <w:sz w:val="21"/>
                <w:szCs w:val="21"/>
              </w:rPr>
            </w:pPr>
          </w:p>
          <w:p>
            <w:pPr>
              <w:pStyle w:val="33"/>
              <w:rPr>
                <w:sz w:val="21"/>
                <w:szCs w:val="21"/>
              </w:rPr>
            </w:pPr>
          </w:p>
          <w:p>
            <w:pPr>
              <w:pStyle w:val="33"/>
              <w:rPr>
                <w:sz w:val="21"/>
                <w:szCs w:val="21"/>
              </w:rPr>
            </w:pPr>
          </w:p>
          <w:p>
            <w:pPr>
              <w:pStyle w:val="33"/>
              <w:spacing w:before="11"/>
              <w:rPr>
                <w:sz w:val="21"/>
                <w:szCs w:val="21"/>
              </w:rPr>
            </w:pPr>
          </w:p>
          <w:p>
            <w:pPr>
              <w:pStyle w:val="33"/>
              <w:ind w:left="359"/>
              <w:rPr>
                <w:sz w:val="21"/>
                <w:szCs w:val="21"/>
              </w:rPr>
            </w:pPr>
            <w:r>
              <w:rPr>
                <w:sz w:val="21"/>
                <w:szCs w:val="21"/>
              </w:rPr>
              <w:t>其他人员</w:t>
            </w: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2056" w:type="dxa"/>
            <w:vMerge w:val="continue"/>
            <w:tcBorders>
              <w:top w:val="nil"/>
              <w:right w:val="single" w:color="000000" w:sz="6" w:space="0"/>
            </w:tcBorders>
          </w:tcPr>
          <w:p>
            <w:pPr>
              <w:rPr>
                <w:sz w:val="21"/>
                <w:szCs w:val="21"/>
              </w:rPr>
            </w:pP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2056" w:type="dxa"/>
            <w:vMerge w:val="continue"/>
            <w:tcBorders>
              <w:top w:val="nil"/>
              <w:right w:val="single" w:color="000000" w:sz="6" w:space="0"/>
            </w:tcBorders>
          </w:tcPr>
          <w:p>
            <w:pPr>
              <w:rPr>
                <w:sz w:val="21"/>
                <w:szCs w:val="21"/>
              </w:rPr>
            </w:pP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2056" w:type="dxa"/>
            <w:vMerge w:val="continue"/>
            <w:tcBorders>
              <w:top w:val="nil"/>
              <w:right w:val="single" w:color="000000" w:sz="6" w:space="0"/>
            </w:tcBorders>
          </w:tcPr>
          <w:p>
            <w:pPr>
              <w:rPr>
                <w:sz w:val="21"/>
                <w:szCs w:val="21"/>
              </w:rPr>
            </w:pP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2056" w:type="dxa"/>
            <w:vMerge w:val="continue"/>
            <w:tcBorders>
              <w:top w:val="nil"/>
              <w:right w:val="single" w:color="000000" w:sz="6" w:space="0"/>
            </w:tcBorders>
          </w:tcPr>
          <w:p>
            <w:pPr>
              <w:rPr>
                <w:sz w:val="21"/>
                <w:szCs w:val="21"/>
              </w:rPr>
            </w:pPr>
          </w:p>
        </w:tc>
        <w:tc>
          <w:tcPr>
            <w:tcW w:w="123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2056" w:type="dxa"/>
            <w:vMerge w:val="continue"/>
            <w:tcBorders>
              <w:top w:val="nil"/>
              <w:right w:val="single" w:color="000000" w:sz="6" w:space="0"/>
            </w:tcBorders>
          </w:tcPr>
          <w:p>
            <w:pPr>
              <w:rPr>
                <w:sz w:val="21"/>
                <w:szCs w:val="21"/>
              </w:rPr>
            </w:pPr>
          </w:p>
        </w:tc>
        <w:tc>
          <w:tcPr>
            <w:tcW w:w="1235"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tcBorders>
          </w:tcPr>
          <w:p>
            <w:pPr>
              <w:pStyle w:val="33"/>
              <w:rPr>
                <w:rFonts w:ascii="Times New Roman"/>
                <w:sz w:val="21"/>
                <w:szCs w:val="21"/>
              </w:rPr>
            </w:pPr>
          </w:p>
        </w:tc>
      </w:tr>
    </w:tbl>
    <w:p>
      <w:pPr>
        <w:spacing w:after="0"/>
        <w:rPr>
          <w:rFonts w:ascii="Times New Roman"/>
          <w:sz w:val="21"/>
          <w:szCs w:val="21"/>
        </w:rPr>
        <w:sectPr>
          <w:pgSz w:w="11910" w:h="16840"/>
          <w:pgMar w:top="1500" w:right="840" w:bottom="1160" w:left="1000" w:header="0" w:footer="975" w:gutter="0"/>
        </w:sectPr>
      </w:pPr>
    </w:p>
    <w:p>
      <w:pPr>
        <w:pStyle w:val="6"/>
        <w:spacing w:line="377" w:lineRule="exact"/>
      </w:pPr>
      <w:r>
        <w:t>附件 7：</w:t>
      </w:r>
    </w:p>
    <w:p>
      <w:pPr>
        <w:pStyle w:val="6"/>
        <w:spacing w:before="198"/>
        <w:ind w:left="3222"/>
        <w:rPr>
          <w:sz w:val="21"/>
          <w:szCs w:val="21"/>
        </w:rPr>
      </w:pPr>
      <w:r>
        <w:rPr>
          <w:sz w:val="21"/>
          <w:szCs w:val="21"/>
        </w:rPr>
        <w:t>分包人主要施工管理人员表</w:t>
      </w:r>
    </w:p>
    <w:p>
      <w:pPr>
        <w:pStyle w:val="13"/>
        <w:spacing w:before="3"/>
        <w:ind w:left="0"/>
        <w:rPr>
          <w:sz w:val="21"/>
          <w:szCs w:val="21"/>
        </w:rPr>
      </w:pPr>
    </w:p>
    <w:tbl>
      <w:tblPr>
        <w:tblStyle w:val="17"/>
        <w:tblW w:w="9811" w:type="dxa"/>
        <w:tblInd w:w="10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963"/>
        <w:gridCol w:w="1328"/>
        <w:gridCol w:w="1133"/>
        <w:gridCol w:w="1136"/>
        <w:gridCol w:w="42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1963" w:type="dxa"/>
            <w:tcBorders>
              <w:bottom w:val="double" w:color="000000" w:sz="2" w:space="0"/>
              <w:right w:val="single" w:color="000000" w:sz="6" w:space="0"/>
            </w:tcBorders>
          </w:tcPr>
          <w:p>
            <w:pPr>
              <w:pStyle w:val="33"/>
              <w:tabs>
                <w:tab w:val="left" w:pos="842"/>
              </w:tabs>
              <w:spacing w:before="90"/>
              <w:ind w:right="5"/>
              <w:jc w:val="center"/>
              <w:rPr>
                <w:sz w:val="21"/>
                <w:szCs w:val="21"/>
              </w:rPr>
            </w:pPr>
            <w:r>
              <w:rPr>
                <w:sz w:val="21"/>
                <w:szCs w:val="21"/>
              </w:rPr>
              <w:t>名</w:t>
            </w:r>
            <w:r>
              <w:rPr>
                <w:sz w:val="21"/>
                <w:szCs w:val="21"/>
              </w:rPr>
              <w:tab/>
            </w:r>
            <w:r>
              <w:rPr>
                <w:sz w:val="21"/>
                <w:szCs w:val="21"/>
              </w:rPr>
              <w:t>称</w:t>
            </w:r>
          </w:p>
        </w:tc>
        <w:tc>
          <w:tcPr>
            <w:tcW w:w="1328" w:type="dxa"/>
            <w:tcBorders>
              <w:left w:val="single" w:color="000000" w:sz="6" w:space="0"/>
              <w:bottom w:val="double" w:color="000000" w:sz="2" w:space="0"/>
              <w:right w:val="single" w:color="000000" w:sz="6" w:space="0"/>
            </w:tcBorders>
          </w:tcPr>
          <w:p>
            <w:pPr>
              <w:pStyle w:val="33"/>
              <w:spacing w:before="90"/>
              <w:ind w:left="422"/>
              <w:rPr>
                <w:sz w:val="21"/>
                <w:szCs w:val="21"/>
              </w:rPr>
            </w:pPr>
            <w:r>
              <w:rPr>
                <w:sz w:val="21"/>
                <w:szCs w:val="21"/>
              </w:rPr>
              <w:t>姓名</w:t>
            </w:r>
          </w:p>
        </w:tc>
        <w:tc>
          <w:tcPr>
            <w:tcW w:w="1133" w:type="dxa"/>
            <w:tcBorders>
              <w:left w:val="single" w:color="000000" w:sz="6" w:space="0"/>
              <w:bottom w:val="double" w:color="000000" w:sz="2" w:space="0"/>
              <w:right w:val="single" w:color="000000" w:sz="6" w:space="0"/>
            </w:tcBorders>
          </w:tcPr>
          <w:p>
            <w:pPr>
              <w:pStyle w:val="33"/>
              <w:spacing w:before="66"/>
              <w:ind w:left="258"/>
              <w:rPr>
                <w:sz w:val="21"/>
                <w:szCs w:val="21"/>
              </w:rPr>
            </w:pPr>
            <w:r>
              <w:rPr>
                <w:sz w:val="21"/>
                <w:szCs w:val="21"/>
              </w:rPr>
              <w:t>职务</w:t>
            </w:r>
          </w:p>
        </w:tc>
        <w:tc>
          <w:tcPr>
            <w:tcW w:w="1136" w:type="dxa"/>
            <w:tcBorders>
              <w:left w:val="single" w:color="000000" w:sz="6" w:space="0"/>
              <w:bottom w:val="double" w:color="000000" w:sz="2" w:space="0"/>
              <w:right w:val="single" w:color="000000" w:sz="6" w:space="0"/>
            </w:tcBorders>
          </w:tcPr>
          <w:p>
            <w:pPr>
              <w:pStyle w:val="33"/>
              <w:spacing w:before="66"/>
              <w:ind w:left="258"/>
              <w:rPr>
                <w:sz w:val="21"/>
                <w:szCs w:val="21"/>
              </w:rPr>
            </w:pPr>
            <w:r>
              <w:rPr>
                <w:sz w:val="21"/>
                <w:szCs w:val="21"/>
              </w:rPr>
              <w:t>职称</w:t>
            </w:r>
          </w:p>
        </w:tc>
        <w:tc>
          <w:tcPr>
            <w:tcW w:w="4251" w:type="dxa"/>
            <w:tcBorders>
              <w:left w:val="single" w:color="000000" w:sz="6" w:space="0"/>
              <w:bottom w:val="double" w:color="000000" w:sz="2" w:space="0"/>
            </w:tcBorders>
          </w:tcPr>
          <w:p>
            <w:pPr>
              <w:pStyle w:val="33"/>
              <w:spacing w:before="66"/>
              <w:ind w:left="83"/>
              <w:rPr>
                <w:sz w:val="21"/>
                <w:szCs w:val="21"/>
              </w:rPr>
            </w:pPr>
            <w:r>
              <w:rPr>
                <w:spacing w:val="-12"/>
                <w:sz w:val="21"/>
                <w:szCs w:val="21"/>
              </w:rPr>
              <w:t>主要资历、经验及承担过的项目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9811" w:type="dxa"/>
            <w:gridSpan w:val="5"/>
            <w:tcBorders>
              <w:top w:val="double" w:color="000000" w:sz="2" w:space="0"/>
              <w:bottom w:val="single" w:color="000000" w:sz="6" w:space="0"/>
            </w:tcBorders>
          </w:tcPr>
          <w:p>
            <w:pPr>
              <w:pStyle w:val="33"/>
              <w:spacing w:before="104"/>
              <w:ind w:left="4032" w:right="4028"/>
              <w:jc w:val="center"/>
              <w:rPr>
                <w:sz w:val="21"/>
                <w:szCs w:val="21"/>
              </w:rPr>
            </w:pPr>
            <w:r>
              <w:rPr>
                <w:sz w:val="21"/>
                <w:szCs w:val="21"/>
              </w:rPr>
              <w:t>一、总部人员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1963" w:type="dxa"/>
            <w:tcBorders>
              <w:top w:val="single" w:color="000000" w:sz="6" w:space="0"/>
              <w:bottom w:val="single" w:color="000000" w:sz="6" w:space="0"/>
              <w:right w:val="single" w:color="000000" w:sz="6" w:space="0"/>
            </w:tcBorders>
          </w:tcPr>
          <w:p>
            <w:pPr>
              <w:pStyle w:val="33"/>
              <w:spacing w:before="88"/>
              <w:ind w:right="4"/>
              <w:jc w:val="center"/>
              <w:rPr>
                <w:sz w:val="21"/>
                <w:szCs w:val="21"/>
              </w:rPr>
            </w:pPr>
            <w:r>
              <w:rPr>
                <w:sz w:val="21"/>
                <w:szCs w:val="21"/>
              </w:rPr>
              <w:t>项目主管</w:t>
            </w: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1963" w:type="dxa"/>
            <w:vMerge w:val="restart"/>
            <w:tcBorders>
              <w:top w:val="single" w:color="000000" w:sz="6" w:space="0"/>
              <w:bottom w:val="single" w:color="000000" w:sz="6" w:space="0"/>
              <w:right w:val="single" w:color="000000" w:sz="6" w:space="0"/>
            </w:tcBorders>
          </w:tcPr>
          <w:p>
            <w:pPr>
              <w:pStyle w:val="33"/>
              <w:rPr>
                <w:sz w:val="21"/>
                <w:szCs w:val="21"/>
              </w:rPr>
            </w:pPr>
          </w:p>
          <w:p>
            <w:pPr>
              <w:pStyle w:val="33"/>
              <w:spacing w:before="8"/>
              <w:rPr>
                <w:sz w:val="21"/>
                <w:szCs w:val="21"/>
              </w:rPr>
            </w:pPr>
          </w:p>
          <w:p>
            <w:pPr>
              <w:pStyle w:val="33"/>
              <w:ind w:left="359"/>
              <w:rPr>
                <w:sz w:val="21"/>
                <w:szCs w:val="21"/>
              </w:rPr>
            </w:pPr>
            <w:r>
              <w:rPr>
                <w:sz w:val="21"/>
                <w:szCs w:val="21"/>
              </w:rPr>
              <w:t>其他人员</w:t>
            </w: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1963" w:type="dxa"/>
            <w:vMerge w:val="continue"/>
            <w:tcBorders>
              <w:top w:val="nil"/>
              <w:bottom w:val="single" w:color="000000" w:sz="6" w:space="0"/>
              <w:right w:val="single" w:color="000000" w:sz="6" w:space="0"/>
            </w:tcBorders>
          </w:tcPr>
          <w:p>
            <w:pPr>
              <w:rPr>
                <w:sz w:val="21"/>
                <w:szCs w:val="21"/>
              </w:rPr>
            </w:pP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963" w:type="dxa"/>
            <w:vMerge w:val="continue"/>
            <w:tcBorders>
              <w:top w:val="nil"/>
              <w:bottom w:val="single" w:color="000000" w:sz="6" w:space="0"/>
              <w:right w:val="single" w:color="000000" w:sz="6" w:space="0"/>
            </w:tcBorders>
          </w:tcPr>
          <w:p>
            <w:pPr>
              <w:rPr>
                <w:sz w:val="21"/>
                <w:szCs w:val="21"/>
              </w:rPr>
            </w:pP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9811" w:type="dxa"/>
            <w:gridSpan w:val="5"/>
            <w:tcBorders>
              <w:top w:val="single" w:color="000000" w:sz="6" w:space="0"/>
              <w:bottom w:val="single" w:color="000000" w:sz="6" w:space="0"/>
            </w:tcBorders>
          </w:tcPr>
          <w:p>
            <w:pPr>
              <w:pStyle w:val="33"/>
              <w:spacing w:before="90"/>
              <w:ind w:left="4032" w:right="4028"/>
              <w:jc w:val="center"/>
              <w:rPr>
                <w:sz w:val="21"/>
                <w:szCs w:val="21"/>
              </w:rPr>
            </w:pPr>
            <w:r>
              <w:rPr>
                <w:sz w:val="21"/>
                <w:szCs w:val="21"/>
              </w:rPr>
              <w:t>二、现场人员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1963" w:type="dxa"/>
            <w:tcBorders>
              <w:top w:val="single" w:color="000000" w:sz="6" w:space="0"/>
              <w:bottom w:val="single" w:color="000000" w:sz="6" w:space="0"/>
              <w:right w:val="single" w:color="000000" w:sz="6" w:space="0"/>
            </w:tcBorders>
          </w:tcPr>
          <w:p>
            <w:pPr>
              <w:pStyle w:val="33"/>
              <w:spacing w:before="90"/>
              <w:ind w:right="4"/>
              <w:jc w:val="center"/>
              <w:rPr>
                <w:sz w:val="21"/>
                <w:szCs w:val="21"/>
              </w:rPr>
            </w:pPr>
            <w:r>
              <w:rPr>
                <w:sz w:val="21"/>
                <w:szCs w:val="21"/>
              </w:rPr>
              <w:t>项目经理</w:t>
            </w: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1963" w:type="dxa"/>
            <w:tcBorders>
              <w:top w:val="single" w:color="000000" w:sz="6" w:space="0"/>
              <w:bottom w:val="single" w:color="000000" w:sz="6" w:space="0"/>
              <w:right w:val="single" w:color="000000" w:sz="6" w:space="0"/>
            </w:tcBorders>
          </w:tcPr>
          <w:p>
            <w:pPr>
              <w:pStyle w:val="33"/>
              <w:spacing w:before="90"/>
              <w:ind w:right="5"/>
              <w:jc w:val="center"/>
              <w:rPr>
                <w:sz w:val="21"/>
                <w:szCs w:val="21"/>
              </w:rPr>
            </w:pPr>
            <w:r>
              <w:rPr>
                <w:sz w:val="21"/>
                <w:szCs w:val="21"/>
              </w:rPr>
              <w:t>项目副经理</w:t>
            </w:r>
            <w:r>
              <w:rPr>
                <w:rFonts w:hint="eastAsia"/>
                <w:sz w:val="21"/>
                <w:szCs w:val="21"/>
                <w:lang w:eastAsia="zh-CN"/>
              </w:rPr>
              <w:t>（如有）</w:t>
            </w: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1963" w:type="dxa"/>
            <w:tcBorders>
              <w:top w:val="single" w:color="000000" w:sz="6" w:space="0"/>
              <w:bottom w:val="single" w:color="000000" w:sz="6" w:space="0"/>
              <w:right w:val="single" w:color="000000" w:sz="6" w:space="0"/>
            </w:tcBorders>
          </w:tcPr>
          <w:p>
            <w:pPr>
              <w:pStyle w:val="33"/>
              <w:spacing w:before="88"/>
              <w:ind w:right="5"/>
              <w:jc w:val="center"/>
              <w:rPr>
                <w:sz w:val="21"/>
                <w:szCs w:val="21"/>
              </w:rPr>
            </w:pPr>
            <w:r>
              <w:rPr>
                <w:sz w:val="21"/>
                <w:szCs w:val="21"/>
              </w:rPr>
              <w:t>技术负责人</w:t>
            </w: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1963" w:type="dxa"/>
            <w:tcBorders>
              <w:top w:val="single" w:color="000000" w:sz="6" w:space="0"/>
              <w:bottom w:val="single" w:color="000000" w:sz="6" w:space="0"/>
              <w:right w:val="single" w:color="000000" w:sz="6" w:space="0"/>
            </w:tcBorders>
          </w:tcPr>
          <w:p>
            <w:pPr>
              <w:pStyle w:val="33"/>
              <w:spacing w:before="88"/>
              <w:ind w:right="4"/>
              <w:jc w:val="center"/>
              <w:rPr>
                <w:sz w:val="21"/>
                <w:szCs w:val="21"/>
              </w:rPr>
            </w:pPr>
            <w:r>
              <w:rPr>
                <w:sz w:val="21"/>
                <w:szCs w:val="21"/>
              </w:rPr>
              <w:t>造价管理</w:t>
            </w: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1963" w:type="dxa"/>
            <w:tcBorders>
              <w:top w:val="single" w:color="000000" w:sz="6" w:space="0"/>
              <w:bottom w:val="single" w:color="000000" w:sz="6" w:space="0"/>
              <w:right w:val="single" w:color="000000" w:sz="6" w:space="0"/>
            </w:tcBorders>
          </w:tcPr>
          <w:p>
            <w:pPr>
              <w:pStyle w:val="33"/>
              <w:spacing w:before="88"/>
              <w:ind w:right="4"/>
              <w:jc w:val="center"/>
              <w:rPr>
                <w:sz w:val="21"/>
                <w:szCs w:val="21"/>
              </w:rPr>
            </w:pPr>
            <w:r>
              <w:rPr>
                <w:sz w:val="21"/>
                <w:szCs w:val="21"/>
              </w:rPr>
              <w:t>质量管理</w:t>
            </w: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1963" w:type="dxa"/>
            <w:tcBorders>
              <w:top w:val="single" w:color="000000" w:sz="6" w:space="0"/>
              <w:bottom w:val="single" w:color="000000" w:sz="6" w:space="0"/>
              <w:right w:val="single" w:color="000000" w:sz="6" w:space="0"/>
            </w:tcBorders>
          </w:tcPr>
          <w:p>
            <w:pPr>
              <w:pStyle w:val="33"/>
              <w:spacing w:before="88"/>
              <w:ind w:right="4"/>
              <w:jc w:val="center"/>
              <w:rPr>
                <w:sz w:val="21"/>
                <w:szCs w:val="21"/>
              </w:rPr>
            </w:pPr>
            <w:r>
              <w:rPr>
                <w:sz w:val="21"/>
                <w:szCs w:val="21"/>
              </w:rPr>
              <w:t>材料管理</w:t>
            </w: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1963" w:type="dxa"/>
            <w:tcBorders>
              <w:top w:val="single" w:color="000000" w:sz="6" w:space="0"/>
              <w:bottom w:val="single" w:color="000000" w:sz="6" w:space="0"/>
              <w:right w:val="single" w:color="000000" w:sz="6" w:space="0"/>
            </w:tcBorders>
          </w:tcPr>
          <w:p>
            <w:pPr>
              <w:pStyle w:val="33"/>
              <w:spacing w:before="88"/>
              <w:ind w:right="4"/>
              <w:jc w:val="center"/>
              <w:rPr>
                <w:sz w:val="21"/>
                <w:szCs w:val="21"/>
              </w:rPr>
            </w:pPr>
            <w:r>
              <w:rPr>
                <w:rFonts w:hint="eastAsia"/>
                <w:sz w:val="21"/>
                <w:szCs w:val="21"/>
                <w:lang w:eastAsia="zh-CN"/>
              </w:rPr>
              <w:t>施工</w:t>
            </w:r>
            <w:r>
              <w:rPr>
                <w:sz w:val="21"/>
                <w:szCs w:val="21"/>
              </w:rPr>
              <w:t>管理</w:t>
            </w: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0" w:hRule="atLeast"/>
        </w:trPr>
        <w:tc>
          <w:tcPr>
            <w:tcW w:w="1963" w:type="dxa"/>
            <w:tcBorders>
              <w:top w:val="single" w:color="000000" w:sz="6" w:space="0"/>
              <w:bottom w:val="single" w:color="000000" w:sz="6" w:space="0"/>
              <w:right w:val="single" w:color="000000" w:sz="6" w:space="0"/>
            </w:tcBorders>
          </w:tcPr>
          <w:p>
            <w:pPr>
              <w:pStyle w:val="33"/>
              <w:spacing w:before="88"/>
              <w:ind w:right="4"/>
              <w:jc w:val="center"/>
              <w:rPr>
                <w:sz w:val="21"/>
                <w:szCs w:val="21"/>
              </w:rPr>
            </w:pPr>
            <w:r>
              <w:rPr>
                <w:sz w:val="21"/>
                <w:szCs w:val="21"/>
              </w:rPr>
              <w:t>安全管理</w:t>
            </w: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963" w:type="dxa"/>
            <w:vMerge w:val="restart"/>
            <w:tcBorders>
              <w:top w:val="single" w:color="000000" w:sz="6" w:space="0"/>
              <w:right w:val="single" w:color="000000" w:sz="6" w:space="0"/>
            </w:tcBorders>
          </w:tcPr>
          <w:p>
            <w:pPr>
              <w:pStyle w:val="33"/>
              <w:rPr>
                <w:sz w:val="21"/>
                <w:szCs w:val="21"/>
              </w:rPr>
            </w:pPr>
          </w:p>
          <w:p>
            <w:pPr>
              <w:pStyle w:val="33"/>
              <w:rPr>
                <w:sz w:val="21"/>
                <w:szCs w:val="21"/>
              </w:rPr>
            </w:pPr>
          </w:p>
          <w:p>
            <w:pPr>
              <w:pStyle w:val="33"/>
              <w:rPr>
                <w:sz w:val="21"/>
                <w:szCs w:val="21"/>
              </w:rPr>
            </w:pPr>
          </w:p>
          <w:p>
            <w:pPr>
              <w:pStyle w:val="33"/>
              <w:spacing w:before="11"/>
              <w:rPr>
                <w:sz w:val="21"/>
                <w:szCs w:val="21"/>
              </w:rPr>
            </w:pPr>
          </w:p>
          <w:p>
            <w:pPr>
              <w:pStyle w:val="33"/>
              <w:ind w:left="359"/>
              <w:rPr>
                <w:sz w:val="21"/>
                <w:szCs w:val="21"/>
              </w:rPr>
            </w:pPr>
            <w:r>
              <w:rPr>
                <w:sz w:val="21"/>
                <w:szCs w:val="21"/>
              </w:rPr>
              <w:t>其他人员</w:t>
            </w: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963" w:type="dxa"/>
            <w:vMerge w:val="continue"/>
            <w:tcBorders>
              <w:top w:val="nil"/>
              <w:right w:val="single" w:color="000000" w:sz="6" w:space="0"/>
            </w:tcBorders>
          </w:tcPr>
          <w:p>
            <w:pPr>
              <w:rPr>
                <w:sz w:val="21"/>
                <w:szCs w:val="21"/>
              </w:rPr>
            </w:pP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963" w:type="dxa"/>
            <w:vMerge w:val="continue"/>
            <w:tcBorders>
              <w:top w:val="nil"/>
              <w:right w:val="single" w:color="000000" w:sz="6" w:space="0"/>
            </w:tcBorders>
          </w:tcPr>
          <w:p>
            <w:pPr>
              <w:rPr>
                <w:sz w:val="21"/>
                <w:szCs w:val="21"/>
              </w:rPr>
            </w:pP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963" w:type="dxa"/>
            <w:vMerge w:val="continue"/>
            <w:tcBorders>
              <w:top w:val="nil"/>
              <w:right w:val="single" w:color="000000" w:sz="6" w:space="0"/>
            </w:tcBorders>
          </w:tcPr>
          <w:p>
            <w:pPr>
              <w:rPr>
                <w:sz w:val="21"/>
                <w:szCs w:val="21"/>
              </w:rPr>
            </w:pP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963" w:type="dxa"/>
            <w:vMerge w:val="continue"/>
            <w:tcBorders>
              <w:top w:val="nil"/>
              <w:right w:val="single" w:color="000000" w:sz="6" w:space="0"/>
            </w:tcBorders>
          </w:tcPr>
          <w:p>
            <w:pPr>
              <w:rPr>
                <w:sz w:val="21"/>
                <w:szCs w:val="21"/>
              </w:rPr>
            </w:pPr>
          </w:p>
        </w:tc>
        <w:tc>
          <w:tcPr>
            <w:tcW w:w="132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bottom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bottom w:val="single" w:color="000000" w:sz="6" w:space="0"/>
            </w:tcBorders>
          </w:tcPr>
          <w:p>
            <w:pPr>
              <w:pStyle w:val="33"/>
              <w:rPr>
                <w:rFonts w:ascii="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963" w:type="dxa"/>
            <w:vMerge w:val="continue"/>
            <w:tcBorders>
              <w:top w:val="nil"/>
              <w:right w:val="single" w:color="000000" w:sz="6" w:space="0"/>
            </w:tcBorders>
          </w:tcPr>
          <w:p>
            <w:pPr>
              <w:rPr>
                <w:sz w:val="21"/>
                <w:szCs w:val="21"/>
              </w:rPr>
            </w:pPr>
          </w:p>
        </w:tc>
        <w:tc>
          <w:tcPr>
            <w:tcW w:w="1328"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1133"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1136" w:type="dxa"/>
            <w:tcBorders>
              <w:top w:val="single" w:color="000000" w:sz="6" w:space="0"/>
              <w:left w:val="single" w:color="000000" w:sz="6" w:space="0"/>
              <w:right w:val="single" w:color="000000" w:sz="6" w:space="0"/>
            </w:tcBorders>
          </w:tcPr>
          <w:p>
            <w:pPr>
              <w:pStyle w:val="33"/>
              <w:rPr>
                <w:rFonts w:ascii="Times New Roman"/>
                <w:sz w:val="21"/>
                <w:szCs w:val="21"/>
              </w:rPr>
            </w:pPr>
          </w:p>
        </w:tc>
        <w:tc>
          <w:tcPr>
            <w:tcW w:w="4251" w:type="dxa"/>
            <w:tcBorders>
              <w:top w:val="single" w:color="000000" w:sz="6" w:space="0"/>
              <w:left w:val="single" w:color="000000" w:sz="6" w:space="0"/>
            </w:tcBorders>
          </w:tcPr>
          <w:p>
            <w:pPr>
              <w:pStyle w:val="33"/>
              <w:rPr>
                <w:rFonts w:ascii="Times New Roman"/>
                <w:sz w:val="21"/>
                <w:szCs w:val="21"/>
              </w:rPr>
            </w:pPr>
          </w:p>
        </w:tc>
      </w:tr>
    </w:tbl>
    <w:p>
      <w:pPr>
        <w:spacing w:after="0"/>
        <w:rPr>
          <w:rFonts w:ascii="Times New Roman"/>
          <w:sz w:val="21"/>
          <w:szCs w:val="21"/>
        </w:rPr>
        <w:sectPr>
          <w:pgSz w:w="11910" w:h="16840"/>
          <w:pgMar w:top="1500" w:right="840" w:bottom="1160" w:left="1000" w:header="0" w:footer="975" w:gutter="0"/>
        </w:sectPr>
      </w:pPr>
    </w:p>
    <w:p>
      <w:pPr>
        <w:pStyle w:val="6"/>
        <w:spacing w:line="377" w:lineRule="exact"/>
      </w:pPr>
      <w:r>
        <w:t>附件 8：</w:t>
      </w:r>
    </w:p>
    <w:p>
      <w:pPr>
        <w:pStyle w:val="6"/>
        <w:spacing w:before="198"/>
        <w:ind w:left="835" w:right="836"/>
        <w:jc w:val="center"/>
      </w:pPr>
      <w:r>
        <w:t>履约担保</w:t>
      </w:r>
    </w:p>
    <w:p>
      <w:pPr>
        <w:pStyle w:val="13"/>
        <w:spacing w:before="2"/>
        <w:ind w:left="0"/>
        <w:rPr>
          <w:sz w:val="20"/>
        </w:rPr>
      </w:pPr>
    </w:p>
    <w:p>
      <w:pPr>
        <w:pStyle w:val="13"/>
        <w:tabs>
          <w:tab w:val="left" w:pos="1793"/>
        </w:tabs>
        <w:spacing w:before="43"/>
      </w:pPr>
      <w:r>
        <w:rPr>
          <w:rFonts w:ascii="Times New Roman" w:eastAsia="Times New Roman"/>
          <w:w w:val="100"/>
          <w:u w:val="single"/>
        </w:rPr>
        <w:t xml:space="preserve"> </w:t>
      </w:r>
      <w:r>
        <w:rPr>
          <w:rFonts w:ascii="Times New Roman" w:eastAsia="Times New Roman"/>
          <w:u w:val="single"/>
        </w:rPr>
        <w:tab/>
      </w:r>
      <w:r>
        <w:rPr>
          <w:spacing w:val="-1"/>
        </w:rPr>
        <w:t>（</w:t>
      </w:r>
      <w:r>
        <w:rPr>
          <w:spacing w:val="-3"/>
        </w:rPr>
        <w:t>发包人名称</w:t>
      </w:r>
      <w:r>
        <w:t>）：</w:t>
      </w:r>
    </w:p>
    <w:p>
      <w:pPr>
        <w:pStyle w:val="13"/>
        <w:tabs>
          <w:tab w:val="left" w:pos="2618"/>
          <w:tab w:val="left" w:pos="7369"/>
          <w:tab w:val="left" w:pos="9059"/>
        </w:tabs>
        <w:spacing w:before="122" w:line="393" w:lineRule="auto"/>
        <w:ind w:right="104" w:firstLine="420"/>
        <w:jc w:val="both"/>
      </w:pPr>
      <w:r>
        <w:t>鉴于</w:t>
      </w:r>
      <w:r>
        <w:rPr>
          <w:u w:val="single"/>
        </w:rPr>
        <w:t xml:space="preserve"> </w:t>
      </w:r>
      <w:r>
        <w:rPr>
          <w:u w:val="single"/>
        </w:rPr>
        <w:tab/>
      </w:r>
      <w:r>
        <w:rPr>
          <w:spacing w:val="-3"/>
        </w:rPr>
        <w:t>（</w:t>
      </w:r>
      <w:r>
        <w:t>发包</w:t>
      </w:r>
      <w:r>
        <w:rPr>
          <w:spacing w:val="-3"/>
        </w:rPr>
        <w:t>人</w:t>
      </w:r>
      <w:r>
        <w:t>名</w:t>
      </w:r>
      <w:r>
        <w:rPr>
          <w:spacing w:val="-3"/>
        </w:rPr>
        <w:t>称</w:t>
      </w:r>
      <w:r>
        <w:rPr>
          <w:spacing w:val="-17"/>
        </w:rPr>
        <w:t>，</w:t>
      </w:r>
      <w:r>
        <w:rPr>
          <w:spacing w:val="-3"/>
        </w:rPr>
        <w:t>以</w:t>
      </w:r>
      <w:r>
        <w:t>下</w:t>
      </w:r>
      <w:r>
        <w:rPr>
          <w:spacing w:val="-3"/>
        </w:rPr>
        <w:t>简</w:t>
      </w:r>
      <w:r>
        <w:t>称</w:t>
      </w:r>
      <w:r>
        <w:rPr>
          <w:rFonts w:ascii="Times New Roman" w:hAnsi="Times New Roman" w:eastAsia="Times New Roman"/>
        </w:rPr>
        <w:t>“</w:t>
      </w:r>
      <w:r>
        <w:rPr>
          <w:spacing w:val="-3"/>
        </w:rPr>
        <w:t>发</w:t>
      </w:r>
      <w:r>
        <w:t>包人</w:t>
      </w:r>
      <w:r>
        <w:rPr>
          <w:rFonts w:ascii="Times New Roman" w:hAnsi="Times New Roman" w:eastAsia="Times New Roman"/>
          <w:spacing w:val="-11"/>
        </w:rPr>
        <w:t>”</w:t>
      </w:r>
      <w:r>
        <w:rPr>
          <w:spacing w:val="-11"/>
        </w:rPr>
        <w:t>）</w:t>
      </w:r>
      <w:r>
        <w:t>与</w:t>
      </w:r>
      <w:r>
        <w:rPr>
          <w:u w:val="single"/>
        </w:rPr>
        <w:t xml:space="preserve"> </w:t>
      </w:r>
      <w:r>
        <w:rPr>
          <w:u w:val="single"/>
        </w:rPr>
        <w:tab/>
      </w:r>
      <w:r>
        <w:rPr>
          <w:u w:val="single"/>
        </w:rPr>
        <w:tab/>
      </w:r>
      <w:r>
        <w:t>（</w:t>
      </w:r>
      <w:r>
        <w:rPr>
          <w:spacing w:val="-3"/>
        </w:rPr>
        <w:t>承包</w:t>
      </w:r>
      <w:r>
        <w:t>人 名称）（以</w:t>
      </w:r>
      <w:r>
        <w:rPr>
          <w:spacing w:val="-3"/>
        </w:rPr>
        <w:t>下</w:t>
      </w:r>
      <w:r>
        <w:t>称</w:t>
      </w:r>
      <w:r>
        <w:rPr>
          <w:rFonts w:ascii="Times New Roman" w:hAnsi="Times New Roman" w:eastAsia="Times New Roman"/>
        </w:rPr>
        <w:t>“</w:t>
      </w:r>
      <w:r>
        <w:t>承包人</w:t>
      </w:r>
      <w:r>
        <w:rPr>
          <w:rFonts w:ascii="Times New Roman" w:hAnsi="Times New Roman" w:eastAsia="Times New Roman"/>
        </w:rPr>
        <w:t>”</w:t>
      </w:r>
      <w:r>
        <w:t>）于</w:t>
      </w:r>
      <w:r>
        <w:rPr>
          <w:u w:val="single"/>
        </w:rPr>
        <w:t xml:space="preserve">   </w:t>
      </w:r>
      <w:r>
        <w:rPr>
          <w:spacing w:val="7"/>
          <w:u w:val="single"/>
        </w:rPr>
        <w:t xml:space="preserve"> </w:t>
      </w:r>
      <w:r>
        <w:t>年</w:t>
      </w:r>
      <w:r>
        <w:rPr>
          <w:u w:val="single"/>
        </w:rPr>
        <w:t xml:space="preserve">  </w:t>
      </w:r>
      <w:r>
        <w:rPr>
          <w:spacing w:val="5"/>
          <w:u w:val="single"/>
        </w:rPr>
        <w:t xml:space="preserve"> </w:t>
      </w:r>
      <w:r>
        <w:t>月</w:t>
      </w:r>
      <w:r>
        <w:rPr>
          <w:u w:val="single"/>
        </w:rPr>
        <w:t xml:space="preserve">  </w:t>
      </w:r>
      <w:r>
        <w:rPr>
          <w:spacing w:val="5"/>
          <w:u w:val="single"/>
        </w:rPr>
        <w:t xml:space="preserve"> </w:t>
      </w:r>
      <w:r>
        <w:t>日就</w:t>
      </w:r>
      <w:r>
        <w:rPr>
          <w:u w:val="single"/>
        </w:rPr>
        <w:t xml:space="preserve"> </w:t>
      </w:r>
      <w:r>
        <w:rPr>
          <w:u w:val="single"/>
        </w:rPr>
        <w:tab/>
      </w:r>
      <w:r>
        <w:t>（工程名称</w:t>
      </w:r>
      <w:r>
        <w:rPr>
          <w:spacing w:val="-3"/>
        </w:rPr>
        <w:t>）</w:t>
      </w:r>
      <w:r>
        <w:t>施工及</w:t>
      </w:r>
      <w:r>
        <w:rPr>
          <w:spacing w:val="-3"/>
        </w:rPr>
        <w:t>有关</w:t>
      </w:r>
      <w:r>
        <w:t>事 项协</w:t>
      </w:r>
      <w:r>
        <w:rPr>
          <w:spacing w:val="-3"/>
        </w:rPr>
        <w:t>商</w:t>
      </w:r>
      <w:r>
        <w:t>一</w:t>
      </w:r>
      <w:r>
        <w:rPr>
          <w:spacing w:val="-3"/>
        </w:rPr>
        <w:t>致</w:t>
      </w:r>
      <w:r>
        <w:t>共</w:t>
      </w:r>
      <w:r>
        <w:rPr>
          <w:spacing w:val="-3"/>
        </w:rPr>
        <w:t>同</w:t>
      </w:r>
      <w:r>
        <w:t>签</w:t>
      </w:r>
      <w:r>
        <w:rPr>
          <w:spacing w:val="-25"/>
        </w:rPr>
        <w:t>订</w:t>
      </w:r>
      <w:r>
        <w:rPr>
          <w:spacing w:val="-3"/>
        </w:rPr>
        <w:t>《建</w:t>
      </w:r>
      <w:r>
        <w:t>设工</w:t>
      </w:r>
      <w:r>
        <w:rPr>
          <w:spacing w:val="-3"/>
        </w:rPr>
        <w:t>程</w:t>
      </w:r>
      <w:r>
        <w:t>施</w:t>
      </w:r>
      <w:r>
        <w:rPr>
          <w:spacing w:val="-3"/>
        </w:rPr>
        <w:t>工</w:t>
      </w:r>
      <w:r>
        <w:t>合</w:t>
      </w:r>
      <w:r>
        <w:rPr>
          <w:spacing w:val="-3"/>
        </w:rPr>
        <w:t>同</w:t>
      </w:r>
      <w:r>
        <w:rPr>
          <w:spacing w:val="-25"/>
        </w:rPr>
        <w:t>》</w:t>
      </w:r>
      <w:r>
        <w:rPr>
          <w:spacing w:val="-22"/>
        </w:rPr>
        <w:t>。</w:t>
      </w:r>
      <w:r>
        <w:rPr>
          <w:spacing w:val="-3"/>
        </w:rPr>
        <w:t>我方</w:t>
      </w:r>
      <w:r>
        <w:t>愿意</w:t>
      </w:r>
      <w:r>
        <w:rPr>
          <w:spacing w:val="-3"/>
        </w:rPr>
        <w:t>无</w:t>
      </w:r>
      <w:r>
        <w:t>条</w:t>
      </w:r>
      <w:r>
        <w:rPr>
          <w:spacing w:val="-3"/>
        </w:rPr>
        <w:t>件地</w:t>
      </w:r>
      <w:r>
        <w:rPr>
          <w:spacing w:val="-22"/>
        </w:rPr>
        <w:t>、</w:t>
      </w:r>
      <w:r>
        <w:rPr>
          <w:spacing w:val="-3"/>
        </w:rPr>
        <w:t>不</w:t>
      </w:r>
      <w:r>
        <w:t>可</w:t>
      </w:r>
      <w:r>
        <w:rPr>
          <w:spacing w:val="-3"/>
        </w:rPr>
        <w:t>撤销</w:t>
      </w:r>
      <w:r>
        <w:t>地就</w:t>
      </w:r>
      <w:r>
        <w:rPr>
          <w:spacing w:val="-3"/>
        </w:rPr>
        <w:t>承</w:t>
      </w:r>
      <w:r>
        <w:t>包</w:t>
      </w:r>
      <w:r>
        <w:rPr>
          <w:spacing w:val="-3"/>
        </w:rPr>
        <w:t>人</w:t>
      </w:r>
      <w:r>
        <w:t>履</w:t>
      </w:r>
      <w:r>
        <w:rPr>
          <w:spacing w:val="-3"/>
        </w:rPr>
        <w:t>行</w:t>
      </w:r>
      <w:r>
        <w:t>与</w:t>
      </w:r>
      <w:r>
        <w:rPr>
          <w:spacing w:val="-3"/>
        </w:rPr>
        <w:t>你</w:t>
      </w:r>
      <w:r>
        <w:t>方</w:t>
      </w:r>
      <w:r>
        <w:rPr>
          <w:spacing w:val="-3"/>
        </w:rPr>
        <w:t>签</w:t>
      </w:r>
      <w:r>
        <w:t>订的合同，</w:t>
      </w:r>
      <w:r>
        <w:rPr>
          <w:spacing w:val="-3"/>
        </w:rPr>
        <w:t>向</w:t>
      </w:r>
      <w:r>
        <w:t>你</w:t>
      </w:r>
      <w:r>
        <w:rPr>
          <w:spacing w:val="-3"/>
        </w:rPr>
        <w:t>方</w:t>
      </w:r>
      <w:r>
        <w:t>提</w:t>
      </w:r>
      <w:r>
        <w:rPr>
          <w:spacing w:val="-3"/>
        </w:rPr>
        <w:t>供</w:t>
      </w:r>
      <w:r>
        <w:t>连</w:t>
      </w:r>
      <w:r>
        <w:rPr>
          <w:spacing w:val="-3"/>
        </w:rPr>
        <w:t>带</w:t>
      </w:r>
      <w:r>
        <w:t>责</w:t>
      </w:r>
      <w:r>
        <w:rPr>
          <w:spacing w:val="-3"/>
        </w:rPr>
        <w:t>任</w:t>
      </w:r>
      <w:r>
        <w:t>担保。</w:t>
      </w:r>
    </w:p>
    <w:p>
      <w:pPr>
        <w:pStyle w:val="32"/>
        <w:numPr>
          <w:ilvl w:val="0"/>
          <w:numId w:val="45"/>
        </w:numPr>
        <w:tabs>
          <w:tab w:val="left" w:pos="798"/>
          <w:tab w:val="left" w:pos="4892"/>
          <w:tab w:val="left" w:pos="6781"/>
        </w:tabs>
        <w:spacing w:before="58" w:after="0" w:line="240" w:lineRule="auto"/>
        <w:ind w:left="112" w:right="0" w:firstLine="421"/>
        <w:jc w:val="left"/>
        <w:rPr>
          <w:sz w:val="21"/>
        </w:rPr>
      </w:pPr>
      <w:r>
        <w:rPr>
          <w:spacing w:val="-3"/>
          <w:sz w:val="21"/>
        </w:rPr>
        <w:t>担</w:t>
      </w:r>
      <w:r>
        <w:rPr>
          <w:sz w:val="21"/>
        </w:rPr>
        <w:t>保</w:t>
      </w:r>
      <w:r>
        <w:rPr>
          <w:spacing w:val="-3"/>
          <w:sz w:val="21"/>
        </w:rPr>
        <w:t>金</w:t>
      </w:r>
      <w:r>
        <w:rPr>
          <w:sz w:val="21"/>
        </w:rPr>
        <w:t>额</w:t>
      </w:r>
      <w:r>
        <w:rPr>
          <w:spacing w:val="-3"/>
          <w:sz w:val="21"/>
        </w:rPr>
        <w:t>人</w:t>
      </w:r>
      <w:r>
        <w:rPr>
          <w:sz w:val="21"/>
        </w:rPr>
        <w:t>民</w:t>
      </w:r>
      <w:r>
        <w:rPr>
          <w:spacing w:val="-3"/>
          <w:sz w:val="21"/>
        </w:rPr>
        <w:t>币</w:t>
      </w:r>
      <w:r>
        <w:rPr>
          <w:sz w:val="21"/>
        </w:rPr>
        <w:t>（</w:t>
      </w:r>
      <w:r>
        <w:rPr>
          <w:spacing w:val="-3"/>
          <w:sz w:val="21"/>
        </w:rPr>
        <w:t>大写</w:t>
      </w:r>
      <w:r>
        <w:rPr>
          <w:sz w:val="21"/>
        </w:rPr>
        <w:t>）</w:t>
      </w:r>
      <w:r>
        <w:rPr>
          <w:sz w:val="21"/>
          <w:u w:val="single"/>
        </w:rPr>
        <w:t xml:space="preserve"> </w:t>
      </w:r>
      <w:r>
        <w:rPr>
          <w:sz w:val="21"/>
          <w:u w:val="single"/>
        </w:rPr>
        <w:tab/>
      </w:r>
      <w:r>
        <w:rPr>
          <w:spacing w:val="-3"/>
          <w:sz w:val="21"/>
        </w:rPr>
        <w:t>元</w:t>
      </w:r>
      <w:r>
        <w:rPr>
          <w:sz w:val="21"/>
        </w:rPr>
        <w:t>（</w:t>
      </w:r>
      <w:r>
        <w:rPr>
          <w:rFonts w:ascii="Times New Roman" w:hAnsi="Times New Roman" w:eastAsia="Times New Roman"/>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r>
        <w:rPr>
          <w:sz w:val="21"/>
        </w:rPr>
        <w:t>）。</w:t>
      </w:r>
    </w:p>
    <w:p>
      <w:pPr>
        <w:pStyle w:val="32"/>
        <w:numPr>
          <w:ilvl w:val="0"/>
          <w:numId w:val="45"/>
        </w:numPr>
        <w:tabs>
          <w:tab w:val="left" w:pos="798"/>
        </w:tabs>
        <w:spacing w:before="178" w:after="0" w:line="240" w:lineRule="auto"/>
        <w:ind w:left="112" w:right="0" w:firstLine="421"/>
        <w:jc w:val="left"/>
        <w:rPr>
          <w:sz w:val="21"/>
        </w:rPr>
      </w:pPr>
      <w:r>
        <w:rPr>
          <w:spacing w:val="-3"/>
          <w:sz w:val="21"/>
        </w:rPr>
        <w:t>担保有效期自你方与承包人签订的合同生效之日起至你方签发或应签发工程接收证书之日止。</w:t>
      </w:r>
    </w:p>
    <w:p>
      <w:pPr>
        <w:pStyle w:val="32"/>
        <w:numPr>
          <w:ilvl w:val="0"/>
          <w:numId w:val="45"/>
        </w:numPr>
        <w:tabs>
          <w:tab w:val="left" w:pos="798"/>
        </w:tabs>
        <w:spacing w:before="177" w:after="0" w:line="386" w:lineRule="auto"/>
        <w:ind w:left="112" w:right="108" w:firstLine="421"/>
        <w:jc w:val="left"/>
        <w:rPr>
          <w:sz w:val="21"/>
        </w:rPr>
      </w:pPr>
      <w:r>
        <w:rPr>
          <w:spacing w:val="-1"/>
          <w:sz w:val="21"/>
        </w:rPr>
        <w:t>在本担保有效期内，因承包人违反合同约定的义务给你方造成经济损失时，我方在收到你方以书面</w:t>
      </w:r>
      <w:r>
        <w:rPr>
          <w:spacing w:val="-5"/>
          <w:sz w:val="21"/>
        </w:rPr>
        <w:t xml:space="preserve">形式提出的在担保金额内的赔偿要求后，在 </w:t>
      </w:r>
      <w:r>
        <w:rPr>
          <w:rFonts w:ascii="Times New Roman" w:eastAsia="Times New Roman"/>
          <w:sz w:val="21"/>
        </w:rPr>
        <w:t>7</w:t>
      </w:r>
      <w:r>
        <w:rPr>
          <w:rFonts w:ascii="Times New Roman" w:eastAsia="Times New Roman"/>
          <w:spacing w:val="12"/>
          <w:sz w:val="21"/>
        </w:rPr>
        <w:t xml:space="preserve"> </w:t>
      </w:r>
      <w:r>
        <w:rPr>
          <w:spacing w:val="-3"/>
          <w:sz w:val="21"/>
        </w:rPr>
        <w:t>天内无条件支付。</w:t>
      </w:r>
    </w:p>
    <w:p>
      <w:pPr>
        <w:pStyle w:val="32"/>
        <w:numPr>
          <w:ilvl w:val="0"/>
          <w:numId w:val="45"/>
        </w:numPr>
        <w:tabs>
          <w:tab w:val="left" w:pos="798"/>
        </w:tabs>
        <w:spacing w:before="35" w:after="0" w:line="240" w:lineRule="auto"/>
        <w:ind w:left="112" w:right="0" w:firstLine="421"/>
        <w:jc w:val="left"/>
        <w:rPr>
          <w:sz w:val="21"/>
        </w:rPr>
      </w:pPr>
      <w:r>
        <w:rPr>
          <w:spacing w:val="-3"/>
          <w:sz w:val="21"/>
        </w:rPr>
        <w:t>你方和承包人按合同约定变更合同时，我方承担本担保规定的义务不变。</w:t>
      </w:r>
    </w:p>
    <w:p>
      <w:pPr>
        <w:pStyle w:val="32"/>
        <w:numPr>
          <w:ilvl w:val="0"/>
          <w:numId w:val="45"/>
        </w:numPr>
        <w:tabs>
          <w:tab w:val="left" w:pos="798"/>
          <w:tab w:val="left" w:pos="8625"/>
        </w:tabs>
        <w:spacing w:before="177" w:after="0" w:line="386" w:lineRule="auto"/>
        <w:ind w:left="112" w:right="107" w:firstLine="421"/>
        <w:jc w:val="left"/>
        <w:rPr>
          <w:sz w:val="21"/>
        </w:rPr>
      </w:pPr>
      <w:r>
        <w:rPr>
          <w:sz w:val="21"/>
        </w:rPr>
        <w:t>因本保函发生的纠纷，可由双方协商解决，协商不成的，任何一方均可提</w:t>
      </w:r>
      <w:r>
        <w:rPr>
          <w:spacing w:val="2"/>
          <w:sz w:val="21"/>
        </w:rPr>
        <w:t>请</w:t>
      </w:r>
      <w:r>
        <w:rPr>
          <w:spacing w:val="2"/>
          <w:sz w:val="21"/>
          <w:u w:val="single"/>
        </w:rPr>
        <w:t xml:space="preserve"> </w:t>
      </w:r>
      <w:r>
        <w:rPr>
          <w:spacing w:val="2"/>
          <w:sz w:val="21"/>
          <w:u w:val="single"/>
        </w:rPr>
        <w:tab/>
      </w:r>
      <w:r>
        <w:rPr>
          <w:sz w:val="21"/>
        </w:rPr>
        <w:t>仲裁委员会仲 裁。</w:t>
      </w:r>
    </w:p>
    <w:p>
      <w:pPr>
        <w:pStyle w:val="32"/>
        <w:numPr>
          <w:ilvl w:val="0"/>
          <w:numId w:val="45"/>
        </w:numPr>
        <w:tabs>
          <w:tab w:val="left" w:pos="798"/>
          <w:tab w:val="left" w:pos="3999"/>
        </w:tabs>
        <w:spacing w:before="65" w:after="0" w:line="386" w:lineRule="auto"/>
        <w:ind w:left="112" w:right="2275" w:firstLine="421"/>
        <w:jc w:val="left"/>
        <w:rPr>
          <w:sz w:val="21"/>
        </w:rPr>
      </w:pPr>
      <w:r>
        <w:rPr>
          <w:spacing w:val="-3"/>
          <w:sz w:val="21"/>
        </w:rPr>
        <w:t>本</w:t>
      </w:r>
      <w:r>
        <w:rPr>
          <w:sz w:val="21"/>
        </w:rPr>
        <w:t>保</w:t>
      </w:r>
      <w:r>
        <w:rPr>
          <w:spacing w:val="-3"/>
          <w:sz w:val="21"/>
        </w:rPr>
        <w:t>函</w:t>
      </w:r>
      <w:r>
        <w:rPr>
          <w:sz w:val="21"/>
        </w:rPr>
        <w:t>自</w:t>
      </w:r>
      <w:r>
        <w:rPr>
          <w:spacing w:val="-3"/>
          <w:sz w:val="21"/>
        </w:rPr>
        <w:t>我</w:t>
      </w:r>
      <w:r>
        <w:rPr>
          <w:sz w:val="21"/>
        </w:rPr>
        <w:t>方</w:t>
      </w:r>
      <w:r>
        <w:rPr>
          <w:spacing w:val="-3"/>
          <w:sz w:val="21"/>
        </w:rPr>
        <w:t>法</w:t>
      </w:r>
      <w:r>
        <w:rPr>
          <w:sz w:val="21"/>
        </w:rPr>
        <w:t>定</w:t>
      </w:r>
      <w:r>
        <w:rPr>
          <w:spacing w:val="-3"/>
          <w:sz w:val="21"/>
        </w:rPr>
        <w:t>代表</w:t>
      </w:r>
      <w:r>
        <w:rPr>
          <w:sz w:val="21"/>
        </w:rPr>
        <w:t>人（</w:t>
      </w:r>
      <w:r>
        <w:rPr>
          <w:spacing w:val="-3"/>
          <w:sz w:val="21"/>
        </w:rPr>
        <w:t>或</w:t>
      </w:r>
      <w:r>
        <w:rPr>
          <w:sz w:val="21"/>
        </w:rPr>
        <w:t>其</w:t>
      </w:r>
      <w:r>
        <w:rPr>
          <w:spacing w:val="-3"/>
          <w:sz w:val="21"/>
        </w:rPr>
        <w:t>授</w:t>
      </w:r>
      <w:r>
        <w:rPr>
          <w:sz w:val="21"/>
        </w:rPr>
        <w:t>权</w:t>
      </w:r>
      <w:r>
        <w:rPr>
          <w:spacing w:val="-3"/>
          <w:sz w:val="21"/>
        </w:rPr>
        <w:t>代</w:t>
      </w:r>
      <w:r>
        <w:rPr>
          <w:sz w:val="21"/>
        </w:rPr>
        <w:t>理</w:t>
      </w:r>
      <w:r>
        <w:rPr>
          <w:spacing w:val="-3"/>
          <w:sz w:val="21"/>
        </w:rPr>
        <w:t>人</w:t>
      </w:r>
      <w:r>
        <w:rPr>
          <w:sz w:val="21"/>
        </w:rPr>
        <w:t>）</w:t>
      </w:r>
      <w:r>
        <w:rPr>
          <w:spacing w:val="-3"/>
          <w:sz w:val="21"/>
        </w:rPr>
        <w:t>签</w:t>
      </w:r>
      <w:r>
        <w:rPr>
          <w:sz w:val="21"/>
        </w:rPr>
        <w:t>字并</w:t>
      </w:r>
      <w:r>
        <w:rPr>
          <w:spacing w:val="-3"/>
          <w:sz w:val="21"/>
        </w:rPr>
        <w:t>加</w:t>
      </w:r>
      <w:r>
        <w:rPr>
          <w:sz w:val="21"/>
        </w:rPr>
        <w:t>盖</w:t>
      </w:r>
      <w:r>
        <w:rPr>
          <w:spacing w:val="-3"/>
          <w:sz w:val="21"/>
        </w:rPr>
        <w:t>公</w:t>
      </w:r>
      <w:r>
        <w:rPr>
          <w:sz w:val="21"/>
        </w:rPr>
        <w:t>章</w:t>
      </w:r>
      <w:r>
        <w:rPr>
          <w:spacing w:val="-3"/>
          <w:sz w:val="21"/>
        </w:rPr>
        <w:t>之</w:t>
      </w:r>
      <w:r>
        <w:rPr>
          <w:sz w:val="21"/>
        </w:rPr>
        <w:t>日</w:t>
      </w:r>
      <w:r>
        <w:rPr>
          <w:spacing w:val="-3"/>
          <w:sz w:val="21"/>
        </w:rPr>
        <w:t>起</w:t>
      </w:r>
      <w:r>
        <w:rPr>
          <w:sz w:val="21"/>
        </w:rPr>
        <w:t>生</w:t>
      </w:r>
      <w:r>
        <w:rPr>
          <w:spacing w:val="-3"/>
          <w:sz w:val="21"/>
        </w:rPr>
        <w:t>效</w:t>
      </w:r>
      <w:r>
        <w:rPr>
          <w:spacing w:val="-13"/>
          <w:sz w:val="21"/>
        </w:rPr>
        <w:t>。</w:t>
      </w:r>
      <w:r>
        <w:rPr>
          <w:sz w:val="21"/>
        </w:rPr>
        <w:t>担 保</w:t>
      </w:r>
      <w:r>
        <w:rPr>
          <w:spacing w:val="2"/>
          <w:sz w:val="21"/>
        </w:rPr>
        <w:t xml:space="preserve"> </w:t>
      </w:r>
      <w:r>
        <w:rPr>
          <w:sz w:val="21"/>
        </w:rPr>
        <w:t>人</w:t>
      </w:r>
      <w:r>
        <w:rPr>
          <w:spacing w:val="-3"/>
          <w:sz w:val="21"/>
        </w:rPr>
        <w:t>：</w:t>
      </w:r>
      <w:r>
        <w:rPr>
          <w:spacing w:val="-3"/>
          <w:sz w:val="21"/>
          <w:u w:val="single"/>
        </w:rPr>
        <w:t xml:space="preserve"> </w:t>
      </w:r>
      <w:r>
        <w:rPr>
          <w:spacing w:val="-3"/>
          <w:sz w:val="21"/>
          <w:u w:val="single"/>
        </w:rPr>
        <w:tab/>
      </w:r>
      <w:r>
        <w:rPr>
          <w:sz w:val="21"/>
        </w:rPr>
        <w:t>（</w:t>
      </w:r>
      <w:r>
        <w:rPr>
          <w:spacing w:val="-3"/>
          <w:sz w:val="21"/>
        </w:rPr>
        <w:t>盖</w:t>
      </w:r>
      <w:r>
        <w:rPr>
          <w:sz w:val="21"/>
        </w:rPr>
        <w:t>单</w:t>
      </w:r>
      <w:r>
        <w:rPr>
          <w:spacing w:val="-3"/>
          <w:sz w:val="21"/>
        </w:rPr>
        <w:t>位</w:t>
      </w:r>
      <w:r>
        <w:rPr>
          <w:sz w:val="21"/>
        </w:rPr>
        <w:t>章）</w:t>
      </w:r>
    </w:p>
    <w:p>
      <w:pPr>
        <w:pStyle w:val="13"/>
        <w:tabs>
          <w:tab w:val="left" w:pos="744"/>
          <w:tab w:val="left" w:pos="4421"/>
          <w:tab w:val="left" w:pos="5201"/>
        </w:tabs>
        <w:spacing w:before="65" w:line="408" w:lineRule="auto"/>
        <w:ind w:right="4742"/>
        <w:rPr>
          <w:rFonts w:ascii="Times New Roman" w:eastAsia="Times New Roman"/>
        </w:rPr>
      </w:pPr>
      <w:r>
        <w:t>法定</w:t>
      </w:r>
      <w:r>
        <w:rPr>
          <w:spacing w:val="-3"/>
        </w:rPr>
        <w:t>代</w:t>
      </w:r>
      <w:r>
        <w:t>表</w:t>
      </w:r>
      <w:r>
        <w:rPr>
          <w:spacing w:val="-3"/>
        </w:rPr>
        <w:t>人</w:t>
      </w:r>
      <w:r>
        <w:t>或</w:t>
      </w:r>
      <w:r>
        <w:rPr>
          <w:spacing w:val="-3"/>
        </w:rPr>
        <w:t>其</w:t>
      </w:r>
      <w:r>
        <w:t>委</w:t>
      </w:r>
      <w:r>
        <w:rPr>
          <w:spacing w:val="-3"/>
        </w:rPr>
        <w:t>托</w:t>
      </w:r>
      <w:r>
        <w:t>代</w:t>
      </w:r>
      <w:r>
        <w:rPr>
          <w:spacing w:val="-3"/>
        </w:rPr>
        <w:t>理</w:t>
      </w:r>
      <w:r>
        <w:t>人：</w:t>
      </w:r>
      <w:r>
        <w:rPr>
          <w:u w:val="single"/>
        </w:rPr>
        <w:t xml:space="preserve"> </w:t>
      </w:r>
      <w:r>
        <w:rPr>
          <w:u w:val="single"/>
        </w:rPr>
        <w:tab/>
      </w:r>
      <w:r>
        <w:rPr>
          <w:spacing w:val="-3"/>
        </w:rPr>
        <w:t>（签</w:t>
      </w:r>
      <w:r>
        <w:t>字） 地</w:t>
      </w:r>
      <w:r>
        <w:tab/>
      </w:r>
      <w:r>
        <w:t>址</w:t>
      </w:r>
      <w:r>
        <w:rPr>
          <w:spacing w:val="-3"/>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3"/>
        <w:tabs>
          <w:tab w:val="left" w:pos="5201"/>
        </w:tabs>
        <w:spacing w:before="45"/>
        <w:rPr>
          <w:rFonts w:ascii="Times New Roman" w:eastAsia="Times New Roman"/>
        </w:rPr>
      </w:pPr>
      <w:r>
        <w:t>邮政</w:t>
      </w:r>
      <w:r>
        <w:rPr>
          <w:spacing w:val="-3"/>
        </w:rPr>
        <w:t>编</w:t>
      </w:r>
      <w:r>
        <w:t>码</w:t>
      </w:r>
      <w:r>
        <w:rPr>
          <w:spacing w:val="-3"/>
        </w:rP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13"/>
        </w:rPr>
      </w:pPr>
    </w:p>
    <w:p>
      <w:pPr>
        <w:pStyle w:val="13"/>
        <w:tabs>
          <w:tab w:val="left" w:pos="744"/>
          <w:tab w:val="left" w:pos="5201"/>
        </w:tabs>
        <w:spacing w:before="43"/>
        <w:rPr>
          <w:rFonts w:ascii="Times New Roman" w:eastAsia="Times New Roman"/>
        </w:rPr>
      </w:pPr>
      <w:r>
        <w:t>电</w:t>
      </w:r>
      <w:r>
        <w:tab/>
      </w:r>
      <w:r>
        <w:t>话</w:t>
      </w:r>
      <w:r>
        <w:rPr>
          <w:spacing w:val="-3"/>
        </w:rP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13"/>
        </w:rPr>
      </w:pPr>
    </w:p>
    <w:p>
      <w:pPr>
        <w:pStyle w:val="13"/>
        <w:tabs>
          <w:tab w:val="left" w:pos="744"/>
          <w:tab w:val="left" w:pos="5201"/>
        </w:tabs>
        <w:spacing w:before="43"/>
        <w:rPr>
          <w:rFonts w:ascii="Times New Roman" w:eastAsia="Times New Roman"/>
        </w:rPr>
      </w:pPr>
      <w:r>
        <w:t>传</w:t>
      </w:r>
      <w:r>
        <w:tab/>
      </w:r>
      <w:r>
        <w:t>真</w:t>
      </w:r>
      <w:r>
        <w:rPr>
          <w:spacing w:val="-3"/>
        </w:rP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20"/>
        </w:rPr>
      </w:pPr>
    </w:p>
    <w:p>
      <w:pPr>
        <w:pStyle w:val="13"/>
        <w:ind w:left="0"/>
        <w:rPr>
          <w:rFonts w:ascii="Times New Roman"/>
          <w:sz w:val="20"/>
        </w:rPr>
      </w:pPr>
    </w:p>
    <w:p>
      <w:pPr>
        <w:pStyle w:val="13"/>
        <w:spacing w:before="5"/>
        <w:ind w:left="0"/>
        <w:rPr>
          <w:rFonts w:ascii="Times New Roman"/>
          <w:sz w:val="17"/>
        </w:rPr>
      </w:pPr>
    </w:p>
    <w:p>
      <w:pPr>
        <w:pStyle w:val="13"/>
        <w:tabs>
          <w:tab w:val="left" w:pos="2844"/>
          <w:tab w:val="left" w:pos="3893"/>
          <w:tab w:val="left" w:pos="4942"/>
        </w:tabs>
        <w:ind w:left="1690"/>
      </w:pPr>
      <w:r>
        <w:rPr>
          <w:rFonts w:ascii="Times New Roman" w:eastAsia="Times New Roman"/>
          <w:w w:val="100"/>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500" w:right="880" w:bottom="1160" w:left="1020" w:header="0" w:footer="975" w:gutter="0"/>
        </w:sectPr>
      </w:pPr>
    </w:p>
    <w:p>
      <w:pPr>
        <w:pStyle w:val="6"/>
        <w:spacing w:line="374" w:lineRule="exact"/>
      </w:pPr>
      <w:r>
        <w:t>附件 9 ：</w:t>
      </w:r>
    </w:p>
    <w:p>
      <w:pPr>
        <w:pStyle w:val="13"/>
        <w:spacing w:before="1"/>
        <w:ind w:left="0"/>
        <w:rPr>
          <w:sz w:val="24"/>
        </w:rPr>
      </w:pPr>
    </w:p>
    <w:p>
      <w:pPr>
        <w:pStyle w:val="6"/>
        <w:spacing w:before="8"/>
        <w:ind w:left="837" w:right="836"/>
        <w:jc w:val="center"/>
      </w:pPr>
      <w:r>
        <w:t>预付款担保</w:t>
      </w:r>
    </w:p>
    <w:p>
      <w:pPr>
        <w:pStyle w:val="13"/>
        <w:spacing w:before="1"/>
        <w:ind w:left="0"/>
        <w:rPr>
          <w:sz w:val="17"/>
        </w:rPr>
      </w:pPr>
    </w:p>
    <w:p>
      <w:pPr>
        <w:pStyle w:val="13"/>
        <w:tabs>
          <w:tab w:val="left" w:pos="2366"/>
        </w:tabs>
        <w:spacing w:before="43"/>
      </w:pPr>
      <w:r>
        <w:rPr>
          <w:rFonts w:ascii="Times New Roman" w:eastAsia="Times New Roman"/>
          <w:w w:val="100"/>
          <w:u w:val="single"/>
        </w:rPr>
        <w:t xml:space="preserve"> </w:t>
      </w:r>
      <w:r>
        <w:rPr>
          <w:rFonts w:ascii="Times New Roman" w:eastAsia="Times New Roman"/>
          <w:u w:val="single"/>
        </w:rPr>
        <w:tab/>
      </w:r>
      <w:r>
        <w:rPr>
          <w:rFonts w:ascii="Times New Roman" w:eastAsia="Times New Roman"/>
          <w:spacing w:val="5"/>
        </w:rPr>
        <w:t xml:space="preserve"> </w:t>
      </w:r>
      <w:r>
        <w:t>（</w:t>
      </w:r>
      <w:r>
        <w:rPr>
          <w:spacing w:val="-3"/>
        </w:rPr>
        <w:t>发包人名称</w:t>
      </w:r>
      <w:r>
        <w:t>）：</w:t>
      </w:r>
    </w:p>
    <w:p>
      <w:pPr>
        <w:pStyle w:val="13"/>
        <w:tabs>
          <w:tab w:val="left" w:pos="2750"/>
          <w:tab w:val="left" w:pos="7398"/>
          <w:tab w:val="left" w:pos="8841"/>
        </w:tabs>
        <w:spacing w:before="192" w:line="393" w:lineRule="auto"/>
        <w:ind w:right="104" w:firstLine="420"/>
        <w:jc w:val="both"/>
      </w:pPr>
      <w:r>
        <w:t>根据</w:t>
      </w:r>
      <w:r>
        <w:rPr>
          <w:u w:val="single"/>
        </w:rPr>
        <w:t xml:space="preserve"> </w:t>
      </w:r>
      <w:r>
        <w:rPr>
          <w:u w:val="single"/>
        </w:rPr>
        <w:tab/>
      </w:r>
      <w:r>
        <w:rPr>
          <w:spacing w:val="-3"/>
        </w:rPr>
        <w:t>（</w:t>
      </w:r>
      <w:r>
        <w:t>承包人名称）（以下称</w:t>
      </w:r>
      <w:r>
        <w:rPr>
          <w:rFonts w:ascii="Times New Roman" w:hAnsi="Times New Roman" w:eastAsia="Times New Roman"/>
          <w:spacing w:val="-3"/>
        </w:rPr>
        <w:t>“</w:t>
      </w:r>
      <w:r>
        <w:rPr>
          <w:spacing w:val="-3"/>
        </w:rPr>
        <w:t>承</w:t>
      </w:r>
      <w:r>
        <w:t>包人</w:t>
      </w:r>
      <w:r>
        <w:rPr>
          <w:rFonts w:ascii="Times New Roman" w:hAnsi="Times New Roman" w:eastAsia="Times New Roman"/>
        </w:rPr>
        <w:t>”</w:t>
      </w:r>
      <w:r>
        <w:t>）与</w:t>
      </w:r>
      <w:r>
        <w:rPr>
          <w:u w:val="single"/>
        </w:rPr>
        <w:t xml:space="preserve"> </w:t>
      </w:r>
      <w:r>
        <w:rPr>
          <w:u w:val="single"/>
        </w:rPr>
        <w:tab/>
      </w:r>
      <w:r>
        <w:rPr>
          <w:u w:val="single"/>
        </w:rPr>
        <w:tab/>
      </w:r>
      <w:r>
        <w:t>（发包人名 称</w:t>
      </w:r>
      <w:r>
        <w:rPr>
          <w:spacing w:val="-13"/>
        </w:rPr>
        <w:t>）（</w:t>
      </w:r>
      <w:r>
        <w:rPr>
          <w:spacing w:val="-3"/>
        </w:rPr>
        <w:t>以</w:t>
      </w:r>
      <w:r>
        <w:t>下</w:t>
      </w:r>
      <w:r>
        <w:rPr>
          <w:spacing w:val="-3"/>
        </w:rPr>
        <w:t>简</w:t>
      </w:r>
      <w:r>
        <w:t>称</w:t>
      </w:r>
      <w:r>
        <w:rPr>
          <w:rFonts w:ascii="Times New Roman" w:hAnsi="Times New Roman" w:eastAsia="Times New Roman"/>
        </w:rPr>
        <w:t>“</w:t>
      </w:r>
      <w:r>
        <w:rPr>
          <w:spacing w:val="-3"/>
        </w:rPr>
        <w:t>发</w:t>
      </w:r>
      <w:r>
        <w:t>包人</w:t>
      </w:r>
      <w:r>
        <w:rPr>
          <w:rFonts w:ascii="Times New Roman" w:hAnsi="Times New Roman" w:eastAsia="Times New Roman"/>
          <w:spacing w:val="-8"/>
        </w:rPr>
        <w:t>”</w:t>
      </w:r>
      <w:r>
        <w:rPr>
          <w:spacing w:val="-8"/>
        </w:rPr>
        <w:t>）</w:t>
      </w:r>
      <w:r>
        <w:t>于</w:t>
      </w:r>
      <w:r>
        <w:rPr>
          <w:u w:val="single"/>
        </w:rPr>
        <w:t xml:space="preserve">    </w:t>
      </w:r>
      <w:r>
        <w:rPr>
          <w:spacing w:val="7"/>
          <w:u w:val="single"/>
        </w:rPr>
        <w:t xml:space="preserve"> </w:t>
      </w:r>
      <w:r>
        <w:rPr>
          <w:spacing w:val="-3"/>
        </w:rPr>
        <w:t>年</w:t>
      </w:r>
      <w:r>
        <w:rPr>
          <w:spacing w:val="-3"/>
          <w:u w:val="single"/>
        </w:rPr>
        <w:t xml:space="preserve">   </w:t>
      </w:r>
      <w:r>
        <w:rPr>
          <w:spacing w:val="15"/>
          <w:u w:val="single"/>
        </w:rPr>
        <w:t xml:space="preserve"> </w:t>
      </w:r>
      <w:r>
        <w:t>月</w:t>
      </w:r>
      <w:r>
        <w:rPr>
          <w:u w:val="single"/>
        </w:rPr>
        <w:t xml:space="preserve">   </w:t>
      </w:r>
      <w:r>
        <w:rPr>
          <w:spacing w:val="5"/>
          <w:u w:val="single"/>
        </w:rPr>
        <w:t xml:space="preserve"> </w:t>
      </w:r>
      <w:r>
        <w:rPr>
          <w:spacing w:val="-3"/>
        </w:rPr>
        <w:t>日</w:t>
      </w:r>
      <w:r>
        <w:t>签订</w:t>
      </w:r>
      <w:r>
        <w:rPr>
          <w:spacing w:val="-3"/>
        </w:rPr>
        <w:t>的</w:t>
      </w:r>
      <w:r>
        <w:rPr>
          <w:spacing w:val="-3"/>
          <w:u w:val="single"/>
        </w:rPr>
        <w:t xml:space="preserve"> </w:t>
      </w:r>
      <w:r>
        <w:rPr>
          <w:spacing w:val="-3"/>
          <w:u w:val="single"/>
        </w:rPr>
        <w:tab/>
      </w:r>
      <w:r>
        <w:t>（</w:t>
      </w:r>
      <w:r>
        <w:rPr>
          <w:spacing w:val="-3"/>
        </w:rPr>
        <w:t>工</w:t>
      </w:r>
      <w:r>
        <w:t>程</w:t>
      </w:r>
      <w:r>
        <w:rPr>
          <w:spacing w:val="-3"/>
        </w:rPr>
        <w:t>名</w:t>
      </w:r>
      <w:r>
        <w:t>称</w:t>
      </w:r>
      <w:r>
        <w:rPr>
          <w:spacing w:val="-25"/>
        </w:rPr>
        <w:t>）</w:t>
      </w:r>
      <w:r>
        <w:t>《</w:t>
      </w:r>
      <w:r>
        <w:rPr>
          <w:spacing w:val="-3"/>
        </w:rPr>
        <w:t>建</w:t>
      </w:r>
      <w:r>
        <w:t>设</w:t>
      </w:r>
      <w:r>
        <w:rPr>
          <w:spacing w:val="-3"/>
        </w:rPr>
        <w:t>工</w:t>
      </w:r>
      <w:r>
        <w:t>程施 工合</w:t>
      </w:r>
      <w:r>
        <w:rPr>
          <w:spacing w:val="-3"/>
        </w:rPr>
        <w:t>同</w:t>
      </w:r>
      <w:r>
        <w:rPr>
          <w:spacing w:val="-25"/>
        </w:rPr>
        <w:t>》，</w:t>
      </w:r>
      <w:r>
        <w:t>承包</w:t>
      </w:r>
      <w:r>
        <w:rPr>
          <w:spacing w:val="-3"/>
        </w:rPr>
        <w:t>人</w:t>
      </w:r>
      <w:r>
        <w:t>按约</w:t>
      </w:r>
      <w:r>
        <w:rPr>
          <w:spacing w:val="-3"/>
        </w:rPr>
        <w:t>定</w:t>
      </w:r>
      <w:r>
        <w:t>的金</w:t>
      </w:r>
      <w:r>
        <w:rPr>
          <w:spacing w:val="-3"/>
        </w:rPr>
        <w:t>额</w:t>
      </w:r>
      <w:r>
        <w:t>向</w:t>
      </w:r>
      <w:r>
        <w:rPr>
          <w:spacing w:val="-3"/>
        </w:rPr>
        <w:t>你</w:t>
      </w:r>
      <w:r>
        <w:t>方</w:t>
      </w:r>
      <w:r>
        <w:rPr>
          <w:spacing w:val="-3"/>
        </w:rPr>
        <w:t>提</w:t>
      </w:r>
      <w:r>
        <w:t>交</w:t>
      </w:r>
      <w:r>
        <w:rPr>
          <w:spacing w:val="-3"/>
        </w:rPr>
        <w:t>一</w:t>
      </w:r>
      <w:r>
        <w:t>份</w:t>
      </w:r>
      <w:r>
        <w:rPr>
          <w:spacing w:val="-3"/>
        </w:rPr>
        <w:t>预</w:t>
      </w:r>
      <w:r>
        <w:t>付款</w:t>
      </w:r>
      <w:r>
        <w:rPr>
          <w:spacing w:val="-3"/>
        </w:rPr>
        <w:t>担保</w:t>
      </w:r>
      <w:r>
        <w:rPr>
          <w:spacing w:val="-22"/>
        </w:rPr>
        <w:t>，</w:t>
      </w:r>
      <w:r>
        <w:rPr>
          <w:spacing w:val="-3"/>
        </w:rPr>
        <w:t>即</w:t>
      </w:r>
      <w:r>
        <w:t>有</w:t>
      </w:r>
      <w:r>
        <w:rPr>
          <w:spacing w:val="-3"/>
        </w:rPr>
        <w:t>权</w:t>
      </w:r>
      <w:r>
        <w:t>得</w:t>
      </w:r>
      <w:r>
        <w:rPr>
          <w:spacing w:val="-3"/>
        </w:rPr>
        <w:t>到你</w:t>
      </w:r>
      <w:r>
        <w:t>方支</w:t>
      </w:r>
      <w:r>
        <w:rPr>
          <w:spacing w:val="-3"/>
        </w:rPr>
        <w:t>付</w:t>
      </w:r>
      <w:r>
        <w:t>相</w:t>
      </w:r>
      <w:r>
        <w:rPr>
          <w:spacing w:val="-3"/>
        </w:rPr>
        <w:t>等</w:t>
      </w:r>
      <w:r>
        <w:t>金</w:t>
      </w:r>
      <w:r>
        <w:rPr>
          <w:spacing w:val="-3"/>
        </w:rPr>
        <w:t>额</w:t>
      </w:r>
      <w:r>
        <w:t>的</w:t>
      </w:r>
      <w:r>
        <w:rPr>
          <w:spacing w:val="-3"/>
        </w:rPr>
        <w:t>预</w:t>
      </w:r>
      <w:r>
        <w:t>付</w:t>
      </w:r>
      <w:r>
        <w:rPr>
          <w:spacing w:val="-3"/>
        </w:rPr>
        <w:t>款</w:t>
      </w:r>
      <w:r>
        <w:rPr>
          <w:spacing w:val="-22"/>
        </w:rPr>
        <w:t>。</w:t>
      </w:r>
      <w:r>
        <w:rPr>
          <w:spacing w:val="-3"/>
        </w:rPr>
        <w:t>我</w:t>
      </w:r>
      <w:r>
        <w:t>方愿意</w:t>
      </w:r>
      <w:r>
        <w:rPr>
          <w:spacing w:val="-3"/>
        </w:rPr>
        <w:t>就</w:t>
      </w:r>
      <w:r>
        <w:t>你</w:t>
      </w:r>
      <w:r>
        <w:rPr>
          <w:spacing w:val="-3"/>
        </w:rPr>
        <w:t>方</w:t>
      </w:r>
      <w:r>
        <w:t>提</w:t>
      </w:r>
      <w:r>
        <w:rPr>
          <w:spacing w:val="-3"/>
        </w:rPr>
        <w:t>供</w:t>
      </w:r>
      <w:r>
        <w:t>给</w:t>
      </w:r>
      <w:r>
        <w:rPr>
          <w:spacing w:val="-3"/>
        </w:rPr>
        <w:t>承</w:t>
      </w:r>
      <w:r>
        <w:t>包</w:t>
      </w:r>
      <w:r>
        <w:rPr>
          <w:spacing w:val="-3"/>
        </w:rPr>
        <w:t>人</w:t>
      </w:r>
      <w:r>
        <w:t>的预</w:t>
      </w:r>
      <w:r>
        <w:rPr>
          <w:spacing w:val="-3"/>
        </w:rPr>
        <w:t>付</w:t>
      </w:r>
      <w:r>
        <w:t>款</w:t>
      </w:r>
      <w:r>
        <w:rPr>
          <w:spacing w:val="-3"/>
        </w:rPr>
        <w:t>为</w:t>
      </w:r>
      <w:r>
        <w:t>承</w:t>
      </w:r>
      <w:r>
        <w:rPr>
          <w:spacing w:val="-3"/>
        </w:rPr>
        <w:t>包</w:t>
      </w:r>
      <w:r>
        <w:t>人</w:t>
      </w:r>
      <w:r>
        <w:rPr>
          <w:spacing w:val="-3"/>
        </w:rPr>
        <w:t>提</w:t>
      </w:r>
      <w:r>
        <w:t>供</w:t>
      </w:r>
      <w:r>
        <w:rPr>
          <w:spacing w:val="-3"/>
        </w:rPr>
        <w:t>连</w:t>
      </w:r>
      <w:r>
        <w:t>带责</w:t>
      </w:r>
      <w:r>
        <w:rPr>
          <w:spacing w:val="-3"/>
        </w:rPr>
        <w:t>任</w:t>
      </w:r>
      <w:r>
        <w:t>担</w:t>
      </w:r>
      <w:r>
        <w:rPr>
          <w:spacing w:val="-3"/>
        </w:rPr>
        <w:t>保</w:t>
      </w:r>
      <w:r>
        <w:t>。</w:t>
      </w:r>
    </w:p>
    <w:p>
      <w:pPr>
        <w:pStyle w:val="32"/>
        <w:numPr>
          <w:ilvl w:val="0"/>
          <w:numId w:val="46"/>
        </w:numPr>
        <w:tabs>
          <w:tab w:val="left" w:pos="798"/>
          <w:tab w:val="left" w:pos="4786"/>
          <w:tab w:val="left" w:pos="6675"/>
        </w:tabs>
        <w:spacing w:before="58" w:after="0" w:line="240" w:lineRule="auto"/>
        <w:ind w:left="112" w:right="0" w:firstLine="421"/>
        <w:jc w:val="left"/>
        <w:rPr>
          <w:sz w:val="21"/>
        </w:rPr>
      </w:pPr>
      <w:r>
        <w:rPr>
          <w:spacing w:val="-3"/>
          <w:sz w:val="21"/>
        </w:rPr>
        <w:t>担</w:t>
      </w:r>
      <w:r>
        <w:rPr>
          <w:sz w:val="21"/>
        </w:rPr>
        <w:t>保</w:t>
      </w:r>
      <w:r>
        <w:rPr>
          <w:spacing w:val="-3"/>
          <w:sz w:val="21"/>
        </w:rPr>
        <w:t>金</w:t>
      </w:r>
      <w:r>
        <w:rPr>
          <w:sz w:val="21"/>
        </w:rPr>
        <w:t>额</w:t>
      </w:r>
      <w:r>
        <w:rPr>
          <w:spacing w:val="-3"/>
          <w:sz w:val="21"/>
        </w:rPr>
        <w:t>人</w:t>
      </w:r>
      <w:r>
        <w:rPr>
          <w:sz w:val="21"/>
        </w:rPr>
        <w:t>民</w:t>
      </w:r>
      <w:r>
        <w:rPr>
          <w:spacing w:val="-3"/>
          <w:sz w:val="21"/>
        </w:rPr>
        <w:t>币</w:t>
      </w:r>
      <w:r>
        <w:rPr>
          <w:sz w:val="21"/>
        </w:rPr>
        <w:t>（</w:t>
      </w:r>
      <w:r>
        <w:rPr>
          <w:spacing w:val="-3"/>
          <w:sz w:val="21"/>
        </w:rPr>
        <w:t>大写</w:t>
      </w:r>
      <w:r>
        <w:rPr>
          <w:sz w:val="21"/>
        </w:rPr>
        <w:t>）</w:t>
      </w:r>
      <w:r>
        <w:rPr>
          <w:sz w:val="21"/>
          <w:u w:val="single"/>
        </w:rPr>
        <w:t xml:space="preserve"> </w:t>
      </w:r>
      <w:r>
        <w:rPr>
          <w:sz w:val="21"/>
          <w:u w:val="single"/>
        </w:rPr>
        <w:tab/>
      </w:r>
      <w:r>
        <w:rPr>
          <w:sz w:val="21"/>
        </w:rPr>
        <w:t>元</w:t>
      </w:r>
      <w:r>
        <w:rPr>
          <w:spacing w:val="-3"/>
          <w:sz w:val="21"/>
        </w:rPr>
        <w:t>（</w:t>
      </w:r>
      <w:r>
        <w:rPr>
          <w:rFonts w:ascii="Times New Roman" w:hAnsi="Times New Roman" w:eastAsia="Times New Roman"/>
          <w:spacing w:val="-3"/>
          <w:sz w:val="21"/>
        </w:rPr>
        <w:t>¥</w:t>
      </w:r>
      <w:r>
        <w:rPr>
          <w:rFonts w:ascii="Times New Roman" w:hAnsi="Times New Roman" w:eastAsia="Times New Roman"/>
          <w:spacing w:val="-3"/>
          <w:sz w:val="21"/>
          <w:u w:val="single"/>
        </w:rPr>
        <w:t xml:space="preserve"> </w:t>
      </w:r>
      <w:r>
        <w:rPr>
          <w:rFonts w:ascii="Times New Roman" w:hAnsi="Times New Roman" w:eastAsia="Times New Roman"/>
          <w:spacing w:val="-3"/>
          <w:sz w:val="21"/>
          <w:u w:val="single"/>
        </w:rPr>
        <w:tab/>
      </w:r>
      <w:r>
        <w:rPr>
          <w:sz w:val="21"/>
        </w:rPr>
        <w:t>）。</w:t>
      </w:r>
    </w:p>
    <w:p>
      <w:pPr>
        <w:pStyle w:val="32"/>
        <w:numPr>
          <w:ilvl w:val="0"/>
          <w:numId w:val="46"/>
        </w:numPr>
        <w:tabs>
          <w:tab w:val="left" w:pos="798"/>
        </w:tabs>
        <w:spacing w:before="177" w:after="0" w:line="240" w:lineRule="auto"/>
        <w:ind w:left="112" w:right="0" w:firstLine="421"/>
        <w:jc w:val="left"/>
        <w:rPr>
          <w:sz w:val="21"/>
        </w:rPr>
      </w:pPr>
      <w:r>
        <w:rPr>
          <w:spacing w:val="-3"/>
          <w:sz w:val="21"/>
        </w:rPr>
        <w:t>担保有效期自预付款支付给承包人起生效，至你方签发的进度款支付证书说明已完全扣清止。</w:t>
      </w:r>
    </w:p>
    <w:p>
      <w:pPr>
        <w:pStyle w:val="32"/>
        <w:numPr>
          <w:ilvl w:val="0"/>
          <w:numId w:val="46"/>
        </w:numPr>
        <w:tabs>
          <w:tab w:val="left" w:pos="798"/>
        </w:tabs>
        <w:spacing w:before="177" w:after="0" w:line="398" w:lineRule="auto"/>
        <w:ind w:left="112" w:right="105" w:firstLine="421"/>
        <w:jc w:val="both"/>
        <w:rPr>
          <w:sz w:val="21"/>
        </w:rPr>
      </w:pPr>
      <w:r>
        <w:rPr>
          <w:spacing w:val="-1"/>
          <w:sz w:val="21"/>
        </w:rPr>
        <w:t>在本保函有效期内，因承包人违反合同约定的义务而要求收回预付款时，我方在收到你方的书面通</w:t>
      </w:r>
      <w:r>
        <w:rPr>
          <w:spacing w:val="-10"/>
          <w:sz w:val="21"/>
        </w:rPr>
        <w:t>知后，在７天内无条件支付。但本保函的担保金额，在任何时候不应超过预付款金额减去你方按合同约定在</w:t>
      </w:r>
      <w:r>
        <w:rPr>
          <w:spacing w:val="-3"/>
          <w:sz w:val="21"/>
        </w:rPr>
        <w:t>向承包人签发的进度款支付证书中扣除的金额。</w:t>
      </w:r>
    </w:p>
    <w:p>
      <w:pPr>
        <w:pStyle w:val="32"/>
        <w:numPr>
          <w:ilvl w:val="0"/>
          <w:numId w:val="46"/>
        </w:numPr>
        <w:tabs>
          <w:tab w:val="left" w:pos="798"/>
        </w:tabs>
        <w:spacing w:before="54" w:after="0" w:line="240" w:lineRule="auto"/>
        <w:ind w:left="112" w:right="0" w:firstLine="421"/>
        <w:jc w:val="left"/>
        <w:rPr>
          <w:sz w:val="21"/>
        </w:rPr>
      </w:pPr>
      <w:r>
        <w:rPr>
          <w:spacing w:val="-3"/>
          <w:sz w:val="21"/>
        </w:rPr>
        <w:t>你方和承包人按合同约定变更合同时，我方承担本保函规定的义务不变。</w:t>
      </w:r>
    </w:p>
    <w:p>
      <w:pPr>
        <w:pStyle w:val="32"/>
        <w:numPr>
          <w:ilvl w:val="0"/>
          <w:numId w:val="46"/>
        </w:numPr>
        <w:tabs>
          <w:tab w:val="left" w:pos="798"/>
          <w:tab w:val="left" w:pos="8625"/>
        </w:tabs>
        <w:spacing w:before="177" w:after="0" w:line="386" w:lineRule="auto"/>
        <w:ind w:left="112" w:right="107" w:firstLine="421"/>
        <w:jc w:val="both"/>
        <w:rPr>
          <w:sz w:val="21"/>
        </w:rPr>
      </w:pPr>
      <w:r>
        <w:rPr>
          <w:sz w:val="21"/>
        </w:rPr>
        <w:t>因本保函发生的纠纷，可由双方协商解决，协商不成的，任何一方均可提</w:t>
      </w:r>
      <w:r>
        <w:rPr>
          <w:spacing w:val="2"/>
          <w:sz w:val="21"/>
        </w:rPr>
        <w:t>请</w:t>
      </w:r>
      <w:r>
        <w:rPr>
          <w:spacing w:val="2"/>
          <w:sz w:val="21"/>
          <w:u w:val="single"/>
        </w:rPr>
        <w:t xml:space="preserve"> </w:t>
      </w:r>
      <w:r>
        <w:rPr>
          <w:spacing w:val="2"/>
          <w:sz w:val="21"/>
          <w:u w:val="single"/>
        </w:rPr>
        <w:tab/>
      </w:r>
      <w:r>
        <w:rPr>
          <w:sz w:val="21"/>
        </w:rPr>
        <w:t>仲裁委员会仲 裁。</w:t>
      </w:r>
    </w:p>
    <w:p>
      <w:pPr>
        <w:pStyle w:val="32"/>
        <w:numPr>
          <w:ilvl w:val="0"/>
          <w:numId w:val="46"/>
        </w:numPr>
        <w:tabs>
          <w:tab w:val="left" w:pos="798"/>
          <w:tab w:val="left" w:pos="3684"/>
        </w:tabs>
        <w:spacing w:before="64" w:after="0" w:line="386" w:lineRule="auto"/>
        <w:ind w:left="112" w:right="2274" w:firstLine="421"/>
        <w:jc w:val="left"/>
        <w:rPr>
          <w:sz w:val="21"/>
        </w:rPr>
      </w:pPr>
      <w:r>
        <w:rPr>
          <w:spacing w:val="-3"/>
          <w:sz w:val="21"/>
        </w:rPr>
        <w:t>本</w:t>
      </w:r>
      <w:r>
        <w:rPr>
          <w:sz w:val="21"/>
        </w:rPr>
        <w:t>保</w:t>
      </w:r>
      <w:r>
        <w:rPr>
          <w:spacing w:val="-3"/>
          <w:sz w:val="21"/>
        </w:rPr>
        <w:t>函</w:t>
      </w:r>
      <w:r>
        <w:rPr>
          <w:sz w:val="21"/>
        </w:rPr>
        <w:t>自</w:t>
      </w:r>
      <w:r>
        <w:rPr>
          <w:spacing w:val="-3"/>
          <w:sz w:val="21"/>
        </w:rPr>
        <w:t>我</w:t>
      </w:r>
      <w:r>
        <w:rPr>
          <w:sz w:val="21"/>
        </w:rPr>
        <w:t>方</w:t>
      </w:r>
      <w:r>
        <w:rPr>
          <w:spacing w:val="-3"/>
          <w:sz w:val="21"/>
        </w:rPr>
        <w:t>法</w:t>
      </w:r>
      <w:r>
        <w:rPr>
          <w:sz w:val="21"/>
        </w:rPr>
        <w:t>定</w:t>
      </w:r>
      <w:r>
        <w:rPr>
          <w:spacing w:val="-3"/>
          <w:sz w:val="21"/>
        </w:rPr>
        <w:t>代表</w:t>
      </w:r>
      <w:r>
        <w:rPr>
          <w:sz w:val="21"/>
        </w:rPr>
        <w:t>人（</w:t>
      </w:r>
      <w:r>
        <w:rPr>
          <w:spacing w:val="-3"/>
          <w:sz w:val="21"/>
        </w:rPr>
        <w:t>或</w:t>
      </w:r>
      <w:r>
        <w:rPr>
          <w:sz w:val="21"/>
        </w:rPr>
        <w:t>其</w:t>
      </w:r>
      <w:r>
        <w:rPr>
          <w:spacing w:val="-3"/>
          <w:sz w:val="21"/>
        </w:rPr>
        <w:t>授</w:t>
      </w:r>
      <w:r>
        <w:rPr>
          <w:sz w:val="21"/>
        </w:rPr>
        <w:t>权</w:t>
      </w:r>
      <w:r>
        <w:rPr>
          <w:spacing w:val="-3"/>
          <w:sz w:val="21"/>
        </w:rPr>
        <w:t>代</w:t>
      </w:r>
      <w:r>
        <w:rPr>
          <w:sz w:val="21"/>
        </w:rPr>
        <w:t>理</w:t>
      </w:r>
      <w:r>
        <w:rPr>
          <w:spacing w:val="-3"/>
          <w:sz w:val="21"/>
        </w:rPr>
        <w:t>人</w:t>
      </w:r>
      <w:r>
        <w:rPr>
          <w:sz w:val="21"/>
        </w:rPr>
        <w:t>）</w:t>
      </w:r>
      <w:r>
        <w:rPr>
          <w:spacing w:val="-3"/>
          <w:sz w:val="21"/>
        </w:rPr>
        <w:t>签</w:t>
      </w:r>
      <w:r>
        <w:rPr>
          <w:sz w:val="21"/>
        </w:rPr>
        <w:t>字并</w:t>
      </w:r>
      <w:r>
        <w:rPr>
          <w:spacing w:val="-3"/>
          <w:sz w:val="21"/>
        </w:rPr>
        <w:t>加</w:t>
      </w:r>
      <w:r>
        <w:rPr>
          <w:sz w:val="21"/>
        </w:rPr>
        <w:t>盖</w:t>
      </w:r>
      <w:r>
        <w:rPr>
          <w:spacing w:val="-3"/>
          <w:sz w:val="21"/>
        </w:rPr>
        <w:t>公</w:t>
      </w:r>
      <w:r>
        <w:rPr>
          <w:sz w:val="21"/>
        </w:rPr>
        <w:t>章</w:t>
      </w:r>
      <w:r>
        <w:rPr>
          <w:spacing w:val="-3"/>
          <w:sz w:val="21"/>
        </w:rPr>
        <w:t>之</w:t>
      </w:r>
      <w:r>
        <w:rPr>
          <w:sz w:val="21"/>
        </w:rPr>
        <w:t>日</w:t>
      </w:r>
      <w:r>
        <w:rPr>
          <w:spacing w:val="-3"/>
          <w:sz w:val="21"/>
        </w:rPr>
        <w:t>起</w:t>
      </w:r>
      <w:r>
        <w:rPr>
          <w:sz w:val="21"/>
        </w:rPr>
        <w:t>生</w:t>
      </w:r>
      <w:r>
        <w:rPr>
          <w:spacing w:val="-3"/>
          <w:sz w:val="21"/>
        </w:rPr>
        <w:t>效</w:t>
      </w:r>
      <w:r>
        <w:rPr>
          <w:spacing w:val="-13"/>
          <w:sz w:val="21"/>
        </w:rPr>
        <w:t>。</w:t>
      </w:r>
      <w:r>
        <w:rPr>
          <w:sz w:val="21"/>
        </w:rPr>
        <w:t>担保</w:t>
      </w:r>
      <w:r>
        <w:rPr>
          <w:spacing w:val="-3"/>
          <w:sz w:val="21"/>
        </w:rPr>
        <w:t>人</w:t>
      </w:r>
      <w:r>
        <w:rPr>
          <w:sz w:val="21"/>
        </w:rPr>
        <w:t>：</w:t>
      </w:r>
      <w:r>
        <w:rPr>
          <w:sz w:val="21"/>
          <w:u w:val="single"/>
        </w:rPr>
        <w:t xml:space="preserve"> </w:t>
      </w:r>
      <w:r>
        <w:rPr>
          <w:sz w:val="21"/>
          <w:u w:val="single"/>
        </w:rPr>
        <w:tab/>
      </w:r>
      <w:r>
        <w:rPr>
          <w:spacing w:val="-3"/>
          <w:sz w:val="21"/>
        </w:rPr>
        <w:t>（</w:t>
      </w:r>
      <w:r>
        <w:rPr>
          <w:sz w:val="21"/>
        </w:rPr>
        <w:t>盖</w:t>
      </w:r>
      <w:r>
        <w:rPr>
          <w:spacing w:val="-3"/>
          <w:sz w:val="21"/>
        </w:rPr>
        <w:t>单</w:t>
      </w:r>
      <w:r>
        <w:rPr>
          <w:sz w:val="21"/>
        </w:rPr>
        <w:t>位</w:t>
      </w:r>
      <w:r>
        <w:rPr>
          <w:spacing w:val="-3"/>
          <w:sz w:val="21"/>
        </w:rPr>
        <w:t>章</w:t>
      </w:r>
      <w:r>
        <w:rPr>
          <w:sz w:val="21"/>
        </w:rPr>
        <w:t>）</w:t>
      </w:r>
    </w:p>
    <w:p>
      <w:pPr>
        <w:pStyle w:val="13"/>
        <w:tabs>
          <w:tab w:val="left" w:pos="4107"/>
        </w:tabs>
        <w:spacing w:before="65"/>
      </w:pPr>
      <w:r>
        <w:t>法定</w:t>
      </w:r>
      <w:r>
        <w:rPr>
          <w:spacing w:val="-3"/>
        </w:rPr>
        <w:t>代</w:t>
      </w:r>
      <w:r>
        <w:t>表</w:t>
      </w:r>
      <w:r>
        <w:rPr>
          <w:spacing w:val="-3"/>
        </w:rPr>
        <w:t>人</w:t>
      </w:r>
      <w:r>
        <w:t>或</w:t>
      </w:r>
      <w:r>
        <w:rPr>
          <w:spacing w:val="-3"/>
        </w:rPr>
        <w:t>其</w:t>
      </w:r>
      <w:r>
        <w:t>委</w:t>
      </w:r>
      <w:r>
        <w:rPr>
          <w:spacing w:val="-3"/>
        </w:rPr>
        <w:t>托</w:t>
      </w:r>
      <w:r>
        <w:t>代</w:t>
      </w:r>
      <w:r>
        <w:rPr>
          <w:spacing w:val="-3"/>
        </w:rPr>
        <w:t>理</w:t>
      </w:r>
      <w:r>
        <w:t>人：</w:t>
      </w:r>
      <w:r>
        <w:rPr>
          <w:u w:val="single"/>
        </w:rPr>
        <w:t xml:space="preserve"> </w:t>
      </w:r>
      <w:r>
        <w:rPr>
          <w:u w:val="single"/>
        </w:rPr>
        <w:tab/>
      </w:r>
      <w:r>
        <w:rPr>
          <w:spacing w:val="-3"/>
        </w:rPr>
        <w:t>（</w:t>
      </w:r>
      <w:r>
        <w:t>签</w:t>
      </w:r>
      <w:r>
        <w:rPr>
          <w:spacing w:val="-3"/>
        </w:rPr>
        <w:t>字</w:t>
      </w:r>
      <w:r>
        <w:t>）</w:t>
      </w:r>
    </w:p>
    <w:p>
      <w:pPr>
        <w:pStyle w:val="13"/>
        <w:tabs>
          <w:tab w:val="left" w:pos="744"/>
          <w:tab w:val="left" w:pos="5621"/>
        </w:tabs>
        <w:spacing w:before="193"/>
        <w:rPr>
          <w:rFonts w:ascii="Times New Roman" w:eastAsia="Times New Roman"/>
        </w:rPr>
      </w:pPr>
      <w:r>
        <w:t>地</w:t>
      </w:r>
      <w:r>
        <w:tab/>
      </w:r>
      <w:r>
        <w:t>址</w:t>
      </w:r>
      <w:r>
        <w:rPr>
          <w:spacing w:val="-3"/>
        </w:rP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13"/>
        </w:rPr>
      </w:pPr>
    </w:p>
    <w:p>
      <w:pPr>
        <w:pStyle w:val="13"/>
        <w:tabs>
          <w:tab w:val="left" w:pos="5621"/>
        </w:tabs>
        <w:spacing w:before="43"/>
        <w:rPr>
          <w:rFonts w:ascii="Times New Roman" w:eastAsia="Times New Roman"/>
        </w:rPr>
      </w:pPr>
      <w:r>
        <w:t>邮政</w:t>
      </w:r>
      <w:r>
        <w:rPr>
          <w:spacing w:val="-3"/>
        </w:rPr>
        <w:t>编</w:t>
      </w:r>
      <w:r>
        <w:t>码</w:t>
      </w:r>
      <w:r>
        <w:rPr>
          <w:spacing w:val="-3"/>
        </w:rP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13"/>
        </w:rPr>
      </w:pPr>
    </w:p>
    <w:p>
      <w:pPr>
        <w:pStyle w:val="13"/>
        <w:tabs>
          <w:tab w:val="left" w:pos="744"/>
          <w:tab w:val="left" w:pos="5621"/>
        </w:tabs>
        <w:spacing w:before="43"/>
        <w:rPr>
          <w:rFonts w:ascii="Times New Roman" w:eastAsia="Times New Roman"/>
        </w:rPr>
      </w:pPr>
      <w:r>
        <w:t>电</w:t>
      </w:r>
      <w:r>
        <w:tab/>
      </w:r>
      <w:r>
        <w:t>话</w:t>
      </w:r>
      <w:r>
        <w:rPr>
          <w:spacing w:val="-3"/>
        </w:rP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13"/>
        </w:rPr>
      </w:pPr>
    </w:p>
    <w:p>
      <w:pPr>
        <w:pStyle w:val="13"/>
        <w:tabs>
          <w:tab w:val="left" w:pos="744"/>
          <w:tab w:val="left" w:pos="5621"/>
        </w:tabs>
        <w:spacing w:before="43"/>
        <w:rPr>
          <w:rFonts w:ascii="Times New Roman" w:eastAsia="Times New Roman"/>
        </w:rPr>
      </w:pPr>
      <w:r>
        <w:t>传</w:t>
      </w:r>
      <w:r>
        <w:tab/>
      </w:r>
      <w:r>
        <w:t>真</w:t>
      </w:r>
      <w:r>
        <w:rPr>
          <w:spacing w:val="-3"/>
        </w:rPr>
        <w:t>：</w:t>
      </w:r>
      <w:r>
        <w:rPr>
          <w:rFonts w:ascii="Times New Roman" w:eastAsia="Times New Roman"/>
          <w:u w:val="single"/>
        </w:rPr>
        <w:t xml:space="preserve"> </w:t>
      </w:r>
      <w:r>
        <w:rPr>
          <w:rFonts w:ascii="Times New Roman" w:eastAsia="Times New Roman"/>
          <w:u w:val="single"/>
        </w:rPr>
        <w:tab/>
      </w:r>
    </w:p>
    <w:p>
      <w:pPr>
        <w:pStyle w:val="13"/>
        <w:spacing w:before="7"/>
        <w:ind w:left="0"/>
        <w:rPr>
          <w:rFonts w:ascii="Times New Roman"/>
          <w:sz w:val="13"/>
        </w:rPr>
      </w:pPr>
    </w:p>
    <w:p>
      <w:pPr>
        <w:pStyle w:val="13"/>
        <w:tabs>
          <w:tab w:val="left" w:pos="2950"/>
          <w:tab w:val="left" w:pos="3790"/>
          <w:tab w:val="left" w:pos="4630"/>
        </w:tabs>
        <w:spacing w:before="36"/>
        <w:ind w:left="1375"/>
      </w:pPr>
      <w:r>
        <w:rPr>
          <w:rFonts w:ascii="Times New Roman" w:eastAsia="Times New Roman"/>
          <w:w w:val="100"/>
          <w:u w:val="single"/>
        </w:rPr>
        <w:t xml:space="preserve"> </w:t>
      </w:r>
      <w:r>
        <w:rPr>
          <w:rFonts w:ascii="Times New Roman" w:eastAsia="Times New Roman"/>
          <w:u w:val="single"/>
        </w:rPr>
        <w:tab/>
      </w:r>
      <w:r>
        <w:rPr>
          <w:spacing w:val="-3"/>
        </w:rPr>
        <w:t>年</w:t>
      </w:r>
      <w:r>
        <w:rPr>
          <w:spacing w:val="-3"/>
          <w:u w:val="single"/>
        </w:rPr>
        <w:t xml:space="preserve"> </w:t>
      </w:r>
      <w:r>
        <w:rPr>
          <w:spacing w:val="-3"/>
          <w:u w:val="single"/>
        </w:rPr>
        <w:tab/>
      </w:r>
      <w:r>
        <w:rPr>
          <w:spacing w:val="-3"/>
        </w:rPr>
        <w:t>月</w:t>
      </w:r>
      <w:r>
        <w:rPr>
          <w:spacing w:val="-3"/>
          <w:u w:val="single"/>
        </w:rPr>
        <w:t xml:space="preserve"> </w:t>
      </w:r>
      <w:r>
        <w:rPr>
          <w:spacing w:val="-3"/>
          <w:u w:val="single"/>
        </w:rPr>
        <w:tab/>
      </w:r>
      <w:r>
        <w:t>日</w:t>
      </w:r>
    </w:p>
    <w:p>
      <w:pPr>
        <w:spacing w:after="0"/>
        <w:sectPr>
          <w:footerReference r:id="rId7" w:type="default"/>
          <w:pgSz w:w="11910" w:h="16840"/>
          <w:pgMar w:top="1200" w:right="880" w:bottom="1160" w:left="1020" w:header="0" w:footer="975" w:gutter="0"/>
        </w:sectPr>
      </w:pPr>
    </w:p>
    <w:p>
      <w:pPr>
        <w:pStyle w:val="6"/>
        <w:spacing w:line="374" w:lineRule="exact"/>
      </w:pPr>
      <w:r>
        <w:t>附件 10:</w:t>
      </w:r>
    </w:p>
    <w:p>
      <w:pPr>
        <w:pStyle w:val="13"/>
        <w:spacing w:before="1"/>
        <w:ind w:left="0"/>
        <w:rPr>
          <w:sz w:val="24"/>
        </w:rPr>
      </w:pPr>
    </w:p>
    <w:p>
      <w:pPr>
        <w:pStyle w:val="6"/>
        <w:spacing w:before="8"/>
        <w:ind w:left="0" w:right="99"/>
        <w:jc w:val="center"/>
      </w:pPr>
      <w:r>
        <w:t>支付担保</w:t>
      </w:r>
    </w:p>
    <w:p>
      <w:pPr>
        <w:pStyle w:val="13"/>
        <w:spacing w:before="5"/>
        <w:ind w:left="0"/>
        <w:rPr>
          <w:sz w:val="20"/>
        </w:rPr>
      </w:pPr>
    </w:p>
    <w:p>
      <w:pPr>
        <w:pStyle w:val="13"/>
        <w:tabs>
          <w:tab w:val="left" w:pos="1478"/>
        </w:tabs>
        <w:spacing w:before="43"/>
      </w:pPr>
      <w:r>
        <w:rPr>
          <w:rFonts w:ascii="Times New Roman" w:eastAsia="Times New Roman"/>
          <w:w w:val="100"/>
          <w:u w:val="single"/>
        </w:rPr>
        <w:t xml:space="preserve"> </w:t>
      </w:r>
      <w:r>
        <w:rPr>
          <w:rFonts w:ascii="Times New Roman" w:eastAsia="Times New Roman"/>
          <w:u w:val="single"/>
        </w:rPr>
        <w:tab/>
      </w:r>
      <w:r>
        <w:rPr>
          <w:spacing w:val="-1"/>
        </w:rPr>
        <w:t>（</w:t>
      </w:r>
      <w:r>
        <w:rPr>
          <w:spacing w:val="-3"/>
        </w:rPr>
        <w:t>承包人</w:t>
      </w:r>
      <w:r>
        <w:rPr>
          <w:spacing w:val="-1"/>
        </w:rPr>
        <w:t>）：</w:t>
      </w:r>
    </w:p>
    <w:p>
      <w:pPr>
        <w:pStyle w:val="13"/>
        <w:ind w:left="0"/>
        <w:rPr>
          <w:sz w:val="22"/>
        </w:rPr>
      </w:pPr>
    </w:p>
    <w:p>
      <w:pPr>
        <w:pStyle w:val="13"/>
        <w:spacing w:before="10"/>
        <w:ind w:left="0"/>
        <w:rPr>
          <w:sz w:val="20"/>
        </w:rPr>
      </w:pPr>
    </w:p>
    <w:p>
      <w:pPr>
        <w:pStyle w:val="13"/>
        <w:tabs>
          <w:tab w:val="left" w:pos="1908"/>
          <w:tab w:val="left" w:pos="4436"/>
        </w:tabs>
        <w:spacing w:line="386" w:lineRule="auto"/>
        <w:ind w:right="204" w:firstLine="420"/>
        <w:jc w:val="both"/>
      </w:pPr>
      <w:r>
        <w:t>鉴于你方作为</w:t>
      </w:r>
      <w:r>
        <w:rPr>
          <w:spacing w:val="-3"/>
        </w:rPr>
        <w:t>承</w:t>
      </w:r>
      <w:r>
        <w:t>包人已</w:t>
      </w:r>
      <w:r>
        <w:rPr>
          <w:spacing w:val="-3"/>
        </w:rPr>
        <w:t>经</w:t>
      </w:r>
      <w:r>
        <w:t>与</w:t>
      </w:r>
      <w:r>
        <w:rPr>
          <w:u w:val="single"/>
        </w:rPr>
        <w:t xml:space="preserve"> </w:t>
      </w:r>
      <w:r>
        <w:rPr>
          <w:u w:val="single"/>
        </w:rPr>
        <w:tab/>
      </w:r>
      <w:r>
        <w:t>（发包人名称）（以下称</w:t>
      </w:r>
      <w:r>
        <w:rPr>
          <w:rFonts w:ascii="Times New Roman" w:hAnsi="Times New Roman" w:eastAsia="Times New Roman"/>
        </w:rPr>
        <w:t>“</w:t>
      </w:r>
      <w:r>
        <w:rPr>
          <w:spacing w:val="-3"/>
        </w:rPr>
        <w:t>发</w:t>
      </w:r>
      <w:r>
        <w:t>包人</w:t>
      </w:r>
      <w:r>
        <w:rPr>
          <w:rFonts w:ascii="Times New Roman" w:hAnsi="Times New Roman" w:eastAsia="Times New Roman"/>
        </w:rPr>
        <w:t>”</w:t>
      </w:r>
      <w:r>
        <w:t>）于</w:t>
      </w:r>
      <w:r>
        <w:rPr>
          <w:u w:val="single"/>
        </w:rPr>
        <w:t xml:space="preserve">  </w:t>
      </w:r>
      <w:r>
        <w:rPr>
          <w:spacing w:val="6"/>
          <w:u w:val="single"/>
        </w:rPr>
        <w:t xml:space="preserve"> </w:t>
      </w:r>
      <w:r>
        <w:t>年</w:t>
      </w:r>
      <w:r>
        <w:rPr>
          <w:u w:val="single"/>
        </w:rPr>
        <w:t xml:space="preserve">  </w:t>
      </w:r>
      <w:r>
        <w:rPr>
          <w:spacing w:val="6"/>
          <w:u w:val="single"/>
        </w:rPr>
        <w:t xml:space="preserve"> </w:t>
      </w:r>
      <w:r>
        <w:t>月</w:t>
      </w:r>
      <w:r>
        <w:rPr>
          <w:u w:val="single"/>
        </w:rPr>
        <w:t xml:space="preserve">   </w:t>
      </w:r>
      <w:r>
        <w:rPr>
          <w:spacing w:val="10"/>
          <w:u w:val="single"/>
        </w:rPr>
        <w:t xml:space="preserve"> </w:t>
      </w:r>
      <w:r>
        <w:t>日签订了</w:t>
      </w:r>
      <w:r>
        <w:rPr>
          <w:u w:val="single"/>
        </w:rPr>
        <w:t xml:space="preserve"> </w:t>
      </w:r>
      <w:r>
        <w:rPr>
          <w:u w:val="single"/>
        </w:rPr>
        <w:tab/>
      </w:r>
      <w:r>
        <w:rPr>
          <w:spacing w:val="-1"/>
        </w:rPr>
        <w:t>（工程名称）《</w:t>
      </w:r>
      <w:r>
        <w:t>建设工</w:t>
      </w:r>
      <w:r>
        <w:rPr>
          <w:spacing w:val="-3"/>
        </w:rPr>
        <w:t>程</w:t>
      </w:r>
      <w:r>
        <w:t>施工</w:t>
      </w:r>
      <w:r>
        <w:rPr>
          <w:spacing w:val="-3"/>
        </w:rPr>
        <w:t>合</w:t>
      </w:r>
      <w:r>
        <w:t>同》（以下称</w:t>
      </w:r>
      <w:r>
        <w:rPr>
          <w:rFonts w:ascii="Times New Roman" w:hAnsi="Times New Roman" w:eastAsia="Times New Roman"/>
        </w:rPr>
        <w:t>“</w:t>
      </w:r>
      <w:r>
        <w:t>主合同</w:t>
      </w:r>
      <w:r>
        <w:rPr>
          <w:rFonts w:ascii="Times New Roman" w:hAnsi="Times New Roman" w:eastAsia="Times New Roman"/>
        </w:rPr>
        <w:t>”</w:t>
      </w:r>
      <w:r>
        <w:t>），应发包人的申</w:t>
      </w:r>
      <w:r>
        <w:rPr>
          <w:spacing w:val="-3"/>
        </w:rPr>
        <w:t>请</w:t>
      </w:r>
      <w:r>
        <w:t>，我</w:t>
      </w:r>
      <w:r>
        <w:rPr>
          <w:spacing w:val="-3"/>
        </w:rPr>
        <w:t>方</w:t>
      </w:r>
      <w:r>
        <w:t>愿就 发包</w:t>
      </w:r>
      <w:r>
        <w:rPr>
          <w:spacing w:val="-3"/>
        </w:rPr>
        <w:t>人</w:t>
      </w:r>
      <w:r>
        <w:t>履</w:t>
      </w:r>
      <w:r>
        <w:rPr>
          <w:spacing w:val="-3"/>
        </w:rPr>
        <w:t>行</w:t>
      </w:r>
      <w:r>
        <w:t>主</w:t>
      </w:r>
      <w:r>
        <w:rPr>
          <w:spacing w:val="-3"/>
        </w:rPr>
        <w:t>合</w:t>
      </w:r>
      <w:r>
        <w:t>同</w:t>
      </w:r>
      <w:r>
        <w:rPr>
          <w:spacing w:val="-3"/>
        </w:rPr>
        <w:t>约</w:t>
      </w:r>
      <w:r>
        <w:t>定</w:t>
      </w:r>
      <w:r>
        <w:rPr>
          <w:spacing w:val="-3"/>
        </w:rPr>
        <w:t>的</w:t>
      </w:r>
      <w:r>
        <w:t>工程</w:t>
      </w:r>
      <w:r>
        <w:rPr>
          <w:spacing w:val="-3"/>
        </w:rPr>
        <w:t>款</w:t>
      </w:r>
      <w:r>
        <w:t>支</w:t>
      </w:r>
      <w:r>
        <w:rPr>
          <w:spacing w:val="-3"/>
        </w:rPr>
        <w:t>付</w:t>
      </w:r>
      <w:r>
        <w:t>义</w:t>
      </w:r>
      <w:r>
        <w:rPr>
          <w:spacing w:val="-3"/>
        </w:rPr>
        <w:t>务</w:t>
      </w:r>
      <w:r>
        <w:t>以</w:t>
      </w:r>
      <w:r>
        <w:rPr>
          <w:spacing w:val="-3"/>
        </w:rPr>
        <w:t>保</w:t>
      </w:r>
      <w:r>
        <w:t>证</w:t>
      </w:r>
      <w:r>
        <w:rPr>
          <w:spacing w:val="-3"/>
        </w:rPr>
        <w:t>的</w:t>
      </w:r>
      <w:r>
        <w:t>方式</w:t>
      </w:r>
      <w:r>
        <w:rPr>
          <w:spacing w:val="-3"/>
        </w:rPr>
        <w:t>向</w:t>
      </w:r>
      <w:r>
        <w:t>你</w:t>
      </w:r>
      <w:r>
        <w:rPr>
          <w:spacing w:val="-3"/>
        </w:rPr>
        <w:t>方</w:t>
      </w:r>
      <w:r>
        <w:t>提</w:t>
      </w:r>
      <w:r>
        <w:rPr>
          <w:spacing w:val="-3"/>
        </w:rPr>
        <w:t>供</w:t>
      </w:r>
      <w:r>
        <w:t>如</w:t>
      </w:r>
      <w:r>
        <w:rPr>
          <w:spacing w:val="-3"/>
        </w:rPr>
        <w:t>下</w:t>
      </w:r>
      <w:r>
        <w:t>担</w:t>
      </w:r>
      <w:r>
        <w:rPr>
          <w:spacing w:val="-3"/>
        </w:rPr>
        <w:t>保</w:t>
      </w:r>
      <w:r>
        <w:t>：</w:t>
      </w:r>
    </w:p>
    <w:p>
      <w:pPr>
        <w:spacing w:before="91"/>
        <w:ind w:left="535" w:right="0" w:firstLine="0"/>
        <w:jc w:val="left"/>
        <w:rPr>
          <w:b/>
          <w:sz w:val="21"/>
        </w:rPr>
      </w:pPr>
      <w:r>
        <w:rPr>
          <w:b/>
          <w:sz w:val="21"/>
        </w:rPr>
        <w:t>一、保证的范围及保证金额</w:t>
      </w:r>
    </w:p>
    <w:p>
      <w:pPr>
        <w:pStyle w:val="32"/>
        <w:numPr>
          <w:ilvl w:val="0"/>
          <w:numId w:val="47"/>
        </w:numPr>
        <w:tabs>
          <w:tab w:val="left" w:pos="798"/>
        </w:tabs>
        <w:spacing w:before="118" w:after="0" w:line="240" w:lineRule="auto"/>
        <w:ind w:left="535" w:right="0" w:hanging="2"/>
        <w:jc w:val="left"/>
        <w:rPr>
          <w:sz w:val="21"/>
        </w:rPr>
      </w:pPr>
      <w:r>
        <w:rPr>
          <w:spacing w:val="-3"/>
          <w:sz w:val="21"/>
        </w:rPr>
        <w:t>我方的保证范围是主合同约定的工程款。</w:t>
      </w:r>
    </w:p>
    <w:p>
      <w:pPr>
        <w:pStyle w:val="32"/>
        <w:numPr>
          <w:ilvl w:val="0"/>
          <w:numId w:val="47"/>
        </w:numPr>
        <w:tabs>
          <w:tab w:val="left" w:pos="798"/>
        </w:tabs>
        <w:spacing w:before="177" w:after="0" w:line="240" w:lineRule="auto"/>
        <w:ind w:left="535" w:right="0" w:hanging="2"/>
        <w:jc w:val="left"/>
        <w:rPr>
          <w:sz w:val="21"/>
        </w:rPr>
      </w:pPr>
      <w:r>
        <w:rPr>
          <w:spacing w:val="-3"/>
          <w:sz w:val="21"/>
        </w:rPr>
        <w:t>本保函所称主合同约定的工程款是指主合同约定的除工程质量保证金以外的合同价款。</w:t>
      </w:r>
    </w:p>
    <w:p>
      <w:pPr>
        <w:pStyle w:val="32"/>
        <w:numPr>
          <w:ilvl w:val="0"/>
          <w:numId w:val="47"/>
        </w:numPr>
        <w:tabs>
          <w:tab w:val="left" w:pos="798"/>
          <w:tab w:val="left" w:pos="5206"/>
          <w:tab w:val="left" w:pos="9582"/>
        </w:tabs>
        <w:spacing w:before="177" w:after="0" w:line="408" w:lineRule="auto"/>
        <w:ind w:left="535" w:right="104" w:hanging="2"/>
        <w:jc w:val="left"/>
        <w:rPr>
          <w:b/>
          <w:sz w:val="21"/>
        </w:rPr>
      </w:pPr>
      <w:r>
        <w:rPr>
          <w:spacing w:val="-3"/>
          <w:sz w:val="21"/>
        </w:rPr>
        <w:t>我</w:t>
      </w:r>
      <w:r>
        <w:rPr>
          <w:sz w:val="21"/>
        </w:rPr>
        <w:t>方</w:t>
      </w:r>
      <w:r>
        <w:rPr>
          <w:spacing w:val="-3"/>
          <w:sz w:val="21"/>
        </w:rPr>
        <w:t>保</w:t>
      </w:r>
      <w:r>
        <w:rPr>
          <w:sz w:val="21"/>
        </w:rPr>
        <w:t>证</w:t>
      </w:r>
      <w:r>
        <w:rPr>
          <w:spacing w:val="-3"/>
          <w:sz w:val="21"/>
        </w:rPr>
        <w:t>的</w:t>
      </w:r>
      <w:r>
        <w:rPr>
          <w:sz w:val="21"/>
        </w:rPr>
        <w:t>金</w:t>
      </w:r>
      <w:r>
        <w:rPr>
          <w:spacing w:val="-3"/>
          <w:sz w:val="21"/>
        </w:rPr>
        <w:t>额</w:t>
      </w:r>
      <w:r>
        <w:rPr>
          <w:sz w:val="21"/>
        </w:rPr>
        <w:t>是</w:t>
      </w:r>
      <w:r>
        <w:rPr>
          <w:spacing w:val="-3"/>
          <w:sz w:val="21"/>
        </w:rPr>
        <w:t>主合</w:t>
      </w:r>
      <w:r>
        <w:rPr>
          <w:sz w:val="21"/>
        </w:rPr>
        <w:t>同约</w:t>
      </w:r>
      <w:r>
        <w:rPr>
          <w:spacing w:val="-3"/>
          <w:sz w:val="21"/>
        </w:rPr>
        <w:t>定</w:t>
      </w:r>
      <w:r>
        <w:rPr>
          <w:sz w:val="21"/>
        </w:rPr>
        <w:t>的</w:t>
      </w:r>
      <w:r>
        <w:rPr>
          <w:spacing w:val="-3"/>
          <w:sz w:val="21"/>
        </w:rPr>
        <w:t>工</w:t>
      </w:r>
      <w:r>
        <w:rPr>
          <w:sz w:val="21"/>
        </w:rPr>
        <w:t>程</w:t>
      </w:r>
      <w:r>
        <w:rPr>
          <w:spacing w:val="-3"/>
          <w:sz w:val="21"/>
        </w:rPr>
        <w:t>款</w:t>
      </w:r>
      <w:r>
        <w:rPr>
          <w:sz w:val="21"/>
        </w:rPr>
        <w:t>的</w:t>
      </w:r>
      <w:r>
        <w:rPr>
          <w:sz w:val="21"/>
          <w:u w:val="single"/>
        </w:rPr>
        <w:t xml:space="preserve"> </w:t>
      </w:r>
      <w:r>
        <w:rPr>
          <w:sz w:val="21"/>
          <w:u w:val="single"/>
        </w:rPr>
        <w:tab/>
      </w:r>
      <w:r>
        <w:rPr>
          <w:rFonts w:ascii="Times New Roman" w:eastAsia="Times New Roman"/>
          <w:sz w:val="21"/>
        </w:rPr>
        <w:t>%</w:t>
      </w:r>
      <w:r>
        <w:rPr>
          <w:sz w:val="21"/>
        </w:rPr>
        <w:t>，</w:t>
      </w:r>
      <w:r>
        <w:rPr>
          <w:spacing w:val="-3"/>
          <w:sz w:val="21"/>
        </w:rPr>
        <w:t>数</w:t>
      </w:r>
      <w:r>
        <w:rPr>
          <w:sz w:val="21"/>
        </w:rPr>
        <w:t>额</w:t>
      </w:r>
      <w:r>
        <w:rPr>
          <w:spacing w:val="-3"/>
          <w:sz w:val="21"/>
        </w:rPr>
        <w:t>最</w:t>
      </w:r>
      <w:r>
        <w:rPr>
          <w:sz w:val="21"/>
        </w:rPr>
        <w:t>高</w:t>
      </w:r>
      <w:r>
        <w:rPr>
          <w:spacing w:val="-3"/>
          <w:sz w:val="21"/>
        </w:rPr>
        <w:t>不</w:t>
      </w:r>
      <w:r>
        <w:rPr>
          <w:sz w:val="21"/>
        </w:rPr>
        <w:t>超</w:t>
      </w:r>
      <w:r>
        <w:rPr>
          <w:spacing w:val="-3"/>
          <w:sz w:val="21"/>
        </w:rPr>
        <w:t>过</w:t>
      </w:r>
      <w:r>
        <w:rPr>
          <w:sz w:val="21"/>
        </w:rPr>
        <w:t>人</w:t>
      </w:r>
      <w:r>
        <w:rPr>
          <w:spacing w:val="-3"/>
          <w:sz w:val="21"/>
        </w:rPr>
        <w:t>民</w:t>
      </w:r>
      <w:r>
        <w:rPr>
          <w:sz w:val="21"/>
        </w:rPr>
        <w:t>币</w:t>
      </w:r>
      <w:r>
        <w:rPr>
          <w:spacing w:val="-3"/>
          <w:sz w:val="21"/>
        </w:rPr>
        <w:t>元</w:t>
      </w:r>
      <w:r>
        <w:rPr>
          <w:sz w:val="21"/>
        </w:rPr>
        <w:t>（</w:t>
      </w:r>
      <w:r>
        <w:rPr>
          <w:spacing w:val="-3"/>
          <w:sz w:val="21"/>
        </w:rPr>
        <w:t>大</w:t>
      </w:r>
      <w:r>
        <w:rPr>
          <w:sz w:val="21"/>
        </w:rPr>
        <w:t>写</w:t>
      </w:r>
      <w:r>
        <w:rPr>
          <w:spacing w:val="-3"/>
          <w:sz w:val="21"/>
        </w:rPr>
        <w:t>：</w:t>
      </w:r>
      <w:r>
        <w:rPr>
          <w:spacing w:val="-3"/>
          <w:sz w:val="21"/>
          <w:u w:val="single"/>
        </w:rPr>
        <w:t xml:space="preserve"> </w:t>
      </w:r>
      <w:r>
        <w:rPr>
          <w:spacing w:val="-3"/>
          <w:sz w:val="21"/>
          <w:u w:val="single"/>
        </w:rPr>
        <w:tab/>
      </w:r>
      <w:r>
        <w:rPr>
          <w:spacing w:val="-3"/>
          <w:sz w:val="21"/>
        </w:rPr>
        <w:t xml:space="preserve">）。 </w:t>
      </w:r>
      <w:r>
        <w:rPr>
          <w:b/>
          <w:sz w:val="21"/>
        </w:rPr>
        <w:t>二、保证的方式及</w:t>
      </w:r>
      <w:r>
        <w:rPr>
          <w:b/>
          <w:spacing w:val="-3"/>
          <w:sz w:val="21"/>
        </w:rPr>
        <w:t>保</w:t>
      </w:r>
      <w:r>
        <w:rPr>
          <w:b/>
          <w:sz w:val="21"/>
        </w:rPr>
        <w:t>证</w:t>
      </w:r>
      <w:r>
        <w:rPr>
          <w:b/>
          <w:spacing w:val="-3"/>
          <w:sz w:val="21"/>
        </w:rPr>
        <w:t>期</w:t>
      </w:r>
      <w:r>
        <w:rPr>
          <w:b/>
          <w:sz w:val="21"/>
        </w:rPr>
        <w:t>间</w:t>
      </w:r>
    </w:p>
    <w:p>
      <w:pPr>
        <w:pStyle w:val="32"/>
        <w:numPr>
          <w:ilvl w:val="0"/>
          <w:numId w:val="48"/>
        </w:numPr>
        <w:tabs>
          <w:tab w:val="left" w:pos="798"/>
        </w:tabs>
        <w:spacing w:before="0" w:after="0" w:line="262" w:lineRule="exact"/>
        <w:ind w:left="112" w:right="0" w:firstLine="421"/>
        <w:jc w:val="left"/>
        <w:rPr>
          <w:sz w:val="21"/>
        </w:rPr>
      </w:pPr>
      <w:r>
        <w:rPr>
          <w:spacing w:val="-3"/>
          <w:sz w:val="21"/>
        </w:rPr>
        <w:t>我方保证的方式为：连带责任保证。</w:t>
      </w:r>
    </w:p>
    <w:p>
      <w:pPr>
        <w:pStyle w:val="32"/>
        <w:numPr>
          <w:ilvl w:val="0"/>
          <w:numId w:val="48"/>
        </w:numPr>
        <w:tabs>
          <w:tab w:val="left" w:pos="798"/>
          <w:tab w:val="left" w:pos="8569"/>
        </w:tabs>
        <w:spacing w:before="177" w:after="0" w:line="240" w:lineRule="auto"/>
        <w:ind w:left="112" w:right="0" w:firstLine="421"/>
        <w:jc w:val="left"/>
        <w:rPr>
          <w:sz w:val="21"/>
        </w:rPr>
      </w:pPr>
      <w:r>
        <w:rPr>
          <w:spacing w:val="-3"/>
          <w:sz w:val="21"/>
        </w:rPr>
        <w:t>我</w:t>
      </w:r>
      <w:r>
        <w:rPr>
          <w:sz w:val="21"/>
        </w:rPr>
        <w:t>方</w:t>
      </w:r>
      <w:r>
        <w:rPr>
          <w:spacing w:val="-3"/>
          <w:sz w:val="21"/>
        </w:rPr>
        <w:t>保</w:t>
      </w:r>
      <w:r>
        <w:rPr>
          <w:sz w:val="21"/>
        </w:rPr>
        <w:t>证</w:t>
      </w:r>
      <w:r>
        <w:rPr>
          <w:spacing w:val="-3"/>
          <w:sz w:val="21"/>
        </w:rPr>
        <w:t>的</w:t>
      </w:r>
      <w:r>
        <w:rPr>
          <w:sz w:val="21"/>
        </w:rPr>
        <w:t>期</w:t>
      </w:r>
      <w:r>
        <w:rPr>
          <w:spacing w:val="-3"/>
          <w:sz w:val="21"/>
        </w:rPr>
        <w:t>间</w:t>
      </w:r>
      <w:r>
        <w:rPr>
          <w:sz w:val="21"/>
        </w:rPr>
        <w:t>为</w:t>
      </w:r>
      <w:r>
        <w:rPr>
          <w:spacing w:val="-3"/>
          <w:sz w:val="21"/>
        </w:rPr>
        <w:t>：自</w:t>
      </w:r>
      <w:r>
        <w:rPr>
          <w:sz w:val="21"/>
        </w:rPr>
        <w:t>本合</w:t>
      </w:r>
      <w:r>
        <w:rPr>
          <w:spacing w:val="-3"/>
          <w:sz w:val="21"/>
        </w:rPr>
        <w:t>同</w:t>
      </w:r>
      <w:r>
        <w:rPr>
          <w:sz w:val="21"/>
        </w:rPr>
        <w:t>生</w:t>
      </w:r>
      <w:r>
        <w:rPr>
          <w:spacing w:val="-3"/>
          <w:sz w:val="21"/>
        </w:rPr>
        <w:t>效</w:t>
      </w:r>
      <w:r>
        <w:rPr>
          <w:sz w:val="21"/>
        </w:rPr>
        <w:t>之</w:t>
      </w:r>
      <w:r>
        <w:rPr>
          <w:spacing w:val="-3"/>
          <w:sz w:val="21"/>
        </w:rPr>
        <w:t>日</w:t>
      </w:r>
      <w:r>
        <w:rPr>
          <w:sz w:val="21"/>
        </w:rPr>
        <w:t>起</w:t>
      </w:r>
      <w:r>
        <w:rPr>
          <w:spacing w:val="-3"/>
          <w:sz w:val="21"/>
        </w:rPr>
        <w:t>至</w:t>
      </w:r>
      <w:r>
        <w:rPr>
          <w:sz w:val="21"/>
        </w:rPr>
        <w:t>主</w:t>
      </w:r>
      <w:r>
        <w:rPr>
          <w:spacing w:val="-3"/>
          <w:sz w:val="21"/>
        </w:rPr>
        <w:t>合</w:t>
      </w:r>
      <w:r>
        <w:rPr>
          <w:sz w:val="21"/>
        </w:rPr>
        <w:t>同约</w:t>
      </w:r>
      <w:r>
        <w:rPr>
          <w:spacing w:val="-3"/>
          <w:sz w:val="21"/>
        </w:rPr>
        <w:t>定</w:t>
      </w:r>
      <w:r>
        <w:rPr>
          <w:sz w:val="21"/>
        </w:rPr>
        <w:t>的</w:t>
      </w:r>
      <w:r>
        <w:rPr>
          <w:spacing w:val="-3"/>
          <w:sz w:val="21"/>
        </w:rPr>
        <w:t>工</w:t>
      </w:r>
      <w:r>
        <w:rPr>
          <w:sz w:val="21"/>
        </w:rPr>
        <w:t>程</w:t>
      </w:r>
      <w:r>
        <w:rPr>
          <w:spacing w:val="-3"/>
          <w:sz w:val="21"/>
        </w:rPr>
        <w:t>款</w:t>
      </w:r>
      <w:r>
        <w:rPr>
          <w:sz w:val="21"/>
        </w:rPr>
        <w:t>支</w:t>
      </w:r>
      <w:r>
        <w:rPr>
          <w:spacing w:val="-3"/>
          <w:sz w:val="21"/>
        </w:rPr>
        <w:t>付</w:t>
      </w:r>
      <w:r>
        <w:rPr>
          <w:sz w:val="21"/>
        </w:rPr>
        <w:t>完</w:t>
      </w:r>
      <w:r>
        <w:rPr>
          <w:spacing w:val="-3"/>
          <w:sz w:val="21"/>
        </w:rPr>
        <w:t>毕</w:t>
      </w:r>
      <w:r>
        <w:rPr>
          <w:sz w:val="21"/>
        </w:rPr>
        <w:t>之日</w:t>
      </w:r>
      <w:r>
        <w:rPr>
          <w:spacing w:val="-3"/>
          <w:sz w:val="21"/>
        </w:rPr>
        <w:t>后</w:t>
      </w:r>
      <w:r>
        <w:rPr>
          <w:spacing w:val="-3"/>
          <w:sz w:val="21"/>
          <w:u w:val="single"/>
        </w:rPr>
        <w:t xml:space="preserve"> </w:t>
      </w:r>
      <w:r>
        <w:rPr>
          <w:spacing w:val="-3"/>
          <w:sz w:val="21"/>
          <w:u w:val="single"/>
        </w:rPr>
        <w:tab/>
      </w:r>
      <w:r>
        <w:rPr>
          <w:sz w:val="21"/>
        </w:rPr>
        <w:t>日</w:t>
      </w:r>
      <w:r>
        <w:rPr>
          <w:spacing w:val="-3"/>
          <w:sz w:val="21"/>
        </w:rPr>
        <w:t>内</w:t>
      </w:r>
      <w:r>
        <w:rPr>
          <w:sz w:val="21"/>
        </w:rPr>
        <w:t>。</w:t>
      </w:r>
    </w:p>
    <w:p>
      <w:pPr>
        <w:pStyle w:val="32"/>
        <w:numPr>
          <w:ilvl w:val="0"/>
          <w:numId w:val="48"/>
        </w:numPr>
        <w:tabs>
          <w:tab w:val="left" w:pos="798"/>
        </w:tabs>
        <w:spacing w:before="177" w:after="0" w:line="386" w:lineRule="auto"/>
        <w:ind w:left="112" w:right="208" w:firstLine="421"/>
        <w:jc w:val="left"/>
        <w:rPr>
          <w:sz w:val="21"/>
        </w:rPr>
      </w:pPr>
      <w:r>
        <w:rPr>
          <w:spacing w:val="-1"/>
          <w:sz w:val="21"/>
        </w:rPr>
        <w:t>你方与发包人协议变更工程款支付日期的，经我方书面同意后，保证期间按照变更后的支付日期做相应调整。</w:t>
      </w:r>
    </w:p>
    <w:p>
      <w:pPr>
        <w:spacing w:before="91"/>
        <w:ind w:left="535" w:right="0" w:firstLine="0"/>
        <w:jc w:val="left"/>
        <w:rPr>
          <w:b/>
          <w:sz w:val="21"/>
        </w:rPr>
      </w:pPr>
      <w:r>
        <w:rPr>
          <w:b/>
          <w:sz w:val="21"/>
        </w:rPr>
        <w:t>三、承担保证责任的形式</w:t>
      </w:r>
    </w:p>
    <w:p>
      <w:pPr>
        <w:pStyle w:val="13"/>
        <w:spacing w:before="118" w:line="408" w:lineRule="auto"/>
        <w:ind w:right="105" w:firstLine="420"/>
      </w:pPr>
      <w:r>
        <w:rPr>
          <w:spacing w:val="-8"/>
        </w:rPr>
        <w:t>我方承担保证责任的形式是代为支付。发包人未按主合同约定向你方支付工程款的，由我方在保证金额</w:t>
      </w:r>
      <w:r>
        <w:rPr>
          <w:spacing w:val="-5"/>
        </w:rPr>
        <w:t>内代为支付。</w:t>
      </w:r>
    </w:p>
    <w:p>
      <w:pPr>
        <w:spacing w:before="72"/>
        <w:ind w:left="535" w:right="0" w:firstLine="0"/>
        <w:jc w:val="left"/>
        <w:rPr>
          <w:b/>
          <w:sz w:val="21"/>
        </w:rPr>
      </w:pPr>
      <w:r>
        <w:rPr>
          <w:b/>
          <w:sz w:val="21"/>
        </w:rPr>
        <w:t>四、代偿的安排</w:t>
      </w:r>
    </w:p>
    <w:p>
      <w:pPr>
        <w:pStyle w:val="32"/>
        <w:numPr>
          <w:ilvl w:val="0"/>
          <w:numId w:val="49"/>
        </w:numPr>
        <w:tabs>
          <w:tab w:val="left" w:pos="798"/>
        </w:tabs>
        <w:spacing w:before="119" w:after="0" w:line="386" w:lineRule="auto"/>
        <w:ind w:left="112" w:right="208" w:firstLine="421"/>
        <w:jc w:val="left"/>
        <w:rPr>
          <w:sz w:val="21"/>
        </w:rPr>
      </w:pPr>
      <w:r>
        <w:rPr>
          <w:spacing w:val="-1"/>
          <w:sz w:val="21"/>
        </w:rPr>
        <w:t>你方要求我方承担保证责任的，应向我方发出书面索赔通知及发包人未支付主合同约定工程款的证</w:t>
      </w:r>
      <w:r>
        <w:rPr>
          <w:spacing w:val="-3"/>
          <w:sz w:val="21"/>
        </w:rPr>
        <w:t>明材料。索赔通知应写明要求索赔的金额，支付款项应到达的账号。</w:t>
      </w:r>
    </w:p>
    <w:p>
      <w:pPr>
        <w:pStyle w:val="32"/>
        <w:numPr>
          <w:ilvl w:val="0"/>
          <w:numId w:val="49"/>
        </w:numPr>
        <w:tabs>
          <w:tab w:val="left" w:pos="798"/>
        </w:tabs>
        <w:spacing w:before="65" w:after="0" w:line="386" w:lineRule="auto"/>
        <w:ind w:left="112" w:right="205" w:firstLine="421"/>
        <w:jc w:val="left"/>
        <w:rPr>
          <w:sz w:val="21"/>
        </w:rPr>
      </w:pPr>
      <w:r>
        <w:rPr>
          <w:spacing w:val="-1"/>
          <w:sz w:val="21"/>
        </w:rPr>
        <w:t>在出现你方与发包人因工程质量发生争议，发包人拒绝向你方支付工程款的情形时，你方要求我方</w:t>
      </w:r>
      <w:r>
        <w:rPr>
          <w:spacing w:val="-3"/>
          <w:sz w:val="21"/>
        </w:rPr>
        <w:t>履行保证责任代为支付的，需提供符合相应条件要求的工程质量检测机构出具的质量说明材料。</w:t>
      </w:r>
    </w:p>
    <w:p>
      <w:pPr>
        <w:pStyle w:val="32"/>
        <w:numPr>
          <w:ilvl w:val="0"/>
          <w:numId w:val="49"/>
        </w:numPr>
        <w:tabs>
          <w:tab w:val="left" w:pos="798"/>
        </w:tabs>
        <w:spacing w:before="65" w:after="0" w:line="408" w:lineRule="auto"/>
        <w:ind w:left="535" w:right="2794" w:hanging="2"/>
        <w:jc w:val="left"/>
        <w:rPr>
          <w:b/>
          <w:sz w:val="21"/>
        </w:rPr>
      </w:pPr>
      <w:r>
        <w:rPr>
          <w:spacing w:val="-4"/>
          <w:sz w:val="21"/>
        </w:rPr>
        <w:t>我方收到你方的书面索赔通知及相应的证明材料后７天内无条件支付。</w:t>
      </w:r>
      <w:r>
        <w:rPr>
          <w:b/>
          <w:sz w:val="21"/>
        </w:rPr>
        <w:t>五、保证责任的解除</w:t>
      </w:r>
    </w:p>
    <w:p>
      <w:pPr>
        <w:pStyle w:val="32"/>
        <w:numPr>
          <w:ilvl w:val="0"/>
          <w:numId w:val="50"/>
        </w:numPr>
        <w:tabs>
          <w:tab w:val="left" w:pos="798"/>
        </w:tabs>
        <w:spacing w:before="0" w:after="0" w:line="262" w:lineRule="exact"/>
        <w:ind w:left="112" w:right="0" w:firstLine="421"/>
        <w:jc w:val="left"/>
        <w:rPr>
          <w:sz w:val="21"/>
        </w:rPr>
      </w:pPr>
      <w:r>
        <w:rPr>
          <w:sz w:val="21"/>
        </w:rPr>
        <w:t>在本保函承诺的保证期间内，你方未书面向我方主张保证责任的，自保证期间届满次日起，我方保</w:t>
      </w:r>
    </w:p>
    <w:p>
      <w:pPr>
        <w:pStyle w:val="13"/>
        <w:spacing w:before="177"/>
      </w:pPr>
      <w:r>
        <w:t>证责任解除。</w:t>
      </w:r>
    </w:p>
    <w:p>
      <w:pPr>
        <w:pStyle w:val="13"/>
        <w:spacing w:before="9"/>
        <w:ind w:left="0"/>
        <w:rPr>
          <w:sz w:val="14"/>
        </w:rPr>
      </w:pPr>
    </w:p>
    <w:p>
      <w:pPr>
        <w:pStyle w:val="32"/>
        <w:numPr>
          <w:ilvl w:val="0"/>
          <w:numId w:val="50"/>
        </w:numPr>
        <w:tabs>
          <w:tab w:val="left" w:pos="798"/>
        </w:tabs>
        <w:spacing w:before="1" w:after="0" w:line="386" w:lineRule="auto"/>
        <w:ind w:left="112" w:right="208" w:firstLine="421"/>
        <w:jc w:val="left"/>
        <w:rPr>
          <w:sz w:val="21"/>
        </w:rPr>
      </w:pPr>
      <w:r>
        <w:rPr>
          <w:spacing w:val="-1"/>
          <w:sz w:val="21"/>
        </w:rPr>
        <w:t>发包人按主合同约定履行了工程款的全部支付义务的，自本保函承诺的保证期间届满次日起，我方</w:t>
      </w:r>
      <w:r>
        <w:rPr>
          <w:spacing w:val="-2"/>
          <w:sz w:val="21"/>
        </w:rPr>
        <w:t>保证责任解除。</w:t>
      </w:r>
    </w:p>
    <w:p>
      <w:pPr>
        <w:spacing w:after="0" w:line="386" w:lineRule="auto"/>
        <w:jc w:val="left"/>
        <w:rPr>
          <w:sz w:val="21"/>
        </w:rPr>
        <w:sectPr>
          <w:footerReference r:id="rId8" w:type="default"/>
          <w:pgSz w:w="11910" w:h="16840"/>
          <w:pgMar w:top="1200" w:right="780" w:bottom="1160" w:left="1020" w:header="0" w:footer="975" w:gutter="0"/>
          <w:pgNumType w:start="111"/>
        </w:sectPr>
      </w:pPr>
    </w:p>
    <w:p>
      <w:pPr>
        <w:pStyle w:val="32"/>
        <w:numPr>
          <w:ilvl w:val="0"/>
          <w:numId w:val="50"/>
        </w:numPr>
        <w:tabs>
          <w:tab w:val="left" w:pos="798"/>
        </w:tabs>
        <w:spacing w:before="18" w:after="0" w:line="386" w:lineRule="auto"/>
        <w:ind w:left="112" w:right="208" w:firstLine="421"/>
        <w:jc w:val="left"/>
        <w:rPr>
          <w:sz w:val="21"/>
        </w:rPr>
      </w:pPr>
      <w:r>
        <w:rPr>
          <w:sz w:val="21"/>
        </w:rPr>
        <w:t>我方按照本保函向你方履行保证责任所支付金额达到本保函保证金额时，自我方向你方支付（</w:t>
      </w:r>
      <w:r>
        <w:rPr>
          <w:spacing w:val="-12"/>
          <w:sz w:val="21"/>
        </w:rPr>
        <w:t>支付</w:t>
      </w:r>
      <w:r>
        <w:rPr>
          <w:spacing w:val="-3"/>
          <w:sz w:val="21"/>
        </w:rPr>
        <w:t>款项从我方账户划出</w:t>
      </w:r>
      <w:r>
        <w:rPr>
          <w:sz w:val="21"/>
        </w:rPr>
        <w:t>）</w:t>
      </w:r>
      <w:r>
        <w:rPr>
          <w:spacing w:val="-3"/>
          <w:sz w:val="21"/>
        </w:rPr>
        <w:t>之日起，保证责任即解除。</w:t>
      </w:r>
    </w:p>
    <w:p>
      <w:pPr>
        <w:pStyle w:val="32"/>
        <w:numPr>
          <w:ilvl w:val="0"/>
          <w:numId w:val="50"/>
        </w:numPr>
        <w:tabs>
          <w:tab w:val="left" w:pos="798"/>
        </w:tabs>
        <w:spacing w:before="64" w:after="0" w:line="386" w:lineRule="auto"/>
        <w:ind w:left="112" w:right="208" w:firstLine="421"/>
        <w:jc w:val="left"/>
        <w:rPr>
          <w:sz w:val="21"/>
        </w:rPr>
      </w:pPr>
      <w:r>
        <w:rPr>
          <w:spacing w:val="-1"/>
          <w:sz w:val="21"/>
        </w:rPr>
        <w:t>按照法律法规的规定或出现应解除我方保证责任的其他情形的，我方在本保函项下的保证责任亦解</w:t>
      </w:r>
      <w:r>
        <w:rPr>
          <w:sz w:val="21"/>
        </w:rPr>
        <w:t>除。</w:t>
      </w:r>
    </w:p>
    <w:p>
      <w:pPr>
        <w:pStyle w:val="32"/>
        <w:numPr>
          <w:ilvl w:val="0"/>
          <w:numId w:val="50"/>
        </w:numPr>
        <w:tabs>
          <w:tab w:val="left" w:pos="798"/>
        </w:tabs>
        <w:spacing w:before="64" w:after="0" w:line="408" w:lineRule="auto"/>
        <w:ind w:left="535" w:right="272" w:hanging="2"/>
        <w:jc w:val="left"/>
        <w:rPr>
          <w:b/>
          <w:sz w:val="21"/>
        </w:rPr>
      </w:pPr>
      <w:r>
        <w:rPr>
          <w:spacing w:val="-3"/>
          <w:sz w:val="21"/>
        </w:rPr>
        <w:t>我方解除保证责任后，你方应自我方保证责任解除之日起</w:t>
      </w:r>
      <w:r>
        <w:rPr>
          <w:spacing w:val="-4"/>
          <w:sz w:val="21"/>
        </w:rPr>
        <w:t xml:space="preserve"> 个工作日内，将本保函原件返还我方。</w:t>
      </w:r>
      <w:r>
        <w:rPr>
          <w:b/>
          <w:sz w:val="21"/>
        </w:rPr>
        <w:t>六、免责条款</w:t>
      </w:r>
    </w:p>
    <w:p>
      <w:pPr>
        <w:pStyle w:val="32"/>
        <w:numPr>
          <w:ilvl w:val="0"/>
          <w:numId w:val="51"/>
        </w:numPr>
        <w:tabs>
          <w:tab w:val="left" w:pos="798"/>
        </w:tabs>
        <w:spacing w:before="0" w:after="0" w:line="262" w:lineRule="exact"/>
        <w:ind w:left="112" w:right="0" w:firstLine="421"/>
        <w:jc w:val="left"/>
        <w:rPr>
          <w:sz w:val="21"/>
        </w:rPr>
      </w:pPr>
      <w:r>
        <w:rPr>
          <w:spacing w:val="-3"/>
          <w:sz w:val="21"/>
        </w:rPr>
        <w:t>因你方违约致使发包人不能履行义务的，我方不承担保证责任。</w:t>
      </w:r>
    </w:p>
    <w:p>
      <w:pPr>
        <w:pStyle w:val="32"/>
        <w:numPr>
          <w:ilvl w:val="0"/>
          <w:numId w:val="51"/>
        </w:numPr>
        <w:tabs>
          <w:tab w:val="left" w:pos="798"/>
        </w:tabs>
        <w:spacing w:before="178" w:after="0" w:line="386" w:lineRule="auto"/>
        <w:ind w:left="112" w:right="208" w:firstLine="421"/>
        <w:jc w:val="left"/>
        <w:rPr>
          <w:sz w:val="21"/>
        </w:rPr>
      </w:pPr>
      <w:r>
        <w:rPr>
          <w:spacing w:val="-1"/>
          <w:sz w:val="21"/>
        </w:rPr>
        <w:t>依照法律法规的规定或你方与发包人的另行约定，免除发包人部分或全部义务的，我方亦免除其相</w:t>
      </w:r>
      <w:r>
        <w:rPr>
          <w:spacing w:val="-2"/>
          <w:sz w:val="21"/>
        </w:rPr>
        <w:t>应的保证责任。</w:t>
      </w:r>
    </w:p>
    <w:p>
      <w:pPr>
        <w:pStyle w:val="32"/>
        <w:numPr>
          <w:ilvl w:val="0"/>
          <w:numId w:val="51"/>
        </w:numPr>
        <w:tabs>
          <w:tab w:val="left" w:pos="798"/>
        </w:tabs>
        <w:spacing w:before="65" w:after="0" w:line="386" w:lineRule="auto"/>
        <w:ind w:left="112" w:right="208" w:firstLine="421"/>
        <w:jc w:val="left"/>
        <w:rPr>
          <w:sz w:val="21"/>
        </w:rPr>
      </w:pPr>
      <w:r>
        <w:rPr>
          <w:spacing w:val="-1"/>
          <w:sz w:val="21"/>
        </w:rPr>
        <w:t>你方与发包人协议变更主合同的，如加重发包人责任致使我方保证责任加重的，需征得我方书面同</w:t>
      </w:r>
      <w:r>
        <w:rPr>
          <w:spacing w:val="-4"/>
          <w:sz w:val="21"/>
        </w:rPr>
        <w:t xml:space="preserve">意，否则我方不再承担因此而加重部分的保证责任，但主合同第 </w:t>
      </w:r>
      <w:r>
        <w:rPr>
          <w:rFonts w:ascii="Times New Roman" w:eastAsia="Times New Roman"/>
          <w:sz w:val="21"/>
        </w:rPr>
        <w:t>10</w:t>
      </w:r>
      <w:r>
        <w:rPr>
          <w:rFonts w:ascii="Times New Roman" w:eastAsia="Times New Roman"/>
          <w:spacing w:val="25"/>
          <w:sz w:val="21"/>
        </w:rPr>
        <w:t xml:space="preserve"> </w:t>
      </w:r>
      <w:r>
        <w:rPr>
          <w:spacing w:val="-3"/>
          <w:sz w:val="21"/>
        </w:rPr>
        <w:t>条〔变更〕约定的变更不受本款限制。</w:t>
      </w:r>
    </w:p>
    <w:p>
      <w:pPr>
        <w:pStyle w:val="32"/>
        <w:numPr>
          <w:ilvl w:val="0"/>
          <w:numId w:val="51"/>
        </w:numPr>
        <w:tabs>
          <w:tab w:val="left" w:pos="798"/>
        </w:tabs>
        <w:spacing w:before="35" w:after="0" w:line="408" w:lineRule="auto"/>
        <w:ind w:left="535" w:right="3423" w:hanging="2"/>
        <w:jc w:val="left"/>
        <w:rPr>
          <w:b/>
          <w:sz w:val="21"/>
        </w:rPr>
      </w:pPr>
      <w:r>
        <w:rPr>
          <w:spacing w:val="-4"/>
          <w:sz w:val="21"/>
        </w:rPr>
        <w:t>因不可抗力造成发包人不能履行义务的，我方不承担保证责任。</w:t>
      </w:r>
      <w:r>
        <w:rPr>
          <w:b/>
          <w:sz w:val="21"/>
        </w:rPr>
        <w:t>七、争议解决</w:t>
      </w:r>
    </w:p>
    <w:p>
      <w:pPr>
        <w:pStyle w:val="13"/>
        <w:tabs>
          <w:tab w:val="left" w:pos="8742"/>
        </w:tabs>
        <w:spacing w:line="247" w:lineRule="exact"/>
        <w:ind w:left="533"/>
      </w:pPr>
      <w:r>
        <w:t>因本</w:t>
      </w:r>
      <w:r>
        <w:rPr>
          <w:spacing w:val="-3"/>
        </w:rPr>
        <w:t>保</w:t>
      </w:r>
      <w:r>
        <w:t>函</w:t>
      </w:r>
      <w:r>
        <w:rPr>
          <w:spacing w:val="-3"/>
        </w:rPr>
        <w:t>或</w:t>
      </w:r>
      <w:r>
        <w:t>本</w:t>
      </w:r>
      <w:r>
        <w:rPr>
          <w:spacing w:val="-3"/>
        </w:rPr>
        <w:t>保</w:t>
      </w:r>
      <w:r>
        <w:t>函</w:t>
      </w:r>
      <w:r>
        <w:rPr>
          <w:spacing w:val="-3"/>
        </w:rPr>
        <w:t>相</w:t>
      </w:r>
      <w:r>
        <w:t>关</w:t>
      </w:r>
      <w:r>
        <w:rPr>
          <w:spacing w:val="-3"/>
        </w:rPr>
        <w:t>事</w:t>
      </w:r>
      <w:r>
        <w:t>项发</w:t>
      </w:r>
      <w:r>
        <w:rPr>
          <w:spacing w:val="-3"/>
        </w:rPr>
        <w:t>生</w:t>
      </w:r>
      <w:r>
        <w:t>的</w:t>
      </w:r>
      <w:r>
        <w:rPr>
          <w:spacing w:val="-3"/>
        </w:rPr>
        <w:t>纠纷</w:t>
      </w:r>
      <w:r>
        <w:rPr>
          <w:spacing w:val="-29"/>
        </w:rPr>
        <w:t>，</w:t>
      </w:r>
      <w:r>
        <w:rPr>
          <w:spacing w:val="-3"/>
        </w:rPr>
        <w:t>可</w:t>
      </w:r>
      <w:r>
        <w:t>由</w:t>
      </w:r>
      <w:r>
        <w:rPr>
          <w:spacing w:val="-3"/>
        </w:rPr>
        <w:t>双方</w:t>
      </w:r>
      <w:r>
        <w:t>协商</w:t>
      </w:r>
      <w:r>
        <w:rPr>
          <w:spacing w:val="-3"/>
        </w:rPr>
        <w:t>解决</w:t>
      </w:r>
      <w:r>
        <w:rPr>
          <w:spacing w:val="-29"/>
        </w:rPr>
        <w:t>，</w:t>
      </w:r>
      <w:r>
        <w:rPr>
          <w:spacing w:val="-3"/>
        </w:rPr>
        <w:t>协</w:t>
      </w:r>
      <w:r>
        <w:t>商</w:t>
      </w:r>
      <w:r>
        <w:rPr>
          <w:spacing w:val="-3"/>
        </w:rPr>
        <w:t>不</w:t>
      </w:r>
      <w:r>
        <w:t>成</w:t>
      </w:r>
      <w:r>
        <w:rPr>
          <w:spacing w:val="-3"/>
        </w:rPr>
        <w:t>的</w:t>
      </w:r>
      <w:r>
        <w:rPr>
          <w:spacing w:val="-32"/>
        </w:rPr>
        <w:t>，</w:t>
      </w:r>
      <w:r>
        <w:t>按下</w:t>
      </w:r>
      <w:r>
        <w:rPr>
          <w:spacing w:val="-3"/>
        </w:rPr>
        <w:t>列</w:t>
      </w:r>
      <w:r>
        <w:t>第</w:t>
      </w:r>
      <w:r>
        <w:rPr>
          <w:u w:val="single"/>
        </w:rPr>
        <w:t xml:space="preserve"> </w:t>
      </w:r>
      <w:r>
        <w:rPr>
          <w:u w:val="single"/>
        </w:rPr>
        <w:tab/>
      </w:r>
      <w:r>
        <w:t>种</w:t>
      </w:r>
      <w:r>
        <w:rPr>
          <w:spacing w:val="-3"/>
        </w:rPr>
        <w:t>方</w:t>
      </w:r>
      <w:r>
        <w:t>式</w:t>
      </w:r>
      <w:r>
        <w:rPr>
          <w:spacing w:val="-3"/>
        </w:rPr>
        <w:t>解决</w:t>
      </w:r>
      <w:r>
        <w:t>：</w:t>
      </w:r>
    </w:p>
    <w:p>
      <w:pPr>
        <w:pStyle w:val="13"/>
        <w:spacing w:before="12"/>
        <w:ind w:left="0"/>
        <w:rPr>
          <w:sz w:val="23"/>
        </w:rPr>
      </w:pPr>
    </w:p>
    <w:p>
      <w:pPr>
        <w:pStyle w:val="13"/>
        <w:tabs>
          <w:tab w:val="left" w:pos="3473"/>
        </w:tabs>
        <w:ind w:left="533"/>
      </w:pPr>
      <w:r>
        <w:t>（</w:t>
      </w:r>
      <w:r>
        <w:rPr>
          <w:rFonts w:ascii="Times New Roman" w:eastAsia="Times New Roman"/>
        </w:rPr>
        <w:t>1</w:t>
      </w:r>
      <w:r>
        <w:t>）向</w:t>
      </w:r>
      <w:r>
        <w:rPr>
          <w:u w:val="single"/>
        </w:rPr>
        <w:t xml:space="preserve"> </w:t>
      </w:r>
      <w:r>
        <w:rPr>
          <w:u w:val="single"/>
        </w:rPr>
        <w:tab/>
      </w:r>
      <w:r>
        <w:t>仲</w:t>
      </w:r>
      <w:r>
        <w:rPr>
          <w:spacing w:val="-3"/>
        </w:rPr>
        <w:t>裁</w:t>
      </w:r>
      <w:r>
        <w:t>委</w:t>
      </w:r>
      <w:r>
        <w:rPr>
          <w:spacing w:val="-3"/>
        </w:rPr>
        <w:t>员</w:t>
      </w:r>
      <w:r>
        <w:t>会</w:t>
      </w:r>
      <w:r>
        <w:rPr>
          <w:spacing w:val="-3"/>
        </w:rPr>
        <w:t>申</w:t>
      </w:r>
      <w:r>
        <w:t>请</w:t>
      </w:r>
      <w:r>
        <w:rPr>
          <w:spacing w:val="-3"/>
        </w:rPr>
        <w:t>仲裁</w:t>
      </w:r>
      <w:r>
        <w:t>；</w:t>
      </w:r>
    </w:p>
    <w:p>
      <w:pPr>
        <w:tabs>
          <w:tab w:val="left" w:pos="3473"/>
        </w:tabs>
        <w:spacing w:before="176" w:line="408" w:lineRule="auto"/>
        <w:ind w:left="535" w:right="5159" w:hanging="3"/>
        <w:jc w:val="left"/>
        <w:rPr>
          <w:b/>
          <w:sz w:val="21"/>
        </w:rPr>
      </w:pPr>
      <w:r>
        <w:rPr>
          <w:sz w:val="21"/>
        </w:rPr>
        <w:t>（</w:t>
      </w:r>
      <w:r>
        <w:rPr>
          <w:rFonts w:ascii="Times New Roman" w:eastAsia="Times New Roman"/>
          <w:sz w:val="21"/>
        </w:rPr>
        <w:t>2</w:t>
      </w:r>
      <w:r>
        <w:rPr>
          <w:sz w:val="21"/>
        </w:rPr>
        <w:t>）向</w:t>
      </w:r>
      <w:r>
        <w:rPr>
          <w:sz w:val="21"/>
          <w:u w:val="single"/>
        </w:rPr>
        <w:t xml:space="preserve"> </w:t>
      </w:r>
      <w:r>
        <w:rPr>
          <w:sz w:val="21"/>
          <w:u w:val="single"/>
        </w:rPr>
        <w:tab/>
      </w:r>
      <w:r>
        <w:rPr>
          <w:sz w:val="21"/>
        </w:rPr>
        <w:t>人</w:t>
      </w:r>
      <w:r>
        <w:rPr>
          <w:spacing w:val="-3"/>
          <w:sz w:val="21"/>
        </w:rPr>
        <w:t>民</w:t>
      </w:r>
      <w:r>
        <w:rPr>
          <w:sz w:val="21"/>
        </w:rPr>
        <w:t>法</w:t>
      </w:r>
      <w:r>
        <w:rPr>
          <w:spacing w:val="-3"/>
          <w:sz w:val="21"/>
        </w:rPr>
        <w:t>院</w:t>
      </w:r>
      <w:r>
        <w:rPr>
          <w:sz w:val="21"/>
        </w:rPr>
        <w:t>起</w:t>
      </w:r>
      <w:r>
        <w:rPr>
          <w:spacing w:val="-3"/>
          <w:sz w:val="21"/>
        </w:rPr>
        <w:t>诉</w:t>
      </w:r>
      <w:r>
        <w:rPr>
          <w:sz w:val="21"/>
        </w:rPr>
        <w:t xml:space="preserve">。 </w:t>
      </w:r>
      <w:r>
        <w:rPr>
          <w:b/>
          <w:sz w:val="21"/>
        </w:rPr>
        <w:t>八、保函的生效</w:t>
      </w:r>
    </w:p>
    <w:p>
      <w:pPr>
        <w:pStyle w:val="13"/>
        <w:spacing w:line="247" w:lineRule="exact"/>
        <w:ind w:left="533"/>
      </w:pPr>
      <w:r>
        <w:t>本保函自我方法定代表人（或其授权代理人）签字并加盖公章之日起生效。</w:t>
      </w:r>
    </w:p>
    <w:p>
      <w:pPr>
        <w:pStyle w:val="13"/>
        <w:ind w:left="0"/>
        <w:rPr>
          <w:sz w:val="20"/>
        </w:rPr>
      </w:pPr>
    </w:p>
    <w:p>
      <w:pPr>
        <w:pStyle w:val="13"/>
        <w:ind w:left="0"/>
        <w:rPr>
          <w:sz w:val="20"/>
        </w:rPr>
      </w:pPr>
    </w:p>
    <w:p>
      <w:pPr>
        <w:pStyle w:val="13"/>
        <w:tabs>
          <w:tab w:val="left" w:pos="4630"/>
          <w:tab w:val="left" w:pos="5410"/>
        </w:tabs>
        <w:spacing w:before="139" w:line="408" w:lineRule="auto"/>
        <w:ind w:right="4631"/>
        <w:jc w:val="both"/>
        <w:rPr>
          <w:rFonts w:ascii="Times New Roman" w:eastAsia="Times New Roman"/>
        </w:rPr>
      </w:pPr>
      <w:r>
        <w:t>担保</w:t>
      </w:r>
      <w:r>
        <w:rPr>
          <w:spacing w:val="-3"/>
        </w:rPr>
        <w:t>人</w:t>
      </w:r>
      <w:r>
        <w:t>：</w:t>
      </w:r>
      <w:r>
        <w:rPr>
          <w:u w:val="single"/>
        </w:rPr>
        <w:t xml:space="preserve"> </w:t>
      </w:r>
      <w:r>
        <w:rPr>
          <w:u w:val="single"/>
        </w:rPr>
        <w:tab/>
      </w:r>
      <w:r>
        <w:rPr>
          <w:spacing w:val="-3"/>
        </w:rPr>
        <w:t>（</w:t>
      </w:r>
      <w:r>
        <w:t>盖章） 法定</w:t>
      </w:r>
      <w:r>
        <w:rPr>
          <w:spacing w:val="-3"/>
        </w:rPr>
        <w:t>代</w:t>
      </w:r>
      <w:r>
        <w:t>表</w:t>
      </w:r>
      <w:r>
        <w:rPr>
          <w:spacing w:val="-3"/>
        </w:rPr>
        <w:t>人</w:t>
      </w:r>
      <w:r>
        <w:t>或</w:t>
      </w:r>
      <w:r>
        <w:rPr>
          <w:spacing w:val="-3"/>
        </w:rPr>
        <w:t>委</w:t>
      </w:r>
      <w:r>
        <w:t>托</w:t>
      </w:r>
      <w:r>
        <w:rPr>
          <w:spacing w:val="-3"/>
        </w:rPr>
        <w:t>代</w:t>
      </w:r>
      <w:r>
        <w:t>理</w:t>
      </w:r>
      <w:r>
        <w:rPr>
          <w:spacing w:val="-3"/>
        </w:rPr>
        <w:t>人</w:t>
      </w:r>
      <w:r>
        <w:t>：</w:t>
      </w:r>
      <w:r>
        <w:rPr>
          <w:u w:val="single"/>
        </w:rPr>
        <w:t xml:space="preserve"> </w:t>
      </w:r>
      <w:r>
        <w:rPr>
          <w:u w:val="single"/>
        </w:rPr>
        <w:tab/>
      </w:r>
      <w:r>
        <w:rPr>
          <w:spacing w:val="-3"/>
        </w:rPr>
        <w:t>（</w:t>
      </w:r>
      <w:r>
        <w:t xml:space="preserve">签字） 地  </w:t>
      </w:r>
      <w:r>
        <w:rPr>
          <w:spacing w:val="2"/>
        </w:rPr>
        <w:t xml:space="preserve"> </w:t>
      </w:r>
      <w:r>
        <w:t xml:space="preserve">址 </w:t>
      </w:r>
      <w:r>
        <w:rPr>
          <w:spacing w:val="-3"/>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3"/>
        <w:tabs>
          <w:tab w:val="left" w:pos="5410"/>
        </w:tabs>
        <w:spacing w:before="46"/>
        <w:rPr>
          <w:rFonts w:ascii="Times New Roman" w:eastAsia="Times New Roman"/>
        </w:rPr>
      </w:pPr>
      <w:r>
        <w:t>邮政</w:t>
      </w:r>
      <w:r>
        <w:rPr>
          <w:spacing w:val="-3"/>
        </w:rPr>
        <w:t>编</w:t>
      </w:r>
      <w:r>
        <w:t>码</w:t>
      </w:r>
      <w:r>
        <w:rPr>
          <w:spacing w:val="-3"/>
        </w:rP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13"/>
        </w:rPr>
      </w:pPr>
    </w:p>
    <w:p>
      <w:pPr>
        <w:pStyle w:val="13"/>
        <w:tabs>
          <w:tab w:val="left" w:pos="744"/>
          <w:tab w:val="left" w:pos="5410"/>
        </w:tabs>
        <w:spacing w:before="43"/>
        <w:rPr>
          <w:rFonts w:ascii="Times New Roman" w:eastAsia="Times New Roman"/>
        </w:rPr>
      </w:pPr>
      <w:r>
        <w:t>传</w:t>
      </w:r>
      <w:r>
        <w:tab/>
      </w:r>
      <w:r>
        <w:t>真</w:t>
      </w:r>
      <w:r>
        <w:rPr>
          <w:spacing w:val="-3"/>
        </w:rP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20"/>
        </w:rPr>
      </w:pPr>
    </w:p>
    <w:p>
      <w:pPr>
        <w:pStyle w:val="13"/>
        <w:ind w:left="0"/>
        <w:rPr>
          <w:rFonts w:ascii="Times New Roman"/>
          <w:sz w:val="20"/>
        </w:rPr>
      </w:pPr>
    </w:p>
    <w:p>
      <w:pPr>
        <w:pStyle w:val="13"/>
        <w:spacing w:before="3"/>
        <w:ind w:left="0"/>
        <w:rPr>
          <w:rFonts w:ascii="Times New Roman"/>
          <w:sz w:val="18"/>
        </w:rPr>
      </w:pPr>
    </w:p>
    <w:p>
      <w:pPr>
        <w:pStyle w:val="13"/>
        <w:tabs>
          <w:tab w:val="left" w:pos="3473"/>
          <w:tab w:val="left" w:pos="4313"/>
          <w:tab w:val="left" w:pos="5153"/>
        </w:tabs>
        <w:ind w:left="1901"/>
      </w:pPr>
      <w:r>
        <w:rPr>
          <w:rFonts w:ascii="Times New Roman" w:eastAsia="Times New Roman"/>
          <w:w w:val="100"/>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160" w:right="780" w:bottom="1160" w:left="1020" w:header="0" w:footer="975" w:gutter="0"/>
        </w:sectPr>
      </w:pPr>
    </w:p>
    <w:p>
      <w:pPr>
        <w:pStyle w:val="6"/>
        <w:spacing w:line="377" w:lineRule="exact"/>
      </w:pPr>
      <w:r>
        <w:t>附件 11：</w:t>
      </w:r>
    </w:p>
    <w:p>
      <w:pPr>
        <w:pStyle w:val="6"/>
        <w:spacing w:before="25"/>
        <w:ind w:left="3953"/>
      </w:pPr>
      <w:r>
        <w:t>11-1：材料暂估价表</w:t>
      </w:r>
    </w:p>
    <w:p>
      <w:pPr>
        <w:pStyle w:val="13"/>
        <w:spacing w:before="5"/>
        <w:ind w:left="0"/>
        <w:rPr>
          <w:sz w:val="18"/>
        </w:rPr>
      </w:pPr>
    </w:p>
    <w:tbl>
      <w:tblPr>
        <w:tblStyle w:val="17"/>
        <w:tblW w:w="9073" w:type="dxa"/>
        <w:tblInd w:w="45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1"/>
        <w:gridCol w:w="1985"/>
        <w:gridCol w:w="852"/>
        <w:gridCol w:w="773"/>
        <w:gridCol w:w="1352"/>
        <w:gridCol w:w="1418"/>
        <w:gridCol w:w="170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bottom w:val="double" w:color="000000" w:sz="2" w:space="0"/>
              <w:right w:val="single" w:color="000000" w:sz="6" w:space="0"/>
            </w:tcBorders>
          </w:tcPr>
          <w:p>
            <w:pPr>
              <w:pStyle w:val="33"/>
              <w:spacing w:before="27"/>
              <w:ind w:left="201"/>
              <w:rPr>
                <w:sz w:val="28"/>
              </w:rPr>
            </w:pPr>
            <w:r>
              <w:rPr>
                <w:sz w:val="28"/>
              </w:rPr>
              <w:t>序号</w:t>
            </w:r>
          </w:p>
        </w:tc>
        <w:tc>
          <w:tcPr>
            <w:tcW w:w="1985" w:type="dxa"/>
            <w:tcBorders>
              <w:left w:val="single" w:color="000000" w:sz="6" w:space="0"/>
              <w:bottom w:val="double" w:color="000000" w:sz="2" w:space="0"/>
              <w:right w:val="single" w:color="000000" w:sz="6" w:space="0"/>
            </w:tcBorders>
          </w:tcPr>
          <w:p>
            <w:pPr>
              <w:pStyle w:val="33"/>
              <w:spacing w:before="27"/>
              <w:ind w:left="685" w:right="684"/>
              <w:jc w:val="center"/>
              <w:rPr>
                <w:sz w:val="28"/>
              </w:rPr>
            </w:pPr>
            <w:r>
              <w:rPr>
                <w:sz w:val="28"/>
              </w:rPr>
              <w:t>名称</w:t>
            </w:r>
          </w:p>
        </w:tc>
        <w:tc>
          <w:tcPr>
            <w:tcW w:w="852" w:type="dxa"/>
            <w:tcBorders>
              <w:left w:val="single" w:color="000000" w:sz="6" w:space="0"/>
              <w:bottom w:val="double" w:color="000000" w:sz="2" w:space="0"/>
              <w:right w:val="single" w:color="000000" w:sz="6" w:space="0"/>
            </w:tcBorders>
          </w:tcPr>
          <w:p>
            <w:pPr>
              <w:pStyle w:val="33"/>
              <w:spacing w:before="27"/>
              <w:ind w:left="138"/>
              <w:rPr>
                <w:sz w:val="28"/>
              </w:rPr>
            </w:pPr>
            <w:r>
              <w:rPr>
                <w:sz w:val="28"/>
              </w:rPr>
              <w:t>单位</w:t>
            </w:r>
          </w:p>
        </w:tc>
        <w:tc>
          <w:tcPr>
            <w:tcW w:w="773" w:type="dxa"/>
            <w:tcBorders>
              <w:left w:val="single" w:color="000000" w:sz="6" w:space="0"/>
              <w:bottom w:val="double" w:color="000000" w:sz="2" w:space="0"/>
              <w:right w:val="single" w:color="000000" w:sz="6" w:space="0"/>
            </w:tcBorders>
          </w:tcPr>
          <w:p>
            <w:pPr>
              <w:pStyle w:val="33"/>
              <w:spacing w:before="27"/>
              <w:ind w:left="100"/>
              <w:rPr>
                <w:sz w:val="28"/>
              </w:rPr>
            </w:pPr>
            <w:r>
              <w:rPr>
                <w:sz w:val="28"/>
              </w:rPr>
              <w:t>数量</w:t>
            </w:r>
          </w:p>
        </w:tc>
        <w:tc>
          <w:tcPr>
            <w:tcW w:w="1352" w:type="dxa"/>
            <w:tcBorders>
              <w:left w:val="single" w:color="000000" w:sz="6" w:space="0"/>
              <w:bottom w:val="double" w:color="000000" w:sz="2" w:space="0"/>
              <w:right w:val="single" w:color="000000" w:sz="6" w:space="0"/>
            </w:tcBorders>
          </w:tcPr>
          <w:p>
            <w:pPr>
              <w:pStyle w:val="33"/>
              <w:spacing w:before="27"/>
              <w:ind w:left="83"/>
              <w:rPr>
                <w:sz w:val="28"/>
              </w:rPr>
            </w:pPr>
            <w:r>
              <w:rPr>
                <w:sz w:val="28"/>
              </w:rPr>
              <w:t>单价（元</w:t>
            </w:r>
          </w:p>
        </w:tc>
        <w:tc>
          <w:tcPr>
            <w:tcW w:w="1418" w:type="dxa"/>
            <w:tcBorders>
              <w:left w:val="single" w:color="000000" w:sz="6" w:space="0"/>
              <w:bottom w:val="double" w:color="000000" w:sz="2" w:space="0"/>
              <w:right w:val="single" w:color="000000" w:sz="6" w:space="0"/>
            </w:tcBorders>
          </w:tcPr>
          <w:p>
            <w:pPr>
              <w:pStyle w:val="33"/>
              <w:spacing w:before="27"/>
              <w:ind w:left="-236"/>
              <w:rPr>
                <w:sz w:val="28"/>
              </w:rPr>
            </w:pPr>
            <w:r>
              <w:rPr>
                <w:sz w:val="28"/>
              </w:rPr>
              <w:t>） 合价（元</w:t>
            </w:r>
          </w:p>
        </w:tc>
        <w:tc>
          <w:tcPr>
            <w:tcW w:w="1702" w:type="dxa"/>
            <w:tcBorders>
              <w:left w:val="single" w:color="000000" w:sz="6" w:space="0"/>
              <w:bottom w:val="double" w:color="000000" w:sz="2" w:space="0"/>
            </w:tcBorders>
          </w:tcPr>
          <w:p>
            <w:pPr>
              <w:pStyle w:val="33"/>
              <w:tabs>
                <w:tab w:val="left" w:pos="564"/>
              </w:tabs>
              <w:spacing w:before="27"/>
              <w:ind w:left="-236"/>
              <w:rPr>
                <w:sz w:val="28"/>
              </w:rPr>
            </w:pPr>
            <w:r>
              <w:rPr>
                <w:sz w:val="28"/>
              </w:rPr>
              <w:t>）</w:t>
            </w:r>
            <w:r>
              <w:rPr>
                <w:sz w:val="28"/>
              </w:rPr>
              <w:tab/>
            </w:r>
            <w:r>
              <w:rPr>
                <w:sz w:val="28"/>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double" w:color="000000" w:sz="2" w:space="0"/>
              <w:bottom w:val="single" w:color="000000" w:sz="6" w:space="0"/>
              <w:right w:val="single" w:color="000000" w:sz="6" w:space="0"/>
            </w:tcBorders>
          </w:tcPr>
          <w:p>
            <w:pPr>
              <w:pStyle w:val="33"/>
              <w:rPr>
                <w:rFonts w:ascii="Times New Roman"/>
                <w:sz w:val="28"/>
              </w:rPr>
            </w:pPr>
          </w:p>
        </w:tc>
        <w:tc>
          <w:tcPr>
            <w:tcW w:w="1985"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double" w:color="000000" w:sz="2"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991" w:type="dxa"/>
            <w:tcBorders>
              <w:top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tcBorders>
          </w:tcPr>
          <w:p>
            <w:pPr>
              <w:pStyle w:val="33"/>
              <w:rPr>
                <w:rFonts w:ascii="Times New Roman"/>
                <w:sz w:val="28"/>
              </w:rPr>
            </w:pPr>
          </w:p>
        </w:tc>
      </w:tr>
    </w:tbl>
    <w:p>
      <w:pPr>
        <w:spacing w:after="0"/>
        <w:rPr>
          <w:rFonts w:ascii="Times New Roman"/>
          <w:sz w:val="28"/>
        </w:rPr>
        <w:sectPr>
          <w:pgSz w:w="11910" w:h="16840"/>
          <w:pgMar w:top="1500" w:right="1200" w:bottom="1160" w:left="1020" w:header="0" w:footer="975" w:gutter="0"/>
        </w:sectPr>
      </w:pPr>
    </w:p>
    <w:p>
      <w:pPr>
        <w:pStyle w:val="13"/>
        <w:spacing w:before="9"/>
        <w:ind w:left="0"/>
        <w:rPr>
          <w:sz w:val="9"/>
        </w:rPr>
      </w:pPr>
    </w:p>
    <w:p>
      <w:pPr>
        <w:pStyle w:val="6"/>
        <w:spacing w:before="8"/>
        <w:ind w:left="3013"/>
      </w:pPr>
      <w:r>
        <w:t>11-2：工程设备暂估价表</w:t>
      </w:r>
    </w:p>
    <w:p>
      <w:pPr>
        <w:pStyle w:val="13"/>
        <w:spacing w:before="3" w:after="1"/>
        <w:ind w:left="0"/>
        <w:rPr>
          <w:sz w:val="15"/>
        </w:rPr>
      </w:pPr>
    </w:p>
    <w:tbl>
      <w:tblPr>
        <w:tblStyle w:val="17"/>
        <w:tblW w:w="9073" w:type="dxa"/>
        <w:tblInd w:w="11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91"/>
        <w:gridCol w:w="1985"/>
        <w:gridCol w:w="852"/>
        <w:gridCol w:w="773"/>
        <w:gridCol w:w="1352"/>
        <w:gridCol w:w="1418"/>
        <w:gridCol w:w="170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bottom w:val="double" w:color="000000" w:sz="2" w:space="0"/>
              <w:right w:val="single" w:color="000000" w:sz="6" w:space="0"/>
            </w:tcBorders>
          </w:tcPr>
          <w:p>
            <w:pPr>
              <w:pStyle w:val="33"/>
              <w:spacing w:before="27"/>
              <w:ind w:left="201"/>
              <w:rPr>
                <w:sz w:val="28"/>
              </w:rPr>
            </w:pPr>
            <w:r>
              <w:rPr>
                <w:sz w:val="28"/>
              </w:rPr>
              <w:t>序号</w:t>
            </w:r>
          </w:p>
        </w:tc>
        <w:tc>
          <w:tcPr>
            <w:tcW w:w="1985" w:type="dxa"/>
            <w:tcBorders>
              <w:left w:val="single" w:color="000000" w:sz="6" w:space="0"/>
              <w:bottom w:val="double" w:color="000000" w:sz="2" w:space="0"/>
              <w:right w:val="single" w:color="000000" w:sz="6" w:space="0"/>
            </w:tcBorders>
          </w:tcPr>
          <w:p>
            <w:pPr>
              <w:pStyle w:val="33"/>
              <w:spacing w:before="27"/>
              <w:ind w:left="685" w:right="684"/>
              <w:jc w:val="center"/>
              <w:rPr>
                <w:sz w:val="28"/>
              </w:rPr>
            </w:pPr>
            <w:r>
              <w:rPr>
                <w:sz w:val="28"/>
              </w:rPr>
              <w:t>名称</w:t>
            </w:r>
          </w:p>
        </w:tc>
        <w:tc>
          <w:tcPr>
            <w:tcW w:w="852" w:type="dxa"/>
            <w:tcBorders>
              <w:left w:val="single" w:color="000000" w:sz="6" w:space="0"/>
              <w:bottom w:val="double" w:color="000000" w:sz="2" w:space="0"/>
              <w:right w:val="single" w:color="000000" w:sz="6" w:space="0"/>
            </w:tcBorders>
          </w:tcPr>
          <w:p>
            <w:pPr>
              <w:pStyle w:val="33"/>
              <w:spacing w:before="27"/>
              <w:ind w:left="138"/>
              <w:rPr>
                <w:sz w:val="28"/>
              </w:rPr>
            </w:pPr>
            <w:r>
              <w:rPr>
                <w:sz w:val="28"/>
              </w:rPr>
              <w:t>单位</w:t>
            </w:r>
          </w:p>
        </w:tc>
        <w:tc>
          <w:tcPr>
            <w:tcW w:w="773" w:type="dxa"/>
            <w:tcBorders>
              <w:left w:val="single" w:color="000000" w:sz="6" w:space="0"/>
              <w:bottom w:val="double" w:color="000000" w:sz="2" w:space="0"/>
              <w:right w:val="single" w:color="000000" w:sz="6" w:space="0"/>
            </w:tcBorders>
          </w:tcPr>
          <w:p>
            <w:pPr>
              <w:pStyle w:val="33"/>
              <w:spacing w:before="27"/>
              <w:ind w:left="100"/>
              <w:rPr>
                <w:sz w:val="28"/>
              </w:rPr>
            </w:pPr>
            <w:r>
              <w:rPr>
                <w:sz w:val="28"/>
              </w:rPr>
              <w:t>数量</w:t>
            </w:r>
          </w:p>
        </w:tc>
        <w:tc>
          <w:tcPr>
            <w:tcW w:w="1352" w:type="dxa"/>
            <w:tcBorders>
              <w:left w:val="single" w:color="000000" w:sz="6" w:space="0"/>
              <w:bottom w:val="double" w:color="000000" w:sz="2" w:space="0"/>
              <w:right w:val="single" w:color="000000" w:sz="6" w:space="0"/>
            </w:tcBorders>
          </w:tcPr>
          <w:p>
            <w:pPr>
              <w:pStyle w:val="33"/>
              <w:spacing w:before="27"/>
              <w:ind w:left="83"/>
              <w:rPr>
                <w:sz w:val="28"/>
              </w:rPr>
            </w:pPr>
            <w:r>
              <w:rPr>
                <w:sz w:val="28"/>
              </w:rPr>
              <w:t>单价（元</w:t>
            </w:r>
          </w:p>
        </w:tc>
        <w:tc>
          <w:tcPr>
            <w:tcW w:w="1418" w:type="dxa"/>
            <w:tcBorders>
              <w:left w:val="single" w:color="000000" w:sz="6" w:space="0"/>
              <w:bottom w:val="double" w:color="000000" w:sz="2" w:space="0"/>
              <w:right w:val="single" w:color="000000" w:sz="6" w:space="0"/>
            </w:tcBorders>
          </w:tcPr>
          <w:p>
            <w:pPr>
              <w:pStyle w:val="33"/>
              <w:spacing w:before="27"/>
              <w:ind w:left="-236"/>
              <w:rPr>
                <w:sz w:val="28"/>
              </w:rPr>
            </w:pPr>
            <w:r>
              <w:rPr>
                <w:sz w:val="28"/>
              </w:rPr>
              <w:t>） 合价（元</w:t>
            </w:r>
          </w:p>
        </w:tc>
        <w:tc>
          <w:tcPr>
            <w:tcW w:w="1702" w:type="dxa"/>
            <w:tcBorders>
              <w:left w:val="single" w:color="000000" w:sz="6" w:space="0"/>
              <w:bottom w:val="double" w:color="000000" w:sz="2" w:space="0"/>
            </w:tcBorders>
          </w:tcPr>
          <w:p>
            <w:pPr>
              <w:pStyle w:val="33"/>
              <w:tabs>
                <w:tab w:val="left" w:pos="564"/>
              </w:tabs>
              <w:spacing w:before="27"/>
              <w:ind w:left="-236"/>
              <w:rPr>
                <w:sz w:val="28"/>
              </w:rPr>
            </w:pPr>
            <w:r>
              <w:rPr>
                <w:sz w:val="28"/>
              </w:rPr>
              <w:t>）</w:t>
            </w:r>
            <w:r>
              <w:rPr>
                <w:sz w:val="28"/>
              </w:rPr>
              <w:tab/>
            </w:r>
            <w:r>
              <w:rPr>
                <w:sz w:val="28"/>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double" w:color="000000" w:sz="2" w:space="0"/>
              <w:bottom w:val="single" w:color="000000" w:sz="6" w:space="0"/>
              <w:right w:val="single" w:color="000000" w:sz="6" w:space="0"/>
            </w:tcBorders>
          </w:tcPr>
          <w:p>
            <w:pPr>
              <w:pStyle w:val="33"/>
              <w:rPr>
                <w:rFonts w:ascii="Times New Roman"/>
                <w:sz w:val="28"/>
              </w:rPr>
            </w:pPr>
          </w:p>
        </w:tc>
        <w:tc>
          <w:tcPr>
            <w:tcW w:w="1985"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double" w:color="000000" w:sz="2"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991"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991" w:type="dxa"/>
            <w:tcBorders>
              <w:top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right w:val="single" w:color="000000" w:sz="6" w:space="0"/>
            </w:tcBorders>
          </w:tcPr>
          <w:p>
            <w:pPr>
              <w:pStyle w:val="33"/>
              <w:rPr>
                <w:rFonts w:ascii="Times New Roman"/>
                <w:sz w:val="28"/>
              </w:rPr>
            </w:pPr>
          </w:p>
        </w:tc>
        <w:tc>
          <w:tcPr>
            <w:tcW w:w="852" w:type="dxa"/>
            <w:tcBorders>
              <w:top w:val="single" w:color="000000" w:sz="6" w:space="0"/>
              <w:left w:val="single" w:color="000000" w:sz="6" w:space="0"/>
              <w:right w:val="single" w:color="000000" w:sz="6" w:space="0"/>
            </w:tcBorders>
          </w:tcPr>
          <w:p>
            <w:pPr>
              <w:pStyle w:val="33"/>
              <w:rPr>
                <w:rFonts w:ascii="Times New Roman"/>
                <w:sz w:val="28"/>
              </w:rPr>
            </w:pPr>
          </w:p>
        </w:tc>
        <w:tc>
          <w:tcPr>
            <w:tcW w:w="773" w:type="dxa"/>
            <w:tcBorders>
              <w:top w:val="single" w:color="000000" w:sz="6" w:space="0"/>
              <w:left w:val="single" w:color="000000" w:sz="6" w:space="0"/>
              <w:right w:val="single" w:color="000000" w:sz="6" w:space="0"/>
            </w:tcBorders>
          </w:tcPr>
          <w:p>
            <w:pPr>
              <w:pStyle w:val="33"/>
              <w:rPr>
                <w:rFonts w:ascii="Times New Roman"/>
                <w:sz w:val="28"/>
              </w:rPr>
            </w:pPr>
          </w:p>
        </w:tc>
        <w:tc>
          <w:tcPr>
            <w:tcW w:w="1352" w:type="dxa"/>
            <w:tcBorders>
              <w:top w:val="single" w:color="000000" w:sz="6" w:space="0"/>
              <w:left w:val="single" w:color="000000" w:sz="6" w:space="0"/>
              <w:right w:val="single" w:color="000000" w:sz="6" w:space="0"/>
            </w:tcBorders>
          </w:tcPr>
          <w:p>
            <w:pPr>
              <w:pStyle w:val="33"/>
              <w:rPr>
                <w:rFonts w:ascii="Times New Roman"/>
                <w:sz w:val="28"/>
              </w:rPr>
            </w:pPr>
          </w:p>
        </w:tc>
        <w:tc>
          <w:tcPr>
            <w:tcW w:w="1418" w:type="dxa"/>
            <w:tcBorders>
              <w:top w:val="single" w:color="000000" w:sz="6" w:space="0"/>
              <w:left w:val="single" w:color="000000" w:sz="6" w:space="0"/>
              <w:right w:val="single" w:color="000000" w:sz="6" w:space="0"/>
            </w:tcBorders>
          </w:tcPr>
          <w:p>
            <w:pPr>
              <w:pStyle w:val="33"/>
              <w:rPr>
                <w:rFonts w:ascii="Times New Roman"/>
                <w:sz w:val="28"/>
              </w:rPr>
            </w:pPr>
          </w:p>
        </w:tc>
        <w:tc>
          <w:tcPr>
            <w:tcW w:w="1702" w:type="dxa"/>
            <w:tcBorders>
              <w:top w:val="single" w:color="000000" w:sz="6" w:space="0"/>
              <w:left w:val="single" w:color="000000" w:sz="6" w:space="0"/>
            </w:tcBorders>
          </w:tcPr>
          <w:p>
            <w:pPr>
              <w:pStyle w:val="33"/>
              <w:rPr>
                <w:rFonts w:ascii="Times New Roman"/>
                <w:sz w:val="28"/>
              </w:rPr>
            </w:pPr>
          </w:p>
        </w:tc>
      </w:tr>
    </w:tbl>
    <w:p>
      <w:pPr>
        <w:spacing w:after="0"/>
        <w:rPr>
          <w:rFonts w:ascii="Times New Roman"/>
          <w:sz w:val="28"/>
        </w:rPr>
        <w:sectPr>
          <w:pgSz w:w="11910" w:h="16840"/>
          <w:pgMar w:top="1580" w:right="1200" w:bottom="1160" w:left="1360" w:header="0" w:footer="975" w:gutter="0"/>
        </w:sectPr>
      </w:pPr>
    </w:p>
    <w:p>
      <w:pPr>
        <w:pStyle w:val="6"/>
        <w:spacing w:line="385" w:lineRule="exact"/>
        <w:ind w:left="2873"/>
      </w:pPr>
      <w:r>
        <w:t>11-3：专业工程暂估价表</w:t>
      </w:r>
    </w:p>
    <w:p>
      <w:pPr>
        <w:pStyle w:val="13"/>
        <w:spacing w:before="6"/>
        <w:ind w:left="0"/>
        <w:rPr>
          <w:sz w:val="15"/>
        </w:rPr>
      </w:pPr>
    </w:p>
    <w:tbl>
      <w:tblPr>
        <w:tblStyle w:val="17"/>
        <w:tblW w:w="8819" w:type="dxa"/>
        <w:tblInd w:w="10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8"/>
        <w:gridCol w:w="1985"/>
        <w:gridCol w:w="4679"/>
        <w:gridCol w:w="12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8" w:type="dxa"/>
            <w:tcBorders>
              <w:bottom w:val="double" w:color="000000" w:sz="2" w:space="0"/>
              <w:right w:val="single" w:color="000000" w:sz="6" w:space="0"/>
            </w:tcBorders>
          </w:tcPr>
          <w:p>
            <w:pPr>
              <w:pStyle w:val="33"/>
              <w:spacing w:before="25"/>
              <w:ind w:left="145"/>
              <w:rPr>
                <w:sz w:val="28"/>
              </w:rPr>
            </w:pPr>
            <w:r>
              <w:rPr>
                <w:sz w:val="28"/>
              </w:rPr>
              <w:t>序号</w:t>
            </w:r>
          </w:p>
        </w:tc>
        <w:tc>
          <w:tcPr>
            <w:tcW w:w="1985" w:type="dxa"/>
            <w:tcBorders>
              <w:left w:val="single" w:color="000000" w:sz="6" w:space="0"/>
              <w:bottom w:val="double" w:color="000000" w:sz="2" w:space="0"/>
              <w:right w:val="single" w:color="000000" w:sz="6" w:space="0"/>
            </w:tcBorders>
          </w:tcPr>
          <w:p>
            <w:pPr>
              <w:pStyle w:val="33"/>
              <w:spacing w:before="25"/>
              <w:ind w:left="143"/>
              <w:rPr>
                <w:sz w:val="28"/>
              </w:rPr>
            </w:pPr>
            <w:r>
              <w:rPr>
                <w:sz w:val="28"/>
              </w:rPr>
              <w:t>专业工程名称</w:t>
            </w:r>
          </w:p>
        </w:tc>
        <w:tc>
          <w:tcPr>
            <w:tcW w:w="4679" w:type="dxa"/>
            <w:tcBorders>
              <w:left w:val="single" w:color="000000" w:sz="6" w:space="0"/>
              <w:bottom w:val="double" w:color="000000" w:sz="2" w:space="0"/>
              <w:right w:val="single" w:color="000000" w:sz="6" w:space="0"/>
            </w:tcBorders>
          </w:tcPr>
          <w:p>
            <w:pPr>
              <w:pStyle w:val="33"/>
              <w:spacing w:before="25"/>
              <w:ind w:left="1752" w:right="1751"/>
              <w:jc w:val="center"/>
              <w:rPr>
                <w:sz w:val="28"/>
              </w:rPr>
            </w:pPr>
            <w:r>
              <w:rPr>
                <w:sz w:val="28"/>
              </w:rPr>
              <w:t>工程内容</w:t>
            </w:r>
          </w:p>
        </w:tc>
        <w:tc>
          <w:tcPr>
            <w:tcW w:w="1277" w:type="dxa"/>
            <w:tcBorders>
              <w:left w:val="single" w:color="000000" w:sz="6" w:space="0"/>
              <w:bottom w:val="double" w:color="000000" w:sz="2" w:space="0"/>
            </w:tcBorders>
          </w:tcPr>
          <w:p>
            <w:pPr>
              <w:pStyle w:val="33"/>
              <w:spacing w:before="25"/>
              <w:ind w:left="350"/>
              <w:rPr>
                <w:sz w:val="28"/>
              </w:rPr>
            </w:pPr>
            <w:r>
              <w:rPr>
                <w:sz w:val="28"/>
              </w:rPr>
              <w:t>金额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8" w:type="dxa"/>
            <w:tcBorders>
              <w:top w:val="double" w:color="000000" w:sz="2" w:space="0"/>
              <w:bottom w:val="single" w:color="000000" w:sz="6" w:space="0"/>
              <w:right w:val="single" w:color="000000" w:sz="6" w:space="0"/>
            </w:tcBorders>
          </w:tcPr>
          <w:p>
            <w:pPr>
              <w:pStyle w:val="33"/>
              <w:rPr>
                <w:rFonts w:ascii="Times New Roman"/>
                <w:sz w:val="28"/>
              </w:rPr>
            </w:pPr>
          </w:p>
        </w:tc>
        <w:tc>
          <w:tcPr>
            <w:tcW w:w="1985"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double" w:color="000000" w:sz="2"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double" w:color="000000" w:sz="2"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878" w:type="dxa"/>
            <w:tcBorders>
              <w:top w:val="single" w:color="000000" w:sz="6" w:space="0"/>
              <w:bottom w:val="single" w:color="000000" w:sz="6" w:space="0"/>
              <w:right w:val="single" w:color="000000" w:sz="6" w:space="0"/>
            </w:tcBorders>
          </w:tcPr>
          <w:p>
            <w:pPr>
              <w:pStyle w:val="33"/>
              <w:rPr>
                <w:rFonts w:ascii="Times New Roman"/>
                <w:sz w:val="28"/>
              </w:rPr>
            </w:pPr>
          </w:p>
        </w:tc>
        <w:tc>
          <w:tcPr>
            <w:tcW w:w="1985"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4679" w:type="dxa"/>
            <w:tcBorders>
              <w:top w:val="single" w:color="000000" w:sz="6" w:space="0"/>
              <w:left w:val="single" w:color="000000" w:sz="6" w:space="0"/>
              <w:bottom w:val="single" w:color="000000" w:sz="6" w:space="0"/>
              <w:right w:val="single" w:color="000000" w:sz="6" w:space="0"/>
            </w:tcBorders>
          </w:tcPr>
          <w:p>
            <w:pPr>
              <w:pStyle w:val="33"/>
              <w:rPr>
                <w:rFonts w:ascii="Times New Roman"/>
                <w:sz w:val="28"/>
              </w:rPr>
            </w:pPr>
          </w:p>
        </w:tc>
        <w:tc>
          <w:tcPr>
            <w:tcW w:w="1277" w:type="dxa"/>
            <w:tcBorders>
              <w:top w:val="single" w:color="000000" w:sz="6" w:space="0"/>
              <w:left w:val="single" w:color="000000" w:sz="6" w:space="0"/>
              <w:bottom w:val="single" w:color="000000" w:sz="6" w:space="0"/>
            </w:tcBorders>
          </w:tcPr>
          <w:p>
            <w:pPr>
              <w:pStyle w:val="33"/>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819" w:type="dxa"/>
            <w:gridSpan w:val="4"/>
            <w:tcBorders>
              <w:top w:val="single" w:color="000000" w:sz="6" w:space="0"/>
            </w:tcBorders>
          </w:tcPr>
          <w:p>
            <w:pPr>
              <w:pStyle w:val="33"/>
              <w:spacing w:before="25"/>
              <w:ind w:left="3955" w:right="3954"/>
              <w:jc w:val="center"/>
              <w:rPr>
                <w:sz w:val="28"/>
              </w:rPr>
            </w:pPr>
            <w:r>
              <w:rPr>
                <w:sz w:val="28"/>
              </w:rPr>
              <w:t>小计：</w:t>
            </w:r>
          </w:p>
        </w:tc>
      </w:tr>
    </w:tbl>
    <w:p>
      <w:pPr>
        <w:spacing w:after="0"/>
        <w:jc w:val="center"/>
        <w:rPr>
          <w:sz w:val="28"/>
        </w:rPr>
        <w:sectPr>
          <w:pgSz w:w="11910" w:h="16840"/>
          <w:pgMar w:top="1280" w:right="1340" w:bottom="1160" w:left="1500" w:header="0" w:footer="975" w:gutter="0"/>
        </w:sectPr>
      </w:pPr>
    </w:p>
    <w:p>
      <w:pPr>
        <w:pStyle w:val="3"/>
        <w:tabs>
          <w:tab w:val="left" w:pos="1286"/>
        </w:tabs>
        <w:spacing w:line="392" w:lineRule="exact"/>
        <w:ind w:right="99"/>
      </w:pPr>
      <w:bookmarkStart w:id="762" w:name="_bookmark4"/>
      <w:bookmarkEnd w:id="762"/>
      <w:r>
        <w:t>第五章</w:t>
      </w:r>
      <w:r>
        <w:tab/>
      </w:r>
      <w:r>
        <w:rPr>
          <w:w w:val="95"/>
        </w:rPr>
        <w:t>工程量清单</w:t>
      </w:r>
    </w:p>
    <w:p>
      <w:pPr>
        <w:pStyle w:val="13"/>
        <w:ind w:left="0"/>
        <w:rPr>
          <w:b/>
          <w:sz w:val="20"/>
        </w:rPr>
      </w:pPr>
    </w:p>
    <w:p>
      <w:pPr>
        <w:pStyle w:val="13"/>
        <w:spacing w:before="3"/>
        <w:ind w:left="0"/>
        <w:rPr>
          <w:b/>
        </w:rPr>
      </w:pPr>
    </w:p>
    <w:p>
      <w:pPr>
        <w:spacing w:before="37"/>
        <w:ind w:left="112" w:right="0" w:firstLine="0"/>
        <w:jc w:val="both"/>
        <w:rPr>
          <w:b/>
          <w:sz w:val="21"/>
        </w:rPr>
      </w:pPr>
      <w:r>
        <w:rPr>
          <w:b/>
          <w:sz w:val="21"/>
        </w:rPr>
        <w:t>1、工程量清单说明</w:t>
      </w:r>
    </w:p>
    <w:p>
      <w:pPr>
        <w:pStyle w:val="13"/>
        <w:spacing w:before="9"/>
        <w:ind w:left="0"/>
        <w:rPr>
          <w:b/>
          <w:sz w:val="14"/>
        </w:rPr>
      </w:pPr>
    </w:p>
    <w:p>
      <w:pPr>
        <w:pStyle w:val="32"/>
        <w:numPr>
          <w:ilvl w:val="1"/>
          <w:numId w:val="52"/>
        </w:numPr>
        <w:tabs>
          <w:tab w:val="left" w:pos="851"/>
        </w:tabs>
        <w:spacing w:before="1" w:after="0" w:line="408" w:lineRule="auto"/>
        <w:ind w:left="112" w:right="205" w:firstLine="315"/>
        <w:jc w:val="left"/>
        <w:rPr>
          <w:rFonts w:ascii="宋体" w:hAnsi="宋体" w:eastAsia="宋体" w:cs="宋体"/>
          <w:spacing w:val="-3"/>
          <w:sz w:val="21"/>
          <w:szCs w:val="22"/>
          <w:lang w:val="en-US" w:eastAsia="en-US" w:bidi="ar-SA"/>
        </w:rPr>
      </w:pPr>
      <w:r>
        <w:rPr>
          <w:spacing w:val="-3"/>
          <w:sz w:val="21"/>
        </w:rPr>
        <w:t>本工程量清单是依据《财政部、国土资源部《关于印发中央分成新增建设用地土地有偿使用费资金使用管理办法的通知》（</w:t>
      </w:r>
      <w:r>
        <w:rPr>
          <w:sz w:val="21"/>
        </w:rPr>
        <w:t>财建〔2008〕157</w:t>
      </w:r>
      <w:r>
        <w:rPr>
          <w:spacing w:val="-15"/>
          <w:sz w:val="21"/>
        </w:rPr>
        <w:t xml:space="preserve"> 号</w:t>
      </w:r>
      <w:r>
        <w:rPr>
          <w:sz w:val="21"/>
        </w:rPr>
        <w:t>）</w:t>
      </w:r>
      <w:r>
        <w:rPr>
          <w:spacing w:val="-3"/>
          <w:sz w:val="21"/>
        </w:rPr>
        <w:t>、《财政部、国土资源部文件《财政部、国土资源部关于</w:t>
      </w:r>
      <w:r>
        <w:rPr>
          <w:spacing w:val="-6"/>
          <w:sz w:val="21"/>
        </w:rPr>
        <w:t>印发土地开发整理项目预算定额标准的通知》</w:t>
      </w:r>
      <w:r>
        <w:rPr>
          <w:sz w:val="21"/>
        </w:rPr>
        <w:t>（</w:t>
      </w:r>
      <w:r>
        <w:rPr>
          <w:spacing w:val="-11"/>
          <w:sz w:val="21"/>
        </w:rPr>
        <w:t>财综〔</w:t>
      </w:r>
      <w:r>
        <w:rPr>
          <w:sz w:val="21"/>
        </w:rPr>
        <w:t>2011</w:t>
      </w:r>
      <w:r>
        <w:rPr>
          <w:spacing w:val="-29"/>
          <w:sz w:val="21"/>
        </w:rPr>
        <w:t>〕</w:t>
      </w:r>
      <w:r>
        <w:rPr>
          <w:sz w:val="21"/>
        </w:rPr>
        <w:t>128</w:t>
      </w:r>
      <w:r>
        <w:rPr>
          <w:spacing w:val="-11"/>
          <w:sz w:val="21"/>
        </w:rPr>
        <w:t xml:space="preserve"> 号</w:t>
      </w:r>
      <w:r>
        <w:rPr>
          <w:spacing w:val="-27"/>
          <w:sz w:val="21"/>
        </w:rPr>
        <w:t>）</w:t>
      </w:r>
      <w:r>
        <w:rPr>
          <w:spacing w:val="-13"/>
          <w:sz w:val="21"/>
        </w:rPr>
        <w:t>、《土地开发整理项目预算定额》</w:t>
      </w:r>
      <w:r>
        <w:rPr>
          <w:spacing w:val="-3"/>
          <w:sz w:val="21"/>
        </w:rPr>
        <w:t>（</w:t>
      </w:r>
      <w:r>
        <w:rPr>
          <w:sz w:val="21"/>
        </w:rPr>
        <w:t>国</w:t>
      </w:r>
      <w:r>
        <w:rPr>
          <w:spacing w:val="-3"/>
          <w:sz w:val="21"/>
        </w:rPr>
        <w:t>土资源部财务司、财政部经济建设司</w:t>
      </w:r>
      <w:r>
        <w:rPr>
          <w:sz w:val="21"/>
        </w:rPr>
        <w:t>，2012）</w:t>
      </w:r>
      <w:r>
        <w:rPr>
          <w:spacing w:val="-3"/>
          <w:sz w:val="21"/>
        </w:rPr>
        <w:t>、《土地开发整理项目施工机械台班费定额》</w:t>
      </w:r>
      <w:r>
        <w:rPr>
          <w:sz w:val="21"/>
        </w:rPr>
        <w:t>（</w:t>
      </w:r>
      <w:r>
        <w:rPr>
          <w:spacing w:val="-3"/>
          <w:sz w:val="21"/>
        </w:rPr>
        <w:t>国土资源部</w:t>
      </w:r>
      <w:r>
        <w:rPr>
          <w:spacing w:val="-6"/>
          <w:sz w:val="21"/>
        </w:rPr>
        <w:t>财务司、财政部经济建设司，2012）</w:t>
      </w:r>
      <w:r>
        <w:rPr>
          <w:spacing w:val="-9"/>
          <w:sz w:val="21"/>
        </w:rPr>
        <w:t>、关于印发《广西壮族自治区土地整治专项资金管理办法》的通知</w:t>
      </w:r>
      <w:r>
        <w:rPr>
          <w:spacing w:val="-3"/>
          <w:sz w:val="21"/>
        </w:rPr>
        <w:t>（</w:t>
      </w:r>
      <w:r>
        <w:rPr>
          <w:sz w:val="21"/>
        </w:rPr>
        <w:t>桂财建﹝2010﹞244</w:t>
      </w:r>
      <w:r>
        <w:rPr>
          <w:spacing w:val="8"/>
          <w:sz w:val="21"/>
        </w:rPr>
        <w:t xml:space="preserve"> 号</w:t>
      </w:r>
      <w:r>
        <w:rPr>
          <w:sz w:val="21"/>
        </w:rPr>
        <w:t>）</w:t>
      </w:r>
      <w:r>
        <w:rPr>
          <w:spacing w:val="-3"/>
          <w:sz w:val="21"/>
        </w:rPr>
        <w:t>、《国土资源部办公 厅关于印发土地整治</w:t>
      </w:r>
      <w:r>
        <w:rPr>
          <w:rFonts w:ascii="宋体" w:hAnsi="宋体" w:eastAsia="宋体" w:cs="宋体"/>
          <w:spacing w:val="-3"/>
          <w:sz w:val="21"/>
          <w:szCs w:val="22"/>
          <w:lang w:val="en-US" w:eastAsia="en-US" w:bidi="ar-SA"/>
        </w:rPr>
        <w:t>工程营业税改增值税计价依据调整过渡实</w:t>
      </w:r>
      <w:r>
        <w:rPr>
          <w:spacing w:val="-3"/>
          <w:sz w:val="21"/>
        </w:rPr>
        <w:t>施方案的通知》国土资厅发【</w:t>
      </w:r>
      <w:r>
        <w:rPr>
          <w:sz w:val="21"/>
        </w:rPr>
        <w:t>2017</w:t>
      </w:r>
      <w:r>
        <w:rPr>
          <w:spacing w:val="-3"/>
          <w:sz w:val="21"/>
        </w:rPr>
        <w:t>】</w:t>
      </w:r>
      <w:r>
        <w:rPr>
          <w:sz w:val="21"/>
        </w:rPr>
        <w:t>19</w:t>
      </w:r>
      <w:r>
        <w:rPr>
          <w:spacing w:val="-8"/>
          <w:sz w:val="21"/>
        </w:rPr>
        <w:t xml:space="preserve"> 号、</w:t>
      </w:r>
      <w:r>
        <w:rPr>
          <w:rFonts w:hint="eastAsia"/>
          <w:spacing w:val="-8"/>
          <w:sz w:val="21"/>
        </w:rPr>
        <w:t>《桂林市建设工程造价信息</w:t>
      </w:r>
      <w:r>
        <w:rPr>
          <w:rFonts w:hint="eastAsia" w:ascii="宋体" w:hAnsi="宋体" w:eastAsia="宋体" w:cs="宋体"/>
          <w:spacing w:val="-3"/>
          <w:sz w:val="21"/>
          <w:szCs w:val="22"/>
          <w:lang w:val="en-US" w:eastAsia="en-US" w:bidi="ar-SA"/>
        </w:rPr>
        <w:t>》2019年第10期公布的兴安县信息价、桂</w:t>
      </w:r>
      <w:r>
        <w:rPr>
          <w:rFonts w:hint="eastAsia"/>
          <w:spacing w:val="-8"/>
          <w:sz w:val="21"/>
        </w:rPr>
        <w:t>林市信息价及市场询价</w:t>
      </w:r>
      <w:r>
        <w:rPr>
          <w:spacing w:val="-3"/>
          <w:sz w:val="21"/>
        </w:rPr>
        <w:t>以及招标文件中包括</w:t>
      </w:r>
      <w:r>
        <w:rPr>
          <w:rFonts w:ascii="宋体" w:hAnsi="宋体" w:eastAsia="宋体" w:cs="宋体"/>
          <w:spacing w:val="-3"/>
          <w:sz w:val="21"/>
          <w:szCs w:val="22"/>
          <w:lang w:val="en-US" w:eastAsia="en-US" w:bidi="ar-SA"/>
        </w:rPr>
        <w:t>的图纸等编制。计价规范中规定的工程量计算规则中没有的子目，应在本章第 1.4 款约定；计价规范中规定的工程量计算规则中没有且本章第 1.4 款也未约定的，双方协商确定；协商不成的，可向省级或行业工程造价管理机构申请裁定或按照有合同约束力的图纸所标示尺寸的理论净量计算。计量采用中华人民共和国法定的基本计量单位。</w:t>
      </w:r>
    </w:p>
    <w:p>
      <w:pPr>
        <w:pStyle w:val="32"/>
        <w:numPr>
          <w:ilvl w:val="1"/>
          <w:numId w:val="52"/>
        </w:numPr>
        <w:tabs>
          <w:tab w:val="left" w:pos="851"/>
        </w:tabs>
        <w:spacing w:before="1" w:after="0" w:line="408" w:lineRule="auto"/>
        <w:ind w:left="112" w:right="205" w:firstLine="315"/>
        <w:jc w:val="left"/>
        <w:rPr>
          <w:sz w:val="21"/>
        </w:rPr>
      </w:pPr>
      <w:r>
        <w:rPr>
          <w:rFonts w:ascii="宋体" w:hAnsi="宋体" w:eastAsia="宋体" w:cs="宋体"/>
          <w:spacing w:val="-3"/>
          <w:sz w:val="21"/>
          <w:szCs w:val="22"/>
          <w:lang w:val="en-US" w:eastAsia="en-US" w:bidi="ar-SA"/>
        </w:rPr>
        <w:t>本工程量清单应与招标文件中的投标人须知、通用合同条款、专用合同条款、技</w:t>
      </w:r>
      <w:r>
        <w:rPr>
          <w:spacing w:val="-3"/>
          <w:sz w:val="21"/>
        </w:rPr>
        <w:t>术标准和要求及图纸等章节内容一起阅读和理解。</w:t>
      </w:r>
    </w:p>
    <w:p>
      <w:pPr>
        <w:pStyle w:val="32"/>
        <w:numPr>
          <w:ilvl w:val="1"/>
          <w:numId w:val="52"/>
        </w:numPr>
        <w:tabs>
          <w:tab w:val="left" w:pos="851"/>
        </w:tabs>
        <w:spacing w:before="46" w:after="0" w:line="408" w:lineRule="auto"/>
        <w:ind w:left="112" w:right="219" w:firstLine="315"/>
        <w:jc w:val="left"/>
        <w:rPr>
          <w:sz w:val="21"/>
        </w:rPr>
      </w:pPr>
      <w:r>
        <w:rPr>
          <w:spacing w:val="-3"/>
          <w:sz w:val="21"/>
        </w:rPr>
        <w:t>本工程量清单仅是投标报价的共同基础，竣工结算的工程量按合同约定确定。合同价格的确定以及价款支付应遵循合同条款</w:t>
      </w:r>
      <w:r>
        <w:rPr>
          <w:sz w:val="21"/>
        </w:rPr>
        <w:t>（</w:t>
      </w:r>
      <w:r>
        <w:rPr>
          <w:spacing w:val="-3"/>
          <w:sz w:val="21"/>
        </w:rPr>
        <w:t>包括通用合同条款和专用合同条款</w:t>
      </w:r>
      <w:r>
        <w:rPr>
          <w:sz w:val="21"/>
        </w:rPr>
        <w:t>）</w:t>
      </w:r>
      <w:r>
        <w:rPr>
          <w:spacing w:val="-3"/>
          <w:sz w:val="21"/>
        </w:rPr>
        <w:t>、技术标准和要求以及本章的有关约定。</w:t>
      </w:r>
    </w:p>
    <w:p>
      <w:pPr>
        <w:pStyle w:val="32"/>
        <w:numPr>
          <w:ilvl w:val="1"/>
          <w:numId w:val="52"/>
        </w:numPr>
        <w:tabs>
          <w:tab w:val="left" w:pos="851"/>
          <w:tab w:val="left" w:pos="9359"/>
        </w:tabs>
        <w:spacing w:before="46" w:after="0" w:line="240" w:lineRule="auto"/>
        <w:ind w:left="112" w:right="0" w:firstLine="315"/>
        <w:jc w:val="left"/>
        <w:rPr>
          <w:sz w:val="21"/>
        </w:rPr>
      </w:pPr>
      <w:r>
        <w:rPr>
          <w:spacing w:val="-3"/>
          <w:sz w:val="21"/>
        </w:rPr>
        <w:t>补</w:t>
      </w:r>
      <w:r>
        <w:rPr>
          <w:sz w:val="21"/>
        </w:rPr>
        <w:t>充</w:t>
      </w:r>
      <w:r>
        <w:rPr>
          <w:spacing w:val="-3"/>
          <w:sz w:val="21"/>
        </w:rPr>
        <w:t>子</w:t>
      </w:r>
      <w:r>
        <w:rPr>
          <w:sz w:val="21"/>
        </w:rPr>
        <w:t>目</w:t>
      </w:r>
      <w:r>
        <w:rPr>
          <w:spacing w:val="-3"/>
          <w:sz w:val="21"/>
        </w:rPr>
        <w:t>的</w:t>
      </w:r>
      <w:r>
        <w:rPr>
          <w:sz w:val="21"/>
        </w:rPr>
        <w:t>子</w:t>
      </w:r>
      <w:r>
        <w:rPr>
          <w:spacing w:val="-3"/>
          <w:sz w:val="21"/>
        </w:rPr>
        <w:t>目</w:t>
      </w:r>
      <w:r>
        <w:rPr>
          <w:sz w:val="21"/>
        </w:rPr>
        <w:t>特</w:t>
      </w:r>
      <w:r>
        <w:rPr>
          <w:spacing w:val="-3"/>
          <w:sz w:val="21"/>
        </w:rPr>
        <w:t>征</w:t>
      </w:r>
      <w:r>
        <w:rPr>
          <w:sz w:val="21"/>
        </w:rPr>
        <w:t>、计</w:t>
      </w:r>
      <w:r>
        <w:rPr>
          <w:spacing w:val="-3"/>
          <w:sz w:val="21"/>
        </w:rPr>
        <w:t>量</w:t>
      </w:r>
      <w:r>
        <w:rPr>
          <w:sz w:val="21"/>
        </w:rPr>
        <w:t>单</w:t>
      </w:r>
      <w:r>
        <w:rPr>
          <w:spacing w:val="-3"/>
          <w:sz w:val="21"/>
        </w:rPr>
        <w:t>位</w:t>
      </w:r>
      <w:r>
        <w:rPr>
          <w:sz w:val="21"/>
        </w:rPr>
        <w:t>、</w:t>
      </w:r>
      <w:r>
        <w:rPr>
          <w:spacing w:val="-3"/>
          <w:sz w:val="21"/>
        </w:rPr>
        <w:t>工</w:t>
      </w:r>
      <w:r>
        <w:rPr>
          <w:sz w:val="21"/>
        </w:rPr>
        <w:t>程</w:t>
      </w:r>
      <w:r>
        <w:rPr>
          <w:spacing w:val="-3"/>
          <w:sz w:val="21"/>
        </w:rPr>
        <w:t>量</w:t>
      </w:r>
      <w:r>
        <w:rPr>
          <w:sz w:val="21"/>
        </w:rPr>
        <w:t>计</w:t>
      </w:r>
      <w:r>
        <w:rPr>
          <w:spacing w:val="-3"/>
          <w:sz w:val="21"/>
        </w:rPr>
        <w:t>算</w:t>
      </w:r>
      <w:r>
        <w:rPr>
          <w:sz w:val="21"/>
        </w:rPr>
        <w:t>规则</w:t>
      </w:r>
      <w:r>
        <w:rPr>
          <w:spacing w:val="-3"/>
          <w:sz w:val="21"/>
        </w:rPr>
        <w:t>及</w:t>
      </w:r>
      <w:r>
        <w:rPr>
          <w:sz w:val="21"/>
        </w:rPr>
        <w:t>工</w:t>
      </w:r>
      <w:r>
        <w:rPr>
          <w:spacing w:val="-3"/>
          <w:sz w:val="21"/>
        </w:rPr>
        <w:t>作</w:t>
      </w:r>
      <w:r>
        <w:rPr>
          <w:sz w:val="21"/>
        </w:rPr>
        <w:t>内</w:t>
      </w:r>
      <w:r>
        <w:rPr>
          <w:spacing w:val="-3"/>
          <w:sz w:val="21"/>
        </w:rPr>
        <w:t>容</w:t>
      </w:r>
      <w:r>
        <w:rPr>
          <w:sz w:val="21"/>
        </w:rPr>
        <w:t>说</w:t>
      </w:r>
      <w:r>
        <w:rPr>
          <w:spacing w:val="-3"/>
          <w:sz w:val="21"/>
        </w:rPr>
        <w:t>明</w:t>
      </w:r>
      <w:r>
        <w:rPr>
          <w:sz w:val="21"/>
        </w:rPr>
        <w:t>如</w:t>
      </w:r>
      <w:r>
        <w:rPr>
          <w:spacing w:val="-3"/>
          <w:sz w:val="21"/>
        </w:rPr>
        <w:t>下</w:t>
      </w:r>
      <w:r>
        <w:rPr>
          <w:sz w:val="21"/>
        </w:rPr>
        <w:t>：</w:t>
      </w:r>
      <w:r>
        <w:rPr>
          <w:sz w:val="21"/>
          <w:u w:val="single"/>
        </w:rPr>
        <w:t xml:space="preserve"> </w:t>
      </w:r>
      <w:r>
        <w:rPr>
          <w:spacing w:val="37"/>
          <w:sz w:val="21"/>
          <w:u w:val="single"/>
        </w:rPr>
        <w:t xml:space="preserve"> </w:t>
      </w:r>
      <w:r>
        <w:rPr>
          <w:sz w:val="21"/>
          <w:u w:val="single"/>
        </w:rPr>
        <w:t>/</w:t>
      </w:r>
      <w:r>
        <w:rPr>
          <w:sz w:val="21"/>
          <w:u w:val="single"/>
        </w:rPr>
        <w:tab/>
      </w:r>
      <w:r>
        <w:rPr>
          <w:sz w:val="21"/>
        </w:rPr>
        <w:t>。</w:t>
      </w:r>
    </w:p>
    <w:p>
      <w:pPr>
        <w:pStyle w:val="13"/>
        <w:spacing w:before="9"/>
        <w:ind w:left="0"/>
        <w:rPr>
          <w:sz w:val="14"/>
        </w:rPr>
      </w:pPr>
    </w:p>
    <w:p>
      <w:pPr>
        <w:pStyle w:val="32"/>
        <w:numPr>
          <w:ilvl w:val="1"/>
          <w:numId w:val="52"/>
        </w:numPr>
        <w:tabs>
          <w:tab w:val="left" w:pos="953"/>
          <w:tab w:val="left" w:pos="954"/>
        </w:tabs>
        <w:spacing w:before="0" w:after="0" w:line="408" w:lineRule="auto"/>
        <w:ind w:left="112" w:right="118" w:firstLine="315"/>
        <w:jc w:val="left"/>
        <w:rPr>
          <w:sz w:val="21"/>
        </w:rPr>
      </w:pPr>
      <w:r>
        <w:rPr>
          <w:spacing w:val="-10"/>
          <w:sz w:val="21"/>
        </w:rPr>
        <w:t xml:space="preserve">本条第 </w:t>
      </w:r>
      <w:r>
        <w:rPr>
          <w:sz w:val="21"/>
        </w:rPr>
        <w:t>1.1</w:t>
      </w:r>
      <w:r>
        <w:rPr>
          <w:spacing w:val="-8"/>
          <w:sz w:val="21"/>
        </w:rPr>
        <w:t xml:space="preserve"> 款中约定的计量和计价规则适用于合同履约过程中工程量计量与价款支付、工程变更、</w:t>
      </w:r>
      <w:r>
        <w:rPr>
          <w:spacing w:val="-5"/>
          <w:sz w:val="21"/>
        </w:rPr>
        <w:t>索赔和工程结算。</w:t>
      </w:r>
    </w:p>
    <w:p>
      <w:pPr>
        <w:pStyle w:val="32"/>
        <w:numPr>
          <w:ilvl w:val="1"/>
          <w:numId w:val="52"/>
        </w:numPr>
        <w:tabs>
          <w:tab w:val="left" w:pos="851"/>
        </w:tabs>
        <w:spacing w:before="45" w:after="0" w:line="240" w:lineRule="auto"/>
        <w:ind w:left="112" w:right="0" w:firstLine="315"/>
        <w:jc w:val="left"/>
        <w:rPr>
          <w:sz w:val="21"/>
        </w:rPr>
      </w:pPr>
      <w:r>
        <w:rPr>
          <w:spacing w:val="-9"/>
          <w:sz w:val="21"/>
        </w:rPr>
        <w:t xml:space="preserve">本条与下述第 </w:t>
      </w:r>
      <w:r>
        <w:rPr>
          <w:sz w:val="21"/>
        </w:rPr>
        <w:t>2</w:t>
      </w:r>
      <w:r>
        <w:rPr>
          <w:spacing w:val="-18"/>
          <w:sz w:val="21"/>
        </w:rPr>
        <w:t xml:space="preserve"> 条和第 </w:t>
      </w:r>
      <w:r>
        <w:rPr>
          <w:sz w:val="21"/>
        </w:rPr>
        <w:t>3</w:t>
      </w:r>
      <w:r>
        <w:rPr>
          <w:spacing w:val="-8"/>
          <w:sz w:val="21"/>
        </w:rPr>
        <w:t xml:space="preserve"> 条的说明内容是构成合同文件的已标价工程量清单的组成部分。</w:t>
      </w:r>
    </w:p>
    <w:p>
      <w:pPr>
        <w:pStyle w:val="13"/>
        <w:spacing w:before="9"/>
        <w:ind w:left="0"/>
        <w:rPr>
          <w:sz w:val="14"/>
        </w:rPr>
      </w:pPr>
    </w:p>
    <w:p>
      <w:pPr>
        <w:spacing w:before="0"/>
        <w:ind w:left="112" w:right="0" w:firstLine="0"/>
        <w:jc w:val="both"/>
        <w:rPr>
          <w:b/>
          <w:sz w:val="21"/>
        </w:rPr>
      </w:pPr>
      <w:r>
        <w:rPr>
          <w:b/>
          <w:sz w:val="21"/>
        </w:rPr>
        <w:t>2、投标报价说明</w:t>
      </w:r>
    </w:p>
    <w:p>
      <w:pPr>
        <w:pStyle w:val="13"/>
        <w:spacing w:before="9"/>
        <w:ind w:left="0"/>
        <w:rPr>
          <w:b/>
          <w:sz w:val="14"/>
        </w:rPr>
      </w:pPr>
    </w:p>
    <w:p>
      <w:pPr>
        <w:pStyle w:val="32"/>
        <w:numPr>
          <w:ilvl w:val="1"/>
          <w:numId w:val="53"/>
        </w:numPr>
        <w:tabs>
          <w:tab w:val="left" w:pos="639"/>
        </w:tabs>
        <w:spacing w:before="0" w:after="0" w:line="240" w:lineRule="auto"/>
        <w:ind w:left="112" w:right="0" w:firstLine="0"/>
        <w:jc w:val="both"/>
        <w:rPr>
          <w:sz w:val="21"/>
        </w:rPr>
      </w:pPr>
      <w:r>
        <w:rPr>
          <w:spacing w:val="-3"/>
          <w:sz w:val="21"/>
        </w:rPr>
        <w:t>投标报价应根据招标文件中的有关计价要求，并按照下列依据自主报价。</w:t>
      </w:r>
    </w:p>
    <w:p>
      <w:pPr>
        <w:pStyle w:val="13"/>
        <w:spacing w:before="9"/>
        <w:ind w:left="0"/>
        <w:rPr>
          <w:sz w:val="14"/>
        </w:rPr>
      </w:pPr>
    </w:p>
    <w:p>
      <w:pPr>
        <w:pStyle w:val="13"/>
        <w:ind w:left="324"/>
      </w:pPr>
      <w:r>
        <w:t>（1）《财政部、国土资源部《关于印发中央分成新增建设用地土地有偿使用费资金使用管理办法的通知》</w:t>
      </w:r>
    </w:p>
    <w:p>
      <w:pPr>
        <w:pStyle w:val="13"/>
        <w:spacing w:before="9"/>
        <w:ind w:left="0"/>
        <w:rPr>
          <w:sz w:val="14"/>
        </w:rPr>
      </w:pPr>
    </w:p>
    <w:p>
      <w:pPr>
        <w:pStyle w:val="13"/>
        <w:ind w:left="881"/>
      </w:pPr>
      <w:r>
        <w:t>（财建〔2008〕157 号）</w:t>
      </w:r>
    </w:p>
    <w:p>
      <w:pPr>
        <w:pStyle w:val="13"/>
        <w:spacing w:before="10"/>
        <w:ind w:left="0"/>
        <w:rPr>
          <w:sz w:val="14"/>
        </w:rPr>
      </w:pPr>
    </w:p>
    <w:p>
      <w:pPr>
        <w:pStyle w:val="13"/>
        <w:ind w:left="324"/>
      </w:pPr>
      <w:r>
        <w:t>（2）《财政部、国土资源部文件《财政部、国土资源部关于印发土地开发整理项目预算定额标准的通知》</w:t>
      </w:r>
    </w:p>
    <w:p>
      <w:pPr>
        <w:pStyle w:val="13"/>
        <w:spacing w:before="9"/>
        <w:ind w:left="0"/>
        <w:rPr>
          <w:sz w:val="14"/>
        </w:rPr>
      </w:pPr>
    </w:p>
    <w:p>
      <w:pPr>
        <w:pStyle w:val="13"/>
        <w:spacing w:before="1"/>
        <w:ind w:left="881"/>
      </w:pPr>
      <w:r>
        <w:t>（财综〔2011〕128 号）</w:t>
      </w:r>
    </w:p>
    <w:p>
      <w:pPr>
        <w:pStyle w:val="13"/>
        <w:spacing w:before="10"/>
        <w:ind w:left="0"/>
        <w:rPr>
          <w:sz w:val="14"/>
        </w:rPr>
      </w:pPr>
    </w:p>
    <w:p>
      <w:pPr>
        <w:pStyle w:val="13"/>
        <w:ind w:left="324"/>
      </w:pPr>
      <w:r>
        <w:t>（3）《土地开发整理项目预算定额》（国土资源部财务司、财政部经济建设司，2012）</w:t>
      </w:r>
    </w:p>
    <w:p>
      <w:pPr>
        <w:pStyle w:val="13"/>
        <w:spacing w:before="9"/>
        <w:ind w:left="0"/>
        <w:rPr>
          <w:sz w:val="14"/>
        </w:rPr>
      </w:pPr>
    </w:p>
    <w:p>
      <w:pPr>
        <w:pStyle w:val="13"/>
        <w:spacing w:before="1"/>
        <w:ind w:left="324"/>
      </w:pPr>
      <w:r>
        <w:t>（4）《土地开发整理项目施工机械台班费定额》（国土资源部财务司、财政部经济建设司，2012）</w:t>
      </w:r>
    </w:p>
    <w:p>
      <w:pPr>
        <w:pStyle w:val="13"/>
        <w:spacing w:before="10"/>
        <w:ind w:left="0"/>
        <w:rPr>
          <w:sz w:val="14"/>
        </w:rPr>
      </w:pPr>
    </w:p>
    <w:p>
      <w:pPr>
        <w:pStyle w:val="13"/>
        <w:ind w:left="0" w:right="156"/>
        <w:jc w:val="center"/>
      </w:pPr>
      <w:r>
        <w:t>（5）关于印发《广西壮族自治区土地整治专项资金管理办法》的通知（桂财建﹝2010﹞244 号）</w:t>
      </w:r>
    </w:p>
    <w:p>
      <w:pPr>
        <w:spacing w:after="0"/>
        <w:jc w:val="center"/>
        <w:sectPr>
          <w:pgSz w:w="11910" w:h="16840"/>
          <w:pgMar w:top="1120" w:right="780" w:bottom="1160" w:left="1020" w:header="0" w:footer="975" w:gutter="0"/>
        </w:sectPr>
      </w:pPr>
    </w:p>
    <w:p>
      <w:pPr>
        <w:pStyle w:val="13"/>
        <w:spacing w:before="18" w:line="408" w:lineRule="auto"/>
        <w:ind w:left="881" w:right="105" w:hanging="346"/>
      </w:pPr>
      <w:r>
        <w:t>（6）《国土资源部办公 厅关于印发土地整治工程营业税改增值税计价依据调整过渡实施方案的通知》国土资厅发【2017】19 号</w:t>
      </w:r>
    </w:p>
    <w:p>
      <w:pPr>
        <w:pStyle w:val="13"/>
        <w:spacing w:before="45"/>
        <w:ind w:left="535"/>
        <w:rPr>
          <w:rFonts w:hint="eastAsia" w:eastAsia="宋体"/>
          <w:lang w:eastAsia="zh-CN"/>
        </w:rPr>
      </w:pPr>
      <w:r>
        <w:t>（7）《桂林市建设工程造价信</w:t>
      </w:r>
      <w:r>
        <w:rPr>
          <w:rFonts w:ascii="宋体" w:hAnsi="宋体" w:eastAsia="宋体" w:cs="宋体"/>
          <w:spacing w:val="-3"/>
          <w:sz w:val="21"/>
          <w:szCs w:val="22"/>
          <w:lang w:val="en-US" w:eastAsia="en-US" w:bidi="ar-SA"/>
        </w:rPr>
        <w:t xml:space="preserve">息》2019 年 </w:t>
      </w:r>
      <w:r>
        <w:rPr>
          <w:rFonts w:hint="eastAsia" w:ascii="宋体" w:hAnsi="宋体" w:eastAsia="宋体" w:cs="宋体"/>
          <w:spacing w:val="-3"/>
          <w:sz w:val="21"/>
          <w:szCs w:val="22"/>
          <w:lang w:val="en-US" w:eastAsia="zh-CN" w:bidi="ar-SA"/>
        </w:rPr>
        <w:t>第10</w:t>
      </w:r>
      <w:r>
        <w:rPr>
          <w:rFonts w:ascii="宋体" w:hAnsi="宋体" w:eastAsia="宋体" w:cs="宋体"/>
          <w:spacing w:val="-3"/>
          <w:sz w:val="21"/>
          <w:szCs w:val="22"/>
          <w:lang w:val="en-US" w:eastAsia="en-US" w:bidi="ar-SA"/>
        </w:rPr>
        <w:t xml:space="preserve"> </w:t>
      </w:r>
      <w:r>
        <w:rPr>
          <w:rFonts w:hint="eastAsia" w:ascii="宋体" w:hAnsi="宋体" w:eastAsia="宋体" w:cs="宋体"/>
          <w:spacing w:val="-3"/>
          <w:sz w:val="21"/>
          <w:szCs w:val="22"/>
          <w:lang w:val="en-US" w:eastAsia="zh-CN" w:bidi="ar-SA"/>
        </w:rPr>
        <w:t>期</w:t>
      </w:r>
      <w:r>
        <w:rPr>
          <w:rFonts w:ascii="宋体" w:hAnsi="宋体" w:eastAsia="宋体" w:cs="宋体"/>
          <w:spacing w:val="-3"/>
          <w:sz w:val="21"/>
          <w:szCs w:val="22"/>
          <w:lang w:val="en-US" w:eastAsia="en-US" w:bidi="ar-SA"/>
        </w:rPr>
        <w:t>兴安县信</w:t>
      </w:r>
      <w:r>
        <w:t>息价</w:t>
      </w:r>
      <w:r>
        <w:rPr>
          <w:rFonts w:hint="eastAsia"/>
          <w:spacing w:val="-8"/>
          <w:sz w:val="21"/>
        </w:rPr>
        <w:t>桂林市信息价及市场询价</w:t>
      </w:r>
      <w:r>
        <w:rPr>
          <w:rFonts w:hint="eastAsia"/>
          <w:spacing w:val="-8"/>
          <w:sz w:val="21"/>
          <w:lang w:eastAsia="zh-CN"/>
        </w:rPr>
        <w:t>。</w:t>
      </w:r>
    </w:p>
    <w:p>
      <w:pPr>
        <w:pStyle w:val="13"/>
        <w:spacing w:before="9"/>
        <w:ind w:left="0"/>
        <w:rPr>
          <w:sz w:val="14"/>
        </w:rPr>
      </w:pPr>
    </w:p>
    <w:p>
      <w:pPr>
        <w:pStyle w:val="32"/>
        <w:numPr>
          <w:ilvl w:val="1"/>
          <w:numId w:val="53"/>
        </w:numPr>
        <w:tabs>
          <w:tab w:val="left" w:pos="747"/>
        </w:tabs>
        <w:spacing w:before="0" w:after="0" w:line="240" w:lineRule="auto"/>
        <w:ind w:left="746" w:right="0" w:hanging="422"/>
        <w:jc w:val="left"/>
        <w:rPr>
          <w:sz w:val="21"/>
        </w:rPr>
      </w:pPr>
      <w:r>
        <w:rPr>
          <w:spacing w:val="-3"/>
          <w:sz w:val="21"/>
        </w:rPr>
        <w:t>工程量清单中的每一子目须填入单价或价格，且只允许有一个报价。</w:t>
      </w:r>
    </w:p>
    <w:p>
      <w:pPr>
        <w:pStyle w:val="13"/>
        <w:spacing w:before="9"/>
        <w:ind w:left="0"/>
        <w:rPr>
          <w:sz w:val="14"/>
        </w:rPr>
      </w:pPr>
    </w:p>
    <w:p>
      <w:pPr>
        <w:pStyle w:val="32"/>
        <w:numPr>
          <w:ilvl w:val="1"/>
          <w:numId w:val="53"/>
        </w:numPr>
        <w:tabs>
          <w:tab w:val="left" w:pos="695"/>
        </w:tabs>
        <w:spacing w:before="0" w:after="0" w:line="408" w:lineRule="auto"/>
        <w:ind w:left="112" w:right="375" w:firstLine="212"/>
        <w:jc w:val="left"/>
        <w:rPr>
          <w:sz w:val="21"/>
        </w:rPr>
      </w:pPr>
      <w:r>
        <w:rPr>
          <w:spacing w:val="-3"/>
          <w:sz w:val="21"/>
        </w:rPr>
        <w:t>工程量清单中标价的单价或金额，应包括所需人工费、材料费、施工机械使用费和管理费及利润， 以及一定范围内的风险费用。所谓“一定范围内的风险”是指合同约定的风险。</w:t>
      </w:r>
    </w:p>
    <w:p>
      <w:pPr>
        <w:pStyle w:val="32"/>
        <w:numPr>
          <w:ilvl w:val="1"/>
          <w:numId w:val="53"/>
        </w:numPr>
        <w:tabs>
          <w:tab w:val="left" w:pos="709"/>
        </w:tabs>
        <w:spacing w:before="45" w:after="0" w:line="408" w:lineRule="auto"/>
        <w:ind w:left="127" w:right="360" w:firstLine="211"/>
        <w:jc w:val="left"/>
        <w:rPr>
          <w:sz w:val="21"/>
        </w:rPr>
      </w:pPr>
      <w:r>
        <w:rPr>
          <w:spacing w:val="-3"/>
          <w:sz w:val="21"/>
        </w:rPr>
        <w:t>已标价工程量清单中投标人没有填入单价或价格的子目，其费用视为已分摊在工程量清单中其他已标价的相关子目的单价或价格之中。</w:t>
      </w:r>
    </w:p>
    <w:p>
      <w:pPr>
        <w:pStyle w:val="32"/>
        <w:numPr>
          <w:ilvl w:val="1"/>
          <w:numId w:val="53"/>
        </w:numPr>
        <w:tabs>
          <w:tab w:val="left" w:pos="643"/>
        </w:tabs>
        <w:spacing w:before="45" w:after="0" w:line="408" w:lineRule="auto"/>
        <w:ind w:left="112" w:right="219" w:firstLine="212"/>
        <w:jc w:val="left"/>
        <w:rPr>
          <w:sz w:val="21"/>
        </w:rPr>
      </w:pPr>
      <w:r>
        <w:rPr>
          <w:spacing w:val="-3"/>
          <w:sz w:val="21"/>
        </w:rPr>
        <w:t>“投标报价汇总表”中的投标总价由分部分项工程费、措施项目费、其他项目费、规费和税金组成， 并且“投标报价汇总表”中的投标总价应当与构成已标价工程量清单的分部分项工程费、措施项目费、  其他项目费、规费、税金的合计金额一致。</w:t>
      </w:r>
    </w:p>
    <w:p>
      <w:pPr>
        <w:pStyle w:val="32"/>
        <w:numPr>
          <w:ilvl w:val="1"/>
          <w:numId w:val="53"/>
        </w:numPr>
        <w:tabs>
          <w:tab w:val="left" w:pos="483"/>
        </w:tabs>
        <w:spacing w:before="45" w:after="0" w:line="240" w:lineRule="auto"/>
        <w:ind w:left="482" w:right="0" w:hanging="370"/>
        <w:jc w:val="left"/>
        <w:rPr>
          <w:b/>
          <w:sz w:val="21"/>
        </w:rPr>
      </w:pPr>
      <w:r>
        <w:rPr>
          <w:b/>
          <w:spacing w:val="-1"/>
          <w:sz w:val="21"/>
        </w:rPr>
        <w:t>分部分项工程项目按下列要求报价：</w:t>
      </w:r>
    </w:p>
    <w:p>
      <w:pPr>
        <w:pStyle w:val="13"/>
        <w:spacing w:before="9"/>
        <w:ind w:left="0"/>
        <w:rPr>
          <w:b/>
          <w:sz w:val="14"/>
        </w:rPr>
      </w:pPr>
    </w:p>
    <w:p>
      <w:pPr>
        <w:pStyle w:val="32"/>
        <w:numPr>
          <w:ilvl w:val="2"/>
          <w:numId w:val="53"/>
        </w:numPr>
        <w:tabs>
          <w:tab w:val="left" w:pos="903"/>
        </w:tabs>
        <w:spacing w:before="0" w:after="0" w:line="240" w:lineRule="auto"/>
        <w:ind w:left="112" w:right="0" w:firstLine="212"/>
        <w:jc w:val="left"/>
        <w:rPr>
          <w:sz w:val="21"/>
        </w:rPr>
      </w:pPr>
      <w:r>
        <w:rPr>
          <w:spacing w:val="-3"/>
          <w:sz w:val="21"/>
        </w:rPr>
        <w:t>分部分项工程量清单计价应依据计价规范中关于综合单价的组成内容确定报价。</w:t>
      </w:r>
    </w:p>
    <w:p>
      <w:pPr>
        <w:pStyle w:val="13"/>
        <w:spacing w:before="9"/>
        <w:ind w:left="0"/>
        <w:rPr>
          <w:sz w:val="14"/>
        </w:rPr>
      </w:pPr>
    </w:p>
    <w:p>
      <w:pPr>
        <w:pStyle w:val="32"/>
        <w:numPr>
          <w:ilvl w:val="2"/>
          <w:numId w:val="53"/>
        </w:numPr>
        <w:tabs>
          <w:tab w:val="left" w:pos="903"/>
        </w:tabs>
        <w:spacing w:before="0" w:after="0" w:line="408" w:lineRule="auto"/>
        <w:ind w:left="112" w:right="375" w:firstLine="212"/>
        <w:jc w:val="left"/>
        <w:rPr>
          <w:sz w:val="21"/>
        </w:rPr>
      </w:pPr>
      <w:r>
        <w:rPr>
          <w:spacing w:val="-3"/>
          <w:sz w:val="21"/>
        </w:rPr>
        <w:t>如果分部分项工程量清单中涉及“材料和工程设备暂估单价表”中列出的材料和工程设备，则按</w:t>
      </w:r>
      <w:r>
        <w:rPr>
          <w:spacing w:val="-11"/>
          <w:sz w:val="21"/>
        </w:rPr>
        <w:t xml:space="preserve">照本节第 </w:t>
      </w:r>
      <w:r>
        <w:rPr>
          <w:sz w:val="21"/>
        </w:rPr>
        <w:t>3.3.2</w:t>
      </w:r>
      <w:r>
        <w:rPr>
          <w:spacing w:val="-8"/>
          <w:sz w:val="21"/>
        </w:rPr>
        <w:t xml:space="preserve"> 项的报价原则，将该类材料和工程设备的暂估单价本身以及除对应的规费及税金以外的费</w:t>
      </w:r>
      <w:r>
        <w:rPr>
          <w:spacing w:val="-4"/>
          <w:sz w:val="21"/>
        </w:rPr>
        <w:t>用计入分部分项工程量清单相应子目的综合单价。</w:t>
      </w:r>
    </w:p>
    <w:p>
      <w:pPr>
        <w:pStyle w:val="32"/>
        <w:numPr>
          <w:ilvl w:val="2"/>
          <w:numId w:val="53"/>
        </w:numPr>
        <w:tabs>
          <w:tab w:val="left" w:pos="1061"/>
          <w:tab w:val="left" w:pos="1062"/>
        </w:tabs>
        <w:spacing w:before="45" w:after="0" w:line="408" w:lineRule="auto"/>
        <w:ind w:left="112" w:right="219" w:firstLine="212"/>
        <w:jc w:val="left"/>
        <w:rPr>
          <w:sz w:val="21"/>
        </w:rPr>
      </w:pPr>
      <w:r>
        <w:rPr>
          <w:spacing w:val="-3"/>
          <w:sz w:val="21"/>
        </w:rPr>
        <w:t>如果分部分项工程量清单中涉及“发包人提供的材料和工程设备一览表”</w:t>
      </w:r>
      <w:r>
        <w:rPr>
          <w:sz w:val="21"/>
        </w:rPr>
        <w:t>（</w:t>
      </w:r>
      <w:r>
        <w:rPr>
          <w:spacing w:val="-3"/>
          <w:sz w:val="21"/>
        </w:rPr>
        <w:t>见第三章合同条款及格式第三节附件三）中列出的材料和工程设备，则该类材料和工程设备供应至现场指定位置的采购供应  价本身不计入投标报价，但应将该类材料和工程设备的安装、安装所需要的辅助材料、安装损耗以及其  他必要的辅助工作及其对应的管理费及利润计入分部分项工程量清单相应子目的综合单价，并其他项目  清单报价中计取与合同约定服务内容相对应的总承包服务费。</w:t>
      </w:r>
    </w:p>
    <w:p>
      <w:pPr>
        <w:pStyle w:val="32"/>
        <w:numPr>
          <w:ilvl w:val="2"/>
          <w:numId w:val="53"/>
        </w:numPr>
        <w:tabs>
          <w:tab w:val="left" w:pos="854"/>
        </w:tabs>
        <w:spacing w:before="45" w:after="0" w:line="408" w:lineRule="auto"/>
        <w:ind w:left="112" w:right="428" w:firstLine="212"/>
        <w:jc w:val="left"/>
        <w:rPr>
          <w:sz w:val="21"/>
        </w:rPr>
      </w:pPr>
      <w:r>
        <w:rPr>
          <w:spacing w:val="-3"/>
          <w:sz w:val="21"/>
        </w:rPr>
        <w:t>“分部分项工程量清单与计价表”所列各子目的综合单价组成中，各子目的人工、材料和机械台班消耗量由投标人按照其自身情况做充分的、竞争性考虑。材料消耗量包括损耗量。</w:t>
      </w:r>
    </w:p>
    <w:p>
      <w:pPr>
        <w:pStyle w:val="32"/>
        <w:numPr>
          <w:ilvl w:val="2"/>
          <w:numId w:val="53"/>
        </w:numPr>
        <w:tabs>
          <w:tab w:val="left" w:pos="903"/>
        </w:tabs>
        <w:spacing w:before="45" w:after="0" w:line="408" w:lineRule="auto"/>
        <w:ind w:left="112" w:right="322" w:firstLine="212"/>
        <w:jc w:val="left"/>
        <w:rPr>
          <w:sz w:val="21"/>
        </w:rPr>
      </w:pPr>
      <w:r>
        <w:rPr>
          <w:spacing w:val="-3"/>
          <w:sz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 设备的价格应与构成综合单价相应材料或工程设备的价格一致。落地之后发生的仓储、保管、库损以及 从堆放地点运至安装地点的二次搬运等其他费用均应在投标报价中考虑。</w:t>
      </w:r>
    </w:p>
    <w:p>
      <w:pPr>
        <w:pStyle w:val="32"/>
        <w:numPr>
          <w:ilvl w:val="1"/>
          <w:numId w:val="53"/>
        </w:numPr>
        <w:tabs>
          <w:tab w:val="left" w:pos="852"/>
          <w:tab w:val="left" w:pos="853"/>
        </w:tabs>
        <w:spacing w:before="45" w:after="0" w:line="240" w:lineRule="auto"/>
        <w:ind w:left="852" w:right="0" w:hanging="526"/>
        <w:jc w:val="left"/>
        <w:rPr>
          <w:sz w:val="21"/>
        </w:rPr>
      </w:pPr>
      <w:r>
        <w:rPr>
          <w:spacing w:val="-8"/>
          <w:sz w:val="21"/>
        </w:rPr>
        <w:t>除招标文件有强制性规定以及不可竞争部分以外，投标报价由投标人自主确定，但不得低于其成本。</w:t>
      </w:r>
    </w:p>
    <w:p>
      <w:pPr>
        <w:pStyle w:val="13"/>
        <w:spacing w:before="9"/>
        <w:ind w:left="0"/>
        <w:rPr>
          <w:sz w:val="14"/>
        </w:rPr>
      </w:pPr>
    </w:p>
    <w:p>
      <w:pPr>
        <w:pStyle w:val="32"/>
        <w:keepNext w:val="0"/>
        <w:keepLines w:val="0"/>
        <w:pageBreakBefore w:val="0"/>
        <w:widowControl w:val="0"/>
        <w:numPr>
          <w:ilvl w:val="1"/>
          <w:numId w:val="53"/>
        </w:numPr>
        <w:tabs>
          <w:tab w:val="left" w:pos="849"/>
          <w:tab w:val="left" w:pos="851"/>
        </w:tabs>
        <w:kinsoku/>
        <w:wordWrap/>
        <w:overflowPunct/>
        <w:topLinePunct w:val="0"/>
        <w:autoSpaceDE w:val="0"/>
        <w:autoSpaceDN w:val="0"/>
        <w:bidi w:val="0"/>
        <w:adjustRightInd/>
        <w:snapToGrid/>
        <w:spacing w:before="0" w:after="0" w:line="360" w:lineRule="auto"/>
        <w:ind w:left="850" w:right="0" w:hanging="526"/>
        <w:jc w:val="left"/>
        <w:textAlignment w:val="auto"/>
        <w:rPr>
          <w:sz w:val="21"/>
          <w:szCs w:val="21"/>
        </w:rPr>
      </w:pPr>
      <w:r>
        <w:rPr>
          <w:spacing w:val="-3"/>
          <w:sz w:val="21"/>
          <w:szCs w:val="21"/>
        </w:rPr>
        <w:t>工程量清单计价所涉及的生产资源（包括各类人工、材料、工程设备、施工设备、临时设施、临</w:t>
      </w:r>
      <w:r>
        <w:rPr>
          <w:sz w:val="21"/>
          <w:szCs w:val="21"/>
        </w:rPr>
        <w:t>时用水、临时用电等）的投标价格，应根据自身的信息渠道和采购渠道，分析其市场价格水平并判断其整个施工周期内的变化趋势，体现投标人自身的管理水平、技术水平和综合实力。</w:t>
      </w:r>
    </w:p>
    <w:p>
      <w:pPr>
        <w:pStyle w:val="32"/>
        <w:keepNext w:val="0"/>
        <w:keepLines w:val="0"/>
        <w:pageBreakBefore w:val="0"/>
        <w:widowControl w:val="0"/>
        <w:numPr>
          <w:ilvl w:val="1"/>
          <w:numId w:val="53"/>
        </w:numPr>
        <w:tabs>
          <w:tab w:val="left" w:pos="852"/>
          <w:tab w:val="left" w:pos="853"/>
        </w:tabs>
        <w:kinsoku/>
        <w:wordWrap/>
        <w:overflowPunct/>
        <w:topLinePunct w:val="0"/>
        <w:autoSpaceDE w:val="0"/>
        <w:autoSpaceDN w:val="0"/>
        <w:bidi w:val="0"/>
        <w:adjustRightInd/>
        <w:snapToGrid/>
        <w:spacing w:before="45" w:after="0" w:line="360" w:lineRule="auto"/>
        <w:ind w:left="117" w:right="425" w:firstLine="209"/>
        <w:jc w:val="left"/>
        <w:textAlignment w:val="auto"/>
        <w:rPr>
          <w:sz w:val="21"/>
          <w:szCs w:val="21"/>
        </w:rPr>
      </w:pPr>
      <w:r>
        <w:rPr>
          <w:spacing w:val="-3"/>
          <w:sz w:val="21"/>
          <w:szCs w:val="21"/>
        </w:rPr>
        <w:t>管理费应由投标人在保证不低于其成本的基础上做竞争性考虑；利润由投标人根据自身情况和综合实力做竞争性考虑。</w:t>
      </w:r>
    </w:p>
    <w:p>
      <w:pPr>
        <w:pStyle w:val="32"/>
        <w:numPr>
          <w:ilvl w:val="1"/>
          <w:numId w:val="53"/>
        </w:numPr>
        <w:tabs>
          <w:tab w:val="left" w:pos="955"/>
          <w:tab w:val="left" w:pos="956"/>
        </w:tabs>
        <w:spacing w:before="45" w:after="0" w:line="240" w:lineRule="auto"/>
        <w:ind w:left="955" w:right="0" w:hanging="631"/>
        <w:jc w:val="left"/>
        <w:rPr>
          <w:sz w:val="21"/>
        </w:rPr>
      </w:pPr>
      <w:r>
        <w:rPr>
          <w:spacing w:val="-3"/>
          <w:sz w:val="21"/>
        </w:rPr>
        <w:t>投标报价中应考虑招标文件中要求投标人承担的风险范围以及相关的费用。</w:t>
      </w:r>
    </w:p>
    <w:p>
      <w:pPr>
        <w:pStyle w:val="13"/>
        <w:spacing w:before="9"/>
        <w:ind w:left="0"/>
        <w:rPr>
          <w:sz w:val="14"/>
        </w:rPr>
      </w:pPr>
    </w:p>
    <w:p>
      <w:pPr>
        <w:pStyle w:val="32"/>
        <w:numPr>
          <w:ilvl w:val="1"/>
          <w:numId w:val="53"/>
        </w:numPr>
        <w:tabs>
          <w:tab w:val="left" w:pos="957"/>
          <w:tab w:val="left" w:pos="959"/>
        </w:tabs>
        <w:spacing w:before="0" w:after="0" w:line="408" w:lineRule="auto"/>
        <w:ind w:left="117" w:right="320" w:firstLine="209"/>
        <w:jc w:val="left"/>
        <w:rPr>
          <w:sz w:val="21"/>
        </w:rPr>
      </w:pPr>
      <w:r>
        <w:rPr>
          <w:spacing w:val="-3"/>
          <w:sz w:val="21"/>
        </w:rPr>
        <w:t>投标总价为投标人在投标文件中提出的各项支付金额的总和，为实施、完成招标工程并修补缺陷以及履行招标文件中约定的风险范围内的所有责任和义务所发生的全部费用。</w:t>
      </w:r>
    </w:p>
    <w:p>
      <w:pPr>
        <w:pStyle w:val="32"/>
        <w:numPr>
          <w:ilvl w:val="1"/>
          <w:numId w:val="53"/>
        </w:numPr>
        <w:tabs>
          <w:tab w:val="left" w:pos="957"/>
          <w:tab w:val="left" w:pos="959"/>
          <w:tab w:val="left" w:pos="6838"/>
        </w:tabs>
        <w:spacing w:before="46" w:after="0" w:line="240" w:lineRule="auto"/>
        <w:ind w:left="958" w:right="0" w:hanging="632"/>
        <w:jc w:val="left"/>
        <w:rPr>
          <w:sz w:val="21"/>
        </w:rPr>
      </w:pPr>
      <w:r>
        <w:rPr>
          <w:sz w:val="21"/>
        </w:rPr>
        <w:t>有</w:t>
      </w:r>
      <w:r>
        <w:rPr>
          <w:spacing w:val="-3"/>
          <w:sz w:val="21"/>
        </w:rPr>
        <w:t>关</w:t>
      </w:r>
      <w:r>
        <w:rPr>
          <w:sz w:val="21"/>
        </w:rPr>
        <w:t>投</w:t>
      </w:r>
      <w:r>
        <w:rPr>
          <w:spacing w:val="-3"/>
          <w:sz w:val="21"/>
        </w:rPr>
        <w:t>标</w:t>
      </w:r>
      <w:r>
        <w:rPr>
          <w:sz w:val="21"/>
        </w:rPr>
        <w:t>报</w:t>
      </w:r>
      <w:r>
        <w:rPr>
          <w:spacing w:val="-3"/>
          <w:sz w:val="21"/>
        </w:rPr>
        <w:t>价</w:t>
      </w:r>
      <w:r>
        <w:rPr>
          <w:sz w:val="21"/>
        </w:rPr>
        <w:t>的</w:t>
      </w:r>
      <w:r>
        <w:rPr>
          <w:spacing w:val="-3"/>
          <w:sz w:val="21"/>
        </w:rPr>
        <w:t>其</w:t>
      </w:r>
      <w:r>
        <w:rPr>
          <w:sz w:val="21"/>
        </w:rPr>
        <w:t>他说</w:t>
      </w:r>
      <w:r>
        <w:rPr>
          <w:spacing w:val="-3"/>
          <w:sz w:val="21"/>
        </w:rPr>
        <w:t>明</w:t>
      </w:r>
      <w:r>
        <w:rPr>
          <w:sz w:val="21"/>
        </w:rPr>
        <w:t>：</w:t>
      </w:r>
      <w:r>
        <w:rPr>
          <w:sz w:val="21"/>
          <w:u w:val="single"/>
        </w:rPr>
        <w:t xml:space="preserve"> </w:t>
      </w:r>
      <w:r>
        <w:rPr>
          <w:sz w:val="21"/>
          <w:u w:val="single"/>
        </w:rPr>
        <w:tab/>
      </w:r>
      <w:r>
        <w:rPr>
          <w:sz w:val="21"/>
        </w:rPr>
        <w:t>。</w:t>
      </w:r>
    </w:p>
    <w:p>
      <w:pPr>
        <w:spacing w:before="193"/>
        <w:ind w:left="112" w:right="0" w:firstLine="0"/>
        <w:jc w:val="left"/>
        <w:rPr>
          <w:b/>
          <w:sz w:val="21"/>
        </w:rPr>
      </w:pPr>
      <w:r>
        <w:rPr>
          <w:b/>
          <w:sz w:val="21"/>
        </w:rPr>
        <w:t>3、其他说明</w:t>
      </w:r>
    </w:p>
    <w:p>
      <w:pPr>
        <w:pStyle w:val="13"/>
        <w:spacing w:before="9"/>
        <w:ind w:left="0"/>
        <w:rPr>
          <w:b/>
          <w:sz w:val="14"/>
        </w:rPr>
      </w:pPr>
    </w:p>
    <w:p>
      <w:pPr>
        <w:pStyle w:val="13"/>
      </w:pPr>
      <w:r>
        <w:t>3.1 其他补充说明</w:t>
      </w:r>
    </w:p>
    <w:p>
      <w:pPr>
        <w:pStyle w:val="13"/>
        <w:spacing w:before="9"/>
        <w:ind w:left="0"/>
        <w:rPr>
          <w:sz w:val="14"/>
        </w:rPr>
      </w:pPr>
    </w:p>
    <w:p>
      <w:pPr>
        <w:pStyle w:val="13"/>
        <w:tabs>
          <w:tab w:val="left" w:pos="849"/>
        </w:tabs>
        <w:spacing w:before="1"/>
      </w:pPr>
      <w:r>
        <w:t>3.1.1</w:t>
      </w:r>
      <w:r>
        <w:tab/>
      </w:r>
      <w:r>
        <w:rPr>
          <w:spacing w:val="-3"/>
        </w:rPr>
        <w:t>工程量清单编制依据：</w:t>
      </w:r>
    </w:p>
    <w:p>
      <w:pPr>
        <w:pStyle w:val="13"/>
        <w:spacing w:before="10"/>
        <w:ind w:left="0"/>
        <w:rPr>
          <w:sz w:val="14"/>
        </w:rPr>
      </w:pPr>
    </w:p>
    <w:p>
      <w:pPr>
        <w:pStyle w:val="13"/>
      </w:pPr>
      <w:r>
        <w:t>（1）《财政部、国土资源部《关于印发中央分成新增建设用地土地有偿使用费资金使用管理办法的通知》</w:t>
      </w:r>
    </w:p>
    <w:p>
      <w:pPr>
        <w:pStyle w:val="13"/>
        <w:spacing w:before="9"/>
        <w:ind w:left="0"/>
        <w:rPr>
          <w:sz w:val="14"/>
        </w:rPr>
      </w:pPr>
    </w:p>
    <w:p>
      <w:pPr>
        <w:pStyle w:val="13"/>
        <w:spacing w:before="1"/>
      </w:pPr>
      <w:r>
        <w:t>（财建〔2008〕157 号）</w:t>
      </w:r>
    </w:p>
    <w:p>
      <w:pPr>
        <w:pStyle w:val="13"/>
        <w:spacing w:before="10"/>
        <w:ind w:left="0"/>
        <w:rPr>
          <w:sz w:val="14"/>
        </w:rPr>
      </w:pPr>
    </w:p>
    <w:p>
      <w:pPr>
        <w:pStyle w:val="13"/>
        <w:spacing w:line="408" w:lineRule="auto"/>
        <w:ind w:right="105" w:firstLine="422"/>
      </w:pPr>
      <w:r>
        <w:t>（2）《财政部、国土资源部文件《财政部、国土资源部关于印发土地开发整理项目预算定额标准的通知》（财综〔2011〕128 号）</w:t>
      </w:r>
    </w:p>
    <w:p>
      <w:pPr>
        <w:pStyle w:val="13"/>
        <w:spacing w:before="46"/>
        <w:ind w:left="535"/>
      </w:pPr>
      <w:r>
        <w:t>（3）《土地开发整理项目预算定额》（国土资源部财务司、财政部经济建设司，2012）</w:t>
      </w:r>
    </w:p>
    <w:p>
      <w:pPr>
        <w:pStyle w:val="13"/>
        <w:spacing w:before="9"/>
        <w:ind w:left="0"/>
        <w:rPr>
          <w:sz w:val="14"/>
        </w:rPr>
      </w:pPr>
    </w:p>
    <w:p>
      <w:pPr>
        <w:pStyle w:val="13"/>
        <w:spacing w:before="1"/>
        <w:ind w:left="535"/>
      </w:pPr>
      <w:r>
        <w:t>（4）《土地开发整理项目施工机械台班费定额》（国土资源部财务司、财政部经济建设司，2012）</w:t>
      </w:r>
    </w:p>
    <w:p>
      <w:pPr>
        <w:pStyle w:val="13"/>
        <w:spacing w:before="10"/>
        <w:ind w:left="0"/>
        <w:rPr>
          <w:sz w:val="14"/>
        </w:rPr>
      </w:pPr>
    </w:p>
    <w:p>
      <w:pPr>
        <w:pStyle w:val="13"/>
        <w:ind w:left="535"/>
      </w:pPr>
      <w:r>
        <w:t>（5）关于印发《广西壮族自治区土地整治专项资金管理办法》的通知（桂财建﹝2010﹞244 号）</w:t>
      </w:r>
    </w:p>
    <w:p>
      <w:pPr>
        <w:pStyle w:val="13"/>
        <w:spacing w:before="10"/>
        <w:ind w:left="0"/>
        <w:rPr>
          <w:sz w:val="14"/>
        </w:rPr>
      </w:pPr>
    </w:p>
    <w:p>
      <w:pPr>
        <w:pStyle w:val="13"/>
        <w:spacing w:line="408" w:lineRule="auto"/>
        <w:ind w:right="106" w:firstLine="422"/>
      </w:pPr>
      <w:r>
        <w:t>（6）《国土资源部办公 厅关于印发土地整治工程营业税改增值税计价依据调整过渡实施方案的通知》国土资厅发【2017】19 号</w:t>
      </w:r>
    </w:p>
    <w:p>
      <w:pPr>
        <w:pStyle w:val="13"/>
        <w:spacing w:before="46"/>
        <w:ind w:left="535"/>
      </w:pPr>
      <w:r>
        <w:t>（7）《桂林市建设工程造价信息》2019 年</w:t>
      </w:r>
      <w:r>
        <w:rPr>
          <w:rFonts w:hint="eastAsia"/>
          <w:lang w:val="en-US" w:eastAsia="zh-CN"/>
        </w:rPr>
        <w:t>10</w:t>
      </w:r>
      <w:r>
        <w:t>月兴安县信息价（除税价）；</w:t>
      </w:r>
    </w:p>
    <w:p>
      <w:pPr>
        <w:pStyle w:val="13"/>
        <w:spacing w:before="10"/>
        <w:ind w:left="0"/>
        <w:rPr>
          <w:sz w:val="14"/>
        </w:rPr>
      </w:pPr>
    </w:p>
    <w:p>
      <w:pPr>
        <w:pStyle w:val="13"/>
        <w:spacing w:line="408" w:lineRule="auto"/>
        <w:ind w:left="533" w:right="8613" w:hanging="421"/>
      </w:pPr>
      <w:r>
        <w:t>4. 工程量清单另册。</w:t>
      </w:r>
    </w:p>
    <w:p>
      <w:pPr>
        <w:spacing w:before="75" w:line="350" w:lineRule="auto"/>
        <w:ind w:left="112" w:right="204" w:firstLine="413"/>
        <w:jc w:val="left"/>
        <w:rPr>
          <w:b/>
          <w:sz w:val="21"/>
        </w:rPr>
      </w:pPr>
      <w:r>
        <w:rPr>
          <w:b/>
          <w:sz w:val="21"/>
        </w:rPr>
        <w:t>未尽事宜详见本工程招标工程量清单、招标控制价（最高投标限价）编制说明以及现行等有关规定执行。</w:t>
      </w:r>
    </w:p>
    <w:p>
      <w:pPr>
        <w:spacing w:after="0" w:line="350" w:lineRule="auto"/>
        <w:jc w:val="left"/>
        <w:rPr>
          <w:sz w:val="21"/>
        </w:rPr>
        <w:sectPr>
          <w:pgSz w:w="11910" w:h="16840"/>
          <w:pgMar w:top="1160" w:right="780" w:bottom="1160" w:left="1020" w:header="0" w:footer="975" w:gutter="0"/>
        </w:sectPr>
      </w:pPr>
    </w:p>
    <w:p>
      <w:pPr>
        <w:pStyle w:val="3"/>
        <w:tabs>
          <w:tab w:val="left" w:pos="1427"/>
          <w:tab w:val="left" w:pos="2071"/>
        </w:tabs>
        <w:spacing w:line="392" w:lineRule="exact"/>
        <w:ind w:left="141"/>
      </w:pPr>
      <w:bookmarkStart w:id="763" w:name="_bookmark5"/>
      <w:bookmarkEnd w:id="763"/>
      <w:r>
        <w:t>第六章</w:t>
      </w:r>
      <w:r>
        <w:tab/>
      </w:r>
      <w:r>
        <w:t>图</w:t>
      </w:r>
      <w:r>
        <w:tab/>
      </w:r>
      <w:r>
        <w:t>纸</w:t>
      </w:r>
    </w:p>
    <w:p>
      <w:pPr>
        <w:pStyle w:val="13"/>
        <w:spacing w:before="9"/>
        <w:ind w:left="0"/>
        <w:rPr>
          <w:b/>
          <w:sz w:val="37"/>
        </w:rPr>
      </w:pPr>
    </w:p>
    <w:p>
      <w:pPr>
        <w:spacing w:before="0"/>
        <w:ind w:left="143" w:right="0" w:firstLine="0"/>
        <w:jc w:val="center"/>
        <w:rPr>
          <w:b/>
          <w:sz w:val="32"/>
        </w:rPr>
      </w:pPr>
      <w:r>
        <w:rPr>
          <w:b/>
          <w:w w:val="95"/>
          <w:sz w:val="32"/>
        </w:rPr>
        <w:t>（另册发放）</w:t>
      </w:r>
    </w:p>
    <w:p>
      <w:pPr>
        <w:spacing w:after="0"/>
        <w:jc w:val="center"/>
        <w:rPr>
          <w:sz w:val="32"/>
        </w:rPr>
        <w:sectPr>
          <w:pgSz w:w="11910" w:h="16840"/>
          <w:pgMar w:top="1120" w:right="1680" w:bottom="1160" w:left="1680" w:header="0" w:footer="975" w:gutter="0"/>
        </w:sectPr>
      </w:pPr>
    </w:p>
    <w:p>
      <w:pPr>
        <w:pStyle w:val="3"/>
        <w:tabs>
          <w:tab w:val="left" w:pos="3862"/>
        </w:tabs>
        <w:spacing w:line="404" w:lineRule="exact"/>
        <w:ind w:left="2576"/>
        <w:jc w:val="left"/>
      </w:pPr>
      <w:bookmarkStart w:id="764" w:name="_bookmark6"/>
      <w:bookmarkEnd w:id="764"/>
      <w:r>
        <w:t>第七章</w:t>
      </w:r>
      <w:r>
        <w:tab/>
      </w:r>
      <w:r>
        <w:rPr>
          <w:w w:val="95"/>
        </w:rPr>
        <w:t>技术标准和要求</w:t>
      </w:r>
    </w:p>
    <w:p>
      <w:pPr>
        <w:pStyle w:val="13"/>
        <w:ind w:left="0"/>
        <w:rPr>
          <w:b/>
          <w:sz w:val="32"/>
        </w:rPr>
      </w:pPr>
    </w:p>
    <w:p>
      <w:pPr>
        <w:pStyle w:val="13"/>
        <w:spacing w:before="10"/>
        <w:ind w:left="0"/>
        <w:rPr>
          <w:b/>
          <w:sz w:val="23"/>
        </w:rPr>
      </w:pPr>
    </w:p>
    <w:p>
      <w:pPr>
        <w:pStyle w:val="10"/>
        <w:ind w:left="1373"/>
      </w:pPr>
      <w:r>
        <w:t>国家有关现行的施工及验收规范（详见本工程施工图设计文件）。</w:t>
      </w:r>
    </w:p>
    <w:p>
      <w:pPr>
        <w:spacing w:after="0"/>
        <w:sectPr>
          <w:footerReference r:id="rId9" w:type="default"/>
          <w:pgSz w:w="11910" w:h="16840"/>
          <w:pgMar w:top="1420" w:right="1680" w:bottom="1160" w:left="1680" w:header="0" w:footer="975" w:gutter="0"/>
        </w:sectPr>
      </w:pPr>
    </w:p>
    <w:p>
      <w:pPr>
        <w:pStyle w:val="3"/>
        <w:tabs>
          <w:tab w:val="left" w:pos="4023"/>
        </w:tabs>
        <w:spacing w:line="393" w:lineRule="exact"/>
        <w:ind w:left="2737"/>
        <w:jc w:val="left"/>
      </w:pPr>
      <w:bookmarkStart w:id="765" w:name="_bookmark7"/>
      <w:bookmarkEnd w:id="765"/>
      <w:r>
        <w:t>第八章</w:t>
      </w:r>
      <w:r>
        <w:tab/>
      </w:r>
      <w:r>
        <w:rPr>
          <w:w w:val="95"/>
        </w:rPr>
        <w:t>投标文件格式</w:t>
      </w:r>
    </w:p>
    <w:p>
      <w:pPr>
        <w:spacing w:after="0" w:line="393" w:lineRule="exact"/>
        <w:jc w:val="left"/>
        <w:sectPr>
          <w:footerReference r:id="rId10" w:type="default"/>
          <w:pgSz w:w="11910" w:h="16840"/>
          <w:pgMar w:top="1520" w:right="1680" w:bottom="1160" w:left="1680" w:header="0" w:footer="975" w:gutter="0"/>
          <w:pgNumType w:start="121"/>
        </w:sectPr>
      </w:pPr>
    </w:p>
    <w:p>
      <w:pPr>
        <w:pStyle w:val="13"/>
        <w:spacing w:before="12"/>
        <w:ind w:left="0"/>
        <w:rPr>
          <w:b/>
          <w:sz w:val="16"/>
        </w:rPr>
      </w:pPr>
    </w:p>
    <w:p>
      <w:pPr>
        <w:pStyle w:val="8"/>
        <w:tabs>
          <w:tab w:val="left" w:pos="3984"/>
        </w:tabs>
        <w:spacing w:before="23"/>
        <w:ind w:left="1903"/>
      </w:pPr>
      <w:r>
        <w:rPr>
          <w:rFonts w:ascii="Times New Roman" w:eastAsia="Times New Roman"/>
          <w:w w:val="100"/>
          <w:u w:val="single"/>
        </w:rPr>
        <w:t xml:space="preserve"> </w:t>
      </w:r>
      <w:r>
        <w:rPr>
          <w:rFonts w:ascii="Times New Roman" w:eastAsia="Times New Roman"/>
          <w:u w:val="single"/>
        </w:rPr>
        <w:tab/>
      </w:r>
      <w:r>
        <w:rPr>
          <w:spacing w:val="-3"/>
        </w:rPr>
        <w:t>（</w:t>
      </w:r>
      <w:r>
        <w:rPr>
          <w:spacing w:val="-1"/>
        </w:rPr>
        <w:t>项目名称</w:t>
      </w:r>
      <w:r>
        <w:t>）</w:t>
      </w:r>
      <w:r>
        <w:rPr>
          <w:spacing w:val="-3"/>
        </w:rPr>
        <w:t>施工招标</w:t>
      </w:r>
    </w:p>
    <w:p>
      <w:pPr>
        <w:pStyle w:val="13"/>
        <w:ind w:left="0"/>
        <w:rPr>
          <w:sz w:val="30"/>
        </w:rPr>
      </w:pPr>
    </w:p>
    <w:p>
      <w:pPr>
        <w:pStyle w:val="13"/>
        <w:ind w:left="0"/>
        <w:rPr>
          <w:sz w:val="30"/>
        </w:rPr>
      </w:pPr>
    </w:p>
    <w:p>
      <w:pPr>
        <w:pStyle w:val="13"/>
        <w:spacing w:before="1"/>
        <w:ind w:left="0"/>
        <w:rPr>
          <w:sz w:val="28"/>
        </w:rPr>
      </w:pPr>
    </w:p>
    <w:p>
      <w:pPr>
        <w:tabs>
          <w:tab w:val="left" w:pos="1185"/>
          <w:tab w:val="left" w:pos="2224"/>
          <w:tab w:val="left" w:pos="3266"/>
        </w:tabs>
        <w:spacing w:before="0"/>
        <w:ind w:left="143" w:right="0" w:firstLine="0"/>
        <w:jc w:val="center"/>
        <w:rPr>
          <w:sz w:val="52"/>
        </w:rPr>
      </w:pPr>
      <w:r>
        <w:rPr>
          <w:sz w:val="52"/>
        </w:rPr>
        <w:t>投</w:t>
      </w:r>
      <w:r>
        <w:rPr>
          <w:sz w:val="52"/>
        </w:rPr>
        <w:tab/>
      </w:r>
      <w:r>
        <w:rPr>
          <w:sz w:val="52"/>
        </w:rPr>
        <w:t>标</w:t>
      </w:r>
      <w:r>
        <w:rPr>
          <w:sz w:val="52"/>
        </w:rPr>
        <w:tab/>
      </w:r>
      <w:r>
        <w:rPr>
          <w:sz w:val="52"/>
        </w:rPr>
        <w:t>文</w:t>
      </w:r>
      <w:r>
        <w:rPr>
          <w:sz w:val="52"/>
        </w:rPr>
        <w:tab/>
      </w:r>
      <w:r>
        <w:rPr>
          <w:sz w:val="52"/>
        </w:rPr>
        <w:t>件</w:t>
      </w:r>
    </w:p>
    <w:p>
      <w:pPr>
        <w:pStyle w:val="13"/>
        <w:ind w:left="0"/>
        <w:rPr>
          <w:sz w:val="52"/>
        </w:rPr>
      </w:pPr>
    </w:p>
    <w:p>
      <w:pPr>
        <w:pStyle w:val="13"/>
        <w:spacing w:before="12"/>
        <w:ind w:left="0"/>
        <w:rPr>
          <w:sz w:val="65"/>
        </w:rPr>
      </w:pPr>
    </w:p>
    <w:p>
      <w:pPr>
        <w:pStyle w:val="8"/>
        <w:tabs>
          <w:tab w:val="left" w:pos="6241"/>
        </w:tabs>
        <w:spacing w:before="1"/>
        <w:ind w:left="1833"/>
        <w:rPr>
          <w:rFonts w:ascii="Times New Roman" w:eastAsia="Times New Roman"/>
        </w:rPr>
      </w:pPr>
      <w:r>
        <w:t>项目编</w:t>
      </w:r>
      <w:r>
        <w:rPr>
          <w:spacing w:val="-3"/>
        </w:rPr>
        <w:t>号</w:t>
      </w:r>
      <w: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20"/>
        </w:rPr>
      </w:pPr>
    </w:p>
    <w:p>
      <w:pPr>
        <w:pStyle w:val="13"/>
        <w:ind w:left="0"/>
        <w:rPr>
          <w:rFonts w:ascii="Times New Roman"/>
          <w:sz w:val="20"/>
        </w:rPr>
      </w:pPr>
    </w:p>
    <w:p>
      <w:pPr>
        <w:pStyle w:val="13"/>
        <w:ind w:left="0"/>
        <w:rPr>
          <w:rFonts w:ascii="Times New Roman"/>
          <w:sz w:val="20"/>
        </w:rPr>
      </w:pPr>
    </w:p>
    <w:p>
      <w:pPr>
        <w:pStyle w:val="4"/>
        <w:spacing w:before="157"/>
      </w:pPr>
      <w:r>
        <w:rPr>
          <w:w w:val="95"/>
        </w:rPr>
        <w:t>（正本/副本）</w:t>
      </w:r>
    </w:p>
    <w:p>
      <w:pPr>
        <w:pStyle w:val="13"/>
        <w:ind w:left="0"/>
        <w:rPr>
          <w:sz w:val="32"/>
        </w:rPr>
      </w:pPr>
    </w:p>
    <w:p>
      <w:pPr>
        <w:pStyle w:val="13"/>
        <w:ind w:left="0"/>
        <w:rPr>
          <w:sz w:val="32"/>
        </w:rPr>
      </w:pPr>
    </w:p>
    <w:p>
      <w:pPr>
        <w:pStyle w:val="13"/>
        <w:ind w:left="0"/>
        <w:rPr>
          <w:sz w:val="32"/>
        </w:rPr>
      </w:pPr>
    </w:p>
    <w:p>
      <w:pPr>
        <w:pStyle w:val="8"/>
        <w:tabs>
          <w:tab w:val="left" w:pos="3934"/>
          <w:tab w:val="left" w:pos="7155"/>
        </w:tabs>
        <w:spacing w:before="231"/>
      </w:pPr>
      <w:r>
        <w:t>投标内</w:t>
      </w:r>
      <w:r>
        <w:rPr>
          <w:spacing w:val="-3"/>
        </w:rPr>
        <w:t>容</w:t>
      </w:r>
      <w:r>
        <w:t>：</w:t>
      </w:r>
      <w:r>
        <w:rPr>
          <w:u w:val="single"/>
        </w:rPr>
        <w:t xml:space="preserve"> </w:t>
      </w:r>
      <w:r>
        <w:rPr>
          <w:u w:val="single"/>
        </w:rPr>
        <w:tab/>
      </w:r>
      <w:r>
        <w:rPr>
          <w:u w:val="single"/>
        </w:rPr>
        <w:t>资格</w:t>
      </w:r>
      <w:r>
        <w:rPr>
          <w:spacing w:val="-3"/>
          <w:u w:val="single"/>
        </w:rPr>
        <w:t>审</w:t>
      </w:r>
      <w:r>
        <w:rPr>
          <w:u w:val="single"/>
        </w:rPr>
        <w:t>查部分</w:t>
      </w:r>
      <w:r>
        <w:rPr>
          <w:u w:val="single"/>
        </w:rPr>
        <w:tab/>
      </w:r>
    </w:p>
    <w:p>
      <w:pPr>
        <w:pStyle w:val="13"/>
        <w:spacing w:before="11"/>
        <w:ind w:left="0"/>
        <w:rPr>
          <w:sz w:val="17"/>
        </w:rPr>
      </w:pPr>
    </w:p>
    <w:p>
      <w:pPr>
        <w:pStyle w:val="8"/>
        <w:tabs>
          <w:tab w:val="left" w:pos="6313"/>
          <w:tab w:val="left" w:pos="6874"/>
        </w:tabs>
        <w:spacing w:before="24" w:line="408" w:lineRule="auto"/>
        <w:ind w:left="854" w:right="548"/>
      </w:pPr>
      <w:r>
        <w:t>投</w:t>
      </w:r>
      <w:r>
        <w:rPr>
          <w:spacing w:val="-3"/>
        </w:rPr>
        <w:t>标人</w:t>
      </w:r>
      <w:r>
        <w:t>：</w:t>
      </w:r>
      <w:r>
        <w:rPr>
          <w:u w:val="single"/>
        </w:rPr>
        <w:t xml:space="preserve"> </w:t>
      </w:r>
      <w:r>
        <w:rPr>
          <w:u w:val="single"/>
        </w:rPr>
        <w:tab/>
      </w:r>
      <w:r>
        <w:t>（盖单</w:t>
      </w:r>
      <w:r>
        <w:rPr>
          <w:spacing w:val="-3"/>
        </w:rPr>
        <w:t>位</w:t>
      </w:r>
      <w:r>
        <w:t>章） 法</w:t>
      </w:r>
      <w:r>
        <w:rPr>
          <w:spacing w:val="-3"/>
        </w:rPr>
        <w:t>定代</w:t>
      </w:r>
      <w:r>
        <w:t>表人或</w:t>
      </w:r>
      <w:r>
        <w:rPr>
          <w:spacing w:val="-3"/>
        </w:rPr>
        <w:t>其</w:t>
      </w:r>
      <w:r>
        <w:t>委托</w:t>
      </w:r>
      <w:r>
        <w:rPr>
          <w:spacing w:val="-3"/>
        </w:rPr>
        <w:t>代理</w:t>
      </w:r>
      <w:r>
        <w:t>人：</w:t>
      </w:r>
      <w:r>
        <w:rPr>
          <w:u w:val="single"/>
        </w:rPr>
        <w:t xml:space="preserve"> </w:t>
      </w:r>
      <w:r>
        <w:rPr>
          <w:u w:val="single"/>
        </w:rPr>
        <w:tab/>
      </w:r>
      <w:r>
        <w:rPr>
          <w:u w:val="single"/>
        </w:rPr>
        <w:tab/>
      </w:r>
      <w:r>
        <w:t>（</w:t>
      </w:r>
      <w:r>
        <w:rPr>
          <w:spacing w:val="-3"/>
        </w:rPr>
        <w:t>签</w:t>
      </w:r>
      <w:r>
        <w:t>字）</w:t>
      </w:r>
    </w:p>
    <w:p>
      <w:pPr>
        <w:pStyle w:val="13"/>
        <w:ind w:left="0"/>
        <w:rPr>
          <w:sz w:val="20"/>
        </w:rPr>
      </w:pPr>
    </w:p>
    <w:p>
      <w:pPr>
        <w:pStyle w:val="13"/>
        <w:ind w:left="0"/>
        <w:rPr>
          <w:sz w:val="20"/>
        </w:rPr>
      </w:pPr>
    </w:p>
    <w:p>
      <w:pPr>
        <w:pStyle w:val="8"/>
        <w:tabs>
          <w:tab w:val="left" w:pos="3574"/>
          <w:tab w:val="left" w:pos="4834"/>
          <w:tab w:val="left" w:pos="6094"/>
        </w:tabs>
        <w:spacing w:before="162"/>
        <w:ind w:left="2312"/>
      </w:pPr>
      <w:r>
        <w:rPr>
          <w:rFonts w:ascii="Times New Roman" w:eastAsia="Times New Roman"/>
          <w:w w:val="100"/>
          <w:u w:val="single"/>
        </w:rPr>
        <w:t xml:space="preserve"> </w:t>
      </w:r>
      <w:r>
        <w:rPr>
          <w:rFonts w:ascii="Times New Roman" w:eastAsia="Times New Roman"/>
          <w:u w:val="single"/>
        </w:rPr>
        <w:tab/>
      </w:r>
      <w:r>
        <w:rPr>
          <w:spacing w:val="-3"/>
        </w:rPr>
        <w:t>年</w:t>
      </w:r>
      <w:r>
        <w:rPr>
          <w:spacing w:val="-3"/>
          <w:u w:val="single"/>
        </w:rPr>
        <w:t xml:space="preserve"> </w:t>
      </w:r>
      <w:r>
        <w:rPr>
          <w:spacing w:val="-3"/>
          <w:u w:val="single"/>
        </w:rPr>
        <w:tab/>
      </w:r>
      <w:r>
        <w:rPr>
          <w:spacing w:val="-3"/>
        </w:rPr>
        <w:t>月</w:t>
      </w:r>
      <w:r>
        <w:rPr>
          <w:spacing w:val="-3"/>
          <w:u w:val="single"/>
        </w:rPr>
        <w:t xml:space="preserve"> </w:t>
      </w:r>
      <w:r>
        <w:rPr>
          <w:spacing w:val="-3"/>
          <w:u w:val="single"/>
        </w:rPr>
        <w:tab/>
      </w:r>
      <w:r>
        <w:t>日</w:t>
      </w:r>
    </w:p>
    <w:p>
      <w:pPr>
        <w:spacing w:after="0"/>
        <w:sectPr>
          <w:pgSz w:w="11910" w:h="16840"/>
          <w:pgMar w:top="1580" w:right="1680" w:bottom="1160" w:left="1680" w:header="0" w:footer="975" w:gutter="0"/>
        </w:sectPr>
      </w:pPr>
    </w:p>
    <w:p>
      <w:pPr>
        <w:pStyle w:val="7"/>
        <w:spacing w:line="359" w:lineRule="exact"/>
        <w:ind w:left="3176"/>
        <w:jc w:val="left"/>
      </w:pPr>
      <w:r>
        <w:t>1、 投标文件签署授权委托书</w:t>
      </w:r>
    </w:p>
    <w:p>
      <w:pPr>
        <w:pStyle w:val="13"/>
        <w:ind w:left="0"/>
        <w:rPr>
          <w:b/>
          <w:sz w:val="28"/>
        </w:rPr>
      </w:pPr>
    </w:p>
    <w:p>
      <w:pPr>
        <w:pStyle w:val="13"/>
        <w:ind w:left="0"/>
        <w:rPr>
          <w:b/>
          <w:sz w:val="28"/>
        </w:rPr>
      </w:pPr>
    </w:p>
    <w:p>
      <w:pPr>
        <w:pStyle w:val="13"/>
        <w:spacing w:before="4"/>
        <w:ind w:left="0"/>
        <w:rPr>
          <w:b/>
          <w:sz w:val="34"/>
        </w:rPr>
      </w:pPr>
    </w:p>
    <w:p>
      <w:pPr>
        <w:pStyle w:val="13"/>
        <w:tabs>
          <w:tab w:val="left" w:pos="5028"/>
          <w:tab w:val="left" w:pos="9477"/>
        </w:tabs>
        <w:spacing w:line="350" w:lineRule="auto"/>
        <w:ind w:right="107" w:firstLine="612"/>
        <w:jc w:val="both"/>
      </w:pPr>
      <w:r>
        <w:drawing>
          <wp:anchor distT="0" distB="0" distL="0" distR="0" simplePos="0" relativeHeight="268146688" behindDoc="1" locked="0" layoutInCell="1" allowOverlap="1">
            <wp:simplePos x="0" y="0"/>
            <wp:positionH relativeFrom="page">
              <wp:posOffset>2383155</wp:posOffset>
            </wp:positionH>
            <wp:positionV relativeFrom="paragraph">
              <wp:posOffset>39370</wp:posOffset>
            </wp:positionV>
            <wp:extent cx="541020" cy="133985"/>
            <wp:effectExtent l="0" t="0" r="0" b="0"/>
            <wp:wrapNone/>
            <wp:docPr id="417"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image146.png"/>
                    <pic:cNvPicPr>
                      <a:picLocks noChangeAspect="1"/>
                    </pic:cNvPicPr>
                  </pic:nvPicPr>
                  <pic:blipFill>
                    <a:blip r:embed="rId44" cstate="print"/>
                    <a:stretch>
                      <a:fillRect/>
                    </a:stretch>
                  </pic:blipFill>
                  <pic:spPr>
                    <a:xfrm>
                      <a:off x="0" y="0"/>
                      <a:ext cx="541019" cy="134111"/>
                    </a:xfrm>
                    <a:prstGeom prst="rect">
                      <a:avLst/>
                    </a:prstGeom>
                  </pic:spPr>
                </pic:pic>
              </a:graphicData>
            </a:graphic>
          </wp:anchor>
        </w:drawing>
      </w:r>
      <w:r>
        <w:t>本授</w:t>
      </w:r>
      <w:r>
        <w:rPr>
          <w:spacing w:val="-3"/>
        </w:rPr>
        <w:t>权</w:t>
      </w:r>
      <w:r>
        <w:t>委</w:t>
      </w:r>
      <w:r>
        <w:rPr>
          <w:spacing w:val="-3"/>
        </w:rPr>
        <w:t>托</w:t>
      </w:r>
      <w:r>
        <w:t>书</w:t>
      </w:r>
      <w:r>
        <w:rPr>
          <w:spacing w:val="-3"/>
        </w:rPr>
        <w:t>声</w:t>
      </w:r>
      <w:r>
        <w:t>明</w:t>
      </w:r>
      <w:r>
        <w:rPr>
          <w:spacing w:val="-97"/>
        </w:rPr>
        <w:t>：</w:t>
      </w:r>
      <w:r>
        <w:t>我</w:t>
      </w:r>
      <w:r>
        <w:rPr>
          <w:u w:val="single"/>
        </w:rPr>
        <w:t xml:space="preserve">    </w:t>
      </w:r>
      <w:r>
        <w:rPr>
          <w:spacing w:val="75"/>
          <w:u w:val="single"/>
        </w:rPr>
        <w:t xml:space="preserve"> </w:t>
      </w:r>
      <w:r>
        <w:rPr>
          <w:u w:val="single"/>
        </w:rPr>
        <w:t>（</w:t>
      </w:r>
      <w:r>
        <w:rPr>
          <w:spacing w:val="-3"/>
        </w:rPr>
        <w:t>姓</w:t>
      </w:r>
      <w:r>
        <w:t>名</w:t>
      </w:r>
      <w:r>
        <w:rPr>
          <w:spacing w:val="-94"/>
        </w:rPr>
        <w:t>）</w:t>
      </w:r>
      <w:r>
        <w:rPr>
          <w:spacing w:val="-3"/>
        </w:rPr>
        <w:t>系</w:t>
      </w:r>
      <w:r>
        <w:rPr>
          <w:spacing w:val="-3"/>
          <w:u w:val="single"/>
        </w:rPr>
        <w:t xml:space="preserve"> </w:t>
      </w:r>
      <w:r>
        <w:rPr>
          <w:spacing w:val="-3"/>
          <w:u w:val="single"/>
        </w:rPr>
        <w:tab/>
      </w:r>
      <w:r>
        <w:rPr>
          <w:spacing w:val="-3"/>
          <w:u w:val="single"/>
        </w:rPr>
        <w:t>（投</w:t>
      </w:r>
      <w:r>
        <w:rPr>
          <w:u w:val="single"/>
        </w:rPr>
        <w:t>标人</w:t>
      </w:r>
      <w:r>
        <w:rPr>
          <w:spacing w:val="-3"/>
          <w:u w:val="single"/>
        </w:rPr>
        <w:t>名</w:t>
      </w:r>
      <w:r>
        <w:rPr>
          <w:u w:val="single"/>
        </w:rPr>
        <w:t>称</w:t>
      </w:r>
      <w:r>
        <w:rPr>
          <w:spacing w:val="-96"/>
          <w:u w:val="single"/>
        </w:rPr>
        <w:t>）</w:t>
      </w:r>
      <w:r>
        <w:t>的</w:t>
      </w:r>
      <w:r>
        <w:rPr>
          <w:spacing w:val="-3"/>
        </w:rPr>
        <w:t>法</w:t>
      </w:r>
      <w:r>
        <w:t>定</w:t>
      </w:r>
      <w:r>
        <w:rPr>
          <w:spacing w:val="-3"/>
        </w:rPr>
        <w:t>代</w:t>
      </w:r>
      <w:r>
        <w:t>表人</w:t>
      </w:r>
      <w:r>
        <w:rPr>
          <w:spacing w:val="-97"/>
        </w:rPr>
        <w:t>，</w:t>
      </w:r>
      <w:r>
        <w:t>现授</w:t>
      </w:r>
      <w:r>
        <w:rPr>
          <w:spacing w:val="-3"/>
        </w:rPr>
        <w:t>权</w:t>
      </w:r>
      <w:r>
        <w:t>委托</w:t>
      </w:r>
      <w:r>
        <w:rPr>
          <w:u w:val="single"/>
        </w:rPr>
        <w:t xml:space="preserve"> </w:t>
      </w:r>
      <w:r>
        <w:rPr>
          <w:u w:val="single"/>
        </w:rPr>
        <w:tab/>
      </w:r>
      <w:r>
        <w:rPr>
          <w:spacing w:val="-3"/>
          <w:u w:val="single"/>
        </w:rPr>
        <w:t xml:space="preserve">（单 </w:t>
      </w:r>
      <w:r>
        <w:rPr>
          <w:u w:val="single"/>
        </w:rPr>
        <w:t xml:space="preserve">位名称）   </w:t>
      </w:r>
      <w:r>
        <w:rPr>
          <w:spacing w:val="27"/>
          <w:u w:val="single"/>
        </w:rPr>
        <w:t xml:space="preserve"> </w:t>
      </w:r>
      <w:r>
        <w:t>的</w:t>
      </w:r>
      <w:r>
        <w:rPr>
          <w:u w:val="single"/>
        </w:rPr>
        <w:t xml:space="preserve">   </w:t>
      </w:r>
      <w:r>
        <w:rPr>
          <w:spacing w:val="20"/>
          <w:u w:val="single"/>
        </w:rPr>
        <w:t xml:space="preserve"> </w:t>
      </w:r>
      <w:r>
        <w:rPr>
          <w:spacing w:val="-3"/>
          <w:u w:val="single"/>
        </w:rPr>
        <w:t>（姓</w:t>
      </w:r>
      <w:r>
        <w:rPr>
          <w:u w:val="single"/>
        </w:rPr>
        <w:t>名）</w:t>
      </w:r>
      <w:r>
        <w:t>为</w:t>
      </w:r>
      <w:r>
        <w:rPr>
          <w:spacing w:val="-3"/>
        </w:rPr>
        <w:t>我</w:t>
      </w:r>
      <w:r>
        <w:t>公</w:t>
      </w:r>
      <w:r>
        <w:rPr>
          <w:spacing w:val="-3"/>
        </w:rPr>
        <w:t>司</w:t>
      </w:r>
      <w:r>
        <w:t>签署</w:t>
      </w:r>
      <w:r>
        <w:rPr>
          <w:spacing w:val="-3"/>
        </w:rPr>
        <w:t>本</w:t>
      </w:r>
      <w:r>
        <w:t>工</w:t>
      </w:r>
      <w:r>
        <w:rPr>
          <w:spacing w:val="-3"/>
        </w:rPr>
        <w:t>程</w:t>
      </w:r>
      <w:r>
        <w:t>的投标</w:t>
      </w:r>
      <w:r>
        <w:rPr>
          <w:spacing w:val="-3"/>
        </w:rPr>
        <w:t>文</w:t>
      </w:r>
      <w:r>
        <w:t>件</w:t>
      </w:r>
      <w:r>
        <w:rPr>
          <w:spacing w:val="-3"/>
        </w:rPr>
        <w:t>的</w:t>
      </w:r>
      <w:r>
        <w:t>法定</w:t>
      </w:r>
      <w:r>
        <w:rPr>
          <w:spacing w:val="-3"/>
        </w:rPr>
        <w:t>代</w:t>
      </w:r>
      <w:r>
        <w:t>表</w:t>
      </w:r>
      <w:r>
        <w:rPr>
          <w:spacing w:val="-3"/>
        </w:rPr>
        <w:t>人</w:t>
      </w:r>
      <w:r>
        <w:t>授权委</w:t>
      </w:r>
      <w:r>
        <w:rPr>
          <w:spacing w:val="-3"/>
        </w:rPr>
        <w:t>托</w:t>
      </w:r>
      <w:r>
        <w:t>代</w:t>
      </w:r>
      <w:r>
        <w:rPr>
          <w:spacing w:val="-3"/>
        </w:rPr>
        <w:t>理</w:t>
      </w:r>
      <w:r>
        <w:t>人，</w:t>
      </w:r>
      <w:r>
        <w:rPr>
          <w:spacing w:val="-3"/>
        </w:rPr>
        <w:t>我</w:t>
      </w:r>
      <w:r>
        <w:t>承</w:t>
      </w:r>
      <w:r>
        <w:rPr>
          <w:spacing w:val="-3"/>
        </w:rPr>
        <w:t>认</w:t>
      </w:r>
      <w:r>
        <w:t>代理人全</w:t>
      </w:r>
      <w:r>
        <w:rPr>
          <w:spacing w:val="-3"/>
        </w:rPr>
        <w:t>权</w:t>
      </w:r>
      <w:r>
        <w:t>代</w:t>
      </w:r>
      <w:r>
        <w:rPr>
          <w:spacing w:val="-3"/>
        </w:rPr>
        <w:t>表</w:t>
      </w:r>
      <w:r>
        <w:t>我</w:t>
      </w:r>
      <w:r>
        <w:rPr>
          <w:spacing w:val="-3"/>
        </w:rPr>
        <w:t>所</w:t>
      </w:r>
      <w:r>
        <w:t>签</w:t>
      </w:r>
      <w:r>
        <w:rPr>
          <w:spacing w:val="-3"/>
        </w:rPr>
        <w:t>署</w:t>
      </w:r>
      <w:r>
        <w:t>的</w:t>
      </w:r>
      <w:r>
        <w:rPr>
          <w:spacing w:val="-3"/>
        </w:rPr>
        <w:t>本</w:t>
      </w:r>
      <w:r>
        <w:t>工程</w:t>
      </w:r>
      <w:r>
        <w:rPr>
          <w:spacing w:val="-3"/>
        </w:rPr>
        <w:t>的</w:t>
      </w:r>
      <w:r>
        <w:t>投</w:t>
      </w:r>
      <w:r>
        <w:rPr>
          <w:spacing w:val="-3"/>
        </w:rPr>
        <w:t>标</w:t>
      </w:r>
      <w:r>
        <w:t>文</w:t>
      </w:r>
      <w:r>
        <w:rPr>
          <w:spacing w:val="-3"/>
        </w:rPr>
        <w:t>件</w:t>
      </w:r>
      <w:r>
        <w:t>的</w:t>
      </w:r>
      <w:r>
        <w:rPr>
          <w:spacing w:val="-3"/>
        </w:rPr>
        <w:t>内</w:t>
      </w:r>
      <w:r>
        <w:t>容。</w:t>
      </w:r>
    </w:p>
    <w:p>
      <w:pPr>
        <w:pStyle w:val="13"/>
        <w:ind w:left="0"/>
        <w:rPr>
          <w:sz w:val="20"/>
        </w:rPr>
      </w:pPr>
    </w:p>
    <w:p>
      <w:pPr>
        <w:pStyle w:val="13"/>
        <w:ind w:left="0"/>
        <w:rPr>
          <w:sz w:val="20"/>
        </w:rPr>
      </w:pPr>
    </w:p>
    <w:p>
      <w:pPr>
        <w:pStyle w:val="13"/>
        <w:ind w:left="0"/>
        <w:rPr>
          <w:sz w:val="15"/>
        </w:rPr>
      </w:pPr>
    </w:p>
    <w:p>
      <w:pPr>
        <w:pStyle w:val="13"/>
        <w:ind w:left="809"/>
      </w:pPr>
      <w:r>
        <w:t>代理人无转委托权，特此委托。</w:t>
      </w: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spacing w:before="5"/>
        <w:ind w:left="0"/>
        <w:rPr>
          <w:sz w:val="17"/>
        </w:rPr>
      </w:pPr>
    </w:p>
    <w:p>
      <w:pPr>
        <w:pStyle w:val="13"/>
        <w:tabs>
          <w:tab w:val="left" w:pos="5124"/>
          <w:tab w:val="left" w:pos="7122"/>
          <w:tab w:val="left" w:pos="8532"/>
        </w:tabs>
        <w:ind w:left="2813"/>
        <w:rPr>
          <w:rFonts w:ascii="Times New Roman" w:eastAsia="Times New Roman"/>
        </w:rPr>
      </w:pPr>
      <w:r>
        <w:t>代理</w:t>
      </w:r>
      <w:r>
        <w:rPr>
          <w:spacing w:val="-3"/>
        </w:rPr>
        <w:t>人</w:t>
      </w:r>
      <w:r>
        <w:t>：</w:t>
      </w:r>
      <w:r>
        <w:rPr>
          <w:u w:val="single"/>
        </w:rPr>
        <w:t xml:space="preserve"> </w:t>
      </w:r>
      <w:r>
        <w:rPr>
          <w:u w:val="single"/>
        </w:rPr>
        <w:tab/>
      </w:r>
      <w:r>
        <w:t>性别</w:t>
      </w:r>
      <w:r>
        <w:rPr>
          <w:spacing w:val="-1"/>
        </w:rPr>
        <w:t xml:space="preserve"> </w:t>
      </w:r>
      <w:r>
        <w:t>：</w:t>
      </w:r>
      <w:r>
        <w:rPr>
          <w:u w:val="single"/>
        </w:rPr>
        <w:t xml:space="preserve"> </w:t>
      </w:r>
      <w:r>
        <w:rPr>
          <w:u w:val="single"/>
        </w:rPr>
        <w:tab/>
      </w:r>
      <w:r>
        <w:rPr>
          <w:spacing w:val="-3"/>
        </w:rPr>
        <w:t>年龄</w:t>
      </w:r>
      <w:r>
        <w:t>：</w:t>
      </w:r>
      <w:r>
        <w:rPr>
          <w:rFonts w:ascii="Times New Roman" w:eastAsia="Times New Roman"/>
          <w:u w:val="single"/>
        </w:rPr>
        <w:t xml:space="preserve"> </w:t>
      </w:r>
      <w:r>
        <w:rPr>
          <w:rFonts w:ascii="Times New Roman" w:eastAsia="Times New Roman"/>
          <w:u w:val="single"/>
        </w:rPr>
        <w:tab/>
      </w:r>
    </w:p>
    <w:p>
      <w:pPr>
        <w:pStyle w:val="13"/>
        <w:spacing w:before="6"/>
        <w:ind w:left="0"/>
        <w:rPr>
          <w:rFonts w:ascii="Times New Roman"/>
          <w:sz w:val="26"/>
        </w:rPr>
      </w:pPr>
    </w:p>
    <w:p>
      <w:pPr>
        <w:pStyle w:val="13"/>
        <w:tabs>
          <w:tab w:val="left" w:pos="6174"/>
          <w:tab w:val="left" w:pos="8533"/>
        </w:tabs>
        <w:spacing w:before="43"/>
        <w:ind w:left="2813"/>
        <w:rPr>
          <w:rFonts w:ascii="Times New Roman" w:eastAsia="Times New Roman"/>
        </w:rPr>
      </w:pPr>
      <w:r>
        <w:t>身份</w:t>
      </w:r>
      <w:r>
        <w:rPr>
          <w:spacing w:val="-3"/>
        </w:rPr>
        <w:t>证</w:t>
      </w:r>
      <w:r>
        <w:t>号</w:t>
      </w:r>
      <w:r>
        <w:rPr>
          <w:spacing w:val="-3"/>
        </w:rPr>
        <w:t>码</w:t>
      </w:r>
      <w:r>
        <w:t>：</w:t>
      </w:r>
      <w:r>
        <w:rPr>
          <w:u w:val="single"/>
        </w:rPr>
        <w:t xml:space="preserve"> </w:t>
      </w:r>
      <w:r>
        <w:rPr>
          <w:u w:val="single"/>
        </w:rPr>
        <w:tab/>
      </w:r>
      <w:r>
        <w:rPr>
          <w:spacing w:val="-1"/>
        </w:rPr>
        <w:t>职</w:t>
      </w:r>
      <w:r>
        <w:rPr>
          <w:spacing w:val="-3"/>
        </w:rPr>
        <w:t>务</w:t>
      </w:r>
      <w:r>
        <w:t>：</w:t>
      </w:r>
      <w:r>
        <w:rPr>
          <w:rFonts w:ascii="Times New Roman" w:eastAsia="Times New Roman"/>
          <w:u w:val="single"/>
        </w:rPr>
        <w:t xml:space="preserve"> </w:t>
      </w:r>
      <w:r>
        <w:rPr>
          <w:rFonts w:ascii="Times New Roman" w:eastAsia="Times New Roman"/>
          <w:u w:val="single"/>
        </w:rPr>
        <w:tab/>
      </w:r>
    </w:p>
    <w:p>
      <w:pPr>
        <w:pStyle w:val="13"/>
        <w:spacing w:before="7"/>
        <w:ind w:left="0"/>
        <w:rPr>
          <w:rFonts w:ascii="Times New Roman"/>
          <w:sz w:val="26"/>
        </w:rPr>
      </w:pPr>
    </w:p>
    <w:p>
      <w:pPr>
        <w:pStyle w:val="13"/>
        <w:tabs>
          <w:tab w:val="left" w:pos="7642"/>
        </w:tabs>
        <w:spacing w:before="43"/>
        <w:ind w:left="2813"/>
      </w:pPr>
      <w:r>
        <w:t>投标</w:t>
      </w:r>
      <w:r>
        <w:rPr>
          <w:spacing w:val="-3"/>
        </w:rPr>
        <w:t>人</w:t>
      </w:r>
      <w:r>
        <w:t>：</w:t>
      </w:r>
      <w:r>
        <w:rPr>
          <w:u w:val="single"/>
        </w:rPr>
        <w:t xml:space="preserve"> </w:t>
      </w:r>
      <w:r>
        <w:rPr>
          <w:u w:val="single"/>
        </w:rPr>
        <w:tab/>
      </w:r>
      <w:r>
        <w:rPr>
          <w:u w:val="single"/>
        </w:rPr>
        <w:t>（盖</w:t>
      </w:r>
      <w:r>
        <w:rPr>
          <w:spacing w:val="-3"/>
          <w:u w:val="single"/>
        </w:rPr>
        <w:t>章</w:t>
      </w:r>
      <w:r>
        <w:rPr>
          <w:u w:val="single"/>
        </w:rPr>
        <w:t>）</w:t>
      </w:r>
    </w:p>
    <w:p>
      <w:pPr>
        <w:pStyle w:val="13"/>
        <w:spacing w:before="5"/>
        <w:ind w:left="0"/>
        <w:rPr>
          <w:sz w:val="23"/>
        </w:rPr>
      </w:pPr>
    </w:p>
    <w:p>
      <w:pPr>
        <w:pStyle w:val="13"/>
        <w:tabs>
          <w:tab w:val="left" w:pos="7014"/>
        </w:tabs>
        <w:spacing w:before="43"/>
        <w:ind w:left="2813"/>
      </w:pPr>
      <w:r>
        <w:t>法定</w:t>
      </w:r>
      <w:r>
        <w:rPr>
          <w:spacing w:val="-3"/>
        </w:rPr>
        <w:t>代</w:t>
      </w:r>
      <w:r>
        <w:t>表</w:t>
      </w:r>
      <w:r>
        <w:rPr>
          <w:spacing w:val="-3"/>
        </w:rPr>
        <w:t>人</w:t>
      </w:r>
      <w:r>
        <w:t>：</w:t>
      </w:r>
      <w:r>
        <w:rPr>
          <w:u w:val="single"/>
        </w:rPr>
        <w:t xml:space="preserve"> </w:t>
      </w:r>
      <w:r>
        <w:rPr>
          <w:u w:val="single"/>
        </w:rPr>
        <w:tab/>
      </w:r>
      <w:r>
        <w:rPr>
          <w:u w:val="single"/>
        </w:rPr>
        <w:t>（</w:t>
      </w:r>
      <w:r>
        <w:rPr>
          <w:spacing w:val="-3"/>
          <w:u w:val="single"/>
        </w:rPr>
        <w:t>签字</w:t>
      </w:r>
      <w:r>
        <w:rPr>
          <w:u w:val="single"/>
        </w:rPr>
        <w:t>或盖</w:t>
      </w:r>
      <w:r>
        <w:rPr>
          <w:spacing w:val="-3"/>
          <w:u w:val="single"/>
        </w:rPr>
        <w:t>章</w:t>
      </w:r>
      <w:r>
        <w:rPr>
          <w:u w:val="single"/>
        </w:rPr>
        <w:t>）</w:t>
      </w:r>
    </w:p>
    <w:p>
      <w:pPr>
        <w:pStyle w:val="13"/>
        <w:spacing w:before="5"/>
        <w:ind w:left="0"/>
        <w:rPr>
          <w:sz w:val="23"/>
        </w:rPr>
      </w:pPr>
    </w:p>
    <w:p>
      <w:pPr>
        <w:pStyle w:val="13"/>
        <w:tabs>
          <w:tab w:val="left" w:pos="5754"/>
          <w:tab w:val="left" w:pos="6490"/>
          <w:tab w:val="left" w:pos="7225"/>
        </w:tabs>
        <w:spacing w:before="43"/>
        <w:ind w:left="2813"/>
      </w:pPr>
      <w:r>
        <w:t>授权</w:t>
      </w:r>
      <w:r>
        <w:rPr>
          <w:spacing w:val="-3"/>
        </w:rPr>
        <w:t>委</w:t>
      </w:r>
      <w:r>
        <w:t>托</w:t>
      </w:r>
      <w:r>
        <w:rPr>
          <w:spacing w:val="-3"/>
        </w:rPr>
        <w:t>日</w:t>
      </w:r>
      <w:r>
        <w:t>期</w:t>
      </w:r>
      <w:r>
        <w:rPr>
          <w:spacing w:val="-3"/>
        </w:rPr>
        <w:t>：</w:t>
      </w:r>
      <w:r>
        <w:rPr>
          <w:spacing w:val="-3"/>
          <w:u w:val="single"/>
        </w:rPr>
        <w:t xml:space="preserve"> </w:t>
      </w:r>
      <w:r>
        <w:rPr>
          <w:spacing w:val="-3"/>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p>
    <w:p>
      <w:pPr>
        <w:pStyle w:val="13"/>
        <w:ind w:left="0"/>
        <w:rPr>
          <w:sz w:val="22"/>
        </w:rPr>
      </w:pPr>
    </w:p>
    <w:p>
      <w:pPr>
        <w:pStyle w:val="13"/>
        <w:spacing w:before="12"/>
        <w:ind w:left="0"/>
        <w:rPr>
          <w:sz w:val="29"/>
        </w:rPr>
      </w:pPr>
    </w:p>
    <w:p>
      <w:pPr>
        <w:pStyle w:val="13"/>
        <w:spacing w:before="1"/>
      </w:pPr>
      <w:r>
        <w:t>附：法定代表人身份证明、组织机构代码证和代理人身份证等材料复印件</w:t>
      </w:r>
    </w:p>
    <w:p>
      <w:pPr>
        <w:spacing w:after="0"/>
        <w:sectPr>
          <w:pgSz w:w="11910" w:h="16840"/>
          <w:pgMar w:top="1520" w:right="880" w:bottom="1160" w:left="1020" w:header="0" w:footer="975" w:gutter="0"/>
        </w:sectPr>
      </w:pPr>
    </w:p>
    <w:p>
      <w:pPr>
        <w:pStyle w:val="7"/>
        <w:spacing w:line="359" w:lineRule="exact"/>
        <w:ind w:left="3715" w:right="3431"/>
      </w:pPr>
      <w:r>
        <w:rPr>
          <w:w w:val="95"/>
        </w:rPr>
        <w:t>法定代表人身份证明</w:t>
      </w:r>
    </w:p>
    <w:p>
      <w:pPr>
        <w:pStyle w:val="13"/>
        <w:spacing w:before="9"/>
        <w:ind w:left="0"/>
        <w:rPr>
          <w:b/>
          <w:sz w:val="28"/>
        </w:rPr>
      </w:pPr>
    </w:p>
    <w:p>
      <w:pPr>
        <w:pStyle w:val="13"/>
        <w:tabs>
          <w:tab w:val="left" w:pos="7196"/>
        </w:tabs>
        <w:ind w:left="218"/>
        <w:rPr>
          <w:rFonts w:ascii="Times New Roman" w:eastAsia="Times New Roman"/>
        </w:rPr>
      </w:pPr>
      <w:r>
        <w:t>投</w:t>
      </w:r>
      <w:r>
        <w:rPr>
          <w:spacing w:val="1"/>
        </w:rPr>
        <w:t xml:space="preserve"> </w:t>
      </w:r>
      <w:r>
        <w:t>标 人</w:t>
      </w:r>
      <w:r>
        <w:rPr>
          <w:spacing w:val="-3"/>
        </w:rPr>
        <w:t>：</w:t>
      </w:r>
      <w:r>
        <w:rPr>
          <w:rFonts w:ascii="Times New Roman" w:eastAsia="Times New Roman"/>
          <w:u w:val="single"/>
        </w:rPr>
        <w:t xml:space="preserve"> </w:t>
      </w:r>
      <w:r>
        <w:rPr>
          <w:rFonts w:ascii="Times New Roman" w:eastAsia="Times New Roman"/>
          <w:u w:val="single"/>
        </w:rPr>
        <w:tab/>
      </w:r>
    </w:p>
    <w:p>
      <w:pPr>
        <w:pStyle w:val="13"/>
        <w:spacing w:before="2"/>
        <w:ind w:left="0"/>
        <w:rPr>
          <w:rFonts w:ascii="Times New Roman"/>
        </w:rPr>
      </w:pPr>
    </w:p>
    <w:p>
      <w:pPr>
        <w:pStyle w:val="13"/>
        <w:tabs>
          <w:tab w:val="left" w:pos="7196"/>
        </w:tabs>
        <w:spacing w:before="43"/>
        <w:ind w:left="218"/>
        <w:rPr>
          <w:rFonts w:ascii="Times New Roman" w:eastAsia="Times New Roman"/>
        </w:rPr>
      </w:pPr>
      <w:r>
        <w:t>单位</w:t>
      </w:r>
      <w:r>
        <w:rPr>
          <w:spacing w:val="-3"/>
        </w:rPr>
        <w:t>性</w:t>
      </w:r>
      <w:r>
        <w:t>质</w:t>
      </w:r>
      <w:r>
        <w:rPr>
          <w:spacing w:val="-3"/>
        </w:rP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rPr>
      </w:pPr>
    </w:p>
    <w:p>
      <w:pPr>
        <w:pStyle w:val="13"/>
        <w:tabs>
          <w:tab w:val="left" w:pos="849"/>
          <w:tab w:val="left" w:pos="7196"/>
        </w:tabs>
        <w:spacing w:before="43"/>
        <w:ind w:left="218"/>
        <w:rPr>
          <w:rFonts w:ascii="Times New Roman" w:eastAsia="Times New Roman"/>
        </w:rPr>
      </w:pPr>
      <w:r>
        <w:t>地</w:t>
      </w:r>
      <w:r>
        <w:tab/>
      </w:r>
      <w:r>
        <w:t>址</w:t>
      </w:r>
      <w:r>
        <w:rPr>
          <w:spacing w:val="-3"/>
        </w:rP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rPr>
      </w:pPr>
    </w:p>
    <w:p>
      <w:pPr>
        <w:pStyle w:val="13"/>
        <w:tabs>
          <w:tab w:val="left" w:pos="3056"/>
          <w:tab w:val="left" w:pos="4736"/>
          <w:tab w:val="left" w:pos="6414"/>
        </w:tabs>
        <w:spacing w:before="43"/>
        <w:ind w:left="218"/>
      </w:pPr>
      <w:r>
        <w:t>成立</w:t>
      </w:r>
      <w:r>
        <w:rPr>
          <w:spacing w:val="-3"/>
        </w:rPr>
        <w:t>时</w:t>
      </w:r>
      <w:r>
        <w:t>间</w:t>
      </w:r>
      <w:r>
        <w:rPr>
          <w:spacing w:val="-3"/>
        </w:rPr>
        <w:t>：</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pStyle w:val="13"/>
        <w:spacing w:before="12"/>
        <w:ind w:left="0"/>
      </w:pPr>
    </w:p>
    <w:p>
      <w:pPr>
        <w:pStyle w:val="13"/>
        <w:tabs>
          <w:tab w:val="left" w:pos="7196"/>
        </w:tabs>
        <w:ind w:left="218"/>
        <w:rPr>
          <w:rFonts w:ascii="Times New Roman" w:eastAsia="Times New Roman"/>
        </w:rPr>
      </w:pPr>
      <w:r>
        <w:t>经营</w:t>
      </w:r>
      <w:r>
        <w:rPr>
          <w:spacing w:val="-3"/>
        </w:rPr>
        <w:t>期</w:t>
      </w:r>
      <w:r>
        <w:t>限</w:t>
      </w:r>
      <w:r>
        <w:rPr>
          <w:spacing w:val="-3"/>
        </w:rPr>
        <w:t>：</w:t>
      </w:r>
      <w:r>
        <w:rPr>
          <w:rFonts w:ascii="Times New Roman" w:eastAsia="Times New Roman"/>
          <w:u w:val="single"/>
        </w:rPr>
        <w:t xml:space="preserve"> </w:t>
      </w:r>
      <w:r>
        <w:rPr>
          <w:rFonts w:ascii="Times New Roman" w:eastAsia="Times New Roman"/>
          <w:u w:val="single"/>
        </w:rPr>
        <w:tab/>
      </w:r>
    </w:p>
    <w:p>
      <w:pPr>
        <w:pStyle w:val="13"/>
        <w:spacing w:before="7" w:after="1"/>
        <w:ind w:left="0"/>
        <w:rPr>
          <w:rFonts w:ascii="Times New Roman"/>
          <w:sz w:val="29"/>
        </w:rPr>
      </w:pPr>
    </w:p>
    <w:tbl>
      <w:tblPr>
        <w:tblStyle w:val="17"/>
        <w:tblW w:w="7079" w:type="dxa"/>
        <w:tblInd w:w="1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1"/>
        <w:gridCol w:w="3833"/>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471" w:type="dxa"/>
          </w:tcPr>
          <w:p>
            <w:pPr>
              <w:pStyle w:val="33"/>
              <w:spacing w:line="218" w:lineRule="exact"/>
              <w:ind w:left="50"/>
              <w:rPr>
                <w:sz w:val="21"/>
              </w:rPr>
            </w:pPr>
            <w:r>
              <w:rPr>
                <w:w w:val="100"/>
                <w:sz w:val="21"/>
              </w:rPr>
              <w:t>姓</w:t>
            </w:r>
          </w:p>
        </w:tc>
        <w:tc>
          <w:tcPr>
            <w:tcW w:w="3833" w:type="dxa"/>
          </w:tcPr>
          <w:p>
            <w:pPr>
              <w:pStyle w:val="33"/>
              <w:tabs>
                <w:tab w:val="left" w:pos="3149"/>
              </w:tabs>
              <w:spacing w:line="218" w:lineRule="exact"/>
              <w:ind w:right="50"/>
              <w:jc w:val="center"/>
              <w:rPr>
                <w:sz w:val="21"/>
              </w:rPr>
            </w:pPr>
            <w:r>
              <w:rPr>
                <w:sz w:val="21"/>
              </w:rPr>
              <w:t>名</w:t>
            </w:r>
            <w:r>
              <w:rPr>
                <w:spacing w:val="-3"/>
                <w:sz w:val="21"/>
              </w:rPr>
              <w:t>：</w:t>
            </w:r>
            <w:r>
              <w:rPr>
                <w:spacing w:val="-3"/>
                <w:sz w:val="21"/>
                <w:u w:val="single"/>
              </w:rPr>
              <w:t xml:space="preserve"> </w:t>
            </w:r>
            <w:r>
              <w:rPr>
                <w:spacing w:val="-3"/>
                <w:sz w:val="21"/>
                <w:u w:val="single"/>
              </w:rPr>
              <w:tab/>
            </w:r>
            <w:r>
              <w:rPr>
                <w:sz w:val="21"/>
              </w:rPr>
              <w:t>性</w:t>
            </w:r>
          </w:p>
        </w:tc>
        <w:tc>
          <w:tcPr>
            <w:tcW w:w="2775" w:type="dxa"/>
          </w:tcPr>
          <w:p>
            <w:pPr>
              <w:pStyle w:val="33"/>
              <w:tabs>
                <w:tab w:val="left" w:pos="2462"/>
              </w:tabs>
              <w:spacing w:line="218" w:lineRule="exact"/>
              <w:ind w:right="48"/>
              <w:jc w:val="right"/>
              <w:rPr>
                <w:rFonts w:ascii="Times New Roman" w:eastAsia="Times New Roman"/>
                <w:sz w:val="21"/>
              </w:rPr>
            </w:pPr>
            <w:r>
              <w:rPr>
                <w:spacing w:val="-3"/>
                <w:sz w:val="21"/>
              </w:rPr>
              <w:t>别</w:t>
            </w:r>
            <w:r>
              <w:rPr>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471" w:type="dxa"/>
          </w:tcPr>
          <w:p>
            <w:pPr>
              <w:pStyle w:val="33"/>
              <w:spacing w:before="106" w:line="271" w:lineRule="exact"/>
              <w:ind w:left="50"/>
              <w:rPr>
                <w:sz w:val="21"/>
              </w:rPr>
            </w:pPr>
            <w:r>
              <w:rPr>
                <w:w w:val="100"/>
                <w:sz w:val="21"/>
              </w:rPr>
              <w:t>年</w:t>
            </w:r>
          </w:p>
        </w:tc>
        <w:tc>
          <w:tcPr>
            <w:tcW w:w="3833" w:type="dxa"/>
          </w:tcPr>
          <w:p>
            <w:pPr>
              <w:pStyle w:val="33"/>
              <w:tabs>
                <w:tab w:val="left" w:pos="3149"/>
              </w:tabs>
              <w:spacing w:before="106" w:line="271" w:lineRule="exact"/>
              <w:ind w:right="50"/>
              <w:jc w:val="center"/>
              <w:rPr>
                <w:sz w:val="21"/>
              </w:rPr>
            </w:pPr>
            <w:r>
              <w:rPr>
                <w:sz w:val="21"/>
              </w:rPr>
              <w:t>龄</w:t>
            </w:r>
            <w:r>
              <w:rPr>
                <w:spacing w:val="-3"/>
                <w:sz w:val="21"/>
              </w:rPr>
              <w:t>：</w:t>
            </w:r>
            <w:r>
              <w:rPr>
                <w:spacing w:val="-3"/>
                <w:sz w:val="21"/>
                <w:u w:val="single"/>
              </w:rPr>
              <w:t xml:space="preserve"> </w:t>
            </w:r>
            <w:r>
              <w:rPr>
                <w:spacing w:val="-3"/>
                <w:sz w:val="21"/>
                <w:u w:val="single"/>
              </w:rPr>
              <w:tab/>
            </w:r>
            <w:r>
              <w:rPr>
                <w:sz w:val="21"/>
              </w:rPr>
              <w:t>职</w:t>
            </w:r>
          </w:p>
        </w:tc>
        <w:tc>
          <w:tcPr>
            <w:tcW w:w="2775" w:type="dxa"/>
          </w:tcPr>
          <w:p>
            <w:pPr>
              <w:pStyle w:val="33"/>
              <w:tabs>
                <w:tab w:val="left" w:pos="2462"/>
              </w:tabs>
              <w:spacing w:before="106" w:line="271" w:lineRule="exact"/>
              <w:ind w:right="48"/>
              <w:jc w:val="right"/>
              <w:rPr>
                <w:rFonts w:ascii="Times New Roman" w:eastAsia="Times New Roman"/>
                <w:sz w:val="21"/>
              </w:rPr>
            </w:pPr>
            <w:r>
              <w:rPr>
                <w:spacing w:val="-3"/>
                <w:sz w:val="21"/>
              </w:rPr>
              <w:t>务</w:t>
            </w:r>
            <w:r>
              <w:rPr>
                <w:sz w:val="21"/>
              </w:rPr>
              <w:t>：</w:t>
            </w:r>
            <w:r>
              <w:rPr>
                <w:rFonts w:ascii="Times New Roman" w:eastAsia="Times New Roman"/>
                <w:sz w:val="21"/>
                <w:u w:val="single"/>
              </w:rPr>
              <w:t xml:space="preserve"> </w:t>
            </w:r>
            <w:r>
              <w:rPr>
                <w:rFonts w:ascii="Times New Roman" w:eastAsia="Times New Roman"/>
                <w:sz w:val="21"/>
                <w:u w:val="single"/>
              </w:rPr>
              <w:tab/>
            </w:r>
          </w:p>
        </w:tc>
      </w:tr>
    </w:tbl>
    <w:p>
      <w:pPr>
        <w:pStyle w:val="13"/>
        <w:spacing w:before="6"/>
        <w:ind w:left="0"/>
        <w:rPr>
          <w:rFonts w:ascii="Times New Roman"/>
          <w:sz w:val="23"/>
        </w:rPr>
      </w:pPr>
    </w:p>
    <w:p>
      <w:pPr>
        <w:pStyle w:val="13"/>
        <w:tabs>
          <w:tab w:val="left" w:pos="5574"/>
        </w:tabs>
        <w:spacing w:line="487" w:lineRule="auto"/>
        <w:ind w:left="113" w:right="1067" w:firstLine="105"/>
      </w:pPr>
      <w:r>
        <w:t>系</w:t>
      </w:r>
      <w:r>
        <w:rPr>
          <w:u w:val="single"/>
        </w:rPr>
        <w:t xml:space="preserve"> </w:t>
      </w:r>
      <w:r>
        <w:rPr>
          <w:u w:val="single"/>
        </w:rPr>
        <w:tab/>
      </w:r>
      <w:r>
        <w:t>（</w:t>
      </w:r>
      <w:r>
        <w:rPr>
          <w:spacing w:val="-3"/>
        </w:rPr>
        <w:t>投</w:t>
      </w:r>
      <w:r>
        <w:t>标</w:t>
      </w:r>
      <w:r>
        <w:rPr>
          <w:spacing w:val="-3"/>
        </w:rPr>
        <w:t>人</w:t>
      </w:r>
      <w:r>
        <w:t>名</w:t>
      </w:r>
      <w:r>
        <w:rPr>
          <w:spacing w:val="-3"/>
        </w:rPr>
        <w:t>称</w:t>
      </w:r>
      <w:r>
        <w:t>）</w:t>
      </w:r>
      <w:r>
        <w:rPr>
          <w:spacing w:val="-3"/>
        </w:rPr>
        <w:t>的法</w:t>
      </w:r>
      <w:r>
        <w:t>定代</w:t>
      </w:r>
      <w:r>
        <w:rPr>
          <w:spacing w:val="-3"/>
        </w:rPr>
        <w:t>表</w:t>
      </w:r>
      <w:r>
        <w:t>人。 特此</w:t>
      </w:r>
      <w:r>
        <w:rPr>
          <w:spacing w:val="-3"/>
        </w:rPr>
        <w:t>证</w:t>
      </w:r>
      <w:r>
        <w:t>明。</w:t>
      </w:r>
    </w:p>
    <w:p>
      <w:pPr>
        <w:pStyle w:val="13"/>
        <w:ind w:left="0"/>
        <w:rPr>
          <w:sz w:val="20"/>
        </w:rPr>
      </w:pPr>
    </w:p>
    <w:p>
      <w:pPr>
        <w:pStyle w:val="13"/>
        <w:ind w:left="0"/>
        <w:rPr>
          <w:sz w:val="20"/>
        </w:rPr>
      </w:pPr>
    </w:p>
    <w:p>
      <w:pPr>
        <w:pStyle w:val="13"/>
        <w:ind w:left="0"/>
        <w:rPr>
          <w:sz w:val="20"/>
        </w:rPr>
      </w:pPr>
    </w:p>
    <w:p>
      <w:pPr>
        <w:pStyle w:val="13"/>
        <w:ind w:left="0"/>
        <w:rPr>
          <w:sz w:val="18"/>
        </w:rPr>
      </w:pPr>
    </w:p>
    <w:p>
      <w:pPr>
        <w:pStyle w:val="13"/>
        <w:tabs>
          <w:tab w:val="left" w:pos="8217"/>
        </w:tabs>
        <w:ind w:left="4645"/>
      </w:pPr>
      <w:r>
        <w:t>投标</w:t>
      </w:r>
      <w:r>
        <w:rPr>
          <w:spacing w:val="-3"/>
        </w:rPr>
        <w:t>人</w:t>
      </w:r>
      <w:r>
        <w:t>：</w:t>
      </w:r>
      <w:r>
        <w:rPr>
          <w:u w:val="single"/>
        </w:rPr>
        <w:t xml:space="preserve"> </w:t>
      </w:r>
      <w:r>
        <w:rPr>
          <w:u w:val="single"/>
        </w:rPr>
        <w:tab/>
      </w:r>
      <w:r>
        <w:rPr>
          <w:spacing w:val="-3"/>
        </w:rPr>
        <w:t>（</w:t>
      </w:r>
      <w:r>
        <w:t>盖</w:t>
      </w:r>
      <w:r>
        <w:rPr>
          <w:spacing w:val="-3"/>
        </w:rPr>
        <w:t>单</w:t>
      </w:r>
      <w:r>
        <w:t>位</w:t>
      </w:r>
      <w:r>
        <w:rPr>
          <w:spacing w:val="-3"/>
        </w:rPr>
        <w:t>章</w:t>
      </w:r>
      <w:r>
        <w:t>）</w:t>
      </w:r>
    </w:p>
    <w:p>
      <w:pPr>
        <w:pStyle w:val="13"/>
        <w:tabs>
          <w:tab w:val="left" w:pos="7162"/>
          <w:tab w:val="left" w:pos="8214"/>
          <w:tab w:val="left" w:pos="9263"/>
        </w:tabs>
        <w:spacing w:before="142"/>
        <w:ind w:left="6217"/>
      </w:pPr>
      <w:r>
        <w:rPr>
          <w:rFonts w:ascii="Times New Roman" w:eastAsia="Times New Roman"/>
          <w:w w:val="100"/>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520" w:right="880" w:bottom="1160" w:left="1440" w:header="0" w:footer="975" w:gutter="0"/>
        </w:sectPr>
      </w:pPr>
    </w:p>
    <w:p>
      <w:pPr>
        <w:pStyle w:val="7"/>
        <w:ind w:left="2664"/>
        <w:jc w:val="left"/>
      </w:pPr>
      <w:r>
        <w:rPr>
          <w:w w:val="95"/>
        </w:rPr>
        <w:t>2、投标人基本情况表（包含联合体各方）</w:t>
      </w:r>
    </w:p>
    <w:p>
      <w:pPr>
        <w:pStyle w:val="13"/>
        <w:spacing w:before="1"/>
        <w:ind w:left="0"/>
        <w:rPr>
          <w:b/>
          <w:sz w:val="13"/>
        </w:rPr>
      </w:pPr>
    </w:p>
    <w:tbl>
      <w:tblPr>
        <w:tblStyle w:val="17"/>
        <w:tblW w:w="8969" w:type="dxa"/>
        <w:tblInd w:w="5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0"/>
        <w:gridCol w:w="994"/>
        <w:gridCol w:w="284"/>
        <w:gridCol w:w="194"/>
        <w:gridCol w:w="1246"/>
        <w:gridCol w:w="262"/>
        <w:gridCol w:w="708"/>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25" w:type="dxa"/>
          </w:tcPr>
          <w:p>
            <w:pPr>
              <w:pStyle w:val="33"/>
              <w:spacing w:before="117"/>
              <w:ind w:left="158" w:right="154"/>
              <w:jc w:val="center"/>
              <w:rPr>
                <w:sz w:val="21"/>
              </w:rPr>
            </w:pPr>
            <w:r>
              <w:rPr>
                <w:sz w:val="21"/>
              </w:rPr>
              <w:t>投标人名称</w:t>
            </w:r>
          </w:p>
        </w:tc>
        <w:tc>
          <w:tcPr>
            <w:tcW w:w="7344" w:type="dxa"/>
            <w:gridSpan w:val="9"/>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25" w:type="dxa"/>
          </w:tcPr>
          <w:p>
            <w:pPr>
              <w:pStyle w:val="33"/>
              <w:spacing w:before="114"/>
              <w:ind w:left="158" w:right="154"/>
              <w:jc w:val="center"/>
              <w:rPr>
                <w:sz w:val="21"/>
              </w:rPr>
            </w:pPr>
            <w:r>
              <w:rPr>
                <w:sz w:val="21"/>
              </w:rPr>
              <w:t>注册地址</w:t>
            </w:r>
          </w:p>
        </w:tc>
        <w:tc>
          <w:tcPr>
            <w:tcW w:w="3390" w:type="dxa"/>
            <w:gridSpan w:val="5"/>
          </w:tcPr>
          <w:p>
            <w:pPr>
              <w:pStyle w:val="33"/>
              <w:rPr>
                <w:rFonts w:ascii="Times New Roman"/>
                <w:sz w:val="20"/>
              </w:rPr>
            </w:pPr>
          </w:p>
        </w:tc>
        <w:tc>
          <w:tcPr>
            <w:tcW w:w="1246" w:type="dxa"/>
          </w:tcPr>
          <w:p>
            <w:pPr>
              <w:pStyle w:val="33"/>
              <w:spacing w:before="114"/>
              <w:ind w:left="4"/>
              <w:jc w:val="center"/>
              <w:rPr>
                <w:sz w:val="21"/>
              </w:rPr>
            </w:pPr>
            <w:r>
              <w:rPr>
                <w:sz w:val="21"/>
              </w:rPr>
              <w:t>邮政编码</w:t>
            </w:r>
          </w:p>
        </w:tc>
        <w:tc>
          <w:tcPr>
            <w:tcW w:w="2708" w:type="dxa"/>
            <w:gridSpan w:val="3"/>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25" w:type="dxa"/>
            <w:vMerge w:val="restart"/>
          </w:tcPr>
          <w:p>
            <w:pPr>
              <w:pStyle w:val="33"/>
              <w:rPr>
                <w:b/>
                <w:sz w:val="20"/>
              </w:rPr>
            </w:pPr>
          </w:p>
          <w:p>
            <w:pPr>
              <w:pStyle w:val="33"/>
              <w:spacing w:before="143"/>
              <w:ind w:left="388"/>
              <w:rPr>
                <w:sz w:val="21"/>
              </w:rPr>
            </w:pPr>
            <w:r>
              <w:rPr>
                <w:sz w:val="21"/>
              </w:rPr>
              <w:t>联系方式</w:t>
            </w:r>
          </w:p>
        </w:tc>
        <w:tc>
          <w:tcPr>
            <w:tcW w:w="898" w:type="dxa"/>
          </w:tcPr>
          <w:p>
            <w:pPr>
              <w:pStyle w:val="33"/>
              <w:spacing w:before="117"/>
              <w:ind w:left="4"/>
              <w:jc w:val="center"/>
              <w:rPr>
                <w:sz w:val="21"/>
              </w:rPr>
            </w:pPr>
            <w:r>
              <w:rPr>
                <w:sz w:val="21"/>
              </w:rPr>
              <w:t>联系人</w:t>
            </w:r>
          </w:p>
        </w:tc>
        <w:tc>
          <w:tcPr>
            <w:tcW w:w="2492" w:type="dxa"/>
            <w:gridSpan w:val="4"/>
          </w:tcPr>
          <w:p>
            <w:pPr>
              <w:pStyle w:val="33"/>
              <w:rPr>
                <w:rFonts w:ascii="Times New Roman"/>
                <w:sz w:val="20"/>
              </w:rPr>
            </w:pPr>
          </w:p>
        </w:tc>
        <w:tc>
          <w:tcPr>
            <w:tcW w:w="1246" w:type="dxa"/>
          </w:tcPr>
          <w:p>
            <w:pPr>
              <w:pStyle w:val="33"/>
              <w:tabs>
                <w:tab w:val="left" w:pos="429"/>
              </w:tabs>
              <w:spacing w:before="117"/>
              <w:ind w:left="7"/>
              <w:jc w:val="center"/>
              <w:rPr>
                <w:sz w:val="21"/>
              </w:rPr>
            </w:pPr>
            <w:r>
              <w:rPr>
                <w:sz w:val="21"/>
              </w:rPr>
              <w:t>电</w:t>
            </w:r>
            <w:r>
              <w:rPr>
                <w:sz w:val="21"/>
              </w:rPr>
              <w:tab/>
            </w:r>
            <w:r>
              <w:rPr>
                <w:sz w:val="21"/>
              </w:rPr>
              <w:t>话</w:t>
            </w:r>
          </w:p>
        </w:tc>
        <w:tc>
          <w:tcPr>
            <w:tcW w:w="2708" w:type="dxa"/>
            <w:gridSpan w:val="3"/>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25" w:type="dxa"/>
            <w:vMerge w:val="continue"/>
            <w:tcBorders>
              <w:top w:val="nil"/>
            </w:tcBorders>
          </w:tcPr>
          <w:p>
            <w:pPr>
              <w:rPr>
                <w:sz w:val="2"/>
                <w:szCs w:val="2"/>
              </w:rPr>
            </w:pPr>
          </w:p>
        </w:tc>
        <w:tc>
          <w:tcPr>
            <w:tcW w:w="898" w:type="dxa"/>
          </w:tcPr>
          <w:p>
            <w:pPr>
              <w:pStyle w:val="33"/>
              <w:tabs>
                <w:tab w:val="left" w:pos="426"/>
              </w:tabs>
              <w:spacing w:before="114"/>
              <w:ind w:left="4"/>
              <w:jc w:val="center"/>
              <w:rPr>
                <w:sz w:val="21"/>
              </w:rPr>
            </w:pPr>
            <w:r>
              <w:rPr>
                <w:sz w:val="21"/>
              </w:rPr>
              <w:t>传</w:t>
            </w:r>
            <w:r>
              <w:rPr>
                <w:sz w:val="21"/>
              </w:rPr>
              <w:tab/>
            </w:r>
            <w:r>
              <w:rPr>
                <w:sz w:val="21"/>
              </w:rPr>
              <w:t>真</w:t>
            </w:r>
          </w:p>
        </w:tc>
        <w:tc>
          <w:tcPr>
            <w:tcW w:w="2492" w:type="dxa"/>
            <w:gridSpan w:val="4"/>
          </w:tcPr>
          <w:p>
            <w:pPr>
              <w:pStyle w:val="33"/>
              <w:rPr>
                <w:rFonts w:ascii="Times New Roman"/>
                <w:sz w:val="20"/>
              </w:rPr>
            </w:pPr>
          </w:p>
        </w:tc>
        <w:tc>
          <w:tcPr>
            <w:tcW w:w="1246" w:type="dxa"/>
          </w:tcPr>
          <w:p>
            <w:pPr>
              <w:pStyle w:val="33"/>
              <w:tabs>
                <w:tab w:val="left" w:pos="429"/>
              </w:tabs>
              <w:spacing w:before="114"/>
              <w:ind w:left="7"/>
              <w:jc w:val="center"/>
              <w:rPr>
                <w:sz w:val="21"/>
              </w:rPr>
            </w:pPr>
            <w:r>
              <w:rPr>
                <w:sz w:val="21"/>
              </w:rPr>
              <w:t>网</w:t>
            </w:r>
            <w:r>
              <w:rPr>
                <w:sz w:val="21"/>
              </w:rPr>
              <w:tab/>
            </w:r>
            <w:r>
              <w:rPr>
                <w:sz w:val="21"/>
              </w:rPr>
              <w:t>址</w:t>
            </w:r>
          </w:p>
        </w:tc>
        <w:tc>
          <w:tcPr>
            <w:tcW w:w="2708" w:type="dxa"/>
            <w:gridSpan w:val="3"/>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25" w:type="dxa"/>
          </w:tcPr>
          <w:p>
            <w:pPr>
              <w:pStyle w:val="33"/>
              <w:spacing w:before="114"/>
              <w:ind w:left="158" w:right="154"/>
              <w:jc w:val="center"/>
              <w:rPr>
                <w:sz w:val="21"/>
              </w:rPr>
            </w:pPr>
            <w:r>
              <w:rPr>
                <w:sz w:val="21"/>
              </w:rPr>
              <w:t>组织机构</w:t>
            </w:r>
          </w:p>
        </w:tc>
        <w:tc>
          <w:tcPr>
            <w:tcW w:w="7344" w:type="dxa"/>
            <w:gridSpan w:val="9"/>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25" w:type="dxa"/>
          </w:tcPr>
          <w:p>
            <w:pPr>
              <w:pStyle w:val="33"/>
              <w:spacing w:before="114"/>
              <w:ind w:left="158" w:right="154"/>
              <w:jc w:val="center"/>
              <w:rPr>
                <w:sz w:val="21"/>
              </w:rPr>
            </w:pPr>
            <w:r>
              <w:rPr>
                <w:sz w:val="21"/>
              </w:rPr>
              <w:t>法定代表人</w:t>
            </w:r>
          </w:p>
        </w:tc>
        <w:tc>
          <w:tcPr>
            <w:tcW w:w="898" w:type="dxa"/>
          </w:tcPr>
          <w:p>
            <w:pPr>
              <w:pStyle w:val="33"/>
              <w:spacing w:before="114"/>
              <w:ind w:left="4"/>
              <w:jc w:val="center"/>
              <w:rPr>
                <w:sz w:val="21"/>
              </w:rPr>
            </w:pPr>
            <w:r>
              <w:rPr>
                <w:sz w:val="21"/>
              </w:rPr>
              <w:t>姓名</w:t>
            </w:r>
          </w:p>
        </w:tc>
        <w:tc>
          <w:tcPr>
            <w:tcW w:w="1020" w:type="dxa"/>
          </w:tcPr>
          <w:p>
            <w:pPr>
              <w:pStyle w:val="33"/>
              <w:rPr>
                <w:rFonts w:ascii="Times New Roman"/>
                <w:sz w:val="20"/>
              </w:rPr>
            </w:pPr>
          </w:p>
        </w:tc>
        <w:tc>
          <w:tcPr>
            <w:tcW w:w="1278" w:type="dxa"/>
            <w:gridSpan w:val="2"/>
          </w:tcPr>
          <w:p>
            <w:pPr>
              <w:pStyle w:val="33"/>
              <w:spacing w:before="114"/>
              <w:ind w:left="215"/>
              <w:rPr>
                <w:sz w:val="21"/>
              </w:rPr>
            </w:pPr>
            <w:r>
              <w:rPr>
                <w:sz w:val="21"/>
              </w:rPr>
              <w:t>技术职称</w:t>
            </w:r>
          </w:p>
        </w:tc>
        <w:tc>
          <w:tcPr>
            <w:tcW w:w="1702" w:type="dxa"/>
            <w:gridSpan w:val="3"/>
          </w:tcPr>
          <w:p>
            <w:pPr>
              <w:pStyle w:val="33"/>
              <w:rPr>
                <w:rFonts w:ascii="Times New Roman"/>
                <w:sz w:val="20"/>
              </w:rPr>
            </w:pPr>
          </w:p>
        </w:tc>
        <w:tc>
          <w:tcPr>
            <w:tcW w:w="708" w:type="dxa"/>
          </w:tcPr>
          <w:p>
            <w:pPr>
              <w:pStyle w:val="33"/>
              <w:spacing w:before="114"/>
              <w:ind w:left="120" w:right="118"/>
              <w:jc w:val="center"/>
              <w:rPr>
                <w:sz w:val="21"/>
              </w:rPr>
            </w:pPr>
            <w:r>
              <w:rPr>
                <w:sz w:val="21"/>
              </w:rPr>
              <w:t>电话</w:t>
            </w:r>
          </w:p>
        </w:tc>
        <w:tc>
          <w:tcPr>
            <w:tcW w:w="1738"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25" w:type="dxa"/>
          </w:tcPr>
          <w:p>
            <w:pPr>
              <w:pStyle w:val="33"/>
              <w:spacing w:before="114"/>
              <w:ind w:left="158" w:right="154"/>
              <w:jc w:val="center"/>
              <w:rPr>
                <w:sz w:val="21"/>
              </w:rPr>
            </w:pPr>
            <w:r>
              <w:rPr>
                <w:sz w:val="21"/>
              </w:rPr>
              <w:t>技术负责人</w:t>
            </w:r>
          </w:p>
        </w:tc>
        <w:tc>
          <w:tcPr>
            <w:tcW w:w="898" w:type="dxa"/>
          </w:tcPr>
          <w:p>
            <w:pPr>
              <w:pStyle w:val="33"/>
              <w:spacing w:before="114"/>
              <w:ind w:left="4"/>
              <w:jc w:val="center"/>
              <w:rPr>
                <w:sz w:val="21"/>
              </w:rPr>
            </w:pPr>
            <w:r>
              <w:rPr>
                <w:sz w:val="21"/>
              </w:rPr>
              <w:t>姓名</w:t>
            </w:r>
          </w:p>
        </w:tc>
        <w:tc>
          <w:tcPr>
            <w:tcW w:w="1020" w:type="dxa"/>
          </w:tcPr>
          <w:p>
            <w:pPr>
              <w:pStyle w:val="33"/>
              <w:rPr>
                <w:rFonts w:ascii="Times New Roman"/>
                <w:sz w:val="20"/>
              </w:rPr>
            </w:pPr>
          </w:p>
        </w:tc>
        <w:tc>
          <w:tcPr>
            <w:tcW w:w="1278" w:type="dxa"/>
            <w:gridSpan w:val="2"/>
          </w:tcPr>
          <w:p>
            <w:pPr>
              <w:pStyle w:val="33"/>
              <w:spacing w:before="114"/>
              <w:ind w:left="215"/>
              <w:rPr>
                <w:sz w:val="21"/>
              </w:rPr>
            </w:pPr>
            <w:r>
              <w:rPr>
                <w:sz w:val="21"/>
              </w:rPr>
              <w:t>技术职称</w:t>
            </w:r>
          </w:p>
        </w:tc>
        <w:tc>
          <w:tcPr>
            <w:tcW w:w="1702" w:type="dxa"/>
            <w:gridSpan w:val="3"/>
          </w:tcPr>
          <w:p>
            <w:pPr>
              <w:pStyle w:val="33"/>
              <w:rPr>
                <w:rFonts w:ascii="Times New Roman"/>
                <w:sz w:val="20"/>
              </w:rPr>
            </w:pPr>
          </w:p>
        </w:tc>
        <w:tc>
          <w:tcPr>
            <w:tcW w:w="708" w:type="dxa"/>
          </w:tcPr>
          <w:p>
            <w:pPr>
              <w:pStyle w:val="33"/>
              <w:spacing w:before="114"/>
              <w:ind w:left="120" w:right="118"/>
              <w:jc w:val="center"/>
              <w:rPr>
                <w:sz w:val="21"/>
              </w:rPr>
            </w:pPr>
            <w:r>
              <w:rPr>
                <w:sz w:val="21"/>
              </w:rPr>
              <w:t>电话</w:t>
            </w:r>
          </w:p>
        </w:tc>
        <w:tc>
          <w:tcPr>
            <w:tcW w:w="1738"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25" w:type="dxa"/>
          </w:tcPr>
          <w:p>
            <w:pPr>
              <w:pStyle w:val="33"/>
              <w:spacing w:before="117"/>
              <w:ind w:left="158" w:right="154"/>
              <w:jc w:val="center"/>
              <w:rPr>
                <w:sz w:val="21"/>
              </w:rPr>
            </w:pPr>
            <w:r>
              <w:rPr>
                <w:sz w:val="21"/>
              </w:rPr>
              <w:t>成立时间</w:t>
            </w:r>
          </w:p>
        </w:tc>
        <w:tc>
          <w:tcPr>
            <w:tcW w:w="1918" w:type="dxa"/>
            <w:gridSpan w:val="2"/>
          </w:tcPr>
          <w:p>
            <w:pPr>
              <w:pStyle w:val="33"/>
              <w:rPr>
                <w:rFonts w:ascii="Times New Roman"/>
                <w:sz w:val="20"/>
              </w:rPr>
            </w:pPr>
          </w:p>
        </w:tc>
        <w:tc>
          <w:tcPr>
            <w:tcW w:w="5426" w:type="dxa"/>
            <w:gridSpan w:val="7"/>
          </w:tcPr>
          <w:p>
            <w:pPr>
              <w:pStyle w:val="33"/>
              <w:spacing w:before="117"/>
              <w:ind w:left="2059" w:right="2055"/>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25" w:type="dxa"/>
          </w:tcPr>
          <w:p>
            <w:pPr>
              <w:pStyle w:val="33"/>
              <w:spacing w:before="114"/>
              <w:ind w:left="158" w:right="156"/>
              <w:jc w:val="center"/>
              <w:rPr>
                <w:sz w:val="21"/>
              </w:rPr>
            </w:pPr>
            <w:r>
              <w:rPr>
                <w:sz w:val="21"/>
              </w:rPr>
              <w:t>企业资质等级</w:t>
            </w:r>
          </w:p>
        </w:tc>
        <w:tc>
          <w:tcPr>
            <w:tcW w:w="898" w:type="dxa"/>
          </w:tcPr>
          <w:p>
            <w:pPr>
              <w:pStyle w:val="33"/>
              <w:rPr>
                <w:rFonts w:ascii="Times New Roman"/>
                <w:sz w:val="20"/>
              </w:rPr>
            </w:pPr>
          </w:p>
        </w:tc>
        <w:tc>
          <w:tcPr>
            <w:tcW w:w="1020" w:type="dxa"/>
          </w:tcPr>
          <w:p>
            <w:pPr>
              <w:pStyle w:val="33"/>
              <w:rPr>
                <w:rFonts w:ascii="Times New Roman"/>
                <w:sz w:val="20"/>
              </w:rPr>
            </w:pPr>
          </w:p>
        </w:tc>
        <w:tc>
          <w:tcPr>
            <w:tcW w:w="994" w:type="dxa"/>
            <w:vMerge w:val="restart"/>
          </w:tcPr>
          <w:p>
            <w:pPr>
              <w:pStyle w:val="33"/>
              <w:rPr>
                <w:b/>
                <w:sz w:val="20"/>
              </w:rPr>
            </w:pPr>
          </w:p>
          <w:p>
            <w:pPr>
              <w:pStyle w:val="33"/>
              <w:rPr>
                <w:b/>
                <w:sz w:val="20"/>
              </w:rPr>
            </w:pPr>
          </w:p>
          <w:p>
            <w:pPr>
              <w:pStyle w:val="33"/>
              <w:rPr>
                <w:b/>
                <w:sz w:val="20"/>
              </w:rPr>
            </w:pPr>
          </w:p>
          <w:p>
            <w:pPr>
              <w:pStyle w:val="33"/>
              <w:rPr>
                <w:b/>
                <w:sz w:val="20"/>
              </w:rPr>
            </w:pPr>
          </w:p>
          <w:p>
            <w:pPr>
              <w:pStyle w:val="33"/>
              <w:spacing w:before="12"/>
              <w:rPr>
                <w:b/>
                <w:sz w:val="16"/>
              </w:rPr>
            </w:pPr>
          </w:p>
          <w:p>
            <w:pPr>
              <w:pStyle w:val="33"/>
              <w:ind w:left="283"/>
              <w:rPr>
                <w:sz w:val="21"/>
              </w:rPr>
            </w:pPr>
            <w:r>
              <w:rPr>
                <w:sz w:val="21"/>
              </w:rPr>
              <w:t>其中</w:t>
            </w:r>
          </w:p>
        </w:tc>
        <w:tc>
          <w:tcPr>
            <w:tcW w:w="1986" w:type="dxa"/>
            <w:gridSpan w:val="4"/>
          </w:tcPr>
          <w:p>
            <w:pPr>
              <w:pStyle w:val="33"/>
              <w:spacing w:before="114"/>
              <w:ind w:left="566"/>
              <w:rPr>
                <w:sz w:val="21"/>
              </w:rPr>
            </w:pPr>
            <w:r>
              <w:rPr>
                <w:sz w:val="21"/>
              </w:rPr>
              <w:t>项目经理</w:t>
            </w:r>
          </w:p>
        </w:tc>
        <w:tc>
          <w:tcPr>
            <w:tcW w:w="2446"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25" w:type="dxa"/>
          </w:tcPr>
          <w:p>
            <w:pPr>
              <w:pStyle w:val="33"/>
              <w:spacing w:before="117"/>
              <w:ind w:left="158" w:right="154"/>
              <w:jc w:val="center"/>
              <w:rPr>
                <w:sz w:val="21"/>
              </w:rPr>
            </w:pPr>
            <w:r>
              <w:rPr>
                <w:sz w:val="21"/>
              </w:rPr>
              <w:t>营业执照号</w:t>
            </w:r>
          </w:p>
        </w:tc>
        <w:tc>
          <w:tcPr>
            <w:tcW w:w="898" w:type="dxa"/>
          </w:tcPr>
          <w:p>
            <w:pPr>
              <w:pStyle w:val="33"/>
              <w:rPr>
                <w:rFonts w:ascii="Times New Roman"/>
                <w:sz w:val="20"/>
              </w:rPr>
            </w:pPr>
          </w:p>
        </w:tc>
        <w:tc>
          <w:tcPr>
            <w:tcW w:w="1020" w:type="dxa"/>
          </w:tcPr>
          <w:p>
            <w:pPr>
              <w:pStyle w:val="33"/>
              <w:rPr>
                <w:rFonts w:ascii="Times New Roman"/>
                <w:sz w:val="20"/>
              </w:rPr>
            </w:pPr>
          </w:p>
        </w:tc>
        <w:tc>
          <w:tcPr>
            <w:tcW w:w="994" w:type="dxa"/>
            <w:vMerge w:val="continue"/>
            <w:tcBorders>
              <w:top w:val="nil"/>
            </w:tcBorders>
          </w:tcPr>
          <w:p>
            <w:pPr>
              <w:rPr>
                <w:sz w:val="2"/>
                <w:szCs w:val="2"/>
              </w:rPr>
            </w:pPr>
          </w:p>
        </w:tc>
        <w:tc>
          <w:tcPr>
            <w:tcW w:w="1986" w:type="dxa"/>
            <w:gridSpan w:val="4"/>
          </w:tcPr>
          <w:p>
            <w:pPr>
              <w:pStyle w:val="33"/>
              <w:spacing w:before="117"/>
              <w:ind w:left="357"/>
              <w:rPr>
                <w:sz w:val="21"/>
              </w:rPr>
            </w:pPr>
            <w:r>
              <w:rPr>
                <w:sz w:val="21"/>
              </w:rPr>
              <w:t>高级职称人员</w:t>
            </w:r>
          </w:p>
        </w:tc>
        <w:tc>
          <w:tcPr>
            <w:tcW w:w="2446"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25" w:type="dxa"/>
          </w:tcPr>
          <w:p>
            <w:pPr>
              <w:pStyle w:val="33"/>
              <w:spacing w:before="114"/>
              <w:ind w:left="158" w:right="154"/>
              <w:jc w:val="center"/>
              <w:rPr>
                <w:sz w:val="21"/>
              </w:rPr>
            </w:pPr>
            <w:r>
              <w:rPr>
                <w:sz w:val="21"/>
              </w:rPr>
              <w:t>注册资金</w:t>
            </w:r>
          </w:p>
        </w:tc>
        <w:tc>
          <w:tcPr>
            <w:tcW w:w="898" w:type="dxa"/>
          </w:tcPr>
          <w:p>
            <w:pPr>
              <w:pStyle w:val="33"/>
              <w:rPr>
                <w:rFonts w:ascii="Times New Roman"/>
                <w:sz w:val="20"/>
              </w:rPr>
            </w:pPr>
          </w:p>
        </w:tc>
        <w:tc>
          <w:tcPr>
            <w:tcW w:w="1020" w:type="dxa"/>
          </w:tcPr>
          <w:p>
            <w:pPr>
              <w:pStyle w:val="33"/>
              <w:rPr>
                <w:rFonts w:ascii="Times New Roman"/>
                <w:sz w:val="20"/>
              </w:rPr>
            </w:pPr>
          </w:p>
        </w:tc>
        <w:tc>
          <w:tcPr>
            <w:tcW w:w="994" w:type="dxa"/>
            <w:vMerge w:val="continue"/>
            <w:tcBorders>
              <w:top w:val="nil"/>
            </w:tcBorders>
          </w:tcPr>
          <w:p>
            <w:pPr>
              <w:rPr>
                <w:sz w:val="2"/>
                <w:szCs w:val="2"/>
              </w:rPr>
            </w:pPr>
          </w:p>
        </w:tc>
        <w:tc>
          <w:tcPr>
            <w:tcW w:w="1986" w:type="dxa"/>
            <w:gridSpan w:val="4"/>
          </w:tcPr>
          <w:p>
            <w:pPr>
              <w:pStyle w:val="33"/>
              <w:spacing w:before="114"/>
              <w:ind w:left="357"/>
              <w:rPr>
                <w:sz w:val="21"/>
              </w:rPr>
            </w:pPr>
            <w:r>
              <w:rPr>
                <w:sz w:val="21"/>
              </w:rPr>
              <w:t>中级职称人员</w:t>
            </w:r>
          </w:p>
        </w:tc>
        <w:tc>
          <w:tcPr>
            <w:tcW w:w="2446"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25" w:type="dxa"/>
          </w:tcPr>
          <w:p>
            <w:pPr>
              <w:pStyle w:val="33"/>
              <w:spacing w:before="114"/>
              <w:ind w:left="158" w:right="154"/>
              <w:jc w:val="center"/>
              <w:rPr>
                <w:sz w:val="21"/>
              </w:rPr>
            </w:pPr>
            <w:r>
              <w:rPr>
                <w:sz w:val="21"/>
              </w:rPr>
              <w:t>开户银行</w:t>
            </w:r>
          </w:p>
        </w:tc>
        <w:tc>
          <w:tcPr>
            <w:tcW w:w="898" w:type="dxa"/>
          </w:tcPr>
          <w:p>
            <w:pPr>
              <w:pStyle w:val="33"/>
              <w:rPr>
                <w:rFonts w:ascii="Times New Roman"/>
                <w:sz w:val="20"/>
              </w:rPr>
            </w:pPr>
          </w:p>
        </w:tc>
        <w:tc>
          <w:tcPr>
            <w:tcW w:w="1020" w:type="dxa"/>
          </w:tcPr>
          <w:p>
            <w:pPr>
              <w:pStyle w:val="33"/>
              <w:rPr>
                <w:rFonts w:ascii="Times New Roman"/>
                <w:sz w:val="20"/>
              </w:rPr>
            </w:pPr>
          </w:p>
        </w:tc>
        <w:tc>
          <w:tcPr>
            <w:tcW w:w="994" w:type="dxa"/>
            <w:vMerge w:val="continue"/>
            <w:tcBorders>
              <w:top w:val="nil"/>
            </w:tcBorders>
          </w:tcPr>
          <w:p>
            <w:pPr>
              <w:rPr>
                <w:sz w:val="2"/>
                <w:szCs w:val="2"/>
              </w:rPr>
            </w:pPr>
          </w:p>
        </w:tc>
        <w:tc>
          <w:tcPr>
            <w:tcW w:w="1986" w:type="dxa"/>
            <w:gridSpan w:val="4"/>
          </w:tcPr>
          <w:p>
            <w:pPr>
              <w:pStyle w:val="33"/>
              <w:spacing w:before="114"/>
              <w:ind w:left="357"/>
              <w:rPr>
                <w:sz w:val="21"/>
              </w:rPr>
            </w:pPr>
            <w:r>
              <w:rPr>
                <w:sz w:val="21"/>
              </w:rPr>
              <w:t>初级职称人员</w:t>
            </w:r>
          </w:p>
        </w:tc>
        <w:tc>
          <w:tcPr>
            <w:tcW w:w="2446"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25" w:type="dxa"/>
          </w:tcPr>
          <w:p>
            <w:pPr>
              <w:pStyle w:val="33"/>
              <w:spacing w:before="114"/>
              <w:ind w:left="158" w:right="156"/>
              <w:jc w:val="center"/>
              <w:rPr>
                <w:sz w:val="21"/>
              </w:rPr>
            </w:pPr>
            <w:r>
              <w:rPr>
                <w:sz w:val="21"/>
              </w:rPr>
              <w:t>账号</w:t>
            </w:r>
          </w:p>
        </w:tc>
        <w:tc>
          <w:tcPr>
            <w:tcW w:w="898" w:type="dxa"/>
          </w:tcPr>
          <w:p>
            <w:pPr>
              <w:pStyle w:val="33"/>
              <w:rPr>
                <w:rFonts w:ascii="Times New Roman"/>
                <w:sz w:val="20"/>
              </w:rPr>
            </w:pPr>
          </w:p>
        </w:tc>
        <w:tc>
          <w:tcPr>
            <w:tcW w:w="1020" w:type="dxa"/>
          </w:tcPr>
          <w:p>
            <w:pPr>
              <w:pStyle w:val="33"/>
              <w:rPr>
                <w:rFonts w:ascii="Times New Roman"/>
                <w:sz w:val="20"/>
              </w:rPr>
            </w:pPr>
          </w:p>
        </w:tc>
        <w:tc>
          <w:tcPr>
            <w:tcW w:w="994" w:type="dxa"/>
            <w:vMerge w:val="continue"/>
            <w:tcBorders>
              <w:top w:val="nil"/>
            </w:tcBorders>
          </w:tcPr>
          <w:p>
            <w:pPr>
              <w:rPr>
                <w:sz w:val="2"/>
                <w:szCs w:val="2"/>
              </w:rPr>
            </w:pPr>
          </w:p>
        </w:tc>
        <w:tc>
          <w:tcPr>
            <w:tcW w:w="1986" w:type="dxa"/>
            <w:gridSpan w:val="4"/>
          </w:tcPr>
          <w:p>
            <w:pPr>
              <w:pStyle w:val="33"/>
              <w:tabs>
                <w:tab w:val="left" w:pos="425"/>
              </w:tabs>
              <w:spacing w:before="114"/>
              <w:ind w:left="2"/>
              <w:jc w:val="center"/>
              <w:rPr>
                <w:sz w:val="21"/>
              </w:rPr>
            </w:pPr>
            <w:r>
              <w:rPr>
                <w:sz w:val="21"/>
              </w:rPr>
              <w:t>技</w:t>
            </w:r>
            <w:r>
              <w:rPr>
                <w:sz w:val="21"/>
              </w:rPr>
              <w:tab/>
            </w:r>
            <w:r>
              <w:rPr>
                <w:sz w:val="21"/>
              </w:rPr>
              <w:t>工</w:t>
            </w:r>
          </w:p>
        </w:tc>
        <w:tc>
          <w:tcPr>
            <w:tcW w:w="2446"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0" w:hRule="atLeast"/>
        </w:trPr>
        <w:tc>
          <w:tcPr>
            <w:tcW w:w="1625" w:type="dxa"/>
          </w:tcPr>
          <w:p>
            <w:pPr>
              <w:pStyle w:val="33"/>
              <w:rPr>
                <w:b/>
                <w:sz w:val="20"/>
              </w:rPr>
            </w:pPr>
          </w:p>
          <w:p>
            <w:pPr>
              <w:pStyle w:val="33"/>
              <w:rPr>
                <w:b/>
                <w:sz w:val="20"/>
              </w:rPr>
            </w:pPr>
          </w:p>
          <w:p>
            <w:pPr>
              <w:pStyle w:val="33"/>
              <w:spacing w:before="5"/>
              <w:rPr>
                <w:b/>
                <w:sz w:val="17"/>
              </w:rPr>
            </w:pPr>
          </w:p>
          <w:p>
            <w:pPr>
              <w:pStyle w:val="33"/>
              <w:ind w:left="158" w:right="154"/>
              <w:jc w:val="center"/>
              <w:rPr>
                <w:sz w:val="21"/>
              </w:rPr>
            </w:pPr>
            <w:r>
              <w:rPr>
                <w:sz w:val="21"/>
              </w:rPr>
              <w:t>经营范围</w:t>
            </w:r>
          </w:p>
        </w:tc>
        <w:tc>
          <w:tcPr>
            <w:tcW w:w="7344" w:type="dxa"/>
            <w:gridSpan w:val="9"/>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25" w:type="dxa"/>
          </w:tcPr>
          <w:p>
            <w:pPr>
              <w:pStyle w:val="33"/>
              <w:spacing w:before="114"/>
              <w:ind w:left="158" w:right="156"/>
              <w:jc w:val="center"/>
              <w:rPr>
                <w:sz w:val="21"/>
              </w:rPr>
            </w:pPr>
            <w:r>
              <w:rPr>
                <w:sz w:val="21"/>
              </w:rPr>
              <w:t>备注</w:t>
            </w:r>
          </w:p>
        </w:tc>
        <w:tc>
          <w:tcPr>
            <w:tcW w:w="7344" w:type="dxa"/>
            <w:gridSpan w:val="9"/>
          </w:tcPr>
          <w:p>
            <w:pPr>
              <w:pStyle w:val="33"/>
              <w:rPr>
                <w:rFonts w:ascii="Times New Roman"/>
                <w:sz w:val="20"/>
              </w:rPr>
            </w:pPr>
          </w:p>
        </w:tc>
      </w:tr>
    </w:tbl>
    <w:p>
      <w:pPr>
        <w:pStyle w:val="13"/>
        <w:spacing w:before="3"/>
        <w:ind w:left="0"/>
        <w:rPr>
          <w:b/>
          <w:sz w:val="36"/>
        </w:rPr>
      </w:pPr>
    </w:p>
    <w:p>
      <w:pPr>
        <w:pStyle w:val="13"/>
      </w:pPr>
      <w:r>
        <w:rPr>
          <w:spacing w:val="-15"/>
        </w:rPr>
        <w:t>备注：本表后应附有效的企业法人营业执照副本、企业资质证书副本、安全生产许可证副本等材料的复印件。</w:t>
      </w:r>
    </w:p>
    <w:p>
      <w:pPr>
        <w:spacing w:after="0"/>
        <w:sectPr>
          <w:pgSz w:w="11910" w:h="16840"/>
          <w:pgMar w:top="1200" w:right="780" w:bottom="1160" w:left="1020" w:header="0" w:footer="975" w:gutter="0"/>
        </w:sectPr>
      </w:pPr>
    </w:p>
    <w:p>
      <w:pPr>
        <w:pStyle w:val="7"/>
        <w:ind w:left="836" w:right="836"/>
      </w:pPr>
      <w:r>
        <w:rPr>
          <w:rFonts w:hint="eastAsia"/>
          <w:lang w:val="en-US" w:eastAsia="zh-CN"/>
        </w:rPr>
        <w:t>3</w:t>
      </w:r>
      <w:r>
        <w:t>、建设工程项目管理承诺书</w:t>
      </w:r>
    </w:p>
    <w:p>
      <w:pPr>
        <w:pStyle w:val="13"/>
        <w:ind w:left="0"/>
        <w:rPr>
          <w:b/>
          <w:sz w:val="28"/>
        </w:rPr>
      </w:pPr>
    </w:p>
    <w:p>
      <w:pPr>
        <w:pStyle w:val="13"/>
        <w:spacing w:before="7"/>
        <w:ind w:left="0"/>
        <w:rPr>
          <w:b/>
          <w:sz w:val="26"/>
        </w:rPr>
      </w:pPr>
    </w:p>
    <w:p>
      <w:pPr>
        <w:pStyle w:val="13"/>
        <w:tabs>
          <w:tab w:val="left" w:pos="955"/>
          <w:tab w:val="left" w:pos="2950"/>
        </w:tabs>
      </w:pPr>
      <w:r>
        <w:t>致</w:t>
      </w:r>
      <w:r>
        <w:rPr>
          <w:u w:val="single"/>
        </w:rPr>
        <w:t xml:space="preserve"> </w:t>
      </w:r>
      <w:r>
        <w:rPr>
          <w:u w:val="single"/>
        </w:rPr>
        <w:tab/>
      </w:r>
      <w:r>
        <w:rPr>
          <w:spacing w:val="-3"/>
          <w:u w:val="single"/>
        </w:rPr>
        <w:t>（</w:t>
      </w:r>
      <w:r>
        <w:rPr>
          <w:u w:val="single"/>
        </w:rPr>
        <w:t>招</w:t>
      </w:r>
      <w:r>
        <w:rPr>
          <w:spacing w:val="-3"/>
          <w:u w:val="single"/>
        </w:rPr>
        <w:t>标</w:t>
      </w:r>
      <w:r>
        <w:rPr>
          <w:u w:val="single"/>
        </w:rPr>
        <w:t>人</w:t>
      </w:r>
      <w:r>
        <w:rPr>
          <w:spacing w:val="-3"/>
          <w:u w:val="single"/>
        </w:rPr>
        <w:t>名</w:t>
      </w:r>
      <w:r>
        <w:rPr>
          <w:u w:val="single"/>
        </w:rPr>
        <w:t>称）</w:t>
      </w:r>
      <w:r>
        <w:rPr>
          <w:u w:val="single"/>
        </w:rPr>
        <w:tab/>
      </w:r>
      <w:r>
        <w:t>：</w:t>
      </w:r>
    </w:p>
    <w:p>
      <w:pPr>
        <w:pStyle w:val="13"/>
        <w:tabs>
          <w:tab w:val="left" w:pos="1987"/>
        </w:tabs>
        <w:spacing w:before="126" w:line="350" w:lineRule="auto"/>
        <w:ind w:right="107" w:firstLine="422"/>
        <w:jc w:val="both"/>
      </w:pPr>
      <w:r>
        <w:drawing>
          <wp:anchor distT="0" distB="0" distL="0" distR="0" simplePos="0" relativeHeight="268146688" behindDoc="1" locked="0" layoutInCell="1" allowOverlap="1">
            <wp:simplePos x="0" y="0"/>
            <wp:positionH relativeFrom="page">
              <wp:posOffset>1522730</wp:posOffset>
            </wp:positionH>
            <wp:positionV relativeFrom="paragraph">
              <wp:posOffset>119380</wp:posOffset>
            </wp:positionV>
            <wp:extent cx="532130" cy="133985"/>
            <wp:effectExtent l="0" t="0" r="0" b="0"/>
            <wp:wrapNone/>
            <wp:docPr id="419"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image147.png"/>
                    <pic:cNvPicPr>
                      <a:picLocks noChangeAspect="1"/>
                    </pic:cNvPicPr>
                  </pic:nvPicPr>
                  <pic:blipFill>
                    <a:blip r:embed="rId20" cstate="print"/>
                    <a:stretch>
                      <a:fillRect/>
                    </a:stretch>
                  </pic:blipFill>
                  <pic:spPr>
                    <a:xfrm>
                      <a:off x="0" y="0"/>
                      <a:ext cx="532383" cy="134111"/>
                    </a:xfrm>
                    <a:prstGeom prst="rect">
                      <a:avLst/>
                    </a:prstGeom>
                  </pic:spPr>
                </pic:pic>
              </a:graphicData>
            </a:graphic>
          </wp:anchor>
        </w:drawing>
      </w:r>
      <w:r>
        <w:t>作为</w:t>
      </w:r>
      <w:r>
        <w:rPr>
          <w:spacing w:val="-3"/>
        </w:rPr>
        <w:t>参</w:t>
      </w:r>
      <w:r>
        <w:t>与</w:t>
      </w:r>
      <w:r>
        <w:rPr>
          <w:u w:val="single"/>
        </w:rPr>
        <w:t xml:space="preserve"> </w:t>
      </w:r>
      <w:r>
        <w:rPr>
          <w:u w:val="single"/>
        </w:rPr>
        <w:tab/>
      </w:r>
      <w:r>
        <w:rPr>
          <w:u w:val="single"/>
        </w:rPr>
        <w:t>（</w:t>
      </w:r>
      <w:r>
        <w:rPr>
          <w:spacing w:val="-3"/>
          <w:u w:val="single"/>
        </w:rPr>
        <w:t>工</w:t>
      </w:r>
      <w:r>
        <w:rPr>
          <w:u w:val="single"/>
        </w:rPr>
        <w:t>程</w:t>
      </w:r>
      <w:r>
        <w:rPr>
          <w:spacing w:val="-3"/>
          <w:u w:val="single"/>
        </w:rPr>
        <w:t>名</w:t>
      </w:r>
      <w:r>
        <w:rPr>
          <w:u w:val="single"/>
        </w:rPr>
        <w:t>称</w:t>
      </w:r>
      <w:r>
        <w:rPr>
          <w:spacing w:val="-19"/>
          <w:u w:val="single"/>
        </w:rPr>
        <w:t>）</w:t>
      </w:r>
      <w:r>
        <w:rPr>
          <w:spacing w:val="-3"/>
        </w:rPr>
        <w:t>项</w:t>
      </w:r>
      <w:r>
        <w:t>目</w:t>
      </w:r>
      <w:r>
        <w:rPr>
          <w:spacing w:val="-3"/>
        </w:rPr>
        <w:t>的</w:t>
      </w:r>
      <w:r>
        <w:t>投</w:t>
      </w:r>
      <w:r>
        <w:rPr>
          <w:spacing w:val="-3"/>
        </w:rPr>
        <w:t>标</w:t>
      </w:r>
      <w:r>
        <w:t>方</w:t>
      </w:r>
      <w:r>
        <w:rPr>
          <w:spacing w:val="-20"/>
        </w:rPr>
        <w:t>，</w:t>
      </w:r>
      <w:r>
        <w:rPr>
          <w:spacing w:val="-3"/>
        </w:rPr>
        <w:t>根据</w:t>
      </w:r>
      <w:r>
        <w:t>国家</w:t>
      </w:r>
      <w:r>
        <w:rPr>
          <w:spacing w:val="-22"/>
        </w:rPr>
        <w:t>、</w:t>
      </w:r>
      <w:r>
        <w:t>自</w:t>
      </w:r>
      <w:r>
        <w:rPr>
          <w:spacing w:val="-3"/>
        </w:rPr>
        <w:t>治</w:t>
      </w:r>
      <w:r>
        <w:t>区</w:t>
      </w:r>
      <w:r>
        <w:rPr>
          <w:spacing w:val="-3"/>
        </w:rPr>
        <w:t>及</w:t>
      </w:r>
      <w:r>
        <w:t>桂</w:t>
      </w:r>
      <w:r>
        <w:rPr>
          <w:spacing w:val="-3"/>
        </w:rPr>
        <w:t>林</w:t>
      </w:r>
      <w:r>
        <w:t>市</w:t>
      </w:r>
      <w:r>
        <w:rPr>
          <w:spacing w:val="-3"/>
        </w:rPr>
        <w:t>相</w:t>
      </w:r>
      <w:r>
        <w:t>关文</w:t>
      </w:r>
      <w:r>
        <w:rPr>
          <w:spacing w:val="-3"/>
        </w:rPr>
        <w:t>件</w:t>
      </w:r>
      <w:r>
        <w:t>规</w:t>
      </w:r>
      <w:r>
        <w:rPr>
          <w:spacing w:val="-3"/>
        </w:rPr>
        <w:t>定</w:t>
      </w:r>
      <w:r>
        <w:rPr>
          <w:spacing w:val="-20"/>
        </w:rPr>
        <w:t>，</w:t>
      </w:r>
      <w:r>
        <w:rPr>
          <w:spacing w:val="-3"/>
        </w:rPr>
        <w:t>我</w:t>
      </w:r>
      <w:r>
        <w:t>方</w:t>
      </w:r>
      <w:r>
        <w:rPr>
          <w:spacing w:val="-3"/>
        </w:rPr>
        <w:t>在</w:t>
      </w:r>
      <w:r>
        <w:t>此</w:t>
      </w:r>
      <w:r>
        <w:rPr>
          <w:spacing w:val="-3"/>
        </w:rPr>
        <w:t>向</w:t>
      </w:r>
      <w:r>
        <w:t>招 标人</w:t>
      </w:r>
      <w:r>
        <w:rPr>
          <w:spacing w:val="-3"/>
        </w:rPr>
        <w:t>承</w:t>
      </w:r>
      <w:r>
        <w:t>诺：</w:t>
      </w:r>
    </w:p>
    <w:p>
      <w:pPr>
        <w:pStyle w:val="13"/>
        <w:spacing w:before="123" w:line="453" w:lineRule="auto"/>
        <w:ind w:right="105" w:firstLine="422"/>
        <w:jc w:val="both"/>
      </w:pPr>
      <w:r>
        <w:t>1</w:t>
      </w:r>
      <w:r>
        <w:rPr>
          <w:spacing w:val="-4"/>
        </w:rPr>
        <w:t xml:space="preserve">、一旦中标，我方保证按照政府相关部门的规定，在发出中标通知书之日起 </w:t>
      </w:r>
      <w:r>
        <w:t>7</w:t>
      </w:r>
      <w:r>
        <w:rPr>
          <w:spacing w:val="-6"/>
        </w:rPr>
        <w:t xml:space="preserve"> 个工作日内足额将农民工工资保障金转入农民工工资保障金专用账户。一旦我方所承包的该项目中出现拖欠农民工和工人工资情</w:t>
      </w:r>
      <w:r>
        <w:rPr>
          <w:spacing w:val="-9"/>
        </w:rPr>
        <w:t>况，由建设行政主管部门或财政部门从我方农民工工资保障金中先予划支。我方在中标后如不按时、足额存</w:t>
      </w:r>
      <w:r>
        <w:rPr>
          <w:spacing w:val="-5"/>
        </w:rPr>
        <w:t>入农民工工资保障金的，将被取消中标资格。</w:t>
      </w:r>
    </w:p>
    <w:p>
      <w:pPr>
        <w:pStyle w:val="13"/>
        <w:spacing w:before="59" w:line="453" w:lineRule="auto"/>
        <w:ind w:left="103" w:right="105" w:firstLine="456"/>
        <w:jc w:val="both"/>
      </w:pPr>
      <w:r>
        <w:t>2</w:t>
      </w:r>
      <w:r>
        <w:rPr>
          <w:spacing w:val="-8"/>
        </w:rPr>
        <w:t>、一旦中标，我方保证在施工过程中，严格执行桂建质安</w:t>
      </w:r>
      <w:r>
        <w:t>[2006]22</w:t>
      </w:r>
      <w:r>
        <w:rPr>
          <w:spacing w:val="-7"/>
        </w:rPr>
        <w:t xml:space="preserve"> 号文《广西壮族自治区建筑工程安</w:t>
      </w:r>
      <w:r>
        <w:rPr>
          <w:spacing w:val="-10"/>
        </w:rPr>
        <w:t>全防护、文明施工措施费及使用管理细则》的有关规定，确保建设工程各项安全防护、文明施工措施落实到</w:t>
      </w:r>
      <w:r>
        <w:rPr>
          <w:spacing w:val="-7"/>
        </w:rPr>
        <w:t>位。如我方在该项目的承包中出现未按桂建质安</w:t>
      </w:r>
      <w:r>
        <w:t>[2006]22</w:t>
      </w:r>
      <w:r>
        <w:rPr>
          <w:spacing w:val="-3"/>
        </w:rPr>
        <w:t xml:space="preserve"> 号文附件一规定执行的情形，我方愿意按照相关规定接受建设单位及有关主管部门的处罚。</w:t>
      </w:r>
    </w:p>
    <w:p>
      <w:pPr>
        <w:pStyle w:val="13"/>
        <w:spacing w:before="59" w:line="453" w:lineRule="auto"/>
        <w:ind w:left="110" w:right="105" w:firstLine="449"/>
        <w:jc w:val="both"/>
      </w:pPr>
      <w:r>
        <w:t>3</w:t>
      </w:r>
      <w:r>
        <w:rPr>
          <w:spacing w:val="-5"/>
        </w:rPr>
        <w:t>、一旦中标，我方保证在施工过程中，严格执行散装水泥和预拌混凝土管理的有关规定，确保建设工</w:t>
      </w:r>
      <w:r>
        <w:rPr>
          <w:spacing w:val="-8"/>
        </w:rPr>
        <w:t>程按规定使用散装水泥和预拌混凝土。如我方在该项目的承包中出现未按规定执行的情形，我方愿意按照相</w:t>
      </w:r>
      <w:r>
        <w:rPr>
          <w:spacing w:val="-5"/>
        </w:rPr>
        <w:t>关规定接受建设单位及有关主管部门的处罚。</w:t>
      </w:r>
    </w:p>
    <w:p>
      <w:pPr>
        <w:pStyle w:val="13"/>
        <w:ind w:left="0"/>
        <w:rPr>
          <w:sz w:val="20"/>
        </w:rPr>
      </w:pPr>
    </w:p>
    <w:p>
      <w:pPr>
        <w:pStyle w:val="13"/>
        <w:ind w:left="0"/>
        <w:rPr>
          <w:sz w:val="20"/>
        </w:rPr>
      </w:pPr>
    </w:p>
    <w:p>
      <w:pPr>
        <w:pStyle w:val="13"/>
        <w:ind w:left="0"/>
        <w:rPr>
          <w:sz w:val="20"/>
        </w:rPr>
      </w:pPr>
    </w:p>
    <w:p>
      <w:pPr>
        <w:pStyle w:val="13"/>
        <w:spacing w:before="11"/>
        <w:ind w:left="0"/>
        <w:rPr>
          <w:sz w:val="28"/>
        </w:rPr>
      </w:pPr>
    </w:p>
    <w:p>
      <w:pPr>
        <w:pStyle w:val="13"/>
        <w:tabs>
          <w:tab w:val="left" w:pos="8725"/>
        </w:tabs>
        <w:spacing w:before="1"/>
        <w:ind w:left="4525"/>
      </w:pPr>
      <w:r>
        <w:t>投标</w:t>
      </w:r>
      <w:r>
        <w:rPr>
          <w:spacing w:val="-3"/>
        </w:rPr>
        <w:t>人</w:t>
      </w:r>
      <w:r>
        <w:t>：</w:t>
      </w:r>
      <w:r>
        <w:rPr>
          <w:u w:val="single"/>
        </w:rPr>
        <w:t>（投</w:t>
      </w:r>
      <w:r>
        <w:rPr>
          <w:spacing w:val="-3"/>
          <w:u w:val="single"/>
        </w:rPr>
        <w:t>标</w:t>
      </w:r>
      <w:r>
        <w:rPr>
          <w:u w:val="single"/>
        </w:rPr>
        <w:t>人</w:t>
      </w:r>
      <w:r>
        <w:rPr>
          <w:spacing w:val="-3"/>
          <w:u w:val="single"/>
        </w:rPr>
        <w:t>名</w:t>
      </w:r>
      <w:r>
        <w:rPr>
          <w:u w:val="single"/>
        </w:rPr>
        <w:t>称）</w:t>
      </w:r>
      <w:r>
        <w:rPr>
          <w:u w:val="single"/>
        </w:rPr>
        <w:tab/>
      </w:r>
      <w:r>
        <w:rPr>
          <w:u w:val="single"/>
        </w:rPr>
        <w:t>（</w:t>
      </w:r>
      <w:r>
        <w:rPr>
          <w:spacing w:val="-3"/>
          <w:u w:val="single"/>
        </w:rPr>
        <w:t>盖章</w:t>
      </w:r>
      <w:r>
        <w:rPr>
          <w:u w:val="single"/>
        </w:rPr>
        <w:t>）</w:t>
      </w:r>
    </w:p>
    <w:p>
      <w:pPr>
        <w:pStyle w:val="13"/>
        <w:ind w:left="0"/>
        <w:rPr>
          <w:sz w:val="20"/>
        </w:rPr>
      </w:pPr>
    </w:p>
    <w:p>
      <w:pPr>
        <w:pStyle w:val="13"/>
        <w:spacing w:before="12"/>
        <w:ind w:left="0"/>
      </w:pPr>
    </w:p>
    <w:p>
      <w:pPr>
        <w:pStyle w:val="13"/>
        <w:tabs>
          <w:tab w:val="left" w:pos="8097"/>
        </w:tabs>
        <w:spacing w:before="43"/>
        <w:ind w:left="4525"/>
      </w:pPr>
      <w:r>
        <w:t>法</w:t>
      </w:r>
      <w:r>
        <w:rPr>
          <w:spacing w:val="-3"/>
        </w:rPr>
        <w:t>定</w:t>
      </w:r>
      <w:r>
        <w:t>代</w:t>
      </w:r>
      <w:r>
        <w:rPr>
          <w:spacing w:val="-3"/>
        </w:rPr>
        <w:t>表</w:t>
      </w:r>
      <w:r>
        <w:t>人</w:t>
      </w:r>
      <w:r>
        <w:rPr>
          <w:spacing w:val="-3"/>
        </w:rPr>
        <w:t>或授</w:t>
      </w:r>
      <w:r>
        <w:t>权代</w:t>
      </w:r>
      <w:r>
        <w:rPr>
          <w:spacing w:val="-3"/>
        </w:rPr>
        <w:t>理</w:t>
      </w:r>
      <w:r>
        <w:t>人</w:t>
      </w:r>
      <w:r>
        <w:rPr>
          <w:spacing w:val="-3"/>
        </w:rPr>
        <w:t>：</w:t>
      </w:r>
      <w:r>
        <w:rPr>
          <w:spacing w:val="-3"/>
          <w:u w:val="single"/>
        </w:rPr>
        <w:t xml:space="preserve"> </w:t>
      </w:r>
      <w:r>
        <w:rPr>
          <w:spacing w:val="-3"/>
          <w:u w:val="single"/>
        </w:rPr>
        <w:tab/>
      </w:r>
      <w:r>
        <w:rPr>
          <w:spacing w:val="-3"/>
          <w:u w:val="single"/>
        </w:rPr>
        <w:t>（</w:t>
      </w:r>
      <w:r>
        <w:rPr>
          <w:u w:val="single"/>
        </w:rPr>
        <w:t>签字</w:t>
      </w:r>
      <w:r>
        <w:rPr>
          <w:spacing w:val="-3"/>
          <w:u w:val="single"/>
        </w:rPr>
        <w:t>或</w:t>
      </w:r>
      <w:r>
        <w:rPr>
          <w:u w:val="single"/>
        </w:rPr>
        <w:t>盖</w:t>
      </w:r>
      <w:r>
        <w:rPr>
          <w:spacing w:val="-3"/>
          <w:u w:val="single"/>
        </w:rPr>
        <w:t>章</w:t>
      </w:r>
      <w:r>
        <w:rPr>
          <w:u w:val="single"/>
        </w:rPr>
        <w:t>）</w:t>
      </w:r>
    </w:p>
    <w:p>
      <w:pPr>
        <w:pStyle w:val="13"/>
        <w:ind w:left="0"/>
        <w:rPr>
          <w:sz w:val="20"/>
        </w:rPr>
      </w:pPr>
    </w:p>
    <w:p>
      <w:pPr>
        <w:pStyle w:val="13"/>
        <w:spacing w:before="6"/>
        <w:ind w:left="0"/>
        <w:rPr>
          <w:sz w:val="17"/>
        </w:rPr>
      </w:pPr>
    </w:p>
    <w:p>
      <w:pPr>
        <w:pStyle w:val="13"/>
        <w:tabs>
          <w:tab w:val="left" w:pos="4942"/>
          <w:tab w:val="left" w:pos="6308"/>
          <w:tab w:val="left" w:pos="7568"/>
          <w:tab w:val="left" w:pos="8934"/>
        </w:tabs>
        <w:spacing w:before="36"/>
        <w:ind w:left="4525"/>
      </w:pPr>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580" w:right="880" w:bottom="1160" w:left="1020" w:header="0" w:footer="975" w:gutter="0"/>
        </w:sectPr>
      </w:pPr>
    </w:p>
    <w:p>
      <w:pPr>
        <w:pStyle w:val="7"/>
        <w:spacing w:line="353" w:lineRule="exact"/>
        <w:ind w:left="3261"/>
        <w:jc w:val="left"/>
      </w:pPr>
      <w:r>
        <w:t>桂建质安[2006]22 号文附件一</w:t>
      </w:r>
    </w:p>
    <w:p>
      <w:pPr>
        <w:pStyle w:val="7"/>
        <w:spacing w:before="128"/>
        <w:ind w:left="926"/>
        <w:jc w:val="left"/>
      </w:pPr>
      <w:r>
        <w:rPr>
          <w:w w:val="95"/>
        </w:rPr>
        <w:t>广西壮族自治区建筑工程安全防护、文明施工措施项目清单内容</w:t>
      </w:r>
    </w:p>
    <w:p>
      <w:pPr>
        <w:pStyle w:val="13"/>
        <w:spacing w:before="1"/>
        <w:ind w:left="0"/>
        <w:rPr>
          <w:b/>
          <w:sz w:val="13"/>
        </w:rPr>
      </w:pPr>
    </w:p>
    <w:tbl>
      <w:tblPr>
        <w:tblStyle w:val="17"/>
        <w:tblW w:w="9460"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425"/>
        <w:gridCol w:w="1133"/>
        <w:gridCol w:w="7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10" w:type="dxa"/>
          </w:tcPr>
          <w:p>
            <w:pPr>
              <w:pStyle w:val="33"/>
              <w:spacing w:before="83"/>
              <w:ind w:left="141"/>
              <w:rPr>
                <w:sz w:val="21"/>
              </w:rPr>
            </w:pPr>
            <w:r>
              <w:rPr>
                <w:sz w:val="21"/>
              </w:rPr>
              <w:t>类别</w:t>
            </w:r>
          </w:p>
        </w:tc>
        <w:tc>
          <w:tcPr>
            <w:tcW w:w="1558" w:type="dxa"/>
            <w:gridSpan w:val="2"/>
          </w:tcPr>
          <w:p>
            <w:pPr>
              <w:pStyle w:val="33"/>
              <w:spacing w:before="83"/>
              <w:ind w:left="354"/>
              <w:rPr>
                <w:sz w:val="21"/>
              </w:rPr>
            </w:pPr>
            <w:r>
              <w:rPr>
                <w:sz w:val="21"/>
              </w:rPr>
              <w:t>项目名称</w:t>
            </w:r>
          </w:p>
        </w:tc>
        <w:tc>
          <w:tcPr>
            <w:tcW w:w="7192" w:type="dxa"/>
          </w:tcPr>
          <w:p>
            <w:pPr>
              <w:pStyle w:val="33"/>
              <w:spacing w:before="83"/>
              <w:ind w:left="2993" w:right="2993"/>
              <w:jc w:val="center"/>
              <w:rPr>
                <w:sz w:val="21"/>
              </w:rPr>
            </w:pPr>
            <w:r>
              <w:rPr>
                <w:sz w:val="21"/>
              </w:rPr>
              <w:t>具 体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10" w:type="dxa"/>
            <w:vMerge w:val="restart"/>
          </w:tcPr>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spacing w:before="142" w:line="280" w:lineRule="auto"/>
              <w:ind w:left="143" w:right="136"/>
              <w:jc w:val="center"/>
              <w:rPr>
                <w:sz w:val="21"/>
              </w:rPr>
            </w:pPr>
            <w:r>
              <w:rPr>
                <w:sz w:val="21"/>
              </w:rPr>
              <w:t>文明施工与 环境保护</w:t>
            </w:r>
          </w:p>
        </w:tc>
        <w:tc>
          <w:tcPr>
            <w:tcW w:w="1558" w:type="dxa"/>
            <w:gridSpan w:val="2"/>
          </w:tcPr>
          <w:p>
            <w:pPr>
              <w:pStyle w:val="33"/>
              <w:spacing w:before="3" w:line="320" w:lineRule="exact"/>
              <w:ind w:left="458" w:right="333" w:hanging="104"/>
              <w:rPr>
                <w:sz w:val="21"/>
              </w:rPr>
            </w:pPr>
            <w:r>
              <w:rPr>
                <w:sz w:val="21"/>
              </w:rPr>
              <w:t>安全警示标志牌</w:t>
            </w:r>
          </w:p>
        </w:tc>
        <w:tc>
          <w:tcPr>
            <w:tcW w:w="7192" w:type="dxa"/>
          </w:tcPr>
          <w:p>
            <w:pPr>
              <w:pStyle w:val="33"/>
              <w:spacing w:before="3" w:line="320" w:lineRule="exact"/>
              <w:ind w:left="105"/>
              <w:rPr>
                <w:sz w:val="21"/>
              </w:rPr>
            </w:pPr>
            <w:r>
              <w:rPr>
                <w:sz w:val="21"/>
              </w:rPr>
              <w:t>在易发伤亡事故（或危险）处设置明显的、符合国家标准要求的安全警示标志牌。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710" w:type="dxa"/>
            <w:vMerge w:val="continue"/>
            <w:tcBorders>
              <w:top w:val="nil"/>
            </w:tcBorders>
          </w:tcPr>
          <w:p>
            <w:pPr>
              <w:rPr>
                <w:sz w:val="2"/>
                <w:szCs w:val="2"/>
              </w:rPr>
            </w:pPr>
          </w:p>
        </w:tc>
        <w:tc>
          <w:tcPr>
            <w:tcW w:w="1558" w:type="dxa"/>
            <w:gridSpan w:val="2"/>
          </w:tcPr>
          <w:p>
            <w:pPr>
              <w:pStyle w:val="33"/>
              <w:spacing w:before="170"/>
              <w:ind w:left="354"/>
              <w:rPr>
                <w:sz w:val="21"/>
              </w:rPr>
            </w:pPr>
            <w:r>
              <w:rPr>
                <w:sz w:val="21"/>
              </w:rPr>
              <w:t>现场围挡</w:t>
            </w:r>
          </w:p>
        </w:tc>
        <w:tc>
          <w:tcPr>
            <w:tcW w:w="7192" w:type="dxa"/>
          </w:tcPr>
          <w:p>
            <w:pPr>
              <w:pStyle w:val="33"/>
              <w:numPr>
                <w:ilvl w:val="0"/>
                <w:numId w:val="54"/>
              </w:numPr>
              <w:tabs>
                <w:tab w:val="left" w:pos="826"/>
              </w:tabs>
              <w:spacing w:before="9" w:after="0" w:line="240" w:lineRule="auto"/>
              <w:ind w:left="826" w:right="0" w:hanging="721"/>
              <w:jc w:val="left"/>
              <w:rPr>
                <w:sz w:val="21"/>
              </w:rPr>
            </w:pPr>
            <w:r>
              <w:rPr>
                <w:spacing w:val="-6"/>
                <w:sz w:val="21"/>
              </w:rPr>
              <w:t xml:space="preserve">现场采用封闭围挡，高度不小于 </w:t>
            </w:r>
            <w:r>
              <w:rPr>
                <w:sz w:val="21"/>
              </w:rPr>
              <w:t>1.8m。</w:t>
            </w:r>
          </w:p>
          <w:p>
            <w:pPr>
              <w:pStyle w:val="33"/>
              <w:numPr>
                <w:ilvl w:val="0"/>
                <w:numId w:val="54"/>
              </w:numPr>
              <w:tabs>
                <w:tab w:val="left" w:pos="826"/>
              </w:tabs>
              <w:spacing w:before="46" w:after="0" w:line="240" w:lineRule="auto"/>
              <w:ind w:left="826" w:right="0" w:hanging="721"/>
              <w:jc w:val="left"/>
              <w:rPr>
                <w:sz w:val="21"/>
              </w:rPr>
            </w:pPr>
            <w:r>
              <w:rPr>
                <w:spacing w:val="-3"/>
                <w:sz w:val="21"/>
              </w:rPr>
              <w:t>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10" w:type="dxa"/>
            <w:vMerge w:val="continue"/>
            <w:tcBorders>
              <w:top w:val="nil"/>
            </w:tcBorders>
          </w:tcPr>
          <w:p>
            <w:pPr>
              <w:rPr>
                <w:sz w:val="2"/>
                <w:szCs w:val="2"/>
              </w:rPr>
            </w:pPr>
          </w:p>
        </w:tc>
        <w:tc>
          <w:tcPr>
            <w:tcW w:w="1558" w:type="dxa"/>
            <w:gridSpan w:val="2"/>
          </w:tcPr>
          <w:p>
            <w:pPr>
              <w:pStyle w:val="33"/>
              <w:spacing w:before="172"/>
              <w:ind w:left="354"/>
              <w:rPr>
                <w:sz w:val="21"/>
              </w:rPr>
            </w:pPr>
            <w:r>
              <w:rPr>
                <w:sz w:val="21"/>
              </w:rPr>
              <w:t>五板一图</w:t>
            </w:r>
          </w:p>
        </w:tc>
        <w:tc>
          <w:tcPr>
            <w:tcW w:w="7192" w:type="dxa"/>
          </w:tcPr>
          <w:p>
            <w:pPr>
              <w:pStyle w:val="33"/>
              <w:spacing w:before="11"/>
              <w:ind w:left="105"/>
              <w:rPr>
                <w:sz w:val="21"/>
              </w:rPr>
            </w:pPr>
            <w:r>
              <w:rPr>
                <w:sz w:val="21"/>
              </w:rPr>
              <w:t>在进门处悬挂工程概况、管理人员名单及监督电话、安全生产规定、文明施</w:t>
            </w:r>
          </w:p>
          <w:p>
            <w:pPr>
              <w:pStyle w:val="33"/>
              <w:spacing w:before="46"/>
              <w:ind w:left="105"/>
              <w:rPr>
                <w:sz w:val="21"/>
              </w:rPr>
            </w:pPr>
            <w:r>
              <w:rPr>
                <w:sz w:val="21"/>
              </w:rPr>
              <w:t>工、消防保卫五板；施工现场总平面图。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0" w:type="dxa"/>
            <w:vMerge w:val="continue"/>
            <w:tcBorders>
              <w:top w:val="nil"/>
            </w:tcBorders>
          </w:tcPr>
          <w:p>
            <w:pPr>
              <w:rPr>
                <w:sz w:val="2"/>
                <w:szCs w:val="2"/>
              </w:rPr>
            </w:pPr>
          </w:p>
        </w:tc>
        <w:tc>
          <w:tcPr>
            <w:tcW w:w="1558" w:type="dxa"/>
            <w:gridSpan w:val="2"/>
          </w:tcPr>
          <w:p>
            <w:pPr>
              <w:pStyle w:val="33"/>
              <w:spacing w:before="102"/>
              <w:ind w:left="354"/>
              <w:rPr>
                <w:sz w:val="21"/>
              </w:rPr>
            </w:pPr>
            <w:r>
              <w:rPr>
                <w:sz w:val="21"/>
              </w:rPr>
              <w:t>企业标志</w:t>
            </w:r>
          </w:p>
        </w:tc>
        <w:tc>
          <w:tcPr>
            <w:tcW w:w="7192" w:type="dxa"/>
          </w:tcPr>
          <w:p>
            <w:pPr>
              <w:pStyle w:val="33"/>
              <w:spacing w:before="102"/>
              <w:ind w:left="105"/>
              <w:rPr>
                <w:sz w:val="21"/>
              </w:rPr>
            </w:pPr>
            <w:r>
              <w:rPr>
                <w:sz w:val="21"/>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10" w:type="dxa"/>
            <w:vMerge w:val="continue"/>
            <w:tcBorders>
              <w:top w:val="nil"/>
            </w:tcBorders>
          </w:tcPr>
          <w:p>
            <w:pPr>
              <w:rPr>
                <w:sz w:val="2"/>
                <w:szCs w:val="2"/>
              </w:rPr>
            </w:pPr>
          </w:p>
        </w:tc>
        <w:tc>
          <w:tcPr>
            <w:tcW w:w="1558" w:type="dxa"/>
            <w:gridSpan w:val="2"/>
          </w:tcPr>
          <w:p>
            <w:pPr>
              <w:pStyle w:val="33"/>
              <w:rPr>
                <w:b/>
                <w:sz w:val="20"/>
              </w:rPr>
            </w:pPr>
          </w:p>
          <w:p>
            <w:pPr>
              <w:pStyle w:val="33"/>
              <w:spacing w:before="7"/>
              <w:rPr>
                <w:b/>
                <w:sz w:val="17"/>
              </w:rPr>
            </w:pPr>
          </w:p>
          <w:p>
            <w:pPr>
              <w:pStyle w:val="33"/>
              <w:ind w:left="354"/>
              <w:rPr>
                <w:sz w:val="21"/>
              </w:rPr>
            </w:pPr>
            <w:r>
              <w:rPr>
                <w:sz w:val="21"/>
              </w:rPr>
              <w:t>场容场貌</w:t>
            </w:r>
          </w:p>
        </w:tc>
        <w:tc>
          <w:tcPr>
            <w:tcW w:w="7192" w:type="dxa"/>
          </w:tcPr>
          <w:p>
            <w:pPr>
              <w:pStyle w:val="33"/>
              <w:numPr>
                <w:ilvl w:val="0"/>
                <w:numId w:val="55"/>
              </w:numPr>
              <w:tabs>
                <w:tab w:val="left" w:pos="826"/>
              </w:tabs>
              <w:spacing w:before="11" w:after="0" w:line="240" w:lineRule="auto"/>
              <w:ind w:left="826" w:right="0" w:hanging="721"/>
              <w:jc w:val="left"/>
              <w:rPr>
                <w:sz w:val="21"/>
              </w:rPr>
            </w:pPr>
            <w:r>
              <w:rPr>
                <w:spacing w:val="-1"/>
                <w:sz w:val="21"/>
              </w:rPr>
              <w:t>道路畅通；</w:t>
            </w:r>
          </w:p>
          <w:p>
            <w:pPr>
              <w:pStyle w:val="33"/>
              <w:numPr>
                <w:ilvl w:val="0"/>
                <w:numId w:val="55"/>
              </w:numPr>
              <w:tabs>
                <w:tab w:val="left" w:pos="826"/>
              </w:tabs>
              <w:spacing w:before="44" w:after="0" w:line="240" w:lineRule="auto"/>
              <w:ind w:left="826" w:right="0" w:hanging="721"/>
              <w:jc w:val="left"/>
              <w:rPr>
                <w:sz w:val="21"/>
              </w:rPr>
            </w:pPr>
            <w:r>
              <w:rPr>
                <w:spacing w:val="-3"/>
                <w:sz w:val="21"/>
              </w:rPr>
              <w:t>排水沟、排水设施畅通；</w:t>
            </w:r>
          </w:p>
          <w:p>
            <w:pPr>
              <w:pStyle w:val="33"/>
              <w:numPr>
                <w:ilvl w:val="0"/>
                <w:numId w:val="55"/>
              </w:numPr>
              <w:tabs>
                <w:tab w:val="left" w:pos="826"/>
              </w:tabs>
              <w:spacing w:before="31" w:after="0" w:line="322" w:lineRule="exact"/>
              <w:ind w:left="826" w:right="103" w:hanging="721"/>
              <w:jc w:val="left"/>
              <w:rPr>
                <w:sz w:val="21"/>
              </w:rPr>
            </w:pPr>
            <w:r>
              <w:rPr>
                <w:spacing w:val="-5"/>
                <w:sz w:val="21"/>
              </w:rPr>
              <w:t>工地地面硬化处理</w:t>
            </w:r>
            <w:r>
              <w:rPr>
                <w:sz w:val="21"/>
              </w:rPr>
              <w:t>（</w:t>
            </w:r>
            <w:r>
              <w:rPr>
                <w:spacing w:val="-8"/>
                <w:sz w:val="21"/>
              </w:rPr>
              <w:t>办公区，生活区，现场道路，材料堆放、混凝土</w:t>
            </w:r>
            <w:r>
              <w:rPr>
                <w:spacing w:val="-5"/>
                <w:sz w:val="21"/>
              </w:rPr>
              <w:t>搅拌、砂浆搅拌、钢筋加工等场地，外脚手架基础等</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10" w:type="dxa"/>
            <w:vMerge w:val="continue"/>
            <w:tcBorders>
              <w:top w:val="nil"/>
            </w:tcBorders>
          </w:tcPr>
          <w:p>
            <w:pPr>
              <w:rPr>
                <w:sz w:val="2"/>
                <w:szCs w:val="2"/>
              </w:rPr>
            </w:pPr>
          </w:p>
        </w:tc>
        <w:tc>
          <w:tcPr>
            <w:tcW w:w="1558" w:type="dxa"/>
            <w:gridSpan w:val="2"/>
          </w:tcPr>
          <w:p>
            <w:pPr>
              <w:pStyle w:val="33"/>
              <w:spacing w:before="3"/>
              <w:rPr>
                <w:b/>
                <w:sz w:val="25"/>
              </w:rPr>
            </w:pPr>
          </w:p>
          <w:p>
            <w:pPr>
              <w:pStyle w:val="33"/>
              <w:ind w:left="354"/>
              <w:rPr>
                <w:sz w:val="21"/>
              </w:rPr>
            </w:pPr>
            <w:r>
              <w:rPr>
                <w:sz w:val="21"/>
              </w:rPr>
              <w:t>材料堆放</w:t>
            </w:r>
          </w:p>
        </w:tc>
        <w:tc>
          <w:tcPr>
            <w:tcW w:w="7192" w:type="dxa"/>
          </w:tcPr>
          <w:p>
            <w:pPr>
              <w:pStyle w:val="33"/>
              <w:numPr>
                <w:ilvl w:val="0"/>
                <w:numId w:val="56"/>
              </w:numPr>
              <w:tabs>
                <w:tab w:val="left" w:pos="826"/>
              </w:tabs>
              <w:spacing w:before="8" w:after="0" w:line="240" w:lineRule="auto"/>
              <w:ind w:left="826" w:right="0" w:hanging="721"/>
              <w:jc w:val="left"/>
              <w:rPr>
                <w:sz w:val="21"/>
              </w:rPr>
            </w:pPr>
            <w:r>
              <w:rPr>
                <w:spacing w:val="-3"/>
                <w:sz w:val="21"/>
              </w:rPr>
              <w:t>材料、构件、料具等堆放时，悬挂有名称、品种、规格等标牌；</w:t>
            </w:r>
          </w:p>
          <w:p>
            <w:pPr>
              <w:pStyle w:val="33"/>
              <w:numPr>
                <w:ilvl w:val="0"/>
                <w:numId w:val="56"/>
              </w:numPr>
              <w:tabs>
                <w:tab w:val="left" w:pos="826"/>
              </w:tabs>
              <w:spacing w:before="46" w:after="0" w:line="240" w:lineRule="auto"/>
              <w:ind w:left="826" w:right="0" w:hanging="721"/>
              <w:jc w:val="left"/>
              <w:rPr>
                <w:sz w:val="21"/>
              </w:rPr>
            </w:pPr>
            <w:r>
              <w:rPr>
                <w:spacing w:val="-3"/>
                <w:sz w:val="21"/>
              </w:rPr>
              <w:t>水泥和其他易飞扬细颗粒建筑材料应封闭存放或采取覆盖等措施；</w:t>
            </w:r>
          </w:p>
          <w:p>
            <w:pPr>
              <w:pStyle w:val="33"/>
              <w:numPr>
                <w:ilvl w:val="0"/>
                <w:numId w:val="56"/>
              </w:numPr>
              <w:tabs>
                <w:tab w:val="left" w:pos="826"/>
              </w:tabs>
              <w:spacing w:before="44" w:after="0" w:line="240" w:lineRule="auto"/>
              <w:ind w:left="826" w:right="0" w:hanging="721"/>
              <w:jc w:val="left"/>
              <w:rPr>
                <w:sz w:val="21"/>
              </w:rPr>
            </w:pPr>
            <w:r>
              <w:rPr>
                <w:spacing w:val="-3"/>
                <w:sz w:val="21"/>
              </w:rPr>
              <w:t>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10" w:type="dxa"/>
            <w:vMerge w:val="continue"/>
            <w:tcBorders>
              <w:top w:val="nil"/>
            </w:tcBorders>
          </w:tcPr>
          <w:p>
            <w:pPr>
              <w:rPr>
                <w:sz w:val="2"/>
                <w:szCs w:val="2"/>
              </w:rPr>
            </w:pPr>
          </w:p>
        </w:tc>
        <w:tc>
          <w:tcPr>
            <w:tcW w:w="1558" w:type="dxa"/>
            <w:gridSpan w:val="2"/>
          </w:tcPr>
          <w:p>
            <w:pPr>
              <w:pStyle w:val="33"/>
              <w:spacing w:before="126"/>
              <w:ind w:left="354"/>
              <w:rPr>
                <w:sz w:val="21"/>
              </w:rPr>
            </w:pPr>
            <w:r>
              <w:rPr>
                <w:sz w:val="21"/>
              </w:rPr>
              <w:t>现场防火</w:t>
            </w:r>
          </w:p>
        </w:tc>
        <w:tc>
          <w:tcPr>
            <w:tcW w:w="7192" w:type="dxa"/>
          </w:tcPr>
          <w:p>
            <w:pPr>
              <w:pStyle w:val="33"/>
              <w:spacing w:before="126"/>
              <w:ind w:left="105"/>
              <w:rPr>
                <w:sz w:val="21"/>
              </w:rPr>
            </w:pPr>
            <w:r>
              <w:rPr>
                <w:sz w:val="21"/>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10" w:type="dxa"/>
            <w:vMerge w:val="continue"/>
            <w:tcBorders>
              <w:top w:val="nil"/>
            </w:tcBorders>
          </w:tcPr>
          <w:p>
            <w:pPr>
              <w:rPr>
                <w:sz w:val="2"/>
                <w:szCs w:val="2"/>
              </w:rPr>
            </w:pPr>
          </w:p>
        </w:tc>
        <w:tc>
          <w:tcPr>
            <w:tcW w:w="1558" w:type="dxa"/>
            <w:gridSpan w:val="2"/>
          </w:tcPr>
          <w:p>
            <w:pPr>
              <w:pStyle w:val="33"/>
              <w:spacing w:before="172"/>
              <w:ind w:left="354"/>
              <w:rPr>
                <w:sz w:val="21"/>
              </w:rPr>
            </w:pPr>
            <w:r>
              <w:rPr>
                <w:sz w:val="21"/>
              </w:rPr>
              <w:t>垃圾清运</w:t>
            </w:r>
          </w:p>
        </w:tc>
        <w:tc>
          <w:tcPr>
            <w:tcW w:w="7192" w:type="dxa"/>
          </w:tcPr>
          <w:p>
            <w:pPr>
              <w:pStyle w:val="33"/>
              <w:spacing w:line="320" w:lineRule="exact"/>
              <w:ind w:left="105" w:right="967"/>
              <w:rPr>
                <w:sz w:val="21"/>
              </w:rPr>
            </w:pPr>
            <w:r>
              <w:rPr>
                <w:sz w:val="21"/>
              </w:rPr>
              <w:t>施工现场应设置密闭式垃圾站，施工垃圾、生活垃圾应分类存放。施工垃圾必须采用相应容器或管道运输。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10" w:type="dxa"/>
            <w:vMerge w:val="continue"/>
            <w:tcBorders>
              <w:top w:val="nil"/>
            </w:tcBorders>
          </w:tcPr>
          <w:p>
            <w:pPr>
              <w:rPr>
                <w:sz w:val="2"/>
                <w:szCs w:val="2"/>
              </w:rPr>
            </w:pPr>
          </w:p>
        </w:tc>
        <w:tc>
          <w:tcPr>
            <w:tcW w:w="1558" w:type="dxa"/>
            <w:gridSpan w:val="2"/>
          </w:tcPr>
          <w:p>
            <w:pPr>
              <w:pStyle w:val="33"/>
              <w:spacing w:line="320" w:lineRule="exact"/>
              <w:ind w:left="143" w:right="124"/>
              <w:rPr>
                <w:sz w:val="21"/>
              </w:rPr>
            </w:pPr>
            <w:r>
              <w:rPr>
                <w:sz w:val="21"/>
              </w:rPr>
              <w:t>宣传栏、环保及不扰民措施</w:t>
            </w:r>
          </w:p>
        </w:tc>
        <w:tc>
          <w:tcPr>
            <w:tcW w:w="7192" w:type="dxa"/>
          </w:tcPr>
          <w:p>
            <w:pPr>
              <w:pStyle w:val="33"/>
              <w:spacing w:line="320" w:lineRule="exact"/>
              <w:ind w:left="105"/>
              <w:rPr>
                <w:sz w:val="21"/>
              </w:rPr>
            </w:pPr>
            <w:r>
              <w:rPr>
                <w:sz w:val="21"/>
              </w:rPr>
              <w:t>宣传栏、安全宣传标语等，洗车（防止污染市区道路）、粉尘、噪声控制， 排污（污水、废气）措施等。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710" w:type="dxa"/>
            <w:vMerge w:val="restart"/>
          </w:tcPr>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spacing w:before="133" w:line="280" w:lineRule="auto"/>
              <w:ind w:left="141" w:right="119"/>
              <w:rPr>
                <w:sz w:val="21"/>
              </w:rPr>
            </w:pPr>
            <w:r>
              <w:rPr>
                <w:sz w:val="21"/>
              </w:rPr>
              <w:t>临时措施</w:t>
            </w:r>
          </w:p>
        </w:tc>
        <w:tc>
          <w:tcPr>
            <w:tcW w:w="1558" w:type="dxa"/>
            <w:gridSpan w:val="2"/>
          </w:tcPr>
          <w:p>
            <w:pPr>
              <w:pStyle w:val="33"/>
              <w:spacing w:before="170" w:line="280" w:lineRule="auto"/>
              <w:ind w:left="354" w:right="333"/>
              <w:rPr>
                <w:sz w:val="21"/>
              </w:rPr>
            </w:pPr>
            <w:r>
              <w:rPr>
                <w:sz w:val="21"/>
              </w:rPr>
              <w:t>现场办公生活设施</w:t>
            </w:r>
          </w:p>
        </w:tc>
        <w:tc>
          <w:tcPr>
            <w:tcW w:w="7192" w:type="dxa"/>
          </w:tcPr>
          <w:p>
            <w:pPr>
              <w:pStyle w:val="33"/>
              <w:numPr>
                <w:ilvl w:val="0"/>
                <w:numId w:val="57"/>
              </w:numPr>
              <w:tabs>
                <w:tab w:val="left" w:pos="826"/>
              </w:tabs>
              <w:spacing w:before="11" w:after="0" w:line="240" w:lineRule="auto"/>
              <w:ind w:left="826" w:right="0" w:hanging="721"/>
              <w:jc w:val="left"/>
              <w:rPr>
                <w:sz w:val="21"/>
              </w:rPr>
            </w:pPr>
            <w:r>
              <w:rPr>
                <w:spacing w:val="-3"/>
                <w:sz w:val="21"/>
              </w:rPr>
              <w:t>施工现场办公、生活区与作业区分开设置，保持安全距离。</w:t>
            </w:r>
          </w:p>
          <w:p>
            <w:pPr>
              <w:pStyle w:val="33"/>
              <w:numPr>
                <w:ilvl w:val="0"/>
                <w:numId w:val="57"/>
              </w:numPr>
              <w:tabs>
                <w:tab w:val="left" w:pos="826"/>
              </w:tabs>
              <w:spacing w:before="0" w:after="0" w:line="320" w:lineRule="atLeast"/>
              <w:ind w:left="826" w:right="103" w:hanging="721"/>
              <w:jc w:val="left"/>
              <w:rPr>
                <w:sz w:val="21"/>
              </w:rPr>
            </w:pPr>
            <w:r>
              <w:rPr>
                <w:spacing w:val="-9"/>
                <w:sz w:val="21"/>
              </w:rPr>
              <w:t>工地办公室、现场宿舍、食堂、、厕所、饮水、沐浴、休息场所等符</w:t>
            </w:r>
            <w:r>
              <w:rPr>
                <w:spacing w:val="-5"/>
                <w:sz w:val="21"/>
              </w:rPr>
              <w:t>合卫生和安全要求；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710" w:type="dxa"/>
            <w:vMerge w:val="continue"/>
            <w:tcBorders>
              <w:top w:val="nil"/>
            </w:tcBorders>
          </w:tcPr>
          <w:p>
            <w:pPr>
              <w:rPr>
                <w:sz w:val="2"/>
                <w:szCs w:val="2"/>
              </w:rPr>
            </w:pPr>
          </w:p>
        </w:tc>
        <w:tc>
          <w:tcPr>
            <w:tcW w:w="425" w:type="dxa"/>
            <w:vMerge w:val="restart"/>
          </w:tcPr>
          <w:p>
            <w:pPr>
              <w:pStyle w:val="33"/>
              <w:rPr>
                <w:b/>
                <w:sz w:val="20"/>
              </w:rPr>
            </w:pPr>
          </w:p>
          <w:p>
            <w:pPr>
              <w:pStyle w:val="33"/>
              <w:rPr>
                <w:b/>
                <w:sz w:val="20"/>
              </w:rPr>
            </w:pPr>
          </w:p>
          <w:p>
            <w:pPr>
              <w:pStyle w:val="33"/>
              <w:rPr>
                <w:b/>
                <w:sz w:val="20"/>
              </w:rPr>
            </w:pPr>
          </w:p>
          <w:p>
            <w:pPr>
              <w:pStyle w:val="33"/>
              <w:rPr>
                <w:b/>
                <w:sz w:val="20"/>
              </w:rPr>
            </w:pPr>
          </w:p>
          <w:p>
            <w:pPr>
              <w:pStyle w:val="33"/>
              <w:spacing w:before="9"/>
              <w:rPr>
                <w:b/>
                <w:sz w:val="19"/>
              </w:rPr>
            </w:pPr>
          </w:p>
          <w:p>
            <w:pPr>
              <w:pStyle w:val="33"/>
              <w:spacing w:line="280" w:lineRule="auto"/>
              <w:ind w:left="102" w:right="98"/>
              <w:jc w:val="both"/>
              <w:rPr>
                <w:sz w:val="21"/>
              </w:rPr>
            </w:pPr>
            <w:r>
              <w:rPr>
                <w:sz w:val="21"/>
              </w:rPr>
              <w:t>施工现场临时用电</w:t>
            </w:r>
          </w:p>
        </w:tc>
        <w:tc>
          <w:tcPr>
            <w:tcW w:w="1133" w:type="dxa"/>
          </w:tcPr>
          <w:p>
            <w:pPr>
              <w:pStyle w:val="33"/>
              <w:rPr>
                <w:b/>
                <w:sz w:val="20"/>
              </w:rPr>
            </w:pPr>
          </w:p>
          <w:p>
            <w:pPr>
              <w:pStyle w:val="33"/>
              <w:spacing w:before="7"/>
              <w:rPr>
                <w:b/>
                <w:sz w:val="17"/>
              </w:rPr>
            </w:pPr>
          </w:p>
          <w:p>
            <w:pPr>
              <w:pStyle w:val="33"/>
              <w:ind w:left="141"/>
              <w:rPr>
                <w:sz w:val="21"/>
              </w:rPr>
            </w:pPr>
            <w:r>
              <w:rPr>
                <w:sz w:val="21"/>
              </w:rPr>
              <w:t>配电线路</w:t>
            </w:r>
          </w:p>
        </w:tc>
        <w:tc>
          <w:tcPr>
            <w:tcW w:w="7192" w:type="dxa"/>
          </w:tcPr>
          <w:p>
            <w:pPr>
              <w:pStyle w:val="33"/>
              <w:numPr>
                <w:ilvl w:val="0"/>
                <w:numId w:val="58"/>
              </w:numPr>
              <w:tabs>
                <w:tab w:val="left" w:pos="826"/>
              </w:tabs>
              <w:spacing w:before="11" w:after="0" w:line="240" w:lineRule="auto"/>
              <w:ind w:left="826" w:right="0" w:hanging="721"/>
              <w:jc w:val="left"/>
              <w:rPr>
                <w:sz w:val="21"/>
              </w:rPr>
            </w:pPr>
            <w:r>
              <w:rPr>
                <w:spacing w:val="-14"/>
                <w:sz w:val="21"/>
              </w:rPr>
              <w:t xml:space="preserve">按照 </w:t>
            </w:r>
            <w:r>
              <w:rPr>
                <w:sz w:val="21"/>
              </w:rPr>
              <w:t>TN-S</w:t>
            </w:r>
            <w:r>
              <w:rPr>
                <w:spacing w:val="-8"/>
                <w:sz w:val="21"/>
              </w:rPr>
              <w:t xml:space="preserve"> 系统要求配备五芯电缆、四芯电缆和三芯电缆。</w:t>
            </w:r>
          </w:p>
          <w:p>
            <w:pPr>
              <w:pStyle w:val="33"/>
              <w:numPr>
                <w:ilvl w:val="0"/>
                <w:numId w:val="58"/>
              </w:numPr>
              <w:tabs>
                <w:tab w:val="left" w:pos="826"/>
              </w:tabs>
              <w:spacing w:before="44" w:after="0" w:line="278" w:lineRule="auto"/>
              <w:ind w:left="826" w:right="86" w:hanging="721"/>
              <w:jc w:val="left"/>
              <w:rPr>
                <w:sz w:val="21"/>
              </w:rPr>
            </w:pPr>
            <w:r>
              <w:rPr>
                <w:spacing w:val="-7"/>
                <w:sz w:val="21"/>
              </w:rPr>
              <w:t>按要求架设临时用电线路的电杆、横担、瓷夹、瓷瓶等，或电缆埋地</w:t>
            </w:r>
            <w:r>
              <w:rPr>
                <w:spacing w:val="-5"/>
                <w:sz w:val="21"/>
              </w:rPr>
              <w:t>的地沟。</w:t>
            </w:r>
          </w:p>
          <w:p>
            <w:pPr>
              <w:pStyle w:val="33"/>
              <w:numPr>
                <w:ilvl w:val="0"/>
                <w:numId w:val="58"/>
              </w:numPr>
              <w:tabs>
                <w:tab w:val="left" w:pos="826"/>
              </w:tabs>
              <w:spacing w:before="13" w:after="0" w:line="240" w:lineRule="auto"/>
              <w:ind w:left="826" w:right="0" w:hanging="721"/>
              <w:jc w:val="left"/>
              <w:rPr>
                <w:sz w:val="21"/>
              </w:rPr>
            </w:pPr>
            <w:r>
              <w:rPr>
                <w:spacing w:val="-3"/>
                <w:sz w:val="21"/>
              </w:rPr>
              <w:t>对靠近施工现场的外电线路，设置木质、塑料等绝缘体的防护设施。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0" w:hRule="atLeast"/>
        </w:trPr>
        <w:tc>
          <w:tcPr>
            <w:tcW w:w="710"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1133" w:type="dxa"/>
          </w:tcPr>
          <w:p>
            <w:pPr>
              <w:pStyle w:val="33"/>
              <w:rPr>
                <w:b/>
                <w:sz w:val="20"/>
              </w:rPr>
            </w:pPr>
          </w:p>
          <w:p>
            <w:pPr>
              <w:pStyle w:val="33"/>
              <w:spacing w:before="10"/>
              <w:rPr>
                <w:b/>
                <w:sz w:val="29"/>
              </w:rPr>
            </w:pPr>
          </w:p>
          <w:p>
            <w:pPr>
              <w:pStyle w:val="33"/>
              <w:spacing w:before="1" w:line="278" w:lineRule="auto"/>
              <w:ind w:left="350" w:right="121" w:hanging="209"/>
              <w:rPr>
                <w:sz w:val="21"/>
              </w:rPr>
            </w:pPr>
            <w:r>
              <w:rPr>
                <w:sz w:val="21"/>
              </w:rPr>
              <w:t>配电箱开关箱</w:t>
            </w:r>
          </w:p>
        </w:tc>
        <w:tc>
          <w:tcPr>
            <w:tcW w:w="7192" w:type="dxa"/>
          </w:tcPr>
          <w:p>
            <w:pPr>
              <w:pStyle w:val="33"/>
              <w:numPr>
                <w:ilvl w:val="0"/>
                <w:numId w:val="59"/>
              </w:numPr>
              <w:tabs>
                <w:tab w:val="left" w:pos="826"/>
              </w:tabs>
              <w:spacing w:before="11" w:after="0" w:line="280" w:lineRule="auto"/>
              <w:ind w:left="826" w:right="88" w:hanging="721"/>
              <w:jc w:val="both"/>
              <w:rPr>
                <w:sz w:val="21"/>
              </w:rPr>
            </w:pPr>
            <w:r>
              <w:rPr>
                <w:spacing w:val="-7"/>
                <w:sz w:val="21"/>
              </w:rPr>
              <w:t>按三级配电要求，配备总配电箱、分配电箱、开关箱三类</w:t>
            </w:r>
            <w:r>
              <w:rPr>
                <w:spacing w:val="-3"/>
                <w:sz w:val="21"/>
              </w:rPr>
              <w:t>（</w:t>
            </w:r>
            <w:r>
              <w:rPr>
                <w:spacing w:val="-2"/>
                <w:sz w:val="21"/>
              </w:rPr>
              <w:t>铁质</w:t>
            </w:r>
            <w:r>
              <w:rPr>
                <w:spacing w:val="-8"/>
                <w:sz w:val="21"/>
              </w:rPr>
              <w:t>）</w:t>
            </w:r>
            <w:r>
              <w:rPr>
                <w:sz w:val="21"/>
              </w:rPr>
              <w:t>标</w:t>
            </w:r>
            <w:r>
              <w:rPr>
                <w:spacing w:val="-8"/>
                <w:sz w:val="21"/>
              </w:rPr>
              <w:t>准电箱准电箱。开关箱应符合一机、一箱、一闸、一漏。三类电箱中</w:t>
            </w:r>
            <w:r>
              <w:rPr>
                <w:spacing w:val="-5"/>
                <w:sz w:val="21"/>
              </w:rPr>
              <w:t>的各类电器应是合格品。</w:t>
            </w:r>
          </w:p>
          <w:p>
            <w:pPr>
              <w:pStyle w:val="33"/>
              <w:numPr>
                <w:ilvl w:val="0"/>
                <w:numId w:val="59"/>
              </w:numPr>
              <w:tabs>
                <w:tab w:val="left" w:pos="826"/>
              </w:tabs>
              <w:spacing w:before="8" w:after="0" w:line="280" w:lineRule="auto"/>
              <w:ind w:left="826" w:right="86" w:hanging="721"/>
              <w:jc w:val="both"/>
              <w:rPr>
                <w:sz w:val="21"/>
              </w:rPr>
            </w:pPr>
            <w:r>
              <w:rPr>
                <w:spacing w:val="-8"/>
                <w:sz w:val="21"/>
              </w:rPr>
              <w:t>按两级保护的要求，选取符合容量要求和质量合格的总配电箱和开关</w:t>
            </w:r>
            <w:r>
              <w:rPr>
                <w:spacing w:val="-5"/>
                <w:sz w:val="21"/>
              </w:rPr>
              <w:t>箱中的漏电保护器。</w:t>
            </w:r>
          </w:p>
          <w:p>
            <w:pPr>
              <w:pStyle w:val="33"/>
              <w:numPr>
                <w:ilvl w:val="0"/>
                <w:numId w:val="59"/>
              </w:numPr>
              <w:tabs>
                <w:tab w:val="left" w:pos="826"/>
              </w:tabs>
              <w:spacing w:before="9" w:after="0" w:line="240" w:lineRule="auto"/>
              <w:ind w:left="826" w:right="0" w:hanging="721"/>
              <w:jc w:val="left"/>
              <w:rPr>
                <w:sz w:val="21"/>
              </w:rPr>
            </w:pPr>
            <w:r>
              <w:rPr>
                <w:spacing w:val="-3"/>
                <w:sz w:val="21"/>
              </w:rPr>
              <w:t>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710"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1133" w:type="dxa"/>
          </w:tcPr>
          <w:p>
            <w:pPr>
              <w:pStyle w:val="33"/>
              <w:spacing w:before="172" w:line="278" w:lineRule="auto"/>
              <w:ind w:left="350" w:right="121" w:hanging="209"/>
              <w:rPr>
                <w:sz w:val="21"/>
              </w:rPr>
            </w:pPr>
            <w:r>
              <w:rPr>
                <w:sz w:val="21"/>
              </w:rPr>
              <w:t>接地保护装置</w:t>
            </w:r>
          </w:p>
        </w:tc>
        <w:tc>
          <w:tcPr>
            <w:tcW w:w="7192" w:type="dxa"/>
          </w:tcPr>
          <w:p>
            <w:pPr>
              <w:pStyle w:val="33"/>
              <w:spacing w:before="5"/>
              <w:rPr>
                <w:b/>
                <w:sz w:val="25"/>
              </w:rPr>
            </w:pPr>
          </w:p>
          <w:p>
            <w:pPr>
              <w:pStyle w:val="33"/>
              <w:ind w:left="105"/>
              <w:rPr>
                <w:sz w:val="21"/>
              </w:rPr>
            </w:pPr>
            <w:r>
              <w:rPr>
                <w:sz w:val="21"/>
              </w:rPr>
              <w:t>施工现场应设置不少于三处的保护接地装置。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10" w:type="dxa"/>
            <w:vMerge w:val="continue"/>
            <w:tcBorders>
              <w:top w:val="nil"/>
            </w:tcBorders>
          </w:tcPr>
          <w:p>
            <w:pPr>
              <w:rPr>
                <w:sz w:val="2"/>
                <w:szCs w:val="2"/>
              </w:rPr>
            </w:pPr>
          </w:p>
        </w:tc>
        <w:tc>
          <w:tcPr>
            <w:tcW w:w="425" w:type="dxa"/>
            <w:vMerge w:val="continue"/>
            <w:tcBorders>
              <w:top w:val="nil"/>
            </w:tcBorders>
          </w:tcPr>
          <w:p>
            <w:pPr>
              <w:rPr>
                <w:sz w:val="2"/>
                <w:szCs w:val="2"/>
              </w:rPr>
            </w:pPr>
          </w:p>
        </w:tc>
        <w:tc>
          <w:tcPr>
            <w:tcW w:w="1133" w:type="dxa"/>
          </w:tcPr>
          <w:p>
            <w:pPr>
              <w:pStyle w:val="33"/>
              <w:spacing w:before="172" w:line="280" w:lineRule="auto"/>
              <w:ind w:left="244" w:right="122" w:hanging="104"/>
              <w:rPr>
                <w:sz w:val="21"/>
              </w:rPr>
            </w:pPr>
            <w:r>
              <w:rPr>
                <w:sz w:val="21"/>
              </w:rPr>
              <w:t>现场变配电装置</w:t>
            </w:r>
          </w:p>
        </w:tc>
        <w:tc>
          <w:tcPr>
            <w:tcW w:w="7192" w:type="dxa"/>
          </w:tcPr>
          <w:p>
            <w:pPr>
              <w:pStyle w:val="33"/>
              <w:spacing w:before="5"/>
              <w:rPr>
                <w:b/>
                <w:sz w:val="25"/>
              </w:rPr>
            </w:pPr>
          </w:p>
          <w:p>
            <w:pPr>
              <w:pStyle w:val="33"/>
              <w:ind w:left="129"/>
              <w:rPr>
                <w:sz w:val="21"/>
              </w:rPr>
            </w:pPr>
            <w:r>
              <w:rPr>
                <w:sz w:val="21"/>
              </w:rPr>
              <w:t>总配电室建筑材料必须达到三级防火要求，室内做硬地坪、电缆沟、吊顶。</w:t>
            </w:r>
          </w:p>
        </w:tc>
      </w:tr>
    </w:tbl>
    <w:p>
      <w:pPr>
        <w:spacing w:after="0"/>
        <w:rPr>
          <w:sz w:val="21"/>
        </w:rPr>
        <w:sectPr>
          <w:pgSz w:w="11910" w:h="16840"/>
          <w:pgMar w:top="1120" w:right="1060" w:bottom="1160" w:left="1160" w:header="0" w:footer="975" w:gutter="0"/>
        </w:sectPr>
      </w:pPr>
    </w:p>
    <w:tbl>
      <w:tblPr>
        <w:tblStyle w:val="17"/>
        <w:tblW w:w="949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569"/>
        <w:gridCol w:w="1558"/>
        <w:gridCol w:w="6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6" w:type="dxa"/>
          </w:tcPr>
          <w:p>
            <w:pPr>
              <w:pStyle w:val="33"/>
              <w:spacing w:before="7"/>
              <w:ind w:left="175"/>
              <w:rPr>
                <w:sz w:val="21"/>
              </w:rPr>
            </w:pPr>
            <w:r>
              <w:rPr>
                <w:w w:val="100"/>
                <w:sz w:val="21"/>
              </w:rPr>
              <w:t>类</w:t>
            </w:r>
          </w:p>
          <w:p>
            <w:pPr>
              <w:pStyle w:val="33"/>
              <w:spacing w:before="44"/>
              <w:ind w:left="175"/>
              <w:rPr>
                <w:sz w:val="21"/>
              </w:rPr>
            </w:pPr>
            <w:r>
              <w:rPr>
                <w:w w:val="100"/>
                <w:sz w:val="21"/>
              </w:rPr>
              <w:t>别</w:t>
            </w:r>
          </w:p>
        </w:tc>
        <w:tc>
          <w:tcPr>
            <w:tcW w:w="2127" w:type="dxa"/>
            <w:gridSpan w:val="2"/>
          </w:tcPr>
          <w:p>
            <w:pPr>
              <w:pStyle w:val="33"/>
              <w:spacing w:before="168"/>
              <w:ind w:left="640"/>
              <w:rPr>
                <w:sz w:val="21"/>
              </w:rPr>
            </w:pPr>
            <w:r>
              <w:rPr>
                <w:sz w:val="21"/>
              </w:rPr>
              <w:t>项目名称</w:t>
            </w:r>
          </w:p>
        </w:tc>
        <w:tc>
          <w:tcPr>
            <w:tcW w:w="6805" w:type="dxa"/>
          </w:tcPr>
          <w:p>
            <w:pPr>
              <w:pStyle w:val="33"/>
              <w:spacing w:before="168"/>
              <w:ind w:left="2803" w:right="2796"/>
              <w:jc w:val="center"/>
              <w:rPr>
                <w:sz w:val="21"/>
              </w:rPr>
            </w:pPr>
            <w:r>
              <w:rPr>
                <w:sz w:val="21"/>
              </w:rPr>
              <w:t>具 体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566" w:type="dxa"/>
            <w:vMerge w:val="restart"/>
          </w:tcPr>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spacing w:before="10"/>
              <w:rPr>
                <w:b/>
                <w:sz w:val="14"/>
              </w:rPr>
            </w:pPr>
          </w:p>
          <w:p>
            <w:pPr>
              <w:pStyle w:val="33"/>
              <w:spacing w:line="278" w:lineRule="auto"/>
              <w:ind w:left="175" w:right="168"/>
              <w:jc w:val="both"/>
              <w:rPr>
                <w:sz w:val="21"/>
              </w:rPr>
            </w:pPr>
            <w:r>
              <w:rPr>
                <w:sz w:val="21"/>
              </w:rPr>
              <w:t>安全施工</w:t>
            </w:r>
          </w:p>
        </w:tc>
        <w:tc>
          <w:tcPr>
            <w:tcW w:w="569" w:type="dxa"/>
            <w:vMerge w:val="restart"/>
          </w:tcPr>
          <w:p>
            <w:pPr>
              <w:pStyle w:val="33"/>
              <w:rPr>
                <w:b/>
                <w:sz w:val="20"/>
              </w:rPr>
            </w:pPr>
          </w:p>
          <w:p>
            <w:pPr>
              <w:pStyle w:val="33"/>
              <w:rPr>
                <w:b/>
                <w:sz w:val="20"/>
              </w:rPr>
            </w:pPr>
          </w:p>
          <w:p>
            <w:pPr>
              <w:pStyle w:val="33"/>
              <w:rPr>
                <w:b/>
                <w:sz w:val="17"/>
              </w:rPr>
            </w:pPr>
          </w:p>
          <w:p>
            <w:pPr>
              <w:pStyle w:val="33"/>
              <w:spacing w:line="278" w:lineRule="auto"/>
              <w:ind w:left="174" w:right="170"/>
              <w:jc w:val="both"/>
              <w:rPr>
                <w:sz w:val="21"/>
              </w:rPr>
            </w:pPr>
            <w:r>
              <w:rPr>
                <w:sz w:val="21"/>
              </w:rPr>
              <w:t>临边洞口交叉高处作业防护</w:t>
            </w:r>
          </w:p>
        </w:tc>
        <w:tc>
          <w:tcPr>
            <w:tcW w:w="1558" w:type="dxa"/>
          </w:tcPr>
          <w:p>
            <w:pPr>
              <w:pStyle w:val="33"/>
              <w:spacing w:before="7" w:line="278" w:lineRule="auto"/>
              <w:ind w:left="103"/>
              <w:rPr>
                <w:sz w:val="21"/>
              </w:rPr>
            </w:pPr>
            <w:r>
              <w:rPr>
                <w:sz w:val="21"/>
              </w:rPr>
              <w:t>楼层、屋面、阳台等临边防</w:t>
            </w:r>
          </w:p>
          <w:p>
            <w:pPr>
              <w:pStyle w:val="33"/>
              <w:spacing w:before="10"/>
              <w:ind w:left="103"/>
              <w:rPr>
                <w:sz w:val="21"/>
              </w:rPr>
            </w:pPr>
            <w:r>
              <w:rPr>
                <w:w w:val="100"/>
                <w:sz w:val="21"/>
              </w:rPr>
              <w:t>护</w:t>
            </w:r>
          </w:p>
        </w:tc>
        <w:tc>
          <w:tcPr>
            <w:tcW w:w="6805" w:type="dxa"/>
          </w:tcPr>
          <w:p>
            <w:pPr>
              <w:pStyle w:val="33"/>
              <w:spacing w:before="12"/>
              <w:rPr>
                <w:b/>
                <w:sz w:val="24"/>
              </w:rPr>
            </w:pPr>
          </w:p>
          <w:p>
            <w:pPr>
              <w:pStyle w:val="33"/>
              <w:ind w:left="105" w:right="-8"/>
              <w:rPr>
                <w:sz w:val="21"/>
              </w:rPr>
            </w:pPr>
            <w:r>
              <w:rPr>
                <w:spacing w:val="-14"/>
                <w:sz w:val="21"/>
              </w:rPr>
              <w:t xml:space="preserve">用密目式安全立网全封闭，作业层另加两道防护栏杆和 </w:t>
            </w:r>
            <w:r>
              <w:rPr>
                <w:sz w:val="21"/>
              </w:rPr>
              <w:t>18cm</w:t>
            </w:r>
            <w:r>
              <w:rPr>
                <w:spacing w:val="-10"/>
                <w:sz w:val="21"/>
              </w:rPr>
              <w:t xml:space="preserve"> 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6" w:type="dxa"/>
            <w:vMerge w:val="continue"/>
            <w:tcBorders>
              <w:top w:val="nil"/>
            </w:tcBorders>
          </w:tcPr>
          <w:p>
            <w:pPr>
              <w:rPr>
                <w:sz w:val="2"/>
                <w:szCs w:val="2"/>
              </w:rPr>
            </w:pPr>
          </w:p>
        </w:tc>
        <w:tc>
          <w:tcPr>
            <w:tcW w:w="569" w:type="dxa"/>
            <w:vMerge w:val="continue"/>
            <w:tcBorders>
              <w:top w:val="nil"/>
            </w:tcBorders>
          </w:tcPr>
          <w:p>
            <w:pPr>
              <w:rPr>
                <w:sz w:val="2"/>
                <w:szCs w:val="2"/>
              </w:rPr>
            </w:pPr>
          </w:p>
        </w:tc>
        <w:tc>
          <w:tcPr>
            <w:tcW w:w="1558" w:type="dxa"/>
          </w:tcPr>
          <w:p>
            <w:pPr>
              <w:pStyle w:val="33"/>
              <w:spacing w:before="7"/>
              <w:ind w:left="103"/>
              <w:rPr>
                <w:sz w:val="21"/>
              </w:rPr>
            </w:pPr>
            <w:r>
              <w:rPr>
                <w:sz w:val="21"/>
              </w:rPr>
              <w:t>通道口</w:t>
            </w:r>
          </w:p>
          <w:p>
            <w:pPr>
              <w:pStyle w:val="33"/>
              <w:spacing w:before="44"/>
              <w:ind w:left="103"/>
              <w:rPr>
                <w:sz w:val="21"/>
              </w:rPr>
            </w:pPr>
            <w:r>
              <w:rPr>
                <w:sz w:val="21"/>
              </w:rPr>
              <w:t>防护</w:t>
            </w:r>
          </w:p>
        </w:tc>
        <w:tc>
          <w:tcPr>
            <w:tcW w:w="6805" w:type="dxa"/>
          </w:tcPr>
          <w:p>
            <w:pPr>
              <w:pStyle w:val="33"/>
              <w:spacing w:before="7"/>
              <w:ind w:left="105"/>
              <w:rPr>
                <w:sz w:val="21"/>
              </w:rPr>
            </w:pPr>
            <w:r>
              <w:rPr>
                <w:spacing w:val="-8"/>
                <w:sz w:val="21"/>
              </w:rPr>
              <w:t xml:space="preserve">设防护棚，防护棚应为不小于 </w:t>
            </w:r>
            <w:r>
              <w:rPr>
                <w:sz w:val="21"/>
              </w:rPr>
              <w:t>5cm</w:t>
            </w:r>
            <w:r>
              <w:rPr>
                <w:spacing w:val="-13"/>
                <w:sz w:val="21"/>
              </w:rPr>
              <w:t xml:space="preserve"> 厚的木板或两道相距 </w:t>
            </w:r>
            <w:r>
              <w:rPr>
                <w:sz w:val="21"/>
              </w:rPr>
              <w:t>50cm</w:t>
            </w:r>
            <w:r>
              <w:rPr>
                <w:spacing w:val="-12"/>
                <w:sz w:val="21"/>
              </w:rPr>
              <w:t xml:space="preserve"> 的竹笆。两</w:t>
            </w:r>
          </w:p>
          <w:p>
            <w:pPr>
              <w:pStyle w:val="33"/>
              <w:spacing w:before="44"/>
              <w:ind w:left="105"/>
              <w:rPr>
                <w:sz w:val="21"/>
              </w:rPr>
            </w:pPr>
            <w:r>
              <w:rPr>
                <w:sz w:val="21"/>
              </w:rPr>
              <w:t>侧应沿栏杆架用密目式安全网封闭。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66" w:type="dxa"/>
            <w:vMerge w:val="continue"/>
            <w:tcBorders>
              <w:top w:val="nil"/>
            </w:tcBorders>
          </w:tcPr>
          <w:p>
            <w:pPr>
              <w:rPr>
                <w:sz w:val="2"/>
                <w:szCs w:val="2"/>
              </w:rPr>
            </w:pPr>
          </w:p>
        </w:tc>
        <w:tc>
          <w:tcPr>
            <w:tcW w:w="569" w:type="dxa"/>
            <w:vMerge w:val="continue"/>
            <w:tcBorders>
              <w:top w:val="nil"/>
            </w:tcBorders>
          </w:tcPr>
          <w:p>
            <w:pPr>
              <w:rPr>
                <w:sz w:val="2"/>
                <w:szCs w:val="2"/>
              </w:rPr>
            </w:pPr>
          </w:p>
        </w:tc>
        <w:tc>
          <w:tcPr>
            <w:tcW w:w="1558" w:type="dxa"/>
          </w:tcPr>
          <w:p>
            <w:pPr>
              <w:pStyle w:val="33"/>
              <w:spacing w:before="7"/>
              <w:ind w:left="103"/>
              <w:rPr>
                <w:sz w:val="21"/>
              </w:rPr>
            </w:pPr>
            <w:r>
              <w:rPr>
                <w:sz w:val="21"/>
              </w:rPr>
              <w:t>预留洞口防护</w:t>
            </w:r>
          </w:p>
        </w:tc>
        <w:tc>
          <w:tcPr>
            <w:tcW w:w="6805" w:type="dxa"/>
          </w:tcPr>
          <w:p>
            <w:pPr>
              <w:pStyle w:val="33"/>
              <w:spacing w:before="7"/>
              <w:ind w:left="105"/>
              <w:rPr>
                <w:sz w:val="21"/>
              </w:rPr>
            </w:pPr>
            <w:r>
              <w:rPr>
                <w:spacing w:val="-8"/>
                <w:sz w:val="21"/>
              </w:rPr>
              <w:t xml:space="preserve">用硬质材料全封闭；短边超过 </w:t>
            </w:r>
            <w:r>
              <w:rPr>
                <w:sz w:val="21"/>
              </w:rPr>
              <w:t>1.5m</w:t>
            </w:r>
            <w:r>
              <w:rPr>
                <w:spacing w:val="-9"/>
                <w:sz w:val="21"/>
              </w:rPr>
              <w:t xml:space="preserve"> 长的洞口，除封闭外四周还应设有防</w:t>
            </w:r>
          </w:p>
          <w:p>
            <w:pPr>
              <w:pStyle w:val="33"/>
              <w:spacing w:before="44"/>
              <w:ind w:left="105"/>
              <w:rPr>
                <w:sz w:val="21"/>
              </w:rPr>
            </w:pPr>
            <w:r>
              <w:rPr>
                <w:sz w:val="21"/>
              </w:rPr>
              <w:t>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66" w:type="dxa"/>
            <w:vMerge w:val="continue"/>
            <w:tcBorders>
              <w:top w:val="nil"/>
            </w:tcBorders>
          </w:tcPr>
          <w:p>
            <w:pPr>
              <w:rPr>
                <w:sz w:val="2"/>
                <w:szCs w:val="2"/>
              </w:rPr>
            </w:pPr>
          </w:p>
        </w:tc>
        <w:tc>
          <w:tcPr>
            <w:tcW w:w="569" w:type="dxa"/>
            <w:vMerge w:val="continue"/>
            <w:tcBorders>
              <w:top w:val="nil"/>
            </w:tcBorders>
          </w:tcPr>
          <w:p>
            <w:pPr>
              <w:rPr>
                <w:sz w:val="2"/>
                <w:szCs w:val="2"/>
              </w:rPr>
            </w:pPr>
          </w:p>
        </w:tc>
        <w:tc>
          <w:tcPr>
            <w:tcW w:w="1558" w:type="dxa"/>
          </w:tcPr>
          <w:p>
            <w:pPr>
              <w:pStyle w:val="33"/>
              <w:spacing w:before="9"/>
              <w:ind w:left="103"/>
              <w:rPr>
                <w:sz w:val="21"/>
              </w:rPr>
            </w:pPr>
            <w:r>
              <w:rPr>
                <w:sz w:val="21"/>
              </w:rPr>
              <w:t>电梯井口防护</w:t>
            </w:r>
          </w:p>
        </w:tc>
        <w:tc>
          <w:tcPr>
            <w:tcW w:w="6805" w:type="dxa"/>
          </w:tcPr>
          <w:p>
            <w:pPr>
              <w:pStyle w:val="33"/>
              <w:spacing w:before="9" w:line="278" w:lineRule="auto"/>
              <w:ind w:left="105" w:right="-8"/>
              <w:rPr>
                <w:sz w:val="21"/>
              </w:rPr>
            </w:pPr>
            <w:r>
              <w:rPr>
                <w:sz w:val="21"/>
              </w:rPr>
              <w:t>设置定型化、工具化、标准化的防护门。在电梯井内每隔 2 层（不大于10m）</w:t>
            </w:r>
          </w:p>
          <w:p>
            <w:pPr>
              <w:pStyle w:val="33"/>
              <w:spacing w:before="10"/>
              <w:ind w:left="105"/>
              <w:rPr>
                <w:sz w:val="21"/>
              </w:rPr>
            </w:pPr>
            <w:r>
              <w:rPr>
                <w:sz w:val="21"/>
              </w:rPr>
              <w:t>设置一道安全平网。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66" w:type="dxa"/>
            <w:vMerge w:val="continue"/>
            <w:tcBorders>
              <w:top w:val="nil"/>
            </w:tcBorders>
          </w:tcPr>
          <w:p>
            <w:pPr>
              <w:rPr>
                <w:sz w:val="2"/>
                <w:szCs w:val="2"/>
              </w:rPr>
            </w:pPr>
          </w:p>
        </w:tc>
        <w:tc>
          <w:tcPr>
            <w:tcW w:w="569" w:type="dxa"/>
            <w:vMerge w:val="continue"/>
            <w:tcBorders>
              <w:top w:val="nil"/>
            </w:tcBorders>
          </w:tcPr>
          <w:p>
            <w:pPr>
              <w:rPr>
                <w:sz w:val="2"/>
                <w:szCs w:val="2"/>
              </w:rPr>
            </w:pPr>
          </w:p>
        </w:tc>
        <w:tc>
          <w:tcPr>
            <w:tcW w:w="1558" w:type="dxa"/>
          </w:tcPr>
          <w:p>
            <w:pPr>
              <w:pStyle w:val="33"/>
              <w:spacing w:before="7"/>
              <w:ind w:left="103"/>
              <w:rPr>
                <w:sz w:val="21"/>
              </w:rPr>
            </w:pPr>
            <w:r>
              <w:rPr>
                <w:sz w:val="21"/>
              </w:rPr>
              <w:t>楼梯边</w:t>
            </w:r>
          </w:p>
          <w:p>
            <w:pPr>
              <w:pStyle w:val="33"/>
              <w:spacing w:before="44"/>
              <w:ind w:left="103"/>
              <w:rPr>
                <w:sz w:val="21"/>
              </w:rPr>
            </w:pPr>
            <w:r>
              <w:rPr>
                <w:sz w:val="21"/>
              </w:rPr>
              <w:t>防护</w:t>
            </w:r>
          </w:p>
        </w:tc>
        <w:tc>
          <w:tcPr>
            <w:tcW w:w="6805" w:type="dxa"/>
          </w:tcPr>
          <w:p>
            <w:pPr>
              <w:pStyle w:val="33"/>
              <w:spacing w:before="166"/>
              <w:ind w:left="105"/>
              <w:rPr>
                <w:sz w:val="21"/>
              </w:rPr>
            </w:pPr>
            <w:r>
              <w:rPr>
                <w:sz w:val="21"/>
              </w:rPr>
              <w:t>设 1.2m 高的定型化、工具化、标准化的防护栏，18cm 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6" w:type="dxa"/>
            <w:vMerge w:val="continue"/>
            <w:tcBorders>
              <w:top w:val="nil"/>
            </w:tcBorders>
          </w:tcPr>
          <w:p>
            <w:pPr>
              <w:rPr>
                <w:sz w:val="2"/>
                <w:szCs w:val="2"/>
              </w:rPr>
            </w:pPr>
          </w:p>
        </w:tc>
        <w:tc>
          <w:tcPr>
            <w:tcW w:w="569" w:type="dxa"/>
            <w:vMerge w:val="continue"/>
            <w:tcBorders>
              <w:top w:val="nil"/>
            </w:tcBorders>
          </w:tcPr>
          <w:p>
            <w:pPr>
              <w:rPr>
                <w:sz w:val="2"/>
                <w:szCs w:val="2"/>
              </w:rPr>
            </w:pPr>
          </w:p>
        </w:tc>
        <w:tc>
          <w:tcPr>
            <w:tcW w:w="1558" w:type="dxa"/>
          </w:tcPr>
          <w:p>
            <w:pPr>
              <w:pStyle w:val="33"/>
              <w:spacing w:before="9"/>
              <w:ind w:left="103"/>
              <w:rPr>
                <w:sz w:val="21"/>
              </w:rPr>
            </w:pPr>
            <w:r>
              <w:rPr>
                <w:sz w:val="21"/>
              </w:rPr>
              <w:t>垂直方向交叉</w:t>
            </w:r>
          </w:p>
          <w:p>
            <w:pPr>
              <w:pStyle w:val="33"/>
              <w:spacing w:before="43"/>
              <w:ind w:left="103"/>
              <w:rPr>
                <w:sz w:val="21"/>
              </w:rPr>
            </w:pPr>
            <w:r>
              <w:rPr>
                <w:sz w:val="21"/>
              </w:rPr>
              <w:t>作业防护</w:t>
            </w:r>
          </w:p>
        </w:tc>
        <w:tc>
          <w:tcPr>
            <w:tcW w:w="6805" w:type="dxa"/>
          </w:tcPr>
          <w:p>
            <w:pPr>
              <w:pStyle w:val="33"/>
              <w:spacing w:before="9"/>
              <w:ind w:left="105"/>
              <w:rPr>
                <w:sz w:val="21"/>
              </w:rPr>
            </w:pPr>
            <w:r>
              <w:rPr>
                <w:sz w:val="21"/>
              </w:rPr>
              <w:t>有悬挂安全带的悬索或其他设施；有操作平台；有上下的梯子或其他形</w:t>
            </w:r>
          </w:p>
          <w:p>
            <w:pPr>
              <w:pStyle w:val="33"/>
              <w:spacing w:before="43"/>
              <w:ind w:left="105"/>
              <w:rPr>
                <w:sz w:val="21"/>
              </w:rPr>
            </w:pPr>
            <w:r>
              <w:rPr>
                <w:sz w:val="21"/>
              </w:rPr>
              <w:t>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566" w:type="dxa"/>
            <w:vMerge w:val="continue"/>
            <w:tcBorders>
              <w:top w:val="nil"/>
            </w:tcBorders>
          </w:tcPr>
          <w:p>
            <w:pPr>
              <w:rPr>
                <w:sz w:val="2"/>
                <w:szCs w:val="2"/>
              </w:rPr>
            </w:pPr>
          </w:p>
        </w:tc>
        <w:tc>
          <w:tcPr>
            <w:tcW w:w="569" w:type="dxa"/>
            <w:vMerge w:val="continue"/>
            <w:tcBorders>
              <w:top w:val="nil"/>
            </w:tcBorders>
          </w:tcPr>
          <w:p>
            <w:pPr>
              <w:rPr>
                <w:sz w:val="2"/>
                <w:szCs w:val="2"/>
              </w:rPr>
            </w:pPr>
          </w:p>
        </w:tc>
        <w:tc>
          <w:tcPr>
            <w:tcW w:w="1558" w:type="dxa"/>
          </w:tcPr>
          <w:p>
            <w:pPr>
              <w:pStyle w:val="33"/>
              <w:spacing w:before="7" w:line="280" w:lineRule="auto"/>
              <w:ind w:left="103"/>
              <w:rPr>
                <w:sz w:val="21"/>
              </w:rPr>
            </w:pPr>
            <w:r>
              <w:rPr>
                <w:sz w:val="21"/>
              </w:rPr>
              <w:t>基坑、卸料平台防护</w:t>
            </w:r>
          </w:p>
        </w:tc>
        <w:tc>
          <w:tcPr>
            <w:tcW w:w="6805" w:type="dxa"/>
          </w:tcPr>
          <w:p>
            <w:pPr>
              <w:pStyle w:val="33"/>
              <w:spacing w:before="2"/>
              <w:rPr>
                <w:b/>
                <w:sz w:val="18"/>
              </w:rPr>
            </w:pPr>
          </w:p>
          <w:p>
            <w:pPr>
              <w:pStyle w:val="33"/>
              <w:ind w:left="105"/>
              <w:rPr>
                <w:sz w:val="21"/>
              </w:rPr>
            </w:pPr>
            <w:r>
              <w:rPr>
                <w:sz w:val="21"/>
              </w:rPr>
              <w:t>设 1.2m 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6" w:type="dxa"/>
          </w:tcPr>
          <w:p>
            <w:pPr>
              <w:pStyle w:val="33"/>
              <w:rPr>
                <w:rFonts w:ascii="Times New Roman"/>
                <w:sz w:val="20"/>
              </w:rPr>
            </w:pPr>
          </w:p>
        </w:tc>
        <w:tc>
          <w:tcPr>
            <w:tcW w:w="2127" w:type="dxa"/>
            <w:gridSpan w:val="2"/>
          </w:tcPr>
          <w:p>
            <w:pPr>
              <w:pStyle w:val="33"/>
              <w:spacing w:before="7"/>
              <w:ind w:left="105"/>
              <w:rPr>
                <w:sz w:val="21"/>
              </w:rPr>
            </w:pPr>
            <w:r>
              <w:rPr>
                <w:sz w:val="21"/>
              </w:rPr>
              <w:t>安全防护用品</w:t>
            </w:r>
          </w:p>
        </w:tc>
        <w:tc>
          <w:tcPr>
            <w:tcW w:w="6805" w:type="dxa"/>
          </w:tcPr>
          <w:p>
            <w:pPr>
              <w:pStyle w:val="33"/>
              <w:spacing w:before="7"/>
              <w:ind w:left="105" w:right="-10"/>
              <w:rPr>
                <w:sz w:val="21"/>
              </w:rPr>
            </w:pPr>
            <w:r>
              <w:rPr>
                <w:spacing w:val="-5"/>
                <w:sz w:val="21"/>
              </w:rPr>
              <w:t>安全帽、安全带、特种作业人员</w:t>
            </w:r>
            <w:r>
              <w:rPr>
                <w:sz w:val="21"/>
              </w:rPr>
              <w:t>（</w:t>
            </w:r>
            <w:r>
              <w:rPr>
                <w:spacing w:val="-4"/>
                <w:sz w:val="21"/>
              </w:rPr>
              <w:t>电工、混凝土工、焊工等</w:t>
            </w:r>
            <w:r>
              <w:rPr>
                <w:spacing w:val="-8"/>
                <w:sz w:val="21"/>
              </w:rPr>
              <w:t>）</w:t>
            </w:r>
            <w:r>
              <w:rPr>
                <w:spacing w:val="-2"/>
                <w:sz w:val="21"/>
              </w:rPr>
              <w:t>防护服装、</w:t>
            </w:r>
          </w:p>
          <w:p>
            <w:pPr>
              <w:pStyle w:val="33"/>
              <w:spacing w:before="46"/>
              <w:ind w:left="105"/>
              <w:rPr>
                <w:sz w:val="21"/>
              </w:rPr>
            </w:pPr>
            <w:r>
              <w:rPr>
                <w:sz w:val="21"/>
              </w:rPr>
              <w:t>用品等。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6" w:type="dxa"/>
            <w:vMerge w:val="restart"/>
          </w:tcPr>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spacing w:before="12"/>
              <w:rPr>
                <w:b/>
                <w:sz w:val="19"/>
              </w:rPr>
            </w:pPr>
          </w:p>
          <w:p>
            <w:pPr>
              <w:pStyle w:val="33"/>
              <w:spacing w:before="1" w:line="280" w:lineRule="auto"/>
              <w:ind w:left="175" w:right="151"/>
              <w:rPr>
                <w:sz w:val="21"/>
              </w:rPr>
            </w:pPr>
            <w:r>
              <w:rPr>
                <w:sz w:val="21"/>
              </w:rPr>
              <w:t>其他</w:t>
            </w:r>
          </w:p>
        </w:tc>
        <w:tc>
          <w:tcPr>
            <w:tcW w:w="569" w:type="dxa"/>
            <w:vMerge w:val="restart"/>
          </w:tcPr>
          <w:p>
            <w:pPr>
              <w:pStyle w:val="33"/>
              <w:spacing w:before="7" w:line="278" w:lineRule="auto"/>
              <w:ind w:left="174" w:right="170"/>
              <w:jc w:val="both"/>
              <w:rPr>
                <w:sz w:val="21"/>
              </w:rPr>
            </w:pPr>
            <w:r>
              <w:rPr>
                <w:sz w:val="21"/>
              </w:rPr>
              <w:t>机械设备</w:t>
            </w:r>
          </w:p>
          <w:p>
            <w:pPr>
              <w:pStyle w:val="33"/>
              <w:spacing w:before="2" w:line="320" w:lineRule="exact"/>
              <w:ind w:left="174" w:right="170"/>
              <w:jc w:val="both"/>
              <w:rPr>
                <w:sz w:val="21"/>
              </w:rPr>
            </w:pPr>
            <w:r>
              <w:rPr>
                <w:sz w:val="21"/>
              </w:rPr>
              <w:t>防护</w:t>
            </w:r>
          </w:p>
        </w:tc>
        <w:tc>
          <w:tcPr>
            <w:tcW w:w="1558" w:type="dxa"/>
          </w:tcPr>
          <w:p>
            <w:pPr>
              <w:pStyle w:val="33"/>
              <w:spacing w:before="7"/>
              <w:ind w:left="103"/>
              <w:rPr>
                <w:sz w:val="21"/>
              </w:rPr>
            </w:pPr>
            <w:r>
              <w:rPr>
                <w:sz w:val="21"/>
              </w:rPr>
              <w:t>中小型机械防</w:t>
            </w:r>
          </w:p>
          <w:p>
            <w:pPr>
              <w:pStyle w:val="33"/>
              <w:spacing w:before="46"/>
              <w:ind w:left="103"/>
              <w:rPr>
                <w:sz w:val="21"/>
              </w:rPr>
            </w:pPr>
            <w:r>
              <w:rPr>
                <w:w w:val="100"/>
                <w:sz w:val="21"/>
              </w:rPr>
              <w:t>护</w:t>
            </w:r>
          </w:p>
        </w:tc>
        <w:tc>
          <w:tcPr>
            <w:tcW w:w="6805" w:type="dxa"/>
          </w:tcPr>
          <w:p>
            <w:pPr>
              <w:pStyle w:val="33"/>
              <w:spacing w:before="7"/>
              <w:ind w:left="105"/>
              <w:rPr>
                <w:sz w:val="21"/>
              </w:rPr>
            </w:pPr>
            <w:r>
              <w:rPr>
                <w:sz w:val="21"/>
              </w:rPr>
              <w:t>设防护棚（同通道口防护并有防雨措施）、操作平台。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566" w:type="dxa"/>
            <w:vMerge w:val="continue"/>
            <w:tcBorders>
              <w:top w:val="nil"/>
            </w:tcBorders>
          </w:tcPr>
          <w:p>
            <w:pPr>
              <w:rPr>
                <w:sz w:val="2"/>
                <w:szCs w:val="2"/>
              </w:rPr>
            </w:pPr>
          </w:p>
        </w:tc>
        <w:tc>
          <w:tcPr>
            <w:tcW w:w="569" w:type="dxa"/>
            <w:vMerge w:val="continue"/>
            <w:tcBorders>
              <w:top w:val="nil"/>
            </w:tcBorders>
          </w:tcPr>
          <w:p>
            <w:pPr>
              <w:rPr>
                <w:sz w:val="2"/>
                <w:szCs w:val="2"/>
              </w:rPr>
            </w:pPr>
          </w:p>
        </w:tc>
        <w:tc>
          <w:tcPr>
            <w:tcW w:w="1558" w:type="dxa"/>
          </w:tcPr>
          <w:p>
            <w:pPr>
              <w:pStyle w:val="33"/>
              <w:spacing w:before="7"/>
              <w:rPr>
                <w:b/>
                <w:sz w:val="24"/>
              </w:rPr>
            </w:pPr>
          </w:p>
          <w:p>
            <w:pPr>
              <w:pStyle w:val="33"/>
              <w:spacing w:line="280" w:lineRule="auto"/>
              <w:ind w:left="563" w:right="125" w:hanging="420"/>
              <w:rPr>
                <w:sz w:val="21"/>
              </w:rPr>
            </w:pPr>
            <w:r>
              <w:rPr>
                <w:sz w:val="21"/>
              </w:rPr>
              <w:t>垂直运输设备防护</w:t>
            </w:r>
          </w:p>
        </w:tc>
        <w:tc>
          <w:tcPr>
            <w:tcW w:w="6805" w:type="dxa"/>
          </w:tcPr>
          <w:p>
            <w:pPr>
              <w:pStyle w:val="33"/>
              <w:spacing w:before="7"/>
              <w:ind w:left="139"/>
              <w:rPr>
                <w:sz w:val="21"/>
              </w:rPr>
            </w:pPr>
            <w:r>
              <w:rPr>
                <w:sz w:val="21"/>
              </w:rPr>
              <w:t>（1）垂直运输设备检测、检验。</w:t>
            </w:r>
          </w:p>
          <w:p>
            <w:pPr>
              <w:pStyle w:val="33"/>
              <w:spacing w:before="44" w:line="280" w:lineRule="auto"/>
              <w:ind w:left="563" w:right="56" w:hanging="459"/>
              <w:rPr>
                <w:sz w:val="21"/>
              </w:rPr>
            </w:pPr>
            <w:r>
              <w:rPr>
                <w:sz w:val="21"/>
              </w:rPr>
              <w:t>（2）物料提升机、施工电梯等卸料平台搭设、外测用密目式安全立网全封闭，安全防护门、防护棚等。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66" w:type="dxa"/>
            <w:vMerge w:val="continue"/>
            <w:tcBorders>
              <w:top w:val="nil"/>
            </w:tcBorders>
          </w:tcPr>
          <w:p>
            <w:pPr>
              <w:rPr>
                <w:sz w:val="2"/>
                <w:szCs w:val="2"/>
              </w:rPr>
            </w:pPr>
          </w:p>
        </w:tc>
        <w:tc>
          <w:tcPr>
            <w:tcW w:w="2127" w:type="dxa"/>
            <w:gridSpan w:val="2"/>
          </w:tcPr>
          <w:p>
            <w:pPr>
              <w:pStyle w:val="33"/>
              <w:spacing w:before="117"/>
              <w:ind w:left="105"/>
              <w:rPr>
                <w:sz w:val="21"/>
              </w:rPr>
            </w:pPr>
            <w:r>
              <w:rPr>
                <w:sz w:val="21"/>
              </w:rPr>
              <w:t>专家论证审查</w:t>
            </w:r>
          </w:p>
        </w:tc>
        <w:tc>
          <w:tcPr>
            <w:tcW w:w="6805" w:type="dxa"/>
          </w:tcPr>
          <w:p>
            <w:pPr>
              <w:pStyle w:val="33"/>
              <w:spacing w:before="117"/>
              <w:ind w:left="105"/>
              <w:rPr>
                <w:sz w:val="21"/>
              </w:rPr>
            </w:pPr>
            <w:r>
              <w:rPr>
                <w:sz w:val="21"/>
              </w:rPr>
              <w:t>危险性较大工程专家论证审查。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66" w:type="dxa"/>
            <w:vMerge w:val="continue"/>
            <w:tcBorders>
              <w:top w:val="nil"/>
            </w:tcBorders>
          </w:tcPr>
          <w:p>
            <w:pPr>
              <w:rPr>
                <w:sz w:val="2"/>
                <w:szCs w:val="2"/>
              </w:rPr>
            </w:pPr>
          </w:p>
        </w:tc>
        <w:tc>
          <w:tcPr>
            <w:tcW w:w="2127" w:type="dxa"/>
            <w:gridSpan w:val="2"/>
          </w:tcPr>
          <w:p>
            <w:pPr>
              <w:pStyle w:val="33"/>
              <w:spacing w:before="151"/>
              <w:ind w:left="105"/>
              <w:rPr>
                <w:sz w:val="21"/>
              </w:rPr>
            </w:pPr>
            <w:r>
              <w:rPr>
                <w:sz w:val="21"/>
              </w:rPr>
              <w:t>应急救援预案</w:t>
            </w:r>
          </w:p>
        </w:tc>
        <w:tc>
          <w:tcPr>
            <w:tcW w:w="6805" w:type="dxa"/>
          </w:tcPr>
          <w:p>
            <w:pPr>
              <w:pStyle w:val="33"/>
              <w:spacing w:before="151"/>
              <w:ind w:left="105"/>
              <w:rPr>
                <w:sz w:val="21"/>
              </w:rPr>
            </w:pPr>
            <w:r>
              <w:rPr>
                <w:sz w:val="21"/>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66" w:type="dxa"/>
            <w:vMerge w:val="continue"/>
            <w:tcBorders>
              <w:top w:val="nil"/>
            </w:tcBorders>
          </w:tcPr>
          <w:p>
            <w:pPr>
              <w:rPr>
                <w:sz w:val="2"/>
                <w:szCs w:val="2"/>
              </w:rPr>
            </w:pPr>
          </w:p>
        </w:tc>
        <w:tc>
          <w:tcPr>
            <w:tcW w:w="2127" w:type="dxa"/>
            <w:gridSpan w:val="2"/>
          </w:tcPr>
          <w:p>
            <w:pPr>
              <w:pStyle w:val="33"/>
              <w:spacing w:before="7"/>
              <w:ind w:left="105"/>
              <w:rPr>
                <w:sz w:val="21"/>
              </w:rPr>
            </w:pPr>
            <w:r>
              <w:rPr>
                <w:sz w:val="21"/>
              </w:rPr>
              <w:t>非正常情况施工</w:t>
            </w:r>
          </w:p>
        </w:tc>
        <w:tc>
          <w:tcPr>
            <w:tcW w:w="6805" w:type="dxa"/>
          </w:tcPr>
          <w:p>
            <w:pPr>
              <w:pStyle w:val="33"/>
              <w:spacing w:before="7"/>
              <w:ind w:left="105"/>
              <w:rPr>
                <w:sz w:val="21"/>
              </w:rPr>
            </w:pPr>
            <w:r>
              <w:rPr>
                <w:sz w:val="21"/>
              </w:rPr>
              <w:t>其他特殊情况下的防护费用，如：城市主干道、人流密集、河边等处施</w:t>
            </w:r>
          </w:p>
          <w:p>
            <w:pPr>
              <w:pStyle w:val="33"/>
              <w:spacing w:before="44"/>
              <w:ind w:left="105"/>
              <w:rPr>
                <w:sz w:val="21"/>
              </w:rPr>
            </w:pPr>
            <w:r>
              <w:rPr>
                <w:sz w:val="21"/>
              </w:rPr>
              <w:t>工及文物、古建筑、古树保护等。</w:t>
            </w:r>
          </w:p>
        </w:tc>
      </w:tr>
    </w:tbl>
    <w:p>
      <w:pPr>
        <w:pStyle w:val="13"/>
        <w:spacing w:before="2"/>
        <w:ind w:left="0"/>
        <w:rPr>
          <w:b/>
          <w:sz w:val="22"/>
        </w:rPr>
      </w:pPr>
    </w:p>
    <w:p>
      <w:pPr>
        <w:pStyle w:val="13"/>
        <w:spacing w:before="37" w:line="278" w:lineRule="auto"/>
        <w:ind w:right="239"/>
      </w:pPr>
      <w:r>
        <w:rPr>
          <w:b/>
          <w:spacing w:val="-11"/>
        </w:rPr>
        <w:t>注：</w:t>
      </w:r>
      <w:r>
        <w:rPr>
          <w:spacing w:val="-7"/>
        </w:rPr>
        <w:t>本表所列建筑工程安全防护、文明施工措施项目，是依据现行法律法规及标准规范确定的。如法律</w:t>
      </w:r>
      <w:r>
        <w:rPr>
          <w:spacing w:val="-5"/>
        </w:rPr>
        <w:t>法规和标准规范修订，本表所列项目应按照修订后的法律法规和标准规范进行调整。</w:t>
      </w:r>
    </w:p>
    <w:p>
      <w:pPr>
        <w:spacing w:after="0" w:line="278" w:lineRule="auto"/>
        <w:sectPr>
          <w:pgSz w:w="11910" w:h="16840"/>
          <w:pgMar w:top="1440" w:right="1020" w:bottom="1160" w:left="1020" w:header="0" w:footer="975" w:gutter="0"/>
        </w:sectPr>
      </w:pPr>
    </w:p>
    <w:p>
      <w:pPr>
        <w:pStyle w:val="7"/>
        <w:ind w:left="837" w:right="836"/>
      </w:pPr>
      <w:r>
        <w:rPr>
          <w:rFonts w:hint="eastAsia"/>
          <w:w w:val="95"/>
          <w:lang w:val="en-US" w:eastAsia="zh-CN"/>
        </w:rPr>
        <w:t>4</w:t>
      </w:r>
      <w:r>
        <w:rPr>
          <w:w w:val="95"/>
        </w:rPr>
        <w:t>、近三年财务状况表</w:t>
      </w:r>
    </w:p>
    <w:p>
      <w:pPr>
        <w:pStyle w:val="13"/>
        <w:spacing w:before="9"/>
        <w:ind w:left="0"/>
        <w:rPr>
          <w:b/>
          <w:sz w:val="34"/>
        </w:rPr>
      </w:pPr>
    </w:p>
    <w:p>
      <w:pPr>
        <w:pStyle w:val="13"/>
        <w:spacing w:before="1" w:line="350" w:lineRule="auto"/>
        <w:ind w:right="96" w:firstLine="420"/>
      </w:pPr>
      <w:r>
        <w:rPr>
          <w:spacing w:val="-9"/>
        </w:rPr>
        <w:t>备注：附经会计师事务所或审计机构审计的财务会计报表，包括资产负债表、现金流量表、利润表的复</w:t>
      </w:r>
      <w:r>
        <w:rPr>
          <w:spacing w:val="-3"/>
        </w:rPr>
        <w:t>印件，具体年份要求见第二章“投标人须知”的规定。</w:t>
      </w:r>
    </w:p>
    <w:p>
      <w:pPr>
        <w:spacing w:after="0" w:line="350" w:lineRule="auto"/>
        <w:sectPr>
          <w:pgSz w:w="11910" w:h="16840"/>
          <w:pgMar w:top="1140" w:right="880" w:bottom="1160" w:left="1020" w:header="0" w:footer="975" w:gutter="0"/>
        </w:sectPr>
      </w:pPr>
    </w:p>
    <w:p>
      <w:pPr>
        <w:pStyle w:val="7"/>
        <w:spacing w:before="3"/>
        <w:ind w:left="3728"/>
        <w:jc w:val="left"/>
      </w:pPr>
      <w:r>
        <w:rPr>
          <w:rFonts w:hint="eastAsia"/>
          <w:w w:val="95"/>
          <w:lang w:val="en-US" w:eastAsia="zh-CN"/>
        </w:rPr>
        <w:t>5</w:t>
      </w:r>
      <w:r>
        <w:rPr>
          <w:w w:val="95"/>
        </w:rPr>
        <w:t>、项目管理机构组成表</w:t>
      </w:r>
    </w:p>
    <w:p>
      <w:pPr>
        <w:pStyle w:val="13"/>
        <w:ind w:left="0"/>
        <w:rPr>
          <w:b/>
          <w:sz w:val="20"/>
        </w:rPr>
      </w:pPr>
    </w:p>
    <w:p>
      <w:pPr>
        <w:pStyle w:val="13"/>
        <w:spacing w:before="8"/>
        <w:ind w:left="0"/>
        <w:rPr>
          <w:b/>
          <w:sz w:val="22"/>
        </w:rPr>
      </w:pPr>
    </w:p>
    <w:tbl>
      <w:tblPr>
        <w:tblStyle w:val="17"/>
        <w:tblW w:w="8933" w:type="dxa"/>
        <w:tblInd w:w="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6"/>
        <w:gridCol w:w="850"/>
        <w:gridCol w:w="850"/>
        <w:gridCol w:w="1560"/>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96" w:type="dxa"/>
          </w:tcPr>
          <w:p>
            <w:pPr>
              <w:pStyle w:val="33"/>
              <w:tabs>
                <w:tab w:val="left" w:pos="529"/>
              </w:tabs>
              <w:spacing w:before="25"/>
              <w:ind w:left="4"/>
              <w:jc w:val="center"/>
              <w:rPr>
                <w:sz w:val="21"/>
              </w:rPr>
            </w:pPr>
            <w:r>
              <w:rPr>
                <w:sz w:val="21"/>
              </w:rPr>
              <w:t>名</w:t>
            </w:r>
            <w:r>
              <w:rPr>
                <w:sz w:val="21"/>
              </w:rPr>
              <w:tab/>
            </w:r>
            <w:r>
              <w:rPr>
                <w:sz w:val="21"/>
              </w:rPr>
              <w:t>称</w:t>
            </w:r>
          </w:p>
        </w:tc>
        <w:tc>
          <w:tcPr>
            <w:tcW w:w="850" w:type="dxa"/>
          </w:tcPr>
          <w:p>
            <w:pPr>
              <w:pStyle w:val="33"/>
              <w:spacing w:before="25"/>
              <w:ind w:left="208"/>
              <w:rPr>
                <w:sz w:val="21"/>
              </w:rPr>
            </w:pPr>
            <w:r>
              <w:rPr>
                <w:sz w:val="21"/>
              </w:rPr>
              <w:t>姓名</w:t>
            </w:r>
          </w:p>
        </w:tc>
        <w:tc>
          <w:tcPr>
            <w:tcW w:w="850" w:type="dxa"/>
          </w:tcPr>
          <w:p>
            <w:pPr>
              <w:pStyle w:val="33"/>
              <w:spacing w:before="25"/>
              <w:ind w:left="211"/>
              <w:rPr>
                <w:sz w:val="21"/>
              </w:rPr>
            </w:pPr>
            <w:r>
              <w:rPr>
                <w:sz w:val="21"/>
              </w:rPr>
              <w:t>职务</w:t>
            </w:r>
          </w:p>
        </w:tc>
        <w:tc>
          <w:tcPr>
            <w:tcW w:w="1560" w:type="dxa"/>
          </w:tcPr>
          <w:p>
            <w:pPr>
              <w:pStyle w:val="33"/>
              <w:spacing w:before="25"/>
              <w:ind w:left="304"/>
              <w:rPr>
                <w:sz w:val="21"/>
              </w:rPr>
            </w:pPr>
            <w:r>
              <w:rPr>
                <w:sz w:val="21"/>
              </w:rPr>
              <w:t>资质/职称</w:t>
            </w:r>
          </w:p>
        </w:tc>
        <w:tc>
          <w:tcPr>
            <w:tcW w:w="2977" w:type="dxa"/>
          </w:tcPr>
          <w:p>
            <w:pPr>
              <w:pStyle w:val="33"/>
              <w:spacing w:before="25"/>
              <w:ind w:left="117"/>
              <w:rPr>
                <w:sz w:val="21"/>
              </w:rPr>
            </w:pPr>
            <w:r>
              <w:rPr>
                <w:sz w:val="21"/>
              </w:rPr>
              <w:t>主要资历、经验及承担的项目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96" w:type="dxa"/>
          </w:tcPr>
          <w:p>
            <w:pPr>
              <w:pStyle w:val="33"/>
              <w:spacing w:before="25"/>
              <w:ind w:left="105"/>
              <w:rPr>
                <w:sz w:val="21"/>
              </w:rPr>
            </w:pPr>
            <w:r>
              <w:rPr>
                <w:sz w:val="21"/>
              </w:rPr>
              <w:t>一、总部</w:t>
            </w:r>
          </w:p>
        </w:tc>
        <w:tc>
          <w:tcPr>
            <w:tcW w:w="850" w:type="dxa"/>
          </w:tcPr>
          <w:p>
            <w:pPr>
              <w:pStyle w:val="33"/>
              <w:rPr>
                <w:rFonts w:ascii="Times New Roman"/>
                <w:sz w:val="20"/>
              </w:rPr>
            </w:pPr>
          </w:p>
        </w:tc>
        <w:tc>
          <w:tcPr>
            <w:tcW w:w="850" w:type="dxa"/>
          </w:tcPr>
          <w:p>
            <w:pPr>
              <w:pStyle w:val="33"/>
              <w:rPr>
                <w:rFonts w:ascii="Times New Roman"/>
                <w:sz w:val="20"/>
              </w:rPr>
            </w:pPr>
          </w:p>
        </w:tc>
        <w:tc>
          <w:tcPr>
            <w:tcW w:w="1560" w:type="dxa"/>
          </w:tcPr>
          <w:p>
            <w:pPr>
              <w:pStyle w:val="33"/>
              <w:rPr>
                <w:rFonts w:ascii="Times New Roman"/>
                <w:sz w:val="20"/>
              </w:rPr>
            </w:pPr>
          </w:p>
        </w:tc>
        <w:tc>
          <w:tcPr>
            <w:tcW w:w="297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96" w:type="dxa"/>
          </w:tcPr>
          <w:p>
            <w:pPr>
              <w:pStyle w:val="33"/>
              <w:spacing w:before="25"/>
              <w:ind w:left="105"/>
              <w:rPr>
                <w:sz w:val="21"/>
              </w:rPr>
            </w:pPr>
            <w:r>
              <w:rPr>
                <w:sz w:val="21"/>
              </w:rPr>
              <w:t>1.项目主管</w:t>
            </w:r>
          </w:p>
        </w:tc>
        <w:tc>
          <w:tcPr>
            <w:tcW w:w="850" w:type="dxa"/>
          </w:tcPr>
          <w:p>
            <w:pPr>
              <w:pStyle w:val="33"/>
              <w:rPr>
                <w:rFonts w:ascii="Times New Roman"/>
                <w:sz w:val="20"/>
              </w:rPr>
            </w:pPr>
          </w:p>
        </w:tc>
        <w:tc>
          <w:tcPr>
            <w:tcW w:w="850" w:type="dxa"/>
          </w:tcPr>
          <w:p>
            <w:pPr>
              <w:pStyle w:val="33"/>
              <w:rPr>
                <w:rFonts w:ascii="Times New Roman"/>
                <w:sz w:val="20"/>
              </w:rPr>
            </w:pPr>
          </w:p>
        </w:tc>
        <w:tc>
          <w:tcPr>
            <w:tcW w:w="1560" w:type="dxa"/>
          </w:tcPr>
          <w:p>
            <w:pPr>
              <w:pStyle w:val="33"/>
              <w:rPr>
                <w:rFonts w:ascii="Times New Roman"/>
                <w:sz w:val="20"/>
              </w:rPr>
            </w:pPr>
          </w:p>
        </w:tc>
        <w:tc>
          <w:tcPr>
            <w:tcW w:w="297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96" w:type="dxa"/>
          </w:tcPr>
          <w:p>
            <w:pPr>
              <w:pStyle w:val="33"/>
              <w:spacing w:before="25"/>
              <w:ind w:left="105"/>
              <w:rPr>
                <w:sz w:val="21"/>
              </w:rPr>
            </w:pPr>
            <w:r>
              <w:rPr>
                <w:sz w:val="21"/>
              </w:rPr>
              <w:t>2.其他人员</w:t>
            </w:r>
          </w:p>
        </w:tc>
        <w:tc>
          <w:tcPr>
            <w:tcW w:w="850" w:type="dxa"/>
          </w:tcPr>
          <w:p>
            <w:pPr>
              <w:pStyle w:val="33"/>
              <w:rPr>
                <w:rFonts w:ascii="Times New Roman"/>
                <w:sz w:val="20"/>
              </w:rPr>
            </w:pPr>
          </w:p>
        </w:tc>
        <w:tc>
          <w:tcPr>
            <w:tcW w:w="850" w:type="dxa"/>
          </w:tcPr>
          <w:p>
            <w:pPr>
              <w:pStyle w:val="33"/>
              <w:rPr>
                <w:rFonts w:ascii="Times New Roman"/>
                <w:sz w:val="20"/>
              </w:rPr>
            </w:pPr>
          </w:p>
        </w:tc>
        <w:tc>
          <w:tcPr>
            <w:tcW w:w="1560" w:type="dxa"/>
          </w:tcPr>
          <w:p>
            <w:pPr>
              <w:pStyle w:val="33"/>
              <w:rPr>
                <w:rFonts w:ascii="Times New Roman"/>
                <w:sz w:val="20"/>
              </w:rPr>
            </w:pPr>
          </w:p>
        </w:tc>
        <w:tc>
          <w:tcPr>
            <w:tcW w:w="297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96" w:type="dxa"/>
          </w:tcPr>
          <w:p>
            <w:pPr>
              <w:pStyle w:val="33"/>
              <w:rPr>
                <w:rFonts w:ascii="Times New Roman"/>
                <w:sz w:val="20"/>
              </w:rPr>
            </w:pPr>
          </w:p>
        </w:tc>
        <w:tc>
          <w:tcPr>
            <w:tcW w:w="850" w:type="dxa"/>
          </w:tcPr>
          <w:p>
            <w:pPr>
              <w:pStyle w:val="33"/>
              <w:rPr>
                <w:rFonts w:ascii="Times New Roman"/>
                <w:sz w:val="20"/>
              </w:rPr>
            </w:pPr>
          </w:p>
        </w:tc>
        <w:tc>
          <w:tcPr>
            <w:tcW w:w="850" w:type="dxa"/>
          </w:tcPr>
          <w:p>
            <w:pPr>
              <w:pStyle w:val="33"/>
              <w:rPr>
                <w:rFonts w:ascii="Times New Roman"/>
                <w:sz w:val="20"/>
              </w:rPr>
            </w:pPr>
          </w:p>
        </w:tc>
        <w:tc>
          <w:tcPr>
            <w:tcW w:w="1560" w:type="dxa"/>
          </w:tcPr>
          <w:p>
            <w:pPr>
              <w:pStyle w:val="33"/>
              <w:rPr>
                <w:rFonts w:ascii="Times New Roman"/>
                <w:sz w:val="20"/>
              </w:rPr>
            </w:pPr>
          </w:p>
        </w:tc>
        <w:tc>
          <w:tcPr>
            <w:tcW w:w="297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96" w:type="dxa"/>
          </w:tcPr>
          <w:p>
            <w:pPr>
              <w:pStyle w:val="33"/>
              <w:spacing w:before="25"/>
              <w:ind w:left="105"/>
              <w:rPr>
                <w:color w:val="auto"/>
                <w:sz w:val="21"/>
              </w:rPr>
            </w:pPr>
            <w:r>
              <w:rPr>
                <w:color w:val="auto"/>
                <w:sz w:val="21"/>
              </w:rPr>
              <w:t>二、现场</w:t>
            </w:r>
          </w:p>
        </w:tc>
        <w:tc>
          <w:tcPr>
            <w:tcW w:w="850" w:type="dxa"/>
          </w:tcPr>
          <w:p>
            <w:pPr>
              <w:pStyle w:val="33"/>
              <w:rPr>
                <w:rFonts w:ascii="Times New Roman"/>
                <w:color w:val="auto"/>
                <w:sz w:val="20"/>
              </w:rPr>
            </w:pPr>
          </w:p>
        </w:tc>
        <w:tc>
          <w:tcPr>
            <w:tcW w:w="850" w:type="dxa"/>
          </w:tcPr>
          <w:p>
            <w:pPr>
              <w:pStyle w:val="33"/>
              <w:rPr>
                <w:rFonts w:ascii="Times New Roman"/>
                <w:color w:val="auto"/>
                <w:sz w:val="20"/>
              </w:rPr>
            </w:pPr>
          </w:p>
        </w:tc>
        <w:tc>
          <w:tcPr>
            <w:tcW w:w="1560" w:type="dxa"/>
          </w:tcPr>
          <w:p>
            <w:pPr>
              <w:pStyle w:val="33"/>
              <w:rPr>
                <w:rFonts w:ascii="Times New Roman"/>
                <w:color w:val="auto"/>
                <w:sz w:val="20"/>
              </w:rPr>
            </w:pPr>
          </w:p>
        </w:tc>
        <w:tc>
          <w:tcPr>
            <w:tcW w:w="2977" w:type="dxa"/>
          </w:tcPr>
          <w:p>
            <w:pPr>
              <w:pStyle w:val="33"/>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96" w:type="dxa"/>
          </w:tcPr>
          <w:p>
            <w:pPr>
              <w:pStyle w:val="33"/>
              <w:spacing w:before="25"/>
              <w:ind w:left="105"/>
              <w:rPr>
                <w:color w:val="auto"/>
                <w:sz w:val="21"/>
              </w:rPr>
            </w:pPr>
            <w:r>
              <w:rPr>
                <w:color w:val="auto"/>
                <w:sz w:val="21"/>
              </w:rPr>
              <w:t>1.项目经理</w:t>
            </w:r>
          </w:p>
        </w:tc>
        <w:tc>
          <w:tcPr>
            <w:tcW w:w="850" w:type="dxa"/>
          </w:tcPr>
          <w:p>
            <w:pPr>
              <w:pStyle w:val="33"/>
              <w:rPr>
                <w:rFonts w:ascii="Times New Roman"/>
                <w:color w:val="auto"/>
                <w:sz w:val="20"/>
              </w:rPr>
            </w:pPr>
          </w:p>
        </w:tc>
        <w:tc>
          <w:tcPr>
            <w:tcW w:w="850" w:type="dxa"/>
          </w:tcPr>
          <w:p>
            <w:pPr>
              <w:pStyle w:val="33"/>
              <w:rPr>
                <w:rFonts w:ascii="Times New Roman"/>
                <w:color w:val="auto"/>
                <w:sz w:val="20"/>
              </w:rPr>
            </w:pPr>
          </w:p>
        </w:tc>
        <w:tc>
          <w:tcPr>
            <w:tcW w:w="1560" w:type="dxa"/>
          </w:tcPr>
          <w:p>
            <w:pPr>
              <w:pStyle w:val="33"/>
              <w:rPr>
                <w:rFonts w:ascii="Times New Roman"/>
                <w:color w:val="auto"/>
                <w:sz w:val="20"/>
              </w:rPr>
            </w:pPr>
          </w:p>
        </w:tc>
        <w:tc>
          <w:tcPr>
            <w:tcW w:w="2977" w:type="dxa"/>
          </w:tcPr>
          <w:p>
            <w:pPr>
              <w:pStyle w:val="33"/>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96" w:type="dxa"/>
          </w:tcPr>
          <w:p>
            <w:pPr>
              <w:pStyle w:val="33"/>
              <w:spacing w:before="25"/>
              <w:ind w:left="105"/>
              <w:rPr>
                <w:color w:val="auto"/>
                <w:sz w:val="21"/>
              </w:rPr>
            </w:pPr>
            <w:r>
              <w:rPr>
                <w:color w:val="auto"/>
                <w:sz w:val="21"/>
              </w:rPr>
              <w:t>2.项目副经理</w:t>
            </w:r>
            <w:r>
              <w:rPr>
                <w:rFonts w:hint="eastAsia"/>
                <w:color w:val="auto"/>
                <w:sz w:val="21"/>
                <w:lang w:eastAsia="zh-CN"/>
              </w:rPr>
              <w:t>（如有）</w:t>
            </w:r>
          </w:p>
        </w:tc>
        <w:tc>
          <w:tcPr>
            <w:tcW w:w="850" w:type="dxa"/>
          </w:tcPr>
          <w:p>
            <w:pPr>
              <w:pStyle w:val="33"/>
              <w:rPr>
                <w:rFonts w:ascii="Times New Roman"/>
                <w:color w:val="auto"/>
                <w:sz w:val="20"/>
              </w:rPr>
            </w:pPr>
          </w:p>
        </w:tc>
        <w:tc>
          <w:tcPr>
            <w:tcW w:w="850" w:type="dxa"/>
          </w:tcPr>
          <w:p>
            <w:pPr>
              <w:pStyle w:val="33"/>
              <w:rPr>
                <w:rFonts w:ascii="Times New Roman"/>
                <w:color w:val="auto"/>
                <w:sz w:val="20"/>
              </w:rPr>
            </w:pPr>
          </w:p>
        </w:tc>
        <w:tc>
          <w:tcPr>
            <w:tcW w:w="1560" w:type="dxa"/>
          </w:tcPr>
          <w:p>
            <w:pPr>
              <w:pStyle w:val="33"/>
              <w:rPr>
                <w:rFonts w:ascii="Times New Roman"/>
                <w:color w:val="auto"/>
                <w:sz w:val="20"/>
              </w:rPr>
            </w:pPr>
          </w:p>
        </w:tc>
        <w:tc>
          <w:tcPr>
            <w:tcW w:w="2977" w:type="dxa"/>
          </w:tcPr>
          <w:p>
            <w:pPr>
              <w:pStyle w:val="33"/>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96" w:type="dxa"/>
          </w:tcPr>
          <w:p>
            <w:pPr>
              <w:pStyle w:val="33"/>
              <w:spacing w:before="25"/>
              <w:ind w:left="105"/>
              <w:rPr>
                <w:color w:val="auto"/>
                <w:sz w:val="21"/>
              </w:rPr>
            </w:pPr>
            <w:r>
              <w:rPr>
                <w:color w:val="auto"/>
                <w:sz w:val="21"/>
              </w:rPr>
              <w:t>……</w:t>
            </w:r>
          </w:p>
        </w:tc>
        <w:tc>
          <w:tcPr>
            <w:tcW w:w="850" w:type="dxa"/>
          </w:tcPr>
          <w:p>
            <w:pPr>
              <w:pStyle w:val="33"/>
              <w:rPr>
                <w:rFonts w:ascii="Times New Roman"/>
                <w:color w:val="auto"/>
                <w:sz w:val="20"/>
              </w:rPr>
            </w:pPr>
          </w:p>
        </w:tc>
        <w:tc>
          <w:tcPr>
            <w:tcW w:w="850" w:type="dxa"/>
          </w:tcPr>
          <w:p>
            <w:pPr>
              <w:pStyle w:val="33"/>
              <w:rPr>
                <w:rFonts w:ascii="Times New Roman"/>
                <w:color w:val="auto"/>
                <w:sz w:val="20"/>
              </w:rPr>
            </w:pPr>
          </w:p>
        </w:tc>
        <w:tc>
          <w:tcPr>
            <w:tcW w:w="1560" w:type="dxa"/>
          </w:tcPr>
          <w:p>
            <w:pPr>
              <w:pStyle w:val="33"/>
              <w:rPr>
                <w:rFonts w:ascii="Times New Roman"/>
                <w:color w:val="auto"/>
                <w:sz w:val="20"/>
              </w:rPr>
            </w:pPr>
          </w:p>
        </w:tc>
        <w:tc>
          <w:tcPr>
            <w:tcW w:w="2977" w:type="dxa"/>
          </w:tcPr>
          <w:p>
            <w:pPr>
              <w:pStyle w:val="33"/>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96" w:type="dxa"/>
          </w:tcPr>
          <w:p>
            <w:pPr>
              <w:pStyle w:val="33"/>
              <w:spacing w:before="26"/>
              <w:ind w:left="105"/>
              <w:rPr>
                <w:color w:val="auto"/>
                <w:sz w:val="21"/>
              </w:rPr>
            </w:pPr>
            <w:r>
              <w:rPr>
                <w:color w:val="auto"/>
                <w:sz w:val="21"/>
              </w:rPr>
              <w:t>3.技术负责人</w:t>
            </w:r>
          </w:p>
        </w:tc>
        <w:tc>
          <w:tcPr>
            <w:tcW w:w="850" w:type="dxa"/>
          </w:tcPr>
          <w:p>
            <w:pPr>
              <w:pStyle w:val="33"/>
              <w:rPr>
                <w:rFonts w:ascii="Times New Roman"/>
                <w:color w:val="auto"/>
                <w:sz w:val="20"/>
              </w:rPr>
            </w:pPr>
          </w:p>
        </w:tc>
        <w:tc>
          <w:tcPr>
            <w:tcW w:w="850" w:type="dxa"/>
          </w:tcPr>
          <w:p>
            <w:pPr>
              <w:pStyle w:val="33"/>
              <w:rPr>
                <w:rFonts w:ascii="Times New Roman"/>
                <w:color w:val="auto"/>
                <w:sz w:val="20"/>
              </w:rPr>
            </w:pPr>
          </w:p>
        </w:tc>
        <w:tc>
          <w:tcPr>
            <w:tcW w:w="1560" w:type="dxa"/>
          </w:tcPr>
          <w:p>
            <w:pPr>
              <w:pStyle w:val="33"/>
              <w:rPr>
                <w:rFonts w:ascii="Times New Roman"/>
                <w:color w:val="auto"/>
                <w:sz w:val="20"/>
              </w:rPr>
            </w:pPr>
          </w:p>
        </w:tc>
        <w:tc>
          <w:tcPr>
            <w:tcW w:w="2977" w:type="dxa"/>
          </w:tcPr>
          <w:p>
            <w:pPr>
              <w:pStyle w:val="33"/>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96" w:type="dxa"/>
          </w:tcPr>
          <w:p>
            <w:pPr>
              <w:pStyle w:val="33"/>
              <w:spacing w:before="25"/>
              <w:ind w:left="105"/>
              <w:rPr>
                <w:color w:val="auto"/>
                <w:sz w:val="21"/>
              </w:rPr>
            </w:pPr>
            <w:r>
              <w:rPr>
                <w:color w:val="auto"/>
                <w:sz w:val="21"/>
              </w:rPr>
              <w:t>4.施工员</w:t>
            </w:r>
          </w:p>
        </w:tc>
        <w:tc>
          <w:tcPr>
            <w:tcW w:w="850" w:type="dxa"/>
          </w:tcPr>
          <w:p>
            <w:pPr>
              <w:pStyle w:val="33"/>
              <w:rPr>
                <w:rFonts w:ascii="Times New Roman"/>
                <w:color w:val="auto"/>
                <w:sz w:val="20"/>
              </w:rPr>
            </w:pPr>
          </w:p>
        </w:tc>
        <w:tc>
          <w:tcPr>
            <w:tcW w:w="850" w:type="dxa"/>
          </w:tcPr>
          <w:p>
            <w:pPr>
              <w:pStyle w:val="33"/>
              <w:rPr>
                <w:rFonts w:ascii="Times New Roman"/>
                <w:color w:val="auto"/>
                <w:sz w:val="20"/>
              </w:rPr>
            </w:pPr>
          </w:p>
        </w:tc>
        <w:tc>
          <w:tcPr>
            <w:tcW w:w="1560" w:type="dxa"/>
          </w:tcPr>
          <w:p>
            <w:pPr>
              <w:pStyle w:val="33"/>
              <w:rPr>
                <w:rFonts w:ascii="Times New Roman"/>
                <w:color w:val="auto"/>
                <w:sz w:val="20"/>
              </w:rPr>
            </w:pPr>
          </w:p>
        </w:tc>
        <w:tc>
          <w:tcPr>
            <w:tcW w:w="2977" w:type="dxa"/>
          </w:tcPr>
          <w:p>
            <w:pPr>
              <w:pStyle w:val="33"/>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96" w:type="dxa"/>
          </w:tcPr>
          <w:p>
            <w:pPr>
              <w:pStyle w:val="33"/>
              <w:spacing w:before="25"/>
              <w:ind w:left="105"/>
              <w:rPr>
                <w:color w:val="auto"/>
                <w:sz w:val="21"/>
              </w:rPr>
            </w:pPr>
            <w:r>
              <w:rPr>
                <w:color w:val="auto"/>
                <w:sz w:val="21"/>
              </w:rPr>
              <w:t>……</w:t>
            </w:r>
          </w:p>
        </w:tc>
        <w:tc>
          <w:tcPr>
            <w:tcW w:w="850" w:type="dxa"/>
          </w:tcPr>
          <w:p>
            <w:pPr>
              <w:pStyle w:val="33"/>
              <w:rPr>
                <w:rFonts w:ascii="Times New Roman"/>
                <w:color w:val="auto"/>
                <w:sz w:val="20"/>
              </w:rPr>
            </w:pPr>
          </w:p>
        </w:tc>
        <w:tc>
          <w:tcPr>
            <w:tcW w:w="850" w:type="dxa"/>
          </w:tcPr>
          <w:p>
            <w:pPr>
              <w:pStyle w:val="33"/>
              <w:rPr>
                <w:rFonts w:ascii="Times New Roman"/>
                <w:color w:val="auto"/>
                <w:sz w:val="20"/>
              </w:rPr>
            </w:pPr>
          </w:p>
        </w:tc>
        <w:tc>
          <w:tcPr>
            <w:tcW w:w="1560" w:type="dxa"/>
          </w:tcPr>
          <w:p>
            <w:pPr>
              <w:pStyle w:val="33"/>
              <w:rPr>
                <w:rFonts w:ascii="Times New Roman"/>
                <w:color w:val="auto"/>
                <w:sz w:val="20"/>
              </w:rPr>
            </w:pPr>
          </w:p>
        </w:tc>
        <w:tc>
          <w:tcPr>
            <w:tcW w:w="2977" w:type="dxa"/>
          </w:tcPr>
          <w:p>
            <w:pPr>
              <w:pStyle w:val="33"/>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96" w:type="dxa"/>
          </w:tcPr>
          <w:p>
            <w:pPr>
              <w:pStyle w:val="33"/>
              <w:spacing w:before="25"/>
              <w:ind w:left="105"/>
              <w:rPr>
                <w:color w:val="auto"/>
                <w:sz w:val="21"/>
              </w:rPr>
            </w:pPr>
            <w:r>
              <w:rPr>
                <w:color w:val="auto"/>
                <w:sz w:val="21"/>
              </w:rPr>
              <w:t>5. 质检员</w:t>
            </w:r>
          </w:p>
        </w:tc>
        <w:tc>
          <w:tcPr>
            <w:tcW w:w="850" w:type="dxa"/>
          </w:tcPr>
          <w:p>
            <w:pPr>
              <w:pStyle w:val="33"/>
              <w:rPr>
                <w:rFonts w:ascii="Times New Roman"/>
                <w:color w:val="auto"/>
                <w:sz w:val="20"/>
              </w:rPr>
            </w:pPr>
          </w:p>
        </w:tc>
        <w:tc>
          <w:tcPr>
            <w:tcW w:w="850" w:type="dxa"/>
          </w:tcPr>
          <w:p>
            <w:pPr>
              <w:pStyle w:val="33"/>
              <w:rPr>
                <w:rFonts w:ascii="Times New Roman"/>
                <w:color w:val="auto"/>
                <w:sz w:val="20"/>
              </w:rPr>
            </w:pPr>
          </w:p>
        </w:tc>
        <w:tc>
          <w:tcPr>
            <w:tcW w:w="1560" w:type="dxa"/>
          </w:tcPr>
          <w:p>
            <w:pPr>
              <w:pStyle w:val="33"/>
              <w:rPr>
                <w:rFonts w:ascii="Times New Roman"/>
                <w:color w:val="auto"/>
                <w:sz w:val="20"/>
              </w:rPr>
            </w:pPr>
          </w:p>
        </w:tc>
        <w:tc>
          <w:tcPr>
            <w:tcW w:w="2977" w:type="dxa"/>
          </w:tcPr>
          <w:p>
            <w:pPr>
              <w:pStyle w:val="33"/>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96" w:type="dxa"/>
          </w:tcPr>
          <w:p>
            <w:pPr>
              <w:pStyle w:val="33"/>
              <w:spacing w:before="25"/>
              <w:ind w:left="105"/>
              <w:rPr>
                <w:color w:val="auto"/>
                <w:sz w:val="21"/>
              </w:rPr>
            </w:pPr>
            <w:r>
              <w:rPr>
                <w:color w:val="auto"/>
                <w:sz w:val="21"/>
              </w:rPr>
              <w:t>……</w:t>
            </w:r>
          </w:p>
        </w:tc>
        <w:tc>
          <w:tcPr>
            <w:tcW w:w="850" w:type="dxa"/>
          </w:tcPr>
          <w:p>
            <w:pPr>
              <w:pStyle w:val="33"/>
              <w:rPr>
                <w:rFonts w:ascii="Times New Roman"/>
                <w:color w:val="auto"/>
                <w:sz w:val="20"/>
              </w:rPr>
            </w:pPr>
          </w:p>
        </w:tc>
        <w:tc>
          <w:tcPr>
            <w:tcW w:w="850" w:type="dxa"/>
          </w:tcPr>
          <w:p>
            <w:pPr>
              <w:pStyle w:val="33"/>
              <w:rPr>
                <w:rFonts w:ascii="Times New Roman"/>
                <w:color w:val="auto"/>
                <w:sz w:val="20"/>
              </w:rPr>
            </w:pPr>
          </w:p>
        </w:tc>
        <w:tc>
          <w:tcPr>
            <w:tcW w:w="1560" w:type="dxa"/>
          </w:tcPr>
          <w:p>
            <w:pPr>
              <w:pStyle w:val="33"/>
              <w:rPr>
                <w:rFonts w:ascii="Times New Roman"/>
                <w:color w:val="auto"/>
                <w:sz w:val="20"/>
              </w:rPr>
            </w:pPr>
          </w:p>
        </w:tc>
        <w:tc>
          <w:tcPr>
            <w:tcW w:w="2977" w:type="dxa"/>
          </w:tcPr>
          <w:p>
            <w:pPr>
              <w:pStyle w:val="33"/>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696" w:type="dxa"/>
          </w:tcPr>
          <w:p>
            <w:pPr>
              <w:pStyle w:val="33"/>
              <w:spacing w:before="25"/>
              <w:ind w:left="105"/>
              <w:rPr>
                <w:color w:val="auto"/>
                <w:sz w:val="21"/>
              </w:rPr>
            </w:pPr>
            <w:r>
              <w:rPr>
                <w:color w:val="auto"/>
                <w:sz w:val="21"/>
              </w:rPr>
              <w:t>6.专职安全生产管理人员</w:t>
            </w:r>
          </w:p>
        </w:tc>
        <w:tc>
          <w:tcPr>
            <w:tcW w:w="850" w:type="dxa"/>
          </w:tcPr>
          <w:p>
            <w:pPr>
              <w:pStyle w:val="33"/>
              <w:rPr>
                <w:rFonts w:ascii="Times New Roman"/>
                <w:color w:val="auto"/>
                <w:sz w:val="20"/>
              </w:rPr>
            </w:pPr>
          </w:p>
        </w:tc>
        <w:tc>
          <w:tcPr>
            <w:tcW w:w="850" w:type="dxa"/>
          </w:tcPr>
          <w:p>
            <w:pPr>
              <w:pStyle w:val="33"/>
              <w:rPr>
                <w:rFonts w:ascii="Times New Roman"/>
                <w:color w:val="auto"/>
                <w:sz w:val="20"/>
              </w:rPr>
            </w:pPr>
          </w:p>
        </w:tc>
        <w:tc>
          <w:tcPr>
            <w:tcW w:w="1560" w:type="dxa"/>
          </w:tcPr>
          <w:p>
            <w:pPr>
              <w:pStyle w:val="33"/>
              <w:rPr>
                <w:rFonts w:ascii="Times New Roman"/>
                <w:color w:val="auto"/>
                <w:sz w:val="20"/>
              </w:rPr>
            </w:pPr>
          </w:p>
        </w:tc>
        <w:tc>
          <w:tcPr>
            <w:tcW w:w="2977" w:type="dxa"/>
          </w:tcPr>
          <w:p>
            <w:pPr>
              <w:pStyle w:val="33"/>
              <w:rPr>
                <w:rFonts w:ascii="Times New Roman"/>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6" w:type="dxa"/>
          </w:tcPr>
          <w:p>
            <w:pPr>
              <w:pStyle w:val="33"/>
              <w:spacing w:before="28"/>
              <w:ind w:left="105"/>
              <w:rPr>
                <w:color w:val="auto"/>
                <w:sz w:val="21"/>
              </w:rPr>
            </w:pPr>
            <w:r>
              <w:rPr>
                <w:color w:val="auto"/>
                <w:sz w:val="21"/>
              </w:rPr>
              <w:t>……</w:t>
            </w:r>
          </w:p>
        </w:tc>
        <w:tc>
          <w:tcPr>
            <w:tcW w:w="850" w:type="dxa"/>
          </w:tcPr>
          <w:p>
            <w:pPr>
              <w:pStyle w:val="33"/>
              <w:rPr>
                <w:rFonts w:ascii="Times New Roman"/>
                <w:color w:val="auto"/>
                <w:sz w:val="20"/>
              </w:rPr>
            </w:pPr>
          </w:p>
        </w:tc>
        <w:tc>
          <w:tcPr>
            <w:tcW w:w="850" w:type="dxa"/>
          </w:tcPr>
          <w:p>
            <w:pPr>
              <w:pStyle w:val="33"/>
              <w:rPr>
                <w:rFonts w:ascii="Times New Roman"/>
                <w:color w:val="auto"/>
                <w:sz w:val="20"/>
              </w:rPr>
            </w:pPr>
          </w:p>
        </w:tc>
        <w:tc>
          <w:tcPr>
            <w:tcW w:w="1560" w:type="dxa"/>
          </w:tcPr>
          <w:p>
            <w:pPr>
              <w:pStyle w:val="33"/>
              <w:rPr>
                <w:rFonts w:ascii="Times New Roman"/>
                <w:color w:val="auto"/>
                <w:sz w:val="20"/>
              </w:rPr>
            </w:pPr>
          </w:p>
        </w:tc>
        <w:tc>
          <w:tcPr>
            <w:tcW w:w="2977" w:type="dxa"/>
          </w:tcPr>
          <w:p>
            <w:pPr>
              <w:pStyle w:val="33"/>
              <w:rPr>
                <w:rFonts w:ascii="Times New Roman"/>
                <w:color w:val="auto"/>
                <w:sz w:val="20"/>
              </w:rPr>
            </w:pPr>
          </w:p>
        </w:tc>
      </w:tr>
    </w:tbl>
    <w:p>
      <w:pPr>
        <w:pStyle w:val="13"/>
        <w:spacing w:before="1"/>
        <w:ind w:left="0"/>
        <w:rPr>
          <w:b/>
          <w:color w:val="auto"/>
          <w:sz w:val="20"/>
        </w:rPr>
      </w:pPr>
    </w:p>
    <w:p>
      <w:pPr>
        <w:spacing w:before="37" w:line="273" w:lineRule="auto"/>
        <w:ind w:left="112" w:right="96" w:firstLine="528"/>
        <w:jc w:val="left"/>
        <w:rPr>
          <w:b/>
          <w:color w:val="auto"/>
          <w:sz w:val="21"/>
        </w:rPr>
      </w:pPr>
      <w:r>
        <w:rPr>
          <w:b/>
          <w:color w:val="auto"/>
          <w:sz w:val="21"/>
        </w:rPr>
        <w:t>注：1、投标书必须随本表提供项目经理、项目副经理</w:t>
      </w:r>
      <w:r>
        <w:rPr>
          <w:rFonts w:hint="eastAsia"/>
          <w:b/>
          <w:color w:val="auto"/>
          <w:sz w:val="21"/>
          <w:lang w:eastAsia="zh-CN"/>
        </w:rPr>
        <w:t>（如有）</w:t>
      </w:r>
      <w:r>
        <w:rPr>
          <w:b/>
          <w:color w:val="auto"/>
          <w:sz w:val="21"/>
        </w:rPr>
        <w:t>、施工员、质检员、专职安全生产管理人员资格证、建筑施工企业项目负责人安全生产考核合格证书的复印件.</w:t>
      </w:r>
    </w:p>
    <w:p>
      <w:pPr>
        <w:spacing w:before="8" w:line="249" w:lineRule="auto"/>
        <w:ind w:left="112" w:right="96" w:firstLine="528"/>
        <w:jc w:val="left"/>
        <w:rPr>
          <w:b/>
          <w:sz w:val="24"/>
        </w:rPr>
      </w:pPr>
      <w:r>
        <w:rPr>
          <w:b/>
          <w:color w:val="auto"/>
          <w:sz w:val="21"/>
        </w:rPr>
        <w:t>2</w:t>
      </w:r>
      <w:r>
        <w:rPr>
          <w:b/>
          <w:color w:val="auto"/>
          <w:spacing w:val="-6"/>
          <w:sz w:val="21"/>
        </w:rPr>
        <w:t>、人员除按桂林市建设与规划委员会市建规〔</w:t>
      </w:r>
      <w:r>
        <w:rPr>
          <w:b/>
          <w:color w:val="auto"/>
          <w:sz w:val="21"/>
        </w:rPr>
        <w:t>2006</w:t>
      </w:r>
      <w:r>
        <w:rPr>
          <w:b/>
          <w:color w:val="auto"/>
          <w:spacing w:val="-20"/>
          <w:sz w:val="21"/>
        </w:rPr>
        <w:t>〕</w:t>
      </w:r>
      <w:r>
        <w:rPr>
          <w:b/>
          <w:color w:val="auto"/>
          <w:sz w:val="21"/>
        </w:rPr>
        <w:t>270</w:t>
      </w:r>
      <w:r>
        <w:rPr>
          <w:b/>
          <w:color w:val="auto"/>
          <w:spacing w:val="-10"/>
          <w:sz w:val="21"/>
        </w:rPr>
        <w:t xml:space="preserve"> 号文《关于调整建筑施工现场</w:t>
      </w:r>
      <w:r>
        <w:rPr>
          <w:b/>
          <w:spacing w:val="-10"/>
          <w:sz w:val="21"/>
        </w:rPr>
        <w:t>项目部管理的</w:t>
      </w:r>
      <w:r>
        <w:rPr>
          <w:b/>
          <w:spacing w:val="-3"/>
          <w:sz w:val="21"/>
        </w:rPr>
        <w:t>通知》的规定执行，还须满足前附表中的最低要求</w:t>
      </w:r>
      <w:r>
        <w:rPr>
          <w:b/>
          <w:sz w:val="24"/>
        </w:rPr>
        <w:t>。</w:t>
      </w:r>
    </w:p>
    <w:p>
      <w:pPr>
        <w:pStyle w:val="13"/>
        <w:ind w:left="0"/>
        <w:rPr>
          <w:b/>
          <w:sz w:val="24"/>
        </w:rPr>
      </w:pPr>
    </w:p>
    <w:p>
      <w:pPr>
        <w:pStyle w:val="13"/>
        <w:ind w:left="0"/>
        <w:rPr>
          <w:b/>
          <w:sz w:val="24"/>
        </w:rPr>
      </w:pPr>
    </w:p>
    <w:p>
      <w:pPr>
        <w:spacing w:before="206" w:line="348" w:lineRule="auto"/>
        <w:ind w:left="112" w:right="14" w:firstLine="502"/>
        <w:jc w:val="left"/>
        <w:rPr>
          <w:sz w:val="21"/>
        </w:rPr>
      </w:pPr>
      <w:r>
        <w:rPr>
          <w:b/>
          <w:sz w:val="21"/>
        </w:rPr>
        <w:t xml:space="preserve">[摘录市建规〔2006〕270 号文] </w:t>
      </w:r>
      <w:r>
        <w:rPr>
          <w:sz w:val="21"/>
        </w:rPr>
        <w:t>各施工企业应根据工程项目的实际需要组建项目管理班子，但不得低于以下配置标准。</w:t>
      </w:r>
    </w:p>
    <w:p>
      <w:pPr>
        <w:tabs>
          <w:tab w:val="left" w:pos="8166"/>
        </w:tabs>
        <w:spacing w:before="23" w:after="53"/>
        <w:ind w:left="514" w:right="0" w:firstLine="0"/>
        <w:jc w:val="left"/>
        <w:rPr>
          <w:sz w:val="20"/>
        </w:rPr>
      </w:pPr>
      <w:r>
        <mc:AlternateContent>
          <mc:Choice Requires="wps">
            <w:drawing>
              <wp:anchor distT="0" distB="0" distL="114300" distR="114300" simplePos="0" relativeHeight="503027712" behindDoc="1" locked="0" layoutInCell="1" allowOverlap="1">
                <wp:simplePos x="0" y="0"/>
                <wp:positionH relativeFrom="page">
                  <wp:posOffset>1149350</wp:posOffset>
                </wp:positionH>
                <wp:positionV relativeFrom="paragraph">
                  <wp:posOffset>220345</wp:posOffset>
                </wp:positionV>
                <wp:extent cx="1286510" cy="304800"/>
                <wp:effectExtent l="1270" t="4445" r="7620" b="14605"/>
                <wp:wrapNone/>
                <wp:docPr id="258" name="直线 129"/>
                <wp:cNvGraphicFramePr/>
                <a:graphic xmlns:a="http://schemas.openxmlformats.org/drawingml/2006/main">
                  <a:graphicData uri="http://schemas.microsoft.com/office/word/2010/wordprocessingShape">
                    <wps:wsp>
                      <wps:cNvCnPr/>
                      <wps:spPr>
                        <a:xfrm>
                          <a:off x="0" y="0"/>
                          <a:ext cx="1286510" cy="30480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29" o:spid="_x0000_s1026" o:spt="20" style="position:absolute;left:0pt;margin-left:90.5pt;margin-top:17.35pt;height:24pt;width:101.3pt;mso-position-horizontal-relative:page;z-index:-288768;mso-width-relative:page;mso-height-relative:page;" filled="f" stroked="t" coordsize="21600,21600" o:gfxdata="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ctW29gAAAAJAQAADwAAAAAAAAAB&#10;ACAAAAAiAAAAZHJzL2Rvd25yZXYueG1sUEsBAhQAFAAAAAgAh07iQOmFCbzXAQAAlgMAAA4AAAAA&#10;AAAAAQAgAAAAJwEAAGRycy9lMm9Eb2MueG1sUEsFBgAAAAAGAAYAWQEAAHAFAAAAAA==&#10;">
                <v:fill on="f" focussize="0,0"/>
                <v:stroke weight="0.48pt" color="#000000" joinstyle="round"/>
                <v:imagedata o:title=""/>
                <o:lock v:ext="edit" aspectratio="f"/>
              </v:line>
            </w:pict>
          </mc:Fallback>
        </mc:AlternateContent>
      </w:r>
      <w:r>
        <w:rPr>
          <w:sz w:val="20"/>
        </w:rPr>
        <w:t>1、1</w:t>
      </w:r>
      <w:r>
        <w:rPr>
          <w:spacing w:val="-51"/>
          <w:sz w:val="20"/>
        </w:rPr>
        <w:t xml:space="preserve"> </w:t>
      </w:r>
      <w:r>
        <w:rPr>
          <w:sz w:val="20"/>
        </w:rPr>
        <w:t>万平方米以下的房屋建筑工程、装修工程或</w:t>
      </w:r>
      <w:r>
        <w:rPr>
          <w:spacing w:val="-51"/>
          <w:sz w:val="20"/>
        </w:rPr>
        <w:t xml:space="preserve"> </w:t>
      </w:r>
      <w:r>
        <w:rPr>
          <w:sz w:val="20"/>
        </w:rPr>
        <w:t>5000</w:t>
      </w:r>
      <w:r>
        <w:rPr>
          <w:spacing w:val="-53"/>
          <w:sz w:val="20"/>
        </w:rPr>
        <w:t xml:space="preserve"> </w:t>
      </w:r>
      <w:r>
        <w:rPr>
          <w:sz w:val="20"/>
        </w:rPr>
        <w:t>万以下市政工程和其他工程</w:t>
      </w:r>
      <w:r>
        <w:rPr>
          <w:sz w:val="20"/>
        </w:rPr>
        <w:tab/>
      </w:r>
      <w:r>
        <w:rPr>
          <w:sz w:val="20"/>
        </w:rPr>
        <w:t>表</w:t>
      </w:r>
      <w:r>
        <w:rPr>
          <w:spacing w:val="-52"/>
          <w:sz w:val="20"/>
        </w:rPr>
        <w:t xml:space="preserve"> </w:t>
      </w:r>
      <w:r>
        <w:rPr>
          <w:sz w:val="20"/>
        </w:rPr>
        <w:t>1</w:t>
      </w:r>
    </w:p>
    <w:tbl>
      <w:tblPr>
        <w:tblStyle w:val="17"/>
        <w:tblW w:w="8440" w:type="dxa"/>
        <w:tblInd w:w="7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6"/>
        <w:gridCol w:w="1164"/>
        <w:gridCol w:w="2038"/>
        <w:gridCol w:w="3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036" w:type="dxa"/>
          </w:tcPr>
          <w:p>
            <w:pPr>
              <w:pStyle w:val="33"/>
              <w:spacing w:line="204" w:lineRule="exact"/>
              <w:ind w:left="1468"/>
              <w:rPr>
                <w:sz w:val="21"/>
              </w:rPr>
            </w:pPr>
            <w:r>
              <w:rPr>
                <w:sz w:val="21"/>
              </w:rPr>
              <w:t>内容</w:t>
            </w:r>
          </w:p>
          <w:p>
            <w:pPr>
              <w:pStyle w:val="33"/>
              <w:spacing w:line="256" w:lineRule="exact"/>
              <w:ind w:left="102"/>
              <w:rPr>
                <w:sz w:val="21"/>
              </w:rPr>
            </w:pPr>
            <w:r>
              <w:rPr>
                <w:sz w:val="21"/>
              </w:rPr>
              <w:t>各类人员</w:t>
            </w:r>
          </w:p>
        </w:tc>
        <w:tc>
          <w:tcPr>
            <w:tcW w:w="1164" w:type="dxa"/>
          </w:tcPr>
          <w:p>
            <w:pPr>
              <w:pStyle w:val="33"/>
              <w:spacing w:before="66"/>
              <w:ind w:left="139" w:right="132"/>
              <w:jc w:val="center"/>
              <w:rPr>
                <w:sz w:val="21"/>
              </w:rPr>
            </w:pPr>
            <w:r>
              <w:rPr>
                <w:sz w:val="21"/>
              </w:rPr>
              <w:t>数量</w:t>
            </w:r>
          </w:p>
        </w:tc>
        <w:tc>
          <w:tcPr>
            <w:tcW w:w="2038" w:type="dxa"/>
          </w:tcPr>
          <w:p>
            <w:pPr>
              <w:pStyle w:val="33"/>
              <w:spacing w:before="66"/>
              <w:ind w:left="262" w:right="256"/>
              <w:jc w:val="center"/>
              <w:rPr>
                <w:sz w:val="21"/>
              </w:rPr>
            </w:pPr>
            <w:r>
              <w:rPr>
                <w:sz w:val="21"/>
              </w:rPr>
              <w:t>资质</w:t>
            </w:r>
          </w:p>
        </w:tc>
        <w:tc>
          <w:tcPr>
            <w:tcW w:w="3202" w:type="dxa"/>
          </w:tcPr>
          <w:p>
            <w:pPr>
              <w:pStyle w:val="33"/>
              <w:spacing w:before="66"/>
              <w:ind w:left="317" w:right="313"/>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036" w:type="dxa"/>
          </w:tcPr>
          <w:p>
            <w:pPr>
              <w:pStyle w:val="33"/>
              <w:spacing w:line="267" w:lineRule="exact"/>
              <w:ind w:left="468" w:right="467"/>
              <w:jc w:val="center"/>
              <w:rPr>
                <w:sz w:val="21"/>
              </w:rPr>
            </w:pPr>
            <w:r>
              <w:rPr>
                <w:sz w:val="21"/>
              </w:rPr>
              <w:t>项目经理</w:t>
            </w:r>
          </w:p>
        </w:tc>
        <w:tc>
          <w:tcPr>
            <w:tcW w:w="1164" w:type="dxa"/>
          </w:tcPr>
          <w:p>
            <w:pPr>
              <w:pStyle w:val="33"/>
              <w:spacing w:line="267" w:lineRule="exact"/>
              <w:ind w:left="2"/>
              <w:jc w:val="center"/>
              <w:rPr>
                <w:sz w:val="21"/>
              </w:rPr>
            </w:pPr>
            <w:r>
              <w:rPr>
                <w:w w:val="100"/>
                <w:sz w:val="21"/>
              </w:rPr>
              <w:t>1</w:t>
            </w:r>
          </w:p>
        </w:tc>
        <w:tc>
          <w:tcPr>
            <w:tcW w:w="2038" w:type="dxa"/>
          </w:tcPr>
          <w:p>
            <w:pPr>
              <w:pStyle w:val="33"/>
              <w:spacing w:line="267" w:lineRule="exact"/>
              <w:ind w:left="262" w:right="256"/>
              <w:jc w:val="center"/>
              <w:rPr>
                <w:sz w:val="21"/>
              </w:rPr>
            </w:pPr>
            <w:r>
              <w:rPr>
                <w:sz w:val="21"/>
              </w:rPr>
              <w:t>按资质管理标准</w:t>
            </w:r>
          </w:p>
        </w:tc>
        <w:tc>
          <w:tcPr>
            <w:tcW w:w="3202" w:type="dxa"/>
          </w:tcPr>
          <w:p>
            <w:pPr>
              <w:pStyle w:val="33"/>
              <w:spacing w:line="267" w:lineRule="exact"/>
              <w:ind w:left="317" w:right="311"/>
              <w:jc w:val="center"/>
              <w:rPr>
                <w:sz w:val="21"/>
              </w:rPr>
            </w:pPr>
            <w:r>
              <w:rPr>
                <w:sz w:val="21"/>
              </w:rPr>
              <w:t>专职押证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036" w:type="dxa"/>
          </w:tcPr>
          <w:p>
            <w:pPr>
              <w:pStyle w:val="33"/>
              <w:spacing w:line="226" w:lineRule="exact"/>
              <w:ind w:left="468" w:right="467"/>
              <w:jc w:val="center"/>
              <w:rPr>
                <w:sz w:val="21"/>
              </w:rPr>
            </w:pPr>
            <w:r>
              <w:rPr>
                <w:sz w:val="21"/>
              </w:rPr>
              <w:t>项目副经理</w:t>
            </w:r>
          </w:p>
        </w:tc>
        <w:tc>
          <w:tcPr>
            <w:tcW w:w="1164" w:type="dxa"/>
          </w:tcPr>
          <w:p>
            <w:pPr>
              <w:pStyle w:val="33"/>
              <w:spacing w:line="226" w:lineRule="exact"/>
              <w:ind w:left="139" w:right="132"/>
              <w:jc w:val="center"/>
              <w:rPr>
                <w:sz w:val="21"/>
              </w:rPr>
            </w:pPr>
            <w:r>
              <w:rPr>
                <w:sz w:val="21"/>
              </w:rPr>
              <w:t>0~1</w:t>
            </w:r>
          </w:p>
        </w:tc>
        <w:tc>
          <w:tcPr>
            <w:tcW w:w="2038" w:type="dxa"/>
          </w:tcPr>
          <w:p>
            <w:pPr>
              <w:pStyle w:val="33"/>
              <w:rPr>
                <w:rFonts w:ascii="Times New Roman"/>
                <w:sz w:val="18"/>
              </w:rPr>
            </w:pPr>
          </w:p>
        </w:tc>
        <w:tc>
          <w:tcPr>
            <w:tcW w:w="3202" w:type="dxa"/>
          </w:tcPr>
          <w:p>
            <w:pPr>
              <w:pStyle w:val="33"/>
              <w:spacing w:line="226" w:lineRule="exact"/>
              <w:ind w:left="317" w:right="315"/>
              <w:jc w:val="center"/>
              <w:rPr>
                <w:sz w:val="21"/>
              </w:rPr>
            </w:pPr>
            <w:r>
              <w:rPr>
                <w:sz w:val="21"/>
              </w:rPr>
              <w:t>企业可视工程情况自行设置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036" w:type="dxa"/>
          </w:tcPr>
          <w:p>
            <w:pPr>
              <w:pStyle w:val="33"/>
              <w:spacing w:line="220" w:lineRule="exact"/>
              <w:ind w:left="468" w:right="467"/>
              <w:jc w:val="center"/>
              <w:rPr>
                <w:sz w:val="21"/>
              </w:rPr>
            </w:pPr>
            <w:r>
              <w:rPr>
                <w:sz w:val="21"/>
              </w:rPr>
              <w:t>技术负责人</w:t>
            </w:r>
          </w:p>
        </w:tc>
        <w:tc>
          <w:tcPr>
            <w:tcW w:w="1164" w:type="dxa"/>
          </w:tcPr>
          <w:p>
            <w:pPr>
              <w:pStyle w:val="33"/>
              <w:spacing w:line="220" w:lineRule="exact"/>
              <w:ind w:left="2"/>
              <w:jc w:val="center"/>
              <w:rPr>
                <w:sz w:val="21"/>
              </w:rPr>
            </w:pPr>
            <w:r>
              <w:rPr>
                <w:w w:val="100"/>
                <w:sz w:val="21"/>
              </w:rPr>
              <w:t>1</w:t>
            </w:r>
          </w:p>
        </w:tc>
        <w:tc>
          <w:tcPr>
            <w:tcW w:w="2038" w:type="dxa"/>
          </w:tcPr>
          <w:p>
            <w:pPr>
              <w:pStyle w:val="33"/>
              <w:spacing w:line="220" w:lineRule="exact"/>
              <w:ind w:left="260" w:right="256"/>
              <w:jc w:val="center"/>
              <w:rPr>
                <w:sz w:val="21"/>
              </w:rPr>
            </w:pPr>
            <w:r>
              <w:rPr>
                <w:sz w:val="21"/>
              </w:rPr>
              <w:t>助理工程师</w:t>
            </w:r>
          </w:p>
        </w:tc>
        <w:tc>
          <w:tcPr>
            <w:tcW w:w="3202" w:type="dxa"/>
          </w:tcPr>
          <w:p>
            <w:pPr>
              <w:pStyle w:val="33"/>
              <w:spacing w:line="220" w:lineRule="exact"/>
              <w:ind w:left="317" w:right="311"/>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036" w:type="dxa"/>
          </w:tcPr>
          <w:p>
            <w:pPr>
              <w:pStyle w:val="33"/>
              <w:spacing w:line="265" w:lineRule="exact"/>
              <w:ind w:left="468" w:right="464"/>
              <w:jc w:val="center"/>
              <w:rPr>
                <w:sz w:val="21"/>
              </w:rPr>
            </w:pPr>
            <w:r>
              <w:rPr>
                <w:sz w:val="21"/>
              </w:rPr>
              <w:t>施工员</w:t>
            </w:r>
          </w:p>
        </w:tc>
        <w:tc>
          <w:tcPr>
            <w:tcW w:w="1164" w:type="dxa"/>
          </w:tcPr>
          <w:p>
            <w:pPr>
              <w:pStyle w:val="33"/>
              <w:spacing w:line="265" w:lineRule="exact"/>
              <w:ind w:left="2"/>
              <w:jc w:val="center"/>
              <w:rPr>
                <w:sz w:val="21"/>
              </w:rPr>
            </w:pPr>
            <w:r>
              <w:rPr>
                <w:w w:val="100"/>
                <w:sz w:val="21"/>
              </w:rPr>
              <w:t>1</w:t>
            </w:r>
          </w:p>
        </w:tc>
        <w:tc>
          <w:tcPr>
            <w:tcW w:w="2038" w:type="dxa"/>
          </w:tcPr>
          <w:p>
            <w:pPr>
              <w:pStyle w:val="33"/>
              <w:spacing w:line="265" w:lineRule="exact"/>
              <w:ind w:left="262" w:right="256"/>
              <w:jc w:val="center"/>
              <w:rPr>
                <w:sz w:val="21"/>
              </w:rPr>
            </w:pPr>
            <w:r>
              <w:rPr>
                <w:sz w:val="21"/>
              </w:rPr>
              <w:t>中级</w:t>
            </w:r>
          </w:p>
        </w:tc>
        <w:tc>
          <w:tcPr>
            <w:tcW w:w="3202" w:type="dxa"/>
          </w:tcPr>
          <w:p>
            <w:pPr>
              <w:pStyle w:val="33"/>
              <w:spacing w:line="265" w:lineRule="exact"/>
              <w:ind w:left="317" w:right="311"/>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036" w:type="dxa"/>
          </w:tcPr>
          <w:p>
            <w:pPr>
              <w:pStyle w:val="33"/>
              <w:spacing w:line="220" w:lineRule="exact"/>
              <w:ind w:left="468" w:right="464"/>
              <w:jc w:val="center"/>
              <w:rPr>
                <w:sz w:val="21"/>
              </w:rPr>
            </w:pPr>
            <w:r>
              <w:rPr>
                <w:sz w:val="21"/>
              </w:rPr>
              <w:t>质检员</w:t>
            </w:r>
          </w:p>
        </w:tc>
        <w:tc>
          <w:tcPr>
            <w:tcW w:w="1164" w:type="dxa"/>
          </w:tcPr>
          <w:p>
            <w:pPr>
              <w:pStyle w:val="33"/>
              <w:spacing w:line="220" w:lineRule="exact"/>
              <w:ind w:left="2"/>
              <w:jc w:val="center"/>
              <w:rPr>
                <w:sz w:val="21"/>
              </w:rPr>
            </w:pPr>
            <w:r>
              <w:rPr>
                <w:w w:val="100"/>
                <w:sz w:val="21"/>
              </w:rPr>
              <w:t>1</w:t>
            </w:r>
          </w:p>
        </w:tc>
        <w:tc>
          <w:tcPr>
            <w:tcW w:w="2038" w:type="dxa"/>
          </w:tcPr>
          <w:p>
            <w:pPr>
              <w:pStyle w:val="33"/>
              <w:spacing w:line="220" w:lineRule="exact"/>
              <w:ind w:left="262" w:right="256"/>
              <w:jc w:val="center"/>
              <w:rPr>
                <w:sz w:val="21"/>
              </w:rPr>
            </w:pPr>
            <w:r>
              <w:rPr>
                <w:sz w:val="21"/>
              </w:rPr>
              <w:t>中级</w:t>
            </w:r>
          </w:p>
        </w:tc>
        <w:tc>
          <w:tcPr>
            <w:tcW w:w="3202" w:type="dxa"/>
          </w:tcPr>
          <w:p>
            <w:pPr>
              <w:pStyle w:val="33"/>
              <w:spacing w:line="220" w:lineRule="exact"/>
              <w:ind w:left="317" w:right="311"/>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036" w:type="dxa"/>
          </w:tcPr>
          <w:p>
            <w:pPr>
              <w:pStyle w:val="33"/>
              <w:spacing w:line="240" w:lineRule="exact"/>
              <w:ind w:left="803" w:right="154" w:hanging="632"/>
              <w:rPr>
                <w:sz w:val="21"/>
              </w:rPr>
            </w:pPr>
            <w:r>
              <w:rPr>
                <w:sz w:val="21"/>
              </w:rPr>
              <w:t>专职安全生产管理人员</w:t>
            </w:r>
          </w:p>
        </w:tc>
        <w:tc>
          <w:tcPr>
            <w:tcW w:w="1164" w:type="dxa"/>
          </w:tcPr>
          <w:p>
            <w:pPr>
              <w:pStyle w:val="33"/>
              <w:spacing w:before="66"/>
              <w:ind w:left="2"/>
              <w:jc w:val="center"/>
              <w:rPr>
                <w:sz w:val="21"/>
              </w:rPr>
            </w:pPr>
            <w:r>
              <w:rPr>
                <w:w w:val="100"/>
                <w:sz w:val="21"/>
              </w:rPr>
              <w:t>1</w:t>
            </w:r>
          </w:p>
        </w:tc>
        <w:tc>
          <w:tcPr>
            <w:tcW w:w="2038" w:type="dxa"/>
          </w:tcPr>
          <w:p>
            <w:pPr>
              <w:pStyle w:val="33"/>
              <w:spacing w:before="66"/>
              <w:ind w:left="262" w:right="256"/>
              <w:jc w:val="center"/>
              <w:rPr>
                <w:sz w:val="21"/>
              </w:rPr>
            </w:pPr>
            <w:r>
              <w:rPr>
                <w:sz w:val="21"/>
              </w:rPr>
              <w:t>C 证</w:t>
            </w:r>
          </w:p>
        </w:tc>
        <w:tc>
          <w:tcPr>
            <w:tcW w:w="3202" w:type="dxa"/>
          </w:tcPr>
          <w:p>
            <w:pPr>
              <w:pStyle w:val="33"/>
              <w:spacing w:before="66"/>
              <w:ind w:left="317" w:right="311"/>
              <w:jc w:val="center"/>
              <w:rPr>
                <w:sz w:val="21"/>
              </w:rPr>
            </w:pPr>
            <w:r>
              <w:rPr>
                <w:sz w:val="21"/>
              </w:rPr>
              <w:t>专职、押证</w:t>
            </w:r>
          </w:p>
        </w:tc>
      </w:tr>
    </w:tbl>
    <w:p>
      <w:pPr>
        <w:spacing w:after="0"/>
        <w:jc w:val="center"/>
        <w:rPr>
          <w:sz w:val="21"/>
        </w:rPr>
        <w:sectPr>
          <w:footerReference r:id="rId11" w:type="default"/>
          <w:pgSz w:w="11910" w:h="16840"/>
          <w:pgMar w:top="1120" w:right="880" w:bottom="1160" w:left="1020" w:header="0" w:footer="975" w:gutter="0"/>
        </w:sectPr>
      </w:pPr>
    </w:p>
    <w:p>
      <w:pPr>
        <w:pStyle w:val="32"/>
        <w:numPr>
          <w:ilvl w:val="1"/>
          <w:numId w:val="60"/>
        </w:numPr>
        <w:tabs>
          <w:tab w:val="left" w:pos="537"/>
          <w:tab w:val="left" w:pos="8613"/>
        </w:tabs>
        <w:spacing w:before="18" w:after="0" w:line="240" w:lineRule="auto"/>
        <w:ind w:left="536" w:right="607" w:hanging="318"/>
        <w:jc w:val="left"/>
        <w:rPr>
          <w:sz w:val="21"/>
        </w:rPr>
      </w:pPr>
      <w:r>
        <mc:AlternateContent>
          <mc:Choice Requires="wps">
            <w:drawing>
              <wp:anchor distT="0" distB="0" distL="114300" distR="114300" simplePos="0" relativeHeight="503027712" behindDoc="1" locked="0" layoutInCell="1" allowOverlap="1">
                <wp:simplePos x="0" y="0"/>
                <wp:positionH relativeFrom="page">
                  <wp:posOffset>1149350</wp:posOffset>
                </wp:positionH>
                <wp:positionV relativeFrom="paragraph">
                  <wp:posOffset>383540</wp:posOffset>
                </wp:positionV>
                <wp:extent cx="1286510" cy="304800"/>
                <wp:effectExtent l="1270" t="4445" r="7620" b="14605"/>
                <wp:wrapNone/>
                <wp:docPr id="260" name="直线 130"/>
                <wp:cNvGraphicFramePr/>
                <a:graphic xmlns:a="http://schemas.openxmlformats.org/drawingml/2006/main">
                  <a:graphicData uri="http://schemas.microsoft.com/office/word/2010/wordprocessingShape">
                    <wps:wsp>
                      <wps:cNvCnPr/>
                      <wps:spPr>
                        <a:xfrm>
                          <a:off x="0" y="0"/>
                          <a:ext cx="1286510" cy="30480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30" o:spid="_x0000_s1026" o:spt="20" style="position:absolute;left:0pt;margin-left:90.5pt;margin-top:30.2pt;height:24pt;width:101.3pt;mso-position-horizontal-relative:page;z-index:-288768;mso-width-relative:page;mso-height-relative:page;" filled="f" stroked="t" coordsize="21600,21600" o:gfxdata="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1GvGHYAAAACgEAAA8AAAAAAAAAAQAg&#10;AAAAIgAAAGRycy9kb3ducmV2LnhtbFBLAQIUABQAAAAIAIdO4kBkz/4i1QEAAJYDAAAOAAAAAAAA&#10;AAEAIAAAACcBAABkcnMvZTJvRG9jLnhtbFBLBQYAAAAABgAGAFkBAABuBQAAAAA=&#10;">
                <v:fill on="f" focussize="0,0"/>
                <v:stroke weight="0.48pt" color="#000000" joinstyle="round"/>
                <v:imagedata o:title=""/>
                <o:lock v:ext="edit" aspectratio="f"/>
              </v:line>
            </w:pict>
          </mc:Fallback>
        </mc:AlternateContent>
      </w:r>
      <w:r>
        <w:rPr>
          <w:sz w:val="21"/>
        </w:rPr>
        <w:t>、1～5</w:t>
      </w:r>
      <w:r>
        <w:rPr>
          <w:spacing w:val="-46"/>
          <w:sz w:val="21"/>
        </w:rPr>
        <w:t xml:space="preserve"> </w:t>
      </w:r>
      <w:r>
        <w:rPr>
          <w:sz w:val="21"/>
        </w:rPr>
        <w:t>万</w:t>
      </w:r>
      <w:r>
        <w:rPr>
          <w:spacing w:val="-3"/>
          <w:sz w:val="21"/>
        </w:rPr>
        <w:t>平</w:t>
      </w:r>
      <w:r>
        <w:rPr>
          <w:sz w:val="21"/>
        </w:rPr>
        <w:t>方</w:t>
      </w:r>
      <w:r>
        <w:rPr>
          <w:spacing w:val="-3"/>
          <w:sz w:val="21"/>
        </w:rPr>
        <w:t>米</w:t>
      </w:r>
      <w:r>
        <w:rPr>
          <w:sz w:val="21"/>
        </w:rPr>
        <w:t>的</w:t>
      </w:r>
      <w:r>
        <w:rPr>
          <w:spacing w:val="-3"/>
          <w:sz w:val="21"/>
        </w:rPr>
        <w:t>房</w:t>
      </w:r>
      <w:r>
        <w:rPr>
          <w:sz w:val="21"/>
        </w:rPr>
        <w:t>屋建</w:t>
      </w:r>
      <w:r>
        <w:rPr>
          <w:spacing w:val="-3"/>
          <w:sz w:val="21"/>
        </w:rPr>
        <w:t>筑</w:t>
      </w:r>
      <w:r>
        <w:rPr>
          <w:sz w:val="21"/>
        </w:rPr>
        <w:t>工</w:t>
      </w:r>
      <w:r>
        <w:rPr>
          <w:spacing w:val="-3"/>
          <w:sz w:val="21"/>
        </w:rPr>
        <w:t>程</w:t>
      </w:r>
      <w:r>
        <w:rPr>
          <w:sz w:val="21"/>
        </w:rPr>
        <w:t>、</w:t>
      </w:r>
      <w:r>
        <w:rPr>
          <w:spacing w:val="-3"/>
          <w:sz w:val="21"/>
        </w:rPr>
        <w:t>装</w:t>
      </w:r>
      <w:r>
        <w:rPr>
          <w:sz w:val="21"/>
        </w:rPr>
        <w:t>修</w:t>
      </w:r>
      <w:r>
        <w:rPr>
          <w:spacing w:val="-3"/>
          <w:sz w:val="21"/>
        </w:rPr>
        <w:t>工程</w:t>
      </w:r>
      <w:r>
        <w:rPr>
          <w:sz w:val="21"/>
        </w:rPr>
        <w:t>或</w:t>
      </w:r>
      <w:r>
        <w:rPr>
          <w:spacing w:val="-46"/>
          <w:sz w:val="21"/>
        </w:rPr>
        <w:t xml:space="preserve"> </w:t>
      </w:r>
      <w:r>
        <w:rPr>
          <w:sz w:val="21"/>
        </w:rPr>
        <w:t>5000</w:t>
      </w:r>
      <w:r>
        <w:rPr>
          <w:spacing w:val="-46"/>
          <w:sz w:val="21"/>
        </w:rPr>
        <w:t xml:space="preserve"> </w:t>
      </w:r>
      <w:r>
        <w:rPr>
          <w:sz w:val="21"/>
        </w:rPr>
        <w:t>万-1</w:t>
      </w:r>
      <w:r>
        <w:rPr>
          <w:spacing w:val="-46"/>
          <w:sz w:val="21"/>
        </w:rPr>
        <w:t xml:space="preserve"> </w:t>
      </w:r>
      <w:r>
        <w:rPr>
          <w:sz w:val="21"/>
        </w:rPr>
        <w:t>亿</w:t>
      </w:r>
      <w:r>
        <w:rPr>
          <w:spacing w:val="-3"/>
          <w:sz w:val="21"/>
        </w:rPr>
        <w:t>元</w:t>
      </w:r>
      <w:r>
        <w:rPr>
          <w:sz w:val="21"/>
        </w:rPr>
        <w:t>以</w:t>
      </w:r>
      <w:r>
        <w:rPr>
          <w:spacing w:val="-3"/>
          <w:sz w:val="21"/>
        </w:rPr>
        <w:t>下</w:t>
      </w:r>
      <w:r>
        <w:rPr>
          <w:sz w:val="21"/>
        </w:rPr>
        <w:t>市</w:t>
      </w:r>
      <w:r>
        <w:rPr>
          <w:spacing w:val="-3"/>
          <w:sz w:val="21"/>
        </w:rPr>
        <w:t>政工</w:t>
      </w:r>
      <w:r>
        <w:rPr>
          <w:sz w:val="21"/>
        </w:rPr>
        <w:t>程和</w:t>
      </w:r>
      <w:r>
        <w:rPr>
          <w:spacing w:val="-3"/>
          <w:sz w:val="21"/>
        </w:rPr>
        <w:t>其</w:t>
      </w:r>
      <w:r>
        <w:rPr>
          <w:sz w:val="21"/>
        </w:rPr>
        <w:t>他</w:t>
      </w:r>
      <w:r>
        <w:rPr>
          <w:spacing w:val="-3"/>
          <w:sz w:val="21"/>
        </w:rPr>
        <w:t>工</w:t>
      </w:r>
      <w:r>
        <w:rPr>
          <w:sz w:val="21"/>
        </w:rPr>
        <w:t>程</w:t>
      </w:r>
      <w:r>
        <w:rPr>
          <w:sz w:val="21"/>
        </w:rPr>
        <w:tab/>
      </w:r>
      <w:r>
        <w:rPr>
          <w:sz w:val="21"/>
        </w:rPr>
        <w:t>表</w:t>
      </w:r>
      <w:r>
        <w:rPr>
          <w:spacing w:val="-54"/>
          <w:sz w:val="21"/>
        </w:rPr>
        <w:t xml:space="preserve"> </w:t>
      </w:r>
      <w:r>
        <w:rPr>
          <w:sz w:val="21"/>
        </w:rPr>
        <w:t>2</w:t>
      </w:r>
    </w:p>
    <w:p>
      <w:pPr>
        <w:pStyle w:val="13"/>
        <w:spacing w:before="13"/>
        <w:ind w:left="0"/>
        <w:rPr>
          <w:sz w:val="22"/>
        </w:rPr>
      </w:pPr>
    </w:p>
    <w:tbl>
      <w:tblPr>
        <w:tblStyle w:val="17"/>
        <w:tblW w:w="8441" w:type="dxa"/>
        <w:tblInd w:w="7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6"/>
        <w:gridCol w:w="1164"/>
        <w:gridCol w:w="1748"/>
        <w:gridCol w:w="3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036" w:type="dxa"/>
          </w:tcPr>
          <w:p>
            <w:pPr>
              <w:pStyle w:val="33"/>
              <w:spacing w:line="204" w:lineRule="exact"/>
              <w:ind w:left="1468"/>
              <w:rPr>
                <w:sz w:val="21"/>
              </w:rPr>
            </w:pPr>
            <w:r>
              <w:rPr>
                <w:sz w:val="21"/>
              </w:rPr>
              <w:t>内容</w:t>
            </w:r>
          </w:p>
          <w:p>
            <w:pPr>
              <w:pStyle w:val="33"/>
              <w:spacing w:line="256" w:lineRule="exact"/>
              <w:ind w:left="102"/>
              <w:rPr>
                <w:sz w:val="21"/>
              </w:rPr>
            </w:pPr>
            <w:r>
              <w:rPr>
                <w:sz w:val="21"/>
              </w:rPr>
              <w:t>各类人员</w:t>
            </w:r>
          </w:p>
        </w:tc>
        <w:tc>
          <w:tcPr>
            <w:tcW w:w="1164" w:type="dxa"/>
          </w:tcPr>
          <w:p>
            <w:pPr>
              <w:pStyle w:val="33"/>
              <w:spacing w:before="67"/>
              <w:ind w:left="139" w:right="132"/>
              <w:jc w:val="center"/>
              <w:rPr>
                <w:sz w:val="21"/>
              </w:rPr>
            </w:pPr>
            <w:r>
              <w:rPr>
                <w:sz w:val="21"/>
              </w:rPr>
              <w:t>数量</w:t>
            </w:r>
          </w:p>
        </w:tc>
        <w:tc>
          <w:tcPr>
            <w:tcW w:w="1748" w:type="dxa"/>
          </w:tcPr>
          <w:p>
            <w:pPr>
              <w:pStyle w:val="33"/>
              <w:spacing w:before="67"/>
              <w:ind w:left="115" w:right="111"/>
              <w:jc w:val="center"/>
              <w:rPr>
                <w:sz w:val="21"/>
              </w:rPr>
            </w:pPr>
            <w:r>
              <w:rPr>
                <w:sz w:val="21"/>
              </w:rPr>
              <w:t>资质</w:t>
            </w:r>
          </w:p>
        </w:tc>
        <w:tc>
          <w:tcPr>
            <w:tcW w:w="3493" w:type="dxa"/>
          </w:tcPr>
          <w:p>
            <w:pPr>
              <w:pStyle w:val="33"/>
              <w:spacing w:before="67"/>
              <w:ind w:left="1196" w:right="1195"/>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036" w:type="dxa"/>
          </w:tcPr>
          <w:p>
            <w:pPr>
              <w:pStyle w:val="33"/>
              <w:spacing w:line="267" w:lineRule="exact"/>
              <w:ind w:left="468" w:right="467"/>
              <w:jc w:val="center"/>
              <w:rPr>
                <w:sz w:val="21"/>
              </w:rPr>
            </w:pPr>
            <w:r>
              <w:rPr>
                <w:sz w:val="21"/>
              </w:rPr>
              <w:t>项目经理</w:t>
            </w:r>
          </w:p>
        </w:tc>
        <w:tc>
          <w:tcPr>
            <w:tcW w:w="1164" w:type="dxa"/>
          </w:tcPr>
          <w:p>
            <w:pPr>
              <w:pStyle w:val="33"/>
              <w:spacing w:line="267" w:lineRule="exact"/>
              <w:ind w:left="2"/>
              <w:jc w:val="center"/>
              <w:rPr>
                <w:sz w:val="21"/>
              </w:rPr>
            </w:pPr>
            <w:r>
              <w:rPr>
                <w:w w:val="100"/>
                <w:sz w:val="21"/>
              </w:rPr>
              <w:t>1</w:t>
            </w:r>
          </w:p>
        </w:tc>
        <w:tc>
          <w:tcPr>
            <w:tcW w:w="1748" w:type="dxa"/>
          </w:tcPr>
          <w:p>
            <w:pPr>
              <w:pStyle w:val="33"/>
              <w:spacing w:line="267" w:lineRule="exact"/>
              <w:ind w:left="115" w:right="111"/>
              <w:jc w:val="center"/>
              <w:rPr>
                <w:sz w:val="21"/>
              </w:rPr>
            </w:pPr>
            <w:r>
              <w:rPr>
                <w:sz w:val="21"/>
              </w:rPr>
              <w:t>按资质管理标准</w:t>
            </w:r>
          </w:p>
        </w:tc>
        <w:tc>
          <w:tcPr>
            <w:tcW w:w="3493" w:type="dxa"/>
          </w:tcPr>
          <w:p>
            <w:pPr>
              <w:pStyle w:val="33"/>
              <w:spacing w:line="267" w:lineRule="exact"/>
              <w:ind w:left="1196" w:right="1196"/>
              <w:jc w:val="center"/>
              <w:rPr>
                <w:sz w:val="21"/>
              </w:rPr>
            </w:pPr>
            <w:r>
              <w:rPr>
                <w:sz w:val="21"/>
              </w:rPr>
              <w:t>专职押证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036" w:type="dxa"/>
          </w:tcPr>
          <w:p>
            <w:pPr>
              <w:pStyle w:val="33"/>
              <w:spacing w:line="224" w:lineRule="exact"/>
              <w:ind w:left="468" w:right="467"/>
              <w:jc w:val="center"/>
              <w:rPr>
                <w:sz w:val="21"/>
              </w:rPr>
            </w:pPr>
            <w:r>
              <w:rPr>
                <w:sz w:val="21"/>
              </w:rPr>
              <w:t>项目副经理</w:t>
            </w:r>
          </w:p>
        </w:tc>
        <w:tc>
          <w:tcPr>
            <w:tcW w:w="1164" w:type="dxa"/>
          </w:tcPr>
          <w:p>
            <w:pPr>
              <w:pStyle w:val="33"/>
              <w:spacing w:line="224" w:lineRule="exact"/>
              <w:ind w:left="2"/>
              <w:jc w:val="center"/>
              <w:rPr>
                <w:sz w:val="21"/>
              </w:rPr>
            </w:pPr>
            <w:r>
              <w:rPr>
                <w:w w:val="100"/>
                <w:sz w:val="21"/>
              </w:rPr>
              <w:t>1</w:t>
            </w:r>
          </w:p>
        </w:tc>
        <w:tc>
          <w:tcPr>
            <w:tcW w:w="1748" w:type="dxa"/>
          </w:tcPr>
          <w:p>
            <w:pPr>
              <w:pStyle w:val="33"/>
              <w:rPr>
                <w:rFonts w:ascii="Times New Roman"/>
                <w:sz w:val="16"/>
              </w:rPr>
            </w:pPr>
          </w:p>
        </w:tc>
        <w:tc>
          <w:tcPr>
            <w:tcW w:w="3493" w:type="dxa"/>
          </w:tcPr>
          <w:p>
            <w:pPr>
              <w:pStyle w:val="33"/>
              <w:spacing w:line="224" w:lineRule="exact"/>
              <w:ind w:left="1196" w:right="1196"/>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036" w:type="dxa"/>
          </w:tcPr>
          <w:p>
            <w:pPr>
              <w:pStyle w:val="33"/>
              <w:spacing w:line="220" w:lineRule="exact"/>
              <w:ind w:left="468" w:right="467"/>
              <w:jc w:val="center"/>
              <w:rPr>
                <w:sz w:val="21"/>
              </w:rPr>
            </w:pPr>
            <w:r>
              <w:rPr>
                <w:sz w:val="21"/>
              </w:rPr>
              <w:t>技术负责人</w:t>
            </w:r>
          </w:p>
        </w:tc>
        <w:tc>
          <w:tcPr>
            <w:tcW w:w="1164" w:type="dxa"/>
          </w:tcPr>
          <w:p>
            <w:pPr>
              <w:pStyle w:val="33"/>
              <w:spacing w:line="220" w:lineRule="exact"/>
              <w:ind w:left="2"/>
              <w:jc w:val="center"/>
              <w:rPr>
                <w:sz w:val="21"/>
              </w:rPr>
            </w:pPr>
            <w:r>
              <w:rPr>
                <w:w w:val="100"/>
                <w:sz w:val="21"/>
              </w:rPr>
              <w:t>1</w:t>
            </w:r>
          </w:p>
        </w:tc>
        <w:tc>
          <w:tcPr>
            <w:tcW w:w="1748" w:type="dxa"/>
          </w:tcPr>
          <w:p>
            <w:pPr>
              <w:pStyle w:val="33"/>
              <w:spacing w:line="220" w:lineRule="exact"/>
              <w:ind w:left="115" w:right="111"/>
              <w:jc w:val="center"/>
              <w:rPr>
                <w:sz w:val="21"/>
              </w:rPr>
            </w:pPr>
            <w:r>
              <w:rPr>
                <w:sz w:val="21"/>
              </w:rPr>
              <w:t>工程师</w:t>
            </w:r>
          </w:p>
        </w:tc>
        <w:tc>
          <w:tcPr>
            <w:tcW w:w="3493" w:type="dxa"/>
          </w:tcPr>
          <w:p>
            <w:pPr>
              <w:pStyle w:val="33"/>
              <w:spacing w:line="220" w:lineRule="exact"/>
              <w:ind w:left="1196" w:right="1196"/>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036" w:type="dxa"/>
          </w:tcPr>
          <w:p>
            <w:pPr>
              <w:pStyle w:val="33"/>
              <w:spacing w:line="265" w:lineRule="exact"/>
              <w:ind w:left="468" w:right="464"/>
              <w:jc w:val="center"/>
              <w:rPr>
                <w:sz w:val="21"/>
              </w:rPr>
            </w:pPr>
            <w:r>
              <w:rPr>
                <w:sz w:val="21"/>
              </w:rPr>
              <w:t>施工员</w:t>
            </w:r>
          </w:p>
        </w:tc>
        <w:tc>
          <w:tcPr>
            <w:tcW w:w="1164" w:type="dxa"/>
          </w:tcPr>
          <w:p>
            <w:pPr>
              <w:pStyle w:val="33"/>
              <w:spacing w:line="265" w:lineRule="exact"/>
              <w:ind w:left="139" w:right="132"/>
              <w:jc w:val="center"/>
              <w:rPr>
                <w:sz w:val="21"/>
              </w:rPr>
            </w:pPr>
            <w:r>
              <w:rPr>
                <w:sz w:val="21"/>
              </w:rPr>
              <w:t>1～2</w:t>
            </w:r>
          </w:p>
        </w:tc>
        <w:tc>
          <w:tcPr>
            <w:tcW w:w="1748" w:type="dxa"/>
          </w:tcPr>
          <w:p>
            <w:pPr>
              <w:pStyle w:val="33"/>
              <w:spacing w:line="265" w:lineRule="exact"/>
              <w:ind w:left="115" w:right="111"/>
              <w:jc w:val="center"/>
              <w:rPr>
                <w:sz w:val="21"/>
              </w:rPr>
            </w:pPr>
            <w:r>
              <w:rPr>
                <w:sz w:val="21"/>
              </w:rPr>
              <w:t>中级</w:t>
            </w:r>
          </w:p>
        </w:tc>
        <w:tc>
          <w:tcPr>
            <w:tcW w:w="3493" w:type="dxa"/>
          </w:tcPr>
          <w:p>
            <w:pPr>
              <w:pStyle w:val="33"/>
              <w:spacing w:line="265" w:lineRule="exact"/>
              <w:ind w:left="1196" w:right="1196"/>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036" w:type="dxa"/>
          </w:tcPr>
          <w:p>
            <w:pPr>
              <w:pStyle w:val="33"/>
              <w:spacing w:line="220" w:lineRule="exact"/>
              <w:ind w:left="468" w:right="464"/>
              <w:jc w:val="center"/>
              <w:rPr>
                <w:sz w:val="21"/>
              </w:rPr>
            </w:pPr>
            <w:r>
              <w:rPr>
                <w:sz w:val="21"/>
              </w:rPr>
              <w:t>质检员</w:t>
            </w:r>
          </w:p>
        </w:tc>
        <w:tc>
          <w:tcPr>
            <w:tcW w:w="1164" w:type="dxa"/>
          </w:tcPr>
          <w:p>
            <w:pPr>
              <w:pStyle w:val="33"/>
              <w:spacing w:line="220" w:lineRule="exact"/>
              <w:ind w:left="2"/>
              <w:jc w:val="center"/>
              <w:rPr>
                <w:sz w:val="21"/>
              </w:rPr>
            </w:pPr>
            <w:r>
              <w:rPr>
                <w:w w:val="100"/>
                <w:sz w:val="21"/>
              </w:rPr>
              <w:t>1</w:t>
            </w:r>
          </w:p>
        </w:tc>
        <w:tc>
          <w:tcPr>
            <w:tcW w:w="1748" w:type="dxa"/>
          </w:tcPr>
          <w:p>
            <w:pPr>
              <w:pStyle w:val="33"/>
              <w:spacing w:line="220" w:lineRule="exact"/>
              <w:ind w:left="115" w:right="111"/>
              <w:jc w:val="center"/>
              <w:rPr>
                <w:sz w:val="21"/>
              </w:rPr>
            </w:pPr>
            <w:r>
              <w:rPr>
                <w:sz w:val="21"/>
              </w:rPr>
              <w:t>中级</w:t>
            </w:r>
          </w:p>
        </w:tc>
        <w:tc>
          <w:tcPr>
            <w:tcW w:w="3493" w:type="dxa"/>
          </w:tcPr>
          <w:p>
            <w:pPr>
              <w:pStyle w:val="33"/>
              <w:spacing w:line="220" w:lineRule="exact"/>
              <w:ind w:left="1196" w:right="1196"/>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036" w:type="dxa"/>
          </w:tcPr>
          <w:p>
            <w:pPr>
              <w:pStyle w:val="33"/>
              <w:spacing w:before="2" w:line="240" w:lineRule="exact"/>
              <w:ind w:left="803" w:right="154" w:hanging="632"/>
              <w:rPr>
                <w:sz w:val="21"/>
              </w:rPr>
            </w:pPr>
            <w:r>
              <w:rPr>
                <w:sz w:val="21"/>
              </w:rPr>
              <w:t>专职安全生产管理人员</w:t>
            </w:r>
          </w:p>
        </w:tc>
        <w:tc>
          <w:tcPr>
            <w:tcW w:w="1164" w:type="dxa"/>
          </w:tcPr>
          <w:p>
            <w:pPr>
              <w:pStyle w:val="33"/>
              <w:spacing w:before="69"/>
              <w:ind w:left="2"/>
              <w:jc w:val="center"/>
              <w:rPr>
                <w:sz w:val="21"/>
              </w:rPr>
            </w:pPr>
            <w:r>
              <w:rPr>
                <w:w w:val="100"/>
                <w:sz w:val="21"/>
              </w:rPr>
              <w:t>2</w:t>
            </w:r>
          </w:p>
        </w:tc>
        <w:tc>
          <w:tcPr>
            <w:tcW w:w="1748" w:type="dxa"/>
          </w:tcPr>
          <w:p>
            <w:pPr>
              <w:pStyle w:val="33"/>
              <w:spacing w:before="69"/>
              <w:ind w:left="115" w:right="111"/>
              <w:jc w:val="center"/>
              <w:rPr>
                <w:sz w:val="21"/>
              </w:rPr>
            </w:pPr>
            <w:r>
              <w:rPr>
                <w:sz w:val="21"/>
              </w:rPr>
              <w:t>C 证</w:t>
            </w:r>
          </w:p>
        </w:tc>
        <w:tc>
          <w:tcPr>
            <w:tcW w:w="3493" w:type="dxa"/>
          </w:tcPr>
          <w:p>
            <w:pPr>
              <w:pStyle w:val="33"/>
              <w:spacing w:before="69"/>
              <w:ind w:left="1196" w:right="1196"/>
              <w:jc w:val="center"/>
              <w:rPr>
                <w:sz w:val="21"/>
              </w:rPr>
            </w:pPr>
            <w:r>
              <w:rPr>
                <w:sz w:val="21"/>
              </w:rPr>
              <w:t>专职押证</w:t>
            </w:r>
          </w:p>
        </w:tc>
      </w:tr>
    </w:tbl>
    <w:p>
      <w:pPr>
        <w:pStyle w:val="13"/>
        <w:spacing w:before="2"/>
        <w:ind w:left="0"/>
        <w:rPr>
          <w:sz w:val="17"/>
        </w:rPr>
      </w:pPr>
    </w:p>
    <w:p>
      <w:pPr>
        <w:pStyle w:val="32"/>
        <w:numPr>
          <w:ilvl w:val="1"/>
          <w:numId w:val="60"/>
        </w:numPr>
        <w:tabs>
          <w:tab w:val="left" w:pos="852"/>
          <w:tab w:val="left" w:pos="7928"/>
        </w:tabs>
        <w:spacing w:before="0" w:after="0" w:line="240" w:lineRule="auto"/>
        <w:ind w:left="851" w:right="659" w:hanging="318"/>
        <w:jc w:val="left"/>
        <w:rPr>
          <w:sz w:val="21"/>
        </w:rPr>
      </w:pPr>
      <w:r>
        <mc:AlternateContent>
          <mc:Choice Requires="wps">
            <w:drawing>
              <wp:anchor distT="0" distB="0" distL="114300" distR="114300" simplePos="0" relativeHeight="503027712" behindDoc="1" locked="0" layoutInCell="1" allowOverlap="1">
                <wp:simplePos x="0" y="0"/>
                <wp:positionH relativeFrom="page">
                  <wp:posOffset>1149350</wp:posOffset>
                </wp:positionH>
                <wp:positionV relativeFrom="paragraph">
                  <wp:posOffset>370205</wp:posOffset>
                </wp:positionV>
                <wp:extent cx="1286510" cy="304800"/>
                <wp:effectExtent l="1270" t="4445" r="7620" b="14605"/>
                <wp:wrapNone/>
                <wp:docPr id="254" name="直线 131"/>
                <wp:cNvGraphicFramePr/>
                <a:graphic xmlns:a="http://schemas.openxmlformats.org/drawingml/2006/main">
                  <a:graphicData uri="http://schemas.microsoft.com/office/word/2010/wordprocessingShape">
                    <wps:wsp>
                      <wps:cNvCnPr/>
                      <wps:spPr>
                        <a:xfrm>
                          <a:off x="0" y="0"/>
                          <a:ext cx="1286510" cy="30480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31" o:spid="_x0000_s1026" o:spt="20" style="position:absolute;left:0pt;margin-left:90.5pt;margin-top:29.15pt;height:24pt;width:101.3pt;mso-position-horizontal-relative:page;z-index:-288768;mso-width-relative:page;mso-height-relative:page;" filled="f" stroked="t" coordsize="21600,21600" o:gfxdata="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wmyYtgAAAAKAQAADwAAAAAAAAAB&#10;ACAAAAAiAAAAZHJzL2Rvd25yZXYueG1sUEsBAhQAFAAAAAgAh07iQDLrbtDXAQAAlgMAAA4AAAAA&#10;AAAAAQAgAAAAJwEAAGRycy9lMm9Eb2MueG1sUEsFBgAAAAAGAAYAWQEAAHAFAAAAAA==&#10;">
                <v:fill on="f" focussize="0,0"/>
                <v:stroke weight="0.48pt" color="#000000" joinstyle="round"/>
                <v:imagedata o:title=""/>
                <o:lock v:ext="edit" aspectratio="f"/>
              </v:line>
            </w:pict>
          </mc:Fallback>
        </mc:AlternateContent>
      </w:r>
      <w:r>
        <w:rPr>
          <w:spacing w:val="-3"/>
          <w:sz w:val="21"/>
        </w:rPr>
        <w:t>、</w:t>
      </w:r>
      <w:r>
        <w:rPr>
          <w:sz w:val="21"/>
        </w:rPr>
        <w:t>5</w:t>
      </w:r>
      <w:r>
        <w:rPr>
          <w:spacing w:val="-42"/>
          <w:sz w:val="21"/>
        </w:rPr>
        <w:t xml:space="preserve"> </w:t>
      </w:r>
      <w:r>
        <w:rPr>
          <w:spacing w:val="-3"/>
          <w:sz w:val="21"/>
        </w:rPr>
        <w:t>万</w:t>
      </w:r>
      <w:r>
        <w:rPr>
          <w:sz w:val="21"/>
        </w:rPr>
        <w:t>平</w:t>
      </w:r>
      <w:r>
        <w:rPr>
          <w:spacing w:val="-3"/>
          <w:sz w:val="21"/>
        </w:rPr>
        <w:t>方</w:t>
      </w:r>
      <w:r>
        <w:rPr>
          <w:sz w:val="21"/>
        </w:rPr>
        <w:t>米</w:t>
      </w:r>
      <w:r>
        <w:rPr>
          <w:spacing w:val="-3"/>
          <w:sz w:val="21"/>
        </w:rPr>
        <w:t>以</w:t>
      </w:r>
      <w:r>
        <w:rPr>
          <w:sz w:val="21"/>
        </w:rPr>
        <w:t>上</w:t>
      </w:r>
      <w:r>
        <w:rPr>
          <w:spacing w:val="-3"/>
          <w:sz w:val="21"/>
        </w:rPr>
        <w:t>的房</w:t>
      </w:r>
      <w:r>
        <w:rPr>
          <w:sz w:val="21"/>
        </w:rPr>
        <w:t>屋建</w:t>
      </w:r>
      <w:r>
        <w:rPr>
          <w:spacing w:val="-3"/>
          <w:sz w:val="21"/>
        </w:rPr>
        <w:t>筑</w:t>
      </w:r>
      <w:r>
        <w:rPr>
          <w:sz w:val="21"/>
        </w:rPr>
        <w:t>工</w:t>
      </w:r>
      <w:r>
        <w:rPr>
          <w:spacing w:val="-3"/>
          <w:sz w:val="21"/>
        </w:rPr>
        <w:t>程</w:t>
      </w:r>
      <w:r>
        <w:rPr>
          <w:sz w:val="21"/>
        </w:rPr>
        <w:t>或</w:t>
      </w:r>
      <w:r>
        <w:rPr>
          <w:spacing w:val="-42"/>
          <w:sz w:val="21"/>
        </w:rPr>
        <w:t xml:space="preserve"> </w:t>
      </w:r>
      <w:r>
        <w:rPr>
          <w:sz w:val="21"/>
        </w:rPr>
        <w:t>1</w:t>
      </w:r>
      <w:r>
        <w:rPr>
          <w:spacing w:val="-44"/>
          <w:sz w:val="21"/>
        </w:rPr>
        <w:t xml:space="preserve"> </w:t>
      </w:r>
      <w:r>
        <w:rPr>
          <w:sz w:val="21"/>
        </w:rPr>
        <w:t>亿</w:t>
      </w:r>
      <w:r>
        <w:rPr>
          <w:spacing w:val="-3"/>
          <w:sz w:val="21"/>
        </w:rPr>
        <w:t>以</w:t>
      </w:r>
      <w:r>
        <w:rPr>
          <w:sz w:val="21"/>
        </w:rPr>
        <w:t>上</w:t>
      </w:r>
      <w:r>
        <w:rPr>
          <w:spacing w:val="-3"/>
          <w:sz w:val="21"/>
        </w:rPr>
        <w:t>市</w:t>
      </w:r>
      <w:r>
        <w:rPr>
          <w:sz w:val="21"/>
        </w:rPr>
        <w:t>政工</w:t>
      </w:r>
      <w:r>
        <w:rPr>
          <w:spacing w:val="-3"/>
          <w:sz w:val="21"/>
        </w:rPr>
        <w:t>程</w:t>
      </w:r>
      <w:r>
        <w:rPr>
          <w:sz w:val="21"/>
        </w:rPr>
        <w:t>和</w:t>
      </w:r>
      <w:r>
        <w:rPr>
          <w:spacing w:val="-3"/>
          <w:sz w:val="21"/>
        </w:rPr>
        <w:t>其</w:t>
      </w:r>
      <w:r>
        <w:rPr>
          <w:sz w:val="21"/>
        </w:rPr>
        <w:t>他</w:t>
      </w:r>
      <w:r>
        <w:rPr>
          <w:spacing w:val="-3"/>
          <w:sz w:val="21"/>
        </w:rPr>
        <w:t>工</w:t>
      </w:r>
      <w:r>
        <w:rPr>
          <w:sz w:val="21"/>
        </w:rPr>
        <w:t>程</w:t>
      </w:r>
      <w:r>
        <w:rPr>
          <w:sz w:val="21"/>
        </w:rPr>
        <w:tab/>
      </w:r>
      <w:r>
        <w:rPr>
          <w:sz w:val="21"/>
        </w:rPr>
        <w:t>表</w:t>
      </w:r>
      <w:r>
        <w:rPr>
          <w:spacing w:val="-52"/>
          <w:sz w:val="21"/>
        </w:rPr>
        <w:t xml:space="preserve"> </w:t>
      </w:r>
      <w:r>
        <w:rPr>
          <w:sz w:val="21"/>
        </w:rPr>
        <w:t>3</w:t>
      </w:r>
    </w:p>
    <w:p>
      <w:pPr>
        <w:pStyle w:val="13"/>
        <w:spacing w:before="10"/>
        <w:ind w:left="0"/>
        <w:rPr>
          <w:sz w:val="22"/>
        </w:rPr>
      </w:pPr>
    </w:p>
    <w:tbl>
      <w:tblPr>
        <w:tblStyle w:val="17"/>
        <w:tblW w:w="8441" w:type="dxa"/>
        <w:tblInd w:w="7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6"/>
        <w:gridCol w:w="1164"/>
        <w:gridCol w:w="1748"/>
        <w:gridCol w:w="3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036" w:type="dxa"/>
          </w:tcPr>
          <w:p>
            <w:pPr>
              <w:pStyle w:val="33"/>
              <w:spacing w:line="204" w:lineRule="exact"/>
              <w:ind w:right="60"/>
              <w:jc w:val="right"/>
              <w:rPr>
                <w:sz w:val="21"/>
              </w:rPr>
            </w:pPr>
            <w:r>
              <w:rPr>
                <w:sz w:val="21"/>
              </w:rPr>
              <w:t>内容</w:t>
            </w:r>
          </w:p>
          <w:p>
            <w:pPr>
              <w:pStyle w:val="33"/>
              <w:spacing w:line="256" w:lineRule="exact"/>
              <w:ind w:left="102"/>
              <w:rPr>
                <w:sz w:val="21"/>
              </w:rPr>
            </w:pPr>
            <w:r>
              <w:rPr>
                <w:sz w:val="21"/>
              </w:rPr>
              <w:t>各类人员</w:t>
            </w:r>
          </w:p>
        </w:tc>
        <w:tc>
          <w:tcPr>
            <w:tcW w:w="1164" w:type="dxa"/>
          </w:tcPr>
          <w:p>
            <w:pPr>
              <w:pStyle w:val="33"/>
              <w:spacing w:before="66"/>
              <w:ind w:left="139" w:right="132"/>
              <w:jc w:val="center"/>
              <w:rPr>
                <w:sz w:val="21"/>
              </w:rPr>
            </w:pPr>
            <w:r>
              <w:rPr>
                <w:sz w:val="21"/>
              </w:rPr>
              <w:t>数量</w:t>
            </w:r>
          </w:p>
        </w:tc>
        <w:tc>
          <w:tcPr>
            <w:tcW w:w="1748" w:type="dxa"/>
          </w:tcPr>
          <w:p>
            <w:pPr>
              <w:pStyle w:val="33"/>
              <w:spacing w:before="66"/>
              <w:ind w:left="115" w:right="111"/>
              <w:jc w:val="center"/>
              <w:rPr>
                <w:sz w:val="21"/>
              </w:rPr>
            </w:pPr>
            <w:r>
              <w:rPr>
                <w:sz w:val="21"/>
              </w:rPr>
              <w:t>资质</w:t>
            </w:r>
          </w:p>
        </w:tc>
        <w:tc>
          <w:tcPr>
            <w:tcW w:w="3493" w:type="dxa"/>
          </w:tcPr>
          <w:p>
            <w:pPr>
              <w:pStyle w:val="33"/>
              <w:spacing w:before="66"/>
              <w:ind w:left="1196" w:right="1195"/>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036" w:type="dxa"/>
          </w:tcPr>
          <w:p>
            <w:pPr>
              <w:pStyle w:val="33"/>
              <w:spacing w:line="267" w:lineRule="exact"/>
              <w:ind w:left="468" w:right="467"/>
              <w:jc w:val="center"/>
              <w:rPr>
                <w:sz w:val="21"/>
              </w:rPr>
            </w:pPr>
            <w:r>
              <w:rPr>
                <w:sz w:val="21"/>
              </w:rPr>
              <w:t>项目经理</w:t>
            </w:r>
          </w:p>
        </w:tc>
        <w:tc>
          <w:tcPr>
            <w:tcW w:w="1164" w:type="dxa"/>
          </w:tcPr>
          <w:p>
            <w:pPr>
              <w:pStyle w:val="33"/>
              <w:spacing w:line="267" w:lineRule="exact"/>
              <w:ind w:left="2"/>
              <w:jc w:val="center"/>
              <w:rPr>
                <w:sz w:val="21"/>
              </w:rPr>
            </w:pPr>
            <w:r>
              <w:rPr>
                <w:w w:val="100"/>
                <w:sz w:val="21"/>
              </w:rPr>
              <w:t>1</w:t>
            </w:r>
          </w:p>
        </w:tc>
        <w:tc>
          <w:tcPr>
            <w:tcW w:w="1748" w:type="dxa"/>
          </w:tcPr>
          <w:p>
            <w:pPr>
              <w:pStyle w:val="33"/>
              <w:spacing w:line="267" w:lineRule="exact"/>
              <w:ind w:left="115" w:right="109"/>
              <w:jc w:val="center"/>
              <w:rPr>
                <w:sz w:val="21"/>
              </w:rPr>
            </w:pPr>
            <w:r>
              <w:rPr>
                <w:sz w:val="21"/>
              </w:rPr>
              <w:t>按资质标准</w:t>
            </w:r>
          </w:p>
        </w:tc>
        <w:tc>
          <w:tcPr>
            <w:tcW w:w="3493" w:type="dxa"/>
          </w:tcPr>
          <w:p>
            <w:pPr>
              <w:pStyle w:val="33"/>
              <w:spacing w:line="267" w:lineRule="exact"/>
              <w:ind w:left="1196" w:right="1196"/>
              <w:jc w:val="center"/>
              <w:rPr>
                <w:sz w:val="21"/>
              </w:rPr>
            </w:pPr>
            <w:r>
              <w:rPr>
                <w:sz w:val="21"/>
              </w:rPr>
              <w:t>专职、押证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2036" w:type="dxa"/>
          </w:tcPr>
          <w:p>
            <w:pPr>
              <w:pStyle w:val="33"/>
              <w:spacing w:line="226" w:lineRule="exact"/>
              <w:ind w:left="468" w:right="467"/>
              <w:jc w:val="center"/>
              <w:rPr>
                <w:sz w:val="21"/>
              </w:rPr>
            </w:pPr>
            <w:r>
              <w:rPr>
                <w:sz w:val="21"/>
              </w:rPr>
              <w:t>项目副经理</w:t>
            </w:r>
          </w:p>
        </w:tc>
        <w:tc>
          <w:tcPr>
            <w:tcW w:w="1164" w:type="dxa"/>
          </w:tcPr>
          <w:p>
            <w:pPr>
              <w:pStyle w:val="33"/>
              <w:spacing w:line="226" w:lineRule="exact"/>
              <w:ind w:left="2"/>
              <w:jc w:val="center"/>
              <w:rPr>
                <w:sz w:val="21"/>
              </w:rPr>
            </w:pPr>
            <w:r>
              <w:rPr>
                <w:w w:val="100"/>
                <w:sz w:val="21"/>
              </w:rPr>
              <w:t>2</w:t>
            </w:r>
          </w:p>
        </w:tc>
        <w:tc>
          <w:tcPr>
            <w:tcW w:w="1748" w:type="dxa"/>
          </w:tcPr>
          <w:p>
            <w:pPr>
              <w:pStyle w:val="33"/>
              <w:rPr>
                <w:rFonts w:ascii="Times New Roman"/>
                <w:sz w:val="18"/>
              </w:rPr>
            </w:pPr>
          </w:p>
        </w:tc>
        <w:tc>
          <w:tcPr>
            <w:tcW w:w="3493" w:type="dxa"/>
          </w:tcPr>
          <w:p>
            <w:pPr>
              <w:pStyle w:val="33"/>
              <w:spacing w:line="226" w:lineRule="exact"/>
              <w:ind w:left="1196" w:right="1196"/>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036" w:type="dxa"/>
          </w:tcPr>
          <w:p>
            <w:pPr>
              <w:pStyle w:val="33"/>
              <w:spacing w:line="220" w:lineRule="exact"/>
              <w:ind w:left="468" w:right="467"/>
              <w:jc w:val="center"/>
              <w:rPr>
                <w:sz w:val="21"/>
              </w:rPr>
            </w:pPr>
            <w:r>
              <w:rPr>
                <w:sz w:val="21"/>
              </w:rPr>
              <w:t>技术负责人</w:t>
            </w:r>
          </w:p>
        </w:tc>
        <w:tc>
          <w:tcPr>
            <w:tcW w:w="1164" w:type="dxa"/>
          </w:tcPr>
          <w:p>
            <w:pPr>
              <w:pStyle w:val="33"/>
              <w:spacing w:line="220" w:lineRule="exact"/>
              <w:ind w:left="2"/>
              <w:jc w:val="center"/>
              <w:rPr>
                <w:sz w:val="21"/>
              </w:rPr>
            </w:pPr>
            <w:r>
              <w:rPr>
                <w:w w:val="100"/>
                <w:sz w:val="21"/>
              </w:rPr>
              <w:t>1</w:t>
            </w:r>
          </w:p>
        </w:tc>
        <w:tc>
          <w:tcPr>
            <w:tcW w:w="1748" w:type="dxa"/>
          </w:tcPr>
          <w:p>
            <w:pPr>
              <w:pStyle w:val="33"/>
              <w:spacing w:line="220" w:lineRule="exact"/>
              <w:ind w:left="115" w:right="109"/>
              <w:jc w:val="center"/>
              <w:rPr>
                <w:sz w:val="21"/>
              </w:rPr>
            </w:pPr>
            <w:r>
              <w:rPr>
                <w:sz w:val="21"/>
              </w:rPr>
              <w:t>工程师以上</w:t>
            </w:r>
          </w:p>
        </w:tc>
        <w:tc>
          <w:tcPr>
            <w:tcW w:w="3493" w:type="dxa"/>
          </w:tcPr>
          <w:p>
            <w:pPr>
              <w:pStyle w:val="33"/>
              <w:spacing w:line="220" w:lineRule="exact"/>
              <w:ind w:left="102"/>
              <w:rPr>
                <w:sz w:val="21"/>
              </w:rPr>
            </w:pPr>
            <w:r>
              <w:rPr>
                <w:sz w:val="21"/>
              </w:rPr>
              <w:t>工程师专职，高级工程师兼职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036" w:type="dxa"/>
          </w:tcPr>
          <w:p>
            <w:pPr>
              <w:pStyle w:val="33"/>
              <w:spacing w:line="265" w:lineRule="exact"/>
              <w:ind w:left="468" w:right="464"/>
              <w:jc w:val="center"/>
              <w:rPr>
                <w:sz w:val="21"/>
              </w:rPr>
            </w:pPr>
            <w:r>
              <w:rPr>
                <w:sz w:val="21"/>
              </w:rPr>
              <w:t>施工员</w:t>
            </w:r>
          </w:p>
        </w:tc>
        <w:tc>
          <w:tcPr>
            <w:tcW w:w="1164" w:type="dxa"/>
          </w:tcPr>
          <w:p>
            <w:pPr>
              <w:pStyle w:val="33"/>
              <w:spacing w:line="265" w:lineRule="exact"/>
              <w:ind w:left="139" w:right="135"/>
              <w:jc w:val="center"/>
              <w:rPr>
                <w:sz w:val="21"/>
              </w:rPr>
            </w:pPr>
            <w:r>
              <w:rPr>
                <w:sz w:val="21"/>
              </w:rPr>
              <w:t>2 人以上</w:t>
            </w:r>
          </w:p>
        </w:tc>
        <w:tc>
          <w:tcPr>
            <w:tcW w:w="1748" w:type="dxa"/>
          </w:tcPr>
          <w:p>
            <w:pPr>
              <w:pStyle w:val="33"/>
              <w:spacing w:line="265" w:lineRule="exact"/>
              <w:ind w:left="115" w:right="111"/>
              <w:jc w:val="center"/>
              <w:rPr>
                <w:sz w:val="21"/>
              </w:rPr>
            </w:pPr>
            <w:r>
              <w:rPr>
                <w:sz w:val="21"/>
              </w:rPr>
              <w:t>中级</w:t>
            </w:r>
          </w:p>
        </w:tc>
        <w:tc>
          <w:tcPr>
            <w:tcW w:w="3493" w:type="dxa"/>
          </w:tcPr>
          <w:p>
            <w:pPr>
              <w:pStyle w:val="33"/>
              <w:spacing w:line="265" w:lineRule="exact"/>
              <w:ind w:left="1196" w:right="1196"/>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2036" w:type="dxa"/>
          </w:tcPr>
          <w:p>
            <w:pPr>
              <w:pStyle w:val="33"/>
              <w:spacing w:line="220" w:lineRule="exact"/>
              <w:ind w:left="468" w:right="464"/>
              <w:jc w:val="center"/>
              <w:rPr>
                <w:sz w:val="21"/>
              </w:rPr>
            </w:pPr>
            <w:r>
              <w:rPr>
                <w:sz w:val="21"/>
              </w:rPr>
              <w:t>质检员</w:t>
            </w:r>
          </w:p>
        </w:tc>
        <w:tc>
          <w:tcPr>
            <w:tcW w:w="1164" w:type="dxa"/>
          </w:tcPr>
          <w:p>
            <w:pPr>
              <w:pStyle w:val="33"/>
              <w:spacing w:line="220" w:lineRule="exact"/>
              <w:ind w:left="2"/>
              <w:jc w:val="center"/>
              <w:rPr>
                <w:sz w:val="21"/>
              </w:rPr>
            </w:pPr>
            <w:r>
              <w:rPr>
                <w:w w:val="100"/>
                <w:sz w:val="21"/>
              </w:rPr>
              <w:t>2</w:t>
            </w:r>
          </w:p>
        </w:tc>
        <w:tc>
          <w:tcPr>
            <w:tcW w:w="1748" w:type="dxa"/>
          </w:tcPr>
          <w:p>
            <w:pPr>
              <w:pStyle w:val="33"/>
              <w:spacing w:line="220" w:lineRule="exact"/>
              <w:ind w:left="115" w:right="111"/>
              <w:jc w:val="center"/>
              <w:rPr>
                <w:sz w:val="21"/>
              </w:rPr>
            </w:pPr>
            <w:r>
              <w:rPr>
                <w:sz w:val="21"/>
              </w:rPr>
              <w:t>中级</w:t>
            </w:r>
          </w:p>
        </w:tc>
        <w:tc>
          <w:tcPr>
            <w:tcW w:w="3493" w:type="dxa"/>
          </w:tcPr>
          <w:p>
            <w:pPr>
              <w:pStyle w:val="33"/>
              <w:spacing w:line="220" w:lineRule="exact"/>
              <w:ind w:left="1196" w:right="1196"/>
              <w:jc w:val="center"/>
              <w:rPr>
                <w:sz w:val="21"/>
              </w:rPr>
            </w:pPr>
            <w:r>
              <w:rPr>
                <w:sz w:val="21"/>
              </w:rPr>
              <w:t>专职不押证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036" w:type="dxa"/>
          </w:tcPr>
          <w:p>
            <w:pPr>
              <w:pStyle w:val="33"/>
              <w:spacing w:before="102" w:line="208" w:lineRule="auto"/>
              <w:ind w:left="803" w:right="154" w:hanging="632"/>
              <w:rPr>
                <w:sz w:val="21"/>
              </w:rPr>
            </w:pPr>
            <w:r>
              <w:rPr>
                <w:sz w:val="21"/>
              </w:rPr>
              <w:t>专职安全生产管理人员</w:t>
            </w:r>
          </w:p>
        </w:tc>
        <w:tc>
          <w:tcPr>
            <w:tcW w:w="1164" w:type="dxa"/>
          </w:tcPr>
          <w:p>
            <w:pPr>
              <w:pStyle w:val="33"/>
              <w:spacing w:before="3"/>
              <w:rPr>
                <w:sz w:val="14"/>
              </w:rPr>
            </w:pPr>
          </w:p>
          <w:p>
            <w:pPr>
              <w:pStyle w:val="33"/>
              <w:ind w:left="2"/>
              <w:jc w:val="center"/>
              <w:rPr>
                <w:sz w:val="21"/>
              </w:rPr>
            </w:pPr>
            <w:r>
              <w:rPr>
                <w:w w:val="100"/>
                <w:sz w:val="21"/>
              </w:rPr>
              <w:t>3</w:t>
            </w:r>
          </w:p>
        </w:tc>
        <w:tc>
          <w:tcPr>
            <w:tcW w:w="1748" w:type="dxa"/>
          </w:tcPr>
          <w:p>
            <w:pPr>
              <w:pStyle w:val="33"/>
              <w:spacing w:before="3"/>
              <w:rPr>
                <w:sz w:val="14"/>
              </w:rPr>
            </w:pPr>
          </w:p>
          <w:p>
            <w:pPr>
              <w:pStyle w:val="33"/>
              <w:ind w:left="115" w:right="111"/>
              <w:jc w:val="center"/>
              <w:rPr>
                <w:sz w:val="21"/>
              </w:rPr>
            </w:pPr>
            <w:r>
              <w:rPr>
                <w:sz w:val="21"/>
              </w:rPr>
              <w:t>C 证</w:t>
            </w:r>
          </w:p>
        </w:tc>
        <w:tc>
          <w:tcPr>
            <w:tcW w:w="3493" w:type="dxa"/>
          </w:tcPr>
          <w:p>
            <w:pPr>
              <w:pStyle w:val="33"/>
              <w:spacing w:line="240" w:lineRule="exact"/>
              <w:ind w:left="102" w:right="98"/>
              <w:jc w:val="both"/>
              <w:rPr>
                <w:sz w:val="21"/>
              </w:rPr>
            </w:pPr>
            <w:r>
              <w:rPr>
                <w:spacing w:val="-11"/>
                <w:sz w:val="21"/>
              </w:rPr>
              <w:t>专职、押证，应当设置安全主管，按</w:t>
            </w:r>
            <w:r>
              <w:rPr>
                <w:spacing w:val="-12"/>
                <w:sz w:val="21"/>
              </w:rPr>
              <w:t>土建、机电设备等专业设置专职安全</w:t>
            </w:r>
            <w:r>
              <w:rPr>
                <w:spacing w:val="-6"/>
                <w:sz w:val="21"/>
              </w:rPr>
              <w:t>生产管理人员</w:t>
            </w:r>
          </w:p>
        </w:tc>
      </w:tr>
    </w:tbl>
    <w:p>
      <w:pPr>
        <w:pStyle w:val="13"/>
        <w:ind w:left="0"/>
        <w:rPr>
          <w:sz w:val="20"/>
        </w:rPr>
      </w:pPr>
    </w:p>
    <w:p>
      <w:pPr>
        <w:pStyle w:val="13"/>
        <w:ind w:left="0"/>
        <w:rPr>
          <w:sz w:val="28"/>
        </w:rPr>
      </w:pPr>
    </w:p>
    <w:p>
      <w:pPr>
        <w:pStyle w:val="7"/>
        <w:ind w:left="4129" w:right="3589"/>
      </w:pPr>
      <w:r>
        <w:rPr>
          <w:rFonts w:hint="eastAsia"/>
          <w:w w:val="95"/>
          <w:lang w:val="en-US" w:eastAsia="zh-CN"/>
        </w:rPr>
        <w:t>6</w:t>
      </w:r>
      <w:r>
        <w:rPr>
          <w:w w:val="95"/>
        </w:rPr>
        <w:t>、主要人员简历表</w:t>
      </w:r>
    </w:p>
    <w:p>
      <w:pPr>
        <w:pStyle w:val="13"/>
        <w:ind w:left="0"/>
        <w:rPr>
          <w:b/>
          <w:sz w:val="20"/>
        </w:rPr>
      </w:pPr>
    </w:p>
    <w:p>
      <w:pPr>
        <w:pStyle w:val="13"/>
        <w:ind w:left="0"/>
        <w:rPr>
          <w:b/>
          <w:sz w:val="20"/>
        </w:rPr>
      </w:pPr>
    </w:p>
    <w:p>
      <w:pPr>
        <w:pStyle w:val="13"/>
        <w:spacing w:before="4"/>
        <w:ind w:left="0"/>
        <w:rPr>
          <w:b/>
          <w:sz w:val="26"/>
        </w:rPr>
      </w:pPr>
    </w:p>
    <w:tbl>
      <w:tblPr>
        <w:tblStyle w:val="17"/>
        <w:tblW w:w="8524" w:type="dxa"/>
        <w:tblInd w:w="7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60"/>
        <w:gridCol w:w="721"/>
        <w:gridCol w:w="926"/>
        <w:gridCol w:w="1066"/>
        <w:gridCol w:w="708"/>
        <w:gridCol w:w="1260"/>
        <w:gridCol w:w="163"/>
        <w:gridCol w:w="2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86" w:type="dxa"/>
          </w:tcPr>
          <w:p>
            <w:pPr>
              <w:pStyle w:val="33"/>
              <w:tabs>
                <w:tab w:val="left" w:pos="422"/>
              </w:tabs>
              <w:spacing w:line="263" w:lineRule="exact"/>
              <w:ind w:left="2"/>
              <w:rPr>
                <w:sz w:val="21"/>
              </w:rPr>
            </w:pPr>
            <w:r>
              <w:rPr>
                <w:sz w:val="21"/>
              </w:rPr>
              <w:t>姓</w:t>
            </w:r>
            <w:r>
              <w:rPr>
                <w:sz w:val="21"/>
              </w:rPr>
              <w:tab/>
            </w:r>
            <w:r>
              <w:rPr>
                <w:sz w:val="21"/>
              </w:rPr>
              <w:t>名</w:t>
            </w:r>
          </w:p>
        </w:tc>
        <w:tc>
          <w:tcPr>
            <w:tcW w:w="1081" w:type="dxa"/>
            <w:gridSpan w:val="2"/>
          </w:tcPr>
          <w:p>
            <w:pPr>
              <w:pStyle w:val="33"/>
              <w:rPr>
                <w:rFonts w:ascii="Times New Roman"/>
                <w:sz w:val="20"/>
              </w:rPr>
            </w:pPr>
          </w:p>
        </w:tc>
        <w:tc>
          <w:tcPr>
            <w:tcW w:w="926" w:type="dxa"/>
          </w:tcPr>
          <w:p>
            <w:pPr>
              <w:pStyle w:val="33"/>
              <w:tabs>
                <w:tab w:val="left" w:pos="424"/>
              </w:tabs>
              <w:spacing w:line="263" w:lineRule="exact"/>
              <w:ind w:left="2"/>
              <w:rPr>
                <w:sz w:val="21"/>
              </w:rPr>
            </w:pPr>
            <w:r>
              <w:rPr>
                <w:sz w:val="21"/>
              </w:rPr>
              <w:t>年</w:t>
            </w:r>
            <w:r>
              <w:rPr>
                <w:sz w:val="21"/>
              </w:rPr>
              <w:tab/>
            </w:r>
            <w:r>
              <w:rPr>
                <w:sz w:val="21"/>
              </w:rPr>
              <w:t>龄</w:t>
            </w:r>
          </w:p>
        </w:tc>
        <w:tc>
          <w:tcPr>
            <w:tcW w:w="1066" w:type="dxa"/>
          </w:tcPr>
          <w:p>
            <w:pPr>
              <w:pStyle w:val="33"/>
              <w:rPr>
                <w:rFonts w:ascii="Times New Roman"/>
                <w:sz w:val="20"/>
              </w:rPr>
            </w:pPr>
          </w:p>
        </w:tc>
        <w:tc>
          <w:tcPr>
            <w:tcW w:w="2131" w:type="dxa"/>
            <w:gridSpan w:val="3"/>
          </w:tcPr>
          <w:p>
            <w:pPr>
              <w:pStyle w:val="33"/>
              <w:spacing w:line="263" w:lineRule="exact"/>
              <w:ind w:left="2"/>
              <w:rPr>
                <w:sz w:val="21"/>
              </w:rPr>
            </w:pPr>
            <w:r>
              <w:rPr>
                <w:sz w:val="21"/>
              </w:rPr>
              <w:t>学历</w:t>
            </w:r>
          </w:p>
        </w:tc>
        <w:tc>
          <w:tcPr>
            <w:tcW w:w="213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86" w:type="dxa"/>
          </w:tcPr>
          <w:p>
            <w:pPr>
              <w:pStyle w:val="33"/>
              <w:tabs>
                <w:tab w:val="left" w:pos="422"/>
              </w:tabs>
              <w:spacing w:line="262" w:lineRule="exact"/>
              <w:ind w:left="2"/>
              <w:rPr>
                <w:sz w:val="21"/>
              </w:rPr>
            </w:pPr>
            <w:r>
              <w:rPr>
                <w:sz w:val="21"/>
              </w:rPr>
              <w:t>职</w:t>
            </w:r>
            <w:r>
              <w:rPr>
                <w:sz w:val="21"/>
              </w:rPr>
              <w:tab/>
            </w:r>
            <w:r>
              <w:rPr>
                <w:sz w:val="21"/>
              </w:rPr>
              <w:t>称</w:t>
            </w:r>
          </w:p>
        </w:tc>
        <w:tc>
          <w:tcPr>
            <w:tcW w:w="1081" w:type="dxa"/>
            <w:gridSpan w:val="2"/>
          </w:tcPr>
          <w:p>
            <w:pPr>
              <w:pStyle w:val="33"/>
              <w:rPr>
                <w:rFonts w:ascii="Times New Roman"/>
                <w:sz w:val="20"/>
              </w:rPr>
            </w:pPr>
          </w:p>
        </w:tc>
        <w:tc>
          <w:tcPr>
            <w:tcW w:w="926" w:type="dxa"/>
          </w:tcPr>
          <w:p>
            <w:pPr>
              <w:pStyle w:val="33"/>
              <w:tabs>
                <w:tab w:val="left" w:pos="424"/>
              </w:tabs>
              <w:spacing w:line="262" w:lineRule="exact"/>
              <w:ind w:left="2"/>
              <w:rPr>
                <w:sz w:val="21"/>
              </w:rPr>
            </w:pPr>
            <w:r>
              <w:rPr>
                <w:sz w:val="21"/>
              </w:rPr>
              <w:t>职</w:t>
            </w:r>
            <w:r>
              <w:rPr>
                <w:sz w:val="21"/>
              </w:rPr>
              <w:tab/>
            </w:r>
            <w:r>
              <w:rPr>
                <w:sz w:val="21"/>
              </w:rPr>
              <w:t>务</w:t>
            </w:r>
          </w:p>
        </w:tc>
        <w:tc>
          <w:tcPr>
            <w:tcW w:w="1066" w:type="dxa"/>
          </w:tcPr>
          <w:p>
            <w:pPr>
              <w:pStyle w:val="33"/>
              <w:rPr>
                <w:rFonts w:ascii="Times New Roman"/>
                <w:sz w:val="20"/>
              </w:rPr>
            </w:pPr>
          </w:p>
        </w:tc>
        <w:tc>
          <w:tcPr>
            <w:tcW w:w="2131" w:type="dxa"/>
            <w:gridSpan w:val="3"/>
          </w:tcPr>
          <w:p>
            <w:pPr>
              <w:pStyle w:val="33"/>
              <w:spacing w:line="262" w:lineRule="exact"/>
              <w:ind w:left="2"/>
              <w:rPr>
                <w:sz w:val="21"/>
              </w:rPr>
            </w:pPr>
            <w:r>
              <w:rPr>
                <w:sz w:val="21"/>
              </w:rPr>
              <w:t>拟在本合同任职</w:t>
            </w:r>
          </w:p>
        </w:tc>
        <w:tc>
          <w:tcPr>
            <w:tcW w:w="213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186" w:type="dxa"/>
          </w:tcPr>
          <w:p>
            <w:pPr>
              <w:pStyle w:val="33"/>
              <w:spacing w:line="262" w:lineRule="exact"/>
              <w:ind w:left="2"/>
              <w:rPr>
                <w:sz w:val="21"/>
              </w:rPr>
            </w:pPr>
            <w:r>
              <w:rPr>
                <w:sz w:val="21"/>
              </w:rPr>
              <w:t>毕业学校</w:t>
            </w:r>
          </w:p>
        </w:tc>
        <w:tc>
          <w:tcPr>
            <w:tcW w:w="7338" w:type="dxa"/>
            <w:gridSpan w:val="8"/>
          </w:tcPr>
          <w:p>
            <w:pPr>
              <w:pStyle w:val="33"/>
              <w:tabs>
                <w:tab w:val="left" w:pos="2102"/>
              </w:tabs>
              <w:spacing w:line="262" w:lineRule="exact"/>
              <w:ind w:left="316"/>
              <w:rPr>
                <w:sz w:val="21"/>
              </w:rPr>
            </w:pPr>
            <w:r>
              <w:rPr>
                <w:spacing w:val="-3"/>
                <w:sz w:val="21"/>
              </w:rPr>
              <w:t>年</w:t>
            </w:r>
            <w:r>
              <w:rPr>
                <w:sz w:val="21"/>
              </w:rPr>
              <w:t>毕</w:t>
            </w:r>
            <w:r>
              <w:rPr>
                <w:spacing w:val="-3"/>
                <w:sz w:val="21"/>
              </w:rPr>
              <w:t>业</w:t>
            </w:r>
            <w:r>
              <w:rPr>
                <w:sz w:val="21"/>
              </w:rPr>
              <w:t>于</w:t>
            </w:r>
            <w:r>
              <w:rPr>
                <w:spacing w:val="3"/>
                <w:sz w:val="21"/>
              </w:rPr>
              <w:t xml:space="preserve"> </w:t>
            </w:r>
            <w:r>
              <w:rPr>
                <w:sz w:val="21"/>
              </w:rPr>
              <w:t>学校</w:t>
            </w:r>
            <w:r>
              <w:rPr>
                <w:sz w:val="21"/>
              </w:rPr>
              <w:tab/>
            </w:r>
            <w:r>
              <w:rPr>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8524" w:type="dxa"/>
            <w:gridSpan w:val="9"/>
          </w:tcPr>
          <w:p>
            <w:pPr>
              <w:pStyle w:val="33"/>
              <w:spacing w:line="262" w:lineRule="exact"/>
              <w:ind w:left="2"/>
              <w:rPr>
                <w:sz w:val="21"/>
              </w:rPr>
            </w:pPr>
            <w:r>
              <w:rPr>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546" w:type="dxa"/>
            <w:gridSpan w:val="2"/>
          </w:tcPr>
          <w:p>
            <w:pPr>
              <w:pStyle w:val="33"/>
              <w:spacing w:line="262" w:lineRule="exact"/>
              <w:ind w:left="107"/>
              <w:rPr>
                <w:sz w:val="21"/>
              </w:rPr>
            </w:pPr>
            <w:r>
              <w:rPr>
                <w:sz w:val="21"/>
              </w:rPr>
              <w:t>时 间</w:t>
            </w:r>
          </w:p>
        </w:tc>
        <w:tc>
          <w:tcPr>
            <w:tcW w:w="3421" w:type="dxa"/>
            <w:gridSpan w:val="4"/>
          </w:tcPr>
          <w:p>
            <w:pPr>
              <w:pStyle w:val="33"/>
              <w:spacing w:line="262" w:lineRule="exact"/>
              <w:ind w:left="2"/>
              <w:rPr>
                <w:sz w:val="21"/>
              </w:rPr>
            </w:pPr>
            <w:r>
              <w:rPr>
                <w:sz w:val="21"/>
              </w:rPr>
              <w:t>参加过的类似项目</w:t>
            </w:r>
          </w:p>
        </w:tc>
        <w:tc>
          <w:tcPr>
            <w:tcW w:w="1260" w:type="dxa"/>
          </w:tcPr>
          <w:p>
            <w:pPr>
              <w:pStyle w:val="33"/>
              <w:spacing w:line="262" w:lineRule="exact"/>
              <w:ind w:left="2"/>
              <w:rPr>
                <w:sz w:val="21"/>
              </w:rPr>
            </w:pPr>
            <w:r>
              <w:rPr>
                <w:sz w:val="21"/>
              </w:rPr>
              <w:t>担任职务</w:t>
            </w:r>
          </w:p>
        </w:tc>
        <w:tc>
          <w:tcPr>
            <w:tcW w:w="2297" w:type="dxa"/>
            <w:gridSpan w:val="2"/>
          </w:tcPr>
          <w:p>
            <w:pPr>
              <w:pStyle w:val="33"/>
              <w:spacing w:line="262" w:lineRule="exact"/>
              <w:ind w:left="2"/>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546" w:type="dxa"/>
            <w:gridSpan w:val="2"/>
          </w:tcPr>
          <w:p>
            <w:pPr>
              <w:pStyle w:val="33"/>
              <w:rPr>
                <w:rFonts w:ascii="Times New Roman"/>
                <w:sz w:val="20"/>
              </w:rPr>
            </w:pPr>
          </w:p>
        </w:tc>
        <w:tc>
          <w:tcPr>
            <w:tcW w:w="3421" w:type="dxa"/>
            <w:gridSpan w:val="4"/>
          </w:tcPr>
          <w:p>
            <w:pPr>
              <w:pStyle w:val="33"/>
              <w:rPr>
                <w:rFonts w:ascii="Times New Roman"/>
                <w:sz w:val="20"/>
              </w:rPr>
            </w:pPr>
          </w:p>
        </w:tc>
        <w:tc>
          <w:tcPr>
            <w:tcW w:w="1260" w:type="dxa"/>
          </w:tcPr>
          <w:p>
            <w:pPr>
              <w:pStyle w:val="33"/>
              <w:rPr>
                <w:rFonts w:ascii="Times New Roman"/>
                <w:sz w:val="20"/>
              </w:rPr>
            </w:pPr>
          </w:p>
        </w:tc>
        <w:tc>
          <w:tcPr>
            <w:tcW w:w="2297"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546" w:type="dxa"/>
            <w:gridSpan w:val="2"/>
          </w:tcPr>
          <w:p>
            <w:pPr>
              <w:pStyle w:val="33"/>
              <w:rPr>
                <w:rFonts w:ascii="Times New Roman"/>
                <w:sz w:val="20"/>
              </w:rPr>
            </w:pPr>
          </w:p>
        </w:tc>
        <w:tc>
          <w:tcPr>
            <w:tcW w:w="3421" w:type="dxa"/>
            <w:gridSpan w:val="4"/>
          </w:tcPr>
          <w:p>
            <w:pPr>
              <w:pStyle w:val="33"/>
              <w:rPr>
                <w:rFonts w:ascii="Times New Roman"/>
                <w:sz w:val="20"/>
              </w:rPr>
            </w:pPr>
          </w:p>
        </w:tc>
        <w:tc>
          <w:tcPr>
            <w:tcW w:w="1260" w:type="dxa"/>
          </w:tcPr>
          <w:p>
            <w:pPr>
              <w:pStyle w:val="33"/>
              <w:rPr>
                <w:rFonts w:ascii="Times New Roman"/>
                <w:sz w:val="20"/>
              </w:rPr>
            </w:pPr>
          </w:p>
        </w:tc>
        <w:tc>
          <w:tcPr>
            <w:tcW w:w="2297" w:type="dxa"/>
            <w:gridSpan w:val="2"/>
          </w:tcPr>
          <w:p>
            <w:pPr>
              <w:pStyle w:val="33"/>
              <w:rPr>
                <w:rFonts w:ascii="Times New Roman"/>
                <w:sz w:val="20"/>
              </w:rPr>
            </w:pPr>
          </w:p>
        </w:tc>
      </w:tr>
    </w:tbl>
    <w:p>
      <w:pPr>
        <w:pStyle w:val="13"/>
        <w:spacing w:before="1"/>
        <w:ind w:left="0"/>
        <w:rPr>
          <w:b/>
          <w:sz w:val="27"/>
        </w:rPr>
      </w:pPr>
    </w:p>
    <w:p>
      <w:pPr>
        <w:spacing w:before="38" w:line="285" w:lineRule="auto"/>
        <w:ind w:left="112" w:right="115" w:firstLine="401"/>
        <w:jc w:val="both"/>
        <w:rPr>
          <w:sz w:val="20"/>
        </w:rPr>
      </w:pPr>
      <w:r>
        <w:rPr>
          <w:spacing w:val="-3"/>
          <w:sz w:val="20"/>
        </w:rPr>
        <w:t>项目经理应附身份证、注册建造师执业资格证、项目经理安全生产考核合格证书</w:t>
      </w:r>
      <w:r>
        <w:rPr>
          <w:spacing w:val="1"/>
          <w:sz w:val="20"/>
        </w:rPr>
        <w:t>（B</w:t>
      </w:r>
      <w:r>
        <w:rPr>
          <w:spacing w:val="-5"/>
          <w:sz w:val="20"/>
        </w:rPr>
        <w:t xml:space="preserve"> 证</w:t>
      </w:r>
      <w:r>
        <w:rPr>
          <w:spacing w:val="-3"/>
          <w:sz w:val="20"/>
        </w:rPr>
        <w:t>）、养老</w:t>
      </w:r>
      <w:r>
        <w:rPr>
          <w:spacing w:val="-3"/>
          <w:w w:val="95"/>
          <w:sz w:val="20"/>
        </w:rPr>
        <w:t>保险缴纳证明（近三个月）复印件；技术负责人应附身份证、职称证、养老保险缴纳证明（近三个月）复印件；</w:t>
      </w:r>
      <w:r>
        <w:rPr>
          <w:spacing w:val="-3"/>
          <w:sz w:val="20"/>
        </w:rPr>
        <w:t>专职安全员安全生产考核合格证书</w:t>
      </w:r>
      <w:r>
        <w:rPr>
          <w:sz w:val="20"/>
        </w:rPr>
        <w:t>（C</w:t>
      </w:r>
      <w:r>
        <w:rPr>
          <w:spacing w:val="-4"/>
          <w:sz w:val="20"/>
        </w:rPr>
        <w:t xml:space="preserve"> 证</w:t>
      </w:r>
      <w:r>
        <w:rPr>
          <w:spacing w:val="-3"/>
          <w:sz w:val="20"/>
        </w:rPr>
        <w:t>）、养老保险缴纳证明</w:t>
      </w:r>
      <w:r>
        <w:rPr>
          <w:sz w:val="20"/>
        </w:rPr>
        <w:t>（近三个月</w:t>
      </w:r>
      <w:r>
        <w:rPr>
          <w:spacing w:val="-3"/>
          <w:sz w:val="20"/>
        </w:rPr>
        <w:t>）</w:t>
      </w:r>
      <w:r>
        <w:rPr>
          <w:spacing w:val="-1"/>
          <w:sz w:val="20"/>
        </w:rPr>
        <w:t>复印件；其他主要人员应附执业证</w:t>
      </w:r>
      <w:r>
        <w:rPr>
          <w:spacing w:val="-1"/>
          <w:w w:val="95"/>
          <w:sz w:val="20"/>
        </w:rPr>
        <w:t>或上岗证书、养老保险缴纳证明（近三个月）复印件。</w:t>
      </w:r>
    </w:p>
    <w:p>
      <w:pPr>
        <w:spacing w:after="0" w:line="285" w:lineRule="auto"/>
        <w:jc w:val="both"/>
        <w:rPr>
          <w:sz w:val="20"/>
        </w:rPr>
        <w:sectPr>
          <w:footerReference r:id="rId12" w:type="default"/>
          <w:pgSz w:w="11910" w:h="16840"/>
          <w:pgMar w:top="1040" w:right="860" w:bottom="1160" w:left="1020" w:header="0" w:footer="975" w:gutter="0"/>
          <w:pgNumType w:start="131"/>
        </w:sectPr>
      </w:pPr>
    </w:p>
    <w:p>
      <w:pPr>
        <w:pStyle w:val="7"/>
        <w:spacing w:before="3"/>
        <w:ind w:left="1396" w:right="836"/>
      </w:pPr>
      <w:r>
        <w:rPr>
          <w:rFonts w:hint="eastAsia"/>
          <w:lang w:val="en-US" w:eastAsia="zh-CN"/>
        </w:rPr>
        <w:t>7</w:t>
      </w:r>
      <w:r>
        <w:t>、近年发生的诉讼和仲裁情况</w:t>
      </w:r>
    </w:p>
    <w:p>
      <w:pPr>
        <w:pStyle w:val="13"/>
        <w:spacing w:before="6"/>
        <w:ind w:left="0"/>
        <w:rPr>
          <w:b/>
          <w:sz w:val="24"/>
        </w:rPr>
      </w:pPr>
    </w:p>
    <w:p>
      <w:pPr>
        <w:pStyle w:val="13"/>
        <w:spacing w:line="348" w:lineRule="auto"/>
        <w:ind w:right="96" w:firstLine="420"/>
      </w:pPr>
      <w:r>
        <w:rPr>
          <w:spacing w:val="-9"/>
        </w:rPr>
        <w:t>说明：近年发生的诉讼和仲裁情况仅限于投标人败诉的，且与履行施工承包合同有关的案件，不包括调</w:t>
      </w:r>
      <w:r>
        <w:rPr>
          <w:spacing w:val="-5"/>
        </w:rPr>
        <w:t>解结案以及未裁决的仲裁或未终审判决的诉讼。</w:t>
      </w: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19"/>
        </w:rPr>
      </w:pPr>
    </w:p>
    <w:p>
      <w:pPr>
        <w:pStyle w:val="7"/>
        <w:ind w:right="836"/>
      </w:pPr>
      <w:r>
        <w:rPr>
          <w:rFonts w:hint="eastAsia"/>
          <w:lang w:val="en-US" w:eastAsia="zh-CN"/>
        </w:rPr>
        <w:t>8</w:t>
      </w:r>
      <w:r>
        <w:t>、农民工工资保证金承诺书</w:t>
      </w:r>
    </w:p>
    <w:p>
      <w:pPr>
        <w:pStyle w:val="13"/>
        <w:spacing w:before="6"/>
        <w:ind w:left="0"/>
        <w:rPr>
          <w:b/>
          <w:sz w:val="19"/>
        </w:rPr>
      </w:pPr>
    </w:p>
    <w:p>
      <w:pPr>
        <w:pStyle w:val="7"/>
        <w:ind w:right="835"/>
      </w:pPr>
      <w:r>
        <w:t>按桂劳社发[2009]50 号文件规定承诺</w:t>
      </w:r>
    </w:p>
    <w:p>
      <w:pPr>
        <w:pStyle w:val="13"/>
        <w:ind w:left="0"/>
        <w:rPr>
          <w:b/>
          <w:sz w:val="28"/>
        </w:rPr>
      </w:pPr>
    </w:p>
    <w:p>
      <w:pPr>
        <w:pStyle w:val="13"/>
        <w:ind w:left="0"/>
        <w:rPr>
          <w:b/>
          <w:sz w:val="28"/>
        </w:rPr>
      </w:pPr>
    </w:p>
    <w:p>
      <w:pPr>
        <w:pStyle w:val="13"/>
        <w:ind w:left="0"/>
        <w:rPr>
          <w:b/>
          <w:sz w:val="28"/>
        </w:rPr>
      </w:pPr>
    </w:p>
    <w:p>
      <w:pPr>
        <w:pStyle w:val="13"/>
        <w:ind w:left="0"/>
        <w:rPr>
          <w:b/>
          <w:sz w:val="28"/>
        </w:rPr>
      </w:pPr>
    </w:p>
    <w:p>
      <w:pPr>
        <w:pStyle w:val="13"/>
        <w:ind w:left="0"/>
        <w:rPr>
          <w:b/>
          <w:sz w:val="28"/>
        </w:rPr>
      </w:pPr>
    </w:p>
    <w:p>
      <w:pPr>
        <w:pStyle w:val="13"/>
        <w:ind w:left="0"/>
        <w:rPr>
          <w:b/>
          <w:sz w:val="22"/>
        </w:rPr>
      </w:pPr>
    </w:p>
    <w:p>
      <w:pPr>
        <w:pStyle w:val="7"/>
        <w:ind w:right="836"/>
      </w:pPr>
      <w:r>
        <w:rPr>
          <w:rFonts w:hint="eastAsia"/>
          <w:w w:val="95"/>
          <w:lang w:val="en-US" w:eastAsia="zh-CN"/>
        </w:rPr>
        <w:t>9</w:t>
      </w:r>
      <w:r>
        <w:rPr>
          <w:w w:val="95"/>
        </w:rPr>
        <w:t>、工程渣土清运承诺书</w:t>
      </w:r>
    </w:p>
    <w:p>
      <w:pPr>
        <w:pStyle w:val="13"/>
        <w:spacing w:before="6"/>
        <w:ind w:left="0"/>
        <w:rPr>
          <w:b/>
          <w:sz w:val="19"/>
        </w:rPr>
      </w:pPr>
    </w:p>
    <w:p>
      <w:pPr>
        <w:pStyle w:val="7"/>
        <w:ind w:right="836"/>
      </w:pPr>
      <w:r>
        <w:t>按照桂林市建设工程招标站市建招字[2011]02 号的规定承诺；</w:t>
      </w:r>
    </w:p>
    <w:p>
      <w:pPr>
        <w:pStyle w:val="13"/>
        <w:ind w:left="0"/>
        <w:rPr>
          <w:b/>
          <w:sz w:val="28"/>
        </w:rPr>
      </w:pPr>
    </w:p>
    <w:p>
      <w:pPr>
        <w:pStyle w:val="13"/>
        <w:ind w:left="0"/>
        <w:rPr>
          <w:b/>
          <w:sz w:val="28"/>
        </w:rPr>
      </w:pPr>
    </w:p>
    <w:p>
      <w:pPr>
        <w:pStyle w:val="13"/>
        <w:ind w:left="0"/>
        <w:rPr>
          <w:b/>
          <w:sz w:val="28"/>
        </w:rPr>
      </w:pPr>
    </w:p>
    <w:p>
      <w:pPr>
        <w:pStyle w:val="13"/>
        <w:spacing w:before="2"/>
        <w:ind w:left="0"/>
        <w:rPr>
          <w:b/>
          <w:sz w:val="30"/>
        </w:rPr>
      </w:pPr>
    </w:p>
    <w:p>
      <w:pPr>
        <w:pStyle w:val="7"/>
        <w:ind w:left="1396" w:right="836"/>
      </w:pPr>
      <w:r>
        <w:rPr>
          <w:w w:val="95"/>
        </w:rPr>
        <w:t>1</w:t>
      </w:r>
      <w:r>
        <w:rPr>
          <w:rFonts w:hint="eastAsia"/>
          <w:w w:val="95"/>
          <w:lang w:val="en-US" w:eastAsia="zh-CN"/>
        </w:rPr>
        <w:t>0</w:t>
      </w:r>
      <w:r>
        <w:rPr>
          <w:w w:val="95"/>
        </w:rPr>
        <w:t>、拟分包项目情况表</w:t>
      </w:r>
    </w:p>
    <w:p>
      <w:pPr>
        <w:pStyle w:val="13"/>
        <w:spacing w:before="8"/>
        <w:ind w:left="0"/>
        <w:rPr>
          <w:b/>
          <w:sz w:val="18"/>
        </w:rPr>
      </w:pPr>
    </w:p>
    <w:tbl>
      <w:tblPr>
        <w:tblStyle w:val="17"/>
        <w:tblW w:w="8794" w:type="dxa"/>
        <w:tblInd w:w="6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1844"/>
        <w:gridCol w:w="751"/>
        <w:gridCol w:w="950"/>
        <w:gridCol w:w="1124"/>
        <w:gridCol w:w="1090"/>
        <w:gridCol w:w="1196"/>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9" w:type="dxa"/>
            <w:vMerge w:val="restart"/>
          </w:tcPr>
          <w:p>
            <w:pPr>
              <w:pStyle w:val="33"/>
              <w:spacing w:before="136" w:line="273" w:lineRule="auto"/>
              <w:ind w:left="174" w:right="154"/>
              <w:rPr>
                <w:sz w:val="21"/>
              </w:rPr>
            </w:pPr>
            <w:r>
              <w:rPr>
                <w:sz w:val="21"/>
              </w:rPr>
              <w:t>序号</w:t>
            </w:r>
          </w:p>
        </w:tc>
        <w:tc>
          <w:tcPr>
            <w:tcW w:w="1844" w:type="dxa"/>
            <w:vMerge w:val="restart"/>
          </w:tcPr>
          <w:p>
            <w:pPr>
              <w:pStyle w:val="33"/>
              <w:spacing w:before="136" w:line="273" w:lineRule="auto"/>
              <w:ind w:left="391" w:right="30" w:hanging="288"/>
              <w:rPr>
                <w:sz w:val="21"/>
              </w:rPr>
            </w:pPr>
            <w:r>
              <w:rPr>
                <w:sz w:val="21"/>
              </w:rPr>
              <w:t>拟分包项目名称、范围及理由</w:t>
            </w:r>
          </w:p>
        </w:tc>
        <w:tc>
          <w:tcPr>
            <w:tcW w:w="5111" w:type="dxa"/>
            <w:gridSpan w:val="5"/>
          </w:tcPr>
          <w:p>
            <w:pPr>
              <w:pStyle w:val="33"/>
              <w:spacing w:before="59"/>
              <w:ind w:left="2006" w:right="2003"/>
              <w:jc w:val="center"/>
              <w:rPr>
                <w:sz w:val="21"/>
              </w:rPr>
            </w:pPr>
            <w:r>
              <w:rPr>
                <w:sz w:val="21"/>
              </w:rPr>
              <w:t>拟选分包人</w:t>
            </w:r>
          </w:p>
        </w:tc>
        <w:tc>
          <w:tcPr>
            <w:tcW w:w="1270" w:type="dxa"/>
            <w:vMerge w:val="restart"/>
          </w:tcPr>
          <w:p>
            <w:pPr>
              <w:pStyle w:val="33"/>
              <w:spacing w:before="4"/>
              <w:rPr>
                <w:b/>
                <w:sz w:val="22"/>
              </w:rPr>
            </w:pPr>
          </w:p>
          <w:p>
            <w:pPr>
              <w:pStyle w:val="33"/>
              <w:ind w:left="419"/>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9" w:type="dxa"/>
            <w:vMerge w:val="continue"/>
            <w:tcBorders>
              <w:top w:val="nil"/>
            </w:tcBorders>
          </w:tcPr>
          <w:p>
            <w:pPr>
              <w:rPr>
                <w:sz w:val="2"/>
                <w:szCs w:val="2"/>
              </w:rPr>
            </w:pPr>
          </w:p>
        </w:tc>
        <w:tc>
          <w:tcPr>
            <w:tcW w:w="1844" w:type="dxa"/>
            <w:vMerge w:val="continue"/>
            <w:tcBorders>
              <w:top w:val="nil"/>
            </w:tcBorders>
          </w:tcPr>
          <w:p>
            <w:pPr>
              <w:rPr>
                <w:sz w:val="2"/>
                <w:szCs w:val="2"/>
              </w:rPr>
            </w:pPr>
          </w:p>
        </w:tc>
        <w:tc>
          <w:tcPr>
            <w:tcW w:w="1701" w:type="dxa"/>
            <w:gridSpan w:val="2"/>
          </w:tcPr>
          <w:p>
            <w:pPr>
              <w:pStyle w:val="33"/>
              <w:spacing w:before="59"/>
              <w:ind w:left="110"/>
              <w:rPr>
                <w:sz w:val="21"/>
              </w:rPr>
            </w:pPr>
            <w:r>
              <w:rPr>
                <w:sz w:val="21"/>
              </w:rPr>
              <w:t>拟选分包人名称</w:t>
            </w:r>
          </w:p>
        </w:tc>
        <w:tc>
          <w:tcPr>
            <w:tcW w:w="1124" w:type="dxa"/>
          </w:tcPr>
          <w:p>
            <w:pPr>
              <w:pStyle w:val="33"/>
              <w:spacing w:before="59"/>
              <w:ind w:left="136"/>
              <w:rPr>
                <w:sz w:val="21"/>
              </w:rPr>
            </w:pPr>
            <w:r>
              <w:rPr>
                <w:sz w:val="21"/>
              </w:rPr>
              <w:t>注册地点</w:t>
            </w:r>
          </w:p>
        </w:tc>
        <w:tc>
          <w:tcPr>
            <w:tcW w:w="1090" w:type="dxa"/>
          </w:tcPr>
          <w:p>
            <w:pPr>
              <w:pStyle w:val="33"/>
              <w:spacing w:before="59"/>
              <w:ind w:left="119"/>
              <w:rPr>
                <w:sz w:val="21"/>
              </w:rPr>
            </w:pPr>
            <w:r>
              <w:rPr>
                <w:sz w:val="21"/>
              </w:rPr>
              <w:t>企业资质</w:t>
            </w:r>
          </w:p>
        </w:tc>
        <w:tc>
          <w:tcPr>
            <w:tcW w:w="1196" w:type="dxa"/>
          </w:tcPr>
          <w:p>
            <w:pPr>
              <w:pStyle w:val="33"/>
              <w:spacing w:before="59"/>
              <w:ind w:left="172"/>
              <w:rPr>
                <w:sz w:val="21"/>
              </w:rPr>
            </w:pPr>
            <w:r>
              <w:rPr>
                <w:sz w:val="21"/>
              </w:rPr>
              <w:t>有关业绩</w:t>
            </w:r>
          </w:p>
        </w:tc>
        <w:tc>
          <w:tcPr>
            <w:tcW w:w="127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9" w:type="dxa"/>
            <w:vMerge w:val="restart"/>
          </w:tcPr>
          <w:p>
            <w:pPr>
              <w:pStyle w:val="33"/>
              <w:rPr>
                <w:rFonts w:ascii="Times New Roman"/>
                <w:sz w:val="22"/>
              </w:rPr>
            </w:pPr>
          </w:p>
        </w:tc>
        <w:tc>
          <w:tcPr>
            <w:tcW w:w="1844" w:type="dxa"/>
            <w:vMerge w:val="restart"/>
          </w:tcPr>
          <w:p>
            <w:pPr>
              <w:pStyle w:val="33"/>
              <w:rPr>
                <w:rFonts w:ascii="Times New Roman"/>
                <w:sz w:val="22"/>
              </w:rPr>
            </w:pPr>
          </w:p>
        </w:tc>
        <w:tc>
          <w:tcPr>
            <w:tcW w:w="751" w:type="dxa"/>
          </w:tcPr>
          <w:p>
            <w:pPr>
              <w:pStyle w:val="33"/>
              <w:spacing w:before="59"/>
              <w:jc w:val="center"/>
              <w:rPr>
                <w:sz w:val="21"/>
              </w:rPr>
            </w:pPr>
            <w:r>
              <w:rPr>
                <w:w w:val="100"/>
                <w:sz w:val="21"/>
              </w:rPr>
              <w:t>1</w:t>
            </w:r>
          </w:p>
        </w:tc>
        <w:tc>
          <w:tcPr>
            <w:tcW w:w="950" w:type="dxa"/>
          </w:tcPr>
          <w:p>
            <w:pPr>
              <w:pStyle w:val="33"/>
              <w:rPr>
                <w:rFonts w:ascii="Times New Roman"/>
                <w:sz w:val="22"/>
              </w:rPr>
            </w:pPr>
          </w:p>
        </w:tc>
        <w:tc>
          <w:tcPr>
            <w:tcW w:w="1124" w:type="dxa"/>
          </w:tcPr>
          <w:p>
            <w:pPr>
              <w:pStyle w:val="33"/>
              <w:rPr>
                <w:rFonts w:ascii="Times New Roman"/>
                <w:sz w:val="22"/>
              </w:rPr>
            </w:pPr>
          </w:p>
        </w:tc>
        <w:tc>
          <w:tcPr>
            <w:tcW w:w="1090" w:type="dxa"/>
          </w:tcPr>
          <w:p>
            <w:pPr>
              <w:pStyle w:val="33"/>
              <w:rPr>
                <w:rFonts w:ascii="Times New Roman"/>
                <w:sz w:val="22"/>
              </w:rPr>
            </w:pPr>
          </w:p>
        </w:tc>
        <w:tc>
          <w:tcPr>
            <w:tcW w:w="1196" w:type="dxa"/>
          </w:tcPr>
          <w:p>
            <w:pPr>
              <w:pStyle w:val="33"/>
              <w:rPr>
                <w:rFonts w:ascii="Times New Roman"/>
                <w:sz w:val="22"/>
              </w:rPr>
            </w:pPr>
          </w:p>
        </w:tc>
        <w:tc>
          <w:tcPr>
            <w:tcW w:w="1270"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9" w:type="dxa"/>
            <w:vMerge w:val="continue"/>
            <w:tcBorders>
              <w:top w:val="nil"/>
            </w:tcBorders>
          </w:tcPr>
          <w:p>
            <w:pPr>
              <w:rPr>
                <w:sz w:val="2"/>
                <w:szCs w:val="2"/>
              </w:rPr>
            </w:pPr>
          </w:p>
        </w:tc>
        <w:tc>
          <w:tcPr>
            <w:tcW w:w="1844" w:type="dxa"/>
            <w:vMerge w:val="continue"/>
            <w:tcBorders>
              <w:top w:val="nil"/>
            </w:tcBorders>
          </w:tcPr>
          <w:p>
            <w:pPr>
              <w:rPr>
                <w:sz w:val="2"/>
                <w:szCs w:val="2"/>
              </w:rPr>
            </w:pPr>
          </w:p>
        </w:tc>
        <w:tc>
          <w:tcPr>
            <w:tcW w:w="751" w:type="dxa"/>
          </w:tcPr>
          <w:p>
            <w:pPr>
              <w:pStyle w:val="33"/>
              <w:spacing w:before="59"/>
              <w:jc w:val="center"/>
              <w:rPr>
                <w:sz w:val="21"/>
              </w:rPr>
            </w:pPr>
            <w:r>
              <w:rPr>
                <w:w w:val="100"/>
                <w:sz w:val="21"/>
              </w:rPr>
              <w:t>2</w:t>
            </w:r>
          </w:p>
        </w:tc>
        <w:tc>
          <w:tcPr>
            <w:tcW w:w="950" w:type="dxa"/>
          </w:tcPr>
          <w:p>
            <w:pPr>
              <w:pStyle w:val="33"/>
              <w:rPr>
                <w:rFonts w:ascii="Times New Roman"/>
                <w:sz w:val="22"/>
              </w:rPr>
            </w:pPr>
          </w:p>
        </w:tc>
        <w:tc>
          <w:tcPr>
            <w:tcW w:w="1124" w:type="dxa"/>
          </w:tcPr>
          <w:p>
            <w:pPr>
              <w:pStyle w:val="33"/>
              <w:rPr>
                <w:rFonts w:ascii="Times New Roman"/>
                <w:sz w:val="22"/>
              </w:rPr>
            </w:pPr>
          </w:p>
        </w:tc>
        <w:tc>
          <w:tcPr>
            <w:tcW w:w="1090" w:type="dxa"/>
          </w:tcPr>
          <w:p>
            <w:pPr>
              <w:pStyle w:val="33"/>
              <w:rPr>
                <w:rFonts w:ascii="Times New Roman"/>
                <w:sz w:val="22"/>
              </w:rPr>
            </w:pPr>
          </w:p>
        </w:tc>
        <w:tc>
          <w:tcPr>
            <w:tcW w:w="1196" w:type="dxa"/>
          </w:tcPr>
          <w:p>
            <w:pPr>
              <w:pStyle w:val="33"/>
              <w:rPr>
                <w:rFonts w:ascii="Times New Roman"/>
                <w:sz w:val="22"/>
              </w:rPr>
            </w:pPr>
          </w:p>
        </w:tc>
        <w:tc>
          <w:tcPr>
            <w:tcW w:w="1270"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9" w:type="dxa"/>
            <w:vMerge w:val="continue"/>
            <w:tcBorders>
              <w:top w:val="nil"/>
            </w:tcBorders>
          </w:tcPr>
          <w:p>
            <w:pPr>
              <w:rPr>
                <w:sz w:val="2"/>
                <w:szCs w:val="2"/>
              </w:rPr>
            </w:pPr>
          </w:p>
        </w:tc>
        <w:tc>
          <w:tcPr>
            <w:tcW w:w="1844" w:type="dxa"/>
            <w:vMerge w:val="continue"/>
            <w:tcBorders>
              <w:top w:val="nil"/>
            </w:tcBorders>
          </w:tcPr>
          <w:p>
            <w:pPr>
              <w:rPr>
                <w:sz w:val="2"/>
                <w:szCs w:val="2"/>
              </w:rPr>
            </w:pPr>
          </w:p>
        </w:tc>
        <w:tc>
          <w:tcPr>
            <w:tcW w:w="751" w:type="dxa"/>
          </w:tcPr>
          <w:p>
            <w:pPr>
              <w:pStyle w:val="33"/>
              <w:spacing w:before="59"/>
              <w:jc w:val="center"/>
              <w:rPr>
                <w:sz w:val="21"/>
              </w:rPr>
            </w:pPr>
            <w:r>
              <w:rPr>
                <w:w w:val="100"/>
                <w:sz w:val="21"/>
              </w:rPr>
              <w:t>3</w:t>
            </w:r>
          </w:p>
        </w:tc>
        <w:tc>
          <w:tcPr>
            <w:tcW w:w="950" w:type="dxa"/>
          </w:tcPr>
          <w:p>
            <w:pPr>
              <w:pStyle w:val="33"/>
              <w:rPr>
                <w:rFonts w:ascii="Times New Roman"/>
                <w:sz w:val="22"/>
              </w:rPr>
            </w:pPr>
          </w:p>
        </w:tc>
        <w:tc>
          <w:tcPr>
            <w:tcW w:w="1124" w:type="dxa"/>
          </w:tcPr>
          <w:p>
            <w:pPr>
              <w:pStyle w:val="33"/>
              <w:rPr>
                <w:rFonts w:ascii="Times New Roman"/>
                <w:sz w:val="22"/>
              </w:rPr>
            </w:pPr>
          </w:p>
        </w:tc>
        <w:tc>
          <w:tcPr>
            <w:tcW w:w="1090" w:type="dxa"/>
          </w:tcPr>
          <w:p>
            <w:pPr>
              <w:pStyle w:val="33"/>
              <w:rPr>
                <w:rFonts w:ascii="Times New Roman"/>
                <w:sz w:val="22"/>
              </w:rPr>
            </w:pPr>
          </w:p>
        </w:tc>
        <w:tc>
          <w:tcPr>
            <w:tcW w:w="1196" w:type="dxa"/>
          </w:tcPr>
          <w:p>
            <w:pPr>
              <w:pStyle w:val="33"/>
              <w:rPr>
                <w:rFonts w:ascii="Times New Roman"/>
                <w:sz w:val="22"/>
              </w:rPr>
            </w:pPr>
          </w:p>
        </w:tc>
        <w:tc>
          <w:tcPr>
            <w:tcW w:w="1270"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9" w:type="dxa"/>
            <w:vMerge w:val="restart"/>
          </w:tcPr>
          <w:p>
            <w:pPr>
              <w:pStyle w:val="33"/>
              <w:rPr>
                <w:rFonts w:ascii="Times New Roman"/>
                <w:sz w:val="22"/>
              </w:rPr>
            </w:pPr>
          </w:p>
        </w:tc>
        <w:tc>
          <w:tcPr>
            <w:tcW w:w="1844" w:type="dxa"/>
            <w:vMerge w:val="restart"/>
          </w:tcPr>
          <w:p>
            <w:pPr>
              <w:pStyle w:val="33"/>
              <w:rPr>
                <w:rFonts w:ascii="Times New Roman"/>
                <w:sz w:val="22"/>
              </w:rPr>
            </w:pPr>
          </w:p>
        </w:tc>
        <w:tc>
          <w:tcPr>
            <w:tcW w:w="751" w:type="dxa"/>
          </w:tcPr>
          <w:p>
            <w:pPr>
              <w:pStyle w:val="33"/>
              <w:spacing w:before="59"/>
              <w:jc w:val="center"/>
              <w:rPr>
                <w:sz w:val="21"/>
              </w:rPr>
            </w:pPr>
            <w:r>
              <w:rPr>
                <w:w w:val="100"/>
                <w:sz w:val="21"/>
              </w:rPr>
              <w:t>1</w:t>
            </w:r>
          </w:p>
        </w:tc>
        <w:tc>
          <w:tcPr>
            <w:tcW w:w="950" w:type="dxa"/>
          </w:tcPr>
          <w:p>
            <w:pPr>
              <w:pStyle w:val="33"/>
              <w:rPr>
                <w:rFonts w:ascii="Times New Roman"/>
                <w:sz w:val="22"/>
              </w:rPr>
            </w:pPr>
          </w:p>
        </w:tc>
        <w:tc>
          <w:tcPr>
            <w:tcW w:w="1124" w:type="dxa"/>
          </w:tcPr>
          <w:p>
            <w:pPr>
              <w:pStyle w:val="33"/>
              <w:rPr>
                <w:rFonts w:ascii="Times New Roman"/>
                <w:sz w:val="22"/>
              </w:rPr>
            </w:pPr>
          </w:p>
        </w:tc>
        <w:tc>
          <w:tcPr>
            <w:tcW w:w="1090" w:type="dxa"/>
          </w:tcPr>
          <w:p>
            <w:pPr>
              <w:pStyle w:val="33"/>
              <w:rPr>
                <w:rFonts w:ascii="Times New Roman"/>
                <w:sz w:val="22"/>
              </w:rPr>
            </w:pPr>
          </w:p>
        </w:tc>
        <w:tc>
          <w:tcPr>
            <w:tcW w:w="1196" w:type="dxa"/>
          </w:tcPr>
          <w:p>
            <w:pPr>
              <w:pStyle w:val="33"/>
              <w:rPr>
                <w:rFonts w:ascii="Times New Roman"/>
                <w:sz w:val="22"/>
              </w:rPr>
            </w:pPr>
          </w:p>
        </w:tc>
        <w:tc>
          <w:tcPr>
            <w:tcW w:w="1270"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9" w:type="dxa"/>
            <w:vMerge w:val="continue"/>
            <w:tcBorders>
              <w:top w:val="nil"/>
            </w:tcBorders>
          </w:tcPr>
          <w:p>
            <w:pPr>
              <w:rPr>
                <w:sz w:val="2"/>
                <w:szCs w:val="2"/>
              </w:rPr>
            </w:pPr>
          </w:p>
        </w:tc>
        <w:tc>
          <w:tcPr>
            <w:tcW w:w="1844" w:type="dxa"/>
            <w:vMerge w:val="continue"/>
            <w:tcBorders>
              <w:top w:val="nil"/>
            </w:tcBorders>
          </w:tcPr>
          <w:p>
            <w:pPr>
              <w:rPr>
                <w:sz w:val="2"/>
                <w:szCs w:val="2"/>
              </w:rPr>
            </w:pPr>
          </w:p>
        </w:tc>
        <w:tc>
          <w:tcPr>
            <w:tcW w:w="751" w:type="dxa"/>
          </w:tcPr>
          <w:p>
            <w:pPr>
              <w:pStyle w:val="33"/>
              <w:spacing w:before="60"/>
              <w:jc w:val="center"/>
              <w:rPr>
                <w:sz w:val="21"/>
              </w:rPr>
            </w:pPr>
            <w:r>
              <w:rPr>
                <w:w w:val="100"/>
                <w:sz w:val="21"/>
              </w:rPr>
              <w:t>2</w:t>
            </w:r>
          </w:p>
        </w:tc>
        <w:tc>
          <w:tcPr>
            <w:tcW w:w="950" w:type="dxa"/>
          </w:tcPr>
          <w:p>
            <w:pPr>
              <w:pStyle w:val="33"/>
              <w:rPr>
                <w:rFonts w:ascii="Times New Roman"/>
                <w:sz w:val="22"/>
              </w:rPr>
            </w:pPr>
          </w:p>
        </w:tc>
        <w:tc>
          <w:tcPr>
            <w:tcW w:w="1124" w:type="dxa"/>
          </w:tcPr>
          <w:p>
            <w:pPr>
              <w:pStyle w:val="33"/>
              <w:rPr>
                <w:rFonts w:ascii="Times New Roman"/>
                <w:sz w:val="22"/>
              </w:rPr>
            </w:pPr>
          </w:p>
        </w:tc>
        <w:tc>
          <w:tcPr>
            <w:tcW w:w="1090" w:type="dxa"/>
          </w:tcPr>
          <w:p>
            <w:pPr>
              <w:pStyle w:val="33"/>
              <w:rPr>
                <w:rFonts w:ascii="Times New Roman"/>
                <w:sz w:val="22"/>
              </w:rPr>
            </w:pPr>
          </w:p>
        </w:tc>
        <w:tc>
          <w:tcPr>
            <w:tcW w:w="1196" w:type="dxa"/>
          </w:tcPr>
          <w:p>
            <w:pPr>
              <w:pStyle w:val="33"/>
              <w:rPr>
                <w:rFonts w:ascii="Times New Roman"/>
                <w:sz w:val="22"/>
              </w:rPr>
            </w:pPr>
          </w:p>
        </w:tc>
        <w:tc>
          <w:tcPr>
            <w:tcW w:w="1270"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9" w:type="dxa"/>
            <w:vMerge w:val="continue"/>
            <w:tcBorders>
              <w:top w:val="nil"/>
            </w:tcBorders>
          </w:tcPr>
          <w:p>
            <w:pPr>
              <w:rPr>
                <w:sz w:val="2"/>
                <w:szCs w:val="2"/>
              </w:rPr>
            </w:pPr>
          </w:p>
        </w:tc>
        <w:tc>
          <w:tcPr>
            <w:tcW w:w="1844" w:type="dxa"/>
            <w:vMerge w:val="continue"/>
            <w:tcBorders>
              <w:top w:val="nil"/>
            </w:tcBorders>
          </w:tcPr>
          <w:p>
            <w:pPr>
              <w:rPr>
                <w:sz w:val="2"/>
                <w:szCs w:val="2"/>
              </w:rPr>
            </w:pPr>
          </w:p>
        </w:tc>
        <w:tc>
          <w:tcPr>
            <w:tcW w:w="751" w:type="dxa"/>
          </w:tcPr>
          <w:p>
            <w:pPr>
              <w:pStyle w:val="33"/>
              <w:spacing w:before="59"/>
              <w:jc w:val="center"/>
              <w:rPr>
                <w:sz w:val="21"/>
              </w:rPr>
            </w:pPr>
            <w:r>
              <w:rPr>
                <w:w w:val="100"/>
                <w:sz w:val="21"/>
              </w:rPr>
              <w:t>3</w:t>
            </w:r>
          </w:p>
        </w:tc>
        <w:tc>
          <w:tcPr>
            <w:tcW w:w="950" w:type="dxa"/>
          </w:tcPr>
          <w:p>
            <w:pPr>
              <w:pStyle w:val="33"/>
              <w:rPr>
                <w:rFonts w:ascii="Times New Roman"/>
                <w:sz w:val="22"/>
              </w:rPr>
            </w:pPr>
          </w:p>
        </w:tc>
        <w:tc>
          <w:tcPr>
            <w:tcW w:w="1124" w:type="dxa"/>
          </w:tcPr>
          <w:p>
            <w:pPr>
              <w:pStyle w:val="33"/>
              <w:rPr>
                <w:rFonts w:ascii="Times New Roman"/>
                <w:sz w:val="22"/>
              </w:rPr>
            </w:pPr>
          </w:p>
        </w:tc>
        <w:tc>
          <w:tcPr>
            <w:tcW w:w="1090" w:type="dxa"/>
          </w:tcPr>
          <w:p>
            <w:pPr>
              <w:pStyle w:val="33"/>
              <w:rPr>
                <w:rFonts w:ascii="Times New Roman"/>
                <w:sz w:val="22"/>
              </w:rPr>
            </w:pPr>
          </w:p>
        </w:tc>
        <w:tc>
          <w:tcPr>
            <w:tcW w:w="1196" w:type="dxa"/>
          </w:tcPr>
          <w:p>
            <w:pPr>
              <w:pStyle w:val="33"/>
              <w:rPr>
                <w:rFonts w:ascii="Times New Roman"/>
                <w:sz w:val="22"/>
              </w:rPr>
            </w:pPr>
          </w:p>
        </w:tc>
        <w:tc>
          <w:tcPr>
            <w:tcW w:w="1270" w:type="dxa"/>
          </w:tcPr>
          <w:p>
            <w:pPr>
              <w:pStyle w:val="33"/>
              <w:rPr>
                <w:rFonts w:ascii="Times New Roman"/>
                <w:sz w:val="22"/>
              </w:rPr>
            </w:pPr>
          </w:p>
        </w:tc>
      </w:tr>
    </w:tbl>
    <w:p>
      <w:pPr>
        <w:pStyle w:val="13"/>
        <w:spacing w:before="107"/>
        <w:ind w:left="533"/>
      </w:pPr>
      <w:r>
        <w:t>备注：本表所列分包仅限于承包人自行施工范围内的非主体、非关键工程。</w:t>
      </w:r>
    </w:p>
    <w:p>
      <w:pPr>
        <w:pStyle w:val="13"/>
        <w:tabs>
          <w:tab w:val="left" w:pos="7585"/>
          <w:tab w:val="left" w:pos="8322"/>
          <w:tab w:val="left" w:pos="9057"/>
        </w:tabs>
        <w:spacing w:before="163"/>
        <w:ind w:left="6219"/>
      </w:pPr>
      <w:r>
        <w:t>日期：</w:t>
      </w:r>
      <w:r>
        <w:tab/>
      </w:r>
      <w:r>
        <w:t>年</w:t>
      </w:r>
      <w:r>
        <w:tab/>
      </w:r>
      <w:r>
        <w:t>月</w:t>
      </w:r>
      <w:r>
        <w:tab/>
      </w:r>
      <w:r>
        <w:t>日</w:t>
      </w:r>
    </w:p>
    <w:p>
      <w:pPr>
        <w:spacing w:after="0"/>
        <w:sectPr>
          <w:pgSz w:w="11910" w:h="16840"/>
          <w:pgMar w:top="1120" w:right="880" w:bottom="1160" w:left="1020" w:header="0" w:footer="975" w:gutter="0"/>
        </w:sectPr>
      </w:pPr>
    </w:p>
    <w:p>
      <w:pPr>
        <w:pStyle w:val="7"/>
        <w:spacing w:before="3"/>
        <w:ind w:left="782"/>
      </w:pPr>
      <w:r>
        <w:rPr>
          <w:w w:val="95"/>
        </w:rPr>
        <w:t>1</w:t>
      </w:r>
      <w:r>
        <w:rPr>
          <w:rFonts w:hint="eastAsia"/>
          <w:w w:val="95"/>
          <w:lang w:val="en-US" w:eastAsia="zh-CN"/>
        </w:rPr>
        <w:t>1</w:t>
      </w:r>
      <w:r>
        <w:rPr>
          <w:w w:val="95"/>
        </w:rPr>
        <w:t>、其他材料</w:t>
      </w:r>
    </w:p>
    <w:p>
      <w:pPr>
        <w:pStyle w:val="13"/>
        <w:spacing w:before="6"/>
        <w:ind w:left="0"/>
        <w:rPr>
          <w:b/>
          <w:sz w:val="19"/>
        </w:rPr>
      </w:pPr>
    </w:p>
    <w:p>
      <w:pPr>
        <w:pStyle w:val="7"/>
        <w:tabs>
          <w:tab w:val="left" w:pos="1207"/>
        </w:tabs>
        <w:ind w:left="782"/>
      </w:pPr>
      <w:r>
        <w:t>A</w:t>
      </w:r>
      <w:r>
        <w:tab/>
      </w:r>
      <w:r>
        <w:rPr>
          <w:w w:val="95"/>
        </w:rPr>
        <w:t>诚信声明</w:t>
      </w:r>
    </w:p>
    <w:p>
      <w:pPr>
        <w:pStyle w:val="13"/>
        <w:spacing w:before="3"/>
        <w:ind w:left="0"/>
        <w:rPr>
          <w:b/>
          <w:sz w:val="24"/>
        </w:rPr>
      </w:pPr>
    </w:p>
    <w:p>
      <w:pPr>
        <w:pStyle w:val="13"/>
        <w:tabs>
          <w:tab w:val="left" w:pos="3684"/>
        </w:tabs>
      </w:pPr>
      <w:r>
        <w:t>声明</w:t>
      </w:r>
      <w:r>
        <w:rPr>
          <w:spacing w:val="-3"/>
        </w:rPr>
        <w:t>企</w:t>
      </w:r>
      <w:r>
        <w:t>业：</w:t>
      </w:r>
      <w:r>
        <w:tab/>
      </w:r>
      <w:r>
        <w:rPr>
          <w:spacing w:val="-3"/>
        </w:rPr>
        <w:t>地</w:t>
      </w:r>
      <w:r>
        <w:t>址：</w:t>
      </w:r>
    </w:p>
    <w:p>
      <w:pPr>
        <w:pStyle w:val="13"/>
        <w:tabs>
          <w:tab w:val="left" w:pos="3684"/>
        </w:tabs>
        <w:spacing w:before="126"/>
      </w:pPr>
      <w:r>
        <w:t>声明</w:t>
      </w:r>
      <w:r>
        <w:rPr>
          <w:spacing w:val="-3"/>
        </w:rPr>
        <w:t>人</w:t>
      </w:r>
      <w:r>
        <w:t>：</w:t>
      </w:r>
      <w:r>
        <w:tab/>
      </w:r>
      <w:r>
        <w:rPr>
          <w:spacing w:val="-3"/>
        </w:rPr>
        <w:t>职</w:t>
      </w:r>
      <w:r>
        <w:t>务：</w:t>
      </w:r>
    </w:p>
    <w:p>
      <w:pPr>
        <w:pStyle w:val="13"/>
        <w:tabs>
          <w:tab w:val="left" w:pos="3684"/>
        </w:tabs>
        <w:spacing w:before="123"/>
      </w:pPr>
      <w:r>
        <w:t>声明</w:t>
      </w:r>
      <w:r>
        <w:rPr>
          <w:spacing w:val="-3"/>
        </w:rPr>
        <w:t>人</w:t>
      </w:r>
      <w:r>
        <w:t>：</w:t>
      </w:r>
      <w:r>
        <w:tab/>
      </w:r>
      <w:r>
        <w:rPr>
          <w:spacing w:val="-3"/>
        </w:rPr>
        <w:t>职</w:t>
      </w:r>
      <w:r>
        <w:t>务：</w:t>
      </w:r>
    </w:p>
    <w:p>
      <w:pPr>
        <w:pStyle w:val="13"/>
        <w:spacing w:before="125"/>
        <w:ind w:left="533"/>
      </w:pPr>
      <w:r>
        <w:t>本公司就参加工程项目投标工作，作出郑重声明：</w:t>
      </w:r>
    </w:p>
    <w:p>
      <w:pPr>
        <w:pStyle w:val="10"/>
        <w:spacing w:before="114" w:line="331" w:lineRule="auto"/>
        <w:ind w:left="112" w:right="309" w:firstLine="439"/>
      </w:pPr>
      <w:r>
        <w:t>1、投标材料是真实的，对招标要求是清楚的。作为正式投标人，我公司保证不与其他单位围标、串标，不出让投标资格，不向招标人或评标委员会成员行贿。</w:t>
      </w:r>
    </w:p>
    <w:p>
      <w:pPr>
        <w:pStyle w:val="10"/>
        <w:spacing w:before="29" w:line="333" w:lineRule="auto"/>
        <w:ind w:left="112" w:right="309" w:firstLine="439"/>
      </w:pPr>
      <w:r>
        <w:t>2、我单位无因安全事故、质量事故、投标违规等有不良记录被政府有关部门处罚仍在受罚期内；</w:t>
      </w:r>
    </w:p>
    <w:p>
      <w:pPr>
        <w:pStyle w:val="10"/>
        <w:spacing w:before="25"/>
        <w:ind w:left="552"/>
      </w:pPr>
      <w:r>
        <w:t>3、我单位无被有关部门责令停业、企业财产被查封、冻结或者处于破产状态的情形存在；</w:t>
      </w:r>
    </w:p>
    <w:p>
      <w:pPr>
        <w:pStyle w:val="10"/>
        <w:spacing w:before="113"/>
        <w:ind w:left="552"/>
      </w:pPr>
      <w:r>
        <w:t>4、我单位没有参加本项目的设计、前期招标及监理等工作；</w:t>
      </w:r>
    </w:p>
    <w:p>
      <w:pPr>
        <w:pStyle w:val="10"/>
        <w:spacing w:before="113"/>
        <w:ind w:left="552"/>
      </w:pPr>
      <w:r>
        <w:t>5、我单位无拖欠民工工资记录且未结案的情形存在。</w:t>
      </w:r>
    </w:p>
    <w:p>
      <w:pPr>
        <w:pStyle w:val="10"/>
        <w:spacing w:before="110"/>
        <w:ind w:left="781"/>
        <w:jc w:val="center"/>
      </w:pPr>
      <w:r>
        <w:t>若违反上述规定一旦查实，本人和本公司愿意接受公开通报，并愿意承担由此带来的法律后</w:t>
      </w:r>
    </w:p>
    <w:p>
      <w:pPr>
        <w:pStyle w:val="10"/>
        <w:spacing w:before="112"/>
        <w:ind w:left="112"/>
      </w:pPr>
      <w:r>
        <w:t>果。</w:t>
      </w:r>
    </w:p>
    <w:p>
      <w:pPr>
        <w:pStyle w:val="10"/>
        <w:spacing w:before="112"/>
        <w:ind w:left="552"/>
      </w:pPr>
      <w:r>
        <w:t>特此声明！</w:t>
      </w:r>
    </w:p>
    <w:p>
      <w:pPr>
        <w:pStyle w:val="10"/>
        <w:spacing w:before="110" w:line="333" w:lineRule="auto"/>
        <w:ind w:left="552" w:right="6374"/>
      </w:pPr>
      <w:r>
        <w:t>声明人</w:t>
      </w:r>
      <w:r>
        <w:rPr>
          <w:spacing w:val="-3"/>
        </w:rPr>
        <w:t>（</w:t>
      </w:r>
      <w:r>
        <w:rPr>
          <w:spacing w:val="-1"/>
        </w:rPr>
        <w:t>法定代表人</w:t>
      </w:r>
      <w:r>
        <w:rPr>
          <w:spacing w:val="-3"/>
        </w:rPr>
        <w:t>）</w:t>
      </w:r>
      <w:r>
        <w:rPr>
          <w:spacing w:val="-2"/>
        </w:rPr>
        <w:t>签字： 声明人</w:t>
      </w:r>
      <w:r>
        <w:rPr>
          <w:spacing w:val="-3"/>
        </w:rPr>
        <w:t>（</w:t>
      </w:r>
      <w:r>
        <w:rPr>
          <w:spacing w:val="-1"/>
        </w:rPr>
        <w:t>项目经理</w:t>
      </w:r>
      <w:r>
        <w:t>）</w:t>
      </w:r>
      <w:r>
        <w:rPr>
          <w:spacing w:val="-2"/>
        </w:rPr>
        <w:t xml:space="preserve">签字： </w:t>
      </w:r>
      <w:r>
        <w:rPr>
          <w:spacing w:val="-3"/>
        </w:rPr>
        <w:t>投标单位</w:t>
      </w:r>
      <w:r>
        <w:t>：（</w:t>
      </w:r>
      <w:r>
        <w:rPr>
          <w:spacing w:val="-2"/>
        </w:rPr>
        <w:t>盖章</w:t>
      </w:r>
      <w:r>
        <w:t>）</w:t>
      </w:r>
    </w:p>
    <w:p>
      <w:pPr>
        <w:pStyle w:val="13"/>
        <w:spacing w:before="4"/>
        <w:ind w:left="0"/>
        <w:rPr>
          <w:sz w:val="12"/>
        </w:rPr>
      </w:pPr>
    </w:p>
    <w:p>
      <w:pPr>
        <w:pStyle w:val="13"/>
        <w:tabs>
          <w:tab w:val="left" w:pos="2621"/>
          <w:tab w:val="left" w:pos="3041"/>
        </w:tabs>
        <w:spacing w:before="36"/>
        <w:ind w:left="2201"/>
        <w:jc w:val="center"/>
      </w:pPr>
      <w:r>
        <w:t>年</w:t>
      </w:r>
      <w:r>
        <w:tab/>
      </w:r>
      <w:r>
        <w:t>月</w:t>
      </w:r>
      <w:r>
        <w:tab/>
      </w:r>
      <w:r>
        <w:t>日</w:t>
      </w:r>
    </w:p>
    <w:p>
      <w:pPr>
        <w:spacing w:after="0"/>
        <w:jc w:val="center"/>
        <w:sectPr>
          <w:pgSz w:w="11910" w:h="16840"/>
          <w:pgMar w:top="1120" w:right="1100" w:bottom="1160" w:left="1020" w:header="0" w:footer="975" w:gutter="0"/>
        </w:sect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13"/>
        <w:ind w:left="0"/>
        <w:rPr>
          <w:sz w:val="20"/>
        </w:rPr>
      </w:pPr>
    </w:p>
    <w:p>
      <w:pPr>
        <w:pStyle w:val="8"/>
        <w:tabs>
          <w:tab w:val="left" w:pos="2022"/>
        </w:tabs>
        <w:spacing w:before="184"/>
        <w:ind w:left="140"/>
        <w:jc w:val="center"/>
      </w:pPr>
      <w:r>
        <w:rPr>
          <w:rFonts w:ascii="Times New Roman" w:eastAsia="Times New Roman"/>
          <w:w w:val="100"/>
          <w:u w:val="single"/>
        </w:rPr>
        <w:t xml:space="preserve"> </w:t>
      </w:r>
      <w:r>
        <w:rPr>
          <w:rFonts w:ascii="Times New Roman" w:eastAsia="Times New Roman"/>
          <w:u w:val="single"/>
        </w:rPr>
        <w:tab/>
      </w:r>
      <w:r>
        <w:t>（</w:t>
      </w:r>
      <w:r>
        <w:rPr>
          <w:spacing w:val="-2"/>
        </w:rPr>
        <w:t>项目名称</w:t>
      </w:r>
      <w:r>
        <w:rPr>
          <w:spacing w:val="-3"/>
        </w:rPr>
        <w:t>）</w:t>
      </w:r>
      <w:r>
        <w:rPr>
          <w:spacing w:val="-1"/>
        </w:rPr>
        <w:t>施工招标</w:t>
      </w:r>
    </w:p>
    <w:p>
      <w:pPr>
        <w:pStyle w:val="13"/>
        <w:ind w:left="0"/>
        <w:rPr>
          <w:sz w:val="30"/>
        </w:rPr>
      </w:pPr>
    </w:p>
    <w:p>
      <w:pPr>
        <w:pStyle w:val="13"/>
        <w:ind w:left="0"/>
        <w:rPr>
          <w:sz w:val="30"/>
        </w:rPr>
      </w:pPr>
    </w:p>
    <w:p>
      <w:pPr>
        <w:pStyle w:val="13"/>
        <w:spacing w:before="1"/>
        <w:ind w:left="0"/>
        <w:rPr>
          <w:sz w:val="28"/>
        </w:rPr>
      </w:pPr>
    </w:p>
    <w:p>
      <w:pPr>
        <w:tabs>
          <w:tab w:val="left" w:pos="1185"/>
          <w:tab w:val="left" w:pos="2224"/>
          <w:tab w:val="left" w:pos="3266"/>
        </w:tabs>
        <w:spacing w:before="0"/>
        <w:ind w:left="143" w:right="0" w:firstLine="0"/>
        <w:jc w:val="center"/>
        <w:rPr>
          <w:sz w:val="52"/>
        </w:rPr>
      </w:pPr>
      <w:r>
        <w:rPr>
          <w:sz w:val="52"/>
        </w:rPr>
        <w:t>投</w:t>
      </w:r>
      <w:r>
        <w:rPr>
          <w:sz w:val="52"/>
        </w:rPr>
        <w:tab/>
      </w:r>
      <w:r>
        <w:rPr>
          <w:sz w:val="52"/>
        </w:rPr>
        <w:t>标</w:t>
      </w:r>
      <w:r>
        <w:rPr>
          <w:sz w:val="52"/>
        </w:rPr>
        <w:tab/>
      </w:r>
      <w:r>
        <w:rPr>
          <w:sz w:val="52"/>
        </w:rPr>
        <w:t>文</w:t>
      </w:r>
      <w:r>
        <w:rPr>
          <w:sz w:val="52"/>
        </w:rPr>
        <w:tab/>
      </w:r>
      <w:r>
        <w:rPr>
          <w:sz w:val="52"/>
        </w:rPr>
        <w:t>件</w:t>
      </w:r>
    </w:p>
    <w:p>
      <w:pPr>
        <w:pStyle w:val="13"/>
        <w:ind w:left="0"/>
        <w:rPr>
          <w:sz w:val="52"/>
        </w:rPr>
      </w:pPr>
    </w:p>
    <w:p>
      <w:pPr>
        <w:pStyle w:val="13"/>
        <w:spacing w:before="12"/>
        <w:ind w:left="0"/>
        <w:rPr>
          <w:sz w:val="65"/>
        </w:rPr>
      </w:pPr>
    </w:p>
    <w:p>
      <w:pPr>
        <w:pStyle w:val="8"/>
        <w:tabs>
          <w:tab w:val="left" w:pos="6100"/>
        </w:tabs>
        <w:ind w:left="1833"/>
        <w:rPr>
          <w:rFonts w:ascii="Times New Roman" w:eastAsia="Times New Roman"/>
        </w:rPr>
      </w:pPr>
      <w:r>
        <w:t>项目编</w:t>
      </w:r>
      <w:r>
        <w:rPr>
          <w:spacing w:val="-3"/>
        </w:rPr>
        <w:t>号</w:t>
      </w:r>
      <w:r>
        <w:t>：</w:t>
      </w:r>
      <w:r>
        <w:rPr>
          <w:rFonts w:ascii="Times New Roman" w:eastAsia="Times New Roman"/>
          <w:u w:val="single"/>
        </w:rPr>
        <w:t xml:space="preserve"> </w:t>
      </w:r>
      <w:r>
        <w:rPr>
          <w:rFonts w:ascii="Times New Roman" w:eastAsia="Times New Roman"/>
          <w:u w:val="single"/>
        </w:rPr>
        <w:tab/>
      </w:r>
    </w:p>
    <w:p>
      <w:pPr>
        <w:pStyle w:val="13"/>
        <w:spacing w:before="3"/>
        <w:ind w:left="0"/>
        <w:rPr>
          <w:rFonts w:ascii="Times New Roman"/>
          <w:sz w:val="19"/>
        </w:rPr>
      </w:pPr>
    </w:p>
    <w:p>
      <w:pPr>
        <w:pStyle w:val="4"/>
        <w:spacing w:before="0"/>
      </w:pPr>
      <w:r>
        <w:rPr>
          <w:w w:val="95"/>
        </w:rPr>
        <w:t>（正本/副本）</w:t>
      </w:r>
    </w:p>
    <w:p>
      <w:pPr>
        <w:pStyle w:val="13"/>
        <w:ind w:left="0"/>
        <w:rPr>
          <w:sz w:val="32"/>
        </w:rPr>
      </w:pPr>
    </w:p>
    <w:p>
      <w:pPr>
        <w:pStyle w:val="13"/>
        <w:ind w:left="0"/>
        <w:rPr>
          <w:sz w:val="32"/>
        </w:rPr>
      </w:pPr>
    </w:p>
    <w:p>
      <w:pPr>
        <w:pStyle w:val="13"/>
        <w:ind w:left="0"/>
        <w:rPr>
          <w:sz w:val="32"/>
        </w:rPr>
      </w:pPr>
    </w:p>
    <w:p>
      <w:pPr>
        <w:pStyle w:val="13"/>
        <w:ind w:left="0"/>
        <w:rPr>
          <w:sz w:val="32"/>
        </w:rPr>
      </w:pPr>
    </w:p>
    <w:p>
      <w:pPr>
        <w:pStyle w:val="13"/>
        <w:spacing w:before="4"/>
        <w:ind w:left="0"/>
        <w:rPr>
          <w:sz w:val="33"/>
        </w:rPr>
      </w:pPr>
    </w:p>
    <w:p>
      <w:pPr>
        <w:pStyle w:val="8"/>
        <w:tabs>
          <w:tab w:val="left" w:pos="3934"/>
          <w:tab w:val="left" w:pos="6874"/>
        </w:tabs>
      </w:pPr>
      <w:r>
        <w:t>投标内</w:t>
      </w:r>
      <w:r>
        <w:rPr>
          <w:spacing w:val="-3"/>
        </w:rPr>
        <w:t>容</w:t>
      </w:r>
      <w:r>
        <w:t>：</w:t>
      </w:r>
      <w:r>
        <w:rPr>
          <w:u w:val="single"/>
        </w:rPr>
        <w:t xml:space="preserve"> </w:t>
      </w:r>
      <w:r>
        <w:rPr>
          <w:u w:val="single"/>
        </w:rPr>
        <w:tab/>
      </w:r>
      <w:r>
        <w:rPr>
          <w:u w:val="single"/>
        </w:rPr>
        <w:t>商务</w:t>
      </w:r>
      <w:r>
        <w:rPr>
          <w:spacing w:val="-3"/>
          <w:u w:val="single"/>
        </w:rPr>
        <w:t>标</w:t>
      </w:r>
      <w:r>
        <w:rPr>
          <w:u w:val="single"/>
        </w:rPr>
        <w:t>部分</w:t>
      </w:r>
      <w:r>
        <w:rPr>
          <w:u w:val="single"/>
        </w:rPr>
        <w:tab/>
      </w:r>
    </w:p>
    <w:p>
      <w:pPr>
        <w:pStyle w:val="13"/>
        <w:spacing w:before="11"/>
        <w:ind w:left="0"/>
        <w:rPr>
          <w:sz w:val="17"/>
        </w:rPr>
      </w:pPr>
    </w:p>
    <w:p>
      <w:pPr>
        <w:pStyle w:val="8"/>
        <w:tabs>
          <w:tab w:val="left" w:pos="5475"/>
          <w:tab w:val="left" w:pos="6034"/>
        </w:tabs>
        <w:spacing w:before="23" w:line="408" w:lineRule="auto"/>
        <w:ind w:left="854" w:right="1388"/>
      </w:pPr>
      <w:r>
        <w:t>投</w:t>
      </w:r>
      <w:r>
        <w:rPr>
          <w:spacing w:val="-3"/>
        </w:rPr>
        <w:t>标人</w:t>
      </w:r>
      <w:r>
        <w:t>：</w:t>
      </w:r>
      <w:r>
        <w:rPr>
          <w:u w:val="single"/>
        </w:rPr>
        <w:t xml:space="preserve"> </w:t>
      </w:r>
      <w:r>
        <w:rPr>
          <w:u w:val="single"/>
        </w:rPr>
        <w:tab/>
      </w:r>
      <w:r>
        <w:t>（</w:t>
      </w:r>
      <w:r>
        <w:rPr>
          <w:spacing w:val="-3"/>
        </w:rPr>
        <w:t>盖单</w:t>
      </w:r>
      <w:r>
        <w:t>位章） 法</w:t>
      </w:r>
      <w:r>
        <w:rPr>
          <w:spacing w:val="-3"/>
        </w:rPr>
        <w:t>定代</w:t>
      </w:r>
      <w:r>
        <w:t>表人或</w:t>
      </w:r>
      <w:r>
        <w:rPr>
          <w:spacing w:val="-3"/>
        </w:rPr>
        <w:t>其</w:t>
      </w:r>
      <w:r>
        <w:t>委托</w:t>
      </w:r>
      <w:r>
        <w:rPr>
          <w:spacing w:val="-3"/>
        </w:rPr>
        <w:t>代理</w:t>
      </w:r>
      <w:r>
        <w:t>人：</w:t>
      </w:r>
      <w:r>
        <w:rPr>
          <w:u w:val="single"/>
        </w:rPr>
        <w:t xml:space="preserve"> </w:t>
      </w:r>
      <w:r>
        <w:rPr>
          <w:u w:val="single"/>
        </w:rPr>
        <w:tab/>
      </w:r>
      <w:r>
        <w:rPr>
          <w:u w:val="single"/>
        </w:rPr>
        <w:tab/>
      </w:r>
      <w:r>
        <w:rPr>
          <w:spacing w:val="-3"/>
        </w:rPr>
        <w:t>（</w:t>
      </w:r>
      <w:r>
        <w:t>签字）</w:t>
      </w:r>
    </w:p>
    <w:p>
      <w:pPr>
        <w:pStyle w:val="13"/>
        <w:ind w:left="0"/>
        <w:rPr>
          <w:sz w:val="20"/>
        </w:rPr>
      </w:pPr>
    </w:p>
    <w:p>
      <w:pPr>
        <w:pStyle w:val="13"/>
        <w:ind w:left="0"/>
        <w:rPr>
          <w:sz w:val="20"/>
        </w:rPr>
      </w:pPr>
    </w:p>
    <w:p>
      <w:pPr>
        <w:pStyle w:val="8"/>
        <w:tabs>
          <w:tab w:val="left" w:pos="3435"/>
          <w:tab w:val="left" w:pos="4837"/>
          <w:tab w:val="left" w:pos="6375"/>
        </w:tabs>
        <w:spacing w:before="162"/>
        <w:ind w:left="2033"/>
      </w:pPr>
      <w:r>
        <w:rPr>
          <w:rFonts w:ascii="Times New Roman" w:eastAsia="Times New Roman"/>
          <w:w w:val="100"/>
          <w:u w:val="single"/>
        </w:rPr>
        <w:t xml:space="preserve"> </w:t>
      </w:r>
      <w:r>
        <w:rPr>
          <w:rFonts w:ascii="Times New Roman" w:eastAsia="Times New Roman"/>
          <w:u w:val="single"/>
        </w:rPr>
        <w:tab/>
      </w:r>
      <w:r>
        <w:rPr>
          <w:spacing w:val="-3"/>
        </w:rPr>
        <w:t>年</w:t>
      </w:r>
      <w:r>
        <w:rPr>
          <w:spacing w:val="-3"/>
          <w:u w:val="single"/>
        </w:rPr>
        <w:t xml:space="preserve"> </w:t>
      </w:r>
      <w:r>
        <w:rPr>
          <w:spacing w:val="-3"/>
          <w:u w:val="single"/>
        </w:rPr>
        <w:tab/>
      </w:r>
      <w:r>
        <w:rPr>
          <w:spacing w:val="-3"/>
        </w:rPr>
        <w:t>月</w:t>
      </w:r>
      <w:r>
        <w:rPr>
          <w:spacing w:val="-3"/>
          <w:u w:val="single"/>
        </w:rPr>
        <w:t xml:space="preserve"> </w:t>
      </w:r>
      <w:r>
        <w:rPr>
          <w:spacing w:val="-3"/>
          <w:u w:val="single"/>
        </w:rPr>
        <w:tab/>
      </w:r>
      <w:r>
        <w:t>日</w:t>
      </w:r>
    </w:p>
    <w:p>
      <w:pPr>
        <w:spacing w:after="0"/>
        <w:sectPr>
          <w:pgSz w:w="11910" w:h="16840"/>
          <w:pgMar w:top="1580" w:right="1680" w:bottom="1160" w:left="1680" w:header="0" w:footer="975" w:gutter="0"/>
        </w:sectPr>
      </w:pPr>
    </w:p>
    <w:p>
      <w:pPr>
        <w:pStyle w:val="7"/>
        <w:ind w:left="0" w:right="99"/>
      </w:pPr>
      <w:r>
        <w:rPr>
          <w:w w:val="95"/>
        </w:rPr>
        <w:t>一、投标函及投标函附录</w:t>
      </w:r>
    </w:p>
    <w:p>
      <w:pPr>
        <w:pStyle w:val="13"/>
        <w:spacing w:before="4"/>
        <w:ind w:left="0"/>
        <w:rPr>
          <w:b/>
          <w:sz w:val="35"/>
        </w:rPr>
      </w:pPr>
    </w:p>
    <w:p>
      <w:pPr>
        <w:pStyle w:val="9"/>
        <w:ind w:left="0" w:right="99"/>
        <w:jc w:val="center"/>
      </w:pPr>
      <w:r>
        <w:rPr>
          <w:w w:val="95"/>
        </w:rPr>
        <w:t>（一）投标函</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cs="MingLiU"/>
          <w:kern w:val="0"/>
          <w:szCs w:val="21"/>
        </w:rPr>
      </w:pPr>
      <w:r>
        <w:rPr>
          <w:rFonts w:hint="eastAsia" w:ascii="宋体" w:hAnsi="宋体" w:cs="MingLiU"/>
          <w:kern w:val="0"/>
          <w:szCs w:val="21"/>
        </w:rPr>
        <w:t>1、根据你方项目编号为</w:t>
      </w:r>
      <w:r>
        <w:rPr>
          <w:rFonts w:hint="eastAsia" w:ascii="宋体" w:hAnsi="宋体" w:cs="MingLiU"/>
          <w:kern w:val="0"/>
          <w:szCs w:val="21"/>
          <w:u w:val="single"/>
        </w:rPr>
        <w:t xml:space="preserve"> （项目编号）  </w:t>
      </w:r>
      <w:r>
        <w:rPr>
          <w:rFonts w:hint="eastAsia" w:ascii="宋体" w:hAnsi="宋体" w:cs="MingLiU"/>
          <w:kern w:val="0"/>
          <w:szCs w:val="21"/>
        </w:rPr>
        <w:t xml:space="preserve"> 的 </w:t>
      </w:r>
      <w:r>
        <w:rPr>
          <w:rFonts w:hint="eastAsia" w:ascii="宋体" w:hAnsi="宋体" w:cs="MingLiU"/>
          <w:kern w:val="0"/>
          <w:szCs w:val="21"/>
          <w:u w:val="single"/>
        </w:rPr>
        <w:t xml:space="preserve">（项目名称） </w:t>
      </w:r>
      <w:r>
        <w:rPr>
          <w:rFonts w:hint="eastAsia" w:ascii="宋体" w:hAnsi="宋体" w:cs="MingLiU"/>
          <w:kern w:val="0"/>
          <w:szCs w:val="21"/>
        </w:rPr>
        <w:t xml:space="preserve"> 工程招标文件，经踏勘项目现场和研究上述招标文件的投标须知、合同条款、图纸、工程建设标准和工程量清单及其他有关文件后，我方愿意以人民币（大写）</w:t>
      </w:r>
      <w:r>
        <w:rPr>
          <w:rFonts w:hint="eastAsia" w:ascii="宋体" w:hAnsi="宋体" w:cs="MingLiU"/>
          <w:kern w:val="0"/>
          <w:szCs w:val="21"/>
          <w:u w:val="single"/>
        </w:rPr>
        <w:t xml:space="preserve">       </w:t>
      </w:r>
      <w:r>
        <w:rPr>
          <w:rFonts w:hint="eastAsia" w:ascii="宋体" w:hAnsi="宋体" w:cs="MingLiU"/>
          <w:kern w:val="0"/>
          <w:szCs w:val="21"/>
        </w:rPr>
        <w:t xml:space="preserve"> 元（¥ </w:t>
      </w:r>
      <w:r>
        <w:rPr>
          <w:rFonts w:hint="eastAsia" w:ascii="宋体" w:hAnsi="宋体" w:cs="MingLiU"/>
          <w:kern w:val="0"/>
          <w:szCs w:val="21"/>
          <w:u w:val="single"/>
        </w:rPr>
        <w:t xml:space="preserve">      </w:t>
      </w:r>
      <w:r>
        <w:rPr>
          <w:rFonts w:hint="eastAsia" w:ascii="宋体" w:hAnsi="宋体" w:cs="MingLiU"/>
          <w:kern w:val="0"/>
          <w:szCs w:val="21"/>
        </w:rPr>
        <w:t xml:space="preserve"> 元）的投标总报价，工期</w:t>
      </w:r>
      <w:r>
        <w:rPr>
          <w:rFonts w:hint="eastAsia" w:ascii="宋体" w:hAnsi="宋体" w:cs="MingLiU"/>
          <w:kern w:val="0"/>
          <w:szCs w:val="21"/>
          <w:u w:val="single"/>
        </w:rPr>
        <w:t xml:space="preserve">      </w:t>
      </w:r>
      <w:r>
        <w:rPr>
          <w:rFonts w:hint="eastAsia" w:ascii="宋体" w:hAnsi="宋体" w:cs="MingLiU"/>
          <w:kern w:val="0"/>
          <w:szCs w:val="21"/>
        </w:rPr>
        <w:t xml:space="preserve"> 日历天，并按上述图纸、合同条款、工程建设标准和工程量清单（如有时）的条件要求承包上述工程的施工、竣工，并承担任何质量缺陷保修责任。我方保证工程质量达到</w:t>
      </w:r>
      <w:r>
        <w:rPr>
          <w:rFonts w:hint="eastAsia" w:ascii="宋体" w:hAnsi="宋体" w:cs="MingLiU"/>
          <w:kern w:val="0"/>
          <w:szCs w:val="21"/>
          <w:u w:val="single"/>
        </w:rPr>
        <w:t xml:space="preserve">     </w:t>
      </w:r>
      <w:r>
        <w:rPr>
          <w:rFonts w:hint="eastAsia" w:ascii="宋体" w:hAnsi="宋体" w:cs="MingLiU"/>
          <w:kern w:val="0"/>
          <w:szCs w:val="21"/>
        </w:rPr>
        <w:t>等级。</w:t>
      </w:r>
    </w:p>
    <w:p>
      <w:pPr>
        <w:keepNext w:val="0"/>
        <w:keepLines w:val="0"/>
        <w:pageBreakBefore w:val="0"/>
        <w:widowControl w:val="0"/>
        <w:kinsoku/>
        <w:wordWrap/>
        <w:overflowPunct/>
        <w:topLinePunct w:val="0"/>
        <w:autoSpaceDE w:val="0"/>
        <w:autoSpaceDN w:val="0"/>
        <w:bidi w:val="0"/>
        <w:adjustRightInd/>
        <w:snapToGrid/>
        <w:spacing w:line="360" w:lineRule="auto"/>
        <w:ind w:firstLine="222" w:firstLineChars="100"/>
        <w:textAlignment w:val="auto"/>
        <w:rPr>
          <w:rFonts w:hint="eastAsia" w:ascii="宋体" w:hAnsi="宋体"/>
          <w:spacing w:val="1"/>
          <w:kern w:val="0"/>
          <w:szCs w:val="21"/>
        </w:rPr>
      </w:pPr>
      <w:r>
        <w:rPr>
          <w:rFonts w:hint="eastAsia" w:ascii="宋体" w:hAnsi="宋体"/>
          <w:spacing w:val="1"/>
          <w:kern w:val="0"/>
          <w:szCs w:val="21"/>
        </w:rPr>
        <w:t>2、我方承诺按招标文件明确的“合同条款及格式”履行权利义务，执行招标文件提出的“技术标准和要求”以及其他内容。</w:t>
      </w:r>
    </w:p>
    <w:p>
      <w:pPr>
        <w:keepNext w:val="0"/>
        <w:keepLines w:val="0"/>
        <w:pageBreakBefore w:val="0"/>
        <w:widowControl w:val="0"/>
        <w:kinsoku/>
        <w:wordWrap/>
        <w:overflowPunct/>
        <w:topLinePunct w:val="0"/>
        <w:autoSpaceDE w:val="0"/>
        <w:autoSpaceDN w:val="0"/>
        <w:bidi w:val="0"/>
        <w:adjustRightInd/>
        <w:snapToGrid/>
        <w:spacing w:line="360" w:lineRule="auto"/>
        <w:ind w:firstLine="222" w:firstLineChars="100"/>
        <w:textAlignment w:val="auto"/>
        <w:rPr>
          <w:rFonts w:ascii="宋体" w:hAnsi="宋体" w:cs="MingLiU"/>
          <w:kern w:val="0"/>
          <w:szCs w:val="21"/>
          <w:u w:val="single"/>
        </w:rPr>
      </w:pPr>
      <w:r>
        <w:rPr>
          <w:rFonts w:hint="eastAsia" w:ascii="宋体" w:hAnsi="宋体"/>
          <w:spacing w:val="1"/>
          <w:kern w:val="0"/>
          <w:szCs w:val="21"/>
        </w:rPr>
        <w:t>3、我方承诺在投标有效期内（投标截止时间后的</w:t>
      </w:r>
      <w:r>
        <w:rPr>
          <w:rFonts w:hint="eastAsia" w:ascii="宋体" w:hAnsi="宋体"/>
          <w:spacing w:val="1"/>
          <w:kern w:val="0"/>
          <w:szCs w:val="21"/>
          <w:u w:val="single"/>
        </w:rPr>
        <w:t xml:space="preserve">   </w:t>
      </w:r>
      <w:r>
        <w:rPr>
          <w:rFonts w:hint="eastAsia" w:ascii="宋体" w:hAnsi="宋体"/>
          <w:spacing w:val="1"/>
          <w:kern w:val="0"/>
          <w:szCs w:val="21"/>
        </w:rPr>
        <w:t xml:space="preserve"> 天内）不补充、修改、替换或者撤回本投标文件。</w:t>
      </w:r>
      <w:r>
        <w:rPr>
          <w:rFonts w:hint="eastAsia" w:ascii="宋体" w:hAnsi="宋体"/>
          <w:szCs w:val="21"/>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222" w:firstLineChars="100"/>
        <w:textAlignment w:val="auto"/>
        <w:rPr>
          <w:rFonts w:hint="eastAsia" w:ascii="宋体" w:hAnsi="宋体"/>
          <w:spacing w:val="1"/>
          <w:kern w:val="0"/>
          <w:szCs w:val="21"/>
        </w:rPr>
      </w:pPr>
      <w:r>
        <w:rPr>
          <w:rFonts w:hint="eastAsia"/>
          <w:spacing w:val="1"/>
          <w:kern w:val="0"/>
          <w:szCs w:val="21"/>
          <w:lang w:val="en-US" w:eastAsia="zh-CN"/>
        </w:rPr>
        <w:t>4</w:t>
      </w:r>
      <w:r>
        <w:rPr>
          <w:rFonts w:hint="eastAsia" w:ascii="宋体" w:hAnsi="宋体"/>
          <w:spacing w:val="1"/>
          <w:kern w:val="0"/>
          <w:szCs w:val="21"/>
        </w:rPr>
        <w:t>、如我方中标：</w:t>
      </w:r>
    </w:p>
    <w:p>
      <w:pPr>
        <w:keepNext w:val="0"/>
        <w:keepLines w:val="0"/>
        <w:pageBreakBefore w:val="0"/>
        <w:widowControl w:val="0"/>
        <w:kinsoku/>
        <w:wordWrap/>
        <w:overflowPunct/>
        <w:topLinePunct w:val="0"/>
        <w:autoSpaceDE w:val="0"/>
        <w:autoSpaceDN w:val="0"/>
        <w:bidi w:val="0"/>
        <w:adjustRightInd/>
        <w:snapToGrid/>
        <w:spacing w:line="360" w:lineRule="auto"/>
        <w:ind w:firstLine="444" w:firstLineChars="200"/>
        <w:textAlignment w:val="auto"/>
        <w:rPr>
          <w:rFonts w:hint="eastAsia" w:ascii="宋体" w:hAnsi="宋体"/>
          <w:spacing w:val="1"/>
          <w:kern w:val="0"/>
          <w:szCs w:val="21"/>
        </w:rPr>
      </w:pPr>
      <w:r>
        <w:rPr>
          <w:rFonts w:hint="eastAsia" w:ascii="宋体" w:hAnsi="宋体"/>
          <w:spacing w:val="1"/>
          <w:kern w:val="0"/>
          <w:szCs w:val="21"/>
        </w:rPr>
        <w:t>（1）我方承诺在收到中标通知书后，在中标通知书规定的期限内与你方签订合同。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snapToGrid/>
        <w:spacing w:line="360" w:lineRule="auto"/>
        <w:ind w:firstLine="444" w:firstLineChars="200"/>
        <w:textAlignment w:val="auto"/>
        <w:rPr>
          <w:rFonts w:hint="eastAsia" w:ascii="宋体" w:hAnsi="宋体"/>
          <w:spacing w:val="1"/>
          <w:kern w:val="0"/>
          <w:szCs w:val="21"/>
        </w:rPr>
      </w:pPr>
      <w:r>
        <w:rPr>
          <w:rFonts w:hint="eastAsia" w:ascii="宋体" w:hAnsi="宋体"/>
          <w:spacing w:val="1"/>
          <w:kern w:val="0"/>
          <w:szCs w:val="21"/>
        </w:rPr>
        <w:t>（2）随同本投标函递交的投标函附录属于合同文件的组成部分。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snapToGrid/>
        <w:spacing w:line="360" w:lineRule="auto"/>
        <w:ind w:firstLine="444" w:firstLineChars="200"/>
        <w:textAlignment w:val="auto"/>
        <w:rPr>
          <w:rFonts w:hint="eastAsia" w:ascii="宋体" w:hAnsi="宋体"/>
          <w:spacing w:val="1"/>
          <w:kern w:val="0"/>
          <w:szCs w:val="21"/>
        </w:rPr>
      </w:pPr>
      <w:r>
        <w:rPr>
          <w:rFonts w:hint="eastAsia" w:ascii="宋体" w:hAnsi="宋体"/>
          <w:spacing w:val="1"/>
          <w:kern w:val="0"/>
          <w:szCs w:val="21"/>
        </w:rPr>
        <w:t>（3）我方承诺按照招标文件规定向你方递交履约担保。</w:t>
      </w:r>
    </w:p>
    <w:p>
      <w:pPr>
        <w:keepNext w:val="0"/>
        <w:keepLines w:val="0"/>
        <w:pageBreakBefore w:val="0"/>
        <w:widowControl w:val="0"/>
        <w:kinsoku/>
        <w:wordWrap/>
        <w:overflowPunct/>
        <w:topLinePunct w:val="0"/>
        <w:autoSpaceDE w:val="0"/>
        <w:autoSpaceDN w:val="0"/>
        <w:bidi w:val="0"/>
        <w:adjustRightInd/>
        <w:snapToGrid/>
        <w:spacing w:line="360" w:lineRule="auto"/>
        <w:ind w:firstLine="444" w:firstLineChars="200"/>
        <w:textAlignment w:val="auto"/>
        <w:rPr>
          <w:rFonts w:hint="eastAsia" w:ascii="宋体" w:hAnsi="宋体"/>
          <w:spacing w:val="1"/>
          <w:kern w:val="0"/>
          <w:szCs w:val="21"/>
        </w:rPr>
      </w:pPr>
      <w:r>
        <w:rPr>
          <w:rFonts w:hint="eastAsia" w:ascii="宋体" w:hAnsi="宋体"/>
          <w:spacing w:val="1"/>
          <w:kern w:val="0"/>
          <w:szCs w:val="21"/>
        </w:rPr>
        <w:t>（4）我方承诺在合同约定的期限内完成并移交全部合同工程。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snapToGrid/>
        <w:spacing w:line="360" w:lineRule="auto"/>
        <w:ind w:firstLine="222" w:firstLineChars="100"/>
        <w:textAlignment w:val="auto"/>
        <w:rPr>
          <w:rFonts w:hint="eastAsia" w:ascii="宋体" w:hAnsi="宋体"/>
          <w:spacing w:val="1"/>
          <w:kern w:val="0"/>
          <w:szCs w:val="21"/>
        </w:rPr>
      </w:pPr>
      <w:r>
        <w:rPr>
          <w:rFonts w:hint="eastAsia"/>
          <w:spacing w:val="1"/>
          <w:kern w:val="0"/>
          <w:szCs w:val="21"/>
          <w:lang w:val="en-US" w:eastAsia="zh-CN"/>
        </w:rPr>
        <w:t>5</w:t>
      </w:r>
      <w:r>
        <w:rPr>
          <w:rFonts w:hint="eastAsia" w:ascii="宋体" w:hAnsi="宋体"/>
          <w:spacing w:val="1"/>
          <w:kern w:val="0"/>
          <w:szCs w:val="21"/>
        </w:rPr>
        <w:t>、我方在此声明，所递交的投标文件及有关资料内容完整、真实和准确，且不存在第二章“投</w:t>
      </w:r>
    </w:p>
    <w:p>
      <w:pPr>
        <w:keepNext w:val="0"/>
        <w:keepLines w:val="0"/>
        <w:pageBreakBefore w:val="0"/>
        <w:widowControl w:val="0"/>
        <w:kinsoku/>
        <w:wordWrap/>
        <w:overflowPunct/>
        <w:topLinePunct w:val="0"/>
        <w:autoSpaceDE w:val="0"/>
        <w:autoSpaceDN w:val="0"/>
        <w:bidi w:val="0"/>
        <w:adjustRightInd/>
        <w:snapToGrid/>
        <w:spacing w:line="360" w:lineRule="auto"/>
        <w:ind w:firstLine="444" w:firstLineChars="200"/>
        <w:textAlignment w:val="auto"/>
        <w:rPr>
          <w:rFonts w:hint="eastAsia" w:ascii="宋体" w:hAnsi="宋体" w:cs="MingLiU"/>
          <w:kern w:val="0"/>
          <w:szCs w:val="21"/>
        </w:rPr>
      </w:pPr>
      <w:r>
        <w:rPr>
          <w:rFonts w:hint="eastAsia" w:ascii="宋体" w:hAnsi="宋体"/>
          <w:spacing w:val="1"/>
          <w:kern w:val="0"/>
          <w:szCs w:val="21"/>
        </w:rPr>
        <w:t>标人须知”第 1.4.3 项规定的任何一种情形。</w:t>
      </w:r>
    </w:p>
    <w:p>
      <w:pPr>
        <w:spacing w:line="360" w:lineRule="auto"/>
        <w:ind w:firstLine="440" w:firstLineChars="200"/>
        <w:rPr>
          <w:rFonts w:ascii="宋体" w:hAnsi="宋体" w:cs="MingLiU"/>
          <w:kern w:val="0"/>
          <w:szCs w:val="21"/>
        </w:rPr>
      </w:pPr>
    </w:p>
    <w:p>
      <w:pPr>
        <w:spacing w:line="400" w:lineRule="exact"/>
        <w:ind w:firstLine="3564" w:firstLineChars="1620"/>
        <w:rPr>
          <w:rFonts w:ascii="宋体" w:hAnsi="宋体"/>
          <w:kern w:val="0"/>
          <w:szCs w:val="21"/>
        </w:rPr>
      </w:pPr>
      <w:r>
        <w:rPr>
          <w:rFonts w:hint="eastAsia" w:ascii="宋体" w:hAnsi="宋体" w:cs="MingLiU"/>
          <w:kern w:val="0"/>
          <w:szCs w:val="21"/>
        </w:rPr>
        <w:t>投</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标</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人</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（盖单位法人公章）</w:t>
      </w:r>
      <w:r>
        <w:rPr>
          <w:rFonts w:ascii="宋体" w:hAnsi="宋体"/>
          <w:kern w:val="0"/>
          <w:szCs w:val="21"/>
        </w:rPr>
        <w:t xml:space="preserve"> </w:t>
      </w:r>
    </w:p>
    <w:p>
      <w:pPr>
        <w:spacing w:line="400" w:lineRule="exact"/>
        <w:ind w:firstLine="3564" w:firstLineChars="1620"/>
        <w:rPr>
          <w:rFonts w:hint="eastAsia" w:ascii="宋体" w:hAnsi="宋体"/>
          <w:kern w:val="0"/>
          <w:szCs w:val="21"/>
        </w:rPr>
      </w:pPr>
      <w:r>
        <w:rPr>
          <w:rFonts w:hint="eastAsia" w:ascii="宋体" w:hAnsi="宋体" w:cs="MingLiU"/>
          <w:kern w:val="0"/>
          <w:szCs w:val="21"/>
        </w:rPr>
        <w:t>单位地址：</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u w:val="single"/>
        </w:rPr>
        <w:tab/>
      </w:r>
      <w:r>
        <w:rPr>
          <w:rFonts w:ascii="宋体" w:hAnsi="宋体"/>
          <w:kern w:val="0"/>
          <w:szCs w:val="21"/>
          <w:u w:val="single"/>
        </w:rPr>
        <w:tab/>
      </w:r>
    </w:p>
    <w:p>
      <w:pPr>
        <w:spacing w:line="400" w:lineRule="exact"/>
        <w:ind w:firstLine="3564" w:firstLineChars="1620"/>
        <w:rPr>
          <w:rFonts w:hint="eastAsia" w:ascii="宋体" w:hAnsi="宋体"/>
          <w:kern w:val="0"/>
          <w:szCs w:val="21"/>
        </w:rPr>
      </w:pPr>
      <w:r>
        <w:rPr>
          <w:rFonts w:hint="eastAsia" w:ascii="宋体" w:hAnsi="宋体" w:cs="MingLiU"/>
          <w:kern w:val="0"/>
          <w:szCs w:val="21"/>
        </w:rPr>
        <w:t>法定代表人或其委托代理人：</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r>
        <w:rPr>
          <w:rFonts w:ascii="宋体" w:hAnsi="宋体"/>
          <w:kern w:val="0"/>
          <w:szCs w:val="21"/>
        </w:rPr>
        <w:t xml:space="preserve"> </w:t>
      </w:r>
    </w:p>
    <w:p>
      <w:pPr>
        <w:spacing w:line="400" w:lineRule="exact"/>
        <w:ind w:firstLine="3564" w:firstLineChars="1620"/>
        <w:rPr>
          <w:rFonts w:ascii="宋体" w:hAnsi="宋体" w:cs="MingLiU"/>
          <w:kern w:val="0"/>
          <w:szCs w:val="21"/>
        </w:rPr>
      </w:pPr>
      <w:r>
        <w:rPr>
          <w:rFonts w:hint="eastAsia" w:ascii="宋体" w:hAnsi="宋体" w:cs="MingLiU"/>
          <w:kern w:val="0"/>
          <w:szCs w:val="21"/>
        </w:rPr>
        <w:t>邮政编码：</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电话：</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传真：</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p>
    <w:p>
      <w:pPr>
        <w:spacing w:line="400" w:lineRule="exact"/>
        <w:ind w:firstLine="3564" w:firstLineChars="1620"/>
        <w:rPr>
          <w:rFonts w:hint="eastAsia" w:ascii="宋体" w:hAnsi="宋体" w:cs="MingLiU"/>
          <w:kern w:val="0"/>
          <w:szCs w:val="21"/>
        </w:rPr>
      </w:pPr>
      <w:r>
        <w:rPr>
          <w:rFonts w:hint="eastAsia" w:ascii="宋体" w:hAnsi="宋体" w:cs="MingLiU"/>
          <w:kern w:val="0"/>
          <w:szCs w:val="21"/>
        </w:rPr>
        <w:t>开户银行名称：</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p>
    <w:p>
      <w:pPr>
        <w:spacing w:line="400" w:lineRule="exact"/>
        <w:ind w:firstLine="3564" w:firstLineChars="1620"/>
        <w:rPr>
          <w:rFonts w:hint="eastAsia" w:ascii="宋体" w:hAnsi="宋体" w:cs="MingLiU"/>
          <w:kern w:val="0"/>
          <w:szCs w:val="21"/>
        </w:rPr>
      </w:pPr>
      <w:r>
        <w:rPr>
          <w:rFonts w:hint="eastAsia" w:ascii="宋体" w:hAnsi="宋体" w:cs="MingLiU"/>
          <w:kern w:val="0"/>
          <w:szCs w:val="21"/>
        </w:rPr>
        <w:t>开户银行账号：</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p>
    <w:p>
      <w:pPr>
        <w:spacing w:line="400" w:lineRule="exact"/>
        <w:ind w:firstLine="3564" w:firstLineChars="1620"/>
        <w:rPr>
          <w:rFonts w:hint="eastAsia" w:ascii="宋体" w:hAnsi="宋体" w:cs="MingLiU"/>
          <w:kern w:val="0"/>
          <w:szCs w:val="21"/>
        </w:rPr>
      </w:pPr>
      <w:r>
        <w:rPr>
          <w:rFonts w:hint="eastAsia" w:ascii="宋体" w:hAnsi="宋体" w:cs="MingLiU"/>
          <w:kern w:val="0"/>
          <w:szCs w:val="21"/>
        </w:rPr>
        <w:t>开户银行地址：</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p>
    <w:p>
      <w:pPr>
        <w:spacing w:line="400" w:lineRule="exact"/>
        <w:ind w:firstLine="3564" w:firstLineChars="1620"/>
        <w:rPr>
          <w:rFonts w:hint="eastAsia" w:ascii="宋体" w:hAnsi="宋体" w:cs="MingLiU"/>
          <w:kern w:val="0"/>
          <w:szCs w:val="21"/>
        </w:rPr>
      </w:pPr>
      <w:r>
        <w:rPr>
          <w:rFonts w:hint="eastAsia" w:ascii="宋体" w:hAnsi="宋体"/>
          <w:kern w:val="0"/>
          <w:szCs w:val="21"/>
          <w:u w:val="single"/>
        </w:rPr>
        <w:t xml:space="preserve">           </w:t>
      </w:r>
    </w:p>
    <w:p>
      <w:pPr>
        <w:spacing w:line="400" w:lineRule="exact"/>
        <w:ind w:firstLine="3195" w:firstLineChars="1466"/>
        <w:jc w:val="center"/>
        <w:rPr>
          <w:rFonts w:ascii="宋体" w:hAnsi="宋体" w:cs="MingLiU"/>
          <w:kern w:val="0"/>
          <w:szCs w:val="21"/>
        </w:rPr>
      </w:pPr>
      <w:r>
        <w:rPr>
          <w:rFonts w:hint="eastAsia" w:ascii="宋体" w:hAnsi="宋体" w:cs="MingLiU"/>
          <w:spacing w:val="-1"/>
          <w:kern w:val="0"/>
          <w:szCs w:val="21"/>
        </w:rPr>
        <w:t>日期：</w:t>
      </w:r>
      <w:r>
        <w:rPr>
          <w:rFonts w:hint="eastAsia" w:ascii="宋体" w:hAnsi="宋体" w:cs="MingLiU"/>
          <w:spacing w:val="-1"/>
          <w:kern w:val="0"/>
          <w:szCs w:val="21"/>
          <w:u w:val="single"/>
        </w:rPr>
        <w:t xml:space="preserve">     </w:t>
      </w:r>
      <w:r>
        <w:rPr>
          <w:rFonts w:hint="eastAsia" w:ascii="宋体" w:hAnsi="宋体" w:cs="MingLiU"/>
          <w:spacing w:val="-1"/>
          <w:kern w:val="0"/>
          <w:szCs w:val="21"/>
        </w:rPr>
        <w:t xml:space="preserve">年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p>
      <w:pPr>
        <w:pStyle w:val="4"/>
        <w:rPr>
          <w:w w:val="95"/>
        </w:rPr>
      </w:pPr>
    </w:p>
    <w:p>
      <w:pPr>
        <w:pStyle w:val="4"/>
        <w:rPr>
          <w:w w:val="95"/>
        </w:rPr>
      </w:pPr>
    </w:p>
    <w:p>
      <w:pPr>
        <w:pStyle w:val="4"/>
        <w:rPr>
          <w:w w:val="95"/>
        </w:rPr>
      </w:pPr>
    </w:p>
    <w:p>
      <w:pPr>
        <w:pStyle w:val="4"/>
        <w:rPr>
          <w:w w:val="95"/>
        </w:rPr>
      </w:pPr>
    </w:p>
    <w:p>
      <w:pPr>
        <w:rPr>
          <w:w w:val="95"/>
        </w:rPr>
      </w:pPr>
    </w:p>
    <w:p>
      <w:pPr>
        <w:pStyle w:val="7"/>
        <w:ind w:left="0" w:right="99"/>
        <w:rPr>
          <w:w w:val="95"/>
        </w:rPr>
      </w:pPr>
      <w:r>
        <w:rPr>
          <w:w w:val="95"/>
        </w:rPr>
        <w:t>二</w:t>
      </w:r>
      <w:r>
        <w:rPr>
          <w:rFonts w:hint="eastAsia"/>
          <w:w w:val="95"/>
          <w:lang w:eastAsia="zh-CN"/>
        </w:rPr>
        <w:t>、</w:t>
      </w:r>
      <w:r>
        <w:rPr>
          <w:rFonts w:hint="eastAsia"/>
          <w:w w:val="95"/>
        </w:rPr>
        <w:t>投标函附录</w:t>
      </w:r>
    </w:p>
    <w:p>
      <w:pPr>
        <w:rPr>
          <w:rFonts w:ascii="宋体" w:hAnsi="宋体" w:cs="MingLiU"/>
          <w:kern w:val="0"/>
          <w:sz w:val="20"/>
          <w:szCs w:val="20"/>
        </w:rPr>
      </w:pPr>
    </w:p>
    <w:p>
      <w:pPr>
        <w:pStyle w:val="13"/>
        <w:spacing w:before="7"/>
        <w:ind w:left="0"/>
        <w:rPr>
          <w:b/>
          <w:sz w:val="37"/>
        </w:rPr>
      </w:pPr>
      <w:bookmarkStart w:id="766" w:name="_Toc207443038"/>
    </w:p>
    <w:p>
      <w:pPr>
        <w:pStyle w:val="13"/>
        <w:tabs>
          <w:tab w:val="left" w:pos="2832"/>
        </w:tabs>
        <w:spacing w:after="49"/>
        <w:ind w:left="206"/>
      </w:pPr>
      <w:r>
        <w:t>工程</w:t>
      </w:r>
      <w:r>
        <w:rPr>
          <w:spacing w:val="-3"/>
        </w:rPr>
        <w:t>名</w:t>
      </w:r>
      <w:r>
        <w:t>称</w:t>
      </w:r>
      <w:r>
        <w:rPr>
          <w:spacing w:val="-3"/>
        </w:rPr>
        <w:t>：</w:t>
      </w:r>
      <w:r>
        <w:rPr>
          <w:spacing w:val="-3"/>
          <w:u w:val="single"/>
        </w:rPr>
        <w:t xml:space="preserve"> </w:t>
      </w:r>
      <w:r>
        <w:rPr>
          <w:spacing w:val="-3"/>
          <w:u w:val="single"/>
        </w:rPr>
        <w:tab/>
      </w:r>
      <w:r>
        <w:t>（</w:t>
      </w:r>
      <w:r>
        <w:rPr>
          <w:spacing w:val="-3"/>
        </w:rPr>
        <w:t>项</w:t>
      </w:r>
      <w:r>
        <w:t>目</w:t>
      </w:r>
      <w:r>
        <w:rPr>
          <w:spacing w:val="-3"/>
        </w:rPr>
        <w:t>名</w:t>
      </w:r>
      <w:r>
        <w:t>称</w:t>
      </w:r>
      <w:r>
        <w:rPr>
          <w:spacing w:val="-3"/>
        </w:rPr>
        <w:t>）</w:t>
      </w:r>
      <w:r>
        <w:t>标段</w:t>
      </w:r>
    </w:p>
    <w:tbl>
      <w:tblPr>
        <w:tblStyle w:val="17"/>
        <w:tblW w:w="8757" w:type="dxa"/>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985"/>
        <w:gridCol w:w="2127"/>
        <w:gridCol w:w="1985"/>
        <w:gridCol w:w="1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1" w:type="dxa"/>
          </w:tcPr>
          <w:p>
            <w:pPr>
              <w:pStyle w:val="33"/>
              <w:spacing w:before="114"/>
              <w:ind w:left="209" w:right="207"/>
              <w:jc w:val="center"/>
              <w:rPr>
                <w:sz w:val="21"/>
              </w:rPr>
            </w:pPr>
            <w:r>
              <w:rPr>
                <w:sz w:val="21"/>
              </w:rPr>
              <w:t>序 号</w:t>
            </w:r>
          </w:p>
        </w:tc>
        <w:tc>
          <w:tcPr>
            <w:tcW w:w="1985" w:type="dxa"/>
          </w:tcPr>
          <w:p>
            <w:pPr>
              <w:pStyle w:val="33"/>
              <w:spacing w:before="114"/>
              <w:ind w:left="568"/>
              <w:rPr>
                <w:sz w:val="21"/>
              </w:rPr>
            </w:pPr>
            <w:r>
              <w:rPr>
                <w:sz w:val="21"/>
              </w:rPr>
              <w:t>条款内容</w:t>
            </w:r>
          </w:p>
        </w:tc>
        <w:tc>
          <w:tcPr>
            <w:tcW w:w="2127" w:type="dxa"/>
          </w:tcPr>
          <w:p>
            <w:pPr>
              <w:pStyle w:val="33"/>
              <w:spacing w:before="114"/>
              <w:ind w:left="535"/>
              <w:rPr>
                <w:sz w:val="21"/>
              </w:rPr>
            </w:pPr>
            <w:r>
              <w:rPr>
                <w:sz w:val="21"/>
              </w:rPr>
              <w:t>合同条款号</w:t>
            </w:r>
          </w:p>
        </w:tc>
        <w:tc>
          <w:tcPr>
            <w:tcW w:w="1985" w:type="dxa"/>
          </w:tcPr>
          <w:p>
            <w:pPr>
              <w:pStyle w:val="33"/>
              <w:spacing w:before="114"/>
              <w:ind w:left="566"/>
              <w:rPr>
                <w:sz w:val="21"/>
              </w:rPr>
            </w:pPr>
            <w:r>
              <w:rPr>
                <w:sz w:val="21"/>
              </w:rPr>
              <w:t>约定内容</w:t>
            </w:r>
          </w:p>
        </w:tc>
        <w:tc>
          <w:tcPr>
            <w:tcW w:w="1669" w:type="dxa"/>
          </w:tcPr>
          <w:p>
            <w:pPr>
              <w:pStyle w:val="33"/>
              <w:spacing w:before="114"/>
              <w:ind w:left="600" w:right="598"/>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1" w:type="dxa"/>
          </w:tcPr>
          <w:p>
            <w:pPr>
              <w:pStyle w:val="33"/>
              <w:spacing w:before="157"/>
              <w:ind w:right="1"/>
              <w:jc w:val="center"/>
              <w:rPr>
                <w:rFonts w:ascii="Calibri"/>
                <w:sz w:val="21"/>
              </w:rPr>
            </w:pPr>
            <w:r>
              <w:rPr>
                <w:rFonts w:ascii="Calibri"/>
                <w:w w:val="100"/>
                <w:sz w:val="21"/>
              </w:rPr>
              <w:t>1</w:t>
            </w:r>
          </w:p>
        </w:tc>
        <w:tc>
          <w:tcPr>
            <w:tcW w:w="1985" w:type="dxa"/>
          </w:tcPr>
          <w:p>
            <w:pPr>
              <w:pStyle w:val="33"/>
              <w:spacing w:before="117"/>
              <w:ind w:left="105"/>
              <w:rPr>
                <w:sz w:val="21"/>
              </w:rPr>
            </w:pPr>
            <w:r>
              <w:rPr>
                <w:sz w:val="21"/>
              </w:rPr>
              <w:t>项目经理</w:t>
            </w:r>
          </w:p>
        </w:tc>
        <w:tc>
          <w:tcPr>
            <w:tcW w:w="2127" w:type="dxa"/>
          </w:tcPr>
          <w:p>
            <w:pPr>
              <w:pStyle w:val="33"/>
              <w:spacing w:before="117"/>
              <w:ind w:left="165"/>
              <w:rPr>
                <w:sz w:val="21"/>
              </w:rPr>
            </w:pPr>
            <w:r>
              <w:rPr>
                <w:sz w:val="21"/>
              </w:rPr>
              <w:t>专用合同条款</w:t>
            </w:r>
          </w:p>
        </w:tc>
        <w:tc>
          <w:tcPr>
            <w:tcW w:w="1985" w:type="dxa"/>
          </w:tcPr>
          <w:p>
            <w:pPr>
              <w:pStyle w:val="33"/>
              <w:tabs>
                <w:tab w:val="left" w:pos="1830"/>
              </w:tabs>
              <w:spacing w:before="117"/>
              <w:ind w:left="102"/>
              <w:rPr>
                <w:rFonts w:ascii="Times New Roman" w:eastAsia="Times New Roman"/>
                <w:sz w:val="21"/>
              </w:rPr>
            </w:pPr>
            <w:r>
              <w:rPr>
                <w:sz w:val="21"/>
              </w:rPr>
              <w:t>姓名</w:t>
            </w:r>
            <w:r>
              <w:rPr>
                <w:spacing w:val="-3"/>
                <w:sz w:val="21"/>
              </w:rPr>
              <w:t>：</w:t>
            </w:r>
            <w:r>
              <w:rPr>
                <w:rFonts w:ascii="Times New Roman" w:eastAsia="Times New Roman"/>
                <w:sz w:val="21"/>
                <w:u w:val="single"/>
              </w:rPr>
              <w:t xml:space="preserve"> </w:t>
            </w:r>
            <w:r>
              <w:rPr>
                <w:rFonts w:ascii="Times New Roman" w:eastAsia="Times New Roman"/>
                <w:sz w:val="21"/>
                <w:u w:val="single"/>
              </w:rPr>
              <w:tab/>
            </w:r>
          </w:p>
        </w:tc>
        <w:tc>
          <w:tcPr>
            <w:tcW w:w="1669"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1" w:type="dxa"/>
          </w:tcPr>
          <w:p>
            <w:pPr>
              <w:pStyle w:val="33"/>
              <w:spacing w:before="155"/>
              <w:ind w:right="1"/>
              <w:jc w:val="center"/>
              <w:rPr>
                <w:rFonts w:ascii="Calibri"/>
                <w:sz w:val="21"/>
              </w:rPr>
            </w:pPr>
            <w:r>
              <w:rPr>
                <w:rFonts w:ascii="Calibri"/>
                <w:w w:val="100"/>
                <w:sz w:val="21"/>
              </w:rPr>
              <w:t>2</w:t>
            </w:r>
          </w:p>
        </w:tc>
        <w:tc>
          <w:tcPr>
            <w:tcW w:w="1985" w:type="dxa"/>
          </w:tcPr>
          <w:p>
            <w:pPr>
              <w:pStyle w:val="33"/>
              <w:spacing w:before="114"/>
              <w:ind w:left="105"/>
              <w:rPr>
                <w:sz w:val="21"/>
              </w:rPr>
            </w:pPr>
            <w:r>
              <w:rPr>
                <w:sz w:val="21"/>
              </w:rPr>
              <w:t>工期</w:t>
            </w:r>
          </w:p>
        </w:tc>
        <w:tc>
          <w:tcPr>
            <w:tcW w:w="2127" w:type="dxa"/>
          </w:tcPr>
          <w:p>
            <w:pPr>
              <w:pStyle w:val="33"/>
              <w:spacing w:before="114"/>
              <w:ind w:left="165"/>
              <w:rPr>
                <w:sz w:val="21"/>
              </w:rPr>
            </w:pPr>
            <w:r>
              <w:rPr>
                <w:sz w:val="21"/>
              </w:rPr>
              <w:t>协议书二</w:t>
            </w:r>
          </w:p>
        </w:tc>
        <w:tc>
          <w:tcPr>
            <w:tcW w:w="1985" w:type="dxa"/>
          </w:tcPr>
          <w:p>
            <w:pPr>
              <w:pStyle w:val="33"/>
              <w:tabs>
                <w:tab w:val="left" w:pos="1197"/>
              </w:tabs>
              <w:spacing w:before="114"/>
              <w:ind w:left="146"/>
              <w:rPr>
                <w:sz w:val="21"/>
              </w:rPr>
            </w:pPr>
            <w:r>
              <w:rPr>
                <w:rFonts w:ascii="Times New Roman" w:eastAsia="Times New Roman"/>
                <w:w w:val="100"/>
                <w:sz w:val="21"/>
                <w:u w:val="single"/>
              </w:rPr>
              <w:t xml:space="preserve"> </w:t>
            </w:r>
            <w:r>
              <w:rPr>
                <w:rFonts w:ascii="Times New Roman" w:eastAsia="Times New Roman"/>
                <w:sz w:val="21"/>
                <w:u w:val="single"/>
              </w:rPr>
              <w:tab/>
            </w:r>
            <w:r>
              <w:rPr>
                <w:spacing w:val="-2"/>
                <w:sz w:val="21"/>
              </w:rPr>
              <w:t>日历天</w:t>
            </w:r>
          </w:p>
        </w:tc>
        <w:tc>
          <w:tcPr>
            <w:tcW w:w="1669"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1" w:type="dxa"/>
          </w:tcPr>
          <w:p>
            <w:pPr>
              <w:pStyle w:val="33"/>
              <w:spacing w:before="155"/>
              <w:ind w:right="1"/>
              <w:jc w:val="center"/>
              <w:rPr>
                <w:rFonts w:ascii="Calibri"/>
                <w:sz w:val="21"/>
              </w:rPr>
            </w:pPr>
            <w:r>
              <w:rPr>
                <w:rFonts w:ascii="Calibri"/>
                <w:w w:val="100"/>
                <w:sz w:val="21"/>
              </w:rPr>
              <w:t>3</w:t>
            </w:r>
          </w:p>
        </w:tc>
        <w:tc>
          <w:tcPr>
            <w:tcW w:w="1985" w:type="dxa"/>
          </w:tcPr>
          <w:p>
            <w:pPr>
              <w:pStyle w:val="33"/>
              <w:spacing w:before="114"/>
              <w:ind w:left="105"/>
              <w:rPr>
                <w:sz w:val="21"/>
              </w:rPr>
            </w:pPr>
            <w:r>
              <w:rPr>
                <w:sz w:val="21"/>
              </w:rPr>
              <w:t>缺陷责任期</w:t>
            </w:r>
          </w:p>
        </w:tc>
        <w:tc>
          <w:tcPr>
            <w:tcW w:w="2127" w:type="dxa"/>
          </w:tcPr>
          <w:p>
            <w:pPr>
              <w:pStyle w:val="33"/>
              <w:spacing w:before="114"/>
              <w:ind w:left="165"/>
              <w:rPr>
                <w:sz w:val="21"/>
              </w:rPr>
            </w:pPr>
            <w:r>
              <w:rPr>
                <w:sz w:val="21"/>
              </w:rPr>
              <w:t>专用合同条款</w:t>
            </w:r>
          </w:p>
        </w:tc>
        <w:tc>
          <w:tcPr>
            <w:tcW w:w="1985" w:type="dxa"/>
          </w:tcPr>
          <w:p>
            <w:pPr>
              <w:pStyle w:val="33"/>
              <w:rPr>
                <w:rFonts w:ascii="Times New Roman"/>
                <w:sz w:val="20"/>
              </w:rPr>
            </w:pPr>
          </w:p>
        </w:tc>
        <w:tc>
          <w:tcPr>
            <w:tcW w:w="1669"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1" w:type="dxa"/>
          </w:tcPr>
          <w:p>
            <w:pPr>
              <w:pStyle w:val="33"/>
              <w:spacing w:before="157"/>
              <w:ind w:right="1"/>
              <w:jc w:val="center"/>
              <w:rPr>
                <w:rFonts w:ascii="Calibri"/>
                <w:sz w:val="21"/>
              </w:rPr>
            </w:pPr>
            <w:r>
              <w:rPr>
                <w:rFonts w:ascii="Calibri"/>
                <w:w w:val="100"/>
                <w:sz w:val="21"/>
              </w:rPr>
              <w:t>4</w:t>
            </w:r>
          </w:p>
        </w:tc>
        <w:tc>
          <w:tcPr>
            <w:tcW w:w="1985" w:type="dxa"/>
          </w:tcPr>
          <w:p>
            <w:pPr>
              <w:pStyle w:val="33"/>
              <w:spacing w:before="117"/>
              <w:ind w:left="105"/>
              <w:rPr>
                <w:sz w:val="21"/>
              </w:rPr>
            </w:pPr>
            <w:r>
              <w:rPr>
                <w:sz w:val="21"/>
              </w:rPr>
              <w:t>发包人支付担保</w:t>
            </w:r>
          </w:p>
        </w:tc>
        <w:tc>
          <w:tcPr>
            <w:tcW w:w="2127" w:type="dxa"/>
          </w:tcPr>
          <w:p>
            <w:pPr>
              <w:pStyle w:val="33"/>
              <w:spacing w:before="117"/>
              <w:ind w:left="165"/>
              <w:rPr>
                <w:sz w:val="21"/>
              </w:rPr>
            </w:pPr>
            <w:r>
              <w:rPr>
                <w:sz w:val="21"/>
              </w:rPr>
              <w:t>专用合同条款</w:t>
            </w:r>
          </w:p>
        </w:tc>
        <w:tc>
          <w:tcPr>
            <w:tcW w:w="1985" w:type="dxa"/>
          </w:tcPr>
          <w:p>
            <w:pPr>
              <w:pStyle w:val="33"/>
              <w:rPr>
                <w:rFonts w:ascii="Times New Roman"/>
                <w:sz w:val="20"/>
              </w:rPr>
            </w:pPr>
          </w:p>
        </w:tc>
        <w:tc>
          <w:tcPr>
            <w:tcW w:w="1669"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91" w:type="dxa"/>
          </w:tcPr>
          <w:p>
            <w:pPr>
              <w:pStyle w:val="33"/>
              <w:spacing w:before="1"/>
              <w:rPr>
                <w:sz w:val="14"/>
              </w:rPr>
            </w:pPr>
          </w:p>
          <w:p>
            <w:pPr>
              <w:pStyle w:val="33"/>
              <w:ind w:right="1"/>
              <w:jc w:val="center"/>
              <w:rPr>
                <w:rFonts w:ascii="Calibri"/>
                <w:sz w:val="21"/>
              </w:rPr>
            </w:pPr>
            <w:r>
              <w:rPr>
                <w:rFonts w:ascii="Calibri"/>
                <w:w w:val="100"/>
                <w:sz w:val="21"/>
              </w:rPr>
              <w:t>5</w:t>
            </w:r>
          </w:p>
        </w:tc>
        <w:tc>
          <w:tcPr>
            <w:tcW w:w="1985" w:type="dxa"/>
          </w:tcPr>
          <w:p>
            <w:pPr>
              <w:pStyle w:val="33"/>
              <w:spacing w:line="273" w:lineRule="auto"/>
              <w:ind w:left="105"/>
              <w:rPr>
                <w:sz w:val="21"/>
              </w:rPr>
            </w:pPr>
            <w:r>
              <w:rPr>
                <w:sz w:val="21"/>
              </w:rPr>
              <w:t>承包人履约担保金额</w:t>
            </w:r>
          </w:p>
        </w:tc>
        <w:tc>
          <w:tcPr>
            <w:tcW w:w="2127" w:type="dxa"/>
          </w:tcPr>
          <w:p>
            <w:pPr>
              <w:pStyle w:val="33"/>
              <w:spacing w:before="144"/>
              <w:ind w:left="165"/>
              <w:rPr>
                <w:sz w:val="21"/>
              </w:rPr>
            </w:pPr>
            <w:r>
              <w:rPr>
                <w:sz w:val="21"/>
              </w:rPr>
              <w:t>专用合同条款</w:t>
            </w:r>
          </w:p>
        </w:tc>
        <w:tc>
          <w:tcPr>
            <w:tcW w:w="1985" w:type="dxa"/>
          </w:tcPr>
          <w:p>
            <w:pPr>
              <w:pStyle w:val="33"/>
              <w:rPr>
                <w:rFonts w:ascii="Times New Roman"/>
                <w:sz w:val="20"/>
              </w:rPr>
            </w:pPr>
          </w:p>
        </w:tc>
        <w:tc>
          <w:tcPr>
            <w:tcW w:w="1669"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1" w:type="dxa"/>
          </w:tcPr>
          <w:p>
            <w:pPr>
              <w:pStyle w:val="33"/>
              <w:spacing w:before="155"/>
              <w:ind w:right="1"/>
              <w:jc w:val="center"/>
              <w:rPr>
                <w:rFonts w:ascii="Calibri"/>
                <w:sz w:val="21"/>
              </w:rPr>
            </w:pPr>
            <w:r>
              <w:rPr>
                <w:rFonts w:ascii="Calibri"/>
                <w:w w:val="100"/>
                <w:sz w:val="21"/>
              </w:rPr>
              <w:t>6</w:t>
            </w:r>
          </w:p>
        </w:tc>
        <w:tc>
          <w:tcPr>
            <w:tcW w:w="1985" w:type="dxa"/>
          </w:tcPr>
          <w:p>
            <w:pPr>
              <w:pStyle w:val="33"/>
              <w:spacing w:before="114"/>
              <w:ind w:left="105"/>
              <w:rPr>
                <w:sz w:val="21"/>
              </w:rPr>
            </w:pPr>
            <w:r>
              <w:rPr>
                <w:sz w:val="21"/>
              </w:rPr>
              <w:t>分包</w:t>
            </w:r>
          </w:p>
        </w:tc>
        <w:tc>
          <w:tcPr>
            <w:tcW w:w="2127" w:type="dxa"/>
          </w:tcPr>
          <w:p>
            <w:pPr>
              <w:pStyle w:val="33"/>
              <w:spacing w:before="114"/>
              <w:ind w:left="165"/>
              <w:rPr>
                <w:sz w:val="21"/>
              </w:rPr>
            </w:pPr>
            <w:r>
              <w:rPr>
                <w:sz w:val="21"/>
              </w:rPr>
              <w:t>专用合同条款</w:t>
            </w:r>
          </w:p>
        </w:tc>
        <w:tc>
          <w:tcPr>
            <w:tcW w:w="1985" w:type="dxa"/>
          </w:tcPr>
          <w:p>
            <w:pPr>
              <w:pStyle w:val="33"/>
              <w:spacing w:before="114"/>
              <w:ind w:left="146"/>
              <w:rPr>
                <w:sz w:val="21"/>
              </w:rPr>
            </w:pPr>
            <w:r>
              <w:rPr>
                <w:sz w:val="21"/>
              </w:rPr>
              <w:t>见分包项目情况表</w:t>
            </w:r>
          </w:p>
        </w:tc>
        <w:tc>
          <w:tcPr>
            <w:tcW w:w="1669"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1" w:type="dxa"/>
          </w:tcPr>
          <w:p>
            <w:pPr>
              <w:pStyle w:val="33"/>
              <w:spacing w:before="157"/>
              <w:ind w:right="1"/>
              <w:jc w:val="center"/>
              <w:rPr>
                <w:rFonts w:ascii="Calibri"/>
                <w:sz w:val="21"/>
              </w:rPr>
            </w:pPr>
            <w:r>
              <w:rPr>
                <w:rFonts w:ascii="Calibri"/>
                <w:w w:val="100"/>
                <w:sz w:val="21"/>
              </w:rPr>
              <w:t>7</w:t>
            </w:r>
          </w:p>
        </w:tc>
        <w:tc>
          <w:tcPr>
            <w:tcW w:w="1985" w:type="dxa"/>
          </w:tcPr>
          <w:p>
            <w:pPr>
              <w:pStyle w:val="33"/>
              <w:spacing w:before="117"/>
              <w:ind w:left="105"/>
              <w:rPr>
                <w:sz w:val="21"/>
              </w:rPr>
            </w:pPr>
            <w:r>
              <w:rPr>
                <w:sz w:val="21"/>
              </w:rPr>
              <w:t>逾期竣工违约金</w:t>
            </w:r>
          </w:p>
        </w:tc>
        <w:tc>
          <w:tcPr>
            <w:tcW w:w="2127" w:type="dxa"/>
          </w:tcPr>
          <w:p>
            <w:pPr>
              <w:pStyle w:val="33"/>
              <w:spacing w:before="117"/>
              <w:ind w:left="165"/>
              <w:rPr>
                <w:sz w:val="21"/>
              </w:rPr>
            </w:pPr>
            <w:r>
              <w:rPr>
                <w:sz w:val="21"/>
              </w:rPr>
              <w:t>专用合同条款</w:t>
            </w:r>
          </w:p>
        </w:tc>
        <w:tc>
          <w:tcPr>
            <w:tcW w:w="1985" w:type="dxa"/>
          </w:tcPr>
          <w:p>
            <w:pPr>
              <w:pStyle w:val="33"/>
              <w:tabs>
                <w:tab w:val="left" w:pos="1314"/>
              </w:tabs>
              <w:spacing w:before="117"/>
              <w:ind w:left="158"/>
              <w:rPr>
                <w:sz w:val="21"/>
              </w:rPr>
            </w:pPr>
            <w:r>
              <w:rPr>
                <w:rFonts w:ascii="Times New Roman" w:eastAsia="Times New Roman"/>
                <w:w w:val="100"/>
                <w:sz w:val="21"/>
                <w:u w:val="single"/>
              </w:rPr>
              <w:t xml:space="preserve"> </w:t>
            </w:r>
            <w:r>
              <w:rPr>
                <w:rFonts w:ascii="Times New Roman" w:eastAsia="Times New Roman"/>
                <w:sz w:val="21"/>
                <w:u w:val="single"/>
              </w:rPr>
              <w:tab/>
            </w:r>
            <w:r>
              <w:rPr>
                <w:sz w:val="21"/>
              </w:rPr>
              <w:t>元</w:t>
            </w:r>
            <w:r>
              <w:rPr>
                <w:rFonts w:ascii="Calibri" w:eastAsia="Calibri"/>
                <w:spacing w:val="-3"/>
                <w:sz w:val="21"/>
              </w:rPr>
              <w:t>/</w:t>
            </w:r>
            <w:r>
              <w:rPr>
                <w:sz w:val="21"/>
              </w:rPr>
              <w:t>天</w:t>
            </w:r>
          </w:p>
        </w:tc>
        <w:tc>
          <w:tcPr>
            <w:tcW w:w="1669"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91" w:type="dxa"/>
          </w:tcPr>
          <w:p>
            <w:pPr>
              <w:pStyle w:val="33"/>
              <w:rPr>
                <w:sz w:val="14"/>
              </w:rPr>
            </w:pPr>
          </w:p>
          <w:p>
            <w:pPr>
              <w:pStyle w:val="33"/>
              <w:ind w:right="1"/>
              <w:jc w:val="center"/>
              <w:rPr>
                <w:rFonts w:ascii="Calibri"/>
                <w:sz w:val="21"/>
              </w:rPr>
            </w:pPr>
            <w:r>
              <w:rPr>
                <w:rFonts w:ascii="Calibri"/>
                <w:w w:val="100"/>
                <w:sz w:val="21"/>
              </w:rPr>
              <w:t>8</w:t>
            </w:r>
          </w:p>
        </w:tc>
        <w:tc>
          <w:tcPr>
            <w:tcW w:w="1985" w:type="dxa"/>
          </w:tcPr>
          <w:p>
            <w:pPr>
              <w:pStyle w:val="33"/>
              <w:spacing w:line="273" w:lineRule="auto"/>
              <w:ind w:left="105"/>
              <w:rPr>
                <w:sz w:val="21"/>
              </w:rPr>
            </w:pPr>
            <w:r>
              <w:rPr>
                <w:sz w:val="21"/>
              </w:rPr>
              <w:t>逾期竣工违约金最高限额</w:t>
            </w:r>
          </w:p>
        </w:tc>
        <w:tc>
          <w:tcPr>
            <w:tcW w:w="2127" w:type="dxa"/>
          </w:tcPr>
          <w:p>
            <w:pPr>
              <w:pStyle w:val="33"/>
              <w:spacing w:before="143"/>
              <w:ind w:left="165"/>
              <w:rPr>
                <w:sz w:val="21"/>
              </w:rPr>
            </w:pPr>
            <w:r>
              <w:rPr>
                <w:sz w:val="21"/>
              </w:rPr>
              <w:t>专用合同条款</w:t>
            </w:r>
          </w:p>
        </w:tc>
        <w:tc>
          <w:tcPr>
            <w:tcW w:w="1985" w:type="dxa"/>
          </w:tcPr>
          <w:p>
            <w:pPr>
              <w:pStyle w:val="33"/>
              <w:tabs>
                <w:tab w:val="left" w:pos="1516"/>
              </w:tabs>
              <w:spacing w:before="192"/>
              <w:ind w:left="102"/>
              <w:rPr>
                <w:rFonts w:ascii="Times New Roman"/>
                <w:sz w:val="21"/>
              </w:rPr>
            </w:pPr>
            <w:r>
              <w:rPr>
                <w:rFonts w:ascii="Times New Roman"/>
                <w:w w:val="100"/>
                <w:sz w:val="21"/>
                <w:u w:val="single"/>
              </w:rPr>
              <w:t xml:space="preserve"> </w:t>
            </w:r>
            <w:r>
              <w:rPr>
                <w:rFonts w:ascii="Times New Roman"/>
                <w:sz w:val="21"/>
                <w:u w:val="single"/>
              </w:rPr>
              <w:tab/>
            </w:r>
          </w:p>
        </w:tc>
        <w:tc>
          <w:tcPr>
            <w:tcW w:w="1669"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1" w:type="dxa"/>
          </w:tcPr>
          <w:p>
            <w:pPr>
              <w:pStyle w:val="33"/>
              <w:spacing w:before="155"/>
              <w:ind w:right="1"/>
              <w:jc w:val="center"/>
              <w:rPr>
                <w:rFonts w:ascii="Calibri"/>
                <w:sz w:val="21"/>
              </w:rPr>
            </w:pPr>
            <w:r>
              <w:rPr>
                <w:rFonts w:ascii="Calibri"/>
                <w:w w:val="100"/>
                <w:sz w:val="21"/>
              </w:rPr>
              <w:t>9</w:t>
            </w:r>
          </w:p>
        </w:tc>
        <w:tc>
          <w:tcPr>
            <w:tcW w:w="1985" w:type="dxa"/>
          </w:tcPr>
          <w:p>
            <w:pPr>
              <w:pStyle w:val="33"/>
              <w:spacing w:before="114"/>
              <w:ind w:left="105"/>
              <w:rPr>
                <w:sz w:val="21"/>
              </w:rPr>
            </w:pPr>
            <w:r>
              <w:rPr>
                <w:sz w:val="21"/>
              </w:rPr>
              <w:t>质量标准</w:t>
            </w:r>
          </w:p>
        </w:tc>
        <w:tc>
          <w:tcPr>
            <w:tcW w:w="2127" w:type="dxa"/>
          </w:tcPr>
          <w:p>
            <w:pPr>
              <w:pStyle w:val="33"/>
              <w:spacing w:before="114"/>
              <w:ind w:left="165"/>
              <w:rPr>
                <w:sz w:val="21"/>
              </w:rPr>
            </w:pPr>
            <w:r>
              <w:rPr>
                <w:sz w:val="21"/>
              </w:rPr>
              <w:t>专用合同条款</w:t>
            </w:r>
          </w:p>
        </w:tc>
        <w:tc>
          <w:tcPr>
            <w:tcW w:w="1985" w:type="dxa"/>
          </w:tcPr>
          <w:p>
            <w:pPr>
              <w:pStyle w:val="33"/>
              <w:rPr>
                <w:rFonts w:ascii="Times New Roman"/>
                <w:sz w:val="20"/>
              </w:rPr>
            </w:pPr>
          </w:p>
        </w:tc>
        <w:tc>
          <w:tcPr>
            <w:tcW w:w="1669"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1" w:type="dxa"/>
          </w:tcPr>
          <w:p>
            <w:pPr>
              <w:pStyle w:val="33"/>
              <w:spacing w:before="157"/>
              <w:ind w:left="209" w:right="207"/>
              <w:jc w:val="center"/>
              <w:rPr>
                <w:rFonts w:ascii="Calibri"/>
                <w:sz w:val="21"/>
              </w:rPr>
            </w:pPr>
            <w:r>
              <w:rPr>
                <w:rFonts w:ascii="Calibri"/>
                <w:sz w:val="21"/>
              </w:rPr>
              <w:t>10</w:t>
            </w:r>
          </w:p>
        </w:tc>
        <w:tc>
          <w:tcPr>
            <w:tcW w:w="1985" w:type="dxa"/>
          </w:tcPr>
          <w:p>
            <w:pPr>
              <w:pStyle w:val="33"/>
              <w:spacing w:before="117"/>
              <w:ind w:left="105"/>
              <w:rPr>
                <w:sz w:val="21"/>
              </w:rPr>
            </w:pPr>
            <w:r>
              <w:rPr>
                <w:sz w:val="21"/>
              </w:rPr>
              <w:t>预付款额度</w:t>
            </w:r>
          </w:p>
        </w:tc>
        <w:tc>
          <w:tcPr>
            <w:tcW w:w="2127" w:type="dxa"/>
          </w:tcPr>
          <w:p>
            <w:pPr>
              <w:pStyle w:val="33"/>
              <w:spacing w:before="117"/>
              <w:ind w:left="165"/>
              <w:rPr>
                <w:sz w:val="21"/>
              </w:rPr>
            </w:pPr>
            <w:r>
              <w:rPr>
                <w:sz w:val="21"/>
              </w:rPr>
              <w:t>专用合同条款</w:t>
            </w:r>
          </w:p>
        </w:tc>
        <w:tc>
          <w:tcPr>
            <w:tcW w:w="1985" w:type="dxa"/>
          </w:tcPr>
          <w:p>
            <w:pPr>
              <w:pStyle w:val="33"/>
              <w:rPr>
                <w:rFonts w:ascii="Times New Roman"/>
                <w:sz w:val="20"/>
              </w:rPr>
            </w:pPr>
          </w:p>
        </w:tc>
        <w:tc>
          <w:tcPr>
            <w:tcW w:w="1669"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1" w:type="dxa"/>
          </w:tcPr>
          <w:p>
            <w:pPr>
              <w:pStyle w:val="33"/>
              <w:spacing w:before="155"/>
              <w:ind w:left="209" w:right="207"/>
              <w:jc w:val="center"/>
              <w:rPr>
                <w:rFonts w:ascii="Calibri"/>
                <w:sz w:val="21"/>
              </w:rPr>
            </w:pPr>
            <w:r>
              <w:rPr>
                <w:rFonts w:ascii="Calibri"/>
                <w:sz w:val="21"/>
              </w:rPr>
              <w:t>11</w:t>
            </w:r>
          </w:p>
        </w:tc>
        <w:tc>
          <w:tcPr>
            <w:tcW w:w="1985" w:type="dxa"/>
          </w:tcPr>
          <w:p>
            <w:pPr>
              <w:pStyle w:val="33"/>
              <w:spacing w:before="115"/>
              <w:ind w:left="105"/>
              <w:rPr>
                <w:sz w:val="21"/>
              </w:rPr>
            </w:pPr>
            <w:r>
              <w:rPr>
                <w:sz w:val="21"/>
              </w:rPr>
              <w:t>预付款保函金额</w:t>
            </w:r>
          </w:p>
        </w:tc>
        <w:tc>
          <w:tcPr>
            <w:tcW w:w="2127" w:type="dxa"/>
          </w:tcPr>
          <w:p>
            <w:pPr>
              <w:pStyle w:val="33"/>
              <w:spacing w:before="115"/>
              <w:ind w:left="165"/>
              <w:rPr>
                <w:sz w:val="21"/>
              </w:rPr>
            </w:pPr>
            <w:r>
              <w:rPr>
                <w:sz w:val="21"/>
              </w:rPr>
              <w:t>专用合同条款</w:t>
            </w:r>
          </w:p>
        </w:tc>
        <w:tc>
          <w:tcPr>
            <w:tcW w:w="1985" w:type="dxa"/>
          </w:tcPr>
          <w:p>
            <w:pPr>
              <w:pStyle w:val="33"/>
              <w:rPr>
                <w:rFonts w:ascii="Times New Roman"/>
                <w:sz w:val="20"/>
              </w:rPr>
            </w:pPr>
          </w:p>
        </w:tc>
        <w:tc>
          <w:tcPr>
            <w:tcW w:w="1669"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1" w:type="dxa"/>
          </w:tcPr>
          <w:p>
            <w:pPr>
              <w:pStyle w:val="33"/>
              <w:spacing w:before="157"/>
              <w:ind w:left="209" w:right="207"/>
              <w:jc w:val="center"/>
              <w:rPr>
                <w:rFonts w:ascii="Calibri"/>
                <w:sz w:val="21"/>
              </w:rPr>
            </w:pPr>
            <w:r>
              <w:rPr>
                <w:rFonts w:ascii="Calibri"/>
                <w:sz w:val="21"/>
              </w:rPr>
              <w:t>12</w:t>
            </w:r>
          </w:p>
        </w:tc>
        <w:tc>
          <w:tcPr>
            <w:tcW w:w="1985" w:type="dxa"/>
          </w:tcPr>
          <w:p>
            <w:pPr>
              <w:pStyle w:val="33"/>
              <w:spacing w:before="117"/>
              <w:ind w:left="105"/>
              <w:rPr>
                <w:sz w:val="21"/>
              </w:rPr>
            </w:pPr>
            <w:r>
              <w:rPr>
                <w:sz w:val="21"/>
              </w:rPr>
              <w:t>质量保证金额度</w:t>
            </w:r>
          </w:p>
        </w:tc>
        <w:tc>
          <w:tcPr>
            <w:tcW w:w="2127" w:type="dxa"/>
          </w:tcPr>
          <w:p>
            <w:pPr>
              <w:pStyle w:val="33"/>
              <w:spacing w:before="117"/>
              <w:ind w:left="165"/>
              <w:rPr>
                <w:sz w:val="21"/>
              </w:rPr>
            </w:pPr>
            <w:r>
              <w:rPr>
                <w:sz w:val="21"/>
              </w:rPr>
              <w:t>专用合同条款</w:t>
            </w:r>
          </w:p>
        </w:tc>
        <w:tc>
          <w:tcPr>
            <w:tcW w:w="1985" w:type="dxa"/>
          </w:tcPr>
          <w:p>
            <w:pPr>
              <w:pStyle w:val="33"/>
              <w:rPr>
                <w:rFonts w:ascii="Times New Roman"/>
                <w:sz w:val="20"/>
              </w:rPr>
            </w:pPr>
          </w:p>
        </w:tc>
        <w:tc>
          <w:tcPr>
            <w:tcW w:w="1669"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991" w:type="dxa"/>
          </w:tcPr>
          <w:p>
            <w:pPr>
              <w:pStyle w:val="33"/>
              <w:spacing w:before="155"/>
              <w:ind w:left="209" w:right="207"/>
              <w:jc w:val="center"/>
              <w:rPr>
                <w:rFonts w:ascii="Calibri" w:hAnsi="Calibri"/>
                <w:sz w:val="21"/>
              </w:rPr>
            </w:pPr>
            <w:r>
              <w:rPr>
                <w:rFonts w:ascii="Calibri" w:hAnsi="Calibri"/>
                <w:sz w:val="21"/>
              </w:rPr>
              <w:t>……</w:t>
            </w:r>
          </w:p>
        </w:tc>
        <w:tc>
          <w:tcPr>
            <w:tcW w:w="1985" w:type="dxa"/>
          </w:tcPr>
          <w:p>
            <w:pPr>
              <w:pStyle w:val="33"/>
              <w:spacing w:before="155"/>
              <w:ind w:left="825" w:right="819"/>
              <w:jc w:val="center"/>
              <w:rPr>
                <w:rFonts w:ascii="Calibri" w:hAnsi="Calibri"/>
                <w:sz w:val="21"/>
              </w:rPr>
            </w:pPr>
            <w:r>
              <w:rPr>
                <w:rFonts w:ascii="Calibri" w:hAnsi="Calibri"/>
                <w:sz w:val="21"/>
              </w:rPr>
              <w:t>……</w:t>
            </w:r>
          </w:p>
        </w:tc>
        <w:tc>
          <w:tcPr>
            <w:tcW w:w="2127" w:type="dxa"/>
          </w:tcPr>
          <w:p>
            <w:pPr>
              <w:pStyle w:val="33"/>
              <w:rPr>
                <w:rFonts w:ascii="Times New Roman"/>
                <w:sz w:val="20"/>
              </w:rPr>
            </w:pPr>
          </w:p>
        </w:tc>
        <w:tc>
          <w:tcPr>
            <w:tcW w:w="1985" w:type="dxa"/>
          </w:tcPr>
          <w:p>
            <w:pPr>
              <w:pStyle w:val="33"/>
              <w:rPr>
                <w:rFonts w:ascii="Times New Roman"/>
                <w:sz w:val="20"/>
              </w:rPr>
            </w:pPr>
          </w:p>
        </w:tc>
        <w:tc>
          <w:tcPr>
            <w:tcW w:w="1669"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8757" w:type="dxa"/>
            <w:gridSpan w:val="5"/>
          </w:tcPr>
          <w:p>
            <w:pPr>
              <w:pStyle w:val="33"/>
              <w:spacing w:before="138" w:line="273" w:lineRule="auto"/>
              <w:ind w:left="103"/>
              <w:rPr>
                <w:sz w:val="21"/>
              </w:rPr>
            </w:pPr>
            <w:r>
              <w:rPr>
                <w:spacing w:val="-8"/>
                <w:sz w:val="21"/>
              </w:rPr>
              <w:t>备注：投标人在响应招标文件中规定的实质性要求和条件的基础上，可做出其他有利于招标人</w:t>
            </w:r>
            <w:r>
              <w:rPr>
                <w:spacing w:val="-5"/>
                <w:sz w:val="21"/>
              </w:rPr>
              <w:t>的承诺。此类承诺可在本表中予以补充填写。</w:t>
            </w:r>
          </w:p>
        </w:tc>
      </w:tr>
    </w:tbl>
    <w:p>
      <w:pPr>
        <w:pStyle w:val="13"/>
        <w:tabs>
          <w:tab w:val="left" w:pos="3941"/>
        </w:tabs>
        <w:spacing w:before="138"/>
        <w:ind w:left="113"/>
        <w:rPr>
          <w:rFonts w:ascii="Times New Roman" w:eastAsia="Times New Roman"/>
        </w:rPr>
      </w:pPr>
      <w:r>
        <w:rPr>
          <w:spacing w:val="-1"/>
        </w:rPr>
        <w:t>投标</w:t>
      </w:r>
      <w:r>
        <w:rPr>
          <w:spacing w:val="-3"/>
        </w:rPr>
        <w:t>人</w:t>
      </w:r>
      <w:r>
        <w:rPr>
          <w:spacing w:val="-1"/>
        </w:rPr>
        <w:t>（</w:t>
      </w:r>
      <w:r>
        <w:rPr>
          <w:spacing w:val="-3"/>
        </w:rPr>
        <w:t>盖</w:t>
      </w:r>
      <w:r>
        <w:rPr>
          <w:spacing w:val="-1"/>
        </w:rPr>
        <w:t>章</w:t>
      </w:r>
      <w:r>
        <w:t>）：</w:t>
      </w:r>
      <w:r>
        <w:rPr>
          <w:rFonts w:ascii="Times New Roman" w:eastAsia="Times New Roman"/>
          <w:u w:val="single"/>
        </w:rPr>
        <w:t xml:space="preserve"> </w:t>
      </w:r>
      <w:r>
        <w:rPr>
          <w:rFonts w:ascii="Times New Roman" w:eastAsia="Times New Roman"/>
          <w:u w:val="single"/>
        </w:rPr>
        <w:tab/>
      </w:r>
    </w:p>
    <w:p>
      <w:pPr>
        <w:pStyle w:val="13"/>
        <w:ind w:left="0"/>
        <w:rPr>
          <w:rFonts w:ascii="Times New Roman"/>
          <w:sz w:val="14"/>
        </w:rPr>
      </w:pPr>
    </w:p>
    <w:p>
      <w:pPr>
        <w:pStyle w:val="13"/>
        <w:tabs>
          <w:tab w:val="left" w:pos="5518"/>
        </w:tabs>
        <w:spacing w:before="43"/>
        <w:ind w:left="113"/>
        <w:rPr>
          <w:rFonts w:ascii="Times New Roman" w:eastAsia="Times New Roman"/>
        </w:rPr>
      </w:pPr>
      <w:r>
        <w:rPr>
          <w:spacing w:val="-1"/>
        </w:rPr>
        <w:t>法人</w:t>
      </w:r>
      <w:r>
        <w:rPr>
          <w:spacing w:val="-3"/>
        </w:rPr>
        <w:t>代</w:t>
      </w:r>
      <w:r>
        <w:rPr>
          <w:spacing w:val="-1"/>
        </w:rPr>
        <w:t>表</w:t>
      </w:r>
      <w:r>
        <w:rPr>
          <w:spacing w:val="-3"/>
        </w:rPr>
        <w:t>或</w:t>
      </w:r>
      <w:r>
        <w:t>委</w:t>
      </w:r>
      <w:r>
        <w:rPr>
          <w:spacing w:val="-3"/>
        </w:rPr>
        <w:t>托</w:t>
      </w:r>
      <w:r>
        <w:t>代</w:t>
      </w:r>
      <w:r>
        <w:rPr>
          <w:spacing w:val="-3"/>
        </w:rPr>
        <w:t>理</w:t>
      </w:r>
      <w:r>
        <w:t>人</w:t>
      </w:r>
      <w:r>
        <w:rPr>
          <w:spacing w:val="-3"/>
        </w:rPr>
        <w:t>（</w:t>
      </w:r>
      <w:r>
        <w:t>签字</w:t>
      </w:r>
      <w:r>
        <w:rPr>
          <w:spacing w:val="-3"/>
        </w:rPr>
        <w:t>或</w:t>
      </w:r>
      <w:r>
        <w:t>盖</w:t>
      </w:r>
      <w:r>
        <w:rPr>
          <w:spacing w:val="-3"/>
        </w:rPr>
        <w:t>章</w:t>
      </w:r>
      <w:r>
        <w:t>）：</w:t>
      </w:r>
      <w:r>
        <w:rPr>
          <w:rFonts w:ascii="Times New Roman" w:eastAsia="Times New Roman"/>
          <w:u w:val="single"/>
        </w:rPr>
        <w:t xml:space="preserve"> </w:t>
      </w:r>
      <w:r>
        <w:rPr>
          <w:rFonts w:ascii="Times New Roman" w:eastAsia="Times New Roman"/>
          <w:u w:val="single"/>
        </w:rPr>
        <w:tab/>
      </w:r>
    </w:p>
    <w:p>
      <w:pPr>
        <w:pStyle w:val="13"/>
        <w:spacing w:before="7"/>
        <w:ind w:left="0"/>
        <w:rPr>
          <w:rFonts w:ascii="Times New Roman"/>
          <w:sz w:val="14"/>
        </w:rPr>
      </w:pPr>
    </w:p>
    <w:p>
      <w:pPr>
        <w:pStyle w:val="13"/>
        <w:tabs>
          <w:tab w:val="left" w:pos="1375"/>
          <w:tab w:val="left" w:pos="2215"/>
          <w:tab w:val="left" w:pos="3053"/>
        </w:tabs>
        <w:spacing w:before="36"/>
        <w:ind w:left="113"/>
      </w:pPr>
      <w:r>
        <w:t>日期</w:t>
      </w:r>
      <w:r>
        <w:rPr>
          <w:spacing w:val="-3"/>
        </w:rPr>
        <w:t>：</w:t>
      </w:r>
      <w:r>
        <w:rPr>
          <w:spacing w:val="-3"/>
          <w:u w:val="single"/>
        </w:rPr>
        <w:t xml:space="preserve"> </w:t>
      </w:r>
      <w:r>
        <w:rPr>
          <w:spacing w:val="-3"/>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pPr>
        <w:spacing w:after="0"/>
        <w:sectPr>
          <w:pgSz w:w="11910" w:h="16840"/>
          <w:pgMar w:top="1120" w:right="1380" w:bottom="1160" w:left="1440" w:header="0" w:footer="975" w:gutter="0"/>
        </w:sectPr>
      </w:pPr>
    </w:p>
    <w:bookmarkEnd w:id="766"/>
    <w:p>
      <w:pPr>
        <w:pStyle w:val="7"/>
        <w:ind w:left="0" w:right="99"/>
        <w:rPr>
          <w:w w:val="95"/>
        </w:rPr>
      </w:pPr>
      <w:r>
        <w:rPr>
          <w:w w:val="95"/>
        </w:rPr>
        <w:t>三、投标报价汇总表</w:t>
      </w:r>
    </w:p>
    <w:tbl>
      <w:tblPr>
        <w:tblStyle w:val="17"/>
        <w:tblW w:w="9300" w:type="dxa"/>
        <w:tblInd w:w="108" w:type="dxa"/>
        <w:tblLayout w:type="fixed"/>
        <w:tblCellMar>
          <w:top w:w="0" w:type="dxa"/>
          <w:left w:w="108" w:type="dxa"/>
          <w:bottom w:w="0" w:type="dxa"/>
          <w:right w:w="108" w:type="dxa"/>
        </w:tblCellMar>
      </w:tblPr>
      <w:tblGrid>
        <w:gridCol w:w="977"/>
        <w:gridCol w:w="2619"/>
        <w:gridCol w:w="750"/>
        <w:gridCol w:w="751"/>
        <w:gridCol w:w="750"/>
        <w:gridCol w:w="901"/>
        <w:gridCol w:w="2552"/>
      </w:tblGrid>
      <w:tr>
        <w:tblPrEx>
          <w:tblCellMar>
            <w:top w:w="0" w:type="dxa"/>
            <w:left w:w="108" w:type="dxa"/>
            <w:bottom w:w="0" w:type="dxa"/>
            <w:right w:w="108" w:type="dxa"/>
          </w:tblCellMar>
        </w:tblPrEx>
        <w:trPr>
          <w:trHeight w:val="568" w:hRule="atLeast"/>
        </w:trPr>
        <w:tc>
          <w:tcPr>
            <w:tcW w:w="9300" w:type="dxa"/>
            <w:gridSpan w:val="7"/>
            <w:tcBorders>
              <w:top w:val="nil"/>
              <w:left w:val="nil"/>
              <w:bottom w:val="nil"/>
              <w:right w:val="nil"/>
            </w:tcBorders>
            <w:vAlign w:val="center"/>
          </w:tcPr>
          <w:p>
            <w:pPr>
              <w:widowControl/>
              <w:adjustRightInd w:val="0"/>
              <w:snapToGrid w:val="0"/>
              <w:spacing w:before="100" w:beforeAutospacing="1" w:after="100" w:afterAutospacing="1"/>
              <w:rPr>
                <w:rFonts w:hint="eastAsia" w:ascii="宋体" w:hAnsi="宋体"/>
                <w:kern w:val="0"/>
                <w:szCs w:val="21"/>
              </w:rPr>
            </w:pPr>
            <w:r>
              <w:rPr>
                <w:rFonts w:hint="eastAsia" w:ascii="宋体" w:hAnsi="宋体"/>
                <w:kern w:val="0"/>
                <w:szCs w:val="21"/>
              </w:rPr>
              <w:t>工程名称：</w:t>
            </w:r>
          </w:p>
        </w:tc>
      </w:tr>
      <w:tr>
        <w:tblPrEx>
          <w:tblCellMar>
            <w:top w:w="0" w:type="dxa"/>
            <w:left w:w="108" w:type="dxa"/>
            <w:bottom w:w="0" w:type="dxa"/>
            <w:right w:w="108" w:type="dxa"/>
          </w:tblCellMar>
        </w:tblPrEx>
        <w:trPr>
          <w:trHeight w:val="568" w:hRule="atLeast"/>
        </w:trPr>
        <w:tc>
          <w:tcPr>
            <w:tcW w:w="3596" w:type="dxa"/>
            <w:gridSpan w:val="2"/>
            <w:tcBorders>
              <w:top w:val="nil"/>
              <w:left w:val="nil"/>
              <w:bottom w:val="single" w:color="auto" w:sz="4" w:space="0"/>
              <w:right w:val="nil"/>
            </w:tcBorders>
            <w:vAlign w:val="center"/>
          </w:tcPr>
          <w:p>
            <w:pPr>
              <w:widowControl/>
              <w:adjustRightInd w:val="0"/>
              <w:snapToGrid w:val="0"/>
              <w:spacing w:before="100" w:beforeAutospacing="1" w:after="100" w:afterAutospacing="1"/>
              <w:rPr>
                <w:rFonts w:hint="eastAsia" w:ascii="宋体" w:hAnsi="宋体"/>
                <w:kern w:val="0"/>
                <w:szCs w:val="21"/>
              </w:rPr>
            </w:pPr>
            <w:r>
              <w:rPr>
                <w:rFonts w:hint="eastAsia" w:ascii="宋体" w:hAnsi="宋体"/>
                <w:kern w:val="0"/>
                <w:szCs w:val="21"/>
              </w:rPr>
              <w:t>建设规模：</w:t>
            </w:r>
          </w:p>
        </w:tc>
        <w:tc>
          <w:tcPr>
            <w:tcW w:w="750" w:type="dxa"/>
            <w:tcBorders>
              <w:top w:val="nil"/>
              <w:left w:val="nil"/>
              <w:bottom w:val="single" w:color="auto" w:sz="4" w:space="0"/>
              <w:right w:val="nil"/>
            </w:tcBorders>
            <w:vAlign w:val="center"/>
          </w:tcPr>
          <w:p>
            <w:pPr>
              <w:widowControl/>
              <w:spacing w:line="420" w:lineRule="exact"/>
              <w:rPr>
                <w:rFonts w:hint="eastAsia" w:ascii="宋体" w:hAnsi="宋体"/>
                <w:kern w:val="0"/>
                <w:szCs w:val="21"/>
              </w:rPr>
            </w:pPr>
            <w:r>
              <w:rPr>
                <w:rFonts w:hint="eastAsia" w:ascii="宋体" w:hAnsi="宋体"/>
                <w:kern w:val="0"/>
                <w:szCs w:val="21"/>
              </w:rPr>
              <w:t>　</w:t>
            </w:r>
          </w:p>
        </w:tc>
        <w:tc>
          <w:tcPr>
            <w:tcW w:w="751" w:type="dxa"/>
            <w:tcBorders>
              <w:top w:val="nil"/>
              <w:left w:val="nil"/>
              <w:bottom w:val="single" w:color="auto" w:sz="4" w:space="0"/>
              <w:right w:val="nil"/>
            </w:tcBorders>
            <w:vAlign w:val="center"/>
          </w:tcPr>
          <w:p>
            <w:pPr>
              <w:widowControl/>
              <w:spacing w:line="420" w:lineRule="exact"/>
              <w:rPr>
                <w:rFonts w:hint="eastAsia" w:ascii="宋体" w:hAnsi="宋体"/>
                <w:kern w:val="0"/>
                <w:szCs w:val="21"/>
              </w:rPr>
            </w:pPr>
            <w:r>
              <w:rPr>
                <w:rFonts w:hint="eastAsia" w:ascii="宋体" w:hAnsi="宋体"/>
                <w:kern w:val="0"/>
                <w:szCs w:val="21"/>
              </w:rPr>
              <w:t>　</w:t>
            </w:r>
          </w:p>
        </w:tc>
        <w:tc>
          <w:tcPr>
            <w:tcW w:w="750" w:type="dxa"/>
            <w:tcBorders>
              <w:top w:val="nil"/>
              <w:left w:val="nil"/>
              <w:bottom w:val="single" w:color="auto" w:sz="4" w:space="0"/>
              <w:right w:val="nil"/>
            </w:tcBorders>
            <w:vAlign w:val="center"/>
          </w:tcPr>
          <w:p>
            <w:pPr>
              <w:widowControl/>
              <w:spacing w:line="420" w:lineRule="exact"/>
              <w:rPr>
                <w:rFonts w:hint="eastAsia" w:ascii="宋体" w:hAnsi="宋体"/>
                <w:kern w:val="0"/>
                <w:szCs w:val="21"/>
              </w:rPr>
            </w:pPr>
          </w:p>
        </w:tc>
        <w:tc>
          <w:tcPr>
            <w:tcW w:w="3453" w:type="dxa"/>
            <w:gridSpan w:val="2"/>
            <w:tcBorders>
              <w:top w:val="nil"/>
              <w:left w:val="nil"/>
              <w:bottom w:val="single" w:color="auto" w:sz="4" w:space="0"/>
              <w:right w:val="nil"/>
            </w:tcBorders>
            <w:vAlign w:val="bottom"/>
          </w:tcPr>
          <w:p>
            <w:pPr>
              <w:widowControl/>
              <w:spacing w:line="420" w:lineRule="exact"/>
              <w:jc w:val="center"/>
              <w:rPr>
                <w:rFonts w:hint="eastAsia" w:ascii="宋体" w:hAnsi="宋体"/>
                <w:kern w:val="0"/>
                <w:szCs w:val="21"/>
              </w:rPr>
            </w:pPr>
            <w:r>
              <w:rPr>
                <w:rFonts w:hint="eastAsia" w:ascii="宋体" w:hAnsi="宋体"/>
                <w:kern w:val="0"/>
                <w:szCs w:val="21"/>
              </w:rPr>
              <w:t xml:space="preserve">         币种：人民币</w:t>
            </w:r>
          </w:p>
        </w:tc>
      </w:tr>
      <w:tr>
        <w:tblPrEx>
          <w:tblCellMar>
            <w:top w:w="0" w:type="dxa"/>
            <w:left w:w="108" w:type="dxa"/>
            <w:bottom w:w="0" w:type="dxa"/>
            <w:right w:w="108" w:type="dxa"/>
          </w:tblCellMar>
        </w:tblPrEx>
        <w:trPr>
          <w:trHeight w:val="710" w:hRule="exact"/>
        </w:trPr>
        <w:tc>
          <w:tcPr>
            <w:tcW w:w="977"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firstLine="440" w:firstLineChars="200"/>
              <w:rPr>
                <w:rFonts w:hint="eastAsia" w:ascii="宋体" w:hAnsi="宋体"/>
                <w:kern w:val="0"/>
                <w:szCs w:val="21"/>
              </w:rPr>
            </w:pPr>
            <w:r>
              <w:rPr>
                <w:rFonts w:hint="eastAsia" w:ascii="宋体" w:hAnsi="宋体"/>
                <w:kern w:val="0"/>
                <w:szCs w:val="21"/>
              </w:rPr>
              <w:t>一</w:t>
            </w:r>
          </w:p>
        </w:tc>
        <w:tc>
          <w:tcPr>
            <w:tcW w:w="5771" w:type="dxa"/>
            <w:gridSpan w:val="5"/>
            <w:tcBorders>
              <w:top w:val="single" w:color="auto" w:sz="4" w:space="0"/>
              <w:left w:val="single" w:color="auto" w:sz="4" w:space="0"/>
              <w:bottom w:val="single" w:color="auto" w:sz="4" w:space="0"/>
              <w:right w:val="single" w:color="auto" w:sz="4" w:space="0"/>
            </w:tcBorders>
            <w:vAlign w:val="center"/>
          </w:tcPr>
          <w:p>
            <w:pPr>
              <w:widowControl/>
              <w:spacing w:line="420" w:lineRule="exact"/>
              <w:ind w:firstLine="440" w:firstLineChars="200"/>
              <w:rPr>
                <w:rFonts w:hint="eastAsia" w:ascii="宋体" w:hAnsi="宋体"/>
                <w:kern w:val="0"/>
                <w:szCs w:val="21"/>
              </w:rPr>
            </w:pPr>
            <w:r>
              <w:rPr>
                <w:rFonts w:hint="eastAsia" w:ascii="宋体" w:hAnsi="宋体"/>
                <w:kern w:val="0"/>
                <w:szCs w:val="21"/>
              </w:rPr>
              <w:t>投标总造价：（二）＋（三）+（四）+五</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right"/>
              <w:rPr>
                <w:rFonts w:hint="eastAsia" w:ascii="宋体" w:hAnsi="宋体"/>
                <w:kern w:val="0"/>
                <w:szCs w:val="21"/>
              </w:rPr>
            </w:pPr>
            <w:r>
              <w:rPr>
                <w:rFonts w:hint="eastAsia" w:ascii="宋体" w:hAnsi="宋体"/>
                <w:kern w:val="0"/>
                <w:szCs w:val="21"/>
              </w:rPr>
              <w:t xml:space="preserve">   （元）</w:t>
            </w:r>
          </w:p>
        </w:tc>
      </w:tr>
      <w:tr>
        <w:tblPrEx>
          <w:tblCellMar>
            <w:top w:w="0" w:type="dxa"/>
            <w:left w:w="108" w:type="dxa"/>
            <w:bottom w:w="0" w:type="dxa"/>
            <w:right w:w="108" w:type="dxa"/>
          </w:tblCellMar>
        </w:tblPrEx>
        <w:trPr>
          <w:trHeight w:val="710" w:hRule="exact"/>
        </w:trPr>
        <w:tc>
          <w:tcPr>
            <w:tcW w:w="977" w:type="dxa"/>
            <w:tcBorders>
              <w:top w:val="single" w:color="auto" w:sz="4" w:space="0"/>
              <w:left w:val="single" w:color="auto" w:sz="8" w:space="0"/>
              <w:bottom w:val="single" w:color="auto" w:sz="4" w:space="0"/>
              <w:right w:val="single" w:color="auto" w:sz="4" w:space="0"/>
            </w:tcBorders>
            <w:vAlign w:val="center"/>
          </w:tcPr>
          <w:p>
            <w:pPr>
              <w:widowControl/>
              <w:spacing w:line="420" w:lineRule="exact"/>
              <w:ind w:firstLine="440" w:firstLineChars="200"/>
              <w:rPr>
                <w:rFonts w:hint="eastAsia" w:ascii="宋体" w:hAnsi="宋体"/>
                <w:kern w:val="0"/>
                <w:szCs w:val="21"/>
              </w:rPr>
            </w:pPr>
            <w:r>
              <w:rPr>
                <w:rFonts w:hint="eastAsia" w:ascii="宋体" w:hAnsi="宋体"/>
                <w:kern w:val="0"/>
                <w:szCs w:val="21"/>
              </w:rPr>
              <w:t>二</w:t>
            </w:r>
          </w:p>
        </w:tc>
        <w:tc>
          <w:tcPr>
            <w:tcW w:w="5771" w:type="dxa"/>
            <w:gridSpan w:val="5"/>
            <w:tcBorders>
              <w:top w:val="single" w:color="auto" w:sz="4" w:space="0"/>
              <w:left w:val="single" w:color="auto" w:sz="8" w:space="0"/>
              <w:bottom w:val="single" w:color="auto" w:sz="4" w:space="0"/>
              <w:right w:val="single" w:color="auto" w:sz="4" w:space="0"/>
            </w:tcBorders>
            <w:vAlign w:val="center"/>
          </w:tcPr>
          <w:p>
            <w:pPr>
              <w:widowControl/>
              <w:spacing w:line="420" w:lineRule="exact"/>
              <w:ind w:firstLine="440" w:firstLineChars="200"/>
              <w:jc w:val="center"/>
              <w:rPr>
                <w:rFonts w:hint="eastAsia" w:ascii="宋体" w:hAnsi="宋体"/>
                <w:kern w:val="0"/>
                <w:szCs w:val="21"/>
              </w:rPr>
            </w:pPr>
            <w:r>
              <w:rPr>
                <w:rFonts w:hint="eastAsia" w:ascii="宋体" w:hAnsi="宋体"/>
                <w:kern w:val="0"/>
                <w:szCs w:val="21"/>
              </w:rPr>
              <w:t>工程施工费</w:t>
            </w:r>
          </w:p>
        </w:tc>
        <w:tc>
          <w:tcPr>
            <w:tcW w:w="2552" w:type="dxa"/>
            <w:tcBorders>
              <w:top w:val="nil"/>
              <w:left w:val="nil"/>
              <w:bottom w:val="single" w:color="auto" w:sz="4" w:space="0"/>
              <w:right w:val="single" w:color="auto" w:sz="8" w:space="0"/>
            </w:tcBorders>
            <w:vAlign w:val="center"/>
          </w:tcPr>
          <w:p>
            <w:pPr>
              <w:widowControl/>
              <w:spacing w:line="420" w:lineRule="exact"/>
              <w:jc w:val="right"/>
              <w:rPr>
                <w:rFonts w:hint="eastAsia" w:ascii="宋体" w:hAnsi="宋体"/>
                <w:kern w:val="0"/>
                <w:szCs w:val="21"/>
              </w:rPr>
            </w:pPr>
            <w:r>
              <w:rPr>
                <w:rFonts w:hint="eastAsia" w:ascii="宋体" w:hAnsi="宋体"/>
                <w:kern w:val="0"/>
                <w:szCs w:val="21"/>
              </w:rPr>
              <w:t>（元）</w:t>
            </w:r>
          </w:p>
        </w:tc>
      </w:tr>
      <w:tr>
        <w:tblPrEx>
          <w:tblCellMar>
            <w:top w:w="0" w:type="dxa"/>
            <w:left w:w="108" w:type="dxa"/>
            <w:bottom w:w="0" w:type="dxa"/>
            <w:right w:w="108" w:type="dxa"/>
          </w:tblCellMar>
        </w:tblPrEx>
        <w:trPr>
          <w:trHeight w:val="710" w:hRule="exact"/>
        </w:trPr>
        <w:tc>
          <w:tcPr>
            <w:tcW w:w="977" w:type="dxa"/>
            <w:tcBorders>
              <w:top w:val="single" w:color="auto" w:sz="4" w:space="0"/>
              <w:left w:val="single" w:color="auto" w:sz="8" w:space="0"/>
              <w:bottom w:val="single" w:color="auto" w:sz="4" w:space="0"/>
              <w:right w:val="single" w:color="auto" w:sz="4" w:space="0"/>
            </w:tcBorders>
            <w:vAlign w:val="center"/>
          </w:tcPr>
          <w:p>
            <w:pPr>
              <w:widowControl/>
              <w:spacing w:line="420" w:lineRule="exact"/>
              <w:ind w:firstLine="440" w:firstLineChars="200"/>
              <w:rPr>
                <w:rFonts w:hint="eastAsia" w:ascii="宋体" w:hAnsi="宋体"/>
                <w:kern w:val="0"/>
                <w:szCs w:val="21"/>
              </w:rPr>
            </w:pPr>
            <w:r>
              <w:rPr>
                <w:rFonts w:hint="eastAsia" w:ascii="宋体" w:hAnsi="宋体"/>
                <w:kern w:val="0"/>
                <w:szCs w:val="21"/>
              </w:rPr>
              <w:t>三</w:t>
            </w:r>
          </w:p>
        </w:tc>
        <w:tc>
          <w:tcPr>
            <w:tcW w:w="5771" w:type="dxa"/>
            <w:gridSpan w:val="5"/>
            <w:tcBorders>
              <w:top w:val="single" w:color="auto" w:sz="4" w:space="0"/>
              <w:left w:val="single" w:color="auto" w:sz="8" w:space="0"/>
              <w:bottom w:val="single" w:color="auto" w:sz="4" w:space="0"/>
              <w:right w:val="single" w:color="auto" w:sz="4" w:space="0"/>
            </w:tcBorders>
            <w:vAlign w:val="center"/>
          </w:tcPr>
          <w:p>
            <w:pPr>
              <w:widowControl/>
              <w:spacing w:line="420" w:lineRule="exact"/>
              <w:ind w:firstLine="440" w:firstLineChars="200"/>
              <w:jc w:val="center"/>
              <w:rPr>
                <w:rFonts w:hint="eastAsia" w:ascii="宋体" w:hAnsi="宋体"/>
                <w:kern w:val="0"/>
                <w:szCs w:val="21"/>
              </w:rPr>
            </w:pPr>
            <w:r>
              <w:rPr>
                <w:rFonts w:hint="eastAsia" w:ascii="宋体" w:hAnsi="宋体"/>
                <w:kern w:val="0"/>
                <w:szCs w:val="21"/>
              </w:rPr>
              <w:t>设备费用</w:t>
            </w:r>
          </w:p>
        </w:tc>
        <w:tc>
          <w:tcPr>
            <w:tcW w:w="2552" w:type="dxa"/>
            <w:tcBorders>
              <w:top w:val="nil"/>
              <w:left w:val="nil"/>
              <w:bottom w:val="single" w:color="auto" w:sz="4" w:space="0"/>
              <w:right w:val="single" w:color="auto" w:sz="8" w:space="0"/>
            </w:tcBorders>
            <w:vAlign w:val="center"/>
          </w:tcPr>
          <w:p>
            <w:pPr>
              <w:widowControl/>
              <w:spacing w:line="420" w:lineRule="exact"/>
              <w:jc w:val="right"/>
              <w:rPr>
                <w:rFonts w:hint="eastAsia" w:ascii="宋体" w:hAnsi="宋体"/>
                <w:kern w:val="0"/>
                <w:szCs w:val="21"/>
              </w:rPr>
            </w:pPr>
            <w:r>
              <w:rPr>
                <w:rFonts w:hint="eastAsia" w:ascii="宋体" w:hAnsi="宋体"/>
                <w:kern w:val="0"/>
                <w:szCs w:val="21"/>
              </w:rPr>
              <w:t>（元）</w:t>
            </w:r>
          </w:p>
        </w:tc>
      </w:tr>
      <w:tr>
        <w:tblPrEx>
          <w:tblCellMar>
            <w:top w:w="0" w:type="dxa"/>
            <w:left w:w="108" w:type="dxa"/>
            <w:bottom w:w="0" w:type="dxa"/>
            <w:right w:w="108" w:type="dxa"/>
          </w:tblCellMar>
        </w:tblPrEx>
        <w:trPr>
          <w:trHeight w:val="710" w:hRule="exact"/>
        </w:trPr>
        <w:tc>
          <w:tcPr>
            <w:tcW w:w="977" w:type="dxa"/>
            <w:tcBorders>
              <w:top w:val="single" w:color="auto" w:sz="4" w:space="0"/>
              <w:left w:val="single" w:color="auto" w:sz="8" w:space="0"/>
              <w:bottom w:val="single" w:color="auto" w:sz="4" w:space="0"/>
              <w:right w:val="single" w:color="auto" w:sz="4" w:space="0"/>
            </w:tcBorders>
            <w:vAlign w:val="center"/>
          </w:tcPr>
          <w:p>
            <w:pPr>
              <w:widowControl/>
              <w:spacing w:line="420" w:lineRule="exact"/>
              <w:ind w:firstLine="440" w:firstLineChars="200"/>
              <w:rPr>
                <w:rFonts w:hint="eastAsia" w:ascii="宋体" w:hAnsi="宋体"/>
                <w:kern w:val="0"/>
                <w:szCs w:val="21"/>
              </w:rPr>
            </w:pPr>
            <w:r>
              <w:rPr>
                <w:rFonts w:hint="eastAsia" w:ascii="宋体" w:hAnsi="宋体"/>
                <w:kern w:val="0"/>
                <w:szCs w:val="21"/>
              </w:rPr>
              <w:t>四</w:t>
            </w:r>
          </w:p>
        </w:tc>
        <w:tc>
          <w:tcPr>
            <w:tcW w:w="5771" w:type="dxa"/>
            <w:gridSpan w:val="5"/>
            <w:tcBorders>
              <w:top w:val="single" w:color="auto" w:sz="4" w:space="0"/>
              <w:left w:val="single" w:color="auto" w:sz="8" w:space="0"/>
              <w:bottom w:val="single" w:color="auto" w:sz="4" w:space="0"/>
              <w:right w:val="single" w:color="auto" w:sz="4" w:space="0"/>
            </w:tcBorders>
            <w:vAlign w:val="center"/>
          </w:tcPr>
          <w:p>
            <w:pPr>
              <w:jc w:val="center"/>
              <w:rPr>
                <w:rFonts w:hint="eastAsia"/>
              </w:rPr>
            </w:pPr>
            <w:r>
              <w:rPr>
                <w:rFonts w:hint="eastAsia"/>
              </w:rPr>
              <w:t>计日工</w:t>
            </w:r>
          </w:p>
        </w:tc>
        <w:tc>
          <w:tcPr>
            <w:tcW w:w="2552" w:type="dxa"/>
            <w:tcBorders>
              <w:top w:val="nil"/>
              <w:left w:val="nil"/>
              <w:bottom w:val="single" w:color="auto" w:sz="4" w:space="0"/>
              <w:right w:val="single" w:color="auto" w:sz="8" w:space="0"/>
            </w:tcBorders>
            <w:vAlign w:val="center"/>
          </w:tcPr>
          <w:p>
            <w:pPr>
              <w:jc w:val="right"/>
            </w:pPr>
            <w:r>
              <w:rPr>
                <w:rFonts w:hint="eastAsia"/>
              </w:rPr>
              <w:t>（元）</w:t>
            </w:r>
          </w:p>
        </w:tc>
      </w:tr>
      <w:tr>
        <w:tblPrEx>
          <w:tblCellMar>
            <w:top w:w="0" w:type="dxa"/>
            <w:left w:w="108" w:type="dxa"/>
            <w:bottom w:w="0" w:type="dxa"/>
            <w:right w:w="108" w:type="dxa"/>
          </w:tblCellMar>
        </w:tblPrEx>
        <w:trPr>
          <w:trHeight w:val="710" w:hRule="exact"/>
        </w:trPr>
        <w:tc>
          <w:tcPr>
            <w:tcW w:w="977" w:type="dxa"/>
            <w:tcBorders>
              <w:top w:val="single" w:color="auto" w:sz="4" w:space="0"/>
              <w:left w:val="single" w:color="auto" w:sz="8" w:space="0"/>
              <w:bottom w:val="single" w:color="auto" w:sz="4" w:space="0"/>
              <w:right w:val="single" w:color="auto" w:sz="4" w:space="0"/>
            </w:tcBorders>
            <w:vAlign w:val="center"/>
          </w:tcPr>
          <w:p>
            <w:pPr>
              <w:widowControl/>
              <w:spacing w:line="420" w:lineRule="exact"/>
              <w:ind w:firstLine="440" w:firstLineChars="200"/>
              <w:rPr>
                <w:rFonts w:hint="eastAsia" w:ascii="宋体" w:hAnsi="宋体"/>
                <w:kern w:val="0"/>
                <w:szCs w:val="21"/>
              </w:rPr>
            </w:pPr>
            <w:r>
              <w:rPr>
                <w:rFonts w:hint="eastAsia" w:ascii="宋体" w:hAnsi="宋体"/>
                <w:kern w:val="0"/>
                <w:szCs w:val="21"/>
              </w:rPr>
              <w:t>五</w:t>
            </w:r>
          </w:p>
        </w:tc>
        <w:tc>
          <w:tcPr>
            <w:tcW w:w="5771" w:type="dxa"/>
            <w:gridSpan w:val="5"/>
            <w:tcBorders>
              <w:top w:val="single" w:color="auto" w:sz="4" w:space="0"/>
              <w:left w:val="single" w:color="auto" w:sz="8" w:space="0"/>
              <w:bottom w:val="single" w:color="auto" w:sz="4" w:space="0"/>
              <w:right w:val="single" w:color="auto" w:sz="4" w:space="0"/>
            </w:tcBorders>
            <w:vAlign w:val="center"/>
          </w:tcPr>
          <w:p>
            <w:pPr>
              <w:jc w:val="center"/>
              <w:rPr>
                <w:rFonts w:hint="eastAsia"/>
              </w:rPr>
            </w:pPr>
            <w:r>
              <w:rPr>
                <w:rFonts w:hint="eastAsia"/>
              </w:rPr>
              <w:t>其他项目</w:t>
            </w:r>
          </w:p>
        </w:tc>
        <w:tc>
          <w:tcPr>
            <w:tcW w:w="2552" w:type="dxa"/>
            <w:tcBorders>
              <w:top w:val="nil"/>
              <w:left w:val="nil"/>
              <w:bottom w:val="single" w:color="auto" w:sz="4" w:space="0"/>
              <w:right w:val="single" w:color="auto" w:sz="8" w:space="0"/>
            </w:tcBorders>
            <w:vAlign w:val="center"/>
          </w:tcPr>
          <w:p>
            <w:pPr>
              <w:jc w:val="right"/>
            </w:pPr>
            <w:r>
              <w:rPr>
                <w:rFonts w:hint="eastAsia"/>
              </w:rPr>
              <w:t>（元）</w:t>
            </w:r>
          </w:p>
        </w:tc>
      </w:tr>
      <w:tr>
        <w:tblPrEx>
          <w:tblCellMar>
            <w:top w:w="0" w:type="dxa"/>
            <w:left w:w="108" w:type="dxa"/>
            <w:bottom w:w="0" w:type="dxa"/>
            <w:right w:w="108" w:type="dxa"/>
          </w:tblCellMar>
        </w:tblPrEx>
        <w:trPr>
          <w:trHeight w:val="710" w:hRule="exact"/>
        </w:trPr>
        <w:tc>
          <w:tcPr>
            <w:tcW w:w="6748" w:type="dxa"/>
            <w:gridSpan w:val="6"/>
            <w:tcBorders>
              <w:top w:val="single" w:color="auto" w:sz="4" w:space="0"/>
              <w:left w:val="single" w:color="auto" w:sz="8" w:space="0"/>
              <w:bottom w:val="single" w:color="auto" w:sz="4" w:space="0"/>
              <w:right w:val="single" w:color="auto" w:sz="4" w:space="0"/>
            </w:tcBorders>
            <w:vAlign w:val="center"/>
          </w:tcPr>
          <w:p>
            <w:pPr>
              <w:widowControl/>
              <w:spacing w:line="420" w:lineRule="exact"/>
              <w:ind w:firstLine="440" w:firstLineChars="200"/>
              <w:rPr>
                <w:rFonts w:hint="eastAsia" w:ascii="宋体" w:hAnsi="宋体"/>
                <w:kern w:val="0"/>
                <w:szCs w:val="21"/>
              </w:rPr>
            </w:pPr>
            <w:r>
              <w:rPr>
                <w:rFonts w:hint="eastAsia" w:ascii="宋体" w:hAnsi="宋体"/>
                <w:kern w:val="0"/>
                <w:szCs w:val="21"/>
              </w:rPr>
              <w:t>承诺工期</w:t>
            </w:r>
          </w:p>
        </w:tc>
        <w:tc>
          <w:tcPr>
            <w:tcW w:w="2552" w:type="dxa"/>
            <w:tcBorders>
              <w:top w:val="nil"/>
              <w:left w:val="nil"/>
              <w:bottom w:val="single" w:color="auto" w:sz="4" w:space="0"/>
              <w:right w:val="single" w:color="auto" w:sz="8" w:space="0"/>
            </w:tcBorders>
            <w:vAlign w:val="center"/>
          </w:tcPr>
          <w:p>
            <w:pPr>
              <w:widowControl/>
              <w:spacing w:line="420" w:lineRule="exact"/>
              <w:jc w:val="right"/>
              <w:rPr>
                <w:rFonts w:hint="eastAsia" w:ascii="宋体" w:hAnsi="宋体"/>
                <w:kern w:val="0"/>
                <w:szCs w:val="21"/>
              </w:rPr>
            </w:pPr>
            <w:r>
              <w:rPr>
                <w:rFonts w:hint="eastAsia" w:ascii="宋体" w:hAnsi="宋体"/>
                <w:kern w:val="0"/>
                <w:szCs w:val="21"/>
              </w:rPr>
              <w:t>天（日历日）</w:t>
            </w:r>
          </w:p>
        </w:tc>
      </w:tr>
      <w:tr>
        <w:tblPrEx>
          <w:tblCellMar>
            <w:top w:w="0" w:type="dxa"/>
            <w:left w:w="108" w:type="dxa"/>
            <w:bottom w:w="0" w:type="dxa"/>
            <w:right w:w="108" w:type="dxa"/>
          </w:tblCellMar>
        </w:tblPrEx>
        <w:trPr>
          <w:trHeight w:val="710" w:hRule="exact"/>
        </w:trPr>
        <w:tc>
          <w:tcPr>
            <w:tcW w:w="6748" w:type="dxa"/>
            <w:gridSpan w:val="6"/>
            <w:tcBorders>
              <w:top w:val="single" w:color="auto" w:sz="4" w:space="0"/>
              <w:left w:val="single" w:color="auto" w:sz="8" w:space="0"/>
              <w:bottom w:val="single" w:color="auto" w:sz="4" w:space="0"/>
              <w:right w:val="single" w:color="auto" w:sz="4" w:space="0"/>
            </w:tcBorders>
            <w:vAlign w:val="center"/>
          </w:tcPr>
          <w:p>
            <w:pPr>
              <w:widowControl/>
              <w:spacing w:line="420" w:lineRule="exact"/>
              <w:ind w:firstLine="440" w:firstLineChars="200"/>
              <w:rPr>
                <w:rFonts w:hint="eastAsia" w:ascii="宋体" w:hAnsi="宋体"/>
                <w:kern w:val="0"/>
                <w:szCs w:val="21"/>
              </w:rPr>
            </w:pPr>
            <w:r>
              <w:rPr>
                <w:rFonts w:hint="eastAsia" w:ascii="宋体" w:hAnsi="宋体"/>
                <w:kern w:val="0"/>
                <w:szCs w:val="21"/>
              </w:rPr>
              <w:t>承诺质量等级</w:t>
            </w:r>
          </w:p>
        </w:tc>
        <w:tc>
          <w:tcPr>
            <w:tcW w:w="2552" w:type="dxa"/>
            <w:tcBorders>
              <w:top w:val="nil"/>
              <w:left w:val="nil"/>
              <w:bottom w:val="single" w:color="auto" w:sz="4" w:space="0"/>
              <w:right w:val="single" w:color="auto" w:sz="8" w:space="0"/>
            </w:tcBorders>
            <w:vAlign w:val="center"/>
          </w:tcPr>
          <w:p>
            <w:pPr>
              <w:widowControl/>
              <w:spacing w:line="420" w:lineRule="exact"/>
              <w:jc w:val="right"/>
              <w:rPr>
                <w:rFonts w:hint="eastAsia" w:ascii="宋体" w:hAnsi="宋体"/>
                <w:kern w:val="0"/>
                <w:szCs w:val="21"/>
              </w:rPr>
            </w:pPr>
            <w:r>
              <w:rPr>
                <w:rFonts w:hint="eastAsia" w:ascii="宋体" w:hAnsi="宋体"/>
                <w:kern w:val="0"/>
                <w:szCs w:val="21"/>
              </w:rPr>
              <w:t>　</w:t>
            </w:r>
          </w:p>
        </w:tc>
      </w:tr>
      <w:tr>
        <w:tblPrEx>
          <w:tblCellMar>
            <w:top w:w="0" w:type="dxa"/>
            <w:left w:w="108" w:type="dxa"/>
            <w:bottom w:w="0" w:type="dxa"/>
            <w:right w:w="108" w:type="dxa"/>
          </w:tblCellMar>
        </w:tblPrEx>
        <w:trPr>
          <w:trHeight w:val="2222" w:hRule="atLeast"/>
        </w:trPr>
        <w:tc>
          <w:tcPr>
            <w:tcW w:w="9300" w:type="dxa"/>
            <w:gridSpan w:val="7"/>
            <w:tcBorders>
              <w:top w:val="nil"/>
              <w:left w:val="nil"/>
              <w:bottom w:val="nil"/>
              <w:right w:val="nil"/>
            </w:tcBorders>
            <w:vAlign w:val="bottom"/>
          </w:tcPr>
          <w:p>
            <w:pPr>
              <w:widowControl/>
              <w:spacing w:line="420" w:lineRule="exact"/>
              <w:jc w:val="both"/>
              <w:rPr>
                <w:rFonts w:hint="eastAsia" w:ascii="宋体" w:hAnsi="宋体"/>
                <w:kern w:val="0"/>
                <w:szCs w:val="21"/>
              </w:rPr>
            </w:pPr>
            <w:r>
              <w:rPr>
                <w:rFonts w:hint="eastAsia" w:ascii="宋体" w:hAnsi="宋体"/>
                <w:kern w:val="0"/>
                <w:szCs w:val="21"/>
              </w:rPr>
              <w:t>投标单位：（盖法人公章）</w:t>
            </w:r>
          </w:p>
          <w:p>
            <w:pPr>
              <w:widowControl/>
              <w:spacing w:line="420" w:lineRule="exact"/>
              <w:rPr>
                <w:rFonts w:hint="eastAsia" w:ascii="宋体" w:hAnsi="宋体"/>
                <w:kern w:val="0"/>
                <w:szCs w:val="21"/>
              </w:rPr>
            </w:pPr>
            <w:r>
              <w:rPr>
                <w:rFonts w:hint="eastAsia" w:ascii="宋体" w:hAnsi="宋体" w:cs="MingLiU"/>
                <w:kern w:val="0"/>
                <w:szCs w:val="21"/>
              </w:rPr>
              <w:t>法定代表人或其委托代理人（签</w:t>
            </w:r>
            <w:r>
              <w:rPr>
                <w:rFonts w:hint="eastAsia" w:ascii="宋体" w:hAnsi="宋体" w:cs="MingLiU"/>
                <w:spacing w:val="-1"/>
                <w:kern w:val="0"/>
                <w:szCs w:val="21"/>
              </w:rPr>
              <w:t>字</w:t>
            </w:r>
            <w:r>
              <w:rPr>
                <w:rFonts w:hint="eastAsia" w:ascii="宋体" w:hAnsi="宋体" w:cs="MingLiU"/>
                <w:kern w:val="0"/>
                <w:szCs w:val="21"/>
              </w:rPr>
              <w:t>）</w:t>
            </w:r>
            <w:r>
              <w:rPr>
                <w:rFonts w:hint="eastAsia" w:ascii="宋体" w:hAnsi="宋体"/>
                <w:kern w:val="0"/>
                <w:szCs w:val="21"/>
              </w:rPr>
              <w:t>：</w:t>
            </w:r>
          </w:p>
          <w:p>
            <w:pPr>
              <w:widowControl/>
              <w:spacing w:line="420" w:lineRule="exact"/>
              <w:rPr>
                <w:rFonts w:hint="eastAsia" w:ascii="宋体" w:hAnsi="宋体"/>
                <w:kern w:val="0"/>
                <w:szCs w:val="21"/>
              </w:rPr>
            </w:pPr>
            <w:r>
              <w:rPr>
                <w:rFonts w:hint="eastAsia" w:ascii="宋体" w:hAnsi="宋体"/>
                <w:kern w:val="0"/>
                <w:szCs w:val="21"/>
              </w:rPr>
              <w:t xml:space="preserve"> 年       月     日</w:t>
            </w:r>
          </w:p>
        </w:tc>
      </w:tr>
    </w:tbl>
    <w:p>
      <w:pPr>
        <w:pStyle w:val="7"/>
        <w:spacing w:before="3"/>
        <w:ind w:left="3879"/>
        <w:jc w:val="left"/>
        <w:rPr>
          <w:w w:val="95"/>
        </w:rPr>
      </w:pPr>
    </w:p>
    <w:p>
      <w:pPr>
        <w:pStyle w:val="7"/>
        <w:spacing w:before="3"/>
        <w:ind w:left="3879"/>
        <w:jc w:val="left"/>
        <w:rPr>
          <w:w w:val="95"/>
        </w:rPr>
      </w:pPr>
    </w:p>
    <w:p>
      <w:pPr>
        <w:pStyle w:val="7"/>
        <w:spacing w:before="3"/>
        <w:ind w:left="3879"/>
        <w:jc w:val="left"/>
        <w:rPr>
          <w:w w:val="95"/>
        </w:rPr>
      </w:pPr>
    </w:p>
    <w:p>
      <w:pPr>
        <w:pStyle w:val="7"/>
        <w:spacing w:before="3"/>
        <w:ind w:left="3879"/>
        <w:jc w:val="left"/>
        <w:rPr>
          <w:w w:val="95"/>
        </w:rPr>
      </w:pPr>
    </w:p>
    <w:p>
      <w:pPr>
        <w:pStyle w:val="7"/>
        <w:spacing w:before="3"/>
        <w:ind w:left="3879"/>
        <w:jc w:val="left"/>
        <w:rPr>
          <w:w w:val="95"/>
        </w:rPr>
      </w:pPr>
    </w:p>
    <w:p>
      <w:pPr>
        <w:pStyle w:val="7"/>
        <w:spacing w:before="3"/>
        <w:ind w:left="3879"/>
        <w:jc w:val="left"/>
        <w:rPr>
          <w:w w:val="95"/>
        </w:rPr>
      </w:pPr>
    </w:p>
    <w:p>
      <w:pPr>
        <w:pStyle w:val="7"/>
        <w:spacing w:before="3"/>
        <w:ind w:left="3879"/>
        <w:jc w:val="left"/>
        <w:rPr>
          <w:w w:val="95"/>
        </w:rPr>
      </w:pPr>
    </w:p>
    <w:p>
      <w:pPr>
        <w:pStyle w:val="7"/>
        <w:spacing w:before="3"/>
        <w:ind w:left="3879"/>
        <w:jc w:val="left"/>
        <w:rPr>
          <w:w w:val="95"/>
        </w:rPr>
      </w:pPr>
    </w:p>
    <w:p>
      <w:pPr>
        <w:pStyle w:val="7"/>
        <w:spacing w:before="3"/>
        <w:ind w:left="3879"/>
        <w:jc w:val="left"/>
        <w:rPr>
          <w:w w:val="95"/>
        </w:rPr>
      </w:pPr>
    </w:p>
    <w:p>
      <w:pPr>
        <w:pStyle w:val="7"/>
        <w:spacing w:before="3"/>
        <w:ind w:left="3879"/>
        <w:jc w:val="left"/>
        <w:rPr>
          <w:w w:val="95"/>
        </w:rPr>
      </w:pPr>
    </w:p>
    <w:p>
      <w:pPr>
        <w:pStyle w:val="7"/>
        <w:spacing w:before="3"/>
        <w:ind w:left="3879"/>
        <w:jc w:val="left"/>
        <w:rPr>
          <w:w w:val="95"/>
        </w:rPr>
      </w:pPr>
    </w:p>
    <w:p>
      <w:pPr>
        <w:pStyle w:val="7"/>
        <w:spacing w:before="3"/>
        <w:ind w:left="3879"/>
        <w:jc w:val="left"/>
        <w:rPr>
          <w:w w:val="95"/>
        </w:rPr>
      </w:pPr>
    </w:p>
    <w:p>
      <w:pPr>
        <w:pStyle w:val="7"/>
        <w:spacing w:before="3"/>
        <w:ind w:left="3879"/>
        <w:jc w:val="left"/>
        <w:rPr>
          <w:w w:val="95"/>
        </w:rPr>
      </w:pPr>
    </w:p>
    <w:p>
      <w:pPr>
        <w:pStyle w:val="7"/>
        <w:spacing w:before="3"/>
        <w:ind w:left="3879"/>
        <w:jc w:val="left"/>
        <w:rPr>
          <w:w w:val="95"/>
        </w:rPr>
      </w:pPr>
    </w:p>
    <w:p>
      <w:pPr>
        <w:pStyle w:val="7"/>
        <w:spacing w:before="3"/>
        <w:ind w:left="3879"/>
        <w:jc w:val="left"/>
        <w:rPr>
          <w:w w:val="95"/>
        </w:rPr>
      </w:pPr>
    </w:p>
    <w:p>
      <w:pPr>
        <w:pStyle w:val="7"/>
        <w:spacing w:before="3"/>
        <w:ind w:left="3879"/>
        <w:jc w:val="left"/>
        <w:rPr>
          <w:w w:val="95"/>
        </w:rPr>
      </w:pPr>
    </w:p>
    <w:p>
      <w:pPr>
        <w:pStyle w:val="7"/>
        <w:spacing w:before="3"/>
        <w:ind w:left="3879"/>
        <w:jc w:val="left"/>
      </w:pPr>
      <w:r>
        <w:rPr>
          <w:w w:val="95"/>
        </w:rPr>
        <w:t>四、已标价工程量清单</w:t>
      </w:r>
    </w:p>
    <w:p>
      <w:pPr>
        <w:pStyle w:val="13"/>
        <w:spacing w:before="1"/>
        <w:ind w:left="0"/>
        <w:rPr>
          <w:b/>
          <w:sz w:val="28"/>
        </w:rPr>
      </w:pPr>
    </w:p>
    <w:p>
      <w:pPr>
        <w:pStyle w:val="13"/>
        <w:spacing w:line="400" w:lineRule="auto"/>
        <w:ind w:firstLine="420"/>
      </w:pPr>
      <w:r>
        <w:t>1、说明：已标价工程量清单按第五章“工程量清单”中的相关清单表格式填写。构成合同文件的已标价工程量清单包括第五章“工程量清单”有关工程量清单、投标报价以及其他说明的内容。</w:t>
      </w:r>
    </w:p>
    <w:p>
      <w:pPr>
        <w:pStyle w:val="13"/>
        <w:spacing w:before="44" w:line="403" w:lineRule="auto"/>
        <w:ind w:firstLine="420"/>
      </w:pPr>
      <w:r>
        <w:t>2、表格：可按《&lt;建设工程工程量清单计价规范&gt;（GB50500-2013）广西壮族自治区实施细则》工程量清单计价表格提供。</w:t>
      </w:r>
    </w:p>
    <w:p>
      <w:pPr>
        <w:pStyle w:val="13"/>
        <w:ind w:left="0"/>
        <w:rPr>
          <w:sz w:val="20"/>
        </w:rPr>
      </w:pPr>
    </w:p>
    <w:p>
      <w:pPr>
        <w:pStyle w:val="13"/>
        <w:ind w:left="0"/>
        <w:rPr>
          <w:sz w:val="20"/>
        </w:rPr>
      </w:pPr>
    </w:p>
    <w:p>
      <w:pPr>
        <w:pStyle w:val="13"/>
        <w:ind w:left="0"/>
        <w:rPr>
          <w:sz w:val="20"/>
        </w:rPr>
      </w:pPr>
    </w:p>
    <w:p>
      <w:pPr>
        <w:pStyle w:val="13"/>
        <w:spacing w:before="8"/>
        <w:ind w:left="0"/>
        <w:rPr>
          <w:sz w:val="18"/>
        </w:rPr>
      </w:pPr>
    </w:p>
    <w:p>
      <w:pPr>
        <w:pStyle w:val="7"/>
        <w:ind w:left="646"/>
        <w:jc w:val="left"/>
      </w:pPr>
      <w:r>
        <w:rPr>
          <w:w w:val="95"/>
        </w:rPr>
        <w:t>五、投标人可结合本项目的评标办法视自身情况自行提交相关证明材料</w:t>
      </w:r>
    </w:p>
    <w:p>
      <w:pPr>
        <w:spacing w:after="0"/>
        <w:jc w:val="left"/>
        <w:sectPr>
          <w:pgSz w:w="11910" w:h="16840"/>
          <w:pgMar w:top="1120" w:right="880" w:bottom="1160" w:left="1020" w:header="0" w:footer="975" w:gutter="0"/>
        </w:sectPr>
      </w:pPr>
    </w:p>
    <w:p>
      <w:pPr>
        <w:pStyle w:val="8"/>
        <w:tabs>
          <w:tab w:val="left" w:pos="3984"/>
        </w:tabs>
        <w:spacing w:before="2"/>
        <w:ind w:left="1903"/>
      </w:pPr>
      <w:r>
        <w:rPr>
          <w:rFonts w:ascii="Times New Roman" w:eastAsia="Times New Roman"/>
          <w:w w:val="100"/>
          <w:u w:val="single"/>
        </w:rPr>
        <w:t xml:space="preserve"> </w:t>
      </w:r>
      <w:r>
        <w:rPr>
          <w:rFonts w:ascii="Times New Roman" w:eastAsia="Times New Roman"/>
          <w:u w:val="single"/>
        </w:rPr>
        <w:tab/>
      </w:r>
      <w:r>
        <w:rPr>
          <w:spacing w:val="-3"/>
        </w:rPr>
        <w:t>（</w:t>
      </w:r>
      <w:r>
        <w:rPr>
          <w:spacing w:val="-1"/>
        </w:rPr>
        <w:t>项目名称</w:t>
      </w:r>
      <w:r>
        <w:t>）</w:t>
      </w:r>
      <w:r>
        <w:rPr>
          <w:spacing w:val="-3"/>
        </w:rPr>
        <w:t>施工招标</w:t>
      </w:r>
    </w:p>
    <w:p>
      <w:pPr>
        <w:pStyle w:val="13"/>
        <w:ind w:left="0"/>
        <w:rPr>
          <w:sz w:val="30"/>
        </w:rPr>
      </w:pPr>
    </w:p>
    <w:p>
      <w:pPr>
        <w:pStyle w:val="13"/>
        <w:ind w:left="0"/>
        <w:rPr>
          <w:sz w:val="30"/>
        </w:rPr>
      </w:pPr>
    </w:p>
    <w:p>
      <w:pPr>
        <w:pStyle w:val="13"/>
        <w:spacing w:before="12"/>
        <w:ind w:left="0"/>
        <w:rPr>
          <w:sz w:val="38"/>
        </w:rPr>
      </w:pPr>
    </w:p>
    <w:p>
      <w:pPr>
        <w:tabs>
          <w:tab w:val="left" w:pos="1185"/>
          <w:tab w:val="left" w:pos="2224"/>
          <w:tab w:val="left" w:pos="3266"/>
        </w:tabs>
        <w:spacing w:before="0"/>
        <w:ind w:left="143" w:right="0" w:firstLine="0"/>
        <w:jc w:val="center"/>
        <w:rPr>
          <w:sz w:val="52"/>
        </w:rPr>
      </w:pPr>
      <w:r>
        <w:rPr>
          <w:sz w:val="52"/>
        </w:rPr>
        <w:t>投</w:t>
      </w:r>
      <w:r>
        <w:rPr>
          <w:sz w:val="52"/>
        </w:rPr>
        <w:tab/>
      </w:r>
      <w:r>
        <w:rPr>
          <w:sz w:val="52"/>
        </w:rPr>
        <w:t>标</w:t>
      </w:r>
      <w:r>
        <w:rPr>
          <w:sz w:val="52"/>
        </w:rPr>
        <w:tab/>
      </w:r>
      <w:r>
        <w:rPr>
          <w:sz w:val="52"/>
        </w:rPr>
        <w:t>文</w:t>
      </w:r>
      <w:r>
        <w:rPr>
          <w:sz w:val="52"/>
        </w:rPr>
        <w:tab/>
      </w:r>
      <w:r>
        <w:rPr>
          <w:sz w:val="52"/>
        </w:rPr>
        <w:t>件</w:t>
      </w:r>
    </w:p>
    <w:p>
      <w:pPr>
        <w:pStyle w:val="13"/>
        <w:ind w:left="0"/>
        <w:rPr>
          <w:sz w:val="52"/>
        </w:rPr>
      </w:pPr>
    </w:p>
    <w:p>
      <w:pPr>
        <w:pStyle w:val="13"/>
        <w:ind w:left="0"/>
        <w:rPr>
          <w:sz w:val="66"/>
        </w:rPr>
      </w:pPr>
    </w:p>
    <w:p>
      <w:pPr>
        <w:pStyle w:val="8"/>
        <w:tabs>
          <w:tab w:val="left" w:pos="5960"/>
        </w:tabs>
        <w:ind w:left="1833"/>
        <w:rPr>
          <w:rFonts w:ascii="Times New Roman" w:eastAsia="Times New Roman"/>
        </w:rPr>
      </w:pPr>
      <w:r>
        <w:t>项目编</w:t>
      </w:r>
      <w:r>
        <w:rPr>
          <w:spacing w:val="-3"/>
        </w:rPr>
        <w:t>号</w:t>
      </w:r>
      <w:r>
        <w:t>：</w:t>
      </w:r>
      <w:r>
        <w:rPr>
          <w:rFonts w:ascii="Times New Roman" w:eastAsia="Times New Roman"/>
          <w:u w:val="single"/>
        </w:rPr>
        <w:t xml:space="preserve"> </w:t>
      </w:r>
      <w:r>
        <w:rPr>
          <w:rFonts w:ascii="Times New Roman" w:eastAsia="Times New Roman"/>
          <w:u w:val="single"/>
        </w:rPr>
        <w:tab/>
      </w:r>
    </w:p>
    <w:p>
      <w:pPr>
        <w:pStyle w:val="13"/>
        <w:spacing w:before="3"/>
        <w:ind w:left="0"/>
        <w:rPr>
          <w:rFonts w:ascii="Times New Roman"/>
          <w:sz w:val="19"/>
        </w:rPr>
      </w:pPr>
    </w:p>
    <w:p>
      <w:pPr>
        <w:pStyle w:val="4"/>
      </w:pPr>
      <w:r>
        <w:rPr>
          <w:w w:val="95"/>
        </w:rPr>
        <w:t>（正本/副本）</w:t>
      </w:r>
    </w:p>
    <w:p>
      <w:pPr>
        <w:pStyle w:val="13"/>
        <w:ind w:left="0"/>
        <w:rPr>
          <w:sz w:val="32"/>
        </w:rPr>
      </w:pPr>
    </w:p>
    <w:p>
      <w:pPr>
        <w:pStyle w:val="13"/>
        <w:ind w:left="0"/>
        <w:rPr>
          <w:sz w:val="32"/>
        </w:rPr>
      </w:pPr>
    </w:p>
    <w:p>
      <w:pPr>
        <w:pStyle w:val="13"/>
        <w:ind w:left="0"/>
        <w:rPr>
          <w:sz w:val="32"/>
        </w:rPr>
      </w:pPr>
    </w:p>
    <w:p>
      <w:pPr>
        <w:pStyle w:val="13"/>
        <w:ind w:left="0"/>
        <w:rPr>
          <w:sz w:val="32"/>
        </w:rPr>
      </w:pPr>
    </w:p>
    <w:p>
      <w:pPr>
        <w:pStyle w:val="13"/>
        <w:spacing w:before="4"/>
        <w:ind w:left="0"/>
        <w:rPr>
          <w:sz w:val="33"/>
        </w:rPr>
      </w:pPr>
    </w:p>
    <w:p>
      <w:pPr>
        <w:pStyle w:val="8"/>
        <w:tabs>
          <w:tab w:val="left" w:pos="3934"/>
          <w:tab w:val="left" w:pos="6874"/>
        </w:tabs>
      </w:pPr>
      <w:r>
        <w:t>投标内</w:t>
      </w:r>
      <w:r>
        <w:rPr>
          <w:spacing w:val="-3"/>
        </w:rPr>
        <w:t>容</w:t>
      </w:r>
      <w:r>
        <w:t>：</w:t>
      </w:r>
      <w:r>
        <w:rPr>
          <w:u w:val="single"/>
        </w:rPr>
        <w:t xml:space="preserve"> </w:t>
      </w:r>
      <w:r>
        <w:rPr>
          <w:u w:val="single"/>
        </w:rPr>
        <w:tab/>
      </w:r>
      <w:r>
        <w:rPr>
          <w:u w:val="single"/>
        </w:rPr>
        <w:t>技术</w:t>
      </w:r>
      <w:r>
        <w:rPr>
          <w:spacing w:val="-3"/>
          <w:u w:val="single"/>
        </w:rPr>
        <w:t>标</w:t>
      </w:r>
      <w:r>
        <w:rPr>
          <w:u w:val="single"/>
        </w:rPr>
        <w:t>部分</w:t>
      </w:r>
      <w:r>
        <w:rPr>
          <w:u w:val="single"/>
        </w:rPr>
        <w:tab/>
      </w:r>
    </w:p>
    <w:p>
      <w:pPr>
        <w:pStyle w:val="13"/>
        <w:spacing w:before="11"/>
        <w:ind w:left="0"/>
        <w:rPr>
          <w:sz w:val="17"/>
        </w:rPr>
      </w:pPr>
    </w:p>
    <w:p>
      <w:pPr>
        <w:pStyle w:val="8"/>
        <w:tabs>
          <w:tab w:val="left" w:pos="5336"/>
          <w:tab w:val="left" w:pos="5893"/>
        </w:tabs>
        <w:spacing w:before="23" w:line="408" w:lineRule="auto"/>
        <w:ind w:left="854" w:right="1528"/>
      </w:pPr>
      <w:r>
        <w:t>投</w:t>
      </w:r>
      <w:r>
        <w:rPr>
          <w:spacing w:val="-3"/>
        </w:rPr>
        <w:t>标人</w:t>
      </w:r>
      <w:r>
        <w:t>：</w:t>
      </w:r>
      <w:r>
        <w:rPr>
          <w:u w:val="single"/>
        </w:rPr>
        <w:t xml:space="preserve"> </w:t>
      </w:r>
      <w:r>
        <w:rPr>
          <w:u w:val="single"/>
        </w:rPr>
        <w:tab/>
      </w:r>
      <w:r>
        <w:rPr>
          <w:spacing w:val="-3"/>
        </w:rPr>
        <w:t>（</w:t>
      </w:r>
      <w:r>
        <w:t>盖单</w:t>
      </w:r>
      <w:r>
        <w:rPr>
          <w:spacing w:val="-3"/>
        </w:rPr>
        <w:t>位</w:t>
      </w:r>
      <w:r>
        <w:t>章） 法</w:t>
      </w:r>
      <w:r>
        <w:rPr>
          <w:spacing w:val="-3"/>
        </w:rPr>
        <w:t>定代</w:t>
      </w:r>
      <w:r>
        <w:t>表人或</w:t>
      </w:r>
      <w:r>
        <w:rPr>
          <w:spacing w:val="-3"/>
        </w:rPr>
        <w:t>其</w:t>
      </w:r>
      <w:r>
        <w:t>委托</w:t>
      </w:r>
      <w:r>
        <w:rPr>
          <w:spacing w:val="-3"/>
        </w:rPr>
        <w:t>代理</w:t>
      </w:r>
      <w:r>
        <w:t>人：</w:t>
      </w:r>
      <w:r>
        <w:rPr>
          <w:u w:val="single"/>
        </w:rPr>
        <w:t xml:space="preserve"> </w:t>
      </w:r>
      <w:r>
        <w:rPr>
          <w:u w:val="single"/>
        </w:rPr>
        <w:tab/>
      </w:r>
      <w:r>
        <w:rPr>
          <w:u w:val="single"/>
        </w:rPr>
        <w:tab/>
      </w:r>
      <w:r>
        <w:rPr>
          <w:spacing w:val="-3"/>
        </w:rPr>
        <w:t>（</w:t>
      </w:r>
      <w:r>
        <w:t>签字）</w:t>
      </w:r>
    </w:p>
    <w:p>
      <w:pPr>
        <w:pStyle w:val="13"/>
        <w:ind w:left="0"/>
        <w:rPr>
          <w:sz w:val="20"/>
        </w:rPr>
      </w:pPr>
    </w:p>
    <w:p>
      <w:pPr>
        <w:pStyle w:val="13"/>
        <w:ind w:left="0"/>
        <w:rPr>
          <w:sz w:val="20"/>
        </w:rPr>
      </w:pPr>
    </w:p>
    <w:p>
      <w:pPr>
        <w:pStyle w:val="8"/>
        <w:tabs>
          <w:tab w:val="left" w:pos="3291"/>
          <w:tab w:val="left" w:pos="4832"/>
          <w:tab w:val="left" w:pos="6373"/>
        </w:tabs>
        <w:spacing w:before="161"/>
        <w:ind w:left="2033"/>
      </w:pPr>
      <w:r>
        <w:rPr>
          <w:rFonts w:ascii="Times New Roman" w:eastAsia="Times New Roman"/>
          <w:w w:val="100"/>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footerReference r:id="rId13" w:type="default"/>
          <w:pgSz w:w="11910" w:h="16840"/>
          <w:pgMar w:top="1580" w:right="1680" w:bottom="1160" w:left="1680" w:header="0" w:footer="975" w:gutter="0"/>
        </w:sectPr>
      </w:pPr>
    </w:p>
    <w:p>
      <w:pPr>
        <w:pStyle w:val="7"/>
        <w:spacing w:before="3"/>
        <w:ind w:left="4018"/>
        <w:jc w:val="left"/>
      </w:pPr>
      <w:r>
        <w:rPr>
          <w:w w:val="95"/>
        </w:rPr>
        <w:t>（一）施工组织设计</w:t>
      </w:r>
    </w:p>
    <w:p>
      <w:pPr>
        <w:pStyle w:val="10"/>
        <w:numPr>
          <w:ilvl w:val="0"/>
          <w:numId w:val="61"/>
        </w:numPr>
        <w:tabs>
          <w:tab w:val="left" w:pos="979"/>
          <w:tab w:val="left" w:pos="980"/>
        </w:tabs>
        <w:spacing w:before="207" w:after="0" w:line="240" w:lineRule="auto"/>
        <w:ind w:left="538" w:right="0" w:firstLine="0"/>
        <w:jc w:val="left"/>
      </w:pPr>
      <w:r>
        <w:rPr>
          <w:spacing w:val="-3"/>
        </w:rPr>
        <w:t>投标人编制施工组织设计的要求：</w:t>
      </w:r>
    </w:p>
    <w:p>
      <w:pPr>
        <w:pStyle w:val="13"/>
        <w:ind w:left="0"/>
        <w:rPr>
          <w:sz w:val="22"/>
        </w:rPr>
      </w:pPr>
    </w:p>
    <w:p>
      <w:pPr>
        <w:pStyle w:val="10"/>
        <w:spacing w:before="160" w:line="400" w:lineRule="auto"/>
        <w:ind w:right="3472"/>
      </w:pPr>
      <w:r>
        <w:t>编制时应按以下章顺序采用文字并结合图表形式进行说明： 第一章 总体概述；</w:t>
      </w:r>
    </w:p>
    <w:p>
      <w:pPr>
        <w:pStyle w:val="10"/>
        <w:spacing w:before="44" w:line="400" w:lineRule="auto"/>
        <w:ind w:right="2922"/>
      </w:pPr>
      <w:r>
        <w:t>第二章 施工进度计划和各阶段进度的保证措施及违约责任承诺； 第三章 劳动力和材料投入计划及其保证措施；</w:t>
      </w:r>
    </w:p>
    <w:p>
      <w:pPr>
        <w:pStyle w:val="10"/>
        <w:spacing w:before="44"/>
      </w:pPr>
      <w:r>
        <w:t>第四章 机械设备投入计划及检测设备；</w:t>
      </w:r>
    </w:p>
    <w:p>
      <w:pPr>
        <w:pStyle w:val="10"/>
        <w:spacing w:before="191"/>
      </w:pPr>
      <w:r>
        <w:t>第五章 施工平面布置和临时设施布置总体布置；</w:t>
      </w:r>
    </w:p>
    <w:p>
      <w:pPr>
        <w:pStyle w:val="10"/>
        <w:spacing w:before="191" w:line="400" w:lineRule="auto"/>
        <w:ind w:right="2702"/>
      </w:pPr>
      <w:r>
        <w:t>第六章 关键施工技术、工艺及工程实施的重点、难点和解决方案； 第七章 安全文明施工措施；</w:t>
      </w:r>
    </w:p>
    <w:p>
      <w:pPr>
        <w:pStyle w:val="10"/>
        <w:spacing w:before="44"/>
      </w:pPr>
      <w:r>
        <w:t>第八章 质量保证与承诺；</w:t>
      </w:r>
    </w:p>
    <w:p>
      <w:pPr>
        <w:pStyle w:val="10"/>
        <w:spacing w:before="191"/>
      </w:pPr>
      <w:r>
        <w:t>第九章 新技术应用与承诺等方面进行说明。</w:t>
      </w:r>
    </w:p>
    <w:p>
      <w:pPr>
        <w:pStyle w:val="10"/>
        <w:numPr>
          <w:ilvl w:val="0"/>
          <w:numId w:val="61"/>
        </w:numPr>
        <w:tabs>
          <w:tab w:val="left" w:pos="979"/>
          <w:tab w:val="left" w:pos="980"/>
        </w:tabs>
        <w:spacing w:before="126" w:after="0" w:line="331" w:lineRule="auto"/>
        <w:ind w:left="538" w:right="1946" w:firstLine="0"/>
        <w:jc w:val="left"/>
      </w:pPr>
      <w:r>
        <w:rPr>
          <w:spacing w:val="-3"/>
        </w:rPr>
        <w:t>施工组织设计除采用文字表述外可附下列图表，图表及格式要求附后。</w:t>
      </w:r>
      <w:r>
        <w:rPr>
          <w:spacing w:val="-1"/>
        </w:rPr>
        <w:t>附表一 拟投入本标段的主要施工设备表</w:t>
      </w:r>
    </w:p>
    <w:p>
      <w:pPr>
        <w:pStyle w:val="10"/>
        <w:spacing w:before="28" w:line="333" w:lineRule="auto"/>
        <w:ind w:right="4502"/>
      </w:pPr>
      <w:r>
        <w:t>附表二 拟配备本标段的试验和检测仪器设备表附表三 劳动力计划表</w:t>
      </w:r>
    </w:p>
    <w:p>
      <w:pPr>
        <w:pStyle w:val="10"/>
        <w:spacing w:before="24" w:line="333" w:lineRule="auto"/>
        <w:ind w:right="4722"/>
      </w:pPr>
      <w:r>
        <w:t>附表四 计划开、竣工日期和施工进度网络图附表五 施工总平面图</w:t>
      </w:r>
    </w:p>
    <w:p>
      <w:pPr>
        <w:pStyle w:val="10"/>
        <w:spacing w:before="46"/>
      </w:pPr>
      <w:r>
        <w:t>附表六 临时用地表</w:t>
      </w:r>
    </w:p>
    <w:p>
      <w:pPr>
        <w:pStyle w:val="13"/>
        <w:ind w:left="0"/>
        <w:rPr>
          <w:sz w:val="22"/>
        </w:rPr>
      </w:pPr>
    </w:p>
    <w:p>
      <w:pPr>
        <w:pStyle w:val="13"/>
        <w:ind w:left="0"/>
        <w:rPr>
          <w:sz w:val="22"/>
        </w:rPr>
      </w:pPr>
    </w:p>
    <w:p>
      <w:pPr>
        <w:pStyle w:val="13"/>
        <w:ind w:left="0"/>
        <w:rPr>
          <w:sz w:val="22"/>
        </w:rPr>
      </w:pPr>
    </w:p>
    <w:p>
      <w:pPr>
        <w:pStyle w:val="13"/>
        <w:ind w:left="0"/>
      </w:pPr>
    </w:p>
    <w:p>
      <w:pPr>
        <w:spacing w:before="0"/>
        <w:ind w:left="112" w:right="0" w:firstLine="0"/>
        <w:jc w:val="left"/>
        <w:rPr>
          <w:b/>
          <w:sz w:val="20"/>
        </w:rPr>
      </w:pPr>
      <w:r>
        <w:rPr>
          <w:b/>
          <w:w w:val="95"/>
          <w:sz w:val="20"/>
        </w:rPr>
        <w:t>附表一：拟投入本标段的主要施工设备表</w:t>
      </w:r>
    </w:p>
    <w:p>
      <w:pPr>
        <w:pStyle w:val="13"/>
        <w:spacing w:before="6"/>
        <w:ind w:left="0"/>
        <w:rPr>
          <w:b/>
          <w:sz w:val="23"/>
        </w:rPr>
      </w:pPr>
    </w:p>
    <w:tbl>
      <w:tblPr>
        <w:tblStyle w:val="17"/>
        <w:tblW w:w="9283" w:type="dxa"/>
        <w:tblInd w:w="3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85"/>
        <w:gridCol w:w="761"/>
        <w:gridCol w:w="991"/>
        <w:gridCol w:w="953"/>
        <w:gridCol w:w="994"/>
        <w:gridCol w:w="1212"/>
        <w:gridCol w:w="874"/>
        <w:gridCol w:w="1054"/>
        <w:gridCol w:w="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665" w:type="dxa"/>
          </w:tcPr>
          <w:p>
            <w:pPr>
              <w:pStyle w:val="33"/>
              <w:spacing w:line="249" w:lineRule="exact"/>
              <w:ind w:left="107"/>
              <w:rPr>
                <w:sz w:val="22"/>
              </w:rPr>
            </w:pPr>
            <w:r>
              <w:rPr>
                <w:sz w:val="22"/>
              </w:rPr>
              <w:t>序号</w:t>
            </w:r>
          </w:p>
        </w:tc>
        <w:tc>
          <w:tcPr>
            <w:tcW w:w="1085" w:type="dxa"/>
          </w:tcPr>
          <w:p>
            <w:pPr>
              <w:pStyle w:val="33"/>
              <w:spacing w:line="249" w:lineRule="exact"/>
              <w:ind w:left="90"/>
              <w:rPr>
                <w:sz w:val="22"/>
              </w:rPr>
            </w:pPr>
            <w:r>
              <w:rPr>
                <w:sz w:val="22"/>
              </w:rPr>
              <w:t>设备名称</w:t>
            </w:r>
          </w:p>
        </w:tc>
        <w:tc>
          <w:tcPr>
            <w:tcW w:w="761" w:type="dxa"/>
          </w:tcPr>
          <w:p>
            <w:pPr>
              <w:pStyle w:val="33"/>
              <w:spacing w:line="249" w:lineRule="exact"/>
              <w:ind w:left="153"/>
              <w:rPr>
                <w:sz w:val="22"/>
              </w:rPr>
            </w:pPr>
            <w:r>
              <w:rPr>
                <w:sz w:val="22"/>
              </w:rPr>
              <w:t>型号</w:t>
            </w:r>
          </w:p>
          <w:p>
            <w:pPr>
              <w:pStyle w:val="33"/>
              <w:spacing w:before="8"/>
              <w:rPr>
                <w:b/>
                <w:sz w:val="21"/>
              </w:rPr>
            </w:pPr>
          </w:p>
          <w:p>
            <w:pPr>
              <w:pStyle w:val="33"/>
              <w:ind w:left="153"/>
              <w:rPr>
                <w:sz w:val="22"/>
              </w:rPr>
            </w:pPr>
            <w:r>
              <w:rPr>
                <w:sz w:val="22"/>
              </w:rPr>
              <w:t>规格</w:t>
            </w:r>
          </w:p>
        </w:tc>
        <w:tc>
          <w:tcPr>
            <w:tcW w:w="991" w:type="dxa"/>
          </w:tcPr>
          <w:p>
            <w:pPr>
              <w:pStyle w:val="33"/>
              <w:spacing w:line="249" w:lineRule="exact"/>
              <w:ind w:left="266"/>
              <w:rPr>
                <w:sz w:val="22"/>
              </w:rPr>
            </w:pPr>
            <w:r>
              <w:rPr>
                <w:sz w:val="22"/>
              </w:rPr>
              <w:t>数量</w:t>
            </w:r>
          </w:p>
        </w:tc>
        <w:tc>
          <w:tcPr>
            <w:tcW w:w="953" w:type="dxa"/>
          </w:tcPr>
          <w:p>
            <w:pPr>
              <w:pStyle w:val="33"/>
              <w:tabs>
                <w:tab w:val="left" w:pos="662"/>
              </w:tabs>
              <w:spacing w:line="249" w:lineRule="exact"/>
              <w:ind w:right="5"/>
              <w:jc w:val="center"/>
              <w:rPr>
                <w:sz w:val="22"/>
              </w:rPr>
            </w:pPr>
            <w:r>
              <w:rPr>
                <w:sz w:val="22"/>
              </w:rPr>
              <w:t>国别</w:t>
            </w:r>
            <w:r>
              <w:rPr>
                <w:sz w:val="22"/>
              </w:rPr>
              <w:tab/>
            </w:r>
            <w:r>
              <w:rPr>
                <w:sz w:val="22"/>
              </w:rPr>
              <w:t>产</w:t>
            </w:r>
          </w:p>
          <w:p>
            <w:pPr>
              <w:pStyle w:val="33"/>
              <w:spacing w:before="84"/>
              <w:ind w:right="10"/>
              <w:jc w:val="center"/>
              <w:rPr>
                <w:sz w:val="22"/>
              </w:rPr>
            </w:pPr>
            <w:r>
              <w:rPr>
                <w:w w:val="100"/>
                <w:sz w:val="22"/>
              </w:rPr>
              <w:t>地</w:t>
            </w:r>
          </w:p>
        </w:tc>
        <w:tc>
          <w:tcPr>
            <w:tcW w:w="994" w:type="dxa"/>
          </w:tcPr>
          <w:p>
            <w:pPr>
              <w:pStyle w:val="33"/>
              <w:tabs>
                <w:tab w:val="left" w:pos="662"/>
              </w:tabs>
              <w:spacing w:line="249" w:lineRule="exact"/>
              <w:ind w:right="2"/>
              <w:jc w:val="center"/>
              <w:rPr>
                <w:sz w:val="22"/>
              </w:rPr>
            </w:pPr>
            <w:r>
              <w:rPr>
                <w:sz w:val="22"/>
              </w:rPr>
              <w:t>制造</w:t>
            </w:r>
            <w:r>
              <w:rPr>
                <w:sz w:val="22"/>
              </w:rPr>
              <w:tab/>
            </w:r>
            <w:r>
              <w:rPr>
                <w:sz w:val="22"/>
              </w:rPr>
              <w:t>年</w:t>
            </w:r>
          </w:p>
          <w:p>
            <w:pPr>
              <w:pStyle w:val="33"/>
              <w:spacing w:before="84"/>
              <w:ind w:right="8"/>
              <w:jc w:val="center"/>
              <w:rPr>
                <w:sz w:val="22"/>
              </w:rPr>
            </w:pPr>
            <w:r>
              <w:rPr>
                <w:w w:val="100"/>
                <w:sz w:val="22"/>
              </w:rPr>
              <w:t>份</w:t>
            </w:r>
          </w:p>
        </w:tc>
        <w:tc>
          <w:tcPr>
            <w:tcW w:w="1212" w:type="dxa"/>
          </w:tcPr>
          <w:p>
            <w:pPr>
              <w:pStyle w:val="33"/>
              <w:spacing w:line="249" w:lineRule="exact"/>
              <w:ind w:left="138" w:right="143"/>
              <w:jc w:val="center"/>
              <w:rPr>
                <w:sz w:val="22"/>
              </w:rPr>
            </w:pPr>
            <w:r>
              <w:rPr>
                <w:sz w:val="22"/>
              </w:rPr>
              <w:t>额定功率</w:t>
            </w:r>
          </w:p>
          <w:p>
            <w:pPr>
              <w:pStyle w:val="33"/>
              <w:spacing w:before="8"/>
              <w:rPr>
                <w:b/>
                <w:sz w:val="21"/>
              </w:rPr>
            </w:pPr>
          </w:p>
          <w:p>
            <w:pPr>
              <w:pStyle w:val="33"/>
              <w:ind w:left="138" w:right="143"/>
              <w:jc w:val="center"/>
              <w:rPr>
                <w:sz w:val="22"/>
              </w:rPr>
            </w:pPr>
            <w:r>
              <w:rPr>
                <w:sz w:val="22"/>
              </w:rPr>
              <w:t>（KW）</w:t>
            </w:r>
          </w:p>
        </w:tc>
        <w:tc>
          <w:tcPr>
            <w:tcW w:w="874" w:type="dxa"/>
          </w:tcPr>
          <w:p>
            <w:pPr>
              <w:pStyle w:val="33"/>
              <w:spacing w:line="249" w:lineRule="exact"/>
              <w:ind w:left="206"/>
              <w:rPr>
                <w:sz w:val="22"/>
              </w:rPr>
            </w:pPr>
            <w:r>
              <w:rPr>
                <w:sz w:val="22"/>
              </w:rPr>
              <w:t>生产</w:t>
            </w:r>
          </w:p>
          <w:p>
            <w:pPr>
              <w:pStyle w:val="33"/>
              <w:spacing w:before="8"/>
              <w:rPr>
                <w:b/>
                <w:sz w:val="21"/>
              </w:rPr>
            </w:pPr>
          </w:p>
          <w:p>
            <w:pPr>
              <w:pStyle w:val="33"/>
              <w:ind w:left="206"/>
              <w:rPr>
                <w:sz w:val="22"/>
              </w:rPr>
            </w:pPr>
            <w:r>
              <w:rPr>
                <w:sz w:val="22"/>
              </w:rPr>
              <w:t>能力</w:t>
            </w:r>
          </w:p>
        </w:tc>
        <w:tc>
          <w:tcPr>
            <w:tcW w:w="1054" w:type="dxa"/>
          </w:tcPr>
          <w:p>
            <w:pPr>
              <w:pStyle w:val="33"/>
              <w:spacing w:line="249" w:lineRule="exact"/>
              <w:ind w:left="189"/>
              <w:rPr>
                <w:sz w:val="22"/>
              </w:rPr>
            </w:pPr>
            <w:r>
              <w:rPr>
                <w:sz w:val="22"/>
              </w:rPr>
              <w:t>用于施</w:t>
            </w:r>
          </w:p>
          <w:p>
            <w:pPr>
              <w:pStyle w:val="33"/>
              <w:spacing w:before="8"/>
              <w:rPr>
                <w:b/>
                <w:sz w:val="21"/>
              </w:rPr>
            </w:pPr>
          </w:p>
          <w:p>
            <w:pPr>
              <w:pStyle w:val="33"/>
              <w:ind w:left="189"/>
              <w:rPr>
                <w:sz w:val="22"/>
              </w:rPr>
            </w:pPr>
            <w:r>
              <w:rPr>
                <w:sz w:val="22"/>
              </w:rPr>
              <w:t>工部位</w:t>
            </w:r>
          </w:p>
        </w:tc>
        <w:tc>
          <w:tcPr>
            <w:tcW w:w="694" w:type="dxa"/>
          </w:tcPr>
          <w:p>
            <w:pPr>
              <w:pStyle w:val="33"/>
              <w:spacing w:line="249" w:lineRule="exact"/>
              <w:ind w:left="117"/>
              <w:rPr>
                <w:sz w:val="22"/>
              </w:rPr>
            </w:pPr>
            <w:r>
              <w:rPr>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65" w:type="dxa"/>
          </w:tcPr>
          <w:p>
            <w:pPr>
              <w:pStyle w:val="33"/>
              <w:rPr>
                <w:rFonts w:ascii="Times New Roman"/>
                <w:sz w:val="22"/>
              </w:rPr>
            </w:pPr>
          </w:p>
        </w:tc>
        <w:tc>
          <w:tcPr>
            <w:tcW w:w="1085" w:type="dxa"/>
          </w:tcPr>
          <w:p>
            <w:pPr>
              <w:pStyle w:val="33"/>
              <w:rPr>
                <w:rFonts w:ascii="Times New Roman"/>
                <w:sz w:val="22"/>
              </w:rPr>
            </w:pPr>
          </w:p>
        </w:tc>
        <w:tc>
          <w:tcPr>
            <w:tcW w:w="761" w:type="dxa"/>
          </w:tcPr>
          <w:p>
            <w:pPr>
              <w:pStyle w:val="33"/>
              <w:rPr>
                <w:rFonts w:ascii="Times New Roman"/>
                <w:sz w:val="22"/>
              </w:rPr>
            </w:pPr>
          </w:p>
        </w:tc>
        <w:tc>
          <w:tcPr>
            <w:tcW w:w="991" w:type="dxa"/>
          </w:tcPr>
          <w:p>
            <w:pPr>
              <w:pStyle w:val="33"/>
              <w:rPr>
                <w:rFonts w:ascii="Times New Roman"/>
                <w:sz w:val="22"/>
              </w:rPr>
            </w:pPr>
          </w:p>
        </w:tc>
        <w:tc>
          <w:tcPr>
            <w:tcW w:w="953" w:type="dxa"/>
          </w:tcPr>
          <w:p>
            <w:pPr>
              <w:pStyle w:val="33"/>
              <w:rPr>
                <w:rFonts w:ascii="Times New Roman"/>
                <w:sz w:val="22"/>
              </w:rPr>
            </w:pPr>
          </w:p>
        </w:tc>
        <w:tc>
          <w:tcPr>
            <w:tcW w:w="994" w:type="dxa"/>
          </w:tcPr>
          <w:p>
            <w:pPr>
              <w:pStyle w:val="33"/>
              <w:rPr>
                <w:rFonts w:ascii="Times New Roman"/>
                <w:sz w:val="22"/>
              </w:rPr>
            </w:pPr>
          </w:p>
        </w:tc>
        <w:tc>
          <w:tcPr>
            <w:tcW w:w="1212" w:type="dxa"/>
          </w:tcPr>
          <w:p>
            <w:pPr>
              <w:pStyle w:val="33"/>
              <w:rPr>
                <w:rFonts w:ascii="Times New Roman"/>
                <w:sz w:val="22"/>
              </w:rPr>
            </w:pPr>
          </w:p>
        </w:tc>
        <w:tc>
          <w:tcPr>
            <w:tcW w:w="874" w:type="dxa"/>
          </w:tcPr>
          <w:p>
            <w:pPr>
              <w:pStyle w:val="33"/>
              <w:rPr>
                <w:rFonts w:ascii="Times New Roman"/>
                <w:sz w:val="22"/>
              </w:rPr>
            </w:pPr>
          </w:p>
        </w:tc>
        <w:tc>
          <w:tcPr>
            <w:tcW w:w="1054" w:type="dxa"/>
          </w:tcPr>
          <w:p>
            <w:pPr>
              <w:pStyle w:val="33"/>
              <w:rPr>
                <w:rFonts w:ascii="Times New Roman"/>
                <w:sz w:val="22"/>
              </w:rPr>
            </w:pPr>
          </w:p>
        </w:tc>
        <w:tc>
          <w:tcPr>
            <w:tcW w:w="694"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65" w:type="dxa"/>
          </w:tcPr>
          <w:p>
            <w:pPr>
              <w:pStyle w:val="33"/>
              <w:rPr>
                <w:rFonts w:ascii="Times New Roman"/>
                <w:sz w:val="22"/>
              </w:rPr>
            </w:pPr>
          </w:p>
        </w:tc>
        <w:tc>
          <w:tcPr>
            <w:tcW w:w="1085" w:type="dxa"/>
          </w:tcPr>
          <w:p>
            <w:pPr>
              <w:pStyle w:val="33"/>
              <w:rPr>
                <w:rFonts w:ascii="Times New Roman"/>
                <w:sz w:val="22"/>
              </w:rPr>
            </w:pPr>
          </w:p>
        </w:tc>
        <w:tc>
          <w:tcPr>
            <w:tcW w:w="761" w:type="dxa"/>
          </w:tcPr>
          <w:p>
            <w:pPr>
              <w:pStyle w:val="33"/>
              <w:rPr>
                <w:rFonts w:ascii="Times New Roman"/>
                <w:sz w:val="22"/>
              </w:rPr>
            </w:pPr>
          </w:p>
        </w:tc>
        <w:tc>
          <w:tcPr>
            <w:tcW w:w="991" w:type="dxa"/>
          </w:tcPr>
          <w:p>
            <w:pPr>
              <w:pStyle w:val="33"/>
              <w:rPr>
                <w:rFonts w:ascii="Times New Roman"/>
                <w:sz w:val="22"/>
              </w:rPr>
            </w:pPr>
          </w:p>
        </w:tc>
        <w:tc>
          <w:tcPr>
            <w:tcW w:w="953" w:type="dxa"/>
          </w:tcPr>
          <w:p>
            <w:pPr>
              <w:pStyle w:val="33"/>
              <w:rPr>
                <w:rFonts w:ascii="Times New Roman"/>
                <w:sz w:val="22"/>
              </w:rPr>
            </w:pPr>
          </w:p>
        </w:tc>
        <w:tc>
          <w:tcPr>
            <w:tcW w:w="994" w:type="dxa"/>
          </w:tcPr>
          <w:p>
            <w:pPr>
              <w:pStyle w:val="33"/>
              <w:rPr>
                <w:rFonts w:ascii="Times New Roman"/>
                <w:sz w:val="22"/>
              </w:rPr>
            </w:pPr>
          </w:p>
        </w:tc>
        <w:tc>
          <w:tcPr>
            <w:tcW w:w="1212" w:type="dxa"/>
          </w:tcPr>
          <w:p>
            <w:pPr>
              <w:pStyle w:val="33"/>
              <w:rPr>
                <w:rFonts w:ascii="Times New Roman"/>
                <w:sz w:val="22"/>
              </w:rPr>
            </w:pPr>
          </w:p>
        </w:tc>
        <w:tc>
          <w:tcPr>
            <w:tcW w:w="874" w:type="dxa"/>
          </w:tcPr>
          <w:p>
            <w:pPr>
              <w:pStyle w:val="33"/>
              <w:rPr>
                <w:rFonts w:ascii="Times New Roman"/>
                <w:sz w:val="22"/>
              </w:rPr>
            </w:pPr>
          </w:p>
        </w:tc>
        <w:tc>
          <w:tcPr>
            <w:tcW w:w="1054" w:type="dxa"/>
          </w:tcPr>
          <w:p>
            <w:pPr>
              <w:pStyle w:val="33"/>
              <w:rPr>
                <w:rFonts w:ascii="Times New Roman"/>
                <w:sz w:val="22"/>
              </w:rPr>
            </w:pPr>
          </w:p>
        </w:tc>
        <w:tc>
          <w:tcPr>
            <w:tcW w:w="694" w:type="dxa"/>
          </w:tcPr>
          <w:p>
            <w:pPr>
              <w:pStyle w:val="3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65" w:type="dxa"/>
          </w:tcPr>
          <w:p>
            <w:pPr>
              <w:pStyle w:val="33"/>
              <w:rPr>
                <w:rFonts w:ascii="Times New Roman"/>
                <w:sz w:val="22"/>
              </w:rPr>
            </w:pPr>
          </w:p>
        </w:tc>
        <w:tc>
          <w:tcPr>
            <w:tcW w:w="1085" w:type="dxa"/>
          </w:tcPr>
          <w:p>
            <w:pPr>
              <w:pStyle w:val="33"/>
              <w:rPr>
                <w:rFonts w:ascii="Times New Roman"/>
                <w:sz w:val="22"/>
              </w:rPr>
            </w:pPr>
          </w:p>
        </w:tc>
        <w:tc>
          <w:tcPr>
            <w:tcW w:w="761" w:type="dxa"/>
          </w:tcPr>
          <w:p>
            <w:pPr>
              <w:pStyle w:val="33"/>
              <w:rPr>
                <w:rFonts w:ascii="Times New Roman"/>
                <w:sz w:val="22"/>
              </w:rPr>
            </w:pPr>
          </w:p>
        </w:tc>
        <w:tc>
          <w:tcPr>
            <w:tcW w:w="991" w:type="dxa"/>
          </w:tcPr>
          <w:p>
            <w:pPr>
              <w:pStyle w:val="33"/>
              <w:rPr>
                <w:rFonts w:ascii="Times New Roman"/>
                <w:sz w:val="22"/>
              </w:rPr>
            </w:pPr>
          </w:p>
        </w:tc>
        <w:tc>
          <w:tcPr>
            <w:tcW w:w="953" w:type="dxa"/>
          </w:tcPr>
          <w:p>
            <w:pPr>
              <w:pStyle w:val="33"/>
              <w:rPr>
                <w:rFonts w:ascii="Times New Roman"/>
                <w:sz w:val="22"/>
              </w:rPr>
            </w:pPr>
          </w:p>
        </w:tc>
        <w:tc>
          <w:tcPr>
            <w:tcW w:w="994" w:type="dxa"/>
          </w:tcPr>
          <w:p>
            <w:pPr>
              <w:pStyle w:val="33"/>
              <w:rPr>
                <w:rFonts w:ascii="Times New Roman"/>
                <w:sz w:val="22"/>
              </w:rPr>
            </w:pPr>
          </w:p>
        </w:tc>
        <w:tc>
          <w:tcPr>
            <w:tcW w:w="1212" w:type="dxa"/>
          </w:tcPr>
          <w:p>
            <w:pPr>
              <w:pStyle w:val="33"/>
              <w:rPr>
                <w:rFonts w:ascii="Times New Roman"/>
                <w:sz w:val="22"/>
              </w:rPr>
            </w:pPr>
          </w:p>
        </w:tc>
        <w:tc>
          <w:tcPr>
            <w:tcW w:w="874" w:type="dxa"/>
          </w:tcPr>
          <w:p>
            <w:pPr>
              <w:pStyle w:val="33"/>
              <w:rPr>
                <w:rFonts w:ascii="Times New Roman"/>
                <w:sz w:val="22"/>
              </w:rPr>
            </w:pPr>
          </w:p>
        </w:tc>
        <w:tc>
          <w:tcPr>
            <w:tcW w:w="1054" w:type="dxa"/>
          </w:tcPr>
          <w:p>
            <w:pPr>
              <w:pStyle w:val="33"/>
              <w:rPr>
                <w:rFonts w:ascii="Times New Roman"/>
                <w:sz w:val="22"/>
              </w:rPr>
            </w:pPr>
          </w:p>
        </w:tc>
        <w:tc>
          <w:tcPr>
            <w:tcW w:w="694" w:type="dxa"/>
          </w:tcPr>
          <w:p>
            <w:pPr>
              <w:pStyle w:val="33"/>
              <w:rPr>
                <w:rFonts w:ascii="Times New Roman"/>
                <w:sz w:val="22"/>
              </w:rPr>
            </w:pPr>
          </w:p>
        </w:tc>
      </w:tr>
    </w:tbl>
    <w:p>
      <w:pPr>
        <w:spacing w:after="0"/>
        <w:rPr>
          <w:rFonts w:ascii="Times New Roman"/>
          <w:sz w:val="22"/>
        </w:rPr>
        <w:sectPr>
          <w:footerReference r:id="rId14" w:type="default"/>
          <w:pgSz w:w="11910" w:h="16840"/>
          <w:pgMar w:top="1120" w:right="1140" w:bottom="1160" w:left="1020" w:header="0" w:footer="975" w:gutter="0"/>
          <w:pgNumType w:start="141"/>
        </w:sectPr>
      </w:pPr>
    </w:p>
    <w:p>
      <w:pPr>
        <w:spacing w:before="22"/>
        <w:ind w:left="112" w:right="0" w:firstLine="0"/>
        <w:jc w:val="left"/>
        <w:rPr>
          <w:b/>
          <w:sz w:val="20"/>
        </w:rPr>
      </w:pPr>
      <w:r>
        <w:rPr>
          <w:b/>
          <w:w w:val="95"/>
          <w:sz w:val="20"/>
        </w:rPr>
        <w:t>附表二：拟配备本标段的试验和检测仪器设备表</w:t>
      </w:r>
    </w:p>
    <w:p>
      <w:pPr>
        <w:pStyle w:val="13"/>
        <w:spacing w:before="6"/>
        <w:ind w:left="0"/>
        <w:rPr>
          <w:b/>
          <w:sz w:val="23"/>
        </w:rPr>
      </w:pPr>
    </w:p>
    <w:tbl>
      <w:tblPr>
        <w:tblStyle w:val="17"/>
        <w:tblW w:w="9211" w:type="dxa"/>
        <w:tblInd w:w="3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87"/>
        <w:gridCol w:w="761"/>
        <w:gridCol w:w="991"/>
        <w:gridCol w:w="1092"/>
        <w:gridCol w:w="1136"/>
        <w:gridCol w:w="1133"/>
        <w:gridCol w:w="1657"/>
        <w:gridCol w:w="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5" w:type="dxa"/>
          </w:tcPr>
          <w:p>
            <w:pPr>
              <w:pStyle w:val="33"/>
              <w:spacing w:before="62"/>
              <w:ind w:left="107"/>
              <w:rPr>
                <w:sz w:val="22"/>
              </w:rPr>
            </w:pPr>
            <w:r>
              <w:rPr>
                <w:sz w:val="22"/>
              </w:rPr>
              <w:t>序号</w:t>
            </w:r>
          </w:p>
        </w:tc>
        <w:tc>
          <w:tcPr>
            <w:tcW w:w="1087" w:type="dxa"/>
          </w:tcPr>
          <w:p>
            <w:pPr>
              <w:pStyle w:val="33"/>
              <w:spacing w:before="62" w:line="333" w:lineRule="auto"/>
              <w:ind w:left="316" w:right="82" w:hanging="221"/>
              <w:rPr>
                <w:sz w:val="22"/>
              </w:rPr>
            </w:pPr>
            <w:r>
              <w:rPr>
                <w:sz w:val="22"/>
              </w:rPr>
              <w:t>仪器设备名称</w:t>
            </w:r>
          </w:p>
        </w:tc>
        <w:tc>
          <w:tcPr>
            <w:tcW w:w="761" w:type="dxa"/>
          </w:tcPr>
          <w:p>
            <w:pPr>
              <w:pStyle w:val="33"/>
              <w:spacing w:before="62" w:line="333" w:lineRule="auto"/>
              <w:ind w:left="150" w:right="141"/>
              <w:rPr>
                <w:sz w:val="22"/>
              </w:rPr>
            </w:pPr>
            <w:r>
              <w:rPr>
                <w:sz w:val="22"/>
              </w:rPr>
              <w:t>型号规格</w:t>
            </w:r>
          </w:p>
        </w:tc>
        <w:tc>
          <w:tcPr>
            <w:tcW w:w="991" w:type="dxa"/>
          </w:tcPr>
          <w:p>
            <w:pPr>
              <w:pStyle w:val="33"/>
              <w:spacing w:before="62"/>
              <w:ind w:left="266"/>
              <w:rPr>
                <w:sz w:val="22"/>
              </w:rPr>
            </w:pPr>
            <w:r>
              <w:rPr>
                <w:sz w:val="22"/>
              </w:rPr>
              <w:t>数量</w:t>
            </w:r>
          </w:p>
        </w:tc>
        <w:tc>
          <w:tcPr>
            <w:tcW w:w="1092" w:type="dxa"/>
          </w:tcPr>
          <w:p>
            <w:pPr>
              <w:pStyle w:val="33"/>
              <w:spacing w:before="62" w:line="333" w:lineRule="auto"/>
              <w:ind w:left="316" w:right="306"/>
              <w:rPr>
                <w:sz w:val="22"/>
              </w:rPr>
            </w:pPr>
            <w:r>
              <w:rPr>
                <w:sz w:val="22"/>
              </w:rPr>
              <w:t>国别产地</w:t>
            </w:r>
          </w:p>
        </w:tc>
        <w:tc>
          <w:tcPr>
            <w:tcW w:w="1136" w:type="dxa"/>
          </w:tcPr>
          <w:p>
            <w:pPr>
              <w:pStyle w:val="33"/>
              <w:spacing w:before="62" w:line="333" w:lineRule="auto"/>
              <w:ind w:left="338" w:right="327"/>
              <w:rPr>
                <w:sz w:val="22"/>
              </w:rPr>
            </w:pPr>
            <w:r>
              <w:rPr>
                <w:sz w:val="22"/>
              </w:rPr>
              <w:t>制造年份</w:t>
            </w:r>
          </w:p>
        </w:tc>
        <w:tc>
          <w:tcPr>
            <w:tcW w:w="1133" w:type="dxa"/>
          </w:tcPr>
          <w:p>
            <w:pPr>
              <w:pStyle w:val="33"/>
              <w:spacing w:before="62" w:line="333" w:lineRule="auto"/>
              <w:ind w:left="335" w:right="108" w:hanging="221"/>
              <w:rPr>
                <w:sz w:val="22"/>
              </w:rPr>
            </w:pPr>
            <w:r>
              <w:rPr>
                <w:sz w:val="22"/>
              </w:rPr>
              <w:t>已使用台时数</w:t>
            </w:r>
          </w:p>
        </w:tc>
        <w:tc>
          <w:tcPr>
            <w:tcW w:w="1657" w:type="dxa"/>
          </w:tcPr>
          <w:p>
            <w:pPr>
              <w:pStyle w:val="33"/>
              <w:spacing w:before="62"/>
              <w:ind w:left="581" w:right="584"/>
              <w:jc w:val="center"/>
              <w:rPr>
                <w:sz w:val="22"/>
              </w:rPr>
            </w:pPr>
            <w:r>
              <w:rPr>
                <w:sz w:val="22"/>
              </w:rPr>
              <w:t>用途</w:t>
            </w:r>
          </w:p>
        </w:tc>
        <w:tc>
          <w:tcPr>
            <w:tcW w:w="689" w:type="dxa"/>
          </w:tcPr>
          <w:p>
            <w:pPr>
              <w:pStyle w:val="33"/>
              <w:spacing w:before="62"/>
              <w:ind w:left="112"/>
              <w:rPr>
                <w:sz w:val="22"/>
              </w:rPr>
            </w:pPr>
            <w:r>
              <w:rPr>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65" w:type="dxa"/>
          </w:tcPr>
          <w:p>
            <w:pPr>
              <w:pStyle w:val="33"/>
              <w:rPr>
                <w:rFonts w:ascii="Times New Roman"/>
                <w:sz w:val="20"/>
              </w:rPr>
            </w:pPr>
          </w:p>
        </w:tc>
        <w:tc>
          <w:tcPr>
            <w:tcW w:w="1087" w:type="dxa"/>
          </w:tcPr>
          <w:p>
            <w:pPr>
              <w:pStyle w:val="33"/>
              <w:rPr>
                <w:rFonts w:ascii="Times New Roman"/>
                <w:sz w:val="20"/>
              </w:rPr>
            </w:pPr>
          </w:p>
        </w:tc>
        <w:tc>
          <w:tcPr>
            <w:tcW w:w="761" w:type="dxa"/>
          </w:tcPr>
          <w:p>
            <w:pPr>
              <w:pStyle w:val="33"/>
              <w:rPr>
                <w:rFonts w:ascii="Times New Roman"/>
                <w:sz w:val="20"/>
              </w:rPr>
            </w:pPr>
          </w:p>
        </w:tc>
        <w:tc>
          <w:tcPr>
            <w:tcW w:w="991" w:type="dxa"/>
          </w:tcPr>
          <w:p>
            <w:pPr>
              <w:pStyle w:val="33"/>
              <w:rPr>
                <w:rFonts w:ascii="Times New Roman"/>
                <w:sz w:val="20"/>
              </w:rPr>
            </w:pPr>
          </w:p>
        </w:tc>
        <w:tc>
          <w:tcPr>
            <w:tcW w:w="1092" w:type="dxa"/>
          </w:tcPr>
          <w:p>
            <w:pPr>
              <w:pStyle w:val="33"/>
              <w:rPr>
                <w:rFonts w:ascii="Times New Roman"/>
                <w:sz w:val="20"/>
              </w:rPr>
            </w:pPr>
          </w:p>
        </w:tc>
        <w:tc>
          <w:tcPr>
            <w:tcW w:w="1136" w:type="dxa"/>
          </w:tcPr>
          <w:p>
            <w:pPr>
              <w:pStyle w:val="33"/>
              <w:rPr>
                <w:rFonts w:ascii="Times New Roman"/>
                <w:sz w:val="20"/>
              </w:rPr>
            </w:pPr>
          </w:p>
        </w:tc>
        <w:tc>
          <w:tcPr>
            <w:tcW w:w="1133" w:type="dxa"/>
          </w:tcPr>
          <w:p>
            <w:pPr>
              <w:pStyle w:val="33"/>
              <w:rPr>
                <w:rFonts w:ascii="Times New Roman"/>
                <w:sz w:val="20"/>
              </w:rPr>
            </w:pPr>
          </w:p>
        </w:tc>
        <w:tc>
          <w:tcPr>
            <w:tcW w:w="1657" w:type="dxa"/>
          </w:tcPr>
          <w:p>
            <w:pPr>
              <w:pStyle w:val="33"/>
              <w:rPr>
                <w:rFonts w:ascii="Times New Roman"/>
                <w:sz w:val="20"/>
              </w:rPr>
            </w:pPr>
          </w:p>
        </w:tc>
        <w:tc>
          <w:tcPr>
            <w:tcW w:w="689"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65" w:type="dxa"/>
          </w:tcPr>
          <w:p>
            <w:pPr>
              <w:pStyle w:val="33"/>
              <w:rPr>
                <w:rFonts w:ascii="Times New Roman"/>
                <w:sz w:val="20"/>
              </w:rPr>
            </w:pPr>
          </w:p>
        </w:tc>
        <w:tc>
          <w:tcPr>
            <w:tcW w:w="1087" w:type="dxa"/>
          </w:tcPr>
          <w:p>
            <w:pPr>
              <w:pStyle w:val="33"/>
              <w:rPr>
                <w:rFonts w:ascii="Times New Roman"/>
                <w:sz w:val="20"/>
              </w:rPr>
            </w:pPr>
          </w:p>
        </w:tc>
        <w:tc>
          <w:tcPr>
            <w:tcW w:w="761" w:type="dxa"/>
          </w:tcPr>
          <w:p>
            <w:pPr>
              <w:pStyle w:val="33"/>
              <w:rPr>
                <w:rFonts w:ascii="Times New Roman"/>
                <w:sz w:val="20"/>
              </w:rPr>
            </w:pPr>
          </w:p>
        </w:tc>
        <w:tc>
          <w:tcPr>
            <w:tcW w:w="991" w:type="dxa"/>
          </w:tcPr>
          <w:p>
            <w:pPr>
              <w:pStyle w:val="33"/>
              <w:rPr>
                <w:rFonts w:ascii="Times New Roman"/>
                <w:sz w:val="20"/>
              </w:rPr>
            </w:pPr>
          </w:p>
        </w:tc>
        <w:tc>
          <w:tcPr>
            <w:tcW w:w="1092" w:type="dxa"/>
          </w:tcPr>
          <w:p>
            <w:pPr>
              <w:pStyle w:val="33"/>
              <w:rPr>
                <w:rFonts w:ascii="Times New Roman"/>
                <w:sz w:val="20"/>
              </w:rPr>
            </w:pPr>
          </w:p>
        </w:tc>
        <w:tc>
          <w:tcPr>
            <w:tcW w:w="1136" w:type="dxa"/>
          </w:tcPr>
          <w:p>
            <w:pPr>
              <w:pStyle w:val="33"/>
              <w:rPr>
                <w:rFonts w:ascii="Times New Roman"/>
                <w:sz w:val="20"/>
              </w:rPr>
            </w:pPr>
          </w:p>
        </w:tc>
        <w:tc>
          <w:tcPr>
            <w:tcW w:w="1133" w:type="dxa"/>
          </w:tcPr>
          <w:p>
            <w:pPr>
              <w:pStyle w:val="33"/>
              <w:rPr>
                <w:rFonts w:ascii="Times New Roman"/>
                <w:sz w:val="20"/>
              </w:rPr>
            </w:pPr>
          </w:p>
        </w:tc>
        <w:tc>
          <w:tcPr>
            <w:tcW w:w="1657" w:type="dxa"/>
          </w:tcPr>
          <w:p>
            <w:pPr>
              <w:pStyle w:val="33"/>
              <w:rPr>
                <w:rFonts w:ascii="Times New Roman"/>
                <w:sz w:val="20"/>
              </w:rPr>
            </w:pPr>
          </w:p>
        </w:tc>
        <w:tc>
          <w:tcPr>
            <w:tcW w:w="689"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65" w:type="dxa"/>
          </w:tcPr>
          <w:p>
            <w:pPr>
              <w:pStyle w:val="33"/>
              <w:rPr>
                <w:rFonts w:ascii="Times New Roman"/>
                <w:sz w:val="20"/>
              </w:rPr>
            </w:pPr>
          </w:p>
        </w:tc>
        <w:tc>
          <w:tcPr>
            <w:tcW w:w="1087" w:type="dxa"/>
          </w:tcPr>
          <w:p>
            <w:pPr>
              <w:pStyle w:val="33"/>
              <w:rPr>
                <w:rFonts w:ascii="Times New Roman"/>
                <w:sz w:val="20"/>
              </w:rPr>
            </w:pPr>
          </w:p>
        </w:tc>
        <w:tc>
          <w:tcPr>
            <w:tcW w:w="761" w:type="dxa"/>
          </w:tcPr>
          <w:p>
            <w:pPr>
              <w:pStyle w:val="33"/>
              <w:rPr>
                <w:rFonts w:ascii="Times New Roman"/>
                <w:sz w:val="20"/>
              </w:rPr>
            </w:pPr>
          </w:p>
        </w:tc>
        <w:tc>
          <w:tcPr>
            <w:tcW w:w="991" w:type="dxa"/>
          </w:tcPr>
          <w:p>
            <w:pPr>
              <w:pStyle w:val="33"/>
              <w:rPr>
                <w:rFonts w:ascii="Times New Roman"/>
                <w:sz w:val="20"/>
              </w:rPr>
            </w:pPr>
          </w:p>
        </w:tc>
        <w:tc>
          <w:tcPr>
            <w:tcW w:w="1092" w:type="dxa"/>
          </w:tcPr>
          <w:p>
            <w:pPr>
              <w:pStyle w:val="33"/>
              <w:rPr>
                <w:rFonts w:ascii="Times New Roman"/>
                <w:sz w:val="20"/>
              </w:rPr>
            </w:pPr>
          </w:p>
        </w:tc>
        <w:tc>
          <w:tcPr>
            <w:tcW w:w="1136" w:type="dxa"/>
          </w:tcPr>
          <w:p>
            <w:pPr>
              <w:pStyle w:val="33"/>
              <w:rPr>
                <w:rFonts w:ascii="Times New Roman"/>
                <w:sz w:val="20"/>
              </w:rPr>
            </w:pPr>
          </w:p>
        </w:tc>
        <w:tc>
          <w:tcPr>
            <w:tcW w:w="1133" w:type="dxa"/>
          </w:tcPr>
          <w:p>
            <w:pPr>
              <w:pStyle w:val="33"/>
              <w:rPr>
                <w:rFonts w:ascii="Times New Roman"/>
                <w:sz w:val="20"/>
              </w:rPr>
            </w:pPr>
          </w:p>
        </w:tc>
        <w:tc>
          <w:tcPr>
            <w:tcW w:w="1657" w:type="dxa"/>
          </w:tcPr>
          <w:p>
            <w:pPr>
              <w:pStyle w:val="33"/>
              <w:rPr>
                <w:rFonts w:ascii="Times New Roman"/>
                <w:sz w:val="20"/>
              </w:rPr>
            </w:pPr>
          </w:p>
        </w:tc>
        <w:tc>
          <w:tcPr>
            <w:tcW w:w="689" w:type="dxa"/>
          </w:tcPr>
          <w:p>
            <w:pPr>
              <w:pStyle w:val="33"/>
              <w:rPr>
                <w:rFonts w:ascii="Times New Roman"/>
                <w:sz w:val="20"/>
              </w:rPr>
            </w:pPr>
          </w:p>
        </w:tc>
      </w:tr>
    </w:tbl>
    <w:p>
      <w:pPr>
        <w:pStyle w:val="13"/>
        <w:ind w:left="0"/>
        <w:rPr>
          <w:b/>
          <w:sz w:val="20"/>
        </w:rPr>
      </w:pPr>
    </w:p>
    <w:p>
      <w:pPr>
        <w:pStyle w:val="13"/>
        <w:ind w:left="0"/>
        <w:rPr>
          <w:b/>
          <w:sz w:val="20"/>
        </w:rPr>
      </w:pPr>
    </w:p>
    <w:p>
      <w:pPr>
        <w:pStyle w:val="13"/>
        <w:ind w:left="0"/>
        <w:rPr>
          <w:b/>
          <w:sz w:val="20"/>
        </w:rPr>
      </w:pPr>
    </w:p>
    <w:p>
      <w:pPr>
        <w:pStyle w:val="13"/>
        <w:spacing w:before="9"/>
        <w:ind w:left="0"/>
        <w:rPr>
          <w:b/>
          <w:sz w:val="19"/>
        </w:rPr>
      </w:pPr>
    </w:p>
    <w:p>
      <w:pPr>
        <w:spacing w:before="0"/>
        <w:ind w:left="112" w:right="0" w:firstLine="0"/>
        <w:jc w:val="left"/>
        <w:rPr>
          <w:b/>
          <w:sz w:val="20"/>
        </w:rPr>
      </w:pPr>
      <w:r>
        <w:rPr>
          <w:b/>
          <w:w w:val="95"/>
          <w:sz w:val="20"/>
        </w:rPr>
        <w:t>附表三：劳动力计划表</w:t>
      </w:r>
    </w:p>
    <w:p>
      <w:pPr>
        <w:pStyle w:val="13"/>
        <w:spacing w:before="7"/>
        <w:ind w:left="0"/>
        <w:rPr>
          <w:b/>
          <w:sz w:val="20"/>
        </w:rPr>
      </w:pPr>
    </w:p>
    <w:p>
      <w:pPr>
        <w:pStyle w:val="10"/>
        <w:ind w:left="8344"/>
      </w:pPr>
      <w:r>
        <w:t>单位：人</w:t>
      </w:r>
    </w:p>
    <w:p>
      <w:pPr>
        <w:pStyle w:val="13"/>
        <w:spacing w:before="12"/>
        <w:ind w:left="0"/>
        <w:rPr>
          <w:sz w:val="22"/>
        </w:rPr>
      </w:pPr>
    </w:p>
    <w:tbl>
      <w:tblPr>
        <w:tblStyle w:val="17"/>
        <w:tblW w:w="9149"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1306"/>
        <w:gridCol w:w="1064"/>
        <w:gridCol w:w="1066"/>
        <w:gridCol w:w="1066"/>
        <w:gridCol w:w="1066"/>
        <w:gridCol w:w="1063"/>
        <w:gridCol w:w="1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30" w:type="dxa"/>
          </w:tcPr>
          <w:p>
            <w:pPr>
              <w:pStyle w:val="33"/>
              <w:spacing w:before="83"/>
              <w:ind w:left="-1"/>
              <w:rPr>
                <w:sz w:val="22"/>
              </w:rPr>
            </w:pPr>
            <w:r>
              <w:rPr>
                <w:sz w:val="22"/>
              </w:rPr>
              <w:t>工种</w:t>
            </w:r>
          </w:p>
        </w:tc>
        <w:tc>
          <w:tcPr>
            <w:tcW w:w="8319" w:type="dxa"/>
            <w:gridSpan w:val="7"/>
          </w:tcPr>
          <w:p>
            <w:pPr>
              <w:pStyle w:val="33"/>
              <w:spacing w:before="83"/>
              <w:ind w:left="-6"/>
              <w:rPr>
                <w:sz w:val="22"/>
              </w:rPr>
            </w:pPr>
            <w:r>
              <w:rPr>
                <w:sz w:val="22"/>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30" w:type="dxa"/>
          </w:tcPr>
          <w:p>
            <w:pPr>
              <w:pStyle w:val="33"/>
              <w:rPr>
                <w:rFonts w:ascii="Times New Roman"/>
                <w:sz w:val="20"/>
              </w:rPr>
            </w:pPr>
          </w:p>
        </w:tc>
        <w:tc>
          <w:tcPr>
            <w:tcW w:w="1306" w:type="dxa"/>
          </w:tcPr>
          <w:p>
            <w:pPr>
              <w:pStyle w:val="33"/>
              <w:rPr>
                <w:rFonts w:ascii="Times New Roman"/>
                <w:sz w:val="20"/>
              </w:rPr>
            </w:pPr>
          </w:p>
        </w:tc>
        <w:tc>
          <w:tcPr>
            <w:tcW w:w="1064" w:type="dxa"/>
          </w:tcPr>
          <w:p>
            <w:pPr>
              <w:pStyle w:val="33"/>
              <w:rPr>
                <w:rFonts w:ascii="Times New Roman"/>
                <w:sz w:val="20"/>
              </w:rPr>
            </w:pPr>
          </w:p>
        </w:tc>
        <w:tc>
          <w:tcPr>
            <w:tcW w:w="1066" w:type="dxa"/>
          </w:tcPr>
          <w:p>
            <w:pPr>
              <w:pStyle w:val="33"/>
              <w:rPr>
                <w:rFonts w:ascii="Times New Roman"/>
                <w:sz w:val="20"/>
              </w:rPr>
            </w:pPr>
          </w:p>
        </w:tc>
        <w:tc>
          <w:tcPr>
            <w:tcW w:w="1066" w:type="dxa"/>
          </w:tcPr>
          <w:p>
            <w:pPr>
              <w:pStyle w:val="33"/>
              <w:rPr>
                <w:rFonts w:ascii="Times New Roman"/>
                <w:sz w:val="20"/>
              </w:rPr>
            </w:pPr>
          </w:p>
        </w:tc>
        <w:tc>
          <w:tcPr>
            <w:tcW w:w="1066" w:type="dxa"/>
          </w:tcPr>
          <w:p>
            <w:pPr>
              <w:pStyle w:val="33"/>
              <w:rPr>
                <w:rFonts w:ascii="Times New Roman"/>
                <w:sz w:val="20"/>
              </w:rPr>
            </w:pPr>
          </w:p>
        </w:tc>
        <w:tc>
          <w:tcPr>
            <w:tcW w:w="1063" w:type="dxa"/>
          </w:tcPr>
          <w:p>
            <w:pPr>
              <w:pStyle w:val="33"/>
              <w:rPr>
                <w:rFonts w:ascii="Times New Roman"/>
                <w:sz w:val="20"/>
              </w:rPr>
            </w:pPr>
          </w:p>
        </w:tc>
        <w:tc>
          <w:tcPr>
            <w:tcW w:w="1688"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30" w:type="dxa"/>
          </w:tcPr>
          <w:p>
            <w:pPr>
              <w:pStyle w:val="33"/>
              <w:rPr>
                <w:rFonts w:ascii="Times New Roman"/>
                <w:sz w:val="20"/>
              </w:rPr>
            </w:pPr>
          </w:p>
        </w:tc>
        <w:tc>
          <w:tcPr>
            <w:tcW w:w="1306" w:type="dxa"/>
          </w:tcPr>
          <w:p>
            <w:pPr>
              <w:pStyle w:val="33"/>
              <w:rPr>
                <w:rFonts w:ascii="Times New Roman"/>
                <w:sz w:val="20"/>
              </w:rPr>
            </w:pPr>
          </w:p>
        </w:tc>
        <w:tc>
          <w:tcPr>
            <w:tcW w:w="1064" w:type="dxa"/>
          </w:tcPr>
          <w:p>
            <w:pPr>
              <w:pStyle w:val="33"/>
              <w:rPr>
                <w:rFonts w:ascii="Times New Roman"/>
                <w:sz w:val="20"/>
              </w:rPr>
            </w:pPr>
          </w:p>
        </w:tc>
        <w:tc>
          <w:tcPr>
            <w:tcW w:w="1066" w:type="dxa"/>
          </w:tcPr>
          <w:p>
            <w:pPr>
              <w:pStyle w:val="33"/>
              <w:rPr>
                <w:rFonts w:ascii="Times New Roman"/>
                <w:sz w:val="20"/>
              </w:rPr>
            </w:pPr>
          </w:p>
        </w:tc>
        <w:tc>
          <w:tcPr>
            <w:tcW w:w="1066" w:type="dxa"/>
          </w:tcPr>
          <w:p>
            <w:pPr>
              <w:pStyle w:val="33"/>
              <w:rPr>
                <w:rFonts w:ascii="Times New Roman"/>
                <w:sz w:val="20"/>
              </w:rPr>
            </w:pPr>
          </w:p>
        </w:tc>
        <w:tc>
          <w:tcPr>
            <w:tcW w:w="1066" w:type="dxa"/>
          </w:tcPr>
          <w:p>
            <w:pPr>
              <w:pStyle w:val="33"/>
              <w:rPr>
                <w:rFonts w:ascii="Times New Roman"/>
                <w:sz w:val="20"/>
              </w:rPr>
            </w:pPr>
          </w:p>
        </w:tc>
        <w:tc>
          <w:tcPr>
            <w:tcW w:w="1063" w:type="dxa"/>
          </w:tcPr>
          <w:p>
            <w:pPr>
              <w:pStyle w:val="33"/>
              <w:rPr>
                <w:rFonts w:ascii="Times New Roman"/>
                <w:sz w:val="20"/>
              </w:rPr>
            </w:pPr>
          </w:p>
        </w:tc>
        <w:tc>
          <w:tcPr>
            <w:tcW w:w="1688"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30" w:type="dxa"/>
          </w:tcPr>
          <w:p>
            <w:pPr>
              <w:pStyle w:val="33"/>
              <w:rPr>
                <w:rFonts w:ascii="Times New Roman"/>
                <w:sz w:val="20"/>
              </w:rPr>
            </w:pPr>
          </w:p>
        </w:tc>
        <w:tc>
          <w:tcPr>
            <w:tcW w:w="1306" w:type="dxa"/>
          </w:tcPr>
          <w:p>
            <w:pPr>
              <w:pStyle w:val="33"/>
              <w:rPr>
                <w:rFonts w:ascii="Times New Roman"/>
                <w:sz w:val="20"/>
              </w:rPr>
            </w:pPr>
          </w:p>
        </w:tc>
        <w:tc>
          <w:tcPr>
            <w:tcW w:w="1064" w:type="dxa"/>
          </w:tcPr>
          <w:p>
            <w:pPr>
              <w:pStyle w:val="33"/>
              <w:rPr>
                <w:rFonts w:ascii="Times New Roman"/>
                <w:sz w:val="20"/>
              </w:rPr>
            </w:pPr>
          </w:p>
        </w:tc>
        <w:tc>
          <w:tcPr>
            <w:tcW w:w="1066" w:type="dxa"/>
          </w:tcPr>
          <w:p>
            <w:pPr>
              <w:pStyle w:val="33"/>
              <w:rPr>
                <w:rFonts w:ascii="Times New Roman"/>
                <w:sz w:val="20"/>
              </w:rPr>
            </w:pPr>
          </w:p>
        </w:tc>
        <w:tc>
          <w:tcPr>
            <w:tcW w:w="1066" w:type="dxa"/>
          </w:tcPr>
          <w:p>
            <w:pPr>
              <w:pStyle w:val="33"/>
              <w:rPr>
                <w:rFonts w:ascii="Times New Roman"/>
                <w:sz w:val="20"/>
              </w:rPr>
            </w:pPr>
          </w:p>
        </w:tc>
        <w:tc>
          <w:tcPr>
            <w:tcW w:w="1066" w:type="dxa"/>
          </w:tcPr>
          <w:p>
            <w:pPr>
              <w:pStyle w:val="33"/>
              <w:rPr>
                <w:rFonts w:ascii="Times New Roman"/>
                <w:sz w:val="20"/>
              </w:rPr>
            </w:pPr>
          </w:p>
        </w:tc>
        <w:tc>
          <w:tcPr>
            <w:tcW w:w="1063" w:type="dxa"/>
          </w:tcPr>
          <w:p>
            <w:pPr>
              <w:pStyle w:val="33"/>
              <w:rPr>
                <w:rFonts w:ascii="Times New Roman"/>
                <w:sz w:val="20"/>
              </w:rPr>
            </w:pPr>
          </w:p>
        </w:tc>
        <w:tc>
          <w:tcPr>
            <w:tcW w:w="1688"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30" w:type="dxa"/>
          </w:tcPr>
          <w:p>
            <w:pPr>
              <w:pStyle w:val="33"/>
              <w:rPr>
                <w:rFonts w:ascii="Times New Roman"/>
                <w:sz w:val="20"/>
              </w:rPr>
            </w:pPr>
          </w:p>
        </w:tc>
        <w:tc>
          <w:tcPr>
            <w:tcW w:w="1306" w:type="dxa"/>
          </w:tcPr>
          <w:p>
            <w:pPr>
              <w:pStyle w:val="33"/>
              <w:rPr>
                <w:rFonts w:ascii="Times New Roman"/>
                <w:sz w:val="20"/>
              </w:rPr>
            </w:pPr>
          </w:p>
        </w:tc>
        <w:tc>
          <w:tcPr>
            <w:tcW w:w="1064" w:type="dxa"/>
          </w:tcPr>
          <w:p>
            <w:pPr>
              <w:pStyle w:val="33"/>
              <w:rPr>
                <w:rFonts w:ascii="Times New Roman"/>
                <w:sz w:val="20"/>
              </w:rPr>
            </w:pPr>
          </w:p>
        </w:tc>
        <w:tc>
          <w:tcPr>
            <w:tcW w:w="1066" w:type="dxa"/>
          </w:tcPr>
          <w:p>
            <w:pPr>
              <w:pStyle w:val="33"/>
              <w:rPr>
                <w:rFonts w:ascii="Times New Roman"/>
                <w:sz w:val="20"/>
              </w:rPr>
            </w:pPr>
          </w:p>
        </w:tc>
        <w:tc>
          <w:tcPr>
            <w:tcW w:w="1066" w:type="dxa"/>
          </w:tcPr>
          <w:p>
            <w:pPr>
              <w:pStyle w:val="33"/>
              <w:rPr>
                <w:rFonts w:ascii="Times New Roman"/>
                <w:sz w:val="20"/>
              </w:rPr>
            </w:pPr>
          </w:p>
        </w:tc>
        <w:tc>
          <w:tcPr>
            <w:tcW w:w="1066" w:type="dxa"/>
          </w:tcPr>
          <w:p>
            <w:pPr>
              <w:pStyle w:val="33"/>
              <w:rPr>
                <w:rFonts w:ascii="Times New Roman"/>
                <w:sz w:val="20"/>
              </w:rPr>
            </w:pPr>
          </w:p>
        </w:tc>
        <w:tc>
          <w:tcPr>
            <w:tcW w:w="1063" w:type="dxa"/>
          </w:tcPr>
          <w:p>
            <w:pPr>
              <w:pStyle w:val="33"/>
              <w:rPr>
                <w:rFonts w:ascii="Times New Roman"/>
                <w:sz w:val="20"/>
              </w:rPr>
            </w:pPr>
          </w:p>
        </w:tc>
        <w:tc>
          <w:tcPr>
            <w:tcW w:w="1688" w:type="dxa"/>
          </w:tcPr>
          <w:p>
            <w:pPr>
              <w:pStyle w:val="33"/>
              <w:rPr>
                <w:rFonts w:ascii="Times New Roman"/>
                <w:sz w:val="20"/>
              </w:rPr>
            </w:pPr>
          </w:p>
        </w:tc>
      </w:tr>
    </w:tbl>
    <w:p>
      <w:pPr>
        <w:pStyle w:val="9"/>
      </w:pPr>
      <w:r>
        <w:rPr>
          <w:w w:val="95"/>
        </w:rPr>
        <w:t>附表四：计划开、竣工日期和施工进度网络图及横道图</w:t>
      </w:r>
    </w:p>
    <w:p>
      <w:pPr>
        <w:pStyle w:val="13"/>
        <w:spacing w:before="8"/>
        <w:ind w:left="0"/>
        <w:rPr>
          <w:b/>
        </w:rPr>
      </w:pPr>
    </w:p>
    <w:p>
      <w:pPr>
        <w:pStyle w:val="10"/>
        <w:spacing w:before="1" w:line="307" w:lineRule="auto"/>
        <w:ind w:left="112" w:right="248"/>
      </w:pPr>
      <w:r>
        <w:t>1. 投标人应递交施工进度网络图及横道图，说明按招标文件要求的计划工期进行施工的各个关键日期。</w:t>
      </w:r>
    </w:p>
    <w:p>
      <w:pPr>
        <w:pStyle w:val="13"/>
        <w:spacing w:before="12"/>
        <w:ind w:left="0"/>
        <w:rPr>
          <w:sz w:val="16"/>
        </w:rPr>
      </w:pPr>
    </w:p>
    <w:p>
      <w:pPr>
        <w:pStyle w:val="9"/>
      </w:pPr>
      <w:r>
        <w:rPr>
          <w:w w:val="95"/>
        </w:rPr>
        <w:t>附表五：施工总平面图</w:t>
      </w:r>
    </w:p>
    <w:p>
      <w:pPr>
        <w:pStyle w:val="13"/>
        <w:spacing w:before="4"/>
        <w:ind w:left="0"/>
        <w:rPr>
          <w:b/>
          <w:sz w:val="29"/>
        </w:rPr>
      </w:pPr>
    </w:p>
    <w:p>
      <w:pPr>
        <w:pStyle w:val="10"/>
        <w:spacing w:line="331" w:lineRule="auto"/>
        <w:ind w:left="112" w:right="96"/>
      </w:pPr>
      <w:r>
        <w:rPr>
          <w:spacing w:val="-3"/>
        </w:rPr>
        <w:t>投标人应递交一份施工总平面图</w:t>
      </w:r>
      <w:r>
        <w:rPr>
          <w:spacing w:val="-21"/>
        </w:rPr>
        <w:t>，绘出现场临时设施布置图表并附文字说明，说明临时 设施、加工车间、</w:t>
      </w:r>
      <w:r>
        <w:rPr>
          <w:spacing w:val="-17"/>
        </w:rPr>
        <w:t>现场办公、设备及仓储、供电、供水、卫生、生活、道路、消防等设施的 情况和布置。</w:t>
      </w:r>
    </w:p>
    <w:p>
      <w:pPr>
        <w:pStyle w:val="13"/>
        <w:ind w:left="0"/>
        <w:rPr>
          <w:sz w:val="22"/>
        </w:rPr>
      </w:pPr>
    </w:p>
    <w:p>
      <w:pPr>
        <w:spacing w:before="184"/>
        <w:ind w:left="112" w:right="0" w:firstLine="0"/>
        <w:jc w:val="left"/>
        <w:rPr>
          <w:b/>
          <w:sz w:val="20"/>
        </w:rPr>
      </w:pPr>
      <w:r>
        <w:rPr>
          <w:b/>
          <w:w w:val="95"/>
          <w:sz w:val="20"/>
        </w:rPr>
        <w:t>附表六：临时用地表</w:t>
      </w:r>
    </w:p>
    <w:p>
      <w:pPr>
        <w:pStyle w:val="13"/>
        <w:spacing w:before="6"/>
        <w:ind w:left="0"/>
        <w:rPr>
          <w:b/>
          <w:sz w:val="23"/>
        </w:rPr>
      </w:pPr>
    </w:p>
    <w:tbl>
      <w:tblPr>
        <w:tblStyle w:val="17"/>
        <w:tblW w:w="9290" w:type="dxa"/>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9"/>
        <w:gridCol w:w="2132"/>
        <w:gridCol w:w="2132"/>
        <w:gridCol w:w="2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129" w:type="dxa"/>
          </w:tcPr>
          <w:p>
            <w:pPr>
              <w:pStyle w:val="33"/>
              <w:tabs>
                <w:tab w:val="left" w:pos="1281"/>
              </w:tabs>
              <w:spacing w:before="62"/>
              <w:ind w:left="619"/>
              <w:rPr>
                <w:sz w:val="22"/>
              </w:rPr>
            </w:pPr>
            <w:r>
              <w:rPr>
                <w:sz w:val="22"/>
              </w:rPr>
              <w:t>用</w:t>
            </w:r>
            <w:r>
              <w:rPr>
                <w:sz w:val="22"/>
              </w:rPr>
              <w:tab/>
            </w:r>
            <w:r>
              <w:rPr>
                <w:sz w:val="22"/>
              </w:rPr>
              <w:t>途</w:t>
            </w:r>
          </w:p>
        </w:tc>
        <w:tc>
          <w:tcPr>
            <w:tcW w:w="2132" w:type="dxa"/>
          </w:tcPr>
          <w:p>
            <w:pPr>
              <w:pStyle w:val="33"/>
              <w:tabs>
                <w:tab w:val="left" w:pos="729"/>
              </w:tabs>
              <w:spacing w:before="62"/>
              <w:ind w:left="67"/>
              <w:rPr>
                <w:sz w:val="22"/>
              </w:rPr>
            </w:pPr>
            <w:r>
              <w:rPr>
                <w:sz w:val="22"/>
              </w:rPr>
              <w:t>面</w:t>
            </w:r>
            <w:r>
              <w:rPr>
                <w:sz w:val="22"/>
              </w:rPr>
              <w:tab/>
            </w:r>
            <w:r>
              <w:rPr>
                <w:sz w:val="22"/>
              </w:rPr>
              <w:t>积</w:t>
            </w:r>
            <w:r>
              <w:rPr>
                <w:spacing w:val="-3"/>
                <w:sz w:val="22"/>
              </w:rPr>
              <w:t>（平</w:t>
            </w:r>
            <w:r>
              <w:rPr>
                <w:sz w:val="22"/>
              </w:rPr>
              <w:t>方米）</w:t>
            </w:r>
          </w:p>
        </w:tc>
        <w:tc>
          <w:tcPr>
            <w:tcW w:w="2132" w:type="dxa"/>
          </w:tcPr>
          <w:p>
            <w:pPr>
              <w:pStyle w:val="33"/>
              <w:tabs>
                <w:tab w:val="left" w:pos="1276"/>
              </w:tabs>
              <w:spacing w:before="62"/>
              <w:ind w:left="614"/>
              <w:rPr>
                <w:sz w:val="22"/>
              </w:rPr>
            </w:pPr>
            <w:r>
              <w:rPr>
                <w:sz w:val="22"/>
              </w:rPr>
              <w:t>位</w:t>
            </w:r>
            <w:r>
              <w:rPr>
                <w:sz w:val="22"/>
              </w:rPr>
              <w:tab/>
            </w:r>
            <w:r>
              <w:rPr>
                <w:sz w:val="22"/>
              </w:rPr>
              <w:t>置</w:t>
            </w:r>
          </w:p>
        </w:tc>
        <w:tc>
          <w:tcPr>
            <w:tcW w:w="2897" w:type="dxa"/>
          </w:tcPr>
          <w:p>
            <w:pPr>
              <w:pStyle w:val="33"/>
              <w:spacing w:before="62"/>
              <w:ind w:left="981" w:right="986"/>
              <w:jc w:val="center"/>
              <w:rPr>
                <w:sz w:val="22"/>
              </w:rPr>
            </w:pPr>
            <w:r>
              <w:rPr>
                <w:sz w:val="22"/>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129" w:type="dxa"/>
          </w:tcPr>
          <w:p>
            <w:pPr>
              <w:pStyle w:val="33"/>
              <w:rPr>
                <w:rFonts w:ascii="Times New Roman"/>
                <w:sz w:val="20"/>
              </w:rPr>
            </w:pPr>
          </w:p>
        </w:tc>
        <w:tc>
          <w:tcPr>
            <w:tcW w:w="2132" w:type="dxa"/>
          </w:tcPr>
          <w:p>
            <w:pPr>
              <w:pStyle w:val="33"/>
              <w:rPr>
                <w:rFonts w:ascii="Times New Roman"/>
                <w:sz w:val="20"/>
              </w:rPr>
            </w:pPr>
          </w:p>
        </w:tc>
        <w:tc>
          <w:tcPr>
            <w:tcW w:w="2132" w:type="dxa"/>
          </w:tcPr>
          <w:p>
            <w:pPr>
              <w:pStyle w:val="33"/>
              <w:rPr>
                <w:rFonts w:ascii="Times New Roman"/>
                <w:sz w:val="20"/>
              </w:rPr>
            </w:pPr>
          </w:p>
        </w:tc>
        <w:tc>
          <w:tcPr>
            <w:tcW w:w="289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129" w:type="dxa"/>
          </w:tcPr>
          <w:p>
            <w:pPr>
              <w:pStyle w:val="33"/>
              <w:rPr>
                <w:rFonts w:ascii="Times New Roman"/>
                <w:sz w:val="20"/>
              </w:rPr>
            </w:pPr>
          </w:p>
        </w:tc>
        <w:tc>
          <w:tcPr>
            <w:tcW w:w="2132" w:type="dxa"/>
          </w:tcPr>
          <w:p>
            <w:pPr>
              <w:pStyle w:val="33"/>
              <w:rPr>
                <w:rFonts w:ascii="Times New Roman"/>
                <w:sz w:val="20"/>
              </w:rPr>
            </w:pPr>
          </w:p>
        </w:tc>
        <w:tc>
          <w:tcPr>
            <w:tcW w:w="2132" w:type="dxa"/>
          </w:tcPr>
          <w:p>
            <w:pPr>
              <w:pStyle w:val="33"/>
              <w:rPr>
                <w:rFonts w:ascii="Times New Roman"/>
                <w:sz w:val="20"/>
              </w:rPr>
            </w:pPr>
          </w:p>
        </w:tc>
        <w:tc>
          <w:tcPr>
            <w:tcW w:w="2897"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129" w:type="dxa"/>
          </w:tcPr>
          <w:p>
            <w:pPr>
              <w:pStyle w:val="33"/>
              <w:rPr>
                <w:rFonts w:ascii="Times New Roman"/>
                <w:sz w:val="20"/>
              </w:rPr>
            </w:pPr>
          </w:p>
        </w:tc>
        <w:tc>
          <w:tcPr>
            <w:tcW w:w="2132" w:type="dxa"/>
          </w:tcPr>
          <w:p>
            <w:pPr>
              <w:pStyle w:val="33"/>
              <w:rPr>
                <w:rFonts w:ascii="Times New Roman"/>
                <w:sz w:val="20"/>
              </w:rPr>
            </w:pPr>
          </w:p>
        </w:tc>
        <w:tc>
          <w:tcPr>
            <w:tcW w:w="2132" w:type="dxa"/>
          </w:tcPr>
          <w:p>
            <w:pPr>
              <w:pStyle w:val="33"/>
              <w:rPr>
                <w:rFonts w:ascii="Times New Roman"/>
                <w:sz w:val="20"/>
              </w:rPr>
            </w:pPr>
          </w:p>
        </w:tc>
        <w:tc>
          <w:tcPr>
            <w:tcW w:w="2897" w:type="dxa"/>
          </w:tcPr>
          <w:p>
            <w:pPr>
              <w:pStyle w:val="33"/>
              <w:rPr>
                <w:rFonts w:ascii="Times New Roman"/>
                <w:sz w:val="20"/>
              </w:rPr>
            </w:pPr>
          </w:p>
        </w:tc>
      </w:tr>
    </w:tbl>
    <w:p>
      <w:pPr>
        <w:spacing w:after="0"/>
        <w:rPr>
          <w:rFonts w:ascii="Times New Roman"/>
          <w:sz w:val="20"/>
        </w:rPr>
        <w:sectPr>
          <w:pgSz w:w="11910" w:h="16840"/>
          <w:pgMar w:top="1060" w:right="760" w:bottom="1160" w:left="1020" w:header="0" w:footer="975" w:gutter="0"/>
        </w:sectPr>
      </w:pPr>
    </w:p>
    <w:p>
      <w:pPr>
        <w:pStyle w:val="7"/>
        <w:ind w:left="3174"/>
        <w:jc w:val="left"/>
      </w:pPr>
      <w:r>
        <w:rPr>
          <w:w w:val="95"/>
        </w:rPr>
        <w:t>（二）项目管理机构配备情况表</w:t>
      </w:r>
    </w:p>
    <w:p>
      <w:pPr>
        <w:pStyle w:val="13"/>
        <w:ind w:left="0"/>
        <w:rPr>
          <w:b/>
          <w:sz w:val="28"/>
        </w:rPr>
      </w:pPr>
    </w:p>
    <w:p>
      <w:pPr>
        <w:tabs>
          <w:tab w:val="left" w:pos="1755"/>
          <w:tab w:val="left" w:pos="4455"/>
        </w:tabs>
        <w:spacing w:before="203" w:after="53"/>
        <w:ind w:left="654" w:right="0" w:firstLine="0"/>
        <w:jc w:val="left"/>
        <w:rPr>
          <w:sz w:val="20"/>
        </w:rPr>
      </w:pPr>
      <w:r>
        <w:rPr>
          <w:w w:val="99"/>
          <w:sz w:val="20"/>
          <w:u w:val="single"/>
        </w:rPr>
        <w:t xml:space="preserve"> </w:t>
      </w:r>
      <w:r>
        <w:rPr>
          <w:sz w:val="20"/>
          <w:u w:val="single"/>
        </w:rPr>
        <w:tab/>
      </w:r>
      <w:r>
        <w:rPr>
          <w:sz w:val="20"/>
          <w:u w:val="single"/>
        </w:rPr>
        <w:t>{招标工程项目名称}</w:t>
      </w:r>
      <w:r>
        <w:rPr>
          <w:sz w:val="20"/>
          <w:u w:val="single"/>
        </w:rPr>
        <w:tab/>
      </w:r>
      <w:r>
        <w:rPr>
          <w:w w:val="95"/>
          <w:sz w:val="20"/>
        </w:rPr>
        <w:t>工程</w:t>
      </w:r>
    </w:p>
    <w:tbl>
      <w:tblPr>
        <w:tblStyle w:val="17"/>
        <w:tblW w:w="9923"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828"/>
        <w:gridCol w:w="817"/>
        <w:gridCol w:w="1190"/>
        <w:gridCol w:w="670"/>
        <w:gridCol w:w="706"/>
        <w:gridCol w:w="751"/>
        <w:gridCol w:w="1277"/>
        <w:gridCol w:w="850"/>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560" w:type="dxa"/>
            <w:vMerge w:val="restart"/>
          </w:tcPr>
          <w:p>
            <w:pPr>
              <w:pStyle w:val="33"/>
              <w:rPr>
                <w:sz w:val="20"/>
              </w:rPr>
            </w:pPr>
          </w:p>
          <w:p>
            <w:pPr>
              <w:pStyle w:val="33"/>
              <w:rPr>
                <w:sz w:val="20"/>
              </w:rPr>
            </w:pPr>
          </w:p>
          <w:p>
            <w:pPr>
              <w:pStyle w:val="33"/>
              <w:spacing w:before="12"/>
              <w:rPr>
                <w:sz w:val="25"/>
              </w:rPr>
            </w:pPr>
          </w:p>
          <w:p>
            <w:pPr>
              <w:pStyle w:val="33"/>
              <w:ind w:left="545" w:right="545"/>
              <w:jc w:val="center"/>
              <w:rPr>
                <w:sz w:val="21"/>
              </w:rPr>
            </w:pPr>
            <w:r>
              <w:rPr>
                <w:sz w:val="21"/>
              </w:rPr>
              <w:t>岗位</w:t>
            </w:r>
          </w:p>
        </w:tc>
        <w:tc>
          <w:tcPr>
            <w:tcW w:w="828" w:type="dxa"/>
            <w:vMerge w:val="restart"/>
          </w:tcPr>
          <w:p>
            <w:pPr>
              <w:pStyle w:val="33"/>
              <w:rPr>
                <w:sz w:val="20"/>
              </w:rPr>
            </w:pPr>
          </w:p>
          <w:p>
            <w:pPr>
              <w:pStyle w:val="33"/>
              <w:rPr>
                <w:sz w:val="20"/>
              </w:rPr>
            </w:pPr>
          </w:p>
          <w:p>
            <w:pPr>
              <w:pStyle w:val="33"/>
              <w:spacing w:before="12"/>
              <w:rPr>
                <w:sz w:val="25"/>
              </w:rPr>
            </w:pPr>
          </w:p>
          <w:p>
            <w:pPr>
              <w:pStyle w:val="33"/>
              <w:ind w:left="198"/>
              <w:rPr>
                <w:sz w:val="21"/>
              </w:rPr>
            </w:pPr>
            <w:r>
              <w:rPr>
                <w:sz w:val="21"/>
              </w:rPr>
              <w:t>姓名</w:t>
            </w:r>
          </w:p>
        </w:tc>
        <w:tc>
          <w:tcPr>
            <w:tcW w:w="817" w:type="dxa"/>
            <w:vMerge w:val="restart"/>
          </w:tcPr>
          <w:p>
            <w:pPr>
              <w:pStyle w:val="33"/>
              <w:rPr>
                <w:sz w:val="20"/>
              </w:rPr>
            </w:pPr>
          </w:p>
          <w:p>
            <w:pPr>
              <w:pStyle w:val="33"/>
              <w:rPr>
                <w:sz w:val="20"/>
              </w:rPr>
            </w:pPr>
          </w:p>
          <w:p>
            <w:pPr>
              <w:pStyle w:val="33"/>
              <w:spacing w:before="12"/>
              <w:rPr>
                <w:sz w:val="25"/>
              </w:rPr>
            </w:pPr>
          </w:p>
          <w:p>
            <w:pPr>
              <w:pStyle w:val="33"/>
              <w:ind w:left="194"/>
              <w:rPr>
                <w:sz w:val="21"/>
              </w:rPr>
            </w:pPr>
            <w:r>
              <w:rPr>
                <w:sz w:val="21"/>
              </w:rPr>
              <w:t>职称</w:t>
            </w:r>
          </w:p>
        </w:tc>
        <w:tc>
          <w:tcPr>
            <w:tcW w:w="4594" w:type="dxa"/>
            <w:gridSpan w:val="5"/>
          </w:tcPr>
          <w:p>
            <w:pPr>
              <w:pStyle w:val="33"/>
              <w:spacing w:before="12"/>
              <w:rPr>
                <w:sz w:val="28"/>
              </w:rPr>
            </w:pPr>
          </w:p>
          <w:p>
            <w:pPr>
              <w:pStyle w:val="33"/>
              <w:ind w:left="1346"/>
              <w:rPr>
                <w:sz w:val="21"/>
              </w:rPr>
            </w:pPr>
            <w:r>
              <w:rPr>
                <w:sz w:val="21"/>
              </w:rPr>
              <w:t>执业或职业资格证明</w:t>
            </w:r>
          </w:p>
        </w:tc>
        <w:tc>
          <w:tcPr>
            <w:tcW w:w="2124" w:type="dxa"/>
            <w:gridSpan w:val="2"/>
          </w:tcPr>
          <w:p>
            <w:pPr>
              <w:pStyle w:val="33"/>
              <w:spacing w:line="480" w:lineRule="exact"/>
              <w:ind w:left="480" w:right="459" w:firstLine="158"/>
              <w:rPr>
                <w:sz w:val="21"/>
              </w:rPr>
            </w:pPr>
            <w:r>
              <w:rPr>
                <w:sz w:val="21"/>
              </w:rPr>
              <w:t>承担完工工 程 情 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560" w:type="dxa"/>
            <w:vMerge w:val="continue"/>
            <w:tcBorders>
              <w:top w:val="nil"/>
            </w:tcBorders>
          </w:tcPr>
          <w:p>
            <w:pPr>
              <w:rPr>
                <w:sz w:val="2"/>
                <w:szCs w:val="2"/>
              </w:rPr>
            </w:pPr>
          </w:p>
        </w:tc>
        <w:tc>
          <w:tcPr>
            <w:tcW w:w="828" w:type="dxa"/>
            <w:vMerge w:val="continue"/>
            <w:tcBorders>
              <w:top w:val="nil"/>
            </w:tcBorders>
          </w:tcPr>
          <w:p>
            <w:pPr>
              <w:rPr>
                <w:sz w:val="2"/>
                <w:szCs w:val="2"/>
              </w:rPr>
            </w:pPr>
          </w:p>
        </w:tc>
        <w:tc>
          <w:tcPr>
            <w:tcW w:w="817" w:type="dxa"/>
            <w:vMerge w:val="continue"/>
            <w:tcBorders>
              <w:top w:val="nil"/>
            </w:tcBorders>
          </w:tcPr>
          <w:p>
            <w:pPr>
              <w:rPr>
                <w:sz w:val="2"/>
                <w:szCs w:val="2"/>
              </w:rPr>
            </w:pPr>
          </w:p>
        </w:tc>
        <w:tc>
          <w:tcPr>
            <w:tcW w:w="1190" w:type="dxa"/>
          </w:tcPr>
          <w:p>
            <w:pPr>
              <w:pStyle w:val="33"/>
              <w:spacing w:before="12"/>
              <w:rPr>
                <w:sz w:val="28"/>
              </w:rPr>
            </w:pPr>
          </w:p>
          <w:p>
            <w:pPr>
              <w:pStyle w:val="33"/>
              <w:ind w:left="172"/>
              <w:rPr>
                <w:sz w:val="21"/>
              </w:rPr>
            </w:pPr>
            <w:r>
              <w:rPr>
                <w:sz w:val="21"/>
              </w:rPr>
              <w:t>证书名称</w:t>
            </w:r>
          </w:p>
        </w:tc>
        <w:tc>
          <w:tcPr>
            <w:tcW w:w="670" w:type="dxa"/>
          </w:tcPr>
          <w:p>
            <w:pPr>
              <w:pStyle w:val="33"/>
              <w:spacing w:before="12"/>
              <w:rPr>
                <w:sz w:val="28"/>
              </w:rPr>
            </w:pPr>
          </w:p>
          <w:p>
            <w:pPr>
              <w:pStyle w:val="33"/>
              <w:ind w:left="122"/>
              <w:rPr>
                <w:sz w:val="21"/>
              </w:rPr>
            </w:pPr>
            <w:r>
              <w:rPr>
                <w:sz w:val="21"/>
              </w:rPr>
              <w:t>级别</w:t>
            </w:r>
          </w:p>
        </w:tc>
        <w:tc>
          <w:tcPr>
            <w:tcW w:w="706" w:type="dxa"/>
          </w:tcPr>
          <w:p>
            <w:pPr>
              <w:pStyle w:val="33"/>
              <w:spacing w:before="12"/>
              <w:rPr>
                <w:sz w:val="28"/>
              </w:rPr>
            </w:pPr>
          </w:p>
          <w:p>
            <w:pPr>
              <w:pStyle w:val="33"/>
              <w:ind w:left="138"/>
              <w:rPr>
                <w:sz w:val="21"/>
              </w:rPr>
            </w:pPr>
            <w:r>
              <w:rPr>
                <w:sz w:val="21"/>
              </w:rPr>
              <w:t>证号</w:t>
            </w:r>
          </w:p>
        </w:tc>
        <w:tc>
          <w:tcPr>
            <w:tcW w:w="751" w:type="dxa"/>
          </w:tcPr>
          <w:p>
            <w:pPr>
              <w:pStyle w:val="33"/>
              <w:spacing w:before="12"/>
              <w:rPr>
                <w:sz w:val="28"/>
              </w:rPr>
            </w:pPr>
          </w:p>
          <w:p>
            <w:pPr>
              <w:pStyle w:val="33"/>
              <w:ind w:left="160"/>
              <w:rPr>
                <w:sz w:val="21"/>
              </w:rPr>
            </w:pPr>
            <w:r>
              <w:rPr>
                <w:sz w:val="21"/>
              </w:rPr>
              <w:t>专业</w:t>
            </w:r>
          </w:p>
        </w:tc>
        <w:tc>
          <w:tcPr>
            <w:tcW w:w="1277" w:type="dxa"/>
          </w:tcPr>
          <w:p>
            <w:pPr>
              <w:pStyle w:val="33"/>
              <w:spacing w:before="12"/>
              <w:rPr>
                <w:sz w:val="28"/>
              </w:rPr>
            </w:pPr>
          </w:p>
          <w:p>
            <w:pPr>
              <w:pStyle w:val="33"/>
              <w:ind w:left="107"/>
              <w:rPr>
                <w:sz w:val="21"/>
              </w:rPr>
            </w:pPr>
            <w:r>
              <w:rPr>
                <w:sz w:val="21"/>
              </w:rPr>
              <w:t>原服务单位</w:t>
            </w:r>
          </w:p>
        </w:tc>
        <w:tc>
          <w:tcPr>
            <w:tcW w:w="850" w:type="dxa"/>
          </w:tcPr>
          <w:p>
            <w:pPr>
              <w:pStyle w:val="33"/>
              <w:spacing w:before="12"/>
              <w:rPr>
                <w:sz w:val="28"/>
              </w:rPr>
            </w:pPr>
          </w:p>
          <w:p>
            <w:pPr>
              <w:pStyle w:val="33"/>
              <w:ind w:left="103"/>
              <w:rPr>
                <w:sz w:val="21"/>
              </w:rPr>
            </w:pPr>
            <w:r>
              <w:rPr>
                <w:sz w:val="21"/>
              </w:rPr>
              <w:t>项目数</w:t>
            </w:r>
          </w:p>
        </w:tc>
        <w:tc>
          <w:tcPr>
            <w:tcW w:w="1274" w:type="dxa"/>
          </w:tcPr>
          <w:p>
            <w:pPr>
              <w:pStyle w:val="33"/>
              <w:spacing w:before="138"/>
              <w:ind w:left="194" w:right="190"/>
              <w:jc w:val="center"/>
              <w:rPr>
                <w:sz w:val="21"/>
              </w:rPr>
            </w:pPr>
            <w:r>
              <w:rPr>
                <w:sz w:val="21"/>
              </w:rPr>
              <w:t>主要项目</w:t>
            </w:r>
          </w:p>
          <w:p>
            <w:pPr>
              <w:pStyle w:val="33"/>
              <w:spacing w:before="8"/>
              <w:rPr>
                <w:sz w:val="15"/>
              </w:rPr>
            </w:pPr>
          </w:p>
          <w:p>
            <w:pPr>
              <w:pStyle w:val="33"/>
              <w:ind w:left="192" w:right="190"/>
              <w:jc w:val="center"/>
              <w:rPr>
                <w:sz w:val="21"/>
              </w:rPr>
            </w:pPr>
            <w:r>
              <w:rPr>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560" w:type="dxa"/>
          </w:tcPr>
          <w:p>
            <w:pPr>
              <w:pStyle w:val="33"/>
              <w:spacing w:before="141"/>
              <w:ind w:left="355"/>
              <w:rPr>
                <w:sz w:val="21"/>
              </w:rPr>
            </w:pPr>
            <w:r>
              <w:rPr>
                <w:sz w:val="21"/>
              </w:rPr>
              <w:t>项目经理</w:t>
            </w:r>
          </w:p>
        </w:tc>
        <w:tc>
          <w:tcPr>
            <w:tcW w:w="828" w:type="dxa"/>
          </w:tcPr>
          <w:p>
            <w:pPr>
              <w:pStyle w:val="33"/>
              <w:rPr>
                <w:rFonts w:ascii="Times New Roman"/>
                <w:sz w:val="20"/>
              </w:rPr>
            </w:pPr>
          </w:p>
        </w:tc>
        <w:tc>
          <w:tcPr>
            <w:tcW w:w="817" w:type="dxa"/>
          </w:tcPr>
          <w:p>
            <w:pPr>
              <w:pStyle w:val="33"/>
              <w:rPr>
                <w:rFonts w:ascii="Times New Roman"/>
                <w:sz w:val="20"/>
              </w:rPr>
            </w:pPr>
          </w:p>
        </w:tc>
        <w:tc>
          <w:tcPr>
            <w:tcW w:w="1190" w:type="dxa"/>
          </w:tcPr>
          <w:p>
            <w:pPr>
              <w:pStyle w:val="33"/>
              <w:rPr>
                <w:rFonts w:ascii="Times New Roman"/>
                <w:sz w:val="20"/>
              </w:rPr>
            </w:pPr>
          </w:p>
        </w:tc>
        <w:tc>
          <w:tcPr>
            <w:tcW w:w="670" w:type="dxa"/>
          </w:tcPr>
          <w:p>
            <w:pPr>
              <w:pStyle w:val="33"/>
              <w:rPr>
                <w:rFonts w:ascii="Times New Roman"/>
                <w:sz w:val="20"/>
              </w:rPr>
            </w:pPr>
          </w:p>
        </w:tc>
        <w:tc>
          <w:tcPr>
            <w:tcW w:w="706" w:type="dxa"/>
          </w:tcPr>
          <w:p>
            <w:pPr>
              <w:pStyle w:val="33"/>
              <w:rPr>
                <w:rFonts w:ascii="Times New Roman"/>
                <w:sz w:val="20"/>
              </w:rPr>
            </w:pPr>
          </w:p>
        </w:tc>
        <w:tc>
          <w:tcPr>
            <w:tcW w:w="751" w:type="dxa"/>
          </w:tcPr>
          <w:p>
            <w:pPr>
              <w:pStyle w:val="33"/>
              <w:rPr>
                <w:rFonts w:ascii="Times New Roman"/>
                <w:sz w:val="20"/>
              </w:rPr>
            </w:pPr>
          </w:p>
        </w:tc>
        <w:tc>
          <w:tcPr>
            <w:tcW w:w="1277" w:type="dxa"/>
          </w:tcPr>
          <w:p>
            <w:pPr>
              <w:pStyle w:val="33"/>
              <w:rPr>
                <w:rFonts w:ascii="Times New Roman"/>
                <w:sz w:val="20"/>
              </w:rPr>
            </w:pPr>
          </w:p>
        </w:tc>
        <w:tc>
          <w:tcPr>
            <w:tcW w:w="850" w:type="dxa"/>
          </w:tcPr>
          <w:p>
            <w:pPr>
              <w:pStyle w:val="33"/>
              <w:rPr>
                <w:rFonts w:ascii="Times New Roman"/>
                <w:sz w:val="20"/>
              </w:rPr>
            </w:pPr>
          </w:p>
        </w:tc>
        <w:tc>
          <w:tcPr>
            <w:tcW w:w="127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60" w:type="dxa"/>
          </w:tcPr>
          <w:p>
            <w:pPr>
              <w:pStyle w:val="33"/>
              <w:spacing w:before="138"/>
              <w:ind w:right="245"/>
              <w:jc w:val="right"/>
              <w:rPr>
                <w:color w:val="auto"/>
                <w:sz w:val="21"/>
              </w:rPr>
            </w:pPr>
            <w:r>
              <w:rPr>
                <w:color w:val="auto"/>
                <w:sz w:val="21"/>
              </w:rPr>
              <w:t>项目副经理</w:t>
            </w:r>
            <w:r>
              <w:rPr>
                <w:rFonts w:hint="eastAsia"/>
                <w:color w:val="auto"/>
                <w:sz w:val="21"/>
                <w:lang w:eastAsia="zh-CN"/>
              </w:rPr>
              <w:t>（如有）</w:t>
            </w:r>
          </w:p>
        </w:tc>
        <w:tc>
          <w:tcPr>
            <w:tcW w:w="828" w:type="dxa"/>
          </w:tcPr>
          <w:p>
            <w:pPr>
              <w:pStyle w:val="33"/>
              <w:rPr>
                <w:rFonts w:ascii="Times New Roman"/>
                <w:sz w:val="20"/>
              </w:rPr>
            </w:pPr>
          </w:p>
        </w:tc>
        <w:tc>
          <w:tcPr>
            <w:tcW w:w="817" w:type="dxa"/>
          </w:tcPr>
          <w:p>
            <w:pPr>
              <w:pStyle w:val="33"/>
              <w:rPr>
                <w:rFonts w:ascii="Times New Roman"/>
                <w:sz w:val="20"/>
              </w:rPr>
            </w:pPr>
          </w:p>
        </w:tc>
        <w:tc>
          <w:tcPr>
            <w:tcW w:w="1190" w:type="dxa"/>
          </w:tcPr>
          <w:p>
            <w:pPr>
              <w:pStyle w:val="33"/>
              <w:rPr>
                <w:rFonts w:ascii="Times New Roman"/>
                <w:sz w:val="20"/>
              </w:rPr>
            </w:pPr>
          </w:p>
        </w:tc>
        <w:tc>
          <w:tcPr>
            <w:tcW w:w="670" w:type="dxa"/>
          </w:tcPr>
          <w:p>
            <w:pPr>
              <w:pStyle w:val="33"/>
              <w:rPr>
                <w:rFonts w:ascii="Times New Roman"/>
                <w:sz w:val="20"/>
              </w:rPr>
            </w:pPr>
          </w:p>
        </w:tc>
        <w:tc>
          <w:tcPr>
            <w:tcW w:w="706" w:type="dxa"/>
          </w:tcPr>
          <w:p>
            <w:pPr>
              <w:pStyle w:val="33"/>
              <w:rPr>
                <w:rFonts w:ascii="Times New Roman"/>
                <w:sz w:val="20"/>
              </w:rPr>
            </w:pPr>
          </w:p>
        </w:tc>
        <w:tc>
          <w:tcPr>
            <w:tcW w:w="751" w:type="dxa"/>
          </w:tcPr>
          <w:p>
            <w:pPr>
              <w:pStyle w:val="33"/>
              <w:rPr>
                <w:rFonts w:ascii="Times New Roman"/>
                <w:sz w:val="20"/>
              </w:rPr>
            </w:pPr>
          </w:p>
        </w:tc>
        <w:tc>
          <w:tcPr>
            <w:tcW w:w="1277" w:type="dxa"/>
          </w:tcPr>
          <w:p>
            <w:pPr>
              <w:pStyle w:val="33"/>
              <w:rPr>
                <w:rFonts w:ascii="Times New Roman"/>
                <w:sz w:val="20"/>
              </w:rPr>
            </w:pPr>
          </w:p>
        </w:tc>
        <w:tc>
          <w:tcPr>
            <w:tcW w:w="850" w:type="dxa"/>
          </w:tcPr>
          <w:p>
            <w:pPr>
              <w:pStyle w:val="33"/>
              <w:rPr>
                <w:rFonts w:ascii="Times New Roman"/>
                <w:sz w:val="20"/>
              </w:rPr>
            </w:pPr>
          </w:p>
        </w:tc>
        <w:tc>
          <w:tcPr>
            <w:tcW w:w="127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560" w:type="dxa"/>
          </w:tcPr>
          <w:p>
            <w:pPr>
              <w:pStyle w:val="33"/>
              <w:spacing w:before="139"/>
              <w:ind w:right="245"/>
              <w:jc w:val="right"/>
              <w:rPr>
                <w:color w:val="auto"/>
                <w:sz w:val="21"/>
              </w:rPr>
            </w:pPr>
            <w:r>
              <w:rPr>
                <w:color w:val="auto"/>
                <w:sz w:val="21"/>
              </w:rPr>
              <w:t>技术负责人</w:t>
            </w:r>
          </w:p>
        </w:tc>
        <w:tc>
          <w:tcPr>
            <w:tcW w:w="828" w:type="dxa"/>
          </w:tcPr>
          <w:p>
            <w:pPr>
              <w:pStyle w:val="33"/>
              <w:rPr>
                <w:rFonts w:ascii="Times New Roman"/>
                <w:sz w:val="20"/>
              </w:rPr>
            </w:pPr>
          </w:p>
        </w:tc>
        <w:tc>
          <w:tcPr>
            <w:tcW w:w="817" w:type="dxa"/>
          </w:tcPr>
          <w:p>
            <w:pPr>
              <w:pStyle w:val="33"/>
              <w:rPr>
                <w:rFonts w:ascii="Times New Roman"/>
                <w:sz w:val="20"/>
              </w:rPr>
            </w:pPr>
          </w:p>
        </w:tc>
        <w:tc>
          <w:tcPr>
            <w:tcW w:w="1190" w:type="dxa"/>
          </w:tcPr>
          <w:p>
            <w:pPr>
              <w:pStyle w:val="33"/>
              <w:rPr>
                <w:rFonts w:ascii="Times New Roman"/>
                <w:sz w:val="20"/>
              </w:rPr>
            </w:pPr>
          </w:p>
        </w:tc>
        <w:tc>
          <w:tcPr>
            <w:tcW w:w="670" w:type="dxa"/>
          </w:tcPr>
          <w:p>
            <w:pPr>
              <w:pStyle w:val="33"/>
              <w:rPr>
                <w:rFonts w:ascii="Times New Roman"/>
                <w:sz w:val="20"/>
              </w:rPr>
            </w:pPr>
          </w:p>
        </w:tc>
        <w:tc>
          <w:tcPr>
            <w:tcW w:w="706" w:type="dxa"/>
          </w:tcPr>
          <w:p>
            <w:pPr>
              <w:pStyle w:val="33"/>
              <w:rPr>
                <w:rFonts w:ascii="Times New Roman"/>
                <w:sz w:val="20"/>
              </w:rPr>
            </w:pPr>
          </w:p>
        </w:tc>
        <w:tc>
          <w:tcPr>
            <w:tcW w:w="751" w:type="dxa"/>
          </w:tcPr>
          <w:p>
            <w:pPr>
              <w:pStyle w:val="33"/>
              <w:rPr>
                <w:rFonts w:ascii="Times New Roman"/>
                <w:sz w:val="20"/>
              </w:rPr>
            </w:pPr>
          </w:p>
        </w:tc>
        <w:tc>
          <w:tcPr>
            <w:tcW w:w="1277" w:type="dxa"/>
          </w:tcPr>
          <w:p>
            <w:pPr>
              <w:pStyle w:val="33"/>
              <w:rPr>
                <w:rFonts w:ascii="Times New Roman"/>
                <w:sz w:val="20"/>
              </w:rPr>
            </w:pPr>
          </w:p>
        </w:tc>
        <w:tc>
          <w:tcPr>
            <w:tcW w:w="850" w:type="dxa"/>
          </w:tcPr>
          <w:p>
            <w:pPr>
              <w:pStyle w:val="33"/>
              <w:rPr>
                <w:rFonts w:ascii="Times New Roman"/>
                <w:sz w:val="20"/>
              </w:rPr>
            </w:pPr>
          </w:p>
        </w:tc>
        <w:tc>
          <w:tcPr>
            <w:tcW w:w="127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560" w:type="dxa"/>
          </w:tcPr>
          <w:p>
            <w:pPr>
              <w:pStyle w:val="33"/>
              <w:spacing w:before="7"/>
              <w:rPr>
                <w:color w:val="auto"/>
                <w:sz w:val="17"/>
              </w:rPr>
            </w:pPr>
          </w:p>
          <w:p>
            <w:pPr>
              <w:pStyle w:val="33"/>
              <w:ind w:left="458"/>
              <w:rPr>
                <w:color w:val="auto"/>
                <w:sz w:val="21"/>
              </w:rPr>
            </w:pPr>
            <w:r>
              <w:rPr>
                <w:color w:val="auto"/>
                <w:sz w:val="21"/>
              </w:rPr>
              <w:t>施工员</w:t>
            </w:r>
          </w:p>
        </w:tc>
        <w:tc>
          <w:tcPr>
            <w:tcW w:w="828" w:type="dxa"/>
          </w:tcPr>
          <w:p>
            <w:pPr>
              <w:pStyle w:val="33"/>
              <w:rPr>
                <w:rFonts w:ascii="Times New Roman"/>
                <w:sz w:val="20"/>
              </w:rPr>
            </w:pPr>
          </w:p>
        </w:tc>
        <w:tc>
          <w:tcPr>
            <w:tcW w:w="817" w:type="dxa"/>
          </w:tcPr>
          <w:p>
            <w:pPr>
              <w:pStyle w:val="33"/>
              <w:rPr>
                <w:rFonts w:ascii="Times New Roman"/>
                <w:sz w:val="20"/>
              </w:rPr>
            </w:pPr>
          </w:p>
        </w:tc>
        <w:tc>
          <w:tcPr>
            <w:tcW w:w="1190" w:type="dxa"/>
          </w:tcPr>
          <w:p>
            <w:pPr>
              <w:pStyle w:val="33"/>
              <w:rPr>
                <w:rFonts w:ascii="Times New Roman"/>
                <w:sz w:val="20"/>
              </w:rPr>
            </w:pPr>
          </w:p>
        </w:tc>
        <w:tc>
          <w:tcPr>
            <w:tcW w:w="670" w:type="dxa"/>
          </w:tcPr>
          <w:p>
            <w:pPr>
              <w:pStyle w:val="33"/>
              <w:rPr>
                <w:rFonts w:ascii="Times New Roman"/>
                <w:sz w:val="20"/>
              </w:rPr>
            </w:pPr>
          </w:p>
        </w:tc>
        <w:tc>
          <w:tcPr>
            <w:tcW w:w="706" w:type="dxa"/>
          </w:tcPr>
          <w:p>
            <w:pPr>
              <w:pStyle w:val="33"/>
              <w:rPr>
                <w:rFonts w:ascii="Times New Roman"/>
                <w:sz w:val="20"/>
              </w:rPr>
            </w:pPr>
          </w:p>
        </w:tc>
        <w:tc>
          <w:tcPr>
            <w:tcW w:w="751" w:type="dxa"/>
          </w:tcPr>
          <w:p>
            <w:pPr>
              <w:pStyle w:val="33"/>
              <w:rPr>
                <w:rFonts w:ascii="Times New Roman"/>
                <w:sz w:val="20"/>
              </w:rPr>
            </w:pPr>
          </w:p>
        </w:tc>
        <w:tc>
          <w:tcPr>
            <w:tcW w:w="1277" w:type="dxa"/>
          </w:tcPr>
          <w:p>
            <w:pPr>
              <w:pStyle w:val="33"/>
              <w:rPr>
                <w:rFonts w:ascii="Times New Roman"/>
                <w:sz w:val="20"/>
              </w:rPr>
            </w:pPr>
          </w:p>
        </w:tc>
        <w:tc>
          <w:tcPr>
            <w:tcW w:w="850" w:type="dxa"/>
          </w:tcPr>
          <w:p>
            <w:pPr>
              <w:pStyle w:val="33"/>
              <w:rPr>
                <w:rFonts w:ascii="Times New Roman"/>
                <w:sz w:val="20"/>
              </w:rPr>
            </w:pPr>
          </w:p>
        </w:tc>
        <w:tc>
          <w:tcPr>
            <w:tcW w:w="127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560" w:type="dxa"/>
          </w:tcPr>
          <w:p>
            <w:pPr>
              <w:pStyle w:val="33"/>
              <w:spacing w:before="7"/>
              <w:rPr>
                <w:sz w:val="17"/>
              </w:rPr>
            </w:pPr>
          </w:p>
          <w:p>
            <w:pPr>
              <w:pStyle w:val="33"/>
              <w:ind w:left="458"/>
              <w:rPr>
                <w:sz w:val="21"/>
              </w:rPr>
            </w:pPr>
            <w:r>
              <w:rPr>
                <w:sz w:val="21"/>
              </w:rPr>
              <w:t>质检员</w:t>
            </w:r>
          </w:p>
        </w:tc>
        <w:tc>
          <w:tcPr>
            <w:tcW w:w="828" w:type="dxa"/>
          </w:tcPr>
          <w:p>
            <w:pPr>
              <w:pStyle w:val="33"/>
              <w:rPr>
                <w:rFonts w:ascii="Times New Roman"/>
                <w:sz w:val="20"/>
              </w:rPr>
            </w:pPr>
          </w:p>
        </w:tc>
        <w:tc>
          <w:tcPr>
            <w:tcW w:w="817" w:type="dxa"/>
          </w:tcPr>
          <w:p>
            <w:pPr>
              <w:pStyle w:val="33"/>
              <w:rPr>
                <w:rFonts w:ascii="Times New Roman"/>
                <w:sz w:val="20"/>
              </w:rPr>
            </w:pPr>
          </w:p>
        </w:tc>
        <w:tc>
          <w:tcPr>
            <w:tcW w:w="1190" w:type="dxa"/>
          </w:tcPr>
          <w:p>
            <w:pPr>
              <w:pStyle w:val="33"/>
              <w:rPr>
                <w:rFonts w:ascii="Times New Roman"/>
                <w:sz w:val="20"/>
              </w:rPr>
            </w:pPr>
          </w:p>
        </w:tc>
        <w:tc>
          <w:tcPr>
            <w:tcW w:w="670" w:type="dxa"/>
          </w:tcPr>
          <w:p>
            <w:pPr>
              <w:pStyle w:val="33"/>
              <w:rPr>
                <w:rFonts w:ascii="Times New Roman"/>
                <w:sz w:val="20"/>
              </w:rPr>
            </w:pPr>
          </w:p>
        </w:tc>
        <w:tc>
          <w:tcPr>
            <w:tcW w:w="706" w:type="dxa"/>
          </w:tcPr>
          <w:p>
            <w:pPr>
              <w:pStyle w:val="33"/>
              <w:rPr>
                <w:rFonts w:ascii="Times New Roman"/>
                <w:sz w:val="20"/>
              </w:rPr>
            </w:pPr>
          </w:p>
        </w:tc>
        <w:tc>
          <w:tcPr>
            <w:tcW w:w="751" w:type="dxa"/>
          </w:tcPr>
          <w:p>
            <w:pPr>
              <w:pStyle w:val="33"/>
              <w:rPr>
                <w:rFonts w:ascii="Times New Roman"/>
                <w:sz w:val="20"/>
              </w:rPr>
            </w:pPr>
          </w:p>
        </w:tc>
        <w:tc>
          <w:tcPr>
            <w:tcW w:w="1277" w:type="dxa"/>
          </w:tcPr>
          <w:p>
            <w:pPr>
              <w:pStyle w:val="33"/>
              <w:rPr>
                <w:rFonts w:ascii="Times New Roman"/>
                <w:sz w:val="20"/>
              </w:rPr>
            </w:pPr>
          </w:p>
        </w:tc>
        <w:tc>
          <w:tcPr>
            <w:tcW w:w="850" w:type="dxa"/>
          </w:tcPr>
          <w:p>
            <w:pPr>
              <w:pStyle w:val="33"/>
              <w:rPr>
                <w:rFonts w:ascii="Times New Roman"/>
                <w:sz w:val="20"/>
              </w:rPr>
            </w:pPr>
          </w:p>
        </w:tc>
        <w:tc>
          <w:tcPr>
            <w:tcW w:w="127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560" w:type="dxa"/>
          </w:tcPr>
          <w:p>
            <w:pPr>
              <w:pStyle w:val="33"/>
              <w:spacing w:before="7"/>
              <w:rPr>
                <w:sz w:val="17"/>
              </w:rPr>
            </w:pPr>
          </w:p>
          <w:p>
            <w:pPr>
              <w:pStyle w:val="33"/>
              <w:ind w:left="458"/>
              <w:rPr>
                <w:sz w:val="21"/>
              </w:rPr>
            </w:pPr>
            <w:r>
              <w:rPr>
                <w:sz w:val="21"/>
              </w:rPr>
              <w:t>安全员</w:t>
            </w:r>
          </w:p>
        </w:tc>
        <w:tc>
          <w:tcPr>
            <w:tcW w:w="828" w:type="dxa"/>
          </w:tcPr>
          <w:p>
            <w:pPr>
              <w:pStyle w:val="33"/>
              <w:rPr>
                <w:rFonts w:ascii="Times New Roman"/>
                <w:sz w:val="20"/>
              </w:rPr>
            </w:pPr>
          </w:p>
        </w:tc>
        <w:tc>
          <w:tcPr>
            <w:tcW w:w="817" w:type="dxa"/>
          </w:tcPr>
          <w:p>
            <w:pPr>
              <w:pStyle w:val="33"/>
              <w:rPr>
                <w:rFonts w:ascii="Times New Roman"/>
                <w:sz w:val="20"/>
              </w:rPr>
            </w:pPr>
          </w:p>
        </w:tc>
        <w:tc>
          <w:tcPr>
            <w:tcW w:w="1190" w:type="dxa"/>
          </w:tcPr>
          <w:p>
            <w:pPr>
              <w:pStyle w:val="33"/>
              <w:rPr>
                <w:rFonts w:ascii="Times New Roman"/>
                <w:sz w:val="20"/>
              </w:rPr>
            </w:pPr>
          </w:p>
        </w:tc>
        <w:tc>
          <w:tcPr>
            <w:tcW w:w="670" w:type="dxa"/>
          </w:tcPr>
          <w:p>
            <w:pPr>
              <w:pStyle w:val="33"/>
              <w:rPr>
                <w:rFonts w:ascii="Times New Roman"/>
                <w:sz w:val="20"/>
              </w:rPr>
            </w:pPr>
          </w:p>
        </w:tc>
        <w:tc>
          <w:tcPr>
            <w:tcW w:w="706" w:type="dxa"/>
          </w:tcPr>
          <w:p>
            <w:pPr>
              <w:pStyle w:val="33"/>
              <w:rPr>
                <w:rFonts w:ascii="Times New Roman"/>
                <w:sz w:val="20"/>
              </w:rPr>
            </w:pPr>
          </w:p>
        </w:tc>
        <w:tc>
          <w:tcPr>
            <w:tcW w:w="751" w:type="dxa"/>
          </w:tcPr>
          <w:p>
            <w:pPr>
              <w:pStyle w:val="33"/>
              <w:rPr>
                <w:rFonts w:ascii="Times New Roman"/>
                <w:sz w:val="20"/>
              </w:rPr>
            </w:pPr>
          </w:p>
        </w:tc>
        <w:tc>
          <w:tcPr>
            <w:tcW w:w="1277" w:type="dxa"/>
          </w:tcPr>
          <w:p>
            <w:pPr>
              <w:pStyle w:val="33"/>
              <w:rPr>
                <w:rFonts w:ascii="Times New Roman"/>
                <w:sz w:val="20"/>
              </w:rPr>
            </w:pPr>
          </w:p>
        </w:tc>
        <w:tc>
          <w:tcPr>
            <w:tcW w:w="850" w:type="dxa"/>
          </w:tcPr>
          <w:p>
            <w:pPr>
              <w:pStyle w:val="33"/>
              <w:rPr>
                <w:rFonts w:ascii="Times New Roman"/>
                <w:sz w:val="20"/>
              </w:rPr>
            </w:pPr>
          </w:p>
        </w:tc>
        <w:tc>
          <w:tcPr>
            <w:tcW w:w="127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60" w:type="dxa"/>
          </w:tcPr>
          <w:p>
            <w:pPr>
              <w:pStyle w:val="33"/>
              <w:spacing w:before="7"/>
              <w:rPr>
                <w:sz w:val="17"/>
              </w:rPr>
            </w:pPr>
          </w:p>
          <w:p>
            <w:pPr>
              <w:pStyle w:val="33"/>
              <w:ind w:left="458"/>
              <w:rPr>
                <w:sz w:val="21"/>
              </w:rPr>
            </w:pPr>
            <w:r>
              <w:rPr>
                <w:sz w:val="21"/>
              </w:rPr>
              <w:t>材料员</w:t>
            </w:r>
          </w:p>
        </w:tc>
        <w:tc>
          <w:tcPr>
            <w:tcW w:w="828" w:type="dxa"/>
          </w:tcPr>
          <w:p>
            <w:pPr>
              <w:pStyle w:val="33"/>
              <w:rPr>
                <w:rFonts w:ascii="Times New Roman"/>
                <w:sz w:val="20"/>
              </w:rPr>
            </w:pPr>
          </w:p>
        </w:tc>
        <w:tc>
          <w:tcPr>
            <w:tcW w:w="817" w:type="dxa"/>
          </w:tcPr>
          <w:p>
            <w:pPr>
              <w:pStyle w:val="33"/>
              <w:rPr>
                <w:rFonts w:ascii="Times New Roman"/>
                <w:sz w:val="20"/>
              </w:rPr>
            </w:pPr>
          </w:p>
        </w:tc>
        <w:tc>
          <w:tcPr>
            <w:tcW w:w="1190" w:type="dxa"/>
          </w:tcPr>
          <w:p>
            <w:pPr>
              <w:pStyle w:val="33"/>
              <w:rPr>
                <w:rFonts w:ascii="Times New Roman"/>
                <w:sz w:val="20"/>
              </w:rPr>
            </w:pPr>
          </w:p>
        </w:tc>
        <w:tc>
          <w:tcPr>
            <w:tcW w:w="670" w:type="dxa"/>
          </w:tcPr>
          <w:p>
            <w:pPr>
              <w:pStyle w:val="33"/>
              <w:rPr>
                <w:rFonts w:ascii="Times New Roman"/>
                <w:sz w:val="20"/>
              </w:rPr>
            </w:pPr>
          </w:p>
        </w:tc>
        <w:tc>
          <w:tcPr>
            <w:tcW w:w="706" w:type="dxa"/>
          </w:tcPr>
          <w:p>
            <w:pPr>
              <w:pStyle w:val="33"/>
              <w:rPr>
                <w:rFonts w:ascii="Times New Roman"/>
                <w:sz w:val="20"/>
              </w:rPr>
            </w:pPr>
          </w:p>
        </w:tc>
        <w:tc>
          <w:tcPr>
            <w:tcW w:w="751" w:type="dxa"/>
          </w:tcPr>
          <w:p>
            <w:pPr>
              <w:pStyle w:val="33"/>
              <w:rPr>
                <w:rFonts w:ascii="Times New Roman"/>
                <w:sz w:val="20"/>
              </w:rPr>
            </w:pPr>
          </w:p>
        </w:tc>
        <w:tc>
          <w:tcPr>
            <w:tcW w:w="1277" w:type="dxa"/>
          </w:tcPr>
          <w:p>
            <w:pPr>
              <w:pStyle w:val="33"/>
              <w:rPr>
                <w:rFonts w:ascii="Times New Roman"/>
                <w:sz w:val="20"/>
              </w:rPr>
            </w:pPr>
          </w:p>
        </w:tc>
        <w:tc>
          <w:tcPr>
            <w:tcW w:w="850" w:type="dxa"/>
          </w:tcPr>
          <w:p>
            <w:pPr>
              <w:pStyle w:val="33"/>
              <w:rPr>
                <w:rFonts w:ascii="Times New Roman"/>
                <w:sz w:val="20"/>
              </w:rPr>
            </w:pPr>
          </w:p>
        </w:tc>
        <w:tc>
          <w:tcPr>
            <w:tcW w:w="127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560" w:type="dxa"/>
          </w:tcPr>
          <w:p>
            <w:pPr>
              <w:pStyle w:val="33"/>
              <w:spacing w:before="4"/>
              <w:rPr>
                <w:sz w:val="17"/>
              </w:rPr>
            </w:pPr>
          </w:p>
          <w:p>
            <w:pPr>
              <w:pStyle w:val="33"/>
              <w:spacing w:before="1"/>
              <w:ind w:left="458"/>
              <w:rPr>
                <w:sz w:val="21"/>
              </w:rPr>
            </w:pPr>
            <w:r>
              <w:rPr>
                <w:sz w:val="21"/>
              </w:rPr>
              <w:t>造价员</w:t>
            </w:r>
          </w:p>
        </w:tc>
        <w:tc>
          <w:tcPr>
            <w:tcW w:w="828" w:type="dxa"/>
          </w:tcPr>
          <w:p>
            <w:pPr>
              <w:pStyle w:val="33"/>
              <w:rPr>
                <w:rFonts w:ascii="Times New Roman"/>
                <w:sz w:val="20"/>
              </w:rPr>
            </w:pPr>
          </w:p>
        </w:tc>
        <w:tc>
          <w:tcPr>
            <w:tcW w:w="817" w:type="dxa"/>
          </w:tcPr>
          <w:p>
            <w:pPr>
              <w:pStyle w:val="33"/>
              <w:rPr>
                <w:rFonts w:ascii="Times New Roman"/>
                <w:sz w:val="20"/>
              </w:rPr>
            </w:pPr>
          </w:p>
        </w:tc>
        <w:tc>
          <w:tcPr>
            <w:tcW w:w="1190" w:type="dxa"/>
          </w:tcPr>
          <w:p>
            <w:pPr>
              <w:pStyle w:val="33"/>
              <w:rPr>
                <w:rFonts w:ascii="Times New Roman"/>
                <w:sz w:val="20"/>
              </w:rPr>
            </w:pPr>
          </w:p>
        </w:tc>
        <w:tc>
          <w:tcPr>
            <w:tcW w:w="670" w:type="dxa"/>
          </w:tcPr>
          <w:p>
            <w:pPr>
              <w:pStyle w:val="33"/>
              <w:rPr>
                <w:rFonts w:ascii="Times New Roman"/>
                <w:sz w:val="20"/>
              </w:rPr>
            </w:pPr>
          </w:p>
        </w:tc>
        <w:tc>
          <w:tcPr>
            <w:tcW w:w="706" w:type="dxa"/>
          </w:tcPr>
          <w:p>
            <w:pPr>
              <w:pStyle w:val="33"/>
              <w:rPr>
                <w:rFonts w:ascii="Times New Roman"/>
                <w:sz w:val="20"/>
              </w:rPr>
            </w:pPr>
          </w:p>
        </w:tc>
        <w:tc>
          <w:tcPr>
            <w:tcW w:w="751" w:type="dxa"/>
          </w:tcPr>
          <w:p>
            <w:pPr>
              <w:pStyle w:val="33"/>
              <w:rPr>
                <w:rFonts w:ascii="Times New Roman"/>
                <w:sz w:val="20"/>
              </w:rPr>
            </w:pPr>
          </w:p>
        </w:tc>
        <w:tc>
          <w:tcPr>
            <w:tcW w:w="1277" w:type="dxa"/>
          </w:tcPr>
          <w:p>
            <w:pPr>
              <w:pStyle w:val="33"/>
              <w:rPr>
                <w:rFonts w:ascii="Times New Roman"/>
                <w:sz w:val="20"/>
              </w:rPr>
            </w:pPr>
          </w:p>
        </w:tc>
        <w:tc>
          <w:tcPr>
            <w:tcW w:w="850" w:type="dxa"/>
          </w:tcPr>
          <w:p>
            <w:pPr>
              <w:pStyle w:val="33"/>
              <w:rPr>
                <w:rFonts w:ascii="Times New Roman"/>
                <w:sz w:val="20"/>
              </w:rPr>
            </w:pPr>
          </w:p>
        </w:tc>
        <w:tc>
          <w:tcPr>
            <w:tcW w:w="127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60" w:type="dxa"/>
          </w:tcPr>
          <w:p>
            <w:pPr>
              <w:pStyle w:val="33"/>
              <w:spacing w:before="5"/>
              <w:rPr>
                <w:sz w:val="17"/>
              </w:rPr>
            </w:pPr>
          </w:p>
          <w:p>
            <w:pPr>
              <w:pStyle w:val="33"/>
              <w:ind w:left="102"/>
              <w:rPr>
                <w:sz w:val="21"/>
              </w:rPr>
            </w:pPr>
            <w:r>
              <w:rPr>
                <w:sz w:val="21"/>
              </w:rPr>
              <w:t>……</w:t>
            </w:r>
          </w:p>
        </w:tc>
        <w:tc>
          <w:tcPr>
            <w:tcW w:w="828" w:type="dxa"/>
          </w:tcPr>
          <w:p>
            <w:pPr>
              <w:pStyle w:val="33"/>
              <w:rPr>
                <w:rFonts w:ascii="Times New Roman"/>
                <w:sz w:val="20"/>
              </w:rPr>
            </w:pPr>
          </w:p>
        </w:tc>
        <w:tc>
          <w:tcPr>
            <w:tcW w:w="817" w:type="dxa"/>
          </w:tcPr>
          <w:p>
            <w:pPr>
              <w:pStyle w:val="33"/>
              <w:rPr>
                <w:rFonts w:ascii="Times New Roman"/>
                <w:sz w:val="20"/>
              </w:rPr>
            </w:pPr>
          </w:p>
        </w:tc>
        <w:tc>
          <w:tcPr>
            <w:tcW w:w="1190" w:type="dxa"/>
          </w:tcPr>
          <w:p>
            <w:pPr>
              <w:pStyle w:val="33"/>
              <w:rPr>
                <w:rFonts w:ascii="Times New Roman"/>
                <w:sz w:val="20"/>
              </w:rPr>
            </w:pPr>
          </w:p>
        </w:tc>
        <w:tc>
          <w:tcPr>
            <w:tcW w:w="670" w:type="dxa"/>
          </w:tcPr>
          <w:p>
            <w:pPr>
              <w:pStyle w:val="33"/>
              <w:rPr>
                <w:rFonts w:ascii="Times New Roman"/>
                <w:sz w:val="20"/>
              </w:rPr>
            </w:pPr>
          </w:p>
        </w:tc>
        <w:tc>
          <w:tcPr>
            <w:tcW w:w="706" w:type="dxa"/>
          </w:tcPr>
          <w:p>
            <w:pPr>
              <w:pStyle w:val="33"/>
              <w:rPr>
                <w:rFonts w:ascii="Times New Roman"/>
                <w:sz w:val="20"/>
              </w:rPr>
            </w:pPr>
          </w:p>
        </w:tc>
        <w:tc>
          <w:tcPr>
            <w:tcW w:w="751" w:type="dxa"/>
          </w:tcPr>
          <w:p>
            <w:pPr>
              <w:pStyle w:val="33"/>
              <w:rPr>
                <w:rFonts w:ascii="Times New Roman"/>
                <w:sz w:val="20"/>
              </w:rPr>
            </w:pPr>
          </w:p>
        </w:tc>
        <w:tc>
          <w:tcPr>
            <w:tcW w:w="1277" w:type="dxa"/>
          </w:tcPr>
          <w:p>
            <w:pPr>
              <w:pStyle w:val="33"/>
              <w:rPr>
                <w:rFonts w:ascii="Times New Roman"/>
                <w:sz w:val="20"/>
              </w:rPr>
            </w:pPr>
          </w:p>
        </w:tc>
        <w:tc>
          <w:tcPr>
            <w:tcW w:w="850" w:type="dxa"/>
          </w:tcPr>
          <w:p>
            <w:pPr>
              <w:pStyle w:val="33"/>
              <w:rPr>
                <w:rFonts w:ascii="Times New Roman"/>
                <w:sz w:val="20"/>
              </w:rPr>
            </w:pPr>
          </w:p>
        </w:tc>
        <w:tc>
          <w:tcPr>
            <w:tcW w:w="1274"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0" w:hRule="atLeast"/>
        </w:trPr>
        <w:tc>
          <w:tcPr>
            <w:tcW w:w="9923" w:type="dxa"/>
            <w:gridSpan w:val="10"/>
          </w:tcPr>
          <w:p>
            <w:pPr>
              <w:pStyle w:val="33"/>
              <w:spacing w:before="138" w:line="420" w:lineRule="auto"/>
              <w:ind w:left="295" w:right="98" w:hanging="12"/>
              <w:jc w:val="both"/>
              <w:rPr>
                <w:b/>
                <w:sz w:val="21"/>
              </w:rPr>
            </w:pPr>
            <w:r>
              <w:rPr>
                <w:sz w:val="21"/>
              </w:rPr>
              <w:t>一旦我单位中标，将实行项目经理负责制，我方保证并配备上述项目管理机构。上述填报内容真实，若不真实，愿按有关规定接受处理。项目管理班子机构设置、职责分工等情况另附资料说明。</w:t>
            </w:r>
            <w:r>
              <w:rPr>
                <w:b/>
                <w:sz w:val="21"/>
              </w:rPr>
              <w:t>我方保证项目管理机构配备除按桂林市建设与规划委员会市建规〔2006〕270 号文《关于调整建筑施工现场项目部管理的通知》的规定执行。</w:t>
            </w:r>
          </w:p>
        </w:tc>
      </w:tr>
    </w:tbl>
    <w:p>
      <w:pPr>
        <w:spacing w:after="0" w:line="420" w:lineRule="auto"/>
        <w:jc w:val="both"/>
        <w:rPr>
          <w:sz w:val="21"/>
        </w:rPr>
        <w:sectPr>
          <w:pgSz w:w="11910" w:h="16840"/>
          <w:pgMar w:top="1200" w:right="880" w:bottom="1160" w:left="880" w:header="0" w:footer="975" w:gutter="0"/>
        </w:sectPr>
      </w:pPr>
    </w:p>
    <w:p>
      <w:pPr>
        <w:pStyle w:val="7"/>
        <w:ind w:left="2614"/>
        <w:jc w:val="left"/>
      </w:pPr>
      <w:r>
        <w:rPr>
          <w:w w:val="95"/>
        </w:rPr>
        <w:t>（三）项目经理（注册建造师）简历表</w:t>
      </w:r>
    </w:p>
    <w:p>
      <w:pPr>
        <w:pStyle w:val="13"/>
        <w:spacing w:before="9"/>
        <w:ind w:left="0"/>
        <w:rPr>
          <w:b/>
          <w:sz w:val="19"/>
        </w:rPr>
      </w:pPr>
    </w:p>
    <w:p>
      <w:pPr>
        <w:tabs>
          <w:tab w:val="left" w:pos="2714"/>
        </w:tabs>
        <w:spacing w:before="0" w:after="53"/>
        <w:ind w:left="514" w:right="0" w:firstLine="0"/>
        <w:jc w:val="left"/>
        <w:rPr>
          <w:sz w:val="20"/>
        </w:rPr>
      </w:pPr>
      <w:r>
        <w:rPr>
          <w:sz w:val="20"/>
          <w:u w:val="single"/>
        </w:rPr>
        <w:t>{招标工程项目名称}</w:t>
      </w:r>
      <w:r>
        <w:rPr>
          <w:sz w:val="20"/>
          <w:u w:val="single"/>
        </w:rPr>
        <w:tab/>
      </w:r>
      <w:r>
        <w:rPr>
          <w:w w:val="95"/>
          <w:sz w:val="20"/>
        </w:rPr>
        <w:t>工程</w:t>
      </w:r>
    </w:p>
    <w:tbl>
      <w:tblPr>
        <w:tblStyle w:val="17"/>
        <w:tblW w:w="8932" w:type="dxa"/>
        <w:tblInd w:w="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566"/>
        <w:gridCol w:w="1419"/>
        <w:gridCol w:w="283"/>
        <w:gridCol w:w="1277"/>
        <w:gridCol w:w="1571"/>
        <w:gridCol w:w="1123"/>
        <w:gridCol w:w="142"/>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418" w:type="dxa"/>
          </w:tcPr>
          <w:p>
            <w:pPr>
              <w:pStyle w:val="33"/>
              <w:spacing w:before="131"/>
              <w:ind w:right="489"/>
              <w:jc w:val="right"/>
              <w:rPr>
                <w:sz w:val="21"/>
              </w:rPr>
            </w:pPr>
            <w:r>
              <w:rPr>
                <w:sz w:val="21"/>
              </w:rPr>
              <w:t>姓名</w:t>
            </w:r>
          </w:p>
        </w:tc>
        <w:tc>
          <w:tcPr>
            <w:tcW w:w="1985" w:type="dxa"/>
            <w:gridSpan w:val="2"/>
          </w:tcPr>
          <w:p>
            <w:pPr>
              <w:pStyle w:val="33"/>
              <w:rPr>
                <w:rFonts w:ascii="Times New Roman"/>
                <w:sz w:val="20"/>
              </w:rPr>
            </w:pPr>
          </w:p>
        </w:tc>
        <w:tc>
          <w:tcPr>
            <w:tcW w:w="1560" w:type="dxa"/>
            <w:gridSpan w:val="2"/>
          </w:tcPr>
          <w:p>
            <w:pPr>
              <w:pStyle w:val="33"/>
              <w:spacing w:before="131"/>
              <w:ind w:left="545" w:right="545"/>
              <w:jc w:val="center"/>
              <w:rPr>
                <w:sz w:val="21"/>
              </w:rPr>
            </w:pPr>
            <w:r>
              <w:rPr>
                <w:sz w:val="21"/>
              </w:rPr>
              <w:t>性别</w:t>
            </w:r>
          </w:p>
        </w:tc>
        <w:tc>
          <w:tcPr>
            <w:tcW w:w="1571" w:type="dxa"/>
          </w:tcPr>
          <w:p>
            <w:pPr>
              <w:pStyle w:val="33"/>
              <w:rPr>
                <w:rFonts w:ascii="Times New Roman"/>
                <w:sz w:val="20"/>
              </w:rPr>
            </w:pPr>
          </w:p>
        </w:tc>
        <w:tc>
          <w:tcPr>
            <w:tcW w:w="1123" w:type="dxa"/>
          </w:tcPr>
          <w:p>
            <w:pPr>
              <w:pStyle w:val="33"/>
              <w:spacing w:before="131"/>
              <w:ind w:right="336"/>
              <w:jc w:val="right"/>
              <w:rPr>
                <w:sz w:val="21"/>
              </w:rPr>
            </w:pPr>
            <w:r>
              <w:rPr>
                <w:sz w:val="21"/>
              </w:rPr>
              <w:t>年龄</w:t>
            </w:r>
          </w:p>
        </w:tc>
        <w:tc>
          <w:tcPr>
            <w:tcW w:w="1275"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418" w:type="dxa"/>
          </w:tcPr>
          <w:p>
            <w:pPr>
              <w:pStyle w:val="33"/>
              <w:spacing w:before="143"/>
              <w:ind w:right="489"/>
              <w:jc w:val="right"/>
              <w:rPr>
                <w:sz w:val="21"/>
              </w:rPr>
            </w:pPr>
            <w:r>
              <w:rPr>
                <w:sz w:val="21"/>
              </w:rPr>
              <w:t>职务</w:t>
            </w:r>
          </w:p>
        </w:tc>
        <w:tc>
          <w:tcPr>
            <w:tcW w:w="1985" w:type="dxa"/>
            <w:gridSpan w:val="2"/>
          </w:tcPr>
          <w:p>
            <w:pPr>
              <w:pStyle w:val="33"/>
              <w:rPr>
                <w:rFonts w:ascii="Times New Roman"/>
                <w:sz w:val="20"/>
              </w:rPr>
            </w:pPr>
          </w:p>
        </w:tc>
        <w:tc>
          <w:tcPr>
            <w:tcW w:w="1560" w:type="dxa"/>
            <w:gridSpan w:val="2"/>
          </w:tcPr>
          <w:p>
            <w:pPr>
              <w:pStyle w:val="33"/>
              <w:spacing w:before="143"/>
              <w:ind w:left="545" w:right="545"/>
              <w:jc w:val="center"/>
              <w:rPr>
                <w:sz w:val="21"/>
              </w:rPr>
            </w:pPr>
            <w:r>
              <w:rPr>
                <w:sz w:val="21"/>
              </w:rPr>
              <w:t>职称</w:t>
            </w:r>
          </w:p>
        </w:tc>
        <w:tc>
          <w:tcPr>
            <w:tcW w:w="1571" w:type="dxa"/>
          </w:tcPr>
          <w:p>
            <w:pPr>
              <w:pStyle w:val="33"/>
              <w:rPr>
                <w:rFonts w:ascii="Times New Roman"/>
                <w:sz w:val="20"/>
              </w:rPr>
            </w:pPr>
          </w:p>
        </w:tc>
        <w:tc>
          <w:tcPr>
            <w:tcW w:w="1123" w:type="dxa"/>
          </w:tcPr>
          <w:p>
            <w:pPr>
              <w:pStyle w:val="33"/>
              <w:spacing w:before="143"/>
              <w:ind w:right="336"/>
              <w:jc w:val="right"/>
              <w:rPr>
                <w:sz w:val="21"/>
              </w:rPr>
            </w:pPr>
            <w:r>
              <w:rPr>
                <w:sz w:val="21"/>
              </w:rPr>
              <w:t>学历</w:t>
            </w:r>
          </w:p>
        </w:tc>
        <w:tc>
          <w:tcPr>
            <w:tcW w:w="1275"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403" w:type="dxa"/>
            <w:gridSpan w:val="3"/>
          </w:tcPr>
          <w:p>
            <w:pPr>
              <w:pStyle w:val="33"/>
              <w:spacing w:before="131"/>
              <w:ind w:left="1067"/>
              <w:rPr>
                <w:sz w:val="21"/>
              </w:rPr>
            </w:pPr>
            <w:r>
              <w:rPr>
                <w:sz w:val="21"/>
              </w:rPr>
              <w:t>参加工作时间</w:t>
            </w:r>
          </w:p>
        </w:tc>
        <w:tc>
          <w:tcPr>
            <w:tcW w:w="1560" w:type="dxa"/>
            <w:gridSpan w:val="2"/>
          </w:tcPr>
          <w:p>
            <w:pPr>
              <w:pStyle w:val="33"/>
              <w:rPr>
                <w:rFonts w:ascii="Times New Roman"/>
                <w:sz w:val="20"/>
              </w:rPr>
            </w:pPr>
          </w:p>
        </w:tc>
        <w:tc>
          <w:tcPr>
            <w:tcW w:w="2694" w:type="dxa"/>
            <w:gridSpan w:val="2"/>
          </w:tcPr>
          <w:p>
            <w:pPr>
              <w:pStyle w:val="33"/>
              <w:spacing w:before="131"/>
              <w:ind w:left="501"/>
              <w:rPr>
                <w:sz w:val="21"/>
              </w:rPr>
            </w:pPr>
            <w:r>
              <w:rPr>
                <w:sz w:val="21"/>
              </w:rPr>
              <w:t>担任项目经理年限</w:t>
            </w:r>
          </w:p>
        </w:tc>
        <w:tc>
          <w:tcPr>
            <w:tcW w:w="1275"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403" w:type="dxa"/>
            <w:gridSpan w:val="3"/>
          </w:tcPr>
          <w:p>
            <w:pPr>
              <w:pStyle w:val="33"/>
              <w:spacing w:before="66"/>
              <w:ind w:left="647"/>
              <w:rPr>
                <w:sz w:val="21"/>
              </w:rPr>
            </w:pPr>
            <w:r>
              <w:rPr>
                <w:sz w:val="21"/>
              </w:rPr>
              <w:t>项目经理注册证书编号</w:t>
            </w:r>
          </w:p>
        </w:tc>
        <w:tc>
          <w:tcPr>
            <w:tcW w:w="5529" w:type="dxa"/>
            <w:gridSpan w:val="6"/>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932" w:type="dxa"/>
            <w:gridSpan w:val="9"/>
          </w:tcPr>
          <w:p>
            <w:pPr>
              <w:pStyle w:val="33"/>
              <w:spacing w:before="143"/>
              <w:ind w:left="3289" w:right="3282"/>
              <w:jc w:val="center"/>
              <w:rPr>
                <w:sz w:val="21"/>
              </w:rPr>
            </w:pPr>
            <w:r>
              <w:rPr>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84" w:type="dxa"/>
            <w:gridSpan w:val="2"/>
          </w:tcPr>
          <w:p>
            <w:pPr>
              <w:pStyle w:val="33"/>
              <w:spacing w:before="143"/>
              <w:ind w:left="568"/>
              <w:rPr>
                <w:sz w:val="21"/>
              </w:rPr>
            </w:pPr>
            <w:r>
              <w:rPr>
                <w:sz w:val="21"/>
              </w:rPr>
              <w:t>建设单位</w:t>
            </w:r>
          </w:p>
        </w:tc>
        <w:tc>
          <w:tcPr>
            <w:tcW w:w="1702" w:type="dxa"/>
            <w:gridSpan w:val="2"/>
          </w:tcPr>
          <w:p>
            <w:pPr>
              <w:pStyle w:val="33"/>
              <w:spacing w:before="143"/>
              <w:ind w:left="427"/>
              <w:rPr>
                <w:sz w:val="21"/>
              </w:rPr>
            </w:pPr>
            <w:r>
              <w:rPr>
                <w:sz w:val="21"/>
              </w:rPr>
              <w:t>项目名称</w:t>
            </w:r>
          </w:p>
        </w:tc>
        <w:tc>
          <w:tcPr>
            <w:tcW w:w="1277" w:type="dxa"/>
          </w:tcPr>
          <w:p>
            <w:pPr>
              <w:pStyle w:val="33"/>
              <w:spacing w:before="143"/>
              <w:ind w:left="213"/>
              <w:rPr>
                <w:sz w:val="21"/>
              </w:rPr>
            </w:pPr>
            <w:r>
              <w:rPr>
                <w:sz w:val="21"/>
              </w:rPr>
              <w:t>建设规模</w:t>
            </w:r>
          </w:p>
        </w:tc>
        <w:tc>
          <w:tcPr>
            <w:tcW w:w="1571" w:type="dxa"/>
          </w:tcPr>
          <w:p>
            <w:pPr>
              <w:pStyle w:val="33"/>
              <w:spacing w:line="273" w:lineRule="auto"/>
              <w:ind w:left="563" w:right="346" w:hanging="209"/>
              <w:rPr>
                <w:sz w:val="21"/>
              </w:rPr>
            </w:pPr>
            <w:r>
              <w:rPr>
                <w:sz w:val="21"/>
              </w:rPr>
              <w:t>开、竣工日期</w:t>
            </w:r>
          </w:p>
        </w:tc>
        <w:tc>
          <w:tcPr>
            <w:tcW w:w="1265" w:type="dxa"/>
            <w:gridSpan w:val="2"/>
          </w:tcPr>
          <w:p>
            <w:pPr>
              <w:pStyle w:val="33"/>
              <w:spacing w:line="273" w:lineRule="auto"/>
              <w:ind w:left="517" w:right="194" w:hanging="317"/>
              <w:rPr>
                <w:sz w:val="21"/>
              </w:rPr>
            </w:pPr>
            <w:r>
              <w:rPr>
                <w:sz w:val="21"/>
              </w:rPr>
              <w:t>在建或已完</w:t>
            </w:r>
          </w:p>
        </w:tc>
        <w:tc>
          <w:tcPr>
            <w:tcW w:w="1133" w:type="dxa"/>
          </w:tcPr>
          <w:p>
            <w:pPr>
              <w:pStyle w:val="33"/>
              <w:spacing w:before="143"/>
              <w:ind w:left="141"/>
              <w:rPr>
                <w:sz w:val="21"/>
              </w:rPr>
            </w:pPr>
            <w:r>
              <w:rPr>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984" w:type="dxa"/>
            <w:gridSpan w:val="2"/>
          </w:tcPr>
          <w:p>
            <w:pPr>
              <w:pStyle w:val="33"/>
              <w:rPr>
                <w:rFonts w:ascii="Times New Roman"/>
                <w:sz w:val="20"/>
              </w:rPr>
            </w:pPr>
          </w:p>
        </w:tc>
        <w:tc>
          <w:tcPr>
            <w:tcW w:w="1702" w:type="dxa"/>
            <w:gridSpan w:val="2"/>
          </w:tcPr>
          <w:p>
            <w:pPr>
              <w:pStyle w:val="33"/>
              <w:rPr>
                <w:rFonts w:ascii="Times New Roman"/>
                <w:sz w:val="20"/>
              </w:rPr>
            </w:pPr>
          </w:p>
        </w:tc>
        <w:tc>
          <w:tcPr>
            <w:tcW w:w="1277" w:type="dxa"/>
          </w:tcPr>
          <w:p>
            <w:pPr>
              <w:pStyle w:val="33"/>
              <w:rPr>
                <w:rFonts w:ascii="Times New Roman"/>
                <w:sz w:val="20"/>
              </w:rPr>
            </w:pPr>
          </w:p>
        </w:tc>
        <w:tc>
          <w:tcPr>
            <w:tcW w:w="1571" w:type="dxa"/>
          </w:tcPr>
          <w:p>
            <w:pPr>
              <w:pStyle w:val="33"/>
              <w:rPr>
                <w:rFonts w:ascii="Times New Roman"/>
                <w:sz w:val="20"/>
              </w:rPr>
            </w:pPr>
          </w:p>
        </w:tc>
        <w:tc>
          <w:tcPr>
            <w:tcW w:w="1265" w:type="dxa"/>
            <w:gridSpan w:val="2"/>
          </w:tcPr>
          <w:p>
            <w:pPr>
              <w:pStyle w:val="33"/>
              <w:rPr>
                <w:rFonts w:ascii="Times New Roman"/>
                <w:sz w:val="20"/>
              </w:rPr>
            </w:pPr>
          </w:p>
        </w:tc>
        <w:tc>
          <w:tcPr>
            <w:tcW w:w="1133"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984" w:type="dxa"/>
            <w:gridSpan w:val="2"/>
          </w:tcPr>
          <w:p>
            <w:pPr>
              <w:pStyle w:val="33"/>
              <w:rPr>
                <w:rFonts w:ascii="Times New Roman"/>
                <w:sz w:val="20"/>
              </w:rPr>
            </w:pPr>
          </w:p>
        </w:tc>
        <w:tc>
          <w:tcPr>
            <w:tcW w:w="1702" w:type="dxa"/>
            <w:gridSpan w:val="2"/>
          </w:tcPr>
          <w:p>
            <w:pPr>
              <w:pStyle w:val="33"/>
              <w:rPr>
                <w:rFonts w:ascii="Times New Roman"/>
                <w:sz w:val="20"/>
              </w:rPr>
            </w:pPr>
          </w:p>
        </w:tc>
        <w:tc>
          <w:tcPr>
            <w:tcW w:w="1277" w:type="dxa"/>
          </w:tcPr>
          <w:p>
            <w:pPr>
              <w:pStyle w:val="33"/>
              <w:rPr>
                <w:rFonts w:ascii="Times New Roman"/>
                <w:sz w:val="20"/>
              </w:rPr>
            </w:pPr>
          </w:p>
        </w:tc>
        <w:tc>
          <w:tcPr>
            <w:tcW w:w="1571" w:type="dxa"/>
          </w:tcPr>
          <w:p>
            <w:pPr>
              <w:pStyle w:val="33"/>
              <w:rPr>
                <w:rFonts w:ascii="Times New Roman"/>
                <w:sz w:val="20"/>
              </w:rPr>
            </w:pPr>
          </w:p>
        </w:tc>
        <w:tc>
          <w:tcPr>
            <w:tcW w:w="1265" w:type="dxa"/>
            <w:gridSpan w:val="2"/>
          </w:tcPr>
          <w:p>
            <w:pPr>
              <w:pStyle w:val="33"/>
              <w:rPr>
                <w:rFonts w:ascii="Times New Roman"/>
                <w:sz w:val="20"/>
              </w:rPr>
            </w:pPr>
          </w:p>
        </w:tc>
        <w:tc>
          <w:tcPr>
            <w:tcW w:w="1133" w:type="dxa"/>
          </w:tcPr>
          <w:p>
            <w:pPr>
              <w:pStyle w:val="33"/>
              <w:rPr>
                <w:rFonts w:ascii="Times New Roman"/>
                <w:sz w:val="20"/>
              </w:rPr>
            </w:pPr>
          </w:p>
        </w:tc>
      </w:tr>
    </w:tbl>
    <w:p>
      <w:pPr>
        <w:pStyle w:val="13"/>
        <w:spacing w:before="64"/>
      </w:pPr>
      <w:r>
        <w:t>备注：</w:t>
      </w:r>
    </w:p>
    <w:p>
      <w:pPr>
        <w:pStyle w:val="13"/>
        <w:spacing w:before="6"/>
        <w:ind w:left="0"/>
        <w:rPr>
          <w:sz w:val="15"/>
        </w:rPr>
      </w:pPr>
    </w:p>
    <w:p>
      <w:pPr>
        <w:pStyle w:val="13"/>
        <w:spacing w:line="348" w:lineRule="auto"/>
        <w:ind w:firstLine="314"/>
      </w:pPr>
      <w:r>
        <w:t>附项目经理的资格证和已完工程中标通知书（如有）、工程合同协议书、工程竣工验收证明材料文件以及投标人认为需要增加的其他证明材料复印件，以上复印件均须加盖投标人单位公章。</w:t>
      </w:r>
    </w:p>
    <w:p>
      <w:pPr>
        <w:spacing w:after="0" w:line="348" w:lineRule="auto"/>
        <w:sectPr>
          <w:pgSz w:w="11910" w:h="16840"/>
          <w:pgMar w:top="1200" w:right="880" w:bottom="1160" w:left="1020" w:header="0" w:footer="975" w:gutter="0"/>
        </w:sectPr>
      </w:pPr>
    </w:p>
    <w:p>
      <w:pPr>
        <w:pStyle w:val="13"/>
        <w:spacing w:before="7"/>
        <w:ind w:left="0"/>
        <w:rPr>
          <w:sz w:val="11"/>
        </w:rPr>
      </w:pPr>
    </w:p>
    <w:p>
      <w:pPr>
        <w:pStyle w:val="7"/>
        <w:spacing w:before="14"/>
        <w:ind w:left="3457"/>
        <w:jc w:val="left"/>
      </w:pPr>
      <w:r>
        <w:t>（四）项目技术负责人简历表</w:t>
      </w:r>
    </w:p>
    <w:p>
      <w:pPr>
        <w:pStyle w:val="13"/>
        <w:spacing w:before="1"/>
        <w:ind w:left="0"/>
        <w:rPr>
          <w:b/>
          <w:sz w:val="25"/>
        </w:rPr>
      </w:pPr>
    </w:p>
    <w:p>
      <w:pPr>
        <w:tabs>
          <w:tab w:val="left" w:pos="3216"/>
        </w:tabs>
        <w:spacing w:before="1" w:after="54"/>
        <w:ind w:left="514" w:right="0" w:firstLine="0"/>
        <w:jc w:val="left"/>
        <w:rPr>
          <w:sz w:val="20"/>
        </w:rPr>
      </w:pPr>
      <w:r>
        <w:rPr>
          <w:sz w:val="20"/>
          <w:u w:val="single"/>
        </w:rPr>
        <w:t>{招标工程项目名称}</w:t>
      </w:r>
      <w:r>
        <w:rPr>
          <w:sz w:val="20"/>
          <w:u w:val="single"/>
        </w:rPr>
        <w:tab/>
      </w:r>
      <w:r>
        <w:rPr>
          <w:w w:val="95"/>
          <w:sz w:val="20"/>
        </w:rPr>
        <w:t>工程</w:t>
      </w:r>
    </w:p>
    <w:tbl>
      <w:tblPr>
        <w:tblStyle w:val="17"/>
        <w:tblW w:w="9074" w:type="dxa"/>
        <w:tblInd w:w="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341"/>
        <w:gridCol w:w="1318"/>
        <w:gridCol w:w="362"/>
        <w:gridCol w:w="1198"/>
        <w:gridCol w:w="382"/>
        <w:gridCol w:w="1523"/>
        <w:gridCol w:w="1072"/>
        <w:gridCol w:w="332"/>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176" w:type="dxa"/>
          </w:tcPr>
          <w:p>
            <w:pPr>
              <w:pStyle w:val="33"/>
              <w:spacing w:before="131"/>
              <w:ind w:left="354" w:right="350"/>
              <w:jc w:val="center"/>
              <w:rPr>
                <w:sz w:val="21"/>
              </w:rPr>
            </w:pPr>
            <w:r>
              <w:rPr>
                <w:sz w:val="21"/>
              </w:rPr>
              <w:t>姓名</w:t>
            </w:r>
          </w:p>
        </w:tc>
        <w:tc>
          <w:tcPr>
            <w:tcW w:w="1659" w:type="dxa"/>
            <w:gridSpan w:val="2"/>
          </w:tcPr>
          <w:p>
            <w:pPr>
              <w:pStyle w:val="33"/>
              <w:rPr>
                <w:rFonts w:ascii="Times New Roman"/>
                <w:sz w:val="20"/>
              </w:rPr>
            </w:pPr>
          </w:p>
        </w:tc>
        <w:tc>
          <w:tcPr>
            <w:tcW w:w="1560" w:type="dxa"/>
            <w:gridSpan w:val="2"/>
          </w:tcPr>
          <w:p>
            <w:pPr>
              <w:pStyle w:val="33"/>
              <w:spacing w:before="131"/>
              <w:ind w:left="547" w:right="543"/>
              <w:jc w:val="center"/>
              <w:rPr>
                <w:sz w:val="21"/>
              </w:rPr>
            </w:pPr>
            <w:r>
              <w:rPr>
                <w:sz w:val="21"/>
              </w:rPr>
              <w:t>性别</w:t>
            </w:r>
          </w:p>
        </w:tc>
        <w:tc>
          <w:tcPr>
            <w:tcW w:w="1905" w:type="dxa"/>
            <w:gridSpan w:val="2"/>
          </w:tcPr>
          <w:p>
            <w:pPr>
              <w:pStyle w:val="33"/>
              <w:rPr>
                <w:rFonts w:ascii="Times New Roman"/>
                <w:sz w:val="20"/>
              </w:rPr>
            </w:pPr>
          </w:p>
        </w:tc>
        <w:tc>
          <w:tcPr>
            <w:tcW w:w="1072" w:type="dxa"/>
          </w:tcPr>
          <w:p>
            <w:pPr>
              <w:pStyle w:val="33"/>
              <w:spacing w:before="131"/>
              <w:ind w:left="301"/>
              <w:rPr>
                <w:sz w:val="21"/>
              </w:rPr>
            </w:pPr>
            <w:r>
              <w:rPr>
                <w:sz w:val="21"/>
              </w:rPr>
              <w:t>年龄</w:t>
            </w:r>
          </w:p>
        </w:tc>
        <w:tc>
          <w:tcPr>
            <w:tcW w:w="1702"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76" w:type="dxa"/>
          </w:tcPr>
          <w:p>
            <w:pPr>
              <w:pStyle w:val="33"/>
              <w:spacing w:before="143"/>
              <w:ind w:left="354" w:right="350"/>
              <w:jc w:val="center"/>
              <w:rPr>
                <w:sz w:val="21"/>
              </w:rPr>
            </w:pPr>
            <w:r>
              <w:rPr>
                <w:sz w:val="21"/>
              </w:rPr>
              <w:t>职务</w:t>
            </w:r>
          </w:p>
        </w:tc>
        <w:tc>
          <w:tcPr>
            <w:tcW w:w="1659" w:type="dxa"/>
            <w:gridSpan w:val="2"/>
          </w:tcPr>
          <w:p>
            <w:pPr>
              <w:pStyle w:val="33"/>
              <w:rPr>
                <w:rFonts w:ascii="Times New Roman"/>
                <w:sz w:val="20"/>
              </w:rPr>
            </w:pPr>
          </w:p>
        </w:tc>
        <w:tc>
          <w:tcPr>
            <w:tcW w:w="1560" w:type="dxa"/>
            <w:gridSpan w:val="2"/>
          </w:tcPr>
          <w:p>
            <w:pPr>
              <w:pStyle w:val="33"/>
              <w:spacing w:before="143"/>
              <w:ind w:left="547" w:right="543"/>
              <w:jc w:val="center"/>
              <w:rPr>
                <w:sz w:val="21"/>
              </w:rPr>
            </w:pPr>
            <w:r>
              <w:rPr>
                <w:sz w:val="21"/>
              </w:rPr>
              <w:t>职称</w:t>
            </w:r>
          </w:p>
        </w:tc>
        <w:tc>
          <w:tcPr>
            <w:tcW w:w="1905" w:type="dxa"/>
            <w:gridSpan w:val="2"/>
          </w:tcPr>
          <w:p>
            <w:pPr>
              <w:pStyle w:val="33"/>
              <w:rPr>
                <w:rFonts w:ascii="Times New Roman"/>
                <w:sz w:val="20"/>
              </w:rPr>
            </w:pPr>
          </w:p>
        </w:tc>
        <w:tc>
          <w:tcPr>
            <w:tcW w:w="1072" w:type="dxa"/>
          </w:tcPr>
          <w:p>
            <w:pPr>
              <w:pStyle w:val="33"/>
              <w:spacing w:before="143"/>
              <w:ind w:left="301"/>
              <w:rPr>
                <w:sz w:val="21"/>
              </w:rPr>
            </w:pPr>
            <w:r>
              <w:rPr>
                <w:sz w:val="21"/>
              </w:rPr>
              <w:t>学历</w:t>
            </w:r>
          </w:p>
        </w:tc>
        <w:tc>
          <w:tcPr>
            <w:tcW w:w="1702" w:type="dxa"/>
            <w:gridSpan w:val="2"/>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835" w:type="dxa"/>
            <w:gridSpan w:val="3"/>
          </w:tcPr>
          <w:p>
            <w:pPr>
              <w:pStyle w:val="33"/>
              <w:spacing w:before="131"/>
              <w:ind w:left="782"/>
              <w:rPr>
                <w:sz w:val="21"/>
              </w:rPr>
            </w:pPr>
            <w:r>
              <w:rPr>
                <w:sz w:val="21"/>
              </w:rPr>
              <w:t>参加工作时间</w:t>
            </w:r>
          </w:p>
        </w:tc>
        <w:tc>
          <w:tcPr>
            <w:tcW w:w="1560" w:type="dxa"/>
            <w:gridSpan w:val="2"/>
          </w:tcPr>
          <w:p>
            <w:pPr>
              <w:pStyle w:val="33"/>
              <w:rPr>
                <w:rFonts w:ascii="Times New Roman"/>
                <w:sz w:val="20"/>
              </w:rPr>
            </w:pPr>
          </w:p>
        </w:tc>
        <w:tc>
          <w:tcPr>
            <w:tcW w:w="2977" w:type="dxa"/>
            <w:gridSpan w:val="3"/>
            <w:tcBorders>
              <w:right w:val="single" w:color="000000" w:sz="6" w:space="0"/>
            </w:tcBorders>
          </w:tcPr>
          <w:p>
            <w:pPr>
              <w:pStyle w:val="33"/>
              <w:spacing w:before="131"/>
              <w:ind w:left="545"/>
              <w:rPr>
                <w:sz w:val="21"/>
              </w:rPr>
            </w:pPr>
            <w:r>
              <w:rPr>
                <w:sz w:val="21"/>
              </w:rPr>
              <w:t>担任技术负责人年限</w:t>
            </w:r>
          </w:p>
        </w:tc>
        <w:tc>
          <w:tcPr>
            <w:tcW w:w="1702" w:type="dxa"/>
            <w:gridSpan w:val="2"/>
            <w:tcBorders>
              <w:left w:val="single" w:color="000000" w:sz="6" w:space="0"/>
            </w:tcBorders>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9074" w:type="dxa"/>
            <w:gridSpan w:val="10"/>
          </w:tcPr>
          <w:p>
            <w:pPr>
              <w:pStyle w:val="33"/>
              <w:spacing w:before="141"/>
              <w:ind w:left="3356" w:right="3356"/>
              <w:jc w:val="center"/>
              <w:rPr>
                <w:sz w:val="21"/>
              </w:rPr>
            </w:pPr>
            <w:r>
              <w:rPr>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517" w:type="dxa"/>
            <w:gridSpan w:val="2"/>
          </w:tcPr>
          <w:p>
            <w:pPr>
              <w:pStyle w:val="33"/>
              <w:spacing w:before="145"/>
              <w:ind w:left="333"/>
              <w:rPr>
                <w:sz w:val="21"/>
              </w:rPr>
            </w:pPr>
            <w:r>
              <w:rPr>
                <w:sz w:val="21"/>
              </w:rPr>
              <w:t>建设单位</w:t>
            </w:r>
          </w:p>
        </w:tc>
        <w:tc>
          <w:tcPr>
            <w:tcW w:w="1680" w:type="dxa"/>
            <w:gridSpan w:val="2"/>
          </w:tcPr>
          <w:p>
            <w:pPr>
              <w:pStyle w:val="33"/>
              <w:spacing w:before="145"/>
              <w:ind w:left="415"/>
              <w:rPr>
                <w:sz w:val="21"/>
              </w:rPr>
            </w:pPr>
            <w:r>
              <w:rPr>
                <w:sz w:val="21"/>
              </w:rPr>
              <w:t>项目名称</w:t>
            </w:r>
          </w:p>
        </w:tc>
        <w:tc>
          <w:tcPr>
            <w:tcW w:w="1580" w:type="dxa"/>
            <w:gridSpan w:val="2"/>
          </w:tcPr>
          <w:p>
            <w:pPr>
              <w:pStyle w:val="33"/>
              <w:spacing w:before="145"/>
              <w:ind w:left="364"/>
              <w:rPr>
                <w:sz w:val="21"/>
              </w:rPr>
            </w:pPr>
            <w:r>
              <w:rPr>
                <w:sz w:val="21"/>
              </w:rPr>
              <w:t>建设规模</w:t>
            </w:r>
          </w:p>
        </w:tc>
        <w:tc>
          <w:tcPr>
            <w:tcW w:w="1523" w:type="dxa"/>
          </w:tcPr>
          <w:p>
            <w:pPr>
              <w:pStyle w:val="33"/>
              <w:spacing w:line="273" w:lineRule="auto"/>
              <w:ind w:left="564" w:right="298" w:hanging="209"/>
              <w:rPr>
                <w:sz w:val="21"/>
              </w:rPr>
            </w:pPr>
            <w:r>
              <w:rPr>
                <w:sz w:val="21"/>
              </w:rPr>
              <w:t>开、竣工日期</w:t>
            </w:r>
          </w:p>
        </w:tc>
        <w:tc>
          <w:tcPr>
            <w:tcW w:w="1404" w:type="dxa"/>
            <w:gridSpan w:val="2"/>
          </w:tcPr>
          <w:p>
            <w:pPr>
              <w:pStyle w:val="33"/>
              <w:spacing w:line="273" w:lineRule="auto"/>
              <w:ind w:left="452" w:right="344" w:hanging="53"/>
              <w:rPr>
                <w:sz w:val="21"/>
              </w:rPr>
            </w:pPr>
            <w:r>
              <w:rPr>
                <w:sz w:val="21"/>
              </w:rPr>
              <w:t>在建或已 完</w:t>
            </w:r>
          </w:p>
        </w:tc>
        <w:tc>
          <w:tcPr>
            <w:tcW w:w="1370" w:type="dxa"/>
          </w:tcPr>
          <w:p>
            <w:pPr>
              <w:pStyle w:val="33"/>
              <w:spacing w:before="145"/>
              <w:ind w:left="258"/>
              <w:rPr>
                <w:sz w:val="21"/>
              </w:rPr>
            </w:pPr>
            <w:r>
              <w:rPr>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517" w:type="dxa"/>
            <w:gridSpan w:val="2"/>
          </w:tcPr>
          <w:p>
            <w:pPr>
              <w:pStyle w:val="33"/>
              <w:rPr>
                <w:rFonts w:ascii="Times New Roman"/>
                <w:sz w:val="20"/>
              </w:rPr>
            </w:pPr>
          </w:p>
        </w:tc>
        <w:tc>
          <w:tcPr>
            <w:tcW w:w="1680" w:type="dxa"/>
            <w:gridSpan w:val="2"/>
          </w:tcPr>
          <w:p>
            <w:pPr>
              <w:pStyle w:val="33"/>
              <w:rPr>
                <w:rFonts w:ascii="Times New Roman"/>
                <w:sz w:val="20"/>
              </w:rPr>
            </w:pPr>
          </w:p>
        </w:tc>
        <w:tc>
          <w:tcPr>
            <w:tcW w:w="1580" w:type="dxa"/>
            <w:gridSpan w:val="2"/>
          </w:tcPr>
          <w:p>
            <w:pPr>
              <w:pStyle w:val="33"/>
              <w:rPr>
                <w:rFonts w:ascii="Times New Roman"/>
                <w:sz w:val="20"/>
              </w:rPr>
            </w:pPr>
          </w:p>
        </w:tc>
        <w:tc>
          <w:tcPr>
            <w:tcW w:w="1523" w:type="dxa"/>
          </w:tcPr>
          <w:p>
            <w:pPr>
              <w:pStyle w:val="33"/>
              <w:rPr>
                <w:rFonts w:ascii="Times New Roman"/>
                <w:sz w:val="20"/>
              </w:rPr>
            </w:pPr>
          </w:p>
        </w:tc>
        <w:tc>
          <w:tcPr>
            <w:tcW w:w="1404" w:type="dxa"/>
            <w:gridSpan w:val="2"/>
          </w:tcPr>
          <w:p>
            <w:pPr>
              <w:pStyle w:val="33"/>
              <w:rPr>
                <w:rFonts w:ascii="Times New Roman"/>
                <w:sz w:val="20"/>
              </w:rPr>
            </w:pPr>
          </w:p>
        </w:tc>
        <w:tc>
          <w:tcPr>
            <w:tcW w:w="1370" w:type="dxa"/>
          </w:tcPr>
          <w:p>
            <w:pPr>
              <w:pStyle w:val="33"/>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17" w:type="dxa"/>
            <w:gridSpan w:val="2"/>
          </w:tcPr>
          <w:p>
            <w:pPr>
              <w:pStyle w:val="33"/>
              <w:rPr>
                <w:rFonts w:ascii="Times New Roman"/>
                <w:sz w:val="20"/>
              </w:rPr>
            </w:pPr>
          </w:p>
        </w:tc>
        <w:tc>
          <w:tcPr>
            <w:tcW w:w="1680" w:type="dxa"/>
            <w:gridSpan w:val="2"/>
          </w:tcPr>
          <w:p>
            <w:pPr>
              <w:pStyle w:val="33"/>
              <w:rPr>
                <w:rFonts w:ascii="Times New Roman"/>
                <w:sz w:val="20"/>
              </w:rPr>
            </w:pPr>
          </w:p>
        </w:tc>
        <w:tc>
          <w:tcPr>
            <w:tcW w:w="1580" w:type="dxa"/>
            <w:gridSpan w:val="2"/>
          </w:tcPr>
          <w:p>
            <w:pPr>
              <w:pStyle w:val="33"/>
              <w:rPr>
                <w:rFonts w:ascii="Times New Roman"/>
                <w:sz w:val="20"/>
              </w:rPr>
            </w:pPr>
          </w:p>
        </w:tc>
        <w:tc>
          <w:tcPr>
            <w:tcW w:w="1523" w:type="dxa"/>
          </w:tcPr>
          <w:p>
            <w:pPr>
              <w:pStyle w:val="33"/>
              <w:rPr>
                <w:rFonts w:ascii="Times New Roman"/>
                <w:sz w:val="20"/>
              </w:rPr>
            </w:pPr>
          </w:p>
        </w:tc>
        <w:tc>
          <w:tcPr>
            <w:tcW w:w="1404" w:type="dxa"/>
            <w:gridSpan w:val="2"/>
          </w:tcPr>
          <w:p>
            <w:pPr>
              <w:pStyle w:val="33"/>
              <w:rPr>
                <w:rFonts w:ascii="Times New Roman"/>
                <w:sz w:val="20"/>
              </w:rPr>
            </w:pPr>
          </w:p>
        </w:tc>
        <w:tc>
          <w:tcPr>
            <w:tcW w:w="1370" w:type="dxa"/>
          </w:tcPr>
          <w:p>
            <w:pPr>
              <w:pStyle w:val="33"/>
              <w:rPr>
                <w:rFonts w:ascii="Times New Roman"/>
                <w:sz w:val="20"/>
              </w:rPr>
            </w:pPr>
          </w:p>
        </w:tc>
      </w:tr>
    </w:tbl>
    <w:p>
      <w:pPr>
        <w:pStyle w:val="13"/>
        <w:ind w:left="0"/>
        <w:rPr>
          <w:sz w:val="20"/>
        </w:rPr>
      </w:pPr>
    </w:p>
    <w:p>
      <w:pPr>
        <w:pStyle w:val="13"/>
        <w:spacing w:before="8"/>
        <w:ind w:left="0"/>
        <w:rPr>
          <w:sz w:val="20"/>
        </w:rPr>
      </w:pPr>
    </w:p>
    <w:p>
      <w:pPr>
        <w:pStyle w:val="13"/>
        <w:spacing w:before="1"/>
      </w:pPr>
      <w:r>
        <w:t>备注：</w:t>
      </w:r>
    </w:p>
    <w:p>
      <w:pPr>
        <w:pStyle w:val="13"/>
        <w:spacing w:before="10"/>
        <w:ind w:left="0"/>
        <w:rPr>
          <w:sz w:val="14"/>
        </w:rPr>
      </w:pPr>
    </w:p>
    <w:p>
      <w:pPr>
        <w:pStyle w:val="13"/>
        <w:spacing w:line="408" w:lineRule="auto"/>
        <w:ind w:right="91" w:firstLine="420"/>
      </w:pPr>
      <w:r>
        <w:rPr>
          <w:spacing w:val="-6"/>
        </w:rPr>
        <w:t>附技术负责人的职称证、资格证和已完工程中标通知书</w:t>
      </w:r>
      <w:r>
        <w:t>（</w:t>
      </w:r>
      <w:r>
        <w:rPr>
          <w:spacing w:val="-3"/>
        </w:rPr>
        <w:t>如有</w:t>
      </w:r>
      <w:r>
        <w:rPr>
          <w:spacing w:val="-20"/>
        </w:rPr>
        <w:t>）</w:t>
      </w:r>
      <w:r>
        <w:rPr>
          <w:spacing w:val="-7"/>
        </w:rPr>
        <w:t>、工程合同协议书、工程竣工验收证明</w:t>
      </w:r>
      <w:r>
        <w:rPr>
          <w:spacing w:val="-5"/>
        </w:rPr>
        <w:t>材料文件以及投标人认为需要增加的其他证明材料复印件，以上复印件均须加盖投标人单位公章。</w:t>
      </w:r>
    </w:p>
    <w:p>
      <w:pPr>
        <w:spacing w:after="0" w:line="408" w:lineRule="auto"/>
        <w:sectPr>
          <w:pgSz w:w="11910" w:h="16840"/>
          <w:pgMar w:top="1580" w:right="880" w:bottom="1160" w:left="1020" w:header="0" w:footer="975" w:gutter="0"/>
        </w:sectPr>
      </w:pPr>
    </w:p>
    <w:p>
      <w:pPr>
        <w:pStyle w:val="8"/>
        <w:tabs>
          <w:tab w:val="left" w:pos="3984"/>
        </w:tabs>
        <w:spacing w:before="112"/>
        <w:ind w:left="1903"/>
      </w:pPr>
      <w:r>
        <w:rPr>
          <w:rFonts w:ascii="Times New Roman" w:eastAsia="Times New Roman"/>
          <w:w w:val="100"/>
          <w:u w:val="single"/>
        </w:rPr>
        <w:t xml:space="preserve"> </w:t>
      </w:r>
      <w:r>
        <w:rPr>
          <w:rFonts w:ascii="Times New Roman" w:eastAsia="Times New Roman"/>
          <w:u w:val="single"/>
        </w:rPr>
        <w:tab/>
      </w:r>
      <w:r>
        <w:rPr>
          <w:spacing w:val="-3"/>
        </w:rPr>
        <w:t>（</w:t>
      </w:r>
      <w:r>
        <w:rPr>
          <w:spacing w:val="-1"/>
        </w:rPr>
        <w:t>项目名称</w:t>
      </w:r>
      <w:r>
        <w:t>）</w:t>
      </w:r>
      <w:r>
        <w:rPr>
          <w:spacing w:val="-3"/>
        </w:rPr>
        <w:t>施工招标</w:t>
      </w:r>
    </w:p>
    <w:p>
      <w:pPr>
        <w:pStyle w:val="13"/>
        <w:ind w:left="0"/>
        <w:rPr>
          <w:sz w:val="30"/>
        </w:rPr>
      </w:pPr>
    </w:p>
    <w:p>
      <w:pPr>
        <w:pStyle w:val="13"/>
        <w:ind w:left="0"/>
        <w:rPr>
          <w:sz w:val="30"/>
        </w:rPr>
      </w:pPr>
    </w:p>
    <w:p>
      <w:pPr>
        <w:pStyle w:val="13"/>
        <w:spacing w:before="1"/>
        <w:ind w:left="0"/>
        <w:rPr>
          <w:sz w:val="39"/>
        </w:rPr>
      </w:pPr>
    </w:p>
    <w:p>
      <w:pPr>
        <w:tabs>
          <w:tab w:val="left" w:pos="1185"/>
          <w:tab w:val="left" w:pos="2224"/>
          <w:tab w:val="left" w:pos="3266"/>
        </w:tabs>
        <w:spacing w:before="0"/>
        <w:ind w:left="143" w:right="0" w:firstLine="0"/>
        <w:jc w:val="center"/>
        <w:rPr>
          <w:sz w:val="52"/>
        </w:rPr>
      </w:pPr>
      <w:r>
        <w:rPr>
          <w:sz w:val="52"/>
        </w:rPr>
        <w:t>投</w:t>
      </w:r>
      <w:r>
        <w:rPr>
          <w:sz w:val="52"/>
        </w:rPr>
        <w:tab/>
      </w:r>
      <w:r>
        <w:rPr>
          <w:sz w:val="52"/>
        </w:rPr>
        <w:t>标</w:t>
      </w:r>
      <w:r>
        <w:rPr>
          <w:sz w:val="52"/>
        </w:rPr>
        <w:tab/>
      </w:r>
      <w:r>
        <w:rPr>
          <w:sz w:val="52"/>
        </w:rPr>
        <w:t>文</w:t>
      </w:r>
      <w:r>
        <w:rPr>
          <w:sz w:val="52"/>
        </w:rPr>
        <w:tab/>
      </w:r>
      <w:r>
        <w:rPr>
          <w:sz w:val="52"/>
        </w:rPr>
        <w:t>件</w:t>
      </w:r>
    </w:p>
    <w:p>
      <w:pPr>
        <w:pStyle w:val="13"/>
        <w:ind w:left="0"/>
        <w:rPr>
          <w:sz w:val="52"/>
        </w:rPr>
      </w:pPr>
    </w:p>
    <w:p>
      <w:pPr>
        <w:pStyle w:val="13"/>
        <w:ind w:left="0"/>
        <w:rPr>
          <w:sz w:val="66"/>
        </w:rPr>
      </w:pPr>
    </w:p>
    <w:p>
      <w:pPr>
        <w:pStyle w:val="8"/>
        <w:tabs>
          <w:tab w:val="left" w:pos="5960"/>
        </w:tabs>
        <w:ind w:left="1833"/>
        <w:rPr>
          <w:rFonts w:ascii="Times New Roman" w:eastAsia="Times New Roman"/>
        </w:rPr>
      </w:pPr>
      <w:r>
        <w:t>项目编</w:t>
      </w:r>
      <w:r>
        <w:rPr>
          <w:spacing w:val="-3"/>
        </w:rPr>
        <w:t>号</w:t>
      </w:r>
      <w:r>
        <w:t>：</w:t>
      </w:r>
      <w:r>
        <w:rPr>
          <w:rFonts w:ascii="Times New Roman" w:eastAsia="Times New Roman"/>
          <w:u w:val="single"/>
        </w:rPr>
        <w:t xml:space="preserve"> </w:t>
      </w:r>
      <w:r>
        <w:rPr>
          <w:rFonts w:ascii="Times New Roman" w:eastAsia="Times New Roman"/>
          <w:u w:val="single"/>
        </w:rPr>
        <w:tab/>
      </w:r>
    </w:p>
    <w:p>
      <w:pPr>
        <w:pStyle w:val="13"/>
        <w:spacing w:before="3"/>
        <w:ind w:left="0"/>
        <w:rPr>
          <w:rFonts w:ascii="Times New Roman"/>
          <w:sz w:val="19"/>
        </w:rPr>
      </w:pPr>
    </w:p>
    <w:p>
      <w:pPr>
        <w:pStyle w:val="4"/>
      </w:pPr>
      <w:r>
        <w:rPr>
          <w:w w:val="95"/>
        </w:rPr>
        <w:t>（正本/副本）</w:t>
      </w:r>
    </w:p>
    <w:p>
      <w:pPr>
        <w:pStyle w:val="13"/>
        <w:ind w:left="0"/>
        <w:rPr>
          <w:sz w:val="32"/>
        </w:rPr>
      </w:pPr>
    </w:p>
    <w:p>
      <w:pPr>
        <w:pStyle w:val="13"/>
        <w:ind w:left="0"/>
        <w:rPr>
          <w:sz w:val="32"/>
        </w:rPr>
      </w:pPr>
    </w:p>
    <w:p>
      <w:pPr>
        <w:pStyle w:val="13"/>
        <w:ind w:left="0"/>
        <w:rPr>
          <w:sz w:val="32"/>
        </w:rPr>
      </w:pPr>
    </w:p>
    <w:p>
      <w:pPr>
        <w:pStyle w:val="13"/>
        <w:ind w:left="0"/>
        <w:rPr>
          <w:sz w:val="32"/>
        </w:rPr>
      </w:pPr>
    </w:p>
    <w:p>
      <w:pPr>
        <w:pStyle w:val="13"/>
        <w:spacing w:before="4"/>
        <w:ind w:left="0"/>
        <w:rPr>
          <w:sz w:val="33"/>
        </w:rPr>
      </w:pPr>
    </w:p>
    <w:p>
      <w:pPr>
        <w:pStyle w:val="8"/>
        <w:tabs>
          <w:tab w:val="left" w:pos="3233"/>
          <w:tab w:val="left" w:pos="6735"/>
        </w:tabs>
        <w:spacing w:before="1"/>
      </w:pPr>
      <w:r>
        <w:t>投标内</w:t>
      </w:r>
      <w:r>
        <w:rPr>
          <w:spacing w:val="-3"/>
        </w:rPr>
        <w:t>容</w:t>
      </w:r>
      <w:r>
        <w:t>：</w:t>
      </w:r>
      <w:r>
        <w:rPr>
          <w:u w:val="single"/>
        </w:rPr>
        <w:t xml:space="preserve"> </w:t>
      </w:r>
      <w:r>
        <w:rPr>
          <w:u w:val="single"/>
        </w:rPr>
        <w:tab/>
      </w:r>
      <w:r>
        <w:rPr>
          <w:u w:val="single"/>
        </w:rPr>
        <w:t>企业信</w:t>
      </w:r>
      <w:r>
        <w:rPr>
          <w:spacing w:val="-3"/>
          <w:u w:val="single"/>
        </w:rPr>
        <w:t>誉</w:t>
      </w:r>
      <w:r>
        <w:rPr>
          <w:u w:val="single"/>
        </w:rPr>
        <w:t>实力</w:t>
      </w:r>
      <w:r>
        <w:rPr>
          <w:spacing w:val="-3"/>
          <w:u w:val="single"/>
        </w:rPr>
        <w:t>部</w:t>
      </w:r>
      <w:r>
        <w:rPr>
          <w:u w:val="single"/>
        </w:rPr>
        <w:t>分</w:t>
      </w:r>
      <w:r>
        <w:rPr>
          <w:u w:val="single"/>
        </w:rPr>
        <w:tab/>
      </w:r>
    </w:p>
    <w:p>
      <w:pPr>
        <w:pStyle w:val="13"/>
        <w:spacing w:before="12"/>
        <w:ind w:left="0"/>
        <w:rPr>
          <w:sz w:val="17"/>
        </w:rPr>
      </w:pPr>
    </w:p>
    <w:p>
      <w:pPr>
        <w:pStyle w:val="8"/>
        <w:tabs>
          <w:tab w:val="left" w:pos="5336"/>
          <w:tab w:val="left" w:pos="5893"/>
        </w:tabs>
        <w:spacing w:before="23" w:line="408" w:lineRule="auto"/>
        <w:ind w:left="854" w:right="1528"/>
      </w:pPr>
      <w:r>
        <w:t>投</w:t>
      </w:r>
      <w:r>
        <w:rPr>
          <w:spacing w:val="-3"/>
        </w:rPr>
        <w:t>标人</w:t>
      </w:r>
      <w:r>
        <w:t>：</w:t>
      </w:r>
      <w:r>
        <w:rPr>
          <w:u w:val="single"/>
        </w:rPr>
        <w:t xml:space="preserve"> </w:t>
      </w:r>
      <w:r>
        <w:rPr>
          <w:u w:val="single"/>
        </w:rPr>
        <w:tab/>
      </w:r>
      <w:r>
        <w:rPr>
          <w:spacing w:val="-3"/>
        </w:rPr>
        <w:t>（</w:t>
      </w:r>
      <w:r>
        <w:t>盖单</w:t>
      </w:r>
      <w:r>
        <w:rPr>
          <w:spacing w:val="-3"/>
        </w:rPr>
        <w:t>位</w:t>
      </w:r>
      <w:r>
        <w:t>章） 法</w:t>
      </w:r>
      <w:r>
        <w:rPr>
          <w:spacing w:val="-3"/>
        </w:rPr>
        <w:t>定代</w:t>
      </w:r>
      <w:r>
        <w:t>表人或</w:t>
      </w:r>
      <w:r>
        <w:rPr>
          <w:spacing w:val="-3"/>
        </w:rPr>
        <w:t>其</w:t>
      </w:r>
      <w:r>
        <w:t>委托</w:t>
      </w:r>
      <w:r>
        <w:rPr>
          <w:spacing w:val="-3"/>
        </w:rPr>
        <w:t>代理</w:t>
      </w:r>
      <w:r>
        <w:t>人：</w:t>
      </w:r>
      <w:r>
        <w:rPr>
          <w:u w:val="single"/>
        </w:rPr>
        <w:t xml:space="preserve"> </w:t>
      </w:r>
      <w:r>
        <w:rPr>
          <w:u w:val="single"/>
        </w:rPr>
        <w:tab/>
      </w:r>
      <w:r>
        <w:rPr>
          <w:u w:val="single"/>
        </w:rPr>
        <w:tab/>
      </w:r>
      <w:r>
        <w:rPr>
          <w:spacing w:val="-3"/>
        </w:rPr>
        <w:t>（</w:t>
      </w:r>
      <w:r>
        <w:t>签字）</w:t>
      </w:r>
    </w:p>
    <w:p>
      <w:pPr>
        <w:pStyle w:val="13"/>
        <w:ind w:left="0"/>
        <w:rPr>
          <w:sz w:val="20"/>
        </w:rPr>
      </w:pPr>
    </w:p>
    <w:p>
      <w:pPr>
        <w:pStyle w:val="13"/>
        <w:ind w:left="0"/>
        <w:rPr>
          <w:sz w:val="20"/>
        </w:rPr>
      </w:pPr>
    </w:p>
    <w:p>
      <w:pPr>
        <w:pStyle w:val="8"/>
        <w:tabs>
          <w:tab w:val="left" w:pos="3291"/>
          <w:tab w:val="left" w:pos="4832"/>
          <w:tab w:val="left" w:pos="6373"/>
        </w:tabs>
        <w:spacing w:before="161"/>
        <w:ind w:left="2033"/>
      </w:pPr>
      <w:r>
        <w:rPr>
          <w:rFonts w:ascii="Times New Roman" w:eastAsia="Times New Roman"/>
          <w:w w:val="100"/>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sectPr>
          <w:pgSz w:w="11910" w:h="16840"/>
          <w:pgMar w:top="1580" w:right="1680" w:bottom="1160" w:left="1680" w:header="0" w:footer="975" w:gutter="0"/>
        </w:sectPr>
      </w:pPr>
    </w:p>
    <w:p>
      <w:pPr>
        <w:pStyle w:val="7"/>
        <w:ind w:left="3223" w:right="3242"/>
      </w:pPr>
      <w:r>
        <w:rPr>
          <w:w w:val="95"/>
        </w:rPr>
        <w:t>企业信誉实力一览表</w:t>
      </w:r>
    </w:p>
    <w:p>
      <w:pPr>
        <w:pStyle w:val="13"/>
        <w:ind w:left="0"/>
        <w:rPr>
          <w:b/>
          <w:sz w:val="20"/>
        </w:rPr>
      </w:pPr>
    </w:p>
    <w:p>
      <w:pPr>
        <w:pStyle w:val="13"/>
        <w:spacing w:before="12" w:after="1"/>
        <w:ind w:left="0"/>
        <w:rPr>
          <w:b/>
          <w:sz w:val="16"/>
        </w:rPr>
      </w:pPr>
    </w:p>
    <w:tbl>
      <w:tblPr>
        <w:tblStyle w:val="17"/>
        <w:tblW w:w="8671"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1037"/>
        <w:gridCol w:w="6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838" w:type="dxa"/>
            <w:vMerge w:val="restart"/>
          </w:tcPr>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rPr>
                <w:b/>
                <w:sz w:val="20"/>
              </w:rPr>
            </w:pPr>
          </w:p>
          <w:p>
            <w:pPr>
              <w:pStyle w:val="33"/>
              <w:spacing w:before="12"/>
              <w:rPr>
                <w:b/>
                <w:sz w:val="22"/>
              </w:rPr>
            </w:pPr>
          </w:p>
          <w:p>
            <w:pPr>
              <w:pStyle w:val="33"/>
              <w:tabs>
                <w:tab w:val="left" w:pos="518"/>
              </w:tabs>
              <w:spacing w:before="1"/>
              <w:ind w:left="103"/>
              <w:rPr>
                <w:sz w:val="21"/>
              </w:rPr>
            </w:pPr>
            <w:r>
              <w:rPr>
                <w:sz w:val="21"/>
              </w:rPr>
              <w:t>企</w:t>
            </w:r>
            <w:r>
              <w:rPr>
                <w:sz w:val="21"/>
              </w:rPr>
              <w:tab/>
            </w:r>
            <w:r>
              <w:rPr>
                <w:sz w:val="21"/>
              </w:rPr>
              <w:t>业</w:t>
            </w:r>
          </w:p>
          <w:p>
            <w:pPr>
              <w:pStyle w:val="33"/>
              <w:spacing w:before="8"/>
              <w:rPr>
                <w:b/>
                <w:sz w:val="20"/>
              </w:rPr>
            </w:pPr>
          </w:p>
          <w:p>
            <w:pPr>
              <w:pStyle w:val="33"/>
              <w:tabs>
                <w:tab w:val="left" w:pos="518"/>
              </w:tabs>
              <w:ind w:left="103"/>
              <w:rPr>
                <w:sz w:val="21"/>
              </w:rPr>
            </w:pPr>
            <w:r>
              <w:rPr>
                <w:sz w:val="21"/>
              </w:rPr>
              <w:t>信</w:t>
            </w:r>
            <w:r>
              <w:rPr>
                <w:sz w:val="21"/>
              </w:rPr>
              <w:tab/>
            </w:r>
            <w:r>
              <w:rPr>
                <w:sz w:val="21"/>
              </w:rPr>
              <w:t>誉</w:t>
            </w:r>
          </w:p>
          <w:p>
            <w:pPr>
              <w:pStyle w:val="33"/>
              <w:spacing w:before="7"/>
              <w:rPr>
                <w:b/>
                <w:sz w:val="20"/>
              </w:rPr>
            </w:pPr>
          </w:p>
          <w:p>
            <w:pPr>
              <w:pStyle w:val="33"/>
              <w:tabs>
                <w:tab w:val="left" w:pos="518"/>
              </w:tabs>
              <w:spacing w:before="1"/>
              <w:ind w:left="103"/>
              <w:rPr>
                <w:sz w:val="21"/>
              </w:rPr>
            </w:pPr>
            <w:r>
              <w:rPr>
                <w:sz w:val="21"/>
              </w:rPr>
              <w:t>实</w:t>
            </w:r>
            <w:r>
              <w:rPr>
                <w:sz w:val="21"/>
              </w:rPr>
              <w:tab/>
            </w:r>
            <w:r>
              <w:rPr>
                <w:sz w:val="21"/>
              </w:rPr>
              <w:t>力</w:t>
            </w:r>
          </w:p>
          <w:p>
            <w:pPr>
              <w:pStyle w:val="33"/>
              <w:spacing w:before="8"/>
              <w:rPr>
                <w:b/>
                <w:sz w:val="20"/>
              </w:rPr>
            </w:pPr>
          </w:p>
          <w:p>
            <w:pPr>
              <w:pStyle w:val="33"/>
              <w:tabs>
                <w:tab w:val="left" w:pos="518"/>
              </w:tabs>
              <w:spacing w:line="475" w:lineRule="auto"/>
              <w:ind w:left="103" w:right="96"/>
              <w:rPr>
                <w:sz w:val="21"/>
              </w:rPr>
            </w:pPr>
            <w:r>
              <w:rPr>
                <w:sz w:val="21"/>
              </w:rPr>
              <w:t>一</w:t>
            </w:r>
            <w:r>
              <w:rPr>
                <w:sz w:val="21"/>
              </w:rPr>
              <w:tab/>
            </w:r>
            <w:r>
              <w:rPr>
                <w:sz w:val="21"/>
              </w:rPr>
              <w:t>览表</w:t>
            </w:r>
          </w:p>
        </w:tc>
        <w:tc>
          <w:tcPr>
            <w:tcW w:w="1037" w:type="dxa"/>
          </w:tcPr>
          <w:p>
            <w:pPr>
              <w:pStyle w:val="33"/>
              <w:spacing w:before="177"/>
              <w:ind w:left="285" w:right="281"/>
              <w:jc w:val="center"/>
              <w:rPr>
                <w:sz w:val="21"/>
              </w:rPr>
            </w:pPr>
            <w:r>
              <w:rPr>
                <w:sz w:val="21"/>
              </w:rPr>
              <w:t>序号</w:t>
            </w:r>
          </w:p>
        </w:tc>
        <w:tc>
          <w:tcPr>
            <w:tcW w:w="6796" w:type="dxa"/>
          </w:tcPr>
          <w:p>
            <w:pPr>
              <w:pStyle w:val="33"/>
              <w:spacing w:before="177"/>
              <w:ind w:left="3164" w:right="3162"/>
              <w:jc w:val="center"/>
              <w:rPr>
                <w:sz w:val="21"/>
              </w:rPr>
            </w:pPr>
            <w:r>
              <w:rPr>
                <w:sz w:val="21"/>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838" w:type="dxa"/>
            <w:vMerge w:val="continue"/>
            <w:tcBorders>
              <w:top w:val="nil"/>
            </w:tcBorders>
          </w:tcPr>
          <w:p>
            <w:pPr>
              <w:rPr>
                <w:sz w:val="2"/>
                <w:szCs w:val="2"/>
              </w:rPr>
            </w:pPr>
          </w:p>
        </w:tc>
        <w:tc>
          <w:tcPr>
            <w:tcW w:w="1037" w:type="dxa"/>
          </w:tcPr>
          <w:p>
            <w:pPr>
              <w:pStyle w:val="33"/>
              <w:rPr>
                <w:b/>
                <w:sz w:val="20"/>
              </w:rPr>
            </w:pPr>
          </w:p>
          <w:p>
            <w:pPr>
              <w:pStyle w:val="33"/>
              <w:spacing w:before="8"/>
              <w:rPr>
                <w:b/>
                <w:sz w:val="24"/>
              </w:rPr>
            </w:pPr>
          </w:p>
          <w:p>
            <w:pPr>
              <w:pStyle w:val="33"/>
              <w:spacing w:before="1"/>
              <w:ind w:left="1"/>
              <w:jc w:val="center"/>
              <w:rPr>
                <w:rFonts w:ascii="Calibri"/>
                <w:sz w:val="21"/>
              </w:rPr>
            </w:pPr>
            <w:r>
              <w:rPr>
                <w:rFonts w:ascii="Calibri"/>
                <w:w w:val="100"/>
                <w:sz w:val="21"/>
              </w:rPr>
              <w:t>1</w:t>
            </w:r>
          </w:p>
        </w:tc>
        <w:tc>
          <w:tcPr>
            <w:tcW w:w="6796" w:type="dxa"/>
          </w:tcPr>
          <w:p>
            <w:pPr>
              <w:pStyle w:val="33"/>
              <w:rPr>
                <w:b/>
                <w:sz w:val="20"/>
              </w:rPr>
            </w:pPr>
          </w:p>
          <w:p>
            <w:pPr>
              <w:pStyle w:val="33"/>
              <w:rPr>
                <w:b/>
                <w:sz w:val="20"/>
              </w:rPr>
            </w:pPr>
          </w:p>
          <w:p>
            <w:pPr>
              <w:pStyle w:val="33"/>
              <w:spacing w:before="3"/>
              <w:rPr>
                <w:b/>
                <w:sz w:val="16"/>
              </w:rPr>
            </w:pPr>
          </w:p>
          <w:p>
            <w:pPr>
              <w:pStyle w:val="33"/>
              <w:ind w:left="103"/>
              <w:rPr>
                <w:sz w:val="21"/>
              </w:rPr>
            </w:pPr>
            <w:r>
              <w:rPr>
                <w:sz w:val="21"/>
              </w:rPr>
              <w:t>投标人在广西水利工程建设项目管理信息系统备案的，得 2 分。</w:t>
            </w:r>
            <w:r>
              <w:rPr>
                <w:rFonts w:hint="eastAsia"/>
                <w:sz w:val="21"/>
                <w:lang w:eastAsia="zh-CN"/>
              </w:rPr>
              <w:t>满分</w:t>
            </w:r>
            <w:r>
              <w:rPr>
                <w:rFonts w:hint="eastAsia"/>
                <w:sz w:val="21"/>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838" w:type="dxa"/>
            <w:vMerge w:val="continue"/>
            <w:tcBorders>
              <w:top w:val="nil"/>
            </w:tcBorders>
          </w:tcPr>
          <w:p>
            <w:pPr>
              <w:rPr>
                <w:sz w:val="2"/>
                <w:szCs w:val="2"/>
              </w:rPr>
            </w:pPr>
          </w:p>
        </w:tc>
        <w:tc>
          <w:tcPr>
            <w:tcW w:w="1037" w:type="dxa"/>
          </w:tcPr>
          <w:p>
            <w:pPr>
              <w:pStyle w:val="33"/>
              <w:rPr>
                <w:b/>
                <w:color w:val="auto"/>
                <w:sz w:val="20"/>
              </w:rPr>
            </w:pPr>
          </w:p>
          <w:p>
            <w:pPr>
              <w:pStyle w:val="33"/>
              <w:spacing w:before="11"/>
              <w:rPr>
                <w:b/>
                <w:color w:val="auto"/>
                <w:sz w:val="24"/>
              </w:rPr>
            </w:pPr>
          </w:p>
          <w:p>
            <w:pPr>
              <w:pStyle w:val="33"/>
              <w:ind w:left="1"/>
              <w:jc w:val="center"/>
              <w:rPr>
                <w:rFonts w:ascii="Calibri"/>
                <w:color w:val="auto"/>
                <w:sz w:val="21"/>
              </w:rPr>
            </w:pPr>
            <w:r>
              <w:rPr>
                <w:rFonts w:ascii="Calibri"/>
                <w:color w:val="auto"/>
                <w:w w:val="100"/>
                <w:sz w:val="21"/>
              </w:rPr>
              <w:t>2</w:t>
            </w:r>
          </w:p>
        </w:tc>
        <w:tc>
          <w:tcPr>
            <w:tcW w:w="6796" w:type="dxa"/>
          </w:tcPr>
          <w:p>
            <w:pPr>
              <w:pStyle w:val="33"/>
              <w:rPr>
                <w:b/>
                <w:color w:val="auto"/>
                <w:sz w:val="20"/>
              </w:rPr>
            </w:pPr>
          </w:p>
          <w:p>
            <w:pPr>
              <w:pStyle w:val="33"/>
              <w:spacing w:before="10"/>
              <w:rPr>
                <w:b/>
                <w:color w:val="auto"/>
                <w:sz w:val="18"/>
              </w:rPr>
            </w:pPr>
          </w:p>
          <w:p>
            <w:pPr>
              <w:pStyle w:val="33"/>
              <w:spacing w:before="1" w:line="400" w:lineRule="auto"/>
              <w:ind w:left="103"/>
              <w:rPr>
                <w:color w:val="auto"/>
                <w:sz w:val="21"/>
              </w:rPr>
            </w:pPr>
            <w:r>
              <w:rPr>
                <w:color w:val="auto"/>
                <w:spacing w:val="-3"/>
                <w:sz w:val="21"/>
              </w:rPr>
              <w:t xml:space="preserve">投标人获得桂林市公路企业信用等级为 </w:t>
            </w:r>
            <w:r>
              <w:rPr>
                <w:rFonts w:hint="eastAsia"/>
                <w:color w:val="auto"/>
                <w:spacing w:val="-3"/>
                <w:sz w:val="21"/>
                <w:lang w:val="en-US" w:eastAsia="zh-CN"/>
              </w:rPr>
              <w:t>A</w:t>
            </w:r>
            <w:r>
              <w:rPr>
                <w:color w:val="auto"/>
                <w:spacing w:val="-14"/>
                <w:sz w:val="21"/>
              </w:rPr>
              <w:t xml:space="preserve"> 级</w:t>
            </w:r>
            <w:r>
              <w:rPr>
                <w:color w:val="auto"/>
                <w:sz w:val="21"/>
              </w:rPr>
              <w:t>（</w:t>
            </w:r>
            <w:r>
              <w:rPr>
                <w:color w:val="auto"/>
                <w:spacing w:val="-3"/>
                <w:sz w:val="21"/>
              </w:rPr>
              <w:t>含</w:t>
            </w:r>
            <w:r>
              <w:rPr>
                <w:color w:val="auto"/>
                <w:spacing w:val="-32"/>
                <w:sz w:val="21"/>
              </w:rPr>
              <w:t>）</w:t>
            </w:r>
            <w:r>
              <w:rPr>
                <w:color w:val="auto"/>
                <w:sz w:val="21"/>
              </w:rPr>
              <w:t>以上的得 3</w:t>
            </w:r>
            <w:r>
              <w:rPr>
                <w:color w:val="auto"/>
                <w:spacing w:val="-14"/>
                <w:sz w:val="21"/>
              </w:rPr>
              <w:t xml:space="preserve"> 分</w:t>
            </w:r>
            <w:r>
              <w:rPr>
                <w:rFonts w:hint="eastAsia"/>
                <w:color w:val="auto"/>
                <w:spacing w:val="-14"/>
                <w:sz w:val="21"/>
                <w:lang w:val="en-US" w:eastAsia="zh-CN"/>
              </w:rPr>
              <w:t>,B 级的得1分，C级的得0分。满分3分。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838" w:type="dxa"/>
            <w:vMerge w:val="continue"/>
            <w:tcBorders>
              <w:top w:val="nil"/>
            </w:tcBorders>
          </w:tcPr>
          <w:p>
            <w:pPr>
              <w:rPr>
                <w:sz w:val="2"/>
                <w:szCs w:val="2"/>
              </w:rPr>
            </w:pPr>
          </w:p>
        </w:tc>
        <w:tc>
          <w:tcPr>
            <w:tcW w:w="1037" w:type="dxa"/>
          </w:tcPr>
          <w:p>
            <w:pPr>
              <w:pStyle w:val="33"/>
              <w:rPr>
                <w:b/>
                <w:color w:val="auto"/>
                <w:sz w:val="20"/>
              </w:rPr>
            </w:pPr>
          </w:p>
          <w:p>
            <w:pPr>
              <w:pStyle w:val="33"/>
              <w:spacing w:before="8"/>
              <w:rPr>
                <w:b/>
                <w:color w:val="auto"/>
                <w:sz w:val="24"/>
              </w:rPr>
            </w:pPr>
          </w:p>
          <w:p>
            <w:pPr>
              <w:pStyle w:val="33"/>
              <w:spacing w:before="1"/>
              <w:ind w:left="1"/>
              <w:jc w:val="center"/>
              <w:rPr>
                <w:rFonts w:ascii="Calibri"/>
                <w:color w:val="auto"/>
                <w:sz w:val="21"/>
              </w:rPr>
            </w:pPr>
            <w:r>
              <w:rPr>
                <w:rFonts w:ascii="Calibri"/>
                <w:color w:val="auto"/>
                <w:w w:val="100"/>
                <w:sz w:val="21"/>
              </w:rPr>
              <w:t>3</w:t>
            </w:r>
          </w:p>
        </w:tc>
        <w:tc>
          <w:tcPr>
            <w:tcW w:w="6796" w:type="dxa"/>
          </w:tcPr>
          <w:p>
            <w:pPr>
              <w:pStyle w:val="33"/>
              <w:spacing w:before="8"/>
              <w:rPr>
                <w:b/>
                <w:color w:val="auto"/>
                <w:sz w:val="18"/>
              </w:rPr>
            </w:pPr>
          </w:p>
          <w:p>
            <w:pPr>
              <w:pStyle w:val="33"/>
              <w:ind w:left="103"/>
              <w:rPr>
                <w:color w:val="auto"/>
                <w:sz w:val="21"/>
              </w:rPr>
            </w:pPr>
            <w:r>
              <w:rPr>
                <w:color w:val="auto"/>
                <w:spacing w:val="-5"/>
                <w:sz w:val="21"/>
              </w:rPr>
              <w:t>投标人获得质量管理体系认证的</w:t>
            </w:r>
            <w:r>
              <w:rPr>
                <w:rFonts w:hint="eastAsia"/>
                <w:color w:val="auto"/>
                <w:spacing w:val="-5"/>
                <w:sz w:val="21"/>
                <w:lang w:eastAsia="zh-CN"/>
              </w:rPr>
              <w:t>得</w:t>
            </w:r>
            <w:r>
              <w:rPr>
                <w:color w:val="auto"/>
                <w:spacing w:val="-5"/>
                <w:sz w:val="21"/>
              </w:rPr>
              <w:t xml:space="preserve"> </w:t>
            </w:r>
            <w:r>
              <w:rPr>
                <w:color w:val="auto"/>
                <w:sz w:val="21"/>
              </w:rPr>
              <w:t>1</w:t>
            </w:r>
            <w:r>
              <w:rPr>
                <w:color w:val="auto"/>
                <w:spacing w:val="-9"/>
                <w:sz w:val="21"/>
              </w:rPr>
              <w:t xml:space="preserve"> 分；获得环境管理体系认证的</w:t>
            </w:r>
            <w:r>
              <w:rPr>
                <w:rFonts w:hint="eastAsia"/>
                <w:color w:val="auto"/>
                <w:spacing w:val="-9"/>
                <w:sz w:val="21"/>
                <w:lang w:eastAsia="zh-CN"/>
              </w:rPr>
              <w:t>得</w:t>
            </w:r>
            <w:r>
              <w:rPr>
                <w:color w:val="auto"/>
                <w:spacing w:val="-9"/>
                <w:sz w:val="21"/>
              </w:rPr>
              <w:t xml:space="preserve"> </w:t>
            </w:r>
            <w:r>
              <w:rPr>
                <w:color w:val="auto"/>
                <w:sz w:val="21"/>
              </w:rPr>
              <w:t>1</w:t>
            </w:r>
            <w:r>
              <w:rPr>
                <w:color w:val="auto"/>
                <w:spacing w:val="-10"/>
                <w:sz w:val="21"/>
              </w:rPr>
              <w:t xml:space="preserve"> 分；</w:t>
            </w:r>
          </w:p>
          <w:p>
            <w:pPr>
              <w:pStyle w:val="33"/>
              <w:spacing w:before="2"/>
              <w:rPr>
                <w:b/>
                <w:color w:val="auto"/>
                <w:sz w:val="14"/>
              </w:rPr>
            </w:pPr>
          </w:p>
          <w:p>
            <w:pPr>
              <w:pStyle w:val="33"/>
              <w:ind w:left="103"/>
              <w:rPr>
                <w:color w:val="auto"/>
                <w:sz w:val="21"/>
              </w:rPr>
            </w:pPr>
            <w:r>
              <w:rPr>
                <w:color w:val="auto"/>
                <w:sz w:val="21"/>
              </w:rPr>
              <w:t>获得职业健康安全管理</w:t>
            </w:r>
            <w:r>
              <w:rPr>
                <w:rFonts w:hint="eastAsia"/>
                <w:color w:val="auto"/>
                <w:sz w:val="21"/>
                <w:lang w:eastAsia="zh-CN"/>
              </w:rPr>
              <w:t>体系认证的得</w:t>
            </w:r>
            <w:r>
              <w:rPr>
                <w:rFonts w:hint="eastAsia"/>
                <w:color w:val="auto"/>
                <w:sz w:val="21"/>
                <w:lang w:val="en-US" w:eastAsia="zh-CN"/>
              </w:rPr>
              <w:t>1分，满分3分。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838" w:type="dxa"/>
            <w:vMerge w:val="continue"/>
            <w:tcBorders>
              <w:top w:val="nil"/>
            </w:tcBorders>
          </w:tcPr>
          <w:p>
            <w:pPr>
              <w:rPr>
                <w:sz w:val="2"/>
                <w:szCs w:val="2"/>
              </w:rPr>
            </w:pPr>
          </w:p>
        </w:tc>
        <w:tc>
          <w:tcPr>
            <w:tcW w:w="1037" w:type="dxa"/>
          </w:tcPr>
          <w:p>
            <w:pPr>
              <w:pStyle w:val="33"/>
              <w:rPr>
                <w:b/>
                <w:color w:val="auto"/>
                <w:sz w:val="20"/>
              </w:rPr>
            </w:pPr>
          </w:p>
          <w:p>
            <w:pPr>
              <w:pStyle w:val="33"/>
              <w:rPr>
                <w:b/>
                <w:color w:val="auto"/>
                <w:sz w:val="20"/>
              </w:rPr>
            </w:pPr>
          </w:p>
          <w:p>
            <w:pPr>
              <w:pStyle w:val="33"/>
              <w:spacing w:before="10"/>
              <w:rPr>
                <w:b/>
                <w:color w:val="auto"/>
                <w:sz w:val="29"/>
              </w:rPr>
            </w:pPr>
          </w:p>
          <w:p>
            <w:pPr>
              <w:pStyle w:val="33"/>
              <w:ind w:left="1"/>
              <w:jc w:val="center"/>
              <w:rPr>
                <w:rFonts w:ascii="Calibri"/>
                <w:color w:val="auto"/>
                <w:sz w:val="21"/>
              </w:rPr>
            </w:pPr>
            <w:r>
              <w:rPr>
                <w:rFonts w:ascii="Calibri"/>
                <w:color w:val="auto"/>
                <w:w w:val="100"/>
                <w:sz w:val="21"/>
              </w:rPr>
              <w:t>4</w:t>
            </w:r>
          </w:p>
        </w:tc>
        <w:tc>
          <w:tcPr>
            <w:tcW w:w="6796" w:type="dxa"/>
          </w:tcPr>
          <w:p>
            <w:pPr>
              <w:keepNext w:val="0"/>
              <w:keepLines w:val="0"/>
              <w:widowControl/>
              <w:suppressLineNumbers w:val="0"/>
              <w:spacing w:line="360" w:lineRule="auto"/>
              <w:jc w:val="left"/>
              <w:rPr>
                <w:color w:val="auto"/>
                <w:sz w:val="21"/>
              </w:rPr>
            </w:pPr>
            <w:r>
              <w:rPr>
                <w:rFonts w:hint="eastAsia" w:ascii="宋体" w:hAnsi="宋体" w:eastAsia="宋体" w:cs="宋体"/>
                <w:color w:val="auto"/>
                <w:sz w:val="21"/>
                <w:szCs w:val="21"/>
                <w:lang w:val="en-US" w:eastAsia="zh-CN" w:bidi="ar-SA"/>
              </w:rPr>
              <w:t>投标人近</w:t>
            </w:r>
            <w:r>
              <w:rPr>
                <w:rFonts w:hint="eastAsia" w:cs="宋体"/>
                <w:color w:val="auto"/>
                <w:sz w:val="21"/>
                <w:szCs w:val="21"/>
                <w:lang w:val="en-US" w:eastAsia="zh-CN" w:bidi="ar-SA"/>
              </w:rPr>
              <w:t>三</w:t>
            </w:r>
            <w:r>
              <w:rPr>
                <w:rFonts w:hint="eastAsia" w:ascii="宋体" w:hAnsi="宋体" w:eastAsia="宋体" w:cs="宋体"/>
                <w:color w:val="auto"/>
                <w:sz w:val="21"/>
                <w:szCs w:val="21"/>
                <w:lang w:val="en-US" w:eastAsia="zh-CN" w:bidi="ar-SA"/>
              </w:rPr>
              <w:t>个年度（2017、2018</w:t>
            </w:r>
            <w:r>
              <w:rPr>
                <w:rFonts w:hint="eastAsia" w:cs="宋体"/>
                <w:color w:val="auto"/>
                <w:sz w:val="21"/>
                <w:szCs w:val="21"/>
                <w:lang w:val="en-US" w:eastAsia="zh-CN" w:bidi="ar-SA"/>
              </w:rPr>
              <w:t>、2019</w:t>
            </w:r>
            <w:r>
              <w:rPr>
                <w:rFonts w:hint="eastAsia" w:ascii="宋体" w:hAnsi="宋体" w:eastAsia="宋体" w:cs="宋体"/>
                <w:color w:val="auto"/>
                <w:sz w:val="21"/>
                <w:szCs w:val="21"/>
                <w:lang w:val="en-US" w:eastAsia="zh-CN" w:bidi="ar-SA"/>
              </w:rPr>
              <w:t>年度）入选过“信用中国”网站（www.creditchina.gov.cn）“守信激励对象”的每个年度得2.</w:t>
            </w:r>
            <w:r>
              <w:rPr>
                <w:rFonts w:hint="eastAsia" w:cs="宋体"/>
                <w:color w:val="auto"/>
                <w:sz w:val="21"/>
                <w:szCs w:val="21"/>
                <w:lang w:val="en-US" w:eastAsia="zh-CN" w:bidi="ar-SA"/>
              </w:rPr>
              <w:t>0</w:t>
            </w:r>
            <w:r>
              <w:rPr>
                <w:rFonts w:hint="eastAsia" w:ascii="宋体" w:hAnsi="宋体" w:eastAsia="宋体" w:cs="宋体"/>
                <w:color w:val="auto"/>
                <w:sz w:val="21"/>
                <w:szCs w:val="21"/>
                <w:lang w:val="en-US" w:eastAsia="zh-CN" w:bidi="ar-SA"/>
              </w:rPr>
              <w:t>分，满分</w:t>
            </w:r>
            <w:r>
              <w:rPr>
                <w:rFonts w:hint="eastAsia" w:cs="宋体"/>
                <w:color w:val="auto"/>
                <w:sz w:val="21"/>
                <w:szCs w:val="21"/>
                <w:lang w:val="en-US" w:eastAsia="zh-CN" w:bidi="ar-SA"/>
              </w:rPr>
              <w:t>6</w:t>
            </w:r>
            <w:r>
              <w:rPr>
                <w:rFonts w:hint="eastAsia" w:ascii="宋体" w:hAnsi="宋体" w:eastAsia="宋体" w:cs="宋体"/>
                <w:color w:val="auto"/>
                <w:sz w:val="21"/>
                <w:szCs w:val="21"/>
                <w:lang w:val="en-US" w:eastAsia="zh-CN" w:bidi="ar-SA"/>
              </w:rPr>
              <w:t>分。（以“信用中国”网站（www.creditchina.gov.cn）打印件为准，否则不予得分</w:t>
            </w:r>
            <w:r>
              <w:rPr>
                <w:rFonts w:hint="eastAsia" w:cs="宋体"/>
                <w:color w:val="auto"/>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trPr>
        <w:tc>
          <w:tcPr>
            <w:tcW w:w="838" w:type="dxa"/>
            <w:vMerge w:val="continue"/>
            <w:tcBorders>
              <w:top w:val="nil"/>
            </w:tcBorders>
          </w:tcPr>
          <w:p>
            <w:pPr>
              <w:rPr>
                <w:sz w:val="2"/>
                <w:szCs w:val="2"/>
              </w:rPr>
            </w:pPr>
          </w:p>
        </w:tc>
        <w:tc>
          <w:tcPr>
            <w:tcW w:w="1037" w:type="dxa"/>
          </w:tcPr>
          <w:p>
            <w:pPr>
              <w:pStyle w:val="33"/>
              <w:rPr>
                <w:b/>
                <w:color w:val="auto"/>
                <w:sz w:val="20"/>
              </w:rPr>
            </w:pPr>
          </w:p>
          <w:p>
            <w:pPr>
              <w:pStyle w:val="33"/>
              <w:rPr>
                <w:b/>
                <w:color w:val="auto"/>
                <w:sz w:val="20"/>
              </w:rPr>
            </w:pPr>
          </w:p>
          <w:p>
            <w:pPr>
              <w:pStyle w:val="33"/>
              <w:spacing w:before="10"/>
              <w:rPr>
                <w:b/>
                <w:color w:val="auto"/>
                <w:sz w:val="22"/>
              </w:rPr>
            </w:pPr>
          </w:p>
          <w:p>
            <w:pPr>
              <w:pStyle w:val="33"/>
              <w:spacing w:before="1"/>
              <w:ind w:left="1"/>
              <w:jc w:val="center"/>
              <w:rPr>
                <w:rFonts w:ascii="Calibri"/>
                <w:color w:val="auto"/>
                <w:sz w:val="21"/>
              </w:rPr>
            </w:pPr>
            <w:r>
              <w:rPr>
                <w:rFonts w:ascii="Calibri"/>
                <w:color w:val="auto"/>
                <w:w w:val="100"/>
                <w:sz w:val="21"/>
              </w:rPr>
              <w:t>5</w:t>
            </w:r>
          </w:p>
        </w:tc>
        <w:tc>
          <w:tcPr>
            <w:tcW w:w="6796" w:type="dxa"/>
          </w:tcPr>
          <w:p>
            <w:pPr>
              <w:pStyle w:val="33"/>
              <w:spacing w:line="400" w:lineRule="auto"/>
              <w:ind w:right="103"/>
              <w:jc w:val="both"/>
              <w:rPr>
                <w:color w:val="auto"/>
                <w:sz w:val="21"/>
              </w:rPr>
            </w:pPr>
            <w:r>
              <w:rPr>
                <w:rFonts w:hint="eastAsia" w:ascii="宋体" w:hAnsi="宋体" w:eastAsia="宋体" w:cs="宋体"/>
                <w:color w:val="auto"/>
                <w:sz w:val="21"/>
                <w:szCs w:val="21"/>
                <w:lang w:val="en-US" w:eastAsia="zh-CN" w:bidi="ar-SA"/>
              </w:rPr>
              <w:t>投标人截标之日前三年内完成过</w:t>
            </w:r>
            <w:r>
              <w:rPr>
                <w:rFonts w:hint="eastAsia" w:cs="宋体"/>
                <w:color w:val="auto"/>
                <w:sz w:val="21"/>
                <w:szCs w:val="21"/>
                <w:lang w:val="en-US" w:eastAsia="zh-CN" w:bidi="ar-SA"/>
              </w:rPr>
              <w:t>单个合同金额200万元以上</w:t>
            </w:r>
            <w:r>
              <w:rPr>
                <w:rFonts w:hint="eastAsia" w:ascii="宋体" w:hAnsi="宋体" w:eastAsia="宋体" w:cs="宋体"/>
                <w:color w:val="auto"/>
                <w:sz w:val="21"/>
                <w:szCs w:val="21"/>
                <w:lang w:val="en-US" w:eastAsia="zh-CN" w:bidi="ar-SA"/>
              </w:rPr>
              <w:t>土地开垦项目或</w:t>
            </w:r>
            <w:r>
              <w:rPr>
                <w:rFonts w:hint="eastAsia" w:cs="宋体"/>
                <w:color w:val="auto"/>
                <w:sz w:val="21"/>
                <w:szCs w:val="21"/>
                <w:lang w:val="en-US" w:eastAsia="zh-CN" w:bidi="ar-SA"/>
              </w:rPr>
              <w:t>耕地提质改造（旱改水）或</w:t>
            </w:r>
            <w:r>
              <w:rPr>
                <w:rFonts w:hint="eastAsia" w:ascii="宋体" w:hAnsi="宋体" w:eastAsia="宋体" w:cs="宋体"/>
                <w:color w:val="auto"/>
                <w:sz w:val="21"/>
                <w:szCs w:val="21"/>
                <w:lang w:val="en-US" w:eastAsia="zh-CN" w:bidi="ar-SA"/>
              </w:rPr>
              <w:t xml:space="preserve">土地整治项目或新增千亿斤粮食产能田间工程的业绩，每个得 1 分，满分 </w:t>
            </w:r>
            <w:r>
              <w:rPr>
                <w:rFonts w:hint="eastAsia" w:cs="宋体"/>
                <w:color w:val="auto"/>
                <w:sz w:val="21"/>
                <w:szCs w:val="21"/>
                <w:lang w:val="en-US" w:eastAsia="zh-CN" w:bidi="ar-SA"/>
              </w:rPr>
              <w:t>6</w:t>
            </w:r>
            <w:r>
              <w:rPr>
                <w:rFonts w:hint="eastAsia" w:ascii="宋体" w:hAnsi="宋体" w:eastAsia="宋体" w:cs="宋体"/>
                <w:color w:val="auto"/>
                <w:sz w:val="21"/>
                <w:szCs w:val="21"/>
                <w:lang w:val="en-US" w:eastAsia="zh-CN" w:bidi="ar-SA"/>
              </w:rPr>
              <w:t xml:space="preserve"> 分；（业绩证明材料必须从广西水利工程建设项目管理信息系统或广西建筑业企业诚信信息库中打印且清晰，须打印中标通知书和施工合同及竣工或完工验收证明，</w:t>
            </w:r>
            <w:r>
              <w:rPr>
                <w:rFonts w:hint="eastAsia" w:ascii="宋体" w:hAnsi="宋体" w:eastAsia="宋体" w:cs="宋体"/>
                <w:b/>
                <w:bCs/>
                <w:color w:val="auto"/>
                <w:sz w:val="21"/>
                <w:szCs w:val="21"/>
                <w:lang w:val="en-US" w:eastAsia="zh-CN" w:bidi="ar-SA"/>
              </w:rPr>
              <w:t>且需提供原件核查，否则不予得分）</w:t>
            </w:r>
          </w:p>
        </w:tc>
      </w:tr>
    </w:tbl>
    <w:p/>
    <w:sectPr>
      <w:pgSz w:w="11910" w:h="16840"/>
      <w:pgMar w:top="1200" w:right="1420" w:bottom="1160" w:left="1580" w:header="0" w:footer="97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swiss"/>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Arial Unicode MS">
    <w:altName w:val="宋体"/>
    <w:panose1 w:val="00000000000000000000"/>
    <w:charset w:val="86"/>
    <w:family w:val="swiss"/>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503032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030328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N4rhSwAQAA&#10;TwMAAA4AAAAAAAAAAQAgAAAAHgEAAGRycy9lMm9Eb2MueG1sUEsFBgAAAAAGAAYAWQEAAEAFAAAA&#10;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ind w:left="0"/>
      <w:rPr>
        <w:sz w:val="20"/>
      </w:rPr>
    </w:pPr>
    <w:r>
      <mc:AlternateContent>
        <mc:Choice Requires="wps">
          <w:drawing>
            <wp:anchor distT="0" distB="0" distL="114300" distR="114300" simplePos="0" relativeHeight="503021568" behindDoc="1" locked="0" layoutInCell="1" allowOverlap="1">
              <wp:simplePos x="0" y="0"/>
              <wp:positionH relativeFrom="page">
                <wp:posOffset>3713480</wp:posOffset>
              </wp:positionH>
              <wp:positionV relativeFrom="page">
                <wp:posOffset>9933305</wp:posOffset>
              </wp:positionV>
              <wp:extent cx="224790" cy="139700"/>
              <wp:effectExtent l="0" t="0" r="0" b="0"/>
              <wp:wrapNone/>
              <wp:docPr id="276" name="文本框 8"/>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131</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2.4pt;margin-top:782.15pt;height:11pt;width:17.7pt;mso-position-horizontal-relative:page;mso-position-vertical-relative:page;z-index:-294912;mso-width-relative:page;mso-height-relative:page;" filled="f" stroked="f" coordsize="21600,21600" o:gfxdata="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safC9sAAAANAQAADwAA&#10;AAAAAAABACAAAAAiAAAAZHJzL2Rvd25yZXYueG1sUEsBAhQAFAAAAAgAh07iQOCs6NmhAQAAJQMA&#10;AA4AAAAAAAAAAQAgAAAAKgEAAGRycy9lMm9Eb2MueG1sUEsFBgAAAAAGAAYAWQEAAD0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ind w:left="0"/>
      <w:rPr>
        <w:sz w:val="20"/>
      </w:rPr>
    </w:pPr>
    <w:r>
      <mc:AlternateContent>
        <mc:Choice Requires="wps">
          <w:drawing>
            <wp:anchor distT="0" distB="0" distL="114300" distR="114300" simplePos="0" relativeHeight="503021568" behindDoc="1" locked="0" layoutInCell="1" allowOverlap="1">
              <wp:simplePos x="0" y="0"/>
              <wp:positionH relativeFrom="page">
                <wp:posOffset>3726180</wp:posOffset>
              </wp:positionH>
              <wp:positionV relativeFrom="page">
                <wp:posOffset>9933305</wp:posOffset>
              </wp:positionV>
              <wp:extent cx="199390" cy="139700"/>
              <wp:effectExtent l="0" t="0" r="0" b="0"/>
              <wp:wrapNone/>
              <wp:docPr id="278" name="文本框 9"/>
              <wp:cNvGraphicFramePr/>
              <a:graphic xmlns:a="http://schemas.openxmlformats.org/drawingml/2006/main">
                <a:graphicData uri="http://schemas.microsoft.com/office/word/2010/wordprocessingShape">
                  <wps:wsp>
                    <wps:cNvSpPr txBox="1"/>
                    <wps:spPr>
                      <a:xfrm>
                        <a:off x="0" y="0"/>
                        <a:ext cx="19939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140</w:t>
                          </w:r>
                        </w:p>
                      </w:txbxContent>
                    </wps:txbx>
                    <wps:bodyPr lIns="0" tIns="0" rIns="0" bIns="0" upright="1"/>
                  </wps:wsp>
                </a:graphicData>
              </a:graphic>
            </wp:anchor>
          </w:drawing>
        </mc:Choice>
        <mc:Fallback>
          <w:pict>
            <v:shape id="文本框 9" o:spid="_x0000_s1026" o:spt="202" type="#_x0000_t202" style="position:absolute;left:0pt;margin-left:293.4pt;margin-top:782.15pt;height:11pt;width:15.7pt;mso-position-horizontal-relative:page;mso-position-vertical-relative:page;z-index:-294912;mso-width-relative:page;mso-height-relative:page;" filled="f" stroked="f" coordsize="21600,21600" o:gfxdata="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7kA5doAAAANAQAADwAAAAAA&#10;AAABACAAAAAiAAAAZHJzL2Rvd25yZXYueG1sUEsBAhQAFAAAAAgAh07iQOAi+QCfAQAAJQMAAA4A&#10;AAAAAAAAAQAgAAAAKQEAAGRycy9lMm9Eb2MueG1sUEsFBgAAAAAGAAYAWQEAADo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140</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ind w:left="0"/>
      <w:rPr>
        <w:sz w:val="20"/>
      </w:rPr>
    </w:pPr>
    <w:r>
      <mc:AlternateContent>
        <mc:Choice Requires="wps">
          <w:drawing>
            <wp:anchor distT="0" distB="0" distL="114300" distR="114300" simplePos="0" relativeHeight="503021568" behindDoc="1" locked="0" layoutInCell="1" allowOverlap="1">
              <wp:simplePos x="0" y="0"/>
              <wp:positionH relativeFrom="page">
                <wp:posOffset>3713480</wp:posOffset>
              </wp:positionH>
              <wp:positionV relativeFrom="page">
                <wp:posOffset>9933305</wp:posOffset>
              </wp:positionV>
              <wp:extent cx="224790" cy="139700"/>
              <wp:effectExtent l="0" t="0" r="0" b="0"/>
              <wp:wrapNone/>
              <wp:docPr id="280" name="文本框 10"/>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141</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2.4pt;margin-top:782.15pt;height:11pt;width:17.7pt;mso-position-horizontal-relative:page;mso-position-vertical-relative:page;z-index:-294912;mso-width-relative:page;mso-height-relative:page;" filled="f" stroked="f" coordsize="21600,21600" o:gfxdata="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Kxp8L2wAAAA0BAAAPAAAA&#10;AAAAAAEAIAAAACIAAABkcnMvZG93bnJldi54bWxQSwECFAAUAAAACACHTuJAe81K/6ABAAAmAwAA&#10;DgAAAAAAAAABACAAAAAqAQAAZHJzL2Uyb0RvYy54bWxQSwUGAAAAAAYABgBZAQAAP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ind w:left="0"/>
      <w:rPr>
        <w:sz w:val="15"/>
      </w:rPr>
    </w:pPr>
    <w:r>
      <mc:AlternateContent>
        <mc:Choice Requires="wps">
          <w:drawing>
            <wp:anchor distT="0" distB="0" distL="114300" distR="114300" simplePos="0" relativeHeight="503021568" behindDoc="1" locked="0" layoutInCell="1" allowOverlap="1">
              <wp:simplePos x="0" y="0"/>
              <wp:positionH relativeFrom="page">
                <wp:posOffset>3655695</wp:posOffset>
              </wp:positionH>
              <wp:positionV relativeFrom="page">
                <wp:posOffset>9930130</wp:posOffset>
              </wp:positionV>
              <wp:extent cx="252095" cy="160020"/>
              <wp:effectExtent l="0" t="0" r="0" b="0"/>
              <wp:wrapNone/>
              <wp:docPr id="262" name="文本框 1"/>
              <wp:cNvGraphicFramePr/>
              <a:graphic xmlns:a="http://schemas.openxmlformats.org/drawingml/2006/main">
                <a:graphicData uri="http://schemas.microsoft.com/office/word/2010/wordprocessingShape">
                  <wps:wsp>
                    <wps:cNvSpPr txBox="1"/>
                    <wps:spPr>
                      <a:xfrm>
                        <a:off x="0" y="0"/>
                        <a:ext cx="252095" cy="160020"/>
                      </a:xfrm>
                      <a:prstGeom prst="rect">
                        <a:avLst/>
                      </a:prstGeom>
                      <a:noFill/>
                      <a:ln>
                        <a:noFill/>
                      </a:ln>
                    </wps:spPr>
                    <wps:txbx>
                      <w:txbxContent>
                        <w:p>
                          <w:pPr>
                            <w:pStyle w:val="13"/>
                            <w:spacing w:line="231" w:lineRule="exact"/>
                            <w:ind w:left="40"/>
                            <w:rPr>
                              <w:rFonts w:ascii="仿宋"/>
                            </w:rPr>
                          </w:pPr>
                          <w:r>
                            <w:fldChar w:fldCharType="begin"/>
                          </w:r>
                          <w:r>
                            <w:rPr>
                              <w:rFonts w:ascii="仿宋"/>
                            </w:rPr>
                            <w:instrText xml:space="preserve"> PAGE </w:instrText>
                          </w:r>
                          <w:r>
                            <w:fldChar w:fldCharType="separate"/>
                          </w:r>
                          <w:r>
                            <w:t>100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87.85pt;margin-top:781.9pt;height:12.6pt;width:19.85pt;mso-position-horizontal-relative:page;mso-position-vertical-relative:page;z-index:-294912;mso-width-relative:page;mso-height-relative:page;" filled="f" stroked="f" coordsize="21600,21600" o:gfxdata="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SKtOK2wAAAA0BAAAPAAAA&#10;AAAAAAEAIAAAACIAAABkcnMvZG93bnJldi54bWxQSwECFAAUAAAACACHTuJA6cClW6ABAAAlAwAA&#10;DgAAAAAAAAABACAAAAAqAQAAZHJzL2Uyb0RvYy54bWxQSwUGAAAAAAYABgBZAQAAPAUAAAAA&#10;">
              <v:fill on="f" focussize="0,0"/>
              <v:stroke on="f"/>
              <v:imagedata o:title=""/>
              <o:lock v:ext="edit" aspectratio="f"/>
              <v:textbox inset="0mm,0mm,0mm,0mm">
                <w:txbxContent>
                  <w:p>
                    <w:pPr>
                      <w:pStyle w:val="13"/>
                      <w:spacing w:line="231" w:lineRule="exact"/>
                      <w:ind w:left="40"/>
                      <w:rPr>
                        <w:rFonts w:ascii="仿宋"/>
                      </w:rPr>
                    </w:pPr>
                    <w:r>
                      <w:fldChar w:fldCharType="begin"/>
                    </w:r>
                    <w:r>
                      <w:rPr>
                        <w:rFonts w:ascii="仿宋"/>
                      </w:rPr>
                      <w:instrText xml:space="preserve"> PAGE </w:instrText>
                    </w:r>
                    <w:r>
                      <w:fldChar w:fldCharType="separate"/>
                    </w:r>
                    <w:r>
                      <w:t>100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ind w:left="0"/>
      <w:rPr>
        <w:sz w:val="20"/>
      </w:rPr>
    </w:pPr>
    <w:r>
      <mc:AlternateContent>
        <mc:Choice Requires="wps">
          <w:drawing>
            <wp:anchor distT="0" distB="0" distL="114300" distR="114300" simplePos="0" relativeHeight="503021568" behindDoc="1" locked="0" layoutInCell="1" allowOverlap="1">
              <wp:simplePos x="0" y="0"/>
              <wp:positionH relativeFrom="page">
                <wp:posOffset>3713480</wp:posOffset>
              </wp:positionH>
              <wp:positionV relativeFrom="page">
                <wp:posOffset>9933305</wp:posOffset>
              </wp:positionV>
              <wp:extent cx="224790" cy="139700"/>
              <wp:effectExtent l="0" t="0" r="0" b="0"/>
              <wp:wrapNone/>
              <wp:docPr id="264" name="文本框 2"/>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103</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2.4pt;margin-top:782.15pt;height:11pt;width:17.7pt;mso-position-horizontal-relative:page;mso-position-vertical-relative:page;z-index:-294912;mso-width-relative:page;mso-height-relative:page;" filled="f" stroked="f" coordsize="21600,21600" o:gfxdata="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safC9sAAAANAQAADwAA&#10;AAAAAAABACAAAAAiAAAAZHJzL2Rvd25yZXYueG1sUEsBAhQAFAAAAAgAh07iQNO+nDahAQAAJQMA&#10;AA4AAAAAAAAAAQAgAAAAKgEAAGRycy9lMm9Eb2MueG1sUEsFBgAAAAAGAAYAWQEAAD0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ind w:left="0"/>
      <w:rPr>
        <w:sz w:val="20"/>
      </w:rPr>
    </w:pPr>
    <w:r>
      <mc:AlternateContent>
        <mc:Choice Requires="wps">
          <w:drawing>
            <wp:anchor distT="0" distB="0" distL="114300" distR="114300" simplePos="0" relativeHeight="503021568" behindDoc="1" locked="0" layoutInCell="1" allowOverlap="1">
              <wp:simplePos x="0" y="0"/>
              <wp:positionH relativeFrom="page">
                <wp:posOffset>3726180</wp:posOffset>
              </wp:positionH>
              <wp:positionV relativeFrom="page">
                <wp:posOffset>9933305</wp:posOffset>
              </wp:positionV>
              <wp:extent cx="199390" cy="139700"/>
              <wp:effectExtent l="0" t="0" r="0" b="0"/>
              <wp:wrapNone/>
              <wp:docPr id="266" name="文本框 3"/>
              <wp:cNvGraphicFramePr/>
              <a:graphic xmlns:a="http://schemas.openxmlformats.org/drawingml/2006/main">
                <a:graphicData uri="http://schemas.microsoft.com/office/word/2010/wordprocessingShape">
                  <wps:wsp>
                    <wps:cNvSpPr txBox="1"/>
                    <wps:spPr>
                      <a:xfrm>
                        <a:off x="0" y="0"/>
                        <a:ext cx="19939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110</w:t>
                          </w:r>
                        </w:p>
                      </w:txbxContent>
                    </wps:txbx>
                    <wps:bodyPr lIns="0" tIns="0" rIns="0" bIns="0" upright="1"/>
                  </wps:wsp>
                </a:graphicData>
              </a:graphic>
            </wp:anchor>
          </w:drawing>
        </mc:Choice>
        <mc:Fallback>
          <w:pict>
            <v:shape id="文本框 3" o:spid="_x0000_s1026" o:spt="202" type="#_x0000_t202" style="position:absolute;left:0pt;margin-left:293.4pt;margin-top:782.15pt;height:11pt;width:15.7pt;mso-position-horizontal-relative:page;mso-position-vertical-relative:page;z-index:-294912;mso-width-relative:page;mso-height-relative:page;" filled="f" stroked="f" coordsize="21600,21600" o:gfxdata="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5AOXaAAAADQEAAA8AAAAA&#10;AAAAAQAgAAAAIgAAAGRycy9kb3ducmV2LnhtbFBLAQIUABQAAAAIAIdO4kDhAbp+oAEAACUDAAAO&#10;AAAAAAAAAAEAIAAAACkBAABkcnMvZTJvRG9jLnhtbFBLBQYAAAAABgAGAFkBAAA7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110</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ind w:left="0"/>
      <w:rPr>
        <w:sz w:val="20"/>
      </w:rPr>
    </w:pPr>
    <w:r>
      <mc:AlternateContent>
        <mc:Choice Requires="wps">
          <w:drawing>
            <wp:anchor distT="0" distB="0" distL="114300" distR="114300" simplePos="0" relativeHeight="503021568" behindDoc="1" locked="0" layoutInCell="1" allowOverlap="1">
              <wp:simplePos x="0" y="0"/>
              <wp:positionH relativeFrom="page">
                <wp:posOffset>3713480</wp:posOffset>
              </wp:positionH>
              <wp:positionV relativeFrom="page">
                <wp:posOffset>9933305</wp:posOffset>
              </wp:positionV>
              <wp:extent cx="224790" cy="139700"/>
              <wp:effectExtent l="0" t="0" r="0" b="0"/>
              <wp:wrapNone/>
              <wp:docPr id="268" name="文本框 4"/>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111</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2.4pt;margin-top:782.15pt;height:11pt;width:17.7pt;mso-position-horizontal-relative:page;mso-position-vertical-relative:page;z-index:-294912;mso-width-relative:page;mso-height-relative:page;" filled="f" stroked="f" coordsize="21600,21600" o:gfxdata="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Kxp8L2wAAAA0BAAAPAAAA&#10;AAAAAAEAIAAAACIAAABkcnMvZG93bnJldi54bWxQSwECFAAUAAAACACHTuJAxD8mk6ABAAAlAwAA&#10;DgAAAAAAAAABACAAAAAqAQAAZHJzL2Uyb0RvYy54bWxQSwUGAAAAAAYABgBZAQAAPA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ind w:left="0"/>
      <w:rPr>
        <w:sz w:val="20"/>
      </w:rPr>
    </w:pPr>
    <w:r>
      <mc:AlternateContent>
        <mc:Choice Requires="wps">
          <w:drawing>
            <wp:anchor distT="0" distB="0" distL="114300" distR="114300" simplePos="0" relativeHeight="503021568" behindDoc="1" locked="0" layoutInCell="1" allowOverlap="1">
              <wp:simplePos x="0" y="0"/>
              <wp:positionH relativeFrom="page">
                <wp:posOffset>3726180</wp:posOffset>
              </wp:positionH>
              <wp:positionV relativeFrom="page">
                <wp:posOffset>9933305</wp:posOffset>
              </wp:positionV>
              <wp:extent cx="199390" cy="139700"/>
              <wp:effectExtent l="0" t="0" r="0" b="0"/>
              <wp:wrapNone/>
              <wp:docPr id="270" name="文本框 5"/>
              <wp:cNvGraphicFramePr/>
              <a:graphic xmlns:a="http://schemas.openxmlformats.org/drawingml/2006/main">
                <a:graphicData uri="http://schemas.microsoft.com/office/word/2010/wordprocessingShape">
                  <wps:wsp>
                    <wps:cNvSpPr txBox="1"/>
                    <wps:spPr>
                      <a:xfrm>
                        <a:off x="0" y="0"/>
                        <a:ext cx="19939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120</w:t>
                          </w:r>
                        </w:p>
                      </w:txbxContent>
                    </wps:txbx>
                    <wps:bodyPr lIns="0" tIns="0" rIns="0" bIns="0" upright="1"/>
                  </wps:wsp>
                </a:graphicData>
              </a:graphic>
            </wp:anchor>
          </w:drawing>
        </mc:Choice>
        <mc:Fallback>
          <w:pict>
            <v:shape id="文本框 5" o:spid="_x0000_s1026" o:spt="202" type="#_x0000_t202" style="position:absolute;left:0pt;margin-left:293.4pt;margin-top:782.15pt;height:11pt;width:15.7pt;mso-position-horizontal-relative:page;mso-position-vertical-relative:page;z-index:-294912;mso-width-relative:page;mso-height-relative:page;" filled="f" stroked="f" coordsize="21600,21600" o:gfxdata="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H7kA5doAAAANAQAADwAAAAAA&#10;AAABACAAAAAiAAAAZHJzL2Rvd25yZXYueG1sUEsBAhQAFAAAAAgAh07iQHZjOIifAQAAJQMAAA4A&#10;AAAAAAAAAQAgAAAAKQEAAGRycy9lMm9Eb2MueG1sUEsFBgAAAAAGAAYAWQEAADo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120</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ind w:left="0"/>
      <w:rPr>
        <w:sz w:val="20"/>
      </w:rPr>
    </w:pPr>
    <w:r>
      <mc:AlternateContent>
        <mc:Choice Requires="wps">
          <w:drawing>
            <wp:anchor distT="0" distB="0" distL="114300" distR="114300" simplePos="0" relativeHeight="503021568" behindDoc="1" locked="0" layoutInCell="1" allowOverlap="1">
              <wp:simplePos x="0" y="0"/>
              <wp:positionH relativeFrom="page">
                <wp:posOffset>3713480</wp:posOffset>
              </wp:positionH>
              <wp:positionV relativeFrom="page">
                <wp:posOffset>9933305</wp:posOffset>
              </wp:positionV>
              <wp:extent cx="224790" cy="139700"/>
              <wp:effectExtent l="0" t="0" r="0" b="0"/>
              <wp:wrapNone/>
              <wp:docPr id="272" name="文本框 6"/>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121</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2.4pt;margin-top:782.15pt;height:11pt;width:17.7pt;mso-position-horizontal-relative:page;mso-position-vertical-relative:page;z-index:-294912;mso-width-relative:page;mso-height-relative:page;" filled="f" stroked="f" coordsize="21600,21600" o:gfxdata="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safC9sAAAANAQAADwAA&#10;AAAAAAABACAAAAAiAAAAZHJzL2Rvd25yZXYueG1sUEsBAhQAFAAAAAgAh07iQJixSmWhAQAAJQMA&#10;AA4AAAAAAAAAAQAgAAAAKgEAAGRycy9lMm9Eb2MueG1sUEsFBgAAAAAGAAYAWQEAAD0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ind w:left="0"/>
      <w:rPr>
        <w:sz w:val="20"/>
      </w:rPr>
    </w:pPr>
    <w:r>
      <mc:AlternateContent>
        <mc:Choice Requires="wps">
          <w:drawing>
            <wp:anchor distT="0" distB="0" distL="114300" distR="114300" simplePos="0" relativeHeight="503021568" behindDoc="1" locked="0" layoutInCell="1" allowOverlap="1">
              <wp:simplePos x="0" y="0"/>
              <wp:positionH relativeFrom="page">
                <wp:posOffset>3726180</wp:posOffset>
              </wp:positionH>
              <wp:positionV relativeFrom="page">
                <wp:posOffset>9933305</wp:posOffset>
              </wp:positionV>
              <wp:extent cx="199390" cy="139700"/>
              <wp:effectExtent l="0" t="0" r="0" b="0"/>
              <wp:wrapNone/>
              <wp:docPr id="274" name="文本框 7"/>
              <wp:cNvGraphicFramePr/>
              <a:graphic xmlns:a="http://schemas.openxmlformats.org/drawingml/2006/main">
                <a:graphicData uri="http://schemas.microsoft.com/office/word/2010/wordprocessingShape">
                  <wps:wsp>
                    <wps:cNvSpPr txBox="1"/>
                    <wps:spPr>
                      <a:xfrm>
                        <a:off x="0" y="0"/>
                        <a:ext cx="19939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130</w:t>
                          </w:r>
                        </w:p>
                      </w:txbxContent>
                    </wps:txbx>
                    <wps:bodyPr lIns="0" tIns="0" rIns="0" bIns="0" upright="1"/>
                  </wps:wsp>
                </a:graphicData>
              </a:graphic>
            </wp:anchor>
          </w:drawing>
        </mc:Choice>
        <mc:Fallback>
          <w:pict>
            <v:shape id="文本框 7" o:spid="_x0000_s1026" o:spt="202" type="#_x0000_t202" style="position:absolute;left:0pt;margin-left:293.4pt;margin-top:782.15pt;height:11pt;width:15.7pt;mso-position-horizontal-relative:page;mso-position-vertical-relative:page;z-index:-294912;mso-width-relative:page;mso-height-relative:page;" filled="f" stroked="f" coordsize="21600,21600" o:gfxdata="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5AOXaAAAADQEAAA8AAAAA&#10;AAAAAQAgAAAAIgAAAGRycy9kb3ducmV2LnhtbFBLAQIUABQAAAAIAIdO4kBEHoFdoAEAACUDAAAO&#10;AAAAAAAAAAEAIAAAACkBAABkcnMvZTJvRG9jLnhtbFBLBQYAAAAABgAGAFkBAAA7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130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9"/>
      <w:numFmt w:val="decimal"/>
      <w:lvlText w:val="%1"/>
      <w:lvlJc w:val="left"/>
      <w:pPr>
        <w:ind w:left="905" w:hanging="370"/>
        <w:jc w:val="left"/>
      </w:pPr>
      <w:rPr>
        <w:rFonts w:hint="default"/>
      </w:rPr>
    </w:lvl>
    <w:lvl w:ilvl="1" w:tentative="0">
      <w:start w:val="2"/>
      <w:numFmt w:val="decimal"/>
      <w:lvlText w:val="%1.%2"/>
      <w:lvlJc w:val="left"/>
      <w:pPr>
        <w:ind w:left="905" w:hanging="370"/>
        <w:jc w:val="left"/>
      </w:pPr>
      <w:rPr>
        <w:rFonts w:hint="default" w:ascii="宋体" w:hAnsi="宋体" w:eastAsia="宋体" w:cs="宋体"/>
        <w:b/>
        <w:bCs/>
        <w:w w:val="99"/>
        <w:sz w:val="21"/>
        <w:szCs w:val="21"/>
      </w:rPr>
    </w:lvl>
    <w:lvl w:ilvl="2" w:tentative="0">
      <w:start w:val="1"/>
      <w:numFmt w:val="decimal"/>
      <w:lvlText w:val="%1.%2.%3"/>
      <w:lvlJc w:val="left"/>
      <w:pPr>
        <w:ind w:left="112" w:hanging="579"/>
        <w:jc w:val="left"/>
      </w:pPr>
      <w:rPr>
        <w:rFonts w:hint="default" w:ascii="宋体" w:hAnsi="宋体" w:eastAsia="宋体" w:cs="宋体"/>
        <w:w w:val="100"/>
        <w:sz w:val="21"/>
        <w:szCs w:val="21"/>
      </w:rPr>
    </w:lvl>
    <w:lvl w:ilvl="3" w:tentative="0">
      <w:start w:val="0"/>
      <w:numFmt w:val="bullet"/>
      <w:lvlText w:val="•"/>
      <w:lvlJc w:val="left"/>
      <w:pPr>
        <w:ind w:left="2914" w:hanging="579"/>
      </w:pPr>
      <w:rPr>
        <w:rFonts w:hint="default"/>
      </w:rPr>
    </w:lvl>
    <w:lvl w:ilvl="4" w:tentative="0">
      <w:start w:val="0"/>
      <w:numFmt w:val="bullet"/>
      <w:lvlText w:val="•"/>
      <w:lvlJc w:val="left"/>
      <w:pPr>
        <w:ind w:left="3922" w:hanging="579"/>
      </w:pPr>
      <w:rPr>
        <w:rFonts w:hint="default"/>
      </w:rPr>
    </w:lvl>
    <w:lvl w:ilvl="5" w:tentative="0">
      <w:start w:val="0"/>
      <w:numFmt w:val="bullet"/>
      <w:lvlText w:val="•"/>
      <w:lvlJc w:val="left"/>
      <w:pPr>
        <w:ind w:left="4929" w:hanging="579"/>
      </w:pPr>
      <w:rPr>
        <w:rFonts w:hint="default"/>
      </w:rPr>
    </w:lvl>
    <w:lvl w:ilvl="6" w:tentative="0">
      <w:start w:val="0"/>
      <w:numFmt w:val="bullet"/>
      <w:lvlText w:val="•"/>
      <w:lvlJc w:val="left"/>
      <w:pPr>
        <w:ind w:left="5936" w:hanging="579"/>
      </w:pPr>
      <w:rPr>
        <w:rFonts w:hint="default"/>
      </w:rPr>
    </w:lvl>
    <w:lvl w:ilvl="7" w:tentative="0">
      <w:start w:val="0"/>
      <w:numFmt w:val="bullet"/>
      <w:lvlText w:val="•"/>
      <w:lvlJc w:val="left"/>
      <w:pPr>
        <w:ind w:left="6944" w:hanging="579"/>
      </w:pPr>
      <w:rPr>
        <w:rFonts w:hint="default"/>
      </w:rPr>
    </w:lvl>
    <w:lvl w:ilvl="8" w:tentative="0">
      <w:start w:val="0"/>
      <w:numFmt w:val="bullet"/>
      <w:lvlText w:val="•"/>
      <w:lvlJc w:val="left"/>
      <w:pPr>
        <w:ind w:left="7951" w:hanging="579"/>
      </w:pPr>
      <w:rPr>
        <w:rFonts w:hint="default"/>
      </w:rPr>
    </w:lvl>
  </w:abstractNum>
  <w:abstractNum w:abstractNumId="1">
    <w:nsid w:val="8461FADE"/>
    <w:multiLevelType w:val="multilevel"/>
    <w:tmpl w:val="8461FADE"/>
    <w:lvl w:ilvl="0" w:tentative="0">
      <w:start w:val="8"/>
      <w:numFmt w:val="decimal"/>
      <w:lvlText w:val="%1"/>
      <w:lvlJc w:val="left"/>
      <w:pPr>
        <w:ind w:left="958" w:hanging="423"/>
        <w:jc w:val="left"/>
      </w:pPr>
      <w:rPr>
        <w:rFonts w:hint="default"/>
      </w:rPr>
    </w:lvl>
    <w:lvl w:ilvl="1" w:tentative="0">
      <w:start w:val="6"/>
      <w:numFmt w:val="decimal"/>
      <w:lvlText w:val="%1.%2"/>
      <w:lvlJc w:val="left"/>
      <w:pPr>
        <w:ind w:left="958" w:hanging="423"/>
        <w:jc w:val="left"/>
      </w:pPr>
      <w:rPr>
        <w:rFonts w:hint="default" w:ascii="宋体" w:hAnsi="宋体" w:eastAsia="宋体" w:cs="宋体"/>
        <w:b/>
        <w:bCs/>
        <w:w w:val="99"/>
        <w:sz w:val="21"/>
        <w:szCs w:val="21"/>
      </w:rPr>
    </w:lvl>
    <w:lvl w:ilvl="2" w:tentative="0">
      <w:start w:val="1"/>
      <w:numFmt w:val="decimal"/>
      <w:lvlText w:val="%1.%2.%3"/>
      <w:lvlJc w:val="left"/>
      <w:pPr>
        <w:ind w:left="1373" w:hanging="840"/>
        <w:jc w:val="left"/>
      </w:pPr>
      <w:rPr>
        <w:rFonts w:hint="default" w:ascii="宋体" w:hAnsi="宋体" w:eastAsia="宋体" w:cs="宋体"/>
        <w:w w:val="100"/>
        <w:sz w:val="21"/>
        <w:szCs w:val="21"/>
      </w:rPr>
    </w:lvl>
    <w:lvl w:ilvl="3" w:tentative="0">
      <w:start w:val="0"/>
      <w:numFmt w:val="bullet"/>
      <w:lvlText w:val="•"/>
      <w:lvlJc w:val="left"/>
      <w:pPr>
        <w:ind w:left="3270" w:hanging="840"/>
      </w:pPr>
      <w:rPr>
        <w:rFonts w:hint="default"/>
      </w:rPr>
    </w:lvl>
    <w:lvl w:ilvl="4" w:tentative="0">
      <w:start w:val="0"/>
      <w:numFmt w:val="bullet"/>
      <w:lvlText w:val="•"/>
      <w:lvlJc w:val="left"/>
      <w:pPr>
        <w:ind w:left="4215" w:hanging="840"/>
      </w:pPr>
      <w:rPr>
        <w:rFonts w:hint="default"/>
      </w:rPr>
    </w:lvl>
    <w:lvl w:ilvl="5" w:tentative="0">
      <w:start w:val="0"/>
      <w:numFmt w:val="bullet"/>
      <w:lvlText w:val="•"/>
      <w:lvlJc w:val="left"/>
      <w:pPr>
        <w:ind w:left="5160" w:hanging="840"/>
      </w:pPr>
      <w:rPr>
        <w:rFonts w:hint="default"/>
      </w:rPr>
    </w:lvl>
    <w:lvl w:ilvl="6" w:tentative="0">
      <w:start w:val="0"/>
      <w:numFmt w:val="bullet"/>
      <w:lvlText w:val="•"/>
      <w:lvlJc w:val="left"/>
      <w:pPr>
        <w:ind w:left="6105" w:hanging="840"/>
      </w:pPr>
      <w:rPr>
        <w:rFonts w:hint="default"/>
      </w:rPr>
    </w:lvl>
    <w:lvl w:ilvl="7" w:tentative="0">
      <w:start w:val="0"/>
      <w:numFmt w:val="bullet"/>
      <w:lvlText w:val="•"/>
      <w:lvlJc w:val="left"/>
      <w:pPr>
        <w:ind w:left="7050" w:hanging="840"/>
      </w:pPr>
      <w:rPr>
        <w:rFonts w:hint="default"/>
      </w:rPr>
    </w:lvl>
    <w:lvl w:ilvl="8" w:tentative="0">
      <w:start w:val="0"/>
      <w:numFmt w:val="bullet"/>
      <w:lvlText w:val="•"/>
      <w:lvlJc w:val="left"/>
      <w:pPr>
        <w:ind w:left="7996" w:hanging="840"/>
      </w:pPr>
      <w:rPr>
        <w:rFonts w:hint="default"/>
      </w:rPr>
    </w:lvl>
  </w:abstractNum>
  <w:abstractNum w:abstractNumId="2">
    <w:nsid w:val="91995D4F"/>
    <w:multiLevelType w:val="multilevel"/>
    <w:tmpl w:val="91995D4F"/>
    <w:lvl w:ilvl="0" w:tentative="0">
      <w:start w:val="15"/>
      <w:numFmt w:val="decimal"/>
      <w:lvlText w:val="%1"/>
      <w:lvlJc w:val="left"/>
      <w:pPr>
        <w:ind w:left="1063" w:hanging="528"/>
        <w:jc w:val="left"/>
      </w:pPr>
      <w:rPr>
        <w:rFonts w:hint="default"/>
      </w:rPr>
    </w:lvl>
    <w:lvl w:ilvl="1" w:tentative="0">
      <w:start w:val="3"/>
      <w:numFmt w:val="decimal"/>
      <w:lvlText w:val="%1.%2"/>
      <w:lvlJc w:val="left"/>
      <w:pPr>
        <w:ind w:left="1063" w:hanging="528"/>
        <w:jc w:val="left"/>
      </w:pPr>
      <w:rPr>
        <w:rFonts w:hint="default" w:ascii="宋体" w:hAnsi="宋体" w:eastAsia="宋体" w:cs="宋体"/>
        <w:b/>
        <w:bCs/>
        <w:w w:val="99"/>
        <w:sz w:val="21"/>
        <w:szCs w:val="21"/>
      </w:rPr>
    </w:lvl>
    <w:lvl w:ilvl="2" w:tentative="0">
      <w:start w:val="1"/>
      <w:numFmt w:val="decimal"/>
      <w:lvlText w:val="%1.%2.%3"/>
      <w:lvlJc w:val="left"/>
      <w:pPr>
        <w:ind w:left="1270" w:hanging="737"/>
        <w:jc w:val="left"/>
      </w:pPr>
      <w:rPr>
        <w:rFonts w:hint="default" w:ascii="宋体" w:hAnsi="宋体" w:eastAsia="宋体" w:cs="宋体"/>
        <w:w w:val="100"/>
        <w:sz w:val="21"/>
        <w:szCs w:val="21"/>
      </w:rPr>
    </w:lvl>
    <w:lvl w:ilvl="3" w:tentative="0">
      <w:start w:val="0"/>
      <w:numFmt w:val="bullet"/>
      <w:lvlText w:val="•"/>
      <w:lvlJc w:val="left"/>
      <w:pPr>
        <w:ind w:left="2353" w:hanging="737"/>
      </w:pPr>
      <w:rPr>
        <w:rFonts w:hint="default"/>
      </w:rPr>
    </w:lvl>
    <w:lvl w:ilvl="4" w:tentative="0">
      <w:start w:val="0"/>
      <w:numFmt w:val="bullet"/>
      <w:lvlText w:val="•"/>
      <w:lvlJc w:val="left"/>
      <w:pPr>
        <w:ind w:left="3426" w:hanging="737"/>
      </w:pPr>
      <w:rPr>
        <w:rFonts w:hint="default"/>
      </w:rPr>
    </w:lvl>
    <w:lvl w:ilvl="5" w:tentative="0">
      <w:start w:val="0"/>
      <w:numFmt w:val="bullet"/>
      <w:lvlText w:val="•"/>
      <w:lvlJc w:val="left"/>
      <w:pPr>
        <w:ind w:left="4499" w:hanging="737"/>
      </w:pPr>
      <w:rPr>
        <w:rFonts w:hint="default"/>
      </w:rPr>
    </w:lvl>
    <w:lvl w:ilvl="6" w:tentative="0">
      <w:start w:val="0"/>
      <w:numFmt w:val="bullet"/>
      <w:lvlText w:val="•"/>
      <w:lvlJc w:val="left"/>
      <w:pPr>
        <w:ind w:left="5573" w:hanging="737"/>
      </w:pPr>
      <w:rPr>
        <w:rFonts w:hint="default"/>
      </w:rPr>
    </w:lvl>
    <w:lvl w:ilvl="7" w:tentative="0">
      <w:start w:val="0"/>
      <w:numFmt w:val="bullet"/>
      <w:lvlText w:val="•"/>
      <w:lvlJc w:val="left"/>
      <w:pPr>
        <w:ind w:left="6646" w:hanging="737"/>
      </w:pPr>
      <w:rPr>
        <w:rFonts w:hint="default"/>
      </w:rPr>
    </w:lvl>
    <w:lvl w:ilvl="8" w:tentative="0">
      <w:start w:val="0"/>
      <w:numFmt w:val="bullet"/>
      <w:lvlText w:val="•"/>
      <w:lvlJc w:val="left"/>
      <w:pPr>
        <w:ind w:left="7719" w:hanging="737"/>
      </w:pPr>
      <w:rPr>
        <w:rFonts w:hint="default"/>
      </w:rPr>
    </w:lvl>
  </w:abstractNum>
  <w:abstractNum w:abstractNumId="3">
    <w:nsid w:val="9239341B"/>
    <w:multiLevelType w:val="multilevel"/>
    <w:tmpl w:val="9239341B"/>
    <w:lvl w:ilvl="0" w:tentative="0">
      <w:start w:val="1"/>
      <w:numFmt w:val="decimal"/>
      <w:lvlText w:val="%1"/>
      <w:lvlJc w:val="left"/>
      <w:pPr>
        <w:ind w:left="1164" w:hanging="629"/>
        <w:jc w:val="left"/>
      </w:pPr>
      <w:rPr>
        <w:rFonts w:hint="default"/>
      </w:rPr>
    </w:lvl>
    <w:lvl w:ilvl="1" w:tentative="0">
      <w:start w:val="1"/>
      <w:numFmt w:val="decimal"/>
      <w:lvlText w:val="%1.%2"/>
      <w:lvlJc w:val="left"/>
      <w:pPr>
        <w:ind w:left="1164" w:hanging="629"/>
        <w:jc w:val="left"/>
      </w:pPr>
      <w:rPr>
        <w:rFonts w:hint="default"/>
      </w:rPr>
    </w:lvl>
    <w:lvl w:ilvl="2" w:tentative="0">
      <w:start w:val="2"/>
      <w:numFmt w:val="decimal"/>
      <w:lvlText w:val="%1.%2.%3"/>
      <w:lvlJc w:val="left"/>
      <w:pPr>
        <w:ind w:left="1164" w:hanging="629"/>
        <w:jc w:val="left"/>
      </w:pPr>
      <w:rPr>
        <w:rFonts w:hint="default" w:ascii="宋体" w:hAnsi="宋体" w:eastAsia="宋体" w:cs="宋体"/>
        <w:spacing w:val="-3"/>
        <w:w w:val="100"/>
        <w:sz w:val="21"/>
        <w:szCs w:val="21"/>
      </w:rPr>
    </w:lvl>
    <w:lvl w:ilvl="3" w:tentative="0">
      <w:start w:val="1"/>
      <w:numFmt w:val="decimal"/>
      <w:lvlText w:val="%1.%2.%3.%4"/>
      <w:lvlJc w:val="left"/>
      <w:pPr>
        <w:ind w:left="112" w:hanging="843"/>
        <w:jc w:val="left"/>
      </w:pPr>
      <w:rPr>
        <w:rFonts w:hint="default" w:ascii="宋体" w:hAnsi="宋体" w:eastAsia="宋体" w:cs="宋体"/>
        <w:spacing w:val="-3"/>
        <w:w w:val="100"/>
        <w:sz w:val="21"/>
        <w:szCs w:val="21"/>
      </w:rPr>
    </w:lvl>
    <w:lvl w:ilvl="4" w:tentative="0">
      <w:start w:val="0"/>
      <w:numFmt w:val="bullet"/>
      <w:lvlText w:val="•"/>
      <w:lvlJc w:val="left"/>
      <w:pPr>
        <w:ind w:left="4095" w:hanging="843"/>
      </w:pPr>
      <w:rPr>
        <w:rFonts w:hint="default"/>
      </w:rPr>
    </w:lvl>
    <w:lvl w:ilvl="5" w:tentative="0">
      <w:start w:val="0"/>
      <w:numFmt w:val="bullet"/>
      <w:lvlText w:val="•"/>
      <w:lvlJc w:val="left"/>
      <w:pPr>
        <w:ind w:left="5073" w:hanging="843"/>
      </w:pPr>
      <w:rPr>
        <w:rFonts w:hint="default"/>
      </w:rPr>
    </w:lvl>
    <w:lvl w:ilvl="6" w:tentative="0">
      <w:start w:val="0"/>
      <w:numFmt w:val="bullet"/>
      <w:lvlText w:val="•"/>
      <w:lvlJc w:val="left"/>
      <w:pPr>
        <w:ind w:left="6052" w:hanging="843"/>
      </w:pPr>
      <w:rPr>
        <w:rFonts w:hint="default"/>
      </w:rPr>
    </w:lvl>
    <w:lvl w:ilvl="7" w:tentative="0">
      <w:start w:val="0"/>
      <w:numFmt w:val="bullet"/>
      <w:lvlText w:val="•"/>
      <w:lvlJc w:val="left"/>
      <w:pPr>
        <w:ind w:left="7030" w:hanging="843"/>
      </w:pPr>
      <w:rPr>
        <w:rFonts w:hint="default"/>
      </w:rPr>
    </w:lvl>
    <w:lvl w:ilvl="8" w:tentative="0">
      <w:start w:val="0"/>
      <w:numFmt w:val="bullet"/>
      <w:lvlText w:val="•"/>
      <w:lvlJc w:val="left"/>
      <w:pPr>
        <w:ind w:left="8009" w:hanging="843"/>
      </w:pPr>
      <w:rPr>
        <w:rFonts w:hint="default"/>
      </w:rPr>
    </w:lvl>
  </w:abstractNum>
  <w:abstractNum w:abstractNumId="4">
    <w:nsid w:val="9288B902"/>
    <w:multiLevelType w:val="multilevel"/>
    <w:tmpl w:val="9288B902"/>
    <w:lvl w:ilvl="0" w:tentative="0">
      <w:start w:val="8"/>
      <w:numFmt w:val="decimal"/>
      <w:lvlText w:val="%1"/>
      <w:lvlJc w:val="left"/>
      <w:pPr>
        <w:ind w:left="905" w:hanging="370"/>
        <w:jc w:val="left"/>
      </w:pPr>
      <w:rPr>
        <w:rFonts w:hint="default"/>
      </w:rPr>
    </w:lvl>
    <w:lvl w:ilvl="1" w:tentative="0">
      <w:start w:val="4"/>
      <w:numFmt w:val="decimal"/>
      <w:lvlText w:val="%1.%2"/>
      <w:lvlJc w:val="left"/>
      <w:pPr>
        <w:ind w:left="905" w:hanging="370"/>
        <w:jc w:val="left"/>
      </w:pPr>
      <w:rPr>
        <w:rFonts w:hint="default" w:ascii="宋体" w:hAnsi="宋体" w:eastAsia="宋体" w:cs="宋体"/>
        <w:b/>
        <w:bCs/>
        <w:w w:val="99"/>
        <w:sz w:val="21"/>
        <w:szCs w:val="21"/>
      </w:rPr>
    </w:lvl>
    <w:lvl w:ilvl="2" w:tentative="0">
      <w:start w:val="1"/>
      <w:numFmt w:val="decimal"/>
      <w:lvlText w:val="%1.%2.%3"/>
      <w:lvlJc w:val="left"/>
      <w:pPr>
        <w:ind w:left="1164" w:hanging="632"/>
        <w:jc w:val="left"/>
      </w:pPr>
      <w:rPr>
        <w:rFonts w:hint="default" w:ascii="宋体" w:hAnsi="宋体" w:eastAsia="宋体" w:cs="宋体"/>
        <w:w w:val="100"/>
        <w:sz w:val="21"/>
        <w:szCs w:val="21"/>
      </w:rPr>
    </w:lvl>
    <w:lvl w:ilvl="3" w:tentative="0">
      <w:start w:val="0"/>
      <w:numFmt w:val="bullet"/>
      <w:lvlText w:val="•"/>
      <w:lvlJc w:val="left"/>
      <w:pPr>
        <w:ind w:left="3116" w:hanging="632"/>
      </w:pPr>
      <w:rPr>
        <w:rFonts w:hint="default"/>
      </w:rPr>
    </w:lvl>
    <w:lvl w:ilvl="4" w:tentative="0">
      <w:start w:val="0"/>
      <w:numFmt w:val="bullet"/>
      <w:lvlText w:val="•"/>
      <w:lvlJc w:val="left"/>
      <w:pPr>
        <w:ind w:left="4095" w:hanging="632"/>
      </w:pPr>
      <w:rPr>
        <w:rFonts w:hint="default"/>
      </w:rPr>
    </w:lvl>
    <w:lvl w:ilvl="5" w:tentative="0">
      <w:start w:val="0"/>
      <w:numFmt w:val="bullet"/>
      <w:lvlText w:val="•"/>
      <w:lvlJc w:val="left"/>
      <w:pPr>
        <w:ind w:left="5073" w:hanging="632"/>
      </w:pPr>
      <w:rPr>
        <w:rFonts w:hint="default"/>
      </w:rPr>
    </w:lvl>
    <w:lvl w:ilvl="6" w:tentative="0">
      <w:start w:val="0"/>
      <w:numFmt w:val="bullet"/>
      <w:lvlText w:val="•"/>
      <w:lvlJc w:val="left"/>
      <w:pPr>
        <w:ind w:left="6052" w:hanging="632"/>
      </w:pPr>
      <w:rPr>
        <w:rFonts w:hint="default"/>
      </w:rPr>
    </w:lvl>
    <w:lvl w:ilvl="7" w:tentative="0">
      <w:start w:val="0"/>
      <w:numFmt w:val="bullet"/>
      <w:lvlText w:val="•"/>
      <w:lvlJc w:val="left"/>
      <w:pPr>
        <w:ind w:left="7030" w:hanging="632"/>
      </w:pPr>
      <w:rPr>
        <w:rFonts w:hint="default"/>
      </w:rPr>
    </w:lvl>
    <w:lvl w:ilvl="8" w:tentative="0">
      <w:start w:val="0"/>
      <w:numFmt w:val="bullet"/>
      <w:lvlText w:val="•"/>
      <w:lvlJc w:val="left"/>
      <w:pPr>
        <w:ind w:left="8009" w:hanging="632"/>
      </w:pPr>
      <w:rPr>
        <w:rFonts w:hint="default"/>
      </w:rPr>
    </w:lvl>
  </w:abstractNum>
  <w:abstractNum w:abstractNumId="5">
    <w:nsid w:val="9ACF65A0"/>
    <w:multiLevelType w:val="multilevel"/>
    <w:tmpl w:val="9ACF65A0"/>
    <w:lvl w:ilvl="0" w:tentative="0">
      <w:start w:val="1"/>
      <w:numFmt w:val="decimal"/>
      <w:lvlText w:val="%1."/>
      <w:lvlJc w:val="left"/>
      <w:pPr>
        <w:ind w:left="538" w:hanging="442"/>
        <w:jc w:val="left"/>
      </w:pPr>
      <w:rPr>
        <w:rFonts w:hint="default" w:ascii="宋体" w:hAnsi="宋体" w:eastAsia="宋体" w:cs="宋体"/>
        <w:w w:val="100"/>
        <w:sz w:val="22"/>
        <w:szCs w:val="22"/>
      </w:rPr>
    </w:lvl>
    <w:lvl w:ilvl="1" w:tentative="0">
      <w:start w:val="0"/>
      <w:numFmt w:val="bullet"/>
      <w:lvlText w:val="•"/>
      <w:lvlJc w:val="left"/>
      <w:pPr>
        <w:ind w:left="1460" w:hanging="442"/>
      </w:pPr>
      <w:rPr>
        <w:rFonts w:hint="default"/>
      </w:rPr>
    </w:lvl>
    <w:lvl w:ilvl="2" w:tentative="0">
      <w:start w:val="0"/>
      <w:numFmt w:val="bullet"/>
      <w:lvlText w:val="•"/>
      <w:lvlJc w:val="left"/>
      <w:pPr>
        <w:ind w:left="2381" w:hanging="442"/>
      </w:pPr>
      <w:rPr>
        <w:rFonts w:hint="default"/>
      </w:rPr>
    </w:lvl>
    <w:lvl w:ilvl="3" w:tentative="0">
      <w:start w:val="0"/>
      <w:numFmt w:val="bullet"/>
      <w:lvlText w:val="•"/>
      <w:lvlJc w:val="left"/>
      <w:pPr>
        <w:ind w:left="3301" w:hanging="442"/>
      </w:pPr>
      <w:rPr>
        <w:rFonts w:hint="default"/>
      </w:rPr>
    </w:lvl>
    <w:lvl w:ilvl="4" w:tentative="0">
      <w:start w:val="0"/>
      <w:numFmt w:val="bullet"/>
      <w:lvlText w:val="•"/>
      <w:lvlJc w:val="left"/>
      <w:pPr>
        <w:ind w:left="4222" w:hanging="442"/>
      </w:pPr>
      <w:rPr>
        <w:rFonts w:hint="default"/>
      </w:rPr>
    </w:lvl>
    <w:lvl w:ilvl="5" w:tentative="0">
      <w:start w:val="0"/>
      <w:numFmt w:val="bullet"/>
      <w:lvlText w:val="•"/>
      <w:lvlJc w:val="left"/>
      <w:pPr>
        <w:ind w:left="5143" w:hanging="442"/>
      </w:pPr>
      <w:rPr>
        <w:rFonts w:hint="default"/>
      </w:rPr>
    </w:lvl>
    <w:lvl w:ilvl="6" w:tentative="0">
      <w:start w:val="0"/>
      <w:numFmt w:val="bullet"/>
      <w:lvlText w:val="•"/>
      <w:lvlJc w:val="left"/>
      <w:pPr>
        <w:ind w:left="6063" w:hanging="442"/>
      </w:pPr>
      <w:rPr>
        <w:rFonts w:hint="default"/>
      </w:rPr>
    </w:lvl>
    <w:lvl w:ilvl="7" w:tentative="0">
      <w:start w:val="0"/>
      <w:numFmt w:val="bullet"/>
      <w:lvlText w:val="•"/>
      <w:lvlJc w:val="left"/>
      <w:pPr>
        <w:ind w:left="6984" w:hanging="442"/>
      </w:pPr>
      <w:rPr>
        <w:rFonts w:hint="default"/>
      </w:rPr>
    </w:lvl>
    <w:lvl w:ilvl="8" w:tentative="0">
      <w:start w:val="0"/>
      <w:numFmt w:val="bullet"/>
      <w:lvlText w:val="•"/>
      <w:lvlJc w:val="left"/>
      <w:pPr>
        <w:ind w:left="7905" w:hanging="442"/>
      </w:pPr>
      <w:rPr>
        <w:rFonts w:hint="default"/>
      </w:rPr>
    </w:lvl>
  </w:abstractNum>
  <w:abstractNum w:abstractNumId="6">
    <w:nsid w:val="9C8AC8EF"/>
    <w:multiLevelType w:val="multilevel"/>
    <w:tmpl w:val="9C8AC8EF"/>
    <w:lvl w:ilvl="0" w:tentative="0">
      <w:start w:val="3"/>
      <w:numFmt w:val="decimal"/>
      <w:lvlText w:val="%1"/>
      <w:lvlJc w:val="left"/>
      <w:pPr>
        <w:ind w:left="958" w:hanging="423"/>
        <w:jc w:val="left"/>
      </w:pPr>
      <w:rPr>
        <w:rFonts w:hint="default"/>
      </w:rPr>
    </w:lvl>
    <w:lvl w:ilvl="1" w:tentative="0">
      <w:start w:val="3"/>
      <w:numFmt w:val="decimal"/>
      <w:lvlText w:val="%1.%2"/>
      <w:lvlJc w:val="left"/>
      <w:pPr>
        <w:ind w:left="958" w:hanging="423"/>
        <w:jc w:val="left"/>
      </w:pPr>
      <w:rPr>
        <w:rFonts w:hint="default" w:ascii="宋体" w:hAnsi="宋体" w:eastAsia="宋体" w:cs="宋体"/>
        <w:b/>
        <w:bCs/>
        <w:w w:val="99"/>
        <w:sz w:val="21"/>
        <w:szCs w:val="21"/>
      </w:rPr>
    </w:lvl>
    <w:lvl w:ilvl="2" w:tentative="0">
      <w:start w:val="1"/>
      <w:numFmt w:val="decimal"/>
      <w:lvlText w:val="%1.%2.%3"/>
      <w:lvlJc w:val="left"/>
      <w:pPr>
        <w:ind w:left="112" w:hanging="632"/>
        <w:jc w:val="left"/>
      </w:pPr>
      <w:rPr>
        <w:rFonts w:hint="default" w:ascii="宋体" w:hAnsi="宋体" w:eastAsia="宋体" w:cs="宋体"/>
        <w:w w:val="100"/>
        <w:sz w:val="21"/>
        <w:szCs w:val="21"/>
      </w:rPr>
    </w:lvl>
    <w:lvl w:ilvl="3" w:tentative="0">
      <w:start w:val="0"/>
      <w:numFmt w:val="bullet"/>
      <w:lvlText w:val="•"/>
      <w:lvlJc w:val="left"/>
      <w:pPr>
        <w:ind w:left="2961" w:hanging="632"/>
      </w:pPr>
      <w:rPr>
        <w:rFonts w:hint="default"/>
      </w:rPr>
    </w:lvl>
    <w:lvl w:ilvl="4" w:tentative="0">
      <w:start w:val="0"/>
      <w:numFmt w:val="bullet"/>
      <w:lvlText w:val="•"/>
      <w:lvlJc w:val="left"/>
      <w:pPr>
        <w:ind w:left="3962" w:hanging="632"/>
      </w:pPr>
      <w:rPr>
        <w:rFonts w:hint="default"/>
      </w:rPr>
    </w:lvl>
    <w:lvl w:ilvl="5" w:tentative="0">
      <w:start w:val="0"/>
      <w:numFmt w:val="bullet"/>
      <w:lvlText w:val="•"/>
      <w:lvlJc w:val="left"/>
      <w:pPr>
        <w:ind w:left="4962" w:hanging="632"/>
      </w:pPr>
      <w:rPr>
        <w:rFonts w:hint="default"/>
      </w:rPr>
    </w:lvl>
    <w:lvl w:ilvl="6" w:tentative="0">
      <w:start w:val="0"/>
      <w:numFmt w:val="bullet"/>
      <w:lvlText w:val="•"/>
      <w:lvlJc w:val="left"/>
      <w:pPr>
        <w:ind w:left="5963" w:hanging="632"/>
      </w:pPr>
      <w:rPr>
        <w:rFonts w:hint="default"/>
      </w:rPr>
    </w:lvl>
    <w:lvl w:ilvl="7" w:tentative="0">
      <w:start w:val="0"/>
      <w:numFmt w:val="bullet"/>
      <w:lvlText w:val="•"/>
      <w:lvlJc w:val="left"/>
      <w:pPr>
        <w:ind w:left="6964" w:hanging="632"/>
      </w:pPr>
      <w:rPr>
        <w:rFonts w:hint="default"/>
      </w:rPr>
    </w:lvl>
    <w:lvl w:ilvl="8" w:tentative="0">
      <w:start w:val="0"/>
      <w:numFmt w:val="bullet"/>
      <w:lvlText w:val="•"/>
      <w:lvlJc w:val="left"/>
      <w:pPr>
        <w:ind w:left="7964" w:hanging="632"/>
      </w:pPr>
      <w:rPr>
        <w:rFonts w:hint="default"/>
      </w:rPr>
    </w:lvl>
  </w:abstractNum>
  <w:abstractNum w:abstractNumId="7">
    <w:nsid w:val="A0C93552"/>
    <w:multiLevelType w:val="multilevel"/>
    <w:tmpl w:val="A0C93552"/>
    <w:lvl w:ilvl="0" w:tentative="0">
      <w:start w:val="1"/>
      <w:numFmt w:val="decimal"/>
      <w:lvlText w:val="（%1）"/>
      <w:lvlJc w:val="left"/>
      <w:pPr>
        <w:ind w:left="826" w:hanging="721"/>
        <w:jc w:val="left"/>
      </w:pPr>
      <w:rPr>
        <w:rFonts w:hint="default" w:ascii="宋体" w:hAnsi="宋体" w:eastAsia="宋体" w:cs="宋体"/>
        <w:w w:val="100"/>
        <w:sz w:val="21"/>
        <w:szCs w:val="21"/>
      </w:rPr>
    </w:lvl>
    <w:lvl w:ilvl="1" w:tentative="0">
      <w:start w:val="0"/>
      <w:numFmt w:val="bullet"/>
      <w:lvlText w:val="•"/>
      <w:lvlJc w:val="left"/>
      <w:pPr>
        <w:ind w:left="1456" w:hanging="721"/>
      </w:pPr>
      <w:rPr>
        <w:rFonts w:hint="default"/>
      </w:rPr>
    </w:lvl>
    <w:lvl w:ilvl="2" w:tentative="0">
      <w:start w:val="0"/>
      <w:numFmt w:val="bullet"/>
      <w:lvlText w:val="•"/>
      <w:lvlJc w:val="left"/>
      <w:pPr>
        <w:ind w:left="2092" w:hanging="721"/>
      </w:pPr>
      <w:rPr>
        <w:rFonts w:hint="default"/>
      </w:rPr>
    </w:lvl>
    <w:lvl w:ilvl="3" w:tentative="0">
      <w:start w:val="0"/>
      <w:numFmt w:val="bullet"/>
      <w:lvlText w:val="•"/>
      <w:lvlJc w:val="left"/>
      <w:pPr>
        <w:ind w:left="2728" w:hanging="721"/>
      </w:pPr>
      <w:rPr>
        <w:rFonts w:hint="default"/>
      </w:rPr>
    </w:lvl>
    <w:lvl w:ilvl="4" w:tentative="0">
      <w:start w:val="0"/>
      <w:numFmt w:val="bullet"/>
      <w:lvlText w:val="•"/>
      <w:lvlJc w:val="left"/>
      <w:pPr>
        <w:ind w:left="3364" w:hanging="721"/>
      </w:pPr>
      <w:rPr>
        <w:rFonts w:hint="default"/>
      </w:rPr>
    </w:lvl>
    <w:lvl w:ilvl="5" w:tentative="0">
      <w:start w:val="0"/>
      <w:numFmt w:val="bullet"/>
      <w:lvlText w:val="•"/>
      <w:lvlJc w:val="left"/>
      <w:pPr>
        <w:ind w:left="4001" w:hanging="721"/>
      </w:pPr>
      <w:rPr>
        <w:rFonts w:hint="default"/>
      </w:rPr>
    </w:lvl>
    <w:lvl w:ilvl="6" w:tentative="0">
      <w:start w:val="0"/>
      <w:numFmt w:val="bullet"/>
      <w:lvlText w:val="•"/>
      <w:lvlJc w:val="left"/>
      <w:pPr>
        <w:ind w:left="4637" w:hanging="721"/>
      </w:pPr>
      <w:rPr>
        <w:rFonts w:hint="default"/>
      </w:rPr>
    </w:lvl>
    <w:lvl w:ilvl="7" w:tentative="0">
      <w:start w:val="0"/>
      <w:numFmt w:val="bullet"/>
      <w:lvlText w:val="•"/>
      <w:lvlJc w:val="left"/>
      <w:pPr>
        <w:ind w:left="5273" w:hanging="721"/>
      </w:pPr>
      <w:rPr>
        <w:rFonts w:hint="default"/>
      </w:rPr>
    </w:lvl>
    <w:lvl w:ilvl="8" w:tentative="0">
      <w:start w:val="0"/>
      <w:numFmt w:val="bullet"/>
      <w:lvlText w:val="•"/>
      <w:lvlJc w:val="left"/>
      <w:pPr>
        <w:ind w:left="5909" w:hanging="721"/>
      </w:pPr>
      <w:rPr>
        <w:rFonts w:hint="default"/>
      </w:rPr>
    </w:lvl>
  </w:abstractNum>
  <w:abstractNum w:abstractNumId="8">
    <w:nsid w:val="A0F05207"/>
    <w:multiLevelType w:val="multilevel"/>
    <w:tmpl w:val="A0F05207"/>
    <w:lvl w:ilvl="0" w:tentative="0">
      <w:start w:val="1"/>
      <w:numFmt w:val="decimal"/>
      <w:lvlText w:val="%1."/>
      <w:lvlJc w:val="left"/>
      <w:pPr>
        <w:ind w:left="535" w:hanging="264"/>
        <w:jc w:val="left"/>
      </w:pPr>
      <w:rPr>
        <w:rFonts w:hint="default" w:ascii="Times New Roman" w:hAnsi="Times New Roman" w:eastAsia="Times New Roman" w:cs="Times New Roman"/>
        <w:w w:val="100"/>
        <w:sz w:val="21"/>
        <w:szCs w:val="21"/>
      </w:rPr>
    </w:lvl>
    <w:lvl w:ilvl="1" w:tentative="0">
      <w:start w:val="0"/>
      <w:numFmt w:val="bullet"/>
      <w:lvlText w:val="•"/>
      <w:lvlJc w:val="left"/>
      <w:pPr>
        <w:ind w:left="1496" w:hanging="264"/>
      </w:pPr>
      <w:rPr>
        <w:rFonts w:hint="default"/>
      </w:rPr>
    </w:lvl>
    <w:lvl w:ilvl="2" w:tentative="0">
      <w:start w:val="0"/>
      <w:numFmt w:val="bullet"/>
      <w:lvlText w:val="•"/>
      <w:lvlJc w:val="left"/>
      <w:pPr>
        <w:ind w:left="2453" w:hanging="264"/>
      </w:pPr>
      <w:rPr>
        <w:rFonts w:hint="default"/>
      </w:rPr>
    </w:lvl>
    <w:lvl w:ilvl="3" w:tentative="0">
      <w:start w:val="0"/>
      <w:numFmt w:val="bullet"/>
      <w:lvlText w:val="•"/>
      <w:lvlJc w:val="left"/>
      <w:pPr>
        <w:ind w:left="3409" w:hanging="264"/>
      </w:pPr>
      <w:rPr>
        <w:rFonts w:hint="default"/>
      </w:rPr>
    </w:lvl>
    <w:lvl w:ilvl="4" w:tentative="0">
      <w:start w:val="0"/>
      <w:numFmt w:val="bullet"/>
      <w:lvlText w:val="•"/>
      <w:lvlJc w:val="left"/>
      <w:pPr>
        <w:ind w:left="4366" w:hanging="264"/>
      </w:pPr>
      <w:rPr>
        <w:rFonts w:hint="default"/>
      </w:rPr>
    </w:lvl>
    <w:lvl w:ilvl="5" w:tentative="0">
      <w:start w:val="0"/>
      <w:numFmt w:val="bullet"/>
      <w:lvlText w:val="•"/>
      <w:lvlJc w:val="left"/>
      <w:pPr>
        <w:ind w:left="5323" w:hanging="264"/>
      </w:pPr>
      <w:rPr>
        <w:rFonts w:hint="default"/>
      </w:rPr>
    </w:lvl>
    <w:lvl w:ilvl="6" w:tentative="0">
      <w:start w:val="0"/>
      <w:numFmt w:val="bullet"/>
      <w:lvlText w:val="•"/>
      <w:lvlJc w:val="left"/>
      <w:pPr>
        <w:ind w:left="6279" w:hanging="264"/>
      </w:pPr>
      <w:rPr>
        <w:rFonts w:hint="default"/>
      </w:rPr>
    </w:lvl>
    <w:lvl w:ilvl="7" w:tentative="0">
      <w:start w:val="0"/>
      <w:numFmt w:val="bullet"/>
      <w:lvlText w:val="•"/>
      <w:lvlJc w:val="left"/>
      <w:pPr>
        <w:ind w:left="7236" w:hanging="264"/>
      </w:pPr>
      <w:rPr>
        <w:rFonts w:hint="default"/>
      </w:rPr>
    </w:lvl>
    <w:lvl w:ilvl="8" w:tentative="0">
      <w:start w:val="0"/>
      <w:numFmt w:val="bullet"/>
      <w:lvlText w:val="•"/>
      <w:lvlJc w:val="left"/>
      <w:pPr>
        <w:ind w:left="8193" w:hanging="264"/>
      </w:pPr>
      <w:rPr>
        <w:rFonts w:hint="default"/>
      </w:rPr>
    </w:lvl>
  </w:abstractNum>
  <w:abstractNum w:abstractNumId="9">
    <w:nsid w:val="B0F1ACD9"/>
    <w:multiLevelType w:val="multilevel"/>
    <w:tmpl w:val="B0F1ACD9"/>
    <w:lvl w:ilvl="0" w:tentative="0">
      <w:start w:val="6"/>
      <w:numFmt w:val="decimal"/>
      <w:lvlText w:val="%1"/>
      <w:lvlJc w:val="left"/>
      <w:pPr>
        <w:ind w:left="958" w:hanging="423"/>
        <w:jc w:val="left"/>
      </w:pPr>
      <w:rPr>
        <w:rFonts w:hint="default"/>
      </w:rPr>
    </w:lvl>
    <w:lvl w:ilvl="1" w:tentative="0">
      <w:start w:val="2"/>
      <w:numFmt w:val="decimal"/>
      <w:lvlText w:val="%1.%2"/>
      <w:lvlJc w:val="left"/>
      <w:pPr>
        <w:ind w:left="958" w:hanging="423"/>
        <w:jc w:val="left"/>
      </w:pPr>
      <w:rPr>
        <w:rFonts w:hint="default" w:ascii="宋体" w:hAnsi="宋体" w:eastAsia="宋体" w:cs="宋体"/>
        <w:b/>
        <w:bCs/>
        <w:w w:val="99"/>
        <w:sz w:val="21"/>
        <w:szCs w:val="21"/>
      </w:rPr>
    </w:lvl>
    <w:lvl w:ilvl="2" w:tentative="0">
      <w:start w:val="1"/>
      <w:numFmt w:val="decimal"/>
      <w:lvlText w:val="%1.%2.%3"/>
      <w:lvlJc w:val="left"/>
      <w:pPr>
        <w:ind w:left="1164" w:hanging="632"/>
        <w:jc w:val="left"/>
      </w:pPr>
      <w:rPr>
        <w:rFonts w:hint="default" w:ascii="宋体" w:hAnsi="宋体" w:eastAsia="宋体" w:cs="宋体"/>
        <w:w w:val="100"/>
        <w:sz w:val="21"/>
        <w:szCs w:val="21"/>
      </w:rPr>
    </w:lvl>
    <w:lvl w:ilvl="3" w:tentative="0">
      <w:start w:val="0"/>
      <w:numFmt w:val="bullet"/>
      <w:lvlText w:val="•"/>
      <w:lvlJc w:val="left"/>
      <w:pPr>
        <w:ind w:left="3116" w:hanging="632"/>
      </w:pPr>
      <w:rPr>
        <w:rFonts w:hint="default"/>
      </w:rPr>
    </w:lvl>
    <w:lvl w:ilvl="4" w:tentative="0">
      <w:start w:val="0"/>
      <w:numFmt w:val="bullet"/>
      <w:lvlText w:val="•"/>
      <w:lvlJc w:val="left"/>
      <w:pPr>
        <w:ind w:left="4095" w:hanging="632"/>
      </w:pPr>
      <w:rPr>
        <w:rFonts w:hint="default"/>
      </w:rPr>
    </w:lvl>
    <w:lvl w:ilvl="5" w:tentative="0">
      <w:start w:val="0"/>
      <w:numFmt w:val="bullet"/>
      <w:lvlText w:val="•"/>
      <w:lvlJc w:val="left"/>
      <w:pPr>
        <w:ind w:left="5073" w:hanging="632"/>
      </w:pPr>
      <w:rPr>
        <w:rFonts w:hint="default"/>
      </w:rPr>
    </w:lvl>
    <w:lvl w:ilvl="6" w:tentative="0">
      <w:start w:val="0"/>
      <w:numFmt w:val="bullet"/>
      <w:lvlText w:val="•"/>
      <w:lvlJc w:val="left"/>
      <w:pPr>
        <w:ind w:left="6052" w:hanging="632"/>
      </w:pPr>
      <w:rPr>
        <w:rFonts w:hint="default"/>
      </w:rPr>
    </w:lvl>
    <w:lvl w:ilvl="7" w:tentative="0">
      <w:start w:val="0"/>
      <w:numFmt w:val="bullet"/>
      <w:lvlText w:val="•"/>
      <w:lvlJc w:val="left"/>
      <w:pPr>
        <w:ind w:left="7030" w:hanging="632"/>
      </w:pPr>
      <w:rPr>
        <w:rFonts w:hint="default"/>
      </w:rPr>
    </w:lvl>
    <w:lvl w:ilvl="8" w:tentative="0">
      <w:start w:val="0"/>
      <w:numFmt w:val="bullet"/>
      <w:lvlText w:val="•"/>
      <w:lvlJc w:val="left"/>
      <w:pPr>
        <w:ind w:left="8009" w:hanging="632"/>
      </w:pPr>
      <w:rPr>
        <w:rFonts w:hint="default"/>
      </w:rPr>
    </w:lvl>
  </w:abstractNum>
  <w:abstractNum w:abstractNumId="10">
    <w:nsid w:val="B23A94A9"/>
    <w:multiLevelType w:val="multilevel"/>
    <w:tmpl w:val="B23A94A9"/>
    <w:lvl w:ilvl="0" w:tentative="0">
      <w:start w:val="1"/>
      <w:numFmt w:val="decimal"/>
      <w:lvlText w:val="%1."/>
      <w:lvlJc w:val="left"/>
      <w:pPr>
        <w:ind w:left="112" w:hanging="264"/>
        <w:jc w:val="left"/>
      </w:pPr>
      <w:rPr>
        <w:rFonts w:hint="default" w:ascii="Times New Roman" w:hAnsi="Times New Roman" w:eastAsia="Times New Roman" w:cs="Times New Roman"/>
        <w:w w:val="100"/>
        <w:sz w:val="21"/>
        <w:szCs w:val="21"/>
      </w:rPr>
    </w:lvl>
    <w:lvl w:ilvl="1" w:tentative="0">
      <w:start w:val="0"/>
      <w:numFmt w:val="bullet"/>
      <w:lvlText w:val="•"/>
      <w:lvlJc w:val="left"/>
      <w:pPr>
        <w:ind w:left="1108" w:hanging="264"/>
      </w:pPr>
      <w:rPr>
        <w:rFonts w:hint="default"/>
      </w:rPr>
    </w:lvl>
    <w:lvl w:ilvl="2" w:tentative="0">
      <w:start w:val="0"/>
      <w:numFmt w:val="bullet"/>
      <w:lvlText w:val="•"/>
      <w:lvlJc w:val="left"/>
      <w:pPr>
        <w:ind w:left="2097" w:hanging="264"/>
      </w:pPr>
      <w:rPr>
        <w:rFonts w:hint="default"/>
      </w:rPr>
    </w:lvl>
    <w:lvl w:ilvl="3" w:tentative="0">
      <w:start w:val="0"/>
      <w:numFmt w:val="bullet"/>
      <w:lvlText w:val="•"/>
      <w:lvlJc w:val="left"/>
      <w:pPr>
        <w:ind w:left="3085" w:hanging="264"/>
      </w:pPr>
      <w:rPr>
        <w:rFonts w:hint="default"/>
      </w:rPr>
    </w:lvl>
    <w:lvl w:ilvl="4" w:tentative="0">
      <w:start w:val="0"/>
      <w:numFmt w:val="bullet"/>
      <w:lvlText w:val="•"/>
      <w:lvlJc w:val="left"/>
      <w:pPr>
        <w:ind w:left="4074" w:hanging="264"/>
      </w:pPr>
      <w:rPr>
        <w:rFonts w:hint="default"/>
      </w:rPr>
    </w:lvl>
    <w:lvl w:ilvl="5" w:tentative="0">
      <w:start w:val="0"/>
      <w:numFmt w:val="bullet"/>
      <w:lvlText w:val="•"/>
      <w:lvlJc w:val="left"/>
      <w:pPr>
        <w:ind w:left="5063" w:hanging="264"/>
      </w:pPr>
      <w:rPr>
        <w:rFonts w:hint="default"/>
      </w:rPr>
    </w:lvl>
    <w:lvl w:ilvl="6" w:tentative="0">
      <w:start w:val="0"/>
      <w:numFmt w:val="bullet"/>
      <w:lvlText w:val="•"/>
      <w:lvlJc w:val="left"/>
      <w:pPr>
        <w:ind w:left="6051" w:hanging="264"/>
      </w:pPr>
      <w:rPr>
        <w:rFonts w:hint="default"/>
      </w:rPr>
    </w:lvl>
    <w:lvl w:ilvl="7" w:tentative="0">
      <w:start w:val="0"/>
      <w:numFmt w:val="bullet"/>
      <w:lvlText w:val="•"/>
      <w:lvlJc w:val="left"/>
      <w:pPr>
        <w:ind w:left="7040" w:hanging="264"/>
      </w:pPr>
      <w:rPr>
        <w:rFonts w:hint="default"/>
      </w:rPr>
    </w:lvl>
    <w:lvl w:ilvl="8" w:tentative="0">
      <w:start w:val="0"/>
      <w:numFmt w:val="bullet"/>
      <w:lvlText w:val="•"/>
      <w:lvlJc w:val="left"/>
      <w:pPr>
        <w:ind w:left="8029" w:hanging="264"/>
      </w:pPr>
      <w:rPr>
        <w:rFonts w:hint="default"/>
      </w:rPr>
    </w:lvl>
  </w:abstractNum>
  <w:abstractNum w:abstractNumId="11">
    <w:nsid w:val="B5E306ED"/>
    <w:multiLevelType w:val="multilevel"/>
    <w:tmpl w:val="B5E306ED"/>
    <w:lvl w:ilvl="0" w:tentative="0">
      <w:start w:val="4"/>
      <w:numFmt w:val="decimal"/>
      <w:lvlText w:val="%1"/>
      <w:lvlJc w:val="left"/>
      <w:pPr>
        <w:ind w:left="535" w:hanging="423"/>
        <w:jc w:val="left"/>
      </w:pPr>
      <w:rPr>
        <w:rFonts w:hint="default"/>
      </w:rPr>
    </w:lvl>
    <w:lvl w:ilvl="1" w:tentative="0">
      <w:start w:val="1"/>
      <w:numFmt w:val="decimal"/>
      <w:lvlText w:val="%1.%2"/>
      <w:lvlJc w:val="left"/>
      <w:pPr>
        <w:ind w:left="535" w:hanging="423"/>
        <w:jc w:val="left"/>
      </w:pPr>
      <w:rPr>
        <w:rFonts w:hint="default" w:ascii="宋体" w:hAnsi="宋体" w:eastAsia="宋体" w:cs="宋体"/>
        <w:b/>
        <w:bCs/>
        <w:w w:val="99"/>
        <w:sz w:val="21"/>
        <w:szCs w:val="21"/>
      </w:rPr>
    </w:lvl>
    <w:lvl w:ilvl="2" w:tentative="0">
      <w:start w:val="1"/>
      <w:numFmt w:val="decimal"/>
      <w:lvlText w:val="%1.%2.%3"/>
      <w:lvlJc w:val="left"/>
      <w:pPr>
        <w:ind w:left="1111" w:hanging="579"/>
        <w:jc w:val="left"/>
      </w:pPr>
      <w:rPr>
        <w:rFonts w:hint="default" w:ascii="宋体" w:hAnsi="宋体" w:eastAsia="宋体" w:cs="宋体"/>
        <w:w w:val="100"/>
        <w:sz w:val="21"/>
        <w:szCs w:val="21"/>
      </w:rPr>
    </w:lvl>
    <w:lvl w:ilvl="3" w:tentative="0">
      <w:start w:val="1"/>
      <w:numFmt w:val="decimal"/>
      <w:lvlText w:val="%1.%2.%3.%4"/>
      <w:lvlJc w:val="left"/>
      <w:pPr>
        <w:ind w:left="112" w:hanging="790"/>
        <w:jc w:val="left"/>
      </w:pPr>
      <w:rPr>
        <w:rFonts w:hint="default" w:ascii="宋体" w:hAnsi="宋体" w:eastAsia="宋体" w:cs="宋体"/>
        <w:spacing w:val="-3"/>
        <w:w w:val="100"/>
        <w:sz w:val="21"/>
        <w:szCs w:val="21"/>
      </w:rPr>
    </w:lvl>
    <w:lvl w:ilvl="4" w:tentative="0">
      <w:start w:val="0"/>
      <w:numFmt w:val="bullet"/>
      <w:lvlText w:val="•"/>
      <w:lvlJc w:val="left"/>
      <w:pPr>
        <w:ind w:left="2369" w:hanging="790"/>
      </w:pPr>
      <w:rPr>
        <w:rFonts w:hint="default"/>
      </w:rPr>
    </w:lvl>
    <w:lvl w:ilvl="5" w:tentative="0">
      <w:start w:val="0"/>
      <w:numFmt w:val="bullet"/>
      <w:lvlText w:val="•"/>
      <w:lvlJc w:val="left"/>
      <w:pPr>
        <w:ind w:left="3618" w:hanging="790"/>
      </w:pPr>
      <w:rPr>
        <w:rFonts w:hint="default"/>
      </w:rPr>
    </w:lvl>
    <w:lvl w:ilvl="6" w:tentative="0">
      <w:start w:val="0"/>
      <w:numFmt w:val="bullet"/>
      <w:lvlText w:val="•"/>
      <w:lvlJc w:val="left"/>
      <w:pPr>
        <w:ind w:left="4868" w:hanging="790"/>
      </w:pPr>
      <w:rPr>
        <w:rFonts w:hint="default"/>
      </w:rPr>
    </w:lvl>
    <w:lvl w:ilvl="7" w:tentative="0">
      <w:start w:val="0"/>
      <w:numFmt w:val="bullet"/>
      <w:lvlText w:val="•"/>
      <w:lvlJc w:val="left"/>
      <w:pPr>
        <w:ind w:left="6117" w:hanging="790"/>
      </w:pPr>
      <w:rPr>
        <w:rFonts w:hint="default"/>
      </w:rPr>
    </w:lvl>
    <w:lvl w:ilvl="8" w:tentative="0">
      <w:start w:val="0"/>
      <w:numFmt w:val="bullet"/>
      <w:lvlText w:val="•"/>
      <w:lvlJc w:val="left"/>
      <w:pPr>
        <w:ind w:left="7367" w:hanging="790"/>
      </w:pPr>
      <w:rPr>
        <w:rFonts w:hint="default"/>
      </w:rPr>
    </w:lvl>
  </w:abstractNum>
  <w:abstractNum w:abstractNumId="12">
    <w:nsid w:val="B88D21A8"/>
    <w:multiLevelType w:val="multilevel"/>
    <w:tmpl w:val="B88D21A8"/>
    <w:lvl w:ilvl="0" w:tentative="0">
      <w:start w:val="1"/>
      <w:numFmt w:val="decimal"/>
      <w:lvlText w:val="（%1）"/>
      <w:lvlJc w:val="left"/>
      <w:pPr>
        <w:ind w:left="826" w:hanging="721"/>
        <w:jc w:val="left"/>
      </w:pPr>
      <w:rPr>
        <w:rFonts w:hint="default" w:ascii="宋体" w:hAnsi="宋体" w:eastAsia="宋体" w:cs="宋体"/>
        <w:w w:val="100"/>
        <w:sz w:val="21"/>
        <w:szCs w:val="21"/>
      </w:rPr>
    </w:lvl>
    <w:lvl w:ilvl="1" w:tentative="0">
      <w:start w:val="0"/>
      <w:numFmt w:val="bullet"/>
      <w:lvlText w:val="•"/>
      <w:lvlJc w:val="left"/>
      <w:pPr>
        <w:ind w:left="1456" w:hanging="721"/>
      </w:pPr>
      <w:rPr>
        <w:rFonts w:hint="default"/>
      </w:rPr>
    </w:lvl>
    <w:lvl w:ilvl="2" w:tentative="0">
      <w:start w:val="0"/>
      <w:numFmt w:val="bullet"/>
      <w:lvlText w:val="•"/>
      <w:lvlJc w:val="left"/>
      <w:pPr>
        <w:ind w:left="2092" w:hanging="721"/>
      </w:pPr>
      <w:rPr>
        <w:rFonts w:hint="default"/>
      </w:rPr>
    </w:lvl>
    <w:lvl w:ilvl="3" w:tentative="0">
      <w:start w:val="0"/>
      <w:numFmt w:val="bullet"/>
      <w:lvlText w:val="•"/>
      <w:lvlJc w:val="left"/>
      <w:pPr>
        <w:ind w:left="2728" w:hanging="721"/>
      </w:pPr>
      <w:rPr>
        <w:rFonts w:hint="default"/>
      </w:rPr>
    </w:lvl>
    <w:lvl w:ilvl="4" w:tentative="0">
      <w:start w:val="0"/>
      <w:numFmt w:val="bullet"/>
      <w:lvlText w:val="•"/>
      <w:lvlJc w:val="left"/>
      <w:pPr>
        <w:ind w:left="3364" w:hanging="721"/>
      </w:pPr>
      <w:rPr>
        <w:rFonts w:hint="default"/>
      </w:rPr>
    </w:lvl>
    <w:lvl w:ilvl="5" w:tentative="0">
      <w:start w:val="0"/>
      <w:numFmt w:val="bullet"/>
      <w:lvlText w:val="•"/>
      <w:lvlJc w:val="left"/>
      <w:pPr>
        <w:ind w:left="4001" w:hanging="721"/>
      </w:pPr>
      <w:rPr>
        <w:rFonts w:hint="default"/>
      </w:rPr>
    </w:lvl>
    <w:lvl w:ilvl="6" w:tentative="0">
      <w:start w:val="0"/>
      <w:numFmt w:val="bullet"/>
      <w:lvlText w:val="•"/>
      <w:lvlJc w:val="left"/>
      <w:pPr>
        <w:ind w:left="4637" w:hanging="721"/>
      </w:pPr>
      <w:rPr>
        <w:rFonts w:hint="default"/>
      </w:rPr>
    </w:lvl>
    <w:lvl w:ilvl="7" w:tentative="0">
      <w:start w:val="0"/>
      <w:numFmt w:val="bullet"/>
      <w:lvlText w:val="•"/>
      <w:lvlJc w:val="left"/>
      <w:pPr>
        <w:ind w:left="5273" w:hanging="721"/>
      </w:pPr>
      <w:rPr>
        <w:rFonts w:hint="default"/>
      </w:rPr>
    </w:lvl>
    <w:lvl w:ilvl="8" w:tentative="0">
      <w:start w:val="0"/>
      <w:numFmt w:val="bullet"/>
      <w:lvlText w:val="•"/>
      <w:lvlJc w:val="left"/>
      <w:pPr>
        <w:ind w:left="5909" w:hanging="721"/>
      </w:pPr>
      <w:rPr>
        <w:rFonts w:hint="default"/>
      </w:rPr>
    </w:lvl>
  </w:abstractNum>
  <w:abstractNum w:abstractNumId="13">
    <w:nsid w:val="B8CEF35B"/>
    <w:multiLevelType w:val="multilevel"/>
    <w:tmpl w:val="B8CEF35B"/>
    <w:lvl w:ilvl="0" w:tentative="0">
      <w:start w:val="16"/>
      <w:numFmt w:val="decimal"/>
      <w:lvlText w:val="%1"/>
      <w:lvlJc w:val="left"/>
      <w:pPr>
        <w:ind w:left="1063" w:hanging="528"/>
        <w:jc w:val="left"/>
      </w:pPr>
      <w:rPr>
        <w:rFonts w:hint="default"/>
      </w:rPr>
    </w:lvl>
    <w:lvl w:ilvl="1" w:tentative="0">
      <w:start w:val="2"/>
      <w:numFmt w:val="decimal"/>
      <w:lvlText w:val="%1.%2"/>
      <w:lvlJc w:val="left"/>
      <w:pPr>
        <w:ind w:left="1063" w:hanging="528"/>
        <w:jc w:val="left"/>
      </w:pPr>
      <w:rPr>
        <w:rFonts w:hint="default" w:ascii="宋体" w:hAnsi="宋体" w:eastAsia="宋体" w:cs="宋体"/>
        <w:b/>
        <w:bCs/>
        <w:w w:val="99"/>
        <w:sz w:val="21"/>
        <w:szCs w:val="21"/>
      </w:rPr>
    </w:lvl>
    <w:lvl w:ilvl="2" w:tentative="0">
      <w:start w:val="1"/>
      <w:numFmt w:val="decimal"/>
      <w:lvlText w:val="%1.%2.%3"/>
      <w:lvlJc w:val="left"/>
      <w:pPr>
        <w:ind w:left="1270" w:hanging="737"/>
        <w:jc w:val="left"/>
      </w:pPr>
      <w:rPr>
        <w:rFonts w:hint="default" w:ascii="宋体" w:hAnsi="宋体" w:eastAsia="宋体" w:cs="宋体"/>
        <w:w w:val="100"/>
        <w:sz w:val="21"/>
        <w:szCs w:val="21"/>
      </w:rPr>
    </w:lvl>
    <w:lvl w:ilvl="3" w:tentative="0">
      <w:start w:val="0"/>
      <w:numFmt w:val="bullet"/>
      <w:lvlText w:val="•"/>
      <w:lvlJc w:val="left"/>
      <w:pPr>
        <w:ind w:left="3210" w:hanging="737"/>
      </w:pPr>
      <w:rPr>
        <w:rFonts w:hint="default"/>
      </w:rPr>
    </w:lvl>
    <w:lvl w:ilvl="4" w:tentative="0">
      <w:start w:val="0"/>
      <w:numFmt w:val="bullet"/>
      <w:lvlText w:val="•"/>
      <w:lvlJc w:val="left"/>
      <w:pPr>
        <w:ind w:left="4175" w:hanging="737"/>
      </w:pPr>
      <w:rPr>
        <w:rFonts w:hint="default"/>
      </w:rPr>
    </w:lvl>
    <w:lvl w:ilvl="5" w:tentative="0">
      <w:start w:val="0"/>
      <w:numFmt w:val="bullet"/>
      <w:lvlText w:val="•"/>
      <w:lvlJc w:val="left"/>
      <w:pPr>
        <w:ind w:left="5140" w:hanging="737"/>
      </w:pPr>
      <w:rPr>
        <w:rFonts w:hint="default"/>
      </w:rPr>
    </w:lvl>
    <w:lvl w:ilvl="6" w:tentative="0">
      <w:start w:val="0"/>
      <w:numFmt w:val="bullet"/>
      <w:lvlText w:val="•"/>
      <w:lvlJc w:val="left"/>
      <w:pPr>
        <w:ind w:left="6105" w:hanging="737"/>
      </w:pPr>
      <w:rPr>
        <w:rFonts w:hint="default"/>
      </w:rPr>
    </w:lvl>
    <w:lvl w:ilvl="7" w:tentative="0">
      <w:start w:val="0"/>
      <w:numFmt w:val="bullet"/>
      <w:lvlText w:val="•"/>
      <w:lvlJc w:val="left"/>
      <w:pPr>
        <w:ind w:left="7070" w:hanging="737"/>
      </w:pPr>
      <w:rPr>
        <w:rFonts w:hint="default"/>
      </w:rPr>
    </w:lvl>
    <w:lvl w:ilvl="8" w:tentative="0">
      <w:start w:val="0"/>
      <w:numFmt w:val="bullet"/>
      <w:lvlText w:val="•"/>
      <w:lvlJc w:val="left"/>
      <w:pPr>
        <w:ind w:left="8036" w:hanging="737"/>
      </w:pPr>
      <w:rPr>
        <w:rFonts w:hint="default"/>
      </w:rPr>
    </w:lvl>
  </w:abstractNum>
  <w:abstractNum w:abstractNumId="14">
    <w:nsid w:val="BB64CFA9"/>
    <w:multiLevelType w:val="multilevel"/>
    <w:tmpl w:val="BB64CFA9"/>
    <w:lvl w:ilvl="0" w:tentative="0">
      <w:start w:val="13"/>
      <w:numFmt w:val="decimal"/>
      <w:lvlText w:val="%1"/>
      <w:lvlJc w:val="left"/>
      <w:pPr>
        <w:ind w:left="1063" w:hanging="528"/>
        <w:jc w:val="left"/>
      </w:pPr>
      <w:rPr>
        <w:rFonts w:hint="default"/>
      </w:rPr>
    </w:lvl>
    <w:lvl w:ilvl="1" w:tentative="0">
      <w:start w:val="6"/>
      <w:numFmt w:val="decimal"/>
      <w:lvlText w:val="%1.%2"/>
      <w:lvlJc w:val="left"/>
      <w:pPr>
        <w:ind w:left="1063" w:hanging="528"/>
        <w:jc w:val="left"/>
      </w:pPr>
      <w:rPr>
        <w:rFonts w:hint="default" w:ascii="宋体" w:hAnsi="宋体" w:eastAsia="宋体" w:cs="宋体"/>
        <w:b/>
        <w:bCs/>
        <w:w w:val="99"/>
        <w:sz w:val="21"/>
        <w:szCs w:val="21"/>
      </w:rPr>
    </w:lvl>
    <w:lvl w:ilvl="2" w:tentative="0">
      <w:start w:val="1"/>
      <w:numFmt w:val="decimal"/>
      <w:lvlText w:val="%1.%2.%3"/>
      <w:lvlJc w:val="left"/>
      <w:pPr>
        <w:ind w:left="1270" w:hanging="737"/>
        <w:jc w:val="left"/>
      </w:pPr>
      <w:rPr>
        <w:rFonts w:hint="default" w:ascii="宋体" w:hAnsi="宋体" w:eastAsia="宋体" w:cs="宋体"/>
        <w:w w:val="100"/>
        <w:sz w:val="21"/>
        <w:szCs w:val="21"/>
      </w:rPr>
    </w:lvl>
    <w:lvl w:ilvl="3" w:tentative="0">
      <w:start w:val="0"/>
      <w:numFmt w:val="bullet"/>
      <w:lvlText w:val="•"/>
      <w:lvlJc w:val="left"/>
      <w:pPr>
        <w:ind w:left="3210" w:hanging="737"/>
      </w:pPr>
      <w:rPr>
        <w:rFonts w:hint="default"/>
      </w:rPr>
    </w:lvl>
    <w:lvl w:ilvl="4" w:tentative="0">
      <w:start w:val="0"/>
      <w:numFmt w:val="bullet"/>
      <w:lvlText w:val="•"/>
      <w:lvlJc w:val="left"/>
      <w:pPr>
        <w:ind w:left="4175" w:hanging="737"/>
      </w:pPr>
      <w:rPr>
        <w:rFonts w:hint="default"/>
      </w:rPr>
    </w:lvl>
    <w:lvl w:ilvl="5" w:tentative="0">
      <w:start w:val="0"/>
      <w:numFmt w:val="bullet"/>
      <w:lvlText w:val="•"/>
      <w:lvlJc w:val="left"/>
      <w:pPr>
        <w:ind w:left="5140" w:hanging="737"/>
      </w:pPr>
      <w:rPr>
        <w:rFonts w:hint="default"/>
      </w:rPr>
    </w:lvl>
    <w:lvl w:ilvl="6" w:tentative="0">
      <w:start w:val="0"/>
      <w:numFmt w:val="bullet"/>
      <w:lvlText w:val="•"/>
      <w:lvlJc w:val="left"/>
      <w:pPr>
        <w:ind w:left="6105" w:hanging="737"/>
      </w:pPr>
      <w:rPr>
        <w:rFonts w:hint="default"/>
      </w:rPr>
    </w:lvl>
    <w:lvl w:ilvl="7" w:tentative="0">
      <w:start w:val="0"/>
      <w:numFmt w:val="bullet"/>
      <w:lvlText w:val="•"/>
      <w:lvlJc w:val="left"/>
      <w:pPr>
        <w:ind w:left="7070" w:hanging="737"/>
      </w:pPr>
      <w:rPr>
        <w:rFonts w:hint="default"/>
      </w:rPr>
    </w:lvl>
    <w:lvl w:ilvl="8" w:tentative="0">
      <w:start w:val="0"/>
      <w:numFmt w:val="bullet"/>
      <w:lvlText w:val="•"/>
      <w:lvlJc w:val="left"/>
      <w:pPr>
        <w:ind w:left="8036" w:hanging="737"/>
      </w:pPr>
      <w:rPr>
        <w:rFonts w:hint="default"/>
      </w:rPr>
    </w:lvl>
  </w:abstractNum>
  <w:abstractNum w:abstractNumId="15">
    <w:nsid w:val="BE923771"/>
    <w:multiLevelType w:val="multilevel"/>
    <w:tmpl w:val="BE923771"/>
    <w:lvl w:ilvl="0" w:tentative="0">
      <w:start w:val="7"/>
      <w:numFmt w:val="decimal"/>
      <w:lvlText w:val="%1"/>
      <w:lvlJc w:val="left"/>
      <w:pPr>
        <w:ind w:left="958" w:hanging="423"/>
        <w:jc w:val="left"/>
      </w:pPr>
      <w:rPr>
        <w:rFonts w:hint="default"/>
      </w:rPr>
    </w:lvl>
    <w:lvl w:ilvl="1" w:tentative="0">
      <w:start w:val="5"/>
      <w:numFmt w:val="decimal"/>
      <w:lvlText w:val="%1.%2"/>
      <w:lvlJc w:val="left"/>
      <w:pPr>
        <w:ind w:left="958" w:hanging="423"/>
        <w:jc w:val="left"/>
      </w:pPr>
      <w:rPr>
        <w:rFonts w:hint="default" w:ascii="宋体" w:hAnsi="宋体" w:eastAsia="宋体" w:cs="宋体"/>
        <w:b/>
        <w:bCs/>
        <w:w w:val="99"/>
        <w:sz w:val="21"/>
        <w:szCs w:val="21"/>
      </w:rPr>
    </w:lvl>
    <w:lvl w:ilvl="2" w:tentative="0">
      <w:start w:val="1"/>
      <w:numFmt w:val="decimal"/>
      <w:lvlText w:val="%1.%2.%3"/>
      <w:lvlJc w:val="left"/>
      <w:pPr>
        <w:ind w:left="1164" w:hanging="632"/>
        <w:jc w:val="left"/>
      </w:pPr>
      <w:rPr>
        <w:rFonts w:hint="default" w:ascii="宋体" w:hAnsi="宋体" w:eastAsia="宋体" w:cs="宋体"/>
        <w:w w:val="100"/>
        <w:sz w:val="21"/>
        <w:szCs w:val="21"/>
      </w:rPr>
    </w:lvl>
    <w:lvl w:ilvl="3" w:tentative="0">
      <w:start w:val="0"/>
      <w:numFmt w:val="bullet"/>
      <w:lvlText w:val="•"/>
      <w:lvlJc w:val="left"/>
      <w:pPr>
        <w:ind w:left="3099" w:hanging="632"/>
      </w:pPr>
      <w:rPr>
        <w:rFonts w:hint="default"/>
      </w:rPr>
    </w:lvl>
    <w:lvl w:ilvl="4" w:tentative="0">
      <w:start w:val="0"/>
      <w:numFmt w:val="bullet"/>
      <w:lvlText w:val="•"/>
      <w:lvlJc w:val="left"/>
      <w:pPr>
        <w:ind w:left="4068" w:hanging="632"/>
      </w:pPr>
      <w:rPr>
        <w:rFonts w:hint="default"/>
      </w:rPr>
    </w:lvl>
    <w:lvl w:ilvl="5" w:tentative="0">
      <w:start w:val="0"/>
      <w:numFmt w:val="bullet"/>
      <w:lvlText w:val="•"/>
      <w:lvlJc w:val="left"/>
      <w:pPr>
        <w:ind w:left="5038" w:hanging="632"/>
      </w:pPr>
      <w:rPr>
        <w:rFonts w:hint="default"/>
      </w:rPr>
    </w:lvl>
    <w:lvl w:ilvl="6" w:tentative="0">
      <w:start w:val="0"/>
      <w:numFmt w:val="bullet"/>
      <w:lvlText w:val="•"/>
      <w:lvlJc w:val="left"/>
      <w:pPr>
        <w:ind w:left="6008" w:hanging="632"/>
      </w:pPr>
      <w:rPr>
        <w:rFonts w:hint="default"/>
      </w:rPr>
    </w:lvl>
    <w:lvl w:ilvl="7" w:tentative="0">
      <w:start w:val="0"/>
      <w:numFmt w:val="bullet"/>
      <w:lvlText w:val="•"/>
      <w:lvlJc w:val="left"/>
      <w:pPr>
        <w:ind w:left="6977" w:hanging="632"/>
      </w:pPr>
      <w:rPr>
        <w:rFonts w:hint="default"/>
      </w:rPr>
    </w:lvl>
    <w:lvl w:ilvl="8" w:tentative="0">
      <w:start w:val="0"/>
      <w:numFmt w:val="bullet"/>
      <w:lvlText w:val="•"/>
      <w:lvlJc w:val="left"/>
      <w:pPr>
        <w:ind w:left="7947" w:hanging="632"/>
      </w:pPr>
      <w:rPr>
        <w:rFonts w:hint="default"/>
      </w:rPr>
    </w:lvl>
  </w:abstractNum>
  <w:abstractNum w:abstractNumId="16">
    <w:nsid w:val="BF205925"/>
    <w:multiLevelType w:val="multilevel"/>
    <w:tmpl w:val="BF205925"/>
    <w:lvl w:ilvl="0" w:tentative="0">
      <w:start w:val="3"/>
      <w:numFmt w:val="decimal"/>
      <w:lvlText w:val="%1"/>
      <w:lvlJc w:val="left"/>
      <w:pPr>
        <w:ind w:left="112" w:hanging="632"/>
        <w:jc w:val="right"/>
      </w:pPr>
      <w:rPr>
        <w:rFonts w:hint="default"/>
      </w:rPr>
    </w:lvl>
    <w:lvl w:ilvl="1" w:tentative="0">
      <w:start w:val="2"/>
      <w:numFmt w:val="decimal"/>
      <w:lvlText w:val="%1.%2"/>
      <w:lvlJc w:val="left"/>
      <w:pPr>
        <w:ind w:left="112" w:hanging="632"/>
        <w:jc w:val="right"/>
      </w:pPr>
      <w:rPr>
        <w:rFonts w:hint="default"/>
      </w:rPr>
    </w:lvl>
    <w:lvl w:ilvl="2" w:tentative="0">
      <w:start w:val="1"/>
      <w:numFmt w:val="decimal"/>
      <w:lvlText w:val="%1.%2.%3"/>
      <w:lvlJc w:val="left"/>
      <w:pPr>
        <w:ind w:left="112" w:hanging="632"/>
        <w:jc w:val="left"/>
      </w:pPr>
      <w:rPr>
        <w:rFonts w:hint="default" w:ascii="宋体" w:hAnsi="宋体" w:eastAsia="宋体" w:cs="宋体"/>
        <w:w w:val="100"/>
        <w:sz w:val="21"/>
        <w:szCs w:val="21"/>
      </w:rPr>
    </w:lvl>
    <w:lvl w:ilvl="3" w:tentative="0">
      <w:start w:val="0"/>
      <w:numFmt w:val="bullet"/>
      <w:lvlText w:val="•"/>
      <w:lvlJc w:val="left"/>
      <w:pPr>
        <w:ind w:left="3043" w:hanging="632"/>
      </w:pPr>
      <w:rPr>
        <w:rFonts w:hint="default"/>
      </w:rPr>
    </w:lvl>
    <w:lvl w:ilvl="4" w:tentative="0">
      <w:start w:val="0"/>
      <w:numFmt w:val="bullet"/>
      <w:lvlText w:val="•"/>
      <w:lvlJc w:val="left"/>
      <w:pPr>
        <w:ind w:left="4018" w:hanging="632"/>
      </w:pPr>
      <w:rPr>
        <w:rFonts w:hint="default"/>
      </w:rPr>
    </w:lvl>
    <w:lvl w:ilvl="5" w:tentative="0">
      <w:start w:val="0"/>
      <w:numFmt w:val="bullet"/>
      <w:lvlText w:val="•"/>
      <w:lvlJc w:val="left"/>
      <w:pPr>
        <w:ind w:left="4993" w:hanging="632"/>
      </w:pPr>
      <w:rPr>
        <w:rFonts w:hint="default"/>
      </w:rPr>
    </w:lvl>
    <w:lvl w:ilvl="6" w:tentative="0">
      <w:start w:val="0"/>
      <w:numFmt w:val="bullet"/>
      <w:lvlText w:val="•"/>
      <w:lvlJc w:val="left"/>
      <w:pPr>
        <w:ind w:left="5967" w:hanging="632"/>
      </w:pPr>
      <w:rPr>
        <w:rFonts w:hint="default"/>
      </w:rPr>
    </w:lvl>
    <w:lvl w:ilvl="7" w:tentative="0">
      <w:start w:val="0"/>
      <w:numFmt w:val="bullet"/>
      <w:lvlText w:val="•"/>
      <w:lvlJc w:val="left"/>
      <w:pPr>
        <w:ind w:left="6942" w:hanging="632"/>
      </w:pPr>
      <w:rPr>
        <w:rFonts w:hint="default"/>
      </w:rPr>
    </w:lvl>
    <w:lvl w:ilvl="8" w:tentative="0">
      <w:start w:val="0"/>
      <w:numFmt w:val="bullet"/>
      <w:lvlText w:val="•"/>
      <w:lvlJc w:val="left"/>
      <w:pPr>
        <w:ind w:left="7917" w:hanging="632"/>
      </w:pPr>
      <w:rPr>
        <w:rFonts w:hint="default"/>
      </w:rPr>
    </w:lvl>
  </w:abstractNum>
  <w:abstractNum w:abstractNumId="17">
    <w:nsid w:val="C4E0D24A"/>
    <w:multiLevelType w:val="multilevel"/>
    <w:tmpl w:val="C4E0D24A"/>
    <w:lvl w:ilvl="0" w:tentative="0">
      <w:start w:val="1"/>
      <w:numFmt w:val="decimal"/>
      <w:lvlText w:val="（%1）"/>
      <w:lvlJc w:val="left"/>
      <w:pPr>
        <w:ind w:left="826" w:hanging="721"/>
        <w:jc w:val="left"/>
      </w:pPr>
      <w:rPr>
        <w:rFonts w:hint="default" w:ascii="宋体" w:hAnsi="宋体" w:eastAsia="宋体" w:cs="宋体"/>
        <w:w w:val="100"/>
        <w:sz w:val="21"/>
        <w:szCs w:val="21"/>
      </w:rPr>
    </w:lvl>
    <w:lvl w:ilvl="1" w:tentative="0">
      <w:start w:val="0"/>
      <w:numFmt w:val="bullet"/>
      <w:lvlText w:val="•"/>
      <w:lvlJc w:val="left"/>
      <w:pPr>
        <w:ind w:left="1456" w:hanging="721"/>
      </w:pPr>
      <w:rPr>
        <w:rFonts w:hint="default"/>
      </w:rPr>
    </w:lvl>
    <w:lvl w:ilvl="2" w:tentative="0">
      <w:start w:val="0"/>
      <w:numFmt w:val="bullet"/>
      <w:lvlText w:val="•"/>
      <w:lvlJc w:val="left"/>
      <w:pPr>
        <w:ind w:left="2092" w:hanging="721"/>
      </w:pPr>
      <w:rPr>
        <w:rFonts w:hint="default"/>
      </w:rPr>
    </w:lvl>
    <w:lvl w:ilvl="3" w:tentative="0">
      <w:start w:val="0"/>
      <w:numFmt w:val="bullet"/>
      <w:lvlText w:val="•"/>
      <w:lvlJc w:val="left"/>
      <w:pPr>
        <w:ind w:left="2728" w:hanging="721"/>
      </w:pPr>
      <w:rPr>
        <w:rFonts w:hint="default"/>
      </w:rPr>
    </w:lvl>
    <w:lvl w:ilvl="4" w:tentative="0">
      <w:start w:val="0"/>
      <w:numFmt w:val="bullet"/>
      <w:lvlText w:val="•"/>
      <w:lvlJc w:val="left"/>
      <w:pPr>
        <w:ind w:left="3364" w:hanging="721"/>
      </w:pPr>
      <w:rPr>
        <w:rFonts w:hint="default"/>
      </w:rPr>
    </w:lvl>
    <w:lvl w:ilvl="5" w:tentative="0">
      <w:start w:val="0"/>
      <w:numFmt w:val="bullet"/>
      <w:lvlText w:val="•"/>
      <w:lvlJc w:val="left"/>
      <w:pPr>
        <w:ind w:left="4001" w:hanging="721"/>
      </w:pPr>
      <w:rPr>
        <w:rFonts w:hint="default"/>
      </w:rPr>
    </w:lvl>
    <w:lvl w:ilvl="6" w:tentative="0">
      <w:start w:val="0"/>
      <w:numFmt w:val="bullet"/>
      <w:lvlText w:val="•"/>
      <w:lvlJc w:val="left"/>
      <w:pPr>
        <w:ind w:left="4637" w:hanging="721"/>
      </w:pPr>
      <w:rPr>
        <w:rFonts w:hint="default"/>
      </w:rPr>
    </w:lvl>
    <w:lvl w:ilvl="7" w:tentative="0">
      <w:start w:val="0"/>
      <w:numFmt w:val="bullet"/>
      <w:lvlText w:val="•"/>
      <w:lvlJc w:val="left"/>
      <w:pPr>
        <w:ind w:left="5273" w:hanging="721"/>
      </w:pPr>
      <w:rPr>
        <w:rFonts w:hint="default"/>
      </w:rPr>
    </w:lvl>
    <w:lvl w:ilvl="8" w:tentative="0">
      <w:start w:val="0"/>
      <w:numFmt w:val="bullet"/>
      <w:lvlText w:val="•"/>
      <w:lvlJc w:val="left"/>
      <w:pPr>
        <w:ind w:left="5909" w:hanging="721"/>
      </w:pPr>
      <w:rPr>
        <w:rFonts w:hint="default"/>
      </w:rPr>
    </w:lvl>
  </w:abstractNum>
  <w:abstractNum w:abstractNumId="18">
    <w:nsid w:val="C8879AEF"/>
    <w:multiLevelType w:val="multilevel"/>
    <w:tmpl w:val="C8879AEF"/>
    <w:lvl w:ilvl="0" w:tentative="0">
      <w:start w:val="1"/>
      <w:numFmt w:val="decimal"/>
      <w:lvlText w:val="%1"/>
      <w:lvlJc w:val="left"/>
      <w:pPr>
        <w:ind w:left="1164" w:hanging="632"/>
        <w:jc w:val="left"/>
      </w:pPr>
      <w:rPr>
        <w:rFonts w:hint="default"/>
      </w:rPr>
    </w:lvl>
    <w:lvl w:ilvl="1" w:tentative="0">
      <w:start w:val="1"/>
      <w:numFmt w:val="decimal"/>
      <w:lvlText w:val="%1.%2"/>
      <w:lvlJc w:val="left"/>
      <w:pPr>
        <w:ind w:left="1164" w:hanging="632"/>
        <w:jc w:val="left"/>
      </w:pPr>
      <w:rPr>
        <w:rFonts w:hint="default"/>
      </w:rPr>
    </w:lvl>
    <w:lvl w:ilvl="2" w:tentative="0">
      <w:start w:val="5"/>
      <w:numFmt w:val="decimal"/>
      <w:lvlText w:val="%1.%2.%3"/>
      <w:lvlJc w:val="left"/>
      <w:pPr>
        <w:ind w:left="1164" w:hanging="632"/>
        <w:jc w:val="left"/>
      </w:pPr>
      <w:rPr>
        <w:rFonts w:hint="default" w:ascii="宋体" w:hAnsi="宋体" w:eastAsia="宋体" w:cs="宋体"/>
        <w:w w:val="100"/>
        <w:sz w:val="21"/>
        <w:szCs w:val="21"/>
      </w:rPr>
    </w:lvl>
    <w:lvl w:ilvl="3" w:tentative="0">
      <w:start w:val="1"/>
      <w:numFmt w:val="decimal"/>
      <w:lvlText w:val="%1.%2.%3.%4"/>
      <w:lvlJc w:val="left"/>
      <w:pPr>
        <w:ind w:left="112" w:hanging="843"/>
        <w:jc w:val="left"/>
      </w:pPr>
      <w:rPr>
        <w:rFonts w:hint="default" w:ascii="宋体" w:hAnsi="宋体" w:eastAsia="宋体" w:cs="宋体"/>
        <w:spacing w:val="-3"/>
        <w:w w:val="100"/>
        <w:sz w:val="21"/>
        <w:szCs w:val="21"/>
      </w:rPr>
    </w:lvl>
    <w:lvl w:ilvl="4" w:tentative="0">
      <w:start w:val="0"/>
      <w:numFmt w:val="bullet"/>
      <w:lvlText w:val="•"/>
      <w:lvlJc w:val="left"/>
      <w:pPr>
        <w:ind w:left="4068" w:hanging="843"/>
      </w:pPr>
      <w:rPr>
        <w:rFonts w:hint="default"/>
      </w:rPr>
    </w:lvl>
    <w:lvl w:ilvl="5" w:tentative="0">
      <w:start w:val="0"/>
      <w:numFmt w:val="bullet"/>
      <w:lvlText w:val="•"/>
      <w:lvlJc w:val="left"/>
      <w:pPr>
        <w:ind w:left="5038" w:hanging="843"/>
      </w:pPr>
      <w:rPr>
        <w:rFonts w:hint="default"/>
      </w:rPr>
    </w:lvl>
    <w:lvl w:ilvl="6" w:tentative="0">
      <w:start w:val="0"/>
      <w:numFmt w:val="bullet"/>
      <w:lvlText w:val="•"/>
      <w:lvlJc w:val="left"/>
      <w:pPr>
        <w:ind w:left="6008" w:hanging="843"/>
      </w:pPr>
      <w:rPr>
        <w:rFonts w:hint="default"/>
      </w:rPr>
    </w:lvl>
    <w:lvl w:ilvl="7" w:tentative="0">
      <w:start w:val="0"/>
      <w:numFmt w:val="bullet"/>
      <w:lvlText w:val="•"/>
      <w:lvlJc w:val="left"/>
      <w:pPr>
        <w:ind w:left="6977" w:hanging="843"/>
      </w:pPr>
      <w:rPr>
        <w:rFonts w:hint="default"/>
      </w:rPr>
    </w:lvl>
    <w:lvl w:ilvl="8" w:tentative="0">
      <w:start w:val="0"/>
      <w:numFmt w:val="bullet"/>
      <w:lvlText w:val="•"/>
      <w:lvlJc w:val="left"/>
      <w:pPr>
        <w:ind w:left="7947" w:hanging="843"/>
      </w:pPr>
      <w:rPr>
        <w:rFonts w:hint="default"/>
      </w:rPr>
    </w:lvl>
  </w:abstractNum>
  <w:abstractNum w:abstractNumId="19">
    <w:nsid w:val="CF092B84"/>
    <w:multiLevelType w:val="multilevel"/>
    <w:tmpl w:val="CF092B84"/>
    <w:lvl w:ilvl="0" w:tentative="0">
      <w:start w:val="1"/>
      <w:numFmt w:val="decimal"/>
      <w:lvlText w:val="%1"/>
      <w:lvlJc w:val="left"/>
      <w:pPr>
        <w:ind w:left="314" w:hanging="203"/>
        <w:jc w:val="left"/>
      </w:pPr>
      <w:rPr>
        <w:rFonts w:hint="default"/>
        <w:b/>
        <w:bCs/>
        <w:w w:val="98"/>
      </w:rPr>
    </w:lvl>
    <w:lvl w:ilvl="1" w:tentative="0">
      <w:start w:val="1"/>
      <w:numFmt w:val="decimal"/>
      <w:lvlText w:val="%1.%2"/>
      <w:lvlJc w:val="left"/>
      <w:pPr>
        <w:ind w:left="535" w:hanging="423"/>
        <w:jc w:val="left"/>
      </w:pPr>
      <w:rPr>
        <w:rFonts w:hint="default"/>
        <w:b/>
        <w:bCs/>
        <w:w w:val="99"/>
      </w:rPr>
    </w:lvl>
    <w:lvl w:ilvl="2" w:tentative="0">
      <w:start w:val="1"/>
      <w:numFmt w:val="decimal"/>
      <w:lvlText w:val="%1.%2.%3"/>
      <w:lvlJc w:val="left"/>
      <w:pPr>
        <w:ind w:left="112" w:hanging="423"/>
        <w:jc w:val="left"/>
      </w:pPr>
      <w:rPr>
        <w:rFonts w:hint="default" w:ascii="宋体" w:hAnsi="宋体" w:eastAsia="宋体" w:cs="宋体"/>
        <w:spacing w:val="0"/>
        <w:w w:val="100"/>
        <w:sz w:val="21"/>
        <w:szCs w:val="21"/>
      </w:rPr>
    </w:lvl>
    <w:lvl w:ilvl="3" w:tentative="0">
      <w:start w:val="1"/>
      <w:numFmt w:val="decimal"/>
      <w:lvlText w:val="%1.%2.%3.%4"/>
      <w:lvlJc w:val="left"/>
      <w:pPr>
        <w:ind w:left="1330" w:hanging="795"/>
        <w:jc w:val="right"/>
      </w:pPr>
      <w:rPr>
        <w:rFonts w:hint="default" w:ascii="宋体" w:hAnsi="宋体" w:eastAsia="宋体" w:cs="宋体"/>
        <w:b/>
        <w:bCs/>
        <w:w w:val="99"/>
        <w:sz w:val="21"/>
        <w:szCs w:val="21"/>
      </w:rPr>
    </w:lvl>
    <w:lvl w:ilvl="4" w:tentative="0">
      <w:start w:val="0"/>
      <w:numFmt w:val="bullet"/>
      <w:lvlText w:val="•"/>
      <w:lvlJc w:val="left"/>
      <w:pPr>
        <w:ind w:left="1340" w:hanging="795"/>
      </w:pPr>
      <w:rPr>
        <w:rFonts w:hint="default"/>
      </w:rPr>
    </w:lvl>
    <w:lvl w:ilvl="5" w:tentative="0">
      <w:start w:val="0"/>
      <w:numFmt w:val="bullet"/>
      <w:lvlText w:val="•"/>
      <w:lvlJc w:val="left"/>
      <w:pPr>
        <w:ind w:left="2761" w:hanging="795"/>
      </w:pPr>
      <w:rPr>
        <w:rFonts w:hint="default"/>
      </w:rPr>
    </w:lvl>
    <w:lvl w:ilvl="6" w:tentative="0">
      <w:start w:val="0"/>
      <w:numFmt w:val="bullet"/>
      <w:lvlText w:val="•"/>
      <w:lvlJc w:val="left"/>
      <w:pPr>
        <w:ind w:left="4182" w:hanging="795"/>
      </w:pPr>
      <w:rPr>
        <w:rFonts w:hint="default"/>
      </w:rPr>
    </w:lvl>
    <w:lvl w:ilvl="7" w:tentative="0">
      <w:start w:val="0"/>
      <w:numFmt w:val="bullet"/>
      <w:lvlText w:val="•"/>
      <w:lvlJc w:val="left"/>
      <w:pPr>
        <w:ind w:left="5603" w:hanging="795"/>
      </w:pPr>
      <w:rPr>
        <w:rFonts w:hint="default"/>
      </w:rPr>
    </w:lvl>
    <w:lvl w:ilvl="8" w:tentative="0">
      <w:start w:val="0"/>
      <w:numFmt w:val="bullet"/>
      <w:lvlText w:val="•"/>
      <w:lvlJc w:val="left"/>
      <w:pPr>
        <w:ind w:left="7024" w:hanging="795"/>
      </w:pPr>
      <w:rPr>
        <w:rFonts w:hint="default"/>
      </w:rPr>
    </w:lvl>
  </w:abstractNum>
  <w:abstractNum w:abstractNumId="20">
    <w:nsid w:val="D7F9FE59"/>
    <w:multiLevelType w:val="multilevel"/>
    <w:tmpl w:val="D7F9FE59"/>
    <w:lvl w:ilvl="0" w:tentative="0">
      <w:start w:val="1"/>
      <w:numFmt w:val="decimal"/>
      <w:lvlText w:val="%1"/>
      <w:lvlJc w:val="left"/>
      <w:pPr>
        <w:ind w:left="1010" w:hanging="476"/>
        <w:jc w:val="left"/>
      </w:pPr>
      <w:rPr>
        <w:rFonts w:hint="default"/>
      </w:rPr>
    </w:lvl>
    <w:lvl w:ilvl="1" w:tentative="0">
      <w:start w:val="12"/>
      <w:numFmt w:val="decimal"/>
      <w:lvlText w:val="%1.%2"/>
      <w:lvlJc w:val="left"/>
      <w:pPr>
        <w:ind w:left="1010" w:hanging="476"/>
        <w:jc w:val="left"/>
      </w:pPr>
      <w:rPr>
        <w:rFonts w:hint="default" w:ascii="宋体" w:hAnsi="宋体" w:eastAsia="宋体" w:cs="宋体"/>
        <w:b/>
        <w:bCs/>
        <w:w w:val="99"/>
        <w:sz w:val="21"/>
        <w:szCs w:val="21"/>
      </w:rPr>
    </w:lvl>
    <w:lvl w:ilvl="2" w:tentative="0">
      <w:start w:val="0"/>
      <w:numFmt w:val="bullet"/>
      <w:lvlText w:val="•"/>
      <w:lvlJc w:val="left"/>
      <w:pPr>
        <w:ind w:left="2789" w:hanging="476"/>
      </w:pPr>
      <w:rPr>
        <w:rFonts w:hint="default"/>
      </w:rPr>
    </w:lvl>
    <w:lvl w:ilvl="3" w:tentative="0">
      <w:start w:val="0"/>
      <w:numFmt w:val="bullet"/>
      <w:lvlText w:val="•"/>
      <w:lvlJc w:val="left"/>
      <w:pPr>
        <w:ind w:left="3673" w:hanging="476"/>
      </w:pPr>
      <w:rPr>
        <w:rFonts w:hint="default"/>
      </w:rPr>
    </w:lvl>
    <w:lvl w:ilvl="4" w:tentative="0">
      <w:start w:val="0"/>
      <w:numFmt w:val="bullet"/>
      <w:lvlText w:val="•"/>
      <w:lvlJc w:val="left"/>
      <w:pPr>
        <w:ind w:left="4558" w:hanging="476"/>
      </w:pPr>
      <w:rPr>
        <w:rFonts w:hint="default"/>
      </w:rPr>
    </w:lvl>
    <w:lvl w:ilvl="5" w:tentative="0">
      <w:start w:val="0"/>
      <w:numFmt w:val="bullet"/>
      <w:lvlText w:val="•"/>
      <w:lvlJc w:val="left"/>
      <w:pPr>
        <w:ind w:left="5443" w:hanging="476"/>
      </w:pPr>
      <w:rPr>
        <w:rFonts w:hint="default"/>
      </w:rPr>
    </w:lvl>
    <w:lvl w:ilvl="6" w:tentative="0">
      <w:start w:val="0"/>
      <w:numFmt w:val="bullet"/>
      <w:lvlText w:val="•"/>
      <w:lvlJc w:val="left"/>
      <w:pPr>
        <w:ind w:left="6327" w:hanging="476"/>
      </w:pPr>
      <w:rPr>
        <w:rFonts w:hint="default"/>
      </w:rPr>
    </w:lvl>
    <w:lvl w:ilvl="7" w:tentative="0">
      <w:start w:val="0"/>
      <w:numFmt w:val="bullet"/>
      <w:lvlText w:val="•"/>
      <w:lvlJc w:val="left"/>
      <w:pPr>
        <w:ind w:left="7212" w:hanging="476"/>
      </w:pPr>
      <w:rPr>
        <w:rFonts w:hint="default"/>
      </w:rPr>
    </w:lvl>
    <w:lvl w:ilvl="8" w:tentative="0">
      <w:start w:val="0"/>
      <w:numFmt w:val="bullet"/>
      <w:lvlText w:val="•"/>
      <w:lvlJc w:val="left"/>
      <w:pPr>
        <w:ind w:left="8097" w:hanging="476"/>
      </w:pPr>
      <w:rPr>
        <w:rFonts w:hint="default"/>
      </w:rPr>
    </w:lvl>
  </w:abstractNum>
  <w:abstractNum w:abstractNumId="21">
    <w:nsid w:val="DAD3A854"/>
    <w:multiLevelType w:val="multilevel"/>
    <w:tmpl w:val="DAD3A854"/>
    <w:lvl w:ilvl="0" w:tentative="0">
      <w:start w:val="1"/>
      <w:numFmt w:val="decimal"/>
      <w:lvlText w:val="（%1）"/>
      <w:lvlJc w:val="left"/>
      <w:pPr>
        <w:ind w:left="826" w:hanging="721"/>
        <w:jc w:val="left"/>
      </w:pPr>
      <w:rPr>
        <w:rFonts w:hint="default" w:ascii="宋体" w:hAnsi="宋体" w:eastAsia="宋体" w:cs="宋体"/>
        <w:w w:val="100"/>
        <w:sz w:val="21"/>
        <w:szCs w:val="21"/>
      </w:rPr>
    </w:lvl>
    <w:lvl w:ilvl="1" w:tentative="0">
      <w:start w:val="0"/>
      <w:numFmt w:val="bullet"/>
      <w:lvlText w:val="•"/>
      <w:lvlJc w:val="left"/>
      <w:pPr>
        <w:ind w:left="1456" w:hanging="721"/>
      </w:pPr>
      <w:rPr>
        <w:rFonts w:hint="default"/>
      </w:rPr>
    </w:lvl>
    <w:lvl w:ilvl="2" w:tentative="0">
      <w:start w:val="0"/>
      <w:numFmt w:val="bullet"/>
      <w:lvlText w:val="•"/>
      <w:lvlJc w:val="left"/>
      <w:pPr>
        <w:ind w:left="2092" w:hanging="721"/>
      </w:pPr>
      <w:rPr>
        <w:rFonts w:hint="default"/>
      </w:rPr>
    </w:lvl>
    <w:lvl w:ilvl="3" w:tentative="0">
      <w:start w:val="0"/>
      <w:numFmt w:val="bullet"/>
      <w:lvlText w:val="•"/>
      <w:lvlJc w:val="left"/>
      <w:pPr>
        <w:ind w:left="2728" w:hanging="721"/>
      </w:pPr>
      <w:rPr>
        <w:rFonts w:hint="default"/>
      </w:rPr>
    </w:lvl>
    <w:lvl w:ilvl="4" w:tentative="0">
      <w:start w:val="0"/>
      <w:numFmt w:val="bullet"/>
      <w:lvlText w:val="•"/>
      <w:lvlJc w:val="left"/>
      <w:pPr>
        <w:ind w:left="3364" w:hanging="721"/>
      </w:pPr>
      <w:rPr>
        <w:rFonts w:hint="default"/>
      </w:rPr>
    </w:lvl>
    <w:lvl w:ilvl="5" w:tentative="0">
      <w:start w:val="0"/>
      <w:numFmt w:val="bullet"/>
      <w:lvlText w:val="•"/>
      <w:lvlJc w:val="left"/>
      <w:pPr>
        <w:ind w:left="4001" w:hanging="721"/>
      </w:pPr>
      <w:rPr>
        <w:rFonts w:hint="default"/>
      </w:rPr>
    </w:lvl>
    <w:lvl w:ilvl="6" w:tentative="0">
      <w:start w:val="0"/>
      <w:numFmt w:val="bullet"/>
      <w:lvlText w:val="•"/>
      <w:lvlJc w:val="left"/>
      <w:pPr>
        <w:ind w:left="4637" w:hanging="721"/>
      </w:pPr>
      <w:rPr>
        <w:rFonts w:hint="default"/>
      </w:rPr>
    </w:lvl>
    <w:lvl w:ilvl="7" w:tentative="0">
      <w:start w:val="0"/>
      <w:numFmt w:val="bullet"/>
      <w:lvlText w:val="•"/>
      <w:lvlJc w:val="left"/>
      <w:pPr>
        <w:ind w:left="5273" w:hanging="721"/>
      </w:pPr>
      <w:rPr>
        <w:rFonts w:hint="default"/>
      </w:rPr>
    </w:lvl>
    <w:lvl w:ilvl="8" w:tentative="0">
      <w:start w:val="0"/>
      <w:numFmt w:val="bullet"/>
      <w:lvlText w:val="•"/>
      <w:lvlJc w:val="left"/>
      <w:pPr>
        <w:ind w:left="5909" w:hanging="721"/>
      </w:pPr>
      <w:rPr>
        <w:rFonts w:hint="default"/>
      </w:rPr>
    </w:lvl>
  </w:abstractNum>
  <w:abstractNum w:abstractNumId="22">
    <w:nsid w:val="DCBA6B53"/>
    <w:multiLevelType w:val="multilevel"/>
    <w:tmpl w:val="DCBA6B53"/>
    <w:lvl w:ilvl="0" w:tentative="0">
      <w:start w:val="1"/>
      <w:numFmt w:val="decimal"/>
      <w:lvlText w:val="%1"/>
      <w:lvlJc w:val="left"/>
      <w:pPr>
        <w:ind w:left="1010" w:hanging="476"/>
        <w:jc w:val="left"/>
      </w:pPr>
      <w:rPr>
        <w:rFonts w:hint="default"/>
      </w:rPr>
    </w:lvl>
    <w:lvl w:ilvl="1" w:tentative="0">
      <w:start w:val="11"/>
      <w:numFmt w:val="decimal"/>
      <w:lvlText w:val="%1.%2"/>
      <w:lvlJc w:val="left"/>
      <w:pPr>
        <w:ind w:left="1010" w:hanging="476"/>
        <w:jc w:val="left"/>
      </w:pPr>
      <w:rPr>
        <w:rFonts w:hint="default" w:ascii="宋体" w:hAnsi="宋体" w:eastAsia="宋体" w:cs="宋体"/>
        <w:b/>
        <w:bCs/>
        <w:w w:val="99"/>
        <w:sz w:val="21"/>
        <w:szCs w:val="21"/>
      </w:rPr>
    </w:lvl>
    <w:lvl w:ilvl="2" w:tentative="0">
      <w:start w:val="1"/>
      <w:numFmt w:val="decimal"/>
      <w:lvlText w:val="%1.%2.%3"/>
      <w:lvlJc w:val="left"/>
      <w:pPr>
        <w:ind w:left="112" w:hanging="737"/>
        <w:jc w:val="left"/>
      </w:pPr>
      <w:rPr>
        <w:rFonts w:hint="default" w:ascii="宋体" w:hAnsi="宋体" w:eastAsia="宋体" w:cs="宋体"/>
        <w:w w:val="100"/>
        <w:sz w:val="21"/>
        <w:szCs w:val="21"/>
      </w:rPr>
    </w:lvl>
    <w:lvl w:ilvl="3" w:tentative="0">
      <w:start w:val="0"/>
      <w:numFmt w:val="bullet"/>
      <w:lvlText w:val="•"/>
      <w:lvlJc w:val="left"/>
      <w:pPr>
        <w:ind w:left="3008" w:hanging="737"/>
      </w:pPr>
      <w:rPr>
        <w:rFonts w:hint="default"/>
      </w:rPr>
    </w:lvl>
    <w:lvl w:ilvl="4" w:tentative="0">
      <w:start w:val="0"/>
      <w:numFmt w:val="bullet"/>
      <w:lvlText w:val="•"/>
      <w:lvlJc w:val="left"/>
      <w:pPr>
        <w:ind w:left="4002" w:hanging="737"/>
      </w:pPr>
      <w:rPr>
        <w:rFonts w:hint="default"/>
      </w:rPr>
    </w:lvl>
    <w:lvl w:ilvl="5" w:tentative="0">
      <w:start w:val="0"/>
      <w:numFmt w:val="bullet"/>
      <w:lvlText w:val="•"/>
      <w:lvlJc w:val="left"/>
      <w:pPr>
        <w:ind w:left="4996" w:hanging="737"/>
      </w:pPr>
      <w:rPr>
        <w:rFonts w:hint="default"/>
      </w:rPr>
    </w:lvl>
    <w:lvl w:ilvl="6" w:tentative="0">
      <w:start w:val="0"/>
      <w:numFmt w:val="bullet"/>
      <w:lvlText w:val="•"/>
      <w:lvlJc w:val="left"/>
      <w:pPr>
        <w:ind w:left="5990" w:hanging="737"/>
      </w:pPr>
      <w:rPr>
        <w:rFonts w:hint="default"/>
      </w:rPr>
    </w:lvl>
    <w:lvl w:ilvl="7" w:tentative="0">
      <w:start w:val="0"/>
      <w:numFmt w:val="bullet"/>
      <w:lvlText w:val="•"/>
      <w:lvlJc w:val="left"/>
      <w:pPr>
        <w:ind w:left="6984" w:hanging="737"/>
      </w:pPr>
      <w:rPr>
        <w:rFonts w:hint="default"/>
      </w:rPr>
    </w:lvl>
    <w:lvl w:ilvl="8" w:tentative="0">
      <w:start w:val="0"/>
      <w:numFmt w:val="bullet"/>
      <w:lvlText w:val="•"/>
      <w:lvlJc w:val="left"/>
      <w:pPr>
        <w:ind w:left="7978" w:hanging="737"/>
      </w:pPr>
      <w:rPr>
        <w:rFonts w:hint="default"/>
      </w:rPr>
    </w:lvl>
  </w:abstractNum>
  <w:abstractNum w:abstractNumId="23">
    <w:nsid w:val="E093A4B0"/>
    <w:multiLevelType w:val="multilevel"/>
    <w:tmpl w:val="E093A4B0"/>
    <w:lvl w:ilvl="0" w:tentative="0">
      <w:start w:val="13"/>
      <w:numFmt w:val="decimal"/>
      <w:lvlText w:val="%1"/>
      <w:lvlJc w:val="left"/>
      <w:pPr>
        <w:ind w:left="1010" w:hanging="476"/>
        <w:jc w:val="left"/>
      </w:pPr>
      <w:rPr>
        <w:rFonts w:hint="default"/>
      </w:rPr>
    </w:lvl>
    <w:lvl w:ilvl="1" w:tentative="0">
      <w:start w:val="2"/>
      <w:numFmt w:val="decimal"/>
      <w:lvlText w:val="%1.%2"/>
      <w:lvlJc w:val="left"/>
      <w:pPr>
        <w:ind w:left="1010" w:hanging="476"/>
        <w:jc w:val="left"/>
      </w:pPr>
      <w:rPr>
        <w:rFonts w:hint="default" w:ascii="宋体" w:hAnsi="宋体" w:eastAsia="宋体" w:cs="宋体"/>
        <w:b/>
        <w:bCs/>
        <w:w w:val="99"/>
        <w:sz w:val="21"/>
        <w:szCs w:val="21"/>
      </w:rPr>
    </w:lvl>
    <w:lvl w:ilvl="2" w:tentative="0">
      <w:start w:val="1"/>
      <w:numFmt w:val="decimal"/>
      <w:lvlText w:val="%1.%2.%3"/>
      <w:lvlJc w:val="left"/>
      <w:pPr>
        <w:ind w:left="1217" w:hanging="684"/>
        <w:jc w:val="left"/>
      </w:pPr>
      <w:rPr>
        <w:rFonts w:hint="default" w:ascii="宋体" w:hAnsi="宋体" w:eastAsia="宋体" w:cs="宋体"/>
        <w:spacing w:val="-3"/>
        <w:w w:val="100"/>
        <w:sz w:val="21"/>
        <w:szCs w:val="21"/>
      </w:rPr>
    </w:lvl>
    <w:lvl w:ilvl="3" w:tentative="0">
      <w:start w:val="0"/>
      <w:numFmt w:val="bullet"/>
      <w:lvlText w:val="•"/>
      <w:lvlJc w:val="left"/>
      <w:pPr>
        <w:ind w:left="3163" w:hanging="684"/>
      </w:pPr>
      <w:rPr>
        <w:rFonts w:hint="default"/>
      </w:rPr>
    </w:lvl>
    <w:lvl w:ilvl="4" w:tentative="0">
      <w:start w:val="0"/>
      <w:numFmt w:val="bullet"/>
      <w:lvlText w:val="•"/>
      <w:lvlJc w:val="left"/>
      <w:pPr>
        <w:ind w:left="4135" w:hanging="684"/>
      </w:pPr>
      <w:rPr>
        <w:rFonts w:hint="default"/>
      </w:rPr>
    </w:lvl>
    <w:lvl w:ilvl="5" w:tentative="0">
      <w:start w:val="0"/>
      <w:numFmt w:val="bullet"/>
      <w:lvlText w:val="•"/>
      <w:lvlJc w:val="left"/>
      <w:pPr>
        <w:ind w:left="5107" w:hanging="684"/>
      </w:pPr>
      <w:rPr>
        <w:rFonts w:hint="default"/>
      </w:rPr>
    </w:lvl>
    <w:lvl w:ilvl="6" w:tentative="0">
      <w:start w:val="0"/>
      <w:numFmt w:val="bullet"/>
      <w:lvlText w:val="•"/>
      <w:lvlJc w:val="left"/>
      <w:pPr>
        <w:ind w:left="6079" w:hanging="684"/>
      </w:pPr>
      <w:rPr>
        <w:rFonts w:hint="default"/>
      </w:rPr>
    </w:lvl>
    <w:lvl w:ilvl="7" w:tentative="0">
      <w:start w:val="0"/>
      <w:numFmt w:val="bullet"/>
      <w:lvlText w:val="•"/>
      <w:lvlJc w:val="left"/>
      <w:pPr>
        <w:ind w:left="7050" w:hanging="684"/>
      </w:pPr>
      <w:rPr>
        <w:rFonts w:hint="default"/>
      </w:rPr>
    </w:lvl>
    <w:lvl w:ilvl="8" w:tentative="0">
      <w:start w:val="0"/>
      <w:numFmt w:val="bullet"/>
      <w:lvlText w:val="•"/>
      <w:lvlJc w:val="left"/>
      <w:pPr>
        <w:ind w:left="8022" w:hanging="684"/>
      </w:pPr>
      <w:rPr>
        <w:rFonts w:hint="default"/>
      </w:rPr>
    </w:lvl>
  </w:abstractNum>
  <w:abstractNum w:abstractNumId="24">
    <w:nsid w:val="E504947C"/>
    <w:multiLevelType w:val="multilevel"/>
    <w:tmpl w:val="E504947C"/>
    <w:lvl w:ilvl="0" w:tentative="0">
      <w:start w:val="2"/>
      <w:numFmt w:val="decimal"/>
      <w:lvlText w:val="%1"/>
      <w:lvlJc w:val="left"/>
      <w:pPr>
        <w:ind w:left="638" w:hanging="527"/>
        <w:jc w:val="left"/>
      </w:pPr>
      <w:rPr>
        <w:rFonts w:hint="default"/>
      </w:rPr>
    </w:lvl>
    <w:lvl w:ilvl="1" w:tentative="0">
      <w:start w:val="1"/>
      <w:numFmt w:val="decimal"/>
      <w:lvlText w:val="%1.%2"/>
      <w:lvlJc w:val="left"/>
      <w:pPr>
        <w:ind w:left="112" w:hanging="527"/>
        <w:jc w:val="right"/>
      </w:pPr>
      <w:rPr>
        <w:rFonts w:hint="default"/>
        <w:w w:val="100"/>
      </w:rPr>
    </w:lvl>
    <w:lvl w:ilvl="2" w:tentative="0">
      <w:start w:val="1"/>
      <w:numFmt w:val="decimal"/>
      <w:lvlText w:val="%1.%2.%3"/>
      <w:lvlJc w:val="left"/>
      <w:pPr>
        <w:ind w:left="112" w:hanging="579"/>
        <w:jc w:val="left"/>
      </w:pPr>
      <w:rPr>
        <w:rFonts w:hint="default" w:ascii="宋体" w:hAnsi="宋体" w:eastAsia="宋体" w:cs="宋体"/>
        <w:w w:val="100"/>
        <w:sz w:val="21"/>
        <w:szCs w:val="21"/>
      </w:rPr>
    </w:lvl>
    <w:lvl w:ilvl="3" w:tentative="0">
      <w:start w:val="0"/>
      <w:numFmt w:val="bullet"/>
      <w:lvlText w:val="•"/>
      <w:lvlJc w:val="left"/>
      <w:pPr>
        <w:ind w:left="2743" w:hanging="579"/>
      </w:pPr>
      <w:rPr>
        <w:rFonts w:hint="default"/>
      </w:rPr>
    </w:lvl>
    <w:lvl w:ilvl="4" w:tentative="0">
      <w:start w:val="0"/>
      <w:numFmt w:val="bullet"/>
      <w:lvlText w:val="•"/>
      <w:lvlJc w:val="left"/>
      <w:pPr>
        <w:ind w:left="3795" w:hanging="579"/>
      </w:pPr>
      <w:rPr>
        <w:rFonts w:hint="default"/>
      </w:rPr>
    </w:lvl>
    <w:lvl w:ilvl="5" w:tentative="0">
      <w:start w:val="0"/>
      <w:numFmt w:val="bullet"/>
      <w:lvlText w:val="•"/>
      <w:lvlJc w:val="left"/>
      <w:pPr>
        <w:ind w:left="4847" w:hanging="579"/>
      </w:pPr>
      <w:rPr>
        <w:rFonts w:hint="default"/>
      </w:rPr>
    </w:lvl>
    <w:lvl w:ilvl="6" w:tentative="0">
      <w:start w:val="0"/>
      <w:numFmt w:val="bullet"/>
      <w:lvlText w:val="•"/>
      <w:lvlJc w:val="left"/>
      <w:pPr>
        <w:ind w:left="5899" w:hanging="579"/>
      </w:pPr>
      <w:rPr>
        <w:rFonts w:hint="default"/>
      </w:rPr>
    </w:lvl>
    <w:lvl w:ilvl="7" w:tentative="0">
      <w:start w:val="0"/>
      <w:numFmt w:val="bullet"/>
      <w:lvlText w:val="•"/>
      <w:lvlJc w:val="left"/>
      <w:pPr>
        <w:ind w:left="6950" w:hanging="579"/>
      </w:pPr>
      <w:rPr>
        <w:rFonts w:hint="default"/>
      </w:rPr>
    </w:lvl>
    <w:lvl w:ilvl="8" w:tentative="0">
      <w:start w:val="0"/>
      <w:numFmt w:val="bullet"/>
      <w:lvlText w:val="•"/>
      <w:lvlJc w:val="left"/>
      <w:pPr>
        <w:ind w:left="8002" w:hanging="579"/>
      </w:pPr>
      <w:rPr>
        <w:rFonts w:hint="default"/>
      </w:rPr>
    </w:lvl>
  </w:abstractNum>
  <w:abstractNum w:abstractNumId="25">
    <w:nsid w:val="E7B27C5B"/>
    <w:multiLevelType w:val="multilevel"/>
    <w:tmpl w:val="E7B27C5B"/>
    <w:lvl w:ilvl="0" w:tentative="0">
      <w:start w:val="2"/>
      <w:numFmt w:val="decimal"/>
      <w:lvlText w:val="%1"/>
      <w:lvlJc w:val="left"/>
      <w:pPr>
        <w:ind w:left="536" w:hanging="318"/>
        <w:jc w:val="left"/>
      </w:pPr>
      <w:rPr>
        <w:rFonts w:hint="default"/>
      </w:rPr>
    </w:lvl>
    <w:lvl w:ilvl="1" w:tentative="0">
      <w:start w:val="2"/>
      <w:numFmt w:val="decimal"/>
      <w:lvlText w:val="%1.%2"/>
      <w:lvlJc w:val="left"/>
      <w:pPr>
        <w:ind w:left="536" w:hanging="318"/>
        <w:jc w:val="right"/>
      </w:pPr>
      <w:rPr>
        <w:rFonts w:hint="default" w:ascii="宋体" w:hAnsi="宋体" w:eastAsia="宋体" w:cs="宋体"/>
        <w:spacing w:val="-55"/>
        <w:w w:val="100"/>
        <w:sz w:val="21"/>
        <w:szCs w:val="21"/>
      </w:rPr>
    </w:lvl>
    <w:lvl w:ilvl="2" w:tentative="0">
      <w:start w:val="0"/>
      <w:numFmt w:val="bullet"/>
      <w:lvlText w:val="•"/>
      <w:lvlJc w:val="left"/>
      <w:pPr>
        <w:ind w:left="2437" w:hanging="318"/>
      </w:pPr>
      <w:rPr>
        <w:rFonts w:hint="default"/>
      </w:rPr>
    </w:lvl>
    <w:lvl w:ilvl="3" w:tentative="0">
      <w:start w:val="0"/>
      <w:numFmt w:val="bullet"/>
      <w:lvlText w:val="•"/>
      <w:lvlJc w:val="left"/>
      <w:pPr>
        <w:ind w:left="3385" w:hanging="318"/>
      </w:pPr>
      <w:rPr>
        <w:rFonts w:hint="default"/>
      </w:rPr>
    </w:lvl>
    <w:lvl w:ilvl="4" w:tentative="0">
      <w:start w:val="0"/>
      <w:numFmt w:val="bullet"/>
      <w:lvlText w:val="•"/>
      <w:lvlJc w:val="left"/>
      <w:pPr>
        <w:ind w:left="4334" w:hanging="318"/>
      </w:pPr>
      <w:rPr>
        <w:rFonts w:hint="default"/>
      </w:rPr>
    </w:lvl>
    <w:lvl w:ilvl="5" w:tentative="0">
      <w:start w:val="0"/>
      <w:numFmt w:val="bullet"/>
      <w:lvlText w:val="•"/>
      <w:lvlJc w:val="left"/>
      <w:pPr>
        <w:ind w:left="5283" w:hanging="318"/>
      </w:pPr>
      <w:rPr>
        <w:rFonts w:hint="default"/>
      </w:rPr>
    </w:lvl>
    <w:lvl w:ilvl="6" w:tentative="0">
      <w:start w:val="0"/>
      <w:numFmt w:val="bullet"/>
      <w:lvlText w:val="•"/>
      <w:lvlJc w:val="left"/>
      <w:pPr>
        <w:ind w:left="6231" w:hanging="318"/>
      </w:pPr>
      <w:rPr>
        <w:rFonts w:hint="default"/>
      </w:rPr>
    </w:lvl>
    <w:lvl w:ilvl="7" w:tentative="0">
      <w:start w:val="0"/>
      <w:numFmt w:val="bullet"/>
      <w:lvlText w:val="•"/>
      <w:lvlJc w:val="left"/>
      <w:pPr>
        <w:ind w:left="7180" w:hanging="318"/>
      </w:pPr>
      <w:rPr>
        <w:rFonts w:hint="default"/>
      </w:rPr>
    </w:lvl>
    <w:lvl w:ilvl="8" w:tentative="0">
      <w:start w:val="0"/>
      <w:numFmt w:val="bullet"/>
      <w:lvlText w:val="•"/>
      <w:lvlJc w:val="left"/>
      <w:pPr>
        <w:ind w:left="8129" w:hanging="318"/>
      </w:pPr>
      <w:rPr>
        <w:rFonts w:hint="default"/>
      </w:rPr>
    </w:lvl>
  </w:abstractNum>
  <w:abstractNum w:abstractNumId="26">
    <w:nsid w:val="F4B5D9F5"/>
    <w:multiLevelType w:val="multilevel"/>
    <w:tmpl w:val="F4B5D9F5"/>
    <w:lvl w:ilvl="0" w:tentative="0">
      <w:start w:val="1"/>
      <w:numFmt w:val="decimal"/>
      <w:lvlText w:val="%1"/>
      <w:lvlJc w:val="left"/>
      <w:pPr>
        <w:ind w:left="905" w:hanging="370"/>
        <w:jc w:val="left"/>
      </w:pPr>
      <w:rPr>
        <w:rFonts w:hint="default"/>
      </w:rPr>
    </w:lvl>
    <w:lvl w:ilvl="1" w:tentative="0">
      <w:start w:val="7"/>
      <w:numFmt w:val="decimal"/>
      <w:lvlText w:val="%1.%2"/>
      <w:lvlJc w:val="left"/>
      <w:pPr>
        <w:ind w:left="905" w:hanging="370"/>
        <w:jc w:val="left"/>
      </w:pPr>
      <w:rPr>
        <w:rFonts w:hint="default" w:ascii="宋体" w:hAnsi="宋体" w:eastAsia="宋体" w:cs="宋体"/>
        <w:b/>
        <w:bCs/>
        <w:w w:val="99"/>
        <w:sz w:val="21"/>
        <w:szCs w:val="21"/>
      </w:rPr>
    </w:lvl>
    <w:lvl w:ilvl="2" w:tentative="0">
      <w:start w:val="1"/>
      <w:numFmt w:val="decimal"/>
      <w:lvlText w:val="%1.%2.%3"/>
      <w:lvlJc w:val="left"/>
      <w:pPr>
        <w:ind w:left="112" w:hanging="632"/>
        <w:jc w:val="left"/>
      </w:pPr>
      <w:rPr>
        <w:rFonts w:hint="default" w:ascii="宋体" w:hAnsi="宋体" w:eastAsia="宋体" w:cs="宋体"/>
        <w:w w:val="100"/>
        <w:sz w:val="21"/>
        <w:szCs w:val="21"/>
      </w:rPr>
    </w:lvl>
    <w:lvl w:ilvl="3" w:tentative="0">
      <w:start w:val="0"/>
      <w:numFmt w:val="bullet"/>
      <w:lvlText w:val="•"/>
      <w:lvlJc w:val="left"/>
      <w:pPr>
        <w:ind w:left="2914" w:hanging="632"/>
      </w:pPr>
      <w:rPr>
        <w:rFonts w:hint="default"/>
      </w:rPr>
    </w:lvl>
    <w:lvl w:ilvl="4" w:tentative="0">
      <w:start w:val="0"/>
      <w:numFmt w:val="bullet"/>
      <w:lvlText w:val="•"/>
      <w:lvlJc w:val="left"/>
      <w:pPr>
        <w:ind w:left="3922" w:hanging="632"/>
      </w:pPr>
      <w:rPr>
        <w:rFonts w:hint="default"/>
      </w:rPr>
    </w:lvl>
    <w:lvl w:ilvl="5" w:tentative="0">
      <w:start w:val="0"/>
      <w:numFmt w:val="bullet"/>
      <w:lvlText w:val="•"/>
      <w:lvlJc w:val="left"/>
      <w:pPr>
        <w:ind w:left="4929" w:hanging="632"/>
      </w:pPr>
      <w:rPr>
        <w:rFonts w:hint="default"/>
      </w:rPr>
    </w:lvl>
    <w:lvl w:ilvl="6" w:tentative="0">
      <w:start w:val="0"/>
      <w:numFmt w:val="bullet"/>
      <w:lvlText w:val="•"/>
      <w:lvlJc w:val="left"/>
      <w:pPr>
        <w:ind w:left="5936" w:hanging="632"/>
      </w:pPr>
      <w:rPr>
        <w:rFonts w:hint="default"/>
      </w:rPr>
    </w:lvl>
    <w:lvl w:ilvl="7" w:tentative="0">
      <w:start w:val="0"/>
      <w:numFmt w:val="bullet"/>
      <w:lvlText w:val="•"/>
      <w:lvlJc w:val="left"/>
      <w:pPr>
        <w:ind w:left="6944" w:hanging="632"/>
      </w:pPr>
      <w:rPr>
        <w:rFonts w:hint="default"/>
      </w:rPr>
    </w:lvl>
    <w:lvl w:ilvl="8" w:tentative="0">
      <w:start w:val="0"/>
      <w:numFmt w:val="bullet"/>
      <w:lvlText w:val="•"/>
      <w:lvlJc w:val="left"/>
      <w:pPr>
        <w:ind w:left="7951" w:hanging="632"/>
      </w:pPr>
      <w:rPr>
        <w:rFonts w:hint="default"/>
      </w:rPr>
    </w:lvl>
  </w:abstractNum>
  <w:abstractNum w:abstractNumId="27">
    <w:nsid w:val="F689643B"/>
    <w:multiLevelType w:val="multilevel"/>
    <w:tmpl w:val="F689643B"/>
    <w:lvl w:ilvl="0" w:tentative="0">
      <w:start w:val="1"/>
      <w:numFmt w:val="decimal"/>
      <w:lvlText w:val="%1."/>
      <w:lvlJc w:val="left"/>
      <w:pPr>
        <w:ind w:left="112" w:hanging="264"/>
        <w:jc w:val="left"/>
      </w:pPr>
      <w:rPr>
        <w:rFonts w:hint="default" w:ascii="Times New Roman" w:hAnsi="Times New Roman" w:eastAsia="Times New Roman" w:cs="Times New Roman"/>
        <w:w w:val="100"/>
        <w:sz w:val="21"/>
        <w:szCs w:val="21"/>
      </w:rPr>
    </w:lvl>
    <w:lvl w:ilvl="1" w:tentative="0">
      <w:start w:val="0"/>
      <w:numFmt w:val="bullet"/>
      <w:lvlText w:val="•"/>
      <w:lvlJc w:val="left"/>
      <w:pPr>
        <w:ind w:left="1118" w:hanging="264"/>
      </w:pPr>
      <w:rPr>
        <w:rFonts w:hint="default"/>
      </w:rPr>
    </w:lvl>
    <w:lvl w:ilvl="2" w:tentative="0">
      <w:start w:val="0"/>
      <w:numFmt w:val="bullet"/>
      <w:lvlText w:val="•"/>
      <w:lvlJc w:val="left"/>
      <w:pPr>
        <w:ind w:left="2117" w:hanging="264"/>
      </w:pPr>
      <w:rPr>
        <w:rFonts w:hint="default"/>
      </w:rPr>
    </w:lvl>
    <w:lvl w:ilvl="3" w:tentative="0">
      <w:start w:val="0"/>
      <w:numFmt w:val="bullet"/>
      <w:lvlText w:val="•"/>
      <w:lvlJc w:val="left"/>
      <w:pPr>
        <w:ind w:left="3115" w:hanging="264"/>
      </w:pPr>
      <w:rPr>
        <w:rFonts w:hint="default"/>
      </w:rPr>
    </w:lvl>
    <w:lvl w:ilvl="4" w:tentative="0">
      <w:start w:val="0"/>
      <w:numFmt w:val="bullet"/>
      <w:lvlText w:val="•"/>
      <w:lvlJc w:val="left"/>
      <w:pPr>
        <w:ind w:left="4114" w:hanging="264"/>
      </w:pPr>
      <w:rPr>
        <w:rFonts w:hint="default"/>
      </w:rPr>
    </w:lvl>
    <w:lvl w:ilvl="5" w:tentative="0">
      <w:start w:val="0"/>
      <w:numFmt w:val="bullet"/>
      <w:lvlText w:val="•"/>
      <w:lvlJc w:val="left"/>
      <w:pPr>
        <w:ind w:left="5113" w:hanging="264"/>
      </w:pPr>
      <w:rPr>
        <w:rFonts w:hint="default"/>
      </w:rPr>
    </w:lvl>
    <w:lvl w:ilvl="6" w:tentative="0">
      <w:start w:val="0"/>
      <w:numFmt w:val="bullet"/>
      <w:lvlText w:val="•"/>
      <w:lvlJc w:val="left"/>
      <w:pPr>
        <w:ind w:left="6111" w:hanging="264"/>
      </w:pPr>
      <w:rPr>
        <w:rFonts w:hint="default"/>
      </w:rPr>
    </w:lvl>
    <w:lvl w:ilvl="7" w:tentative="0">
      <w:start w:val="0"/>
      <w:numFmt w:val="bullet"/>
      <w:lvlText w:val="•"/>
      <w:lvlJc w:val="left"/>
      <w:pPr>
        <w:ind w:left="7110" w:hanging="264"/>
      </w:pPr>
      <w:rPr>
        <w:rFonts w:hint="default"/>
      </w:rPr>
    </w:lvl>
    <w:lvl w:ilvl="8" w:tentative="0">
      <w:start w:val="0"/>
      <w:numFmt w:val="bullet"/>
      <w:lvlText w:val="•"/>
      <w:lvlJc w:val="left"/>
      <w:pPr>
        <w:ind w:left="8109" w:hanging="264"/>
      </w:pPr>
      <w:rPr>
        <w:rFonts w:hint="default"/>
      </w:rPr>
    </w:lvl>
  </w:abstractNum>
  <w:abstractNum w:abstractNumId="28">
    <w:nsid w:val="F7735DC9"/>
    <w:multiLevelType w:val="multilevel"/>
    <w:tmpl w:val="F7735DC9"/>
    <w:lvl w:ilvl="0" w:tentative="0">
      <w:start w:val="12"/>
      <w:numFmt w:val="decimal"/>
      <w:lvlText w:val="%1"/>
      <w:lvlJc w:val="left"/>
      <w:pPr>
        <w:ind w:left="1010" w:hanging="476"/>
        <w:jc w:val="left"/>
      </w:pPr>
      <w:rPr>
        <w:rFonts w:hint="default"/>
      </w:rPr>
    </w:lvl>
    <w:lvl w:ilvl="1" w:tentative="0">
      <w:start w:val="4"/>
      <w:numFmt w:val="decimal"/>
      <w:lvlText w:val="%1.%2"/>
      <w:lvlJc w:val="left"/>
      <w:pPr>
        <w:ind w:left="1010" w:hanging="476"/>
        <w:jc w:val="left"/>
      </w:pPr>
      <w:rPr>
        <w:rFonts w:hint="default" w:ascii="宋体" w:hAnsi="宋体" w:eastAsia="宋体" w:cs="宋体"/>
        <w:b/>
        <w:bCs/>
        <w:w w:val="99"/>
        <w:sz w:val="21"/>
        <w:szCs w:val="21"/>
      </w:rPr>
    </w:lvl>
    <w:lvl w:ilvl="2" w:tentative="0">
      <w:start w:val="1"/>
      <w:numFmt w:val="decimal"/>
      <w:lvlText w:val="%1.%2.%3"/>
      <w:lvlJc w:val="left"/>
      <w:pPr>
        <w:ind w:left="1270" w:hanging="737"/>
        <w:jc w:val="left"/>
      </w:pPr>
      <w:rPr>
        <w:rFonts w:hint="default" w:ascii="宋体" w:hAnsi="宋体" w:eastAsia="宋体" w:cs="宋体"/>
        <w:w w:val="100"/>
        <w:sz w:val="21"/>
        <w:szCs w:val="21"/>
      </w:rPr>
    </w:lvl>
    <w:lvl w:ilvl="3" w:tentative="0">
      <w:start w:val="0"/>
      <w:numFmt w:val="bullet"/>
      <w:lvlText w:val="•"/>
      <w:lvlJc w:val="left"/>
      <w:pPr>
        <w:ind w:left="3210" w:hanging="737"/>
      </w:pPr>
      <w:rPr>
        <w:rFonts w:hint="default"/>
      </w:rPr>
    </w:lvl>
    <w:lvl w:ilvl="4" w:tentative="0">
      <w:start w:val="0"/>
      <w:numFmt w:val="bullet"/>
      <w:lvlText w:val="•"/>
      <w:lvlJc w:val="left"/>
      <w:pPr>
        <w:ind w:left="4175" w:hanging="737"/>
      </w:pPr>
      <w:rPr>
        <w:rFonts w:hint="default"/>
      </w:rPr>
    </w:lvl>
    <w:lvl w:ilvl="5" w:tentative="0">
      <w:start w:val="0"/>
      <w:numFmt w:val="bullet"/>
      <w:lvlText w:val="•"/>
      <w:lvlJc w:val="left"/>
      <w:pPr>
        <w:ind w:left="5140" w:hanging="737"/>
      </w:pPr>
      <w:rPr>
        <w:rFonts w:hint="default"/>
      </w:rPr>
    </w:lvl>
    <w:lvl w:ilvl="6" w:tentative="0">
      <w:start w:val="0"/>
      <w:numFmt w:val="bullet"/>
      <w:lvlText w:val="•"/>
      <w:lvlJc w:val="left"/>
      <w:pPr>
        <w:ind w:left="6105" w:hanging="737"/>
      </w:pPr>
      <w:rPr>
        <w:rFonts w:hint="default"/>
      </w:rPr>
    </w:lvl>
    <w:lvl w:ilvl="7" w:tentative="0">
      <w:start w:val="0"/>
      <w:numFmt w:val="bullet"/>
      <w:lvlText w:val="•"/>
      <w:lvlJc w:val="left"/>
      <w:pPr>
        <w:ind w:left="7070" w:hanging="737"/>
      </w:pPr>
      <w:rPr>
        <w:rFonts w:hint="default"/>
      </w:rPr>
    </w:lvl>
    <w:lvl w:ilvl="8" w:tentative="0">
      <w:start w:val="0"/>
      <w:numFmt w:val="bullet"/>
      <w:lvlText w:val="•"/>
      <w:lvlJc w:val="left"/>
      <w:pPr>
        <w:ind w:left="8036" w:hanging="737"/>
      </w:pPr>
      <w:rPr>
        <w:rFonts w:hint="default"/>
      </w:rPr>
    </w:lvl>
  </w:abstractNum>
  <w:abstractNum w:abstractNumId="29">
    <w:nsid w:val="FEC2EA36"/>
    <w:multiLevelType w:val="multilevel"/>
    <w:tmpl w:val="FEC2EA36"/>
    <w:lvl w:ilvl="0" w:tentative="0">
      <w:start w:val="1"/>
      <w:numFmt w:val="decimal"/>
      <w:lvlText w:val="%1."/>
      <w:lvlJc w:val="left"/>
      <w:pPr>
        <w:ind w:left="112" w:hanging="264"/>
        <w:jc w:val="left"/>
      </w:pPr>
      <w:rPr>
        <w:rFonts w:hint="default" w:ascii="Times New Roman" w:hAnsi="Times New Roman" w:eastAsia="Times New Roman" w:cs="Times New Roman"/>
        <w:w w:val="100"/>
        <w:sz w:val="21"/>
        <w:szCs w:val="21"/>
      </w:rPr>
    </w:lvl>
    <w:lvl w:ilvl="1" w:tentative="0">
      <w:start w:val="0"/>
      <w:numFmt w:val="bullet"/>
      <w:lvlText w:val="•"/>
      <w:lvlJc w:val="left"/>
      <w:pPr>
        <w:ind w:left="1118" w:hanging="264"/>
      </w:pPr>
      <w:rPr>
        <w:rFonts w:hint="default"/>
      </w:rPr>
    </w:lvl>
    <w:lvl w:ilvl="2" w:tentative="0">
      <w:start w:val="0"/>
      <w:numFmt w:val="bullet"/>
      <w:lvlText w:val="•"/>
      <w:lvlJc w:val="left"/>
      <w:pPr>
        <w:ind w:left="2117" w:hanging="264"/>
      </w:pPr>
      <w:rPr>
        <w:rFonts w:hint="default"/>
      </w:rPr>
    </w:lvl>
    <w:lvl w:ilvl="3" w:tentative="0">
      <w:start w:val="0"/>
      <w:numFmt w:val="bullet"/>
      <w:lvlText w:val="•"/>
      <w:lvlJc w:val="left"/>
      <w:pPr>
        <w:ind w:left="3115" w:hanging="264"/>
      </w:pPr>
      <w:rPr>
        <w:rFonts w:hint="default"/>
      </w:rPr>
    </w:lvl>
    <w:lvl w:ilvl="4" w:tentative="0">
      <w:start w:val="0"/>
      <w:numFmt w:val="bullet"/>
      <w:lvlText w:val="•"/>
      <w:lvlJc w:val="left"/>
      <w:pPr>
        <w:ind w:left="4114" w:hanging="264"/>
      </w:pPr>
      <w:rPr>
        <w:rFonts w:hint="default"/>
      </w:rPr>
    </w:lvl>
    <w:lvl w:ilvl="5" w:tentative="0">
      <w:start w:val="0"/>
      <w:numFmt w:val="bullet"/>
      <w:lvlText w:val="•"/>
      <w:lvlJc w:val="left"/>
      <w:pPr>
        <w:ind w:left="5113" w:hanging="264"/>
      </w:pPr>
      <w:rPr>
        <w:rFonts w:hint="default"/>
      </w:rPr>
    </w:lvl>
    <w:lvl w:ilvl="6" w:tentative="0">
      <w:start w:val="0"/>
      <w:numFmt w:val="bullet"/>
      <w:lvlText w:val="•"/>
      <w:lvlJc w:val="left"/>
      <w:pPr>
        <w:ind w:left="6111" w:hanging="264"/>
      </w:pPr>
      <w:rPr>
        <w:rFonts w:hint="default"/>
      </w:rPr>
    </w:lvl>
    <w:lvl w:ilvl="7" w:tentative="0">
      <w:start w:val="0"/>
      <w:numFmt w:val="bullet"/>
      <w:lvlText w:val="•"/>
      <w:lvlJc w:val="left"/>
      <w:pPr>
        <w:ind w:left="7110" w:hanging="264"/>
      </w:pPr>
      <w:rPr>
        <w:rFonts w:hint="default"/>
      </w:rPr>
    </w:lvl>
    <w:lvl w:ilvl="8" w:tentative="0">
      <w:start w:val="0"/>
      <w:numFmt w:val="bullet"/>
      <w:lvlText w:val="•"/>
      <w:lvlJc w:val="left"/>
      <w:pPr>
        <w:ind w:left="8109" w:hanging="264"/>
      </w:pPr>
      <w:rPr>
        <w:rFonts w:hint="default"/>
      </w:rPr>
    </w:lvl>
  </w:abstractNum>
  <w:abstractNum w:abstractNumId="30">
    <w:nsid w:val="00000009"/>
    <w:multiLevelType w:val="singleLevel"/>
    <w:tmpl w:val="00000009"/>
    <w:lvl w:ilvl="0" w:tentative="0">
      <w:start w:val="5"/>
      <w:numFmt w:val="chineseCounting"/>
      <w:suff w:val="nothing"/>
      <w:lvlText w:val="%1、"/>
      <w:lvlJc w:val="left"/>
      <w:rPr>
        <w:rFonts w:hint="eastAsia"/>
      </w:rPr>
    </w:lvl>
  </w:abstractNum>
  <w:abstractNum w:abstractNumId="31">
    <w:nsid w:val="0248C179"/>
    <w:multiLevelType w:val="multilevel"/>
    <w:tmpl w:val="0248C179"/>
    <w:lvl w:ilvl="0" w:tentative="0">
      <w:start w:val="1"/>
      <w:numFmt w:val="decimal"/>
      <w:lvlText w:val="%1."/>
      <w:lvlJc w:val="left"/>
      <w:pPr>
        <w:ind w:left="430" w:hanging="318"/>
        <w:jc w:val="left"/>
      </w:pPr>
      <w:rPr>
        <w:rFonts w:hint="default"/>
        <w:b/>
        <w:bCs/>
        <w:w w:val="99"/>
      </w:rPr>
    </w:lvl>
    <w:lvl w:ilvl="1" w:tentative="0">
      <w:start w:val="1"/>
      <w:numFmt w:val="decimal"/>
      <w:lvlText w:val="%1.%2"/>
      <w:lvlJc w:val="left"/>
      <w:pPr>
        <w:ind w:left="1010" w:hanging="476"/>
        <w:jc w:val="left"/>
      </w:pPr>
      <w:rPr>
        <w:rFonts w:hint="default"/>
        <w:b/>
        <w:bCs/>
        <w:w w:val="99"/>
      </w:rPr>
    </w:lvl>
    <w:lvl w:ilvl="2" w:tentative="0">
      <w:start w:val="1"/>
      <w:numFmt w:val="decimal"/>
      <w:lvlText w:val="%1.%2.%3"/>
      <w:lvlJc w:val="left"/>
      <w:pPr>
        <w:ind w:left="1164" w:hanging="476"/>
        <w:jc w:val="left"/>
      </w:pPr>
      <w:rPr>
        <w:rFonts w:hint="default" w:ascii="宋体" w:hAnsi="宋体" w:eastAsia="宋体" w:cs="宋体"/>
        <w:spacing w:val="-3"/>
        <w:w w:val="100"/>
        <w:sz w:val="21"/>
        <w:szCs w:val="21"/>
      </w:rPr>
    </w:lvl>
    <w:lvl w:ilvl="3" w:tentative="0">
      <w:start w:val="1"/>
      <w:numFmt w:val="decimal"/>
      <w:lvlText w:val="%1.%2.%3.%4"/>
      <w:lvlJc w:val="left"/>
      <w:pPr>
        <w:ind w:left="112" w:hanging="476"/>
        <w:jc w:val="left"/>
      </w:pPr>
      <w:rPr>
        <w:rFonts w:hint="default" w:ascii="宋体" w:hAnsi="宋体" w:eastAsia="宋体" w:cs="宋体"/>
        <w:spacing w:val="-3"/>
        <w:w w:val="100"/>
        <w:sz w:val="21"/>
        <w:szCs w:val="21"/>
      </w:rPr>
    </w:lvl>
    <w:lvl w:ilvl="4" w:tentative="0">
      <w:start w:val="0"/>
      <w:numFmt w:val="bullet"/>
      <w:lvlText w:val="•"/>
      <w:lvlJc w:val="left"/>
      <w:pPr>
        <w:ind w:left="960" w:hanging="476"/>
      </w:pPr>
      <w:rPr>
        <w:rFonts w:hint="default"/>
      </w:rPr>
    </w:lvl>
    <w:lvl w:ilvl="5" w:tentative="0">
      <w:start w:val="0"/>
      <w:numFmt w:val="bullet"/>
      <w:lvlText w:val="•"/>
      <w:lvlJc w:val="left"/>
      <w:pPr>
        <w:ind w:left="1020" w:hanging="476"/>
      </w:pPr>
      <w:rPr>
        <w:rFonts w:hint="default"/>
      </w:rPr>
    </w:lvl>
    <w:lvl w:ilvl="6" w:tentative="0">
      <w:start w:val="0"/>
      <w:numFmt w:val="bullet"/>
      <w:lvlText w:val="•"/>
      <w:lvlJc w:val="left"/>
      <w:pPr>
        <w:ind w:left="1060" w:hanging="476"/>
      </w:pPr>
      <w:rPr>
        <w:rFonts w:hint="default"/>
      </w:rPr>
    </w:lvl>
    <w:lvl w:ilvl="7" w:tentative="0">
      <w:start w:val="0"/>
      <w:numFmt w:val="bullet"/>
      <w:lvlText w:val="•"/>
      <w:lvlJc w:val="left"/>
      <w:pPr>
        <w:ind w:left="1120" w:hanging="476"/>
      </w:pPr>
      <w:rPr>
        <w:rFonts w:hint="default"/>
      </w:rPr>
    </w:lvl>
    <w:lvl w:ilvl="8" w:tentative="0">
      <w:start w:val="0"/>
      <w:numFmt w:val="bullet"/>
      <w:lvlText w:val="•"/>
      <w:lvlJc w:val="left"/>
      <w:pPr>
        <w:ind w:left="1160" w:hanging="476"/>
      </w:pPr>
      <w:rPr>
        <w:rFonts w:hint="default"/>
      </w:rPr>
    </w:lvl>
  </w:abstractNum>
  <w:abstractNum w:abstractNumId="32">
    <w:nsid w:val="03D62ECE"/>
    <w:multiLevelType w:val="multilevel"/>
    <w:tmpl w:val="03D62ECE"/>
    <w:lvl w:ilvl="0" w:tentative="0">
      <w:start w:val="9"/>
      <w:numFmt w:val="decimal"/>
      <w:lvlText w:val="%1"/>
      <w:lvlJc w:val="left"/>
      <w:pPr>
        <w:ind w:left="1111" w:hanging="579"/>
        <w:jc w:val="left"/>
      </w:pPr>
      <w:rPr>
        <w:rFonts w:hint="default"/>
      </w:rPr>
    </w:lvl>
    <w:lvl w:ilvl="1" w:tentative="0">
      <w:start w:val="6"/>
      <w:numFmt w:val="decimal"/>
      <w:lvlText w:val="%1.%2"/>
      <w:lvlJc w:val="left"/>
      <w:pPr>
        <w:ind w:left="1111" w:hanging="579"/>
        <w:jc w:val="left"/>
      </w:pPr>
      <w:rPr>
        <w:rFonts w:hint="default"/>
      </w:rPr>
    </w:lvl>
    <w:lvl w:ilvl="2" w:tentative="0">
      <w:start w:val="2"/>
      <w:numFmt w:val="decimal"/>
      <w:lvlText w:val="%1.%2.%3"/>
      <w:lvlJc w:val="left"/>
      <w:pPr>
        <w:ind w:left="1111" w:hanging="579"/>
        <w:jc w:val="left"/>
      </w:pPr>
      <w:rPr>
        <w:rFonts w:hint="default" w:ascii="宋体" w:hAnsi="宋体" w:eastAsia="宋体" w:cs="宋体"/>
        <w:w w:val="100"/>
        <w:sz w:val="21"/>
        <w:szCs w:val="21"/>
      </w:rPr>
    </w:lvl>
    <w:lvl w:ilvl="3" w:tentative="0">
      <w:start w:val="1"/>
      <w:numFmt w:val="decimal"/>
      <w:lvlText w:val="%1.%2.%3.%4"/>
      <w:lvlJc w:val="left"/>
      <w:pPr>
        <w:ind w:left="112" w:hanging="819"/>
        <w:jc w:val="left"/>
      </w:pPr>
      <w:rPr>
        <w:rFonts w:hint="default" w:ascii="宋体" w:hAnsi="宋体" w:eastAsia="宋体" w:cs="宋体"/>
        <w:spacing w:val="-3"/>
        <w:w w:val="100"/>
        <w:sz w:val="21"/>
        <w:szCs w:val="21"/>
      </w:rPr>
    </w:lvl>
    <w:lvl w:ilvl="4" w:tentative="0">
      <w:start w:val="0"/>
      <w:numFmt w:val="bullet"/>
      <w:lvlText w:val="•"/>
      <w:lvlJc w:val="left"/>
      <w:pPr>
        <w:ind w:left="4042" w:hanging="819"/>
      </w:pPr>
      <w:rPr>
        <w:rFonts w:hint="default"/>
      </w:rPr>
    </w:lvl>
    <w:lvl w:ilvl="5" w:tentative="0">
      <w:start w:val="0"/>
      <w:numFmt w:val="bullet"/>
      <w:lvlText w:val="•"/>
      <w:lvlJc w:val="left"/>
      <w:pPr>
        <w:ind w:left="5016" w:hanging="819"/>
      </w:pPr>
      <w:rPr>
        <w:rFonts w:hint="default"/>
      </w:rPr>
    </w:lvl>
    <w:lvl w:ilvl="6" w:tentative="0">
      <w:start w:val="0"/>
      <w:numFmt w:val="bullet"/>
      <w:lvlText w:val="•"/>
      <w:lvlJc w:val="left"/>
      <w:pPr>
        <w:ind w:left="5990" w:hanging="819"/>
      </w:pPr>
      <w:rPr>
        <w:rFonts w:hint="default"/>
      </w:rPr>
    </w:lvl>
    <w:lvl w:ilvl="7" w:tentative="0">
      <w:start w:val="0"/>
      <w:numFmt w:val="bullet"/>
      <w:lvlText w:val="•"/>
      <w:lvlJc w:val="left"/>
      <w:pPr>
        <w:ind w:left="6964" w:hanging="819"/>
      </w:pPr>
      <w:rPr>
        <w:rFonts w:hint="default"/>
      </w:rPr>
    </w:lvl>
    <w:lvl w:ilvl="8" w:tentative="0">
      <w:start w:val="0"/>
      <w:numFmt w:val="bullet"/>
      <w:lvlText w:val="•"/>
      <w:lvlJc w:val="left"/>
      <w:pPr>
        <w:ind w:left="7938" w:hanging="819"/>
      </w:pPr>
      <w:rPr>
        <w:rFonts w:hint="default"/>
      </w:rPr>
    </w:lvl>
  </w:abstractNum>
  <w:abstractNum w:abstractNumId="33">
    <w:nsid w:val="0E640482"/>
    <w:multiLevelType w:val="multilevel"/>
    <w:tmpl w:val="0E640482"/>
    <w:lvl w:ilvl="0" w:tentative="0">
      <w:start w:val="5"/>
      <w:numFmt w:val="decimal"/>
      <w:lvlText w:val="%1"/>
      <w:lvlJc w:val="left"/>
      <w:pPr>
        <w:ind w:left="958" w:hanging="423"/>
        <w:jc w:val="left"/>
      </w:pPr>
      <w:rPr>
        <w:rFonts w:hint="default"/>
      </w:rPr>
    </w:lvl>
    <w:lvl w:ilvl="1" w:tentative="0">
      <w:start w:val="3"/>
      <w:numFmt w:val="decimal"/>
      <w:lvlText w:val="%1.%2"/>
      <w:lvlJc w:val="left"/>
      <w:pPr>
        <w:ind w:left="958" w:hanging="423"/>
        <w:jc w:val="left"/>
      </w:pPr>
      <w:rPr>
        <w:rFonts w:hint="default" w:ascii="宋体" w:hAnsi="宋体" w:eastAsia="宋体" w:cs="宋体"/>
        <w:b/>
        <w:bCs/>
        <w:w w:val="99"/>
        <w:sz w:val="21"/>
        <w:szCs w:val="21"/>
      </w:rPr>
    </w:lvl>
    <w:lvl w:ilvl="2" w:tentative="0">
      <w:start w:val="1"/>
      <w:numFmt w:val="decimal"/>
      <w:lvlText w:val="%1.%2.%3"/>
      <w:lvlJc w:val="left"/>
      <w:pPr>
        <w:ind w:left="1111" w:hanging="579"/>
        <w:jc w:val="left"/>
      </w:pPr>
      <w:rPr>
        <w:rFonts w:hint="default" w:ascii="宋体" w:hAnsi="宋体" w:eastAsia="宋体" w:cs="宋体"/>
        <w:w w:val="100"/>
        <w:sz w:val="21"/>
        <w:szCs w:val="21"/>
      </w:rPr>
    </w:lvl>
    <w:lvl w:ilvl="3" w:tentative="0">
      <w:start w:val="0"/>
      <w:numFmt w:val="bullet"/>
      <w:lvlText w:val="•"/>
      <w:lvlJc w:val="left"/>
      <w:pPr>
        <w:ind w:left="3068" w:hanging="579"/>
      </w:pPr>
      <w:rPr>
        <w:rFonts w:hint="default"/>
      </w:rPr>
    </w:lvl>
    <w:lvl w:ilvl="4" w:tentative="0">
      <w:start w:val="0"/>
      <w:numFmt w:val="bullet"/>
      <w:lvlText w:val="•"/>
      <w:lvlJc w:val="left"/>
      <w:pPr>
        <w:ind w:left="4042" w:hanging="579"/>
      </w:pPr>
      <w:rPr>
        <w:rFonts w:hint="default"/>
      </w:rPr>
    </w:lvl>
    <w:lvl w:ilvl="5" w:tentative="0">
      <w:start w:val="0"/>
      <w:numFmt w:val="bullet"/>
      <w:lvlText w:val="•"/>
      <w:lvlJc w:val="left"/>
      <w:pPr>
        <w:ind w:left="5016" w:hanging="579"/>
      </w:pPr>
      <w:rPr>
        <w:rFonts w:hint="default"/>
      </w:rPr>
    </w:lvl>
    <w:lvl w:ilvl="6" w:tentative="0">
      <w:start w:val="0"/>
      <w:numFmt w:val="bullet"/>
      <w:lvlText w:val="•"/>
      <w:lvlJc w:val="left"/>
      <w:pPr>
        <w:ind w:left="5990" w:hanging="579"/>
      </w:pPr>
      <w:rPr>
        <w:rFonts w:hint="default"/>
      </w:rPr>
    </w:lvl>
    <w:lvl w:ilvl="7" w:tentative="0">
      <w:start w:val="0"/>
      <w:numFmt w:val="bullet"/>
      <w:lvlText w:val="•"/>
      <w:lvlJc w:val="left"/>
      <w:pPr>
        <w:ind w:left="6964" w:hanging="579"/>
      </w:pPr>
      <w:rPr>
        <w:rFonts w:hint="default"/>
      </w:rPr>
    </w:lvl>
    <w:lvl w:ilvl="8" w:tentative="0">
      <w:start w:val="0"/>
      <w:numFmt w:val="bullet"/>
      <w:lvlText w:val="•"/>
      <w:lvlJc w:val="left"/>
      <w:pPr>
        <w:ind w:left="7938" w:hanging="579"/>
      </w:pPr>
      <w:rPr>
        <w:rFonts w:hint="default"/>
      </w:rPr>
    </w:lvl>
  </w:abstractNum>
  <w:abstractNum w:abstractNumId="34">
    <w:nsid w:val="18F74015"/>
    <w:multiLevelType w:val="multilevel"/>
    <w:tmpl w:val="18F74015"/>
    <w:lvl w:ilvl="0" w:tentative="0">
      <w:start w:val="1"/>
      <w:numFmt w:val="decimal"/>
      <w:lvlText w:val="%1."/>
      <w:lvlJc w:val="left"/>
      <w:pPr>
        <w:ind w:left="112" w:hanging="264"/>
        <w:jc w:val="left"/>
      </w:pPr>
      <w:rPr>
        <w:rFonts w:hint="default" w:ascii="Times New Roman" w:hAnsi="Times New Roman" w:eastAsia="Times New Roman" w:cs="Times New Roman"/>
        <w:w w:val="100"/>
        <w:sz w:val="21"/>
        <w:szCs w:val="21"/>
      </w:rPr>
    </w:lvl>
    <w:lvl w:ilvl="1" w:tentative="0">
      <w:start w:val="0"/>
      <w:numFmt w:val="bullet"/>
      <w:lvlText w:val="•"/>
      <w:lvlJc w:val="left"/>
      <w:pPr>
        <w:ind w:left="1118" w:hanging="264"/>
      </w:pPr>
      <w:rPr>
        <w:rFonts w:hint="default"/>
      </w:rPr>
    </w:lvl>
    <w:lvl w:ilvl="2" w:tentative="0">
      <w:start w:val="0"/>
      <w:numFmt w:val="bullet"/>
      <w:lvlText w:val="•"/>
      <w:lvlJc w:val="left"/>
      <w:pPr>
        <w:ind w:left="2117" w:hanging="264"/>
      </w:pPr>
      <w:rPr>
        <w:rFonts w:hint="default"/>
      </w:rPr>
    </w:lvl>
    <w:lvl w:ilvl="3" w:tentative="0">
      <w:start w:val="0"/>
      <w:numFmt w:val="bullet"/>
      <w:lvlText w:val="•"/>
      <w:lvlJc w:val="left"/>
      <w:pPr>
        <w:ind w:left="3115" w:hanging="264"/>
      </w:pPr>
      <w:rPr>
        <w:rFonts w:hint="default"/>
      </w:rPr>
    </w:lvl>
    <w:lvl w:ilvl="4" w:tentative="0">
      <w:start w:val="0"/>
      <w:numFmt w:val="bullet"/>
      <w:lvlText w:val="•"/>
      <w:lvlJc w:val="left"/>
      <w:pPr>
        <w:ind w:left="4114" w:hanging="264"/>
      </w:pPr>
      <w:rPr>
        <w:rFonts w:hint="default"/>
      </w:rPr>
    </w:lvl>
    <w:lvl w:ilvl="5" w:tentative="0">
      <w:start w:val="0"/>
      <w:numFmt w:val="bullet"/>
      <w:lvlText w:val="•"/>
      <w:lvlJc w:val="left"/>
      <w:pPr>
        <w:ind w:left="5113" w:hanging="264"/>
      </w:pPr>
      <w:rPr>
        <w:rFonts w:hint="default"/>
      </w:rPr>
    </w:lvl>
    <w:lvl w:ilvl="6" w:tentative="0">
      <w:start w:val="0"/>
      <w:numFmt w:val="bullet"/>
      <w:lvlText w:val="•"/>
      <w:lvlJc w:val="left"/>
      <w:pPr>
        <w:ind w:left="6111" w:hanging="264"/>
      </w:pPr>
      <w:rPr>
        <w:rFonts w:hint="default"/>
      </w:rPr>
    </w:lvl>
    <w:lvl w:ilvl="7" w:tentative="0">
      <w:start w:val="0"/>
      <w:numFmt w:val="bullet"/>
      <w:lvlText w:val="•"/>
      <w:lvlJc w:val="left"/>
      <w:pPr>
        <w:ind w:left="7110" w:hanging="264"/>
      </w:pPr>
      <w:rPr>
        <w:rFonts w:hint="default"/>
      </w:rPr>
    </w:lvl>
    <w:lvl w:ilvl="8" w:tentative="0">
      <w:start w:val="0"/>
      <w:numFmt w:val="bullet"/>
      <w:lvlText w:val="•"/>
      <w:lvlJc w:val="left"/>
      <w:pPr>
        <w:ind w:left="8109" w:hanging="264"/>
      </w:pPr>
      <w:rPr>
        <w:rFonts w:hint="default"/>
      </w:rPr>
    </w:lvl>
  </w:abstractNum>
  <w:abstractNum w:abstractNumId="35">
    <w:nsid w:val="243FCF68"/>
    <w:multiLevelType w:val="multilevel"/>
    <w:tmpl w:val="243FCF68"/>
    <w:lvl w:ilvl="0" w:tentative="0">
      <w:start w:val="10"/>
      <w:numFmt w:val="decimal"/>
      <w:lvlText w:val="%1"/>
      <w:lvlJc w:val="left"/>
      <w:pPr>
        <w:ind w:left="1010" w:hanging="476"/>
        <w:jc w:val="left"/>
      </w:pPr>
      <w:rPr>
        <w:rFonts w:hint="default"/>
      </w:rPr>
    </w:lvl>
    <w:lvl w:ilvl="1" w:tentative="0">
      <w:start w:val="5"/>
      <w:numFmt w:val="decimal"/>
      <w:lvlText w:val="%1.%2"/>
      <w:lvlJc w:val="left"/>
      <w:pPr>
        <w:ind w:left="1010" w:hanging="476"/>
        <w:jc w:val="left"/>
      </w:pPr>
      <w:rPr>
        <w:rFonts w:hint="default" w:ascii="宋体" w:hAnsi="宋体" w:eastAsia="宋体" w:cs="宋体"/>
        <w:b/>
        <w:bCs/>
        <w:w w:val="99"/>
        <w:sz w:val="21"/>
        <w:szCs w:val="21"/>
      </w:rPr>
    </w:lvl>
    <w:lvl w:ilvl="2" w:tentative="0">
      <w:start w:val="1"/>
      <w:numFmt w:val="decimal"/>
      <w:lvlText w:val="%1.%2.%3"/>
      <w:lvlJc w:val="left"/>
      <w:pPr>
        <w:ind w:left="112" w:hanging="737"/>
        <w:jc w:val="left"/>
      </w:pPr>
      <w:rPr>
        <w:rFonts w:hint="default" w:ascii="宋体" w:hAnsi="宋体" w:eastAsia="宋体" w:cs="宋体"/>
        <w:w w:val="100"/>
        <w:sz w:val="21"/>
        <w:szCs w:val="21"/>
      </w:rPr>
    </w:lvl>
    <w:lvl w:ilvl="3" w:tentative="0">
      <w:start w:val="0"/>
      <w:numFmt w:val="bullet"/>
      <w:lvlText w:val="•"/>
      <w:lvlJc w:val="left"/>
      <w:pPr>
        <w:ind w:left="2985" w:hanging="737"/>
      </w:pPr>
      <w:rPr>
        <w:rFonts w:hint="default"/>
      </w:rPr>
    </w:lvl>
    <w:lvl w:ilvl="4" w:tentative="0">
      <w:start w:val="0"/>
      <w:numFmt w:val="bullet"/>
      <w:lvlText w:val="•"/>
      <w:lvlJc w:val="left"/>
      <w:pPr>
        <w:ind w:left="3968" w:hanging="737"/>
      </w:pPr>
      <w:rPr>
        <w:rFonts w:hint="default"/>
      </w:rPr>
    </w:lvl>
    <w:lvl w:ilvl="5" w:tentative="0">
      <w:start w:val="0"/>
      <w:numFmt w:val="bullet"/>
      <w:lvlText w:val="•"/>
      <w:lvlJc w:val="left"/>
      <w:pPr>
        <w:ind w:left="4951" w:hanging="737"/>
      </w:pPr>
      <w:rPr>
        <w:rFonts w:hint="default"/>
      </w:rPr>
    </w:lvl>
    <w:lvl w:ilvl="6" w:tentative="0">
      <w:start w:val="0"/>
      <w:numFmt w:val="bullet"/>
      <w:lvlText w:val="•"/>
      <w:lvlJc w:val="left"/>
      <w:pPr>
        <w:ind w:left="5934" w:hanging="737"/>
      </w:pPr>
      <w:rPr>
        <w:rFonts w:hint="default"/>
      </w:rPr>
    </w:lvl>
    <w:lvl w:ilvl="7" w:tentative="0">
      <w:start w:val="0"/>
      <w:numFmt w:val="bullet"/>
      <w:lvlText w:val="•"/>
      <w:lvlJc w:val="left"/>
      <w:pPr>
        <w:ind w:left="6917" w:hanging="737"/>
      </w:pPr>
      <w:rPr>
        <w:rFonts w:hint="default"/>
      </w:rPr>
    </w:lvl>
    <w:lvl w:ilvl="8" w:tentative="0">
      <w:start w:val="0"/>
      <w:numFmt w:val="bullet"/>
      <w:lvlText w:val="•"/>
      <w:lvlJc w:val="left"/>
      <w:pPr>
        <w:ind w:left="7900" w:hanging="737"/>
      </w:pPr>
      <w:rPr>
        <w:rFonts w:hint="default"/>
      </w:rPr>
    </w:lvl>
  </w:abstractNum>
  <w:abstractNum w:abstractNumId="36">
    <w:nsid w:val="2470EC97"/>
    <w:multiLevelType w:val="multilevel"/>
    <w:tmpl w:val="2470EC97"/>
    <w:lvl w:ilvl="0" w:tentative="0">
      <w:start w:val="1"/>
      <w:numFmt w:val="decimal"/>
      <w:lvlText w:val="%1"/>
      <w:lvlJc w:val="left"/>
      <w:pPr>
        <w:ind w:left="905" w:hanging="370"/>
        <w:jc w:val="left"/>
      </w:pPr>
      <w:rPr>
        <w:rFonts w:hint="default"/>
      </w:rPr>
    </w:lvl>
    <w:lvl w:ilvl="1" w:tentative="0">
      <w:start w:val="8"/>
      <w:numFmt w:val="decimal"/>
      <w:lvlText w:val="%1.%2"/>
      <w:lvlJc w:val="left"/>
      <w:pPr>
        <w:ind w:left="905" w:hanging="370"/>
        <w:jc w:val="left"/>
      </w:pPr>
      <w:rPr>
        <w:rFonts w:hint="default" w:ascii="宋体" w:hAnsi="宋体" w:eastAsia="宋体" w:cs="宋体"/>
        <w:b/>
        <w:bCs/>
        <w:w w:val="99"/>
        <w:sz w:val="21"/>
        <w:szCs w:val="21"/>
      </w:rPr>
    </w:lvl>
    <w:lvl w:ilvl="2" w:tentative="0">
      <w:start w:val="1"/>
      <w:numFmt w:val="decimal"/>
      <w:lvlText w:val="%1.%2.%3"/>
      <w:lvlJc w:val="left"/>
      <w:pPr>
        <w:ind w:left="1270" w:hanging="737"/>
        <w:jc w:val="left"/>
      </w:pPr>
      <w:rPr>
        <w:rFonts w:hint="default" w:ascii="宋体" w:hAnsi="宋体" w:eastAsia="宋体" w:cs="宋体"/>
        <w:w w:val="100"/>
        <w:sz w:val="21"/>
        <w:szCs w:val="21"/>
      </w:rPr>
    </w:lvl>
    <w:lvl w:ilvl="3" w:tentative="0">
      <w:start w:val="0"/>
      <w:numFmt w:val="bullet"/>
      <w:lvlText w:val="•"/>
      <w:lvlJc w:val="left"/>
      <w:pPr>
        <w:ind w:left="3210" w:hanging="737"/>
      </w:pPr>
      <w:rPr>
        <w:rFonts w:hint="default"/>
      </w:rPr>
    </w:lvl>
    <w:lvl w:ilvl="4" w:tentative="0">
      <w:start w:val="0"/>
      <w:numFmt w:val="bullet"/>
      <w:lvlText w:val="•"/>
      <w:lvlJc w:val="left"/>
      <w:pPr>
        <w:ind w:left="4175" w:hanging="737"/>
      </w:pPr>
      <w:rPr>
        <w:rFonts w:hint="default"/>
      </w:rPr>
    </w:lvl>
    <w:lvl w:ilvl="5" w:tentative="0">
      <w:start w:val="0"/>
      <w:numFmt w:val="bullet"/>
      <w:lvlText w:val="•"/>
      <w:lvlJc w:val="left"/>
      <w:pPr>
        <w:ind w:left="5140" w:hanging="737"/>
      </w:pPr>
      <w:rPr>
        <w:rFonts w:hint="default"/>
      </w:rPr>
    </w:lvl>
    <w:lvl w:ilvl="6" w:tentative="0">
      <w:start w:val="0"/>
      <w:numFmt w:val="bullet"/>
      <w:lvlText w:val="•"/>
      <w:lvlJc w:val="left"/>
      <w:pPr>
        <w:ind w:left="6105" w:hanging="737"/>
      </w:pPr>
      <w:rPr>
        <w:rFonts w:hint="default"/>
      </w:rPr>
    </w:lvl>
    <w:lvl w:ilvl="7" w:tentative="0">
      <w:start w:val="0"/>
      <w:numFmt w:val="bullet"/>
      <w:lvlText w:val="•"/>
      <w:lvlJc w:val="left"/>
      <w:pPr>
        <w:ind w:left="7070" w:hanging="737"/>
      </w:pPr>
      <w:rPr>
        <w:rFonts w:hint="default"/>
      </w:rPr>
    </w:lvl>
    <w:lvl w:ilvl="8" w:tentative="0">
      <w:start w:val="0"/>
      <w:numFmt w:val="bullet"/>
      <w:lvlText w:val="•"/>
      <w:lvlJc w:val="left"/>
      <w:pPr>
        <w:ind w:left="8036" w:hanging="737"/>
      </w:pPr>
      <w:rPr>
        <w:rFonts w:hint="default"/>
      </w:rPr>
    </w:lvl>
  </w:abstractNum>
  <w:abstractNum w:abstractNumId="37">
    <w:nsid w:val="25B654F3"/>
    <w:multiLevelType w:val="multilevel"/>
    <w:tmpl w:val="25B654F3"/>
    <w:lvl w:ilvl="0" w:tentative="0">
      <w:start w:val="2"/>
      <w:numFmt w:val="decimal"/>
      <w:lvlText w:val="%1"/>
      <w:lvlJc w:val="left"/>
      <w:pPr>
        <w:ind w:left="482" w:hanging="371"/>
        <w:jc w:val="left"/>
      </w:pPr>
      <w:rPr>
        <w:rFonts w:hint="default"/>
      </w:rPr>
    </w:lvl>
    <w:lvl w:ilvl="1" w:tentative="0">
      <w:start w:val="1"/>
      <w:numFmt w:val="decimal"/>
      <w:lvlText w:val="%1.%2"/>
      <w:lvlJc w:val="left"/>
      <w:pPr>
        <w:ind w:left="482" w:hanging="371"/>
        <w:jc w:val="left"/>
      </w:pPr>
      <w:rPr>
        <w:rFonts w:hint="default" w:ascii="宋体" w:hAnsi="宋体" w:eastAsia="宋体" w:cs="宋体"/>
        <w:b/>
        <w:bCs/>
        <w:w w:val="99"/>
        <w:sz w:val="21"/>
        <w:szCs w:val="21"/>
      </w:rPr>
    </w:lvl>
    <w:lvl w:ilvl="2" w:tentative="0">
      <w:start w:val="1"/>
      <w:numFmt w:val="decimal"/>
      <w:lvlText w:val="%1.%2.%3"/>
      <w:lvlJc w:val="left"/>
      <w:pPr>
        <w:ind w:left="1171" w:hanging="632"/>
        <w:jc w:val="left"/>
      </w:pPr>
      <w:rPr>
        <w:rFonts w:hint="default" w:ascii="宋体" w:hAnsi="宋体" w:eastAsia="宋体" w:cs="宋体"/>
        <w:w w:val="100"/>
        <w:sz w:val="21"/>
        <w:szCs w:val="21"/>
      </w:rPr>
    </w:lvl>
    <w:lvl w:ilvl="3" w:tentative="0">
      <w:start w:val="0"/>
      <w:numFmt w:val="bullet"/>
      <w:lvlText w:val="•"/>
      <w:lvlJc w:val="left"/>
      <w:pPr>
        <w:ind w:left="2265" w:hanging="632"/>
      </w:pPr>
      <w:rPr>
        <w:rFonts w:hint="default"/>
      </w:rPr>
    </w:lvl>
    <w:lvl w:ilvl="4" w:tentative="0">
      <w:start w:val="0"/>
      <w:numFmt w:val="bullet"/>
      <w:lvlText w:val="•"/>
      <w:lvlJc w:val="left"/>
      <w:pPr>
        <w:ind w:left="3351" w:hanging="632"/>
      </w:pPr>
      <w:rPr>
        <w:rFonts w:hint="default"/>
      </w:rPr>
    </w:lvl>
    <w:lvl w:ilvl="5" w:tentative="0">
      <w:start w:val="0"/>
      <w:numFmt w:val="bullet"/>
      <w:lvlText w:val="•"/>
      <w:lvlJc w:val="left"/>
      <w:pPr>
        <w:ind w:left="4437" w:hanging="632"/>
      </w:pPr>
      <w:rPr>
        <w:rFonts w:hint="default"/>
      </w:rPr>
    </w:lvl>
    <w:lvl w:ilvl="6" w:tentative="0">
      <w:start w:val="0"/>
      <w:numFmt w:val="bullet"/>
      <w:lvlText w:val="•"/>
      <w:lvlJc w:val="left"/>
      <w:pPr>
        <w:ind w:left="5523" w:hanging="632"/>
      </w:pPr>
      <w:rPr>
        <w:rFonts w:hint="default"/>
      </w:rPr>
    </w:lvl>
    <w:lvl w:ilvl="7" w:tentative="0">
      <w:start w:val="0"/>
      <w:numFmt w:val="bullet"/>
      <w:lvlText w:val="•"/>
      <w:lvlJc w:val="left"/>
      <w:pPr>
        <w:ind w:left="6609" w:hanging="632"/>
      </w:pPr>
      <w:rPr>
        <w:rFonts w:hint="default"/>
      </w:rPr>
    </w:lvl>
    <w:lvl w:ilvl="8" w:tentative="0">
      <w:start w:val="0"/>
      <w:numFmt w:val="bullet"/>
      <w:lvlText w:val="•"/>
      <w:lvlJc w:val="left"/>
      <w:pPr>
        <w:ind w:left="7694" w:hanging="632"/>
      </w:pPr>
      <w:rPr>
        <w:rFonts w:hint="default"/>
      </w:rPr>
    </w:lvl>
  </w:abstractNum>
  <w:abstractNum w:abstractNumId="38">
    <w:nsid w:val="2A8F537B"/>
    <w:multiLevelType w:val="multilevel"/>
    <w:tmpl w:val="2A8F537B"/>
    <w:lvl w:ilvl="0" w:tentative="0">
      <w:start w:val="1"/>
      <w:numFmt w:val="decimal"/>
      <w:lvlText w:val="%1"/>
      <w:lvlJc w:val="left"/>
      <w:pPr>
        <w:ind w:left="1164" w:hanging="632"/>
        <w:jc w:val="left"/>
      </w:pPr>
      <w:rPr>
        <w:rFonts w:hint="default"/>
      </w:rPr>
    </w:lvl>
    <w:lvl w:ilvl="1" w:tentative="0">
      <w:start w:val="1"/>
      <w:numFmt w:val="decimal"/>
      <w:lvlText w:val="%1.%2"/>
      <w:lvlJc w:val="left"/>
      <w:pPr>
        <w:ind w:left="1164" w:hanging="632"/>
        <w:jc w:val="left"/>
      </w:pPr>
      <w:rPr>
        <w:rFonts w:hint="default"/>
      </w:rPr>
    </w:lvl>
    <w:lvl w:ilvl="2" w:tentative="0">
      <w:start w:val="3"/>
      <w:numFmt w:val="decimal"/>
      <w:lvlText w:val="%1.%2.%3"/>
      <w:lvlJc w:val="left"/>
      <w:pPr>
        <w:ind w:left="1164" w:hanging="632"/>
        <w:jc w:val="left"/>
      </w:pPr>
      <w:rPr>
        <w:rFonts w:hint="default" w:ascii="宋体" w:hAnsi="宋体" w:eastAsia="宋体" w:cs="宋体"/>
        <w:w w:val="100"/>
        <w:sz w:val="21"/>
        <w:szCs w:val="21"/>
      </w:rPr>
    </w:lvl>
    <w:lvl w:ilvl="3" w:tentative="0">
      <w:start w:val="1"/>
      <w:numFmt w:val="decimal"/>
      <w:lvlText w:val="%1.%2.%3.%4"/>
      <w:lvlJc w:val="left"/>
      <w:pPr>
        <w:ind w:left="112" w:hanging="843"/>
        <w:jc w:val="left"/>
      </w:pPr>
      <w:rPr>
        <w:rFonts w:hint="default" w:ascii="宋体" w:hAnsi="宋体" w:eastAsia="宋体" w:cs="宋体"/>
        <w:spacing w:val="-3"/>
        <w:w w:val="100"/>
        <w:sz w:val="21"/>
        <w:szCs w:val="21"/>
      </w:rPr>
    </w:lvl>
    <w:lvl w:ilvl="4" w:tentative="0">
      <w:start w:val="0"/>
      <w:numFmt w:val="bullet"/>
      <w:lvlText w:val="•"/>
      <w:lvlJc w:val="left"/>
      <w:pPr>
        <w:ind w:left="4068" w:hanging="843"/>
      </w:pPr>
      <w:rPr>
        <w:rFonts w:hint="default"/>
      </w:rPr>
    </w:lvl>
    <w:lvl w:ilvl="5" w:tentative="0">
      <w:start w:val="0"/>
      <w:numFmt w:val="bullet"/>
      <w:lvlText w:val="•"/>
      <w:lvlJc w:val="left"/>
      <w:pPr>
        <w:ind w:left="5038" w:hanging="843"/>
      </w:pPr>
      <w:rPr>
        <w:rFonts w:hint="default"/>
      </w:rPr>
    </w:lvl>
    <w:lvl w:ilvl="6" w:tentative="0">
      <w:start w:val="0"/>
      <w:numFmt w:val="bullet"/>
      <w:lvlText w:val="•"/>
      <w:lvlJc w:val="left"/>
      <w:pPr>
        <w:ind w:left="6008" w:hanging="843"/>
      </w:pPr>
      <w:rPr>
        <w:rFonts w:hint="default"/>
      </w:rPr>
    </w:lvl>
    <w:lvl w:ilvl="7" w:tentative="0">
      <w:start w:val="0"/>
      <w:numFmt w:val="bullet"/>
      <w:lvlText w:val="•"/>
      <w:lvlJc w:val="left"/>
      <w:pPr>
        <w:ind w:left="6977" w:hanging="843"/>
      </w:pPr>
      <w:rPr>
        <w:rFonts w:hint="default"/>
      </w:rPr>
    </w:lvl>
    <w:lvl w:ilvl="8" w:tentative="0">
      <w:start w:val="0"/>
      <w:numFmt w:val="bullet"/>
      <w:lvlText w:val="•"/>
      <w:lvlJc w:val="left"/>
      <w:pPr>
        <w:ind w:left="7947" w:hanging="843"/>
      </w:pPr>
      <w:rPr>
        <w:rFonts w:hint="default"/>
      </w:rPr>
    </w:lvl>
  </w:abstractNum>
  <w:abstractNum w:abstractNumId="39">
    <w:nsid w:val="2F2D79CE"/>
    <w:multiLevelType w:val="multilevel"/>
    <w:tmpl w:val="2F2D79CE"/>
    <w:lvl w:ilvl="0" w:tentative="0">
      <w:start w:val="1"/>
      <w:numFmt w:val="decimal"/>
      <w:lvlText w:val="（%1）"/>
      <w:lvlJc w:val="left"/>
      <w:pPr>
        <w:ind w:left="826" w:hanging="721"/>
        <w:jc w:val="left"/>
      </w:pPr>
      <w:rPr>
        <w:rFonts w:hint="default" w:ascii="宋体" w:hAnsi="宋体" w:eastAsia="宋体" w:cs="宋体"/>
        <w:w w:val="100"/>
        <w:sz w:val="21"/>
        <w:szCs w:val="21"/>
      </w:rPr>
    </w:lvl>
    <w:lvl w:ilvl="1" w:tentative="0">
      <w:start w:val="0"/>
      <w:numFmt w:val="bullet"/>
      <w:lvlText w:val="•"/>
      <w:lvlJc w:val="left"/>
      <w:pPr>
        <w:ind w:left="1456" w:hanging="721"/>
      </w:pPr>
      <w:rPr>
        <w:rFonts w:hint="default"/>
      </w:rPr>
    </w:lvl>
    <w:lvl w:ilvl="2" w:tentative="0">
      <w:start w:val="0"/>
      <w:numFmt w:val="bullet"/>
      <w:lvlText w:val="•"/>
      <w:lvlJc w:val="left"/>
      <w:pPr>
        <w:ind w:left="2092" w:hanging="721"/>
      </w:pPr>
      <w:rPr>
        <w:rFonts w:hint="default"/>
      </w:rPr>
    </w:lvl>
    <w:lvl w:ilvl="3" w:tentative="0">
      <w:start w:val="0"/>
      <w:numFmt w:val="bullet"/>
      <w:lvlText w:val="•"/>
      <w:lvlJc w:val="left"/>
      <w:pPr>
        <w:ind w:left="2728" w:hanging="721"/>
      </w:pPr>
      <w:rPr>
        <w:rFonts w:hint="default"/>
      </w:rPr>
    </w:lvl>
    <w:lvl w:ilvl="4" w:tentative="0">
      <w:start w:val="0"/>
      <w:numFmt w:val="bullet"/>
      <w:lvlText w:val="•"/>
      <w:lvlJc w:val="left"/>
      <w:pPr>
        <w:ind w:left="3364" w:hanging="721"/>
      </w:pPr>
      <w:rPr>
        <w:rFonts w:hint="default"/>
      </w:rPr>
    </w:lvl>
    <w:lvl w:ilvl="5" w:tentative="0">
      <w:start w:val="0"/>
      <w:numFmt w:val="bullet"/>
      <w:lvlText w:val="•"/>
      <w:lvlJc w:val="left"/>
      <w:pPr>
        <w:ind w:left="4001" w:hanging="721"/>
      </w:pPr>
      <w:rPr>
        <w:rFonts w:hint="default"/>
      </w:rPr>
    </w:lvl>
    <w:lvl w:ilvl="6" w:tentative="0">
      <w:start w:val="0"/>
      <w:numFmt w:val="bullet"/>
      <w:lvlText w:val="•"/>
      <w:lvlJc w:val="left"/>
      <w:pPr>
        <w:ind w:left="4637" w:hanging="721"/>
      </w:pPr>
      <w:rPr>
        <w:rFonts w:hint="default"/>
      </w:rPr>
    </w:lvl>
    <w:lvl w:ilvl="7" w:tentative="0">
      <w:start w:val="0"/>
      <w:numFmt w:val="bullet"/>
      <w:lvlText w:val="•"/>
      <w:lvlJc w:val="left"/>
      <w:pPr>
        <w:ind w:left="5273" w:hanging="721"/>
      </w:pPr>
      <w:rPr>
        <w:rFonts w:hint="default"/>
      </w:rPr>
    </w:lvl>
    <w:lvl w:ilvl="8" w:tentative="0">
      <w:start w:val="0"/>
      <w:numFmt w:val="bullet"/>
      <w:lvlText w:val="•"/>
      <w:lvlJc w:val="left"/>
      <w:pPr>
        <w:ind w:left="5909" w:hanging="721"/>
      </w:pPr>
      <w:rPr>
        <w:rFonts w:hint="default"/>
      </w:rPr>
    </w:lvl>
  </w:abstractNum>
  <w:abstractNum w:abstractNumId="40">
    <w:nsid w:val="300B1D97"/>
    <w:multiLevelType w:val="singleLevel"/>
    <w:tmpl w:val="300B1D97"/>
    <w:lvl w:ilvl="0" w:tentative="0">
      <w:start w:val="1"/>
      <w:numFmt w:val="chineseCounting"/>
      <w:lvlText w:val="第%1章"/>
      <w:lvlJc w:val="left"/>
      <w:rPr>
        <w:rFonts w:hint="eastAsia"/>
      </w:rPr>
    </w:lvl>
  </w:abstractNum>
  <w:abstractNum w:abstractNumId="41">
    <w:nsid w:val="30A0AC00"/>
    <w:multiLevelType w:val="multilevel"/>
    <w:tmpl w:val="30A0AC00"/>
    <w:lvl w:ilvl="0" w:tentative="0">
      <w:start w:val="1"/>
      <w:numFmt w:val="decimal"/>
      <w:lvlText w:val="%1."/>
      <w:lvlJc w:val="left"/>
      <w:pPr>
        <w:ind w:left="112" w:hanging="264"/>
        <w:jc w:val="left"/>
      </w:pPr>
      <w:rPr>
        <w:rFonts w:hint="default" w:ascii="Times New Roman" w:hAnsi="Times New Roman" w:eastAsia="Times New Roman" w:cs="Times New Roman"/>
        <w:w w:val="100"/>
        <w:sz w:val="21"/>
        <w:szCs w:val="21"/>
      </w:rPr>
    </w:lvl>
    <w:lvl w:ilvl="1" w:tentative="0">
      <w:start w:val="0"/>
      <w:numFmt w:val="bullet"/>
      <w:lvlText w:val="•"/>
      <w:lvlJc w:val="left"/>
      <w:pPr>
        <w:ind w:left="1118" w:hanging="264"/>
      </w:pPr>
      <w:rPr>
        <w:rFonts w:hint="default"/>
      </w:rPr>
    </w:lvl>
    <w:lvl w:ilvl="2" w:tentative="0">
      <w:start w:val="0"/>
      <w:numFmt w:val="bullet"/>
      <w:lvlText w:val="•"/>
      <w:lvlJc w:val="left"/>
      <w:pPr>
        <w:ind w:left="2117" w:hanging="264"/>
      </w:pPr>
      <w:rPr>
        <w:rFonts w:hint="default"/>
      </w:rPr>
    </w:lvl>
    <w:lvl w:ilvl="3" w:tentative="0">
      <w:start w:val="0"/>
      <w:numFmt w:val="bullet"/>
      <w:lvlText w:val="•"/>
      <w:lvlJc w:val="left"/>
      <w:pPr>
        <w:ind w:left="3115" w:hanging="264"/>
      </w:pPr>
      <w:rPr>
        <w:rFonts w:hint="default"/>
      </w:rPr>
    </w:lvl>
    <w:lvl w:ilvl="4" w:tentative="0">
      <w:start w:val="0"/>
      <w:numFmt w:val="bullet"/>
      <w:lvlText w:val="•"/>
      <w:lvlJc w:val="left"/>
      <w:pPr>
        <w:ind w:left="4114" w:hanging="264"/>
      </w:pPr>
      <w:rPr>
        <w:rFonts w:hint="default"/>
      </w:rPr>
    </w:lvl>
    <w:lvl w:ilvl="5" w:tentative="0">
      <w:start w:val="0"/>
      <w:numFmt w:val="bullet"/>
      <w:lvlText w:val="•"/>
      <w:lvlJc w:val="left"/>
      <w:pPr>
        <w:ind w:left="5113" w:hanging="264"/>
      </w:pPr>
      <w:rPr>
        <w:rFonts w:hint="default"/>
      </w:rPr>
    </w:lvl>
    <w:lvl w:ilvl="6" w:tentative="0">
      <w:start w:val="0"/>
      <w:numFmt w:val="bullet"/>
      <w:lvlText w:val="•"/>
      <w:lvlJc w:val="left"/>
      <w:pPr>
        <w:ind w:left="6111" w:hanging="264"/>
      </w:pPr>
      <w:rPr>
        <w:rFonts w:hint="default"/>
      </w:rPr>
    </w:lvl>
    <w:lvl w:ilvl="7" w:tentative="0">
      <w:start w:val="0"/>
      <w:numFmt w:val="bullet"/>
      <w:lvlText w:val="•"/>
      <w:lvlJc w:val="left"/>
      <w:pPr>
        <w:ind w:left="7110" w:hanging="264"/>
      </w:pPr>
      <w:rPr>
        <w:rFonts w:hint="default"/>
      </w:rPr>
    </w:lvl>
    <w:lvl w:ilvl="8" w:tentative="0">
      <w:start w:val="0"/>
      <w:numFmt w:val="bullet"/>
      <w:lvlText w:val="•"/>
      <w:lvlJc w:val="left"/>
      <w:pPr>
        <w:ind w:left="8109" w:hanging="264"/>
      </w:pPr>
      <w:rPr>
        <w:rFonts w:hint="default"/>
      </w:rPr>
    </w:lvl>
  </w:abstractNum>
  <w:abstractNum w:abstractNumId="42">
    <w:nsid w:val="30FC5B15"/>
    <w:multiLevelType w:val="multilevel"/>
    <w:tmpl w:val="30FC5B15"/>
    <w:lvl w:ilvl="0" w:tentative="0">
      <w:start w:val="13"/>
      <w:numFmt w:val="decimal"/>
      <w:lvlText w:val="%1"/>
      <w:lvlJc w:val="left"/>
      <w:pPr>
        <w:ind w:left="1010" w:hanging="476"/>
        <w:jc w:val="left"/>
      </w:pPr>
      <w:rPr>
        <w:rFonts w:hint="default"/>
      </w:rPr>
    </w:lvl>
    <w:lvl w:ilvl="1" w:tentative="0">
      <w:start w:val="3"/>
      <w:numFmt w:val="decimal"/>
      <w:lvlText w:val="%1.%2"/>
      <w:lvlJc w:val="left"/>
      <w:pPr>
        <w:ind w:left="1010" w:hanging="476"/>
        <w:jc w:val="left"/>
      </w:pPr>
      <w:rPr>
        <w:rFonts w:hint="default" w:ascii="宋体" w:hAnsi="宋体" w:eastAsia="宋体" w:cs="宋体"/>
        <w:b/>
        <w:bCs/>
        <w:w w:val="99"/>
        <w:sz w:val="21"/>
        <w:szCs w:val="21"/>
      </w:rPr>
    </w:lvl>
    <w:lvl w:ilvl="2" w:tentative="0">
      <w:start w:val="1"/>
      <w:numFmt w:val="decimal"/>
      <w:lvlText w:val="%1.%2.%3"/>
      <w:lvlJc w:val="left"/>
      <w:pPr>
        <w:ind w:left="1217" w:hanging="684"/>
        <w:jc w:val="left"/>
      </w:pPr>
      <w:rPr>
        <w:rFonts w:hint="default" w:ascii="宋体" w:hAnsi="宋体" w:eastAsia="宋体" w:cs="宋体"/>
        <w:spacing w:val="-3"/>
        <w:w w:val="100"/>
        <w:sz w:val="21"/>
        <w:szCs w:val="21"/>
      </w:rPr>
    </w:lvl>
    <w:lvl w:ilvl="3" w:tentative="0">
      <w:start w:val="0"/>
      <w:numFmt w:val="bullet"/>
      <w:lvlText w:val="•"/>
      <w:lvlJc w:val="left"/>
      <w:pPr>
        <w:ind w:left="2313" w:hanging="684"/>
      </w:pPr>
      <w:rPr>
        <w:rFonts w:hint="default"/>
      </w:rPr>
    </w:lvl>
    <w:lvl w:ilvl="4" w:tentative="0">
      <w:start w:val="0"/>
      <w:numFmt w:val="bullet"/>
      <w:lvlText w:val="•"/>
      <w:lvlJc w:val="left"/>
      <w:pPr>
        <w:ind w:left="3406" w:hanging="684"/>
      </w:pPr>
      <w:rPr>
        <w:rFonts w:hint="default"/>
      </w:rPr>
    </w:lvl>
    <w:lvl w:ilvl="5" w:tentative="0">
      <w:start w:val="0"/>
      <w:numFmt w:val="bullet"/>
      <w:lvlText w:val="•"/>
      <w:lvlJc w:val="left"/>
      <w:pPr>
        <w:ind w:left="4499" w:hanging="684"/>
      </w:pPr>
      <w:rPr>
        <w:rFonts w:hint="default"/>
      </w:rPr>
    </w:lvl>
    <w:lvl w:ilvl="6" w:tentative="0">
      <w:start w:val="0"/>
      <w:numFmt w:val="bullet"/>
      <w:lvlText w:val="•"/>
      <w:lvlJc w:val="left"/>
      <w:pPr>
        <w:ind w:left="5593" w:hanging="684"/>
      </w:pPr>
      <w:rPr>
        <w:rFonts w:hint="default"/>
      </w:rPr>
    </w:lvl>
    <w:lvl w:ilvl="7" w:tentative="0">
      <w:start w:val="0"/>
      <w:numFmt w:val="bullet"/>
      <w:lvlText w:val="•"/>
      <w:lvlJc w:val="left"/>
      <w:pPr>
        <w:ind w:left="6686" w:hanging="684"/>
      </w:pPr>
      <w:rPr>
        <w:rFonts w:hint="default"/>
      </w:rPr>
    </w:lvl>
    <w:lvl w:ilvl="8" w:tentative="0">
      <w:start w:val="0"/>
      <w:numFmt w:val="bullet"/>
      <w:lvlText w:val="•"/>
      <w:lvlJc w:val="left"/>
      <w:pPr>
        <w:ind w:left="7779" w:hanging="684"/>
      </w:pPr>
      <w:rPr>
        <w:rFonts w:hint="default"/>
      </w:rPr>
    </w:lvl>
  </w:abstractNum>
  <w:abstractNum w:abstractNumId="43">
    <w:nsid w:val="39A0D9AC"/>
    <w:multiLevelType w:val="multilevel"/>
    <w:tmpl w:val="39A0D9AC"/>
    <w:lvl w:ilvl="0" w:tentative="0">
      <w:start w:val="8"/>
      <w:numFmt w:val="decimal"/>
      <w:lvlText w:val="%1"/>
      <w:lvlJc w:val="left"/>
      <w:pPr>
        <w:ind w:left="905" w:hanging="370"/>
        <w:jc w:val="left"/>
      </w:pPr>
      <w:rPr>
        <w:rFonts w:hint="default"/>
      </w:rPr>
    </w:lvl>
    <w:lvl w:ilvl="1" w:tentative="0">
      <w:start w:val="5"/>
      <w:numFmt w:val="decimal"/>
      <w:lvlText w:val="%1.%2"/>
      <w:lvlJc w:val="left"/>
      <w:pPr>
        <w:ind w:left="905" w:hanging="370"/>
        <w:jc w:val="left"/>
      </w:pPr>
      <w:rPr>
        <w:rFonts w:hint="default" w:ascii="宋体" w:hAnsi="宋体" w:eastAsia="宋体" w:cs="宋体"/>
        <w:b/>
        <w:bCs/>
        <w:w w:val="99"/>
        <w:sz w:val="21"/>
        <w:szCs w:val="21"/>
      </w:rPr>
    </w:lvl>
    <w:lvl w:ilvl="2" w:tentative="0">
      <w:start w:val="1"/>
      <w:numFmt w:val="decimal"/>
      <w:lvlText w:val="%1.%2.%3"/>
      <w:lvlJc w:val="left"/>
      <w:pPr>
        <w:ind w:left="112" w:hanging="632"/>
        <w:jc w:val="left"/>
      </w:pPr>
      <w:rPr>
        <w:rFonts w:hint="default" w:ascii="宋体" w:hAnsi="宋体" w:eastAsia="宋体" w:cs="宋体"/>
        <w:w w:val="100"/>
        <w:sz w:val="21"/>
        <w:szCs w:val="21"/>
      </w:rPr>
    </w:lvl>
    <w:lvl w:ilvl="3" w:tentative="0">
      <w:start w:val="0"/>
      <w:numFmt w:val="bullet"/>
      <w:lvlText w:val="•"/>
      <w:lvlJc w:val="left"/>
      <w:pPr>
        <w:ind w:left="2914" w:hanging="632"/>
      </w:pPr>
      <w:rPr>
        <w:rFonts w:hint="default"/>
      </w:rPr>
    </w:lvl>
    <w:lvl w:ilvl="4" w:tentative="0">
      <w:start w:val="0"/>
      <w:numFmt w:val="bullet"/>
      <w:lvlText w:val="•"/>
      <w:lvlJc w:val="left"/>
      <w:pPr>
        <w:ind w:left="3922" w:hanging="632"/>
      </w:pPr>
      <w:rPr>
        <w:rFonts w:hint="default"/>
      </w:rPr>
    </w:lvl>
    <w:lvl w:ilvl="5" w:tentative="0">
      <w:start w:val="0"/>
      <w:numFmt w:val="bullet"/>
      <w:lvlText w:val="•"/>
      <w:lvlJc w:val="left"/>
      <w:pPr>
        <w:ind w:left="4929" w:hanging="632"/>
      </w:pPr>
      <w:rPr>
        <w:rFonts w:hint="default"/>
      </w:rPr>
    </w:lvl>
    <w:lvl w:ilvl="6" w:tentative="0">
      <w:start w:val="0"/>
      <w:numFmt w:val="bullet"/>
      <w:lvlText w:val="•"/>
      <w:lvlJc w:val="left"/>
      <w:pPr>
        <w:ind w:left="5936" w:hanging="632"/>
      </w:pPr>
      <w:rPr>
        <w:rFonts w:hint="default"/>
      </w:rPr>
    </w:lvl>
    <w:lvl w:ilvl="7" w:tentative="0">
      <w:start w:val="0"/>
      <w:numFmt w:val="bullet"/>
      <w:lvlText w:val="•"/>
      <w:lvlJc w:val="left"/>
      <w:pPr>
        <w:ind w:left="6944" w:hanging="632"/>
      </w:pPr>
      <w:rPr>
        <w:rFonts w:hint="default"/>
      </w:rPr>
    </w:lvl>
    <w:lvl w:ilvl="8" w:tentative="0">
      <w:start w:val="0"/>
      <w:numFmt w:val="bullet"/>
      <w:lvlText w:val="•"/>
      <w:lvlJc w:val="left"/>
      <w:pPr>
        <w:ind w:left="7951" w:hanging="632"/>
      </w:pPr>
      <w:rPr>
        <w:rFonts w:hint="default"/>
      </w:rPr>
    </w:lvl>
  </w:abstractNum>
  <w:abstractNum w:abstractNumId="44">
    <w:nsid w:val="3B8127DF"/>
    <w:multiLevelType w:val="multilevel"/>
    <w:tmpl w:val="3B8127DF"/>
    <w:lvl w:ilvl="0" w:tentative="0">
      <w:start w:val="1"/>
      <w:numFmt w:val="decimal"/>
      <w:lvlText w:val="%1."/>
      <w:lvlJc w:val="left"/>
      <w:pPr>
        <w:ind w:left="112" w:hanging="264"/>
        <w:jc w:val="left"/>
      </w:pPr>
      <w:rPr>
        <w:rFonts w:hint="default" w:ascii="Times New Roman" w:hAnsi="Times New Roman" w:eastAsia="Times New Roman" w:cs="Times New Roman"/>
        <w:w w:val="100"/>
        <w:sz w:val="21"/>
        <w:szCs w:val="21"/>
      </w:rPr>
    </w:lvl>
    <w:lvl w:ilvl="1" w:tentative="0">
      <w:start w:val="0"/>
      <w:numFmt w:val="bullet"/>
      <w:lvlText w:val="•"/>
      <w:lvlJc w:val="left"/>
      <w:pPr>
        <w:ind w:left="1108" w:hanging="264"/>
      </w:pPr>
      <w:rPr>
        <w:rFonts w:hint="default"/>
      </w:rPr>
    </w:lvl>
    <w:lvl w:ilvl="2" w:tentative="0">
      <w:start w:val="0"/>
      <w:numFmt w:val="bullet"/>
      <w:lvlText w:val="•"/>
      <w:lvlJc w:val="left"/>
      <w:pPr>
        <w:ind w:left="2097" w:hanging="264"/>
      </w:pPr>
      <w:rPr>
        <w:rFonts w:hint="default"/>
      </w:rPr>
    </w:lvl>
    <w:lvl w:ilvl="3" w:tentative="0">
      <w:start w:val="0"/>
      <w:numFmt w:val="bullet"/>
      <w:lvlText w:val="•"/>
      <w:lvlJc w:val="left"/>
      <w:pPr>
        <w:ind w:left="3085" w:hanging="264"/>
      </w:pPr>
      <w:rPr>
        <w:rFonts w:hint="default"/>
      </w:rPr>
    </w:lvl>
    <w:lvl w:ilvl="4" w:tentative="0">
      <w:start w:val="0"/>
      <w:numFmt w:val="bullet"/>
      <w:lvlText w:val="•"/>
      <w:lvlJc w:val="left"/>
      <w:pPr>
        <w:ind w:left="4074" w:hanging="264"/>
      </w:pPr>
      <w:rPr>
        <w:rFonts w:hint="default"/>
      </w:rPr>
    </w:lvl>
    <w:lvl w:ilvl="5" w:tentative="0">
      <w:start w:val="0"/>
      <w:numFmt w:val="bullet"/>
      <w:lvlText w:val="•"/>
      <w:lvlJc w:val="left"/>
      <w:pPr>
        <w:ind w:left="5063" w:hanging="264"/>
      </w:pPr>
      <w:rPr>
        <w:rFonts w:hint="default"/>
      </w:rPr>
    </w:lvl>
    <w:lvl w:ilvl="6" w:tentative="0">
      <w:start w:val="0"/>
      <w:numFmt w:val="bullet"/>
      <w:lvlText w:val="•"/>
      <w:lvlJc w:val="left"/>
      <w:pPr>
        <w:ind w:left="6051" w:hanging="264"/>
      </w:pPr>
      <w:rPr>
        <w:rFonts w:hint="default"/>
      </w:rPr>
    </w:lvl>
    <w:lvl w:ilvl="7" w:tentative="0">
      <w:start w:val="0"/>
      <w:numFmt w:val="bullet"/>
      <w:lvlText w:val="•"/>
      <w:lvlJc w:val="left"/>
      <w:pPr>
        <w:ind w:left="7040" w:hanging="264"/>
      </w:pPr>
      <w:rPr>
        <w:rFonts w:hint="default"/>
      </w:rPr>
    </w:lvl>
    <w:lvl w:ilvl="8" w:tentative="0">
      <w:start w:val="0"/>
      <w:numFmt w:val="bullet"/>
      <w:lvlText w:val="•"/>
      <w:lvlJc w:val="left"/>
      <w:pPr>
        <w:ind w:left="8029" w:hanging="264"/>
      </w:pPr>
      <w:rPr>
        <w:rFonts w:hint="default"/>
      </w:rPr>
    </w:lvl>
  </w:abstractNum>
  <w:abstractNum w:abstractNumId="45">
    <w:nsid w:val="46A08BB8"/>
    <w:multiLevelType w:val="multilevel"/>
    <w:tmpl w:val="46A08BB8"/>
    <w:lvl w:ilvl="0" w:tentative="0">
      <w:start w:val="5"/>
      <w:numFmt w:val="decimal"/>
      <w:lvlText w:val="%1"/>
      <w:lvlJc w:val="left"/>
      <w:pPr>
        <w:ind w:left="905" w:hanging="370"/>
        <w:jc w:val="left"/>
      </w:pPr>
      <w:rPr>
        <w:rFonts w:hint="default"/>
      </w:rPr>
    </w:lvl>
    <w:lvl w:ilvl="1" w:tentative="0">
      <w:start w:val="4"/>
      <w:numFmt w:val="decimal"/>
      <w:lvlText w:val="%1.%2"/>
      <w:lvlJc w:val="left"/>
      <w:pPr>
        <w:ind w:left="905" w:hanging="370"/>
        <w:jc w:val="left"/>
      </w:pPr>
      <w:rPr>
        <w:rFonts w:hint="default" w:ascii="宋体" w:hAnsi="宋体" w:eastAsia="宋体" w:cs="宋体"/>
        <w:b/>
        <w:bCs/>
        <w:w w:val="99"/>
        <w:sz w:val="21"/>
        <w:szCs w:val="21"/>
      </w:rPr>
    </w:lvl>
    <w:lvl w:ilvl="2" w:tentative="0">
      <w:start w:val="1"/>
      <w:numFmt w:val="decimal"/>
      <w:lvlText w:val="%1.%2.%3"/>
      <w:lvlJc w:val="left"/>
      <w:pPr>
        <w:ind w:left="112" w:hanging="632"/>
        <w:jc w:val="left"/>
      </w:pPr>
      <w:rPr>
        <w:rFonts w:hint="default" w:ascii="宋体" w:hAnsi="宋体" w:eastAsia="宋体" w:cs="宋体"/>
        <w:w w:val="100"/>
        <w:sz w:val="21"/>
        <w:szCs w:val="21"/>
      </w:rPr>
    </w:lvl>
    <w:lvl w:ilvl="3" w:tentative="0">
      <w:start w:val="0"/>
      <w:numFmt w:val="bullet"/>
      <w:lvlText w:val="•"/>
      <w:lvlJc w:val="left"/>
      <w:pPr>
        <w:ind w:left="2896" w:hanging="632"/>
      </w:pPr>
      <w:rPr>
        <w:rFonts w:hint="default"/>
      </w:rPr>
    </w:lvl>
    <w:lvl w:ilvl="4" w:tentative="0">
      <w:start w:val="0"/>
      <w:numFmt w:val="bullet"/>
      <w:lvlText w:val="•"/>
      <w:lvlJc w:val="left"/>
      <w:pPr>
        <w:ind w:left="3895" w:hanging="632"/>
      </w:pPr>
      <w:rPr>
        <w:rFonts w:hint="default"/>
      </w:rPr>
    </w:lvl>
    <w:lvl w:ilvl="5" w:tentative="0">
      <w:start w:val="0"/>
      <w:numFmt w:val="bullet"/>
      <w:lvlText w:val="•"/>
      <w:lvlJc w:val="left"/>
      <w:pPr>
        <w:ind w:left="4893" w:hanging="632"/>
      </w:pPr>
      <w:rPr>
        <w:rFonts w:hint="default"/>
      </w:rPr>
    </w:lvl>
    <w:lvl w:ilvl="6" w:tentative="0">
      <w:start w:val="0"/>
      <w:numFmt w:val="bullet"/>
      <w:lvlText w:val="•"/>
      <w:lvlJc w:val="left"/>
      <w:pPr>
        <w:ind w:left="5892" w:hanging="632"/>
      </w:pPr>
      <w:rPr>
        <w:rFonts w:hint="default"/>
      </w:rPr>
    </w:lvl>
    <w:lvl w:ilvl="7" w:tentative="0">
      <w:start w:val="0"/>
      <w:numFmt w:val="bullet"/>
      <w:lvlText w:val="•"/>
      <w:lvlJc w:val="left"/>
      <w:pPr>
        <w:ind w:left="6890" w:hanging="632"/>
      </w:pPr>
      <w:rPr>
        <w:rFonts w:hint="default"/>
      </w:rPr>
    </w:lvl>
    <w:lvl w:ilvl="8" w:tentative="0">
      <w:start w:val="0"/>
      <w:numFmt w:val="bullet"/>
      <w:lvlText w:val="•"/>
      <w:lvlJc w:val="left"/>
      <w:pPr>
        <w:ind w:left="7889" w:hanging="632"/>
      </w:pPr>
      <w:rPr>
        <w:rFonts w:hint="default"/>
      </w:rPr>
    </w:lvl>
  </w:abstractNum>
  <w:abstractNum w:abstractNumId="46">
    <w:nsid w:val="4C1BAE26"/>
    <w:multiLevelType w:val="multilevel"/>
    <w:tmpl w:val="4C1BAE26"/>
    <w:lvl w:ilvl="0" w:tentative="0">
      <w:start w:val="3"/>
      <w:numFmt w:val="decimal"/>
      <w:lvlText w:val="%1"/>
      <w:lvlJc w:val="left"/>
      <w:pPr>
        <w:ind w:left="958" w:hanging="423"/>
        <w:jc w:val="left"/>
      </w:pPr>
      <w:rPr>
        <w:rFonts w:hint="default"/>
      </w:rPr>
    </w:lvl>
    <w:lvl w:ilvl="1" w:tentative="0">
      <w:start w:val="4"/>
      <w:numFmt w:val="decimal"/>
      <w:lvlText w:val="%1.%2"/>
      <w:lvlJc w:val="left"/>
      <w:pPr>
        <w:ind w:left="958" w:hanging="423"/>
        <w:jc w:val="left"/>
      </w:pPr>
      <w:rPr>
        <w:rFonts w:hint="default" w:ascii="宋体" w:hAnsi="宋体" w:eastAsia="宋体" w:cs="宋体"/>
        <w:b/>
        <w:bCs/>
        <w:w w:val="99"/>
        <w:sz w:val="21"/>
        <w:szCs w:val="21"/>
      </w:rPr>
    </w:lvl>
    <w:lvl w:ilvl="2" w:tentative="0">
      <w:start w:val="1"/>
      <w:numFmt w:val="decimal"/>
      <w:lvlText w:val="%1.%2.%3"/>
      <w:lvlJc w:val="left"/>
      <w:pPr>
        <w:ind w:left="1164" w:hanging="632"/>
        <w:jc w:val="left"/>
      </w:pPr>
      <w:rPr>
        <w:rFonts w:hint="default" w:ascii="宋体" w:hAnsi="宋体" w:eastAsia="宋体" w:cs="宋体"/>
        <w:w w:val="100"/>
        <w:sz w:val="21"/>
        <w:szCs w:val="21"/>
      </w:rPr>
    </w:lvl>
    <w:lvl w:ilvl="3" w:tentative="0">
      <w:start w:val="0"/>
      <w:numFmt w:val="bullet"/>
      <w:lvlText w:val="•"/>
      <w:lvlJc w:val="left"/>
      <w:pPr>
        <w:ind w:left="2260" w:hanging="632"/>
      </w:pPr>
      <w:rPr>
        <w:rFonts w:hint="default"/>
      </w:rPr>
    </w:lvl>
    <w:lvl w:ilvl="4" w:tentative="0">
      <w:start w:val="0"/>
      <w:numFmt w:val="bullet"/>
      <w:lvlText w:val="•"/>
      <w:lvlJc w:val="left"/>
      <w:pPr>
        <w:ind w:left="3361" w:hanging="632"/>
      </w:pPr>
      <w:rPr>
        <w:rFonts w:hint="default"/>
      </w:rPr>
    </w:lvl>
    <w:lvl w:ilvl="5" w:tentative="0">
      <w:start w:val="0"/>
      <w:numFmt w:val="bullet"/>
      <w:lvlText w:val="•"/>
      <w:lvlJc w:val="left"/>
      <w:pPr>
        <w:ind w:left="4462" w:hanging="632"/>
      </w:pPr>
      <w:rPr>
        <w:rFonts w:hint="default"/>
      </w:rPr>
    </w:lvl>
    <w:lvl w:ilvl="6" w:tentative="0">
      <w:start w:val="0"/>
      <w:numFmt w:val="bullet"/>
      <w:lvlText w:val="•"/>
      <w:lvlJc w:val="left"/>
      <w:pPr>
        <w:ind w:left="5563" w:hanging="632"/>
      </w:pPr>
      <w:rPr>
        <w:rFonts w:hint="default"/>
      </w:rPr>
    </w:lvl>
    <w:lvl w:ilvl="7" w:tentative="0">
      <w:start w:val="0"/>
      <w:numFmt w:val="bullet"/>
      <w:lvlText w:val="•"/>
      <w:lvlJc w:val="left"/>
      <w:pPr>
        <w:ind w:left="6664" w:hanging="632"/>
      </w:pPr>
      <w:rPr>
        <w:rFonts w:hint="default"/>
      </w:rPr>
    </w:lvl>
    <w:lvl w:ilvl="8" w:tentative="0">
      <w:start w:val="0"/>
      <w:numFmt w:val="bullet"/>
      <w:lvlText w:val="•"/>
      <w:lvlJc w:val="left"/>
      <w:pPr>
        <w:ind w:left="7764" w:hanging="632"/>
      </w:pPr>
      <w:rPr>
        <w:rFonts w:hint="default"/>
      </w:rPr>
    </w:lvl>
  </w:abstractNum>
  <w:abstractNum w:abstractNumId="47">
    <w:nsid w:val="4D4DC07F"/>
    <w:multiLevelType w:val="multilevel"/>
    <w:tmpl w:val="4D4DC07F"/>
    <w:lvl w:ilvl="0" w:tentative="0">
      <w:start w:val="1"/>
      <w:numFmt w:val="decimal"/>
      <w:lvlText w:val="%1"/>
      <w:lvlJc w:val="left"/>
      <w:pPr>
        <w:ind w:left="905" w:hanging="370"/>
        <w:jc w:val="left"/>
      </w:pPr>
      <w:rPr>
        <w:rFonts w:hint="default"/>
      </w:rPr>
    </w:lvl>
    <w:lvl w:ilvl="1" w:tentative="0">
      <w:start w:val="2"/>
      <w:numFmt w:val="decimal"/>
      <w:lvlText w:val="%1.%2"/>
      <w:lvlJc w:val="left"/>
      <w:pPr>
        <w:ind w:left="905" w:hanging="370"/>
        <w:jc w:val="left"/>
      </w:pPr>
      <w:rPr>
        <w:rFonts w:hint="default" w:ascii="宋体" w:hAnsi="宋体" w:eastAsia="宋体" w:cs="宋体"/>
        <w:b/>
        <w:bCs/>
        <w:w w:val="99"/>
        <w:sz w:val="21"/>
        <w:szCs w:val="21"/>
      </w:rPr>
    </w:lvl>
    <w:lvl w:ilvl="2" w:tentative="0">
      <w:start w:val="1"/>
      <w:numFmt w:val="decimal"/>
      <w:lvlText w:val="%1.%2.%3"/>
      <w:lvlJc w:val="left"/>
      <w:pPr>
        <w:ind w:left="112" w:hanging="632"/>
        <w:jc w:val="left"/>
      </w:pPr>
      <w:rPr>
        <w:rFonts w:hint="default" w:ascii="宋体" w:hAnsi="宋体" w:eastAsia="宋体" w:cs="宋体"/>
        <w:w w:val="100"/>
        <w:sz w:val="21"/>
        <w:szCs w:val="21"/>
      </w:rPr>
    </w:lvl>
    <w:lvl w:ilvl="3" w:tentative="0">
      <w:start w:val="0"/>
      <w:numFmt w:val="bullet"/>
      <w:lvlText w:val="•"/>
      <w:lvlJc w:val="left"/>
      <w:pPr>
        <w:ind w:left="2248" w:hanging="632"/>
      </w:pPr>
      <w:rPr>
        <w:rFonts w:hint="default"/>
      </w:rPr>
    </w:lvl>
    <w:lvl w:ilvl="4" w:tentative="0">
      <w:start w:val="0"/>
      <w:numFmt w:val="bullet"/>
      <w:lvlText w:val="•"/>
      <w:lvlJc w:val="left"/>
      <w:pPr>
        <w:ind w:left="3336" w:hanging="632"/>
      </w:pPr>
      <w:rPr>
        <w:rFonts w:hint="default"/>
      </w:rPr>
    </w:lvl>
    <w:lvl w:ilvl="5" w:tentative="0">
      <w:start w:val="0"/>
      <w:numFmt w:val="bullet"/>
      <w:lvlText w:val="•"/>
      <w:lvlJc w:val="left"/>
      <w:pPr>
        <w:ind w:left="4424" w:hanging="632"/>
      </w:pPr>
      <w:rPr>
        <w:rFonts w:hint="default"/>
      </w:rPr>
    </w:lvl>
    <w:lvl w:ilvl="6" w:tentative="0">
      <w:start w:val="0"/>
      <w:numFmt w:val="bullet"/>
      <w:lvlText w:val="•"/>
      <w:lvlJc w:val="left"/>
      <w:pPr>
        <w:ind w:left="5513" w:hanging="632"/>
      </w:pPr>
      <w:rPr>
        <w:rFonts w:hint="default"/>
      </w:rPr>
    </w:lvl>
    <w:lvl w:ilvl="7" w:tentative="0">
      <w:start w:val="0"/>
      <w:numFmt w:val="bullet"/>
      <w:lvlText w:val="•"/>
      <w:lvlJc w:val="left"/>
      <w:pPr>
        <w:ind w:left="6601" w:hanging="632"/>
      </w:pPr>
      <w:rPr>
        <w:rFonts w:hint="default"/>
      </w:rPr>
    </w:lvl>
    <w:lvl w:ilvl="8" w:tentative="0">
      <w:start w:val="0"/>
      <w:numFmt w:val="bullet"/>
      <w:lvlText w:val="•"/>
      <w:lvlJc w:val="left"/>
      <w:pPr>
        <w:ind w:left="7689" w:hanging="632"/>
      </w:pPr>
      <w:rPr>
        <w:rFonts w:hint="default"/>
      </w:rPr>
    </w:lvl>
  </w:abstractNum>
  <w:abstractNum w:abstractNumId="48">
    <w:nsid w:val="4D94DA66"/>
    <w:multiLevelType w:val="multilevel"/>
    <w:tmpl w:val="4D94DA66"/>
    <w:lvl w:ilvl="0" w:tentative="0">
      <w:start w:val="10"/>
      <w:numFmt w:val="decimal"/>
      <w:lvlText w:val="%1"/>
      <w:lvlJc w:val="left"/>
      <w:pPr>
        <w:ind w:left="1010" w:hanging="476"/>
        <w:jc w:val="left"/>
      </w:pPr>
      <w:rPr>
        <w:rFonts w:hint="default"/>
      </w:rPr>
    </w:lvl>
    <w:lvl w:ilvl="1" w:tentative="0">
      <w:start w:val="8"/>
      <w:numFmt w:val="decimal"/>
      <w:lvlText w:val="%1.%2"/>
      <w:lvlJc w:val="left"/>
      <w:pPr>
        <w:ind w:left="1010" w:hanging="476"/>
        <w:jc w:val="left"/>
      </w:pPr>
      <w:rPr>
        <w:rFonts w:hint="default" w:ascii="宋体" w:hAnsi="宋体" w:eastAsia="宋体" w:cs="宋体"/>
        <w:b/>
        <w:bCs/>
        <w:w w:val="99"/>
        <w:sz w:val="21"/>
        <w:szCs w:val="21"/>
      </w:rPr>
    </w:lvl>
    <w:lvl w:ilvl="2" w:tentative="0">
      <w:start w:val="0"/>
      <w:numFmt w:val="bullet"/>
      <w:lvlText w:val="•"/>
      <w:lvlJc w:val="left"/>
      <w:pPr>
        <w:ind w:left="2793" w:hanging="476"/>
      </w:pPr>
      <w:rPr>
        <w:rFonts w:hint="default"/>
      </w:rPr>
    </w:lvl>
    <w:lvl w:ilvl="3" w:tentative="0">
      <w:start w:val="0"/>
      <w:numFmt w:val="bullet"/>
      <w:lvlText w:val="•"/>
      <w:lvlJc w:val="left"/>
      <w:pPr>
        <w:ind w:left="3679" w:hanging="476"/>
      </w:pPr>
      <w:rPr>
        <w:rFonts w:hint="default"/>
      </w:rPr>
    </w:lvl>
    <w:lvl w:ilvl="4" w:tentative="0">
      <w:start w:val="0"/>
      <w:numFmt w:val="bullet"/>
      <w:lvlText w:val="•"/>
      <w:lvlJc w:val="left"/>
      <w:pPr>
        <w:ind w:left="4566" w:hanging="476"/>
      </w:pPr>
      <w:rPr>
        <w:rFonts w:hint="default"/>
      </w:rPr>
    </w:lvl>
    <w:lvl w:ilvl="5" w:tentative="0">
      <w:start w:val="0"/>
      <w:numFmt w:val="bullet"/>
      <w:lvlText w:val="•"/>
      <w:lvlJc w:val="left"/>
      <w:pPr>
        <w:ind w:left="5453" w:hanging="476"/>
      </w:pPr>
      <w:rPr>
        <w:rFonts w:hint="default"/>
      </w:rPr>
    </w:lvl>
    <w:lvl w:ilvl="6" w:tentative="0">
      <w:start w:val="0"/>
      <w:numFmt w:val="bullet"/>
      <w:lvlText w:val="•"/>
      <w:lvlJc w:val="left"/>
      <w:pPr>
        <w:ind w:left="6339" w:hanging="476"/>
      </w:pPr>
      <w:rPr>
        <w:rFonts w:hint="default"/>
      </w:rPr>
    </w:lvl>
    <w:lvl w:ilvl="7" w:tentative="0">
      <w:start w:val="0"/>
      <w:numFmt w:val="bullet"/>
      <w:lvlText w:val="•"/>
      <w:lvlJc w:val="left"/>
      <w:pPr>
        <w:ind w:left="7226" w:hanging="476"/>
      </w:pPr>
      <w:rPr>
        <w:rFonts w:hint="default"/>
      </w:rPr>
    </w:lvl>
    <w:lvl w:ilvl="8" w:tentative="0">
      <w:start w:val="0"/>
      <w:numFmt w:val="bullet"/>
      <w:lvlText w:val="•"/>
      <w:lvlJc w:val="left"/>
      <w:pPr>
        <w:ind w:left="8113" w:hanging="476"/>
      </w:pPr>
      <w:rPr>
        <w:rFonts w:hint="default"/>
      </w:rPr>
    </w:lvl>
  </w:abstractNum>
  <w:abstractNum w:abstractNumId="49">
    <w:nsid w:val="58765686"/>
    <w:multiLevelType w:val="multilevel"/>
    <w:tmpl w:val="58765686"/>
    <w:lvl w:ilvl="0" w:tentative="0">
      <w:start w:val="8"/>
      <w:numFmt w:val="decimal"/>
      <w:lvlText w:val="%1"/>
      <w:lvlJc w:val="left"/>
      <w:pPr>
        <w:ind w:left="905" w:hanging="370"/>
        <w:jc w:val="left"/>
      </w:pPr>
      <w:rPr>
        <w:rFonts w:hint="default"/>
      </w:rPr>
    </w:lvl>
    <w:lvl w:ilvl="1" w:tentative="0">
      <w:start w:val="7"/>
      <w:numFmt w:val="decimal"/>
      <w:lvlText w:val="%1.%2"/>
      <w:lvlJc w:val="left"/>
      <w:pPr>
        <w:ind w:left="905" w:hanging="370"/>
        <w:jc w:val="left"/>
      </w:pPr>
      <w:rPr>
        <w:rFonts w:hint="default" w:ascii="宋体" w:hAnsi="宋体" w:eastAsia="宋体" w:cs="宋体"/>
        <w:b/>
        <w:bCs/>
        <w:w w:val="99"/>
        <w:sz w:val="21"/>
        <w:szCs w:val="21"/>
      </w:rPr>
    </w:lvl>
    <w:lvl w:ilvl="2" w:tentative="0">
      <w:start w:val="1"/>
      <w:numFmt w:val="decimal"/>
      <w:lvlText w:val="%1.%2.%3"/>
      <w:lvlJc w:val="left"/>
      <w:pPr>
        <w:ind w:left="1164" w:hanging="632"/>
        <w:jc w:val="left"/>
      </w:pPr>
      <w:rPr>
        <w:rFonts w:hint="default" w:ascii="宋体" w:hAnsi="宋体" w:eastAsia="宋体" w:cs="宋体"/>
        <w:w w:val="100"/>
        <w:sz w:val="21"/>
        <w:szCs w:val="21"/>
      </w:rPr>
    </w:lvl>
    <w:lvl w:ilvl="3" w:tentative="0">
      <w:start w:val="0"/>
      <w:numFmt w:val="bullet"/>
      <w:lvlText w:val="•"/>
      <w:lvlJc w:val="left"/>
      <w:pPr>
        <w:ind w:left="3099" w:hanging="632"/>
      </w:pPr>
      <w:rPr>
        <w:rFonts w:hint="default"/>
      </w:rPr>
    </w:lvl>
    <w:lvl w:ilvl="4" w:tentative="0">
      <w:start w:val="0"/>
      <w:numFmt w:val="bullet"/>
      <w:lvlText w:val="•"/>
      <w:lvlJc w:val="left"/>
      <w:pPr>
        <w:ind w:left="4068" w:hanging="632"/>
      </w:pPr>
      <w:rPr>
        <w:rFonts w:hint="default"/>
      </w:rPr>
    </w:lvl>
    <w:lvl w:ilvl="5" w:tentative="0">
      <w:start w:val="0"/>
      <w:numFmt w:val="bullet"/>
      <w:lvlText w:val="•"/>
      <w:lvlJc w:val="left"/>
      <w:pPr>
        <w:ind w:left="5038" w:hanging="632"/>
      </w:pPr>
      <w:rPr>
        <w:rFonts w:hint="default"/>
      </w:rPr>
    </w:lvl>
    <w:lvl w:ilvl="6" w:tentative="0">
      <w:start w:val="0"/>
      <w:numFmt w:val="bullet"/>
      <w:lvlText w:val="•"/>
      <w:lvlJc w:val="left"/>
      <w:pPr>
        <w:ind w:left="6008" w:hanging="632"/>
      </w:pPr>
      <w:rPr>
        <w:rFonts w:hint="default"/>
      </w:rPr>
    </w:lvl>
    <w:lvl w:ilvl="7" w:tentative="0">
      <w:start w:val="0"/>
      <w:numFmt w:val="bullet"/>
      <w:lvlText w:val="•"/>
      <w:lvlJc w:val="left"/>
      <w:pPr>
        <w:ind w:left="6977" w:hanging="632"/>
      </w:pPr>
      <w:rPr>
        <w:rFonts w:hint="default"/>
      </w:rPr>
    </w:lvl>
    <w:lvl w:ilvl="8" w:tentative="0">
      <w:start w:val="0"/>
      <w:numFmt w:val="bullet"/>
      <w:lvlText w:val="•"/>
      <w:lvlJc w:val="left"/>
      <w:pPr>
        <w:ind w:left="7947" w:hanging="632"/>
      </w:pPr>
      <w:rPr>
        <w:rFonts w:hint="default"/>
      </w:rPr>
    </w:lvl>
  </w:abstractNum>
  <w:abstractNum w:abstractNumId="50">
    <w:nsid w:val="59ADCABA"/>
    <w:multiLevelType w:val="multilevel"/>
    <w:tmpl w:val="59ADCABA"/>
    <w:lvl w:ilvl="0" w:tentative="0">
      <w:start w:val="3"/>
      <w:numFmt w:val="decimal"/>
      <w:lvlText w:val="%1"/>
      <w:lvlJc w:val="left"/>
      <w:pPr>
        <w:ind w:left="112" w:hanging="579"/>
        <w:jc w:val="left"/>
      </w:pPr>
      <w:rPr>
        <w:rFonts w:hint="default"/>
      </w:rPr>
    </w:lvl>
    <w:lvl w:ilvl="1" w:tentative="0">
      <w:start w:val="1"/>
      <w:numFmt w:val="decimal"/>
      <w:lvlText w:val="%1.%2"/>
      <w:lvlJc w:val="left"/>
      <w:pPr>
        <w:ind w:left="112" w:hanging="579"/>
        <w:jc w:val="right"/>
      </w:pPr>
      <w:rPr>
        <w:rFonts w:hint="default"/>
      </w:rPr>
    </w:lvl>
    <w:lvl w:ilvl="2" w:tentative="0">
      <w:start w:val="2"/>
      <w:numFmt w:val="decimal"/>
      <w:lvlText w:val="%1.%2.%3"/>
      <w:lvlJc w:val="left"/>
      <w:pPr>
        <w:ind w:left="112" w:hanging="579"/>
        <w:jc w:val="left"/>
      </w:pPr>
      <w:rPr>
        <w:rFonts w:hint="default"/>
        <w:w w:val="100"/>
      </w:rPr>
    </w:lvl>
    <w:lvl w:ilvl="3" w:tentative="0">
      <w:start w:val="0"/>
      <w:numFmt w:val="bullet"/>
      <w:lvlText w:val="•"/>
      <w:lvlJc w:val="left"/>
      <w:pPr>
        <w:ind w:left="3043" w:hanging="579"/>
      </w:pPr>
      <w:rPr>
        <w:rFonts w:hint="default"/>
      </w:rPr>
    </w:lvl>
    <w:lvl w:ilvl="4" w:tentative="0">
      <w:start w:val="0"/>
      <w:numFmt w:val="bullet"/>
      <w:lvlText w:val="•"/>
      <w:lvlJc w:val="left"/>
      <w:pPr>
        <w:ind w:left="4018" w:hanging="579"/>
      </w:pPr>
      <w:rPr>
        <w:rFonts w:hint="default"/>
      </w:rPr>
    </w:lvl>
    <w:lvl w:ilvl="5" w:tentative="0">
      <w:start w:val="0"/>
      <w:numFmt w:val="bullet"/>
      <w:lvlText w:val="•"/>
      <w:lvlJc w:val="left"/>
      <w:pPr>
        <w:ind w:left="4993" w:hanging="579"/>
      </w:pPr>
      <w:rPr>
        <w:rFonts w:hint="default"/>
      </w:rPr>
    </w:lvl>
    <w:lvl w:ilvl="6" w:tentative="0">
      <w:start w:val="0"/>
      <w:numFmt w:val="bullet"/>
      <w:lvlText w:val="•"/>
      <w:lvlJc w:val="left"/>
      <w:pPr>
        <w:ind w:left="5967" w:hanging="579"/>
      </w:pPr>
      <w:rPr>
        <w:rFonts w:hint="default"/>
      </w:rPr>
    </w:lvl>
    <w:lvl w:ilvl="7" w:tentative="0">
      <w:start w:val="0"/>
      <w:numFmt w:val="bullet"/>
      <w:lvlText w:val="•"/>
      <w:lvlJc w:val="left"/>
      <w:pPr>
        <w:ind w:left="6942" w:hanging="579"/>
      </w:pPr>
      <w:rPr>
        <w:rFonts w:hint="default"/>
      </w:rPr>
    </w:lvl>
    <w:lvl w:ilvl="8" w:tentative="0">
      <w:start w:val="0"/>
      <w:numFmt w:val="bullet"/>
      <w:lvlText w:val="•"/>
      <w:lvlJc w:val="left"/>
      <w:pPr>
        <w:ind w:left="7917" w:hanging="579"/>
      </w:pPr>
      <w:rPr>
        <w:rFonts w:hint="default"/>
      </w:rPr>
    </w:lvl>
  </w:abstractNum>
  <w:abstractNum w:abstractNumId="51">
    <w:nsid w:val="5A241D34"/>
    <w:multiLevelType w:val="multilevel"/>
    <w:tmpl w:val="5A241D34"/>
    <w:lvl w:ilvl="0" w:tentative="0">
      <w:start w:val="1"/>
      <w:numFmt w:val="decimal"/>
      <w:lvlText w:val="%1"/>
      <w:lvlJc w:val="left"/>
      <w:pPr>
        <w:ind w:left="1164" w:hanging="632"/>
        <w:jc w:val="left"/>
      </w:pPr>
      <w:rPr>
        <w:rFonts w:hint="default"/>
      </w:rPr>
    </w:lvl>
    <w:lvl w:ilvl="1" w:tentative="0">
      <w:start w:val="1"/>
      <w:numFmt w:val="decimal"/>
      <w:lvlText w:val="%1.%2"/>
      <w:lvlJc w:val="left"/>
      <w:pPr>
        <w:ind w:left="1164" w:hanging="632"/>
        <w:jc w:val="left"/>
      </w:pPr>
      <w:rPr>
        <w:rFonts w:hint="default"/>
      </w:rPr>
    </w:lvl>
    <w:lvl w:ilvl="2" w:tentative="0">
      <w:start w:val="4"/>
      <w:numFmt w:val="decimal"/>
      <w:lvlText w:val="%1.%2.%3"/>
      <w:lvlJc w:val="left"/>
      <w:pPr>
        <w:ind w:left="1164" w:hanging="632"/>
        <w:jc w:val="left"/>
      </w:pPr>
      <w:rPr>
        <w:rFonts w:hint="default" w:ascii="宋体" w:hAnsi="宋体" w:eastAsia="宋体" w:cs="宋体"/>
        <w:w w:val="100"/>
        <w:sz w:val="21"/>
        <w:szCs w:val="21"/>
      </w:rPr>
    </w:lvl>
    <w:lvl w:ilvl="3" w:tentative="0">
      <w:start w:val="1"/>
      <w:numFmt w:val="decimal"/>
      <w:lvlText w:val="%1.%2.%3.%4"/>
      <w:lvlJc w:val="left"/>
      <w:pPr>
        <w:ind w:left="112" w:hanging="843"/>
        <w:jc w:val="left"/>
      </w:pPr>
      <w:rPr>
        <w:rFonts w:hint="default" w:ascii="宋体" w:hAnsi="宋体" w:eastAsia="宋体" w:cs="宋体"/>
        <w:spacing w:val="-3"/>
        <w:w w:val="100"/>
        <w:sz w:val="21"/>
        <w:szCs w:val="21"/>
      </w:rPr>
    </w:lvl>
    <w:lvl w:ilvl="4" w:tentative="0">
      <w:start w:val="0"/>
      <w:numFmt w:val="bullet"/>
      <w:lvlText w:val="•"/>
      <w:lvlJc w:val="left"/>
      <w:pPr>
        <w:ind w:left="4068" w:hanging="843"/>
      </w:pPr>
      <w:rPr>
        <w:rFonts w:hint="default"/>
      </w:rPr>
    </w:lvl>
    <w:lvl w:ilvl="5" w:tentative="0">
      <w:start w:val="0"/>
      <w:numFmt w:val="bullet"/>
      <w:lvlText w:val="•"/>
      <w:lvlJc w:val="left"/>
      <w:pPr>
        <w:ind w:left="5038" w:hanging="843"/>
      </w:pPr>
      <w:rPr>
        <w:rFonts w:hint="default"/>
      </w:rPr>
    </w:lvl>
    <w:lvl w:ilvl="6" w:tentative="0">
      <w:start w:val="0"/>
      <w:numFmt w:val="bullet"/>
      <w:lvlText w:val="•"/>
      <w:lvlJc w:val="left"/>
      <w:pPr>
        <w:ind w:left="6008" w:hanging="843"/>
      </w:pPr>
      <w:rPr>
        <w:rFonts w:hint="default"/>
      </w:rPr>
    </w:lvl>
    <w:lvl w:ilvl="7" w:tentative="0">
      <w:start w:val="0"/>
      <w:numFmt w:val="bullet"/>
      <w:lvlText w:val="•"/>
      <w:lvlJc w:val="left"/>
      <w:pPr>
        <w:ind w:left="6977" w:hanging="843"/>
      </w:pPr>
      <w:rPr>
        <w:rFonts w:hint="default"/>
      </w:rPr>
    </w:lvl>
    <w:lvl w:ilvl="8" w:tentative="0">
      <w:start w:val="0"/>
      <w:numFmt w:val="bullet"/>
      <w:lvlText w:val="•"/>
      <w:lvlJc w:val="left"/>
      <w:pPr>
        <w:ind w:left="7947" w:hanging="843"/>
      </w:pPr>
      <w:rPr>
        <w:rFonts w:hint="default"/>
      </w:rPr>
    </w:lvl>
  </w:abstractNum>
  <w:abstractNum w:abstractNumId="52">
    <w:nsid w:val="60382F6E"/>
    <w:multiLevelType w:val="multilevel"/>
    <w:tmpl w:val="60382F6E"/>
    <w:lvl w:ilvl="0" w:tentative="0">
      <w:start w:val="5"/>
      <w:numFmt w:val="decimal"/>
      <w:lvlText w:val="%1"/>
      <w:lvlJc w:val="left"/>
      <w:pPr>
        <w:ind w:left="905" w:hanging="370"/>
        <w:jc w:val="left"/>
      </w:pPr>
      <w:rPr>
        <w:rFonts w:hint="default"/>
      </w:rPr>
    </w:lvl>
    <w:lvl w:ilvl="1" w:tentative="0">
      <w:start w:val="2"/>
      <w:numFmt w:val="decimal"/>
      <w:lvlText w:val="%1.%2"/>
      <w:lvlJc w:val="left"/>
      <w:pPr>
        <w:ind w:left="905" w:hanging="370"/>
        <w:jc w:val="left"/>
      </w:pPr>
      <w:rPr>
        <w:rFonts w:hint="default" w:ascii="宋体" w:hAnsi="宋体" w:eastAsia="宋体" w:cs="宋体"/>
        <w:b/>
        <w:bCs/>
        <w:w w:val="99"/>
        <w:sz w:val="21"/>
        <w:szCs w:val="21"/>
      </w:rPr>
    </w:lvl>
    <w:lvl w:ilvl="2" w:tentative="0">
      <w:start w:val="1"/>
      <w:numFmt w:val="decimal"/>
      <w:lvlText w:val="%1.%2.%3"/>
      <w:lvlJc w:val="left"/>
      <w:pPr>
        <w:ind w:left="1164" w:hanging="632"/>
        <w:jc w:val="left"/>
      </w:pPr>
      <w:rPr>
        <w:rFonts w:hint="default" w:ascii="宋体" w:hAnsi="宋体" w:eastAsia="宋体" w:cs="宋体"/>
        <w:w w:val="100"/>
        <w:sz w:val="21"/>
        <w:szCs w:val="21"/>
      </w:rPr>
    </w:lvl>
    <w:lvl w:ilvl="3" w:tentative="0">
      <w:start w:val="0"/>
      <w:numFmt w:val="bullet"/>
      <w:lvlText w:val="•"/>
      <w:lvlJc w:val="left"/>
      <w:pPr>
        <w:ind w:left="3116" w:hanging="632"/>
      </w:pPr>
      <w:rPr>
        <w:rFonts w:hint="default"/>
      </w:rPr>
    </w:lvl>
    <w:lvl w:ilvl="4" w:tentative="0">
      <w:start w:val="0"/>
      <w:numFmt w:val="bullet"/>
      <w:lvlText w:val="•"/>
      <w:lvlJc w:val="left"/>
      <w:pPr>
        <w:ind w:left="4095" w:hanging="632"/>
      </w:pPr>
      <w:rPr>
        <w:rFonts w:hint="default"/>
      </w:rPr>
    </w:lvl>
    <w:lvl w:ilvl="5" w:tentative="0">
      <w:start w:val="0"/>
      <w:numFmt w:val="bullet"/>
      <w:lvlText w:val="•"/>
      <w:lvlJc w:val="left"/>
      <w:pPr>
        <w:ind w:left="5073" w:hanging="632"/>
      </w:pPr>
      <w:rPr>
        <w:rFonts w:hint="default"/>
      </w:rPr>
    </w:lvl>
    <w:lvl w:ilvl="6" w:tentative="0">
      <w:start w:val="0"/>
      <w:numFmt w:val="bullet"/>
      <w:lvlText w:val="•"/>
      <w:lvlJc w:val="left"/>
      <w:pPr>
        <w:ind w:left="6052" w:hanging="632"/>
      </w:pPr>
      <w:rPr>
        <w:rFonts w:hint="default"/>
      </w:rPr>
    </w:lvl>
    <w:lvl w:ilvl="7" w:tentative="0">
      <w:start w:val="0"/>
      <w:numFmt w:val="bullet"/>
      <w:lvlText w:val="•"/>
      <w:lvlJc w:val="left"/>
      <w:pPr>
        <w:ind w:left="7030" w:hanging="632"/>
      </w:pPr>
      <w:rPr>
        <w:rFonts w:hint="default"/>
      </w:rPr>
    </w:lvl>
    <w:lvl w:ilvl="8" w:tentative="0">
      <w:start w:val="0"/>
      <w:numFmt w:val="bullet"/>
      <w:lvlText w:val="•"/>
      <w:lvlJc w:val="left"/>
      <w:pPr>
        <w:ind w:left="8009" w:hanging="632"/>
      </w:pPr>
      <w:rPr>
        <w:rFonts w:hint="default"/>
      </w:rPr>
    </w:lvl>
  </w:abstractNum>
  <w:abstractNum w:abstractNumId="53">
    <w:nsid w:val="629F7852"/>
    <w:multiLevelType w:val="multilevel"/>
    <w:tmpl w:val="629F7852"/>
    <w:lvl w:ilvl="0" w:tentative="0">
      <w:start w:val="7"/>
      <w:numFmt w:val="decimal"/>
      <w:lvlText w:val="%1"/>
      <w:lvlJc w:val="left"/>
      <w:pPr>
        <w:ind w:left="112" w:hanging="423"/>
        <w:jc w:val="right"/>
      </w:pPr>
      <w:rPr>
        <w:rFonts w:hint="default"/>
      </w:rPr>
    </w:lvl>
    <w:lvl w:ilvl="1" w:tentative="0">
      <w:start w:val="6"/>
      <w:numFmt w:val="decimal"/>
      <w:lvlText w:val="%1.%2"/>
      <w:lvlJc w:val="left"/>
      <w:pPr>
        <w:ind w:left="958" w:hanging="423"/>
        <w:jc w:val="left"/>
      </w:pPr>
      <w:rPr>
        <w:rFonts w:hint="default"/>
        <w:b/>
        <w:bCs/>
        <w:w w:val="99"/>
      </w:rPr>
    </w:lvl>
    <w:lvl w:ilvl="2" w:tentative="0">
      <w:start w:val="1"/>
      <w:numFmt w:val="decimal"/>
      <w:lvlText w:val="%1.%2.%3"/>
      <w:lvlJc w:val="left"/>
      <w:pPr>
        <w:ind w:left="1111" w:hanging="579"/>
        <w:jc w:val="left"/>
      </w:pPr>
      <w:rPr>
        <w:rFonts w:hint="default" w:ascii="宋体" w:hAnsi="宋体" w:eastAsia="宋体" w:cs="宋体"/>
        <w:w w:val="100"/>
        <w:sz w:val="21"/>
        <w:szCs w:val="21"/>
      </w:rPr>
    </w:lvl>
    <w:lvl w:ilvl="3" w:tentative="0">
      <w:start w:val="0"/>
      <w:numFmt w:val="bullet"/>
      <w:lvlText w:val="•"/>
      <w:lvlJc w:val="left"/>
      <w:pPr>
        <w:ind w:left="2215" w:hanging="579"/>
      </w:pPr>
      <w:rPr>
        <w:rFonts w:hint="default"/>
      </w:rPr>
    </w:lvl>
    <w:lvl w:ilvl="4" w:tentative="0">
      <w:start w:val="0"/>
      <w:numFmt w:val="bullet"/>
      <w:lvlText w:val="•"/>
      <w:lvlJc w:val="left"/>
      <w:pPr>
        <w:ind w:left="3311" w:hanging="579"/>
      </w:pPr>
      <w:rPr>
        <w:rFonts w:hint="default"/>
      </w:rPr>
    </w:lvl>
    <w:lvl w:ilvl="5" w:tentative="0">
      <w:start w:val="0"/>
      <w:numFmt w:val="bullet"/>
      <w:lvlText w:val="•"/>
      <w:lvlJc w:val="left"/>
      <w:pPr>
        <w:ind w:left="4407" w:hanging="579"/>
      </w:pPr>
      <w:rPr>
        <w:rFonts w:hint="default"/>
      </w:rPr>
    </w:lvl>
    <w:lvl w:ilvl="6" w:tentative="0">
      <w:start w:val="0"/>
      <w:numFmt w:val="bullet"/>
      <w:lvlText w:val="•"/>
      <w:lvlJc w:val="left"/>
      <w:pPr>
        <w:ind w:left="5503" w:hanging="579"/>
      </w:pPr>
      <w:rPr>
        <w:rFonts w:hint="default"/>
      </w:rPr>
    </w:lvl>
    <w:lvl w:ilvl="7" w:tentative="0">
      <w:start w:val="0"/>
      <w:numFmt w:val="bullet"/>
      <w:lvlText w:val="•"/>
      <w:lvlJc w:val="left"/>
      <w:pPr>
        <w:ind w:left="6599" w:hanging="579"/>
      </w:pPr>
      <w:rPr>
        <w:rFonts w:hint="default"/>
      </w:rPr>
    </w:lvl>
    <w:lvl w:ilvl="8" w:tentative="0">
      <w:start w:val="0"/>
      <w:numFmt w:val="bullet"/>
      <w:lvlText w:val="•"/>
      <w:lvlJc w:val="left"/>
      <w:pPr>
        <w:ind w:left="7694" w:hanging="579"/>
      </w:pPr>
      <w:rPr>
        <w:rFonts w:hint="default"/>
      </w:rPr>
    </w:lvl>
  </w:abstractNum>
  <w:abstractNum w:abstractNumId="54">
    <w:nsid w:val="700FDCEF"/>
    <w:multiLevelType w:val="multilevel"/>
    <w:tmpl w:val="700FDCEF"/>
    <w:lvl w:ilvl="0" w:tentative="0">
      <w:start w:val="1"/>
      <w:numFmt w:val="decimal"/>
      <w:lvlText w:val="%1"/>
      <w:lvlJc w:val="left"/>
      <w:pPr>
        <w:ind w:left="112" w:hanging="423"/>
        <w:jc w:val="left"/>
      </w:pPr>
      <w:rPr>
        <w:rFonts w:hint="default"/>
      </w:rPr>
    </w:lvl>
    <w:lvl w:ilvl="1" w:tentative="0">
      <w:start w:val="1"/>
      <w:numFmt w:val="decimal"/>
      <w:lvlText w:val="%1.%2"/>
      <w:lvlJc w:val="left"/>
      <w:pPr>
        <w:ind w:left="112" w:hanging="423"/>
        <w:jc w:val="left"/>
      </w:pPr>
      <w:rPr>
        <w:rFonts w:hint="default" w:ascii="宋体" w:hAnsi="宋体" w:eastAsia="宋体" w:cs="宋体"/>
        <w:w w:val="100"/>
        <w:sz w:val="21"/>
        <w:szCs w:val="21"/>
      </w:rPr>
    </w:lvl>
    <w:lvl w:ilvl="2" w:tentative="0">
      <w:start w:val="0"/>
      <w:numFmt w:val="bullet"/>
      <w:lvlText w:val="•"/>
      <w:lvlJc w:val="left"/>
      <w:pPr>
        <w:ind w:left="2117" w:hanging="423"/>
      </w:pPr>
      <w:rPr>
        <w:rFonts w:hint="default"/>
      </w:rPr>
    </w:lvl>
    <w:lvl w:ilvl="3" w:tentative="0">
      <w:start w:val="0"/>
      <w:numFmt w:val="bullet"/>
      <w:lvlText w:val="•"/>
      <w:lvlJc w:val="left"/>
      <w:pPr>
        <w:ind w:left="3115" w:hanging="423"/>
      </w:pPr>
      <w:rPr>
        <w:rFonts w:hint="default"/>
      </w:rPr>
    </w:lvl>
    <w:lvl w:ilvl="4" w:tentative="0">
      <w:start w:val="0"/>
      <w:numFmt w:val="bullet"/>
      <w:lvlText w:val="•"/>
      <w:lvlJc w:val="left"/>
      <w:pPr>
        <w:ind w:left="4114" w:hanging="423"/>
      </w:pPr>
      <w:rPr>
        <w:rFonts w:hint="default"/>
      </w:rPr>
    </w:lvl>
    <w:lvl w:ilvl="5" w:tentative="0">
      <w:start w:val="0"/>
      <w:numFmt w:val="bullet"/>
      <w:lvlText w:val="•"/>
      <w:lvlJc w:val="left"/>
      <w:pPr>
        <w:ind w:left="5113" w:hanging="423"/>
      </w:pPr>
      <w:rPr>
        <w:rFonts w:hint="default"/>
      </w:rPr>
    </w:lvl>
    <w:lvl w:ilvl="6" w:tentative="0">
      <w:start w:val="0"/>
      <w:numFmt w:val="bullet"/>
      <w:lvlText w:val="•"/>
      <w:lvlJc w:val="left"/>
      <w:pPr>
        <w:ind w:left="6111" w:hanging="423"/>
      </w:pPr>
      <w:rPr>
        <w:rFonts w:hint="default"/>
      </w:rPr>
    </w:lvl>
    <w:lvl w:ilvl="7" w:tentative="0">
      <w:start w:val="0"/>
      <w:numFmt w:val="bullet"/>
      <w:lvlText w:val="•"/>
      <w:lvlJc w:val="left"/>
      <w:pPr>
        <w:ind w:left="7110" w:hanging="423"/>
      </w:pPr>
      <w:rPr>
        <w:rFonts w:hint="default"/>
      </w:rPr>
    </w:lvl>
    <w:lvl w:ilvl="8" w:tentative="0">
      <w:start w:val="0"/>
      <w:numFmt w:val="bullet"/>
      <w:lvlText w:val="•"/>
      <w:lvlJc w:val="left"/>
      <w:pPr>
        <w:ind w:left="8109" w:hanging="423"/>
      </w:pPr>
      <w:rPr>
        <w:rFonts w:hint="default"/>
      </w:rPr>
    </w:lvl>
  </w:abstractNum>
  <w:abstractNum w:abstractNumId="55">
    <w:nsid w:val="72183CF9"/>
    <w:multiLevelType w:val="multilevel"/>
    <w:tmpl w:val="72183CF9"/>
    <w:lvl w:ilvl="0" w:tentative="0">
      <w:start w:val="3"/>
      <w:numFmt w:val="decimal"/>
      <w:lvlText w:val="%1"/>
      <w:lvlJc w:val="left"/>
      <w:pPr>
        <w:ind w:left="482" w:hanging="371"/>
        <w:jc w:val="left"/>
      </w:pPr>
      <w:rPr>
        <w:rFonts w:hint="default"/>
      </w:rPr>
    </w:lvl>
    <w:lvl w:ilvl="1" w:tentative="0">
      <w:start w:val="1"/>
      <w:numFmt w:val="decimal"/>
      <w:lvlText w:val="%1.%2"/>
      <w:lvlJc w:val="left"/>
      <w:pPr>
        <w:ind w:left="482" w:hanging="371"/>
        <w:jc w:val="left"/>
      </w:pPr>
      <w:rPr>
        <w:rFonts w:hint="default" w:ascii="宋体" w:hAnsi="宋体" w:eastAsia="宋体" w:cs="宋体"/>
        <w:b/>
        <w:bCs/>
        <w:w w:val="99"/>
        <w:sz w:val="21"/>
        <w:szCs w:val="21"/>
      </w:rPr>
    </w:lvl>
    <w:lvl w:ilvl="2" w:tentative="0">
      <w:start w:val="1"/>
      <w:numFmt w:val="decimal"/>
      <w:lvlText w:val="%1.%2.%3"/>
      <w:lvlJc w:val="left"/>
      <w:pPr>
        <w:ind w:left="112" w:hanging="632"/>
        <w:jc w:val="left"/>
      </w:pPr>
      <w:rPr>
        <w:rFonts w:hint="default"/>
        <w:spacing w:val="-3"/>
        <w:w w:val="100"/>
      </w:rPr>
    </w:lvl>
    <w:lvl w:ilvl="3" w:tentative="0">
      <w:start w:val="0"/>
      <w:numFmt w:val="bullet"/>
      <w:lvlText w:val="•"/>
      <w:lvlJc w:val="left"/>
      <w:pPr>
        <w:ind w:left="2565" w:hanging="632"/>
      </w:pPr>
      <w:rPr>
        <w:rFonts w:hint="default"/>
      </w:rPr>
    </w:lvl>
    <w:lvl w:ilvl="4" w:tentative="0">
      <w:start w:val="0"/>
      <w:numFmt w:val="bullet"/>
      <w:lvlText w:val="•"/>
      <w:lvlJc w:val="left"/>
      <w:pPr>
        <w:ind w:left="3608" w:hanging="632"/>
      </w:pPr>
      <w:rPr>
        <w:rFonts w:hint="default"/>
      </w:rPr>
    </w:lvl>
    <w:lvl w:ilvl="5" w:tentative="0">
      <w:start w:val="0"/>
      <w:numFmt w:val="bullet"/>
      <w:lvlText w:val="•"/>
      <w:lvlJc w:val="left"/>
      <w:pPr>
        <w:ind w:left="4651" w:hanging="632"/>
      </w:pPr>
      <w:rPr>
        <w:rFonts w:hint="default"/>
      </w:rPr>
    </w:lvl>
    <w:lvl w:ilvl="6" w:tentative="0">
      <w:start w:val="0"/>
      <w:numFmt w:val="bullet"/>
      <w:lvlText w:val="•"/>
      <w:lvlJc w:val="left"/>
      <w:pPr>
        <w:ind w:left="5694" w:hanging="632"/>
      </w:pPr>
      <w:rPr>
        <w:rFonts w:hint="default"/>
      </w:rPr>
    </w:lvl>
    <w:lvl w:ilvl="7" w:tentative="0">
      <w:start w:val="0"/>
      <w:numFmt w:val="bullet"/>
      <w:lvlText w:val="•"/>
      <w:lvlJc w:val="left"/>
      <w:pPr>
        <w:ind w:left="6737" w:hanging="632"/>
      </w:pPr>
      <w:rPr>
        <w:rFonts w:hint="default"/>
      </w:rPr>
    </w:lvl>
    <w:lvl w:ilvl="8" w:tentative="0">
      <w:start w:val="0"/>
      <w:numFmt w:val="bullet"/>
      <w:lvlText w:val="•"/>
      <w:lvlJc w:val="left"/>
      <w:pPr>
        <w:ind w:left="7780" w:hanging="632"/>
      </w:pPr>
      <w:rPr>
        <w:rFonts w:hint="default"/>
      </w:rPr>
    </w:lvl>
  </w:abstractNum>
  <w:abstractNum w:abstractNumId="56">
    <w:nsid w:val="77633216"/>
    <w:multiLevelType w:val="multilevel"/>
    <w:tmpl w:val="77633216"/>
    <w:lvl w:ilvl="0" w:tentative="0">
      <w:start w:val="1"/>
      <w:numFmt w:val="decimal"/>
      <w:lvlText w:val="（%1）"/>
      <w:lvlJc w:val="left"/>
      <w:pPr>
        <w:ind w:left="826" w:hanging="721"/>
        <w:jc w:val="left"/>
      </w:pPr>
      <w:rPr>
        <w:rFonts w:hint="default" w:ascii="宋体" w:hAnsi="宋体" w:eastAsia="宋体" w:cs="宋体"/>
        <w:w w:val="100"/>
        <w:sz w:val="21"/>
        <w:szCs w:val="21"/>
      </w:rPr>
    </w:lvl>
    <w:lvl w:ilvl="1" w:tentative="0">
      <w:start w:val="0"/>
      <w:numFmt w:val="bullet"/>
      <w:lvlText w:val="•"/>
      <w:lvlJc w:val="left"/>
      <w:pPr>
        <w:ind w:left="1456" w:hanging="721"/>
      </w:pPr>
      <w:rPr>
        <w:rFonts w:hint="default"/>
      </w:rPr>
    </w:lvl>
    <w:lvl w:ilvl="2" w:tentative="0">
      <w:start w:val="0"/>
      <w:numFmt w:val="bullet"/>
      <w:lvlText w:val="•"/>
      <w:lvlJc w:val="left"/>
      <w:pPr>
        <w:ind w:left="2092" w:hanging="721"/>
      </w:pPr>
      <w:rPr>
        <w:rFonts w:hint="default"/>
      </w:rPr>
    </w:lvl>
    <w:lvl w:ilvl="3" w:tentative="0">
      <w:start w:val="0"/>
      <w:numFmt w:val="bullet"/>
      <w:lvlText w:val="•"/>
      <w:lvlJc w:val="left"/>
      <w:pPr>
        <w:ind w:left="2728" w:hanging="721"/>
      </w:pPr>
      <w:rPr>
        <w:rFonts w:hint="default"/>
      </w:rPr>
    </w:lvl>
    <w:lvl w:ilvl="4" w:tentative="0">
      <w:start w:val="0"/>
      <w:numFmt w:val="bullet"/>
      <w:lvlText w:val="•"/>
      <w:lvlJc w:val="left"/>
      <w:pPr>
        <w:ind w:left="3364" w:hanging="721"/>
      </w:pPr>
      <w:rPr>
        <w:rFonts w:hint="default"/>
      </w:rPr>
    </w:lvl>
    <w:lvl w:ilvl="5" w:tentative="0">
      <w:start w:val="0"/>
      <w:numFmt w:val="bullet"/>
      <w:lvlText w:val="•"/>
      <w:lvlJc w:val="left"/>
      <w:pPr>
        <w:ind w:left="4001" w:hanging="721"/>
      </w:pPr>
      <w:rPr>
        <w:rFonts w:hint="default"/>
      </w:rPr>
    </w:lvl>
    <w:lvl w:ilvl="6" w:tentative="0">
      <w:start w:val="0"/>
      <w:numFmt w:val="bullet"/>
      <w:lvlText w:val="•"/>
      <w:lvlJc w:val="left"/>
      <w:pPr>
        <w:ind w:left="4637" w:hanging="721"/>
      </w:pPr>
      <w:rPr>
        <w:rFonts w:hint="default"/>
      </w:rPr>
    </w:lvl>
    <w:lvl w:ilvl="7" w:tentative="0">
      <w:start w:val="0"/>
      <w:numFmt w:val="bullet"/>
      <w:lvlText w:val="•"/>
      <w:lvlJc w:val="left"/>
      <w:pPr>
        <w:ind w:left="5273" w:hanging="721"/>
      </w:pPr>
      <w:rPr>
        <w:rFonts w:hint="default"/>
      </w:rPr>
    </w:lvl>
    <w:lvl w:ilvl="8" w:tentative="0">
      <w:start w:val="0"/>
      <w:numFmt w:val="bullet"/>
      <w:lvlText w:val="•"/>
      <w:lvlJc w:val="left"/>
      <w:pPr>
        <w:ind w:left="5909" w:hanging="721"/>
      </w:pPr>
      <w:rPr>
        <w:rFonts w:hint="default"/>
      </w:rPr>
    </w:lvl>
  </w:abstractNum>
  <w:abstractNum w:abstractNumId="57">
    <w:nsid w:val="77ECEA79"/>
    <w:multiLevelType w:val="multilevel"/>
    <w:tmpl w:val="77ECEA79"/>
    <w:lvl w:ilvl="0" w:tentative="0">
      <w:start w:val="7"/>
      <w:numFmt w:val="decimal"/>
      <w:lvlText w:val="%1"/>
      <w:lvlJc w:val="left"/>
      <w:pPr>
        <w:ind w:left="905" w:hanging="370"/>
        <w:jc w:val="left"/>
      </w:pPr>
      <w:rPr>
        <w:rFonts w:hint="default"/>
      </w:rPr>
    </w:lvl>
    <w:lvl w:ilvl="1" w:tentative="0">
      <w:start w:val="4"/>
      <w:numFmt w:val="decimal"/>
      <w:lvlText w:val="%1.%2"/>
      <w:lvlJc w:val="left"/>
      <w:pPr>
        <w:ind w:left="905" w:hanging="370"/>
        <w:jc w:val="left"/>
      </w:pPr>
      <w:rPr>
        <w:rFonts w:hint="default" w:ascii="宋体" w:hAnsi="宋体" w:eastAsia="宋体" w:cs="宋体"/>
        <w:b/>
        <w:bCs/>
        <w:w w:val="99"/>
        <w:sz w:val="21"/>
        <w:szCs w:val="21"/>
      </w:rPr>
    </w:lvl>
    <w:lvl w:ilvl="2" w:tentative="0">
      <w:start w:val="1"/>
      <w:numFmt w:val="decimal"/>
      <w:lvlText w:val="%1.%2.%3"/>
      <w:lvlJc w:val="left"/>
      <w:pPr>
        <w:ind w:left="112" w:hanging="632"/>
        <w:jc w:val="left"/>
      </w:pPr>
      <w:rPr>
        <w:rFonts w:hint="default" w:ascii="宋体" w:hAnsi="宋体" w:eastAsia="宋体" w:cs="宋体"/>
        <w:w w:val="100"/>
        <w:sz w:val="21"/>
        <w:szCs w:val="21"/>
      </w:rPr>
    </w:lvl>
    <w:lvl w:ilvl="3" w:tentative="0">
      <w:start w:val="0"/>
      <w:numFmt w:val="bullet"/>
      <w:lvlText w:val="•"/>
      <w:lvlJc w:val="left"/>
      <w:pPr>
        <w:ind w:left="2896" w:hanging="632"/>
      </w:pPr>
      <w:rPr>
        <w:rFonts w:hint="default"/>
      </w:rPr>
    </w:lvl>
    <w:lvl w:ilvl="4" w:tentative="0">
      <w:start w:val="0"/>
      <w:numFmt w:val="bullet"/>
      <w:lvlText w:val="•"/>
      <w:lvlJc w:val="left"/>
      <w:pPr>
        <w:ind w:left="3895" w:hanging="632"/>
      </w:pPr>
      <w:rPr>
        <w:rFonts w:hint="default"/>
      </w:rPr>
    </w:lvl>
    <w:lvl w:ilvl="5" w:tentative="0">
      <w:start w:val="0"/>
      <w:numFmt w:val="bullet"/>
      <w:lvlText w:val="•"/>
      <w:lvlJc w:val="left"/>
      <w:pPr>
        <w:ind w:left="4893" w:hanging="632"/>
      </w:pPr>
      <w:rPr>
        <w:rFonts w:hint="default"/>
      </w:rPr>
    </w:lvl>
    <w:lvl w:ilvl="6" w:tentative="0">
      <w:start w:val="0"/>
      <w:numFmt w:val="bullet"/>
      <w:lvlText w:val="•"/>
      <w:lvlJc w:val="left"/>
      <w:pPr>
        <w:ind w:left="5892" w:hanging="632"/>
      </w:pPr>
      <w:rPr>
        <w:rFonts w:hint="default"/>
      </w:rPr>
    </w:lvl>
    <w:lvl w:ilvl="7" w:tentative="0">
      <w:start w:val="0"/>
      <w:numFmt w:val="bullet"/>
      <w:lvlText w:val="•"/>
      <w:lvlJc w:val="left"/>
      <w:pPr>
        <w:ind w:left="6890" w:hanging="632"/>
      </w:pPr>
      <w:rPr>
        <w:rFonts w:hint="default"/>
      </w:rPr>
    </w:lvl>
    <w:lvl w:ilvl="8" w:tentative="0">
      <w:start w:val="0"/>
      <w:numFmt w:val="bullet"/>
      <w:lvlText w:val="•"/>
      <w:lvlJc w:val="left"/>
      <w:pPr>
        <w:ind w:left="7889" w:hanging="632"/>
      </w:pPr>
      <w:rPr>
        <w:rFonts w:hint="default"/>
      </w:rPr>
    </w:lvl>
  </w:abstractNum>
  <w:abstractNum w:abstractNumId="58">
    <w:nsid w:val="79AA4FA4"/>
    <w:multiLevelType w:val="multilevel"/>
    <w:tmpl w:val="79AA4FA4"/>
    <w:lvl w:ilvl="0" w:tentative="0">
      <w:start w:val="13"/>
      <w:numFmt w:val="decimal"/>
      <w:lvlText w:val="%1"/>
      <w:lvlJc w:val="left"/>
      <w:pPr>
        <w:ind w:left="1063" w:hanging="528"/>
        <w:jc w:val="left"/>
      </w:pPr>
      <w:rPr>
        <w:rFonts w:hint="default"/>
      </w:rPr>
    </w:lvl>
    <w:lvl w:ilvl="1" w:tentative="0">
      <w:start w:val="5"/>
      <w:numFmt w:val="decimal"/>
      <w:lvlText w:val="%1.%2"/>
      <w:lvlJc w:val="left"/>
      <w:pPr>
        <w:ind w:left="1063" w:hanging="528"/>
        <w:jc w:val="left"/>
      </w:pPr>
      <w:rPr>
        <w:rFonts w:hint="default" w:ascii="宋体" w:hAnsi="宋体" w:eastAsia="宋体" w:cs="宋体"/>
        <w:b/>
        <w:bCs/>
        <w:w w:val="99"/>
        <w:sz w:val="21"/>
        <w:szCs w:val="21"/>
      </w:rPr>
    </w:lvl>
    <w:lvl w:ilvl="2" w:tentative="0">
      <w:start w:val="1"/>
      <w:numFmt w:val="decimal"/>
      <w:lvlText w:val="%1.%2.%3"/>
      <w:lvlJc w:val="left"/>
      <w:pPr>
        <w:ind w:left="112" w:hanging="737"/>
        <w:jc w:val="left"/>
      </w:pPr>
      <w:rPr>
        <w:rFonts w:hint="default" w:ascii="宋体" w:hAnsi="宋体" w:eastAsia="宋体" w:cs="宋体"/>
        <w:w w:val="100"/>
        <w:sz w:val="21"/>
        <w:szCs w:val="21"/>
      </w:rPr>
    </w:lvl>
    <w:lvl w:ilvl="3" w:tentative="0">
      <w:start w:val="0"/>
      <w:numFmt w:val="bullet"/>
      <w:lvlText w:val="•"/>
      <w:lvlJc w:val="left"/>
      <w:pPr>
        <w:ind w:left="3039" w:hanging="737"/>
      </w:pPr>
      <w:rPr>
        <w:rFonts w:hint="default"/>
      </w:rPr>
    </w:lvl>
    <w:lvl w:ilvl="4" w:tentative="0">
      <w:start w:val="0"/>
      <w:numFmt w:val="bullet"/>
      <w:lvlText w:val="•"/>
      <w:lvlJc w:val="left"/>
      <w:pPr>
        <w:ind w:left="4028" w:hanging="737"/>
      </w:pPr>
      <w:rPr>
        <w:rFonts w:hint="default"/>
      </w:rPr>
    </w:lvl>
    <w:lvl w:ilvl="5" w:tentative="0">
      <w:start w:val="0"/>
      <w:numFmt w:val="bullet"/>
      <w:lvlText w:val="•"/>
      <w:lvlJc w:val="left"/>
      <w:pPr>
        <w:ind w:left="5018" w:hanging="737"/>
      </w:pPr>
      <w:rPr>
        <w:rFonts w:hint="default"/>
      </w:rPr>
    </w:lvl>
    <w:lvl w:ilvl="6" w:tentative="0">
      <w:start w:val="0"/>
      <w:numFmt w:val="bullet"/>
      <w:lvlText w:val="•"/>
      <w:lvlJc w:val="left"/>
      <w:pPr>
        <w:ind w:left="6008" w:hanging="737"/>
      </w:pPr>
      <w:rPr>
        <w:rFonts w:hint="default"/>
      </w:rPr>
    </w:lvl>
    <w:lvl w:ilvl="7" w:tentative="0">
      <w:start w:val="0"/>
      <w:numFmt w:val="bullet"/>
      <w:lvlText w:val="•"/>
      <w:lvlJc w:val="left"/>
      <w:pPr>
        <w:ind w:left="6997" w:hanging="737"/>
      </w:pPr>
      <w:rPr>
        <w:rFonts w:hint="default"/>
      </w:rPr>
    </w:lvl>
    <w:lvl w:ilvl="8" w:tentative="0">
      <w:start w:val="0"/>
      <w:numFmt w:val="bullet"/>
      <w:lvlText w:val="•"/>
      <w:lvlJc w:val="left"/>
      <w:pPr>
        <w:ind w:left="7987" w:hanging="737"/>
      </w:pPr>
      <w:rPr>
        <w:rFonts w:hint="default"/>
      </w:rPr>
    </w:lvl>
  </w:abstractNum>
  <w:abstractNum w:abstractNumId="59">
    <w:nsid w:val="7C246926"/>
    <w:multiLevelType w:val="multilevel"/>
    <w:tmpl w:val="7C246926"/>
    <w:lvl w:ilvl="0" w:tentative="0">
      <w:start w:val="7"/>
      <w:numFmt w:val="decimal"/>
      <w:lvlText w:val="%1"/>
      <w:lvlJc w:val="left"/>
      <w:pPr>
        <w:ind w:left="958" w:hanging="423"/>
        <w:jc w:val="left"/>
      </w:pPr>
      <w:rPr>
        <w:rFonts w:hint="default"/>
      </w:rPr>
    </w:lvl>
    <w:lvl w:ilvl="1" w:tentative="0">
      <w:start w:val="2"/>
      <w:numFmt w:val="decimal"/>
      <w:lvlText w:val="%1.%2"/>
      <w:lvlJc w:val="left"/>
      <w:pPr>
        <w:ind w:left="958" w:hanging="423"/>
        <w:jc w:val="left"/>
      </w:pPr>
      <w:rPr>
        <w:rFonts w:hint="default" w:ascii="宋体" w:hAnsi="宋体" w:eastAsia="宋体" w:cs="宋体"/>
        <w:b/>
        <w:bCs/>
        <w:w w:val="99"/>
        <w:sz w:val="21"/>
        <w:szCs w:val="21"/>
      </w:rPr>
    </w:lvl>
    <w:lvl w:ilvl="2" w:tentative="0">
      <w:start w:val="1"/>
      <w:numFmt w:val="decimal"/>
      <w:lvlText w:val="%1.%2.%3"/>
      <w:lvlJc w:val="left"/>
      <w:pPr>
        <w:ind w:left="1164" w:hanging="632"/>
        <w:jc w:val="left"/>
      </w:pPr>
      <w:rPr>
        <w:rFonts w:hint="default" w:ascii="宋体" w:hAnsi="宋体" w:eastAsia="宋体" w:cs="宋体"/>
        <w:w w:val="100"/>
        <w:sz w:val="21"/>
        <w:szCs w:val="21"/>
      </w:rPr>
    </w:lvl>
    <w:lvl w:ilvl="3" w:tentative="0">
      <w:start w:val="0"/>
      <w:numFmt w:val="bullet"/>
      <w:lvlText w:val="•"/>
      <w:lvlJc w:val="left"/>
      <w:pPr>
        <w:ind w:left="3116" w:hanging="632"/>
      </w:pPr>
      <w:rPr>
        <w:rFonts w:hint="default"/>
      </w:rPr>
    </w:lvl>
    <w:lvl w:ilvl="4" w:tentative="0">
      <w:start w:val="0"/>
      <w:numFmt w:val="bullet"/>
      <w:lvlText w:val="•"/>
      <w:lvlJc w:val="left"/>
      <w:pPr>
        <w:ind w:left="4095" w:hanging="632"/>
      </w:pPr>
      <w:rPr>
        <w:rFonts w:hint="default"/>
      </w:rPr>
    </w:lvl>
    <w:lvl w:ilvl="5" w:tentative="0">
      <w:start w:val="0"/>
      <w:numFmt w:val="bullet"/>
      <w:lvlText w:val="•"/>
      <w:lvlJc w:val="left"/>
      <w:pPr>
        <w:ind w:left="5073" w:hanging="632"/>
      </w:pPr>
      <w:rPr>
        <w:rFonts w:hint="default"/>
      </w:rPr>
    </w:lvl>
    <w:lvl w:ilvl="6" w:tentative="0">
      <w:start w:val="0"/>
      <w:numFmt w:val="bullet"/>
      <w:lvlText w:val="•"/>
      <w:lvlJc w:val="left"/>
      <w:pPr>
        <w:ind w:left="6052" w:hanging="632"/>
      </w:pPr>
      <w:rPr>
        <w:rFonts w:hint="default"/>
      </w:rPr>
    </w:lvl>
    <w:lvl w:ilvl="7" w:tentative="0">
      <w:start w:val="0"/>
      <w:numFmt w:val="bullet"/>
      <w:lvlText w:val="•"/>
      <w:lvlJc w:val="left"/>
      <w:pPr>
        <w:ind w:left="7030" w:hanging="632"/>
      </w:pPr>
      <w:rPr>
        <w:rFonts w:hint="default"/>
      </w:rPr>
    </w:lvl>
    <w:lvl w:ilvl="8" w:tentative="0">
      <w:start w:val="0"/>
      <w:numFmt w:val="bullet"/>
      <w:lvlText w:val="•"/>
      <w:lvlJc w:val="left"/>
      <w:pPr>
        <w:ind w:left="8009" w:hanging="632"/>
      </w:pPr>
      <w:rPr>
        <w:rFonts w:hint="default"/>
      </w:rPr>
    </w:lvl>
  </w:abstractNum>
  <w:abstractNum w:abstractNumId="60">
    <w:nsid w:val="7DEC2089"/>
    <w:multiLevelType w:val="multilevel"/>
    <w:tmpl w:val="7DEC2089"/>
    <w:lvl w:ilvl="0" w:tentative="0">
      <w:start w:val="8"/>
      <w:numFmt w:val="decimal"/>
      <w:lvlText w:val="%1"/>
      <w:lvlJc w:val="left"/>
      <w:pPr>
        <w:ind w:left="905" w:hanging="370"/>
        <w:jc w:val="left"/>
      </w:pPr>
      <w:rPr>
        <w:rFonts w:hint="default"/>
      </w:rPr>
    </w:lvl>
    <w:lvl w:ilvl="1" w:tentative="0">
      <w:start w:val="8"/>
      <w:numFmt w:val="decimal"/>
      <w:lvlText w:val="%1.%2"/>
      <w:lvlJc w:val="left"/>
      <w:pPr>
        <w:ind w:left="905" w:hanging="370"/>
        <w:jc w:val="left"/>
      </w:pPr>
      <w:rPr>
        <w:rFonts w:hint="default" w:ascii="宋体" w:hAnsi="宋体" w:eastAsia="宋体" w:cs="宋体"/>
        <w:b/>
        <w:bCs/>
        <w:w w:val="99"/>
        <w:sz w:val="21"/>
        <w:szCs w:val="21"/>
      </w:rPr>
    </w:lvl>
    <w:lvl w:ilvl="2" w:tentative="0">
      <w:start w:val="1"/>
      <w:numFmt w:val="decimal"/>
      <w:lvlText w:val="%1.%2.%3"/>
      <w:lvlJc w:val="left"/>
      <w:pPr>
        <w:ind w:left="1164" w:hanging="632"/>
        <w:jc w:val="left"/>
      </w:pPr>
      <w:rPr>
        <w:rFonts w:hint="default" w:ascii="宋体" w:hAnsi="宋体" w:eastAsia="宋体" w:cs="宋体"/>
        <w:w w:val="100"/>
        <w:sz w:val="21"/>
        <w:szCs w:val="21"/>
      </w:rPr>
    </w:lvl>
    <w:lvl w:ilvl="3" w:tentative="0">
      <w:start w:val="0"/>
      <w:numFmt w:val="bullet"/>
      <w:lvlText w:val="•"/>
      <w:lvlJc w:val="left"/>
      <w:pPr>
        <w:ind w:left="3116" w:hanging="632"/>
      </w:pPr>
      <w:rPr>
        <w:rFonts w:hint="default"/>
      </w:rPr>
    </w:lvl>
    <w:lvl w:ilvl="4" w:tentative="0">
      <w:start w:val="0"/>
      <w:numFmt w:val="bullet"/>
      <w:lvlText w:val="•"/>
      <w:lvlJc w:val="left"/>
      <w:pPr>
        <w:ind w:left="4095" w:hanging="632"/>
      </w:pPr>
      <w:rPr>
        <w:rFonts w:hint="default"/>
      </w:rPr>
    </w:lvl>
    <w:lvl w:ilvl="5" w:tentative="0">
      <w:start w:val="0"/>
      <w:numFmt w:val="bullet"/>
      <w:lvlText w:val="•"/>
      <w:lvlJc w:val="left"/>
      <w:pPr>
        <w:ind w:left="5073" w:hanging="632"/>
      </w:pPr>
      <w:rPr>
        <w:rFonts w:hint="default"/>
      </w:rPr>
    </w:lvl>
    <w:lvl w:ilvl="6" w:tentative="0">
      <w:start w:val="0"/>
      <w:numFmt w:val="bullet"/>
      <w:lvlText w:val="•"/>
      <w:lvlJc w:val="left"/>
      <w:pPr>
        <w:ind w:left="6052" w:hanging="632"/>
      </w:pPr>
      <w:rPr>
        <w:rFonts w:hint="default"/>
      </w:rPr>
    </w:lvl>
    <w:lvl w:ilvl="7" w:tentative="0">
      <w:start w:val="0"/>
      <w:numFmt w:val="bullet"/>
      <w:lvlText w:val="•"/>
      <w:lvlJc w:val="left"/>
      <w:pPr>
        <w:ind w:left="7030" w:hanging="632"/>
      </w:pPr>
      <w:rPr>
        <w:rFonts w:hint="default"/>
      </w:rPr>
    </w:lvl>
    <w:lvl w:ilvl="8" w:tentative="0">
      <w:start w:val="0"/>
      <w:numFmt w:val="bullet"/>
      <w:lvlText w:val="•"/>
      <w:lvlJc w:val="left"/>
      <w:pPr>
        <w:ind w:left="8009" w:hanging="632"/>
      </w:pPr>
      <w:rPr>
        <w:rFonts w:hint="default"/>
      </w:rPr>
    </w:lvl>
  </w:abstractNum>
  <w:num w:numId="1">
    <w:abstractNumId w:val="40"/>
  </w:num>
  <w:num w:numId="2">
    <w:abstractNumId w:val="19"/>
  </w:num>
  <w:num w:numId="3">
    <w:abstractNumId w:val="50"/>
  </w:num>
  <w:num w:numId="4">
    <w:abstractNumId w:val="16"/>
  </w:num>
  <w:num w:numId="5">
    <w:abstractNumId w:val="11"/>
  </w:num>
  <w:num w:numId="6">
    <w:abstractNumId w:val="32"/>
  </w:num>
  <w:num w:numId="7">
    <w:abstractNumId w:val="37"/>
  </w:num>
  <w:num w:numId="8">
    <w:abstractNumId w:val="55"/>
  </w:num>
  <w:num w:numId="9">
    <w:abstractNumId w:val="31"/>
  </w:num>
  <w:num w:numId="10">
    <w:abstractNumId w:val="3"/>
  </w:num>
  <w:num w:numId="11">
    <w:abstractNumId w:val="38"/>
  </w:num>
  <w:num w:numId="12">
    <w:abstractNumId w:val="51"/>
  </w:num>
  <w:num w:numId="13">
    <w:abstractNumId w:val="18"/>
  </w:num>
  <w:num w:numId="14">
    <w:abstractNumId w:val="47"/>
  </w:num>
  <w:num w:numId="15">
    <w:abstractNumId w:val="26"/>
  </w:num>
  <w:num w:numId="16">
    <w:abstractNumId w:val="36"/>
  </w:num>
  <w:num w:numId="17">
    <w:abstractNumId w:val="22"/>
  </w:num>
  <w:num w:numId="18">
    <w:abstractNumId w:val="20"/>
  </w:num>
  <w:num w:numId="19">
    <w:abstractNumId w:val="6"/>
  </w:num>
  <w:num w:numId="20">
    <w:abstractNumId w:val="46"/>
  </w:num>
  <w:num w:numId="21">
    <w:abstractNumId w:val="52"/>
  </w:num>
  <w:num w:numId="22">
    <w:abstractNumId w:val="33"/>
  </w:num>
  <w:num w:numId="23">
    <w:abstractNumId w:val="45"/>
  </w:num>
  <w:num w:numId="24">
    <w:abstractNumId w:val="9"/>
  </w:num>
  <w:num w:numId="25">
    <w:abstractNumId w:val="59"/>
  </w:num>
  <w:num w:numId="26">
    <w:abstractNumId w:val="57"/>
  </w:num>
  <w:num w:numId="27">
    <w:abstractNumId w:val="15"/>
  </w:num>
  <w:num w:numId="28">
    <w:abstractNumId w:val="53"/>
  </w:num>
  <w:num w:numId="29">
    <w:abstractNumId w:val="4"/>
  </w:num>
  <w:num w:numId="30">
    <w:abstractNumId w:val="43"/>
  </w:num>
  <w:num w:numId="31">
    <w:abstractNumId w:val="1"/>
  </w:num>
  <w:num w:numId="32">
    <w:abstractNumId w:val="49"/>
  </w:num>
  <w:num w:numId="33">
    <w:abstractNumId w:val="60"/>
  </w:num>
  <w:num w:numId="34">
    <w:abstractNumId w:val="0"/>
  </w:num>
  <w:num w:numId="35">
    <w:abstractNumId w:val="35"/>
  </w:num>
  <w:num w:numId="36">
    <w:abstractNumId w:val="48"/>
  </w:num>
  <w:num w:numId="37">
    <w:abstractNumId w:val="28"/>
  </w:num>
  <w:num w:numId="38">
    <w:abstractNumId w:val="23"/>
  </w:num>
  <w:num w:numId="39">
    <w:abstractNumId w:val="42"/>
  </w:num>
  <w:num w:numId="40">
    <w:abstractNumId w:val="58"/>
  </w:num>
  <w:num w:numId="41">
    <w:abstractNumId w:val="14"/>
  </w:num>
  <w:num w:numId="42">
    <w:abstractNumId w:val="2"/>
  </w:num>
  <w:num w:numId="43">
    <w:abstractNumId w:val="13"/>
  </w:num>
  <w:num w:numId="44">
    <w:abstractNumId w:val="30"/>
  </w:num>
  <w:num w:numId="45">
    <w:abstractNumId w:val="10"/>
  </w:num>
  <w:num w:numId="46">
    <w:abstractNumId w:val="44"/>
  </w:num>
  <w:num w:numId="47">
    <w:abstractNumId w:val="8"/>
  </w:num>
  <w:num w:numId="48">
    <w:abstractNumId w:val="27"/>
  </w:num>
  <w:num w:numId="49">
    <w:abstractNumId w:val="41"/>
  </w:num>
  <w:num w:numId="50">
    <w:abstractNumId w:val="29"/>
  </w:num>
  <w:num w:numId="51">
    <w:abstractNumId w:val="34"/>
  </w:num>
  <w:num w:numId="52">
    <w:abstractNumId w:val="54"/>
  </w:num>
  <w:num w:numId="53">
    <w:abstractNumId w:val="24"/>
  </w:num>
  <w:num w:numId="54">
    <w:abstractNumId w:val="17"/>
  </w:num>
  <w:num w:numId="55">
    <w:abstractNumId w:val="7"/>
  </w:num>
  <w:num w:numId="56">
    <w:abstractNumId w:val="56"/>
  </w:num>
  <w:num w:numId="57">
    <w:abstractNumId w:val="21"/>
  </w:num>
  <w:num w:numId="58">
    <w:abstractNumId w:val="12"/>
  </w:num>
  <w:num w:numId="59">
    <w:abstractNumId w:val="39"/>
  </w:num>
  <w:num w:numId="60">
    <w:abstractNumId w:val="25"/>
  </w:num>
  <w:num w:numId="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54C1"/>
    <w:rsid w:val="013D752B"/>
    <w:rsid w:val="035767DE"/>
    <w:rsid w:val="03D93FF0"/>
    <w:rsid w:val="05A246AA"/>
    <w:rsid w:val="06D26743"/>
    <w:rsid w:val="081F1844"/>
    <w:rsid w:val="09917F6D"/>
    <w:rsid w:val="0A6C79E8"/>
    <w:rsid w:val="0AC11330"/>
    <w:rsid w:val="0BD17651"/>
    <w:rsid w:val="0C0438F2"/>
    <w:rsid w:val="0C100930"/>
    <w:rsid w:val="0C2E171A"/>
    <w:rsid w:val="0CB30291"/>
    <w:rsid w:val="0CCA38C0"/>
    <w:rsid w:val="0CEE5D19"/>
    <w:rsid w:val="0DB40DCA"/>
    <w:rsid w:val="0F825883"/>
    <w:rsid w:val="101B5338"/>
    <w:rsid w:val="1097050A"/>
    <w:rsid w:val="1136665D"/>
    <w:rsid w:val="116B4192"/>
    <w:rsid w:val="117C2EDE"/>
    <w:rsid w:val="11CC4D5D"/>
    <w:rsid w:val="12E100D3"/>
    <w:rsid w:val="157E2B8C"/>
    <w:rsid w:val="163C52CF"/>
    <w:rsid w:val="16AB1994"/>
    <w:rsid w:val="16BC195A"/>
    <w:rsid w:val="17F2609D"/>
    <w:rsid w:val="19210918"/>
    <w:rsid w:val="19477443"/>
    <w:rsid w:val="19B67AF6"/>
    <w:rsid w:val="1B5C6AF2"/>
    <w:rsid w:val="1BB32646"/>
    <w:rsid w:val="1BE80D59"/>
    <w:rsid w:val="1C2F45BA"/>
    <w:rsid w:val="1D127DB3"/>
    <w:rsid w:val="1DE504DF"/>
    <w:rsid w:val="1E89391E"/>
    <w:rsid w:val="20592751"/>
    <w:rsid w:val="206D0CDA"/>
    <w:rsid w:val="20F072C3"/>
    <w:rsid w:val="21801C65"/>
    <w:rsid w:val="21F06546"/>
    <w:rsid w:val="228B353D"/>
    <w:rsid w:val="230249AA"/>
    <w:rsid w:val="2304630B"/>
    <w:rsid w:val="268E1624"/>
    <w:rsid w:val="26E85F6A"/>
    <w:rsid w:val="271A3205"/>
    <w:rsid w:val="27EE45C7"/>
    <w:rsid w:val="280E424C"/>
    <w:rsid w:val="289A2036"/>
    <w:rsid w:val="29566705"/>
    <w:rsid w:val="296956D1"/>
    <w:rsid w:val="2A50519C"/>
    <w:rsid w:val="2C2D7277"/>
    <w:rsid w:val="2CB1155F"/>
    <w:rsid w:val="2CD31F2F"/>
    <w:rsid w:val="2E000E20"/>
    <w:rsid w:val="2E16104C"/>
    <w:rsid w:val="2EB52AEB"/>
    <w:rsid w:val="30BA5D08"/>
    <w:rsid w:val="31770EAC"/>
    <w:rsid w:val="32192686"/>
    <w:rsid w:val="348F3057"/>
    <w:rsid w:val="35C50D85"/>
    <w:rsid w:val="360D5F1B"/>
    <w:rsid w:val="36E25A4B"/>
    <w:rsid w:val="37E06D38"/>
    <w:rsid w:val="388042E7"/>
    <w:rsid w:val="3D1519E2"/>
    <w:rsid w:val="3E295B2C"/>
    <w:rsid w:val="3EAA4AA4"/>
    <w:rsid w:val="3EAF7046"/>
    <w:rsid w:val="3F2468E5"/>
    <w:rsid w:val="3F5D76F1"/>
    <w:rsid w:val="3F756373"/>
    <w:rsid w:val="40226388"/>
    <w:rsid w:val="417075AD"/>
    <w:rsid w:val="41C2615D"/>
    <w:rsid w:val="41DA564A"/>
    <w:rsid w:val="424E4933"/>
    <w:rsid w:val="42B90D72"/>
    <w:rsid w:val="43CC3400"/>
    <w:rsid w:val="443E0BB4"/>
    <w:rsid w:val="44BC0D20"/>
    <w:rsid w:val="45537E16"/>
    <w:rsid w:val="45906B42"/>
    <w:rsid w:val="45BA16A5"/>
    <w:rsid w:val="466D1D4B"/>
    <w:rsid w:val="474E0EB1"/>
    <w:rsid w:val="48035A2A"/>
    <w:rsid w:val="48A2515F"/>
    <w:rsid w:val="49004534"/>
    <w:rsid w:val="49AD63F4"/>
    <w:rsid w:val="4B573B68"/>
    <w:rsid w:val="4BA94A63"/>
    <w:rsid w:val="4C1B224A"/>
    <w:rsid w:val="4CEC2AF8"/>
    <w:rsid w:val="4E3D235A"/>
    <w:rsid w:val="4F1D071E"/>
    <w:rsid w:val="4FE10D07"/>
    <w:rsid w:val="505D4C36"/>
    <w:rsid w:val="50BF3C56"/>
    <w:rsid w:val="51073626"/>
    <w:rsid w:val="513D42D0"/>
    <w:rsid w:val="51A37CC7"/>
    <w:rsid w:val="527F60CC"/>
    <w:rsid w:val="54583F32"/>
    <w:rsid w:val="553D78B5"/>
    <w:rsid w:val="55822C96"/>
    <w:rsid w:val="57AD72BD"/>
    <w:rsid w:val="581D7D10"/>
    <w:rsid w:val="5951708F"/>
    <w:rsid w:val="59570BED"/>
    <w:rsid w:val="5A1B55A3"/>
    <w:rsid w:val="5A3F225A"/>
    <w:rsid w:val="5A711413"/>
    <w:rsid w:val="5B1F7CA1"/>
    <w:rsid w:val="5B2C471B"/>
    <w:rsid w:val="5CF6068B"/>
    <w:rsid w:val="5DEF75E6"/>
    <w:rsid w:val="5F246693"/>
    <w:rsid w:val="612125E7"/>
    <w:rsid w:val="613B305A"/>
    <w:rsid w:val="61CD5CDC"/>
    <w:rsid w:val="62181AFF"/>
    <w:rsid w:val="62B22DA1"/>
    <w:rsid w:val="63DA1AC8"/>
    <w:rsid w:val="65194FA6"/>
    <w:rsid w:val="65C1115C"/>
    <w:rsid w:val="664A1979"/>
    <w:rsid w:val="671F03F5"/>
    <w:rsid w:val="685569A1"/>
    <w:rsid w:val="689317DB"/>
    <w:rsid w:val="690C76CA"/>
    <w:rsid w:val="694B33D6"/>
    <w:rsid w:val="69675B17"/>
    <w:rsid w:val="69DF5284"/>
    <w:rsid w:val="6A2516CD"/>
    <w:rsid w:val="6B076E49"/>
    <w:rsid w:val="6B2672A2"/>
    <w:rsid w:val="6C144211"/>
    <w:rsid w:val="6C536F11"/>
    <w:rsid w:val="6CD00AC0"/>
    <w:rsid w:val="6D1C0D86"/>
    <w:rsid w:val="6F2C7EE3"/>
    <w:rsid w:val="71C12CAF"/>
    <w:rsid w:val="71FF44E6"/>
    <w:rsid w:val="72AA2842"/>
    <w:rsid w:val="73F5488F"/>
    <w:rsid w:val="74A75412"/>
    <w:rsid w:val="759E660B"/>
    <w:rsid w:val="75BC49A3"/>
    <w:rsid w:val="76AD05EC"/>
    <w:rsid w:val="77A838E3"/>
    <w:rsid w:val="785F21AD"/>
    <w:rsid w:val="78610F68"/>
    <w:rsid w:val="79D038E6"/>
    <w:rsid w:val="7D9729B2"/>
    <w:rsid w:val="7EE36F6A"/>
    <w:rsid w:val="7F0535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jc w:val="center"/>
      <w:outlineLvl w:val="1"/>
    </w:pPr>
    <w:rPr>
      <w:rFonts w:ascii="宋体" w:hAnsi="宋体" w:eastAsia="宋体" w:cs="宋体"/>
      <w:b/>
      <w:bCs/>
      <w:sz w:val="32"/>
      <w:szCs w:val="32"/>
    </w:rPr>
  </w:style>
  <w:style w:type="paragraph" w:styleId="4">
    <w:name w:val="heading 2"/>
    <w:basedOn w:val="1"/>
    <w:next w:val="1"/>
    <w:qFormat/>
    <w:uiPriority w:val="1"/>
    <w:pPr>
      <w:spacing w:before="1"/>
      <w:ind w:left="138"/>
      <w:jc w:val="center"/>
      <w:outlineLvl w:val="2"/>
    </w:pPr>
    <w:rPr>
      <w:rFonts w:ascii="宋体" w:hAnsi="宋体" w:eastAsia="宋体" w:cs="宋体"/>
      <w:sz w:val="32"/>
      <w:szCs w:val="32"/>
    </w:rPr>
  </w:style>
  <w:style w:type="paragraph" w:styleId="5">
    <w:name w:val="heading 3"/>
    <w:basedOn w:val="1"/>
    <w:next w:val="1"/>
    <w:qFormat/>
    <w:uiPriority w:val="1"/>
    <w:pPr>
      <w:ind w:right="1"/>
      <w:jc w:val="center"/>
      <w:outlineLvl w:val="3"/>
    </w:pPr>
    <w:rPr>
      <w:rFonts w:ascii="宋体" w:hAnsi="宋体" w:eastAsia="宋体" w:cs="宋体"/>
      <w:b/>
      <w:bCs/>
      <w:sz w:val="30"/>
      <w:szCs w:val="30"/>
    </w:rPr>
  </w:style>
  <w:style w:type="paragraph" w:styleId="6">
    <w:name w:val="heading 4"/>
    <w:basedOn w:val="1"/>
    <w:next w:val="1"/>
    <w:qFormat/>
    <w:uiPriority w:val="1"/>
    <w:pPr>
      <w:ind w:left="112"/>
      <w:outlineLvl w:val="4"/>
    </w:pPr>
    <w:rPr>
      <w:rFonts w:ascii="宋体" w:hAnsi="宋体" w:eastAsia="宋体" w:cs="宋体"/>
      <w:sz w:val="30"/>
      <w:szCs w:val="30"/>
    </w:rPr>
  </w:style>
  <w:style w:type="paragraph" w:styleId="7">
    <w:name w:val="heading 5"/>
    <w:basedOn w:val="1"/>
    <w:next w:val="1"/>
    <w:qFormat/>
    <w:uiPriority w:val="1"/>
    <w:pPr>
      <w:ind w:left="1398"/>
      <w:jc w:val="center"/>
      <w:outlineLvl w:val="5"/>
    </w:pPr>
    <w:rPr>
      <w:rFonts w:ascii="宋体" w:hAnsi="宋体" w:eastAsia="宋体" w:cs="宋体"/>
      <w:b/>
      <w:bCs/>
      <w:sz w:val="28"/>
      <w:szCs w:val="28"/>
    </w:rPr>
  </w:style>
  <w:style w:type="paragraph" w:styleId="8">
    <w:name w:val="heading 6"/>
    <w:basedOn w:val="1"/>
    <w:next w:val="1"/>
    <w:qFormat/>
    <w:uiPriority w:val="1"/>
    <w:pPr>
      <w:ind w:left="852"/>
      <w:outlineLvl w:val="6"/>
    </w:pPr>
    <w:rPr>
      <w:rFonts w:ascii="宋体" w:hAnsi="宋体" w:eastAsia="宋体" w:cs="宋体"/>
      <w:sz w:val="28"/>
      <w:szCs w:val="28"/>
    </w:rPr>
  </w:style>
  <w:style w:type="paragraph" w:styleId="9">
    <w:name w:val="heading 7"/>
    <w:basedOn w:val="1"/>
    <w:next w:val="1"/>
    <w:qFormat/>
    <w:uiPriority w:val="1"/>
    <w:pPr>
      <w:ind w:left="112"/>
      <w:outlineLvl w:val="7"/>
    </w:pPr>
    <w:rPr>
      <w:rFonts w:ascii="宋体" w:hAnsi="宋体" w:eastAsia="宋体" w:cs="宋体"/>
      <w:b/>
      <w:bCs/>
      <w:sz w:val="22"/>
      <w:szCs w:val="22"/>
    </w:rPr>
  </w:style>
  <w:style w:type="paragraph" w:styleId="10">
    <w:name w:val="heading 8"/>
    <w:basedOn w:val="1"/>
    <w:next w:val="1"/>
    <w:qFormat/>
    <w:uiPriority w:val="1"/>
    <w:pPr>
      <w:ind w:left="538"/>
      <w:outlineLvl w:val="8"/>
    </w:pPr>
    <w:rPr>
      <w:rFonts w:ascii="宋体" w:hAnsi="宋体" w:eastAsia="宋体" w:cs="宋体"/>
      <w:sz w:val="22"/>
      <w:szCs w:val="22"/>
    </w:rPr>
  </w:style>
  <w:style w:type="paragraph" w:styleId="11">
    <w:name w:val="heading 9"/>
    <w:basedOn w:val="1"/>
    <w:next w:val="1"/>
    <w:qFormat/>
    <w:uiPriority w:val="1"/>
    <w:pPr>
      <w:ind w:left="535" w:hanging="423"/>
      <w:outlineLvl w:val="9"/>
    </w:pPr>
    <w:rPr>
      <w:rFonts w:ascii="宋体" w:hAnsi="宋体" w:eastAsia="宋体" w:cs="宋体"/>
      <w:b/>
      <w:bCs/>
      <w:sz w:val="21"/>
      <w:szCs w:val="21"/>
    </w:rPr>
  </w:style>
  <w:style w:type="character" w:default="1" w:styleId="18">
    <w:name w:val="Default Paragraph Font"/>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jc w:val="both"/>
    </w:pPr>
    <w:rPr>
      <w:rFonts w:ascii="Calibri" w:hAnsi="Calibri" w:eastAsia="宋体" w:cs="Times New Roman"/>
      <w:kern w:val="2"/>
      <w:sz w:val="21"/>
      <w:szCs w:val="24"/>
      <w:lang w:val="en-US" w:eastAsia="zh-CN" w:bidi="ar-SA"/>
    </w:rPr>
  </w:style>
  <w:style w:type="paragraph" w:styleId="12">
    <w:name w:val="Body Text 3"/>
    <w:basedOn w:val="1"/>
    <w:qFormat/>
    <w:uiPriority w:val="0"/>
    <w:pPr>
      <w:spacing w:line="240" w:lineRule="exact"/>
    </w:pPr>
    <w:rPr>
      <w:rFonts w:ascii="宋体" w:hAnsi="宋体"/>
      <w:color w:val="000000"/>
      <w:szCs w:val="21"/>
    </w:rPr>
  </w:style>
  <w:style w:type="paragraph" w:styleId="13">
    <w:name w:val="Body Text"/>
    <w:basedOn w:val="1"/>
    <w:qFormat/>
    <w:uiPriority w:val="1"/>
    <w:pPr>
      <w:ind w:left="112"/>
    </w:pPr>
    <w:rPr>
      <w:rFonts w:ascii="宋体" w:hAnsi="宋体" w:eastAsia="宋体" w:cs="宋体"/>
      <w:sz w:val="21"/>
      <w:szCs w:val="21"/>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1"/>
    <w:pPr>
      <w:spacing w:before="430"/>
      <w:ind w:left="112"/>
    </w:pPr>
    <w:rPr>
      <w:rFonts w:ascii="宋体" w:hAnsi="宋体" w:eastAsia="宋体" w:cs="宋体"/>
      <w:sz w:val="30"/>
      <w:szCs w:val="30"/>
    </w:rPr>
  </w:style>
  <w:style w:type="character" w:styleId="19">
    <w:name w:val="Strong"/>
    <w:basedOn w:val="18"/>
    <w:qFormat/>
    <w:uiPriority w:val="0"/>
  </w:style>
  <w:style w:type="character" w:styleId="20">
    <w:name w:val="FollowedHyperlink"/>
    <w:basedOn w:val="18"/>
    <w:qFormat/>
    <w:uiPriority w:val="0"/>
    <w:rPr>
      <w:vanish/>
      <w:color w:val="800080"/>
      <w:u w:val="none"/>
      <w:bdr w:val="single" w:color="DCDCDC" w:sz="6" w:space="0"/>
    </w:rPr>
  </w:style>
  <w:style w:type="character" w:styleId="21">
    <w:name w:val="Emphasis"/>
    <w:basedOn w:val="18"/>
    <w:qFormat/>
    <w:uiPriority w:val="0"/>
  </w:style>
  <w:style w:type="character" w:styleId="22">
    <w:name w:val="HTML Definition"/>
    <w:basedOn w:val="18"/>
    <w:qFormat/>
    <w:uiPriority w:val="0"/>
  </w:style>
  <w:style w:type="character" w:styleId="23">
    <w:name w:val="HTML Typewriter"/>
    <w:basedOn w:val="18"/>
    <w:qFormat/>
    <w:uiPriority w:val="0"/>
    <w:rPr>
      <w:rFonts w:hint="default"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none"/>
    </w:rPr>
  </w:style>
  <w:style w:type="character" w:styleId="27">
    <w:name w:val="HTML Code"/>
    <w:basedOn w:val="18"/>
    <w:qFormat/>
    <w:uiPriority w:val="0"/>
    <w:rPr>
      <w:rFonts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hint="default" w:ascii="monospace" w:hAnsi="monospace" w:eastAsia="monospace" w:cs="monospace"/>
      <w:sz w:val="20"/>
    </w:rPr>
  </w:style>
  <w:style w:type="character" w:styleId="30">
    <w:name w:val="HTML Sample"/>
    <w:basedOn w:val="18"/>
    <w:qFormat/>
    <w:uiPriority w:val="0"/>
    <w:rPr>
      <w:rFonts w:hint="default" w:ascii="monospace" w:hAnsi="monospace" w:eastAsia="monospace" w:cs="monospace"/>
    </w:rPr>
  </w:style>
  <w:style w:type="table" w:customStyle="1" w:styleId="31">
    <w:name w:val="Table Normal"/>
    <w:unhideWhenUsed/>
    <w:qFormat/>
    <w:uiPriority w:val="2"/>
    <w:tblPr>
      <w:tblCellMar>
        <w:top w:w="0" w:type="dxa"/>
        <w:left w:w="0" w:type="dxa"/>
        <w:bottom w:w="0" w:type="dxa"/>
        <w:right w:w="0" w:type="dxa"/>
      </w:tblCellMar>
    </w:tblPr>
  </w:style>
  <w:style w:type="paragraph" w:customStyle="1" w:styleId="32">
    <w:name w:val="List Paragraph"/>
    <w:basedOn w:val="1"/>
    <w:qFormat/>
    <w:uiPriority w:val="1"/>
    <w:pPr>
      <w:ind w:left="112" w:firstLine="421"/>
    </w:pPr>
    <w:rPr>
      <w:rFonts w:ascii="宋体" w:hAnsi="宋体" w:eastAsia="宋体" w:cs="宋体"/>
    </w:rPr>
  </w:style>
  <w:style w:type="paragraph" w:customStyle="1" w:styleId="33">
    <w:name w:val="Table Paragraph"/>
    <w:basedOn w:val="1"/>
    <w:qFormat/>
    <w:uiPriority w:val="1"/>
    <w:rPr>
      <w:rFonts w:ascii="宋体" w:hAnsi="宋体" w:eastAsia="宋体" w:cs="宋体"/>
    </w:rPr>
  </w:style>
  <w:style w:type="paragraph" w:customStyle="1" w:styleId="34">
    <w:name w:val="p0"/>
    <w:basedOn w:val="1"/>
    <w:qFormat/>
    <w:uiPriority w:val="99"/>
    <w:pPr>
      <w:widowControl/>
    </w:pPr>
    <w:rPr>
      <w:rFonts w:ascii="Calibri" w:hAnsi="Calibri" w:cs="宋体"/>
      <w:kern w:val="0"/>
      <w:szCs w:val="21"/>
    </w:rPr>
  </w:style>
  <w:style w:type="paragraph" w:customStyle="1" w:styleId="35">
    <w:name w:val="正文小标题"/>
    <w:basedOn w:val="3"/>
    <w:qFormat/>
    <w:uiPriority w:val="0"/>
    <w:pPr>
      <w:keepLines/>
      <w:widowControl w:val="0"/>
      <w:spacing w:line="420" w:lineRule="exact"/>
      <w:jc w:val="both"/>
    </w:pPr>
    <w:rPr>
      <w:rFonts w:ascii="Times New Roman" w:hAnsi="宋体" w:eastAsia="宋体"/>
      <w:kern w:val="44"/>
      <w:sz w:val="21"/>
    </w:rPr>
  </w:style>
  <w:style w:type="paragraph" w:customStyle="1" w:styleId="36">
    <w:name w:val="正文呀2"/>
    <w:basedOn w:val="37"/>
    <w:qFormat/>
    <w:uiPriority w:val="0"/>
    <w:pPr>
      <w:spacing w:line="420" w:lineRule="exact"/>
      <w:ind w:firstLine="420" w:firstLineChars="200"/>
    </w:pPr>
    <w:rPr>
      <w:rFonts w:hAnsi="Calibri"/>
      <w:sz w:val="20"/>
      <w:szCs w:val="21"/>
    </w:rPr>
  </w:style>
  <w:style w:type="paragraph" w:customStyle="1" w:styleId="37">
    <w:name w:val="正文呀"/>
    <w:basedOn w:val="1"/>
    <w:qFormat/>
    <w:uiPriority w:val="0"/>
    <w:pPr>
      <w:spacing w:line="420" w:lineRule="exact"/>
      <w:ind w:firstLine="420" w:firstLineChars="200"/>
    </w:pPr>
    <w:rPr>
      <w:rFonts w:ascii="宋体"/>
      <w:kern w:val="0"/>
      <w:szCs w:val="20"/>
    </w:rPr>
  </w:style>
  <w:style w:type="paragraph" w:customStyle="1" w:styleId="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29.png"/><Relationship Id="rId43" Type="http://schemas.openxmlformats.org/officeDocument/2006/relationships/image" Target="media/image28.png"/><Relationship Id="rId42" Type="http://schemas.openxmlformats.org/officeDocument/2006/relationships/image" Target="media/image27.png"/><Relationship Id="rId41" Type="http://schemas.openxmlformats.org/officeDocument/2006/relationships/image" Target="media/image26.png"/><Relationship Id="rId40" Type="http://schemas.openxmlformats.org/officeDocument/2006/relationships/image" Target="media/image25.png"/><Relationship Id="rId4" Type="http://schemas.openxmlformats.org/officeDocument/2006/relationships/footer" Target="footer2.xml"/><Relationship Id="rId39" Type="http://schemas.openxmlformats.org/officeDocument/2006/relationships/image" Target="media/image24.png"/><Relationship Id="rId38" Type="http://schemas.openxmlformats.org/officeDocument/2006/relationships/image" Target="media/image23.png"/><Relationship Id="rId37" Type="http://schemas.openxmlformats.org/officeDocument/2006/relationships/image" Target="media/image22.png"/><Relationship Id="rId36" Type="http://schemas.openxmlformats.org/officeDocument/2006/relationships/image" Target="media/image21.png"/><Relationship Id="rId35" Type="http://schemas.openxmlformats.org/officeDocument/2006/relationships/image" Target="media/image20.png"/><Relationship Id="rId34" Type="http://schemas.openxmlformats.org/officeDocument/2006/relationships/image" Target="media/image19.png"/><Relationship Id="rId33" Type="http://schemas.openxmlformats.org/officeDocument/2006/relationships/image" Target="media/image18.png"/><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footer" Target="foot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28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2020-03-23T12:38:00Z</dcterms:created>
  <dc:creator>AutoBVT</dc:creator>
  <cp:lastModifiedBy>Administrator</cp:lastModifiedBy>
  <dcterms:modified xsi:type="dcterms:W3CDTF">2020-04-08T06:51:23Z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Office Word 2007</vt:lpwstr>
  </property>
  <property fmtid="{D5CDD505-2E9C-101B-9397-08002B2CF9AE}" pid="4" name="LastSaved">
    <vt:filetime>2020-03-23T00:00:00Z</vt:filetime>
  </property>
  <property fmtid="{D5CDD505-2E9C-101B-9397-08002B2CF9AE}" pid="5" name="KSOProductBuildVer">
    <vt:lpwstr>2052-11.1.0.9584</vt:lpwstr>
  </property>
</Properties>
</file>