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line="20" w:lineRule="exact"/>
        <w:rPr>
          <w:rFonts w:hAnsi="宋体"/>
          <w:sz w:val="72"/>
        </w:rPr>
      </w:pPr>
      <w:bookmarkStart w:id="75" w:name="_GoBack"/>
      <w:bookmarkEnd w:id="75"/>
    </w:p>
    <w:p>
      <w:pPr>
        <w:pStyle w:val="31"/>
        <w:snapToGrid w:val="0"/>
        <w:spacing w:line="400" w:lineRule="exact"/>
        <w:jc w:val="center"/>
        <w:outlineLvl w:val="0"/>
        <w:rPr>
          <w:rFonts w:hAnsi="宋体"/>
          <w:b/>
          <w:bCs/>
          <w:sz w:val="36"/>
          <w:szCs w:val="36"/>
        </w:rPr>
      </w:pPr>
      <w:bookmarkStart w:id="0" w:name="_Toc254970630"/>
      <w:bookmarkStart w:id="1" w:name="_Toc254970489"/>
      <w:r>
        <w:rPr>
          <w:rFonts w:hint="eastAsia" w:hAnsi="宋体"/>
          <w:b/>
          <w:bCs/>
          <w:sz w:val="36"/>
          <w:szCs w:val="36"/>
        </w:rPr>
        <w:t>第一章  招标公告</w:t>
      </w:r>
    </w:p>
    <w:bookmarkEnd w:id="0"/>
    <w:bookmarkEnd w:id="1"/>
    <w:p>
      <w:pPr>
        <w:pStyle w:val="31"/>
        <w:snapToGrid w:val="0"/>
        <w:spacing w:line="400" w:lineRule="exact"/>
        <w:jc w:val="center"/>
        <w:outlineLvl w:val="0"/>
        <w:rPr>
          <w:rFonts w:hAnsi="宋体" w:cs="宋体"/>
          <w:szCs w:val="21"/>
        </w:rPr>
      </w:pPr>
      <w:r>
        <w:rPr>
          <w:rFonts w:hint="eastAsia" w:hAnsi="宋体"/>
          <w:b/>
          <w:sz w:val="32"/>
          <w:szCs w:val="32"/>
        </w:rPr>
        <w:t>北海职业学院计算机信息安全等级保护二级建设及出口网络升级改造项目（</w:t>
      </w:r>
      <w:r>
        <w:rPr>
          <w:rFonts w:hint="eastAsia" w:hAnsi="宋体" w:cs="Arial"/>
          <w:b/>
          <w:bCs/>
          <w:sz w:val="32"/>
          <w:szCs w:val="32"/>
          <w:lang w:val="en-US" w:eastAsia="zh-CN"/>
        </w:rPr>
        <w:t xml:space="preserve">    </w:t>
      </w:r>
      <w:r>
        <w:rPr>
          <w:rFonts w:hint="eastAsia" w:hAnsi="宋体" w:cs="Arial"/>
          <w:b/>
          <w:bCs/>
          <w:sz w:val="32"/>
          <w:szCs w:val="32"/>
        </w:rPr>
        <w:t>）</w:t>
      </w:r>
      <w:bookmarkStart w:id="2" w:name="_Toc254970490"/>
      <w:bookmarkStart w:id="3" w:name="_Toc254970631"/>
      <w:r>
        <w:rPr>
          <w:rFonts w:hint="eastAsia" w:hAnsi="宋体" w:cs="宋体"/>
          <w:b/>
          <w:bCs/>
          <w:sz w:val="32"/>
          <w:szCs w:val="32"/>
        </w:rPr>
        <w:t>招标公告</w:t>
      </w:r>
    </w:p>
    <w:p>
      <w:pPr>
        <w:keepNext/>
        <w:pBdr>
          <w:top w:val="single" w:color="auto" w:sz="4" w:space="1"/>
          <w:left w:val="single" w:color="auto" w:sz="4" w:space="4"/>
          <w:bottom w:val="single" w:color="auto" w:sz="4" w:space="1"/>
          <w:right w:val="single" w:color="auto" w:sz="4" w:space="4"/>
        </w:pBdr>
        <w:spacing w:line="330" w:lineRule="exact"/>
        <w:ind w:firstLine="420" w:firstLineChars="200"/>
        <w:rPr>
          <w:rFonts w:ascii="宋体" w:cs="宋体"/>
          <w:szCs w:val="21"/>
        </w:rPr>
      </w:pPr>
      <w:r>
        <w:rPr>
          <w:rFonts w:hint="eastAsia" w:ascii="宋体" w:hAnsi="宋体" w:cs="宋体"/>
          <w:szCs w:val="21"/>
        </w:rPr>
        <w:t>项目概况</w:t>
      </w:r>
    </w:p>
    <w:p>
      <w:pPr>
        <w:keepNext/>
        <w:pBdr>
          <w:top w:val="single" w:color="auto" w:sz="4" w:space="1"/>
          <w:left w:val="single" w:color="auto" w:sz="4" w:space="4"/>
          <w:bottom w:val="single" w:color="auto" w:sz="4" w:space="1"/>
          <w:right w:val="single" w:color="auto" w:sz="4" w:space="4"/>
        </w:pBdr>
        <w:spacing w:line="330" w:lineRule="exact"/>
        <w:ind w:firstLine="420" w:firstLineChars="200"/>
        <w:rPr>
          <w:rFonts w:ascii="宋体" w:cs="宋体"/>
          <w:szCs w:val="21"/>
        </w:rPr>
      </w:pPr>
      <w:r>
        <w:rPr>
          <w:rFonts w:hint="eastAsia" w:ascii="宋体" w:hAnsi="宋体" w:cs="宋体"/>
          <w:szCs w:val="21"/>
          <w:u w:val="single"/>
        </w:rPr>
        <w:t>北海职业学院计算机信息安全等级保护二级建设及出口网络升级改造项目</w:t>
      </w:r>
      <w:r>
        <w:rPr>
          <w:rFonts w:hint="eastAsia" w:ascii="宋体" w:hAnsi="宋体" w:cs="宋体"/>
          <w:szCs w:val="21"/>
        </w:rPr>
        <w:t>招标项目的潜在投标人应在</w:t>
      </w:r>
      <w:r>
        <w:rPr>
          <w:rFonts w:hint="eastAsia" w:ascii="宋体" w:hAnsi="宋体" w:cs="宋体"/>
          <w:szCs w:val="21"/>
          <w:u w:val="single"/>
        </w:rPr>
        <w:t>广西政府采购网政采云平台（</w:t>
      </w:r>
      <w:r>
        <w:rPr>
          <w:rFonts w:ascii="宋体" w:hAnsi="宋体" w:cs="宋体"/>
          <w:szCs w:val="21"/>
          <w:u w:val="single"/>
        </w:rPr>
        <w:t>http://zfcg.gxzf.gov.cn/</w:t>
      </w:r>
      <w:r>
        <w:rPr>
          <w:rFonts w:hint="eastAsia" w:ascii="宋体" w:hAnsi="宋体" w:cs="宋体"/>
          <w:szCs w:val="21"/>
          <w:u w:val="single"/>
        </w:rPr>
        <w:t>）</w:t>
      </w:r>
      <w:r>
        <w:rPr>
          <w:rFonts w:hint="eastAsia" w:ascii="宋体" w:hAnsi="宋体" w:cs="宋体"/>
          <w:szCs w:val="21"/>
        </w:rPr>
        <w:t>获取招标文件，并于</w:t>
      </w:r>
      <w:r>
        <w:rPr>
          <w:rFonts w:hint="eastAsia" w:ascii="宋体" w:hAnsi="宋体" w:cs="宋体"/>
          <w:szCs w:val="21"/>
          <w:u w:val="single"/>
          <w:lang w:val="en-US" w:eastAsia="zh-CN"/>
        </w:rPr>
        <w:t xml:space="preserve">    </w:t>
      </w:r>
      <w:r>
        <w:rPr>
          <w:rFonts w:hint="eastAsia" w:ascii="宋体" w:hAnsi="宋体" w:cs="宋体"/>
          <w:bCs/>
          <w:szCs w:val="21"/>
          <w:u w:val="single"/>
        </w:rPr>
        <w:t>年</w:t>
      </w:r>
      <w:r>
        <w:rPr>
          <w:rFonts w:hint="eastAsia" w:ascii="宋体" w:hAnsi="宋体" w:cs="宋体"/>
          <w:bCs/>
          <w:szCs w:val="21"/>
          <w:u w:val="single"/>
          <w:lang w:val="en-US" w:eastAsia="zh-CN"/>
        </w:rPr>
        <w:t xml:space="preserve">  </w:t>
      </w:r>
      <w:r>
        <w:rPr>
          <w:rFonts w:hint="eastAsia" w:ascii="宋体" w:hAnsi="宋体" w:cs="宋体"/>
          <w:bCs/>
          <w:szCs w:val="21"/>
          <w:u w:val="single"/>
        </w:rPr>
        <w:t>月</w:t>
      </w:r>
      <w:r>
        <w:rPr>
          <w:rFonts w:hint="eastAsia" w:ascii="宋体" w:hAnsi="宋体" w:cs="宋体"/>
          <w:bCs/>
          <w:szCs w:val="21"/>
          <w:u w:val="single"/>
          <w:lang w:val="en-US" w:eastAsia="zh-CN"/>
        </w:rPr>
        <w:t xml:space="preserve">  </w:t>
      </w:r>
      <w:r>
        <w:rPr>
          <w:rFonts w:hint="eastAsia" w:ascii="宋体" w:hAnsi="宋体" w:cs="宋体"/>
          <w:bCs/>
          <w:szCs w:val="21"/>
          <w:u w:val="single"/>
        </w:rPr>
        <w:t>日</w:t>
      </w:r>
      <w:r>
        <w:rPr>
          <w:rFonts w:hint="eastAsia" w:ascii="宋体" w:hAnsi="宋体" w:cs="宋体"/>
          <w:bCs/>
          <w:szCs w:val="21"/>
          <w:u w:val="single"/>
          <w:lang w:val="en-US" w:eastAsia="zh-CN"/>
        </w:rPr>
        <w:t xml:space="preserve">  </w:t>
      </w:r>
      <w:r>
        <w:rPr>
          <w:rFonts w:hint="eastAsia" w:ascii="宋体" w:hAnsi="宋体" w:cs="宋体"/>
          <w:bCs/>
          <w:szCs w:val="21"/>
          <w:u w:val="single"/>
        </w:rPr>
        <w:t>点</w:t>
      </w:r>
      <w:r>
        <w:rPr>
          <w:rFonts w:hint="eastAsia" w:ascii="宋体" w:hAnsi="宋体" w:cs="宋体"/>
          <w:bCs/>
          <w:szCs w:val="21"/>
          <w:u w:val="single"/>
          <w:lang w:val="en-US" w:eastAsia="zh-CN"/>
        </w:rPr>
        <w:t xml:space="preserve">  </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pPr>
        <w:pStyle w:val="4"/>
        <w:widowControl w:val="0"/>
        <w:spacing w:line="330" w:lineRule="exact"/>
        <w:rPr>
          <w:rFonts w:ascii="宋体" w:hAnsi="宋体" w:eastAsia="宋体" w:cs="宋体"/>
          <w:bCs/>
          <w:spacing w:val="0"/>
          <w:sz w:val="21"/>
          <w:szCs w:val="21"/>
        </w:rPr>
      </w:pPr>
      <w:bookmarkStart w:id="4" w:name="_Toc35393790"/>
      <w:bookmarkStart w:id="5" w:name="_Toc28359079"/>
      <w:bookmarkStart w:id="6" w:name="_Toc28359002"/>
      <w:bookmarkStart w:id="7" w:name="_Toc35393621"/>
      <w:bookmarkStart w:id="8" w:name="_Hlk24379207"/>
      <w:r>
        <w:rPr>
          <w:rFonts w:hint="eastAsia" w:ascii="宋体" w:hAnsi="宋体" w:eastAsia="宋体" w:cs="宋体"/>
          <w:bCs/>
          <w:spacing w:val="0"/>
          <w:sz w:val="21"/>
          <w:szCs w:val="21"/>
        </w:rPr>
        <w:t>一、项目基本情况</w:t>
      </w:r>
      <w:bookmarkEnd w:id="4"/>
      <w:bookmarkEnd w:id="5"/>
      <w:bookmarkEnd w:id="6"/>
      <w:bookmarkEnd w:id="7"/>
    </w:p>
    <w:p>
      <w:pPr>
        <w:keepNext/>
        <w:spacing w:line="330" w:lineRule="exact"/>
        <w:ind w:firstLine="420" w:firstLineChars="200"/>
        <w:rPr>
          <w:rFonts w:hint="default" w:ascii="宋体" w:eastAsia="宋体" w:cs="宋体"/>
          <w:szCs w:val="21"/>
          <w:lang w:val="en-US" w:eastAsia="zh-CN"/>
        </w:rPr>
      </w:pPr>
      <w:r>
        <w:rPr>
          <w:rFonts w:hint="eastAsia" w:ascii="宋体" w:hAnsi="宋体" w:cs="宋体"/>
          <w:szCs w:val="21"/>
        </w:rPr>
        <w:t>项目编号：</w:t>
      </w:r>
      <w:r>
        <w:rPr>
          <w:rFonts w:hint="eastAsia" w:ascii="宋体" w:hAnsi="宋体" w:cs="宋体"/>
          <w:szCs w:val="21"/>
          <w:lang w:val="en-US" w:eastAsia="zh-CN"/>
        </w:rPr>
        <w:t xml:space="preserve">    </w:t>
      </w:r>
    </w:p>
    <w:p>
      <w:pPr>
        <w:keepNext/>
        <w:spacing w:line="330" w:lineRule="exact"/>
        <w:ind w:firstLine="420" w:firstLineChars="200"/>
        <w:rPr>
          <w:rFonts w:ascii="宋体" w:cs="宋体"/>
          <w:szCs w:val="21"/>
        </w:rPr>
      </w:pPr>
      <w:r>
        <w:rPr>
          <w:rFonts w:hint="eastAsia" w:ascii="宋体" w:hAnsi="宋体" w:cs="宋体"/>
          <w:szCs w:val="21"/>
        </w:rPr>
        <w:t>项目名称：北海职业学院计算机信息安全等级保护二级建设及出口网络升级改造项目</w:t>
      </w:r>
    </w:p>
    <w:bookmarkEnd w:id="8"/>
    <w:p>
      <w:pPr>
        <w:keepNext/>
        <w:spacing w:line="330" w:lineRule="exact"/>
        <w:ind w:firstLine="420" w:firstLineChars="200"/>
        <w:rPr>
          <w:rFonts w:ascii="宋体" w:hAnsi="宋体" w:cs="宋体"/>
          <w:szCs w:val="21"/>
        </w:rPr>
      </w:pPr>
      <w:r>
        <w:rPr>
          <w:rFonts w:hint="eastAsia" w:ascii="宋体" w:hAnsi="宋体" w:cs="宋体"/>
          <w:szCs w:val="21"/>
        </w:rPr>
        <w:t xml:space="preserve">预算金额：人民币贰佰壹拾玖万肆仟壹佰玖拾玖元整（¥2194199.00） </w:t>
      </w:r>
    </w:p>
    <w:p>
      <w:pPr>
        <w:keepNext/>
        <w:spacing w:line="330" w:lineRule="exact"/>
        <w:ind w:firstLine="420" w:firstLineChars="200"/>
        <w:rPr>
          <w:rFonts w:ascii="宋体" w:hAnsi="宋体" w:cs="宋体"/>
          <w:szCs w:val="21"/>
        </w:rPr>
      </w:pPr>
      <w:r>
        <w:rPr>
          <w:rFonts w:hint="eastAsia" w:ascii="宋体" w:hAnsi="宋体" w:cs="宋体"/>
          <w:szCs w:val="21"/>
        </w:rPr>
        <w:t>采购需求：本项目采购入侵防御系统、WEB应用防火墙、安全感知平台等，包括货物的采购与安装。如需进一步了解详细内容，详见本项目招标公告附件及公开招标文件。</w:t>
      </w:r>
    </w:p>
    <w:p>
      <w:pPr>
        <w:keepNext/>
        <w:spacing w:line="330" w:lineRule="exact"/>
        <w:ind w:firstLine="420" w:firstLineChars="200"/>
        <w:rPr>
          <w:rFonts w:ascii="宋体" w:cs="宋体"/>
          <w:szCs w:val="21"/>
          <w:u w:val="single"/>
        </w:rPr>
      </w:pPr>
      <w:r>
        <w:rPr>
          <w:rFonts w:hint="eastAsia" w:ascii="宋体" w:hAnsi="宋体" w:cs="宋体"/>
          <w:szCs w:val="21"/>
        </w:rPr>
        <w:t>合同履行期限：详见本项目合同协议书。</w:t>
      </w:r>
    </w:p>
    <w:p>
      <w:pPr>
        <w:keepNext/>
        <w:spacing w:line="330" w:lineRule="exact"/>
        <w:ind w:firstLine="420" w:firstLineChars="200"/>
        <w:rPr>
          <w:rFonts w:ascii="宋体" w:cs="宋体"/>
          <w:szCs w:val="21"/>
        </w:rPr>
      </w:pPr>
      <w:r>
        <w:rPr>
          <w:rFonts w:hint="eastAsia" w:ascii="宋体" w:hAnsi="宋体" w:cs="宋体"/>
          <w:szCs w:val="21"/>
        </w:rPr>
        <w:t>本项目不接受联合体投标。</w:t>
      </w:r>
    </w:p>
    <w:p>
      <w:pPr>
        <w:pStyle w:val="4"/>
        <w:widowControl w:val="0"/>
        <w:spacing w:line="330" w:lineRule="exact"/>
        <w:rPr>
          <w:rFonts w:ascii="宋体" w:hAnsi="宋体" w:eastAsia="宋体" w:cs="宋体"/>
          <w:bCs/>
          <w:sz w:val="21"/>
          <w:szCs w:val="21"/>
        </w:rPr>
      </w:pPr>
      <w:bookmarkStart w:id="9" w:name="_Toc35393622"/>
      <w:bookmarkStart w:id="10" w:name="_Toc28359080"/>
      <w:bookmarkStart w:id="11" w:name="_Toc35393791"/>
      <w:bookmarkStart w:id="12" w:name="_Toc28359003"/>
      <w:r>
        <w:rPr>
          <w:rFonts w:hint="eastAsia" w:ascii="宋体" w:hAnsi="宋体" w:eastAsia="宋体" w:cs="宋体"/>
          <w:bCs/>
          <w:spacing w:val="0"/>
          <w:sz w:val="21"/>
          <w:szCs w:val="21"/>
        </w:rPr>
        <w:t>二、申请人的资格要求：</w:t>
      </w:r>
      <w:bookmarkEnd w:id="9"/>
      <w:bookmarkEnd w:id="10"/>
      <w:bookmarkEnd w:id="11"/>
      <w:bookmarkEnd w:id="12"/>
    </w:p>
    <w:p>
      <w:pPr>
        <w:keepNext/>
        <w:spacing w:line="33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满足《中华人民共和国政府采购法》第二十二条规定；</w:t>
      </w:r>
      <w:bookmarkStart w:id="13" w:name="_Toc35393623"/>
      <w:bookmarkStart w:id="14" w:name="_Toc28359081"/>
      <w:bookmarkStart w:id="15" w:name="_Toc35393792"/>
      <w:bookmarkStart w:id="16" w:name="_Toc28359004"/>
    </w:p>
    <w:p>
      <w:pPr>
        <w:keepNext/>
        <w:spacing w:line="33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落实政府采购政策需满足的资格要求：《中华人民共和国政府采购法》、《中华人民共和国政府采购法实施条例》等与政府采购相关的法律法规，其中包括但不限于：</w:t>
      </w:r>
    </w:p>
    <w:p>
      <w:pPr>
        <w:keepNext/>
        <w:spacing w:line="33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）落实强制采购节能产品、鼓励节能政策：对国家公布的节能产品政府采购品目清单中属于强制采购的产品，予以强制采购。属于非强制采购的产品，在技术、服务等指标同等条件下，予以优先采购。</w:t>
      </w:r>
    </w:p>
    <w:p>
      <w:pPr>
        <w:keepNext/>
        <w:spacing w:line="33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）落实鼓励环保政策：在技术、服务等指标同等条件下，优先采购国家公布的属于环境标志产品政府采购品目清单中产品。</w:t>
      </w:r>
    </w:p>
    <w:p>
      <w:pPr>
        <w:keepNext/>
        <w:spacing w:line="33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）落实扶持中小企业政策：评审时小型和微型企业产品的价格给予</w:t>
      </w:r>
      <w:r>
        <w:rPr>
          <w:rFonts w:ascii="宋体" w:hAnsi="宋体" w:cs="宋体"/>
          <w:szCs w:val="21"/>
        </w:rPr>
        <w:t>10%</w:t>
      </w:r>
      <w:r>
        <w:rPr>
          <w:rFonts w:hint="eastAsia" w:ascii="宋体" w:hAnsi="宋体" w:cs="宋体"/>
          <w:szCs w:val="21"/>
        </w:rPr>
        <w:t>的扣除。监狱企业、残疾人福利性单位视同小型和微型企业，其产品在评审时给予相同的价格扣除。</w:t>
      </w:r>
    </w:p>
    <w:p>
      <w:pPr>
        <w:keepNext/>
        <w:spacing w:line="33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本项目的特定资格要求：</w:t>
      </w:r>
    </w:p>
    <w:p>
      <w:pPr>
        <w:keepNext/>
        <w:spacing w:line="330" w:lineRule="exact"/>
        <w:ind w:firstLine="420" w:firstLineChars="200"/>
        <w:rPr>
          <w:rFonts w:ascii="宋体" w:hAnsi="宋体" w:cs="宋体"/>
          <w:szCs w:val="21"/>
        </w:rPr>
      </w:pPr>
      <w:r>
        <w:rPr>
          <w:rFonts w:hint="eastAsia" w:ascii="宋体" w:hAnsi="宋体" w:cs="宋体"/>
          <w:szCs w:val="21"/>
        </w:rPr>
        <w:t>（1）参加政府采购活动前三年内，在经营活动中没有重大违法记录和不良信用记录【被列入失信被执行人、政府采购不良行为记录、重大税收违法案件当事人、被各级政府行政部门列入黑名单的供应商，将被拒绝其参与本次政府采购活动。】</w:t>
      </w:r>
    </w:p>
    <w:p>
      <w:pPr>
        <w:keepNext/>
        <w:spacing w:line="330" w:lineRule="exact"/>
        <w:ind w:firstLine="420" w:firstLineChars="200"/>
        <w:rPr>
          <w:rFonts w:ascii="宋体" w:hAnsi="宋体" w:cs="宋体"/>
          <w:szCs w:val="21"/>
        </w:rPr>
      </w:pPr>
      <w:r>
        <w:rPr>
          <w:rFonts w:hint="eastAsia" w:ascii="宋体" w:hAnsi="宋体" w:cs="宋体"/>
          <w:szCs w:val="21"/>
        </w:rPr>
        <w:t>（2）承诺履行招标文件的各项规定，生产或经营本次采购内容的投标人。参加政府采购活动前三年内，无违约或不恰当履约引起的合同中止、纠纷、争议、仲裁和诉讼记录。</w:t>
      </w:r>
    </w:p>
    <w:p>
      <w:pPr>
        <w:pStyle w:val="4"/>
        <w:widowControl w:val="0"/>
        <w:spacing w:line="330" w:lineRule="exact"/>
        <w:rPr>
          <w:rFonts w:ascii="宋体" w:hAnsi="宋体" w:eastAsia="宋体" w:cs="宋体"/>
          <w:bCs/>
          <w:spacing w:val="0"/>
          <w:sz w:val="21"/>
          <w:szCs w:val="21"/>
        </w:rPr>
      </w:pPr>
      <w:r>
        <w:rPr>
          <w:rFonts w:hint="eastAsia" w:ascii="宋体" w:hAnsi="宋体" w:eastAsia="宋体" w:cs="宋体"/>
          <w:bCs/>
          <w:spacing w:val="0"/>
          <w:sz w:val="21"/>
          <w:szCs w:val="21"/>
        </w:rPr>
        <w:t>三、获取招标文件</w:t>
      </w:r>
      <w:bookmarkEnd w:id="13"/>
      <w:bookmarkEnd w:id="14"/>
      <w:bookmarkEnd w:id="15"/>
      <w:bookmarkEnd w:id="16"/>
    </w:p>
    <w:p>
      <w:pPr>
        <w:spacing w:line="330" w:lineRule="exact"/>
        <w:ind w:firstLine="420" w:firstLineChars="200"/>
        <w:rPr>
          <w:rFonts w:ascii="宋体" w:cs="宋体"/>
          <w:szCs w:val="21"/>
        </w:rPr>
      </w:pPr>
      <w:r>
        <w:rPr>
          <w:rFonts w:hint="eastAsia" w:ascii="宋体" w:hAnsi="宋体" w:cs="宋体"/>
          <w:szCs w:val="21"/>
        </w:rPr>
        <w:t>时间：</w:t>
      </w:r>
      <w:r>
        <w:rPr>
          <w:rFonts w:hint="eastAsia" w:ascii="宋体" w:hAnsi="宋体" w:cs="宋体"/>
          <w:szCs w:val="21"/>
          <w:u w:val="single"/>
          <w:lang w:val="en-US" w:eastAsia="zh-CN"/>
        </w:rPr>
        <w:t xml:space="preserve">    </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val="en-US" w:eastAsia="zh-CN"/>
        </w:rPr>
        <w:t xml:space="preserve">   </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，每天上午</w:t>
      </w:r>
      <w:r>
        <w:rPr>
          <w:rFonts w:ascii="宋体" w:hAnsi="宋体" w:cs="宋体"/>
          <w:szCs w:val="21"/>
          <w:u w:val="single"/>
        </w:rPr>
        <w:t>9:00</w:t>
      </w:r>
      <w:r>
        <w:rPr>
          <w:rFonts w:hint="eastAsia" w:ascii="宋体" w:hAnsi="宋体" w:cs="宋体"/>
          <w:szCs w:val="21"/>
        </w:rPr>
        <w:t>至</w:t>
      </w:r>
      <w:r>
        <w:rPr>
          <w:rFonts w:ascii="宋体" w:hAnsi="宋体" w:cs="宋体"/>
          <w:szCs w:val="21"/>
          <w:u w:val="single"/>
        </w:rPr>
        <w:t>12:00</w:t>
      </w:r>
      <w:r>
        <w:rPr>
          <w:rFonts w:hint="eastAsia" w:ascii="宋体" w:hAnsi="宋体" w:cs="宋体"/>
          <w:szCs w:val="21"/>
        </w:rPr>
        <w:t>，下午</w:t>
      </w:r>
      <w:r>
        <w:rPr>
          <w:rFonts w:ascii="宋体" w:hAnsi="宋体" w:cs="宋体"/>
          <w:szCs w:val="21"/>
          <w:u w:val="single"/>
        </w:rPr>
        <w:t>15:00</w:t>
      </w:r>
      <w:r>
        <w:rPr>
          <w:rFonts w:hint="eastAsia" w:ascii="宋体" w:hAnsi="宋体" w:cs="宋体"/>
          <w:szCs w:val="21"/>
        </w:rPr>
        <w:t>至</w:t>
      </w:r>
      <w:r>
        <w:rPr>
          <w:rFonts w:ascii="宋体" w:hAnsi="宋体" w:cs="宋体"/>
          <w:szCs w:val="21"/>
          <w:u w:val="single"/>
        </w:rPr>
        <w:t>17:30</w:t>
      </w:r>
      <w:r>
        <w:rPr>
          <w:rFonts w:hint="eastAsia" w:ascii="宋体" w:hAnsi="宋体" w:cs="宋体"/>
          <w:szCs w:val="21"/>
        </w:rPr>
        <w:t>（北京时间，法定节假日除外）</w:t>
      </w:r>
    </w:p>
    <w:p>
      <w:pPr>
        <w:spacing w:line="330" w:lineRule="exact"/>
        <w:ind w:firstLine="420" w:firstLineChars="200"/>
        <w:rPr>
          <w:rFonts w:ascii="宋体" w:cs="宋体"/>
          <w:szCs w:val="21"/>
          <w:u w:val="single"/>
        </w:rPr>
      </w:pPr>
      <w:r>
        <w:rPr>
          <w:rFonts w:hint="eastAsia" w:ascii="宋体" w:hAnsi="宋体" w:cs="宋体"/>
          <w:szCs w:val="21"/>
        </w:rPr>
        <w:t>地点：广西政府采购网政采云平台（</w:t>
      </w:r>
      <w:r>
        <w:rPr>
          <w:rFonts w:ascii="宋体" w:hAnsi="宋体" w:cs="宋体"/>
          <w:szCs w:val="21"/>
        </w:rPr>
        <w:t>http://zfcg.gxzf.gov.cn/</w:t>
      </w:r>
      <w:r>
        <w:rPr>
          <w:rFonts w:hint="eastAsia" w:ascii="宋体" w:hAnsi="宋体" w:cs="宋体"/>
          <w:szCs w:val="21"/>
        </w:rPr>
        <w:t>）。</w:t>
      </w:r>
    </w:p>
    <w:p>
      <w:pPr>
        <w:spacing w:line="330" w:lineRule="exact"/>
        <w:ind w:firstLine="420" w:firstLineChars="200"/>
        <w:rPr>
          <w:rFonts w:ascii="宋体" w:cs="宋体"/>
          <w:szCs w:val="21"/>
          <w:u w:val="single"/>
        </w:rPr>
      </w:pPr>
      <w:r>
        <w:rPr>
          <w:rFonts w:hint="eastAsia" w:ascii="宋体" w:hAnsi="宋体" w:cs="宋体"/>
          <w:szCs w:val="21"/>
        </w:rPr>
        <w:t>方式：潜在投标人登陆广西政府采购网政采云平台（</w:t>
      </w:r>
      <w:r>
        <w:rPr>
          <w:rFonts w:ascii="宋体" w:hAnsi="宋体" w:cs="宋体"/>
          <w:szCs w:val="21"/>
        </w:rPr>
        <w:t>http://zfcg.gxzf.gov.cn/</w:t>
      </w:r>
      <w:r>
        <w:rPr>
          <w:rFonts w:hint="eastAsia" w:ascii="宋体" w:hAnsi="宋体" w:cs="宋体"/>
          <w:szCs w:val="21"/>
        </w:rPr>
        <w:t>），从网上下载公开招标文件电子版。</w:t>
      </w:r>
    </w:p>
    <w:p>
      <w:pPr>
        <w:spacing w:line="330" w:lineRule="exact"/>
        <w:ind w:firstLine="420" w:firstLineChars="200"/>
        <w:rPr>
          <w:rFonts w:ascii="宋体" w:cs="宋体"/>
          <w:szCs w:val="21"/>
        </w:rPr>
      </w:pPr>
      <w:r>
        <w:rPr>
          <w:rFonts w:hint="eastAsia" w:ascii="宋体" w:hAnsi="宋体" w:cs="宋体"/>
          <w:szCs w:val="21"/>
        </w:rPr>
        <w:t>售价：</w:t>
      </w:r>
      <w:r>
        <w:rPr>
          <w:rFonts w:ascii="宋体" w:cs="宋体"/>
          <w:szCs w:val="21"/>
        </w:rPr>
        <w:t>0.00</w:t>
      </w:r>
      <w:r>
        <w:rPr>
          <w:rFonts w:hint="eastAsia" w:ascii="宋体" w:hAnsi="宋体" w:cs="宋体"/>
          <w:szCs w:val="21"/>
        </w:rPr>
        <w:t>元。</w:t>
      </w:r>
    </w:p>
    <w:p>
      <w:pPr>
        <w:pStyle w:val="4"/>
        <w:widowControl w:val="0"/>
        <w:spacing w:line="330" w:lineRule="exact"/>
        <w:rPr>
          <w:rFonts w:ascii="宋体" w:hAnsi="宋体" w:eastAsia="宋体" w:cs="宋体"/>
          <w:bCs/>
          <w:spacing w:val="0"/>
          <w:sz w:val="21"/>
          <w:szCs w:val="21"/>
        </w:rPr>
      </w:pPr>
      <w:bookmarkStart w:id="17" w:name="_Toc28359082"/>
      <w:bookmarkStart w:id="18" w:name="_Toc28359005"/>
      <w:bookmarkStart w:id="19" w:name="_Toc35393624"/>
      <w:bookmarkStart w:id="20" w:name="_Toc35393793"/>
      <w:r>
        <w:rPr>
          <w:rFonts w:hint="eastAsia" w:ascii="宋体" w:hAnsi="宋体" w:eastAsia="宋体" w:cs="宋体"/>
          <w:bCs/>
          <w:spacing w:val="0"/>
          <w:sz w:val="21"/>
          <w:szCs w:val="21"/>
        </w:rPr>
        <w:t>四、提交投标文件</w:t>
      </w:r>
      <w:bookmarkEnd w:id="17"/>
      <w:bookmarkEnd w:id="18"/>
      <w:r>
        <w:rPr>
          <w:rFonts w:hint="eastAsia" w:ascii="宋体" w:hAnsi="宋体" w:eastAsia="宋体" w:cs="宋体"/>
          <w:bCs/>
          <w:spacing w:val="0"/>
          <w:sz w:val="21"/>
          <w:szCs w:val="21"/>
        </w:rPr>
        <w:t>截止时间、开标时间和地点</w:t>
      </w:r>
      <w:bookmarkEnd w:id="19"/>
      <w:bookmarkEnd w:id="20"/>
    </w:p>
    <w:p>
      <w:pPr>
        <w:spacing w:line="330" w:lineRule="exact"/>
        <w:ind w:firstLine="420" w:firstLineChars="200"/>
        <w:rPr>
          <w:rFonts w:ascii="宋体" w:cs="宋体"/>
          <w:bCs/>
          <w:iCs/>
          <w:szCs w:val="21"/>
          <w:u w:val="single"/>
        </w:rPr>
      </w:pPr>
      <w:r>
        <w:rPr>
          <w:rFonts w:hint="eastAsia" w:ascii="宋体" w:hAnsi="宋体" w:cs="宋体"/>
          <w:bCs/>
          <w:szCs w:val="21"/>
          <w:u w:val="single"/>
          <w:lang w:val="en-US" w:eastAsia="zh-CN"/>
        </w:rPr>
        <w:t xml:space="preserve">    </w:t>
      </w:r>
      <w:r>
        <w:rPr>
          <w:rFonts w:hint="eastAsia" w:ascii="宋体" w:hAnsi="宋体" w:cs="宋体"/>
          <w:bCs/>
          <w:szCs w:val="21"/>
          <w:u w:val="single"/>
        </w:rPr>
        <w:t>年</w:t>
      </w:r>
      <w:r>
        <w:rPr>
          <w:rFonts w:hint="eastAsia" w:ascii="宋体" w:hAnsi="宋体" w:cs="宋体"/>
          <w:bCs/>
          <w:szCs w:val="21"/>
          <w:u w:val="single"/>
          <w:lang w:val="en-US" w:eastAsia="zh-CN"/>
        </w:rPr>
        <w:t xml:space="preserve">  </w:t>
      </w:r>
      <w:r>
        <w:rPr>
          <w:rFonts w:hint="eastAsia" w:ascii="宋体" w:hAnsi="宋体" w:cs="宋体"/>
          <w:bCs/>
          <w:szCs w:val="21"/>
          <w:u w:val="single"/>
        </w:rPr>
        <w:t>月</w:t>
      </w:r>
      <w:r>
        <w:rPr>
          <w:rFonts w:hint="eastAsia" w:ascii="宋体" w:hAnsi="宋体" w:cs="宋体"/>
          <w:bCs/>
          <w:szCs w:val="21"/>
          <w:u w:val="single"/>
          <w:lang w:val="en-US" w:eastAsia="zh-CN"/>
        </w:rPr>
        <w:t xml:space="preserve">  </w:t>
      </w:r>
      <w:r>
        <w:rPr>
          <w:rFonts w:hint="eastAsia" w:ascii="宋体" w:hAnsi="宋体" w:cs="宋体"/>
          <w:bCs/>
          <w:szCs w:val="21"/>
          <w:u w:val="single"/>
        </w:rPr>
        <w:t>日</w:t>
      </w:r>
      <w:r>
        <w:rPr>
          <w:rFonts w:hint="eastAsia" w:ascii="宋体" w:hAnsi="宋体" w:cs="宋体"/>
          <w:bCs/>
          <w:szCs w:val="21"/>
          <w:u w:val="single"/>
          <w:lang w:val="en-US" w:eastAsia="zh-CN"/>
        </w:rPr>
        <w:t xml:space="preserve">  </w:t>
      </w:r>
      <w:r>
        <w:rPr>
          <w:rFonts w:hint="eastAsia" w:ascii="宋体" w:hAnsi="宋体" w:cs="宋体"/>
          <w:bCs/>
          <w:szCs w:val="21"/>
          <w:u w:val="single"/>
        </w:rPr>
        <w:t>点</w:t>
      </w:r>
      <w:r>
        <w:rPr>
          <w:rFonts w:hint="eastAsia" w:ascii="宋体" w:hAnsi="宋体" w:cs="宋体"/>
          <w:bCs/>
          <w:szCs w:val="21"/>
          <w:u w:val="single"/>
          <w:lang w:val="en-US" w:eastAsia="zh-CN"/>
        </w:rPr>
        <w:t xml:space="preserve">  </w:t>
      </w:r>
      <w:r>
        <w:rPr>
          <w:rFonts w:hint="eastAsia" w:ascii="宋体" w:hAnsi="宋体" w:cs="宋体"/>
          <w:bCs/>
          <w:szCs w:val="21"/>
          <w:u w:val="single"/>
        </w:rPr>
        <w:t>分</w:t>
      </w:r>
      <w:r>
        <w:rPr>
          <w:rFonts w:hint="eastAsia" w:ascii="宋体" w:hAnsi="宋体" w:cs="宋体"/>
          <w:bCs/>
          <w:szCs w:val="21"/>
        </w:rPr>
        <w:t>（北京时间）</w:t>
      </w:r>
      <w:r>
        <w:rPr>
          <w:rFonts w:hint="eastAsia" w:ascii="宋体" w:hAnsi="宋体" w:cs="宋体"/>
          <w:iCs/>
          <w:szCs w:val="21"/>
          <w:u w:val="single"/>
        </w:rPr>
        <w:t>（自招标文件开始发出之日起至投标人提交投标文件截止之日止，不得少于</w:t>
      </w:r>
      <w:r>
        <w:rPr>
          <w:rFonts w:ascii="宋体" w:hAnsi="宋体" w:cs="宋体"/>
          <w:iCs/>
          <w:szCs w:val="21"/>
          <w:u w:val="single"/>
        </w:rPr>
        <w:t>20</w:t>
      </w:r>
      <w:r>
        <w:rPr>
          <w:rFonts w:hint="eastAsia" w:ascii="宋体" w:hAnsi="宋体" w:cs="宋体"/>
          <w:iCs/>
          <w:szCs w:val="21"/>
          <w:u w:val="single"/>
        </w:rPr>
        <w:t>日）</w:t>
      </w:r>
      <w:r>
        <w:rPr>
          <w:rFonts w:hint="eastAsia" w:ascii="宋体" w:hAnsi="宋体" w:cs="宋体"/>
          <w:iCs/>
          <w:szCs w:val="21"/>
        </w:rPr>
        <w:t>。</w:t>
      </w:r>
    </w:p>
    <w:p>
      <w:pPr>
        <w:widowControl/>
        <w:spacing w:line="330" w:lineRule="exact"/>
        <w:ind w:firstLine="420" w:firstLineChars="200"/>
        <w:jc w:val="left"/>
        <w:rPr>
          <w:rFonts w:ascii="宋体" w:cs="宋体"/>
          <w:szCs w:val="21"/>
        </w:rPr>
      </w:pPr>
      <w:r>
        <w:rPr>
          <w:rFonts w:hint="eastAsia" w:ascii="宋体" w:hAnsi="宋体" w:cs="宋体"/>
          <w:szCs w:val="21"/>
        </w:rPr>
        <w:t>地点：</w:t>
      </w:r>
      <w:r>
        <w:rPr>
          <w:rFonts w:hint="eastAsia" w:hAnsi="宋体"/>
          <w:szCs w:val="21"/>
        </w:rPr>
        <w:t>通过政采云平台实行在线投标（开、评标现场地点：北海市北海大道（中段</w:t>
      </w:r>
      <w:r>
        <w:rPr>
          <w:rFonts w:hint="eastAsia" w:ascii="宋体" w:hAnsi="宋体" w:cs="宋体"/>
          <w:szCs w:val="21"/>
        </w:rPr>
        <w:t>）177号市政务服</w:t>
      </w:r>
      <w:r>
        <w:rPr>
          <w:rFonts w:hint="eastAsia" w:hAnsi="宋体"/>
          <w:szCs w:val="21"/>
        </w:rPr>
        <w:t>务中心三楼）。</w:t>
      </w:r>
    </w:p>
    <w:p>
      <w:pPr>
        <w:pStyle w:val="4"/>
        <w:widowControl w:val="0"/>
        <w:spacing w:line="330" w:lineRule="exact"/>
        <w:rPr>
          <w:rFonts w:ascii="宋体" w:hAnsi="宋体" w:eastAsia="宋体" w:cs="宋体"/>
          <w:bCs/>
          <w:spacing w:val="0"/>
          <w:sz w:val="21"/>
          <w:szCs w:val="21"/>
        </w:rPr>
      </w:pPr>
      <w:bookmarkStart w:id="21" w:name="_Toc28359084"/>
      <w:bookmarkStart w:id="22" w:name="_Toc35393794"/>
      <w:bookmarkStart w:id="23" w:name="_Toc28359007"/>
      <w:bookmarkStart w:id="24" w:name="_Toc35393625"/>
      <w:r>
        <w:rPr>
          <w:rFonts w:hint="eastAsia" w:ascii="宋体" w:hAnsi="宋体" w:eastAsia="宋体" w:cs="宋体"/>
          <w:bCs/>
          <w:spacing w:val="0"/>
          <w:sz w:val="21"/>
          <w:szCs w:val="21"/>
        </w:rPr>
        <w:t>五、公告期限</w:t>
      </w:r>
      <w:bookmarkEnd w:id="21"/>
      <w:bookmarkEnd w:id="22"/>
      <w:bookmarkEnd w:id="23"/>
      <w:bookmarkEnd w:id="24"/>
    </w:p>
    <w:p>
      <w:pPr>
        <w:spacing w:line="330" w:lineRule="exact"/>
        <w:ind w:firstLine="420" w:firstLineChars="200"/>
        <w:rPr>
          <w:rFonts w:ascii="宋体" w:cs="宋体"/>
          <w:kern w:val="0"/>
          <w:szCs w:val="21"/>
        </w:rPr>
      </w:pPr>
      <w:r>
        <w:rPr>
          <w:rFonts w:hint="eastAsia" w:ascii="宋体" w:hAnsi="宋体" w:cs="宋体"/>
          <w:kern w:val="0"/>
          <w:szCs w:val="21"/>
        </w:rPr>
        <w:t>自本公告发布之日起</w:t>
      </w:r>
      <w:r>
        <w:rPr>
          <w:rFonts w:ascii="宋体" w:hAnsi="宋体" w:cs="宋体"/>
          <w:kern w:val="0"/>
          <w:szCs w:val="21"/>
        </w:rPr>
        <w:t>5</w:t>
      </w:r>
      <w:r>
        <w:rPr>
          <w:rFonts w:hint="eastAsia" w:ascii="宋体" w:hAnsi="宋体" w:cs="宋体"/>
          <w:kern w:val="0"/>
          <w:szCs w:val="21"/>
        </w:rPr>
        <w:t>个工作日。</w:t>
      </w:r>
    </w:p>
    <w:p>
      <w:pPr>
        <w:pStyle w:val="4"/>
        <w:widowControl w:val="0"/>
        <w:spacing w:line="330" w:lineRule="exact"/>
        <w:rPr>
          <w:rFonts w:ascii="宋体" w:hAnsi="宋体" w:eastAsia="宋体" w:cs="宋体"/>
          <w:bCs/>
          <w:spacing w:val="0"/>
          <w:sz w:val="21"/>
          <w:szCs w:val="21"/>
        </w:rPr>
      </w:pPr>
      <w:bookmarkStart w:id="25" w:name="_Toc28359008"/>
      <w:bookmarkStart w:id="26" w:name="_Toc28359085"/>
      <w:bookmarkStart w:id="27" w:name="_Toc35393796"/>
      <w:bookmarkStart w:id="28" w:name="_Toc35393627"/>
      <w:r>
        <w:rPr>
          <w:rFonts w:hint="eastAsia" w:ascii="宋体" w:hAnsi="宋体" w:eastAsia="宋体" w:cs="宋体"/>
          <w:bCs/>
          <w:spacing w:val="0"/>
          <w:sz w:val="21"/>
          <w:szCs w:val="21"/>
        </w:rPr>
        <w:t>六、其他补充事宜</w:t>
      </w:r>
    </w:p>
    <w:p>
      <w:pPr>
        <w:spacing w:line="330" w:lineRule="exact"/>
        <w:ind w:firstLine="420" w:firstLineChars="200"/>
        <w:rPr>
          <w:rFonts w:ascii="宋体" w:hAnsi="宋体" w:cs="宋体"/>
        </w:rPr>
      </w:pPr>
      <w:r>
        <w:rPr>
          <w:rFonts w:hint="eastAsia" w:ascii="宋体" w:hAnsi="宋体" w:cs="宋体"/>
        </w:rPr>
        <w:t>1.网上公告媒体查询：中国政府采购网、广西壮族自治区政府采购网；</w:t>
      </w:r>
    </w:p>
    <w:p>
      <w:pPr>
        <w:spacing w:line="330" w:lineRule="exact"/>
        <w:ind w:firstLine="420" w:firstLineChars="200"/>
        <w:rPr>
          <w:rFonts w:ascii="宋体" w:hAnsi="宋体" w:cs="宋体"/>
        </w:rPr>
      </w:pPr>
      <w:r>
        <w:rPr>
          <w:rFonts w:hint="eastAsia" w:ascii="宋体" w:hAnsi="宋体" w:cs="宋体"/>
        </w:rPr>
        <w:t>2.在线投标响应（电子投标）说明：</w:t>
      </w:r>
    </w:p>
    <w:p>
      <w:pPr>
        <w:spacing w:line="330" w:lineRule="exact"/>
        <w:ind w:firstLine="420" w:firstLineChars="200"/>
        <w:rPr>
          <w:rFonts w:ascii="宋体" w:hAnsi="宋体" w:cs="宋体"/>
        </w:rPr>
      </w:pPr>
      <w:r>
        <w:rPr>
          <w:rFonts w:hint="eastAsia" w:ascii="宋体" w:hAnsi="宋体" w:cs="宋体"/>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spacing w:line="330" w:lineRule="exact"/>
        <w:ind w:firstLine="420" w:firstLineChars="200"/>
        <w:rPr>
          <w:rFonts w:ascii="宋体" w:hAnsi="宋体" w:cs="宋体"/>
        </w:rPr>
      </w:pPr>
      <w:r>
        <w:rPr>
          <w:rFonts w:hint="eastAsia" w:ascii="宋体" w:hAnsi="宋体" w:cs="宋体"/>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通过政采云平台参与在线投标时如遇平台技术问题详询400-881-7190。</w:t>
      </w:r>
    </w:p>
    <w:p>
      <w:pPr>
        <w:spacing w:line="330" w:lineRule="exact"/>
        <w:ind w:firstLine="420" w:firstLineChars="200"/>
        <w:rPr>
          <w:rFonts w:ascii="宋体" w:hAnsi="宋体" w:cs="宋体"/>
        </w:rPr>
      </w:pPr>
      <w:r>
        <w:rPr>
          <w:rFonts w:hint="eastAsia" w:ascii="宋体" w:hAnsi="宋体" w:cs="宋体"/>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北海市政府采购中心网站-相关下载- CA证书办理操作指南”进行查阅；</w:t>
      </w:r>
    </w:p>
    <w:p>
      <w:pPr>
        <w:spacing w:line="330" w:lineRule="exact"/>
        <w:ind w:firstLine="420" w:firstLineChars="200"/>
        <w:rPr>
          <w:rFonts w:ascii="宋体" w:hAnsi="宋体" w:cs="宋体"/>
          <w:color w:val="auto"/>
        </w:rPr>
      </w:pPr>
      <w:r>
        <w:rPr>
          <w:rFonts w:hint="eastAsia" w:ascii="宋体" w:hAnsi="宋体" w:cs="宋体"/>
        </w:rPr>
        <w:t>（3）投标人应当在投标截止时间前，将生成的“电子加密投标文件”上传递交至政采云平台。投标截止时间前可以补充、修改或者撤回电子投标文件。补充或者修改电子投标文件的，应当先行撤回原文件，补充、修改后重新传输递交，投标截止时间前未完成传输的，视为撤回投标文件</w:t>
      </w:r>
      <w:r>
        <w:rPr>
          <w:rFonts w:hint="eastAsia" w:ascii="宋体" w:hAnsi="宋体" w:cs="宋体"/>
          <w:color w:val="auto"/>
        </w:rPr>
        <w:t>。</w:t>
      </w:r>
    </w:p>
    <w:p>
      <w:pPr>
        <w:spacing w:line="330" w:lineRule="exact"/>
        <w:ind w:firstLine="420" w:firstLineChars="200"/>
        <w:rPr>
          <w:rFonts w:ascii="宋体" w:hAnsi="宋体" w:cs="宋体"/>
          <w:color w:val="auto"/>
        </w:rPr>
      </w:pPr>
      <w:r>
        <w:rPr>
          <w:rFonts w:hint="eastAsia" w:ascii="宋体" w:hAnsi="宋体" w:cs="宋体"/>
          <w:color w:val="auto"/>
        </w:rPr>
        <w:t>（4）投标人可以提供以介质（U盘或光盘等）存储的电子备份投标文件。电子备份投标文件应当在投标截止时间前按要求密封</w:t>
      </w:r>
      <w:r>
        <w:rPr>
          <w:rFonts w:hint="eastAsia" w:ascii="宋体" w:hAnsi="宋体" w:cs="宋体"/>
          <w:color w:val="auto"/>
          <w:lang w:eastAsia="zh-CN"/>
        </w:rPr>
        <w:t>，以现场递交或邮寄的方式</w:t>
      </w:r>
      <w:r>
        <w:rPr>
          <w:rFonts w:hint="eastAsia" w:ascii="宋体" w:hAnsi="宋体" w:cs="宋体"/>
          <w:color w:val="auto"/>
        </w:rPr>
        <w:t>送达</w:t>
      </w:r>
      <w:r>
        <w:rPr>
          <w:rFonts w:hint="eastAsia" w:ascii="宋体" w:hAnsi="宋体" w:cs="宋体"/>
          <w:color w:val="auto"/>
          <w:lang w:eastAsia="zh-CN"/>
        </w:rPr>
        <w:t>到</w:t>
      </w:r>
      <w:r>
        <w:rPr>
          <w:rFonts w:hint="eastAsia" w:ascii="宋体" w:hAnsi="宋体" w:cs="宋体"/>
          <w:color w:val="auto"/>
        </w:rPr>
        <w:t>招标代理机构工作人员手上（广西北海市北海大道158号北园公寓星辰座7楼A室或北海市北海大道（中段）177号市政务服务中心三楼），逾期送达或未按要求密封将被拒收。电子备份投标文件应当密封包装并在包装上标注投标项目名称、投标</w:t>
      </w:r>
      <w:r>
        <w:rPr>
          <w:rFonts w:hint="eastAsia" w:ascii="宋体" w:hAnsi="宋体" w:cs="宋体"/>
          <w:color w:val="auto"/>
          <w:lang w:eastAsia="zh-CN"/>
        </w:rPr>
        <w:t>人</w:t>
      </w:r>
      <w:r>
        <w:rPr>
          <w:rFonts w:hint="eastAsia" w:ascii="宋体" w:hAnsi="宋体" w:cs="宋体"/>
          <w:color w:val="auto"/>
        </w:rPr>
        <w:t>名称并加盖公章。投标人自行承担电子备份投标文件在邮寄过程中出现的所有安全问题。</w:t>
      </w:r>
    </w:p>
    <w:p>
      <w:pPr>
        <w:spacing w:line="330" w:lineRule="exact"/>
        <w:ind w:firstLine="420" w:firstLineChars="200"/>
        <w:rPr>
          <w:rFonts w:ascii="宋体" w:hAnsi="宋体" w:cs="宋体"/>
        </w:rPr>
      </w:pPr>
      <w:r>
        <w:rPr>
          <w:rFonts w:hint="eastAsia" w:ascii="宋体" w:hAnsi="宋体" w:cs="宋体"/>
        </w:rPr>
        <w:t>邮寄地址：广西北海市北海大道158号北园公寓星辰座7楼A室，联系人：文媚，电话：0779-3969698。</w:t>
      </w:r>
    </w:p>
    <w:p>
      <w:pPr>
        <w:spacing w:line="330" w:lineRule="exact"/>
        <w:ind w:firstLine="420" w:firstLineChars="200"/>
        <w:rPr>
          <w:rFonts w:ascii="宋体" w:hAnsi="宋体" w:cs="宋体"/>
        </w:rPr>
      </w:pPr>
      <w:r>
        <w:rPr>
          <w:rFonts w:hint="eastAsia" w:ascii="宋体" w:hAnsi="宋体" w:cs="宋体"/>
        </w:rPr>
        <w:t>拒收到付邮件，通过邮寄方式送达的，请合理安排邮寄时间，因邮寄原因未能在规定时间内送达的后果由投标人自行承担。</w:t>
      </w:r>
    </w:p>
    <w:p>
      <w:pPr>
        <w:spacing w:line="330" w:lineRule="exact"/>
        <w:ind w:firstLine="420" w:firstLineChars="200"/>
        <w:rPr>
          <w:rFonts w:ascii="宋体" w:hAnsi="宋体" w:cs="宋体"/>
        </w:rPr>
      </w:pPr>
      <w:r>
        <w:rPr>
          <w:rFonts w:hint="eastAsia" w:ascii="宋体" w:hAnsi="宋体" w:cs="宋体"/>
        </w:rPr>
        <w:t>（5）通过“政府采购云平台”上传递交的“电子加密投标文件”无法按时解密，投标人递交了电子备份投标文件的，以电子备份投标文件为依据，否则视为投标文件撤回。通过政采云平台上传递交的电子加密投标文件已按时解密的，电子备份投标文件自动失效。投标人仅递交电子备份投标文件的，投标无效。</w:t>
      </w:r>
    </w:p>
    <w:p>
      <w:pPr>
        <w:spacing w:line="330" w:lineRule="exact"/>
        <w:rPr>
          <w:rFonts w:ascii="宋体" w:hAnsi="宋体" w:cs="宋体"/>
          <w:b/>
          <w:szCs w:val="21"/>
        </w:rPr>
      </w:pPr>
      <w:r>
        <w:rPr>
          <w:rFonts w:hint="eastAsia" w:ascii="宋体" w:hAnsi="宋体" w:cs="宋体"/>
          <w:b/>
          <w:szCs w:val="21"/>
        </w:rPr>
        <w:t>七、对本次招标提出询问，请按以下方式联系</w:t>
      </w:r>
      <w:bookmarkEnd w:id="25"/>
      <w:bookmarkEnd w:id="26"/>
      <w:bookmarkEnd w:id="27"/>
      <w:bookmarkEnd w:id="28"/>
    </w:p>
    <w:p>
      <w:pPr>
        <w:widowControl/>
        <w:spacing w:line="330" w:lineRule="exact"/>
        <w:jc w:val="left"/>
        <w:rPr>
          <w:rFonts w:ascii="宋体" w:cs="宋体"/>
          <w:szCs w:val="21"/>
        </w:rPr>
      </w:pPr>
      <w:r>
        <w:rPr>
          <w:rFonts w:hint="eastAsia" w:ascii="宋体" w:hAnsi="宋体" w:cs="宋体"/>
          <w:szCs w:val="21"/>
        </w:rPr>
        <w:t>　　</w:t>
      </w:r>
      <w:r>
        <w:rPr>
          <w:rFonts w:ascii="宋体" w:hAnsi="宋体" w:cs="宋体"/>
          <w:szCs w:val="21"/>
        </w:rPr>
        <w:t>1.</w:t>
      </w:r>
      <w:r>
        <w:rPr>
          <w:rFonts w:hint="eastAsia" w:ascii="宋体" w:hAnsi="宋体" w:cs="宋体"/>
          <w:szCs w:val="21"/>
        </w:rPr>
        <w:t>招标单位信息</w:t>
      </w:r>
    </w:p>
    <w:p>
      <w:pPr>
        <w:spacing w:line="330" w:lineRule="exact"/>
        <w:ind w:firstLine="630" w:firstLineChars="300"/>
        <w:jc w:val="left"/>
        <w:rPr>
          <w:rFonts w:ascii="宋体" w:cs="宋体"/>
          <w:szCs w:val="21"/>
        </w:rPr>
      </w:pPr>
      <w:r>
        <w:rPr>
          <w:rFonts w:hint="eastAsia" w:ascii="宋体" w:hAnsi="宋体" w:cs="宋体"/>
          <w:szCs w:val="21"/>
        </w:rPr>
        <w:t>名    称：</w:t>
      </w:r>
      <w:r>
        <w:rPr>
          <w:rFonts w:hint="eastAsia" w:ascii="宋体" w:hAnsi="宋体" w:cs="宋体"/>
          <w:szCs w:val="21"/>
          <w:u w:val="single"/>
        </w:rPr>
        <w:t>北海职业学院</w:t>
      </w:r>
    </w:p>
    <w:p>
      <w:pPr>
        <w:spacing w:line="330" w:lineRule="exact"/>
        <w:ind w:firstLine="630" w:firstLineChars="300"/>
        <w:jc w:val="left"/>
        <w:rPr>
          <w:rFonts w:ascii="宋体" w:cs="宋体"/>
          <w:szCs w:val="21"/>
          <w:u w:val="single"/>
        </w:rPr>
      </w:pPr>
      <w:r>
        <w:rPr>
          <w:rFonts w:hint="eastAsia" w:ascii="宋体" w:hAnsi="宋体" w:cs="宋体"/>
          <w:szCs w:val="21"/>
        </w:rPr>
        <w:t>地    址：</w:t>
      </w:r>
      <w:r>
        <w:rPr>
          <w:rFonts w:hint="eastAsia" w:ascii="宋体" w:hAnsi="宋体" w:cs="宋体"/>
          <w:szCs w:val="21"/>
          <w:u w:val="single"/>
        </w:rPr>
        <w:t>广西北海市西藏南路48号</w:t>
      </w:r>
    </w:p>
    <w:p>
      <w:pPr>
        <w:spacing w:line="330" w:lineRule="exact"/>
        <w:ind w:firstLine="630" w:firstLineChars="300"/>
        <w:jc w:val="left"/>
        <w:rPr>
          <w:rFonts w:ascii="宋体" w:cs="宋体"/>
          <w:szCs w:val="21"/>
          <w:u w:val="single"/>
        </w:rPr>
      </w:pPr>
      <w:r>
        <w:rPr>
          <w:rFonts w:hint="eastAsia" w:ascii="宋体" w:hAnsi="宋体" w:cs="宋体"/>
          <w:szCs w:val="21"/>
        </w:rPr>
        <w:t>联系方式：</w:t>
      </w:r>
      <w:bookmarkStart w:id="29" w:name="_Toc28359009"/>
      <w:bookmarkStart w:id="30" w:name="_Toc28359086"/>
      <w:r>
        <w:rPr>
          <w:rFonts w:hint="eastAsia" w:ascii="宋体" w:hAnsi="宋体" w:cs="宋体"/>
          <w:szCs w:val="21"/>
          <w:u w:val="single"/>
        </w:rPr>
        <w:t>李世超   联系电话：0779-3920670</w:t>
      </w:r>
    </w:p>
    <w:p>
      <w:pPr>
        <w:spacing w:line="33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招标代理机构信息</w:t>
      </w:r>
      <w:bookmarkEnd w:id="29"/>
      <w:bookmarkEnd w:id="30"/>
    </w:p>
    <w:p>
      <w:pPr>
        <w:spacing w:line="330" w:lineRule="exact"/>
        <w:ind w:firstLine="630" w:firstLineChars="300"/>
        <w:rPr>
          <w:rFonts w:ascii="宋体" w:cs="宋体"/>
          <w:szCs w:val="21"/>
        </w:rPr>
      </w:pPr>
      <w:r>
        <w:rPr>
          <w:rFonts w:hint="eastAsia" w:ascii="宋体" w:hAnsi="宋体" w:cs="宋体"/>
          <w:szCs w:val="21"/>
        </w:rPr>
        <w:t xml:space="preserve">名   </w:t>
      </w:r>
      <w:r>
        <w:rPr>
          <w:rFonts w:ascii="宋体" w:hAnsi="宋体" w:cs="宋体"/>
          <w:szCs w:val="21"/>
        </w:rPr>
        <w:t xml:space="preserve"> </w:t>
      </w:r>
      <w:r>
        <w:rPr>
          <w:rFonts w:hint="eastAsia" w:ascii="宋体" w:hAnsi="宋体" w:cs="宋体"/>
          <w:szCs w:val="21"/>
        </w:rPr>
        <w:t>称：</w:t>
      </w:r>
      <w:r>
        <w:rPr>
          <w:rFonts w:hint="eastAsia" w:ascii="宋体" w:hAnsi="宋体" w:cs="宋体"/>
          <w:szCs w:val="21"/>
          <w:u w:val="single"/>
        </w:rPr>
        <w:t>广西新宇建设项目管理有限公司</w:t>
      </w:r>
    </w:p>
    <w:p>
      <w:pPr>
        <w:spacing w:line="330" w:lineRule="exact"/>
        <w:ind w:firstLine="630" w:firstLineChars="300"/>
        <w:rPr>
          <w:rFonts w:ascii="宋体" w:cs="宋体"/>
          <w:szCs w:val="21"/>
          <w:u w:val="single"/>
        </w:rPr>
      </w:pPr>
      <w:r>
        <w:rPr>
          <w:rFonts w:hint="eastAsia" w:ascii="宋体" w:hAnsi="宋体" w:cs="宋体"/>
          <w:szCs w:val="21"/>
        </w:rPr>
        <w:t>地　  址：</w:t>
      </w:r>
      <w:r>
        <w:rPr>
          <w:rFonts w:hint="eastAsia" w:ascii="宋体" w:hAnsi="宋体" w:cs="宋体"/>
          <w:szCs w:val="21"/>
          <w:u w:val="single"/>
        </w:rPr>
        <w:t>广西北海市北海大道</w:t>
      </w:r>
      <w:r>
        <w:rPr>
          <w:rFonts w:ascii="宋体" w:hAnsi="宋体" w:cs="宋体"/>
          <w:szCs w:val="21"/>
          <w:u w:val="single"/>
        </w:rPr>
        <w:t>158</w:t>
      </w:r>
      <w:r>
        <w:rPr>
          <w:rFonts w:hint="eastAsia" w:ascii="宋体" w:hAnsi="宋体" w:cs="宋体"/>
          <w:szCs w:val="21"/>
          <w:u w:val="single"/>
        </w:rPr>
        <w:t>号北园公寓星辰座</w:t>
      </w:r>
      <w:r>
        <w:rPr>
          <w:rFonts w:ascii="宋体" w:hAnsi="宋体" w:cs="宋体"/>
          <w:szCs w:val="21"/>
          <w:u w:val="single"/>
        </w:rPr>
        <w:t>7</w:t>
      </w:r>
      <w:r>
        <w:rPr>
          <w:rFonts w:hint="eastAsia" w:ascii="宋体" w:hAnsi="宋体" w:cs="宋体"/>
          <w:szCs w:val="21"/>
          <w:u w:val="single"/>
        </w:rPr>
        <w:t>楼</w:t>
      </w:r>
      <w:r>
        <w:rPr>
          <w:rFonts w:ascii="宋体" w:hAnsi="宋体" w:cs="宋体"/>
          <w:szCs w:val="21"/>
          <w:u w:val="single"/>
        </w:rPr>
        <w:t>A</w:t>
      </w:r>
      <w:r>
        <w:rPr>
          <w:rFonts w:hint="eastAsia" w:ascii="宋体" w:hAnsi="宋体" w:cs="宋体"/>
          <w:szCs w:val="21"/>
          <w:u w:val="single"/>
        </w:rPr>
        <w:t>室</w:t>
      </w:r>
    </w:p>
    <w:p>
      <w:pPr>
        <w:spacing w:line="330" w:lineRule="exact"/>
        <w:ind w:firstLine="630" w:firstLineChars="300"/>
        <w:rPr>
          <w:rFonts w:ascii="宋体" w:cs="宋体"/>
          <w:szCs w:val="21"/>
        </w:rPr>
      </w:pPr>
      <w:r>
        <w:rPr>
          <w:rFonts w:hint="eastAsia" w:ascii="宋体" w:hAnsi="宋体" w:cs="宋体"/>
          <w:szCs w:val="21"/>
        </w:rPr>
        <w:t>联系方式：</w:t>
      </w:r>
      <w:bookmarkStart w:id="31" w:name="_Toc28359087"/>
      <w:bookmarkStart w:id="32" w:name="_Toc28359010"/>
      <w:r>
        <w:rPr>
          <w:rFonts w:hint="eastAsia" w:ascii="宋体" w:hAnsi="宋体" w:cs="宋体"/>
          <w:szCs w:val="21"/>
          <w:u w:val="single"/>
        </w:rPr>
        <w:t>文媚</w:t>
      </w:r>
      <w:r>
        <w:rPr>
          <w:rFonts w:ascii="宋体" w:hAnsi="宋体" w:cs="宋体"/>
          <w:szCs w:val="21"/>
          <w:u w:val="single"/>
        </w:rPr>
        <w:t xml:space="preserve"> </w:t>
      </w:r>
      <w:r>
        <w:rPr>
          <w:rFonts w:hint="eastAsia" w:ascii="宋体" w:hAnsi="宋体" w:cs="宋体"/>
          <w:szCs w:val="21"/>
          <w:u w:val="single"/>
        </w:rPr>
        <w:t xml:space="preserve">    联系电话：</w:t>
      </w:r>
      <w:r>
        <w:rPr>
          <w:rFonts w:ascii="宋体" w:hAnsi="宋体" w:cs="宋体"/>
          <w:szCs w:val="21"/>
          <w:u w:val="single"/>
        </w:rPr>
        <w:t>0779-3969698</w:t>
      </w:r>
    </w:p>
    <w:p>
      <w:pPr>
        <w:spacing w:line="330" w:lineRule="exact"/>
        <w:ind w:firstLine="420" w:firstLineChars="200"/>
        <w:rPr>
          <w:rFonts w:ascii="宋体" w:cs="宋体"/>
          <w:szCs w:val="21"/>
          <w:u w:val="single"/>
        </w:rPr>
      </w:pPr>
      <w:r>
        <w:rPr>
          <w:rFonts w:ascii="宋体" w:hAnsi="宋体" w:cs="宋体"/>
          <w:szCs w:val="21"/>
        </w:rPr>
        <w:t>3.</w:t>
      </w:r>
      <w:r>
        <w:rPr>
          <w:rFonts w:hint="eastAsia" w:ascii="宋体" w:hAnsi="宋体" w:cs="宋体"/>
          <w:szCs w:val="21"/>
        </w:rPr>
        <w:t>项目联系方式</w:t>
      </w:r>
      <w:bookmarkEnd w:id="31"/>
      <w:bookmarkEnd w:id="32"/>
    </w:p>
    <w:p>
      <w:pPr>
        <w:pStyle w:val="31"/>
        <w:spacing w:line="330" w:lineRule="exact"/>
        <w:ind w:firstLine="630" w:firstLineChars="300"/>
        <w:rPr>
          <w:rFonts w:hAnsi="宋体" w:cs="宋体"/>
          <w:szCs w:val="21"/>
        </w:rPr>
      </w:pPr>
      <w:r>
        <w:rPr>
          <w:rFonts w:hint="eastAsia" w:hAnsi="宋体" w:cs="宋体"/>
          <w:szCs w:val="21"/>
        </w:rPr>
        <w:t>项目联系人：</w:t>
      </w:r>
      <w:r>
        <w:rPr>
          <w:rFonts w:hint="eastAsia" w:hAnsi="宋体" w:cs="宋体"/>
          <w:szCs w:val="21"/>
          <w:u w:val="single"/>
        </w:rPr>
        <w:t>文媚</w:t>
      </w:r>
    </w:p>
    <w:p>
      <w:pPr>
        <w:spacing w:line="330" w:lineRule="exact"/>
        <w:ind w:firstLine="630" w:firstLineChars="300"/>
        <w:rPr>
          <w:rFonts w:ascii="宋体"/>
          <w:szCs w:val="21"/>
        </w:rPr>
      </w:pPr>
      <w:r>
        <w:rPr>
          <w:rFonts w:hint="eastAsia" w:ascii="宋体" w:hAnsi="宋体" w:cs="宋体"/>
          <w:szCs w:val="21"/>
        </w:rPr>
        <w:t>电　    话：</w:t>
      </w:r>
      <w:r>
        <w:rPr>
          <w:rFonts w:ascii="宋体" w:hAnsi="宋体" w:cs="宋体"/>
          <w:szCs w:val="21"/>
          <w:u w:val="single"/>
        </w:rPr>
        <w:t>0779-3969698</w:t>
      </w:r>
    </w:p>
    <w:p>
      <w:pPr>
        <w:adjustRightInd w:val="0"/>
        <w:snapToGrid w:val="0"/>
        <w:spacing w:line="330" w:lineRule="exact"/>
        <w:ind w:firstLine="6090" w:firstLineChars="2900"/>
        <w:rPr>
          <w:rFonts w:ascii="宋体" w:hAnsi="宋体"/>
          <w:szCs w:val="21"/>
        </w:rPr>
      </w:pPr>
      <w:r>
        <w:rPr>
          <w:rFonts w:hint="eastAsia" w:ascii="宋体" w:hAnsi="宋体"/>
          <w:szCs w:val="21"/>
        </w:rPr>
        <w:t>广西新宇建设项目管理有限公司</w:t>
      </w:r>
      <w:r>
        <w:rPr>
          <w:rFonts w:ascii="宋体" w:hAnsi="宋体"/>
          <w:szCs w:val="21"/>
        </w:rPr>
        <w:t xml:space="preserve">   </w:t>
      </w:r>
      <w:r>
        <w:rPr>
          <w:rFonts w:hint="eastAsia" w:ascii="宋体" w:hAnsi="宋体"/>
          <w:szCs w:val="21"/>
        </w:rPr>
        <w:t xml:space="preserve"> </w:t>
      </w:r>
    </w:p>
    <w:p>
      <w:pPr>
        <w:adjustRightInd w:val="0"/>
        <w:snapToGrid w:val="0"/>
        <w:spacing w:line="330" w:lineRule="exact"/>
        <w:ind w:firstLine="6930" w:firstLineChars="3300"/>
      </w:pP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pStyle w:val="31"/>
        <w:keepNext/>
        <w:keepLines/>
        <w:snapToGrid w:val="0"/>
        <w:spacing w:line="600" w:lineRule="exact"/>
        <w:jc w:val="center"/>
        <w:outlineLvl w:val="0"/>
        <w:rPr>
          <w:rFonts w:hAnsi="宋体" w:cs="宋体"/>
          <w:b/>
          <w:bCs/>
          <w:sz w:val="36"/>
          <w:szCs w:val="36"/>
        </w:rPr>
      </w:pPr>
      <w:r>
        <w:rPr>
          <w:rFonts w:hint="eastAsia" w:hAnsi="宋体" w:cs="宋体"/>
          <w:b/>
          <w:bCs/>
          <w:sz w:val="36"/>
          <w:szCs w:val="36"/>
        </w:rPr>
        <w:t>第二章  采购需求</w:t>
      </w:r>
    </w:p>
    <w:bookmarkEnd w:id="2"/>
    <w:bookmarkEnd w:id="3"/>
    <w:p>
      <w:pPr>
        <w:keepNext/>
        <w:keepLines/>
        <w:adjustRightInd w:val="0"/>
        <w:spacing w:line="360" w:lineRule="exact"/>
        <w:rPr>
          <w:rFonts w:ascii="宋体" w:cs="宋体"/>
          <w:szCs w:val="21"/>
        </w:rPr>
      </w:pPr>
      <w:r>
        <w:rPr>
          <w:rFonts w:hint="eastAsia" w:ascii="宋体" w:hAnsi="宋体" w:cs="宋体"/>
          <w:szCs w:val="21"/>
        </w:rPr>
        <w:t>说明：</w:t>
      </w:r>
    </w:p>
    <w:p>
      <w:pPr>
        <w:keepNext/>
        <w:keepLines/>
        <w:adjustRightInd w:val="0"/>
        <w:snapToGrid w:val="0"/>
        <w:spacing w:line="360" w:lineRule="exact"/>
        <w:ind w:left="315" w:hanging="315" w:hangingChars="150"/>
        <w:rPr>
          <w:rFonts w:ascii="宋体" w:cs="宋体"/>
          <w:bCs/>
          <w:szCs w:val="21"/>
        </w:rPr>
      </w:pPr>
      <w:r>
        <w:rPr>
          <w:rFonts w:ascii="宋体" w:hAnsi="宋体" w:cs="宋体"/>
          <w:bCs/>
          <w:szCs w:val="21"/>
        </w:rPr>
        <w:t xml:space="preserve">1. </w:t>
      </w:r>
      <w:r>
        <w:rPr>
          <w:rFonts w:hint="eastAsia" w:ascii="宋体" w:hAnsi="宋体" w:cs="宋体"/>
          <w:bCs/>
          <w:szCs w:val="21"/>
        </w:rPr>
        <w:t>下表中的品牌型号、技术参数仅起参考作用，投标人可选用其他品牌型号替代，但这些替代的产品要实质上相当于或优于参考品牌型号及其技术参数性能（配置）要求。</w:t>
      </w:r>
    </w:p>
    <w:p>
      <w:pPr>
        <w:keepNext/>
        <w:keepLines/>
        <w:adjustRightInd w:val="0"/>
        <w:snapToGrid w:val="0"/>
        <w:spacing w:line="360" w:lineRule="exact"/>
        <w:ind w:left="315" w:hanging="315" w:hangingChars="150"/>
        <w:rPr>
          <w:rFonts w:ascii="宋体" w:cs="宋体"/>
          <w:bCs/>
          <w:color w:val="auto"/>
          <w:szCs w:val="21"/>
        </w:rPr>
      </w:pPr>
      <w:r>
        <w:rPr>
          <w:rFonts w:ascii="宋体" w:hAnsi="宋体" w:cs="宋体"/>
          <w:bCs/>
          <w:szCs w:val="21"/>
        </w:rPr>
        <w:t xml:space="preserve">2. </w:t>
      </w:r>
      <w:r>
        <w:rPr>
          <w:rFonts w:hint="eastAsia" w:ascii="宋体" w:hAnsi="宋体" w:cs="宋体"/>
          <w:bCs/>
          <w:szCs w:val="21"/>
        </w:rPr>
        <w:t>本一览表中参考品牌型号及技术参数性能（配置）不明确或有误的，或投标人选用其他品牌型号替代的，请以详细、正确的品牌型号、技术参数配备要求填写投标报价表和技术规格偏离表。投标人须根据技术参数及配备要求要求提供对应的技术响应偏离表。</w:t>
      </w:r>
    </w:p>
    <w:p>
      <w:pPr>
        <w:keepNext/>
        <w:keepLines/>
        <w:adjustRightInd w:val="0"/>
        <w:snapToGrid w:val="0"/>
        <w:spacing w:line="360" w:lineRule="exact"/>
        <w:ind w:left="315" w:hanging="315" w:hangingChars="150"/>
        <w:rPr>
          <w:rFonts w:ascii="宋体" w:hAnsi="宋体" w:cs="宋体"/>
          <w:b/>
          <w:bCs/>
          <w:color w:val="auto"/>
          <w:szCs w:val="21"/>
        </w:rPr>
      </w:pPr>
      <w:r>
        <w:rPr>
          <w:rFonts w:ascii="宋体" w:hAnsi="宋体" w:cs="宋体"/>
          <w:bCs/>
          <w:color w:val="auto"/>
          <w:szCs w:val="21"/>
        </w:rPr>
        <w:t>3.</w:t>
      </w:r>
      <w:r>
        <w:rPr>
          <w:rFonts w:hint="eastAsia" w:ascii="宋体" w:hAnsi="宋体" w:cs="宋体"/>
          <w:bCs/>
          <w:color w:val="auto"/>
          <w:szCs w:val="21"/>
        </w:rPr>
        <w:t xml:space="preserve"> 本项目的政府采购预算总金额为：</w:t>
      </w:r>
      <w:r>
        <w:rPr>
          <w:rFonts w:hint="eastAsia" w:ascii="宋体" w:hAnsi="宋体" w:cs="宋体"/>
          <w:color w:val="auto"/>
          <w:szCs w:val="21"/>
        </w:rPr>
        <w:t>人民币贰佰壹拾玖万肆仟壹佰玖拾玖元整（¥2194199.00） ；</w:t>
      </w:r>
      <w:r>
        <w:rPr>
          <w:rFonts w:hint="eastAsia" w:ascii="宋体" w:hAnsi="宋体" w:cs="宋体"/>
          <w:b/>
          <w:color w:val="auto"/>
          <w:szCs w:val="21"/>
        </w:rPr>
        <w:t>超过采购预算总金额的报价将视为无效投标。</w:t>
      </w:r>
    </w:p>
    <w:p>
      <w:pPr>
        <w:keepNext/>
        <w:adjustRightInd w:val="0"/>
        <w:snapToGrid w:val="0"/>
        <w:spacing w:line="360" w:lineRule="exact"/>
        <w:ind w:left="315" w:hanging="315" w:hangingChars="150"/>
        <w:rPr>
          <w:color w:val="auto"/>
        </w:rPr>
      </w:pPr>
      <w:r>
        <w:rPr>
          <w:rFonts w:hint="eastAsia" w:ascii="宋体" w:hAnsi="宋体" w:cs="宋体"/>
          <w:bCs/>
          <w:color w:val="auto"/>
          <w:szCs w:val="21"/>
        </w:rPr>
        <w:t xml:space="preserve">4. </w:t>
      </w:r>
      <w:r>
        <w:rPr>
          <w:rFonts w:hint="eastAsia" w:ascii="宋体" w:hAnsi="宋体" w:cs="宋体"/>
          <w:color w:val="auto"/>
        </w:rPr>
        <w:t>本项目需求一览表中标注有“★”号的技术参数及配置要求必须实质性响应，不允许出现负偏离（不满足要求），否则作投标无效处理；未带“★”号的技术参数及配置要求，每项产品最多允许出现</w:t>
      </w:r>
      <w:r>
        <w:rPr>
          <w:rFonts w:hint="eastAsia" w:ascii="宋体" w:hAnsi="宋体" w:cs="宋体"/>
          <w:color w:val="auto"/>
          <w:u w:val="single"/>
        </w:rPr>
        <w:t xml:space="preserve"> 3 </w:t>
      </w:r>
      <w:r>
        <w:rPr>
          <w:rFonts w:hint="eastAsia" w:ascii="宋体" w:hAnsi="宋体" w:cs="宋体"/>
          <w:color w:val="auto"/>
        </w:rPr>
        <w:t>项（含）负偏离，超出则作投标无效处理</w:t>
      </w:r>
      <w:r>
        <w:rPr>
          <w:rFonts w:hint="eastAsia"/>
          <w:color w:val="auto"/>
        </w:rPr>
        <w:t>。</w:t>
      </w:r>
    </w:p>
    <w:p>
      <w:pPr>
        <w:keepNext/>
        <w:keepLines/>
        <w:adjustRightInd w:val="0"/>
        <w:snapToGrid w:val="0"/>
        <w:spacing w:line="360" w:lineRule="exact"/>
        <w:ind w:left="315" w:hanging="315" w:hangingChars="150"/>
        <w:rPr>
          <w:rFonts w:ascii="宋体" w:hAnsi="宋体" w:cs="宋体"/>
          <w:color w:val="auto"/>
        </w:rPr>
      </w:pPr>
      <w:r>
        <w:rPr>
          <w:rFonts w:hint="eastAsia" w:ascii="宋体" w:hAnsi="宋体" w:cs="宋体"/>
          <w:color w:val="auto"/>
        </w:rPr>
        <w:t>5</w:t>
      </w:r>
      <w:r>
        <w:rPr>
          <w:rFonts w:ascii="宋体" w:hAnsi="宋体" w:cs="宋体"/>
          <w:color w:val="auto"/>
        </w:rPr>
        <w:t xml:space="preserve">. </w:t>
      </w:r>
      <w:r>
        <w:rPr>
          <w:rFonts w:hint="eastAsia" w:ascii="宋体" w:hAnsi="宋体" w:cs="宋体"/>
          <w:b/>
          <w:bCs/>
          <w:color w:val="auto"/>
        </w:rPr>
        <w:t>核心产品：序号</w:t>
      </w:r>
      <w:r>
        <w:rPr>
          <w:rFonts w:hint="eastAsia" w:ascii="宋体" w:hAnsi="宋体" w:cs="宋体"/>
          <w:b/>
          <w:bCs/>
          <w:color w:val="auto"/>
          <w:u w:val="single"/>
        </w:rPr>
        <w:t xml:space="preserve"> </w:t>
      </w:r>
      <w:r>
        <w:rPr>
          <w:rFonts w:ascii="宋体" w:hAnsi="宋体" w:cs="宋体"/>
          <w:b/>
          <w:bCs/>
          <w:color w:val="auto"/>
          <w:u w:val="single"/>
        </w:rPr>
        <w:t>1</w:t>
      </w:r>
      <w:r>
        <w:rPr>
          <w:rFonts w:hint="eastAsia" w:ascii="宋体" w:hAnsi="宋体" w:cs="宋体"/>
          <w:b/>
          <w:bCs/>
          <w:color w:val="auto"/>
          <w:u w:val="single"/>
        </w:rPr>
        <w:t xml:space="preserve">、2、4、5 </w:t>
      </w:r>
      <w:r>
        <w:rPr>
          <w:rFonts w:hint="eastAsia" w:ascii="宋体" w:hAnsi="宋体" w:cs="宋体"/>
          <w:b/>
          <w:bCs/>
          <w:color w:val="auto"/>
        </w:rPr>
        <w:t>的产品</w:t>
      </w:r>
      <w:r>
        <w:rPr>
          <w:rFonts w:hint="eastAsia" w:ascii="宋体" w:hAnsi="宋体" w:cs="宋体"/>
          <w:color w:val="auto"/>
        </w:rPr>
        <w:t>。</w:t>
      </w:r>
    </w:p>
    <w:p>
      <w:pPr>
        <w:keepNext/>
        <w:keepLines/>
        <w:adjustRightInd w:val="0"/>
        <w:snapToGrid w:val="0"/>
        <w:spacing w:line="360" w:lineRule="exact"/>
        <w:ind w:left="316" w:hanging="316" w:hangingChars="150"/>
        <w:rPr>
          <w:rFonts w:ascii="宋体" w:hAnsi="宋体" w:cs="宋体"/>
          <w:b/>
          <w:szCs w:val="21"/>
        </w:rPr>
      </w:pPr>
      <w:r>
        <w:rPr>
          <w:rFonts w:hint="eastAsia" w:ascii="宋体" w:hAnsi="宋体" w:cs="宋体"/>
          <w:b/>
          <w:color w:val="auto"/>
          <w:szCs w:val="21"/>
        </w:rPr>
        <w:t>6. 本项目采购标的对应的中小企业划分标准所属行业为其他未列</w:t>
      </w:r>
      <w:r>
        <w:rPr>
          <w:rFonts w:hint="eastAsia" w:ascii="宋体" w:hAnsi="宋体" w:cs="宋体"/>
          <w:b/>
          <w:szCs w:val="21"/>
        </w:rPr>
        <w:t>明行业（包括科学研究和技术服务业，水利、环境和公共设施管理业，居民服务、修理和其他服务业，社会工作，文化、体育和娱乐业等）。</w:t>
      </w:r>
    </w:p>
    <w:p>
      <w:pPr>
        <w:keepNext/>
        <w:keepLines/>
        <w:spacing w:line="440" w:lineRule="exact"/>
        <w:jc w:val="center"/>
        <w:rPr>
          <w:rFonts w:ascii="宋体" w:cs="宋体"/>
          <w:b/>
          <w:sz w:val="24"/>
        </w:rPr>
      </w:pPr>
      <w:r>
        <w:rPr>
          <w:rFonts w:hint="eastAsia" w:ascii="宋体" w:hAnsi="宋体" w:cs="宋体"/>
          <w:b/>
          <w:sz w:val="24"/>
        </w:rPr>
        <w:t>一、项目需求一览表（技术要求）</w:t>
      </w:r>
    </w:p>
    <w:tbl>
      <w:tblPr>
        <w:tblStyle w:val="59"/>
        <w:tblW w:w="9943" w:type="dxa"/>
        <w:jc w:val="center"/>
        <w:tblLayout w:type="fixed"/>
        <w:tblCellMar>
          <w:top w:w="0" w:type="dxa"/>
          <w:left w:w="0" w:type="dxa"/>
          <w:bottom w:w="0" w:type="dxa"/>
          <w:right w:w="0" w:type="dxa"/>
        </w:tblCellMar>
      </w:tblPr>
      <w:tblGrid>
        <w:gridCol w:w="579"/>
        <w:gridCol w:w="1697"/>
        <w:gridCol w:w="609"/>
        <w:gridCol w:w="638"/>
        <w:gridCol w:w="6420"/>
      </w:tblGrid>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ind w:left="-105" w:leftChars="-50" w:right="-105" w:rightChars="-50"/>
              <w:jc w:val="center"/>
              <w:textAlignment w:val="center"/>
              <w:rPr>
                <w:rFonts w:ascii="宋体" w:hAnsi="宋体" w:cs="宋体"/>
                <w:b/>
                <w:szCs w:val="21"/>
              </w:rPr>
            </w:pPr>
            <w:r>
              <w:rPr>
                <w:rFonts w:hint="eastAsia" w:ascii="宋体" w:hAnsi="宋体" w:cs="宋体"/>
                <w:b/>
                <w:kern w:val="0"/>
                <w:szCs w:val="21"/>
                <w:lang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ind w:left="-105" w:leftChars="-50" w:right="-105" w:rightChars="-50"/>
              <w:jc w:val="center"/>
              <w:textAlignment w:val="center"/>
              <w:rPr>
                <w:rFonts w:ascii="宋体" w:hAnsi="宋体" w:cs="宋体"/>
                <w:b/>
                <w:szCs w:val="21"/>
              </w:rPr>
            </w:pPr>
            <w:r>
              <w:rPr>
                <w:rFonts w:hint="eastAsia" w:ascii="宋体" w:hAnsi="宋体" w:cs="宋体"/>
                <w:b/>
                <w:kern w:val="0"/>
                <w:szCs w:val="21"/>
                <w:lang w:bidi="ar"/>
              </w:rPr>
              <w:t>设备名称</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ind w:left="-105" w:leftChars="-50" w:right="-105" w:rightChars="-50"/>
              <w:jc w:val="center"/>
              <w:textAlignment w:val="center"/>
              <w:rPr>
                <w:rFonts w:ascii="宋体" w:hAnsi="宋体" w:cs="宋体"/>
                <w:b/>
                <w:szCs w:val="21"/>
              </w:rPr>
            </w:pPr>
            <w:r>
              <w:rPr>
                <w:rFonts w:hint="eastAsia" w:ascii="宋体" w:hAnsi="宋体" w:cs="宋体"/>
                <w:b/>
                <w:kern w:val="0"/>
                <w:szCs w:val="21"/>
                <w:lang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ind w:left="-105" w:leftChars="-50" w:right="-105" w:rightChars="-50"/>
              <w:jc w:val="center"/>
              <w:textAlignment w:val="center"/>
              <w:rPr>
                <w:rFonts w:ascii="宋体" w:hAnsi="宋体" w:cs="宋体"/>
                <w:b/>
                <w:kern w:val="0"/>
                <w:szCs w:val="21"/>
                <w:lang w:bidi="ar"/>
              </w:rPr>
            </w:pPr>
            <w:r>
              <w:rPr>
                <w:rFonts w:hint="eastAsia" w:ascii="宋体" w:hAnsi="宋体" w:cs="宋体"/>
                <w:b/>
                <w:kern w:val="0"/>
                <w:szCs w:val="21"/>
                <w:lang w:bidi="ar"/>
              </w:rPr>
              <w:t>数量</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ind w:left="-105" w:leftChars="-50" w:right="-105" w:rightChars="-50"/>
              <w:jc w:val="center"/>
              <w:textAlignment w:val="center"/>
              <w:rPr>
                <w:rFonts w:ascii="宋体" w:hAnsi="宋体" w:cs="宋体"/>
                <w:b/>
                <w:szCs w:val="21"/>
              </w:rPr>
            </w:pPr>
            <w:r>
              <w:rPr>
                <w:rFonts w:hint="eastAsia" w:ascii="宋体" w:hAnsi="宋体" w:cs="宋体"/>
                <w:b/>
                <w:kern w:val="0"/>
                <w:szCs w:val="21"/>
                <w:lang w:bidi="ar"/>
              </w:rPr>
              <w:t>详细技术参数及配备要求</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hint="eastAsia"/>
              </w:rPr>
            </w:pPr>
            <w:r>
              <w:rPr>
                <w:rFonts w:hint="eastAsia"/>
              </w:rPr>
              <w:t>入侵防御系统</w:t>
            </w:r>
          </w:p>
          <w:p>
            <w:pPr>
              <w:pStyle w:val="2"/>
              <w:ind w:left="0" w:leftChars="0" w:firstLine="0" w:firstLineChars="0"/>
              <w:jc w:val="center"/>
              <w:rPr>
                <w:rFonts w:hint="eastAsia" w:eastAsia="宋体"/>
                <w:lang w:eastAsia="zh-CN"/>
              </w:rPr>
            </w:pPr>
            <w:r>
              <w:rPr>
                <w:rFonts w:hint="eastAsia" w:ascii="宋体" w:hAnsi="宋体" w:cs="宋体"/>
                <w:szCs w:val="21"/>
                <w:lang w:eastAsia="zh-CN"/>
              </w:rPr>
              <w:t>（核心产品）</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left"/>
              <w:textAlignment w:val="center"/>
              <w:rPr>
                <w:rFonts w:ascii="宋体" w:hAnsi="宋体" w:cs="宋体"/>
                <w:b/>
                <w:bCs/>
                <w:color w:val="auto"/>
                <w:szCs w:val="21"/>
              </w:rPr>
            </w:pPr>
            <w:r>
              <w:rPr>
                <w:rFonts w:hint="eastAsia" w:ascii="宋体" w:hAnsi="宋体" w:cs="宋体"/>
                <w:b/>
                <w:bCs/>
                <w:color w:val="auto"/>
                <w:szCs w:val="21"/>
              </w:rPr>
              <w:t>一、性能指标要求</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1.产品应采用2U标准19"机架式硬件平台，标配≥4个万兆光口，≥4个千兆电口，≥2个专用以太网管理口，≥1个专用管理串口，≥2个USB接口；</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★2.网络吞吐量≥16Gbps，应用层吞吐量≥5Gbps，最大并发数≥500万，新建连接数≥12万；</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3.要求提供产品生产厂家三年售后服务，售后维护服务含软硬件维护和系统软件、规则库、特征库升级服务，请详细说明售后服务的内容。产品的安装、培训由厂商工程师完成实施，并提供厂商工程师的现场技术支持。费用均包含在投标报价中。</w:t>
            </w:r>
          </w:p>
          <w:p>
            <w:pPr>
              <w:keepNext/>
              <w:widowControl/>
              <w:spacing w:line="360" w:lineRule="exact"/>
              <w:jc w:val="left"/>
              <w:textAlignment w:val="center"/>
              <w:rPr>
                <w:rFonts w:ascii="宋体" w:hAnsi="宋体" w:cs="宋体"/>
                <w:b/>
                <w:bCs/>
                <w:color w:val="auto"/>
                <w:szCs w:val="21"/>
              </w:rPr>
            </w:pPr>
            <w:r>
              <w:rPr>
                <w:rFonts w:hint="eastAsia" w:ascii="宋体" w:hAnsi="宋体" w:cs="宋体"/>
                <w:b/>
                <w:bCs/>
                <w:color w:val="auto"/>
                <w:szCs w:val="21"/>
              </w:rPr>
              <w:t>二、功能指标要求</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4.系统应具备融合模式匹配、协议分析、异常检测、会话关联分析，以及抗IDS/IPS逃逸等多种技术，准确识别各种黑客入侵，为用户提供2~7层深度入侵防御；</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5.系统应能识别超过1000多种的各类网络应用，至少应包括：商业系统类应用、协作类应用、互联网应用、媒体类应用等；</w:t>
            </w:r>
          </w:p>
          <w:p>
            <w:pPr>
              <w:keepNext/>
              <w:widowControl/>
              <w:spacing w:line="360" w:lineRule="exact"/>
              <w:ind w:left="420" w:leftChars="100" w:hanging="210" w:hangingChars="100"/>
              <w:jc w:val="left"/>
              <w:textAlignment w:val="center"/>
              <w:rPr>
                <w:rFonts w:ascii="宋体" w:hAnsi="宋体" w:cs="宋体"/>
                <w:color w:val="auto"/>
                <w:szCs w:val="21"/>
                <w:highlight w:val="none"/>
              </w:rPr>
            </w:pPr>
            <w:r>
              <w:rPr>
                <w:rFonts w:hint="eastAsia" w:ascii="宋体" w:hAnsi="宋体" w:cs="宋体"/>
                <w:color w:val="auto"/>
                <w:szCs w:val="21"/>
              </w:rPr>
              <w:t>6.系统应提供覆盖广泛的攻击特征库</w:t>
            </w:r>
            <w:r>
              <w:rPr>
                <w:rFonts w:hint="eastAsia" w:ascii="宋体" w:hAnsi="宋体" w:cs="宋体"/>
                <w:color w:val="auto"/>
                <w:szCs w:val="21"/>
                <w:highlight w:val="none"/>
              </w:rPr>
              <w:t>，能够针对7000种以上的攻击行为、异常事件，以及网络资源滥用流量，进行检测和防御；</w:t>
            </w:r>
          </w:p>
          <w:p>
            <w:pPr>
              <w:keepNext/>
              <w:widowControl/>
              <w:spacing w:line="360" w:lineRule="exact"/>
              <w:ind w:left="420" w:leftChars="100" w:hanging="210" w:hangingChars="100"/>
              <w:jc w:val="left"/>
              <w:textAlignment w:val="center"/>
              <w:rPr>
                <w:rFonts w:ascii="宋体" w:hAnsi="宋体" w:cs="宋体"/>
                <w:color w:val="auto"/>
                <w:szCs w:val="21"/>
                <w:highlight w:val="none"/>
              </w:rPr>
            </w:pPr>
            <w:r>
              <w:rPr>
                <w:rFonts w:hint="eastAsia" w:ascii="宋体" w:hAnsi="宋体" w:cs="宋体"/>
                <w:color w:val="auto"/>
                <w:szCs w:val="21"/>
                <w:highlight w:val="none"/>
              </w:rPr>
              <w:t>7.规则库获得CVE兼容性认证的最高级别证书CVE Compatible（NIPS）；</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8.产品提供强大、灵活的流量管理功能，可以根据协议、端口、源/目的IP地址、网段、时间及带宽等因素，实现基于内容、面向对象的流量保护策略；</w:t>
            </w:r>
          </w:p>
          <w:p>
            <w:pPr>
              <w:keepNext/>
              <w:widowControl/>
              <w:spacing w:line="360" w:lineRule="exact"/>
              <w:ind w:firstLine="210" w:firstLineChars="100"/>
              <w:jc w:val="left"/>
              <w:textAlignment w:val="center"/>
              <w:rPr>
                <w:rFonts w:ascii="宋体" w:hAnsi="宋体" w:cs="宋体"/>
                <w:color w:val="auto"/>
                <w:szCs w:val="21"/>
              </w:rPr>
            </w:pPr>
            <w:r>
              <w:rPr>
                <w:rFonts w:hint="eastAsia" w:ascii="宋体" w:hAnsi="宋体" w:cs="宋体"/>
                <w:color w:val="auto"/>
                <w:szCs w:val="21"/>
              </w:rPr>
              <w:t>9.系统应具备防僵尸网络功能，从而提高整体安全防护能力；</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10.系统应提供先进的DoS/DDoS攻击防护能力，支持双向阻断TCP/UDP/ICMP/ACK Flooding，以及UDP/ICMP Smurfing等常见的DoS/DdoS的攻击；</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★11.系统应提供服务器异常告警功能，可以自学习服务器正常工作行为，并以此为基线检测处服务器非法外联行为；（</w:t>
            </w:r>
            <w:r>
              <w:rPr>
                <w:rFonts w:hint="eastAsia" w:ascii="宋体" w:hAnsi="宋体" w:cs="宋体"/>
                <w:color w:val="auto"/>
                <w:szCs w:val="21"/>
                <w:lang w:eastAsia="zh-CN"/>
              </w:rPr>
              <w:t>在投标文件中</w:t>
            </w:r>
            <w:r>
              <w:rPr>
                <w:rFonts w:hint="eastAsia" w:ascii="宋体" w:hAnsi="宋体" w:cs="宋体"/>
                <w:color w:val="auto"/>
                <w:szCs w:val="21"/>
              </w:rPr>
              <w:t>提供产品功能界面截图）</w:t>
            </w:r>
          </w:p>
          <w:p>
            <w:pPr>
              <w:keepNext/>
              <w:widowControl/>
              <w:spacing w:line="360" w:lineRule="exact"/>
              <w:ind w:left="420" w:hanging="420" w:hangingChars="200"/>
              <w:jc w:val="left"/>
              <w:textAlignment w:val="center"/>
              <w:rPr>
                <w:rFonts w:hint="eastAsia" w:ascii="宋体" w:hAnsi="宋体" w:cs="宋体"/>
                <w:color w:val="auto"/>
                <w:szCs w:val="21"/>
              </w:rPr>
            </w:pPr>
            <w:r>
              <w:rPr>
                <w:rFonts w:hint="eastAsia" w:ascii="宋体" w:hAnsi="宋体" w:cs="宋体"/>
                <w:color w:val="auto"/>
                <w:szCs w:val="21"/>
              </w:rPr>
              <w:t>★12.系统应提供敏感数据保护功能，能够识别、阻断通过自身的敏感数据信息（身份证号、银行卡、手机号等）；</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13.系统应提供关键文件保护功能，能够识别、阻断通过自身的关键文件，以防止非法外传行为。能识别的关键文件类型应包含至少以下几类：文档类如Excel、PDF、PowerPoint、Word等，压缩文件类如CAB、GZIP、RAR、ZIP、JAR等，图像类如BMP、GIF、JPEG等，脚本类如BAT、CMD、WSF等；</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14.系统应具备用户身份识别能力，支持基于用户身份进行策略配置、日志记录与查询；支持自动与手动获取用户信息列表并生成组织结构图；</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★15.系统支持IPv6/IPv4双协议栈功能，能同时辨识IPv4和IPv6通讯流量。支持多种隧道模式，确保IPv6过渡时代的网络通畅。支持IPv6环境下攻击检测技术和基于IPv6地址格式的安全控制策略，为IPv6环境提供入侵防护；</w:t>
            </w:r>
          </w:p>
          <w:p>
            <w:pPr>
              <w:keepNext/>
              <w:widowControl/>
              <w:spacing w:line="360" w:lineRule="exact"/>
              <w:ind w:left="420" w:leftChars="100" w:hanging="210" w:hangingChars="100"/>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16.可以支持透明（Layer2）、监听（Monitor）、直通（Direct）等安全区模式，支持通过“串联”或“并联”两种方式灵活接入网络；支持IPS和IDS的混合运行模式</w:t>
            </w:r>
            <w:r>
              <w:rPr>
                <w:rFonts w:hint="eastAsia" w:ascii="宋体" w:hAnsi="宋体" w:cs="宋体"/>
                <w:color w:val="auto"/>
                <w:szCs w:val="21"/>
                <w:lang w:eastAsia="zh-CN"/>
              </w:rPr>
              <w:t>；</w:t>
            </w:r>
          </w:p>
          <w:p>
            <w:pPr>
              <w:keepNext/>
              <w:widowControl/>
              <w:spacing w:line="360" w:lineRule="exact"/>
              <w:ind w:left="420" w:hanging="420" w:hangingChars="200"/>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w:t>
            </w:r>
            <w:r>
              <w:rPr>
                <w:rFonts w:ascii="宋体" w:hAnsi="宋体" w:cs="宋体"/>
                <w:color w:val="auto"/>
                <w:szCs w:val="21"/>
              </w:rPr>
              <w:t>17</w:t>
            </w:r>
            <w:r>
              <w:rPr>
                <w:rFonts w:hint="eastAsia" w:ascii="宋体" w:hAnsi="宋体" w:cs="宋体"/>
                <w:color w:val="auto"/>
                <w:szCs w:val="21"/>
              </w:rPr>
              <w:t>.产品生产厂商须在信息安全领域有着丰富的经验与先进的技术，具备对操作系统、应用系统或网络设备的漏洞进行发现、验证的能力。要求厂商自己发现的安全漏洞超过30个，能够在CVE官网查询到相关漏洞信息，</w:t>
            </w:r>
            <w:r>
              <w:rPr>
                <w:rFonts w:hint="eastAsia" w:ascii="宋体" w:hAnsi="宋体" w:cs="宋体"/>
                <w:color w:val="auto"/>
                <w:szCs w:val="21"/>
                <w:lang w:eastAsia="zh-CN"/>
              </w:rPr>
              <w:t>在投标文件中</w:t>
            </w:r>
            <w:r>
              <w:rPr>
                <w:rFonts w:hint="eastAsia" w:ascii="宋体" w:hAnsi="宋体" w:cs="宋体"/>
                <w:color w:val="auto"/>
                <w:szCs w:val="21"/>
              </w:rPr>
              <w:t>提供CVE官方查询链接以及查询结果截图</w:t>
            </w:r>
            <w:r>
              <w:rPr>
                <w:rFonts w:hint="eastAsia" w:ascii="宋体" w:hAnsi="宋体" w:cs="宋体"/>
                <w:color w:val="auto"/>
                <w:szCs w:val="21"/>
                <w:lang w:eastAsia="zh-CN"/>
              </w:rPr>
              <w:t>。</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WEB应用防火墙</w:t>
            </w:r>
            <w:r>
              <w:rPr>
                <w:rFonts w:hint="eastAsia" w:ascii="宋体" w:hAnsi="宋体" w:cs="宋体"/>
                <w:szCs w:val="21"/>
                <w:lang w:eastAsia="zh-CN"/>
              </w:rPr>
              <w:t>（核心产品）</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left"/>
              <w:textAlignment w:val="center"/>
              <w:rPr>
                <w:rFonts w:ascii="宋体" w:hAnsi="宋体" w:cs="宋体"/>
                <w:b/>
                <w:bCs/>
                <w:color w:val="auto"/>
                <w:szCs w:val="21"/>
              </w:rPr>
            </w:pPr>
            <w:r>
              <w:rPr>
                <w:rFonts w:hint="eastAsia" w:ascii="宋体" w:hAnsi="宋体" w:cs="宋体"/>
                <w:b/>
                <w:bCs/>
                <w:color w:val="auto"/>
                <w:szCs w:val="21"/>
              </w:rPr>
              <w:t>一、性能指标要求</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1.产品应采用2U标准19"机架式硬件平台，具有≥2个万兆光口，≥3个接口扩展插槽。产品至少提供1路web应用防护能力；2个专用以太网管理口，1个专用管理串口，硬盘不少于1TB；</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★2.产品最低RFC2544吞吐量（512字节）≥6Gbps；最低应用层处理能力≥3Gbps；</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3.要求提供产品原生产厂家三年售后服务，售后维护服务含软硬件维护和系统软件、规则库、特征库升级服务，请详细说明售后服务的内容。产品的安装、培训由原厂商工程师完成实施，并提供原厂商工程师的现场技术支持。含三年原厂维保服务。费用均包含在投标报价中。</w:t>
            </w:r>
          </w:p>
          <w:p>
            <w:pPr>
              <w:keepNext/>
              <w:widowControl/>
              <w:spacing w:line="360" w:lineRule="exact"/>
              <w:jc w:val="left"/>
              <w:textAlignment w:val="center"/>
              <w:rPr>
                <w:rFonts w:ascii="宋体" w:hAnsi="宋体" w:cs="宋体"/>
                <w:b/>
                <w:bCs/>
                <w:color w:val="auto"/>
                <w:szCs w:val="21"/>
              </w:rPr>
            </w:pPr>
            <w:r>
              <w:rPr>
                <w:rFonts w:hint="eastAsia" w:ascii="宋体" w:hAnsi="宋体" w:cs="宋体"/>
                <w:b/>
                <w:bCs/>
                <w:color w:val="auto"/>
                <w:szCs w:val="21"/>
              </w:rPr>
              <w:t>二、功能指标要求</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4.产品具有WEB安全防护功能，可提供HTTP协议校验、Web服务器/插件防护、爬虫防护、Web通用防护、非法上传及非法下载防护；</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5.产品提供WEB应用安全防护功能，包括：防御SQL注入、XSS跨站脚本、LDAP注入、SSI指令、Xpath注入、命令行注入、路径穿越防护、远程文件包含防护及跨站请求伪造（CSRF）攻击；</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6.产品提供Cookie安全机制，防止Cookie中敏感信息泄露及Cookie篡改，要求防护算法支持Cookie加密和Cookie签名；</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7.支持信息泄露防护功能，提供服务器信息伪装/过滤，避免出错信息暴露网站敏感信息，为攻击者利用、提升攻击成功概率；</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★8.产品应支持Web服务器及插件防护，可以对Web服务器、开发语言的基础防护，包括了Apache、IIS、Tomcat、Nginx等Web服务器类型，PHP、Java、ASP等开发语言的深入防护；</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9.产品支持对HTTP协议的异常元素、异常参数、异常编码和解码的灵活控制与处理；</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★10.产品支持盗链防护，支持Referer和Referer+Cookie的检测方式，有效识别网页盗链行为，避免用户网页资源被滥用；</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11.产品支持HTTPACL，对多种HTTP方法执行访问控制，包括：GET、POST、HEAD、PUT、DELETE、COPY、LOCK、UNLOCK、PROPPATCH、CONNECT、SEARCH等；</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★12.产品应支持基于请求量统计、应答分布统计及阀值告警的恶意扫描防护，防止攻击者使用工具对服务器进行端口扫描；</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13.产品应具备自学习功能，通过分析用户访问行为和指定URL的HTTP请求参数，能将站点的业务逻辑完整的呈现出来，最后形成白名单防护策略；要求自学习策略中HTTP方法支持POST和GET，可以定义学习对象，可以设置最少样本数及最少样本来源IP数，同时可以对参数的个数、参数的类型及参数的取值范围进行选择学习，支持学习时间设定；（</w:t>
            </w:r>
            <w:r>
              <w:rPr>
                <w:rFonts w:hint="eastAsia" w:ascii="宋体" w:hAnsi="宋体" w:cs="宋体"/>
                <w:color w:val="auto"/>
                <w:szCs w:val="21"/>
                <w:lang w:eastAsia="zh-CN"/>
              </w:rPr>
              <w:t>在投标文件中</w:t>
            </w:r>
            <w:r>
              <w:rPr>
                <w:rFonts w:hint="eastAsia" w:ascii="宋体" w:hAnsi="宋体" w:cs="宋体"/>
                <w:color w:val="auto"/>
                <w:szCs w:val="21"/>
              </w:rPr>
              <w:t>提供产品功能界面截图）</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14.产品支持基于主机名、检测的URI-Path和不检测的URI-Path进行自定义安全防护策略；同时支持例外控制，可以对误阻断的策略进行一键添加例外；</w:t>
            </w:r>
          </w:p>
          <w:p>
            <w:pPr>
              <w:keepNext/>
              <w:widowControl/>
              <w:spacing w:line="360" w:lineRule="exact"/>
              <w:ind w:left="420" w:hanging="420" w:hangingChars="200"/>
              <w:jc w:val="left"/>
              <w:textAlignment w:val="center"/>
              <w:rPr>
                <w:rFonts w:ascii="宋体" w:hAnsi="宋体" w:cs="宋体"/>
                <w:strike/>
                <w:dstrike w:val="0"/>
                <w:color w:val="auto"/>
                <w:szCs w:val="21"/>
              </w:rPr>
            </w:pPr>
            <w:r>
              <w:rPr>
                <w:rFonts w:hint="eastAsia" w:ascii="宋体" w:hAnsi="宋体" w:cs="宋体"/>
                <w:color w:val="auto"/>
                <w:szCs w:val="21"/>
              </w:rPr>
              <w:t>★15.产品支持模板管理，包括站点模板和虚拟站点模板，默认包含宽松的策略模板、标准策略模板及严格策略模板，用户可以选择相应模板策略进行安全防护；</w:t>
            </w:r>
          </w:p>
          <w:p>
            <w:pPr>
              <w:keepNext/>
              <w:widowControl/>
              <w:spacing w:line="360" w:lineRule="exact"/>
              <w:ind w:left="420" w:leftChars="100" w:hanging="210" w:hangingChars="100"/>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16.产品支持暴力破解攻击防护，支持会话追踪，同时支持服务器存活检测功能</w:t>
            </w:r>
            <w:r>
              <w:rPr>
                <w:rFonts w:hint="eastAsia" w:ascii="宋体" w:hAnsi="宋体" w:cs="宋体"/>
                <w:color w:val="auto"/>
                <w:szCs w:val="21"/>
                <w:lang w:eastAsia="zh-CN"/>
              </w:rPr>
              <w:t>；</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★17.产品生产厂家应能够提供自主研发的云安全中心的移动终端APP（支持iphone客户端），通过APP帮助用户随时随地查看投标设备的运行状态及日志，方便客户进行运维，掌握网络安全的态势；</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★18.产品支持Web扫描防护，支持以统计算法分析扫描行为的扫描防护；（</w:t>
            </w:r>
            <w:r>
              <w:rPr>
                <w:rFonts w:hint="eastAsia" w:ascii="宋体" w:hAnsi="宋体" w:cs="宋体"/>
                <w:color w:val="auto"/>
                <w:szCs w:val="21"/>
                <w:lang w:eastAsia="zh-CN"/>
              </w:rPr>
              <w:t>在投标文件中</w:t>
            </w:r>
            <w:r>
              <w:rPr>
                <w:rFonts w:hint="eastAsia" w:ascii="宋体" w:hAnsi="宋体" w:cs="宋体"/>
                <w:color w:val="auto"/>
                <w:szCs w:val="21"/>
              </w:rPr>
              <w:t>提供产品功能界面截图）</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19.产品提供网络层安全控制功能，包括：ARP欺骗防护功能；提供基于五元组（源IP地址、目的IP地址、源端口、目的源口、协议类型）及接口的ACL访问控制功能；</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★20.产品支持紧急模式，当并发连接数超过阀值时，WAF自动进入紧急模式，已经代理的连接正常代理，对新增的请求不进行代理，直接转发，防止WAF成为访问瓶颈。当连接数恢复正常时，自动退出紧急模式；（</w:t>
            </w:r>
            <w:r>
              <w:rPr>
                <w:rFonts w:hint="eastAsia" w:ascii="宋体" w:hAnsi="宋体" w:cs="宋体"/>
                <w:color w:val="auto"/>
                <w:szCs w:val="21"/>
                <w:lang w:eastAsia="zh-CN"/>
              </w:rPr>
              <w:t>在投标文件中</w:t>
            </w:r>
            <w:r>
              <w:rPr>
                <w:rFonts w:hint="eastAsia" w:ascii="宋体" w:hAnsi="宋体" w:cs="宋体"/>
                <w:color w:val="auto"/>
                <w:szCs w:val="21"/>
              </w:rPr>
              <w:t>提供产品功能界面截图）</w:t>
            </w:r>
          </w:p>
          <w:p>
            <w:pPr>
              <w:keepNext/>
              <w:widowControl/>
              <w:spacing w:line="360" w:lineRule="exact"/>
              <w:ind w:left="420" w:leftChars="100" w:hanging="210" w:hangingChars="100"/>
              <w:jc w:val="left"/>
              <w:textAlignment w:val="center"/>
              <w:rPr>
                <w:rFonts w:ascii="宋体" w:hAnsi="宋体" w:cs="宋体"/>
                <w:color w:val="auto"/>
                <w:szCs w:val="21"/>
              </w:rPr>
            </w:pPr>
            <w:r>
              <w:rPr>
                <w:rFonts w:hint="eastAsia" w:ascii="宋体" w:hAnsi="宋体" w:cs="宋体"/>
                <w:color w:val="auto"/>
                <w:szCs w:val="21"/>
              </w:rPr>
              <w:t>21.产品提供高可用性（HA），支持主用/主用、主用/备用两种部署方式，出现设备宕机、端口失效等故障时，完成主机和备机的即时切换，确保关键应用的持续正常运转；</w:t>
            </w:r>
          </w:p>
          <w:p>
            <w:pPr>
              <w:keepNext/>
              <w:widowControl/>
              <w:spacing w:line="360" w:lineRule="exact"/>
              <w:ind w:left="420" w:hanging="420" w:hangingChars="200"/>
              <w:jc w:val="left"/>
              <w:textAlignment w:val="center"/>
              <w:rPr>
                <w:rFonts w:ascii="宋体" w:hAnsi="宋体" w:cs="宋体"/>
                <w:color w:val="auto"/>
                <w:szCs w:val="21"/>
              </w:rPr>
            </w:pPr>
            <w:r>
              <w:rPr>
                <w:rFonts w:hint="eastAsia" w:ascii="宋体" w:hAnsi="宋体" w:cs="宋体"/>
                <w:color w:val="auto"/>
                <w:szCs w:val="21"/>
              </w:rPr>
              <w:t>★22.要求产品支持Web安全日志、网络访问控制日志、Ddos防护日志、Web防篡改日志、ARP防护日志及Web访问日志进行查询，同时支持安全报表、流量报表及PCI-DSS合规报表的生成；</w:t>
            </w:r>
          </w:p>
          <w:p>
            <w:pPr>
              <w:keepNext/>
              <w:widowControl/>
              <w:spacing w:line="360" w:lineRule="exact"/>
              <w:ind w:left="420" w:leftChars="100" w:hanging="210" w:hangingChars="100"/>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23.产品支持串联、旁路监听及反向代理等部署模式，可根据业务需求灵活快速部署在各种网络环境中；支持VLAN 802.1Q</w:t>
            </w:r>
            <w:r>
              <w:rPr>
                <w:rFonts w:hint="eastAsia" w:ascii="宋体" w:hAnsi="宋体" w:cs="宋体"/>
                <w:color w:val="auto"/>
                <w:szCs w:val="21"/>
                <w:lang w:eastAsia="zh-CN"/>
              </w:rPr>
              <w:t>；</w:t>
            </w:r>
          </w:p>
          <w:p>
            <w:pPr>
              <w:keepNext/>
              <w:widowControl/>
              <w:spacing w:line="360" w:lineRule="exact"/>
              <w:ind w:left="420" w:hanging="420" w:hangingChars="200"/>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★2</w:t>
            </w:r>
            <w:r>
              <w:rPr>
                <w:rFonts w:ascii="宋体" w:hAnsi="宋体" w:cs="宋体"/>
                <w:color w:val="auto"/>
                <w:szCs w:val="21"/>
              </w:rPr>
              <w:t>4</w:t>
            </w:r>
            <w:r>
              <w:rPr>
                <w:rFonts w:hint="eastAsia" w:ascii="宋体" w:hAnsi="宋体" w:cs="宋体"/>
                <w:color w:val="auto"/>
                <w:szCs w:val="21"/>
              </w:rPr>
              <w:t>.产品生产厂商须在信息安全领域有着丰富的经验与先进的技术，具备对操作系统、应用系统或网络设备的漏洞进行发现、验证的能力。要求厂商自己发现的安全漏洞超过30个，并在CVE官网上能查询到相关漏洞信息，</w:t>
            </w:r>
            <w:r>
              <w:rPr>
                <w:rFonts w:hint="eastAsia" w:ascii="宋体" w:hAnsi="宋体" w:cs="宋体"/>
                <w:color w:val="auto"/>
                <w:szCs w:val="21"/>
                <w:lang w:eastAsia="zh-CN"/>
              </w:rPr>
              <w:t>在投标文件中</w:t>
            </w:r>
            <w:r>
              <w:rPr>
                <w:rFonts w:hint="eastAsia" w:ascii="宋体" w:hAnsi="宋体" w:cs="宋体"/>
                <w:color w:val="auto"/>
                <w:szCs w:val="21"/>
                <w:highlight w:val="none"/>
              </w:rPr>
              <w:t>提供CVE官方链接以及查询结果截图</w:t>
            </w:r>
            <w:r>
              <w:rPr>
                <w:rFonts w:hint="eastAsia" w:ascii="宋体" w:hAnsi="宋体" w:cs="宋体"/>
                <w:color w:val="auto"/>
                <w:szCs w:val="21"/>
                <w:highlight w:val="none"/>
                <w:lang w:eastAsia="zh-CN"/>
              </w:rPr>
              <w:t>。</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安全感知平台</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textAlignment w:val="center"/>
              <w:rPr>
                <w:rFonts w:ascii="宋体" w:hAnsi="宋体" w:cs="宋体"/>
                <w:szCs w:val="21"/>
              </w:rPr>
            </w:pPr>
            <w:r>
              <w:rPr>
                <w:rFonts w:hint="eastAsia" w:ascii="宋体" w:hAnsi="宋体" w:cs="宋体"/>
                <w:b/>
                <w:bCs/>
                <w:szCs w:val="21"/>
              </w:rPr>
              <w:t>一、性能参数：</w:t>
            </w:r>
          </w:p>
          <w:p>
            <w:pPr>
              <w:keepNext/>
              <w:widowControl/>
              <w:spacing w:line="360" w:lineRule="exact"/>
              <w:ind w:left="420" w:hanging="420" w:hangingChars="200"/>
              <w:textAlignment w:val="center"/>
              <w:rPr>
                <w:rFonts w:ascii="宋体" w:hAnsi="宋体" w:cs="宋体"/>
                <w:szCs w:val="21"/>
              </w:rPr>
            </w:pPr>
            <w:r>
              <w:rPr>
                <w:rFonts w:hint="eastAsia" w:ascii="宋体" w:hAnsi="宋体" w:cs="宋体"/>
                <w:szCs w:val="21"/>
              </w:rPr>
              <w:t>★1.设备采用外观≥2U的机架式服务器，配置32TB 企业级硬盘、1块128G SSD系统盘，标配≥4个千兆电口，≥2个万兆光口，配置双电源。</w:t>
            </w:r>
          </w:p>
          <w:p>
            <w:pPr>
              <w:keepNext/>
              <w:widowControl/>
              <w:spacing w:line="360" w:lineRule="exact"/>
              <w:textAlignment w:val="center"/>
              <w:rPr>
                <w:rFonts w:ascii="宋体" w:hAnsi="宋体" w:cs="宋体"/>
                <w:b/>
                <w:bCs/>
                <w:szCs w:val="21"/>
              </w:rPr>
            </w:pPr>
            <w:r>
              <w:rPr>
                <w:rFonts w:hint="eastAsia" w:ascii="宋体" w:hAnsi="宋体" w:cs="宋体"/>
                <w:b/>
                <w:bCs/>
                <w:szCs w:val="21"/>
              </w:rPr>
              <w:t>二、功能参数：</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szCs w:val="21"/>
              </w:rPr>
              <w:t>1.支持自动识别网络内部主机网段和外网网段；支持通过流量中的应用内容自动区分网络内部网段IP是属于PC还是服务器；</w:t>
            </w:r>
          </w:p>
          <w:p>
            <w:pPr>
              <w:keepNext/>
              <w:widowControl/>
              <w:spacing w:line="360" w:lineRule="exact"/>
              <w:ind w:left="420" w:hanging="420" w:hangingChars="200"/>
              <w:textAlignment w:val="center"/>
              <w:rPr>
                <w:rFonts w:ascii="宋体" w:hAnsi="宋体" w:cs="宋体"/>
                <w:szCs w:val="21"/>
              </w:rPr>
            </w:pPr>
            <w:r>
              <w:rPr>
                <w:rFonts w:hint="eastAsia" w:ascii="宋体" w:hAnsi="宋体" w:cs="宋体"/>
                <w:szCs w:val="21"/>
              </w:rPr>
              <w:t>★2.支持基于流量实时漏洞功能，漏洞分析类型包含配置错误漏洞、OpenSSH漏洞、目录遍历漏洞、OpenLDAP等操作系统、数据库、Web应用等，页面上支持展</w:t>
            </w:r>
            <w:r>
              <w:rPr>
                <w:rFonts w:hint="eastAsia" w:ascii="宋体" w:hAnsi="宋体" w:cs="宋体"/>
                <w:color w:val="auto"/>
                <w:szCs w:val="21"/>
              </w:rPr>
              <w:t>示业务脆弱性风险分布、漏洞类型分析、漏洞态势与危害和处置建议，并支持导出脆弱性感知报告；（</w:t>
            </w:r>
            <w:r>
              <w:rPr>
                <w:rFonts w:hint="eastAsia" w:ascii="宋体" w:hAnsi="宋体" w:cs="宋体"/>
                <w:color w:val="auto"/>
                <w:szCs w:val="21"/>
                <w:lang w:eastAsia="zh-CN"/>
              </w:rPr>
              <w:t>在投标文件中</w:t>
            </w:r>
            <w:r>
              <w:rPr>
                <w:rFonts w:hint="eastAsia" w:ascii="宋体" w:hAnsi="宋体" w:cs="宋体"/>
                <w:color w:val="auto"/>
                <w:szCs w:val="21"/>
              </w:rPr>
              <w:t>提供产品界</w:t>
            </w:r>
            <w:r>
              <w:rPr>
                <w:rFonts w:hint="eastAsia" w:ascii="宋体" w:hAnsi="宋体" w:cs="宋体"/>
                <w:szCs w:val="21"/>
              </w:rPr>
              <w:t>面截图）</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szCs w:val="21"/>
              </w:rPr>
              <w:t>3.支持自动识别已知服务器，通过被动检测机制，对经过探针的流量进行分析，识别已知服务器对外提供的所有服务、已开放端口及端口传输的协议/应用等；</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szCs w:val="21"/>
              </w:rPr>
              <w:t xml:space="preserve">4.支持通过镜像流量检测web流量中是否存在可截获的口令信息，分析web业务系统是否存在明文传输情况，避免因明文传输导致信息泄露的风险； </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szCs w:val="21"/>
              </w:rPr>
              <w:t>5.支持流量分析实时发现操作系统、数据库、web应用等存在的漏洞风险，看清网络脆弱性，并支持生成漏洞检测报告。具备僵尸网络识别能力，行为规则近40万条；</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szCs w:val="21"/>
              </w:rPr>
              <w:t xml:space="preserve">6.支持通过云端沙盒对全球威胁情报源进行验证，提取有效信息形成规则定期更新到僵尸网络识别库，增量提升检测能力；支持DNSFlow分析引擎，利用机器学习算法结合威胁情报，能够从大量的样本中进行学习，总结其伪装的规律，从而发现伪装的恶意DNS协议； </w:t>
            </w:r>
          </w:p>
          <w:p>
            <w:pPr>
              <w:keepNext/>
              <w:widowControl/>
              <w:spacing w:line="360" w:lineRule="exact"/>
              <w:ind w:left="420" w:hanging="420" w:hangingChars="200"/>
              <w:textAlignment w:val="center"/>
              <w:rPr>
                <w:rFonts w:ascii="宋体" w:hAnsi="宋体" w:cs="宋体"/>
                <w:color w:val="auto"/>
                <w:szCs w:val="21"/>
              </w:rPr>
            </w:pPr>
            <w:r>
              <w:rPr>
                <w:rFonts w:hint="eastAsia" w:ascii="宋体" w:hAnsi="宋体" w:cs="宋体"/>
                <w:szCs w:val="21"/>
              </w:rPr>
              <w:t>★7.具备安全日志分析引擎、DnsFlow行为分析引擎、HttpFLow分析引擎、NetFLow分析引擎、MailFLow分析引擎、SmbFLow分析引擎、威胁情报分析关联</w:t>
            </w:r>
            <w:r>
              <w:rPr>
                <w:rFonts w:hint="eastAsia" w:ascii="宋体" w:hAnsi="宋体" w:cs="宋体"/>
                <w:color w:val="auto"/>
                <w:szCs w:val="21"/>
              </w:rPr>
              <w:t>引擎、第三方安全检测引擎、文件威胁检测引擎等；（</w:t>
            </w:r>
            <w:r>
              <w:rPr>
                <w:rFonts w:hint="eastAsia" w:ascii="宋体" w:hAnsi="宋体" w:cs="宋体"/>
                <w:color w:val="auto"/>
                <w:szCs w:val="21"/>
                <w:lang w:eastAsia="zh-CN"/>
              </w:rPr>
              <w:t>在投标文件中</w:t>
            </w:r>
            <w:r>
              <w:rPr>
                <w:rFonts w:hint="eastAsia" w:ascii="宋体" w:hAnsi="宋体" w:cs="宋体"/>
                <w:color w:val="auto"/>
                <w:szCs w:val="21"/>
              </w:rPr>
              <w:t xml:space="preserve">提供产品界面截图） </w:t>
            </w:r>
          </w:p>
          <w:p>
            <w:pPr>
              <w:keepNext/>
              <w:widowControl/>
              <w:spacing w:line="360" w:lineRule="exact"/>
              <w:ind w:left="420" w:leftChars="100" w:hanging="210" w:hangingChars="100"/>
              <w:textAlignment w:val="center"/>
              <w:rPr>
                <w:rFonts w:ascii="宋体" w:hAnsi="宋体" w:cs="宋体"/>
                <w:color w:val="auto"/>
                <w:szCs w:val="21"/>
              </w:rPr>
            </w:pPr>
            <w:r>
              <w:rPr>
                <w:rFonts w:hint="eastAsia" w:ascii="宋体" w:hAnsi="宋体" w:cs="宋体"/>
                <w:color w:val="auto"/>
                <w:szCs w:val="21"/>
              </w:rPr>
              <w:t>8.支持检测业务的异常行为，从而识别业务是否已失陷被控制，并设立失陷等级和威胁等级展示当前业务的状态和产生的威胁程度；支持检测网络内部用户的异常行为，要求能够基于僵尸网络识别库，检测用户是否存在风险；</w:t>
            </w:r>
          </w:p>
          <w:p>
            <w:pPr>
              <w:keepNext/>
              <w:widowControl/>
              <w:spacing w:line="360" w:lineRule="exact"/>
              <w:ind w:left="420" w:hanging="420" w:hangingChars="200"/>
              <w:textAlignment w:val="center"/>
              <w:rPr>
                <w:rFonts w:ascii="宋体" w:hAnsi="宋体" w:cs="宋体"/>
                <w:color w:val="auto"/>
                <w:szCs w:val="21"/>
              </w:rPr>
            </w:pPr>
            <w:r>
              <w:rPr>
                <w:rFonts w:hint="eastAsia" w:ascii="宋体" w:hAnsi="宋体" w:cs="宋体"/>
                <w:color w:val="auto"/>
                <w:szCs w:val="21"/>
              </w:rPr>
              <w:t>★9.支持检测主机与C&amp;C服务器通信行为，支持区分国内外区域；支持检测从未知站点下载可执行文件、访问恶意链接、使用IRC协议进行通信、浏览最近30天注册域名、下载文件格式与实际文件不符、基于行为检测的木马远控、比特币挖矿等可疑访问行为，支持区分国内外区域和显示可疑行为访问趋势；（</w:t>
            </w:r>
            <w:r>
              <w:rPr>
                <w:rFonts w:hint="eastAsia" w:ascii="宋体" w:hAnsi="宋体" w:cs="宋体"/>
                <w:color w:val="auto"/>
                <w:szCs w:val="21"/>
                <w:lang w:eastAsia="zh-CN"/>
              </w:rPr>
              <w:t>在投标文件中</w:t>
            </w:r>
            <w:r>
              <w:rPr>
                <w:rFonts w:hint="eastAsia" w:ascii="宋体" w:hAnsi="宋体" w:cs="宋体"/>
                <w:color w:val="auto"/>
                <w:szCs w:val="21"/>
              </w:rPr>
              <w:t>提供产品界面截图）</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color w:val="auto"/>
                <w:szCs w:val="21"/>
              </w:rPr>
              <w:t>10.支持检测违规访问策略黑名单</w:t>
            </w:r>
            <w:r>
              <w:rPr>
                <w:rFonts w:hint="eastAsia" w:ascii="宋体" w:hAnsi="宋体" w:cs="宋体"/>
                <w:szCs w:val="21"/>
              </w:rPr>
              <w:t>或违反了白名单，或者违反了下一代防火墙中的应用控制策略的行为；支持检测服务器对外发起的远程登录、远程桌面、数据库等风险应用访问；支持检测主机对外发起的攻击行为；</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szCs w:val="21"/>
              </w:rPr>
              <w:t xml:space="preserve">11.支持对服务器、客户端的各种应用发起的漏洞攻击进行检测，包括20种攻击类型共9000+以上规则； </w:t>
            </w:r>
          </w:p>
          <w:p>
            <w:pPr>
              <w:keepNext/>
              <w:widowControl/>
              <w:spacing w:line="360" w:lineRule="exact"/>
              <w:ind w:left="420" w:leftChars="100" w:hanging="210" w:hangingChars="100"/>
              <w:textAlignment w:val="center"/>
              <w:rPr>
                <w:rFonts w:ascii="宋体" w:hAnsi="宋体" w:cs="宋体"/>
                <w:color w:val="auto"/>
                <w:szCs w:val="21"/>
              </w:rPr>
            </w:pPr>
            <w:r>
              <w:rPr>
                <w:rFonts w:hint="eastAsia" w:ascii="宋体" w:hAnsi="宋体" w:cs="宋体"/>
                <w:szCs w:val="21"/>
              </w:rPr>
              <w:t>12.支持以图形化大屏的服务器与漏洞实时态势，包括但不限于漏洞等级分布、TOP5漏洞、服务器操作系统分布、影响服务器的数量、被访问服</w:t>
            </w:r>
            <w:r>
              <w:rPr>
                <w:rFonts w:hint="eastAsia" w:ascii="宋体" w:hAnsi="宋体" w:cs="宋体"/>
                <w:color w:val="auto"/>
                <w:szCs w:val="21"/>
              </w:rPr>
              <w:t xml:space="preserve">务器TOP5、实时漏洞发现更新、业务对外开放TOP5端口； </w:t>
            </w:r>
          </w:p>
          <w:p>
            <w:pPr>
              <w:keepNext/>
              <w:widowControl/>
              <w:spacing w:line="360" w:lineRule="exact"/>
              <w:ind w:left="420" w:hanging="420" w:hangingChars="200"/>
              <w:textAlignment w:val="center"/>
              <w:rPr>
                <w:rFonts w:ascii="宋体" w:hAnsi="宋体" w:cs="宋体"/>
                <w:color w:val="auto"/>
                <w:szCs w:val="21"/>
              </w:rPr>
            </w:pPr>
            <w:r>
              <w:rPr>
                <w:rFonts w:hint="eastAsia" w:ascii="宋体" w:hAnsi="宋体" w:cs="宋体"/>
                <w:color w:val="auto"/>
                <w:szCs w:val="21"/>
              </w:rPr>
              <w:t>★13.支持接入防火墙、上网行为管理、终端EDR、DAS数据库审计等设备,并支持在页面中显示安全组件接入的数量和状态；（</w:t>
            </w:r>
            <w:r>
              <w:rPr>
                <w:rFonts w:hint="eastAsia" w:ascii="宋体" w:hAnsi="宋体" w:cs="宋体"/>
                <w:color w:val="auto"/>
                <w:szCs w:val="21"/>
                <w:lang w:eastAsia="zh-CN"/>
              </w:rPr>
              <w:t>在投标文件中</w:t>
            </w:r>
            <w:r>
              <w:rPr>
                <w:rFonts w:hint="eastAsia" w:ascii="宋体" w:hAnsi="宋体" w:cs="宋体"/>
                <w:color w:val="auto"/>
                <w:szCs w:val="21"/>
              </w:rPr>
              <w:t>提供产品界面截图）</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color w:val="auto"/>
                <w:szCs w:val="21"/>
              </w:rPr>
              <w:t>14.支持提供PDF格式报表形式的摘要报告，包含总体摘要、安全感知详情、UEBA行为画像、安全规划建设建议等</w:t>
            </w:r>
            <w:r>
              <w:rPr>
                <w:rFonts w:hint="eastAsia" w:ascii="宋体" w:hAnsi="宋体" w:cs="宋体"/>
                <w:szCs w:val="21"/>
              </w:rPr>
              <w:t>，从整体展示安全状况，快速了解业务和网络的安全风险支持对业务的外连行为进行监测，以可视化的方式展示业务外连的地域分布、是否存在风险、外连趋势等；</w:t>
            </w:r>
          </w:p>
          <w:p>
            <w:pPr>
              <w:keepNext/>
              <w:widowControl/>
              <w:spacing w:line="360" w:lineRule="exact"/>
              <w:ind w:left="420" w:hanging="420" w:hangingChars="200"/>
              <w:textAlignment w:val="center"/>
              <w:rPr>
                <w:rFonts w:ascii="宋体" w:hAnsi="宋体" w:cs="宋体"/>
                <w:color w:val="auto"/>
                <w:szCs w:val="21"/>
              </w:rPr>
            </w:pPr>
            <w:r>
              <w:rPr>
                <w:rFonts w:hint="eastAsia" w:ascii="宋体" w:hAnsi="宋体" w:cs="宋体"/>
                <w:szCs w:val="21"/>
              </w:rPr>
              <w:t>★15.支持基于用户/业务维度的访问关系梳理，可呈现该用户/业务已经通过哪些应用、协议和端口访问了哪些业务，这些访问是否是攻击、违规、远程登陆等行为，IT人员可清晰的看出已对哪些业务存在影响，也能推导当</w:t>
            </w:r>
            <w:r>
              <w:rPr>
                <w:rFonts w:hint="eastAsia" w:ascii="宋体" w:hAnsi="宋体" w:cs="宋体"/>
                <w:color w:val="auto"/>
                <w:szCs w:val="21"/>
              </w:rPr>
              <w:t>前用户是否已失陷（或可疑）；（</w:t>
            </w:r>
            <w:r>
              <w:rPr>
                <w:rFonts w:hint="eastAsia" w:ascii="宋体" w:hAnsi="宋体" w:cs="宋体"/>
                <w:color w:val="auto"/>
                <w:szCs w:val="21"/>
                <w:lang w:eastAsia="zh-CN"/>
              </w:rPr>
              <w:t>在投标文件中</w:t>
            </w:r>
            <w:r>
              <w:rPr>
                <w:rFonts w:hint="eastAsia" w:ascii="宋体" w:hAnsi="宋体" w:cs="宋体"/>
                <w:color w:val="auto"/>
                <w:szCs w:val="21"/>
              </w:rPr>
              <w:t>提供产品界面截图）</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color w:val="auto"/>
                <w:szCs w:val="21"/>
              </w:rPr>
              <w:t>16.支持检索接入设备传输过来的所有安全日志，可基于时间、攻击类型、严重等级等选择项进行组合查询，可基于具体设备、来源/目的所属、IP地址、特征</w:t>
            </w:r>
            <w:r>
              <w:rPr>
                <w:rFonts w:hint="eastAsia" w:ascii="宋体" w:hAnsi="宋体" w:cs="宋体"/>
                <w:szCs w:val="21"/>
              </w:rPr>
              <w:t xml:space="preserve">ID、URL进行具体条件搜索； </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szCs w:val="21"/>
              </w:rPr>
              <w:t>17.支持以邮件的形式及时将发现的失陷业务、失陷用户、攻击成功事件等安全事件进行告警，支持根据安全事件类型配置发送间隔和触发条件；</w:t>
            </w:r>
          </w:p>
          <w:p>
            <w:pPr>
              <w:keepNext/>
              <w:widowControl/>
              <w:spacing w:line="360" w:lineRule="exact"/>
              <w:ind w:left="420" w:leftChars="100" w:hanging="210" w:hangingChars="100"/>
              <w:textAlignment w:val="center"/>
              <w:rPr>
                <w:rFonts w:ascii="宋体" w:hAnsi="宋体" w:cs="宋体"/>
                <w:szCs w:val="21"/>
              </w:rPr>
            </w:pPr>
            <w:r>
              <w:rPr>
                <w:rFonts w:hint="eastAsia" w:ascii="宋体" w:hAnsi="宋体" w:cs="宋体"/>
                <w:szCs w:val="21"/>
              </w:rPr>
              <w:t xml:space="preserve">18.支持管控接入探针的统一升级，可展示当前所有接入探针的规则库日期、是否过期等，并支持禁用指定探针的升级； </w:t>
            </w:r>
          </w:p>
          <w:p>
            <w:pPr>
              <w:keepNext/>
              <w:widowControl/>
              <w:spacing w:line="360" w:lineRule="exact"/>
              <w:textAlignment w:val="center"/>
              <w:rPr>
                <w:rFonts w:ascii="宋体" w:hAnsi="宋体" w:cs="宋体"/>
                <w:szCs w:val="21"/>
              </w:rPr>
            </w:pPr>
            <w:r>
              <w:rPr>
                <w:rFonts w:hint="eastAsia" w:ascii="宋体" w:hAnsi="宋体" w:cs="宋体"/>
                <w:szCs w:val="21"/>
              </w:rPr>
              <w:t>★19. 3年产品质保和软件升级。</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hint="eastAsia" w:ascii="宋体" w:hAnsi="宋体" w:cs="宋体"/>
                <w:szCs w:val="21"/>
                <w:lang w:val="en-US" w:eastAsia="zh-CN"/>
              </w:rPr>
            </w:pPr>
            <w:r>
              <w:rPr>
                <w:rFonts w:hint="eastAsia" w:ascii="宋体" w:hAnsi="宋体" w:cs="宋体"/>
                <w:szCs w:val="21"/>
              </w:rPr>
              <w:t>负载均衡</w:t>
            </w:r>
            <w:r>
              <w:rPr>
                <w:rFonts w:hint="eastAsia" w:ascii="宋体" w:hAnsi="宋体" w:cs="宋体"/>
                <w:szCs w:val="21"/>
                <w:lang w:val="en-US" w:eastAsia="zh-CN"/>
              </w:rPr>
              <w:t xml:space="preserve">  </w:t>
            </w:r>
          </w:p>
          <w:p>
            <w:pPr>
              <w:keepNext/>
              <w:widowControl/>
              <w:spacing w:line="360" w:lineRule="exact"/>
              <w:jc w:val="center"/>
              <w:textAlignment w:val="center"/>
              <w:rPr>
                <w:rFonts w:ascii="宋体" w:hAnsi="宋体" w:cs="宋体"/>
                <w:szCs w:val="21"/>
              </w:rPr>
            </w:pPr>
            <w:r>
              <w:rPr>
                <w:rFonts w:hint="eastAsia" w:ascii="宋体" w:hAnsi="宋体" w:cs="宋体"/>
                <w:szCs w:val="21"/>
                <w:lang w:eastAsia="zh-CN"/>
              </w:rPr>
              <w:t>（核心产品）</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ind w:left="420" w:hanging="420" w:hangingChars="200"/>
              <w:jc w:val="left"/>
              <w:textAlignment w:val="center"/>
              <w:rPr>
                <w:rFonts w:ascii="宋体" w:hAnsi="宋体" w:cs="宋体"/>
                <w:kern w:val="0"/>
                <w:szCs w:val="21"/>
              </w:rPr>
            </w:pPr>
            <w:r>
              <w:rPr>
                <w:rFonts w:hint="eastAsia" w:ascii="宋体" w:hAnsi="宋体" w:cs="宋体"/>
                <w:kern w:val="0"/>
                <w:szCs w:val="21"/>
              </w:rPr>
              <w:t>★1.要求为国产化品牌，独立专业负载设备，非插卡式扩展的负载均衡设备，千兆电口≥6个；千兆光口SFP≥4个；万兆光口≥2个；四层吞吐量≥15Gbps；并发连接数≥3000000；4层新建连接数 CPS≥210000；7层新建连接数 RPS≥100000；</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2.能够提供包括多数据中心负载均衡、多链路负载均衡、服务器负载均衡的全方位解决方案。不仅实现对各个数据中心、链路以及服务器状态的实时监控，同时根据预设规则，将用户的访问请求分配给相应的数据中心、链路以及服务器，进而实现数据流的合理分配，使所有的数据中心、链路和服务器都得到充分的利用；</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3.部署方式支持串接部署、旁路部署；支持三角传输模式；</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4.设备形态必须独立专业负载设备，非插卡式扩展的负载均衡设备；</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5.提供针对多条出口线路的链路负载均衡功能，实现inbound和outbound流量的均衡调度，以及链路之间的冗余互备；</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kern w:val="0"/>
                <w:szCs w:val="21"/>
              </w:rPr>
              <w:t>★6.支持静态IP和PPPOE两种线路接入方式；</w:t>
            </w:r>
            <w:r>
              <w:rPr>
                <w:rFonts w:hint="eastAsia" w:ascii="宋体" w:hAnsi="宋体" w:cs="宋体"/>
                <w:color w:val="auto"/>
                <w:kern w:val="0"/>
                <w:szCs w:val="21"/>
              </w:rPr>
              <w:t>（</w:t>
            </w:r>
            <w:r>
              <w:rPr>
                <w:rFonts w:hint="eastAsia" w:ascii="宋体" w:hAnsi="宋体" w:cs="宋体"/>
                <w:color w:val="auto"/>
                <w:szCs w:val="21"/>
                <w:lang w:eastAsia="zh-CN"/>
              </w:rPr>
              <w:t>在投标文件中</w:t>
            </w:r>
            <w:r>
              <w:rPr>
                <w:rFonts w:hint="eastAsia" w:ascii="宋体" w:hAnsi="宋体" w:cs="宋体"/>
                <w:color w:val="auto"/>
                <w:kern w:val="0"/>
                <w:szCs w:val="21"/>
              </w:rPr>
              <w:t>提供设备操作界面截图证明材料）</w:t>
            </w:r>
          </w:p>
          <w:p>
            <w:pPr>
              <w:keepNext/>
              <w:widowControl/>
              <w:spacing w:line="360" w:lineRule="exact"/>
              <w:ind w:left="420" w:leftChars="100" w:hanging="210" w:hangingChars="100"/>
              <w:jc w:val="left"/>
              <w:textAlignment w:val="center"/>
              <w:rPr>
                <w:rFonts w:ascii="宋体" w:hAnsi="宋体" w:cs="宋体"/>
                <w:color w:val="auto"/>
                <w:kern w:val="0"/>
                <w:szCs w:val="21"/>
              </w:rPr>
            </w:pPr>
            <w:r>
              <w:rPr>
                <w:rFonts w:hint="eastAsia" w:ascii="宋体" w:hAnsi="宋体" w:cs="宋体"/>
                <w:color w:val="auto"/>
                <w:kern w:val="0"/>
                <w:szCs w:val="21"/>
              </w:rPr>
              <w:t>7.提供针对多站点业务发布的全局负载均衡功能，通过智能DNS等机制实现公网用户对多个数据中心或单个数据中心多条线路的最佳访问；</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color w:val="auto"/>
                <w:kern w:val="0"/>
                <w:szCs w:val="21"/>
              </w:rPr>
              <w:t>★8.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r>
              <w:rPr>
                <w:rFonts w:hint="eastAsia" w:ascii="宋体" w:hAnsi="宋体" w:cs="宋体"/>
                <w:color w:val="auto"/>
                <w:szCs w:val="21"/>
                <w:lang w:eastAsia="zh-CN"/>
              </w:rPr>
              <w:t>在投标文件中</w:t>
            </w:r>
            <w:r>
              <w:rPr>
                <w:rFonts w:hint="eastAsia" w:ascii="宋体" w:hAnsi="宋体" w:cs="宋体"/>
                <w:color w:val="auto"/>
                <w:kern w:val="0"/>
                <w:szCs w:val="21"/>
              </w:rPr>
              <w:t>提供设备操作界面截图证明材料）</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kern w:val="0"/>
                <w:szCs w:val="21"/>
              </w:rPr>
              <w:t>★9.支持主动探测方式与被动观测方式结合使用的服务器健康检查手</w:t>
            </w:r>
            <w:r>
              <w:rPr>
                <w:rFonts w:hint="eastAsia" w:ascii="宋体" w:hAnsi="宋体" w:cs="宋体"/>
                <w:color w:val="auto"/>
                <w:kern w:val="0"/>
                <w:szCs w:val="21"/>
              </w:rPr>
              <w:t>段，以便适应各种复杂应用交互流程，保障业务系统的高可用性；（</w:t>
            </w:r>
            <w:r>
              <w:rPr>
                <w:rFonts w:hint="eastAsia" w:ascii="宋体" w:hAnsi="宋体" w:cs="宋体"/>
                <w:color w:val="auto"/>
                <w:szCs w:val="21"/>
                <w:lang w:eastAsia="zh-CN"/>
              </w:rPr>
              <w:t>在投标文件中</w:t>
            </w:r>
            <w:r>
              <w:rPr>
                <w:rFonts w:hint="eastAsia" w:ascii="宋体" w:hAnsi="宋体" w:cs="宋体"/>
                <w:color w:val="auto"/>
                <w:kern w:val="0"/>
                <w:szCs w:val="21"/>
              </w:rPr>
              <w:t>提供设备操作界面截图证明材料）</w:t>
            </w:r>
          </w:p>
          <w:p>
            <w:pPr>
              <w:keepNext/>
              <w:widowControl/>
              <w:spacing w:line="360" w:lineRule="exact"/>
              <w:ind w:left="420" w:leftChars="100" w:hanging="210" w:hangingChars="100"/>
              <w:jc w:val="left"/>
              <w:textAlignment w:val="center"/>
              <w:rPr>
                <w:rFonts w:ascii="宋体" w:hAnsi="宋体" w:cs="宋体"/>
                <w:color w:val="auto"/>
                <w:kern w:val="0"/>
                <w:szCs w:val="21"/>
              </w:rPr>
            </w:pPr>
            <w:r>
              <w:rPr>
                <w:rFonts w:hint="eastAsia" w:ascii="宋体" w:hAnsi="宋体" w:cs="宋体"/>
                <w:color w:val="auto"/>
                <w:kern w:val="0"/>
                <w:szCs w:val="21"/>
              </w:rPr>
              <w:t>10.对Oracle数据库和Weblogic中间件的关键性能指标监控，并通过报表的形式多维度实时展现关键性能参数；</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color w:val="auto"/>
                <w:kern w:val="0"/>
                <w:szCs w:val="21"/>
              </w:rPr>
              <w:t>★11.支持图片优化技术，通过对图片格式的转换，减少传输流量，提升web页面加载速度。无需改动服务器端的图片源文件，可根据浏览器种类自动识别转换类型，将图片转换为对应支持的WebP或JPEG格式，优化加速效果；（</w:t>
            </w:r>
            <w:r>
              <w:rPr>
                <w:rFonts w:hint="eastAsia" w:ascii="宋体" w:hAnsi="宋体" w:cs="宋体"/>
                <w:color w:val="auto"/>
                <w:szCs w:val="21"/>
                <w:lang w:eastAsia="zh-CN"/>
              </w:rPr>
              <w:t>在投标文件中</w:t>
            </w:r>
            <w:r>
              <w:rPr>
                <w:rFonts w:hint="eastAsia" w:ascii="宋体" w:hAnsi="宋体" w:cs="宋体"/>
                <w:color w:val="auto"/>
                <w:kern w:val="0"/>
                <w:szCs w:val="21"/>
              </w:rPr>
              <w:t>提供设备操作界面截图证明材料）</w:t>
            </w:r>
          </w:p>
          <w:p>
            <w:pPr>
              <w:keepNext/>
              <w:widowControl/>
              <w:spacing w:line="360" w:lineRule="exact"/>
              <w:ind w:left="420" w:leftChars="100" w:hanging="210" w:hangingChars="100"/>
              <w:jc w:val="left"/>
              <w:textAlignment w:val="center"/>
              <w:rPr>
                <w:rFonts w:ascii="宋体" w:hAnsi="宋体" w:cs="宋体"/>
                <w:color w:val="auto"/>
                <w:kern w:val="0"/>
                <w:szCs w:val="21"/>
              </w:rPr>
            </w:pPr>
            <w:r>
              <w:rPr>
                <w:rFonts w:hint="eastAsia" w:ascii="宋体" w:hAnsi="宋体" w:cs="宋体"/>
                <w:color w:val="auto"/>
                <w:kern w:val="0"/>
                <w:szCs w:val="21"/>
              </w:rPr>
              <w:t>12.支持DNS透明代理功能，可基于负载均衡算法代理内网用户进行DNS请求转发，避免单运营商DNS解析出现单一链路流量过载，平衡多条运营商线路的带宽利用率；</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color w:val="auto"/>
                <w:kern w:val="0"/>
                <w:szCs w:val="21"/>
              </w:rPr>
              <w:t>★13.支持基于链路流量负荷情况的繁忙保护机制，能根据链路的上行/下行带宽占用率情况执行对出站/入站流量的高级调度策略；（</w:t>
            </w:r>
            <w:r>
              <w:rPr>
                <w:rFonts w:hint="eastAsia" w:ascii="宋体" w:hAnsi="宋体" w:cs="宋体"/>
                <w:color w:val="auto"/>
                <w:szCs w:val="21"/>
                <w:lang w:eastAsia="zh-CN"/>
              </w:rPr>
              <w:t>在投标文件中</w:t>
            </w:r>
            <w:r>
              <w:rPr>
                <w:rFonts w:hint="eastAsia" w:ascii="宋体" w:hAnsi="宋体" w:cs="宋体"/>
                <w:color w:val="auto"/>
                <w:kern w:val="0"/>
                <w:szCs w:val="21"/>
              </w:rPr>
              <w:t>提供设备操作界面截图证明材料）</w:t>
            </w:r>
          </w:p>
          <w:p>
            <w:pPr>
              <w:keepNext/>
              <w:widowControl/>
              <w:spacing w:line="360" w:lineRule="exact"/>
              <w:ind w:left="420" w:leftChars="100" w:hanging="210" w:hangingChars="100"/>
              <w:jc w:val="left"/>
              <w:textAlignment w:val="center"/>
            </w:pPr>
            <w:r>
              <w:rPr>
                <w:rFonts w:hint="eastAsia" w:ascii="宋体" w:hAnsi="宋体" w:cs="宋体"/>
                <w:color w:val="auto"/>
                <w:kern w:val="0"/>
                <w:szCs w:val="21"/>
              </w:rPr>
              <w:t>14.支持服务器浪涌保护，支</w:t>
            </w:r>
            <w:r>
              <w:rPr>
                <w:rFonts w:hint="eastAsia" w:ascii="宋体" w:hAnsi="宋体" w:cs="宋体"/>
                <w:kern w:val="0"/>
                <w:szCs w:val="21"/>
              </w:rPr>
              <w:t>持面向服务器健康度的弹性调控机制，可通过监控业务流中的TCP传输异常来衡量服务器节点的有效性，尝试对性能不足的服务器临时开启过载保护，动态调节服务器的负载；</w:t>
            </w:r>
          </w:p>
          <w:p>
            <w:pPr>
              <w:keepNext/>
              <w:widowControl/>
              <w:spacing w:line="360" w:lineRule="exact"/>
              <w:ind w:left="420" w:hanging="420" w:hangingChars="200"/>
              <w:jc w:val="left"/>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.支持实时漏洞检测功能，通过对实时流量进行安全性分析来评估业务系统的漏洞风险；</w:t>
            </w:r>
          </w:p>
          <w:p>
            <w:pPr>
              <w:keepNext/>
              <w:widowControl/>
              <w:spacing w:line="360" w:lineRule="exact"/>
              <w:jc w:val="left"/>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 3年产品质保和软件升级。</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szCs w:val="21"/>
              </w:rPr>
            </w:pPr>
            <w:r>
              <w:rPr>
                <w:rFonts w:hint="eastAsia" w:ascii="宋体" w:hAnsi="宋体" w:cs="宋体"/>
                <w:szCs w:val="21"/>
              </w:rPr>
              <w:t>5</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hint="eastAsia" w:ascii="宋体" w:hAnsi="宋体" w:cs="宋体"/>
                <w:kern w:val="0"/>
                <w:szCs w:val="21"/>
                <w:lang w:val="en-US" w:eastAsia="zh-CN" w:bidi="ar"/>
              </w:rPr>
            </w:pPr>
            <w:r>
              <w:rPr>
                <w:rFonts w:hint="eastAsia" w:ascii="宋体" w:hAnsi="宋体" w:cs="宋体"/>
                <w:kern w:val="0"/>
                <w:szCs w:val="21"/>
                <w:lang w:bidi="ar"/>
              </w:rPr>
              <w:t>出口防火墙</w:t>
            </w:r>
            <w:r>
              <w:rPr>
                <w:rFonts w:hint="eastAsia" w:ascii="宋体" w:hAnsi="宋体" w:cs="宋体"/>
                <w:kern w:val="0"/>
                <w:szCs w:val="21"/>
                <w:lang w:val="en-US" w:eastAsia="zh-CN" w:bidi="ar"/>
              </w:rPr>
              <w:t xml:space="preserve">  </w:t>
            </w:r>
          </w:p>
          <w:p>
            <w:pPr>
              <w:keepNext/>
              <w:widowControl/>
              <w:spacing w:line="360" w:lineRule="exact"/>
              <w:jc w:val="center"/>
              <w:textAlignment w:val="center"/>
              <w:rPr>
                <w:rFonts w:hint="default" w:ascii="宋体" w:hAnsi="宋体" w:eastAsia="宋体" w:cs="宋体"/>
                <w:kern w:val="0"/>
                <w:szCs w:val="21"/>
                <w:lang w:val="en-US" w:eastAsia="zh-CN" w:bidi="ar"/>
              </w:rPr>
            </w:pPr>
            <w:r>
              <w:rPr>
                <w:rFonts w:hint="eastAsia" w:ascii="宋体" w:hAnsi="宋体" w:cs="宋体"/>
                <w:szCs w:val="21"/>
                <w:lang w:eastAsia="zh-CN"/>
              </w:rPr>
              <w:t>（核心产品）</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1.性能指标：网络层吞吐量≥50Gbps，应用层吞吐量≥13Gbps；IPS吞吐量≥2.5G，防病毒吞吐≥4G， 并发连接数≥410W，新建连接数≥30W；</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2.硬件指标：2U规格；内存大小≥16G；双电源；标配≥6个千兆电口，≥4个万兆光口。</w:t>
            </w:r>
          </w:p>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一、功能参数：</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 xml:space="preserve">1.支持RIPv1/v2，OSPFv2/v3，BGP等动态路由协议；支持静态路由，ECMP等价路由；支持多播/组播路由协议； </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kern w:val="0"/>
                <w:szCs w:val="21"/>
              </w:rPr>
              <w:t>★2.支持多链路出站</w:t>
            </w:r>
            <w:r>
              <w:rPr>
                <w:rFonts w:hint="eastAsia" w:ascii="宋体" w:hAnsi="宋体" w:cs="宋体"/>
                <w:color w:val="auto"/>
                <w:kern w:val="0"/>
                <w:szCs w:val="21"/>
              </w:rPr>
              <w:t>负载，支持基于源/目的IP、源/目的端口、协议、ISP、应用类型以及国家/地域来进行选路的策略路由选路功能；（</w:t>
            </w:r>
            <w:r>
              <w:rPr>
                <w:rFonts w:hint="eastAsia" w:ascii="宋体" w:hAnsi="宋体" w:cs="宋体"/>
                <w:color w:val="auto"/>
                <w:szCs w:val="21"/>
                <w:lang w:eastAsia="zh-CN"/>
              </w:rPr>
              <w:t>在投标文件中</w:t>
            </w:r>
            <w:r>
              <w:rPr>
                <w:rFonts w:hint="eastAsia" w:ascii="宋体" w:hAnsi="宋体" w:cs="宋体"/>
                <w:color w:val="auto"/>
                <w:kern w:val="0"/>
                <w:szCs w:val="21"/>
              </w:rPr>
              <w:t>提供产品界面截图）</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color w:val="auto"/>
                <w:kern w:val="0"/>
                <w:szCs w:val="21"/>
              </w:rPr>
              <w:t>3.支持IPv4／v6 NAT</w:t>
            </w:r>
            <w:r>
              <w:rPr>
                <w:rFonts w:hint="eastAsia" w:ascii="宋体" w:hAnsi="宋体" w:cs="宋体"/>
                <w:kern w:val="0"/>
                <w:szCs w:val="21"/>
              </w:rPr>
              <w:t xml:space="preserve">地址转换，支持源目的地址转换，目的地址转换和双向地址转换；支持NAT64、NAT46 地址转换； </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 xml:space="preserve">4.访问控制规则支持模拟策略匹配，输入源目的IP、端口、协议五元组信息，模拟策略匹配方式，给出最可能的匹配结果，方便排查故障，或环境部署前的调试； </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5.能够识别管控的应用类型超过1200种，应用识别规则总数超过3000条；支持基于应用类型，网站类型，文件类型进行带宽分配和流量控制，支持基于时间、认证用户和VLAN进行流量控制；</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kern w:val="0"/>
                <w:szCs w:val="21"/>
              </w:rPr>
              <w:t>★6.设备具备独立的入侵防护漏洞规则特征库，特征总数在7000条以上；支持同防火墙访问控制规</w:t>
            </w:r>
            <w:r>
              <w:rPr>
                <w:rFonts w:hint="eastAsia" w:ascii="宋体" w:hAnsi="宋体" w:cs="宋体"/>
                <w:color w:val="auto"/>
                <w:kern w:val="0"/>
                <w:szCs w:val="21"/>
              </w:rPr>
              <w:t>则进行联动，可以针对检测到的攻击源IP进行联动封锁，支持自定义封锁时间；（</w:t>
            </w:r>
            <w:r>
              <w:rPr>
                <w:rFonts w:hint="eastAsia" w:ascii="宋体" w:hAnsi="宋体" w:cs="宋体"/>
                <w:color w:val="auto"/>
                <w:szCs w:val="21"/>
                <w:lang w:eastAsia="zh-CN"/>
              </w:rPr>
              <w:t>在投标文件中</w:t>
            </w:r>
            <w:r>
              <w:rPr>
                <w:rFonts w:hint="eastAsia" w:ascii="宋体" w:hAnsi="宋体" w:cs="宋体"/>
                <w:color w:val="auto"/>
                <w:kern w:val="0"/>
                <w:szCs w:val="21"/>
              </w:rPr>
              <w:t>提供产品界面截图）</w:t>
            </w:r>
          </w:p>
          <w:p>
            <w:pPr>
              <w:keepNext/>
              <w:widowControl/>
              <w:spacing w:line="360" w:lineRule="exact"/>
              <w:ind w:left="420" w:leftChars="100" w:hanging="210" w:hangingChars="100"/>
              <w:jc w:val="left"/>
              <w:textAlignment w:val="center"/>
              <w:rPr>
                <w:rFonts w:ascii="宋体" w:hAnsi="宋体" w:cs="宋体"/>
                <w:color w:val="auto"/>
                <w:kern w:val="0"/>
                <w:szCs w:val="21"/>
              </w:rPr>
            </w:pPr>
            <w:r>
              <w:rPr>
                <w:rFonts w:hint="eastAsia" w:ascii="宋体" w:hAnsi="宋体" w:cs="宋体"/>
                <w:color w:val="auto"/>
                <w:kern w:val="0"/>
                <w:szCs w:val="21"/>
              </w:rPr>
              <w:t xml:space="preserve">7.支持Land、Smurf、Fraggle、WinNuke、Ping of Death、Tear Drop、IP Spoofing攻击防护，支持SYN Flood、IPv4和IPv6 ICMP Flood、UDP Flood、DNS Flood、ARP Flood攻击防护，支持IP地址扫描，端口扫描防护，支持ARP欺骗防护功能、支持IP协议异常报文检测和TCP协议异常报文检测； </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8.支持对常见应用服务（HTTP、FTP、SSH、SMTP、IMAP、POP3、 RDP、Rlogin、SMB、Telnet）和数据库软件（MySQL、Oracle、MSSQL）的口令暴力破解防护功能；</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9.具备对常见网络协议(SSH、FTP、RDP、VNC、Netbios) 和数据库(MySQL、Oracle、MSSQL)的弱密码扫描功能；</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kern w:val="0"/>
                <w:szCs w:val="21"/>
              </w:rPr>
              <w:t>★10.设备具备独立的热门威胁库，支持木马、勒索软件、蠕虫、挖矿病毒等种类，特征总数在50万条以上；支持恶意域名重定向功能，用于DNS代理服务器场景下定位内网感染僵尸网络病毒的真实主机IP地址；支持对终端已被种植了远控木马或者病毒等恶意软件进行检测，并且能够对检测到的恶意软件行为进行深入的分析，展示和外部命令控制服务器的交互行为</w:t>
            </w:r>
            <w:r>
              <w:rPr>
                <w:rFonts w:hint="eastAsia" w:ascii="宋体" w:hAnsi="宋体" w:cs="宋体"/>
                <w:color w:val="auto"/>
                <w:kern w:val="0"/>
                <w:szCs w:val="21"/>
              </w:rPr>
              <w:t>和其他可疑行为；（</w:t>
            </w:r>
            <w:r>
              <w:rPr>
                <w:rFonts w:hint="eastAsia" w:ascii="宋体" w:hAnsi="宋体" w:cs="宋体"/>
                <w:color w:val="auto"/>
                <w:szCs w:val="21"/>
                <w:lang w:eastAsia="zh-CN"/>
              </w:rPr>
              <w:t>在投标文件中</w:t>
            </w:r>
            <w:r>
              <w:rPr>
                <w:rFonts w:hint="eastAsia" w:ascii="宋体" w:hAnsi="宋体" w:cs="宋体"/>
                <w:color w:val="auto"/>
                <w:kern w:val="0"/>
                <w:szCs w:val="21"/>
              </w:rPr>
              <w:t>提供产品界面截图）</w:t>
            </w:r>
          </w:p>
          <w:p>
            <w:pPr>
              <w:keepNext/>
              <w:widowControl/>
              <w:spacing w:line="360" w:lineRule="exact"/>
              <w:ind w:left="420" w:leftChars="100" w:hanging="210" w:hangingChars="100"/>
              <w:jc w:val="left"/>
              <w:textAlignment w:val="center"/>
              <w:rPr>
                <w:rFonts w:ascii="宋体" w:hAnsi="宋体" w:cs="宋体"/>
                <w:color w:val="auto"/>
                <w:kern w:val="0"/>
                <w:szCs w:val="21"/>
              </w:rPr>
            </w:pPr>
            <w:r>
              <w:rPr>
                <w:rFonts w:hint="eastAsia" w:ascii="宋体" w:hAnsi="宋体" w:cs="宋体"/>
                <w:color w:val="auto"/>
                <w:kern w:val="0"/>
                <w:szCs w:val="21"/>
              </w:rPr>
              <w:t>11.支持业务安全和用户安全的风险展示；支持全网实时热点事件展示；支持在同一个界面对全网所有服务器和主机的安全状况进行风险评估，支持对当前所有业务的安全防护状态进行动态保护；</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color w:val="auto"/>
                <w:kern w:val="0"/>
                <w:szCs w:val="21"/>
              </w:rPr>
              <w:t>★12.支持资产的自动发现以及资产脆弱性和服务器开放端口的自动识别，支持包含敏感数据业务的识别；支持对检测到的攻击行为按照IP地址的地理位置信息进行威胁信息动态展示，实时监测和展示最新的攻击威胁信息；（</w:t>
            </w:r>
            <w:r>
              <w:rPr>
                <w:rFonts w:hint="eastAsia" w:ascii="宋体" w:hAnsi="宋体" w:cs="宋体"/>
                <w:color w:val="auto"/>
                <w:szCs w:val="21"/>
                <w:lang w:eastAsia="zh-CN"/>
              </w:rPr>
              <w:t>在投标文件中</w:t>
            </w:r>
            <w:r>
              <w:rPr>
                <w:rFonts w:hint="eastAsia" w:ascii="宋体" w:hAnsi="宋体" w:cs="宋体"/>
                <w:color w:val="auto"/>
                <w:kern w:val="0"/>
                <w:szCs w:val="21"/>
              </w:rPr>
              <w:t>提供产品界面截图）</w:t>
            </w:r>
          </w:p>
          <w:p>
            <w:pPr>
              <w:keepNext/>
              <w:widowControl/>
              <w:spacing w:line="360" w:lineRule="exact"/>
              <w:ind w:left="420" w:leftChars="100" w:hanging="210" w:hangingChars="100"/>
              <w:jc w:val="left"/>
              <w:textAlignment w:val="center"/>
              <w:rPr>
                <w:rFonts w:ascii="宋体" w:hAnsi="宋体" w:cs="宋体"/>
                <w:color w:val="auto"/>
                <w:kern w:val="0"/>
                <w:szCs w:val="21"/>
              </w:rPr>
            </w:pPr>
            <w:r>
              <w:rPr>
                <w:rFonts w:hint="eastAsia" w:ascii="宋体" w:hAnsi="宋体" w:cs="宋体"/>
                <w:color w:val="auto"/>
                <w:kern w:val="0"/>
                <w:szCs w:val="21"/>
              </w:rPr>
              <w:t xml:space="preserve">13.支持自动生成安全风险报表，报表内容体现被保护对象的整体安全等级，发现漏洞情况以及遭受到攻击的漏洞统计，具备有效攻击行为次数统计和攻击举证； </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color w:val="auto"/>
                <w:kern w:val="0"/>
                <w:szCs w:val="21"/>
              </w:rPr>
              <w:t>★14.支持抵御SQL注入、XSS攻击、网页木马、网站扫描、WEBSHELL、跨站请求伪造、系统命令注入、文件包含攻击、目录遍历攻击、信息泄露攻击、WEB整站系统漏洞等攻击；（</w:t>
            </w:r>
            <w:r>
              <w:rPr>
                <w:rFonts w:hint="eastAsia" w:ascii="宋体" w:hAnsi="宋体" w:cs="宋体"/>
                <w:color w:val="auto"/>
                <w:szCs w:val="21"/>
                <w:lang w:eastAsia="zh-CN"/>
              </w:rPr>
              <w:t>在投标文件中</w:t>
            </w:r>
            <w:r>
              <w:rPr>
                <w:rFonts w:hint="eastAsia" w:ascii="宋体" w:hAnsi="宋体" w:cs="宋体"/>
                <w:color w:val="auto"/>
                <w:kern w:val="0"/>
                <w:szCs w:val="21"/>
              </w:rPr>
              <w:t>提供产品界面截图）</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 xml:space="preserve">15.支持企业安全能力图谱，可展示设备对资产防护的有效性，对当前的风险预测、风险防御、风险检测能力进行展示，并对当前资产安全状态进行评级；同时展示当前设备的安全能力等级，展示每日安全能力的更新情况； </w:t>
            </w:r>
          </w:p>
          <w:p>
            <w:pPr>
              <w:keepNext/>
              <w:widowControl/>
              <w:spacing w:line="360" w:lineRule="exact"/>
              <w:ind w:left="420" w:leftChars="100" w:hanging="210" w:hangingChars="100"/>
              <w:jc w:val="left"/>
              <w:textAlignment w:val="center"/>
              <w:rPr>
                <w:rFonts w:ascii="宋体" w:hAnsi="宋体" w:cs="宋体"/>
                <w:color w:val="auto"/>
                <w:kern w:val="0"/>
                <w:szCs w:val="21"/>
              </w:rPr>
            </w:pPr>
            <w:r>
              <w:rPr>
                <w:rFonts w:hint="eastAsia" w:ascii="宋体" w:hAnsi="宋体" w:cs="宋体"/>
                <w:kern w:val="0"/>
                <w:szCs w:val="21"/>
              </w:rPr>
              <w:t>16.可扩展支持接入统一的安全监测平台，通过安全监测平台可以实时看到每台安全设备的详细安全状态信息，包括安全评分级别、最近有效事件、有效事件趋势、用户安全</w:t>
            </w:r>
            <w:r>
              <w:rPr>
                <w:rFonts w:hint="eastAsia" w:ascii="宋体" w:hAnsi="宋体" w:cs="宋体"/>
                <w:color w:val="auto"/>
                <w:kern w:val="0"/>
                <w:szCs w:val="21"/>
              </w:rPr>
              <w:t xml:space="preserve">统计、服务器安全统计和攻击来源统计； </w:t>
            </w:r>
          </w:p>
          <w:p>
            <w:pPr>
              <w:keepNext/>
              <w:widowControl/>
              <w:spacing w:line="360" w:lineRule="exact"/>
              <w:ind w:left="420" w:leftChars="100" w:hanging="210" w:hangingChars="100"/>
              <w:jc w:val="left"/>
              <w:textAlignment w:val="center"/>
              <w:rPr>
                <w:rFonts w:ascii="宋体" w:hAnsi="宋体" w:cs="宋体"/>
                <w:color w:val="auto"/>
                <w:kern w:val="0"/>
                <w:szCs w:val="21"/>
              </w:rPr>
            </w:pPr>
            <w:r>
              <w:rPr>
                <w:rFonts w:hint="eastAsia" w:ascii="宋体" w:hAnsi="宋体" w:cs="宋体"/>
                <w:color w:val="auto"/>
                <w:kern w:val="0"/>
                <w:szCs w:val="21"/>
              </w:rPr>
              <w:t xml:space="preserve">17.可提供最新的威胁情报信息，能够对新爆发的流行高危漏洞进行预警和自动检测，发现问题后支持一键生成防护规则； </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color w:val="auto"/>
                <w:kern w:val="0"/>
                <w:szCs w:val="21"/>
              </w:rPr>
              <w:t>★18.支持采用无特征AI检测技术对恶意勒索病毒及挖矿病毒等热点病毒进行检测，给出基于AI技术的病毒检测报告；（</w:t>
            </w:r>
            <w:r>
              <w:rPr>
                <w:rFonts w:hint="eastAsia" w:ascii="宋体" w:hAnsi="宋体" w:cs="宋体"/>
                <w:color w:val="auto"/>
                <w:szCs w:val="21"/>
                <w:lang w:eastAsia="zh-CN"/>
              </w:rPr>
              <w:t>在投标文件中</w:t>
            </w:r>
            <w:r>
              <w:rPr>
                <w:rFonts w:hint="eastAsia" w:ascii="宋体" w:hAnsi="宋体" w:cs="宋体"/>
                <w:color w:val="auto"/>
                <w:kern w:val="0"/>
                <w:szCs w:val="21"/>
              </w:rPr>
              <w:t>提供产品界面截图）</w:t>
            </w:r>
          </w:p>
          <w:p>
            <w:pPr>
              <w:keepNext/>
              <w:widowControl/>
              <w:spacing w:line="360" w:lineRule="exact"/>
              <w:ind w:left="420" w:hanging="420" w:hangingChars="200"/>
              <w:jc w:val="left"/>
              <w:textAlignment w:val="center"/>
              <w:rPr>
                <w:rFonts w:ascii="宋体" w:hAnsi="宋体" w:cs="宋体"/>
                <w:color w:val="auto"/>
                <w:kern w:val="0"/>
                <w:szCs w:val="21"/>
              </w:rPr>
            </w:pPr>
            <w:r>
              <w:rPr>
                <w:rFonts w:hint="eastAsia" w:ascii="宋体" w:hAnsi="宋体" w:cs="宋体"/>
                <w:color w:val="auto"/>
                <w:kern w:val="0"/>
                <w:szCs w:val="21"/>
              </w:rPr>
              <w:t>★19.支持对企业所有的网站提供保护情况的总览，包括哪些网站当前保护措施不足，哪些网站在有效保护中，当前的漏洞、恶意扫描、web攻击及篡改事件发生的总体情况，同时风险要可定位到某个网站，并可以对网站面临的威胁给出处理方式；（</w:t>
            </w:r>
            <w:r>
              <w:rPr>
                <w:rFonts w:hint="eastAsia" w:ascii="宋体" w:hAnsi="宋体" w:cs="宋体"/>
                <w:color w:val="auto"/>
                <w:szCs w:val="21"/>
                <w:lang w:eastAsia="zh-CN"/>
              </w:rPr>
              <w:t>在投标文件中</w:t>
            </w:r>
            <w:r>
              <w:rPr>
                <w:rFonts w:hint="eastAsia" w:ascii="宋体" w:hAnsi="宋体" w:cs="宋体"/>
                <w:color w:val="auto"/>
                <w:kern w:val="0"/>
                <w:szCs w:val="21"/>
              </w:rPr>
              <w:t>提供产品界面截图）</w:t>
            </w:r>
          </w:p>
          <w:p>
            <w:pPr>
              <w:keepNext/>
              <w:widowControl/>
              <w:spacing w:line="360" w:lineRule="exact"/>
              <w:jc w:val="left"/>
              <w:textAlignment w:val="center"/>
              <w:rPr>
                <w:rFonts w:ascii="宋体" w:hAnsi="宋体" w:cs="宋体"/>
                <w:kern w:val="0"/>
                <w:szCs w:val="21"/>
              </w:rPr>
            </w:pPr>
            <w:r>
              <w:rPr>
                <w:rFonts w:hint="eastAsia" w:ascii="宋体" w:hAnsi="宋体" w:cs="宋体"/>
                <w:color w:val="auto"/>
                <w:kern w:val="0"/>
                <w:szCs w:val="21"/>
              </w:rPr>
              <w:t>★20. 3年产品质保和软件升级。</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szCs w:val="21"/>
              </w:rPr>
            </w:pPr>
            <w:r>
              <w:rPr>
                <w:rFonts w:hint="eastAsia" w:ascii="宋体" w:hAnsi="宋体" w:cs="宋体"/>
                <w:szCs w:val="21"/>
              </w:rPr>
              <w:t>6</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核心交换机</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一、基本配置</w:t>
            </w:r>
          </w:p>
          <w:p>
            <w:pPr>
              <w:keepNext/>
              <w:widowControl/>
              <w:spacing w:line="360" w:lineRule="exact"/>
              <w:jc w:val="left"/>
              <w:textAlignment w:val="center"/>
              <w:rPr>
                <w:rFonts w:ascii="宋体" w:hAnsi="宋体" w:cs="宋体"/>
                <w:kern w:val="0"/>
                <w:szCs w:val="21"/>
              </w:rPr>
            </w:pPr>
            <w:r>
              <w:rPr>
                <w:rFonts w:hint="eastAsia" w:ascii="宋体" w:hAnsi="宋体" w:cs="宋体"/>
                <w:kern w:val="0"/>
                <w:szCs w:val="21"/>
              </w:rPr>
              <w:t>★1.配置2个S7706/S7712 主控处理单元H(X1)；</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2.配置2个800W交流电源模块(黑色)；</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3.配置一块48端口十兆/百兆/千兆以太网电接口板(X5S,M,RJ45)；</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4.配置一块24端口万兆以太网光接口和24端口千兆以太网光接口板(X6S,SFP+)；</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5.配置S7700基本软件,V200R019C10。</w:t>
            </w:r>
          </w:p>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二、性能特性</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1.交换容量：19.84/86.4Tbps；</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2.包转发率：3240/26400Mpps；</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3.冗余设计：主控、电源、监控板、风扇框（前后及左后风道）。</w:t>
            </w:r>
          </w:p>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三、无线管理</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1.支持随板AC；</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2.支持AP接入控制、AP域管理和AP配置模板管理；</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3.支持射频模板管理、统一静态配置和集中动态管理；</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4.支持WLAN基本业务、QoS、安全和用户管理；</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5.支持AC功能分层部署。</w:t>
            </w:r>
          </w:p>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四、用户管理</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1.支持统一用户管理；</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2.支持PPPoE、802.1X、MAC、Portal认证方式；</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3.支持基于流量和时长计费方式；</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4.支持分组分域分时授权方式。</w:t>
            </w:r>
          </w:p>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五、路由特性</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1.支持IPV4静态路由、RIP、OSPF、IS-IS、BGP4等；</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2.支持IPv6静态路由、RIPng、OSPFv3、IS-ISv6、BGP4+；</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3.支持IPv4/IPv6等价路由、策略路由、路由策略；</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4.支持IPv4和IPv6双协议栈；</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5.支持Pingv6、Telnetv6、FTPv6、TFTPv6、DNSv6、ICMPv6；</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6.支持IPv4向IPv6的过渡技术，包括：IPv6手工隧道、6to4隧道、ISATAP隧道、GRE隧道、IPv4兼容自动配置隧道。</w:t>
            </w:r>
          </w:p>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六、iPCA质量感知</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1.支持直接对业务报文标记以获得丢包数量和丢包率统计数据，实时统计，零开销；</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2.支持二三层网络网络级和设备级丢包数量和丢包率统计。</w:t>
            </w:r>
          </w:p>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七、SVF简化运维</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1.支持将256个Client节点（接入交换机）、最大支持4K个AP虚拟为一台设备管理；</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2.支持2层AS架构；</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3.支持与第三方厂商混合组网管理；</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4.缓存容量：支持每端口200ms数据缓存；</w:t>
            </w:r>
          </w:p>
          <w:p>
            <w:pPr>
              <w:keepNext/>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5.数据中心特性：支持TRILL，FCoE（DCB），EVN，nCenter，EVB，SPB，VXLAN等数据中心特性。</w:t>
            </w:r>
          </w:p>
          <w:p>
            <w:pPr>
              <w:keepNext/>
              <w:widowControl/>
              <w:spacing w:line="360" w:lineRule="exact"/>
              <w:jc w:val="left"/>
              <w:textAlignment w:val="center"/>
              <w:rPr>
                <w:rFonts w:ascii="宋体" w:hAnsi="宋体" w:cs="宋体"/>
                <w:b/>
                <w:bCs/>
                <w:kern w:val="0"/>
                <w:szCs w:val="21"/>
              </w:rPr>
            </w:pPr>
            <w:r>
              <w:rPr>
                <w:rFonts w:hint="eastAsia" w:ascii="宋体" w:hAnsi="宋体" w:cs="宋体"/>
                <w:b/>
                <w:bCs/>
                <w:kern w:val="0"/>
                <w:szCs w:val="21"/>
              </w:rPr>
              <w:t>八、OpenFlow</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1.支持多控制器；</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2.支持高达九级流表；</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3.支持高达256K流表；</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4.支持Group table；</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5.支持Meter；</w:t>
            </w:r>
          </w:p>
          <w:p>
            <w:pPr>
              <w:keepNext/>
              <w:widowControl/>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6.支持OpenFlow 1.3标准。</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szCs w:val="21"/>
              </w:rPr>
            </w:pPr>
            <w:r>
              <w:rPr>
                <w:rFonts w:hint="eastAsia" w:ascii="宋体" w:hAnsi="宋体" w:cs="宋体"/>
                <w:szCs w:val="21"/>
              </w:rPr>
              <w:t>7</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汇聚交换机</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1.设备性能：交换容量≥336Gbps, 包转发率≥108Mpps，</w:t>
            </w:r>
          </w:p>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2.设备配置：提供千兆电口≥24个，万兆SFP+光口≥4个，配置标准USB接口≥1个，ETH管理接口≥1个，交流电源供电；</w:t>
            </w:r>
          </w:p>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3.规格表项：支持MAC地址≥16K，支持ARP表项≥4K，支持Ipv4 FIB表≥4K；</w:t>
            </w:r>
          </w:p>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4.IP路由：支持RIP、RIPng、OSPF、OSPFv3路由协议；</w:t>
            </w:r>
          </w:p>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 xml:space="preserve">5.支持纵向虚拟化；  </w:t>
            </w:r>
          </w:p>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6.安全：支持防止DOS、ARP攻击功能、ICMP防攻击，支持CPU保护功能，支持DHCP Snooping、DHCPv6 Snooping功能；</w:t>
            </w:r>
          </w:p>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7.可靠性：支持 ERPS 以太环保护协议（G.8032）；</w:t>
            </w:r>
          </w:p>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8.网络管理：支持SNMP v1/v2/v3、Telnet、RMON、SSHv2；</w:t>
            </w:r>
          </w:p>
          <w:p>
            <w:pPr>
              <w:keepNext/>
              <w:widowControl/>
              <w:tabs>
                <w:tab w:val="left" w:pos="1278"/>
              </w:tabs>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kern w:val="0"/>
                <w:szCs w:val="21"/>
              </w:rPr>
              <w:t>9.网络分析：支持Telemetry技术。</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szCs w:val="21"/>
              </w:rPr>
            </w:pPr>
            <w:r>
              <w:rPr>
                <w:rFonts w:hint="eastAsia" w:ascii="宋体" w:hAnsi="宋体" w:cs="宋体"/>
                <w:szCs w:val="21"/>
              </w:rPr>
              <w:t>8</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汇聚交换机</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tabs>
                <w:tab w:val="left" w:pos="1278"/>
              </w:tabs>
              <w:spacing w:line="360" w:lineRule="exact"/>
              <w:ind w:firstLine="210" w:firstLineChars="100"/>
              <w:jc w:val="left"/>
              <w:textAlignment w:val="center"/>
              <w:rPr>
                <w:rFonts w:ascii="宋体" w:hAnsi="宋体" w:cs="宋体"/>
                <w:kern w:val="0"/>
                <w:szCs w:val="21"/>
              </w:rPr>
            </w:pPr>
            <w:r>
              <w:rPr>
                <w:rFonts w:hint="eastAsia" w:ascii="宋体" w:hAnsi="宋体" w:cs="宋体"/>
                <w:kern w:val="0"/>
                <w:szCs w:val="21"/>
              </w:rPr>
              <w:t>24个千兆SFP,8个10/100/1000BASE-T以太网端口，4个万兆SFP+，交流供电。</w:t>
            </w:r>
          </w:p>
        </w:tc>
      </w:tr>
      <w:tr>
        <w:tblPrEx>
          <w:tblCellMar>
            <w:top w:w="0" w:type="dxa"/>
            <w:left w:w="0" w:type="dxa"/>
            <w:bottom w:w="0" w:type="dxa"/>
            <w:right w:w="0" w:type="dxa"/>
          </w:tblCellMar>
        </w:tblPrEx>
        <w:trPr>
          <w:trHeight w:val="48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szCs w:val="21"/>
              </w:rPr>
            </w:pPr>
            <w:r>
              <w:rPr>
                <w:rFonts w:hint="eastAsia" w:ascii="宋体" w:hAnsi="宋体" w:cs="宋体"/>
                <w:szCs w:val="21"/>
              </w:rPr>
              <w:t>9</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千兆光电模块</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tabs>
                <w:tab w:val="left" w:pos="1278"/>
              </w:tabs>
              <w:spacing w:line="360" w:lineRule="exact"/>
              <w:ind w:firstLine="210" w:firstLineChars="100"/>
              <w:jc w:val="left"/>
              <w:textAlignment w:val="center"/>
              <w:rPr>
                <w:rFonts w:ascii="宋体" w:hAnsi="宋体" w:cs="宋体"/>
                <w:szCs w:val="21"/>
              </w:rPr>
            </w:pPr>
            <w:r>
              <w:rPr>
                <w:rFonts w:hint="eastAsia" w:ascii="宋体" w:hAnsi="宋体" w:cs="宋体"/>
                <w:szCs w:val="21"/>
              </w:rPr>
              <w:t>电模块-SFP-GE-电接口模块(100m,RJ45)。</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szCs w:val="21"/>
              </w:rPr>
            </w:pPr>
            <w:r>
              <w:rPr>
                <w:rFonts w:hint="eastAsia" w:ascii="宋体" w:hAnsi="宋体" w:cs="宋体"/>
                <w:szCs w:val="21"/>
              </w:rPr>
              <w:t>10</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万兆单模光模块</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ind w:firstLine="210" w:firstLineChars="100"/>
              <w:textAlignment w:val="center"/>
              <w:rPr>
                <w:rFonts w:ascii="宋体" w:hAnsi="宋体" w:cs="宋体"/>
                <w:kern w:val="0"/>
                <w:szCs w:val="21"/>
              </w:rPr>
            </w:pPr>
            <w:r>
              <w:rPr>
                <w:rFonts w:hint="eastAsia" w:ascii="宋体" w:hAnsi="宋体" w:cs="宋体"/>
                <w:kern w:val="0"/>
                <w:szCs w:val="21"/>
              </w:rPr>
              <w:t>光模块-SFP+-10G-单模模块(1310nm,10km,LC)。</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11</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24端口万兆以太网光接口和24端口千兆以太网光接口板</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块</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widowControl/>
              <w:spacing w:line="360" w:lineRule="exact"/>
              <w:ind w:firstLine="210" w:firstLineChars="100"/>
              <w:textAlignment w:val="center"/>
              <w:rPr>
                <w:rFonts w:ascii="宋体" w:hAnsi="宋体" w:cs="宋体"/>
                <w:kern w:val="0"/>
                <w:szCs w:val="21"/>
              </w:rPr>
            </w:pPr>
            <w:r>
              <w:rPr>
                <w:rFonts w:hint="eastAsia" w:ascii="宋体" w:hAnsi="宋体" w:cs="宋体"/>
                <w:kern w:val="0"/>
                <w:szCs w:val="21"/>
              </w:rPr>
              <w:t>1.提供24个10GE光口和24个GE光口的数据接入和交换；</w:t>
            </w:r>
          </w:p>
          <w:p>
            <w:pPr>
              <w:keepNext/>
              <w:widowControl/>
              <w:spacing w:line="360" w:lineRule="exact"/>
              <w:ind w:left="210" w:leftChars="100"/>
              <w:textAlignment w:val="center"/>
              <w:rPr>
                <w:rFonts w:ascii="宋体" w:hAnsi="宋体" w:cs="宋体"/>
                <w:kern w:val="0"/>
                <w:szCs w:val="21"/>
              </w:rPr>
            </w:pPr>
            <w:r>
              <w:rPr>
                <w:rFonts w:hint="eastAsia" w:ascii="宋体" w:hAnsi="宋体" w:cs="宋体"/>
                <w:kern w:val="0"/>
                <w:szCs w:val="21"/>
              </w:rPr>
              <w:t>2.通过分布式数据平面对数据进行并行转发；</w:t>
            </w:r>
          </w:p>
          <w:p>
            <w:pPr>
              <w:keepNext/>
              <w:widowControl/>
              <w:spacing w:line="360" w:lineRule="exact"/>
              <w:ind w:left="210" w:leftChars="100"/>
              <w:textAlignment w:val="center"/>
              <w:rPr>
                <w:rFonts w:ascii="宋体" w:hAnsi="宋体" w:cs="宋体"/>
                <w:kern w:val="0"/>
                <w:szCs w:val="21"/>
              </w:rPr>
            </w:pPr>
            <w:r>
              <w:rPr>
                <w:rFonts w:hint="eastAsia" w:ascii="宋体" w:hAnsi="宋体" w:cs="宋体"/>
                <w:kern w:val="0"/>
                <w:szCs w:val="21"/>
              </w:rPr>
              <w:t>3.支持热拔插。</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12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单模双芯光纤跳线</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根</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64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spacing w:line="360" w:lineRule="exact"/>
              <w:ind w:left="420" w:leftChars="100" w:hanging="210" w:hangingChars="100"/>
              <w:textAlignment w:val="center"/>
              <w:rPr>
                <w:rFonts w:ascii="宋体" w:hAnsi="宋体" w:cs="宋体"/>
                <w:kern w:val="0"/>
                <w:szCs w:val="21"/>
              </w:rPr>
            </w:pPr>
            <w:r>
              <w:rPr>
                <w:rFonts w:hint="eastAsia" w:ascii="宋体" w:hAnsi="宋体" w:cs="宋体"/>
                <w:kern w:val="0"/>
                <w:szCs w:val="21"/>
              </w:rPr>
              <w:t>1.低插入损耗，具备良好的互换性与重复性外被选用全新环保原材料，韧性超强，抗拉保护，安全环保；</w:t>
            </w:r>
          </w:p>
          <w:p>
            <w:pPr>
              <w:keepNext/>
              <w:spacing w:line="360" w:lineRule="exact"/>
              <w:ind w:firstLine="210" w:firstLineChars="100"/>
              <w:textAlignment w:val="center"/>
              <w:rPr>
                <w:rFonts w:ascii="宋体" w:hAnsi="宋体" w:cs="宋体"/>
                <w:kern w:val="0"/>
                <w:szCs w:val="21"/>
              </w:rPr>
            </w:pPr>
            <w:r>
              <w:rPr>
                <w:rFonts w:hint="eastAsia" w:ascii="宋体" w:hAnsi="宋体" w:cs="宋体"/>
                <w:kern w:val="0"/>
                <w:szCs w:val="21"/>
              </w:rPr>
              <w:t>2.物理参数：工作波长 1310nm，1550nm，850nm；</w:t>
            </w:r>
          </w:p>
          <w:p>
            <w:pPr>
              <w:keepNext/>
              <w:spacing w:line="360" w:lineRule="exact"/>
              <w:ind w:firstLine="210" w:firstLineChars="100"/>
              <w:textAlignment w:val="center"/>
              <w:rPr>
                <w:rFonts w:ascii="宋体" w:hAnsi="宋体" w:cs="宋体"/>
                <w:kern w:val="0"/>
                <w:szCs w:val="21"/>
              </w:rPr>
            </w:pPr>
            <w:r>
              <w:rPr>
                <w:rFonts w:hint="eastAsia" w:ascii="宋体" w:hAnsi="宋体" w:cs="宋体"/>
                <w:kern w:val="0"/>
                <w:szCs w:val="21"/>
              </w:rPr>
              <w:t>3.工作/储存温度 -40~75℃、光缆外径 φ2.0mm；</w:t>
            </w:r>
          </w:p>
          <w:p>
            <w:pPr>
              <w:keepNext/>
              <w:spacing w:line="360" w:lineRule="exact"/>
              <w:ind w:left="420" w:leftChars="100" w:hanging="210" w:hangingChars="100"/>
              <w:textAlignment w:val="center"/>
              <w:rPr>
                <w:rFonts w:ascii="宋体" w:hAnsi="宋体" w:cs="宋体"/>
                <w:kern w:val="0"/>
                <w:szCs w:val="21"/>
              </w:rPr>
            </w:pPr>
            <w:r>
              <w:rPr>
                <w:rFonts w:hint="eastAsia" w:ascii="宋体" w:hAnsi="宋体" w:cs="宋体"/>
                <w:kern w:val="0"/>
                <w:szCs w:val="21"/>
              </w:rPr>
              <w:t>4.性能参数：插损（典型值） ≤0.2dB、回损PC≥45dB,UPC≥50dB,APC≥60dB、振动 ≤0.2dB、互换性 ≤0.5dB；</w:t>
            </w:r>
          </w:p>
          <w:p>
            <w:pPr>
              <w:keepNext/>
              <w:spacing w:line="360" w:lineRule="exact"/>
              <w:ind w:firstLine="210" w:firstLineChars="100"/>
              <w:textAlignment w:val="center"/>
              <w:rPr>
                <w:rFonts w:ascii="宋体" w:hAnsi="宋体" w:cs="宋体"/>
                <w:kern w:val="0"/>
                <w:szCs w:val="21"/>
              </w:rPr>
            </w:pPr>
            <w:r>
              <w:rPr>
                <w:rFonts w:hint="eastAsia" w:ascii="宋体" w:hAnsi="宋体" w:cs="宋体"/>
                <w:kern w:val="0"/>
                <w:szCs w:val="21"/>
              </w:rPr>
              <w:t>5.跳线长度3米。</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13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spacing w:line="360" w:lineRule="exact"/>
              <w:jc w:val="center"/>
              <w:textAlignment w:val="center"/>
              <w:rPr>
                <w:rFonts w:ascii="宋体" w:hAnsi="宋体" w:cs="宋体"/>
                <w:szCs w:val="21"/>
              </w:rPr>
            </w:pPr>
            <w:r>
              <w:rPr>
                <w:rFonts w:hint="eastAsia" w:ascii="宋体" w:hAnsi="宋体" w:cs="宋体"/>
                <w:szCs w:val="21"/>
              </w:rPr>
              <w:t>上网行为管理设备网卡升级</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项</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spacing w:line="360" w:lineRule="exact"/>
              <w:ind w:firstLine="210" w:firstLineChars="100"/>
              <w:textAlignment w:val="center"/>
              <w:rPr>
                <w:rFonts w:ascii="宋体" w:hAnsi="宋体" w:cs="宋体"/>
                <w:kern w:val="0"/>
                <w:szCs w:val="21"/>
              </w:rPr>
            </w:pPr>
            <w:r>
              <w:rPr>
                <w:rFonts w:hint="eastAsia" w:ascii="宋体" w:hAnsi="宋体" w:cs="宋体"/>
                <w:kern w:val="0"/>
                <w:szCs w:val="21"/>
              </w:rPr>
              <w:t>设备网卡升级，定制光电混合-4电4光 ，定制万兆光口-2口</w:t>
            </w:r>
          </w:p>
        </w:tc>
      </w:tr>
      <w:tr>
        <w:tblPrEx>
          <w:tblCellMar>
            <w:top w:w="0" w:type="dxa"/>
            <w:left w:w="0" w:type="dxa"/>
            <w:bottom w:w="0" w:type="dxa"/>
            <w:right w:w="0" w:type="dxa"/>
          </w:tblCellMar>
        </w:tblPrEx>
        <w:trP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14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szCs w:val="21"/>
              </w:rPr>
            </w:pPr>
            <w:r>
              <w:rPr>
                <w:rFonts w:hint="eastAsia" w:ascii="宋体" w:hAnsi="宋体" w:cs="宋体"/>
                <w:color w:val="000000"/>
                <w:kern w:val="0"/>
                <w:szCs w:val="21"/>
                <w:lang w:bidi="ar"/>
              </w:rPr>
              <w:t>IP网络解决方案实施服务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项</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ind w:left="420" w:leftChars="100" w:hanging="210" w:hangingChars="10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1.8814075589部件编码（8814075589）：实施方案编写-“包括面向交付站点的迁移/实施需求分析、现网配置分析、迁移/实施方案撰写、业务/应用逻辑可用性验证方案撰写，含IP/VLAN、二层特性、路由协议、QOS特性、MPLS特性、华为网管，涉及办公业务、城域网业务、Internet业务、视频类业务、语音类业务、VOD业务、带外网管业务”；</w:t>
            </w:r>
          </w:p>
          <w:p>
            <w:pPr>
              <w:widowControl/>
              <w:spacing w:line="360" w:lineRule="exact"/>
              <w:ind w:left="420" w:leftChars="100" w:hanging="210" w:hangingChars="10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2.8814075593部件编码（8814075593）：测试验证-“包括面向交付站点的迁移/实施配置脚本联调和验证、目标网络功能性联调和验证，含IP/VLAN、二层特性、路由协议、QOS特性、MPLS特性、华为网管”；</w:t>
            </w:r>
          </w:p>
          <w:p>
            <w:pPr>
              <w:widowControl/>
              <w:spacing w:line="360" w:lineRule="exact"/>
              <w:ind w:left="420" w:leftChars="100" w:hanging="210" w:hangingChars="100"/>
              <w:jc w:val="left"/>
              <w:textAlignment w:val="center"/>
              <w:rPr>
                <w:rFonts w:ascii="宋体" w:hAnsi="宋体" w:cs="宋体"/>
                <w:kern w:val="0"/>
                <w:szCs w:val="21"/>
              </w:rPr>
            </w:pPr>
            <w:r>
              <w:rPr>
                <w:rFonts w:hint="eastAsia" w:ascii="宋体" w:hAnsi="宋体" w:cs="宋体"/>
                <w:color w:val="000000"/>
                <w:kern w:val="0"/>
                <w:szCs w:val="21"/>
                <w:lang w:bidi="ar"/>
              </w:rPr>
              <w:t>3.8814051611部件编码（8814051611）：集成部署。</w:t>
            </w:r>
          </w:p>
        </w:tc>
      </w:tr>
      <w:tr>
        <w:tblPrEx>
          <w:tblCellMar>
            <w:top w:w="0" w:type="dxa"/>
            <w:left w:w="0" w:type="dxa"/>
            <w:bottom w:w="0" w:type="dxa"/>
            <w:right w:w="0" w:type="dxa"/>
          </w:tblCellMar>
        </w:tblPrEx>
        <w:trPr>
          <w:trHeight w:val="47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15</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szCs w:val="21"/>
              </w:rPr>
            </w:pPr>
            <w:r>
              <w:rPr>
                <w:rFonts w:hint="eastAsia" w:ascii="宋体" w:hAnsi="宋体" w:cs="宋体"/>
                <w:color w:val="000000"/>
                <w:kern w:val="0"/>
                <w:szCs w:val="21"/>
                <w:lang w:bidi="ar"/>
              </w:rPr>
              <w:t>42U服务器机柜</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定制</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szCs w:val="21"/>
                <w:shd w:val="clear" w:color="auto" w:fill="FFFFFF"/>
              </w:rPr>
            </w:pPr>
            <w:r>
              <w:rPr>
                <w:rFonts w:hint="eastAsia" w:ascii="宋体" w:hAnsi="宋体" w:cs="宋体"/>
                <w:color w:val="000000"/>
                <w:kern w:val="0"/>
                <w:szCs w:val="21"/>
                <w:lang w:bidi="ar"/>
              </w:rPr>
              <w:t>42U（2000*600*900）前后微孔网格门。</w:t>
            </w:r>
          </w:p>
        </w:tc>
      </w:tr>
      <w:tr>
        <w:tblPrEx>
          <w:tblCellMar>
            <w:top w:w="0" w:type="dxa"/>
            <w:left w:w="0" w:type="dxa"/>
            <w:bottom w:w="0" w:type="dxa"/>
            <w:right w:w="0" w:type="dxa"/>
          </w:tblCellMar>
        </w:tblPrEx>
        <w:trPr>
          <w:trHeight w:val="476"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widowControl/>
              <w:adjustRightInd w:val="0"/>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16</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szCs w:val="21"/>
              </w:rPr>
            </w:pPr>
            <w:r>
              <w:rPr>
                <w:rFonts w:hint="eastAsia" w:ascii="宋体" w:hAnsi="宋体" w:cs="宋体"/>
                <w:color w:val="000000"/>
                <w:kern w:val="0"/>
                <w:szCs w:val="21"/>
                <w:lang w:bidi="ar"/>
              </w:rPr>
              <w:t>系统集成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color w:val="000000"/>
                <w:kern w:val="0"/>
                <w:szCs w:val="21"/>
                <w:lang w:bidi="ar"/>
              </w:rPr>
              <w:t>定制</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kern w:val="0"/>
                <w:szCs w:val="21"/>
              </w:rPr>
            </w:pPr>
            <w:r>
              <w:rPr>
                <w:rFonts w:hint="eastAsia" w:ascii="宋体" w:hAnsi="宋体" w:cs="宋体"/>
                <w:color w:val="000000"/>
                <w:kern w:val="0"/>
                <w:szCs w:val="21"/>
                <w:lang w:bidi="ar"/>
              </w:rPr>
              <w:t>设备安装、系统调试。</w:t>
            </w:r>
          </w:p>
        </w:tc>
      </w:tr>
    </w:tbl>
    <w:p>
      <w:pPr>
        <w:keepNext/>
        <w:keepLines/>
        <w:spacing w:line="440" w:lineRule="exact"/>
        <w:jc w:val="center"/>
        <w:rPr>
          <w:rFonts w:ascii="宋体" w:cs="宋体"/>
          <w:b/>
          <w:sz w:val="24"/>
        </w:rPr>
      </w:pPr>
      <w:r>
        <w:rPr>
          <w:rFonts w:hint="eastAsia" w:ascii="宋体" w:hAnsi="宋体"/>
          <w:b/>
          <w:szCs w:val="21"/>
        </w:rPr>
        <w:t>▲</w:t>
      </w:r>
      <w:r>
        <w:rPr>
          <w:rFonts w:hint="eastAsia" w:ascii="宋体" w:hAnsi="宋体" w:cs="宋体"/>
          <w:b/>
          <w:sz w:val="24"/>
        </w:rPr>
        <w:t>二、商务要求</w:t>
      </w:r>
    </w:p>
    <w:tbl>
      <w:tblPr>
        <w:tblStyle w:val="59"/>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224"/>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keepNext/>
              <w:spacing w:line="360" w:lineRule="exact"/>
              <w:jc w:val="center"/>
              <w:rPr>
                <w:rFonts w:ascii="宋体" w:hAnsi="宋体" w:cs="宋体"/>
                <w:szCs w:val="21"/>
              </w:rPr>
            </w:pPr>
            <w:r>
              <w:rPr>
                <w:rFonts w:hint="eastAsia" w:ascii="宋体" w:hAnsi="宋体" w:cs="宋体"/>
                <w:szCs w:val="21"/>
              </w:rPr>
              <w:t>1</w:t>
            </w:r>
          </w:p>
        </w:tc>
        <w:tc>
          <w:tcPr>
            <w:tcW w:w="1224" w:type="dxa"/>
            <w:vAlign w:val="center"/>
          </w:tcPr>
          <w:p>
            <w:pPr>
              <w:keepNext/>
              <w:widowControl/>
              <w:spacing w:line="36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质保期</w:t>
            </w:r>
          </w:p>
          <w:p>
            <w:pPr>
              <w:keepNext/>
              <w:widowControl/>
              <w:spacing w:line="36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（保修期）</w:t>
            </w:r>
          </w:p>
        </w:tc>
        <w:tc>
          <w:tcPr>
            <w:tcW w:w="8264" w:type="dxa"/>
            <w:vAlign w:val="center"/>
          </w:tcPr>
          <w:p>
            <w:pPr>
              <w:keepNext/>
              <w:widowControl/>
              <w:spacing w:line="360" w:lineRule="exact"/>
              <w:ind w:left="233" w:right="-105" w:rightChars="-50" w:hanging="233" w:hangingChars="111"/>
              <w:jc w:val="left"/>
              <w:textAlignment w:val="center"/>
              <w:rPr>
                <w:rFonts w:ascii="宋体" w:hAnsi="宋体" w:cs="宋体"/>
                <w:color w:val="auto"/>
                <w:szCs w:val="21"/>
              </w:rPr>
            </w:pPr>
            <w:r>
              <w:rPr>
                <w:rFonts w:hint="eastAsia" w:ascii="宋体" w:hAnsi="宋体" w:cs="宋体"/>
                <w:color w:val="auto"/>
                <w:kern w:val="0"/>
                <w:szCs w:val="21"/>
              </w:rPr>
              <w:t>1.</w:t>
            </w:r>
            <w:r>
              <w:rPr>
                <w:rFonts w:hint="eastAsia" w:ascii="宋体" w:hAnsi="宋体" w:cs="宋体"/>
                <w:color w:val="auto"/>
                <w:szCs w:val="21"/>
              </w:rPr>
              <w:t>本项目需求一览表中有质保期要求和技术服务支持要求的从其要求；无要求的按生产厂家的标准；无厂家标准的，要求硬件设备至少质保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3</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kern w:val="0"/>
                <w:szCs w:val="21"/>
              </w:rPr>
              <w:t>,</w:t>
            </w:r>
            <w:r>
              <w:rPr>
                <w:rFonts w:hint="eastAsia" w:ascii="宋体" w:hAnsi="宋体" w:cs="宋体"/>
                <w:color w:val="auto"/>
                <w:szCs w:val="21"/>
              </w:rPr>
              <w:t>软件质保期至少为</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3</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年，提供终身软件升级服务。当行业标准、技术规范发生改变时，中标供应商须修改相关内容。</w:t>
            </w:r>
          </w:p>
          <w:p>
            <w:pPr>
              <w:keepNext/>
              <w:widowControl/>
              <w:spacing w:line="360" w:lineRule="exact"/>
              <w:ind w:left="233" w:hanging="233" w:hangingChars="111"/>
              <w:jc w:val="left"/>
              <w:textAlignment w:val="center"/>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rPr>
              <w:t>货物交货并安装调试验收合格交付使用之日起计算质保期</w:t>
            </w:r>
            <w:r>
              <w:rPr>
                <w:rFonts w:hint="eastAsia" w:ascii="宋体" w:hAnsi="宋体" w:cs="宋体"/>
                <w:color w:val="auto"/>
                <w:kern w:val="0"/>
                <w:szCs w:val="21"/>
              </w:rPr>
              <w:t>，由投标人提供产品保修文件；</w:t>
            </w:r>
            <w:r>
              <w:rPr>
                <w:rFonts w:hint="eastAsia" w:ascii="宋体" w:hAnsi="宋体" w:cs="宋体"/>
                <w:color w:val="auto"/>
                <w:szCs w:val="21"/>
              </w:rPr>
              <w:t>按国家有关规定或厂家承诺实行“三包”，所提供的货物必须是全新的合格产品，质保期内负责上门维修、更换零部件；质保期过后提供终身维护。</w:t>
            </w:r>
          </w:p>
          <w:p>
            <w:pPr>
              <w:keepNext/>
              <w:widowControl/>
              <w:spacing w:line="360" w:lineRule="exact"/>
              <w:ind w:right="-105" w:rightChars="-50"/>
              <w:jc w:val="left"/>
              <w:textAlignment w:val="center"/>
              <w:rPr>
                <w:rFonts w:ascii="宋体" w:hAnsi="宋体" w:cs="宋体"/>
                <w:color w:val="auto"/>
                <w:kern w:val="0"/>
                <w:szCs w:val="21"/>
              </w:rPr>
            </w:pPr>
            <w:r>
              <w:rPr>
                <w:rFonts w:hint="eastAsia" w:ascii="宋体" w:hAnsi="宋体" w:cs="宋体"/>
                <w:color w:val="auto"/>
                <w:kern w:val="0"/>
                <w:szCs w:val="21"/>
              </w:rPr>
              <w:t>3.以上各项所需费用均包含在投标报价中。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keepNext/>
              <w:spacing w:line="360" w:lineRule="exact"/>
              <w:jc w:val="center"/>
              <w:rPr>
                <w:rFonts w:ascii="宋体" w:hAnsi="宋体" w:cs="宋体"/>
                <w:szCs w:val="21"/>
              </w:rPr>
            </w:pPr>
            <w:r>
              <w:rPr>
                <w:rFonts w:hint="eastAsia" w:ascii="宋体" w:hAnsi="宋体" w:cs="宋体"/>
                <w:szCs w:val="21"/>
              </w:rPr>
              <w:t>2</w:t>
            </w:r>
          </w:p>
        </w:tc>
        <w:tc>
          <w:tcPr>
            <w:tcW w:w="1224" w:type="dxa"/>
            <w:vAlign w:val="center"/>
          </w:tcPr>
          <w:p>
            <w:pPr>
              <w:keepNext/>
              <w:widowControl/>
              <w:spacing w:line="360" w:lineRule="exact"/>
              <w:ind w:left="-105" w:leftChars="-50" w:right="-105" w:rightChars="-50"/>
              <w:jc w:val="center"/>
              <w:textAlignment w:val="center"/>
              <w:rPr>
                <w:rFonts w:ascii="宋体" w:hAnsi="宋体" w:cs="宋体"/>
                <w:szCs w:val="21"/>
              </w:rPr>
            </w:pPr>
            <w:r>
              <w:rPr>
                <w:rFonts w:hint="eastAsia" w:ascii="宋体" w:hAnsi="宋体" w:cs="宋体"/>
                <w:szCs w:val="21"/>
              </w:rPr>
              <w:t>交货期</w:t>
            </w:r>
          </w:p>
          <w:p>
            <w:pPr>
              <w:keepNext/>
              <w:widowControl/>
              <w:spacing w:line="360" w:lineRule="exact"/>
              <w:ind w:left="-105" w:leftChars="-50" w:right="-105" w:rightChars="-50"/>
              <w:jc w:val="center"/>
              <w:textAlignment w:val="center"/>
              <w:rPr>
                <w:rFonts w:ascii="宋体" w:hAnsi="宋体" w:cs="宋体"/>
                <w:kern w:val="0"/>
                <w:szCs w:val="21"/>
              </w:rPr>
            </w:pPr>
            <w:r>
              <w:rPr>
                <w:rFonts w:hint="eastAsia" w:ascii="宋体" w:hAnsi="宋体" w:cs="宋体"/>
                <w:szCs w:val="21"/>
              </w:rPr>
              <w:t>及交货地点</w:t>
            </w:r>
          </w:p>
        </w:tc>
        <w:tc>
          <w:tcPr>
            <w:tcW w:w="8264" w:type="dxa"/>
            <w:vAlign w:val="center"/>
          </w:tcPr>
          <w:p>
            <w:pPr>
              <w:keepNext/>
              <w:spacing w:line="360" w:lineRule="exact"/>
              <w:ind w:left="210" w:hanging="210" w:hangingChars="100"/>
              <w:rPr>
                <w:rFonts w:hint="eastAsia" w:ascii="宋体" w:hAnsi="宋体" w:eastAsia="宋体" w:cs="宋体"/>
                <w:color w:val="auto"/>
                <w:szCs w:val="21"/>
                <w:lang w:eastAsia="zh-CN"/>
              </w:rPr>
            </w:pPr>
            <w:r>
              <w:rPr>
                <w:rFonts w:hint="eastAsia" w:ascii="宋体" w:hAnsi="宋体" w:cs="宋体"/>
                <w:color w:val="auto"/>
                <w:szCs w:val="21"/>
              </w:rPr>
              <w:t>1.交货期为：货物自合同签订生效之日起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30</w:t>
            </w:r>
            <w:r>
              <w:rPr>
                <w:rFonts w:hint="eastAsia" w:ascii="宋体" w:hAnsi="宋体" w:cs="宋体"/>
                <w:color w:val="auto"/>
                <w:szCs w:val="21"/>
                <w:u w:val="single"/>
              </w:rPr>
              <w:t xml:space="preserve">  </w:t>
            </w:r>
            <w:r>
              <w:rPr>
                <w:rFonts w:hint="eastAsia" w:ascii="宋体" w:hAnsi="宋体" w:cs="宋体"/>
                <w:color w:val="auto"/>
                <w:szCs w:val="21"/>
              </w:rPr>
              <w:t>个日历日内交货并安装调试完毕</w:t>
            </w:r>
            <w:r>
              <w:rPr>
                <w:rFonts w:hint="eastAsia" w:ascii="宋体" w:hAnsi="宋体" w:cs="宋体"/>
                <w:color w:val="auto"/>
                <w:szCs w:val="21"/>
                <w:lang w:eastAsia="zh-CN"/>
              </w:rPr>
              <w:t>。</w:t>
            </w:r>
          </w:p>
          <w:p>
            <w:pPr>
              <w:keepNext/>
              <w:widowControl/>
              <w:spacing w:line="360" w:lineRule="exact"/>
              <w:ind w:right="-105" w:rightChars="-50"/>
              <w:jc w:val="left"/>
              <w:textAlignment w:val="center"/>
              <w:rPr>
                <w:rFonts w:ascii="宋体" w:hAnsi="宋体" w:cs="宋体"/>
                <w:color w:val="auto"/>
                <w:kern w:val="0"/>
                <w:szCs w:val="21"/>
              </w:rPr>
            </w:pPr>
            <w:r>
              <w:rPr>
                <w:rFonts w:hint="eastAsia" w:ascii="宋体" w:hAnsi="宋体" w:cs="宋体"/>
                <w:color w:val="auto"/>
                <w:szCs w:val="21"/>
              </w:rPr>
              <w:t>2.交货地点：招标人指定地点。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keepNext/>
              <w:spacing w:line="360" w:lineRule="exact"/>
              <w:jc w:val="center"/>
              <w:rPr>
                <w:rFonts w:ascii="宋体" w:hAnsi="宋体" w:cs="宋体"/>
                <w:szCs w:val="21"/>
              </w:rPr>
            </w:pPr>
            <w:r>
              <w:rPr>
                <w:rFonts w:hint="eastAsia" w:ascii="宋体" w:hAnsi="宋体" w:cs="宋体"/>
                <w:szCs w:val="21"/>
              </w:rPr>
              <w:t>3</w:t>
            </w:r>
          </w:p>
        </w:tc>
        <w:tc>
          <w:tcPr>
            <w:tcW w:w="1224" w:type="dxa"/>
            <w:vAlign w:val="center"/>
          </w:tcPr>
          <w:p>
            <w:pPr>
              <w:keepNext/>
              <w:widowControl/>
              <w:spacing w:line="36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售后服务</w:t>
            </w:r>
          </w:p>
          <w:p>
            <w:pPr>
              <w:keepNext/>
              <w:widowControl/>
              <w:spacing w:line="36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及其他要求</w:t>
            </w:r>
          </w:p>
        </w:tc>
        <w:tc>
          <w:tcPr>
            <w:tcW w:w="8264" w:type="dxa"/>
            <w:vAlign w:val="center"/>
          </w:tcPr>
          <w:p>
            <w:pPr>
              <w:keepNext/>
              <w:spacing w:line="360" w:lineRule="exact"/>
              <w:ind w:left="214" w:hanging="214" w:hangingChars="102"/>
              <w:rPr>
                <w:rFonts w:ascii="宋体" w:hAnsi="宋体" w:cs="宋体"/>
                <w:szCs w:val="21"/>
              </w:rPr>
            </w:pPr>
            <w:r>
              <w:rPr>
                <w:rFonts w:hint="eastAsia" w:ascii="宋体" w:hAnsi="宋体" w:cs="宋体"/>
                <w:szCs w:val="21"/>
              </w:rPr>
              <w:t>1.负责送货上门并安装调试，负责现场培训2～3名相关人员至掌握货物的操作及日常维护，所需费用包含在投标报价中。</w:t>
            </w:r>
          </w:p>
          <w:p>
            <w:pPr>
              <w:keepNext/>
              <w:spacing w:line="360" w:lineRule="exact"/>
              <w:ind w:left="216" w:leftChars="3" w:hanging="210" w:hangingChars="100"/>
              <w:rPr>
                <w:rFonts w:ascii="宋体" w:hAnsi="宋体" w:cs="宋体"/>
                <w:szCs w:val="21"/>
              </w:rPr>
            </w:pPr>
            <w:r>
              <w:rPr>
                <w:rFonts w:hint="eastAsia" w:ascii="宋体" w:hAnsi="宋体" w:cs="宋体"/>
                <w:szCs w:val="21"/>
              </w:rPr>
              <w:t>2.提供24小时电话支持和响应，保修期内货物出现故障，在接到电话通知后，4小时提出解决方案，8个小时内到达现场维修。如发生故障无法修复的，质保期内中标供应商须无条件更换新货物；如经招标人同意也可于8小时内提供同等规格产品替用（或采取使货物可正常运转的措施），直到故障修复后恢复正常工作。</w:t>
            </w:r>
          </w:p>
          <w:p>
            <w:pPr>
              <w:keepNext/>
              <w:spacing w:line="360" w:lineRule="exact"/>
              <w:ind w:left="214" w:hanging="214" w:hangingChars="102"/>
              <w:rPr>
                <w:rFonts w:ascii="宋体" w:hAnsi="宋体" w:cs="宋体"/>
                <w:szCs w:val="21"/>
              </w:rPr>
            </w:pPr>
            <w:r>
              <w:rPr>
                <w:rFonts w:hint="eastAsia" w:ascii="宋体" w:hAnsi="宋体" w:cs="宋体"/>
                <w:szCs w:val="21"/>
              </w:rPr>
              <w:t>3.货物到货后，即派技术人员到招标单位负责安装、严格按照货物性能指标进行调试及现场培训。</w:t>
            </w:r>
          </w:p>
          <w:p>
            <w:pPr>
              <w:keepNext/>
              <w:spacing w:line="360" w:lineRule="exact"/>
              <w:ind w:left="214" w:hanging="214" w:hangingChars="102"/>
              <w:rPr>
                <w:rFonts w:ascii="宋体" w:hAnsi="宋体" w:cs="宋体"/>
                <w:szCs w:val="21"/>
              </w:rPr>
            </w:pPr>
            <w:r>
              <w:rPr>
                <w:rFonts w:hint="eastAsia" w:ascii="宋体" w:hAnsi="宋体" w:cs="宋体"/>
                <w:szCs w:val="21"/>
              </w:rPr>
              <w:t>4.中标供应商负责处理解决货物出现的质量及安全问题并承担一切费用，质保期内所有非故意性损坏以及正常使用范围内造成的损坏中标供应商均须负责更换或维修，因人为因素出现的故障不在保修范围内的，中标供应商也应积极帮助招标人修理，并提供优惠价格的配件和服务。</w:t>
            </w:r>
          </w:p>
          <w:p>
            <w:pPr>
              <w:keepNext/>
              <w:spacing w:line="360" w:lineRule="exact"/>
              <w:ind w:left="214" w:hanging="214" w:hangingChars="102"/>
              <w:rPr>
                <w:rFonts w:ascii="宋体" w:hAnsi="宋体" w:cs="宋体"/>
                <w:szCs w:val="21"/>
              </w:rPr>
            </w:pPr>
            <w:r>
              <w:rPr>
                <w:rFonts w:hint="eastAsia" w:ascii="宋体" w:hAnsi="宋体" w:cs="宋体"/>
                <w:szCs w:val="21"/>
              </w:rPr>
              <w:t>5.由于货物的质量问题造成财产或人身伤害的，按规定追究中标单位责任，由中标单位赔偿经济损失。</w:t>
            </w:r>
          </w:p>
          <w:p>
            <w:pPr>
              <w:keepNext/>
              <w:spacing w:line="360" w:lineRule="exact"/>
              <w:ind w:left="214" w:hanging="214" w:hangingChars="102"/>
              <w:rPr>
                <w:rFonts w:ascii="宋体" w:hAnsi="宋体" w:cs="宋体"/>
                <w:szCs w:val="21"/>
              </w:rPr>
            </w:pPr>
            <w:r>
              <w:rPr>
                <w:rFonts w:hint="eastAsia" w:ascii="宋体" w:hAnsi="宋体" w:cs="宋体"/>
                <w:szCs w:val="21"/>
              </w:rPr>
              <w:t>6.因包装或运输不当引起的货物外观或内部的损坏，供货商应负责全部更换；若发现错发和漏发的，供货商应负责更换和补发。</w:t>
            </w:r>
          </w:p>
          <w:p>
            <w:pPr>
              <w:keepNext/>
              <w:spacing w:line="360" w:lineRule="exact"/>
              <w:ind w:left="315" w:hanging="315" w:hangingChars="150"/>
              <w:rPr>
                <w:rFonts w:ascii="宋体" w:hAnsi="宋体" w:cs="宋体"/>
                <w:szCs w:val="21"/>
              </w:rPr>
            </w:pPr>
            <w:r>
              <w:rPr>
                <w:rFonts w:hint="eastAsia" w:ascii="宋体" w:hAnsi="宋体" w:cs="宋体"/>
                <w:szCs w:val="21"/>
              </w:rPr>
              <w:t>7.必须提供完善的技术支持和售后服务，技术支持和售后服务必须与招标人原有技术支</w:t>
            </w:r>
          </w:p>
          <w:p>
            <w:pPr>
              <w:keepNext/>
              <w:spacing w:line="360" w:lineRule="exact"/>
              <w:ind w:left="315" w:leftChars="100" w:hanging="105" w:hangingChars="50"/>
              <w:rPr>
                <w:rFonts w:ascii="宋体" w:hAnsi="宋体" w:cs="宋体"/>
                <w:szCs w:val="21"/>
              </w:rPr>
            </w:pPr>
            <w:r>
              <w:rPr>
                <w:rFonts w:hint="eastAsia" w:ascii="宋体" w:hAnsi="宋体" w:cs="宋体"/>
                <w:szCs w:val="21"/>
              </w:rPr>
              <w:t>持和售后服务兼容和匹配。在项目实施过程及售后服务期内，需承诺指定专人负责与</w:t>
            </w:r>
          </w:p>
          <w:p>
            <w:pPr>
              <w:keepNext/>
              <w:spacing w:line="360" w:lineRule="exact"/>
              <w:ind w:left="315" w:leftChars="100" w:hanging="105" w:hangingChars="50"/>
              <w:rPr>
                <w:rFonts w:ascii="宋体" w:hAnsi="宋体" w:cs="宋体"/>
                <w:szCs w:val="21"/>
              </w:rPr>
            </w:pPr>
            <w:r>
              <w:rPr>
                <w:rFonts w:hint="eastAsia" w:ascii="宋体" w:hAnsi="宋体" w:cs="宋体"/>
                <w:szCs w:val="21"/>
              </w:rPr>
              <w:t>招标人保持长期的联系与服务。</w:t>
            </w:r>
          </w:p>
          <w:p>
            <w:pPr>
              <w:keepNext/>
              <w:spacing w:line="360" w:lineRule="exact"/>
              <w:rPr>
                <w:rFonts w:ascii="宋体" w:hAnsi="宋体" w:cs="宋体"/>
                <w:szCs w:val="21"/>
              </w:rPr>
            </w:pPr>
            <w:r>
              <w:rPr>
                <w:rFonts w:hint="eastAsia" w:ascii="宋体" w:hAnsi="宋体" w:cs="宋体"/>
                <w:szCs w:val="21"/>
              </w:rPr>
              <w:t>8.质保期满后，免费提供故障维修，需更换配件的按现行市场价商议只计收配件费。</w:t>
            </w:r>
          </w:p>
          <w:p>
            <w:pPr>
              <w:keepNext/>
              <w:spacing w:line="360" w:lineRule="exact"/>
              <w:rPr>
                <w:rFonts w:ascii="宋体" w:hAnsi="宋体" w:cs="宋体"/>
                <w:kern w:val="0"/>
                <w:szCs w:val="21"/>
              </w:rPr>
            </w:pPr>
            <w:r>
              <w:rPr>
                <w:rFonts w:hint="eastAsia" w:ascii="宋体" w:hAnsi="宋体" w:cs="宋体"/>
                <w:szCs w:val="21"/>
              </w:rPr>
              <w:t>9.质保期满后，每半年至少有两次以上实地回访。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keepNext/>
              <w:spacing w:line="360" w:lineRule="exact"/>
              <w:jc w:val="center"/>
              <w:rPr>
                <w:rFonts w:ascii="宋体" w:hAnsi="宋体" w:cs="宋体"/>
                <w:szCs w:val="21"/>
              </w:rPr>
            </w:pPr>
            <w:r>
              <w:rPr>
                <w:rFonts w:hint="eastAsia" w:ascii="宋体" w:hAnsi="宋体" w:cs="宋体"/>
                <w:szCs w:val="21"/>
              </w:rPr>
              <w:t>4</w:t>
            </w:r>
          </w:p>
        </w:tc>
        <w:tc>
          <w:tcPr>
            <w:tcW w:w="1224" w:type="dxa"/>
            <w:vAlign w:val="center"/>
          </w:tcPr>
          <w:p>
            <w:pPr>
              <w:keepNext/>
              <w:spacing w:line="360" w:lineRule="exact"/>
              <w:jc w:val="center"/>
              <w:rPr>
                <w:rFonts w:ascii="宋体" w:hAnsi="宋体" w:cs="宋体"/>
                <w:szCs w:val="21"/>
              </w:rPr>
            </w:pPr>
            <w:r>
              <w:rPr>
                <w:rFonts w:hint="eastAsia" w:ascii="宋体" w:hAnsi="宋体" w:cs="宋体"/>
                <w:szCs w:val="21"/>
              </w:rPr>
              <w:t>其他</w:t>
            </w:r>
          </w:p>
        </w:tc>
        <w:tc>
          <w:tcPr>
            <w:tcW w:w="8264" w:type="dxa"/>
            <w:vAlign w:val="center"/>
          </w:tcPr>
          <w:p>
            <w:pPr>
              <w:keepNext/>
              <w:spacing w:line="360" w:lineRule="exact"/>
              <w:rPr>
                <w:rFonts w:ascii="宋体" w:hAnsi="宋体" w:cs="宋体"/>
                <w:szCs w:val="21"/>
              </w:rPr>
            </w:pPr>
            <w:r>
              <w:rPr>
                <w:rFonts w:hint="eastAsia" w:ascii="宋体" w:hAnsi="宋体" w:cs="宋体"/>
                <w:szCs w:val="21"/>
              </w:rPr>
              <w:t>1.投标要求：</w:t>
            </w:r>
          </w:p>
          <w:p>
            <w:pPr>
              <w:keepNext/>
              <w:spacing w:line="360" w:lineRule="exact"/>
              <w:ind w:left="420" w:leftChars="-50" w:hanging="525" w:hangingChars="250"/>
              <w:rPr>
                <w:rFonts w:ascii="宋体" w:hAnsi="宋体" w:cs="宋体"/>
                <w:szCs w:val="21"/>
              </w:rPr>
            </w:pPr>
            <w:r>
              <w:rPr>
                <w:rFonts w:hint="eastAsia" w:ascii="宋体" w:hAnsi="宋体" w:cs="宋体"/>
                <w:szCs w:val="21"/>
              </w:rPr>
              <w:t>（1）针对本项目投标的所有货物必须完全符合招标文件的每项要求、</w:t>
            </w:r>
            <w:r>
              <w:rPr>
                <w:rFonts w:hint="eastAsia" w:ascii="宋体" w:hAnsi="宋体" w:cs="宋体"/>
                <w:bCs/>
                <w:szCs w:val="21"/>
              </w:rPr>
              <w:t>经检验合格的正版全新产品,如涉及版权的必须提供产品的自主知识产权证明材料；</w:t>
            </w:r>
            <w:r>
              <w:rPr>
                <w:rFonts w:hint="eastAsia" w:ascii="宋体" w:hAnsi="宋体" w:cs="宋体"/>
                <w:szCs w:val="21"/>
              </w:rPr>
              <w:t>若恶意投标出现货物质量问题、技术参数不符或供货延迟等问题，直接影响招标人教学工作正常运转的，招标人将按《政府采购法》规定追究该中标供应商虚假应标的相关责任，同时招标人有权单方终止合同，中标供应商须负责赔偿由此给招标人造成的一切损失。</w:t>
            </w:r>
          </w:p>
          <w:p>
            <w:pPr>
              <w:keepNext/>
              <w:spacing w:line="360" w:lineRule="exact"/>
              <w:ind w:left="420" w:leftChars="-50" w:hanging="525" w:hangingChars="250"/>
              <w:rPr>
                <w:rFonts w:ascii="宋体" w:hAnsi="宋体" w:cs="宋体"/>
                <w:szCs w:val="21"/>
              </w:rPr>
            </w:pPr>
            <w:r>
              <w:rPr>
                <w:rFonts w:hint="eastAsia" w:ascii="宋体" w:hAnsi="宋体" w:cs="宋体"/>
                <w:szCs w:val="21"/>
              </w:rPr>
              <w:t>（2）投标人须在投标文件中承诺，如果中标：在合同签订生效后，招标人有权要求投标人提供中标的货物送双方认可的第三方测试机构按照招标文件的性能参数指标进行测试，测试费用由中标供应商支付。不能提供或不能通过技术测试或测试结果与投标文件不符的视为虚假承诺，招标人有权单方面解除合同，并按国家相关法律法规追究该中标供应商虚假应标的相关责任，由此引发的所有损失由中标供应商负责。</w:t>
            </w:r>
          </w:p>
          <w:p>
            <w:pPr>
              <w:keepNext/>
              <w:spacing w:line="360" w:lineRule="exact"/>
              <w:ind w:left="420" w:leftChars="-50" w:hanging="525" w:hangingChars="250"/>
              <w:rPr>
                <w:rFonts w:ascii="宋体" w:hAnsi="宋体" w:cs="宋体"/>
                <w:szCs w:val="21"/>
              </w:rPr>
            </w:pPr>
            <w:r>
              <w:rPr>
                <w:rFonts w:hint="eastAsia" w:ascii="宋体" w:hAnsi="宋体" w:cs="宋体"/>
                <w:szCs w:val="21"/>
              </w:rPr>
              <w:t>（3）本章《项目需求一览表》中，要求中标供应商在合同签订生效后需提供的材料，中标供应商必须按招标人的要求提供，否则，招标人有权单方面终止合同，招标人将按《政府采购法》等相关法律法规的规定追究该中标供应商虚假应标的相关责任，同时该中标供应商须负责赔偿由此给招标人造成的一切损失。</w:t>
            </w:r>
          </w:p>
          <w:p>
            <w:pPr>
              <w:keepNext/>
              <w:spacing w:line="360" w:lineRule="exact"/>
              <w:ind w:left="420" w:leftChars="-50" w:hanging="525" w:hangingChars="250"/>
              <w:rPr>
                <w:rFonts w:ascii="宋体" w:hAnsi="宋体" w:cs="宋体"/>
                <w:szCs w:val="21"/>
              </w:rPr>
            </w:pPr>
            <w:r>
              <w:rPr>
                <w:rFonts w:hint="eastAsia" w:ascii="宋体" w:hAnsi="宋体" w:cs="宋体"/>
                <w:szCs w:val="21"/>
              </w:rPr>
              <w:t>（4）本项目采购的所有货物必须依据招标人场地、教学用途、兼容招标人原有货物等实际要求进行定制，如达不到实际使用要求，验收不合格的，招标人有权解除合同并上报财政监管部门。</w:t>
            </w:r>
          </w:p>
          <w:p>
            <w:pPr>
              <w:keepNext/>
              <w:spacing w:line="360" w:lineRule="exact"/>
              <w:ind w:left="420" w:leftChars="-50" w:hanging="525" w:hangingChars="250"/>
              <w:rPr>
                <w:rFonts w:ascii="宋体" w:hAnsi="宋体" w:cs="宋体"/>
                <w:szCs w:val="21"/>
              </w:rPr>
            </w:pPr>
            <w:r>
              <w:rPr>
                <w:rFonts w:hint="eastAsia" w:ascii="宋体" w:hAnsi="宋体" w:cs="宋体"/>
                <w:szCs w:val="21"/>
              </w:rPr>
              <w:t>（5）招标人不集中组织现场踏勘，投标人自行联系招标人进行现场踏勘，费用及安全等问题由投标人自行负责。</w:t>
            </w:r>
          </w:p>
          <w:p>
            <w:pPr>
              <w:keepNext/>
              <w:spacing w:line="360" w:lineRule="exact"/>
              <w:ind w:left="90" w:leftChars="43"/>
              <w:rPr>
                <w:rFonts w:ascii="宋体" w:hAnsi="宋体" w:cs="宋体"/>
                <w:bCs/>
                <w:szCs w:val="21"/>
              </w:rPr>
            </w:pPr>
            <w:r>
              <w:rPr>
                <w:rFonts w:hint="eastAsia" w:ascii="宋体" w:hAnsi="宋体" w:cs="宋体"/>
                <w:bCs/>
                <w:szCs w:val="21"/>
              </w:rPr>
              <w:t>2.报价要求：</w:t>
            </w:r>
          </w:p>
          <w:p>
            <w:pPr>
              <w:keepNext/>
              <w:tabs>
                <w:tab w:val="left" w:pos="433"/>
              </w:tabs>
              <w:spacing w:line="360" w:lineRule="exact"/>
              <w:ind w:left="420" w:leftChars="-50" w:hanging="525" w:hangingChars="250"/>
              <w:rPr>
                <w:rFonts w:ascii="宋体" w:hAnsi="宋体" w:cs="宋体"/>
                <w:bCs/>
                <w:szCs w:val="21"/>
              </w:rPr>
            </w:pPr>
            <w:r>
              <w:rPr>
                <w:rFonts w:hint="eastAsia" w:ascii="宋体" w:hAnsi="宋体" w:cs="宋体"/>
                <w:bCs/>
                <w:szCs w:val="21"/>
              </w:rPr>
              <w:t>（1）报价为全包价（含税）。报价中必须包括但不限于项目实施所需的人工费、货款、</w:t>
            </w:r>
            <w:r>
              <w:rPr>
                <w:rFonts w:hint="eastAsia" w:ascii="宋体" w:hAnsi="宋体" w:cs="宋体"/>
                <w:szCs w:val="21"/>
              </w:rPr>
              <w:t>软件定制及开发、软件部署</w:t>
            </w:r>
            <w:r>
              <w:rPr>
                <w:rFonts w:hint="eastAsia" w:ascii="宋体" w:hAnsi="宋体" w:cs="宋体"/>
                <w:kern w:val="1"/>
                <w:szCs w:val="21"/>
              </w:rPr>
              <w:t>、</w:t>
            </w:r>
            <w:r>
              <w:rPr>
                <w:rFonts w:hint="eastAsia" w:ascii="宋体" w:hAnsi="宋体" w:cs="宋体"/>
                <w:szCs w:val="21"/>
              </w:rPr>
              <w:t>随配附件</w:t>
            </w:r>
            <w:r>
              <w:rPr>
                <w:rFonts w:hint="eastAsia" w:ascii="宋体" w:hAnsi="宋体" w:cs="宋体"/>
                <w:bCs/>
                <w:szCs w:val="21"/>
              </w:rPr>
              <w:t>、备品备件、辅材、专用工具、包装、运输（至</w:t>
            </w:r>
            <w:r>
              <w:rPr>
                <w:rFonts w:hint="eastAsia" w:ascii="宋体" w:hAnsi="宋体" w:cs="宋体"/>
                <w:szCs w:val="21"/>
              </w:rPr>
              <w:t>招标</w:t>
            </w:r>
            <w:r>
              <w:rPr>
                <w:rFonts w:hint="eastAsia" w:ascii="宋体" w:hAnsi="宋体" w:cs="宋体"/>
                <w:bCs/>
                <w:szCs w:val="21"/>
              </w:rPr>
              <w:t>人指定位置）、装卸、保险、税金、货到就位、以及安装施工（包含但不限于室内线路安装、安装前清理及安装过程中产生的费用等；</w:t>
            </w:r>
            <w:r>
              <w:rPr>
                <w:rFonts w:hint="eastAsia" w:ascii="宋体" w:hAnsi="宋体" w:cs="宋体"/>
                <w:szCs w:val="21"/>
              </w:rPr>
              <w:t>各类软件、系统等的安装、集成、试运行等费用</w:t>
            </w:r>
            <w:r>
              <w:rPr>
                <w:rFonts w:hint="eastAsia" w:ascii="宋体" w:hAnsi="宋体" w:cs="宋体"/>
                <w:bCs/>
                <w:szCs w:val="21"/>
              </w:rPr>
              <w:t>）、安装施工所需材料等、调试（含调试后的室内整洁等）、</w:t>
            </w:r>
            <w:r>
              <w:rPr>
                <w:rFonts w:hint="eastAsia" w:ascii="宋体" w:hAnsi="宋体" w:cs="宋体"/>
                <w:szCs w:val="21"/>
                <w:lang w:val="zh-CN"/>
              </w:rPr>
              <w:t>验收、</w:t>
            </w:r>
            <w:r>
              <w:rPr>
                <w:rFonts w:hint="eastAsia" w:ascii="宋体" w:hAnsi="宋体" w:cs="宋体"/>
                <w:bCs/>
                <w:szCs w:val="21"/>
              </w:rPr>
              <w:t>培训、保修、售后服务等与本项目有关的可预见及不可预见的一切成本和费用的总合。除本项目合同价款及</w:t>
            </w:r>
            <w:r>
              <w:rPr>
                <w:rFonts w:hint="eastAsia" w:ascii="宋体" w:hAnsi="宋体" w:cs="宋体"/>
                <w:szCs w:val="21"/>
              </w:rPr>
              <w:t>招标</w:t>
            </w:r>
            <w:r>
              <w:rPr>
                <w:rFonts w:hint="eastAsia" w:ascii="宋体" w:hAnsi="宋体" w:cs="宋体"/>
                <w:bCs/>
                <w:szCs w:val="21"/>
              </w:rPr>
              <w:t>人认可的特殊情况外，</w:t>
            </w:r>
            <w:r>
              <w:rPr>
                <w:rFonts w:hint="eastAsia" w:ascii="宋体" w:hAnsi="宋体" w:cs="宋体"/>
                <w:szCs w:val="21"/>
              </w:rPr>
              <w:t>招标</w:t>
            </w:r>
            <w:r>
              <w:rPr>
                <w:rFonts w:hint="eastAsia" w:ascii="宋体" w:hAnsi="宋体" w:cs="宋体"/>
                <w:bCs/>
                <w:szCs w:val="21"/>
              </w:rPr>
              <w:t>人不再为本项目另付任何费用给中标供应商。</w:t>
            </w:r>
          </w:p>
          <w:p>
            <w:pPr>
              <w:keepNext/>
              <w:spacing w:line="360" w:lineRule="exact"/>
              <w:ind w:left="420" w:leftChars="-50" w:hanging="525" w:hangingChars="250"/>
              <w:rPr>
                <w:rFonts w:ascii="宋体" w:hAnsi="宋体" w:cs="宋体"/>
                <w:bCs/>
                <w:szCs w:val="21"/>
              </w:rPr>
            </w:pPr>
            <w:r>
              <w:rPr>
                <w:rFonts w:hint="eastAsia" w:ascii="宋体" w:hAnsi="宋体" w:cs="宋体"/>
                <w:bCs/>
                <w:szCs w:val="21"/>
              </w:rPr>
              <w:t>（2）报价清单要有项目需求中各</w:t>
            </w:r>
            <w:r>
              <w:rPr>
                <w:rFonts w:hint="eastAsia" w:ascii="宋体" w:hAnsi="宋体" w:cs="宋体"/>
                <w:szCs w:val="21"/>
              </w:rPr>
              <w:t>货物</w:t>
            </w:r>
            <w:r>
              <w:rPr>
                <w:rFonts w:hint="eastAsia" w:ascii="宋体" w:hAnsi="宋体" w:cs="宋体"/>
                <w:bCs/>
                <w:szCs w:val="21"/>
              </w:rPr>
              <w:t>总价格（必须按</w:t>
            </w:r>
            <w:r>
              <w:rPr>
                <w:rFonts w:hint="eastAsia" w:ascii="宋体" w:hAnsi="宋体" w:cs="宋体"/>
                <w:szCs w:val="21"/>
              </w:rPr>
              <w:t>货物</w:t>
            </w:r>
            <w:r>
              <w:rPr>
                <w:rFonts w:hint="eastAsia" w:ascii="宋体" w:hAnsi="宋体" w:cs="宋体"/>
                <w:bCs/>
                <w:szCs w:val="21"/>
              </w:rPr>
              <w:t>清单列出各</w:t>
            </w:r>
            <w:r>
              <w:rPr>
                <w:rFonts w:hint="eastAsia" w:ascii="宋体" w:hAnsi="宋体" w:cs="宋体"/>
                <w:szCs w:val="21"/>
              </w:rPr>
              <w:t>货物</w:t>
            </w:r>
            <w:r>
              <w:rPr>
                <w:rFonts w:hint="eastAsia" w:ascii="宋体" w:hAnsi="宋体" w:cs="宋体"/>
                <w:bCs/>
                <w:szCs w:val="21"/>
              </w:rPr>
              <w:t>的数量及单价等）等。</w:t>
            </w:r>
          </w:p>
          <w:p>
            <w:pPr>
              <w:keepNext/>
              <w:tabs>
                <w:tab w:val="left" w:pos="2310"/>
              </w:tabs>
              <w:spacing w:line="360" w:lineRule="exact"/>
              <w:ind w:left="-105" w:leftChars="-50"/>
              <w:rPr>
                <w:rFonts w:ascii="宋体" w:hAnsi="宋体" w:cs="宋体"/>
                <w:bCs/>
                <w:szCs w:val="21"/>
              </w:rPr>
            </w:pPr>
            <w:r>
              <w:rPr>
                <w:rFonts w:hint="eastAsia" w:ascii="宋体" w:hAnsi="宋体" w:cs="宋体"/>
                <w:bCs/>
                <w:szCs w:val="21"/>
              </w:rPr>
              <w:t>（3）报价币种为人民币。</w:t>
            </w:r>
          </w:p>
          <w:p>
            <w:pPr>
              <w:keepNext/>
              <w:tabs>
                <w:tab w:val="left" w:pos="2310"/>
              </w:tabs>
              <w:spacing w:line="360" w:lineRule="exact"/>
              <w:ind w:firstLine="105" w:firstLineChars="50"/>
              <w:rPr>
                <w:rFonts w:ascii="宋体" w:hAnsi="宋体" w:cs="宋体"/>
                <w:szCs w:val="21"/>
              </w:rPr>
            </w:pPr>
            <w:r>
              <w:rPr>
                <w:rFonts w:hint="eastAsia" w:ascii="宋体" w:hAnsi="宋体" w:cs="宋体"/>
                <w:bCs/>
                <w:szCs w:val="21"/>
              </w:rPr>
              <w:t>3.</w:t>
            </w:r>
            <w:r>
              <w:rPr>
                <w:rFonts w:hint="eastAsia" w:ascii="宋体" w:hAnsi="宋体" w:cs="宋体"/>
                <w:szCs w:val="21"/>
              </w:rPr>
              <w:t>运输及包装方式的要求：厂商出厂完整原包装。</w:t>
            </w:r>
          </w:p>
          <w:p>
            <w:pPr>
              <w:keepNext/>
              <w:tabs>
                <w:tab w:val="left" w:pos="433"/>
              </w:tabs>
              <w:spacing w:line="360" w:lineRule="exact"/>
              <w:ind w:firstLine="105" w:firstLineChars="50"/>
              <w:rPr>
                <w:rFonts w:ascii="宋体" w:hAnsi="宋体" w:cs="宋体"/>
                <w:bCs/>
                <w:szCs w:val="21"/>
              </w:rPr>
            </w:pPr>
            <w:r>
              <w:rPr>
                <w:rFonts w:hint="eastAsia" w:ascii="宋体" w:hAnsi="宋体" w:cs="宋体"/>
                <w:bCs/>
                <w:szCs w:val="21"/>
              </w:rPr>
              <w:t>4.货物抵达目的地后的检验程序和期限：</w:t>
            </w:r>
          </w:p>
          <w:p>
            <w:pPr>
              <w:keepNext/>
              <w:spacing w:line="360" w:lineRule="exact"/>
              <w:ind w:left="-105" w:leftChars="-50"/>
              <w:rPr>
                <w:rFonts w:ascii="宋体" w:hAnsi="宋体" w:cs="宋体"/>
                <w:bCs/>
                <w:szCs w:val="21"/>
              </w:rPr>
            </w:pPr>
            <w:r>
              <w:rPr>
                <w:rFonts w:hint="eastAsia" w:ascii="宋体" w:hAnsi="宋体" w:cs="宋体"/>
                <w:bCs/>
                <w:szCs w:val="21"/>
              </w:rPr>
              <w:t>（1）投标人货物经过双方检验认可后，签署接收报告；</w:t>
            </w:r>
          </w:p>
          <w:p>
            <w:pPr>
              <w:keepNext/>
              <w:spacing w:line="360" w:lineRule="exact"/>
              <w:ind w:left="-105" w:leftChars="-50"/>
              <w:rPr>
                <w:rFonts w:ascii="宋体" w:hAnsi="宋体" w:cs="宋体"/>
                <w:bCs/>
                <w:szCs w:val="21"/>
              </w:rPr>
            </w:pPr>
            <w:r>
              <w:rPr>
                <w:rFonts w:hint="eastAsia" w:ascii="宋体" w:hAnsi="宋体" w:cs="宋体"/>
                <w:bCs/>
                <w:szCs w:val="21"/>
              </w:rPr>
              <w:t>（2）当满足以下条件时，</w:t>
            </w:r>
            <w:r>
              <w:rPr>
                <w:rFonts w:hint="eastAsia" w:ascii="宋体" w:hAnsi="宋体" w:cs="宋体"/>
                <w:szCs w:val="21"/>
              </w:rPr>
              <w:t>招标</w:t>
            </w:r>
            <w:r>
              <w:rPr>
                <w:rFonts w:hint="eastAsia" w:ascii="宋体" w:hAnsi="宋体" w:cs="宋体"/>
                <w:bCs/>
                <w:szCs w:val="21"/>
              </w:rPr>
              <w:t>人向中标供应商签发货物接收报告：</w:t>
            </w:r>
          </w:p>
          <w:p>
            <w:pPr>
              <w:keepNext/>
              <w:spacing w:line="360" w:lineRule="exact"/>
              <w:ind w:firstLine="105" w:firstLineChars="50"/>
              <w:rPr>
                <w:rFonts w:ascii="宋体" w:hAnsi="宋体" w:cs="宋体"/>
                <w:bCs/>
                <w:szCs w:val="21"/>
              </w:rPr>
            </w:pPr>
            <w:r>
              <w:rPr>
                <w:rFonts w:hint="eastAsia" w:ascii="宋体" w:hAnsi="宋体" w:cs="宋体"/>
                <w:bCs/>
                <w:szCs w:val="21"/>
              </w:rPr>
              <w:t>①中标供应商已按照合同规定提供了全部产品及完整的技术资料；</w:t>
            </w:r>
          </w:p>
          <w:p>
            <w:pPr>
              <w:keepNext/>
              <w:spacing w:line="360" w:lineRule="exact"/>
              <w:ind w:firstLine="105" w:firstLineChars="50"/>
              <w:rPr>
                <w:rFonts w:ascii="宋体" w:hAnsi="宋体" w:cs="宋体"/>
                <w:bCs/>
                <w:szCs w:val="21"/>
              </w:rPr>
            </w:pPr>
            <w:r>
              <w:rPr>
                <w:rFonts w:hint="eastAsia" w:ascii="宋体" w:hAnsi="宋体" w:cs="宋体"/>
                <w:bCs/>
                <w:szCs w:val="21"/>
              </w:rPr>
              <w:t>②货物符合招标文件技术规格书的要求，性能满足要求；</w:t>
            </w:r>
          </w:p>
          <w:p>
            <w:pPr>
              <w:keepNext/>
              <w:spacing w:line="360" w:lineRule="exact"/>
              <w:ind w:firstLine="105" w:firstLineChars="50"/>
              <w:rPr>
                <w:rFonts w:ascii="宋体" w:hAnsi="宋体" w:cs="宋体"/>
                <w:bCs/>
                <w:szCs w:val="21"/>
              </w:rPr>
            </w:pPr>
            <w:r>
              <w:rPr>
                <w:rFonts w:hint="eastAsia" w:ascii="宋体" w:hAnsi="宋体" w:cs="宋体"/>
                <w:bCs/>
                <w:szCs w:val="21"/>
              </w:rPr>
              <w:t>③货物具备产品合格证。</w:t>
            </w:r>
          </w:p>
          <w:p>
            <w:pPr>
              <w:keepNext/>
              <w:tabs>
                <w:tab w:val="left" w:pos="2310"/>
              </w:tabs>
              <w:spacing w:line="360" w:lineRule="exact"/>
              <w:ind w:left="-105" w:leftChars="-50"/>
              <w:rPr>
                <w:rFonts w:ascii="宋体" w:hAnsi="宋体" w:cs="宋体"/>
                <w:szCs w:val="21"/>
              </w:rPr>
            </w:pPr>
            <w:r>
              <w:rPr>
                <w:rFonts w:hint="eastAsia" w:ascii="宋体" w:hAnsi="宋体" w:cs="宋体"/>
                <w:szCs w:val="21"/>
              </w:rPr>
              <w:t>（3）所有货物到货并安装调试达到正常使用水平后，完成最后的项目验收。</w:t>
            </w:r>
          </w:p>
          <w:p>
            <w:pPr>
              <w:keepNext/>
              <w:tabs>
                <w:tab w:val="left" w:pos="2310"/>
              </w:tabs>
              <w:spacing w:line="360" w:lineRule="exact"/>
              <w:ind w:left="420" w:leftChars="-50" w:hanging="525" w:hangingChars="250"/>
              <w:rPr>
                <w:rFonts w:ascii="宋体" w:hAnsi="宋体" w:cs="宋体"/>
                <w:szCs w:val="21"/>
              </w:rPr>
            </w:pPr>
            <w:r>
              <w:rPr>
                <w:rFonts w:hint="eastAsia" w:ascii="宋体" w:hAnsi="宋体" w:cs="宋体"/>
                <w:szCs w:val="21"/>
              </w:rPr>
              <w:t>（4）验收所需工具、器材由中标供应商自理；各项性能指标达到技术要求的，由供需双方共同签字认可，现场验收；提供全套说明书并包括简易的中文操作说明和注意事项。</w:t>
            </w:r>
          </w:p>
          <w:p>
            <w:pPr>
              <w:keepNext/>
              <w:tabs>
                <w:tab w:val="left" w:pos="2310"/>
              </w:tabs>
              <w:spacing w:line="360" w:lineRule="exact"/>
              <w:ind w:left="420" w:leftChars="-50" w:hanging="525" w:hangingChars="250"/>
              <w:rPr>
                <w:rFonts w:ascii="宋体" w:hAnsi="宋体" w:cs="宋体"/>
                <w:szCs w:val="21"/>
              </w:rPr>
            </w:pPr>
            <w:r>
              <w:rPr>
                <w:rFonts w:hint="eastAsia" w:ascii="宋体" w:hAnsi="宋体" w:cs="宋体"/>
                <w:szCs w:val="21"/>
              </w:rPr>
              <w:t>（5）</w:t>
            </w:r>
            <w:r>
              <w:rPr>
                <w:rFonts w:hint="eastAsia" w:ascii="宋体" w:hAnsi="宋体" w:cs="宋体"/>
                <w:bCs/>
                <w:szCs w:val="21"/>
              </w:rPr>
              <w:t>签订合同后交货验收，如与投标文件承诺不符，不予验收。</w:t>
            </w:r>
          </w:p>
          <w:p>
            <w:pPr>
              <w:keepNext/>
              <w:spacing w:line="360" w:lineRule="exact"/>
              <w:ind w:left="420" w:leftChars="50" w:hanging="315" w:hangingChars="150"/>
              <w:rPr>
                <w:rFonts w:ascii="宋体" w:hAnsi="宋体" w:cs="宋体"/>
                <w:color w:val="auto"/>
                <w:szCs w:val="21"/>
              </w:rPr>
            </w:pPr>
            <w:r>
              <w:rPr>
                <w:rFonts w:hint="eastAsia" w:ascii="宋体" w:hAnsi="宋体" w:cs="宋体"/>
                <w:szCs w:val="21"/>
              </w:rPr>
              <w:t>5.本项</w:t>
            </w:r>
            <w:r>
              <w:rPr>
                <w:rFonts w:hint="eastAsia" w:ascii="宋体" w:hAnsi="宋体" w:cs="宋体"/>
                <w:color w:val="auto"/>
                <w:szCs w:val="21"/>
              </w:rPr>
              <w:t>目货物不接受进口产品（即通过中国海关报关验放进入中国境内且产自关境外的产品），如</w:t>
            </w:r>
            <w:r>
              <w:rPr>
                <w:rFonts w:hint="eastAsia" w:ascii="宋体" w:hAnsi="宋体" w:cs="宋体"/>
                <w:bCs/>
                <w:color w:val="auto"/>
                <w:szCs w:val="21"/>
              </w:rPr>
              <w:t>所投产品有进口产品的将按投标无效处理。</w:t>
            </w:r>
          </w:p>
          <w:p>
            <w:pPr>
              <w:keepNext/>
              <w:tabs>
                <w:tab w:val="left" w:pos="2310"/>
              </w:tabs>
              <w:spacing w:line="360" w:lineRule="exact"/>
              <w:ind w:firstLine="105" w:firstLineChars="50"/>
              <w:rPr>
                <w:rFonts w:ascii="宋体" w:hAnsi="宋体" w:cs="宋体"/>
                <w:color w:val="auto"/>
                <w:szCs w:val="21"/>
              </w:rPr>
            </w:pPr>
            <w:r>
              <w:rPr>
                <w:rFonts w:hint="eastAsia" w:ascii="宋体" w:hAnsi="宋体" w:cs="宋体"/>
                <w:color w:val="auto"/>
                <w:szCs w:val="21"/>
              </w:rPr>
              <w:t>6.签订合同日期：自中标公告发布之日起</w:t>
            </w:r>
            <w:r>
              <w:rPr>
                <w:rFonts w:hint="eastAsia" w:ascii="宋体" w:hAnsi="宋体" w:cs="宋体"/>
                <w:color w:val="auto"/>
                <w:szCs w:val="21"/>
                <w:u w:val="single"/>
              </w:rPr>
              <w:t xml:space="preserve">  8  </w:t>
            </w:r>
            <w:r>
              <w:rPr>
                <w:rFonts w:hint="eastAsia" w:ascii="宋体" w:hAnsi="宋体" w:cs="宋体"/>
                <w:color w:val="auto"/>
                <w:szCs w:val="21"/>
              </w:rPr>
              <w:t>个工作日内。</w:t>
            </w:r>
          </w:p>
          <w:p>
            <w:pPr>
              <w:keepNext/>
              <w:tabs>
                <w:tab w:val="left" w:pos="2310"/>
              </w:tabs>
              <w:spacing w:line="360" w:lineRule="exact"/>
              <w:ind w:left="405" w:leftChars="43" w:hanging="315" w:hangingChars="150"/>
              <w:rPr>
                <w:rFonts w:ascii="宋体" w:hAnsi="宋体" w:cs="宋体"/>
                <w:color w:val="auto"/>
                <w:szCs w:val="21"/>
              </w:rPr>
            </w:pPr>
            <w:r>
              <w:rPr>
                <w:rFonts w:hint="eastAsia" w:ascii="宋体" w:hAnsi="宋体" w:cs="宋体"/>
                <w:color w:val="auto"/>
                <w:szCs w:val="21"/>
              </w:rPr>
              <w:t>7.付款方式：本项目采购用分期付款方式：</w:t>
            </w:r>
          </w:p>
          <w:p>
            <w:pPr>
              <w:keepNext/>
              <w:tabs>
                <w:tab w:val="left" w:pos="2310"/>
              </w:tabs>
              <w:spacing w:line="360" w:lineRule="exact"/>
              <w:ind w:left="420" w:leftChars="-50" w:hanging="525" w:hangingChars="250"/>
              <w:rPr>
                <w:rFonts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第一期：自签订合同生效后</w:t>
            </w:r>
            <w:r>
              <w:rPr>
                <w:rFonts w:hint="eastAsia" w:ascii="宋体" w:hAnsi="宋体" w:cs="宋体"/>
                <w:bCs/>
                <w:color w:val="auto"/>
                <w:szCs w:val="21"/>
              </w:rPr>
              <w:t>（待财政资金到位后）</w:t>
            </w:r>
            <w:r>
              <w:rPr>
                <w:rFonts w:hint="eastAsia" w:ascii="宋体" w:hAnsi="宋体" w:cs="宋体"/>
                <w:color w:val="auto"/>
                <w:szCs w:val="21"/>
              </w:rPr>
              <w:t>15个日历日内按政府采购程序</w:t>
            </w:r>
            <w:r>
              <w:rPr>
                <w:rFonts w:hint="eastAsia" w:ascii="宋体" w:hAnsi="宋体" w:cs="宋体"/>
                <w:bCs/>
                <w:color w:val="auto"/>
                <w:szCs w:val="21"/>
              </w:rPr>
              <w:t>支付合同</w:t>
            </w:r>
            <w:r>
              <w:rPr>
                <w:rFonts w:hint="eastAsia" w:ascii="宋体" w:hAnsi="宋体" w:cs="宋体"/>
                <w:color w:val="auto"/>
                <w:szCs w:val="21"/>
              </w:rPr>
              <w:t>货款</w:t>
            </w:r>
            <w:r>
              <w:rPr>
                <w:rFonts w:hint="eastAsia" w:ascii="宋体" w:hAnsi="宋体" w:cs="宋体"/>
                <w:bCs/>
                <w:color w:val="auto"/>
                <w:szCs w:val="21"/>
              </w:rPr>
              <w:t>的30％预付款；</w:t>
            </w:r>
          </w:p>
          <w:p>
            <w:pPr>
              <w:keepNext/>
              <w:tabs>
                <w:tab w:val="left" w:pos="2310"/>
              </w:tabs>
              <w:spacing w:line="360" w:lineRule="exact"/>
              <w:ind w:left="420" w:leftChars="-50" w:hanging="525" w:hangingChars="250"/>
              <w:rPr>
                <w:rFonts w:ascii="宋体" w:hAnsi="宋体" w:cs="宋体"/>
                <w:color w:val="auto"/>
                <w:szCs w:val="21"/>
              </w:rPr>
            </w:pPr>
            <w:r>
              <w:rPr>
                <w:rFonts w:hint="eastAsia" w:ascii="宋体" w:hAnsi="宋体" w:cs="宋体"/>
                <w:color w:val="auto"/>
                <w:szCs w:val="21"/>
              </w:rPr>
              <w:t>（2）第二期：全部货物供货完毕并试运行验收合格后按政府采购程序办理支付</w:t>
            </w:r>
            <w:r>
              <w:rPr>
                <w:rFonts w:hint="eastAsia" w:ascii="宋体" w:hAnsi="宋体" w:cs="宋体"/>
                <w:color w:val="auto"/>
                <w:szCs w:val="21"/>
                <w:lang w:eastAsia="zh-CN"/>
              </w:rPr>
              <w:t>剩余</w:t>
            </w:r>
            <w:r>
              <w:rPr>
                <w:rFonts w:hint="eastAsia" w:ascii="宋体" w:hAnsi="宋体" w:cs="宋体"/>
                <w:color w:val="auto"/>
                <w:szCs w:val="21"/>
                <w:lang w:val="en-US" w:eastAsia="zh-CN"/>
              </w:rPr>
              <w:t>70</w:t>
            </w:r>
            <w:r>
              <w:rPr>
                <w:rFonts w:hint="eastAsia" w:ascii="宋体" w:hAnsi="宋体" w:cs="宋体"/>
                <w:color w:val="auto"/>
                <w:szCs w:val="21"/>
              </w:rPr>
              <w:t>%合同货款。</w:t>
            </w:r>
          </w:p>
          <w:p>
            <w:pPr>
              <w:keepNext/>
              <w:tabs>
                <w:tab w:val="left" w:pos="2310"/>
              </w:tabs>
              <w:spacing w:line="360" w:lineRule="exact"/>
              <w:rPr>
                <w:rFonts w:ascii="宋体" w:hAnsi="宋体" w:cs="宋体"/>
                <w:color w:val="auto"/>
                <w:szCs w:val="21"/>
              </w:rPr>
            </w:pPr>
            <w:r>
              <w:rPr>
                <w:rFonts w:hint="eastAsia" w:ascii="宋体" w:hAnsi="宋体" w:cs="宋体"/>
                <w:color w:val="auto"/>
                <w:szCs w:val="21"/>
              </w:rPr>
              <w:t>注：中标供应商须提供</w:t>
            </w:r>
            <w:r>
              <w:rPr>
                <w:rFonts w:hint="eastAsia" w:ascii="宋体" w:hAnsi="宋体" w:cs="宋体"/>
                <w:bCs/>
                <w:color w:val="auto"/>
                <w:szCs w:val="21"/>
              </w:rPr>
              <w:t>合法正规的税务发票</w:t>
            </w:r>
            <w:r>
              <w:rPr>
                <w:rFonts w:hint="eastAsia" w:ascii="宋体" w:hAnsi="宋体" w:cs="宋体"/>
                <w:color w:val="auto"/>
                <w:szCs w:val="21"/>
              </w:rPr>
              <w:t>（发票信息必须与合同登记的内容相符）。</w:t>
            </w:r>
          </w:p>
          <w:p>
            <w:pPr>
              <w:keepNext/>
              <w:tabs>
                <w:tab w:val="left" w:pos="2310"/>
              </w:tabs>
              <w:spacing w:line="360" w:lineRule="exact"/>
              <w:ind w:left="-105" w:leftChars="-50"/>
              <w:rPr>
                <w:rFonts w:ascii="宋体" w:hAnsi="宋体" w:cs="宋体"/>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）以上付款均不计息。</w:t>
            </w:r>
          </w:p>
        </w:tc>
      </w:tr>
    </w:tbl>
    <w:p>
      <w:pPr>
        <w:keepNext/>
        <w:keepLines/>
        <w:spacing w:line="440" w:lineRule="exact"/>
        <w:jc w:val="center"/>
        <w:rPr>
          <w:rFonts w:ascii="宋体" w:cs="宋体"/>
          <w:b/>
          <w:sz w:val="24"/>
        </w:rPr>
      </w:pPr>
    </w:p>
    <w:p>
      <w:pPr>
        <w:keepNext/>
        <w:tabs>
          <w:tab w:val="left" w:pos="3004"/>
          <w:tab w:val="center" w:pos="4890"/>
        </w:tabs>
        <w:snapToGrid w:val="0"/>
        <w:spacing w:line="600" w:lineRule="exact"/>
        <w:jc w:val="center"/>
        <w:rPr>
          <w:rFonts w:ascii="宋体" w:hAnsi="宋体"/>
          <w:b/>
          <w:bCs/>
          <w:sz w:val="36"/>
          <w:szCs w:val="36"/>
        </w:rPr>
      </w:pPr>
    </w:p>
    <w:p>
      <w:pPr>
        <w:keepNext/>
        <w:tabs>
          <w:tab w:val="left" w:pos="3004"/>
          <w:tab w:val="center" w:pos="4890"/>
        </w:tabs>
        <w:snapToGrid w:val="0"/>
        <w:spacing w:line="600" w:lineRule="exact"/>
        <w:jc w:val="center"/>
        <w:rPr>
          <w:rFonts w:ascii="宋体" w:hAnsi="宋体"/>
          <w:b/>
          <w:bCs/>
          <w:sz w:val="36"/>
          <w:szCs w:val="36"/>
        </w:rPr>
      </w:pPr>
    </w:p>
    <w:p>
      <w:pPr>
        <w:keepNext/>
        <w:tabs>
          <w:tab w:val="left" w:pos="3004"/>
          <w:tab w:val="center" w:pos="4890"/>
        </w:tabs>
        <w:snapToGrid w:val="0"/>
        <w:spacing w:line="600" w:lineRule="exact"/>
        <w:jc w:val="center"/>
        <w:rPr>
          <w:rFonts w:hint="eastAsia" w:ascii="宋体" w:hAnsi="宋体"/>
          <w:b/>
          <w:bCs/>
          <w:sz w:val="36"/>
          <w:szCs w:val="36"/>
        </w:rPr>
      </w:pPr>
    </w:p>
    <w:p>
      <w:pPr>
        <w:keepNext/>
        <w:tabs>
          <w:tab w:val="left" w:pos="3004"/>
          <w:tab w:val="center" w:pos="4890"/>
        </w:tabs>
        <w:snapToGrid w:val="0"/>
        <w:spacing w:line="600" w:lineRule="exact"/>
        <w:jc w:val="center"/>
        <w:rPr>
          <w:rFonts w:hint="eastAsia" w:ascii="宋体" w:hAnsi="宋体"/>
          <w:b/>
          <w:bCs/>
          <w:sz w:val="36"/>
          <w:szCs w:val="36"/>
        </w:rPr>
      </w:pPr>
    </w:p>
    <w:p>
      <w:pPr>
        <w:keepNext/>
        <w:tabs>
          <w:tab w:val="left" w:pos="3004"/>
          <w:tab w:val="center" w:pos="4890"/>
        </w:tabs>
        <w:snapToGrid w:val="0"/>
        <w:spacing w:line="600" w:lineRule="exact"/>
        <w:jc w:val="center"/>
        <w:rPr>
          <w:rFonts w:ascii="宋体"/>
          <w:b/>
          <w:bCs/>
          <w:sz w:val="36"/>
          <w:szCs w:val="36"/>
        </w:rPr>
      </w:pPr>
      <w:r>
        <w:rPr>
          <w:rFonts w:hint="eastAsia" w:ascii="宋体" w:hAnsi="宋体"/>
          <w:b/>
          <w:bCs/>
          <w:sz w:val="36"/>
          <w:szCs w:val="36"/>
        </w:rPr>
        <w:t>第三章  投标人须知</w:t>
      </w:r>
    </w:p>
    <w:p>
      <w:pPr>
        <w:keepNext/>
        <w:snapToGrid w:val="0"/>
        <w:spacing w:line="600" w:lineRule="exact"/>
        <w:jc w:val="center"/>
        <w:rPr>
          <w:rFonts w:ascii="宋体"/>
          <w:sz w:val="28"/>
          <w:szCs w:val="28"/>
        </w:rPr>
      </w:pPr>
      <w:r>
        <w:rPr>
          <w:rFonts w:hint="eastAsia" w:ascii="宋体" w:hAnsi="宋体"/>
          <w:sz w:val="28"/>
          <w:szCs w:val="28"/>
        </w:rPr>
        <w:t>投标</w:t>
      </w:r>
      <w:bookmarkStart w:id="33" w:name="_Toc254970667"/>
      <w:bookmarkStart w:id="34" w:name="_Toc254970526"/>
      <w:r>
        <w:rPr>
          <w:rFonts w:hint="eastAsia" w:ascii="宋体" w:hAnsi="宋体"/>
          <w:sz w:val="28"/>
          <w:szCs w:val="28"/>
        </w:rPr>
        <w:t>人须知前附表</w:t>
      </w:r>
      <w:bookmarkEnd w:id="33"/>
      <w:bookmarkEnd w:id="34"/>
    </w:p>
    <w:tbl>
      <w:tblPr>
        <w:tblStyle w:val="59"/>
        <w:tblW w:w="103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9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序号</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rPr>
                <w:rFonts w:ascii="宋体" w:hAnsi="宋体" w:cs="宋体"/>
                <w:szCs w:val="21"/>
              </w:rPr>
            </w:pPr>
            <w:r>
              <w:rPr>
                <w:rFonts w:hint="eastAsia" w:ascii="宋体" w:hAnsi="宋体" w:cs="宋体"/>
                <w:szCs w:val="21"/>
              </w:rPr>
              <w:t>1.项目名称：北海职业学院计算机信息安全等级保护二级建设及出口网络升级改造项目</w:t>
            </w:r>
          </w:p>
          <w:p>
            <w:pPr>
              <w:keepNext/>
              <w:snapToGrid w:val="0"/>
              <w:spacing w:line="360" w:lineRule="exact"/>
              <w:rPr>
                <w:rFonts w:hint="eastAsia" w:ascii="宋体" w:hAnsi="宋体" w:eastAsia="宋体" w:cs="宋体"/>
                <w:szCs w:val="21"/>
                <w:lang w:eastAsia="zh-CN"/>
              </w:rPr>
            </w:pPr>
            <w:r>
              <w:rPr>
                <w:rFonts w:hint="eastAsia" w:ascii="宋体" w:hAnsi="宋体" w:cs="宋体"/>
                <w:szCs w:val="21"/>
              </w:rPr>
              <w:t>2.项目编号：</w:t>
            </w: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2</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rPr>
                <w:rFonts w:ascii="宋体" w:hAnsi="宋体" w:cs="宋体"/>
                <w:szCs w:val="21"/>
              </w:rPr>
            </w:pPr>
            <w:r>
              <w:rPr>
                <w:rFonts w:hint="eastAsia" w:ascii="宋体" w:hAnsi="宋体" w:cs="宋体"/>
                <w:szCs w:val="21"/>
              </w:rPr>
              <w:t>澄清与修改：投标人发现招标文件有误或有不合理要求的，必须在</w:t>
            </w:r>
            <w:r>
              <w:rPr>
                <w:rFonts w:hint="eastAsia" w:ascii="宋体" w:hAnsi="宋体" w:cs="宋体"/>
                <w:szCs w:val="21"/>
                <w:u w:val="single"/>
              </w:rPr>
              <w:t>收到招标文件之日起七个工作日内</w:t>
            </w:r>
            <w:r>
              <w:rPr>
                <w:rFonts w:hint="eastAsia" w:ascii="宋体" w:hAnsi="宋体" w:cs="宋体"/>
                <w:bCs/>
                <w:szCs w:val="21"/>
              </w:rPr>
              <w:t>以书面形式要求招标人、招标代理机构澄清</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3</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rPr>
                <w:rFonts w:ascii="宋体" w:hAnsi="宋体" w:cs="宋体"/>
                <w:szCs w:val="21"/>
              </w:rPr>
            </w:pPr>
            <w:r>
              <w:rPr>
                <w:rFonts w:hint="eastAsia" w:ascii="宋体" w:hAnsi="宋体" w:cs="宋体"/>
                <w:szCs w:val="21"/>
              </w:rPr>
              <w:t>投标报价及费用：</w:t>
            </w:r>
          </w:p>
          <w:p>
            <w:pPr>
              <w:keepNext/>
              <w:spacing w:line="360" w:lineRule="exact"/>
              <w:rPr>
                <w:rFonts w:ascii="宋体" w:hAnsi="宋体" w:cs="宋体"/>
                <w:szCs w:val="21"/>
              </w:rPr>
            </w:pPr>
            <w:r>
              <w:rPr>
                <w:rFonts w:hint="eastAsia" w:ascii="宋体" w:hAnsi="宋体" w:cs="宋体"/>
                <w:szCs w:val="21"/>
              </w:rPr>
              <w:t>1.本项目投标应以人民币报价；投标人可就《项目需求和说明》中货物和服务内容作完整唯一报价。</w:t>
            </w:r>
          </w:p>
          <w:p>
            <w:pPr>
              <w:keepNext/>
              <w:spacing w:line="360" w:lineRule="exact"/>
              <w:rPr>
                <w:rFonts w:ascii="宋体" w:hAnsi="宋体" w:cs="宋体"/>
                <w:szCs w:val="21"/>
              </w:rPr>
            </w:pPr>
            <w:r>
              <w:rPr>
                <w:rFonts w:hint="eastAsia" w:ascii="宋体" w:hAnsi="宋体" w:cs="宋体"/>
                <w:szCs w:val="21"/>
              </w:rPr>
              <w:t>2.不论投标结果如何，投标人均应自行承担所有与投标有关的全部费用。</w:t>
            </w:r>
          </w:p>
          <w:p>
            <w:pPr>
              <w:keepNext/>
              <w:spacing w:line="360" w:lineRule="exact"/>
              <w:ind w:left="210" w:hanging="210" w:hangingChars="100"/>
              <w:rPr>
                <w:rFonts w:ascii="宋体" w:hAnsi="宋体" w:cs="宋体"/>
                <w:szCs w:val="21"/>
              </w:rPr>
            </w:pPr>
            <w:r>
              <w:rPr>
                <w:rFonts w:hint="eastAsia" w:ascii="宋体" w:hAnsi="宋体" w:cs="宋体"/>
                <w:szCs w:val="21"/>
              </w:rPr>
              <w:t>3.本项目招标代理服务费按照国家发展改革委关于进一步放开建设项目专业服务价格的通知（发改价格[2015]299号）的精神实行市场调节，由中标供应商向招标代理机构支付。本项目招标代理服务费为人民币贰万捌仟壹佰肆拾元整（¥28140.00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4</w:t>
            </w:r>
          </w:p>
        </w:tc>
        <w:tc>
          <w:tcPr>
            <w:tcW w:w="9837" w:type="dxa"/>
            <w:tcBorders>
              <w:top w:val="single" w:color="auto" w:sz="4" w:space="0"/>
              <w:left w:val="single" w:color="auto" w:sz="4" w:space="0"/>
              <w:bottom w:val="single" w:color="auto" w:sz="4" w:space="0"/>
            </w:tcBorders>
            <w:vAlign w:val="center"/>
          </w:tcPr>
          <w:p>
            <w:pPr>
              <w:pStyle w:val="31"/>
              <w:keepNext/>
              <w:keepLines/>
              <w:adjustRightInd w:val="0"/>
              <w:snapToGrid w:val="0"/>
              <w:spacing w:line="360" w:lineRule="exact"/>
              <w:ind w:left="210" w:hanging="210" w:hangingChars="100"/>
              <w:jc w:val="left"/>
              <w:rPr>
                <w:rFonts w:hAnsi="宋体" w:cs="宋体"/>
                <w:szCs w:val="21"/>
              </w:rPr>
            </w:pPr>
            <w:r>
              <w:rPr>
                <w:rFonts w:hint="eastAsia" w:hAnsi="宋体" w:cs="宋体"/>
                <w:szCs w:val="21"/>
              </w:rPr>
              <w:t>投标保证金：</w:t>
            </w:r>
          </w:p>
          <w:p>
            <w:pPr>
              <w:pStyle w:val="31"/>
              <w:keepNext/>
              <w:keepLines/>
              <w:adjustRightInd w:val="0"/>
              <w:snapToGrid w:val="0"/>
              <w:spacing w:line="360" w:lineRule="exact"/>
              <w:ind w:left="210" w:hanging="210" w:hangingChars="100"/>
              <w:jc w:val="left"/>
              <w:rPr>
                <w:rFonts w:hAnsi="宋体" w:cs="宋体"/>
                <w:szCs w:val="21"/>
              </w:rPr>
            </w:pPr>
            <w:r>
              <w:rPr>
                <w:rFonts w:hint="eastAsia" w:hAnsi="宋体" w:cs="宋体"/>
                <w:szCs w:val="21"/>
              </w:rPr>
              <w:t>1.根据《北海市财政局关于明确政府采购保证金管理工作的通知》（北财采【2020】27号）文件中关于“不得向诚信记录良好的投标人收取投标保证金”的要求，投标人无须交纳投标保证金。</w:t>
            </w:r>
          </w:p>
          <w:p>
            <w:pPr>
              <w:keepNext/>
              <w:snapToGrid w:val="0"/>
              <w:spacing w:line="360" w:lineRule="exact"/>
              <w:ind w:firstLine="210" w:firstLineChars="100"/>
              <w:rPr>
                <w:rFonts w:ascii="宋体" w:hAnsi="宋体" w:cs="宋体"/>
                <w:kern w:val="0"/>
                <w:szCs w:val="21"/>
              </w:rPr>
            </w:pPr>
            <w:r>
              <w:rPr>
                <w:rFonts w:hint="eastAsia" w:ascii="宋体" w:hAnsi="宋体" w:cs="宋体"/>
                <w:szCs w:val="21"/>
              </w:rPr>
              <w:t>2.投标人按本章“附件1”的格式要求提供《诚信记录良好承诺函》。《诚信记录良好承诺函》交纳方式见《投标人须知》。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5</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ind w:left="210" w:hanging="210" w:hangingChars="100"/>
              <w:rPr>
                <w:rFonts w:ascii="宋体" w:hAnsi="宋体" w:cs="宋体"/>
                <w:szCs w:val="21"/>
              </w:rPr>
            </w:pPr>
            <w:r>
              <w:rPr>
                <w:rFonts w:hint="eastAsia" w:ascii="宋体" w:hAnsi="宋体" w:cs="宋体"/>
                <w:szCs w:val="21"/>
              </w:rPr>
              <w:t>1.招标人或招标代理机构在对投标人资格审查时进行信用查询，查询结果与投标文件不一致时，以招标人或招标代理机构查询结果为准。</w:t>
            </w:r>
          </w:p>
          <w:p>
            <w:pPr>
              <w:keepNext/>
              <w:snapToGrid w:val="0"/>
              <w:spacing w:line="360" w:lineRule="exact"/>
              <w:rPr>
                <w:rFonts w:ascii="宋体" w:hAnsi="宋体" w:cs="宋体"/>
                <w:szCs w:val="21"/>
              </w:rPr>
            </w:pPr>
            <w:r>
              <w:rPr>
                <w:rFonts w:hint="eastAsia" w:ascii="宋体" w:hAnsi="宋体" w:cs="宋体"/>
                <w:szCs w:val="21"/>
              </w:rPr>
              <w:t>2.查询渠道：“信用中国”网站(www.creditchina.gov.cn)、中国政府采购网(</w:t>
            </w:r>
            <w:r>
              <w:fldChar w:fldCharType="begin"/>
            </w:r>
            <w:r>
              <w:instrText xml:space="preserve"> HYPERLINK "http://www.ccgp.gov.cn)等" </w:instrText>
            </w:r>
            <w:r>
              <w:fldChar w:fldCharType="separate"/>
            </w:r>
            <w:r>
              <w:rPr>
                <w:rStyle w:val="66"/>
                <w:rFonts w:hint="eastAsia" w:ascii="宋体" w:hAnsi="宋体" w:cs="宋体"/>
                <w:color w:val="auto"/>
                <w:szCs w:val="21"/>
              </w:rPr>
              <w:t>www.ccgp.gov.cn)等</w:t>
            </w:r>
            <w:r>
              <w:rPr>
                <w:rStyle w:val="66"/>
                <w:rFonts w:hint="eastAsia" w:ascii="宋体" w:hAnsi="宋体" w:cs="宋体"/>
                <w:color w:val="auto"/>
                <w:szCs w:val="21"/>
              </w:rPr>
              <w:fldChar w:fldCharType="end"/>
            </w:r>
            <w:r>
              <w:rPr>
                <w:rFonts w:hint="eastAsia" w:ascii="宋体" w:hAnsi="宋体" w:cs="宋体"/>
                <w:szCs w:val="21"/>
              </w:rPr>
              <w:t>。</w:t>
            </w:r>
          </w:p>
          <w:p>
            <w:pPr>
              <w:keepNext/>
              <w:snapToGrid w:val="0"/>
              <w:spacing w:line="360" w:lineRule="exact"/>
              <w:rPr>
                <w:rFonts w:ascii="宋体" w:hAnsi="宋体" w:cs="宋体"/>
                <w:szCs w:val="21"/>
              </w:rPr>
            </w:pPr>
            <w:r>
              <w:rPr>
                <w:rFonts w:hint="eastAsia" w:ascii="宋体" w:hAnsi="宋体" w:cs="宋体"/>
                <w:szCs w:val="21"/>
              </w:rPr>
              <w:t>3.查询起止时间：投标截止时间前3年内。</w:t>
            </w:r>
          </w:p>
          <w:p>
            <w:pPr>
              <w:keepNext/>
              <w:snapToGrid w:val="0"/>
              <w:spacing w:line="360" w:lineRule="exact"/>
              <w:rPr>
                <w:rFonts w:ascii="宋体" w:hAnsi="宋体" w:cs="宋体"/>
                <w:szCs w:val="21"/>
              </w:rPr>
            </w:pPr>
            <w:r>
              <w:rPr>
                <w:rFonts w:hint="eastAsia" w:ascii="宋体" w:hAnsi="宋体" w:cs="宋体"/>
                <w:szCs w:val="21"/>
              </w:rPr>
              <w:t>4.查询记录和证据留存方式：在查询网站中直接打印查询记录，打印材料作为评审资料保存。</w:t>
            </w:r>
          </w:p>
          <w:p>
            <w:pPr>
              <w:keepNext/>
              <w:snapToGrid w:val="0"/>
              <w:spacing w:line="360" w:lineRule="exact"/>
              <w:ind w:left="210" w:hanging="210" w:hangingChars="100"/>
              <w:rPr>
                <w:rFonts w:ascii="宋体" w:hAnsi="宋体" w:cs="宋体"/>
                <w:szCs w:val="21"/>
              </w:rPr>
            </w:pPr>
            <w:r>
              <w:rPr>
                <w:rFonts w:hint="eastAsia" w:ascii="宋体" w:hAnsi="宋体" w:cs="宋体"/>
                <w:szCs w:val="21"/>
              </w:rPr>
              <w:t>5.信用信息使用规则：对在“信用中国”网站(www.creditchina.gov.cn)、中国政府采购网(</w:t>
            </w:r>
            <w:r>
              <w:fldChar w:fldCharType="begin"/>
            </w:r>
            <w:r>
              <w:instrText xml:space="preserve"> HYPERLINK "http://www.ccgp.gov.cn)6" </w:instrText>
            </w:r>
            <w:r>
              <w:fldChar w:fldCharType="separate"/>
            </w:r>
            <w:r>
              <w:rPr>
                <w:rStyle w:val="66"/>
                <w:rFonts w:hint="eastAsia" w:ascii="宋体" w:hAnsi="宋体" w:cs="宋体"/>
                <w:color w:val="auto"/>
                <w:szCs w:val="21"/>
              </w:rPr>
              <w:t>www.ccgp.gov.cn)6</w:t>
            </w:r>
            <w:r>
              <w:rPr>
                <w:rStyle w:val="66"/>
                <w:rFonts w:hint="eastAsia" w:ascii="宋体" w:hAnsi="宋体" w:cs="宋体"/>
                <w:color w:val="auto"/>
                <w:szCs w:val="21"/>
              </w:rPr>
              <w:fldChar w:fldCharType="end"/>
            </w:r>
            <w:r>
              <w:rPr>
                <w:rFonts w:hint="eastAsia" w:ascii="宋体" w:hAnsi="宋体" w:cs="宋体"/>
                <w:szCs w:val="21"/>
              </w:rPr>
              <w:t>.等渠道列入失信被执行人、政府采购不良行为记录、重大税收违法案件当事人、被各级政府行政部门列入黑名单的供应商及其他不符合《中华人民共和国政府采购法》第二十二条规定条件的供应商，资格审查不通过，不得参与政府采购活动。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6</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rPr>
                <w:rFonts w:ascii="宋体" w:hAnsi="宋体" w:cs="宋体"/>
                <w:b/>
                <w:szCs w:val="21"/>
              </w:rPr>
            </w:pPr>
            <w:r>
              <w:rPr>
                <w:rFonts w:hint="eastAsia" w:ascii="宋体" w:hAnsi="宋体" w:cs="宋体"/>
                <w:b/>
                <w:szCs w:val="21"/>
              </w:rPr>
              <w:t>投标前准备：</w:t>
            </w:r>
          </w:p>
          <w:p>
            <w:pPr>
              <w:keepNext/>
              <w:snapToGrid w:val="0"/>
              <w:spacing w:line="360" w:lineRule="exact"/>
              <w:rPr>
                <w:rFonts w:ascii="宋体" w:hAnsi="宋体" w:cs="宋体"/>
                <w:szCs w:val="21"/>
              </w:rPr>
            </w:pPr>
            <w:r>
              <w:rPr>
                <w:rFonts w:hint="eastAsia" w:ascii="宋体" w:hAnsi="宋体" w:cs="宋体"/>
                <w:szCs w:val="21"/>
              </w:rPr>
              <w:t>1.本项目实行网上投标，采用电子投标文件。若投标人参与投标，自行承担投标一切费用。</w:t>
            </w:r>
          </w:p>
          <w:p>
            <w:pPr>
              <w:keepNext/>
              <w:snapToGrid w:val="0"/>
              <w:spacing w:line="360" w:lineRule="exact"/>
              <w:rPr>
                <w:rFonts w:ascii="宋体" w:hAnsi="宋体" w:cs="宋体"/>
                <w:szCs w:val="21"/>
              </w:rPr>
            </w:pPr>
            <w:r>
              <w:rPr>
                <w:rFonts w:hint="eastAsia" w:ascii="宋体" w:hAnsi="宋体" w:cs="宋体"/>
                <w:szCs w:val="21"/>
              </w:rPr>
              <w:t>2.各投标人应在截标前确保成为北海市政府采购中心网站正式注册入库供应商，并完成CA数字证书申领。</w:t>
            </w:r>
          </w:p>
          <w:p>
            <w:pPr>
              <w:keepNext/>
              <w:snapToGrid w:val="0"/>
              <w:spacing w:line="360" w:lineRule="exact"/>
              <w:ind w:firstLine="210" w:firstLineChars="100"/>
              <w:rPr>
                <w:rFonts w:ascii="宋体" w:hAnsi="宋体" w:cs="宋体"/>
                <w:szCs w:val="21"/>
              </w:rPr>
            </w:pPr>
            <w:r>
              <w:rPr>
                <w:rFonts w:hint="eastAsia" w:ascii="宋体" w:hAnsi="宋体" w:cs="宋体"/>
                <w:szCs w:val="21"/>
              </w:rPr>
              <w:t>因未注册入库、未办理CA数字证书等原因造成无法投标或投标失败等后果由投标人自行承担。</w:t>
            </w:r>
          </w:p>
          <w:p>
            <w:pPr>
              <w:keepNext/>
              <w:spacing w:line="360" w:lineRule="exact"/>
              <w:rPr>
                <w:rFonts w:ascii="宋体" w:hAnsi="宋体" w:cs="宋体"/>
                <w:szCs w:val="21"/>
              </w:rPr>
            </w:pPr>
            <w:r>
              <w:rPr>
                <w:rFonts w:hint="eastAsia" w:ascii="宋体" w:hAnsi="宋体" w:cs="宋体"/>
                <w:szCs w:val="21"/>
              </w:rPr>
              <w:t>3.投标人将政采云电子交易客户端下载、安装完成后，可通过账号密码或CA登录客户端进行投标文件制</w:t>
            </w:r>
          </w:p>
          <w:p>
            <w:pPr>
              <w:keepNext/>
              <w:spacing w:line="360" w:lineRule="exact"/>
              <w:ind w:firstLine="210" w:firstLineChars="100"/>
              <w:rPr>
                <w:rFonts w:ascii="宋体" w:hAnsi="宋体" w:cs="宋体"/>
                <w:szCs w:val="21"/>
              </w:rPr>
            </w:pPr>
            <w:r>
              <w:rPr>
                <w:rFonts w:hint="eastAsia" w:ascii="宋体" w:hAnsi="宋体" w:cs="宋体"/>
                <w:szCs w:val="21"/>
              </w:rPr>
              <w:t>作。客户端请至北海市政府采购中心网站（https://www.zcygov.cn/）下载专区查看，如有问题可拨打</w:t>
            </w:r>
          </w:p>
          <w:p>
            <w:pPr>
              <w:keepNext/>
              <w:spacing w:line="360" w:lineRule="exact"/>
              <w:ind w:firstLine="210" w:firstLineChars="100"/>
              <w:rPr>
                <w:rFonts w:ascii="宋体" w:hAnsi="宋体" w:cs="宋体"/>
                <w:szCs w:val="21"/>
              </w:rPr>
            </w:pPr>
            <w:r>
              <w:rPr>
                <w:rFonts w:hint="eastAsia" w:ascii="宋体" w:hAnsi="宋体" w:cs="宋体"/>
                <w:szCs w:val="21"/>
              </w:rPr>
              <w:t>政采云客户服务热线400-881-7190进行咨询。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7</w:t>
            </w:r>
          </w:p>
        </w:tc>
        <w:tc>
          <w:tcPr>
            <w:tcW w:w="9837"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宋体" w:hAnsi="宋体" w:cs="宋体"/>
                <w:b/>
                <w:szCs w:val="21"/>
              </w:rPr>
            </w:pPr>
            <w:r>
              <w:rPr>
                <w:rFonts w:hint="eastAsia" w:ascii="宋体" w:hAnsi="宋体" w:cs="宋体"/>
                <w:b/>
                <w:szCs w:val="21"/>
              </w:rPr>
              <w:t>投标人应提供电子投标文件，同时可以提供以介质存储的电子备份投标文件：</w:t>
            </w:r>
          </w:p>
          <w:p>
            <w:pPr>
              <w:keepNext/>
              <w:autoSpaceDE w:val="0"/>
              <w:autoSpaceDN w:val="0"/>
              <w:snapToGrid w:val="0"/>
              <w:spacing w:line="360" w:lineRule="exact"/>
              <w:textAlignment w:val="bottom"/>
              <w:rPr>
                <w:rFonts w:ascii="宋体" w:hAnsi="宋体" w:cs="宋体"/>
                <w:b/>
                <w:szCs w:val="21"/>
              </w:rPr>
            </w:pPr>
            <w:r>
              <w:rPr>
                <w:rFonts w:hint="eastAsia" w:ascii="宋体" w:hAnsi="宋体" w:cs="宋体"/>
                <w:b/>
                <w:szCs w:val="21"/>
              </w:rPr>
              <w:t>1.电子投标文件，电子投标文件按政采云平台要求及本招标文件要求制作、加密并递交。</w:t>
            </w:r>
          </w:p>
          <w:p>
            <w:pPr>
              <w:keepNext/>
              <w:autoSpaceDE w:val="0"/>
              <w:autoSpaceDN w:val="0"/>
              <w:snapToGrid w:val="0"/>
              <w:spacing w:line="360" w:lineRule="exact"/>
              <w:ind w:left="211" w:hanging="211" w:hangingChars="100"/>
              <w:textAlignment w:val="bottom"/>
              <w:rPr>
                <w:rFonts w:ascii="宋体" w:hAnsi="宋体" w:cs="宋体"/>
                <w:b/>
                <w:szCs w:val="21"/>
              </w:rPr>
            </w:pPr>
            <w:r>
              <w:rPr>
                <w:rFonts w:hint="eastAsia" w:ascii="宋体" w:hAnsi="宋体" w:cs="宋体"/>
                <w:b/>
                <w:szCs w:val="21"/>
              </w:rPr>
              <w:t>2.以介质存储的电子备份投标文件，按政采云平台项目采购-电子招投标操作指南中上传的电子投标文件格式，以DVD光盘或者U盘等形式提供，数量为1份。</w:t>
            </w:r>
          </w:p>
          <w:p>
            <w:pPr>
              <w:keepNext/>
              <w:autoSpaceDE w:val="0"/>
              <w:autoSpaceDN w:val="0"/>
              <w:snapToGrid w:val="0"/>
              <w:spacing w:line="360" w:lineRule="exact"/>
              <w:ind w:left="211" w:hanging="211" w:hangingChars="100"/>
              <w:textAlignment w:val="bottom"/>
              <w:rPr>
                <w:rFonts w:ascii="宋体" w:hAnsi="宋体" w:cs="宋体"/>
                <w:b/>
                <w:szCs w:val="21"/>
              </w:rPr>
            </w:pPr>
            <w:r>
              <w:rPr>
                <w:rFonts w:hint="eastAsia" w:ascii="宋体" w:hAnsi="宋体" w:cs="宋体"/>
                <w:b/>
                <w:szCs w:val="21"/>
              </w:rPr>
              <w:t>3.投标文件启用顺序和效力。投标文件的启用，按先后顺位分别为电子投标文件、以介质存储的电子备份投标文件。顺位在先的电子投标文件已按时解密的，下一顺位的电子备份投标文件自动失效。在下一顺位的电子备份投标文件启用时，前一顺位的电子投标文件自动失效。</w:t>
            </w:r>
          </w:p>
          <w:p>
            <w:pPr>
              <w:keepNext/>
              <w:autoSpaceDE w:val="0"/>
              <w:autoSpaceDN w:val="0"/>
              <w:snapToGrid w:val="0"/>
              <w:spacing w:line="360" w:lineRule="exact"/>
              <w:textAlignment w:val="bottom"/>
              <w:rPr>
                <w:rFonts w:ascii="宋体" w:hAnsi="宋体" w:cs="宋体"/>
                <w:b/>
                <w:szCs w:val="21"/>
              </w:rPr>
            </w:pPr>
            <w:r>
              <w:rPr>
                <w:rFonts w:hint="eastAsia" w:ascii="宋体" w:hAnsi="宋体" w:cs="宋体"/>
                <w:b/>
                <w:szCs w:val="21"/>
              </w:rPr>
              <w:t>4.未传输递交电子投标文件的，投标无效。</w:t>
            </w:r>
          </w:p>
          <w:p>
            <w:pPr>
              <w:keepNext/>
              <w:spacing w:line="360" w:lineRule="exact"/>
              <w:rPr>
                <w:rFonts w:ascii="宋体" w:hAnsi="宋体" w:cs="宋体"/>
                <w:szCs w:val="21"/>
              </w:rPr>
            </w:pPr>
            <w:r>
              <w:rPr>
                <w:rFonts w:hint="eastAsia" w:ascii="宋体" w:hAnsi="宋体" w:cs="宋体"/>
                <w:b/>
                <w:szCs w:val="21"/>
              </w:rPr>
              <w:t>5.未提供符合要求的电子备份投标文件，后果自负。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8</w:t>
            </w:r>
          </w:p>
        </w:tc>
        <w:tc>
          <w:tcPr>
            <w:tcW w:w="9837" w:type="dxa"/>
            <w:tcBorders>
              <w:top w:val="single" w:color="auto" w:sz="4" w:space="0"/>
              <w:left w:val="single" w:color="auto" w:sz="4" w:space="0"/>
              <w:bottom w:val="single" w:color="auto" w:sz="4" w:space="0"/>
            </w:tcBorders>
            <w:vAlign w:val="center"/>
          </w:tcPr>
          <w:p>
            <w:pPr>
              <w:keepNext/>
              <w:spacing w:line="360" w:lineRule="exact"/>
              <w:rPr>
                <w:rFonts w:ascii="宋体" w:hAnsi="宋体" w:cs="宋体"/>
                <w:szCs w:val="21"/>
              </w:rPr>
            </w:pPr>
            <w:r>
              <w:rPr>
                <w:rFonts w:hint="eastAsia" w:ascii="宋体" w:hAnsi="宋体" w:cs="宋体"/>
                <w:szCs w:val="21"/>
              </w:rPr>
              <w:t>投标文件</w:t>
            </w:r>
            <w:r>
              <w:rPr>
                <w:rFonts w:hint="eastAsia" w:ascii="宋体" w:hAnsi="宋体" w:cs="宋体"/>
                <w:szCs w:val="21"/>
                <w:lang w:eastAsia="zh-CN"/>
              </w:rPr>
              <w:t>提交</w:t>
            </w:r>
            <w:r>
              <w:rPr>
                <w:rFonts w:hint="eastAsia" w:ascii="宋体" w:hAnsi="宋体" w:cs="宋体"/>
                <w:szCs w:val="21"/>
              </w:rPr>
              <w:t>截止时间及地点：</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点</w:t>
            </w:r>
            <w:r>
              <w:rPr>
                <w:rFonts w:hint="eastAsia" w:ascii="宋体" w:hAnsi="宋体" w:cs="宋体"/>
                <w:szCs w:val="21"/>
                <w:lang w:val="en-US" w:eastAsia="zh-CN"/>
              </w:rPr>
              <w:t xml:space="preserve">   </w:t>
            </w:r>
            <w:r>
              <w:rPr>
                <w:rFonts w:hint="eastAsia" w:ascii="宋体" w:hAnsi="宋体" w:cs="宋体"/>
                <w:szCs w:val="21"/>
              </w:rPr>
              <w:t>分，通过政采云平台实行在线截标。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9</w:t>
            </w:r>
          </w:p>
        </w:tc>
        <w:tc>
          <w:tcPr>
            <w:tcW w:w="9837" w:type="dxa"/>
            <w:tcBorders>
              <w:top w:val="single" w:color="auto" w:sz="4" w:space="0"/>
              <w:left w:val="single" w:color="auto" w:sz="4" w:space="0"/>
              <w:bottom w:val="single" w:color="auto" w:sz="4" w:space="0"/>
            </w:tcBorders>
            <w:vAlign w:val="center"/>
          </w:tcPr>
          <w:p>
            <w:pPr>
              <w:keepNext/>
              <w:spacing w:line="360" w:lineRule="exact"/>
              <w:rPr>
                <w:rFonts w:ascii="宋体" w:hAnsi="宋体" w:cs="宋体"/>
                <w:szCs w:val="21"/>
              </w:rPr>
            </w:pPr>
            <w:r>
              <w:rPr>
                <w:rFonts w:hint="eastAsia" w:ascii="宋体" w:hAnsi="宋体" w:cs="宋体"/>
                <w:szCs w:val="21"/>
              </w:rPr>
              <w:t>开标时间及地点：</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点</w:t>
            </w:r>
            <w:r>
              <w:rPr>
                <w:rFonts w:hint="eastAsia" w:ascii="宋体" w:hAnsi="宋体" w:cs="宋体"/>
                <w:szCs w:val="21"/>
                <w:lang w:val="en-US" w:eastAsia="zh-CN"/>
              </w:rPr>
              <w:t xml:space="preserve">  </w:t>
            </w:r>
            <w:r>
              <w:rPr>
                <w:rFonts w:hint="eastAsia" w:ascii="宋体" w:hAnsi="宋体" w:cs="宋体"/>
                <w:szCs w:val="21"/>
              </w:rPr>
              <w:t>分，通过政采云平台实行在线开标。</w:t>
            </w:r>
          </w:p>
          <w:p>
            <w:pPr>
              <w:keepNext/>
              <w:spacing w:line="360" w:lineRule="exact"/>
              <w:rPr>
                <w:rFonts w:ascii="宋体" w:hAnsi="宋体" w:cs="宋体"/>
                <w:szCs w:val="21"/>
              </w:rPr>
            </w:pPr>
            <w:r>
              <w:rPr>
                <w:rFonts w:hint="eastAsia" w:hAnsi="宋体"/>
                <w:szCs w:val="21"/>
              </w:rPr>
              <w:t>（</w:t>
            </w:r>
            <w:r>
              <w:rPr>
                <w:rFonts w:hint="eastAsia" w:ascii="宋体" w:hAnsi="宋体" w:cs="宋体"/>
                <w:szCs w:val="21"/>
              </w:rPr>
              <w:t>开、评标现场地点：</w:t>
            </w:r>
            <w:r>
              <w:rPr>
                <w:rFonts w:hint="eastAsia" w:hAnsi="宋体"/>
                <w:szCs w:val="21"/>
              </w:rPr>
              <w:t>北海市北海大道（中段</w:t>
            </w:r>
            <w:r>
              <w:rPr>
                <w:rFonts w:hint="eastAsia" w:ascii="宋体" w:hAnsi="宋体" w:cs="宋体"/>
                <w:szCs w:val="21"/>
              </w:rPr>
              <w:t>）177号市政务服</w:t>
            </w:r>
            <w:r>
              <w:rPr>
                <w:rFonts w:hint="eastAsia" w:hAnsi="宋体"/>
                <w:szCs w:val="21"/>
              </w:rPr>
              <w:t>务中心三楼）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10</w:t>
            </w:r>
          </w:p>
        </w:tc>
        <w:tc>
          <w:tcPr>
            <w:tcW w:w="9837" w:type="dxa"/>
            <w:tcBorders>
              <w:top w:val="single" w:color="auto" w:sz="4" w:space="0"/>
              <w:left w:val="single" w:color="auto" w:sz="4" w:space="0"/>
              <w:bottom w:val="single" w:color="auto" w:sz="4" w:space="0"/>
            </w:tcBorders>
            <w:vAlign w:val="center"/>
          </w:tcPr>
          <w:p>
            <w:pPr>
              <w:pStyle w:val="20"/>
              <w:keepNext/>
              <w:spacing w:line="360" w:lineRule="exact"/>
              <w:rPr>
                <w:rFonts w:ascii="宋体" w:hAnsi="宋体" w:cs="宋体"/>
                <w:sz w:val="21"/>
                <w:szCs w:val="21"/>
              </w:rPr>
            </w:pPr>
            <w:r>
              <w:rPr>
                <w:rFonts w:hint="eastAsia" w:ascii="宋体" w:hAnsi="宋体" w:cs="宋体"/>
                <w:b/>
                <w:bCs/>
                <w:sz w:val="21"/>
                <w:szCs w:val="21"/>
              </w:rPr>
              <w:t>电子投标文件解密时间：</w:t>
            </w:r>
            <w:r>
              <w:rPr>
                <w:rFonts w:hint="eastAsia" w:ascii="宋体" w:hAnsi="宋体" w:cs="宋体"/>
                <w:sz w:val="21"/>
                <w:szCs w:val="21"/>
              </w:rPr>
              <w:t>截标时间后30分钟内，投标人必须在此时间段内登录政采云平台，用“项目采购-开标评标”功能完成电子投标文件的解密。若投标人在规定时间内未按时解密的，视为电子投标文件撤回。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11</w:t>
            </w:r>
          </w:p>
        </w:tc>
        <w:tc>
          <w:tcPr>
            <w:tcW w:w="9837"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宋体" w:hAnsi="宋体" w:cs="宋体"/>
                <w:szCs w:val="21"/>
              </w:rPr>
            </w:pPr>
            <w:r>
              <w:rPr>
                <w:rFonts w:hint="eastAsia" w:ascii="宋体" w:hAnsi="宋体" w:cs="宋体"/>
                <w:szCs w:val="21"/>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12</w:t>
            </w:r>
          </w:p>
        </w:tc>
        <w:tc>
          <w:tcPr>
            <w:tcW w:w="9837" w:type="dxa"/>
            <w:tcBorders>
              <w:top w:val="single" w:color="auto" w:sz="4" w:space="0"/>
              <w:left w:val="single" w:color="auto" w:sz="4" w:space="0"/>
              <w:bottom w:val="single" w:color="auto" w:sz="4" w:space="0"/>
            </w:tcBorders>
            <w:vAlign w:val="center"/>
          </w:tcPr>
          <w:p>
            <w:pPr>
              <w:keepNext/>
              <w:adjustRightInd w:val="0"/>
              <w:snapToGrid w:val="0"/>
              <w:spacing w:line="360" w:lineRule="exact"/>
              <w:rPr>
                <w:rFonts w:ascii="宋体" w:hAnsi="宋体" w:cs="宋体"/>
                <w:szCs w:val="21"/>
              </w:rPr>
            </w:pPr>
            <w:r>
              <w:rPr>
                <w:rFonts w:hint="eastAsia" w:ascii="宋体" w:hAnsi="宋体" w:cs="宋体"/>
                <w:szCs w:val="21"/>
              </w:rPr>
              <w:t>中标通知书及中标公告：招标代理机构在招标人依法确定中标供应商之日起2个工作日内发出中标通知书，并在中国政府采购(www.ccgp.gov.cn)、广西政府采购网（http://zfcg.gxzf.gov.cn/）发布中标公告。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13</w:t>
            </w:r>
          </w:p>
        </w:tc>
        <w:tc>
          <w:tcPr>
            <w:tcW w:w="9837"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宋体" w:hAnsi="宋体" w:cs="宋体"/>
                <w:szCs w:val="21"/>
              </w:rPr>
            </w:pPr>
            <w:r>
              <w:rPr>
                <w:rFonts w:hint="eastAsia" w:ascii="宋体" w:hAnsi="宋体" w:cs="宋体"/>
                <w:szCs w:val="21"/>
              </w:rPr>
              <w:t>签订合同时</w:t>
            </w:r>
            <w:r>
              <w:rPr>
                <w:rFonts w:hint="eastAsia" w:ascii="宋体" w:hAnsi="宋体" w:cs="宋体"/>
                <w:color w:val="auto"/>
                <w:szCs w:val="21"/>
              </w:rPr>
              <w:t>间：自中标公告发布之日起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8 </w:t>
            </w:r>
            <w:r>
              <w:rPr>
                <w:rFonts w:hint="eastAsia" w:ascii="宋体" w:hAnsi="宋体" w:cs="宋体"/>
                <w:color w:val="auto"/>
                <w:szCs w:val="21"/>
                <w:u w:val="single"/>
              </w:rPr>
              <w:t xml:space="preserve">  </w:t>
            </w:r>
            <w:r>
              <w:rPr>
                <w:rFonts w:hint="eastAsia" w:ascii="宋体" w:hAnsi="宋体" w:cs="宋体"/>
                <w:color w:val="auto"/>
                <w:szCs w:val="21"/>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14</w:t>
            </w:r>
          </w:p>
        </w:tc>
        <w:tc>
          <w:tcPr>
            <w:tcW w:w="9837"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宋体" w:hAnsi="宋体" w:cs="宋体"/>
                <w:szCs w:val="21"/>
              </w:rPr>
            </w:pPr>
            <w:r>
              <w:rPr>
                <w:rFonts w:hint="eastAsia" w:ascii="宋体" w:hAnsi="宋体" w:cs="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15</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rPr>
                <w:rFonts w:ascii="宋体" w:hAnsi="宋体" w:cs="宋体"/>
                <w:szCs w:val="21"/>
              </w:rPr>
            </w:pPr>
            <w:r>
              <w:rPr>
                <w:rFonts w:hint="eastAsia" w:ascii="宋体" w:hAnsi="宋体" w:cs="宋体"/>
                <w:szCs w:val="21"/>
              </w:rPr>
              <w:t>付款方式：</w:t>
            </w:r>
            <w:r>
              <w:rPr>
                <w:rFonts w:hint="eastAsia" w:ascii="宋体" w:hAnsi="宋体" w:cs="宋体"/>
                <w:kern w:val="0"/>
                <w:szCs w:val="21"/>
              </w:rPr>
              <w:t>见本招标文件第二章服务要求书</w:t>
            </w:r>
            <w:r>
              <w:rPr>
                <w:rFonts w:hint="eastAsia" w:ascii="宋体" w:hAnsi="宋体" w:cs="宋体"/>
                <w:szCs w:val="21"/>
              </w:rPr>
              <w:t>。中标单位需开具税务局正式发票。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16</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rPr>
                <w:rFonts w:ascii="宋体" w:hAnsi="宋体" w:cs="宋体"/>
                <w:szCs w:val="21"/>
              </w:rPr>
            </w:pPr>
            <w:r>
              <w:rPr>
                <w:rFonts w:hint="eastAsia" w:ascii="宋体" w:hAnsi="宋体" w:cs="宋体"/>
                <w:szCs w:val="21"/>
              </w:rPr>
              <w:t>投标文件有效期：自投标文件递交截止时间之日起六十日内。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szCs w:val="21"/>
              </w:rPr>
            </w:pPr>
            <w:r>
              <w:rPr>
                <w:rFonts w:hint="eastAsia" w:ascii="宋体" w:hAnsi="宋体" w:cs="宋体"/>
                <w:szCs w:val="21"/>
              </w:rPr>
              <w:t>17</w:t>
            </w:r>
          </w:p>
        </w:tc>
        <w:tc>
          <w:tcPr>
            <w:tcW w:w="9837" w:type="dxa"/>
            <w:tcBorders>
              <w:top w:val="single" w:color="auto" w:sz="4" w:space="0"/>
              <w:left w:val="single" w:color="auto" w:sz="4" w:space="0"/>
              <w:bottom w:val="single" w:color="auto" w:sz="4" w:space="0"/>
            </w:tcBorders>
            <w:vAlign w:val="center"/>
          </w:tcPr>
          <w:p>
            <w:pPr>
              <w:keepNext/>
              <w:snapToGrid w:val="0"/>
              <w:spacing w:line="360" w:lineRule="exact"/>
              <w:rPr>
                <w:rFonts w:ascii="宋体" w:hAnsi="宋体" w:cs="宋体"/>
                <w:szCs w:val="21"/>
              </w:rPr>
            </w:pPr>
            <w:r>
              <w:rPr>
                <w:rFonts w:hint="eastAsia" w:ascii="宋体" w:hAnsi="宋体" w:cs="宋体"/>
                <w:szCs w:val="21"/>
              </w:rPr>
              <w:t>本招标文件的解释权属招标人。</w:t>
            </w:r>
          </w:p>
        </w:tc>
      </w:tr>
    </w:tbl>
    <w:p>
      <w:pPr>
        <w:keepNext/>
      </w:pPr>
    </w:p>
    <w:p>
      <w:pPr>
        <w:pStyle w:val="31"/>
        <w:keepNext/>
        <w:snapToGrid w:val="0"/>
        <w:spacing w:line="600" w:lineRule="exact"/>
        <w:jc w:val="center"/>
        <w:rPr>
          <w:rFonts w:hAnsi="宋体"/>
          <w:b/>
        </w:rPr>
      </w:pPr>
      <w:r>
        <w:rPr>
          <w:rFonts w:hint="eastAsia" w:hAnsi="宋体"/>
          <w:sz w:val="36"/>
          <w:szCs w:val="36"/>
        </w:rPr>
        <w:t>投标人须知</w:t>
      </w:r>
    </w:p>
    <w:p>
      <w:pPr>
        <w:pStyle w:val="31"/>
        <w:keepNext/>
        <w:adjustRightInd w:val="0"/>
        <w:snapToGrid w:val="0"/>
        <w:spacing w:line="344" w:lineRule="exact"/>
        <w:jc w:val="center"/>
        <w:rPr>
          <w:rFonts w:hAnsi="宋体"/>
          <w:b/>
        </w:rPr>
      </w:pPr>
      <w:r>
        <w:rPr>
          <w:rFonts w:hint="eastAsia" w:hAnsi="宋体"/>
          <w:b/>
        </w:rPr>
        <w:t>一、总则</w:t>
      </w:r>
    </w:p>
    <w:p>
      <w:pPr>
        <w:keepNext/>
        <w:adjustRightInd w:val="0"/>
        <w:snapToGrid w:val="0"/>
        <w:spacing w:line="360" w:lineRule="exact"/>
        <w:jc w:val="left"/>
        <w:outlineLvl w:val="1"/>
        <w:rPr>
          <w:rFonts w:ascii="宋体"/>
          <w:b/>
          <w:szCs w:val="21"/>
        </w:rPr>
      </w:pPr>
      <w:bookmarkStart w:id="35" w:name="_Toc254970527"/>
      <w:bookmarkStart w:id="36" w:name="_Toc254970668"/>
      <w:r>
        <w:rPr>
          <w:rFonts w:hint="eastAsia" w:ascii="宋体" w:hAnsi="宋体"/>
          <w:b/>
          <w:szCs w:val="21"/>
        </w:rPr>
        <w:t>（一）适用范围</w:t>
      </w:r>
      <w:bookmarkEnd w:id="35"/>
      <w:bookmarkEnd w:id="36"/>
    </w:p>
    <w:p>
      <w:pPr>
        <w:keepNext/>
        <w:adjustRightInd w:val="0"/>
        <w:snapToGrid w:val="0"/>
        <w:spacing w:line="360" w:lineRule="exact"/>
        <w:ind w:firstLine="420" w:firstLineChars="200"/>
        <w:jc w:val="left"/>
        <w:rPr>
          <w:rFonts w:ascii="宋体"/>
          <w:szCs w:val="21"/>
        </w:rPr>
      </w:pPr>
      <w:r>
        <w:rPr>
          <w:rFonts w:hint="eastAsia" w:ascii="宋体" w:hAnsi="宋体"/>
          <w:szCs w:val="21"/>
        </w:rPr>
        <w:t>本招标文件适用于</w:t>
      </w:r>
      <w:r>
        <w:rPr>
          <w:rFonts w:hint="eastAsia" w:ascii="宋体" w:hAnsi="宋体"/>
          <w:szCs w:val="21"/>
          <w:u w:val="single"/>
        </w:rPr>
        <w:t>北海职业学院计算机信息安全等级保护二级建设及出口网络升级改造项目</w:t>
      </w:r>
      <w:r>
        <w:rPr>
          <w:rFonts w:hint="eastAsia" w:ascii="宋体" w:hAnsi="宋体"/>
          <w:bCs/>
          <w:szCs w:val="21"/>
        </w:rPr>
        <w:t>（货物）</w:t>
      </w:r>
      <w:r>
        <w:rPr>
          <w:rFonts w:hint="eastAsia" w:ascii="宋体" w:hAnsi="宋体"/>
          <w:szCs w:val="21"/>
        </w:rPr>
        <w:t>项目的招标、投标、评标、定标、验收、合同履约、付款等行为（法律、法规另有规定的，从其规定）。</w:t>
      </w:r>
    </w:p>
    <w:p>
      <w:pPr>
        <w:keepNext/>
        <w:adjustRightInd w:val="0"/>
        <w:snapToGrid w:val="0"/>
        <w:spacing w:line="360" w:lineRule="exact"/>
        <w:jc w:val="left"/>
        <w:outlineLvl w:val="1"/>
        <w:rPr>
          <w:rFonts w:ascii="宋体"/>
          <w:b/>
          <w:szCs w:val="21"/>
        </w:rPr>
      </w:pPr>
      <w:bookmarkStart w:id="37" w:name="_Toc254970669"/>
      <w:bookmarkStart w:id="38" w:name="_Toc254970528"/>
      <w:r>
        <w:rPr>
          <w:rFonts w:hint="eastAsia" w:ascii="宋体" w:hAnsi="宋体"/>
          <w:b/>
          <w:szCs w:val="21"/>
        </w:rPr>
        <w:t>（二）定义</w:t>
      </w:r>
      <w:bookmarkEnd w:id="37"/>
      <w:bookmarkEnd w:id="38"/>
    </w:p>
    <w:p>
      <w:pPr>
        <w:keepNext/>
        <w:adjustRightInd w:val="0"/>
        <w:snapToGrid w:val="0"/>
        <w:spacing w:line="360" w:lineRule="exact"/>
        <w:ind w:firstLine="420" w:firstLineChars="200"/>
        <w:jc w:val="left"/>
        <w:rPr>
          <w:rFonts w:ascii="宋体"/>
          <w:szCs w:val="21"/>
        </w:rPr>
      </w:pPr>
      <w:r>
        <w:rPr>
          <w:rFonts w:ascii="宋体" w:hAnsi="宋体"/>
          <w:szCs w:val="21"/>
        </w:rPr>
        <w:t>1.</w:t>
      </w:r>
      <w:r>
        <w:rPr>
          <w:rFonts w:hint="eastAsia" w:ascii="宋体" w:hAnsi="宋体"/>
          <w:szCs w:val="21"/>
        </w:rPr>
        <w:t>“招标人”是指组织本次招标的招标人。</w:t>
      </w:r>
    </w:p>
    <w:p>
      <w:pPr>
        <w:keepNext/>
        <w:adjustRightInd w:val="0"/>
        <w:snapToGrid w:val="0"/>
        <w:spacing w:line="360" w:lineRule="exact"/>
        <w:ind w:firstLine="420" w:firstLineChars="200"/>
        <w:jc w:val="left"/>
        <w:rPr>
          <w:rFonts w:ascii="宋体"/>
          <w:szCs w:val="21"/>
        </w:rPr>
      </w:pPr>
      <w:r>
        <w:rPr>
          <w:rFonts w:ascii="宋体" w:hAnsi="宋体"/>
          <w:szCs w:val="21"/>
        </w:rPr>
        <w:t>2.</w:t>
      </w:r>
      <w:r>
        <w:rPr>
          <w:rFonts w:hint="eastAsia" w:ascii="宋体" w:hAnsi="宋体"/>
          <w:szCs w:val="21"/>
        </w:rPr>
        <w:t>“供应商”系指向招标人提供货物、工程或者服务的法人、其他组织或者自然人。</w:t>
      </w:r>
    </w:p>
    <w:p>
      <w:pPr>
        <w:keepNext/>
        <w:adjustRightInd w:val="0"/>
        <w:snapToGrid w:val="0"/>
        <w:spacing w:line="360" w:lineRule="exact"/>
        <w:ind w:firstLine="420" w:firstLineChars="200"/>
        <w:jc w:val="left"/>
        <w:rPr>
          <w:rFonts w:ascii="宋体"/>
          <w:szCs w:val="21"/>
        </w:rPr>
      </w:pPr>
      <w:r>
        <w:rPr>
          <w:rFonts w:ascii="宋体" w:hAnsi="宋体"/>
          <w:szCs w:val="21"/>
        </w:rPr>
        <w:t>3.</w:t>
      </w:r>
      <w:r>
        <w:rPr>
          <w:rFonts w:hint="eastAsia" w:ascii="宋体" w:hAnsi="宋体"/>
          <w:szCs w:val="21"/>
        </w:rPr>
        <w:t>“投标人”系指响应招标并符合招标文件规定资格条件和参加投标竞争的法人、其他组织或自然人。</w:t>
      </w:r>
    </w:p>
    <w:p>
      <w:pPr>
        <w:keepNext/>
        <w:adjustRightInd w:val="0"/>
        <w:snapToGrid w:val="0"/>
        <w:spacing w:line="360" w:lineRule="exact"/>
        <w:ind w:firstLine="420" w:firstLineChars="200"/>
        <w:jc w:val="left"/>
        <w:rPr>
          <w:rFonts w:ascii="宋体"/>
          <w:szCs w:val="21"/>
        </w:rPr>
      </w:pPr>
      <w:r>
        <w:rPr>
          <w:rFonts w:ascii="宋体" w:hAnsi="宋体"/>
          <w:szCs w:val="21"/>
        </w:rPr>
        <w:t>4.</w:t>
      </w:r>
      <w:r>
        <w:rPr>
          <w:rFonts w:hint="eastAsia" w:ascii="宋体" w:hAnsi="宋体"/>
          <w:szCs w:val="21"/>
        </w:rPr>
        <w:t>“产品”系指投标人按招标文件规定，向招标人提供的一切</w:t>
      </w:r>
      <w:r>
        <w:rPr>
          <w:rFonts w:hint="eastAsia" w:ascii="宋体" w:hAnsi="宋体" w:cs="宋体"/>
        </w:rPr>
        <w:t>货物</w:t>
      </w:r>
      <w:r>
        <w:rPr>
          <w:rFonts w:hint="eastAsia" w:ascii="宋体" w:hAnsi="宋体"/>
          <w:szCs w:val="21"/>
        </w:rPr>
        <w:t>、保险、税金、备品备件、工具、手册及其它有关技术资料和材料等。</w:t>
      </w:r>
    </w:p>
    <w:p>
      <w:pPr>
        <w:keepNext/>
        <w:adjustRightInd w:val="0"/>
        <w:snapToGrid w:val="0"/>
        <w:spacing w:line="360" w:lineRule="exact"/>
        <w:ind w:firstLine="420" w:firstLineChars="200"/>
        <w:jc w:val="left"/>
        <w:rPr>
          <w:rFonts w:ascii="宋体"/>
          <w:szCs w:val="21"/>
        </w:rPr>
      </w:pPr>
      <w:r>
        <w:rPr>
          <w:rFonts w:ascii="宋体" w:hAnsi="宋体"/>
          <w:szCs w:val="21"/>
        </w:rPr>
        <w:t>5.</w:t>
      </w:r>
      <w:r>
        <w:rPr>
          <w:rFonts w:hint="eastAsia" w:ascii="宋体" w:hAnsi="宋体"/>
          <w:szCs w:val="21"/>
        </w:rPr>
        <w:t>“服务”系指招标文件规定投标人须承担的安装、调试、技术协助、校准、培训、技术指导以及其他类似的义务等。</w:t>
      </w:r>
    </w:p>
    <w:p>
      <w:pPr>
        <w:keepNext/>
        <w:adjustRightInd w:val="0"/>
        <w:snapToGrid w:val="0"/>
        <w:spacing w:line="360" w:lineRule="exact"/>
        <w:ind w:firstLine="420" w:firstLineChars="200"/>
        <w:jc w:val="left"/>
        <w:rPr>
          <w:rFonts w:ascii="宋体"/>
          <w:szCs w:val="21"/>
        </w:rPr>
      </w:pPr>
      <w:r>
        <w:rPr>
          <w:rFonts w:ascii="宋体" w:hAnsi="宋体"/>
          <w:szCs w:val="21"/>
        </w:rPr>
        <w:t>6.</w:t>
      </w:r>
      <w:r>
        <w:rPr>
          <w:rFonts w:hint="eastAsia" w:ascii="宋体" w:hAnsi="宋体"/>
          <w:szCs w:val="21"/>
        </w:rPr>
        <w:t>“项目”系指投标人按招标文件规定向招标人提供的产品和服务。</w:t>
      </w:r>
    </w:p>
    <w:p>
      <w:pPr>
        <w:keepNext/>
        <w:adjustRightInd w:val="0"/>
        <w:snapToGrid w:val="0"/>
        <w:spacing w:line="360" w:lineRule="exact"/>
        <w:ind w:firstLine="420" w:firstLineChars="200"/>
        <w:jc w:val="left"/>
        <w:rPr>
          <w:rFonts w:ascii="宋体"/>
          <w:szCs w:val="21"/>
        </w:rPr>
      </w:pPr>
      <w:r>
        <w:rPr>
          <w:rFonts w:ascii="宋体" w:hAnsi="宋体"/>
          <w:szCs w:val="21"/>
        </w:rPr>
        <w:t>7.</w:t>
      </w:r>
      <w:r>
        <w:rPr>
          <w:rFonts w:hint="eastAsia" w:ascii="宋体" w:hAnsi="宋体"/>
          <w:szCs w:val="21"/>
        </w:rPr>
        <w:t>“书面形式”包括信函、传真、电报等。</w:t>
      </w:r>
    </w:p>
    <w:p>
      <w:pPr>
        <w:keepNext/>
        <w:adjustRightInd w:val="0"/>
        <w:snapToGrid w:val="0"/>
        <w:spacing w:line="360" w:lineRule="exact"/>
        <w:ind w:firstLine="420" w:firstLineChars="200"/>
        <w:jc w:val="left"/>
        <w:rPr>
          <w:rFonts w:ascii="宋体"/>
          <w:szCs w:val="21"/>
        </w:rPr>
      </w:pPr>
      <w:r>
        <w:rPr>
          <w:rFonts w:hint="eastAsia" w:ascii="宋体" w:hAnsi="宋体"/>
          <w:szCs w:val="21"/>
        </w:rPr>
        <w:t>8</w:t>
      </w:r>
      <w:r>
        <w:rPr>
          <w:rFonts w:ascii="宋体" w:hAnsi="宋体"/>
          <w:szCs w:val="21"/>
        </w:rPr>
        <w:t>.</w:t>
      </w:r>
      <w:r>
        <w:rPr>
          <w:rFonts w:hint="eastAsia" w:ascii="宋体" w:hAnsi="宋体"/>
          <w:szCs w:val="21"/>
        </w:rPr>
        <w:t>“▲”系指实质性要求条款。</w:t>
      </w:r>
    </w:p>
    <w:p>
      <w:pPr>
        <w:keepNext/>
        <w:adjustRightInd w:val="0"/>
        <w:snapToGrid w:val="0"/>
        <w:spacing w:line="360" w:lineRule="exact"/>
        <w:jc w:val="left"/>
        <w:outlineLvl w:val="1"/>
        <w:rPr>
          <w:rFonts w:ascii="宋体"/>
          <w:b/>
          <w:szCs w:val="21"/>
        </w:rPr>
      </w:pPr>
      <w:bookmarkStart w:id="39" w:name="_Toc254970529"/>
      <w:bookmarkStart w:id="40" w:name="_Toc254970670"/>
      <w:r>
        <w:rPr>
          <w:rFonts w:hint="eastAsia" w:ascii="宋体" w:hAnsi="宋体"/>
          <w:b/>
          <w:szCs w:val="21"/>
        </w:rPr>
        <w:t>（三）招标方式</w:t>
      </w:r>
      <w:bookmarkEnd w:id="39"/>
      <w:bookmarkEnd w:id="40"/>
    </w:p>
    <w:p>
      <w:pPr>
        <w:keepNext/>
        <w:adjustRightInd w:val="0"/>
        <w:snapToGrid w:val="0"/>
        <w:spacing w:line="360" w:lineRule="exact"/>
        <w:ind w:firstLine="420" w:firstLineChars="200"/>
        <w:jc w:val="left"/>
        <w:rPr>
          <w:rFonts w:ascii="宋体"/>
          <w:szCs w:val="21"/>
        </w:rPr>
      </w:pPr>
      <w:r>
        <w:rPr>
          <w:rFonts w:hint="eastAsia" w:ascii="宋体" w:hAnsi="宋体"/>
          <w:szCs w:val="21"/>
        </w:rPr>
        <w:t>公开招标方式。</w:t>
      </w:r>
    </w:p>
    <w:p>
      <w:pPr>
        <w:keepNext/>
        <w:adjustRightInd w:val="0"/>
        <w:snapToGrid w:val="0"/>
        <w:spacing w:line="360" w:lineRule="exact"/>
        <w:jc w:val="left"/>
        <w:outlineLvl w:val="1"/>
        <w:rPr>
          <w:rFonts w:ascii="宋体"/>
          <w:b/>
          <w:szCs w:val="21"/>
        </w:rPr>
      </w:pPr>
      <w:bookmarkStart w:id="41" w:name="_Toc254970671"/>
      <w:bookmarkStart w:id="42" w:name="_Toc254970530"/>
      <w:r>
        <w:rPr>
          <w:rFonts w:hint="eastAsia" w:ascii="宋体" w:hAnsi="宋体"/>
          <w:b/>
          <w:szCs w:val="21"/>
        </w:rPr>
        <w:t>（四）投标委托</w:t>
      </w:r>
      <w:bookmarkEnd w:id="41"/>
      <w:bookmarkEnd w:id="42"/>
    </w:p>
    <w:p>
      <w:pPr>
        <w:pStyle w:val="24"/>
        <w:keepNext/>
        <w:adjustRightInd w:val="0"/>
        <w:snapToGrid w:val="0"/>
        <w:spacing w:line="360" w:lineRule="exact"/>
        <w:ind w:firstLine="404" w:firstLineChars="200"/>
        <w:jc w:val="left"/>
        <w:rPr>
          <w:rFonts w:hAnsi="宋体"/>
          <w:sz w:val="21"/>
          <w:szCs w:val="21"/>
        </w:rPr>
      </w:pPr>
      <w:r>
        <w:rPr>
          <w:rFonts w:hint="eastAsia" w:hAnsi="宋体"/>
          <w:sz w:val="21"/>
          <w:szCs w:val="21"/>
        </w:rPr>
        <w:t>投标人代表须携带有效身份证件。如投标人代表不是法定代表人（负责人），须有法定代表人（负责人）出具并签字的授权委托书（正本用原件，副本用复印件，格式见第五章《投标文件格式》）。</w:t>
      </w:r>
    </w:p>
    <w:p>
      <w:pPr>
        <w:keepNext/>
        <w:adjustRightInd w:val="0"/>
        <w:snapToGrid w:val="0"/>
        <w:spacing w:line="360" w:lineRule="exact"/>
        <w:jc w:val="left"/>
        <w:outlineLvl w:val="1"/>
        <w:rPr>
          <w:rFonts w:ascii="宋体"/>
          <w:b/>
          <w:szCs w:val="21"/>
        </w:rPr>
      </w:pPr>
      <w:bookmarkStart w:id="43" w:name="_Toc254970531"/>
      <w:bookmarkStart w:id="44" w:name="_Toc254970672"/>
      <w:r>
        <w:rPr>
          <w:rFonts w:hint="eastAsia" w:ascii="宋体" w:hAnsi="宋体"/>
          <w:b/>
          <w:szCs w:val="21"/>
        </w:rPr>
        <w:t>（五）投标费用</w:t>
      </w:r>
      <w:bookmarkEnd w:id="43"/>
      <w:bookmarkEnd w:id="44"/>
    </w:p>
    <w:p>
      <w:pPr>
        <w:keepNext/>
        <w:adjustRightInd w:val="0"/>
        <w:snapToGrid w:val="0"/>
        <w:spacing w:line="360" w:lineRule="exact"/>
        <w:ind w:firstLine="420" w:firstLineChars="200"/>
        <w:jc w:val="left"/>
        <w:rPr>
          <w:rFonts w:ascii="宋体"/>
          <w:szCs w:val="21"/>
        </w:rPr>
      </w:pPr>
      <w:r>
        <w:rPr>
          <w:rFonts w:hint="eastAsia" w:ascii="宋体" w:hAnsi="宋体"/>
          <w:szCs w:val="21"/>
        </w:rPr>
        <w:t>投标人均应自行承担所有与投标有关的全部费用（招标文件有相关的规定除外）。</w:t>
      </w:r>
    </w:p>
    <w:p>
      <w:pPr>
        <w:keepNext/>
        <w:adjustRightInd w:val="0"/>
        <w:snapToGrid w:val="0"/>
        <w:spacing w:line="360" w:lineRule="exact"/>
        <w:jc w:val="left"/>
        <w:rPr>
          <w:rFonts w:ascii="宋体"/>
          <w:b/>
          <w:szCs w:val="21"/>
        </w:rPr>
      </w:pPr>
      <w:r>
        <w:rPr>
          <w:rFonts w:hint="eastAsia" w:ascii="宋体" w:hAnsi="宋体"/>
          <w:b/>
          <w:szCs w:val="21"/>
        </w:rPr>
        <w:t>（六）联合体投标：本项目不接受联合体投标</w:t>
      </w:r>
    </w:p>
    <w:p>
      <w:pPr>
        <w:keepNext/>
        <w:adjustRightInd w:val="0"/>
        <w:snapToGrid w:val="0"/>
        <w:spacing w:line="360" w:lineRule="exact"/>
        <w:rPr>
          <w:rFonts w:ascii="宋体" w:cs="宋体"/>
          <w:b/>
          <w:kern w:val="0"/>
          <w:szCs w:val="21"/>
        </w:rPr>
      </w:pPr>
      <w:r>
        <w:rPr>
          <w:rFonts w:hint="eastAsia" w:ascii="宋体" w:hAnsi="宋体"/>
          <w:b/>
          <w:szCs w:val="21"/>
        </w:rPr>
        <w:t>（七）政府采购合同的</w:t>
      </w:r>
      <w:r>
        <w:rPr>
          <w:rFonts w:hint="eastAsia" w:ascii="宋体" w:hAnsi="宋体" w:cs="宋体"/>
          <w:b/>
          <w:kern w:val="0"/>
          <w:szCs w:val="21"/>
        </w:rPr>
        <w:t>转包与分包</w:t>
      </w:r>
    </w:p>
    <w:p>
      <w:pPr>
        <w:keepNext/>
        <w:adjustRightInd w:val="0"/>
        <w:snapToGrid w:val="0"/>
        <w:spacing w:line="36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本项目政府采购合同不允许转让；</w:t>
      </w:r>
      <w:r>
        <w:rPr>
          <w:rFonts w:hint="eastAsia" w:ascii="宋体" w:hAnsi="宋体"/>
        </w:rPr>
        <w:t>在投标文件中说明且经招标人同意的</w:t>
      </w:r>
      <w:r>
        <w:rPr>
          <w:rFonts w:hint="eastAsia" w:ascii="宋体" w:hAnsi="宋体" w:cs="宋体"/>
          <w:kern w:val="0"/>
          <w:szCs w:val="21"/>
        </w:rPr>
        <w:t>特殊情况下可以分包。</w:t>
      </w:r>
    </w:p>
    <w:p>
      <w:pPr>
        <w:keepNext/>
        <w:adjustRightInd w:val="0"/>
        <w:snapToGrid w:val="0"/>
        <w:spacing w:line="360" w:lineRule="exact"/>
        <w:jc w:val="left"/>
        <w:outlineLvl w:val="1"/>
        <w:rPr>
          <w:rFonts w:ascii="宋体"/>
          <w:b/>
          <w:szCs w:val="21"/>
        </w:rPr>
      </w:pPr>
      <w:bookmarkStart w:id="45" w:name="_Toc254970532"/>
      <w:bookmarkStart w:id="46" w:name="_Toc254970673"/>
      <w:r>
        <w:rPr>
          <w:rFonts w:hint="eastAsia" w:ascii="宋体" w:hAnsi="宋体"/>
          <w:b/>
          <w:szCs w:val="21"/>
        </w:rPr>
        <w:t>（八）特别说明：</w:t>
      </w:r>
      <w:bookmarkEnd w:id="45"/>
      <w:bookmarkEnd w:id="46"/>
    </w:p>
    <w:p>
      <w:pPr>
        <w:pStyle w:val="31"/>
        <w:keepNext/>
        <w:adjustRightInd w:val="0"/>
        <w:snapToGrid w:val="0"/>
        <w:spacing w:line="360" w:lineRule="exact"/>
        <w:ind w:firstLine="420"/>
        <w:rPr>
          <w:rFonts w:hAnsi="宋体"/>
          <w:b/>
          <w:szCs w:val="21"/>
        </w:rPr>
      </w:pPr>
      <w:r>
        <w:rPr>
          <w:rFonts w:hint="eastAsia" w:hAnsi="宋体"/>
          <w:b/>
          <w:szCs w:val="21"/>
        </w:rPr>
        <w:t>▲</w:t>
      </w:r>
      <w:r>
        <w:rPr>
          <w:rFonts w:hAnsi="宋体"/>
          <w:b/>
          <w:szCs w:val="21"/>
        </w:rPr>
        <w:t>1.</w:t>
      </w:r>
      <w:r>
        <w:rPr>
          <w:rFonts w:hint="eastAsia" w:hAnsi="宋体"/>
          <w:b/>
          <w:szCs w:val="21"/>
        </w:rPr>
        <w:t>关联供应商不得参加同一合同项下政府采购活动，否则其投标文件将被视为无效：</w:t>
      </w:r>
    </w:p>
    <w:p>
      <w:pPr>
        <w:pStyle w:val="31"/>
        <w:keepNext/>
        <w:adjustRightInd w:val="0"/>
        <w:snapToGrid w:val="0"/>
        <w:spacing w:line="360" w:lineRule="exact"/>
        <w:ind w:firstLine="420"/>
        <w:rPr>
          <w:rFonts w:hAnsi="宋体"/>
          <w:szCs w:val="21"/>
        </w:rPr>
      </w:pPr>
      <w:r>
        <w:rPr>
          <w:rFonts w:hint="eastAsia" w:hAnsi="宋体"/>
          <w:szCs w:val="21"/>
        </w:rPr>
        <w:t>（</w:t>
      </w:r>
      <w:r>
        <w:rPr>
          <w:rFonts w:hAnsi="宋体"/>
          <w:szCs w:val="21"/>
        </w:rPr>
        <w:t>1</w:t>
      </w:r>
      <w:r>
        <w:rPr>
          <w:rFonts w:hint="eastAsia" w:hAnsi="宋体"/>
          <w:szCs w:val="21"/>
        </w:rPr>
        <w:t>）投标人的法定代表人（负责人）为同一人或者存在直接控股、管理关系的不同供应商，不得参加同一合同项下的政府采购活动；</w:t>
      </w:r>
    </w:p>
    <w:p>
      <w:pPr>
        <w:keepNext/>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）生产厂商授权给供应商后自己不得参加同一合同项下的政府采购活动；生产厂商对同一品牌同一型号的货物，仅能委托一个代理商参加投标。</w:t>
      </w:r>
    </w:p>
    <w:p>
      <w:pPr>
        <w:keepNext/>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）为本采购项目提供整体设计、规范编制或者项目管理、监理、检测等服务的供应商，不得再参加本采购项目的其他采购活动。</w:t>
      </w:r>
    </w:p>
    <w:p>
      <w:pPr>
        <w:keepNext/>
        <w:adjustRightInd w:val="0"/>
        <w:snapToGrid w:val="0"/>
        <w:spacing w:line="360" w:lineRule="exact"/>
        <w:ind w:firstLine="422" w:firstLineChars="200"/>
        <w:rPr>
          <w:rFonts w:ascii="宋体"/>
          <w:b/>
          <w:szCs w:val="21"/>
        </w:rPr>
      </w:pPr>
      <w:r>
        <w:rPr>
          <w:rFonts w:hint="eastAsia" w:ascii="宋体" w:hAnsi="宋体"/>
          <w:b/>
          <w:szCs w:val="21"/>
        </w:rPr>
        <w:t>▲</w:t>
      </w:r>
      <w:r>
        <w:rPr>
          <w:rFonts w:ascii="宋体" w:hAnsi="宋体"/>
          <w:b/>
          <w:szCs w:val="21"/>
        </w:rPr>
        <w:t>2.</w:t>
      </w:r>
      <w:r>
        <w:rPr>
          <w:rFonts w:hint="eastAsia" w:ascii="宋体" w:hAnsi="宋体" w:cs="宋体"/>
          <w:b/>
          <w:kern w:val="0"/>
          <w:szCs w:val="21"/>
        </w:rPr>
        <w:t>多家投标人参加投标时：</w:t>
      </w:r>
    </w:p>
    <w:p>
      <w:pPr>
        <w:pStyle w:val="31"/>
        <w:keepNext/>
        <w:adjustRightInd w:val="0"/>
        <w:snapToGrid w:val="0"/>
        <w:spacing w:line="360" w:lineRule="exact"/>
        <w:ind w:firstLine="420" w:firstLineChars="200"/>
        <w:rPr>
          <w:rFonts w:hAnsi="宋体"/>
        </w:rPr>
      </w:pPr>
      <w:bookmarkStart w:id="47" w:name="_Toc254970534"/>
      <w:bookmarkStart w:id="48" w:name="_Toc254970675"/>
      <w:r>
        <w:rPr>
          <w:rFonts w:hint="eastAsia" w:hAnsi="宋体"/>
        </w:rPr>
        <w:t>（</w:t>
      </w:r>
      <w:r>
        <w:rPr>
          <w:rFonts w:hAnsi="宋体"/>
        </w:rPr>
        <w:t>1</w:t>
      </w:r>
      <w:r>
        <w:rPr>
          <w:rFonts w:hint="eastAsia" w:hAnsi="宋体"/>
        </w:rPr>
        <w:t>）单一产品采购项目中，提供相同品牌产品且通过资格审查、符合性审查的不同投标人参加同一合同项下投标的，按一家投标人计算，评审后得分最高的同品牌投标人获得中标供应商推荐资格；评审得分相同的，由招标人或者招标人委托评标委员会按照招标文件规定的方式确定一个投标人获得中标供应商推荐资格，招标文件未规定的采取随机抽取方式确定，其他同品牌投标人不作为中标候选人。</w:t>
      </w:r>
    </w:p>
    <w:p>
      <w:pPr>
        <w:keepNext/>
        <w:adjustRightInd w:val="0"/>
        <w:snapToGrid w:val="0"/>
        <w:spacing w:line="360" w:lineRule="exact"/>
        <w:ind w:firstLine="420" w:firstLineChars="200"/>
        <w:jc w:val="left"/>
        <w:rPr>
          <w:rFonts w:ascii="宋体"/>
          <w:kern w:val="0"/>
          <w:szCs w:val="21"/>
        </w:rPr>
      </w:pPr>
      <w:r>
        <w:rPr>
          <w:rFonts w:hint="eastAsia" w:ascii="宋体" w:hAnsi="宋体"/>
        </w:rPr>
        <w:t>（</w:t>
      </w:r>
      <w:r>
        <w:rPr>
          <w:rFonts w:ascii="宋体" w:hAnsi="宋体"/>
        </w:rPr>
        <w:t>2</w:t>
      </w:r>
      <w:r>
        <w:rPr>
          <w:rFonts w:hint="eastAsia" w:ascii="宋体" w:hAnsi="宋体"/>
        </w:rPr>
        <w:t>）非单一产品采购项目中，多家投标人提供的核心产品品牌相同的，视为提供相同品牌产品。</w:t>
      </w:r>
    </w:p>
    <w:p>
      <w:pPr>
        <w:keepNext/>
        <w:adjustRightInd w:val="0"/>
        <w:snapToGrid w:val="0"/>
        <w:spacing w:line="360" w:lineRule="exact"/>
        <w:ind w:firstLine="420" w:firstLineChars="200"/>
        <w:jc w:val="left"/>
        <w:outlineLvl w:val="1"/>
        <w:rPr>
          <w:rFonts w:ascii="宋体"/>
          <w:b/>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）多家代理商或经销商参加投标，如其中两家或两家以上供应商存在分级代理或代销关系，且提供的是其所代理品牌产品的，评审时，按上款规定确定其中一家为有效供应商。</w:t>
      </w:r>
    </w:p>
    <w:p>
      <w:pPr>
        <w:pStyle w:val="31"/>
        <w:keepNext/>
        <w:adjustRightInd w:val="0"/>
        <w:snapToGrid w:val="0"/>
        <w:spacing w:line="360" w:lineRule="exact"/>
        <w:ind w:left="2" w:leftChars="1" w:firstLine="420" w:firstLineChars="200"/>
        <w:rPr>
          <w:rFonts w:hAnsi="宋体"/>
          <w:szCs w:val="21"/>
        </w:rPr>
      </w:pPr>
      <w:r>
        <w:rPr>
          <w:rFonts w:hint="eastAsia" w:hAnsi="宋体"/>
        </w:rPr>
        <w:t>▲</w:t>
      </w:r>
      <w:r>
        <w:rPr>
          <w:rFonts w:hAnsi="宋体"/>
        </w:rPr>
        <w:t>3.</w:t>
      </w:r>
      <w:r>
        <w:rPr>
          <w:rFonts w:hint="eastAsia" w:hAnsi="宋体"/>
        </w:rPr>
        <w:t>投标人投标所使用的资格、信誉、荣誉、业绩与企业认证必须为本法人或投标品牌所拥有。</w:t>
      </w:r>
      <w:r>
        <w:rPr>
          <w:rFonts w:hint="eastAsia" w:hAnsi="宋体"/>
          <w:szCs w:val="21"/>
        </w:rPr>
        <w:t>投标人投标所使用的人员必须为本单位正式员工。</w:t>
      </w:r>
    </w:p>
    <w:p>
      <w:pPr>
        <w:pStyle w:val="31"/>
        <w:keepNext/>
        <w:adjustRightInd w:val="0"/>
        <w:snapToGrid w:val="0"/>
        <w:spacing w:line="360" w:lineRule="exact"/>
        <w:ind w:left="2" w:leftChars="1" w:firstLine="420" w:firstLineChars="200"/>
        <w:rPr>
          <w:rFonts w:hAnsi="宋体"/>
          <w:szCs w:val="21"/>
        </w:rPr>
      </w:pPr>
      <w:r>
        <w:rPr>
          <w:rFonts w:hint="eastAsia" w:hAnsi="宋体"/>
          <w:szCs w:val="21"/>
        </w:rPr>
        <w:t>▲</w:t>
      </w:r>
      <w:r>
        <w:rPr>
          <w:rFonts w:hAnsi="宋体"/>
          <w:szCs w:val="21"/>
        </w:rPr>
        <w:t>4.</w:t>
      </w:r>
      <w:r>
        <w:rPr>
          <w:rFonts w:hint="eastAsia" w:hAnsi="宋体"/>
          <w:b/>
          <w:bCs/>
          <w:szCs w:val="21"/>
        </w:rPr>
        <w:t>投标人所投产品生产厂家若有受过相关财政部门处罚且期限未届满的，将取消投标人的投标资格。</w:t>
      </w:r>
    </w:p>
    <w:p>
      <w:pPr>
        <w:pStyle w:val="31"/>
        <w:keepNext/>
        <w:adjustRightInd w:val="0"/>
        <w:snapToGrid w:val="0"/>
        <w:spacing w:line="360" w:lineRule="exact"/>
        <w:ind w:firstLine="420" w:firstLineChars="200"/>
        <w:rPr>
          <w:rFonts w:hAnsi="宋体"/>
        </w:rPr>
      </w:pPr>
      <w:r>
        <w:rPr>
          <w:rFonts w:hint="eastAsia" w:hAnsi="宋体"/>
        </w:rPr>
        <w:t>▲</w:t>
      </w:r>
      <w:r>
        <w:rPr>
          <w:rFonts w:hAnsi="宋体"/>
        </w:rPr>
        <w:t>5.</w:t>
      </w:r>
      <w:r>
        <w:rPr>
          <w:rFonts w:hint="eastAsia" w:hAnsi="宋体"/>
          <w:b/>
        </w:rPr>
        <w:t>投标人应仔细阅读招标文件的所有内容，按照招标文件的要求提交投标文件，并对所提供的全部资料的真实性承担法律责任。</w:t>
      </w:r>
    </w:p>
    <w:p>
      <w:pPr>
        <w:keepNext/>
        <w:spacing w:line="360" w:lineRule="exact"/>
        <w:ind w:firstLine="420" w:firstLineChars="200"/>
        <w:rPr>
          <w:rFonts w:ascii="宋体" w:cs="宋体"/>
          <w:szCs w:val="21"/>
        </w:rPr>
      </w:pPr>
      <w:r>
        <w:rPr>
          <w:rFonts w:hint="eastAsia" w:ascii="宋体"/>
        </w:rPr>
        <w:t>▲</w:t>
      </w:r>
      <w:r>
        <w:rPr>
          <w:rFonts w:ascii="宋体" w:hAnsi="宋体"/>
        </w:rPr>
        <w:t>6</w:t>
      </w:r>
      <w:r>
        <w:rPr>
          <w:rFonts w:ascii="宋体"/>
        </w:rPr>
        <w:t>.</w:t>
      </w:r>
      <w:r>
        <w:rPr>
          <w:rFonts w:hint="eastAsia" w:ascii="宋体" w:hAnsi="宋体"/>
        </w:rPr>
        <w:t>投标人在投标活动中提供任何虚假材料</w:t>
      </w:r>
      <w:r>
        <w:rPr>
          <w:rFonts w:ascii="宋体"/>
        </w:rPr>
        <w:t>,</w:t>
      </w:r>
      <w:r>
        <w:rPr>
          <w:rFonts w:hint="eastAsia" w:ascii="宋体" w:hAnsi="宋体"/>
        </w:rPr>
        <w:t>其投标或中标无效，并报监管部门查处。</w:t>
      </w:r>
      <w:r>
        <w:rPr>
          <w:rFonts w:hint="eastAsia" w:ascii="宋体" w:hAnsi="宋体" w:cs="宋体"/>
          <w:szCs w:val="21"/>
        </w:rPr>
        <w:t>中标后发现的</w:t>
      </w:r>
      <w:r>
        <w:rPr>
          <w:rFonts w:ascii="宋体" w:cs="宋体"/>
          <w:szCs w:val="21"/>
        </w:rPr>
        <w:t>,</w:t>
      </w:r>
      <w:r>
        <w:rPr>
          <w:rFonts w:hint="eastAsia" w:ascii="宋体" w:hAnsi="宋体" w:cs="宋体"/>
          <w:szCs w:val="21"/>
        </w:rPr>
        <w:t>中标供应商须依照《中华人民共和国消费者权益保护法》第</w:t>
      </w:r>
      <w:r>
        <w:rPr>
          <w:rFonts w:ascii="宋体" w:hAnsi="宋体" w:cs="宋体"/>
          <w:szCs w:val="21"/>
        </w:rPr>
        <w:t>49</w:t>
      </w:r>
      <w:r>
        <w:rPr>
          <w:rFonts w:hint="eastAsia" w:ascii="宋体" w:hAnsi="宋体" w:cs="宋体"/>
          <w:szCs w:val="21"/>
        </w:rPr>
        <w:t>条之规定双倍赔偿招标人，且民事赔偿并不免除违法投标人的行政与刑事责任。</w:t>
      </w:r>
    </w:p>
    <w:p>
      <w:pPr>
        <w:pStyle w:val="31"/>
        <w:keepNext/>
        <w:adjustRightInd w:val="0"/>
        <w:snapToGrid w:val="0"/>
        <w:spacing w:line="360" w:lineRule="exact"/>
        <w:ind w:firstLine="420"/>
        <w:rPr>
          <w:rFonts w:hAnsi="宋体"/>
        </w:rPr>
      </w:pPr>
      <w:r>
        <w:rPr>
          <w:rFonts w:hAnsi="宋体" w:cs="宋体"/>
        </w:rPr>
        <w:t>7.</w:t>
      </w:r>
      <w:r>
        <w:rPr>
          <w:rFonts w:hint="eastAsia" w:hAnsi="宋体" w:cs="宋体"/>
        </w:rPr>
        <w:t>至报名截止时间止，购买招标文件的供应商不足三家的，招标代理机构可延长购买招标文件的时间，并延迟截标和开标时间，同时书</w:t>
      </w:r>
      <w:r>
        <w:rPr>
          <w:rFonts w:hint="eastAsia" w:hAnsi="宋体"/>
        </w:rPr>
        <w:t>面通知已购买招标文件的供应商，并在相关的采购信息发布媒体上发布变更公告。</w:t>
      </w:r>
    </w:p>
    <w:p>
      <w:pPr>
        <w:pStyle w:val="31"/>
        <w:keepNext/>
        <w:adjustRightInd w:val="0"/>
        <w:snapToGrid w:val="0"/>
        <w:spacing w:line="360" w:lineRule="exact"/>
        <w:ind w:firstLine="420"/>
        <w:rPr>
          <w:rFonts w:hAnsi="宋体"/>
          <w:b/>
        </w:rPr>
      </w:pPr>
      <w:r>
        <w:rPr>
          <w:rFonts w:hAnsi="宋体"/>
          <w:b/>
        </w:rPr>
        <w:t>8.</w:t>
      </w:r>
      <w:r>
        <w:rPr>
          <w:rFonts w:hint="eastAsia" w:hAnsi="宋体"/>
          <w:b/>
        </w:rPr>
        <w:t>在政府采购活动中，采购人员及相关人员与投标人有下列利害关系之一的，应当回避：</w:t>
      </w:r>
    </w:p>
    <w:p>
      <w:pPr>
        <w:pStyle w:val="31"/>
        <w:keepNext/>
        <w:adjustRightInd w:val="0"/>
        <w:snapToGrid w:val="0"/>
        <w:spacing w:line="360" w:lineRule="exact"/>
        <w:ind w:firstLine="420"/>
        <w:rPr>
          <w:rFonts w:hAnsi="宋体"/>
        </w:rPr>
      </w:pPr>
      <w:r>
        <w:rPr>
          <w:rFonts w:hint="eastAsia" w:hAnsi="宋体"/>
        </w:rPr>
        <w:t>（</w:t>
      </w:r>
      <w:r>
        <w:rPr>
          <w:rFonts w:hAnsi="宋体"/>
        </w:rPr>
        <w:t>1</w:t>
      </w:r>
      <w:r>
        <w:rPr>
          <w:rFonts w:hint="eastAsia" w:hAnsi="宋体"/>
        </w:rPr>
        <w:t>）参加采购活动前</w:t>
      </w:r>
      <w:r>
        <w:rPr>
          <w:rFonts w:hAnsi="宋体"/>
        </w:rPr>
        <w:t>3</w:t>
      </w:r>
      <w:r>
        <w:rPr>
          <w:rFonts w:hint="eastAsia" w:hAnsi="宋体"/>
        </w:rPr>
        <w:t>年内与投标人存在劳动关系；</w:t>
      </w:r>
    </w:p>
    <w:p>
      <w:pPr>
        <w:pStyle w:val="31"/>
        <w:keepNext/>
        <w:adjustRightInd w:val="0"/>
        <w:snapToGrid w:val="0"/>
        <w:spacing w:line="360" w:lineRule="exact"/>
        <w:ind w:firstLine="420"/>
        <w:rPr>
          <w:rFonts w:hAnsi="宋体"/>
        </w:rPr>
      </w:pPr>
      <w:r>
        <w:rPr>
          <w:rFonts w:hint="eastAsia" w:hAnsi="宋体"/>
        </w:rPr>
        <w:t>（</w:t>
      </w:r>
      <w:r>
        <w:rPr>
          <w:rFonts w:hAnsi="宋体"/>
        </w:rPr>
        <w:t>2</w:t>
      </w:r>
      <w:r>
        <w:rPr>
          <w:rFonts w:hint="eastAsia" w:hAnsi="宋体"/>
        </w:rPr>
        <w:t>）参加采购活动前</w:t>
      </w:r>
      <w:r>
        <w:rPr>
          <w:rFonts w:hAnsi="宋体"/>
        </w:rPr>
        <w:t>3</w:t>
      </w:r>
      <w:r>
        <w:rPr>
          <w:rFonts w:hint="eastAsia" w:hAnsi="宋体"/>
        </w:rPr>
        <w:t>年内担任投标人的董事、监事；</w:t>
      </w:r>
    </w:p>
    <w:p>
      <w:pPr>
        <w:pStyle w:val="31"/>
        <w:keepNext/>
        <w:adjustRightInd w:val="0"/>
        <w:snapToGrid w:val="0"/>
        <w:spacing w:line="360" w:lineRule="exact"/>
        <w:ind w:firstLine="420"/>
        <w:rPr>
          <w:rFonts w:hAnsi="宋体"/>
        </w:rPr>
      </w:pPr>
      <w:r>
        <w:rPr>
          <w:rFonts w:hint="eastAsia" w:hAnsi="宋体"/>
        </w:rPr>
        <w:t>（</w:t>
      </w:r>
      <w:r>
        <w:rPr>
          <w:rFonts w:hAnsi="宋体"/>
        </w:rPr>
        <w:t>3</w:t>
      </w:r>
      <w:r>
        <w:rPr>
          <w:rFonts w:hint="eastAsia" w:hAnsi="宋体"/>
        </w:rPr>
        <w:t>）参加采购活动前</w:t>
      </w:r>
      <w:r>
        <w:rPr>
          <w:rFonts w:hAnsi="宋体"/>
        </w:rPr>
        <w:t>3</w:t>
      </w:r>
      <w:r>
        <w:rPr>
          <w:rFonts w:hint="eastAsia" w:hAnsi="宋体"/>
        </w:rPr>
        <w:t>年内是投标人的控股股东或者实际控制人；</w:t>
      </w:r>
    </w:p>
    <w:p>
      <w:pPr>
        <w:pStyle w:val="31"/>
        <w:keepNext/>
        <w:adjustRightInd w:val="0"/>
        <w:snapToGrid w:val="0"/>
        <w:spacing w:line="360" w:lineRule="exact"/>
        <w:ind w:firstLine="420"/>
        <w:rPr>
          <w:rFonts w:hAnsi="宋体"/>
        </w:rPr>
      </w:pPr>
      <w:r>
        <w:rPr>
          <w:rFonts w:hint="eastAsia" w:hAnsi="宋体"/>
        </w:rPr>
        <w:t>（</w:t>
      </w:r>
      <w:r>
        <w:rPr>
          <w:rFonts w:hAnsi="宋体"/>
        </w:rPr>
        <w:t>4</w:t>
      </w:r>
      <w:r>
        <w:rPr>
          <w:rFonts w:hint="eastAsia" w:hAnsi="宋体"/>
        </w:rPr>
        <w:t>）与投标人的法定代表人（负责人）或者负责人有夫妻、直系血亲、三代以内旁系血亲或者近姻亲关系；</w:t>
      </w:r>
    </w:p>
    <w:p>
      <w:pPr>
        <w:pStyle w:val="31"/>
        <w:keepNext/>
        <w:adjustRightInd w:val="0"/>
        <w:snapToGrid w:val="0"/>
        <w:spacing w:line="360" w:lineRule="exact"/>
        <w:ind w:firstLine="420"/>
        <w:rPr>
          <w:rFonts w:hAnsi="宋体"/>
        </w:rPr>
      </w:pPr>
      <w:r>
        <w:rPr>
          <w:rFonts w:hint="eastAsia" w:hAnsi="宋体"/>
        </w:rPr>
        <w:t>（</w:t>
      </w:r>
      <w:r>
        <w:rPr>
          <w:rFonts w:hAnsi="宋体"/>
        </w:rPr>
        <w:t>5</w:t>
      </w:r>
      <w:r>
        <w:rPr>
          <w:rFonts w:hint="eastAsia" w:hAnsi="宋体"/>
        </w:rPr>
        <w:t>）与投标人有其他可能影响政府采购活动公平、公正进行的关系。</w:t>
      </w:r>
    </w:p>
    <w:p>
      <w:pPr>
        <w:pStyle w:val="31"/>
        <w:keepNext/>
        <w:adjustRightInd w:val="0"/>
        <w:snapToGrid w:val="0"/>
        <w:spacing w:line="360" w:lineRule="exact"/>
        <w:ind w:firstLine="420"/>
        <w:rPr>
          <w:rFonts w:hAnsi="宋体"/>
        </w:rPr>
      </w:pPr>
      <w:r>
        <w:rPr>
          <w:rFonts w:hint="eastAsia" w:hAnsi="宋体"/>
        </w:rPr>
        <w:t>投标人认为招标人员及相关人员与其他投标人有利害关系的，可以向招标人或者招标代理机构书面提出回避申请，并说明理由。招标人或者招标代理机构应当及时询问被申请回避人员，有利害关系的被申请回避人员应当回避。</w:t>
      </w:r>
    </w:p>
    <w:p>
      <w:pPr>
        <w:pStyle w:val="31"/>
        <w:keepNext/>
        <w:adjustRightInd w:val="0"/>
        <w:snapToGrid w:val="0"/>
        <w:spacing w:line="360" w:lineRule="exact"/>
        <w:outlineLvl w:val="1"/>
        <w:rPr>
          <w:rFonts w:hAnsi="宋体"/>
          <w:b/>
          <w:bCs/>
        </w:rPr>
      </w:pPr>
      <w:bookmarkStart w:id="49" w:name="_Toc254970533"/>
      <w:bookmarkStart w:id="50" w:name="_Toc254970674"/>
      <w:r>
        <w:rPr>
          <w:rFonts w:hint="eastAsia" w:hAnsi="宋体"/>
          <w:b/>
          <w:bCs/>
        </w:rPr>
        <w:t>（九）询问、质疑和投诉</w:t>
      </w:r>
      <w:bookmarkEnd w:id="49"/>
      <w:bookmarkEnd w:id="50"/>
    </w:p>
    <w:p>
      <w:pPr>
        <w:pStyle w:val="31"/>
        <w:keepNext/>
        <w:adjustRightInd w:val="0"/>
        <w:snapToGrid w:val="0"/>
        <w:spacing w:line="360" w:lineRule="exact"/>
        <w:ind w:firstLine="422" w:firstLineChars="200"/>
        <w:rPr>
          <w:rFonts w:hAnsi="宋体"/>
          <w:b/>
        </w:rPr>
      </w:pPr>
      <w:r>
        <w:rPr>
          <w:rFonts w:hAnsi="宋体"/>
          <w:b/>
        </w:rPr>
        <w:t>1.</w:t>
      </w:r>
      <w:r>
        <w:rPr>
          <w:rFonts w:hint="eastAsia" w:hAnsi="宋体"/>
          <w:b/>
        </w:rPr>
        <w:t>询问</w:t>
      </w:r>
    </w:p>
    <w:p>
      <w:pPr>
        <w:pStyle w:val="31"/>
        <w:keepNext/>
        <w:adjustRightInd w:val="0"/>
        <w:snapToGrid w:val="0"/>
        <w:spacing w:line="360" w:lineRule="exact"/>
        <w:ind w:firstLine="420" w:firstLineChars="200"/>
        <w:rPr>
          <w:rFonts w:hAnsi="宋体"/>
        </w:rPr>
      </w:pPr>
      <w:r>
        <w:rPr>
          <w:rFonts w:hint="eastAsia" w:hAnsi="宋体"/>
        </w:rPr>
        <w:t>投标人对政府采购活动事项有疑问的，可以向招标人或招标代理机构提出询问：</w:t>
      </w:r>
    </w:p>
    <w:p>
      <w:pPr>
        <w:pStyle w:val="31"/>
        <w:keepNext/>
        <w:adjustRightInd w:val="0"/>
        <w:snapToGrid w:val="0"/>
        <w:spacing w:line="360" w:lineRule="exact"/>
        <w:ind w:firstLine="420" w:firstLineChars="200"/>
        <w:rPr>
          <w:rFonts w:hAnsi="宋体"/>
          <w:b/>
        </w:rPr>
      </w:pPr>
      <w:r>
        <w:rPr>
          <w:rFonts w:hint="eastAsia" w:hAnsi="宋体"/>
        </w:rPr>
        <w:t>①招标人或者招标代理机构应当在</w:t>
      </w:r>
      <w:r>
        <w:rPr>
          <w:rFonts w:hAnsi="宋体"/>
        </w:rPr>
        <w:t>3</w:t>
      </w:r>
      <w:r>
        <w:rPr>
          <w:rFonts w:hint="eastAsia" w:hAnsi="宋体"/>
        </w:rPr>
        <w:t>个工作日内对投标人、供应商依法提出的询问作出答复；</w:t>
      </w:r>
    </w:p>
    <w:p>
      <w:pPr>
        <w:pStyle w:val="31"/>
        <w:keepNext/>
        <w:adjustRightInd w:val="0"/>
        <w:snapToGrid w:val="0"/>
        <w:spacing w:line="360" w:lineRule="exact"/>
        <w:ind w:firstLine="420" w:firstLineChars="200"/>
        <w:rPr>
          <w:rFonts w:hAnsi="宋体"/>
        </w:rPr>
      </w:pPr>
      <w:r>
        <w:rPr>
          <w:rFonts w:hint="eastAsia" w:hAnsi="宋体"/>
        </w:rPr>
        <w:t>②投标人、供应商提出的询问超出招标人对招标代理机构委托授权范围的，招标代理机构应当告知投标人、供应商向招标人提出。</w:t>
      </w:r>
    </w:p>
    <w:p>
      <w:pPr>
        <w:pStyle w:val="31"/>
        <w:keepNext/>
        <w:adjustRightInd w:val="0"/>
        <w:snapToGrid w:val="0"/>
        <w:spacing w:line="360" w:lineRule="exact"/>
        <w:ind w:firstLine="422" w:firstLineChars="200"/>
        <w:rPr>
          <w:rFonts w:hAnsi="宋体"/>
          <w:b/>
        </w:rPr>
      </w:pPr>
      <w:r>
        <w:rPr>
          <w:rFonts w:hAnsi="宋体"/>
          <w:b/>
        </w:rPr>
        <w:t>2.</w:t>
      </w:r>
      <w:r>
        <w:rPr>
          <w:rFonts w:hint="eastAsia" w:hAnsi="宋体"/>
          <w:b/>
        </w:rPr>
        <w:t>质疑</w:t>
      </w:r>
    </w:p>
    <w:p>
      <w:pPr>
        <w:keepNext/>
        <w:adjustRightInd w:val="0"/>
        <w:snapToGrid w:val="0"/>
        <w:spacing w:line="360" w:lineRule="exact"/>
        <w:ind w:firstLine="420" w:firstLineChars="200"/>
        <w:rPr>
          <w:rFonts w:ascii="宋体"/>
          <w:szCs w:val="21"/>
        </w:rPr>
      </w:pPr>
      <w:r>
        <w:rPr>
          <w:rFonts w:ascii="宋体" w:hAnsi="宋体"/>
          <w:szCs w:val="21"/>
        </w:rPr>
        <w:t>2.1</w:t>
      </w:r>
      <w:r>
        <w:rPr>
          <w:rFonts w:hint="eastAsia" w:ascii="宋体" w:hAnsi="宋体"/>
          <w:szCs w:val="21"/>
        </w:rPr>
        <w:t>投标人有权就招标事宜提出质疑</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）投标人认为招标文件、采购过程和中标结果使自己的合法权益受到损害的，可以在知道或者应知其权益受到损害之日起</w:t>
      </w:r>
      <w:r>
        <w:rPr>
          <w:rFonts w:ascii="宋体" w:hAnsi="宋体"/>
          <w:szCs w:val="21"/>
        </w:rPr>
        <w:t>7</w:t>
      </w:r>
      <w:r>
        <w:rPr>
          <w:rFonts w:hint="eastAsia" w:ascii="宋体" w:hAnsi="宋体"/>
          <w:szCs w:val="21"/>
        </w:rPr>
        <w:t>个工作日内以书面形式向招标人、招标代理机构一次性提出针对同一采购程序环节的质疑。具体计算时间如下：</w:t>
      </w:r>
    </w:p>
    <w:p>
      <w:pPr>
        <w:pStyle w:val="31"/>
        <w:keepNext/>
        <w:adjustRightInd w:val="0"/>
        <w:snapToGrid w:val="0"/>
        <w:spacing w:line="360" w:lineRule="exact"/>
        <w:ind w:firstLine="420" w:firstLineChars="200"/>
        <w:rPr>
          <w:rFonts w:hAnsi="宋体"/>
        </w:rPr>
      </w:pPr>
      <w:r>
        <w:rPr>
          <w:rFonts w:hint="eastAsia" w:hAnsi="宋体"/>
        </w:rPr>
        <w:t>①对可以质疑的招标文件提出质疑的，为收到招标文件之日；</w:t>
      </w:r>
    </w:p>
    <w:p>
      <w:pPr>
        <w:pStyle w:val="31"/>
        <w:keepNext/>
        <w:adjustRightInd w:val="0"/>
        <w:snapToGrid w:val="0"/>
        <w:spacing w:line="360" w:lineRule="exact"/>
        <w:ind w:firstLine="420" w:firstLineChars="200"/>
        <w:rPr>
          <w:rFonts w:hAnsi="宋体"/>
        </w:rPr>
      </w:pPr>
      <w:r>
        <w:rPr>
          <w:rFonts w:hint="eastAsia" w:hAnsi="宋体"/>
        </w:rPr>
        <w:t>②对招标采购过程提出质疑的，为各采购程序环节结束之日；</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③对中标结果提出质疑的，为中标结果公告期限届满之日。</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投标人对招标人的质疑答复不满意或者招标人未在规定时间内作出答复的，可以在答复期满后十五个工作日内向同级采购监管部门投诉。</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质疑应当按照《中国人民共和国政府采购法》及其实施条列、《政府采购货物和服务招标投标管理办法》和《广西壮族自治区政府采购供应商质疑处理办法》规定，以书面形式向招标人或招标代理机构提出，经法定代表人（负责人）签字并加盖公章。</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疑书应当包括以下主要内容：被质疑的招标人或招标人委托的代理机构名称、地址、电话，被质疑项目名称、项目编号、招标公告发布时间，质疑事项、权益受到损害的事实及法律依据（具体条款）、法定代表人（负责人）签字、盖章、有效联系方式（包括手机、传真号码）。质疑书应当附上相关证明材料，否则质疑将视为无有效证据支持，将被予以驳回。质疑供应商委托代理人办理质疑事务的，除提交质疑书外，还应当提交授权委托书，授权委托书应当载明委托代理的权限和事项。</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）有下列情形之一的，属于无效质疑，可不予受理：</w:t>
      </w:r>
    </w:p>
    <w:p>
      <w:pPr>
        <w:keepNext/>
        <w:tabs>
          <w:tab w:val="left" w:pos="709"/>
          <w:tab w:val="left" w:pos="1140"/>
        </w:tabs>
        <w:adjustRightInd w:val="0"/>
        <w:snapToGrid w:val="0"/>
        <w:spacing w:line="360" w:lineRule="exact"/>
        <w:ind w:firstLine="420" w:firstLineChars="200"/>
        <w:rPr>
          <w:rFonts w:ascii="宋体"/>
          <w:szCs w:val="21"/>
        </w:rPr>
      </w:pPr>
      <w:r>
        <w:rPr>
          <w:rFonts w:hint="eastAsia" w:ascii="宋体"/>
          <w:szCs w:val="21"/>
        </w:rPr>
        <w:t>①</w:t>
      </w:r>
      <w:r>
        <w:rPr>
          <w:rFonts w:hint="eastAsia" w:ascii="宋体" w:hAnsi="宋体"/>
          <w:szCs w:val="21"/>
        </w:rPr>
        <w:t>未在有效期限内提出质疑的；</w:t>
      </w:r>
    </w:p>
    <w:p>
      <w:pPr>
        <w:keepNext/>
        <w:tabs>
          <w:tab w:val="left" w:pos="709"/>
          <w:tab w:val="left" w:pos="1140"/>
        </w:tabs>
        <w:adjustRightInd w:val="0"/>
        <w:snapToGrid w:val="0"/>
        <w:spacing w:line="360" w:lineRule="exact"/>
        <w:ind w:firstLine="420" w:firstLineChars="200"/>
        <w:rPr>
          <w:rFonts w:ascii="宋体"/>
          <w:szCs w:val="21"/>
        </w:rPr>
      </w:pPr>
      <w:r>
        <w:rPr>
          <w:rFonts w:hint="eastAsia" w:ascii="宋体"/>
          <w:szCs w:val="21"/>
        </w:rPr>
        <w:t>②</w:t>
      </w:r>
      <w:r>
        <w:rPr>
          <w:rFonts w:hint="eastAsia" w:ascii="宋体" w:hAnsi="宋体"/>
          <w:szCs w:val="21"/>
        </w:rPr>
        <w:t>质疑未以书面形式提出的；</w:t>
      </w:r>
    </w:p>
    <w:p>
      <w:pPr>
        <w:keepNext/>
        <w:tabs>
          <w:tab w:val="left" w:pos="709"/>
          <w:tab w:val="left" w:pos="1140"/>
        </w:tabs>
        <w:adjustRightInd w:val="0"/>
        <w:snapToGrid w:val="0"/>
        <w:spacing w:line="360" w:lineRule="exact"/>
        <w:ind w:firstLine="420" w:firstLineChars="200"/>
        <w:rPr>
          <w:rFonts w:ascii="宋体"/>
          <w:szCs w:val="21"/>
        </w:rPr>
      </w:pPr>
      <w:r>
        <w:rPr>
          <w:rFonts w:hint="eastAsia" w:ascii="宋体"/>
          <w:szCs w:val="21"/>
        </w:rPr>
        <w:t>③</w:t>
      </w:r>
      <w:r>
        <w:rPr>
          <w:rFonts w:hint="eastAsia" w:ascii="宋体" w:hAnsi="宋体"/>
          <w:szCs w:val="21"/>
        </w:rPr>
        <w:t>所提交材料未明示属于质疑材料的；</w:t>
      </w:r>
    </w:p>
    <w:p>
      <w:pPr>
        <w:keepNext/>
        <w:tabs>
          <w:tab w:val="left" w:pos="709"/>
          <w:tab w:val="left" w:pos="1140"/>
        </w:tabs>
        <w:adjustRightInd w:val="0"/>
        <w:snapToGrid w:val="0"/>
        <w:spacing w:line="360" w:lineRule="exact"/>
        <w:ind w:firstLine="420" w:firstLineChars="200"/>
        <w:jc w:val="left"/>
        <w:rPr>
          <w:rFonts w:ascii="宋体"/>
          <w:szCs w:val="21"/>
        </w:rPr>
      </w:pPr>
      <w:r>
        <w:rPr>
          <w:rFonts w:hint="eastAsia" w:ascii="宋体"/>
          <w:szCs w:val="21"/>
        </w:rPr>
        <w:t>④</w:t>
      </w:r>
      <w:r>
        <w:rPr>
          <w:rFonts w:hint="eastAsia" w:ascii="宋体" w:hAnsi="宋体"/>
          <w:szCs w:val="21"/>
        </w:rPr>
        <w:t>质疑书没有法定代表人（负责人）签署本人姓名并加盖单位公章的；质疑书由参加采购项目的授权代表签署本人姓名的，没有法定代表人（负责人）的特别授权；质疑书没有加盖合同专用章的；</w:t>
      </w:r>
    </w:p>
    <w:p>
      <w:pPr>
        <w:keepNext/>
        <w:tabs>
          <w:tab w:val="left" w:pos="709"/>
          <w:tab w:val="left" w:pos="1140"/>
        </w:tabs>
        <w:adjustRightInd w:val="0"/>
        <w:snapToGrid w:val="0"/>
        <w:spacing w:line="360" w:lineRule="exact"/>
        <w:ind w:firstLine="420" w:firstLineChars="200"/>
        <w:rPr>
          <w:rFonts w:ascii="宋体"/>
          <w:szCs w:val="21"/>
        </w:rPr>
      </w:pPr>
      <w:r>
        <w:rPr>
          <w:rFonts w:hint="eastAsia" w:ascii="宋体"/>
          <w:szCs w:val="21"/>
        </w:rPr>
        <w:t>⑤</w:t>
      </w:r>
      <w:r>
        <w:rPr>
          <w:rFonts w:hint="eastAsia" w:ascii="宋体" w:hAnsi="宋体"/>
          <w:szCs w:val="21"/>
        </w:rPr>
        <w:t>质疑书未提供有效联系人或联系方式的；</w:t>
      </w:r>
    </w:p>
    <w:p>
      <w:pPr>
        <w:keepNext/>
        <w:tabs>
          <w:tab w:val="left" w:pos="709"/>
          <w:tab w:val="left" w:pos="1140"/>
        </w:tabs>
        <w:adjustRightInd w:val="0"/>
        <w:snapToGrid w:val="0"/>
        <w:spacing w:line="360" w:lineRule="exact"/>
        <w:ind w:firstLine="420" w:firstLineChars="200"/>
        <w:rPr>
          <w:rFonts w:ascii="宋体"/>
          <w:szCs w:val="21"/>
        </w:rPr>
      </w:pPr>
      <w:r>
        <w:rPr>
          <w:rFonts w:hint="eastAsia" w:ascii="宋体"/>
          <w:szCs w:val="21"/>
        </w:rPr>
        <w:t>⑥</w:t>
      </w:r>
      <w:r>
        <w:rPr>
          <w:rFonts w:hint="eastAsia" w:ascii="宋体" w:hAnsi="宋体"/>
          <w:szCs w:val="21"/>
        </w:rPr>
        <w:t>质疑事项已经进入投诉或者诉讼程序的；</w:t>
      </w:r>
    </w:p>
    <w:p>
      <w:pPr>
        <w:keepNext/>
        <w:tabs>
          <w:tab w:val="left" w:pos="709"/>
          <w:tab w:val="left" w:pos="1140"/>
        </w:tabs>
        <w:adjustRightInd w:val="0"/>
        <w:snapToGrid w:val="0"/>
        <w:spacing w:line="360" w:lineRule="exact"/>
        <w:ind w:firstLine="420" w:firstLineChars="200"/>
        <w:rPr>
          <w:rFonts w:ascii="宋体"/>
          <w:szCs w:val="21"/>
        </w:rPr>
      </w:pPr>
      <w:r>
        <w:rPr>
          <w:rFonts w:hint="eastAsia" w:ascii="宋体"/>
          <w:szCs w:val="21"/>
        </w:rPr>
        <w:t>⑦</w:t>
      </w:r>
      <w:r>
        <w:rPr>
          <w:rFonts w:hint="eastAsia" w:ascii="宋体" w:hAnsi="宋体"/>
          <w:szCs w:val="21"/>
        </w:rPr>
        <w:t>其它不符合受理条件的情形。</w:t>
      </w:r>
    </w:p>
    <w:p>
      <w:pPr>
        <w:keepNext/>
        <w:tabs>
          <w:tab w:val="left" w:pos="709"/>
          <w:tab w:val="left" w:pos="1140"/>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）质疑人的质疑应当采用政府采购供应商质疑函文本格式【在北海市政府采购网下载】以书面形式提交，并有明确的请求和必要的证明材料。</w:t>
      </w:r>
    </w:p>
    <w:p>
      <w:pPr>
        <w:keepNext/>
        <w:tabs>
          <w:tab w:val="left" w:pos="709"/>
        </w:tabs>
        <w:adjustRightInd w:val="0"/>
        <w:snapToGrid w:val="0"/>
        <w:spacing w:line="360" w:lineRule="exact"/>
        <w:ind w:firstLine="420" w:firstLineChars="200"/>
        <w:rPr>
          <w:rFonts w:ascii="宋体"/>
          <w:szCs w:val="21"/>
        </w:rPr>
      </w:pPr>
      <w:r>
        <w:rPr>
          <w:rFonts w:ascii="宋体" w:hAnsi="宋体"/>
          <w:szCs w:val="21"/>
        </w:rPr>
        <w:t>2.2</w:t>
      </w:r>
      <w:r>
        <w:rPr>
          <w:rFonts w:hint="eastAsia" w:ascii="宋体" w:hAnsi="宋体"/>
          <w:szCs w:val="21"/>
        </w:rPr>
        <w:t>招标人或招标代理机构在收到书面质疑后</w:t>
      </w:r>
      <w:r>
        <w:rPr>
          <w:rFonts w:ascii="宋体" w:hAnsi="宋体"/>
          <w:szCs w:val="21"/>
        </w:rPr>
        <w:t>7</w:t>
      </w:r>
      <w:r>
        <w:rPr>
          <w:rFonts w:hint="eastAsia" w:ascii="宋体" w:hAnsi="宋体"/>
          <w:szCs w:val="21"/>
        </w:rPr>
        <w:t>个工作日内审查质疑事项，作出答复或相关处理决定，并以书面形式通知质疑人和其他有关供应商，但答复的内容不涉及商业秘密。</w:t>
      </w:r>
    </w:p>
    <w:p>
      <w:pPr>
        <w:keepNext/>
        <w:tabs>
          <w:tab w:val="left" w:pos="709"/>
        </w:tabs>
        <w:adjustRightInd w:val="0"/>
        <w:snapToGrid w:val="0"/>
        <w:spacing w:line="360" w:lineRule="exact"/>
        <w:ind w:firstLine="420" w:firstLineChars="200"/>
        <w:rPr>
          <w:rFonts w:ascii="宋体"/>
          <w:szCs w:val="21"/>
        </w:rPr>
      </w:pPr>
      <w:r>
        <w:rPr>
          <w:rFonts w:ascii="宋体" w:hAnsi="宋体"/>
          <w:szCs w:val="21"/>
        </w:rPr>
        <w:t>2.3</w:t>
      </w:r>
      <w:r>
        <w:rPr>
          <w:rFonts w:hint="eastAsia" w:ascii="宋体" w:hAnsi="宋体"/>
          <w:szCs w:val="21"/>
        </w:rPr>
        <w:t>质疑人有下列情形之一的，招标代理机构应驳回质疑：</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）质疑缺乏事实和法律依据的；</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）质疑人捏造事实、提供虚假材料，或在一定期限内多次质疑而无实据的；</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）质疑已经处理并答复后，质疑人就同一事项又提起质疑且未提供新的有效证据的；</w:t>
      </w:r>
    </w:p>
    <w:p>
      <w:pPr>
        <w:keepNext/>
        <w:tabs>
          <w:tab w:val="left" w:pos="709"/>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）其他根据相关法律、法规应当予以驳回的情形。</w:t>
      </w:r>
    </w:p>
    <w:p>
      <w:pPr>
        <w:pStyle w:val="31"/>
        <w:keepNext/>
        <w:adjustRightInd w:val="0"/>
        <w:snapToGrid w:val="0"/>
        <w:spacing w:line="360" w:lineRule="exact"/>
        <w:ind w:firstLine="420" w:firstLineChars="200"/>
        <w:rPr>
          <w:rFonts w:hAnsi="宋体"/>
        </w:rPr>
      </w:pPr>
      <w:r>
        <w:rPr>
          <w:rFonts w:hAnsi="宋体"/>
        </w:rPr>
        <w:t>2.4</w:t>
      </w:r>
      <w:r>
        <w:rPr>
          <w:rFonts w:hint="eastAsia" w:hAnsi="宋体"/>
        </w:rPr>
        <w:t>质疑人对招标人、招标代理机构的答复不满意，或者招标人、招标代理机构未在规定的时间内做出答复的，可以在答复期满后十五个工作日内向财政部门投诉。</w:t>
      </w:r>
    </w:p>
    <w:p>
      <w:pPr>
        <w:pStyle w:val="31"/>
        <w:keepNext/>
        <w:adjustRightInd w:val="0"/>
        <w:snapToGrid w:val="0"/>
        <w:spacing w:line="360" w:lineRule="exact"/>
        <w:ind w:firstLine="420" w:firstLineChars="200"/>
        <w:rPr>
          <w:rFonts w:hAnsi="宋体"/>
          <w:bCs/>
        </w:rPr>
      </w:pPr>
      <w:r>
        <w:rPr>
          <w:rFonts w:hAnsi="宋体"/>
          <w:bCs/>
        </w:rPr>
        <w:t>2.5</w:t>
      </w:r>
      <w:r>
        <w:rPr>
          <w:rFonts w:hint="eastAsia" w:hAnsi="宋体"/>
          <w:bCs/>
        </w:rPr>
        <w:t>质疑联系部门及电话为：</w:t>
      </w:r>
      <w:r>
        <w:rPr>
          <w:rFonts w:hint="eastAsia" w:hAnsi="宋体"/>
          <w:spacing w:val="-4"/>
        </w:rPr>
        <w:t>广西新宇建设项目管理有限公司</w:t>
      </w:r>
      <w:r>
        <w:rPr>
          <w:rFonts w:hAnsi="宋体"/>
          <w:bCs/>
        </w:rPr>
        <w:t xml:space="preserve">     0779-3969698</w:t>
      </w:r>
    </w:p>
    <w:p>
      <w:pPr>
        <w:pStyle w:val="31"/>
        <w:keepNext/>
        <w:adjustRightInd w:val="0"/>
        <w:snapToGrid w:val="0"/>
        <w:spacing w:line="360" w:lineRule="exact"/>
        <w:ind w:firstLine="422" w:firstLineChars="200"/>
        <w:rPr>
          <w:rFonts w:hAnsi="宋体"/>
          <w:b/>
        </w:rPr>
      </w:pPr>
      <w:r>
        <w:rPr>
          <w:rFonts w:hAnsi="宋体"/>
          <w:b/>
        </w:rPr>
        <w:t>3.</w:t>
      </w:r>
      <w:r>
        <w:rPr>
          <w:rFonts w:hint="eastAsia" w:hAnsi="宋体"/>
          <w:b/>
        </w:rPr>
        <w:t>投诉</w:t>
      </w:r>
    </w:p>
    <w:p>
      <w:pPr>
        <w:pStyle w:val="31"/>
        <w:keepNext/>
        <w:adjustRightInd w:val="0"/>
        <w:snapToGrid w:val="0"/>
        <w:spacing w:line="360" w:lineRule="exact"/>
        <w:ind w:firstLine="420" w:firstLineChars="200"/>
        <w:rPr>
          <w:rFonts w:hAnsi="宋体"/>
        </w:rPr>
      </w:pPr>
      <w:r>
        <w:rPr>
          <w:rFonts w:hAnsi="宋体"/>
        </w:rPr>
        <w:t>3.1</w:t>
      </w:r>
      <w:r>
        <w:rPr>
          <w:rFonts w:hint="eastAsia" w:hAnsi="宋体"/>
        </w:rPr>
        <w:t>质疑人的投诉应当采用政府采购供应商投诉书文本格式【在中国政府采购网</w:t>
      </w:r>
      <w:r>
        <w:rPr>
          <w:rFonts w:hAnsi="宋体"/>
        </w:rPr>
        <w:t>(</w:t>
      </w:r>
      <w:r>
        <w:fldChar w:fldCharType="begin"/>
      </w:r>
      <w:r>
        <w:instrText xml:space="preserve"> HYPERLINK "http://www.ccgp.gov.cn" </w:instrText>
      </w:r>
      <w:r>
        <w:fldChar w:fldCharType="separate"/>
      </w:r>
      <w:r>
        <w:rPr>
          <w:rFonts w:hAnsi="宋体"/>
        </w:rPr>
        <w:t>www.ccgp.gov.cn</w:t>
      </w:r>
      <w:r>
        <w:rPr>
          <w:rFonts w:hAnsi="宋体"/>
        </w:rPr>
        <w:fldChar w:fldCharType="end"/>
      </w:r>
      <w:r>
        <w:rPr>
          <w:rFonts w:hAnsi="宋体"/>
        </w:rPr>
        <w:t>)</w:t>
      </w:r>
      <w:r>
        <w:rPr>
          <w:rFonts w:hint="eastAsia" w:hAnsi="宋体"/>
        </w:rPr>
        <w:t>下载】以书面形式提交，并有明确的请求和必要的证明材料，投诉的事项不得超出已质疑事项的范围。</w:t>
      </w:r>
    </w:p>
    <w:p>
      <w:pPr>
        <w:keepNext/>
        <w:spacing w:line="360" w:lineRule="exact"/>
        <w:ind w:firstLine="420" w:firstLineChars="200"/>
        <w:rPr>
          <w:rFonts w:hAnsi="宋体"/>
          <w:b/>
        </w:rPr>
      </w:pPr>
      <w:r>
        <w:rPr>
          <w:rFonts w:ascii="宋体" w:hAnsi="宋体"/>
          <w:bCs/>
        </w:rPr>
        <w:t>3.2</w:t>
      </w:r>
      <w:r>
        <w:rPr>
          <w:rFonts w:hint="eastAsia" w:ascii="宋体" w:hAnsi="宋体"/>
          <w:bCs/>
        </w:rPr>
        <w:t>投诉联系部门及电话为：</w:t>
      </w:r>
      <w:r>
        <w:rPr>
          <w:rFonts w:hint="eastAsia" w:ascii="宋体" w:hAnsi="宋体" w:cs="宋体"/>
          <w:kern w:val="0"/>
        </w:rPr>
        <w:t>北海市财政局（政府采购监督管理科）</w:t>
      </w:r>
      <w:r>
        <w:rPr>
          <w:rFonts w:hint="eastAsia" w:ascii="宋体" w:hAnsi="宋体"/>
        </w:rPr>
        <w:t>联系</w:t>
      </w:r>
      <w:r>
        <w:rPr>
          <w:rFonts w:hint="eastAsia" w:ascii="宋体" w:hAnsi="宋体" w:cs="仿宋_GB2312"/>
        </w:rPr>
        <w:t>电话：</w:t>
      </w:r>
      <w:r>
        <w:rPr>
          <w:rFonts w:ascii="宋体" w:hAnsi="宋体" w:cs="宋体"/>
          <w:kern w:val="0"/>
        </w:rPr>
        <w:t>0779-3063975</w:t>
      </w:r>
    </w:p>
    <w:p>
      <w:pPr>
        <w:pStyle w:val="31"/>
        <w:keepNext/>
        <w:adjustRightInd w:val="0"/>
        <w:snapToGrid w:val="0"/>
        <w:spacing w:line="360" w:lineRule="exact"/>
        <w:jc w:val="center"/>
        <w:rPr>
          <w:rFonts w:hAnsi="宋体"/>
          <w:b/>
        </w:rPr>
      </w:pPr>
      <w:r>
        <w:rPr>
          <w:rFonts w:hint="eastAsia" w:hAnsi="宋体"/>
          <w:b/>
        </w:rPr>
        <w:t>二、招标文件</w:t>
      </w:r>
      <w:bookmarkEnd w:id="47"/>
      <w:bookmarkEnd w:id="48"/>
    </w:p>
    <w:p>
      <w:pPr>
        <w:keepNext/>
        <w:adjustRightInd w:val="0"/>
        <w:snapToGrid w:val="0"/>
        <w:spacing w:line="360" w:lineRule="exact"/>
        <w:jc w:val="left"/>
        <w:rPr>
          <w:rFonts w:ascii="宋体"/>
          <w:b/>
          <w:szCs w:val="21"/>
        </w:rPr>
      </w:pPr>
      <w:r>
        <w:rPr>
          <w:rFonts w:hint="eastAsia" w:ascii="宋体" w:hAnsi="宋体"/>
          <w:b/>
          <w:szCs w:val="21"/>
        </w:rPr>
        <w:t>（一）招标文件的构成。</w:t>
      </w:r>
    </w:p>
    <w:p>
      <w:pPr>
        <w:keepNext/>
        <w:adjustRightInd w:val="0"/>
        <w:snapToGrid w:val="0"/>
        <w:spacing w:line="360" w:lineRule="exact"/>
        <w:ind w:firstLine="420" w:firstLineChars="200"/>
        <w:jc w:val="left"/>
        <w:rPr>
          <w:rFonts w:ascii="宋体"/>
          <w:szCs w:val="21"/>
        </w:rPr>
      </w:pPr>
      <w:r>
        <w:rPr>
          <w:rFonts w:ascii="宋体" w:hAnsi="宋体"/>
          <w:szCs w:val="21"/>
        </w:rPr>
        <w:t>1.</w:t>
      </w:r>
      <w:r>
        <w:rPr>
          <w:rFonts w:hint="eastAsia" w:ascii="宋体" w:hAnsi="宋体"/>
          <w:szCs w:val="21"/>
        </w:rPr>
        <w:t>招标公告；</w:t>
      </w:r>
    </w:p>
    <w:p>
      <w:pPr>
        <w:keepNext/>
        <w:adjustRightInd w:val="0"/>
        <w:snapToGrid w:val="0"/>
        <w:spacing w:line="360" w:lineRule="exact"/>
        <w:ind w:firstLine="420" w:firstLineChars="200"/>
        <w:jc w:val="left"/>
        <w:rPr>
          <w:rFonts w:ascii="宋体"/>
          <w:szCs w:val="21"/>
        </w:rPr>
      </w:pPr>
      <w:r>
        <w:rPr>
          <w:rFonts w:ascii="宋体" w:hAnsi="宋体"/>
          <w:szCs w:val="21"/>
        </w:rPr>
        <w:t>2.</w:t>
      </w:r>
      <w:r>
        <w:rPr>
          <w:rFonts w:hint="eastAsia" w:ascii="宋体" w:hAnsi="宋体"/>
          <w:szCs w:val="21"/>
        </w:rPr>
        <w:t>采购需求；</w:t>
      </w:r>
    </w:p>
    <w:p>
      <w:pPr>
        <w:keepNext/>
        <w:adjustRightInd w:val="0"/>
        <w:snapToGrid w:val="0"/>
        <w:spacing w:line="360" w:lineRule="exact"/>
        <w:ind w:firstLine="420" w:firstLineChars="200"/>
        <w:jc w:val="left"/>
        <w:rPr>
          <w:rFonts w:ascii="宋体"/>
          <w:szCs w:val="21"/>
        </w:rPr>
      </w:pPr>
      <w:r>
        <w:rPr>
          <w:rFonts w:ascii="宋体" w:hAnsi="宋体"/>
          <w:szCs w:val="21"/>
        </w:rPr>
        <w:t>3.</w:t>
      </w:r>
      <w:r>
        <w:rPr>
          <w:rFonts w:hint="eastAsia" w:ascii="宋体" w:hAnsi="宋体"/>
          <w:szCs w:val="21"/>
        </w:rPr>
        <w:t>投标人须知；</w:t>
      </w:r>
    </w:p>
    <w:p>
      <w:pPr>
        <w:keepNext/>
        <w:adjustRightInd w:val="0"/>
        <w:snapToGrid w:val="0"/>
        <w:spacing w:line="360" w:lineRule="exact"/>
        <w:ind w:firstLine="420" w:firstLineChars="200"/>
        <w:jc w:val="left"/>
        <w:rPr>
          <w:rFonts w:ascii="宋体"/>
          <w:szCs w:val="21"/>
        </w:rPr>
      </w:pPr>
      <w:r>
        <w:rPr>
          <w:rFonts w:ascii="宋体" w:hAnsi="宋体"/>
          <w:szCs w:val="21"/>
        </w:rPr>
        <w:t>4.</w:t>
      </w:r>
      <w:r>
        <w:rPr>
          <w:rFonts w:hint="eastAsia" w:ascii="宋体" w:hAnsi="宋体"/>
          <w:szCs w:val="21"/>
        </w:rPr>
        <w:t>政府采购合同主要条款；</w:t>
      </w:r>
    </w:p>
    <w:p>
      <w:pPr>
        <w:keepNext/>
        <w:adjustRightInd w:val="0"/>
        <w:snapToGrid w:val="0"/>
        <w:spacing w:line="360" w:lineRule="exact"/>
        <w:ind w:firstLine="420" w:firstLineChars="200"/>
        <w:jc w:val="left"/>
        <w:rPr>
          <w:rFonts w:ascii="宋体"/>
          <w:szCs w:val="21"/>
        </w:rPr>
      </w:pPr>
      <w:r>
        <w:rPr>
          <w:rFonts w:ascii="宋体" w:hAnsi="宋体"/>
          <w:szCs w:val="21"/>
        </w:rPr>
        <w:t>5.</w:t>
      </w:r>
      <w:r>
        <w:rPr>
          <w:rFonts w:hint="eastAsia" w:ascii="宋体" w:hAnsi="宋体"/>
          <w:szCs w:val="21"/>
        </w:rPr>
        <w:t>投标文件格式；</w:t>
      </w:r>
    </w:p>
    <w:p>
      <w:pPr>
        <w:keepNext/>
        <w:adjustRightInd w:val="0"/>
        <w:snapToGrid w:val="0"/>
        <w:spacing w:line="360" w:lineRule="exact"/>
        <w:ind w:firstLine="420" w:firstLineChars="200"/>
        <w:jc w:val="left"/>
        <w:rPr>
          <w:rFonts w:ascii="宋体"/>
          <w:szCs w:val="21"/>
        </w:rPr>
      </w:pPr>
      <w:r>
        <w:rPr>
          <w:rFonts w:ascii="宋体" w:hAnsi="宋体"/>
          <w:szCs w:val="21"/>
        </w:rPr>
        <w:t>6.</w:t>
      </w:r>
      <w:r>
        <w:rPr>
          <w:rFonts w:hint="eastAsia" w:ascii="宋体" w:hAnsi="宋体"/>
          <w:szCs w:val="21"/>
        </w:rPr>
        <w:t>评标办法及评分标准。</w:t>
      </w:r>
    </w:p>
    <w:p>
      <w:pPr>
        <w:keepNext/>
        <w:adjustRightInd w:val="0"/>
        <w:snapToGrid w:val="0"/>
        <w:spacing w:line="360" w:lineRule="exact"/>
        <w:jc w:val="left"/>
        <w:rPr>
          <w:rFonts w:ascii="宋体"/>
          <w:b/>
          <w:szCs w:val="21"/>
        </w:rPr>
      </w:pPr>
      <w:r>
        <w:rPr>
          <w:rFonts w:hint="eastAsia" w:ascii="宋体" w:hAnsi="宋体"/>
          <w:b/>
          <w:szCs w:val="21"/>
        </w:rPr>
        <w:t>（二）投标人的风险</w:t>
      </w:r>
    </w:p>
    <w:p>
      <w:pPr>
        <w:keepNext/>
        <w:tabs>
          <w:tab w:val="left" w:pos="180"/>
          <w:tab w:val="left" w:pos="1620"/>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应认真阅读招标文件，按照招标文件的要求编制投标文件。投标文件应对招标文件提出的要求和条件作出实质性的响应。投标人没有按照招标文件要求提供全部资料，或者投标人没有对招标文件在各方面作出实质性响应是投标人的风险，并可能导致其投标被拒绝。</w:t>
      </w:r>
    </w:p>
    <w:p>
      <w:pPr>
        <w:keepNext/>
        <w:tabs>
          <w:tab w:val="left" w:pos="180"/>
          <w:tab w:val="left" w:pos="1620"/>
        </w:tabs>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对招标文件提出的实质性要求和条件作出响应是指投标人必须对招标文件中涉及招标项目的价格、采购货物的主要技术参数和配备要求、数量、交货（或竣工）时间、售后服务及其它要求等内容作出响应。</w:t>
      </w:r>
    </w:p>
    <w:p>
      <w:pPr>
        <w:pStyle w:val="16"/>
        <w:keepNext/>
        <w:widowControl w:val="0"/>
        <w:tabs>
          <w:tab w:val="clear" w:pos="454"/>
        </w:tabs>
        <w:adjustRightInd w:val="0"/>
        <w:snapToGrid w:val="0"/>
        <w:spacing w:afterLines="0" w:line="360" w:lineRule="exact"/>
        <w:ind w:left="282" w:hanging="282" w:hangingChars="134"/>
        <w:rPr>
          <w:rFonts w:ascii="宋体"/>
          <w:b/>
          <w:sz w:val="21"/>
          <w:szCs w:val="21"/>
        </w:rPr>
      </w:pPr>
      <w:r>
        <w:rPr>
          <w:rFonts w:hint="eastAsia" w:ascii="宋体" w:hAnsi="宋体"/>
          <w:b/>
          <w:sz w:val="21"/>
          <w:szCs w:val="21"/>
        </w:rPr>
        <w:t>（三）招标文件的澄清与修改</w:t>
      </w:r>
    </w:p>
    <w:p>
      <w:pPr>
        <w:keepNext/>
        <w:tabs>
          <w:tab w:val="left" w:pos="180"/>
          <w:tab w:val="left" w:pos="1620"/>
        </w:tabs>
        <w:adjustRightInd w:val="0"/>
        <w:snapToGrid w:val="0"/>
        <w:spacing w:line="360" w:lineRule="exact"/>
        <w:ind w:firstLine="420" w:firstLineChars="200"/>
        <w:rPr>
          <w:rFonts w:ascii="宋体"/>
          <w:szCs w:val="21"/>
        </w:rPr>
      </w:pPr>
      <w:r>
        <w:rPr>
          <w:rFonts w:ascii="宋体" w:hAnsi="宋体"/>
          <w:szCs w:val="21"/>
        </w:rPr>
        <w:t>1.</w:t>
      </w:r>
      <w:r>
        <w:rPr>
          <w:rFonts w:hint="eastAsia" w:ascii="宋体" w:hAnsi="宋体"/>
          <w:szCs w:val="21"/>
        </w:rPr>
        <w:t>投标人应认真阅读本招标文件，发现其中有误或有不合理要求的，投标人必须在收到招标文件之日起七个工作日内以书面形式要求招标人或者招标代理机构澄清。招标人或者招标代理机构可以对已发出的招标文件进行必要的澄清或者修改，但不得改变采购标的和资格条件。澄清或者修改应当在原公告发布媒体上发布澄清公告。</w:t>
      </w:r>
      <w:r>
        <w:rPr>
          <w:rFonts w:hint="eastAsia" w:ascii="宋体" w:hAnsi="宋体"/>
        </w:rPr>
        <w:t>招标文件澄清、答复、修改、补充的内容为招标文件的组成部分。</w:t>
      </w:r>
    </w:p>
    <w:p>
      <w:pPr>
        <w:keepNext/>
        <w:tabs>
          <w:tab w:val="left" w:pos="180"/>
          <w:tab w:val="left" w:pos="1620"/>
        </w:tabs>
        <w:adjustRightInd w:val="0"/>
        <w:snapToGrid w:val="0"/>
        <w:spacing w:line="360" w:lineRule="exact"/>
        <w:ind w:firstLine="420" w:firstLineChars="200"/>
        <w:rPr>
          <w:rFonts w:ascii="宋体"/>
          <w:szCs w:val="21"/>
        </w:rPr>
      </w:pPr>
      <w:r>
        <w:rPr>
          <w:rFonts w:ascii="宋体" w:hAnsi="宋体"/>
        </w:rPr>
        <w:t>2.</w:t>
      </w:r>
      <w:r>
        <w:rPr>
          <w:rFonts w:hint="eastAsia" w:ascii="宋体" w:hAnsi="宋体"/>
        </w:rPr>
        <w:t>澄清或者修改的内容可能影响投标文件编制的，招标人或者招标代理机构应当在</w:t>
      </w:r>
      <w:r>
        <w:rPr>
          <w:rFonts w:hint="eastAsia" w:ascii="宋体" w:hAnsi="宋体"/>
          <w:szCs w:val="21"/>
        </w:rPr>
        <w:t>投标文件递交截止</w:t>
      </w:r>
      <w:r>
        <w:rPr>
          <w:rFonts w:hint="eastAsia" w:ascii="宋体" w:hAnsi="宋体"/>
        </w:rPr>
        <w:t>时间至少</w:t>
      </w:r>
      <w:r>
        <w:rPr>
          <w:rFonts w:ascii="宋体" w:hAnsi="宋体"/>
        </w:rPr>
        <w:t>15</w:t>
      </w:r>
      <w:r>
        <w:rPr>
          <w:rFonts w:hint="eastAsia" w:ascii="宋体" w:hAnsi="宋体"/>
        </w:rPr>
        <w:t>日前，以书面形式通知所有获取招标文件的潜在投标人；不足</w:t>
      </w:r>
      <w:r>
        <w:rPr>
          <w:rFonts w:ascii="宋体" w:hAnsi="宋体"/>
        </w:rPr>
        <w:t>15</w:t>
      </w:r>
      <w:r>
        <w:rPr>
          <w:rFonts w:hint="eastAsia" w:ascii="宋体" w:hAnsi="宋体"/>
        </w:rPr>
        <w:t>日的，招标人或者招标代理机构应当顺延提交投标文件的截止时间。</w:t>
      </w:r>
      <w:r>
        <w:rPr>
          <w:rFonts w:hint="eastAsia" w:ascii="宋体" w:hAnsi="宋体"/>
          <w:szCs w:val="21"/>
        </w:rPr>
        <w:t>投标人必须按照桂财采【</w:t>
      </w:r>
      <w:r>
        <w:rPr>
          <w:rFonts w:ascii="宋体" w:hAnsi="宋体"/>
          <w:szCs w:val="21"/>
        </w:rPr>
        <w:t>2007</w:t>
      </w:r>
      <w:r>
        <w:rPr>
          <w:rFonts w:hint="eastAsia" w:ascii="宋体" w:hAnsi="宋体"/>
          <w:szCs w:val="21"/>
        </w:rPr>
        <w:t>】</w:t>
      </w:r>
      <w:r>
        <w:rPr>
          <w:rFonts w:ascii="宋体" w:hAnsi="宋体"/>
          <w:szCs w:val="21"/>
        </w:rPr>
        <w:t>65</w:t>
      </w:r>
      <w:r>
        <w:rPr>
          <w:rFonts w:hint="eastAsia" w:ascii="宋体" w:hAnsi="宋体"/>
          <w:szCs w:val="21"/>
        </w:rPr>
        <w:t>号文件第二十九条规定，在澄清或修改通知发出后</w:t>
      </w:r>
      <w:r>
        <w:rPr>
          <w:rFonts w:ascii="宋体" w:hAnsi="宋体"/>
          <w:szCs w:val="21"/>
        </w:rPr>
        <w:t>12</w:t>
      </w:r>
      <w:r>
        <w:rPr>
          <w:rFonts w:hint="eastAsia" w:ascii="宋体" w:hAnsi="宋体"/>
          <w:szCs w:val="21"/>
        </w:rPr>
        <w:t>小时内以书面形式进行确认，否则视为已经收到。</w:t>
      </w:r>
    </w:p>
    <w:p>
      <w:pPr>
        <w:keepNext/>
        <w:tabs>
          <w:tab w:val="left" w:pos="180"/>
          <w:tab w:val="left" w:pos="1620"/>
        </w:tabs>
        <w:adjustRightInd w:val="0"/>
        <w:snapToGrid w:val="0"/>
        <w:spacing w:line="360" w:lineRule="exact"/>
        <w:ind w:firstLine="420" w:firstLineChars="200"/>
        <w:rPr>
          <w:rFonts w:ascii="宋体"/>
          <w:szCs w:val="21"/>
        </w:rPr>
      </w:pPr>
      <w:r>
        <w:rPr>
          <w:rFonts w:ascii="宋体" w:hAnsi="宋体"/>
          <w:szCs w:val="21"/>
        </w:rPr>
        <w:t>3.</w:t>
      </w:r>
      <w:r>
        <w:rPr>
          <w:rFonts w:hint="eastAsia" w:ascii="宋体" w:hAnsi="宋体"/>
        </w:rPr>
        <w:t>当招标文件与招标文件的答复、澄清、修改、补充通知就同一内容的表述不一致时，以最后发出的书面文件为准。</w:t>
      </w:r>
    </w:p>
    <w:p>
      <w:pPr>
        <w:pStyle w:val="31"/>
        <w:keepNext/>
        <w:adjustRightInd w:val="0"/>
        <w:snapToGrid w:val="0"/>
        <w:spacing w:line="360" w:lineRule="exact"/>
        <w:ind w:firstLine="420" w:firstLineChars="200"/>
        <w:rPr>
          <w:rFonts w:hAnsi="宋体"/>
        </w:rPr>
      </w:pPr>
      <w:r>
        <w:rPr>
          <w:rFonts w:hAnsi="宋体"/>
        </w:rPr>
        <w:t>4.</w:t>
      </w:r>
      <w:r>
        <w:rPr>
          <w:rFonts w:hint="eastAsia" w:hAnsi="宋体"/>
        </w:rPr>
        <w:t>招标文件的澄清、答复、修改或补充都应该通过招标代理机构以法定形式发布。</w:t>
      </w:r>
    </w:p>
    <w:p>
      <w:pPr>
        <w:pStyle w:val="31"/>
        <w:keepNext/>
        <w:adjustRightInd w:val="0"/>
        <w:snapToGrid w:val="0"/>
        <w:spacing w:line="360" w:lineRule="exact"/>
        <w:ind w:firstLine="420" w:firstLineChars="200"/>
        <w:rPr>
          <w:rFonts w:hAnsi="宋体"/>
          <w:b/>
        </w:rPr>
      </w:pPr>
      <w:r>
        <w:rPr>
          <w:rFonts w:hAnsi="宋体"/>
        </w:rPr>
        <w:t>5.</w:t>
      </w:r>
      <w:r>
        <w:rPr>
          <w:rFonts w:hint="eastAsia" w:hAnsi="宋体"/>
        </w:rPr>
        <w:t>招标人或者招标代理机构可以视采购具体情况，延长</w:t>
      </w:r>
      <w:r>
        <w:rPr>
          <w:rFonts w:hint="eastAsia" w:hAnsi="宋体"/>
          <w:szCs w:val="21"/>
        </w:rPr>
        <w:t>投标文件递交截止</w:t>
      </w:r>
      <w:r>
        <w:rPr>
          <w:rFonts w:hint="eastAsia" w:hAnsi="宋体"/>
        </w:rPr>
        <w:t>时间和开标时间，但至少应当在招标文件要求提交投标文件的截止时间三日前，将变更时间书面通知所有获取招标文件的潜在投标人，并在财政部门指定的政府采购信息发布媒体上发布变更公告。</w:t>
      </w:r>
      <w:bookmarkStart w:id="51" w:name="_Toc254970548"/>
      <w:bookmarkStart w:id="52" w:name="_Toc254970689"/>
    </w:p>
    <w:p>
      <w:pPr>
        <w:pStyle w:val="31"/>
        <w:keepNext/>
        <w:adjustRightInd w:val="0"/>
        <w:snapToGrid w:val="0"/>
        <w:spacing w:line="360" w:lineRule="exact"/>
        <w:jc w:val="center"/>
        <w:rPr>
          <w:rFonts w:hAnsi="宋体"/>
          <w:b/>
        </w:rPr>
      </w:pPr>
      <w:r>
        <w:rPr>
          <w:rFonts w:hint="eastAsia" w:hAnsi="宋体"/>
          <w:b/>
        </w:rPr>
        <w:t>三、投标文件的编制</w:t>
      </w:r>
    </w:p>
    <w:p>
      <w:pPr>
        <w:keepNext/>
        <w:adjustRightInd w:val="0"/>
        <w:snapToGrid w:val="0"/>
        <w:spacing w:line="360" w:lineRule="exact"/>
        <w:jc w:val="left"/>
        <w:rPr>
          <w:rFonts w:ascii="宋体"/>
          <w:b/>
          <w:szCs w:val="21"/>
        </w:rPr>
      </w:pPr>
      <w:bookmarkStart w:id="53" w:name="_Toc254970677"/>
      <w:bookmarkStart w:id="54" w:name="_Toc254970536"/>
      <w:r>
        <w:rPr>
          <w:rFonts w:hint="eastAsia" w:ascii="宋体" w:hAnsi="宋体"/>
          <w:b/>
          <w:szCs w:val="21"/>
        </w:rPr>
        <w:t>（一）投标文件的组成</w:t>
      </w:r>
      <w:bookmarkEnd w:id="53"/>
      <w:bookmarkEnd w:id="54"/>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 投标文件编制基本要求</w:t>
      </w:r>
    </w:p>
    <w:p>
      <w:pPr>
        <w:keepNext/>
        <w:adjustRightInd w:val="0"/>
        <w:snapToGrid w:val="0"/>
        <w:spacing w:line="360" w:lineRule="exact"/>
        <w:ind w:firstLine="420" w:firstLineChars="200"/>
        <w:jc w:val="left"/>
        <w:rPr>
          <w:rFonts w:ascii="宋体" w:hAnsi="宋体"/>
          <w:b/>
          <w:bCs/>
          <w:szCs w:val="21"/>
        </w:rPr>
      </w:pPr>
      <w:r>
        <w:rPr>
          <w:rFonts w:hint="eastAsia" w:ascii="宋体" w:hAnsi="宋体"/>
          <w:szCs w:val="21"/>
        </w:rPr>
        <w:t>1.1本项目实行电子投标，投标人应提供电子投标文件，同时可以提供以介质存储的电子备份投标文件：</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1.1.1电子投标文件按政采云平台要求及本招标文件要求制作、加密并递交。具体操作流程可参考《政府采购项目电子交易管理操作指南-供应商》，指南可在“北海市政府采购中心网站-办事指南-政府采购项目电子交易管理操作指南”下载。</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1.1.2 电子备份投标文件是上传政采云平台的投标文件电子版，按照本招标文件要求制作。</w:t>
      </w:r>
    </w:p>
    <w:p>
      <w:pPr>
        <w:keepNext/>
        <w:adjustRightInd w:val="0"/>
        <w:snapToGrid w:val="0"/>
        <w:spacing w:line="360" w:lineRule="exact"/>
        <w:ind w:firstLine="422" w:firstLineChars="200"/>
        <w:jc w:val="left"/>
        <w:rPr>
          <w:rFonts w:ascii="宋体" w:hAnsi="宋体"/>
          <w:b/>
          <w:bCs/>
          <w:szCs w:val="21"/>
          <w:highlight w:val="green"/>
        </w:rPr>
      </w:pPr>
      <w:r>
        <w:rPr>
          <w:rFonts w:hint="eastAsia" w:ascii="宋体" w:hAnsi="宋体"/>
          <w:b/>
          <w:bCs/>
          <w:szCs w:val="21"/>
        </w:rPr>
        <w:t>1.1.3投标文件启用顺序和效力：投标文件的启用，按先后顺位分别为电子投标文件、以介质存储的电子备份投标文件。全部投标人的电子投标文件均已按时解密的，以介质存储的电子备份投标文件自动失效。如果某位投标人的电子投标文件无法按时解密的，其电子投标文件为无效，启用以介质存储的电子备份投标文件。投标人仅递交电子备份投标文件的，投标无效。</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1.2投标人提交的投标文件以及投标人与招标代理机构和招标人就有关投标的所有来往函电均应使用中文。投标人提交的支持文件和印刷的文献可以使用别的语言，但其相应内容必须附有中文翻译文本，在解释投标文件时以翻译文本为主。</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1.3投标人应认真阅读、并充分理解本文件的全部内容（包括所有的澄清、更改、补充、答疑等内容），承诺并履行本文件中各项条款规定及要求。</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1.4投标文件必须按本文件的全部内容，包括所有的澄清、更改、补充、答疑等内容及附件进行编制。</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1.5如因投标人只填写和提供了本文件要求的部分内容和附件，而给评标委员会评审造成困难，其可能导致的结果和责任由投标人自行承担。</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1.6投标文件的组成：投标文件应分为资格审查文件、报价文件、技术文件、商务文件四个部分组成。投标人应仔细阅读投标采购文件的所有内容，按招标文件的要求，详细编制投标文件。</w:t>
      </w:r>
    </w:p>
    <w:p>
      <w:pPr>
        <w:keepNext/>
        <w:adjustRightInd w:val="0"/>
        <w:snapToGrid w:val="0"/>
        <w:spacing w:line="360" w:lineRule="exact"/>
        <w:ind w:firstLine="420" w:firstLineChars="200"/>
        <w:jc w:val="left"/>
        <w:rPr>
          <w:rFonts w:ascii="宋体" w:hAnsi="宋体"/>
          <w:szCs w:val="21"/>
        </w:rPr>
      </w:pPr>
    </w:p>
    <w:p>
      <w:pPr>
        <w:keepNext/>
        <w:adjustRightInd w:val="0"/>
        <w:snapToGrid w:val="0"/>
        <w:spacing w:line="360" w:lineRule="exact"/>
        <w:ind w:firstLine="422" w:firstLineChars="200"/>
        <w:jc w:val="left"/>
        <w:rPr>
          <w:rFonts w:ascii="宋体"/>
          <w:b/>
          <w:szCs w:val="21"/>
        </w:rPr>
      </w:pPr>
      <w:r>
        <w:rPr>
          <w:rFonts w:ascii="宋体" w:hAnsi="宋体"/>
          <w:b/>
          <w:szCs w:val="21"/>
        </w:rPr>
        <w:t>1.</w:t>
      </w:r>
      <w:r>
        <w:rPr>
          <w:rFonts w:hint="eastAsia" w:ascii="宋体" w:hAnsi="宋体"/>
          <w:b/>
          <w:szCs w:val="21"/>
        </w:rPr>
        <w:t>资格审查文件（</w:t>
      </w:r>
      <w:r>
        <w:rPr>
          <w:rFonts w:ascii="宋体" w:hAnsi="宋体"/>
          <w:b/>
          <w:szCs w:val="21"/>
        </w:rPr>
        <w:t>1-</w:t>
      </w:r>
      <w:r>
        <w:rPr>
          <w:rFonts w:hint="eastAsia" w:ascii="宋体" w:hAnsi="宋体"/>
          <w:b/>
          <w:szCs w:val="21"/>
        </w:rPr>
        <w:t>7项必须提供）：</w:t>
      </w:r>
    </w:p>
    <w:p>
      <w:pPr>
        <w:keepNext/>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）《诚信记录良好承诺函》。</w:t>
      </w:r>
      <w:r>
        <w:rPr>
          <w:rFonts w:hint="eastAsia" w:ascii="宋体" w:hAnsi="宋体"/>
          <w:b/>
          <w:bCs/>
          <w:szCs w:val="21"/>
        </w:rPr>
        <w:t>（必须提供）</w:t>
      </w:r>
    </w:p>
    <w:p>
      <w:pPr>
        <w:keepNext/>
        <w:adjustRightInd w:val="0"/>
        <w:snapToGrid w:val="0"/>
        <w:spacing w:line="360" w:lineRule="exact"/>
        <w:ind w:firstLine="420" w:firstLineChars="200"/>
        <w:jc w:val="left"/>
        <w:rPr>
          <w:rFonts w:ascii="宋体"/>
          <w:b/>
          <w:szCs w:val="21"/>
        </w:rPr>
      </w:pPr>
      <w:r>
        <w:rPr>
          <w:rFonts w:hint="eastAsia" w:ascii="宋体" w:hAnsi="宋体"/>
          <w:szCs w:val="21"/>
        </w:rPr>
        <w:t>▲（2）法定代表人（负责人）授权委托书（格式见第五章</w:t>
      </w:r>
      <w:r>
        <w:rPr>
          <w:rFonts w:ascii="宋体" w:hAnsi="宋体"/>
          <w:szCs w:val="21"/>
        </w:rPr>
        <w:t>)</w:t>
      </w:r>
      <w:r>
        <w:rPr>
          <w:rFonts w:hint="eastAsia" w:ascii="宋体" w:hAnsi="宋体"/>
          <w:szCs w:val="21"/>
        </w:rPr>
        <w:t>和委托代理人身份证复印件（</w:t>
      </w:r>
      <w:r>
        <w:rPr>
          <w:rFonts w:hint="eastAsia" w:ascii="宋体" w:hAnsi="宋体"/>
          <w:b/>
          <w:szCs w:val="21"/>
        </w:rPr>
        <w:t>有委托时必须提供）</w:t>
      </w:r>
      <w:r>
        <w:rPr>
          <w:rFonts w:hint="eastAsia" w:ascii="宋体" w:hAnsi="宋体"/>
          <w:szCs w:val="21"/>
        </w:rPr>
        <w:t>、法定代表人（负责人）身份证复印件</w:t>
      </w:r>
      <w:r>
        <w:rPr>
          <w:rFonts w:hint="eastAsia" w:ascii="宋体" w:hAnsi="宋体"/>
          <w:b/>
          <w:szCs w:val="21"/>
        </w:rPr>
        <w:t>。（必须提供）</w:t>
      </w:r>
    </w:p>
    <w:p>
      <w:pPr>
        <w:keepNext/>
        <w:adjustRightInd w:val="0"/>
        <w:snapToGrid w:val="0"/>
        <w:spacing w:line="360" w:lineRule="exact"/>
        <w:ind w:firstLine="420" w:firstLineChars="200"/>
        <w:jc w:val="left"/>
        <w:rPr>
          <w:rFonts w:ascii="宋体"/>
          <w:b/>
          <w:szCs w:val="21"/>
        </w:rPr>
      </w:pPr>
      <w:r>
        <w:rPr>
          <w:rFonts w:hint="eastAsia" w:ascii="宋体" w:hAnsi="宋体"/>
          <w:szCs w:val="21"/>
        </w:rPr>
        <w:t>▲（3）投标文件递交截止时间前半年内投标人连续三个月依法缴纳税费或依法免缴税费的有效证明复印件</w:t>
      </w:r>
      <w:r>
        <w:rPr>
          <w:rFonts w:hint="eastAsia" w:ascii="宋体" w:hAnsi="宋体"/>
          <w:b/>
          <w:szCs w:val="21"/>
        </w:rPr>
        <w:t>；</w:t>
      </w:r>
      <w:r>
        <w:rPr>
          <w:rFonts w:hint="eastAsia" w:ascii="宋体" w:hAnsi="宋体"/>
          <w:szCs w:val="21"/>
        </w:rPr>
        <w:t>无纳税记录的，应提供由投标人所在地主管税务部门出具的《依法纳税或依法免税证明》</w:t>
      </w:r>
      <w:r>
        <w:rPr>
          <w:rFonts w:hint="eastAsia" w:ascii="宋体" w:hAnsi="宋体"/>
          <w:b/>
          <w:szCs w:val="21"/>
        </w:rPr>
        <w:t>；（</w:t>
      </w:r>
      <w:r>
        <w:rPr>
          <w:rFonts w:hint="eastAsia" w:ascii="宋体" w:hAnsi="宋体"/>
          <w:szCs w:val="21"/>
        </w:rPr>
        <w:t>新注册成立的单位按实提供</w:t>
      </w:r>
      <w:r>
        <w:rPr>
          <w:rFonts w:hint="eastAsia" w:ascii="宋体" w:hAnsi="宋体"/>
          <w:b/>
          <w:szCs w:val="21"/>
        </w:rPr>
        <w:t>）。（必须提供）</w:t>
      </w:r>
    </w:p>
    <w:p>
      <w:pPr>
        <w:keepNext/>
        <w:adjustRightInd w:val="0"/>
        <w:snapToGrid w:val="0"/>
        <w:spacing w:line="360" w:lineRule="exact"/>
        <w:ind w:firstLine="420" w:firstLineChars="200"/>
        <w:jc w:val="left"/>
        <w:rPr>
          <w:rFonts w:ascii="宋体"/>
          <w:b/>
          <w:szCs w:val="21"/>
        </w:rPr>
      </w:pPr>
      <w:r>
        <w:rPr>
          <w:rFonts w:hint="eastAsia" w:ascii="宋体" w:hAnsi="宋体"/>
          <w:szCs w:val="21"/>
        </w:rPr>
        <w:t>▲（4）投标文件递交截止时间前半年内投标人连续三个月依法缴纳社保费的有效缴费凭证复印件</w:t>
      </w:r>
      <w:r>
        <w:rPr>
          <w:rFonts w:hint="eastAsia" w:ascii="宋体" w:hAnsi="宋体"/>
          <w:b/>
          <w:szCs w:val="21"/>
        </w:rPr>
        <w:t>；</w:t>
      </w:r>
      <w:r>
        <w:rPr>
          <w:rFonts w:hint="eastAsia" w:ascii="宋体" w:hAnsi="宋体"/>
          <w:szCs w:val="21"/>
        </w:rPr>
        <w:t>无缴费记录的，应提供由投标人所在地社保部门出具的《依法缴纳或依法免缴社保费证明》；</w:t>
      </w:r>
      <w:r>
        <w:rPr>
          <w:rFonts w:hint="eastAsia" w:ascii="宋体" w:hAnsi="宋体"/>
          <w:b/>
          <w:szCs w:val="21"/>
        </w:rPr>
        <w:t>（</w:t>
      </w:r>
      <w:r>
        <w:rPr>
          <w:rFonts w:hint="eastAsia" w:ascii="宋体" w:hAnsi="宋体"/>
          <w:szCs w:val="21"/>
        </w:rPr>
        <w:t>新注册成立的单位按实提供</w:t>
      </w:r>
      <w:r>
        <w:rPr>
          <w:rFonts w:hint="eastAsia" w:ascii="宋体" w:hAnsi="宋体"/>
          <w:b/>
          <w:szCs w:val="21"/>
        </w:rPr>
        <w:t>）。（必须提供）</w:t>
      </w:r>
    </w:p>
    <w:p>
      <w:pPr>
        <w:keepNext/>
        <w:adjustRightInd w:val="0"/>
        <w:snapToGrid w:val="0"/>
        <w:spacing w:line="360" w:lineRule="exact"/>
        <w:ind w:firstLine="420" w:firstLineChars="200"/>
        <w:jc w:val="left"/>
        <w:rPr>
          <w:rFonts w:ascii="宋体"/>
          <w:b/>
          <w:szCs w:val="21"/>
        </w:rPr>
      </w:pPr>
      <w:r>
        <w:rPr>
          <w:rFonts w:hint="eastAsia" w:ascii="宋体" w:hAnsi="宋体"/>
          <w:szCs w:val="21"/>
        </w:rPr>
        <w:t>▲（5）2020年年度财务报表或响应文件递交截止之日前半年内投标人连续三个月的财务报表。</w:t>
      </w:r>
      <w:r>
        <w:rPr>
          <w:rFonts w:hint="eastAsia" w:ascii="宋体" w:hAnsi="宋体"/>
          <w:b/>
          <w:szCs w:val="21"/>
        </w:rPr>
        <w:t>（必须提供）（</w:t>
      </w:r>
      <w:r>
        <w:rPr>
          <w:rFonts w:hint="eastAsia" w:ascii="宋体" w:hAnsi="宋体"/>
          <w:szCs w:val="21"/>
        </w:rPr>
        <w:t>新注册成立的单位按实提供</w:t>
      </w:r>
      <w:r>
        <w:rPr>
          <w:rFonts w:hint="eastAsia" w:ascii="宋体" w:hAnsi="宋体"/>
          <w:b/>
          <w:szCs w:val="21"/>
        </w:rPr>
        <w:t>）</w:t>
      </w:r>
    </w:p>
    <w:p>
      <w:pPr>
        <w:keepNext/>
        <w:adjustRightInd w:val="0"/>
        <w:snapToGrid w:val="0"/>
        <w:spacing w:line="360" w:lineRule="exact"/>
        <w:ind w:firstLine="420" w:firstLineChars="200"/>
        <w:jc w:val="left"/>
        <w:rPr>
          <w:rFonts w:ascii="宋体"/>
          <w:szCs w:val="21"/>
        </w:rPr>
      </w:pPr>
      <w:r>
        <w:rPr>
          <w:rFonts w:hint="eastAsia" w:ascii="宋体" w:hAnsi="宋体"/>
          <w:szCs w:val="21"/>
        </w:rPr>
        <w:t>▲（6）投标人有效的法人或其他组织的营业执照副本等证明文件复印件或自然人的身份证明，同时要加盖单位公章</w:t>
      </w:r>
      <w:r>
        <w:rPr>
          <w:rFonts w:hint="eastAsia" w:ascii="宋体" w:hAnsi="宋体"/>
          <w:b/>
          <w:szCs w:val="21"/>
        </w:rPr>
        <w:t>。（必须提供）</w:t>
      </w:r>
    </w:p>
    <w:p>
      <w:pPr>
        <w:keepNext/>
        <w:adjustRightInd w:val="0"/>
        <w:snapToGrid w:val="0"/>
        <w:spacing w:line="360" w:lineRule="exact"/>
        <w:ind w:firstLine="420" w:firstLineChars="200"/>
        <w:jc w:val="left"/>
        <w:rPr>
          <w:rFonts w:ascii="宋体"/>
          <w:b/>
          <w:szCs w:val="21"/>
        </w:rPr>
      </w:pPr>
      <w:r>
        <w:rPr>
          <w:rFonts w:hint="eastAsia" w:ascii="宋体" w:hAnsi="宋体"/>
          <w:szCs w:val="21"/>
        </w:rPr>
        <w:t>▲</w:t>
      </w:r>
      <w:r>
        <w:rPr>
          <w:rFonts w:hint="eastAsia" w:ascii="宋体" w:hAnsi="宋体"/>
          <w:bCs/>
          <w:szCs w:val="21"/>
        </w:rPr>
        <w:t>（7）</w:t>
      </w:r>
      <w:r>
        <w:rPr>
          <w:rFonts w:hint="eastAsia" w:ascii="宋体" w:hAnsi="宋体"/>
          <w:szCs w:val="21"/>
        </w:rPr>
        <w:t>投标人参与政府采购活动前三年在经营活动中没有重大违法记录的书面声明函</w:t>
      </w:r>
      <w:r>
        <w:rPr>
          <w:rFonts w:hint="eastAsia" w:ascii="宋体" w:hAnsi="宋体"/>
          <w:b/>
          <w:szCs w:val="21"/>
        </w:rPr>
        <w:t>。（必须提供）</w:t>
      </w:r>
    </w:p>
    <w:p>
      <w:pPr>
        <w:keepNext/>
        <w:adjustRightInd w:val="0"/>
        <w:snapToGrid w:val="0"/>
        <w:spacing w:line="360" w:lineRule="exact"/>
        <w:ind w:firstLine="630" w:firstLineChars="300"/>
        <w:jc w:val="left"/>
        <w:rPr>
          <w:rFonts w:ascii="宋体"/>
          <w:b/>
          <w:szCs w:val="21"/>
        </w:rPr>
      </w:pPr>
      <w:r>
        <w:rPr>
          <w:rFonts w:hint="eastAsia" w:ascii="宋体" w:hAnsi="宋体"/>
          <w:szCs w:val="21"/>
        </w:rPr>
        <w:t>（8）投标人在“信用中国”网站</w:t>
      </w:r>
      <w:r>
        <w:rPr>
          <w:rFonts w:ascii="宋体" w:hAnsi="宋体"/>
          <w:szCs w:val="21"/>
        </w:rPr>
        <w:t>(www.creditchina.gov.cn)</w:t>
      </w:r>
      <w:r>
        <w:rPr>
          <w:rFonts w:hint="eastAsia" w:ascii="宋体" w:hAnsi="宋体"/>
          <w:szCs w:val="21"/>
        </w:rPr>
        <w:t>、中国政府采购网</w:t>
      </w:r>
      <w:r>
        <w:rPr>
          <w:rFonts w:ascii="宋体" w:hAnsi="宋体"/>
          <w:szCs w:val="21"/>
        </w:rPr>
        <w:t xml:space="preserve">(www.ccgp.gov.cn) </w:t>
      </w:r>
      <w:r>
        <w:rPr>
          <w:rFonts w:hint="eastAsia" w:ascii="宋体" w:hAnsi="宋体"/>
          <w:szCs w:val="21"/>
        </w:rPr>
        <w:t>查询相关投标人主体信用记录，其中“信用中国”网站提供投标人在</w:t>
      </w:r>
      <w:r>
        <w:rPr>
          <w:rFonts w:hint="eastAsia" w:ascii="宋体" w:hAnsi="宋体"/>
          <w:b/>
          <w:bCs/>
          <w:szCs w:val="21"/>
        </w:rPr>
        <w:t>“失信被执行人、政府采购不良行为记录、重大税收违法案件当事人”</w:t>
      </w:r>
      <w:r>
        <w:rPr>
          <w:rFonts w:ascii="宋体" w:hAnsi="宋体"/>
          <w:szCs w:val="21"/>
        </w:rPr>
        <w:t>3</w:t>
      </w:r>
      <w:r>
        <w:rPr>
          <w:rFonts w:hint="eastAsia" w:ascii="宋体" w:hAnsi="宋体"/>
          <w:szCs w:val="21"/>
        </w:rPr>
        <w:t>个页面下的截图，“中国政府采购网”提供投标人在</w:t>
      </w:r>
      <w:r>
        <w:rPr>
          <w:rFonts w:hint="eastAsia" w:ascii="宋体" w:hAnsi="宋体"/>
          <w:b/>
          <w:bCs/>
          <w:szCs w:val="21"/>
        </w:rPr>
        <w:t>“政府采购严重违法失信行为记录名单”</w:t>
      </w:r>
      <w:r>
        <w:rPr>
          <w:rFonts w:hint="eastAsia" w:ascii="宋体" w:hAnsi="宋体"/>
          <w:szCs w:val="21"/>
        </w:rPr>
        <w:t>页面下的截图；</w:t>
      </w:r>
    </w:p>
    <w:p>
      <w:pPr>
        <w:keepNext/>
        <w:adjustRightInd w:val="0"/>
        <w:snapToGrid w:val="0"/>
        <w:spacing w:line="360" w:lineRule="exact"/>
        <w:ind w:firstLine="630" w:firstLineChars="300"/>
        <w:jc w:val="left"/>
        <w:rPr>
          <w:rFonts w:ascii="宋体"/>
          <w:szCs w:val="21"/>
        </w:rPr>
      </w:pPr>
      <w:r>
        <w:rPr>
          <w:rFonts w:hint="eastAsia" w:ascii="宋体" w:hAnsi="宋体"/>
          <w:szCs w:val="21"/>
        </w:rPr>
        <w:t>（9）招标文件要求的其他资格证明文件（如有要求则必须提供）。</w:t>
      </w:r>
    </w:p>
    <w:p>
      <w:pPr>
        <w:keepNext/>
        <w:adjustRightInd w:val="0"/>
        <w:snapToGrid w:val="0"/>
        <w:spacing w:line="360" w:lineRule="exact"/>
        <w:ind w:firstLine="413" w:firstLineChars="196"/>
        <w:jc w:val="left"/>
        <w:rPr>
          <w:rFonts w:ascii="宋体"/>
          <w:b/>
          <w:szCs w:val="21"/>
        </w:rPr>
      </w:pPr>
      <w:r>
        <w:rPr>
          <w:rFonts w:ascii="宋体" w:hAnsi="宋体"/>
          <w:b/>
          <w:bCs/>
          <w:szCs w:val="21"/>
        </w:rPr>
        <w:t>2.</w:t>
      </w:r>
      <w:r>
        <w:rPr>
          <w:rFonts w:hint="eastAsia" w:ascii="宋体" w:hAnsi="宋体"/>
          <w:b/>
          <w:szCs w:val="21"/>
        </w:rPr>
        <w:t>报价文件（</w:t>
      </w:r>
      <w:r>
        <w:rPr>
          <w:rFonts w:ascii="宋体" w:hAnsi="宋体"/>
          <w:b/>
          <w:szCs w:val="21"/>
        </w:rPr>
        <w:t>1-2</w:t>
      </w:r>
      <w:r>
        <w:rPr>
          <w:rFonts w:hint="eastAsia" w:ascii="宋体" w:hAnsi="宋体"/>
          <w:b/>
          <w:szCs w:val="21"/>
        </w:rPr>
        <w:t>项必须提供）：</w:t>
      </w:r>
    </w:p>
    <w:p>
      <w:pPr>
        <w:keepNext/>
        <w:tabs>
          <w:tab w:val="left" w:pos="1276"/>
          <w:tab w:val="left" w:pos="3870"/>
          <w:tab w:val="left" w:pos="4085"/>
        </w:tabs>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）投标函（格式见第五章）</w:t>
      </w:r>
      <w:r>
        <w:rPr>
          <w:rFonts w:hint="eastAsia" w:ascii="宋体" w:hAnsi="宋体"/>
          <w:b/>
          <w:szCs w:val="21"/>
        </w:rPr>
        <w:t>。（必须提供）</w:t>
      </w:r>
    </w:p>
    <w:p>
      <w:pPr>
        <w:keepNext/>
        <w:tabs>
          <w:tab w:val="left" w:pos="3870"/>
          <w:tab w:val="left" w:pos="4085"/>
        </w:tabs>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）报价表（格式见第五章）</w:t>
      </w:r>
      <w:r>
        <w:rPr>
          <w:rFonts w:hint="eastAsia" w:ascii="宋体" w:hAnsi="宋体"/>
          <w:b/>
          <w:szCs w:val="21"/>
        </w:rPr>
        <w:t>。（必须提供）</w:t>
      </w:r>
    </w:p>
    <w:p>
      <w:pPr>
        <w:keepNext/>
        <w:tabs>
          <w:tab w:val="left" w:pos="3870"/>
          <w:tab w:val="left" w:pos="4085"/>
        </w:tabs>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）投标人针对报价需要说明的其他文件和说明（格式自拟）；</w:t>
      </w:r>
    </w:p>
    <w:p>
      <w:pPr>
        <w:keepNext/>
        <w:adjustRightInd w:val="0"/>
        <w:snapToGrid w:val="0"/>
        <w:spacing w:line="360" w:lineRule="exact"/>
        <w:ind w:firstLine="413" w:firstLineChars="196"/>
        <w:jc w:val="left"/>
        <w:rPr>
          <w:rFonts w:ascii="宋体"/>
          <w:b/>
          <w:bCs/>
          <w:szCs w:val="21"/>
        </w:rPr>
      </w:pPr>
      <w:r>
        <w:rPr>
          <w:rFonts w:ascii="宋体" w:hAnsi="宋体"/>
          <w:b/>
          <w:bCs/>
          <w:szCs w:val="21"/>
        </w:rPr>
        <w:t>3.</w:t>
      </w:r>
      <w:r>
        <w:rPr>
          <w:rFonts w:hint="eastAsia" w:ascii="宋体" w:hAnsi="宋体"/>
          <w:b/>
          <w:bCs/>
          <w:szCs w:val="21"/>
        </w:rPr>
        <w:t>技术文件</w:t>
      </w:r>
      <w:r>
        <w:rPr>
          <w:rFonts w:hint="eastAsia" w:ascii="宋体" w:hAnsi="宋体"/>
          <w:b/>
          <w:szCs w:val="21"/>
        </w:rPr>
        <w:t>（</w:t>
      </w:r>
      <w:r>
        <w:rPr>
          <w:rFonts w:ascii="宋体" w:hAnsi="宋体"/>
          <w:b/>
          <w:szCs w:val="21"/>
        </w:rPr>
        <w:t>2-8</w:t>
      </w:r>
      <w:r>
        <w:rPr>
          <w:rFonts w:hint="eastAsia" w:ascii="宋体" w:hAnsi="宋体"/>
          <w:b/>
          <w:szCs w:val="21"/>
        </w:rPr>
        <w:t>项必须提供）：</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）对本项目系统总体要求的理解；</w:t>
      </w:r>
    </w:p>
    <w:p>
      <w:pPr>
        <w:keepNext/>
        <w:adjustRightInd w:val="0"/>
        <w:snapToGrid w:val="0"/>
        <w:spacing w:line="360" w:lineRule="exact"/>
        <w:ind w:firstLine="420" w:firstLineChars="200"/>
        <w:jc w:val="left"/>
        <w:rPr>
          <w:rFonts w:ascii="宋体"/>
          <w:b/>
          <w:szCs w:val="21"/>
        </w:rPr>
      </w:pPr>
      <w:r>
        <w:rPr>
          <w:rFonts w:hint="eastAsia" w:ascii="宋体" w:hAnsi="宋体"/>
          <w:szCs w:val="21"/>
        </w:rPr>
        <w:t>▲（</w:t>
      </w:r>
      <w:r>
        <w:rPr>
          <w:rFonts w:ascii="宋体" w:hAnsi="宋体"/>
          <w:szCs w:val="21"/>
        </w:rPr>
        <w:t>2</w:t>
      </w:r>
      <w:r>
        <w:rPr>
          <w:rFonts w:hint="eastAsia" w:ascii="宋体" w:hAnsi="宋体"/>
          <w:szCs w:val="21"/>
        </w:rPr>
        <w:t>）技术响应表</w:t>
      </w:r>
      <w:r>
        <w:rPr>
          <w:rFonts w:hint="eastAsia" w:ascii="宋体" w:hAnsi="宋体"/>
          <w:b/>
          <w:szCs w:val="21"/>
        </w:rPr>
        <w:t>。（必须提供）</w:t>
      </w:r>
    </w:p>
    <w:p>
      <w:pPr>
        <w:keepNext/>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）设备配置清单（均不含报价）</w:t>
      </w:r>
      <w:r>
        <w:rPr>
          <w:rFonts w:hint="eastAsia" w:ascii="宋体" w:hAnsi="宋体"/>
          <w:b/>
          <w:szCs w:val="21"/>
        </w:rPr>
        <w:t>。（必须提供）</w:t>
      </w:r>
    </w:p>
    <w:p>
      <w:pPr>
        <w:keepNext/>
        <w:snapToGrid w:val="0"/>
        <w:spacing w:line="360" w:lineRule="exact"/>
        <w:ind w:left="945" w:leftChars="200" w:hanging="525" w:hangingChars="25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）技术方案。</w:t>
      </w:r>
      <w:r>
        <w:rPr>
          <w:rFonts w:hint="eastAsia" w:ascii="宋体" w:hAnsi="宋体"/>
          <w:b/>
          <w:szCs w:val="21"/>
        </w:rPr>
        <w:t>（格式自拟，必须提供）</w:t>
      </w:r>
    </w:p>
    <w:p>
      <w:pPr>
        <w:keepNext/>
        <w:snapToGrid w:val="0"/>
        <w:spacing w:line="360" w:lineRule="exact"/>
        <w:ind w:left="945" w:leftChars="200" w:hanging="525" w:hangingChars="25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）投标人拥有主要装备和检测设施的情况、现状。（格式自拟</w:t>
      </w:r>
      <w:r>
        <w:rPr>
          <w:rFonts w:hint="eastAsia" w:ascii="宋体" w:hAnsi="宋体"/>
          <w:b/>
          <w:szCs w:val="21"/>
        </w:rPr>
        <w:t>，必须提供</w:t>
      </w:r>
      <w:r>
        <w:rPr>
          <w:rFonts w:hint="eastAsia" w:ascii="宋体" w:hAnsi="宋体"/>
          <w:szCs w:val="21"/>
        </w:rPr>
        <w:t>）</w:t>
      </w:r>
    </w:p>
    <w:p>
      <w:pPr>
        <w:keepNext/>
        <w:snapToGrid w:val="0"/>
        <w:spacing w:line="360" w:lineRule="exact"/>
        <w:ind w:left="5" w:firstLine="413" w:firstLineChars="197"/>
        <w:jc w:val="left"/>
        <w:rPr>
          <w:rFonts w:ascii="宋体"/>
          <w:b/>
          <w:szCs w:val="21"/>
        </w:rPr>
      </w:pPr>
      <w:r>
        <w:rPr>
          <w:rFonts w:hint="eastAsia" w:ascii="宋体" w:hAnsi="宋体"/>
          <w:szCs w:val="21"/>
        </w:rPr>
        <w:t>▲（</w:t>
      </w:r>
      <w:r>
        <w:rPr>
          <w:rFonts w:ascii="宋体" w:hAnsi="宋体"/>
          <w:szCs w:val="21"/>
        </w:rPr>
        <w:t>6</w:t>
      </w:r>
      <w:r>
        <w:rPr>
          <w:rFonts w:hint="eastAsia" w:ascii="宋体" w:hAnsi="宋体"/>
          <w:szCs w:val="21"/>
        </w:rPr>
        <w:t>）项目实施人员一览表（格式见第五章）</w:t>
      </w:r>
      <w:r>
        <w:rPr>
          <w:rFonts w:hint="eastAsia" w:ascii="宋体" w:hAnsi="宋体"/>
          <w:b/>
          <w:szCs w:val="21"/>
        </w:rPr>
        <w:t>。（必须提供）</w:t>
      </w:r>
    </w:p>
    <w:p>
      <w:pPr>
        <w:keepNext/>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7</w:t>
      </w:r>
      <w:r>
        <w:rPr>
          <w:rFonts w:hint="eastAsia" w:ascii="宋体" w:hAnsi="宋体"/>
          <w:szCs w:val="21"/>
        </w:rPr>
        <w:t>）售后服务承诺书。（格式自拟，</w:t>
      </w:r>
      <w:r>
        <w:rPr>
          <w:rFonts w:hint="eastAsia" w:ascii="宋体" w:hAnsi="宋体"/>
          <w:b/>
          <w:szCs w:val="21"/>
        </w:rPr>
        <w:t>必须提供</w:t>
      </w:r>
      <w:r>
        <w:rPr>
          <w:rFonts w:hint="eastAsia" w:ascii="宋体" w:hAnsi="宋体"/>
          <w:szCs w:val="21"/>
        </w:rPr>
        <w:t>）</w:t>
      </w:r>
    </w:p>
    <w:p>
      <w:pPr>
        <w:keepNext/>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8</w:t>
      </w:r>
      <w:r>
        <w:rPr>
          <w:rFonts w:hint="eastAsia" w:ascii="宋体" w:hAnsi="宋体"/>
          <w:szCs w:val="21"/>
        </w:rPr>
        <w:t>）产品质量保证书（格式见第五章）</w:t>
      </w:r>
      <w:r>
        <w:rPr>
          <w:rFonts w:hint="eastAsia" w:ascii="宋体" w:hAnsi="宋体"/>
          <w:b/>
          <w:szCs w:val="21"/>
        </w:rPr>
        <w:t>。（必须提供）</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9</w:t>
      </w:r>
      <w:r>
        <w:rPr>
          <w:rFonts w:hint="eastAsia" w:ascii="宋体" w:hAnsi="宋体"/>
          <w:szCs w:val="21"/>
        </w:rPr>
        <w:t>）产品出厂标准、质量检测报告。</w:t>
      </w:r>
    </w:p>
    <w:p>
      <w:pPr>
        <w:keepNext/>
        <w:tabs>
          <w:tab w:val="left" w:pos="280"/>
        </w:tabs>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10</w:t>
      </w:r>
      <w:r>
        <w:rPr>
          <w:rFonts w:hint="eastAsia" w:ascii="宋体" w:hAnsi="宋体"/>
          <w:szCs w:val="21"/>
        </w:rPr>
        <w:t>）原厂出厂配置表及原厂中文使用说明书。</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11</w:t>
      </w:r>
      <w:r>
        <w:rPr>
          <w:rFonts w:hint="eastAsia" w:ascii="宋体" w:hAnsi="宋体"/>
          <w:szCs w:val="21"/>
        </w:rPr>
        <w:t>）优惠条件：投标人承诺给予招标人的各种优惠条件。</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12</w:t>
      </w:r>
      <w:r>
        <w:rPr>
          <w:rFonts w:hint="eastAsia" w:ascii="宋体" w:hAnsi="宋体"/>
          <w:szCs w:val="21"/>
        </w:rPr>
        <w:t>）投标人对本项目的合理化建议和改进措施。</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13</w:t>
      </w:r>
      <w:r>
        <w:rPr>
          <w:rFonts w:hint="eastAsia" w:ascii="宋体" w:hAnsi="宋体"/>
          <w:szCs w:val="21"/>
        </w:rPr>
        <w:t>）投标人需要说明的其他文件和说明。</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14</w:t>
      </w:r>
      <w:r>
        <w:rPr>
          <w:rFonts w:hint="eastAsia" w:ascii="宋体" w:hAnsi="宋体"/>
          <w:szCs w:val="21"/>
        </w:rPr>
        <w:t>）第二章采购需求中要求必须提供的材料（如有要求则必须提供）。</w:t>
      </w:r>
    </w:p>
    <w:p>
      <w:pPr>
        <w:keepNext/>
        <w:adjustRightInd w:val="0"/>
        <w:snapToGrid w:val="0"/>
        <w:spacing w:line="360" w:lineRule="exact"/>
        <w:ind w:firstLine="422" w:firstLineChars="200"/>
        <w:jc w:val="left"/>
        <w:rPr>
          <w:rFonts w:ascii="宋体"/>
          <w:b/>
          <w:szCs w:val="21"/>
        </w:rPr>
      </w:pPr>
      <w:r>
        <w:rPr>
          <w:rFonts w:ascii="宋体" w:hAnsi="宋体"/>
          <w:b/>
          <w:szCs w:val="21"/>
        </w:rPr>
        <w:t>4.</w:t>
      </w:r>
      <w:r>
        <w:rPr>
          <w:rFonts w:hint="eastAsia" w:ascii="宋体" w:hAnsi="宋体"/>
          <w:b/>
          <w:szCs w:val="21"/>
        </w:rPr>
        <w:t>商务文件（</w:t>
      </w:r>
      <w:r>
        <w:rPr>
          <w:rFonts w:ascii="宋体" w:hAnsi="宋体"/>
          <w:b/>
          <w:szCs w:val="21"/>
        </w:rPr>
        <w:t>1-2</w:t>
      </w:r>
      <w:r>
        <w:rPr>
          <w:rFonts w:hint="eastAsia" w:ascii="宋体" w:hAnsi="宋体"/>
          <w:b/>
          <w:szCs w:val="21"/>
        </w:rPr>
        <w:t>项必须提供）：</w:t>
      </w:r>
    </w:p>
    <w:p>
      <w:pPr>
        <w:keepNext/>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）投标声明书</w:t>
      </w:r>
      <w:r>
        <w:rPr>
          <w:rFonts w:ascii="宋体" w:hAnsi="宋体"/>
          <w:szCs w:val="21"/>
        </w:rPr>
        <w:t xml:space="preserve"> (</w:t>
      </w:r>
      <w:r>
        <w:rPr>
          <w:rFonts w:hint="eastAsia" w:ascii="宋体" w:hAnsi="宋体"/>
          <w:szCs w:val="21"/>
        </w:rPr>
        <w:t>格式见第五章）</w:t>
      </w:r>
      <w:r>
        <w:rPr>
          <w:rFonts w:hint="eastAsia" w:ascii="宋体" w:hAnsi="宋体"/>
          <w:b/>
          <w:szCs w:val="21"/>
        </w:rPr>
        <w:t>。（必须提供）</w:t>
      </w:r>
    </w:p>
    <w:p>
      <w:pPr>
        <w:keepNext/>
        <w:tabs>
          <w:tab w:val="left" w:pos="1276"/>
          <w:tab w:val="left" w:pos="3870"/>
          <w:tab w:val="left" w:pos="4085"/>
        </w:tabs>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）商务响应表（格式见第五章）</w:t>
      </w:r>
      <w:r>
        <w:rPr>
          <w:rFonts w:hint="eastAsia" w:ascii="宋体" w:hAnsi="宋体"/>
          <w:b/>
          <w:szCs w:val="21"/>
        </w:rPr>
        <w:t>。（必须提供）</w:t>
      </w:r>
    </w:p>
    <w:p>
      <w:pPr>
        <w:keepNext/>
        <w:tabs>
          <w:tab w:val="left" w:pos="1276"/>
          <w:tab w:val="left" w:pos="3870"/>
          <w:tab w:val="left" w:pos="4085"/>
        </w:tabs>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201</w:t>
      </w:r>
      <w:r>
        <w:rPr>
          <w:rFonts w:hint="eastAsia" w:ascii="宋体" w:hAnsi="宋体"/>
          <w:szCs w:val="21"/>
        </w:rPr>
        <w:t>8年1月</w:t>
      </w:r>
      <w:r>
        <w:rPr>
          <w:rFonts w:ascii="宋体" w:hAnsi="宋体"/>
          <w:szCs w:val="21"/>
        </w:rPr>
        <w:t>1</w:t>
      </w:r>
      <w:r>
        <w:rPr>
          <w:rFonts w:hint="eastAsia" w:ascii="宋体" w:hAnsi="宋体"/>
          <w:szCs w:val="21"/>
        </w:rPr>
        <w:t>日以来投标人类似案例成功的经验证明材料。</w:t>
      </w:r>
    </w:p>
    <w:p>
      <w:pPr>
        <w:keepNext/>
        <w:tabs>
          <w:tab w:val="left" w:pos="3870"/>
          <w:tab w:val="left" w:pos="4085"/>
        </w:tabs>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）中小企业、</w:t>
      </w:r>
      <w:r>
        <w:rPr>
          <w:rFonts w:hint="eastAsia" w:ascii="宋体" w:hAnsi="宋体" w:cs="仿宋_GB2312"/>
          <w:szCs w:val="21"/>
        </w:rPr>
        <w:t>监狱企业、</w:t>
      </w:r>
      <w:r>
        <w:rPr>
          <w:rFonts w:hint="eastAsia" w:hAnsi="宋体"/>
          <w:bCs/>
        </w:rPr>
        <w:t>残疾人福利性单位声明函等</w:t>
      </w:r>
      <w:r>
        <w:rPr>
          <w:rFonts w:hint="eastAsia" w:ascii="宋体" w:hAnsi="宋体"/>
          <w:szCs w:val="21"/>
        </w:rPr>
        <w:t>。</w:t>
      </w:r>
    </w:p>
    <w:p>
      <w:pPr>
        <w:keepNext/>
        <w:adjustRightInd w:val="0"/>
        <w:snapToGrid w:val="0"/>
        <w:spacing w:line="360" w:lineRule="exact"/>
        <w:ind w:firstLine="630" w:firstLineChars="300"/>
        <w:jc w:val="left"/>
        <w:rPr>
          <w:rFonts w:ascii="宋体"/>
          <w:b/>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cs="仿宋_GB2312"/>
          <w:szCs w:val="21"/>
        </w:rPr>
        <w:t>生产厂家的委托代理授权书</w:t>
      </w:r>
      <w:r>
        <w:rPr>
          <w:rFonts w:hint="eastAsia" w:ascii="宋体" w:hAnsi="宋体"/>
          <w:szCs w:val="21"/>
        </w:rPr>
        <w:t>、产品代理资格证明文件复印件</w:t>
      </w:r>
      <w:r>
        <w:rPr>
          <w:rFonts w:hint="eastAsia" w:ascii="宋体" w:hAnsi="宋体"/>
          <w:b/>
          <w:szCs w:val="21"/>
        </w:rPr>
        <w:t>。</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）节能环保等方面的证明。</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7</w:t>
      </w:r>
      <w:r>
        <w:rPr>
          <w:rFonts w:hint="eastAsia" w:ascii="宋体" w:hAnsi="宋体"/>
          <w:szCs w:val="21"/>
        </w:rPr>
        <w:t>）投标人质量管理和质量保证体系等方面的认证证书。</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8</w:t>
      </w:r>
      <w:r>
        <w:rPr>
          <w:rFonts w:hint="eastAsia" w:ascii="宋体" w:hAnsi="宋体"/>
          <w:szCs w:val="21"/>
        </w:rPr>
        <w:t>）投标人认为可以证明其能力或经验的其他材料。</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9</w:t>
      </w:r>
      <w:r>
        <w:rPr>
          <w:rFonts w:hint="eastAsia" w:ascii="宋体" w:hAnsi="宋体"/>
          <w:szCs w:val="21"/>
        </w:rPr>
        <w:t>）投标人关于产品生产时间、升级或者更新淘汰计划、配件供应以及本单位债务纠纷、违法违规记录等方面的情况（内容见投标声明书）。</w:t>
      </w:r>
    </w:p>
    <w:p>
      <w:pPr>
        <w:keepNext/>
        <w:adjustRightInd w:val="0"/>
        <w:snapToGrid w:val="0"/>
        <w:spacing w:line="360" w:lineRule="exact"/>
        <w:ind w:firstLine="630" w:firstLineChars="300"/>
        <w:jc w:val="left"/>
        <w:rPr>
          <w:rFonts w:ascii="宋体"/>
          <w:szCs w:val="21"/>
        </w:rPr>
      </w:pPr>
      <w:r>
        <w:rPr>
          <w:rFonts w:hint="eastAsia" w:ascii="宋体" w:hAnsi="宋体"/>
          <w:szCs w:val="21"/>
        </w:rPr>
        <w:t>（</w:t>
      </w:r>
      <w:r>
        <w:rPr>
          <w:rFonts w:ascii="宋体" w:hAnsi="宋体"/>
          <w:szCs w:val="21"/>
        </w:rPr>
        <w:t>1</w:t>
      </w:r>
      <w:r>
        <w:rPr>
          <w:rFonts w:ascii="宋体"/>
          <w:szCs w:val="21"/>
        </w:rPr>
        <w:t>0</w:t>
      </w:r>
      <w:r>
        <w:rPr>
          <w:rFonts w:hint="eastAsia" w:ascii="宋体" w:hAnsi="宋体"/>
          <w:szCs w:val="21"/>
        </w:rPr>
        <w:t>）投标人情况介绍。</w:t>
      </w:r>
    </w:p>
    <w:p>
      <w:pPr>
        <w:pStyle w:val="31"/>
        <w:keepNext/>
        <w:adjustRightInd w:val="0"/>
        <w:snapToGrid w:val="0"/>
        <w:spacing w:line="360" w:lineRule="exact"/>
        <w:ind w:firstLine="420" w:firstLineChars="200"/>
        <w:jc w:val="left"/>
        <w:rPr>
          <w:rFonts w:hAnsi="宋体"/>
          <w:b/>
        </w:rPr>
      </w:pPr>
      <w:r>
        <w:rPr>
          <w:rFonts w:hint="eastAsia" w:hAnsi="宋体"/>
          <w:szCs w:val="21"/>
        </w:rPr>
        <w:t>▲</w:t>
      </w:r>
      <w:r>
        <w:rPr>
          <w:rFonts w:hint="eastAsia" w:hAnsi="宋体"/>
          <w:b/>
        </w:rPr>
        <w:t>特别说明：</w:t>
      </w:r>
    </w:p>
    <w:p>
      <w:pPr>
        <w:pStyle w:val="31"/>
        <w:keepNext/>
        <w:adjustRightInd w:val="0"/>
        <w:snapToGrid w:val="0"/>
        <w:spacing w:line="360" w:lineRule="exact"/>
        <w:ind w:firstLine="422" w:firstLineChars="200"/>
        <w:jc w:val="left"/>
        <w:rPr>
          <w:rFonts w:hAnsi="宋体"/>
          <w:b/>
          <w:u w:val="single"/>
        </w:rPr>
      </w:pPr>
      <w:r>
        <w:rPr>
          <w:rFonts w:hint="eastAsia" w:hAnsi="宋体"/>
          <w:b/>
        </w:rPr>
        <w:t>①</w:t>
      </w:r>
      <w:r>
        <w:rPr>
          <w:rFonts w:hint="eastAsia" w:hAnsi="宋体"/>
          <w:b/>
          <w:u w:val="single"/>
        </w:rPr>
        <w:t>电子投标文件中所须加盖公章部分均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p>
      <w:pPr>
        <w:pStyle w:val="49"/>
        <w:keepNext/>
        <w:adjustRightInd w:val="0"/>
        <w:snapToGrid w:val="0"/>
        <w:spacing w:line="360" w:lineRule="exact"/>
        <w:ind w:firstLine="422" w:firstLineChars="200"/>
        <w:jc w:val="both"/>
        <w:rPr>
          <w:rFonts w:ascii="宋体"/>
          <w:szCs w:val="21"/>
          <w:u w:val="single"/>
        </w:rPr>
      </w:pPr>
      <w:r>
        <w:rPr>
          <w:rFonts w:hint="eastAsia" w:ascii="宋体" w:hAnsi="宋体"/>
          <w:szCs w:val="21"/>
          <w:u w:val="single"/>
        </w:rPr>
        <w:t>②招标文件要求在投标文件中“必须提供”的证明等材料，投标人必须全部提供，缺一不可，否则按投标无效处理。</w:t>
      </w:r>
    </w:p>
    <w:p>
      <w:pPr>
        <w:keepNext/>
        <w:snapToGrid w:val="0"/>
        <w:spacing w:line="360" w:lineRule="exact"/>
        <w:ind w:firstLine="422" w:firstLineChars="200"/>
        <w:jc w:val="left"/>
        <w:rPr>
          <w:rFonts w:ascii="宋体"/>
          <w:b/>
          <w:szCs w:val="21"/>
          <w:u w:val="single"/>
        </w:rPr>
      </w:pPr>
      <w:bookmarkStart w:id="55" w:name="_Toc254970678"/>
      <w:bookmarkStart w:id="56" w:name="_Toc254970537"/>
      <w:r>
        <w:rPr>
          <w:rFonts w:hint="eastAsia" w:ascii="宋体" w:hAnsi="宋体"/>
          <w:b/>
          <w:u w:val="single"/>
        </w:rPr>
        <w:t>③招标文件要求法定代表人（负责人）或委托代理人签名的，必须由其本人签名，不得代签，不得用签名章或其他印章代替，否则按</w:t>
      </w:r>
      <w:r>
        <w:rPr>
          <w:rFonts w:hint="eastAsia" w:ascii="宋体" w:hAnsi="宋体"/>
          <w:b/>
          <w:szCs w:val="21"/>
          <w:u w:val="single"/>
        </w:rPr>
        <w:t>投标</w:t>
      </w:r>
      <w:r>
        <w:rPr>
          <w:rFonts w:hint="eastAsia" w:ascii="宋体" w:hAnsi="宋体"/>
          <w:b/>
          <w:u w:val="single"/>
        </w:rPr>
        <w:t>无效处理。</w:t>
      </w:r>
    </w:p>
    <w:p>
      <w:pPr>
        <w:keepNext/>
        <w:adjustRightInd w:val="0"/>
        <w:snapToGrid w:val="0"/>
        <w:spacing w:line="360" w:lineRule="exact"/>
        <w:jc w:val="left"/>
        <w:outlineLvl w:val="0"/>
        <w:rPr>
          <w:rFonts w:ascii="宋体"/>
          <w:b/>
          <w:szCs w:val="21"/>
        </w:rPr>
      </w:pPr>
      <w:r>
        <w:rPr>
          <w:rFonts w:hint="eastAsia" w:ascii="宋体" w:hAnsi="宋体"/>
          <w:b/>
          <w:szCs w:val="21"/>
        </w:rPr>
        <w:t>（二）投标文件的语言及计量</w:t>
      </w:r>
      <w:bookmarkEnd w:id="55"/>
      <w:bookmarkEnd w:id="56"/>
    </w:p>
    <w:p>
      <w:pPr>
        <w:keepNext/>
        <w:adjustRightInd w:val="0"/>
        <w:snapToGrid w:val="0"/>
        <w:spacing w:line="360" w:lineRule="exact"/>
        <w:ind w:firstLine="420" w:firstLineChars="200"/>
        <w:jc w:val="left"/>
        <w:rPr>
          <w:rFonts w:ascii="宋体"/>
          <w:szCs w:val="21"/>
        </w:rPr>
      </w:pPr>
      <w:r>
        <w:rPr>
          <w:rFonts w:ascii="宋体" w:hAnsi="宋体"/>
          <w:szCs w:val="21"/>
        </w:rPr>
        <w:t>1.</w:t>
      </w:r>
      <w:r>
        <w:rPr>
          <w:rFonts w:hint="eastAsia" w:ascii="宋体" w:hAnsi="宋体"/>
          <w:szCs w:val="21"/>
        </w:rPr>
        <w:t>投标文件以及投标方与招标方就有关投标事宜的所有来往函电，均应以中文汉语书写。除签名、盖章、专用名称等特殊情形外，以中文汉语以外的文字表述的投标文件视同未提供。</w:t>
      </w:r>
    </w:p>
    <w:p>
      <w:pPr>
        <w:keepNext/>
        <w:adjustRightInd w:val="0"/>
        <w:snapToGrid w:val="0"/>
        <w:spacing w:line="360" w:lineRule="exact"/>
        <w:ind w:firstLine="420" w:firstLineChars="200"/>
        <w:jc w:val="left"/>
        <w:rPr>
          <w:rFonts w:ascii="宋体"/>
          <w:szCs w:val="21"/>
        </w:rPr>
      </w:pPr>
      <w:r>
        <w:rPr>
          <w:rFonts w:ascii="宋体" w:hAnsi="宋体"/>
          <w:szCs w:val="21"/>
        </w:rPr>
        <w:t>2.</w:t>
      </w:r>
      <w:r>
        <w:rPr>
          <w:rFonts w:hint="eastAsia" w:ascii="宋体" w:hAnsi="宋体"/>
          <w:szCs w:val="21"/>
        </w:rPr>
        <w:t>投标计量单位，招标文件已有明确规定的，使用招标文件规定的计量单位；招标文件没有规定的，应采用中华人民共和国法定计量单位（货币单位：人民币元），否则视同未响应。</w:t>
      </w:r>
    </w:p>
    <w:p>
      <w:pPr>
        <w:keepNext/>
        <w:adjustRightInd w:val="0"/>
        <w:snapToGrid w:val="0"/>
        <w:spacing w:line="360" w:lineRule="exact"/>
        <w:jc w:val="left"/>
        <w:outlineLvl w:val="0"/>
        <w:rPr>
          <w:rFonts w:ascii="宋体"/>
          <w:b/>
          <w:szCs w:val="21"/>
        </w:rPr>
      </w:pPr>
      <w:bookmarkStart w:id="57" w:name="_Toc254970538"/>
      <w:bookmarkStart w:id="58" w:name="_Toc254970679"/>
      <w:r>
        <w:rPr>
          <w:rFonts w:hint="eastAsia" w:ascii="宋体" w:hAnsi="宋体"/>
          <w:b/>
          <w:szCs w:val="21"/>
        </w:rPr>
        <w:t>（三）投标报价</w:t>
      </w:r>
      <w:bookmarkEnd w:id="57"/>
      <w:bookmarkEnd w:id="58"/>
    </w:p>
    <w:p>
      <w:pPr>
        <w:pStyle w:val="31"/>
        <w:keepNext/>
        <w:adjustRightInd w:val="0"/>
        <w:snapToGrid w:val="0"/>
        <w:spacing w:line="360" w:lineRule="exact"/>
        <w:ind w:firstLine="420" w:firstLineChars="200"/>
        <w:jc w:val="left"/>
        <w:rPr>
          <w:rFonts w:hAnsi="宋体"/>
        </w:rPr>
      </w:pPr>
      <w:r>
        <w:rPr>
          <w:rFonts w:hAnsi="宋体"/>
        </w:rPr>
        <w:t>1.</w:t>
      </w:r>
      <w:r>
        <w:rPr>
          <w:rFonts w:hint="eastAsia" w:hAnsi="宋体"/>
        </w:rPr>
        <w:t>投标人可就《项目需求和说明》中的货物和服务内容作完整唯一报价。对不同文字文本投标文件的解释发生异议的，以中文文本为准。如果投标人不接受对其错误的更正，其投标报价无效。</w:t>
      </w:r>
    </w:p>
    <w:p>
      <w:pPr>
        <w:pStyle w:val="31"/>
        <w:keepNext/>
        <w:adjustRightInd w:val="0"/>
        <w:snapToGrid w:val="0"/>
        <w:spacing w:line="360" w:lineRule="exact"/>
        <w:ind w:firstLine="420" w:firstLineChars="200"/>
        <w:jc w:val="left"/>
        <w:rPr>
          <w:rFonts w:hAnsi="宋体"/>
        </w:rPr>
      </w:pPr>
      <w:r>
        <w:rPr>
          <w:rFonts w:hAnsi="宋体"/>
        </w:rPr>
        <w:t>2.</w:t>
      </w:r>
      <w:r>
        <w:rPr>
          <w:rFonts w:hint="eastAsia" w:hAnsi="宋体"/>
        </w:rPr>
        <w:t>投标报价是履行合同的最终价格，包括内容见第二章。</w:t>
      </w:r>
    </w:p>
    <w:p>
      <w:pPr>
        <w:pStyle w:val="31"/>
        <w:keepNext/>
        <w:adjustRightInd w:val="0"/>
        <w:snapToGrid w:val="0"/>
        <w:spacing w:line="360" w:lineRule="exact"/>
        <w:ind w:firstLine="420" w:firstLineChars="200"/>
        <w:jc w:val="left"/>
        <w:rPr>
          <w:rFonts w:hAnsi="宋体"/>
        </w:rPr>
      </w:pPr>
      <w:r>
        <w:rPr>
          <w:rFonts w:hAnsi="宋体"/>
        </w:rPr>
        <w:t>3.</w:t>
      </w:r>
      <w:r>
        <w:rPr>
          <w:rFonts w:hint="eastAsia" w:hAnsi="宋体"/>
        </w:rPr>
        <w:t>投标文件的各项只允许有一个报价，漏项报价的或有选择的或有条件的报价，其投标将视为无效。</w:t>
      </w:r>
    </w:p>
    <w:p>
      <w:pPr>
        <w:pStyle w:val="31"/>
        <w:keepNext/>
        <w:adjustRightInd w:val="0"/>
        <w:snapToGrid w:val="0"/>
        <w:spacing w:line="360" w:lineRule="exact"/>
        <w:jc w:val="left"/>
        <w:rPr>
          <w:rFonts w:hAnsi="宋体"/>
          <w:b/>
        </w:rPr>
      </w:pPr>
      <w:r>
        <w:rPr>
          <w:rFonts w:hint="eastAsia" w:hAnsi="宋体"/>
          <w:b/>
        </w:rPr>
        <w:t>（四）投标文件的有效期</w:t>
      </w:r>
    </w:p>
    <w:p>
      <w:pPr>
        <w:pStyle w:val="31"/>
        <w:keepNext/>
        <w:adjustRightInd w:val="0"/>
        <w:snapToGrid w:val="0"/>
        <w:spacing w:line="360" w:lineRule="exact"/>
        <w:ind w:firstLine="420" w:firstLineChars="200"/>
        <w:jc w:val="left"/>
        <w:rPr>
          <w:rFonts w:hAnsi="宋体"/>
        </w:rPr>
      </w:pPr>
      <w:r>
        <w:rPr>
          <w:rFonts w:hAnsi="宋体"/>
        </w:rPr>
        <w:t>1.</w:t>
      </w:r>
      <w:r>
        <w:rPr>
          <w:rFonts w:hint="eastAsia" w:hAnsi="宋体"/>
        </w:rPr>
        <w:t>自投标文件递交截止之日起六十日内投标文件应保持有效，有效期不足的投标文件将被拒绝。</w:t>
      </w:r>
    </w:p>
    <w:p>
      <w:pPr>
        <w:pStyle w:val="31"/>
        <w:keepNext/>
        <w:adjustRightInd w:val="0"/>
        <w:snapToGrid w:val="0"/>
        <w:spacing w:line="360" w:lineRule="exact"/>
        <w:ind w:firstLine="420" w:firstLineChars="200"/>
        <w:jc w:val="left"/>
        <w:rPr>
          <w:rFonts w:hAnsi="宋体"/>
        </w:rPr>
      </w:pPr>
      <w:r>
        <w:rPr>
          <w:rFonts w:hAnsi="宋体"/>
        </w:rPr>
        <w:t>2.</w:t>
      </w:r>
      <w:r>
        <w:rPr>
          <w:rFonts w:hint="eastAsia" w:hAnsi="宋体"/>
        </w:rPr>
        <w:t>在特殊情况下，招标人可与投标人协商延长投标文件的有效期，这种要求和答复均以书面形式进行。</w:t>
      </w:r>
    </w:p>
    <w:p>
      <w:pPr>
        <w:pStyle w:val="31"/>
        <w:keepNext/>
        <w:adjustRightInd w:val="0"/>
        <w:snapToGrid w:val="0"/>
        <w:spacing w:line="360" w:lineRule="exact"/>
        <w:ind w:firstLine="420" w:firstLineChars="200"/>
        <w:jc w:val="left"/>
        <w:rPr>
          <w:rFonts w:hAnsi="宋体"/>
        </w:rPr>
      </w:pPr>
      <w:bookmarkStart w:id="59" w:name="_Toc254970680"/>
      <w:bookmarkStart w:id="60" w:name="_Toc254970539"/>
      <w:r>
        <w:rPr>
          <w:rFonts w:hAnsi="宋体"/>
        </w:rPr>
        <w:t>3.</w:t>
      </w:r>
      <w:r>
        <w:rPr>
          <w:rFonts w:hint="eastAsia" w:hAnsi="宋体"/>
        </w:rPr>
        <w:t>投标人可拒绝接受延期要求。</w:t>
      </w:r>
      <w:bookmarkEnd w:id="59"/>
      <w:bookmarkEnd w:id="60"/>
      <w:bookmarkStart w:id="61" w:name="_Toc254970540"/>
      <w:bookmarkStart w:id="62" w:name="_Toc254970681"/>
    </w:p>
    <w:p>
      <w:pPr>
        <w:pStyle w:val="31"/>
        <w:keepNext/>
        <w:adjustRightInd w:val="0"/>
        <w:snapToGrid w:val="0"/>
        <w:spacing w:line="360" w:lineRule="exact"/>
        <w:ind w:firstLine="420" w:firstLineChars="200"/>
        <w:jc w:val="left"/>
        <w:rPr>
          <w:rFonts w:hAnsi="宋体"/>
        </w:rPr>
      </w:pPr>
      <w:r>
        <w:rPr>
          <w:rFonts w:hAnsi="宋体"/>
        </w:rPr>
        <w:t>4.</w:t>
      </w:r>
      <w:r>
        <w:rPr>
          <w:rFonts w:hint="eastAsia" w:hAnsi="宋体"/>
        </w:rPr>
        <w:t>中标供应商的投标文件自开标之日起至合同履行完毕止均应保持有效。</w:t>
      </w:r>
      <w:bookmarkEnd w:id="61"/>
      <w:bookmarkEnd w:id="62"/>
    </w:p>
    <w:p>
      <w:pPr>
        <w:pStyle w:val="31"/>
        <w:keepNext/>
        <w:adjustRightInd w:val="0"/>
        <w:snapToGrid w:val="0"/>
        <w:spacing w:line="360" w:lineRule="exact"/>
        <w:jc w:val="left"/>
        <w:rPr>
          <w:rFonts w:hAnsi="宋体"/>
          <w:b/>
        </w:rPr>
      </w:pPr>
      <w:bookmarkStart w:id="63" w:name="_Toc254970682"/>
      <w:bookmarkStart w:id="64" w:name="_Toc254970541"/>
      <w:r>
        <w:rPr>
          <w:rFonts w:hint="eastAsia" w:hAnsi="宋体"/>
          <w:b/>
        </w:rPr>
        <w:t>（五）</w:t>
      </w:r>
      <w:bookmarkEnd w:id="63"/>
      <w:bookmarkEnd w:id="64"/>
      <w:r>
        <w:rPr>
          <w:rFonts w:hint="eastAsia" w:hAnsi="宋体"/>
          <w:b/>
        </w:rPr>
        <w:t>诚信承诺</w:t>
      </w:r>
    </w:p>
    <w:p>
      <w:pPr>
        <w:pStyle w:val="31"/>
        <w:keepNext/>
        <w:adjustRightInd w:val="0"/>
        <w:snapToGrid w:val="0"/>
        <w:spacing w:line="360" w:lineRule="exact"/>
        <w:ind w:firstLine="420" w:firstLineChars="200"/>
        <w:rPr>
          <w:rFonts w:hAnsi="宋体"/>
          <w:b/>
        </w:rPr>
      </w:pPr>
      <w:r>
        <w:rPr>
          <w:rFonts w:hAnsi="宋体"/>
        </w:rPr>
        <w:t>1</w:t>
      </w:r>
      <w:r>
        <w:rPr>
          <w:rFonts w:hint="eastAsia" w:hAnsi="宋体"/>
        </w:rPr>
        <w:t>.投标人于</w:t>
      </w:r>
      <w:r>
        <w:rPr>
          <w:rFonts w:hint="eastAsia" w:hAnsi="宋体"/>
          <w:b/>
          <w:bCs/>
        </w:rPr>
        <w:t>提交投标文件截止时间</w:t>
      </w:r>
      <w:r>
        <w:rPr>
          <w:rFonts w:hint="eastAsia" w:hAnsi="宋体"/>
        </w:rPr>
        <w:t>前将《诚信记录良好承诺函》盖章扫描</w:t>
      </w:r>
      <w:r>
        <w:rPr>
          <w:rFonts w:hint="eastAsia" w:hAnsi="宋体"/>
          <w:b/>
          <w:bCs/>
        </w:rPr>
        <w:t>发至招标代理机构的邮箱</w:t>
      </w:r>
      <w:r>
        <w:rPr>
          <w:rFonts w:hAnsi="宋体"/>
          <w:b/>
          <w:bCs/>
        </w:rPr>
        <w:t>945048556@qq.com</w:t>
      </w:r>
      <w:r>
        <w:rPr>
          <w:rFonts w:hint="eastAsia" w:hAnsi="宋体"/>
        </w:rPr>
        <w:t>，并将《诚信记录良好承诺函》附于投标文件中。</w:t>
      </w:r>
    </w:p>
    <w:p>
      <w:pPr>
        <w:pStyle w:val="31"/>
        <w:keepNext/>
        <w:adjustRightInd w:val="0"/>
        <w:snapToGrid w:val="0"/>
        <w:spacing w:line="360" w:lineRule="exact"/>
        <w:jc w:val="left"/>
        <w:rPr>
          <w:rFonts w:hAnsi="宋体"/>
          <w:b/>
        </w:rPr>
      </w:pPr>
      <w:r>
        <w:rPr>
          <w:rFonts w:hint="eastAsia" w:hAnsi="宋体"/>
          <w:b/>
        </w:rPr>
        <w:t>（六）投标文件的装订和签署</w:t>
      </w:r>
    </w:p>
    <w:p>
      <w:pPr>
        <w:pStyle w:val="31"/>
        <w:keepNext/>
        <w:adjustRightInd w:val="0"/>
        <w:snapToGrid w:val="0"/>
        <w:spacing w:line="360" w:lineRule="exact"/>
        <w:ind w:firstLine="420" w:firstLineChars="200"/>
        <w:jc w:val="left"/>
        <w:rPr>
          <w:rFonts w:hAnsi="宋体"/>
        </w:rPr>
      </w:pPr>
      <w:r>
        <w:rPr>
          <w:rFonts w:hAnsi="宋体"/>
        </w:rPr>
        <w:t>1.</w:t>
      </w:r>
      <w:r>
        <w:rPr>
          <w:rFonts w:hint="eastAsia" w:hAnsi="宋体"/>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pPr>
        <w:pStyle w:val="31"/>
        <w:keepNext/>
        <w:adjustRightInd w:val="0"/>
        <w:snapToGrid w:val="0"/>
        <w:spacing w:line="360" w:lineRule="exact"/>
        <w:ind w:firstLine="420" w:firstLineChars="200"/>
        <w:jc w:val="left"/>
        <w:rPr>
          <w:rFonts w:hAnsi="宋体"/>
          <w:bCs/>
          <w:szCs w:val="21"/>
        </w:rPr>
      </w:pPr>
      <w:r>
        <w:rPr>
          <w:rFonts w:hAnsi="宋体"/>
        </w:rPr>
        <w:t>2.</w:t>
      </w:r>
      <w:r>
        <w:rPr>
          <w:rFonts w:hint="eastAsia" w:hAnsi="宋体"/>
          <w:b/>
          <w:bCs/>
        </w:rPr>
        <w:t>电子投标文件中须加盖投标人公章部分均采用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投标文件被误读、 漏读，或者在按招标文件规定的部位查找不到相关内容的，由投标人自行承担。</w:t>
      </w:r>
    </w:p>
    <w:p>
      <w:pPr>
        <w:keepNext/>
        <w:adjustRightInd w:val="0"/>
        <w:snapToGrid w:val="0"/>
        <w:spacing w:line="360" w:lineRule="exact"/>
        <w:ind w:firstLine="420" w:firstLineChars="200"/>
        <w:jc w:val="left"/>
        <w:rPr>
          <w:rFonts w:ascii="宋体"/>
          <w:b/>
          <w:bCs/>
          <w:szCs w:val="21"/>
        </w:rPr>
      </w:pPr>
      <w:r>
        <w:rPr>
          <w:rFonts w:ascii="宋体" w:hAnsi="宋体"/>
          <w:szCs w:val="21"/>
        </w:rPr>
        <w:t>3.</w:t>
      </w:r>
      <w:r>
        <w:rPr>
          <w:rFonts w:hint="eastAsia" w:ascii="宋体" w:hAnsi="宋体"/>
          <w:b/>
          <w:bCs/>
          <w:szCs w:val="21"/>
        </w:rPr>
        <w:t>CA 签章上目前没有法定代表人（负责人）或授权代表签字信息，</w:t>
      </w:r>
      <w:r>
        <w:rPr>
          <w:rFonts w:hint="eastAsia" w:hAnsi="宋体"/>
          <w:b/>
          <w:bCs/>
        </w:rPr>
        <w:t>投标人</w:t>
      </w:r>
      <w:r>
        <w:rPr>
          <w:rFonts w:hint="eastAsia" w:ascii="宋体" w:hAnsi="宋体"/>
          <w:b/>
          <w:bCs/>
          <w:szCs w:val="21"/>
        </w:rPr>
        <w:t>在投标文件中涉及到签字的位置线下签好字然后扫描或者拍照做成PDF的格式亦可。投标文件中涉及到签字的位置未按要求签字的，提供的材料视为无效。</w:t>
      </w:r>
    </w:p>
    <w:p>
      <w:pPr>
        <w:keepNext/>
        <w:adjustRightInd w:val="0"/>
        <w:snapToGrid w:val="0"/>
        <w:spacing w:line="360" w:lineRule="exact"/>
        <w:ind w:firstLine="420" w:firstLineChars="200"/>
        <w:jc w:val="left"/>
        <w:rPr>
          <w:rFonts w:ascii="宋体"/>
          <w:szCs w:val="21"/>
        </w:rPr>
      </w:pPr>
      <w:r>
        <w:rPr>
          <w:rFonts w:ascii="宋体" w:hAnsi="宋体"/>
          <w:szCs w:val="21"/>
        </w:rPr>
        <w:t>4.</w:t>
      </w:r>
      <w:r>
        <w:rPr>
          <w:rFonts w:hint="eastAsia" w:ascii="宋体" w:hAnsi="宋体"/>
          <w:szCs w:val="21"/>
        </w:rPr>
        <w:t>投标文件须由投标人在规定位置盖章并由法定代表人（负责人）或法定代表人（负责人）的授权委托人签署，投标人应写全称。</w:t>
      </w:r>
    </w:p>
    <w:p>
      <w:pPr>
        <w:keepNext/>
        <w:adjustRightInd w:val="0"/>
        <w:snapToGrid w:val="0"/>
        <w:spacing w:line="360" w:lineRule="exact"/>
        <w:ind w:firstLine="420" w:firstLineChars="200"/>
        <w:jc w:val="left"/>
        <w:rPr>
          <w:rFonts w:ascii="宋体"/>
          <w:szCs w:val="21"/>
        </w:rPr>
      </w:pPr>
      <w:r>
        <w:rPr>
          <w:rFonts w:ascii="宋体" w:hAnsi="宋体"/>
          <w:szCs w:val="21"/>
        </w:rPr>
        <w:t>5.</w:t>
      </w:r>
      <w:r>
        <w:rPr>
          <w:rFonts w:hint="eastAsia" w:ascii="宋体" w:hAnsi="宋体"/>
          <w:szCs w:val="21"/>
        </w:rPr>
        <w:t>投标文件不得涂改，若有修改错漏处，须加盖单位公章或者法定代表人（负责人）或授权委托人签字或盖章。投标文件因字迹潦草或表达不清所引起的后果由投标人负责。</w:t>
      </w:r>
    </w:p>
    <w:p>
      <w:pPr>
        <w:keepNext/>
        <w:adjustRightInd w:val="0"/>
        <w:snapToGrid w:val="0"/>
        <w:spacing w:line="360" w:lineRule="exact"/>
        <w:jc w:val="left"/>
        <w:rPr>
          <w:rFonts w:ascii="宋体"/>
          <w:b/>
          <w:szCs w:val="21"/>
        </w:rPr>
      </w:pPr>
      <w:r>
        <w:rPr>
          <w:rFonts w:hint="eastAsia" w:ascii="宋体" w:hAnsi="宋体"/>
          <w:b/>
          <w:szCs w:val="21"/>
        </w:rPr>
        <w:t>（七）投标文件的份数、包装、递交、修改和撤回</w:t>
      </w:r>
    </w:p>
    <w:p>
      <w:pPr>
        <w:keepNext/>
        <w:adjustRightInd w:val="0"/>
        <w:snapToGrid w:val="0"/>
        <w:spacing w:line="360" w:lineRule="exact"/>
        <w:ind w:firstLine="422" w:firstLineChars="200"/>
        <w:jc w:val="left"/>
        <w:rPr>
          <w:rFonts w:ascii="宋体" w:hAnsi="宋体"/>
          <w:szCs w:val="21"/>
        </w:rPr>
      </w:pPr>
      <w:r>
        <w:rPr>
          <w:rFonts w:ascii="宋体" w:hAnsi="宋体"/>
          <w:b/>
          <w:bCs/>
          <w:szCs w:val="21"/>
        </w:rPr>
        <w:t>1.</w:t>
      </w:r>
      <w:r>
        <w:rPr>
          <w:rFonts w:hint="eastAsia" w:ascii="宋体" w:hAnsi="宋体"/>
          <w:b/>
          <w:bCs/>
          <w:szCs w:val="21"/>
        </w:rPr>
        <w:t>电子备份投标文件</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1.1投标人应将电子备份投标文件装入到一个投标文件袋内加以密封（要求文件袋无明显缝隙露出袋内文件）；电子备份投标文件袋在每一封贴处密封签章【公章、密封章、法定代表人（负责人）、委托代理人签字等均可】。</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电子备份投标文件袋的包装封面上应注明投标人名称、投标人地址、投标文件名称（电子备份投标文件）、投标项目名称、项目编号、并加盖投标人公章，并注明“开标时才能启封”。</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1.2逾期送达或者未按照招标文件要求密封的电子备份投标文件将被拒绝，由此造成电子备份投标文件被误投或提前拆封的风险由投标人承担。</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1.3投标人在投标截止时间之前，可以对已提交的电子备份投标文件进行修改或撤回，并书面通知招标人；投标截止时间后，投标人不得撤回、修改电子备份投标文件。修改后重新递交的电子备份投标文件应当按本招标文件的要求签署、盖章和密封。</w:t>
      </w:r>
    </w:p>
    <w:p>
      <w:pPr>
        <w:keepNext/>
        <w:adjustRightInd w:val="0"/>
        <w:snapToGrid w:val="0"/>
        <w:spacing w:line="360" w:lineRule="exact"/>
        <w:ind w:firstLine="420" w:firstLineChars="200"/>
        <w:jc w:val="left"/>
        <w:rPr>
          <w:rFonts w:ascii="宋体" w:hAnsi="宋体"/>
          <w:szCs w:val="21"/>
        </w:rPr>
      </w:pPr>
      <w:r>
        <w:rPr>
          <w:rFonts w:hint="eastAsia" w:ascii="宋体" w:hAnsi="宋体"/>
          <w:szCs w:val="21"/>
        </w:rPr>
        <w:t>1.4投标人已经被推荐为第一中标候选供应商后撤回投标或放弃中标的，给招标人造成损失的，应当赔偿损失，并作为不良行为记录在案。</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投标文件的递交</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2.1所有投标文件应于招标文件中规定的时间上传递交至政采云平台。</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2.2电子投标文件的相关说明</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1）投标人进行电子投标应安装客户端软件，并按照招标文件和电子交易平台的要求编制并加密投标文件。投标人未按规定加密的投标文件，电子交易平台将拒收。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（2）投标人在电子交易平台传输递交投标文件后，还可以在投标截止时间前提交电子备份投标文件，若投标人未提交电子备份投标文件，其后果由投标人自行承担。</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（3）如有特殊情况，延长截止时间和开标时间，招标代理机构和投标人的权利和义务将受到新的截止时间和开标时间的约束。</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2.3提供电子备份投标文件的，应当在投标截止时间前按要求密封</w:t>
      </w:r>
      <w:r>
        <w:rPr>
          <w:rFonts w:hint="eastAsia" w:ascii="宋体" w:hAnsi="宋体"/>
          <w:b/>
          <w:bCs/>
          <w:szCs w:val="21"/>
          <w:lang w:eastAsia="zh-CN"/>
        </w:rPr>
        <w:t>，以现场递交或邮寄的方式</w:t>
      </w:r>
      <w:r>
        <w:rPr>
          <w:rFonts w:hint="eastAsia" w:ascii="宋体" w:hAnsi="宋体"/>
          <w:b/>
          <w:bCs/>
          <w:szCs w:val="21"/>
        </w:rPr>
        <w:t>送达</w:t>
      </w:r>
      <w:r>
        <w:rPr>
          <w:rFonts w:hint="eastAsia" w:ascii="宋体" w:hAnsi="宋体"/>
          <w:b/>
          <w:bCs/>
          <w:szCs w:val="21"/>
          <w:lang w:eastAsia="zh-CN"/>
        </w:rPr>
        <w:t>到</w:t>
      </w:r>
      <w:r>
        <w:rPr>
          <w:rFonts w:hint="eastAsia" w:ascii="宋体" w:hAnsi="宋体"/>
          <w:b/>
          <w:bCs/>
          <w:szCs w:val="21"/>
        </w:rPr>
        <w:t>招标代理机构工作人员手上（广西北海市北海大道158号北园公寓星辰座7楼A室或北海市北海大道（中段）177号市政务服务中心三楼），逾期送达或未按要求密封将被拒收。</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邮寄地址：广西北海市北海大道158号北园公寓星辰座7楼A室，联系人：文媚，电话：0779-3969698。</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拒收到付邮件，通过邮寄方式送达的，请合理安排邮寄时间，因邮寄原因未能在规定时间内送达的后果由投标人自行承担。</w:t>
      </w:r>
    </w:p>
    <w:p>
      <w:pPr>
        <w:keepNext/>
        <w:adjustRightInd w:val="0"/>
        <w:snapToGrid w:val="0"/>
        <w:spacing w:line="360" w:lineRule="exact"/>
        <w:ind w:firstLine="422" w:firstLineChars="200"/>
        <w:jc w:val="left"/>
        <w:rPr>
          <w:rFonts w:ascii="宋体" w:hAnsi="宋体"/>
          <w:b/>
          <w:bCs/>
          <w:szCs w:val="21"/>
        </w:rPr>
      </w:pPr>
      <w:r>
        <w:rPr>
          <w:rFonts w:hint="eastAsia" w:ascii="宋体" w:hAnsi="宋体"/>
          <w:b/>
          <w:bCs/>
          <w:szCs w:val="21"/>
        </w:rPr>
        <w:t>投标人自行承担电子备份投标文件在邮寄过程中出现的所有安全问题。</w:t>
      </w:r>
    </w:p>
    <w:p>
      <w:pPr>
        <w:keepNext/>
        <w:adjustRightInd w:val="0"/>
        <w:snapToGrid w:val="0"/>
        <w:spacing w:line="360" w:lineRule="exact"/>
        <w:outlineLvl w:val="2"/>
        <w:rPr>
          <w:rFonts w:ascii="宋体"/>
          <w:b/>
          <w:szCs w:val="21"/>
        </w:rPr>
      </w:pPr>
      <w:bookmarkStart w:id="65" w:name="_Toc254970684"/>
      <w:bookmarkStart w:id="66" w:name="_Toc254970543"/>
      <w:r>
        <w:rPr>
          <w:rFonts w:hint="eastAsia" w:ascii="宋体" w:hAnsi="宋体"/>
          <w:b/>
          <w:szCs w:val="21"/>
        </w:rPr>
        <w:t>（八）投标无效的情形</w:t>
      </w:r>
      <w:bookmarkEnd w:id="65"/>
      <w:bookmarkEnd w:id="66"/>
    </w:p>
    <w:p>
      <w:pPr>
        <w:keepNext/>
        <w:adjustRightInd w:val="0"/>
        <w:snapToGrid w:val="0"/>
        <w:spacing w:line="360" w:lineRule="exact"/>
        <w:ind w:firstLine="422" w:firstLineChars="200"/>
        <w:rPr>
          <w:rFonts w:ascii="宋体"/>
          <w:b/>
          <w:bCs/>
          <w:szCs w:val="21"/>
        </w:rPr>
      </w:pPr>
      <w:r>
        <w:rPr>
          <w:rFonts w:hint="eastAsia" w:ascii="宋体" w:hAnsi="宋体"/>
          <w:b/>
          <w:bCs/>
          <w:szCs w:val="21"/>
        </w:rPr>
        <w:t>实质上没有响应招标文件要求的投标将被视为无效投标。</w:t>
      </w:r>
    </w:p>
    <w:p>
      <w:pPr>
        <w:keepNext/>
        <w:adjustRightInd w:val="0"/>
        <w:snapToGrid w:val="0"/>
        <w:spacing w:line="360" w:lineRule="exact"/>
        <w:ind w:firstLine="422" w:firstLineChars="200"/>
        <w:rPr>
          <w:rFonts w:ascii="宋体"/>
          <w:b/>
          <w:bCs/>
          <w:szCs w:val="21"/>
        </w:rPr>
      </w:pPr>
      <w:r>
        <w:rPr>
          <w:rFonts w:ascii="宋体" w:hAnsi="宋体"/>
          <w:b/>
          <w:bCs/>
          <w:szCs w:val="21"/>
        </w:rPr>
        <w:t>1.</w:t>
      </w:r>
      <w:r>
        <w:rPr>
          <w:rFonts w:hint="eastAsia" w:ascii="宋体" w:hAnsi="宋体" w:cs="Courier New"/>
          <w:b/>
          <w:bCs/>
          <w:szCs w:val="21"/>
        </w:rPr>
        <w:t>资格性审查时，</w:t>
      </w:r>
      <w:r>
        <w:rPr>
          <w:rFonts w:hint="eastAsia" w:ascii="宋体" w:hAnsi="宋体"/>
          <w:b/>
          <w:bCs/>
          <w:szCs w:val="21"/>
        </w:rPr>
        <w:t>如发现下列情形之一的，资格审查不通过，投标文件将被视为无效：</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1</w:t>
      </w:r>
      <w:r>
        <w:rPr>
          <w:rFonts w:hint="eastAsia" w:ascii="宋体" w:hAnsi="宋体"/>
        </w:rPr>
        <w:t>）未获取本招标文件的。</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2</w:t>
      </w:r>
      <w:r>
        <w:rPr>
          <w:rFonts w:hint="eastAsia" w:ascii="宋体" w:hAnsi="宋体"/>
        </w:rPr>
        <w:t>）不符合《中华人民共和国政府采购法》第二十二条规定条件的供应商的。</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3</w:t>
      </w:r>
      <w:r>
        <w:rPr>
          <w:rFonts w:hint="eastAsia" w:ascii="宋体" w:hAnsi="宋体"/>
        </w:rPr>
        <w:t>）投标人为本次采购项目提供整体设计、规范编制或者项目管理、监理、检测等服务的供应商的。</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4</w:t>
      </w:r>
      <w:r>
        <w:rPr>
          <w:rFonts w:hint="eastAsia" w:ascii="宋体" w:hAnsi="宋体"/>
        </w:rPr>
        <w:t>）超越了按照法律法规规定必须获得行政许可或者行政审批的经营范围的。</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5</w:t>
      </w:r>
      <w:r>
        <w:rPr>
          <w:rFonts w:hint="eastAsia" w:ascii="宋体" w:hAnsi="宋体"/>
        </w:rPr>
        <w:t>）不按照招标文件要求提供合格的资格证明材料的，或资格证明文件不全的，或者不符合招标文件规定的资格要求的。</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6</w:t>
      </w:r>
      <w:r>
        <w:rPr>
          <w:rFonts w:hint="eastAsia" w:ascii="宋体" w:hAnsi="宋体"/>
        </w:rPr>
        <w:t>）投标代表人未能出具身份证明的，未提供法定代表人（负责人）授权委托书的，或与法定代表人（负责人）授权委托人身份不符的。</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7</w:t>
      </w:r>
      <w:r>
        <w:rPr>
          <w:rFonts w:hint="eastAsia" w:ascii="宋体" w:hAnsi="宋体"/>
        </w:rPr>
        <w:t>）投标文件无法定代表人（负责人）或其授权委托代理人签字</w:t>
      </w:r>
      <w:r>
        <w:rPr>
          <w:rFonts w:ascii="宋体"/>
        </w:rPr>
        <w:t>,</w:t>
      </w:r>
      <w:r>
        <w:rPr>
          <w:rFonts w:hint="eastAsia" w:ascii="宋体" w:hAnsi="宋体"/>
        </w:rPr>
        <w:t>或未提供法定代表人（负责人）身份证明、法定代表人（负责人）授权委托书、投标声明书的。</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8</w:t>
      </w:r>
      <w:r>
        <w:rPr>
          <w:rFonts w:hint="eastAsia" w:ascii="宋体" w:hAnsi="宋体"/>
        </w:rPr>
        <w:t>）应交未交投标保证金或《诚信记录良好承诺函》的。</w:t>
      </w:r>
    </w:p>
    <w:p>
      <w:pPr>
        <w:keepNext/>
        <w:adjustRightInd w:val="0"/>
        <w:snapToGrid w:val="0"/>
        <w:spacing w:line="360" w:lineRule="exact"/>
        <w:ind w:firstLine="420" w:firstLineChars="200"/>
        <w:rPr>
          <w:rFonts w:ascii="宋体"/>
        </w:rPr>
      </w:pPr>
      <w:r>
        <w:rPr>
          <w:rFonts w:hint="eastAsia" w:ascii="宋体" w:hAnsi="宋体"/>
        </w:rPr>
        <w:t>（</w:t>
      </w:r>
      <w:r>
        <w:rPr>
          <w:rFonts w:ascii="宋体" w:hAnsi="宋体"/>
        </w:rPr>
        <w:t>9</w:t>
      </w:r>
      <w:r>
        <w:rPr>
          <w:rFonts w:hint="eastAsia" w:ascii="宋体" w:hAnsi="宋体"/>
        </w:rPr>
        <w:t>）违反国家法律法规规定的其他资格内容的。</w:t>
      </w:r>
    </w:p>
    <w:p>
      <w:pPr>
        <w:keepNext/>
        <w:adjustRightInd w:val="0"/>
        <w:snapToGrid w:val="0"/>
        <w:spacing w:line="360" w:lineRule="exact"/>
        <w:ind w:firstLine="422" w:firstLineChars="200"/>
        <w:rPr>
          <w:rFonts w:ascii="宋体"/>
          <w:b/>
          <w:bCs/>
          <w:szCs w:val="21"/>
        </w:rPr>
      </w:pPr>
      <w:r>
        <w:rPr>
          <w:rFonts w:ascii="宋体" w:hAnsi="宋体" w:cs="Courier New"/>
          <w:b/>
          <w:bCs/>
          <w:szCs w:val="21"/>
        </w:rPr>
        <w:t>2.</w:t>
      </w:r>
      <w:r>
        <w:rPr>
          <w:rFonts w:hint="eastAsia" w:ascii="宋体" w:hAnsi="宋体"/>
          <w:b/>
          <w:bCs/>
          <w:szCs w:val="21"/>
        </w:rPr>
        <w:t>在符合性审查中，如发现下列情形之一的，投标文件将被视为无效：</w:t>
      </w:r>
    </w:p>
    <w:p>
      <w:pPr>
        <w:keepNext/>
        <w:adjustRightInd w:val="0"/>
        <w:snapToGrid w:val="0"/>
        <w:spacing w:line="360" w:lineRule="exact"/>
        <w:ind w:firstLine="420" w:firstLineChars="200"/>
        <w:rPr>
          <w:rFonts w:ascii="宋体"/>
          <w:bCs/>
          <w:kern w:val="0"/>
          <w:szCs w:val="21"/>
        </w:rPr>
      </w:pPr>
      <w:r>
        <w:rPr>
          <w:rFonts w:hint="eastAsia" w:ascii="宋体" w:hAnsi="宋体"/>
          <w:szCs w:val="21"/>
        </w:rPr>
        <w:t>（</w:t>
      </w:r>
      <w:r>
        <w:rPr>
          <w:rFonts w:ascii="宋体" w:hAnsi="宋体"/>
          <w:szCs w:val="21"/>
        </w:rPr>
        <w:t>1</w:t>
      </w:r>
      <w:r>
        <w:rPr>
          <w:rFonts w:hint="eastAsia" w:ascii="宋体" w:hAnsi="宋体"/>
          <w:szCs w:val="21"/>
        </w:rPr>
        <w:t>）未按照招标文件要求密封的、签字的、盖章的</w:t>
      </w:r>
      <w:r>
        <w:rPr>
          <w:rFonts w:ascii="宋体"/>
          <w:szCs w:val="21"/>
        </w:rPr>
        <w:t>,</w:t>
      </w:r>
      <w:r>
        <w:rPr>
          <w:rFonts w:hint="eastAsia" w:ascii="宋体" w:hAnsi="宋体"/>
          <w:szCs w:val="21"/>
        </w:rPr>
        <w:t>未提供</w:t>
      </w:r>
      <w:r>
        <w:rPr>
          <w:rFonts w:hint="eastAsia" w:ascii="宋体" w:hAnsi="宋体"/>
          <w:bCs/>
          <w:kern w:val="0"/>
          <w:szCs w:val="21"/>
        </w:rPr>
        <w:t>投标声明书的。</w:t>
      </w:r>
    </w:p>
    <w:p>
      <w:pPr>
        <w:pStyle w:val="24"/>
        <w:keepNext/>
        <w:adjustRightInd w:val="0"/>
        <w:snapToGrid w:val="0"/>
        <w:spacing w:line="360" w:lineRule="exact"/>
        <w:ind w:firstLine="404" w:firstLineChars="200"/>
        <w:rPr>
          <w:rFonts w:hAnsi="宋体"/>
          <w:snapToGrid w:val="0"/>
          <w:sz w:val="21"/>
          <w:szCs w:val="21"/>
        </w:rPr>
      </w:pPr>
      <w:r>
        <w:rPr>
          <w:rFonts w:hint="eastAsia" w:hAnsi="宋体"/>
          <w:sz w:val="21"/>
          <w:szCs w:val="21"/>
        </w:rPr>
        <w:t>（</w:t>
      </w:r>
      <w:r>
        <w:rPr>
          <w:rFonts w:hAnsi="宋体"/>
          <w:snapToGrid w:val="0"/>
          <w:sz w:val="21"/>
          <w:szCs w:val="21"/>
        </w:rPr>
        <w:t>2</w:t>
      </w:r>
      <w:r>
        <w:rPr>
          <w:rFonts w:hint="eastAsia" w:hAnsi="宋体"/>
          <w:snapToGrid w:val="0"/>
          <w:sz w:val="21"/>
          <w:szCs w:val="21"/>
        </w:rPr>
        <w:t>）投标</w:t>
      </w:r>
      <w:r>
        <w:rPr>
          <w:rFonts w:hint="eastAsia" w:hAnsi="宋体" w:cs="仿宋_GB2312"/>
          <w:sz w:val="21"/>
          <w:szCs w:val="21"/>
        </w:rPr>
        <w:t>项目内容不齐全或者内容虚假的</w:t>
      </w:r>
      <w:r>
        <w:rPr>
          <w:rFonts w:hint="eastAsia" w:hAnsi="宋体"/>
          <w:sz w:val="21"/>
          <w:szCs w:val="21"/>
        </w:rPr>
        <w:t>。</w:t>
      </w:r>
    </w:p>
    <w:p>
      <w:pPr>
        <w:pStyle w:val="24"/>
        <w:keepNext/>
        <w:adjustRightInd w:val="0"/>
        <w:snapToGrid w:val="0"/>
        <w:spacing w:line="360" w:lineRule="exact"/>
        <w:ind w:firstLine="404" w:firstLineChars="200"/>
        <w:rPr>
          <w:rFonts w:hAnsi="宋体"/>
          <w:snapToGrid w:val="0"/>
          <w:sz w:val="21"/>
          <w:szCs w:val="21"/>
        </w:rPr>
      </w:pPr>
      <w:r>
        <w:rPr>
          <w:rFonts w:hint="eastAsia" w:hAnsi="宋体"/>
          <w:sz w:val="21"/>
          <w:szCs w:val="21"/>
        </w:rPr>
        <w:t>（</w:t>
      </w:r>
      <w:r>
        <w:rPr>
          <w:rFonts w:hAnsi="宋体"/>
          <w:sz w:val="21"/>
          <w:szCs w:val="21"/>
        </w:rPr>
        <w:t>3</w:t>
      </w:r>
      <w:r>
        <w:rPr>
          <w:rFonts w:hint="eastAsia" w:hAnsi="宋体"/>
          <w:sz w:val="21"/>
          <w:szCs w:val="21"/>
        </w:rPr>
        <w:t>）</w:t>
      </w:r>
      <w:r>
        <w:rPr>
          <w:rFonts w:hint="eastAsia" w:hAnsi="宋体" w:cs="仿宋_GB2312"/>
          <w:sz w:val="21"/>
          <w:szCs w:val="21"/>
        </w:rPr>
        <w:t>投标文件的实质性内容未使用中文表述、意思表述不明确、前后矛盾或者使用计量单位不符合招标文件要求的</w:t>
      </w:r>
      <w:r>
        <w:rPr>
          <w:rFonts w:hint="eastAsia" w:hAnsi="宋体"/>
          <w:sz w:val="21"/>
          <w:szCs w:val="21"/>
        </w:rPr>
        <w:t>（经评标委员会认定并允许其当场更正的笔误除外）。</w:t>
      </w:r>
    </w:p>
    <w:p>
      <w:pPr>
        <w:pStyle w:val="24"/>
        <w:keepNext/>
        <w:adjustRightInd w:val="0"/>
        <w:snapToGrid w:val="0"/>
        <w:spacing w:line="360" w:lineRule="exact"/>
        <w:ind w:firstLine="404" w:firstLineChars="200"/>
        <w:rPr>
          <w:rFonts w:hAnsi="宋体"/>
          <w:snapToGrid w:val="0"/>
          <w:sz w:val="21"/>
          <w:szCs w:val="21"/>
        </w:rPr>
      </w:pPr>
      <w:r>
        <w:rPr>
          <w:rFonts w:hint="eastAsia" w:hAnsi="宋体"/>
          <w:sz w:val="21"/>
          <w:szCs w:val="21"/>
        </w:rPr>
        <w:t>（</w:t>
      </w:r>
      <w:r>
        <w:rPr>
          <w:rFonts w:hAnsi="宋体"/>
          <w:snapToGrid w:val="0"/>
          <w:sz w:val="21"/>
          <w:szCs w:val="21"/>
        </w:rPr>
        <w:t>4</w:t>
      </w:r>
      <w:r>
        <w:rPr>
          <w:rFonts w:hint="eastAsia" w:hAnsi="宋体"/>
          <w:snapToGrid w:val="0"/>
          <w:sz w:val="21"/>
          <w:szCs w:val="21"/>
        </w:rPr>
        <w:t>）投标有效期、交货时间、质保期、服务承诺等商务条款不能满足招标文件要求的。</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）未实质性响应招标文件要求或者投标文件含有招标人不能接受的附加条件的。</w:t>
      </w:r>
    </w:p>
    <w:p>
      <w:pPr>
        <w:keepNext/>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）法律、法规和招标文件中规定的其他无效情形。</w:t>
      </w:r>
    </w:p>
    <w:p>
      <w:pPr>
        <w:pStyle w:val="24"/>
        <w:keepNext/>
        <w:adjustRightInd w:val="0"/>
        <w:snapToGrid w:val="0"/>
        <w:spacing w:line="360" w:lineRule="exact"/>
        <w:ind w:firstLine="406" w:firstLineChars="200"/>
        <w:rPr>
          <w:rFonts w:hAnsi="宋体"/>
          <w:b/>
          <w:bCs/>
          <w:sz w:val="21"/>
          <w:szCs w:val="21"/>
        </w:rPr>
      </w:pPr>
      <w:r>
        <w:rPr>
          <w:rFonts w:hAnsi="宋体"/>
          <w:b/>
          <w:bCs/>
          <w:sz w:val="21"/>
          <w:szCs w:val="21"/>
        </w:rPr>
        <w:t>3.</w:t>
      </w:r>
      <w:r>
        <w:rPr>
          <w:rFonts w:hint="eastAsia" w:hAnsi="宋体"/>
          <w:b/>
          <w:bCs/>
          <w:sz w:val="21"/>
          <w:szCs w:val="21"/>
        </w:rPr>
        <w:t>在技术评审时，如发现下列情形之一的，投标文件将被视为无效：</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）未提供或未如实提供服务响应，或者投标文件标明的服务响应或偏离与事实不符或虚假投标的；</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）明显不符合招标文件的服务要求及规范、标准等，或者与招标文件中标“★”的技术指标、主要功能项目发生实质性负偏离的；</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）投标文件中投标产品的技术参数及性能配置要求、商务要求等发生的负偏离数超出第二章中规定项（含）数的。</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4</w:t>
      </w:r>
      <w:r>
        <w:rPr>
          <w:rFonts w:hint="eastAsia" w:hAnsi="宋体"/>
          <w:sz w:val="21"/>
          <w:szCs w:val="21"/>
        </w:rPr>
        <w:t>）投标技术实施方案不明确，存在一个或一个以上备选（替代）投标方案的；</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）与其他参加本次投标供应商的投标文件（技术文件）的文字表述内容差错相同二处以上。</w:t>
      </w:r>
    </w:p>
    <w:p>
      <w:pPr>
        <w:pStyle w:val="24"/>
        <w:keepNext/>
        <w:adjustRightInd w:val="0"/>
        <w:snapToGrid w:val="0"/>
        <w:spacing w:line="360" w:lineRule="exact"/>
        <w:ind w:firstLine="406" w:firstLineChars="200"/>
        <w:rPr>
          <w:rFonts w:hAnsi="宋体"/>
          <w:b/>
          <w:sz w:val="21"/>
          <w:szCs w:val="21"/>
        </w:rPr>
      </w:pPr>
      <w:r>
        <w:rPr>
          <w:rFonts w:hAnsi="宋体"/>
          <w:b/>
          <w:sz w:val="21"/>
          <w:szCs w:val="21"/>
        </w:rPr>
        <w:t>4.</w:t>
      </w:r>
      <w:r>
        <w:rPr>
          <w:rFonts w:hint="eastAsia" w:hAnsi="宋体"/>
          <w:b/>
          <w:sz w:val="21"/>
          <w:szCs w:val="21"/>
        </w:rPr>
        <w:t>在报价评审时，如发现下列情形之一的，投标文件将被视为无效：</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）未采用人民币报价或者未按照招标文件标明的币种报价的；</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）报价超出最高限价，或者超出采购预算金额；</w:t>
      </w:r>
    </w:p>
    <w:p>
      <w:pPr>
        <w:pStyle w:val="24"/>
        <w:keepNext/>
        <w:adjustRightInd w:val="0"/>
        <w:snapToGrid w:val="0"/>
        <w:spacing w:line="360" w:lineRule="exact"/>
        <w:ind w:firstLine="404"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）投标报价具有选择性，或者开标价格与投标文件承诺的优惠（折扣）价格不一致的。</w:t>
      </w:r>
    </w:p>
    <w:p>
      <w:pPr>
        <w:keepNext/>
        <w:tabs>
          <w:tab w:val="left" w:pos="525"/>
        </w:tabs>
        <w:snapToGrid w:val="0"/>
        <w:spacing w:line="360" w:lineRule="exact"/>
        <w:ind w:firstLine="420" w:firstLineChars="200"/>
        <w:jc w:val="left"/>
        <w:rPr>
          <w:rFonts w:ascii="宋体"/>
          <w:szCs w:val="21"/>
        </w:rPr>
      </w:pPr>
      <w:r>
        <w:rPr>
          <w:rFonts w:hint="eastAsia" w:ascii="宋体"/>
          <w:szCs w:val="21"/>
        </w:rPr>
        <w:t>（</w:t>
      </w:r>
      <w:r>
        <w:rPr>
          <w:rFonts w:ascii="宋体"/>
          <w:szCs w:val="21"/>
        </w:rPr>
        <w:t>4</w:t>
      </w:r>
      <w:r>
        <w:rPr>
          <w:rFonts w:hint="eastAsia" w:ascii="宋体"/>
          <w:szCs w:val="21"/>
        </w:rPr>
        <w:t>）</w:t>
      </w:r>
      <w:r>
        <w:rPr>
          <w:rFonts w:hint="eastAsia"/>
        </w:rPr>
        <w:t>投标人未就所投分标的全部内容作完整唯一报价的，或有漏项报价的</w:t>
      </w:r>
      <w:r>
        <w:rPr>
          <w:rFonts w:hint="eastAsia" w:ascii="宋体"/>
          <w:szCs w:val="21"/>
        </w:rPr>
        <w:t>或有条件的报价的。</w:t>
      </w:r>
    </w:p>
    <w:p>
      <w:pPr>
        <w:pStyle w:val="31"/>
        <w:keepNext/>
        <w:adjustRightInd w:val="0"/>
        <w:snapToGrid w:val="0"/>
        <w:spacing w:line="360" w:lineRule="exact"/>
        <w:ind w:firstLine="409" w:firstLineChars="194"/>
        <w:rPr>
          <w:rFonts w:hAnsi="宋体"/>
          <w:b/>
        </w:rPr>
      </w:pPr>
      <w:r>
        <w:rPr>
          <w:rFonts w:hAnsi="宋体" w:cs="宋体"/>
          <w:b/>
        </w:rPr>
        <w:t>5.</w:t>
      </w:r>
      <w:r>
        <w:rPr>
          <w:rFonts w:hint="eastAsia" w:hAnsi="宋体"/>
          <w:b/>
        </w:rPr>
        <w:t>有下列情形之一的视为投标人互相串通参加投标，其投标文件将被视为无效：</w:t>
      </w:r>
    </w:p>
    <w:p>
      <w:pPr>
        <w:pStyle w:val="31"/>
        <w:keepNext/>
        <w:adjustRightInd w:val="0"/>
        <w:snapToGrid w:val="0"/>
        <w:spacing w:line="360" w:lineRule="exact"/>
        <w:ind w:firstLine="407" w:firstLineChars="194"/>
        <w:rPr>
          <w:rFonts w:hAnsi="宋体"/>
        </w:rPr>
      </w:pPr>
      <w:r>
        <w:rPr>
          <w:rFonts w:hint="eastAsia" w:hAnsi="宋体"/>
        </w:rPr>
        <w:t>（</w:t>
      </w:r>
      <w:r>
        <w:rPr>
          <w:rFonts w:hAnsi="宋体"/>
        </w:rPr>
        <w:t>1</w:t>
      </w:r>
      <w:r>
        <w:rPr>
          <w:rFonts w:hint="eastAsia" w:hAnsi="宋体"/>
        </w:rPr>
        <w:t>）不同投标人的投标文件由同一单位或者个人编制；或不同投标人报名的</w:t>
      </w:r>
      <w:r>
        <w:rPr>
          <w:rFonts w:hAnsi="宋体"/>
        </w:rPr>
        <w:t>IP</w:t>
      </w:r>
      <w:r>
        <w:rPr>
          <w:rFonts w:hint="eastAsia" w:hAnsi="宋体"/>
        </w:rPr>
        <w:t>地址一致的；</w:t>
      </w:r>
    </w:p>
    <w:p>
      <w:pPr>
        <w:pStyle w:val="31"/>
        <w:keepNext/>
        <w:adjustRightInd w:val="0"/>
        <w:snapToGrid w:val="0"/>
        <w:spacing w:line="360" w:lineRule="exact"/>
        <w:ind w:firstLine="420"/>
        <w:rPr>
          <w:rFonts w:hAnsi="宋体"/>
        </w:rPr>
      </w:pPr>
      <w:r>
        <w:rPr>
          <w:rFonts w:hint="eastAsia" w:hAnsi="宋体"/>
        </w:rPr>
        <w:t>（</w:t>
      </w:r>
      <w:r>
        <w:rPr>
          <w:rFonts w:hAnsi="宋体"/>
        </w:rPr>
        <w:t>2</w:t>
      </w:r>
      <w:r>
        <w:rPr>
          <w:rFonts w:hint="eastAsia" w:hAnsi="宋体"/>
        </w:rPr>
        <w:t>）不同投标人委托同一单位或者个人办理投标事宜；</w:t>
      </w:r>
    </w:p>
    <w:p>
      <w:pPr>
        <w:pStyle w:val="31"/>
        <w:keepNext/>
        <w:adjustRightInd w:val="0"/>
        <w:snapToGrid w:val="0"/>
        <w:spacing w:line="360" w:lineRule="exact"/>
        <w:ind w:firstLine="420"/>
        <w:rPr>
          <w:rFonts w:hAnsi="宋体"/>
        </w:rPr>
      </w:pPr>
      <w:r>
        <w:rPr>
          <w:rFonts w:hint="eastAsia" w:hAnsi="宋体"/>
        </w:rPr>
        <w:t>（</w:t>
      </w:r>
      <w:r>
        <w:rPr>
          <w:rFonts w:hAnsi="宋体"/>
        </w:rPr>
        <w:t>3</w:t>
      </w:r>
      <w:r>
        <w:rPr>
          <w:rFonts w:hint="eastAsia" w:hAnsi="宋体"/>
        </w:rPr>
        <w:t>）不同投标人的投标文件载明的项目管理员为同一人；</w:t>
      </w:r>
    </w:p>
    <w:p>
      <w:pPr>
        <w:pStyle w:val="31"/>
        <w:keepNext/>
        <w:adjustRightInd w:val="0"/>
        <w:snapToGrid w:val="0"/>
        <w:spacing w:line="360" w:lineRule="exact"/>
        <w:ind w:firstLine="420"/>
        <w:rPr>
          <w:rFonts w:hAnsi="宋体"/>
        </w:rPr>
      </w:pPr>
      <w:r>
        <w:rPr>
          <w:rFonts w:hint="eastAsia" w:hAnsi="宋体"/>
        </w:rPr>
        <w:t>（</w:t>
      </w:r>
      <w:r>
        <w:rPr>
          <w:rFonts w:hAnsi="宋体"/>
        </w:rPr>
        <w:t>4</w:t>
      </w:r>
      <w:r>
        <w:rPr>
          <w:rFonts w:hint="eastAsia" w:hAnsi="宋体"/>
        </w:rPr>
        <w:t>）不同投标人的投标文件异常一致或投标报价呈规律性差异；</w:t>
      </w:r>
    </w:p>
    <w:p>
      <w:pPr>
        <w:pStyle w:val="31"/>
        <w:keepNext/>
        <w:adjustRightInd w:val="0"/>
        <w:snapToGrid w:val="0"/>
        <w:spacing w:line="360" w:lineRule="exact"/>
        <w:ind w:firstLine="420"/>
        <w:rPr>
          <w:rFonts w:hAnsi="宋体"/>
        </w:rPr>
      </w:pPr>
      <w:r>
        <w:rPr>
          <w:rFonts w:hint="eastAsia" w:hAnsi="宋体"/>
        </w:rPr>
        <w:t>（</w:t>
      </w:r>
      <w:r>
        <w:rPr>
          <w:rFonts w:hAnsi="宋体"/>
        </w:rPr>
        <w:t>5</w:t>
      </w:r>
      <w:r>
        <w:rPr>
          <w:rFonts w:hint="eastAsia" w:hAnsi="宋体"/>
        </w:rPr>
        <w:t>）不同投标人的投标文件相互混装；</w:t>
      </w:r>
    </w:p>
    <w:p>
      <w:pPr>
        <w:keepNext/>
        <w:spacing w:line="360" w:lineRule="exact"/>
        <w:ind w:firstLine="420" w:firstLineChars="200"/>
        <w:rPr>
          <w:rFonts w:hAnsi="宋体"/>
        </w:rPr>
      </w:pPr>
      <w:r>
        <w:rPr>
          <w:rFonts w:hint="eastAsia" w:hAnsi="宋体"/>
        </w:rPr>
        <w:t>（</w:t>
      </w:r>
      <w:r>
        <w:rPr>
          <w:rFonts w:hAnsi="宋体"/>
        </w:rPr>
        <w:t>6</w:t>
      </w:r>
      <w:r>
        <w:rPr>
          <w:rFonts w:hint="eastAsia" w:hAnsi="宋体"/>
        </w:rPr>
        <w:t>）不同投标人的投标保证金从同一单位或者个人账户转出。</w:t>
      </w:r>
    </w:p>
    <w:p>
      <w:pPr>
        <w:keepNext/>
        <w:spacing w:line="360" w:lineRule="exact"/>
        <w:ind w:left="420" w:leftChars="200"/>
        <w:rPr>
          <w:rFonts w:ascii="宋体" w:cs="宋体"/>
          <w:b/>
          <w:kern w:val="0"/>
          <w:szCs w:val="21"/>
        </w:rPr>
      </w:pPr>
      <w:r>
        <w:rPr>
          <w:rFonts w:ascii="宋体" w:hAnsi="宋体"/>
          <w:b/>
          <w:szCs w:val="21"/>
        </w:rPr>
        <w:t>6.</w:t>
      </w:r>
      <w:r>
        <w:rPr>
          <w:rFonts w:hint="eastAsia" w:ascii="宋体" w:hAnsi="宋体" w:cs="宋体"/>
          <w:b/>
          <w:kern w:val="0"/>
          <w:szCs w:val="21"/>
        </w:rPr>
        <w:t>有下列情形之一的，属于恶意串通行为：</w:t>
      </w:r>
    </w:p>
    <w:p>
      <w:pPr>
        <w:keepNext/>
        <w:spacing w:line="360" w:lineRule="exact"/>
        <w:ind w:left="420" w:hanging="420" w:hangingChars="200"/>
        <w:jc w:val="distribute"/>
        <w:rPr>
          <w:rFonts w:ascii="宋体" w:cs="宋体"/>
          <w:kern w:val="0"/>
          <w:szCs w:val="21"/>
        </w:rPr>
      </w:pPr>
      <w:r>
        <w:rPr>
          <w:rFonts w:hint="eastAsia" w:ascii="宋体" w:hAnsi="宋体" w:cs="宋体"/>
          <w:kern w:val="0"/>
          <w:szCs w:val="21"/>
        </w:rPr>
        <w:t xml:space="preserve">    （</w:t>
      </w:r>
      <w:r>
        <w:rPr>
          <w:rFonts w:ascii="宋体" w:hAnsi="宋体" w:cs="宋体"/>
          <w:kern w:val="0"/>
          <w:szCs w:val="21"/>
        </w:rPr>
        <w:t>1</w:t>
      </w:r>
      <w:r>
        <w:rPr>
          <w:rFonts w:hint="eastAsia" w:ascii="宋体" w:hAnsi="宋体" w:cs="宋体"/>
          <w:kern w:val="0"/>
          <w:szCs w:val="21"/>
        </w:rPr>
        <w:t>）供应商直接或者间接从采购人或者采购代理机构处获得其他供应商的相关情况并修改其投标文件</w:t>
      </w:r>
    </w:p>
    <w:p>
      <w:pPr>
        <w:keepNext/>
        <w:spacing w:line="360" w:lineRule="exact"/>
        <w:ind w:left="420" w:hanging="420" w:hangingChars="200"/>
        <w:jc w:val="left"/>
        <w:rPr>
          <w:kern w:val="0"/>
        </w:rPr>
      </w:pPr>
      <w:r>
        <w:rPr>
          <w:rFonts w:hint="eastAsia" w:ascii="宋体" w:hAnsi="宋体" w:cs="宋体"/>
          <w:kern w:val="0"/>
          <w:szCs w:val="21"/>
        </w:rPr>
        <w:t>或者投标文件；</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）供应商按照采购人或者采购代理机构的授意撤换、修改投标文件或者投标文件；</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）供应商之间协商报价、技术方案等投标文件或者投标文件的实质性内容；</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）属于同一集团、协会、商会等组织成员的供应商按照该组织要求协同参加采购活动；</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）供应商之间事先约定由某一特定供应商中标、成交；</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）供应商之间商定部分供应商放弃参加采购活动或者放弃中标、成交；</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）供应商与采购人或者采购代理机构之间、供应商相互之间，为谋求特定供应商中标、成交或者</w:t>
      </w:r>
      <w:r>
        <w:rPr>
          <w:rFonts w:hint="eastAsia"/>
          <w:kern w:val="0"/>
        </w:rPr>
        <w:t>斥</w:t>
      </w:r>
    </w:p>
    <w:p>
      <w:pPr>
        <w:keepNext/>
        <w:spacing w:line="360" w:lineRule="exact"/>
        <w:ind w:left="420" w:hanging="420" w:hangingChars="200"/>
        <w:jc w:val="left"/>
        <w:rPr>
          <w:rFonts w:ascii="宋体" w:cs="宋体"/>
          <w:szCs w:val="21"/>
        </w:rPr>
      </w:pPr>
      <w:r>
        <w:rPr>
          <w:rFonts w:hint="eastAsia"/>
          <w:kern w:val="0"/>
        </w:rPr>
        <w:t>其他供应商的其他串通行为。</w:t>
      </w:r>
    </w:p>
    <w:p>
      <w:pPr>
        <w:pStyle w:val="24"/>
        <w:keepNext/>
        <w:adjustRightInd w:val="0"/>
        <w:snapToGrid w:val="0"/>
        <w:spacing w:line="360" w:lineRule="exact"/>
        <w:ind w:firstLine="406" w:firstLineChars="200"/>
        <w:rPr>
          <w:rFonts w:hAnsi="宋体"/>
          <w:b/>
          <w:sz w:val="21"/>
          <w:szCs w:val="21"/>
        </w:rPr>
      </w:pPr>
      <w:r>
        <w:rPr>
          <w:rFonts w:hAnsi="宋体"/>
          <w:b/>
          <w:sz w:val="21"/>
          <w:szCs w:val="21"/>
        </w:rPr>
        <w:t>7.</w:t>
      </w:r>
      <w:r>
        <w:rPr>
          <w:rFonts w:hint="eastAsia" w:hAnsi="宋体"/>
          <w:b/>
          <w:sz w:val="21"/>
          <w:szCs w:val="21"/>
        </w:rPr>
        <w:t>被拒绝的投标文件为无效。</w:t>
      </w:r>
    </w:p>
    <w:p>
      <w:pPr>
        <w:pStyle w:val="31"/>
        <w:keepNext/>
        <w:adjustRightInd w:val="0"/>
        <w:snapToGrid w:val="0"/>
        <w:spacing w:line="360" w:lineRule="exact"/>
        <w:rPr>
          <w:rFonts w:hAnsi="宋体"/>
          <w:b/>
        </w:rPr>
      </w:pPr>
      <w:r>
        <w:rPr>
          <w:rFonts w:hint="eastAsia" w:hAnsi="宋体"/>
          <w:b/>
        </w:rPr>
        <w:t>（九）废标</w:t>
      </w:r>
    </w:p>
    <w:p>
      <w:pPr>
        <w:pStyle w:val="31"/>
        <w:keepNext/>
        <w:adjustRightInd w:val="0"/>
        <w:snapToGrid w:val="0"/>
        <w:spacing w:line="360" w:lineRule="exact"/>
        <w:ind w:firstLine="420" w:firstLineChars="200"/>
        <w:rPr>
          <w:rFonts w:hAnsi="宋体"/>
        </w:rPr>
      </w:pPr>
      <w:r>
        <w:rPr>
          <w:rFonts w:hAnsi="宋体"/>
        </w:rPr>
        <w:t>1.</w:t>
      </w:r>
      <w:r>
        <w:rPr>
          <w:rFonts w:hint="eastAsia" w:hAnsi="宋体"/>
        </w:rPr>
        <w:t>招标采购项目出现下列情形之一的，将予废标：</w:t>
      </w:r>
    </w:p>
    <w:p>
      <w:pPr>
        <w:keepNext/>
        <w:widowControl/>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）截标后整个招标项目的投标人不足三家的或实质性响应不足法定三家的；</w:t>
      </w:r>
    </w:p>
    <w:p>
      <w:pPr>
        <w:keepNext/>
        <w:widowControl/>
        <w:adjustRightInd w:val="0"/>
        <w:snapToGrid w:val="0"/>
        <w:spacing w:line="360" w:lineRule="exact"/>
        <w:ind w:firstLine="420" w:firstLineChars="200"/>
        <w:jc w:val="left"/>
        <w:rPr>
          <w:rFonts w:ascii="宋体"/>
          <w:bCs/>
          <w:szCs w:val="21"/>
        </w:rPr>
      </w:pPr>
      <w:r>
        <w:rPr>
          <w:rFonts w:hint="eastAsia" w:ascii="宋体" w:hAnsi="宋体"/>
          <w:szCs w:val="21"/>
        </w:rPr>
        <w:t>（</w:t>
      </w:r>
      <w:r>
        <w:rPr>
          <w:rFonts w:ascii="宋体" w:hAnsi="宋体"/>
          <w:szCs w:val="21"/>
        </w:rPr>
        <w:t>2</w:t>
      </w:r>
      <w:r>
        <w:rPr>
          <w:rFonts w:hint="eastAsia" w:ascii="宋体" w:hAnsi="宋体"/>
          <w:szCs w:val="21"/>
        </w:rPr>
        <w:t>）出现影响采购公正的违法、违规行为的；</w:t>
      </w:r>
    </w:p>
    <w:p>
      <w:pPr>
        <w:keepNext/>
        <w:widowControl/>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）投标人的报价均超过了采购预算的；</w:t>
      </w:r>
    </w:p>
    <w:p>
      <w:pPr>
        <w:keepNext/>
        <w:widowControl/>
        <w:adjustRightInd w:val="0"/>
        <w:snapToGrid w:val="0"/>
        <w:spacing w:line="360" w:lineRule="exact"/>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）因重大变故，采购任务取消的。</w:t>
      </w:r>
    </w:p>
    <w:p>
      <w:pPr>
        <w:keepNext/>
        <w:widowControl/>
        <w:adjustRightInd w:val="0"/>
        <w:snapToGrid w:val="0"/>
        <w:spacing w:line="360" w:lineRule="exact"/>
        <w:ind w:firstLine="420" w:firstLineChars="200"/>
        <w:jc w:val="left"/>
        <w:rPr>
          <w:rFonts w:hAnsi="宋体"/>
          <w:b/>
        </w:rPr>
      </w:pPr>
      <w:r>
        <w:rPr>
          <w:rFonts w:ascii="宋体" w:hAnsi="宋体"/>
        </w:rPr>
        <w:t>2.</w:t>
      </w:r>
      <w:r>
        <w:rPr>
          <w:rFonts w:hint="eastAsia" w:ascii="宋体" w:hAnsi="宋体"/>
        </w:rPr>
        <w:t>废标后，招标</w:t>
      </w:r>
      <w:r>
        <w:rPr>
          <w:rFonts w:hint="eastAsia"/>
        </w:rPr>
        <w:t>代理机构将把废标理由通知所有投标人。</w:t>
      </w:r>
      <w:bookmarkStart w:id="67" w:name="_Toc254970544"/>
      <w:bookmarkStart w:id="68" w:name="_Toc254970685"/>
    </w:p>
    <w:p>
      <w:pPr>
        <w:pStyle w:val="31"/>
        <w:keepNext/>
        <w:adjustRightInd w:val="0"/>
        <w:snapToGrid w:val="0"/>
        <w:spacing w:line="360" w:lineRule="exact"/>
        <w:jc w:val="center"/>
        <w:rPr>
          <w:rFonts w:hAnsi="宋体"/>
          <w:b/>
        </w:rPr>
      </w:pPr>
      <w:r>
        <w:rPr>
          <w:rFonts w:hint="eastAsia" w:hAnsi="宋体"/>
          <w:b/>
        </w:rPr>
        <w:t>四、开标</w:t>
      </w:r>
      <w:bookmarkEnd w:id="67"/>
      <w:bookmarkEnd w:id="68"/>
    </w:p>
    <w:p>
      <w:pPr>
        <w:pStyle w:val="31"/>
        <w:keepNext/>
        <w:adjustRightInd w:val="0"/>
        <w:snapToGrid w:val="0"/>
        <w:spacing w:line="360" w:lineRule="exact"/>
        <w:rPr>
          <w:rFonts w:hAnsi="宋体"/>
          <w:b/>
        </w:rPr>
      </w:pPr>
      <w:r>
        <w:rPr>
          <w:rFonts w:hint="eastAsia" w:hAnsi="宋体"/>
          <w:b/>
        </w:rPr>
        <w:t>（一）开标准备</w:t>
      </w:r>
    </w:p>
    <w:p>
      <w:pPr>
        <w:pStyle w:val="31"/>
        <w:keepNext/>
        <w:adjustRightInd w:val="0"/>
        <w:snapToGrid w:val="0"/>
        <w:spacing w:line="360" w:lineRule="exact"/>
        <w:ind w:firstLine="412" w:firstLineChars="200"/>
        <w:rPr>
          <w:rFonts w:hAnsi="宋体"/>
          <w:bCs/>
          <w:spacing w:val="-2"/>
        </w:rPr>
      </w:pPr>
      <w:r>
        <w:rPr>
          <w:rFonts w:hint="eastAsia" w:hAnsi="宋体"/>
          <w:bCs/>
          <w:spacing w:val="-2"/>
        </w:rPr>
        <w:t>1.开标的准备工作由招标代理机构负责落实；</w:t>
      </w:r>
    </w:p>
    <w:p>
      <w:pPr>
        <w:pStyle w:val="31"/>
        <w:keepNext/>
        <w:adjustRightInd w:val="0"/>
        <w:snapToGrid w:val="0"/>
        <w:spacing w:line="360" w:lineRule="exact"/>
        <w:ind w:firstLine="412" w:firstLineChars="200"/>
        <w:rPr>
          <w:rFonts w:hAnsi="宋体"/>
          <w:bCs/>
          <w:spacing w:val="-2"/>
        </w:rPr>
      </w:pPr>
      <w:r>
        <w:rPr>
          <w:rFonts w:hint="eastAsia" w:hAnsi="宋体"/>
          <w:bCs/>
          <w:spacing w:val="-2"/>
        </w:rPr>
        <w:t>2.招标代理机构将按照招标文件规定的时间通过“政府采购云平台”组织开标、开启投标文件，所有投标人均应当准时在线参加。投标认为如不参加开标会的，视同认可开标结果，事后不得对采购相关人员、开标过程和开标结果提出异议，同时投标人因未在线参加开标而导致投标文件无法按时解密等一切后果由投标人自行承担。</w:t>
      </w:r>
    </w:p>
    <w:p>
      <w:pPr>
        <w:pStyle w:val="31"/>
        <w:keepNext/>
        <w:adjustRightInd w:val="0"/>
        <w:snapToGrid w:val="0"/>
        <w:spacing w:line="360" w:lineRule="exact"/>
        <w:rPr>
          <w:rFonts w:hAnsi="宋体"/>
          <w:b/>
        </w:rPr>
      </w:pPr>
      <w:r>
        <w:rPr>
          <w:rFonts w:hint="eastAsia" w:hAnsi="宋体"/>
          <w:b/>
        </w:rPr>
        <w:t>（二）开标程序：</w:t>
      </w:r>
    </w:p>
    <w:p>
      <w:pPr>
        <w:pStyle w:val="31"/>
        <w:keepNext/>
        <w:adjustRightInd w:val="0"/>
        <w:snapToGrid w:val="0"/>
        <w:spacing w:line="360" w:lineRule="exact"/>
        <w:ind w:firstLine="422" w:firstLineChars="200"/>
        <w:rPr>
          <w:rFonts w:hAnsi="宋体"/>
          <w:b/>
          <w:bCs/>
        </w:rPr>
      </w:pPr>
      <w:bookmarkStart w:id="69" w:name="_Toc254970686"/>
      <w:bookmarkStart w:id="70" w:name="_Toc254970545"/>
      <w:r>
        <w:rPr>
          <w:rFonts w:hint="eastAsia" w:hAnsi="宋体"/>
          <w:b/>
          <w:bCs/>
        </w:rPr>
        <w:t>1.向各投标人发出电子加密投标文件【开始解密】通知，由</w:t>
      </w:r>
      <w:r>
        <w:rPr>
          <w:rFonts w:hint="eastAsia" w:hAnsi="宋体"/>
          <w:b/>
          <w:bCs/>
          <w:spacing w:val="-2"/>
        </w:rPr>
        <w:t>投标人</w:t>
      </w:r>
      <w:r>
        <w:rPr>
          <w:rFonts w:hint="eastAsia" w:hAnsi="宋体"/>
          <w:b/>
          <w:bCs/>
        </w:rPr>
        <w:t>按招标文件规定的时间内自行进行投标文件解密。投标人在规定的时间内无法完成已递交的“电子加密投标文件”解密的，如已按规定递交了电子备份投标文件的，将由招标代理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pPr>
        <w:pStyle w:val="31"/>
        <w:keepNext/>
        <w:adjustRightInd w:val="0"/>
        <w:snapToGrid w:val="0"/>
        <w:spacing w:line="360" w:lineRule="exact"/>
        <w:ind w:firstLine="422" w:firstLineChars="200"/>
        <w:rPr>
          <w:rFonts w:hAnsi="宋体"/>
          <w:b/>
          <w:bCs/>
        </w:rPr>
      </w:pPr>
      <w:r>
        <w:rPr>
          <w:rFonts w:hint="eastAsia" w:hAnsi="宋体"/>
          <w:b/>
          <w:bCs/>
        </w:rPr>
        <w:t>2.投标文件解密结束后，开标活动组织人员在线开启投标文件。</w:t>
      </w:r>
    </w:p>
    <w:p>
      <w:pPr>
        <w:pStyle w:val="31"/>
        <w:keepNext/>
        <w:adjustRightInd w:val="0"/>
        <w:snapToGrid w:val="0"/>
        <w:spacing w:line="360" w:lineRule="exact"/>
        <w:ind w:firstLine="422" w:firstLineChars="200"/>
        <w:rPr>
          <w:rFonts w:hAnsi="宋体"/>
          <w:b/>
          <w:bCs/>
        </w:rPr>
      </w:pPr>
      <w:r>
        <w:rPr>
          <w:rFonts w:hint="eastAsia" w:hAnsi="宋体"/>
          <w:b/>
          <w:bCs/>
        </w:rPr>
        <w:t>3.开启投标人报价文件，开标活动组织人员宣读开标（报价）一览表有关内容，投标人代表如果认为宣读有误，可以当场提出异议。</w:t>
      </w:r>
    </w:p>
    <w:p>
      <w:pPr>
        <w:pStyle w:val="31"/>
        <w:keepNext/>
        <w:adjustRightInd w:val="0"/>
        <w:snapToGrid w:val="0"/>
        <w:spacing w:line="360" w:lineRule="exact"/>
        <w:ind w:firstLine="422" w:firstLineChars="200"/>
        <w:rPr>
          <w:rFonts w:hAnsi="宋体"/>
          <w:b/>
          <w:bCs/>
        </w:rPr>
      </w:pPr>
      <w:r>
        <w:rPr>
          <w:rFonts w:hint="eastAsia" w:hAnsi="宋体"/>
          <w:b/>
          <w:bCs/>
        </w:rPr>
        <w:t>开标结束后，如发现开标结果与报价文件不一致者，由评标委员会根据报价文件内容进行修正。</w:t>
      </w:r>
    </w:p>
    <w:p>
      <w:pPr>
        <w:pStyle w:val="31"/>
        <w:keepNext/>
        <w:adjustRightInd w:val="0"/>
        <w:snapToGrid w:val="0"/>
        <w:spacing w:line="360" w:lineRule="exact"/>
        <w:ind w:firstLine="422" w:firstLineChars="200"/>
        <w:rPr>
          <w:rFonts w:hAnsi="宋体"/>
          <w:b/>
          <w:bCs/>
        </w:rPr>
      </w:pPr>
      <w:r>
        <w:rPr>
          <w:rFonts w:hint="eastAsia" w:hAnsi="宋体"/>
          <w:b/>
          <w:bCs/>
        </w:rPr>
        <w:t>特别说明：如遇“政府采购云平台”电子化开标或评审程序调整的，按调整后程序执行。</w:t>
      </w:r>
    </w:p>
    <w:p>
      <w:pPr>
        <w:pStyle w:val="31"/>
        <w:keepNext/>
        <w:adjustRightInd w:val="0"/>
        <w:snapToGrid w:val="0"/>
        <w:spacing w:line="360" w:lineRule="exact"/>
        <w:jc w:val="center"/>
        <w:rPr>
          <w:rFonts w:hAnsi="宋体"/>
          <w:b/>
        </w:rPr>
      </w:pPr>
      <w:r>
        <w:rPr>
          <w:rFonts w:hint="eastAsia" w:hAnsi="宋体"/>
          <w:b/>
        </w:rPr>
        <w:t>五、资格审查</w:t>
      </w:r>
    </w:p>
    <w:p>
      <w:pPr>
        <w:pStyle w:val="31"/>
        <w:keepNext/>
        <w:snapToGrid w:val="0"/>
        <w:spacing w:line="360" w:lineRule="exact"/>
        <w:ind w:firstLine="420" w:firstLineChars="200"/>
        <w:rPr>
          <w:szCs w:val="21"/>
        </w:rPr>
      </w:pPr>
      <w:r>
        <w:rPr>
          <w:szCs w:val="21"/>
        </w:rPr>
        <w:t>1.</w:t>
      </w:r>
      <w:r>
        <w:rPr>
          <w:rFonts w:hint="eastAsia"/>
          <w:szCs w:val="21"/>
        </w:rPr>
        <w:t>开标结束后，</w:t>
      </w:r>
      <w:r>
        <w:rPr>
          <w:rFonts w:hint="eastAsia" w:hAnsi="宋体"/>
        </w:rPr>
        <w:t>招标人</w:t>
      </w:r>
      <w:r>
        <w:rPr>
          <w:rFonts w:hint="eastAsia"/>
          <w:szCs w:val="21"/>
        </w:rPr>
        <w:t>依法对投标人的资格进行审查。</w:t>
      </w:r>
    </w:p>
    <w:p>
      <w:pPr>
        <w:pStyle w:val="31"/>
        <w:keepNext/>
        <w:snapToGrid w:val="0"/>
        <w:spacing w:line="360" w:lineRule="exact"/>
        <w:ind w:firstLine="420" w:firstLineChars="200"/>
        <w:rPr>
          <w:szCs w:val="21"/>
        </w:rPr>
      </w:pPr>
      <w:r>
        <w:rPr>
          <w:szCs w:val="21"/>
        </w:rPr>
        <w:t>2.</w:t>
      </w:r>
      <w:r>
        <w:rPr>
          <w:rFonts w:hint="eastAsia"/>
          <w:szCs w:val="21"/>
        </w:rPr>
        <w:t>资格审查标准为本招标文件中载明对投标人资格要求的条件。本项目资格审查采用合格式，凡符合招标文件规定的投标人资格要求的条件的投标人均通过资格审查。</w:t>
      </w:r>
    </w:p>
    <w:p>
      <w:pPr>
        <w:pStyle w:val="31"/>
        <w:keepNext/>
        <w:snapToGrid w:val="0"/>
        <w:spacing w:line="360" w:lineRule="exact"/>
        <w:ind w:firstLine="420" w:firstLineChars="200"/>
        <w:rPr>
          <w:szCs w:val="21"/>
        </w:rPr>
      </w:pPr>
      <w:r>
        <w:rPr>
          <w:szCs w:val="21"/>
        </w:rPr>
        <w:t>3.</w:t>
      </w:r>
      <w:r>
        <w:rPr>
          <w:rFonts w:hint="eastAsia"/>
          <w:szCs w:val="21"/>
        </w:rPr>
        <w:t>投标人资格审查不通过的情形，见本章“三、投标文件的编制”中第（八）条相关规定。</w:t>
      </w:r>
    </w:p>
    <w:p>
      <w:pPr>
        <w:pStyle w:val="31"/>
        <w:keepNext/>
        <w:adjustRightInd w:val="0"/>
        <w:snapToGrid w:val="0"/>
        <w:spacing w:line="360" w:lineRule="exact"/>
        <w:ind w:firstLine="420" w:firstLineChars="200"/>
        <w:rPr>
          <w:rFonts w:hAnsi="宋体"/>
          <w:b/>
        </w:rPr>
      </w:pPr>
      <w:r>
        <w:rPr>
          <w:szCs w:val="21"/>
        </w:rPr>
        <w:t>4.</w:t>
      </w:r>
      <w:r>
        <w:rPr>
          <w:rFonts w:hint="eastAsia"/>
          <w:szCs w:val="21"/>
        </w:rPr>
        <w:t>资格审查的合格投标人不足</w:t>
      </w:r>
      <w:r>
        <w:rPr>
          <w:szCs w:val="21"/>
        </w:rPr>
        <w:t>3</w:t>
      </w:r>
      <w:r>
        <w:rPr>
          <w:rFonts w:hint="eastAsia"/>
          <w:szCs w:val="21"/>
        </w:rPr>
        <w:t>家的，不得评标。</w:t>
      </w:r>
    </w:p>
    <w:p>
      <w:pPr>
        <w:pStyle w:val="31"/>
        <w:keepNext/>
        <w:adjustRightInd w:val="0"/>
        <w:snapToGrid w:val="0"/>
        <w:spacing w:line="360" w:lineRule="exact"/>
        <w:jc w:val="center"/>
        <w:rPr>
          <w:rFonts w:hAnsi="宋体"/>
          <w:b/>
        </w:rPr>
      </w:pPr>
      <w:r>
        <w:rPr>
          <w:rFonts w:hint="eastAsia" w:hAnsi="宋体"/>
          <w:b/>
        </w:rPr>
        <w:t>六、评标</w:t>
      </w:r>
      <w:bookmarkEnd w:id="69"/>
      <w:bookmarkEnd w:id="70"/>
    </w:p>
    <w:p>
      <w:pPr>
        <w:pStyle w:val="31"/>
        <w:keepNext/>
        <w:adjustRightInd w:val="0"/>
        <w:snapToGrid w:val="0"/>
        <w:spacing w:line="360" w:lineRule="exact"/>
        <w:rPr>
          <w:rFonts w:hAnsi="宋体"/>
          <w:b/>
        </w:rPr>
      </w:pPr>
      <w:r>
        <w:rPr>
          <w:rFonts w:hint="eastAsia" w:hAnsi="宋体"/>
          <w:b/>
        </w:rPr>
        <w:t>（一）组建评标委员会</w:t>
      </w:r>
    </w:p>
    <w:p>
      <w:pPr>
        <w:pStyle w:val="31"/>
        <w:keepNext/>
        <w:adjustRightInd w:val="0"/>
        <w:snapToGrid w:val="0"/>
        <w:spacing w:line="360" w:lineRule="exact"/>
        <w:ind w:firstLine="420" w:firstLineChars="200"/>
        <w:rPr>
          <w:rFonts w:hAnsi="宋体"/>
        </w:rPr>
      </w:pPr>
      <w:r>
        <w:rPr>
          <w:rFonts w:hint="eastAsia" w:hAnsi="宋体"/>
          <w:bCs/>
        </w:rPr>
        <w:t>本招标采购项目的评标委员会由招标人代表和有关技术、经济等方面的专家组成，成员人数应当为五人及以上单数。其中，技术、经济等方面的专家不得少于成员总数的三分之二</w:t>
      </w:r>
      <w:r>
        <w:rPr>
          <w:rFonts w:hint="eastAsia" w:hAnsi="宋体"/>
        </w:rPr>
        <w:t>。</w:t>
      </w:r>
    </w:p>
    <w:p>
      <w:pPr>
        <w:pStyle w:val="31"/>
        <w:keepNext/>
        <w:adjustRightInd w:val="0"/>
        <w:snapToGrid w:val="0"/>
        <w:spacing w:line="360" w:lineRule="exact"/>
        <w:rPr>
          <w:rFonts w:hAnsi="宋体"/>
          <w:b/>
        </w:rPr>
      </w:pPr>
      <w:r>
        <w:rPr>
          <w:rFonts w:hint="eastAsia" w:hAnsi="宋体"/>
          <w:b/>
        </w:rPr>
        <w:t>（二）评标的方式</w:t>
      </w:r>
    </w:p>
    <w:p>
      <w:pPr>
        <w:pStyle w:val="31"/>
        <w:keepNext/>
        <w:adjustRightInd w:val="0"/>
        <w:snapToGrid w:val="0"/>
        <w:spacing w:line="360" w:lineRule="exact"/>
        <w:ind w:firstLine="420" w:firstLineChars="200"/>
        <w:rPr>
          <w:rFonts w:hAnsi="宋体"/>
        </w:rPr>
      </w:pPr>
      <w:r>
        <w:rPr>
          <w:rFonts w:hint="eastAsia" w:hAnsi="宋体"/>
        </w:rPr>
        <w:t>本项目采用不公开方式评标，评标的依据为招标文件和投标文件。</w:t>
      </w:r>
    </w:p>
    <w:p>
      <w:pPr>
        <w:pStyle w:val="31"/>
        <w:keepNext/>
        <w:adjustRightInd w:val="0"/>
        <w:snapToGrid w:val="0"/>
        <w:spacing w:line="360" w:lineRule="exact"/>
        <w:rPr>
          <w:rFonts w:hAnsi="宋体"/>
          <w:b/>
        </w:rPr>
      </w:pPr>
      <w:r>
        <w:rPr>
          <w:rFonts w:hint="eastAsia" w:hAnsi="宋体"/>
          <w:b/>
        </w:rPr>
        <w:t>（三）</w:t>
      </w:r>
      <w:r>
        <w:rPr>
          <w:rFonts w:hint="eastAsia" w:hAnsi="宋体"/>
          <w:b/>
          <w:bCs/>
        </w:rPr>
        <w:t>评标程序</w:t>
      </w:r>
    </w:p>
    <w:p>
      <w:pPr>
        <w:keepNext/>
        <w:adjustRightInd w:val="0"/>
        <w:snapToGrid w:val="0"/>
        <w:spacing w:line="360" w:lineRule="exact"/>
        <w:ind w:firstLine="422" w:firstLineChars="200"/>
        <w:jc w:val="left"/>
        <w:rPr>
          <w:rFonts w:ascii="宋体"/>
        </w:rPr>
      </w:pPr>
      <w:r>
        <w:rPr>
          <w:rFonts w:ascii="宋体" w:hAnsi="宋体"/>
          <w:b/>
        </w:rPr>
        <w:t>1.</w:t>
      </w:r>
      <w:r>
        <w:rPr>
          <w:rFonts w:hint="eastAsia" w:ascii="宋体" w:hAnsi="宋体"/>
          <w:b/>
        </w:rPr>
        <w:t>符合性审查：</w:t>
      </w:r>
    </w:p>
    <w:p>
      <w:pPr>
        <w:pStyle w:val="31"/>
        <w:keepNext/>
        <w:adjustRightInd w:val="0"/>
        <w:snapToGrid w:val="0"/>
        <w:spacing w:line="360" w:lineRule="exact"/>
        <w:ind w:firstLine="420" w:firstLineChars="200"/>
        <w:rPr>
          <w:rFonts w:hAnsi="宋体"/>
          <w:bCs/>
          <w:spacing w:val="-2"/>
        </w:rPr>
      </w:pPr>
      <w:r>
        <w:rPr>
          <w:rFonts w:hint="eastAsia"/>
          <w:bCs/>
        </w:rPr>
        <w:t>评标委员会对通过资格审查的投标文件</w:t>
      </w:r>
      <w:r>
        <w:rPr>
          <w:rFonts w:hint="eastAsia" w:hAnsi="宋体"/>
        </w:rPr>
        <w:t>的实质性内容是否符合招标文件的实质性要求</w:t>
      </w:r>
      <w:r>
        <w:rPr>
          <w:rFonts w:hint="eastAsia"/>
          <w:bCs/>
        </w:rPr>
        <w:t>进行</w:t>
      </w:r>
      <w:r>
        <w:rPr>
          <w:rFonts w:hint="eastAsia"/>
        </w:rPr>
        <w:t>符合性检查。依据招标文件的规定，从投标文件的有效性、完整性、合法性和对招标文件的响应程度进行审查，以确定是否对招标文件的实质性要求作出响应。未实质性响应招标文件的投标文件按无效投标处理。</w:t>
      </w:r>
    </w:p>
    <w:p>
      <w:pPr>
        <w:keepNext/>
        <w:adjustRightInd w:val="0"/>
        <w:snapToGrid w:val="0"/>
        <w:spacing w:line="360" w:lineRule="exact"/>
        <w:ind w:firstLine="422" w:firstLineChars="200"/>
        <w:rPr>
          <w:rFonts w:ascii="宋体"/>
          <w:b/>
          <w:bCs/>
          <w:szCs w:val="21"/>
        </w:rPr>
      </w:pPr>
      <w:r>
        <w:rPr>
          <w:rFonts w:ascii="宋体" w:hAnsi="宋体"/>
          <w:b/>
          <w:bCs/>
          <w:szCs w:val="21"/>
        </w:rPr>
        <w:t>2.</w:t>
      </w:r>
      <w:r>
        <w:rPr>
          <w:rFonts w:hint="eastAsia" w:ascii="宋体" w:hAnsi="宋体"/>
          <w:b/>
          <w:bCs/>
          <w:szCs w:val="21"/>
        </w:rPr>
        <w:t>比较与评价</w:t>
      </w:r>
    </w:p>
    <w:p>
      <w:pPr>
        <w:pStyle w:val="31"/>
        <w:keepNext/>
        <w:adjustRightInd w:val="0"/>
        <w:snapToGrid w:val="0"/>
        <w:spacing w:line="360" w:lineRule="exact"/>
        <w:ind w:firstLine="420" w:firstLineChars="200"/>
        <w:rPr>
          <w:bCs/>
        </w:rPr>
      </w:pPr>
      <w:r>
        <w:rPr>
          <w:rFonts w:hint="eastAsia"/>
          <w:bCs/>
        </w:rPr>
        <w:t>（</w:t>
      </w:r>
      <w:r>
        <w:rPr>
          <w:bCs/>
        </w:rPr>
        <w:t>1</w:t>
      </w:r>
      <w:r>
        <w:rPr>
          <w:rFonts w:hint="eastAsia"/>
          <w:bCs/>
        </w:rPr>
        <w:t>）评标委员会按照招标文件中规定的评标方法和标准，对符合性审查合格的投标文件进行商务和技术评估，综合比较与评价。</w:t>
      </w:r>
    </w:p>
    <w:p>
      <w:pPr>
        <w:pStyle w:val="31"/>
        <w:keepNext/>
        <w:adjustRightInd w:val="0"/>
        <w:snapToGrid w:val="0"/>
        <w:spacing w:line="360" w:lineRule="exact"/>
        <w:ind w:firstLine="420" w:firstLineChars="200"/>
        <w:rPr>
          <w:bCs/>
        </w:rPr>
      </w:pPr>
      <w:r>
        <w:rPr>
          <w:rFonts w:hint="eastAsia"/>
          <w:bCs/>
        </w:rPr>
        <w:t>（</w:t>
      </w:r>
      <w:r>
        <w:rPr>
          <w:bCs/>
        </w:rPr>
        <w:t>2</w:t>
      </w:r>
      <w:r>
        <w:rPr>
          <w:rFonts w:hint="eastAsia"/>
          <w:bCs/>
        </w:rPr>
        <w:t>）</w:t>
      </w:r>
      <w:r>
        <w:rPr>
          <w:rFonts w:hint="eastAsia" w:hAnsi="宋体"/>
          <w:szCs w:val="21"/>
        </w:rPr>
        <w:t>如投标人的投标报价明显低于其他通过符合性审查投标人的报价时，应当在评标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投标人不能合理说明或者不能提供报价来源相关资料的，视作该投标人以低于成本报价投标，评标委员会可以拒绝其投标文件，评定其报价无效。</w:t>
      </w:r>
    </w:p>
    <w:p>
      <w:pPr>
        <w:pStyle w:val="31"/>
        <w:keepNext/>
        <w:adjustRightInd w:val="0"/>
        <w:snapToGrid w:val="0"/>
        <w:spacing w:line="360" w:lineRule="exact"/>
        <w:ind w:firstLine="420" w:firstLineChars="200"/>
        <w:rPr>
          <w:bCs/>
        </w:rPr>
      </w:pPr>
      <w:r>
        <w:rPr>
          <w:rFonts w:hint="eastAsia"/>
          <w:bCs/>
        </w:rPr>
        <w:t>（</w:t>
      </w:r>
      <w:r>
        <w:rPr>
          <w:bCs/>
        </w:rPr>
        <w:t>3</w:t>
      </w:r>
      <w:r>
        <w:rPr>
          <w:rFonts w:hint="eastAsia"/>
          <w:bCs/>
        </w:rPr>
        <w:t>）评标委员会按照招标文件中规定的评标方法和标准计算各投标人的报价得分。在计算过程中，不得去掉最高报价或最低报价。</w:t>
      </w:r>
    </w:p>
    <w:p>
      <w:pPr>
        <w:pStyle w:val="31"/>
        <w:keepNext/>
        <w:adjustRightInd w:val="0"/>
        <w:snapToGrid w:val="0"/>
        <w:spacing w:line="360" w:lineRule="exact"/>
        <w:ind w:firstLine="420" w:firstLineChars="200"/>
        <w:rPr>
          <w:bCs/>
        </w:rPr>
      </w:pPr>
      <w:r>
        <w:rPr>
          <w:rFonts w:hint="eastAsia"/>
          <w:bCs/>
        </w:rPr>
        <w:t>（</w:t>
      </w:r>
      <w:r>
        <w:rPr>
          <w:bCs/>
        </w:rPr>
        <w:t>4</w:t>
      </w:r>
      <w:r>
        <w:rPr>
          <w:rFonts w:hint="eastAsia"/>
          <w:bCs/>
        </w:rPr>
        <w:t>）各投标人的得分为所有评委的有效评分的算术平均数。</w:t>
      </w:r>
    </w:p>
    <w:p>
      <w:pPr>
        <w:pStyle w:val="31"/>
        <w:keepNext/>
        <w:adjustRightInd w:val="0"/>
        <w:snapToGrid w:val="0"/>
        <w:spacing w:line="360" w:lineRule="exact"/>
        <w:ind w:firstLine="420" w:firstLineChars="200"/>
        <w:rPr>
          <w:bCs/>
        </w:rPr>
      </w:pPr>
      <w:r>
        <w:rPr>
          <w:rFonts w:hint="eastAsia"/>
          <w:bCs/>
        </w:rPr>
        <w:t>（</w:t>
      </w:r>
      <w:r>
        <w:rPr>
          <w:bCs/>
        </w:rPr>
        <w:t>5</w:t>
      </w:r>
      <w:r>
        <w:rPr>
          <w:rFonts w:hint="eastAsia"/>
          <w:bCs/>
        </w:rPr>
        <w:t>）评标委员会按照招标文件中规定推荐中标候选人。</w:t>
      </w:r>
    </w:p>
    <w:p>
      <w:pPr>
        <w:pStyle w:val="31"/>
        <w:keepNext/>
        <w:adjustRightInd w:val="0"/>
        <w:snapToGrid w:val="0"/>
        <w:spacing w:line="360" w:lineRule="exact"/>
        <w:ind w:firstLine="420" w:firstLineChars="200"/>
        <w:rPr>
          <w:bCs/>
        </w:rPr>
      </w:pPr>
      <w:r>
        <w:rPr>
          <w:rFonts w:hint="eastAsia"/>
          <w:bCs/>
        </w:rPr>
        <w:t>（</w:t>
      </w:r>
      <w:r>
        <w:rPr>
          <w:bCs/>
        </w:rPr>
        <w:t>6</w:t>
      </w:r>
      <w:r>
        <w:rPr>
          <w:rFonts w:hint="eastAsia"/>
          <w:bCs/>
        </w:rPr>
        <w:t>）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keepNext/>
        <w:adjustRightInd w:val="0"/>
        <w:snapToGrid w:val="0"/>
        <w:spacing w:line="360" w:lineRule="exact"/>
        <w:ind w:firstLine="420" w:firstLineChars="200"/>
        <w:rPr>
          <w:rFonts w:ascii="宋体"/>
          <w:szCs w:val="21"/>
        </w:rPr>
      </w:pPr>
      <w:r>
        <w:rPr>
          <w:rFonts w:hint="eastAsia" w:ascii="宋体" w:hAnsi="宋体"/>
        </w:rPr>
        <w:t>（</w:t>
      </w:r>
      <w:r>
        <w:rPr>
          <w:rFonts w:ascii="宋体" w:hAnsi="宋体"/>
        </w:rPr>
        <w:t>7</w:t>
      </w:r>
      <w:r>
        <w:rPr>
          <w:rFonts w:hint="eastAsia" w:ascii="宋体" w:hAnsi="宋体"/>
        </w:rPr>
        <w:t>）</w:t>
      </w:r>
      <w:r>
        <w:rPr>
          <w:rFonts w:hint="eastAsia" w:ascii="宋体" w:hAnsi="宋体"/>
          <w:b/>
        </w:rPr>
        <w:t>在评标过程中出现法律法规和招标文件均没有明确规定的情形时，由评标委员会现场协商解决，协商不一致的，由全体评委投票表决，以得票率二分之一以上评委的意见为准。</w:t>
      </w:r>
    </w:p>
    <w:p>
      <w:pPr>
        <w:keepNext/>
        <w:adjustRightInd w:val="0"/>
        <w:snapToGrid w:val="0"/>
        <w:spacing w:line="360" w:lineRule="exact"/>
        <w:rPr>
          <w:rFonts w:ascii="宋体"/>
          <w:b/>
          <w:szCs w:val="21"/>
        </w:rPr>
      </w:pPr>
      <w:r>
        <w:rPr>
          <w:rFonts w:hint="eastAsia" w:ascii="宋体" w:hAnsi="宋体"/>
          <w:b/>
          <w:szCs w:val="21"/>
        </w:rPr>
        <w:t>（四）澄清问题的形式</w:t>
      </w:r>
    </w:p>
    <w:p>
      <w:pPr>
        <w:keepNext/>
        <w:adjustRightInd w:val="0"/>
        <w:snapToGrid w:val="0"/>
        <w:spacing w:line="360" w:lineRule="exact"/>
        <w:ind w:firstLine="420" w:firstLineChars="200"/>
        <w:rPr>
          <w:rFonts w:asci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但不得超出投标文件的范围或者改变投标文件的实质性内容。投标人的澄清、说明或者补正应当采用书面形式，由其授权代表签字或盖章确认。</w:t>
      </w:r>
    </w:p>
    <w:p>
      <w:pPr>
        <w:pStyle w:val="31"/>
        <w:keepNext/>
        <w:adjustRightInd w:val="0"/>
        <w:snapToGrid w:val="0"/>
        <w:spacing w:line="360" w:lineRule="exact"/>
        <w:rPr>
          <w:rFonts w:hAnsi="宋体"/>
          <w:b/>
        </w:rPr>
      </w:pPr>
      <w:r>
        <w:rPr>
          <w:rFonts w:hint="eastAsia" w:hAnsi="宋体"/>
          <w:b/>
        </w:rPr>
        <w:t>（五）错误修正</w:t>
      </w:r>
    </w:p>
    <w:p>
      <w:pPr>
        <w:keepNext/>
        <w:adjustRightInd w:val="0"/>
        <w:snapToGrid w:val="0"/>
        <w:spacing w:line="360" w:lineRule="exact"/>
        <w:ind w:firstLine="420" w:firstLineChars="200"/>
        <w:rPr>
          <w:rFonts w:ascii="宋体"/>
          <w:szCs w:val="21"/>
        </w:rPr>
      </w:pPr>
      <w:r>
        <w:rPr>
          <w:rFonts w:ascii="宋体" w:hAnsi="宋体"/>
          <w:szCs w:val="21"/>
        </w:rPr>
        <w:t>1.</w:t>
      </w:r>
      <w:r>
        <w:rPr>
          <w:rFonts w:hint="eastAsia" w:hAnsi="宋体"/>
        </w:rPr>
        <w:t>投标文件报价出现前后不一致的，执照下列规定修正：</w:t>
      </w:r>
    </w:p>
    <w:p>
      <w:pPr>
        <w:keepNext/>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rPr>
        <w:t>报价表内容</w:t>
      </w:r>
      <w:r>
        <w:rPr>
          <w:rFonts w:hint="eastAsia" w:ascii="宋体" w:hAnsi="宋体"/>
          <w:szCs w:val="21"/>
        </w:rPr>
        <w:t>与</w:t>
      </w:r>
      <w:r>
        <w:rPr>
          <w:rFonts w:hint="eastAsia" w:ascii="宋体" w:hAnsi="宋体"/>
        </w:rPr>
        <w:t>投标文件中相应内容不一致的，以报价表为准</w:t>
      </w:r>
      <w:r>
        <w:rPr>
          <w:rFonts w:hint="eastAsia" w:ascii="宋体" w:hAnsi="宋体"/>
          <w:szCs w:val="21"/>
        </w:rPr>
        <w:t>；</w:t>
      </w:r>
    </w:p>
    <w:p>
      <w:pPr>
        <w:keepNext/>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）投标文件的大写金额和小写金额不一致的，以大写金额为准；</w:t>
      </w:r>
    </w:p>
    <w:p>
      <w:pPr>
        <w:keepNext/>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rPr>
        <w:t>单价金额小数点或者百分比有明显错位的，以报价表的总价为准，并修改单价；</w:t>
      </w:r>
    </w:p>
    <w:p>
      <w:pPr>
        <w:keepNext/>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）总价金额与按单价汇总金额不一致的，以单价金额计算结果为准；</w:t>
      </w:r>
    </w:p>
    <w:p>
      <w:pPr>
        <w:keepNext/>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）对不同文字文本投标文件的解释发生异议的，以中文文本为准。</w:t>
      </w:r>
    </w:p>
    <w:p>
      <w:pPr>
        <w:keepNext/>
        <w:adjustRightInd w:val="0"/>
        <w:snapToGrid w:val="0"/>
        <w:spacing w:line="360" w:lineRule="exact"/>
        <w:ind w:firstLine="420" w:firstLineChars="200"/>
        <w:rPr>
          <w:rFonts w:ascii="宋体"/>
          <w:szCs w:val="21"/>
        </w:rPr>
      </w:pPr>
      <w:r>
        <w:rPr>
          <w:rFonts w:hint="eastAsia" w:ascii="宋体" w:hAnsi="宋体"/>
        </w:rPr>
        <w:t>同时出现两种以上不一致的，按照前款规定的顺序修正。修正后的报价经投标人确认后产生约束力，投标人不确认的，其投标无效。</w:t>
      </w:r>
    </w:p>
    <w:p>
      <w:pPr>
        <w:keepNext/>
        <w:adjustRightInd w:val="0"/>
        <w:snapToGrid w:val="0"/>
        <w:spacing w:line="360" w:lineRule="exact"/>
        <w:ind w:firstLine="420" w:firstLineChars="200"/>
        <w:rPr>
          <w:rFonts w:ascii="宋体"/>
          <w:szCs w:val="21"/>
        </w:rPr>
      </w:pPr>
      <w:r>
        <w:rPr>
          <w:rFonts w:ascii="宋体" w:hAnsi="宋体"/>
          <w:szCs w:val="21"/>
        </w:rPr>
        <w:t>2.</w:t>
      </w:r>
      <w:r>
        <w:rPr>
          <w:rFonts w:hint="eastAsia" w:ascii="宋体" w:hAnsi="宋体"/>
          <w:szCs w:val="21"/>
        </w:rPr>
        <w:t>修正后的最终投标报价若超过采购预算金额，投标人的投标文件作无效投标处理。</w:t>
      </w:r>
    </w:p>
    <w:p>
      <w:pPr>
        <w:keepNext/>
        <w:adjustRightInd w:val="0"/>
        <w:snapToGrid w:val="0"/>
        <w:spacing w:line="360" w:lineRule="exact"/>
        <w:ind w:firstLine="420" w:firstLineChars="200"/>
        <w:rPr>
          <w:rFonts w:ascii="宋体"/>
          <w:szCs w:val="21"/>
        </w:rPr>
      </w:pPr>
      <w:r>
        <w:rPr>
          <w:rFonts w:ascii="宋体" w:hAnsi="宋体"/>
          <w:szCs w:val="21"/>
        </w:rPr>
        <w:t>3.</w:t>
      </w:r>
      <w:r>
        <w:rPr>
          <w:rFonts w:hint="eastAsia" w:ascii="宋体" w:hAnsi="宋体"/>
          <w:szCs w:val="21"/>
        </w:rPr>
        <w:t>签订合同时按以下办法处理：</w:t>
      </w:r>
    </w:p>
    <w:p>
      <w:pPr>
        <w:keepNext/>
        <w:adjustRightInd w:val="0"/>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）若修正后的最终投标报价小于开标时的报价表文字报价，则签订合同时以修正后的最终投标报价为准；</w:t>
      </w:r>
    </w:p>
    <w:p>
      <w:pPr>
        <w:pStyle w:val="31"/>
        <w:keepNext/>
        <w:adjustRightInd w:val="0"/>
        <w:snapToGrid w:val="0"/>
        <w:spacing w:line="360" w:lineRule="exact"/>
        <w:ind w:firstLine="420" w:firstLineChars="200"/>
        <w:rPr>
          <w:rFonts w:hAnsi="宋体"/>
          <w:bCs/>
          <w:spacing w:val="-2"/>
        </w:rPr>
      </w:pPr>
      <w:r>
        <w:rPr>
          <w:rFonts w:hint="eastAsia" w:hAnsi="宋体"/>
          <w:szCs w:val="21"/>
        </w:rPr>
        <w:t>（</w:t>
      </w:r>
      <w:r>
        <w:rPr>
          <w:rFonts w:hAnsi="宋体"/>
          <w:szCs w:val="21"/>
        </w:rPr>
        <w:t>2</w:t>
      </w:r>
      <w:r>
        <w:rPr>
          <w:rFonts w:hint="eastAsia" w:hAnsi="宋体"/>
          <w:szCs w:val="21"/>
        </w:rPr>
        <w:t>）若修正后的最终投标报价大于开标时的报价表文字报价，则签订合同时以开标时的报价表文字报价为准，同时按比例修正相应项目的单价或总价。</w:t>
      </w:r>
    </w:p>
    <w:p>
      <w:pPr>
        <w:pStyle w:val="31"/>
        <w:keepNext/>
        <w:tabs>
          <w:tab w:val="left" w:pos="630"/>
        </w:tabs>
        <w:adjustRightInd w:val="0"/>
        <w:snapToGrid w:val="0"/>
        <w:spacing w:line="360" w:lineRule="exact"/>
        <w:rPr>
          <w:rFonts w:hAnsi="宋体"/>
          <w:b/>
        </w:rPr>
      </w:pPr>
      <w:r>
        <w:rPr>
          <w:rFonts w:hint="eastAsia" w:hAnsi="宋体"/>
          <w:b/>
        </w:rPr>
        <w:t>（六）评标原则和评标办法</w:t>
      </w:r>
    </w:p>
    <w:p>
      <w:pPr>
        <w:pStyle w:val="31"/>
        <w:keepNext/>
        <w:adjustRightInd w:val="0"/>
        <w:snapToGrid w:val="0"/>
        <w:spacing w:line="360" w:lineRule="exact"/>
        <w:ind w:firstLine="420" w:firstLineChars="200"/>
        <w:rPr>
          <w:rFonts w:hAnsi="宋体"/>
        </w:rPr>
      </w:pPr>
      <w:r>
        <w:rPr>
          <w:rFonts w:hAnsi="宋体"/>
        </w:rPr>
        <w:t>1.</w:t>
      </w:r>
      <w:r>
        <w:rPr>
          <w:rFonts w:hint="eastAsia" w:hAnsi="宋体"/>
        </w:rPr>
        <w:t>评标原则。评标活动遵循公平、公正、科学、择优的原则。评标委员会应当按照客观、公正、审慎的原则评标，不带任何倾向性和歧视性；不得向外界透露任何与评标有关的内容；任何单位和个人不得干扰、影响评标的正常进行；评标委员会及有关工作人员不得私下与投标人接触。</w:t>
      </w:r>
    </w:p>
    <w:p>
      <w:pPr>
        <w:pStyle w:val="31"/>
        <w:keepNext/>
        <w:adjustRightInd w:val="0"/>
        <w:snapToGrid w:val="0"/>
        <w:spacing w:line="360" w:lineRule="exact"/>
        <w:ind w:firstLine="420" w:firstLineChars="200"/>
        <w:rPr>
          <w:rFonts w:hAnsi="宋体"/>
        </w:rPr>
      </w:pPr>
      <w:r>
        <w:rPr>
          <w:rFonts w:hAnsi="宋体"/>
        </w:rPr>
        <w:t>2.</w:t>
      </w:r>
      <w:r>
        <w:rPr>
          <w:rFonts w:hint="eastAsia" w:hAnsi="宋体"/>
        </w:rPr>
        <w:t>评标办法。本项目将按投标人须知前附表规定的评标办法进行评标，具体评标内容及评分标准等详见第六章。</w:t>
      </w:r>
    </w:p>
    <w:p>
      <w:pPr>
        <w:pStyle w:val="31"/>
        <w:keepNext/>
        <w:adjustRightInd w:val="0"/>
        <w:snapToGrid w:val="0"/>
        <w:spacing w:line="360" w:lineRule="exact"/>
        <w:rPr>
          <w:rFonts w:hAnsi="宋体"/>
          <w:b/>
        </w:rPr>
      </w:pPr>
      <w:r>
        <w:rPr>
          <w:rFonts w:hint="eastAsia" w:hAnsi="宋体"/>
          <w:b/>
        </w:rPr>
        <w:t>（七）评标过程的监控</w:t>
      </w:r>
    </w:p>
    <w:p>
      <w:pPr>
        <w:pStyle w:val="31"/>
        <w:keepNext/>
        <w:adjustRightInd w:val="0"/>
        <w:snapToGrid w:val="0"/>
        <w:spacing w:line="360"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本项目评标过程实行全程录音、录像监控，投标人在评标过程中所进行的试图影响评标结果的不公正活动，可能导致其投标按无效处理。</w:t>
      </w:r>
      <w:bookmarkStart w:id="71" w:name="_Toc254970546"/>
      <w:bookmarkStart w:id="72" w:name="_Toc254970687"/>
    </w:p>
    <w:p>
      <w:pPr>
        <w:pStyle w:val="31"/>
        <w:keepNext/>
        <w:adjustRightInd w:val="0"/>
        <w:snapToGrid w:val="0"/>
        <w:spacing w:line="360" w:lineRule="exact"/>
        <w:jc w:val="center"/>
        <w:rPr>
          <w:rFonts w:hAnsi="宋体"/>
          <w:b/>
        </w:rPr>
      </w:pPr>
      <w:r>
        <w:rPr>
          <w:rFonts w:hint="eastAsia" w:hAnsi="宋体"/>
          <w:b/>
        </w:rPr>
        <w:t>七、评标结果</w:t>
      </w:r>
      <w:bookmarkEnd w:id="71"/>
      <w:bookmarkEnd w:id="72"/>
    </w:p>
    <w:p>
      <w:pPr>
        <w:pStyle w:val="31"/>
        <w:keepNext/>
        <w:adjustRightInd w:val="0"/>
        <w:snapToGrid w:val="0"/>
        <w:spacing w:line="360" w:lineRule="exact"/>
        <w:rPr>
          <w:rFonts w:hAnsi="宋体"/>
          <w:szCs w:val="21"/>
        </w:rPr>
      </w:pPr>
      <w:r>
        <w:rPr>
          <w:rFonts w:hint="eastAsia" w:hAnsi="宋体"/>
        </w:rPr>
        <w:t>（一）招标代理机构将在评标结束后二个工作日内将评标报告送达招标人，招标人自收到评标报告之日起五个工作日内在评标报告中推荐的中标候选人名单中按顺序确定中标供应商。</w:t>
      </w:r>
      <w:r>
        <w:rPr>
          <w:rFonts w:hint="eastAsia"/>
        </w:rPr>
        <w:t>中标候选人并列的，</w:t>
      </w:r>
      <w:r>
        <w:rPr>
          <w:rFonts w:hint="eastAsia" w:hAnsi="宋体"/>
          <w:szCs w:val="21"/>
        </w:rPr>
        <w:t>以投标报价由低到高顺序</w:t>
      </w:r>
      <w:r>
        <w:rPr>
          <w:rFonts w:hint="eastAsia" w:hAnsi="宋体"/>
        </w:rPr>
        <w:t>确定中标供应商</w:t>
      </w:r>
      <w:r>
        <w:rPr>
          <w:rFonts w:hint="eastAsia" w:hAnsi="宋体"/>
          <w:szCs w:val="21"/>
        </w:rPr>
        <w:t>；总得分相同且投标报价相同的，按技术指标优劣顺序</w:t>
      </w:r>
      <w:r>
        <w:rPr>
          <w:rFonts w:hint="eastAsia" w:hAnsi="宋体"/>
        </w:rPr>
        <w:t>确定中标供应商；按上述方法仍不能确定的</w:t>
      </w:r>
      <w:r>
        <w:rPr>
          <w:rFonts w:hint="eastAsia"/>
        </w:rPr>
        <w:t>由招标人或者招标人委托评标委员会采取随机抽取的方式确定中标供应商。</w:t>
      </w:r>
      <w:r>
        <w:rPr>
          <w:rFonts w:hint="eastAsia" w:hAnsi="宋体"/>
          <w:szCs w:val="21"/>
        </w:rPr>
        <w:t>招标人也可以事先授权评标委员会直接确定中标供应商。</w:t>
      </w:r>
    </w:p>
    <w:p>
      <w:pPr>
        <w:keepNext/>
        <w:adjustRightInd w:val="0"/>
        <w:snapToGrid w:val="0"/>
        <w:spacing w:line="360" w:lineRule="exact"/>
        <w:rPr>
          <w:rFonts w:ascii="宋体"/>
        </w:rPr>
      </w:pPr>
      <w:r>
        <w:rPr>
          <w:rFonts w:hint="eastAsia" w:ascii="宋体" w:hAnsi="宋体"/>
        </w:rPr>
        <w:t>（二）招标代理机构在招标人确定中标供应商后，向中标供应商发出中标通知书，同时在中国政府采购网、广西政府采购</w:t>
      </w:r>
      <w:r>
        <w:rPr>
          <w:rFonts w:hint="eastAsia" w:ascii="宋体" w:hAnsi="宋体"/>
          <w:szCs w:val="21"/>
        </w:rPr>
        <w:t>网</w:t>
      </w:r>
      <w:r>
        <w:rPr>
          <w:rFonts w:hint="eastAsia" w:ascii="宋体" w:hAnsi="宋体"/>
        </w:rPr>
        <w:t>上发布中标公告，招标文件随中标结果同时公告。</w:t>
      </w:r>
      <w:r>
        <w:rPr>
          <w:rFonts w:hint="eastAsia" w:ascii="宋体" w:hAnsi="宋体" w:cs="Courier New"/>
          <w:szCs w:val="21"/>
        </w:rPr>
        <w:t>对未通过资格审查的投标人，应当告知其未通过的原因；采用综合评分办法评审的，还应当告知未中标供应商本人的评审得分与排序。</w:t>
      </w:r>
    </w:p>
    <w:p>
      <w:pPr>
        <w:pStyle w:val="31"/>
        <w:keepNext/>
        <w:adjustRightInd w:val="0"/>
        <w:snapToGrid w:val="0"/>
        <w:spacing w:line="360" w:lineRule="exact"/>
        <w:rPr>
          <w:rFonts w:hAnsi="宋体"/>
        </w:rPr>
      </w:pPr>
      <w:r>
        <w:rPr>
          <w:rFonts w:hint="eastAsia" w:hAnsi="宋体"/>
        </w:rPr>
        <w:t>（三）投标人对中标公告有异议的，应当在中标公告发布期满之日起七个工作日内，以书面形式向招标人或招标人委托的招标代理机构提出质疑。招标人或招标人委托的招标代理机构应当在收到投标人书面质疑后七个工作日内做出答复，但答复的内容不得涉及商业秘密。</w:t>
      </w:r>
    </w:p>
    <w:p>
      <w:pPr>
        <w:pStyle w:val="31"/>
        <w:keepNext/>
        <w:adjustRightInd w:val="0"/>
        <w:snapToGrid w:val="0"/>
        <w:spacing w:line="360" w:lineRule="exact"/>
        <w:rPr>
          <w:rFonts w:hAnsi="宋体"/>
          <w:b/>
        </w:rPr>
      </w:pPr>
      <w:r>
        <w:rPr>
          <w:rFonts w:hint="eastAsia" w:hAnsi="宋体"/>
        </w:rPr>
        <w:t>（四）招标代理机构无义务向未中标的供应商解释未中标原因和退还投标文件。</w:t>
      </w:r>
    </w:p>
    <w:p>
      <w:pPr>
        <w:pStyle w:val="31"/>
        <w:keepNext/>
        <w:adjustRightInd w:val="0"/>
        <w:snapToGrid w:val="0"/>
        <w:spacing w:line="360" w:lineRule="exact"/>
        <w:jc w:val="center"/>
        <w:rPr>
          <w:rFonts w:hAnsi="宋体"/>
          <w:b/>
        </w:rPr>
      </w:pPr>
      <w:r>
        <w:rPr>
          <w:rFonts w:hint="eastAsia" w:hAnsi="宋体"/>
          <w:b/>
        </w:rPr>
        <w:t>八、签订合同</w:t>
      </w:r>
    </w:p>
    <w:p>
      <w:pPr>
        <w:pStyle w:val="31"/>
        <w:keepNext/>
        <w:adjustRightInd w:val="0"/>
        <w:snapToGrid w:val="0"/>
        <w:spacing w:line="360" w:lineRule="exact"/>
        <w:rPr>
          <w:rFonts w:hAnsi="宋体"/>
          <w:b/>
        </w:rPr>
      </w:pPr>
      <w:r>
        <w:rPr>
          <w:rFonts w:hint="eastAsia" w:hAnsi="宋体"/>
          <w:b/>
        </w:rPr>
        <w:t>（一）合同授予标准</w:t>
      </w:r>
    </w:p>
    <w:p>
      <w:pPr>
        <w:pStyle w:val="31"/>
        <w:keepNext/>
        <w:adjustRightInd w:val="0"/>
        <w:snapToGrid w:val="0"/>
        <w:spacing w:line="360" w:lineRule="exact"/>
        <w:ind w:firstLine="420" w:firstLineChars="200"/>
        <w:rPr>
          <w:rFonts w:hAnsi="宋体"/>
        </w:rPr>
      </w:pPr>
      <w:r>
        <w:rPr>
          <w:rFonts w:hint="eastAsia" w:hAnsi="宋体"/>
        </w:rPr>
        <w:t>合同将授予被确定实质性响应招标文件要求，具备履行合同能力，综合评审得分最高排名第一的投标人。</w:t>
      </w:r>
    </w:p>
    <w:p>
      <w:pPr>
        <w:pStyle w:val="31"/>
        <w:keepNext/>
        <w:adjustRightInd w:val="0"/>
        <w:snapToGrid w:val="0"/>
        <w:spacing w:line="360" w:lineRule="exact"/>
        <w:rPr>
          <w:rFonts w:hAnsi="宋体"/>
        </w:rPr>
      </w:pPr>
      <w:r>
        <w:rPr>
          <w:rFonts w:hint="eastAsia" w:hAnsi="宋体"/>
          <w:b/>
        </w:rPr>
        <w:t>（二）签订合同</w:t>
      </w:r>
    </w:p>
    <w:p>
      <w:pPr>
        <w:pStyle w:val="31"/>
        <w:keepNext/>
        <w:adjustRightInd w:val="0"/>
        <w:snapToGrid w:val="0"/>
        <w:spacing w:line="360" w:lineRule="exact"/>
        <w:ind w:firstLine="420" w:firstLineChars="200"/>
        <w:rPr>
          <w:rFonts w:hAnsi="宋体"/>
        </w:rPr>
      </w:pPr>
      <w:r>
        <w:rPr>
          <w:rFonts w:hAnsi="宋体"/>
        </w:rPr>
        <w:t>1.</w:t>
      </w:r>
      <w:r>
        <w:rPr>
          <w:rFonts w:hint="eastAsia" w:hAnsi="宋体"/>
        </w:rPr>
        <w:t>投标人收到中标通知书后，应按要求与招标单位签订合同。投标人由法定代表人授权委托其代表签署合同的，在合同中必须附上被授权人的法定代表人授权委托书。</w:t>
      </w:r>
    </w:p>
    <w:p>
      <w:pPr>
        <w:pStyle w:val="31"/>
        <w:keepNext/>
        <w:adjustRightInd w:val="0"/>
        <w:snapToGrid w:val="0"/>
        <w:spacing w:line="360" w:lineRule="exact"/>
        <w:ind w:firstLine="420" w:firstLineChars="200"/>
        <w:rPr>
          <w:rFonts w:hAnsi="宋体"/>
        </w:rPr>
      </w:pPr>
      <w:r>
        <w:rPr>
          <w:rFonts w:hAnsi="宋体"/>
        </w:rPr>
        <w:t>2.</w:t>
      </w:r>
      <w:r>
        <w:rPr>
          <w:rFonts w:hint="eastAsia" w:hAnsi="宋体"/>
          <w:spacing w:val="-2"/>
        </w:rPr>
        <w:t>由于中标供应商放弃中标或未按规定签订合同（招标单位原因除外）或拒不履行合同的，则按中标供应商违约处理，招标单位有权取消该中标决定，中标供应商应当依法承担法律责任，并承担由此给招标单位带来的经济损失，</w:t>
      </w:r>
      <w:r>
        <w:rPr>
          <w:rFonts w:hint="eastAsia" w:hAnsi="宋体"/>
        </w:rPr>
        <w:t>招标单位可以确定排名第二位的中标候选人并与其签订政府采购合同，以此类推。出现上述情况，招标单位也可以重新开展政府采购活动</w:t>
      </w:r>
      <w:r>
        <w:rPr>
          <w:rFonts w:hint="eastAsia" w:hAnsi="宋体"/>
          <w:spacing w:val="-2"/>
        </w:rPr>
        <w:t>。</w:t>
      </w:r>
    </w:p>
    <w:p>
      <w:pPr>
        <w:pStyle w:val="31"/>
        <w:keepNext/>
        <w:adjustRightInd w:val="0"/>
        <w:snapToGrid w:val="0"/>
        <w:spacing w:line="360" w:lineRule="exact"/>
        <w:ind w:firstLine="420" w:firstLineChars="200"/>
        <w:rPr>
          <w:rFonts w:hAnsi="宋体"/>
        </w:rPr>
      </w:pPr>
      <w:r>
        <w:rPr>
          <w:rFonts w:hAnsi="宋体"/>
        </w:rPr>
        <w:t>3.</w:t>
      </w:r>
      <w:r>
        <w:rPr>
          <w:rFonts w:hint="eastAsia" w:hAnsi="宋体"/>
        </w:rPr>
        <w:t>中标供应商因不可抗力或者自身原因不能履行政府采购合同的，招标单位可以确定排名第二位的中标候选人并与其签订政府采购合同，以此类推。出现上述情况，招标单位也可以重新开展政府采购活动。</w:t>
      </w:r>
      <w:r>
        <w:rPr>
          <w:rFonts w:hint="eastAsia" w:hAnsi="宋体" w:cs="宋体"/>
          <w:kern w:val="0"/>
          <w:szCs w:val="21"/>
        </w:rPr>
        <w:t>无正当理由拒绝签订政府采购合同的中标供应商不得参加该项目重新开展的采购活动。</w:t>
      </w:r>
    </w:p>
    <w:p>
      <w:pPr>
        <w:pStyle w:val="31"/>
        <w:keepNext/>
        <w:adjustRightInd w:val="0"/>
        <w:snapToGrid w:val="0"/>
        <w:spacing w:line="360" w:lineRule="exact"/>
        <w:ind w:firstLine="420"/>
        <w:rPr>
          <w:rFonts w:hAnsi="宋体"/>
        </w:rPr>
      </w:pPr>
      <w:r>
        <w:rPr>
          <w:rFonts w:hAnsi="宋体" w:cs="宋体"/>
          <w:bCs/>
        </w:rPr>
        <w:t>4.</w:t>
      </w:r>
      <w:r>
        <w:rPr>
          <w:rFonts w:hint="eastAsia" w:hAnsi="宋体" w:cs="宋体"/>
          <w:b/>
          <w:bCs/>
        </w:rPr>
        <w:t>中标</w:t>
      </w:r>
      <w:r>
        <w:rPr>
          <w:rFonts w:hint="eastAsia" w:hAnsi="宋体" w:cs="宋体"/>
          <w:b/>
          <w:bCs/>
          <w:kern w:val="0"/>
        </w:rPr>
        <w:t>供应商在签订合同时，必须成为政采云网上交易平台的正式入驻供应商</w:t>
      </w:r>
      <w:r>
        <w:rPr>
          <w:rFonts w:hint="eastAsia" w:hAnsi="宋体" w:cs="宋体"/>
          <w:kern w:val="0"/>
        </w:rPr>
        <w:t>，否则由此使招标单位不能按要求及时在相关媒体上发布合同公告所造成的一切后果及损失均由该中标供应商承担和赔偿，招标单位有权单方面解除合同，同时有权按国家相关法律法规追究该中标供应商虚假应标的相关责任。</w:t>
      </w:r>
    </w:p>
    <w:p>
      <w:pPr>
        <w:pStyle w:val="31"/>
        <w:keepNext/>
        <w:adjustRightInd w:val="0"/>
        <w:snapToGrid w:val="0"/>
        <w:spacing w:line="360" w:lineRule="exact"/>
        <w:rPr>
          <w:rFonts w:hAnsi="宋体"/>
        </w:rPr>
      </w:pPr>
      <w:r>
        <w:rPr>
          <w:rFonts w:hint="eastAsia" w:hAnsi="宋体"/>
          <w:b/>
        </w:rPr>
        <w:t>（三）政府采购合同公告：</w:t>
      </w:r>
    </w:p>
    <w:p>
      <w:pPr>
        <w:pStyle w:val="31"/>
        <w:keepNext/>
        <w:adjustRightInd w:val="0"/>
        <w:snapToGrid w:val="0"/>
        <w:spacing w:line="360" w:lineRule="exact"/>
        <w:ind w:firstLine="420" w:firstLineChars="200"/>
        <w:rPr>
          <w:rFonts w:hAnsi="宋体"/>
          <w:b/>
        </w:rPr>
      </w:pPr>
      <w:r>
        <w:rPr>
          <w:rFonts w:hAnsi="宋体"/>
        </w:rPr>
        <w:t>1.</w:t>
      </w:r>
      <w:r>
        <w:rPr>
          <w:rFonts w:hint="eastAsia" w:hAnsi="宋体"/>
        </w:rPr>
        <w:t>招标单位或招标代理机构应当自政府采购合同签订之日起</w:t>
      </w:r>
      <w:r>
        <w:rPr>
          <w:rFonts w:hAnsi="宋体"/>
        </w:rPr>
        <w:t>1</w:t>
      </w:r>
      <w:r>
        <w:rPr>
          <w:rFonts w:hint="eastAsia" w:hAnsi="宋体"/>
        </w:rPr>
        <w:t>个工作日内，将政府采购合同在省级以上人民政府财政部门指定的媒体上公告，但政府采购合同中涉及国家秘密、商业秘密的内容除外。</w:t>
      </w:r>
      <w:r>
        <w:rPr>
          <w:rFonts w:hint="eastAsia" w:hAnsi="宋体"/>
          <w:b/>
        </w:rPr>
        <w:t>因此请各投标人应在投标文件中注明投标内容中涉及商业秘密的部分，未注明的视为投标文件中不涉及商业秘密。</w:t>
      </w:r>
    </w:p>
    <w:p>
      <w:pPr>
        <w:pStyle w:val="31"/>
        <w:keepNext/>
        <w:adjustRightInd w:val="0"/>
        <w:snapToGrid w:val="0"/>
        <w:spacing w:line="360" w:lineRule="exact"/>
        <w:ind w:firstLine="422" w:firstLineChars="200"/>
        <w:rPr>
          <w:rFonts w:hAnsi="宋体" w:cs="宋体"/>
          <w:b/>
          <w:bCs/>
          <w:color w:val="auto"/>
        </w:rPr>
      </w:pPr>
      <w:r>
        <w:rPr>
          <w:rFonts w:hAnsi="宋体"/>
          <w:b/>
        </w:rPr>
        <w:t>2.</w:t>
      </w:r>
      <w:r>
        <w:rPr>
          <w:rFonts w:hint="eastAsia" w:hAnsi="宋体" w:cs="宋体"/>
          <w:b/>
          <w:bCs/>
        </w:rPr>
        <w:t>中标供应商须在合同签订生效之日起</w:t>
      </w:r>
      <w:r>
        <w:rPr>
          <w:rFonts w:hAnsi="宋体" w:cs="宋体"/>
          <w:b/>
          <w:bCs/>
        </w:rPr>
        <w:t>1</w:t>
      </w:r>
      <w:r>
        <w:rPr>
          <w:rFonts w:hint="eastAsia" w:hAnsi="宋体" w:cs="宋体"/>
          <w:b/>
          <w:bCs/>
        </w:rPr>
        <w:t>个工作日内，将政府采购合同扫描件发送到招标代理机构邮箱，并将政府采购合同原件</w:t>
      </w:r>
      <w:r>
        <w:rPr>
          <w:rFonts w:hAnsi="宋体" w:cs="宋体"/>
          <w:b/>
          <w:bCs/>
        </w:rPr>
        <w:t>2</w:t>
      </w:r>
      <w:r>
        <w:rPr>
          <w:rFonts w:hint="eastAsia" w:hAnsi="宋体" w:cs="宋体"/>
          <w:b/>
          <w:bCs/>
        </w:rPr>
        <w:t>份送（或寄）达到招标代理机构，招标代理机构在收到政府采购合同后在相关媒体上公告。</w:t>
      </w:r>
    </w:p>
    <w:p>
      <w:pPr>
        <w:pStyle w:val="31"/>
        <w:keepNext/>
        <w:adjustRightInd w:val="0"/>
        <w:snapToGrid w:val="0"/>
        <w:spacing w:line="360" w:lineRule="exact"/>
        <w:jc w:val="center"/>
        <w:rPr>
          <w:rFonts w:hAnsi="宋体" w:cs="宋体"/>
          <w:bCs/>
          <w:color w:val="auto"/>
        </w:rPr>
      </w:pPr>
      <w:r>
        <w:rPr>
          <w:rFonts w:hint="eastAsia" w:hAnsi="宋体"/>
          <w:b/>
          <w:color w:val="auto"/>
        </w:rPr>
        <w:t>九、质量保证金</w:t>
      </w:r>
    </w:p>
    <w:p>
      <w:pPr>
        <w:pStyle w:val="31"/>
        <w:keepNext/>
        <w:adjustRightInd w:val="0"/>
        <w:snapToGrid w:val="0"/>
        <w:spacing w:line="360" w:lineRule="exact"/>
        <w:ind w:firstLine="420" w:firstLineChars="200"/>
        <w:rPr>
          <w:rFonts w:hAnsi="宋体" w:cs="宋体"/>
          <w:bCs/>
          <w:color w:val="auto"/>
        </w:rPr>
      </w:pPr>
      <w:r>
        <w:rPr>
          <w:rFonts w:hint="eastAsia" w:hAnsi="宋体" w:cs="宋体"/>
          <w:bCs/>
          <w:color w:val="auto"/>
        </w:rPr>
        <w:t>无需提供。</w:t>
      </w:r>
    </w:p>
    <w:p>
      <w:pPr>
        <w:pStyle w:val="31"/>
        <w:keepNext/>
        <w:adjustRightInd w:val="0"/>
        <w:snapToGrid w:val="0"/>
        <w:spacing w:line="360" w:lineRule="exact"/>
        <w:jc w:val="center"/>
        <w:rPr>
          <w:rFonts w:hAnsi="宋体"/>
          <w:b/>
        </w:rPr>
      </w:pPr>
      <w:r>
        <w:rPr>
          <w:rFonts w:hint="eastAsia" w:hAnsi="宋体"/>
          <w:b/>
        </w:rPr>
        <w:t>十、其他事项</w:t>
      </w:r>
    </w:p>
    <w:p>
      <w:pPr>
        <w:pStyle w:val="31"/>
        <w:keepNext/>
        <w:spacing w:line="360" w:lineRule="exact"/>
        <w:ind w:firstLine="420"/>
        <w:rPr>
          <w:rFonts w:hAnsi="宋体" w:cs="宋体"/>
          <w:bCs/>
        </w:rPr>
      </w:pPr>
      <w:r>
        <w:rPr>
          <w:rFonts w:hAnsi="宋体"/>
          <w:b/>
        </w:rPr>
        <w:t>1.</w:t>
      </w:r>
      <w:r>
        <w:rPr>
          <w:rFonts w:hint="eastAsia" w:hAnsi="宋体"/>
          <w:b/>
        </w:rPr>
        <w:t>招标代理服务费的收取。</w:t>
      </w:r>
      <w:r>
        <w:rPr>
          <w:rFonts w:hint="eastAsia" w:hAnsi="宋体"/>
        </w:rPr>
        <w:t>按国家发展改革委《关于进一步放开建设项目专业服务价格的通知》（发改价格</w:t>
      </w:r>
      <w:r>
        <w:rPr>
          <w:rFonts w:hAnsi="宋体"/>
        </w:rPr>
        <w:t>[2015]299</w:t>
      </w:r>
      <w:r>
        <w:rPr>
          <w:rFonts w:hint="eastAsia" w:hAnsi="宋体"/>
        </w:rPr>
        <w:t>号）的规定，本项目代理服务费收费标准实行市场调节。签订合同前，中标供应商按规定向招标代理机构一次性付清招标代理服务费，本项目代理服务费金额为：</w:t>
      </w:r>
      <w:r>
        <w:rPr>
          <w:rFonts w:hint="eastAsia" w:hAnsi="宋体" w:cs="宋体"/>
          <w:szCs w:val="21"/>
        </w:rPr>
        <w:t>人民币贰万捌仟壹佰肆拾元整（¥28140.00）</w:t>
      </w:r>
      <w:r>
        <w:rPr>
          <w:rFonts w:hint="eastAsia" w:hAnsi="宋体" w:cs="宋体"/>
          <w:bCs/>
        </w:rPr>
        <w:t>。</w:t>
      </w:r>
    </w:p>
    <w:p>
      <w:pPr>
        <w:pStyle w:val="31"/>
        <w:keepNext/>
        <w:adjustRightInd w:val="0"/>
        <w:snapToGrid w:val="0"/>
        <w:spacing w:line="360" w:lineRule="exact"/>
        <w:ind w:firstLine="422" w:firstLineChars="200"/>
        <w:rPr>
          <w:rFonts w:hAnsi="宋体"/>
          <w:b/>
        </w:rPr>
      </w:pPr>
      <w:r>
        <w:rPr>
          <w:rFonts w:hAnsi="宋体"/>
          <w:b/>
        </w:rPr>
        <w:t>2.</w:t>
      </w:r>
      <w:r>
        <w:rPr>
          <w:rFonts w:hint="eastAsia" w:hAnsi="宋体"/>
          <w:b/>
        </w:rPr>
        <w:t>招标人按招标文件的规定和要求组织履约验收，中标供应商须予以配合。验收通过的，签署政府采购项目合同验收书【格式见本章附件</w:t>
      </w:r>
      <w:r>
        <w:rPr>
          <w:rFonts w:hAnsi="宋体"/>
          <w:b/>
        </w:rPr>
        <w:t>2</w:t>
      </w:r>
      <w:r>
        <w:rPr>
          <w:rFonts w:hint="eastAsia" w:hAnsi="宋体"/>
          <w:b/>
        </w:rPr>
        <w:t>】，中标供应商须在验收书签署后</w:t>
      </w:r>
      <w:r>
        <w:rPr>
          <w:rFonts w:hAnsi="宋体"/>
          <w:b/>
        </w:rPr>
        <w:t>1</w:t>
      </w:r>
      <w:r>
        <w:rPr>
          <w:rFonts w:hint="eastAsia" w:hAnsi="宋体"/>
          <w:b/>
        </w:rPr>
        <w:t>个工作日内将验收书扫描件发送至招标代理机构邮箱，并同时将纸质文件送（或寄）到招标代理机构。</w:t>
      </w:r>
    </w:p>
    <w:p>
      <w:pPr>
        <w:pStyle w:val="31"/>
        <w:keepNext/>
        <w:adjustRightInd w:val="0"/>
        <w:snapToGrid w:val="0"/>
        <w:spacing w:line="360" w:lineRule="exact"/>
        <w:ind w:firstLine="422" w:firstLineChars="200"/>
        <w:rPr>
          <w:rFonts w:hAnsi="宋体"/>
          <w:b/>
        </w:rPr>
      </w:pPr>
      <w:r>
        <w:rPr>
          <w:rFonts w:hAnsi="宋体"/>
          <w:b/>
        </w:rPr>
        <w:t>3.</w:t>
      </w:r>
      <w:r>
        <w:rPr>
          <w:rFonts w:hint="eastAsia" w:hAnsi="宋体"/>
          <w:b/>
        </w:rPr>
        <w:t>电子交易异常情形处理：采购过程中出现以下异常情形，导致电子交易平台无法正常运行，或者无法保证电子交易的公平、公正和安全时，招标人或招标代理机构有权中止电子交易活动：</w:t>
      </w:r>
    </w:p>
    <w:p>
      <w:pPr>
        <w:pStyle w:val="31"/>
        <w:keepNext/>
        <w:adjustRightInd w:val="0"/>
        <w:snapToGrid w:val="0"/>
        <w:spacing w:line="360" w:lineRule="exact"/>
        <w:ind w:firstLine="422" w:firstLineChars="200"/>
        <w:rPr>
          <w:rFonts w:hAnsi="宋体"/>
          <w:b/>
        </w:rPr>
      </w:pPr>
      <w:r>
        <w:rPr>
          <w:rFonts w:hint="eastAsia" w:hAnsi="宋体"/>
          <w:b/>
        </w:rPr>
        <w:t>（1）电子交易平台发生故障而无法登录访问的；</w:t>
      </w:r>
    </w:p>
    <w:p>
      <w:pPr>
        <w:pStyle w:val="31"/>
        <w:keepNext/>
        <w:adjustRightInd w:val="0"/>
        <w:snapToGrid w:val="0"/>
        <w:spacing w:line="360" w:lineRule="exact"/>
        <w:ind w:firstLine="422" w:firstLineChars="200"/>
        <w:rPr>
          <w:rFonts w:hAnsi="宋体"/>
          <w:b/>
        </w:rPr>
      </w:pPr>
      <w:r>
        <w:rPr>
          <w:rFonts w:hint="eastAsia" w:hAnsi="宋体"/>
          <w:b/>
        </w:rPr>
        <w:t>（2）电子交易平台应用或数据库出现错误，不能进行正常操作的；</w:t>
      </w:r>
    </w:p>
    <w:p>
      <w:pPr>
        <w:pStyle w:val="31"/>
        <w:keepNext/>
        <w:adjustRightInd w:val="0"/>
        <w:snapToGrid w:val="0"/>
        <w:spacing w:line="360" w:lineRule="exact"/>
        <w:ind w:firstLine="422" w:firstLineChars="200"/>
        <w:rPr>
          <w:rFonts w:hAnsi="宋体"/>
          <w:b/>
        </w:rPr>
      </w:pPr>
      <w:r>
        <w:rPr>
          <w:rFonts w:hint="eastAsia" w:hAnsi="宋体"/>
          <w:b/>
        </w:rPr>
        <w:t>（3）电子交易平台发现严重安全漏洞，潜在泄密危险的；</w:t>
      </w:r>
    </w:p>
    <w:p>
      <w:pPr>
        <w:pStyle w:val="31"/>
        <w:keepNext/>
        <w:adjustRightInd w:val="0"/>
        <w:snapToGrid w:val="0"/>
        <w:spacing w:line="360" w:lineRule="exact"/>
        <w:ind w:firstLine="422" w:firstLineChars="200"/>
        <w:rPr>
          <w:rFonts w:hAnsi="宋体"/>
          <w:b/>
        </w:rPr>
      </w:pPr>
      <w:r>
        <w:rPr>
          <w:rFonts w:hint="eastAsia" w:hAnsi="宋体"/>
          <w:b/>
        </w:rPr>
        <w:t>（4）病毒发作导致不能进行正常操作的；</w:t>
      </w:r>
    </w:p>
    <w:p>
      <w:pPr>
        <w:pStyle w:val="31"/>
        <w:keepNext/>
        <w:adjustRightInd w:val="0"/>
        <w:snapToGrid w:val="0"/>
        <w:spacing w:line="360" w:lineRule="exact"/>
        <w:ind w:firstLine="422" w:firstLineChars="200"/>
        <w:rPr>
          <w:rFonts w:hAnsi="宋体"/>
          <w:b/>
        </w:rPr>
      </w:pPr>
      <w:r>
        <w:rPr>
          <w:rFonts w:hint="eastAsia" w:hAnsi="宋体"/>
          <w:b/>
        </w:rPr>
        <w:t>（5）其他无法保证电子交易的公平、公正和安全的情况。</w:t>
      </w:r>
    </w:p>
    <w:p>
      <w:pPr>
        <w:pStyle w:val="31"/>
        <w:keepNext/>
        <w:adjustRightInd w:val="0"/>
        <w:snapToGrid w:val="0"/>
        <w:spacing w:line="360" w:lineRule="exact"/>
        <w:ind w:firstLine="422" w:firstLineChars="200"/>
        <w:rPr>
          <w:rFonts w:hAnsi="宋体"/>
          <w:b/>
        </w:rPr>
      </w:pPr>
      <w:r>
        <w:rPr>
          <w:rFonts w:hint="eastAsia" w:hAnsi="宋体"/>
          <w:b/>
        </w:rPr>
        <w:t xml:space="preserve">出现以上规定情形，不影响采购公平、公正性的，招标人或招标代理机构可以待上述情形消除后继续组织电子交易活动，也可以决定某些环节以纸质形式进行；影响或可能影响采购公平、公正性的，应当重新采购。           </w:t>
      </w:r>
    </w:p>
    <w:p>
      <w:pPr>
        <w:pStyle w:val="31"/>
        <w:keepNext/>
        <w:adjustRightInd w:val="0"/>
        <w:snapToGrid w:val="0"/>
        <w:spacing w:line="360" w:lineRule="exact"/>
        <w:ind w:firstLine="422" w:firstLineChars="200"/>
        <w:rPr>
          <w:rFonts w:hAnsi="宋体"/>
          <w:b/>
        </w:rPr>
      </w:pPr>
      <w:r>
        <w:rPr>
          <w:rFonts w:hint="eastAsia" w:hAnsi="宋体"/>
          <w:b/>
        </w:rPr>
        <w:t>4.中标人在中标公告发布后须按招标代理机构的要求向招标代理机构提供完整的电子备份投标文件纸质版3份。</w:t>
      </w:r>
    </w:p>
    <w:p>
      <w:pPr>
        <w:pStyle w:val="31"/>
        <w:keepNext/>
        <w:adjustRightInd w:val="0"/>
        <w:snapToGrid w:val="0"/>
        <w:spacing w:line="360" w:lineRule="exact"/>
        <w:ind w:firstLine="422" w:firstLineChars="200"/>
        <w:rPr>
          <w:rFonts w:hAnsi="宋体"/>
          <w:b/>
        </w:rPr>
      </w:pPr>
      <w:r>
        <w:rPr>
          <w:rFonts w:hint="eastAsia" w:hAnsi="宋体"/>
          <w:b/>
        </w:rPr>
        <w:t>5.解释权：</w:t>
      </w:r>
      <w:r>
        <w:rPr>
          <w:rFonts w:hint="eastAsia" w:hAnsi="宋体"/>
          <w:spacing w:val="-4"/>
        </w:rPr>
        <w:t>本招标文件解释权属招标人。</w:t>
      </w:r>
    </w:p>
    <w:p>
      <w:pPr>
        <w:pStyle w:val="31"/>
        <w:keepNext/>
        <w:adjustRightInd w:val="0"/>
        <w:snapToGrid w:val="0"/>
        <w:spacing w:line="360" w:lineRule="exact"/>
        <w:ind w:firstLine="422" w:firstLineChars="200"/>
        <w:rPr>
          <w:rFonts w:hAnsi="宋体"/>
        </w:rPr>
      </w:pPr>
      <w:r>
        <w:rPr>
          <w:rFonts w:hint="eastAsia" w:hAnsi="宋体"/>
          <w:b/>
        </w:rPr>
        <w:t>6.有关事宜</w:t>
      </w:r>
      <w:r>
        <w:rPr>
          <w:rFonts w:hint="eastAsia" w:hAnsi="宋体"/>
        </w:rPr>
        <w:t>：所有与本招标文件有关的函件请按下列通讯地址联系：</w:t>
      </w:r>
    </w:p>
    <w:p>
      <w:pPr>
        <w:pStyle w:val="31"/>
        <w:keepNext/>
        <w:tabs>
          <w:tab w:val="left" w:pos="1990"/>
        </w:tabs>
        <w:adjustRightInd w:val="0"/>
        <w:snapToGrid w:val="0"/>
        <w:spacing w:line="360" w:lineRule="exact"/>
        <w:ind w:firstLine="420" w:firstLineChars="200"/>
        <w:rPr>
          <w:rFonts w:hAnsi="宋体"/>
          <w:u w:val="single"/>
        </w:rPr>
      </w:pPr>
      <w:r>
        <w:rPr>
          <w:rFonts w:hint="eastAsia" w:hAnsi="宋体"/>
        </w:rPr>
        <w:t>招标代理机构：广西新宇建设项目管理有限公司邮政编码：</w:t>
      </w:r>
      <w:r>
        <w:rPr>
          <w:rFonts w:hAnsi="宋体"/>
        </w:rPr>
        <w:t>536000</w:t>
      </w:r>
    </w:p>
    <w:p>
      <w:pPr>
        <w:keepNext/>
        <w:snapToGrid w:val="0"/>
        <w:spacing w:line="360" w:lineRule="exact"/>
        <w:ind w:firstLine="420" w:firstLineChars="200"/>
        <w:rPr>
          <w:rFonts w:ascii="宋体" w:cs="宋体"/>
        </w:rPr>
      </w:pPr>
      <w:r>
        <w:rPr>
          <w:rFonts w:hint="eastAsia" w:ascii="宋体" w:hAnsi="宋体"/>
        </w:rPr>
        <w:t>通讯地址：北海市北海大</w:t>
      </w:r>
      <w:r>
        <w:rPr>
          <w:rFonts w:hint="eastAsia" w:ascii="宋体" w:hAnsi="宋体" w:cs="宋体"/>
        </w:rPr>
        <w:t>道</w:t>
      </w:r>
      <w:r>
        <w:rPr>
          <w:rFonts w:ascii="宋体" w:hAnsi="宋体" w:cs="宋体"/>
        </w:rPr>
        <w:t>158</w:t>
      </w:r>
      <w:r>
        <w:rPr>
          <w:rFonts w:hint="eastAsia" w:ascii="宋体" w:hAnsi="宋体" w:cs="宋体"/>
        </w:rPr>
        <w:t>号北园公寓星辰座</w:t>
      </w:r>
      <w:r>
        <w:rPr>
          <w:rFonts w:ascii="宋体" w:hAnsi="宋体" w:cs="宋体"/>
        </w:rPr>
        <w:t>7</w:t>
      </w:r>
      <w:r>
        <w:rPr>
          <w:rFonts w:hint="eastAsia" w:ascii="宋体" w:hAnsi="宋体" w:cs="宋体"/>
        </w:rPr>
        <w:t>楼</w:t>
      </w:r>
      <w:r>
        <w:rPr>
          <w:rFonts w:ascii="宋体" w:hAnsi="宋体" w:cs="宋体"/>
        </w:rPr>
        <w:t>A</w:t>
      </w:r>
      <w:r>
        <w:rPr>
          <w:rFonts w:hint="eastAsia" w:ascii="宋体" w:hAnsi="宋体" w:cs="宋体"/>
        </w:rPr>
        <w:t>室</w:t>
      </w:r>
    </w:p>
    <w:p>
      <w:pPr>
        <w:keepNext/>
        <w:snapToGrid w:val="0"/>
        <w:spacing w:line="360" w:lineRule="exact"/>
        <w:ind w:firstLine="420" w:firstLineChars="200"/>
        <w:rPr>
          <w:rFonts w:ascii="宋体" w:cs="宋体"/>
        </w:rPr>
      </w:pPr>
      <w:r>
        <w:rPr>
          <w:rFonts w:hint="eastAsia" w:ascii="宋体" w:hAnsi="宋体" w:cs="宋体"/>
        </w:rPr>
        <w:t>联系人：文媚   联系电话：</w:t>
      </w:r>
      <w:r>
        <w:rPr>
          <w:rFonts w:ascii="宋体" w:hAnsi="宋体" w:cs="宋体"/>
        </w:rPr>
        <w:t>0779—3969698</w:t>
      </w:r>
      <w:bookmarkEnd w:id="51"/>
      <w:bookmarkEnd w:id="52"/>
    </w:p>
    <w:p>
      <w:pPr>
        <w:widowControl/>
        <w:shd w:val="clear" w:color="auto" w:fill="FFFFFF"/>
        <w:spacing w:line="480" w:lineRule="atLeast"/>
        <w:rPr>
          <w:rFonts w:ascii="宋体" w:cs="宋体"/>
        </w:rPr>
      </w:pPr>
    </w:p>
    <w:p>
      <w:pPr>
        <w:pStyle w:val="2"/>
        <w:ind w:firstLine="420"/>
        <w:rPr>
          <w:rFonts w:ascii="宋体" w:cs="宋体"/>
        </w:rPr>
      </w:pPr>
    </w:p>
    <w:p>
      <w:pPr>
        <w:tabs>
          <w:tab w:val="left" w:pos="2310"/>
        </w:tabs>
        <w:spacing w:line="360" w:lineRule="exact"/>
        <w:rPr>
          <w:rFonts w:ascii="宋体" w:cs="宋体"/>
          <w:b/>
          <w:bCs/>
          <w:sz w:val="28"/>
          <w:szCs w:val="28"/>
        </w:rPr>
      </w:pPr>
    </w:p>
    <w:p>
      <w:pPr>
        <w:tabs>
          <w:tab w:val="left" w:pos="2310"/>
        </w:tabs>
        <w:spacing w:line="360" w:lineRule="exact"/>
        <w:rPr>
          <w:rFonts w:ascii="宋体" w:cs="宋体"/>
          <w:b/>
          <w:bCs/>
          <w:sz w:val="28"/>
          <w:szCs w:val="28"/>
        </w:rPr>
      </w:pPr>
    </w:p>
    <w:p>
      <w:pPr>
        <w:tabs>
          <w:tab w:val="left" w:pos="2310"/>
        </w:tabs>
        <w:spacing w:line="360" w:lineRule="exact"/>
        <w:rPr>
          <w:rFonts w:ascii="宋体" w:cs="宋体"/>
          <w:b/>
          <w:bCs/>
          <w:sz w:val="28"/>
          <w:szCs w:val="28"/>
        </w:rPr>
      </w:pPr>
    </w:p>
    <w:p>
      <w:pPr>
        <w:pStyle w:val="31"/>
        <w:numPr>
          <w:ilvl w:val="0"/>
          <w:numId w:val="3"/>
        </w:numPr>
        <w:spacing w:line="600" w:lineRule="exact"/>
        <w:jc w:val="center"/>
        <w:rPr>
          <w:rFonts w:hAnsi="宋体"/>
          <w:b/>
          <w:bCs/>
          <w:sz w:val="36"/>
          <w:szCs w:val="36"/>
        </w:rPr>
      </w:pPr>
      <w:r>
        <w:rPr>
          <w:rFonts w:hint="eastAsia" w:hAnsi="宋体"/>
          <w:b/>
          <w:bCs/>
          <w:sz w:val="36"/>
          <w:szCs w:val="36"/>
        </w:rPr>
        <w:t>合同文本（格式）</w:t>
      </w:r>
    </w:p>
    <w:p>
      <w:pPr>
        <w:rPr>
          <w:rFonts w:ascii="宋体"/>
        </w:rPr>
      </w:pPr>
    </w:p>
    <w:p>
      <w:pPr>
        <w:rPr>
          <w:rFonts w:ascii="宋体"/>
        </w:rPr>
      </w:pPr>
    </w:p>
    <w:p>
      <w:pPr>
        <w:pStyle w:val="2"/>
        <w:ind w:firstLine="420"/>
      </w:pPr>
    </w:p>
    <w:p>
      <w:pPr>
        <w:rPr>
          <w:rFonts w:ascii="宋体"/>
        </w:rPr>
      </w:pPr>
    </w:p>
    <w:p>
      <w:pPr>
        <w:rPr>
          <w:rFonts w:ascii="宋体"/>
        </w:rPr>
      </w:pPr>
    </w:p>
    <w:p>
      <w:pPr>
        <w:rPr>
          <w:rFonts w:ascii="宋体"/>
        </w:rPr>
      </w:pPr>
    </w:p>
    <w:p>
      <w:pPr>
        <w:rPr>
          <w:rFonts w:ascii="宋体"/>
          <w:sz w:val="36"/>
          <w:szCs w:val="36"/>
        </w:rPr>
      </w:pPr>
    </w:p>
    <w:p>
      <w:pPr>
        <w:rPr>
          <w:rFonts w:ascii="宋体"/>
          <w:sz w:val="36"/>
          <w:szCs w:val="36"/>
        </w:rPr>
      </w:pPr>
    </w:p>
    <w:p>
      <w:pPr>
        <w:rPr>
          <w:rFonts w:ascii="宋体"/>
          <w:sz w:val="36"/>
          <w:szCs w:val="36"/>
        </w:rPr>
      </w:pPr>
    </w:p>
    <w:p>
      <w:pPr>
        <w:pStyle w:val="31"/>
        <w:snapToGrid w:val="0"/>
        <w:spacing w:line="600" w:lineRule="exact"/>
        <w:jc w:val="center"/>
        <w:outlineLvl w:val="0"/>
        <w:rPr>
          <w:rFonts w:hAnsi="宋体"/>
          <w:b/>
          <w:bCs/>
          <w:sz w:val="36"/>
          <w:szCs w:val="36"/>
        </w:rPr>
      </w:pPr>
      <w:r>
        <w:rPr>
          <w:rFonts w:hint="eastAsia" w:hAnsi="宋体"/>
          <w:b/>
          <w:bCs/>
          <w:sz w:val="36"/>
          <w:szCs w:val="36"/>
        </w:rPr>
        <w:t>第五章  投标文件格式</w:t>
      </w:r>
    </w:p>
    <w:p>
      <w:pPr>
        <w:snapToGrid w:val="0"/>
        <w:spacing w:before="156" w:beforeLines="50" w:after="50" w:line="360" w:lineRule="exact"/>
        <w:jc w:val="center"/>
        <w:outlineLvl w:val="1"/>
        <w:rPr>
          <w:rFonts w:ascii="宋体"/>
          <w:b/>
          <w:bCs/>
          <w:sz w:val="28"/>
          <w:szCs w:val="28"/>
        </w:rPr>
      </w:pPr>
      <w:bookmarkStart w:id="73" w:name="_Toc254970697"/>
      <w:bookmarkStart w:id="74" w:name="_Toc254970556"/>
    </w:p>
    <w:bookmarkEnd w:id="73"/>
    <w:bookmarkEnd w:id="74"/>
    <w:p>
      <w:pPr>
        <w:snapToGrid w:val="0"/>
        <w:spacing w:after="50" w:line="360" w:lineRule="exact"/>
        <w:rPr>
          <w:rFonts w:ascii="宋体"/>
          <w:b/>
          <w:szCs w:val="21"/>
        </w:rPr>
      </w:pPr>
    </w:p>
    <w:p>
      <w:pPr>
        <w:snapToGrid w:val="0"/>
        <w:spacing w:after="50" w:line="360" w:lineRule="exact"/>
        <w:ind w:firstLine="630" w:firstLineChars="300"/>
        <w:rPr>
          <w:rFonts w:ascii="宋体"/>
          <w:szCs w:val="21"/>
        </w:rPr>
      </w:pPr>
    </w:p>
    <w:p>
      <w:pPr>
        <w:rPr>
          <w:rFonts w:hAnsi="宋体"/>
          <w:b/>
          <w:bCs/>
          <w:sz w:val="36"/>
          <w:szCs w:val="36"/>
        </w:rPr>
      </w:pPr>
    </w:p>
    <w:p>
      <w:pPr>
        <w:pStyle w:val="9"/>
      </w:pPr>
    </w:p>
    <w:p>
      <w:pPr>
        <w:pStyle w:val="31"/>
        <w:keepNext/>
        <w:snapToGrid w:val="0"/>
        <w:spacing w:line="480" w:lineRule="exact"/>
        <w:jc w:val="center"/>
        <w:outlineLvl w:val="0"/>
        <w:rPr>
          <w:rFonts w:hAnsi="宋体"/>
          <w:b/>
          <w:szCs w:val="21"/>
        </w:rPr>
      </w:pPr>
      <w:r>
        <w:rPr>
          <w:rFonts w:hint="eastAsia" w:hAnsi="宋体"/>
          <w:b/>
          <w:bCs/>
          <w:sz w:val="36"/>
          <w:szCs w:val="36"/>
        </w:rPr>
        <w:t>第六章  评标办法及评分标准</w:t>
      </w:r>
    </w:p>
    <w:p>
      <w:pPr>
        <w:pStyle w:val="31"/>
        <w:keepNext/>
        <w:keepLines w:val="0"/>
        <w:pageBreakBefore w:val="0"/>
        <w:widowControl w:val="0"/>
        <w:kinsoku/>
        <w:wordWrap/>
        <w:overflowPunct/>
        <w:topLinePunct w:val="0"/>
        <w:autoSpaceDE/>
        <w:autoSpaceDN/>
        <w:bidi w:val="0"/>
        <w:spacing w:line="360" w:lineRule="exact"/>
        <w:ind w:firstLine="207" w:firstLineChars="98"/>
        <w:textAlignment w:val="auto"/>
        <w:outlineLvl w:val="0"/>
        <w:rPr>
          <w:rFonts w:hAnsi="宋体"/>
          <w:b/>
          <w:szCs w:val="21"/>
        </w:rPr>
      </w:pPr>
      <w:r>
        <w:rPr>
          <w:rFonts w:hint="eastAsia" w:hAnsi="宋体"/>
          <w:b/>
          <w:szCs w:val="21"/>
        </w:rPr>
        <w:t>一、评标原则</w:t>
      </w:r>
    </w:p>
    <w:p>
      <w:pPr>
        <w:pStyle w:val="31"/>
        <w:keepNext/>
        <w:keepLines w:val="0"/>
        <w:pageBreakBefore w:val="0"/>
        <w:widowControl w:val="0"/>
        <w:kinsoku/>
        <w:wordWrap/>
        <w:overflowPunct/>
        <w:topLinePunct w:val="0"/>
        <w:autoSpaceDE/>
        <w:autoSpaceDN/>
        <w:bidi w:val="0"/>
        <w:spacing w:line="360" w:lineRule="exact"/>
        <w:ind w:left="630" w:hanging="630" w:hangingChars="300"/>
        <w:textAlignment w:val="auto"/>
        <w:outlineLvl w:val="0"/>
        <w:rPr>
          <w:rFonts w:hAnsi="宋体"/>
          <w:szCs w:val="21"/>
        </w:rPr>
      </w:pPr>
      <w:r>
        <w:rPr>
          <w:rFonts w:hint="eastAsia" w:hAnsi="宋体"/>
          <w:szCs w:val="21"/>
        </w:rPr>
        <w:t>（一）评委构成：本招标采购项目的评委分别由聘请的专家、招标人代表构成。成员人数应当为五人单数，其中专家人数不少于总数的三分之二。</w:t>
      </w:r>
    </w:p>
    <w:p>
      <w:pPr>
        <w:pStyle w:val="31"/>
        <w:keepNext/>
        <w:keepLines w:val="0"/>
        <w:pageBreakBefore w:val="0"/>
        <w:widowControl w:val="0"/>
        <w:kinsoku/>
        <w:wordWrap/>
        <w:overflowPunct/>
        <w:topLinePunct w:val="0"/>
        <w:autoSpaceDE/>
        <w:autoSpaceDN/>
        <w:bidi w:val="0"/>
        <w:spacing w:line="360" w:lineRule="exact"/>
        <w:ind w:left="630" w:hanging="630" w:hangingChars="300"/>
        <w:textAlignment w:val="auto"/>
        <w:outlineLvl w:val="0"/>
        <w:rPr>
          <w:rFonts w:hAnsi="宋体"/>
          <w:szCs w:val="21"/>
        </w:rPr>
      </w:pPr>
      <w:r>
        <w:rPr>
          <w:rFonts w:hint="eastAsia" w:hAnsi="宋体"/>
          <w:szCs w:val="21"/>
        </w:rPr>
        <w:t>（二）评标依据：评委将以招投标文件为评标依据，</w:t>
      </w:r>
      <w:r>
        <w:rPr>
          <w:rFonts w:hint="eastAsia" w:hAnsi="宋体"/>
          <w:bCs/>
          <w:szCs w:val="21"/>
        </w:rPr>
        <w:t>以封闭方式</w:t>
      </w:r>
      <w:r>
        <w:rPr>
          <w:rFonts w:hint="eastAsia" w:hAnsi="宋体"/>
          <w:szCs w:val="21"/>
        </w:rPr>
        <w:t>对投标人的投标报价、技术、售后服务、</w:t>
      </w:r>
      <w:r>
        <w:rPr>
          <w:rFonts w:hint="eastAsia" w:hAnsi="宋体"/>
          <w:szCs w:val="21"/>
          <w:lang w:eastAsia="zh-CN"/>
        </w:rPr>
        <w:t>企业经验、</w:t>
      </w:r>
      <w:r>
        <w:rPr>
          <w:rFonts w:hint="eastAsia" w:hAnsi="宋体"/>
          <w:szCs w:val="21"/>
        </w:rPr>
        <w:t>政策功能等方面内容按百分制打分。</w:t>
      </w:r>
    </w:p>
    <w:p>
      <w:pPr>
        <w:pStyle w:val="31"/>
        <w:keepNext/>
        <w:keepLines w:val="0"/>
        <w:pageBreakBefore w:val="0"/>
        <w:widowControl w:val="0"/>
        <w:kinsoku/>
        <w:wordWrap/>
        <w:overflowPunct/>
        <w:topLinePunct w:val="0"/>
        <w:autoSpaceDE/>
        <w:autoSpaceDN/>
        <w:bidi w:val="0"/>
        <w:spacing w:line="360" w:lineRule="exact"/>
        <w:ind w:left="630" w:hanging="630" w:hangingChars="300"/>
        <w:textAlignment w:val="auto"/>
        <w:outlineLvl w:val="0"/>
        <w:rPr>
          <w:rFonts w:hAnsi="宋体"/>
          <w:szCs w:val="21"/>
        </w:rPr>
      </w:pPr>
      <w:r>
        <w:rPr>
          <w:rFonts w:hint="eastAsia" w:hAnsi="宋体"/>
          <w:szCs w:val="21"/>
        </w:rPr>
        <w:t>（三）价格分评标要求：如投标人的投标报价明显低于通过符合性审查后的所有有效报价平均价时，应当在评标委员会规定的期限内提供书面文件予以说明，并提交相关证明材料【</w:t>
      </w:r>
      <w:r>
        <w:rPr>
          <w:rFonts w:hint="eastAsia" w:hAnsi="宋体"/>
        </w:rPr>
        <w:t>需要提交正式说明文件说明其低价缘由、报价组成、本项目各分项目的成本构成（包括但不限于：货物成本、人员费用、利润、税收等）、无恶意低价竞标保证书及按质按量按时完成项目保证书等评标委员会要求提供的其它相关材料</w:t>
      </w:r>
      <w:r>
        <w:rPr>
          <w:rFonts w:hint="eastAsia" w:hAnsi="宋体"/>
          <w:szCs w:val="21"/>
        </w:rPr>
        <w:t>】。投标人不能合理说明或者不能提供报价来源相关资料的，视作该投标人以低于成本报价投标，评标委员会可以拒绝其投标文件，评定其报价无效。</w:t>
      </w:r>
    </w:p>
    <w:p>
      <w:pPr>
        <w:pStyle w:val="31"/>
        <w:keepNext/>
        <w:keepLines w:val="0"/>
        <w:pageBreakBefore w:val="0"/>
        <w:widowControl w:val="0"/>
        <w:kinsoku/>
        <w:wordWrap/>
        <w:overflowPunct/>
        <w:topLinePunct w:val="0"/>
        <w:autoSpaceDE/>
        <w:autoSpaceDN/>
        <w:bidi w:val="0"/>
        <w:spacing w:line="360" w:lineRule="exact"/>
        <w:ind w:firstLine="207" w:firstLineChars="98"/>
        <w:textAlignment w:val="auto"/>
        <w:rPr>
          <w:rFonts w:hAnsi="宋体"/>
          <w:b/>
          <w:bCs/>
          <w:szCs w:val="21"/>
        </w:rPr>
      </w:pPr>
      <w:r>
        <w:rPr>
          <w:rFonts w:hint="eastAsia" w:hAnsi="宋体"/>
          <w:b/>
          <w:bCs/>
          <w:szCs w:val="21"/>
        </w:rPr>
        <w:t>二、评标方法</w:t>
      </w:r>
    </w:p>
    <w:p>
      <w:pPr>
        <w:pStyle w:val="31"/>
        <w:keepNext/>
        <w:keepLines w:val="0"/>
        <w:pageBreakBefore w:val="0"/>
        <w:widowControl w:val="0"/>
        <w:kinsoku/>
        <w:wordWrap/>
        <w:overflowPunct/>
        <w:topLinePunct w:val="0"/>
        <w:autoSpaceDE/>
        <w:autoSpaceDN/>
        <w:bidi w:val="0"/>
        <w:spacing w:line="360" w:lineRule="exact"/>
        <w:textAlignment w:val="auto"/>
        <w:outlineLvl w:val="0"/>
        <w:rPr>
          <w:rFonts w:hAnsi="宋体"/>
          <w:szCs w:val="21"/>
        </w:rPr>
      </w:pPr>
      <w:r>
        <w:rPr>
          <w:rFonts w:hint="eastAsia" w:hAnsi="宋体"/>
          <w:szCs w:val="21"/>
        </w:rPr>
        <w:t>（一）对进入详评的，采用百分制综合评分法。</w:t>
      </w:r>
    </w:p>
    <w:p>
      <w:pPr>
        <w:pStyle w:val="31"/>
        <w:keepNext/>
        <w:keepLines w:val="0"/>
        <w:pageBreakBefore w:val="0"/>
        <w:widowControl w:val="0"/>
        <w:kinsoku/>
        <w:wordWrap/>
        <w:overflowPunct/>
        <w:topLinePunct w:val="0"/>
        <w:autoSpaceDE/>
        <w:autoSpaceDN/>
        <w:bidi w:val="0"/>
        <w:spacing w:line="360" w:lineRule="exact"/>
        <w:textAlignment w:val="auto"/>
        <w:outlineLvl w:val="0"/>
        <w:rPr>
          <w:rFonts w:hAnsi="宋体"/>
          <w:szCs w:val="21"/>
        </w:rPr>
      </w:pPr>
      <w:r>
        <w:rPr>
          <w:rFonts w:hint="eastAsia" w:hAnsi="宋体"/>
          <w:szCs w:val="21"/>
        </w:rPr>
        <w:t>（二）计分办法（按四舍五入，保留小数点后两位）：</w:t>
      </w:r>
    </w:p>
    <w:p>
      <w:pPr>
        <w:keepNext/>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rPr>
      </w:pPr>
      <w:r>
        <w:rPr>
          <w:rFonts w:ascii="宋体" w:hAnsi="宋体"/>
          <w:b/>
          <w:bCs/>
        </w:rPr>
        <w:t xml:space="preserve">1. </w:t>
      </w:r>
      <w:r>
        <w:rPr>
          <w:rFonts w:hint="eastAsia" w:ascii="宋体" w:hAnsi="宋体"/>
          <w:b/>
          <w:bCs/>
        </w:rPr>
        <w:t>价格分</w:t>
      </w:r>
      <w:r>
        <w:rPr>
          <w:rFonts w:hint="eastAsia" w:ascii="宋体" w:hAnsi="宋体"/>
        </w:rPr>
        <w:t>……………………………………………………………………………………………</w:t>
      </w:r>
      <w:r>
        <w:rPr>
          <w:rFonts w:hint="eastAsia" w:ascii="宋体" w:hAnsi="宋体"/>
          <w:b/>
          <w:bCs/>
        </w:rPr>
        <w:t>（满分</w:t>
      </w:r>
      <w:r>
        <w:rPr>
          <w:rFonts w:hint="eastAsia" w:ascii="宋体" w:hAnsi="宋体"/>
          <w:b/>
          <w:bCs/>
          <w:lang w:val="en-US" w:eastAsia="zh-CN"/>
        </w:rPr>
        <w:t>3</w:t>
      </w:r>
      <w:r>
        <w:rPr>
          <w:rFonts w:hint="eastAsia" w:ascii="宋体" w:hAnsi="宋体"/>
          <w:b/>
          <w:bCs/>
        </w:rPr>
        <w:t>0分）</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rPr>
      </w:pPr>
      <w:r>
        <w:rPr>
          <w:rFonts w:hint="eastAsia" w:hAnsi="宋体"/>
        </w:rPr>
        <w:t>（</w:t>
      </w:r>
      <w:r>
        <w:rPr>
          <w:rFonts w:hAnsi="宋体"/>
        </w:rPr>
        <w:t>1</w:t>
      </w:r>
      <w:r>
        <w:rPr>
          <w:rFonts w:hint="eastAsia" w:hAnsi="宋体"/>
        </w:rPr>
        <w:t>）评标价为投标人的投标报价进行政策性扣除后的价格，评标价只是作为评标时使用。最终中标供应商的中标金额＝投标报价。</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rPr>
      </w:pPr>
      <w:r>
        <w:rPr>
          <w:rFonts w:hint="eastAsia" w:hAnsi="宋体"/>
        </w:rPr>
        <w:t>（</w:t>
      </w:r>
      <w:r>
        <w:rPr>
          <w:rFonts w:hAnsi="宋体"/>
        </w:rPr>
        <w:t>2</w:t>
      </w:r>
      <w:r>
        <w:rPr>
          <w:rFonts w:hint="eastAsia" w:hAnsi="宋体"/>
        </w:rPr>
        <w:t>）按北海市财政局 北海市政府采购中心关于进一步优化政府采购营商环境落实政策服务企业的通知（北财采〔2020〕29号），严格执行《政府采购促进中小企业发展管理办法》（财库[2020]46号）的规定，投标的所有产品均由小型、微型企业制造的（按该办法中规定的格式提供《中小企业声明函》），对其投标价格给予10%的扣除。</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rPr>
      </w:pPr>
      <w:r>
        <w:rPr>
          <w:rFonts w:hint="eastAsia" w:hAnsi="宋体"/>
        </w:rPr>
        <w:t>（</w:t>
      </w:r>
      <w:r>
        <w:rPr>
          <w:rFonts w:hAnsi="宋体"/>
        </w:rPr>
        <w:t>3</w:t>
      </w:r>
      <w:r>
        <w:rPr>
          <w:rFonts w:hint="eastAsia" w:hAnsi="宋体"/>
        </w:rPr>
        <w:t>）按照《财政部、司法部关于政府采购支持监狱企业发展有关问题的通知》（财库〔</w:t>
      </w:r>
      <w:r>
        <w:rPr>
          <w:rFonts w:hAnsi="宋体"/>
        </w:rPr>
        <w:t>2014</w:t>
      </w:r>
      <w:r>
        <w:rPr>
          <w:rFonts w:hint="eastAsia" w:hAnsi="宋体"/>
        </w:rPr>
        <w:t>〕</w:t>
      </w:r>
      <w:r>
        <w:rPr>
          <w:rFonts w:hAnsi="宋体"/>
        </w:rPr>
        <w:t>68</w:t>
      </w:r>
      <w:r>
        <w:rPr>
          <w:rFonts w:hint="eastAsia" w:hAnsi="宋体"/>
        </w:rPr>
        <w:t>号）的规定，监狱企业视同小型、微型企业，享受预留份额、评审中价格扣除等促进中小企业发展的政府采购政策。监狱企业参加政府采购活动时，应当提供由省级以上监狱管理局、戒毒管理局</w:t>
      </w:r>
      <w:r>
        <w:rPr>
          <w:rFonts w:hAnsi="宋体"/>
        </w:rPr>
        <w:t>(</w:t>
      </w:r>
      <w:r>
        <w:rPr>
          <w:rFonts w:hint="eastAsia" w:hAnsi="宋体"/>
        </w:rPr>
        <w:t>含新疆生产建设兵团</w:t>
      </w:r>
      <w:r>
        <w:rPr>
          <w:rFonts w:hAnsi="宋体"/>
        </w:rPr>
        <w:t>)</w:t>
      </w:r>
      <w:r>
        <w:rPr>
          <w:rFonts w:hint="eastAsia" w:hAnsi="宋体"/>
        </w:rPr>
        <w:t>出具的属于监狱企业的证明文件。</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rPr>
      </w:pPr>
      <w:r>
        <w:rPr>
          <w:rFonts w:hint="eastAsia" w:hAnsi="宋体"/>
        </w:rPr>
        <w:t>（</w:t>
      </w:r>
      <w:r>
        <w:rPr>
          <w:rFonts w:hAnsi="宋体"/>
        </w:rPr>
        <w:t>4</w:t>
      </w:r>
      <w:r>
        <w:rPr>
          <w:rFonts w:hint="eastAsia" w:hAnsi="宋体"/>
        </w:rPr>
        <w:t>）按照《关于促进残疾人就业政府采购政策的通知》（财库〔</w:t>
      </w:r>
      <w:r>
        <w:rPr>
          <w:rFonts w:hAnsi="宋体"/>
        </w:rPr>
        <w:t>2017</w:t>
      </w:r>
      <w:r>
        <w:rPr>
          <w:rFonts w:hint="eastAsia" w:hAnsi="宋体"/>
        </w:rPr>
        <w:t>〕</w:t>
      </w:r>
      <w:r>
        <w:rPr>
          <w:rFonts w:hAnsi="宋体"/>
        </w:rPr>
        <w:t>141</w:t>
      </w:r>
      <w:r>
        <w:rPr>
          <w:rFonts w:hint="eastAsia" w:hAnsi="宋体"/>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rPr>
      </w:pPr>
      <w:r>
        <w:rPr>
          <w:rFonts w:hint="eastAsia" w:hAnsi="宋体"/>
        </w:rPr>
        <w:t>（</w:t>
      </w:r>
      <w:r>
        <w:rPr>
          <w:rFonts w:hAnsi="宋体"/>
        </w:rPr>
        <w:t>5</w:t>
      </w:r>
      <w:r>
        <w:rPr>
          <w:rFonts w:hint="eastAsia" w:hAnsi="宋体"/>
        </w:rPr>
        <w:t>）政策性扣除计算方法：投标人被认定为监狱企业或残疾人福利性单位或小型和微型企业且其所投标产品为小型和微型企业产品的，该投标人的投标报价给予10</w:t>
      </w:r>
      <w:r>
        <w:rPr>
          <w:rFonts w:hAnsi="宋体"/>
        </w:rPr>
        <w:t>%</w:t>
      </w:r>
      <w:r>
        <w:rPr>
          <w:rFonts w:hint="eastAsia" w:hAnsi="宋体"/>
        </w:rPr>
        <w:t>的扣除，扣除后的价格为评标报价，即评标报价</w:t>
      </w:r>
      <w:r>
        <w:rPr>
          <w:rFonts w:hAnsi="宋体"/>
        </w:rPr>
        <w:t>=</w:t>
      </w:r>
      <w:r>
        <w:rPr>
          <w:rFonts w:hint="eastAsia" w:hAnsi="宋体"/>
        </w:rPr>
        <w:t>投标报价×（</w:t>
      </w:r>
      <w:r>
        <w:rPr>
          <w:rFonts w:hAnsi="宋体"/>
        </w:rPr>
        <w:t>1-</w:t>
      </w:r>
      <w:r>
        <w:rPr>
          <w:rFonts w:hint="eastAsia" w:hAnsi="宋体"/>
        </w:rPr>
        <w:t>10</w:t>
      </w:r>
      <w:r>
        <w:rPr>
          <w:rFonts w:hAnsi="宋体"/>
        </w:rPr>
        <w:t>%</w:t>
      </w:r>
      <w:r>
        <w:rPr>
          <w:rFonts w:hint="eastAsia" w:hAnsi="宋体"/>
        </w:rPr>
        <w:t>）；除上述情况外，评标报价</w:t>
      </w:r>
      <w:r>
        <w:rPr>
          <w:rFonts w:hAnsi="宋体"/>
        </w:rPr>
        <w:t>=</w:t>
      </w:r>
      <w:r>
        <w:rPr>
          <w:rFonts w:hint="eastAsia" w:hAnsi="宋体"/>
        </w:rPr>
        <w:t>投标报价。</w:t>
      </w:r>
    </w:p>
    <w:p>
      <w:pPr>
        <w:pStyle w:val="31"/>
        <w:keepNext/>
        <w:keepLines w:val="0"/>
        <w:pageBreakBefore w:val="0"/>
        <w:widowControl w:val="0"/>
        <w:kinsoku/>
        <w:wordWrap/>
        <w:overflowPunct/>
        <w:topLinePunct w:val="0"/>
        <w:autoSpaceDE/>
        <w:autoSpaceDN/>
        <w:bidi w:val="0"/>
        <w:spacing w:line="360" w:lineRule="exact"/>
        <w:ind w:firstLine="210" w:firstLineChars="100"/>
        <w:textAlignment w:val="auto"/>
        <w:outlineLvl w:val="0"/>
        <w:rPr>
          <w:rFonts w:hAnsi="宋体"/>
        </w:rPr>
      </w:pPr>
      <w:r>
        <w:rPr>
          <w:rFonts w:hint="eastAsia" w:hAnsi="宋体"/>
        </w:rPr>
        <w:t>（</w:t>
      </w:r>
      <w:r>
        <w:rPr>
          <w:rFonts w:hAnsi="宋体"/>
        </w:rPr>
        <w:t>6</w:t>
      </w:r>
      <w:r>
        <w:rPr>
          <w:rFonts w:hint="eastAsia" w:hAnsi="宋体"/>
        </w:rPr>
        <w:t>）价格分计算公式：某投标人价格分</w:t>
      </w:r>
      <w:r>
        <w:rPr>
          <w:rFonts w:hAnsi="宋体"/>
        </w:rPr>
        <w:t xml:space="preserve"> = </w:t>
      </w:r>
      <w:r>
        <w:rPr>
          <w:rFonts w:hint="eastAsia" w:hAnsi="宋体"/>
        </w:rPr>
        <w:t>投标人最低评标价（金额）</w:t>
      </w:r>
      <w:r>
        <w:rPr>
          <w:rFonts w:hAnsi="宋体"/>
        </w:rPr>
        <w:t>/</w:t>
      </w:r>
      <w:r>
        <w:rPr>
          <w:rFonts w:hint="eastAsia" w:hAnsi="宋体"/>
        </w:rPr>
        <w:t>某投标人评标价（金额）×</w:t>
      </w:r>
      <w:r>
        <w:rPr>
          <w:rFonts w:hint="eastAsia" w:hAnsi="宋体"/>
          <w:lang w:val="en-US" w:eastAsia="zh-CN"/>
        </w:rPr>
        <w:t>3</w:t>
      </w:r>
      <w:r>
        <w:rPr>
          <w:rFonts w:hint="eastAsia" w:hAnsi="宋体"/>
        </w:rPr>
        <w:t>0</w:t>
      </w:r>
      <w:r>
        <w:rPr>
          <w:rFonts w:hAnsi="宋体"/>
        </w:rPr>
        <w:t xml:space="preserve">    </w:t>
      </w:r>
    </w:p>
    <w:p>
      <w:pPr>
        <w:keepNext/>
        <w:keepLines w:val="0"/>
        <w:pageBreakBefore w:val="0"/>
        <w:widowControl w:val="0"/>
        <w:kinsoku/>
        <w:wordWrap/>
        <w:overflowPunct/>
        <w:topLinePunct w:val="0"/>
        <w:autoSpaceDE/>
        <w:autoSpaceDN/>
        <w:bidi w:val="0"/>
        <w:spacing w:line="360" w:lineRule="exact"/>
        <w:ind w:firstLine="422" w:firstLineChars="200"/>
        <w:textAlignment w:val="auto"/>
        <w:rPr>
          <w:rFonts w:ascii="宋体"/>
        </w:rPr>
      </w:pPr>
      <w:r>
        <w:rPr>
          <w:rFonts w:ascii="宋体" w:hAnsi="宋体"/>
          <w:b/>
          <w:bCs/>
        </w:rPr>
        <w:t xml:space="preserve">2. </w:t>
      </w:r>
      <w:r>
        <w:rPr>
          <w:rFonts w:hint="eastAsia" w:ascii="宋体" w:hAnsi="宋体"/>
          <w:b/>
          <w:bCs/>
        </w:rPr>
        <w:t>技术分…………………………………………………………………………………………（满分</w:t>
      </w:r>
      <w:r>
        <w:rPr>
          <w:rFonts w:ascii="宋体" w:hAnsi="宋体"/>
          <w:b/>
          <w:bCs/>
        </w:rPr>
        <w:t>4</w:t>
      </w:r>
      <w:r>
        <w:rPr>
          <w:rFonts w:hint="eastAsia" w:ascii="宋体" w:hAnsi="宋体"/>
          <w:b/>
          <w:bCs/>
        </w:rPr>
        <w:t>5分）</w:t>
      </w:r>
    </w:p>
    <w:p>
      <w:pPr>
        <w:keepNext/>
        <w:keepLines w:val="0"/>
        <w:pageBreakBefore w:val="0"/>
        <w:widowControl w:val="0"/>
        <w:tabs>
          <w:tab w:val="left" w:pos="840"/>
        </w:tabs>
        <w:kinsoku/>
        <w:wordWrap/>
        <w:overflowPunct/>
        <w:topLinePunct w:val="0"/>
        <w:autoSpaceDE/>
        <w:autoSpaceDN/>
        <w:bidi w:val="0"/>
        <w:spacing w:line="360" w:lineRule="exact"/>
        <w:ind w:firstLine="211" w:firstLineChars="100"/>
        <w:textAlignment w:val="auto"/>
        <w:rPr>
          <w:rFonts w:ascii="宋体"/>
          <w:b/>
          <w:bCs/>
        </w:rPr>
      </w:pPr>
      <w:r>
        <w:rPr>
          <w:rFonts w:hint="eastAsia" w:ascii="宋体" w:hAnsi="宋体"/>
          <w:b/>
          <w:bCs/>
        </w:rPr>
        <w:t>（</w:t>
      </w:r>
      <w:r>
        <w:rPr>
          <w:rFonts w:ascii="宋体" w:hAnsi="宋体"/>
          <w:b/>
          <w:bCs/>
        </w:rPr>
        <w:t>1</w:t>
      </w:r>
      <w:r>
        <w:rPr>
          <w:rFonts w:hint="eastAsia" w:ascii="宋体" w:hAnsi="宋体"/>
          <w:b/>
          <w:bCs/>
        </w:rPr>
        <w:t>）主要技术参数性能分…………………………………………………………………………（满分12分）</w:t>
      </w:r>
    </w:p>
    <w:p>
      <w:pPr>
        <w:keepNext/>
        <w:keepLines w:val="0"/>
        <w:pageBreakBefore w:val="0"/>
        <w:widowControl w:val="0"/>
        <w:kinsoku/>
        <w:wordWrap/>
        <w:overflowPunct/>
        <w:topLinePunct w:val="0"/>
        <w:autoSpaceDE/>
        <w:autoSpaceDN/>
        <w:bidi w:val="0"/>
        <w:spacing w:line="360" w:lineRule="exact"/>
        <w:ind w:firstLine="420" w:firstLineChars="200"/>
        <w:textAlignment w:val="auto"/>
        <w:rPr>
          <w:rFonts w:ascii="宋体"/>
        </w:rPr>
      </w:pPr>
      <w:r>
        <w:rPr>
          <w:rFonts w:hint="eastAsia" w:ascii="宋体" w:hAnsi="宋体"/>
        </w:rPr>
        <w:t>①</w:t>
      </w:r>
      <w:r>
        <w:rPr>
          <w:rFonts w:hint="eastAsia" w:ascii="宋体" w:hAnsi="宋体"/>
          <w:lang w:val="en-US" w:eastAsia="zh-CN"/>
        </w:rPr>
        <w:t xml:space="preserve"> </w:t>
      </w:r>
      <w:r>
        <w:rPr>
          <w:rFonts w:hint="eastAsia" w:ascii="宋体" w:hAnsi="宋体"/>
        </w:rPr>
        <w:t>投标人对本项目《项目需求一览表》中所有条款均全部满足无负偏离的，得基本分12分。</w:t>
      </w:r>
    </w:p>
    <w:p>
      <w:pPr>
        <w:keepNext/>
        <w:keepLines w:val="0"/>
        <w:pageBreakBefore w:val="0"/>
        <w:widowControl w:val="0"/>
        <w:kinsoku/>
        <w:wordWrap/>
        <w:overflowPunct/>
        <w:topLinePunct w:val="0"/>
        <w:autoSpaceDE/>
        <w:autoSpaceDN/>
        <w:bidi w:val="0"/>
        <w:spacing w:line="360" w:lineRule="exact"/>
        <w:ind w:left="735" w:leftChars="200" w:hanging="315" w:hangingChars="150"/>
        <w:textAlignment w:val="auto"/>
        <w:rPr>
          <w:rFonts w:ascii="宋体" w:hAnsi="宋体"/>
        </w:rPr>
      </w:pPr>
      <w:r>
        <w:rPr>
          <w:rFonts w:hint="eastAsia" w:ascii="宋体" w:hAnsi="宋体"/>
        </w:rPr>
        <w:t>②</w:t>
      </w:r>
      <w:r>
        <w:rPr>
          <w:rFonts w:hint="eastAsia" w:ascii="宋体" w:hAnsi="宋体"/>
          <w:lang w:val="en-US" w:eastAsia="zh-CN"/>
        </w:rPr>
        <w:t xml:space="preserve"> </w:t>
      </w:r>
      <w:r>
        <w:rPr>
          <w:rFonts w:hint="eastAsia" w:ascii="宋体" w:hAnsi="宋体"/>
        </w:rPr>
        <w:t>在《项目需求一览表》中带“★”号的条款全部满足的基础上，其他条款中每有一项负偏离扣</w:t>
      </w:r>
      <w:r>
        <w:rPr>
          <w:rFonts w:ascii="宋体" w:hAnsi="宋体"/>
        </w:rPr>
        <w:t>2</w:t>
      </w:r>
      <w:r>
        <w:rPr>
          <w:rFonts w:hint="eastAsia" w:ascii="宋体" w:hAnsi="宋体"/>
        </w:rPr>
        <w:t>分，</w:t>
      </w:r>
    </w:p>
    <w:p>
      <w:pPr>
        <w:keepNext/>
        <w:keepLines w:val="0"/>
        <w:pageBreakBefore w:val="0"/>
        <w:widowControl w:val="0"/>
        <w:kinsoku/>
        <w:wordWrap/>
        <w:overflowPunct/>
        <w:topLinePunct w:val="0"/>
        <w:autoSpaceDE/>
        <w:autoSpaceDN/>
        <w:bidi w:val="0"/>
        <w:spacing w:line="360" w:lineRule="exact"/>
        <w:ind w:left="735" w:leftChars="300" w:hanging="105" w:hangingChars="50"/>
        <w:textAlignment w:val="auto"/>
        <w:rPr>
          <w:rFonts w:ascii="宋体"/>
        </w:rPr>
      </w:pPr>
      <w:r>
        <w:rPr>
          <w:rFonts w:hint="eastAsia" w:ascii="宋体" w:hAnsi="宋体"/>
        </w:rPr>
        <w:t>扣完12分为止。</w:t>
      </w:r>
    </w:p>
    <w:p>
      <w:pPr>
        <w:keepNext/>
        <w:keepLines w:val="0"/>
        <w:pageBreakBefore w:val="0"/>
        <w:widowControl w:val="0"/>
        <w:kinsoku/>
        <w:wordWrap/>
        <w:overflowPunct/>
        <w:topLinePunct w:val="0"/>
        <w:autoSpaceDE/>
        <w:autoSpaceDN/>
        <w:bidi w:val="0"/>
        <w:spacing w:line="360" w:lineRule="exact"/>
        <w:ind w:left="737" w:leftChars="100" w:hanging="527" w:hangingChars="250"/>
        <w:textAlignment w:val="auto"/>
        <w:rPr>
          <w:rFonts w:ascii="宋体"/>
          <w:b/>
          <w:bCs/>
        </w:rPr>
      </w:pPr>
      <w:r>
        <w:rPr>
          <w:rFonts w:hint="eastAsia" w:ascii="宋体" w:hAnsi="宋体"/>
          <w:b/>
          <w:bCs/>
        </w:rPr>
        <w:t>（</w:t>
      </w:r>
      <w:r>
        <w:rPr>
          <w:rFonts w:ascii="宋体" w:hAnsi="宋体"/>
          <w:b/>
          <w:bCs/>
        </w:rPr>
        <w:t>2</w:t>
      </w:r>
      <w:r>
        <w:rPr>
          <w:rFonts w:hint="eastAsia" w:ascii="宋体" w:hAnsi="宋体"/>
          <w:b/>
          <w:bCs/>
        </w:rPr>
        <w:t>）技术方案分………………………………………………………………………………………（满分15分）</w:t>
      </w:r>
    </w:p>
    <w:p>
      <w:pPr>
        <w:pStyle w:val="31"/>
        <w:keepNext/>
        <w:keepLines w:val="0"/>
        <w:pageBreakBefore w:val="0"/>
        <w:widowControl w:val="0"/>
        <w:kinsoku/>
        <w:wordWrap/>
        <w:overflowPunct/>
        <w:topLinePunct w:val="0"/>
        <w:autoSpaceDE/>
        <w:autoSpaceDN/>
        <w:bidi w:val="0"/>
        <w:adjustRightInd w:val="0"/>
        <w:snapToGrid w:val="0"/>
        <w:spacing w:line="360" w:lineRule="exact"/>
        <w:ind w:firstLine="105" w:firstLineChars="50"/>
        <w:textAlignment w:val="auto"/>
        <w:rPr>
          <w:rFonts w:hAnsi="宋体"/>
        </w:rPr>
      </w:pPr>
      <w:r>
        <w:rPr>
          <w:rFonts w:hint="eastAsia" w:hAnsi="宋体"/>
        </w:rPr>
        <w:t>一档：技术方案可行，技术实施方案简单………………………………………………………………（</w:t>
      </w:r>
      <w:r>
        <w:rPr>
          <w:rFonts w:hAnsi="宋体"/>
        </w:rPr>
        <w:t>0.1-</w:t>
      </w:r>
      <w:r>
        <w:rPr>
          <w:rFonts w:hint="eastAsia" w:hAnsi="宋体"/>
        </w:rPr>
        <w:t>5分）</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50" w:hanging="630" w:hangingChars="300"/>
        <w:textAlignment w:val="auto"/>
        <w:rPr>
          <w:rFonts w:hAnsi="宋体"/>
        </w:rPr>
      </w:pPr>
      <w:r>
        <w:rPr>
          <w:rFonts w:hint="eastAsia" w:hAnsi="宋体"/>
        </w:rPr>
        <w:t>二档：技术方案科学合理，</w:t>
      </w:r>
      <w:r>
        <w:rPr>
          <w:rFonts w:hint="eastAsia" w:hAnsi="宋体"/>
          <w:szCs w:val="21"/>
          <w:lang w:val="zh-CN"/>
        </w:rPr>
        <w:t>论述较准确，技术架构较新，方案整体性、可靠性、先进性、兼容性、可扩展性、可维护性、安全性较好。同时实施方案较详细、可行，实施组织机构健全，实施进度计划合理，能满足项目实施要求</w:t>
      </w:r>
      <w:r>
        <w:rPr>
          <w:rFonts w:hint="eastAsia" w:hAnsi="宋体"/>
        </w:rPr>
        <w:t>……………………………………………………………………………（5</w:t>
      </w:r>
      <w:r>
        <w:rPr>
          <w:rFonts w:hAnsi="宋体"/>
        </w:rPr>
        <w:t>.1-</w:t>
      </w:r>
      <w:r>
        <w:rPr>
          <w:rFonts w:hint="eastAsia" w:hAnsi="宋体"/>
        </w:rPr>
        <w:t>10分）</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50" w:hanging="630" w:hangingChars="300"/>
        <w:textAlignment w:val="auto"/>
        <w:rPr>
          <w:rFonts w:hAnsi="宋体"/>
          <w:highlight w:val="none"/>
        </w:rPr>
      </w:pPr>
      <w:r>
        <w:rPr>
          <w:rFonts w:hint="eastAsia" w:hAnsi="宋体"/>
        </w:rPr>
        <w:t>三档：</w:t>
      </w:r>
      <w:r>
        <w:rPr>
          <w:rFonts w:hint="eastAsia" w:hAnsi="宋体"/>
          <w:szCs w:val="21"/>
          <w:lang w:val="zh-CN"/>
        </w:rPr>
        <w:t>技术方案论述准确，技术新，产品性能好，方案整体性、可靠性、先进性、兼容性、可扩展性、可维护性、安全性良好，方案能结合用户现用情况，对招标人的使用有实质性的帮助与提高。①</w:t>
      </w:r>
      <w:r>
        <w:rPr>
          <w:rFonts w:hint="eastAsia" w:hAnsi="宋体"/>
          <w:szCs w:val="21"/>
        </w:rPr>
        <w:t>有明确可行的实施进度计划和管理措施；②有明确的项目实施保障措施，针对性强；③对项目实施质量有详细的控制方案和措施，能保证安装调试质量的各项技术措施实施到位；④具备完善的安装调试方案和验收方案；⑤有完善细致的</w:t>
      </w:r>
      <w:r>
        <w:rPr>
          <w:rFonts w:hint="eastAsia" w:hAnsi="宋体"/>
          <w:szCs w:val="21"/>
          <w:highlight w:val="none"/>
        </w:rPr>
        <w:t>安全保障措施</w:t>
      </w:r>
      <w:r>
        <w:rPr>
          <w:rFonts w:hint="eastAsia" w:hAnsi="宋体"/>
          <w:highlight w:val="none"/>
        </w:rPr>
        <w:t>，有</w:t>
      </w:r>
      <w:r>
        <w:rPr>
          <w:rFonts w:hint="eastAsia" w:hAnsi="宋体"/>
          <w:spacing w:val="-4"/>
          <w:highlight w:val="none"/>
        </w:rPr>
        <w:t>解决突发事件的</w:t>
      </w:r>
      <w:r>
        <w:rPr>
          <w:rFonts w:hint="eastAsia" w:hAnsi="宋体"/>
          <w:highlight w:val="none"/>
        </w:rPr>
        <w:t>应急预案；⑥有培训方案及合理化建议健全合理；能很好地满足本项目的采购需求…………………………………………（10</w:t>
      </w:r>
      <w:r>
        <w:rPr>
          <w:rFonts w:hAnsi="宋体"/>
          <w:highlight w:val="none"/>
        </w:rPr>
        <w:t>.1-</w:t>
      </w:r>
      <w:r>
        <w:rPr>
          <w:rFonts w:hint="eastAsia" w:hAnsi="宋体"/>
          <w:highlight w:val="none"/>
        </w:rPr>
        <w:t>15分）</w:t>
      </w:r>
    </w:p>
    <w:p>
      <w:pPr>
        <w:keepNext/>
        <w:keepLines w:val="0"/>
        <w:pageBreakBefore w:val="0"/>
        <w:widowControl w:val="0"/>
        <w:kinsoku/>
        <w:wordWrap/>
        <w:overflowPunct/>
        <w:topLinePunct w:val="0"/>
        <w:autoSpaceDE/>
        <w:autoSpaceDN/>
        <w:bidi w:val="0"/>
        <w:spacing w:line="360" w:lineRule="exact"/>
        <w:ind w:firstLine="211" w:firstLineChars="100"/>
        <w:textAlignment w:val="auto"/>
        <w:rPr>
          <w:rFonts w:ascii="宋体"/>
          <w:b/>
          <w:bCs/>
          <w:highlight w:val="none"/>
        </w:rPr>
      </w:pPr>
      <w:r>
        <w:rPr>
          <w:rFonts w:hint="eastAsia" w:ascii="宋体" w:hAnsi="宋体"/>
          <w:b/>
          <w:bCs/>
          <w:highlight w:val="none"/>
        </w:rPr>
        <w:t>（</w:t>
      </w:r>
      <w:r>
        <w:rPr>
          <w:rFonts w:ascii="宋体" w:hAnsi="宋体"/>
          <w:b/>
          <w:bCs/>
          <w:highlight w:val="none"/>
        </w:rPr>
        <w:t>3</w:t>
      </w:r>
      <w:r>
        <w:rPr>
          <w:rFonts w:hint="eastAsia" w:ascii="宋体" w:hAnsi="宋体"/>
          <w:b/>
          <w:bCs/>
          <w:highlight w:val="none"/>
        </w:rPr>
        <w:t>）核心产品性能分………………………………………………………………………………（满分18分）</w:t>
      </w:r>
    </w:p>
    <w:p>
      <w:pPr>
        <w:keepNext/>
        <w:keepLines w:val="0"/>
        <w:pageBreakBefore w:val="0"/>
        <w:widowControl w:val="0"/>
        <w:kinsoku/>
        <w:wordWrap/>
        <w:overflowPunct/>
        <w:topLinePunct w:val="0"/>
        <w:autoSpaceDE/>
        <w:autoSpaceDN/>
        <w:bidi w:val="0"/>
        <w:adjustRightInd/>
        <w:snapToGrid/>
        <w:spacing w:line="360" w:lineRule="exact"/>
        <w:ind w:left="105" w:leftChars="50" w:firstLine="630" w:firstLineChars="300"/>
        <w:textAlignment w:val="auto"/>
        <w:rPr>
          <w:rFonts w:hint="eastAsia" w:ascii="宋体" w:hAnsi="宋体"/>
          <w:highlight w:val="none"/>
        </w:rPr>
      </w:pPr>
      <w:r>
        <w:rPr>
          <w:rFonts w:hint="eastAsia" w:ascii="宋体" w:hAnsi="宋体"/>
          <w:kern w:val="0"/>
          <w:szCs w:val="21"/>
          <w:highlight w:val="none"/>
          <w:lang w:eastAsia="zh-CN"/>
        </w:rPr>
        <w:t>以下各项须</w:t>
      </w:r>
      <w:r>
        <w:rPr>
          <w:rFonts w:hint="eastAsia" w:ascii="宋体" w:hAnsi="宋体"/>
          <w:kern w:val="0"/>
          <w:szCs w:val="21"/>
          <w:highlight w:val="none"/>
        </w:rPr>
        <w:t>提供</w:t>
      </w:r>
      <w:r>
        <w:rPr>
          <w:rFonts w:hint="eastAsia" w:ascii="宋体" w:hAnsi="宋体"/>
          <w:kern w:val="0"/>
          <w:szCs w:val="21"/>
          <w:highlight w:val="none"/>
          <w:u w:val="single"/>
          <w:lang w:eastAsia="zh-CN"/>
        </w:rPr>
        <w:t>加盖相关</w:t>
      </w:r>
      <w:r>
        <w:rPr>
          <w:rFonts w:hint="eastAsia" w:ascii="宋体"/>
          <w:highlight w:val="none"/>
          <w:u w:val="single"/>
        </w:rPr>
        <w:t>产品生产厂家</w:t>
      </w:r>
      <w:r>
        <w:rPr>
          <w:rFonts w:hint="eastAsia" w:ascii="宋体"/>
          <w:highlight w:val="none"/>
          <w:u w:val="single"/>
          <w:lang w:eastAsia="zh-CN"/>
        </w:rPr>
        <w:t>公章</w:t>
      </w:r>
      <w:r>
        <w:rPr>
          <w:rFonts w:hint="eastAsia" w:ascii="宋体"/>
          <w:highlight w:val="none"/>
          <w:lang w:val="en-US" w:eastAsia="zh-CN"/>
        </w:rPr>
        <w:t>的相关证书或</w:t>
      </w:r>
      <w:r>
        <w:rPr>
          <w:rFonts w:hint="eastAsia" w:ascii="宋体" w:hAnsi="宋体"/>
          <w:kern w:val="0"/>
          <w:szCs w:val="21"/>
          <w:highlight w:val="none"/>
        </w:rPr>
        <w:t>证</w:t>
      </w:r>
      <w:r>
        <w:rPr>
          <w:rFonts w:hint="eastAsia" w:ascii="宋体" w:hAnsi="宋体"/>
          <w:kern w:val="0"/>
          <w:szCs w:val="21"/>
          <w:highlight w:val="none"/>
          <w:lang w:eastAsia="zh-CN"/>
        </w:rPr>
        <w:t>明</w:t>
      </w:r>
      <w:r>
        <w:rPr>
          <w:rFonts w:hint="eastAsia" w:ascii="宋体" w:hAnsi="宋体"/>
          <w:kern w:val="0"/>
          <w:szCs w:val="21"/>
          <w:highlight w:val="none"/>
        </w:rPr>
        <w:t>复印件，未提供不得分。</w:t>
      </w:r>
    </w:p>
    <w:p>
      <w:pPr>
        <w:keepNext/>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Cs w:val="21"/>
          <w:highlight w:val="none"/>
        </w:rPr>
      </w:pPr>
      <w:r>
        <w:rPr>
          <w:rFonts w:hint="eastAsia" w:ascii="宋体" w:hAnsi="宋体"/>
          <w:highlight w:val="none"/>
        </w:rPr>
        <w:t>①</w:t>
      </w:r>
      <w:r>
        <w:rPr>
          <w:rFonts w:hint="eastAsia" w:ascii="宋体" w:hAnsi="宋体"/>
          <w:highlight w:val="none"/>
          <w:lang w:val="en-US" w:eastAsia="zh-CN"/>
        </w:rPr>
        <w:t xml:space="preserve"> </w:t>
      </w:r>
      <w:r>
        <w:rPr>
          <w:rFonts w:hint="eastAsia" w:ascii="宋体" w:hAnsi="宋体"/>
          <w:highlight w:val="none"/>
        </w:rPr>
        <w:t>入侵防御系统</w:t>
      </w:r>
      <w:r>
        <w:rPr>
          <w:rFonts w:hint="eastAsia" w:ascii="宋体" w:hAnsi="宋体" w:cs="宋体"/>
          <w:szCs w:val="21"/>
          <w:highlight w:val="none"/>
        </w:rPr>
        <w:t>所投产品生产厂家：</w:t>
      </w:r>
    </w:p>
    <w:p>
      <w:pPr>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rFonts w:hint="eastAsia" w:ascii="宋体" w:hAnsi="宋体" w:cs="宋体"/>
          <w:szCs w:val="21"/>
          <w:highlight w:val="none"/>
        </w:rPr>
      </w:pPr>
      <w:r>
        <w:rPr>
          <w:rFonts w:hint="eastAsia" w:ascii="宋体" w:hAnsi="宋体" w:cs="宋体"/>
          <w:szCs w:val="21"/>
          <w:highlight w:val="none"/>
        </w:rPr>
        <w:t>具有中华人民共和国公安部的《计算机信息系统安全专用产品销售许可证（千兆--三级）》得1分；</w:t>
      </w:r>
      <w:r>
        <w:rPr>
          <w:rFonts w:hint="eastAsia" w:ascii="宋体" w:hAnsi="宋体" w:cs="宋体"/>
          <w:spacing w:val="-11"/>
          <w:sz w:val="21"/>
          <w:szCs w:val="21"/>
          <w:highlight w:val="none"/>
        </w:rPr>
        <w:t>具有中国信息安全测评中心颁发的《国家信息安全测评信息技术产品安全测评证书（</w:t>
      </w:r>
      <w:r>
        <w:rPr>
          <w:rFonts w:ascii="宋体" w:hAnsi="宋体" w:cs="宋体"/>
          <w:spacing w:val="-11"/>
          <w:sz w:val="21"/>
          <w:szCs w:val="21"/>
          <w:highlight w:val="none"/>
        </w:rPr>
        <w:t>EAL3+</w:t>
      </w:r>
      <w:r>
        <w:rPr>
          <w:rFonts w:hint="eastAsia" w:ascii="宋体" w:hAnsi="宋体" w:cs="宋体"/>
          <w:spacing w:val="-11"/>
          <w:sz w:val="21"/>
          <w:szCs w:val="21"/>
          <w:highlight w:val="none"/>
        </w:rPr>
        <w:t>级）》得</w:t>
      </w:r>
      <w:r>
        <w:rPr>
          <w:rFonts w:ascii="宋体" w:hAnsi="宋体" w:cs="宋体"/>
          <w:spacing w:val="-11"/>
          <w:sz w:val="21"/>
          <w:szCs w:val="21"/>
          <w:highlight w:val="none"/>
        </w:rPr>
        <w:t>1</w:t>
      </w:r>
      <w:r>
        <w:rPr>
          <w:rFonts w:hint="eastAsia" w:ascii="宋体" w:hAnsi="宋体" w:cs="宋体"/>
          <w:spacing w:val="-11"/>
          <w:sz w:val="21"/>
          <w:szCs w:val="21"/>
          <w:highlight w:val="none"/>
        </w:rPr>
        <w:t>分</w:t>
      </w:r>
      <w:r>
        <w:rPr>
          <w:rFonts w:hint="eastAsia" w:ascii="宋体" w:hAnsi="宋体" w:cs="宋体"/>
          <w:szCs w:val="21"/>
          <w:highlight w:val="none"/>
        </w:rPr>
        <w:t>；</w:t>
      </w:r>
    </w:p>
    <w:p>
      <w:pPr>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rFonts w:hint="eastAsia" w:ascii="宋体" w:hAnsi="宋体" w:cs="宋体"/>
          <w:szCs w:val="21"/>
          <w:highlight w:val="none"/>
        </w:rPr>
      </w:pPr>
      <w:r>
        <w:rPr>
          <w:rFonts w:hint="eastAsia" w:ascii="宋体" w:hAnsi="宋体" w:cs="宋体"/>
          <w:szCs w:val="21"/>
          <w:highlight w:val="none"/>
        </w:rPr>
        <w:t>具有</w:t>
      </w:r>
      <w:r>
        <w:rPr>
          <w:rFonts w:hint="eastAsia" w:ascii="宋体" w:hAnsi="宋体" w:cs="宋体"/>
          <w:spacing w:val="-11"/>
          <w:sz w:val="21"/>
          <w:szCs w:val="21"/>
          <w:highlight w:val="none"/>
        </w:rPr>
        <w:t>中国信息安全测评中心颁发</w:t>
      </w:r>
      <w:r>
        <w:rPr>
          <w:rFonts w:hint="eastAsia" w:ascii="宋体" w:hAnsi="宋体" w:cs="宋体"/>
          <w:spacing w:val="-11"/>
          <w:sz w:val="21"/>
          <w:szCs w:val="21"/>
          <w:highlight w:val="none"/>
          <w:lang w:eastAsia="zh-CN"/>
        </w:rPr>
        <w:t>的</w:t>
      </w:r>
      <w:r>
        <w:rPr>
          <w:rFonts w:hint="eastAsia" w:ascii="宋体" w:hAnsi="宋体" w:cs="宋体"/>
          <w:szCs w:val="21"/>
          <w:highlight w:val="none"/>
        </w:rPr>
        <w:t>《国家信息安全漏洞库CNNVD兼容性资质证书》得</w:t>
      </w:r>
      <w:r>
        <w:rPr>
          <w:rFonts w:ascii="宋体" w:hAnsi="宋体" w:cs="宋体"/>
          <w:szCs w:val="21"/>
          <w:highlight w:val="none"/>
        </w:rPr>
        <w:t>0.5</w:t>
      </w:r>
      <w:r>
        <w:rPr>
          <w:rFonts w:hint="eastAsia" w:ascii="宋体" w:hAnsi="宋体" w:cs="宋体"/>
          <w:szCs w:val="21"/>
          <w:highlight w:val="none"/>
        </w:rPr>
        <w:t>分；</w:t>
      </w:r>
    </w:p>
    <w:p>
      <w:pPr>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rFonts w:hint="eastAsia" w:ascii="宋体" w:hAnsi="宋体" w:cs="宋体"/>
          <w:szCs w:val="21"/>
          <w:highlight w:val="none"/>
        </w:rPr>
      </w:pPr>
      <w:r>
        <w:rPr>
          <w:rFonts w:hint="eastAsia" w:ascii="宋体" w:hAnsi="宋体" w:cs="宋体"/>
          <w:szCs w:val="21"/>
          <w:highlight w:val="none"/>
        </w:rPr>
        <w:t>具有国家保密科技测评中心颁发的《涉密信息系统产品检测证书》得</w:t>
      </w:r>
      <w:r>
        <w:rPr>
          <w:rFonts w:ascii="宋体" w:hAnsi="宋体" w:cs="宋体"/>
          <w:szCs w:val="21"/>
          <w:highlight w:val="none"/>
        </w:rPr>
        <w:t>0.5</w:t>
      </w:r>
      <w:r>
        <w:rPr>
          <w:rFonts w:hint="eastAsia" w:ascii="宋体" w:hAnsi="宋体" w:cs="宋体"/>
          <w:szCs w:val="21"/>
          <w:highlight w:val="none"/>
        </w:rPr>
        <w:t>分；</w:t>
      </w:r>
    </w:p>
    <w:p>
      <w:pPr>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rFonts w:hint="eastAsia" w:ascii="宋体" w:hAnsi="宋体" w:cs="宋体"/>
          <w:szCs w:val="21"/>
          <w:highlight w:val="none"/>
        </w:rPr>
      </w:pPr>
      <w:r>
        <w:rPr>
          <w:rFonts w:hint="eastAsia" w:ascii="宋体" w:hAnsi="宋体" w:cs="宋体"/>
          <w:spacing w:val="-11"/>
          <w:sz w:val="21"/>
          <w:szCs w:val="21"/>
          <w:highlight w:val="none"/>
        </w:rPr>
        <w:t>具有中国信息安全认证中心颁发的《信息安全服务资质认证证书----一级应急处理服务资质》证书得</w:t>
      </w:r>
      <w:r>
        <w:rPr>
          <w:rFonts w:ascii="宋体" w:hAnsi="宋体" w:cs="宋体"/>
          <w:spacing w:val="-11"/>
          <w:sz w:val="21"/>
          <w:szCs w:val="21"/>
          <w:highlight w:val="none"/>
        </w:rPr>
        <w:t>1</w:t>
      </w:r>
      <w:r>
        <w:rPr>
          <w:rFonts w:hint="eastAsia" w:ascii="宋体" w:hAnsi="宋体" w:cs="宋体"/>
          <w:spacing w:val="-11"/>
          <w:sz w:val="21"/>
          <w:szCs w:val="21"/>
          <w:highlight w:val="none"/>
        </w:rPr>
        <w:t>分</w:t>
      </w:r>
      <w:r>
        <w:rPr>
          <w:rFonts w:hint="eastAsia" w:ascii="宋体" w:hAnsi="宋体" w:cs="宋体"/>
          <w:szCs w:val="21"/>
          <w:highlight w:val="none"/>
        </w:rPr>
        <w:t>；</w:t>
      </w:r>
    </w:p>
    <w:p>
      <w:pPr>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rFonts w:hint="eastAsia" w:ascii="宋体" w:hAnsi="宋体" w:cs="宋体"/>
          <w:szCs w:val="21"/>
          <w:highlight w:val="none"/>
        </w:rPr>
      </w:pPr>
      <w:r>
        <w:rPr>
          <w:rFonts w:hint="eastAsia" w:ascii="宋体" w:hAnsi="宋体" w:cs="宋体"/>
          <w:spacing w:val="-17"/>
          <w:sz w:val="21"/>
          <w:szCs w:val="21"/>
          <w:highlight w:val="none"/>
        </w:rPr>
        <w:t>具有中国信息安全测评中心颁发的《国家信息安全测评信息安全服务资质》（安全工程类三级）资质证书得</w:t>
      </w:r>
      <w:r>
        <w:rPr>
          <w:rFonts w:ascii="宋体" w:hAnsi="宋体" w:cs="宋体"/>
          <w:spacing w:val="-17"/>
          <w:sz w:val="21"/>
          <w:szCs w:val="21"/>
          <w:highlight w:val="none"/>
        </w:rPr>
        <w:t>1</w:t>
      </w:r>
      <w:r>
        <w:rPr>
          <w:rFonts w:hint="eastAsia" w:ascii="宋体" w:hAnsi="宋体" w:cs="宋体"/>
          <w:spacing w:val="-17"/>
          <w:sz w:val="21"/>
          <w:szCs w:val="21"/>
          <w:highlight w:val="none"/>
        </w:rPr>
        <w:t>分</w:t>
      </w:r>
      <w:r>
        <w:rPr>
          <w:rFonts w:hint="eastAsia" w:ascii="宋体" w:hAnsi="宋体" w:cs="宋体"/>
          <w:szCs w:val="21"/>
          <w:highlight w:val="none"/>
        </w:rPr>
        <w:t>。</w:t>
      </w:r>
    </w:p>
    <w:p>
      <w:pPr>
        <w:pStyle w:val="2"/>
        <w:ind w:firstLine="630" w:firstLineChars="300"/>
        <w:rPr>
          <w:highlight w:val="none"/>
        </w:rPr>
      </w:pPr>
      <w:r>
        <w:rPr>
          <w:rFonts w:hint="eastAsia" w:ascii="宋体" w:hAnsi="宋体"/>
          <w:highlight w:val="none"/>
        </w:rPr>
        <w:t>（满分</w:t>
      </w:r>
      <w:r>
        <w:rPr>
          <w:rFonts w:ascii="宋体" w:hAnsi="宋体"/>
          <w:highlight w:val="none"/>
        </w:rPr>
        <w:t>5</w:t>
      </w:r>
      <w:r>
        <w:rPr>
          <w:rFonts w:hint="eastAsia" w:ascii="宋体" w:hAnsi="宋体"/>
          <w:highlight w:val="none"/>
        </w:rPr>
        <w:t>分）</w:t>
      </w:r>
    </w:p>
    <w:p>
      <w:pPr>
        <w:keepNext/>
        <w:keepLines w:val="0"/>
        <w:pageBreakBefore w:val="0"/>
        <w:widowControl w:val="0"/>
        <w:kinsoku/>
        <w:wordWrap/>
        <w:overflowPunct/>
        <w:topLinePunct w:val="0"/>
        <w:autoSpaceDE/>
        <w:autoSpaceDN/>
        <w:bidi w:val="0"/>
        <w:adjustRightInd/>
        <w:snapToGrid/>
        <w:spacing w:line="360" w:lineRule="exact"/>
        <w:ind w:left="105" w:leftChars="50" w:firstLine="210" w:firstLineChars="100"/>
        <w:textAlignment w:val="auto"/>
        <w:rPr>
          <w:rFonts w:hint="eastAsia" w:ascii="宋体" w:hAnsi="宋体" w:cs="宋体"/>
          <w:szCs w:val="21"/>
          <w:highlight w:val="none"/>
        </w:rPr>
      </w:pPr>
      <w:r>
        <w:rPr>
          <w:rFonts w:hint="eastAsia" w:ascii="宋体" w:hAnsi="宋体"/>
          <w:highlight w:val="none"/>
        </w:rPr>
        <w:t>②</w:t>
      </w:r>
      <w:r>
        <w:rPr>
          <w:rFonts w:hint="eastAsia" w:ascii="宋体" w:hAnsi="宋体"/>
          <w:highlight w:val="none"/>
          <w:lang w:val="en-US" w:eastAsia="zh-CN"/>
        </w:rPr>
        <w:t xml:space="preserve">  </w:t>
      </w:r>
      <w:r>
        <w:rPr>
          <w:rFonts w:hint="eastAsia" w:ascii="宋体" w:hAnsi="宋体"/>
          <w:highlight w:val="none"/>
        </w:rPr>
        <w:t>WEB应用防火墙</w:t>
      </w:r>
      <w:r>
        <w:rPr>
          <w:rFonts w:hint="eastAsia" w:ascii="宋体" w:hAnsi="宋体" w:cs="宋体"/>
          <w:szCs w:val="21"/>
          <w:highlight w:val="none"/>
        </w:rPr>
        <w:t>所投产品生产厂家：</w:t>
      </w:r>
    </w:p>
    <w:p>
      <w:pPr>
        <w:keepNext/>
        <w:keepLines w:val="0"/>
        <w:pageBreakBefore w:val="0"/>
        <w:widowControl w:val="0"/>
        <w:kinsoku/>
        <w:wordWrap/>
        <w:overflowPunct/>
        <w:topLinePunct w:val="0"/>
        <w:autoSpaceDE/>
        <w:autoSpaceDN/>
        <w:bidi w:val="0"/>
        <w:adjustRightInd/>
        <w:snapToGrid/>
        <w:spacing w:line="360" w:lineRule="exact"/>
        <w:ind w:left="105" w:leftChars="50" w:firstLine="630" w:firstLineChars="300"/>
        <w:textAlignment w:val="auto"/>
        <w:rPr>
          <w:rFonts w:hint="eastAsia" w:ascii="宋体" w:hAnsi="宋体" w:cs="宋体"/>
          <w:szCs w:val="21"/>
          <w:highlight w:val="none"/>
        </w:rPr>
      </w:pPr>
      <w:r>
        <w:rPr>
          <w:rFonts w:hint="eastAsia" w:ascii="宋体" w:hAnsi="宋体" w:cs="宋体"/>
          <w:szCs w:val="21"/>
          <w:highlight w:val="none"/>
        </w:rPr>
        <w:t>具有中华人民共和国公安部的《计算机信息系统安全专用产品销售许可证》得1分；</w:t>
      </w:r>
    </w:p>
    <w:p>
      <w:pPr>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rFonts w:hint="eastAsia" w:ascii="宋体" w:hAnsi="宋体" w:cs="宋体"/>
          <w:spacing w:val="-11"/>
          <w:sz w:val="21"/>
          <w:szCs w:val="21"/>
          <w:highlight w:val="none"/>
        </w:rPr>
      </w:pPr>
      <w:r>
        <w:rPr>
          <w:rFonts w:hint="eastAsia" w:ascii="宋体" w:hAnsi="宋体" w:cs="宋体"/>
          <w:spacing w:val="-11"/>
          <w:sz w:val="21"/>
          <w:szCs w:val="21"/>
          <w:highlight w:val="none"/>
        </w:rPr>
        <w:t>具有中国信息安全测评中心颁发的《国家信息安全测评信息技术产品安全测评证书（</w:t>
      </w:r>
      <w:r>
        <w:rPr>
          <w:rFonts w:ascii="宋体" w:hAnsi="宋体" w:cs="宋体"/>
          <w:spacing w:val="-11"/>
          <w:sz w:val="21"/>
          <w:szCs w:val="21"/>
          <w:highlight w:val="none"/>
        </w:rPr>
        <w:t>EAL3+</w:t>
      </w:r>
      <w:r>
        <w:rPr>
          <w:rFonts w:hint="eastAsia" w:ascii="宋体" w:hAnsi="宋体" w:cs="宋体"/>
          <w:spacing w:val="-11"/>
          <w:sz w:val="21"/>
          <w:szCs w:val="21"/>
          <w:highlight w:val="none"/>
        </w:rPr>
        <w:t>级）》得</w:t>
      </w:r>
      <w:r>
        <w:rPr>
          <w:rFonts w:ascii="宋体" w:hAnsi="宋体" w:cs="宋体"/>
          <w:spacing w:val="-11"/>
          <w:sz w:val="21"/>
          <w:szCs w:val="21"/>
          <w:highlight w:val="none"/>
        </w:rPr>
        <w:t>1</w:t>
      </w:r>
      <w:r>
        <w:rPr>
          <w:rFonts w:hint="eastAsia" w:ascii="宋体" w:hAnsi="宋体" w:cs="宋体"/>
          <w:spacing w:val="-11"/>
          <w:sz w:val="21"/>
          <w:szCs w:val="21"/>
          <w:highlight w:val="none"/>
        </w:rPr>
        <w:t>分；</w:t>
      </w:r>
    </w:p>
    <w:p>
      <w:pPr>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rFonts w:hint="eastAsia" w:ascii="宋体" w:hAnsi="宋体" w:cs="宋体"/>
          <w:szCs w:val="21"/>
          <w:highlight w:val="none"/>
        </w:rPr>
      </w:pPr>
      <w:r>
        <w:rPr>
          <w:rFonts w:hint="eastAsia" w:ascii="宋体" w:hAnsi="宋体" w:cs="宋体"/>
          <w:spacing w:val="-11"/>
          <w:sz w:val="21"/>
          <w:szCs w:val="21"/>
          <w:highlight w:val="none"/>
        </w:rPr>
        <w:t>具有中国信息安全认证中心颁发的《信息安全服务资质认证证书----一级应急处理服务资质》证书得</w:t>
      </w:r>
      <w:r>
        <w:rPr>
          <w:rFonts w:ascii="宋体" w:hAnsi="宋体" w:cs="宋体"/>
          <w:spacing w:val="-11"/>
          <w:sz w:val="21"/>
          <w:szCs w:val="21"/>
          <w:highlight w:val="none"/>
        </w:rPr>
        <w:t>1</w:t>
      </w:r>
      <w:r>
        <w:rPr>
          <w:rFonts w:hint="eastAsia" w:ascii="宋体" w:hAnsi="宋体" w:cs="宋体"/>
          <w:spacing w:val="-11"/>
          <w:sz w:val="21"/>
          <w:szCs w:val="21"/>
          <w:highlight w:val="none"/>
        </w:rPr>
        <w:t>分；</w:t>
      </w:r>
    </w:p>
    <w:p>
      <w:pPr>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rFonts w:hint="eastAsia" w:ascii="宋体" w:hAnsi="宋体" w:cs="宋体"/>
          <w:szCs w:val="21"/>
          <w:highlight w:val="none"/>
        </w:rPr>
      </w:pPr>
      <w:r>
        <w:rPr>
          <w:rFonts w:hint="eastAsia" w:ascii="宋体" w:hAnsi="宋体" w:cs="宋体"/>
          <w:spacing w:val="-17"/>
          <w:sz w:val="21"/>
          <w:szCs w:val="21"/>
          <w:highlight w:val="none"/>
        </w:rPr>
        <w:t>具有中国信息安全测评中心颁发的《国家信息安全测评信息安全服务资质》（安全工程类三级）资质证书得</w:t>
      </w:r>
      <w:r>
        <w:rPr>
          <w:rFonts w:ascii="宋体" w:hAnsi="宋体" w:cs="宋体"/>
          <w:spacing w:val="-17"/>
          <w:sz w:val="21"/>
          <w:szCs w:val="21"/>
          <w:highlight w:val="none"/>
        </w:rPr>
        <w:t>1</w:t>
      </w:r>
      <w:r>
        <w:rPr>
          <w:rFonts w:hint="eastAsia" w:ascii="宋体" w:hAnsi="宋体" w:cs="宋体"/>
          <w:spacing w:val="-17"/>
          <w:sz w:val="21"/>
          <w:szCs w:val="21"/>
          <w:highlight w:val="none"/>
        </w:rPr>
        <w:t>分</w:t>
      </w:r>
      <w:r>
        <w:rPr>
          <w:rFonts w:hint="eastAsia" w:ascii="宋体" w:hAnsi="宋体" w:cs="宋体"/>
          <w:szCs w:val="21"/>
          <w:highlight w:val="none"/>
        </w:rPr>
        <w:t>。</w:t>
      </w:r>
    </w:p>
    <w:p>
      <w:pPr>
        <w:pStyle w:val="2"/>
        <w:rPr>
          <w:rFonts w:hint="default" w:eastAsia="宋体"/>
          <w:highlight w:val="none"/>
          <w:lang w:val="en-US" w:eastAsia="zh-CN"/>
        </w:rPr>
      </w:pPr>
      <w:r>
        <w:rPr>
          <w:rFonts w:hint="eastAsia" w:ascii="宋体" w:hAnsi="宋体" w:cs="宋体"/>
          <w:szCs w:val="21"/>
          <w:highlight w:val="none"/>
          <w:lang w:val="en-US" w:eastAsia="zh-CN"/>
        </w:rPr>
        <w:t xml:space="preserve">   </w:t>
      </w:r>
      <w:r>
        <w:rPr>
          <w:rFonts w:hint="eastAsia" w:ascii="宋体" w:hAnsi="宋体"/>
          <w:highlight w:val="none"/>
        </w:rPr>
        <w:t>（满分</w:t>
      </w:r>
      <w:r>
        <w:rPr>
          <w:rFonts w:ascii="宋体" w:hAnsi="宋体"/>
          <w:highlight w:val="none"/>
        </w:rPr>
        <w:t>4</w:t>
      </w:r>
      <w:r>
        <w:rPr>
          <w:rFonts w:hint="eastAsia" w:ascii="宋体" w:hAnsi="宋体"/>
          <w:highlight w:val="none"/>
        </w:rPr>
        <w:t>分）</w:t>
      </w:r>
    </w:p>
    <w:p>
      <w:pPr>
        <w:keepNext/>
        <w:keepLines w:val="0"/>
        <w:pageBreakBefore w:val="0"/>
        <w:widowControl w:val="0"/>
        <w:kinsoku/>
        <w:wordWrap/>
        <w:overflowPunct/>
        <w:topLinePunct w:val="0"/>
        <w:autoSpaceDE/>
        <w:autoSpaceDN/>
        <w:bidi w:val="0"/>
        <w:adjustRightInd/>
        <w:snapToGrid/>
        <w:spacing w:line="360" w:lineRule="exact"/>
        <w:ind w:left="735" w:leftChars="150" w:hanging="420" w:hangingChars="200"/>
        <w:textAlignment w:val="auto"/>
        <w:rPr>
          <w:rFonts w:hint="eastAsia" w:ascii="宋体"/>
          <w:highlight w:val="none"/>
        </w:rPr>
      </w:pPr>
      <w:r>
        <w:rPr>
          <w:rFonts w:hint="eastAsia" w:ascii="宋体"/>
          <w:highlight w:val="none"/>
        </w:rPr>
        <w:t>③</w:t>
      </w:r>
      <w:r>
        <w:rPr>
          <w:rFonts w:hint="eastAsia" w:ascii="宋体"/>
          <w:highlight w:val="none"/>
          <w:lang w:val="en-US" w:eastAsia="zh-CN"/>
        </w:rPr>
        <w:t xml:space="preserve">  </w:t>
      </w:r>
      <w:r>
        <w:rPr>
          <w:rFonts w:hint="eastAsia" w:ascii="宋体"/>
          <w:highlight w:val="none"/>
        </w:rPr>
        <w:t>所投负载均衡类产品入选Gartner应用交付控制器（ADC）魔力象限，得2分；具有CMMI3级证书，得1分，具有CMMI4级证书，得</w:t>
      </w:r>
      <w:r>
        <w:rPr>
          <w:rFonts w:ascii="宋体"/>
          <w:highlight w:val="none"/>
        </w:rPr>
        <w:t>2</w:t>
      </w:r>
      <w:r>
        <w:rPr>
          <w:rFonts w:hint="eastAsia" w:ascii="宋体"/>
          <w:highlight w:val="none"/>
        </w:rPr>
        <w:t>分，具有CMMI5级证书，得</w:t>
      </w:r>
      <w:r>
        <w:rPr>
          <w:rFonts w:ascii="宋体"/>
          <w:highlight w:val="none"/>
        </w:rPr>
        <w:t>3</w:t>
      </w:r>
      <w:r>
        <w:rPr>
          <w:rFonts w:hint="eastAsia" w:ascii="宋体"/>
          <w:highlight w:val="none"/>
        </w:rPr>
        <w:t>分。</w:t>
      </w:r>
    </w:p>
    <w:p>
      <w:pPr>
        <w:keepNext/>
        <w:keepLines w:val="0"/>
        <w:pageBreakBefore w:val="0"/>
        <w:widowControl w:val="0"/>
        <w:kinsoku/>
        <w:wordWrap/>
        <w:overflowPunct/>
        <w:topLinePunct w:val="0"/>
        <w:autoSpaceDE/>
        <w:autoSpaceDN/>
        <w:bidi w:val="0"/>
        <w:adjustRightInd/>
        <w:snapToGrid/>
        <w:spacing w:line="360" w:lineRule="exact"/>
        <w:ind w:left="315" w:leftChars="150" w:firstLine="420" w:firstLineChars="200"/>
        <w:textAlignment w:val="auto"/>
        <w:rPr>
          <w:rFonts w:ascii="宋体" w:hAnsi="宋体"/>
          <w:highlight w:val="none"/>
        </w:rPr>
      </w:pPr>
      <w:r>
        <w:rPr>
          <w:rFonts w:hint="eastAsia" w:ascii="宋体"/>
          <w:highlight w:val="none"/>
        </w:rPr>
        <w:t>（满分</w:t>
      </w:r>
      <w:r>
        <w:rPr>
          <w:rFonts w:ascii="宋体"/>
          <w:highlight w:val="none"/>
        </w:rPr>
        <w:t>5</w:t>
      </w:r>
      <w:r>
        <w:rPr>
          <w:rFonts w:hint="eastAsia" w:ascii="宋体"/>
          <w:highlight w:val="none"/>
        </w:rPr>
        <w:t>分）</w:t>
      </w:r>
    </w:p>
    <w:p>
      <w:pPr>
        <w:pStyle w:val="2"/>
        <w:keepNext/>
        <w:keepLines w:val="0"/>
        <w:pageBreakBefore w:val="0"/>
        <w:widowControl w:val="0"/>
        <w:kinsoku/>
        <w:wordWrap/>
        <w:overflowPunct/>
        <w:topLinePunct w:val="0"/>
        <w:autoSpaceDE/>
        <w:autoSpaceDN/>
        <w:bidi w:val="0"/>
        <w:adjustRightInd/>
        <w:snapToGrid/>
        <w:spacing w:line="360" w:lineRule="exact"/>
        <w:ind w:left="735" w:leftChars="150" w:hanging="420" w:hangingChars="200"/>
        <w:textAlignment w:val="auto"/>
        <w:rPr>
          <w:rFonts w:hint="eastAsia" w:ascii="宋体" w:hAnsi="宋体"/>
          <w:highlight w:val="none"/>
          <w:lang w:eastAsia="zh-CN"/>
        </w:rPr>
      </w:pPr>
      <w:r>
        <w:rPr>
          <w:rFonts w:hint="eastAsia" w:ascii="宋体" w:hAnsi="宋体" w:eastAsia="宋体" w:cs="宋体"/>
          <w:kern w:val="2"/>
          <w:sz w:val="21"/>
          <w:szCs w:val="24"/>
          <w:highlight w:val="none"/>
          <w:lang w:val="en-US" w:eastAsia="zh-CN" w:bidi="ar-SA"/>
        </w:rPr>
        <w:t>④</w:t>
      </w:r>
      <w:r>
        <w:rPr>
          <w:rFonts w:hint="eastAsia" w:ascii="宋体" w:hAnsi="宋体" w:cs="宋体"/>
          <w:kern w:val="2"/>
          <w:sz w:val="21"/>
          <w:szCs w:val="24"/>
          <w:highlight w:val="none"/>
          <w:lang w:val="en-US" w:eastAsia="zh-CN" w:bidi="ar-SA"/>
        </w:rPr>
        <w:t xml:space="preserve">  </w:t>
      </w:r>
      <w:r>
        <w:rPr>
          <w:rFonts w:hint="eastAsia" w:ascii="宋体" w:hAnsi="Times New Roman" w:eastAsia="宋体" w:cs="Times New Roman"/>
          <w:kern w:val="2"/>
          <w:sz w:val="21"/>
          <w:szCs w:val="24"/>
          <w:highlight w:val="none"/>
          <w:lang w:val="en-US" w:eastAsia="zh-CN" w:bidi="ar-SA"/>
        </w:rPr>
        <w:t>出口防火</w:t>
      </w:r>
      <w:r>
        <w:rPr>
          <w:rFonts w:hint="eastAsia" w:ascii="宋体" w:hAnsi="宋体"/>
          <w:highlight w:val="none"/>
        </w:rPr>
        <w:t>墙所投产品生产厂家</w:t>
      </w:r>
      <w:r>
        <w:rPr>
          <w:rFonts w:hint="eastAsia" w:ascii="宋体" w:hAnsi="宋体"/>
          <w:highlight w:val="none"/>
          <w:lang w:eastAsia="zh-CN"/>
        </w:rPr>
        <w:t>已</w:t>
      </w:r>
      <w:r>
        <w:rPr>
          <w:rFonts w:hint="eastAsia" w:ascii="宋体" w:hAnsi="宋体"/>
          <w:highlight w:val="none"/>
        </w:rPr>
        <w:t>入</w:t>
      </w:r>
      <w:r>
        <w:rPr>
          <w:rFonts w:hint="eastAsia" w:ascii="宋体" w:hAnsi="宋体"/>
          <w:highlight w:val="none"/>
          <w:lang w:eastAsia="zh-CN"/>
        </w:rPr>
        <w:t>围</w:t>
      </w:r>
      <w:r>
        <w:rPr>
          <w:rFonts w:hint="eastAsia" w:ascii="宋体" w:hAnsi="宋体"/>
          <w:highlight w:val="none"/>
        </w:rPr>
        <w:t>企业级防火墙魔力象限，连续四年入围得4分</w:t>
      </w:r>
      <w:r>
        <w:rPr>
          <w:rFonts w:hint="eastAsia" w:ascii="宋体" w:hAnsi="宋体"/>
          <w:highlight w:val="none"/>
          <w:lang w:eastAsia="zh-CN"/>
        </w:rPr>
        <w:t>，</w:t>
      </w:r>
      <w:r>
        <w:rPr>
          <w:rFonts w:hint="eastAsia" w:ascii="宋体" w:hAnsi="宋体"/>
          <w:highlight w:val="none"/>
        </w:rPr>
        <w:t>连续三年入围得3分，连续两年入围得2分，入围一年</w:t>
      </w:r>
      <w:r>
        <w:rPr>
          <w:rFonts w:hint="eastAsia" w:ascii="宋体" w:hAnsi="宋体"/>
          <w:highlight w:val="none"/>
          <w:lang w:eastAsia="zh-CN"/>
        </w:rPr>
        <w:t>的</w:t>
      </w:r>
      <w:r>
        <w:rPr>
          <w:rFonts w:hint="eastAsia" w:ascii="宋体" w:hAnsi="宋体"/>
          <w:highlight w:val="none"/>
        </w:rPr>
        <w:t>得1分</w:t>
      </w:r>
      <w:r>
        <w:rPr>
          <w:rFonts w:hint="eastAsia" w:ascii="宋体" w:hAnsi="宋体"/>
          <w:highlight w:val="none"/>
          <w:lang w:eastAsia="zh-CN"/>
        </w:rPr>
        <w:t>。</w:t>
      </w:r>
    </w:p>
    <w:p>
      <w:pPr>
        <w:pStyle w:val="2"/>
        <w:keepNext/>
        <w:keepLines w:val="0"/>
        <w:pageBreakBefore w:val="0"/>
        <w:widowControl w:val="0"/>
        <w:kinsoku/>
        <w:wordWrap/>
        <w:overflowPunct/>
        <w:topLinePunct w:val="0"/>
        <w:autoSpaceDE/>
        <w:autoSpaceDN/>
        <w:bidi w:val="0"/>
        <w:adjustRightInd/>
        <w:snapToGrid/>
        <w:spacing w:line="360" w:lineRule="exact"/>
        <w:ind w:left="735" w:leftChars="350" w:firstLine="0" w:firstLineChars="0"/>
        <w:textAlignment w:val="auto"/>
        <w:rPr>
          <w:highlight w:val="none"/>
        </w:rPr>
      </w:pPr>
      <w:r>
        <w:rPr>
          <w:rFonts w:hint="eastAsia" w:ascii="宋体" w:hAnsi="宋体"/>
          <w:highlight w:val="none"/>
        </w:rPr>
        <w:t>（满分4分）</w:t>
      </w:r>
    </w:p>
    <w:p>
      <w:pPr>
        <w:keepNext/>
        <w:keepLines w:val="0"/>
        <w:pageBreakBefore w:val="0"/>
        <w:widowControl w:val="0"/>
        <w:kinsoku/>
        <w:wordWrap/>
        <w:overflowPunct/>
        <w:topLinePunct w:val="0"/>
        <w:autoSpaceDE/>
        <w:autoSpaceDN/>
        <w:bidi w:val="0"/>
        <w:spacing w:line="360" w:lineRule="exact"/>
        <w:ind w:firstLine="420" w:firstLineChars="199"/>
        <w:jc w:val="left"/>
        <w:textAlignment w:val="auto"/>
        <w:rPr>
          <w:rFonts w:ascii="宋体"/>
          <w:highlight w:val="none"/>
        </w:rPr>
      </w:pPr>
      <w:r>
        <w:rPr>
          <w:rFonts w:ascii="宋体" w:hAnsi="宋体"/>
          <w:b/>
          <w:bCs/>
          <w:highlight w:val="none"/>
        </w:rPr>
        <w:t xml:space="preserve">3. </w:t>
      </w:r>
      <w:r>
        <w:rPr>
          <w:rFonts w:hint="eastAsia" w:ascii="宋体" w:hAnsi="宋体"/>
          <w:b/>
          <w:bCs/>
          <w:highlight w:val="none"/>
        </w:rPr>
        <w:t>售后服务分……………………………………………………………………………………（满分</w:t>
      </w:r>
      <w:r>
        <w:rPr>
          <w:rFonts w:hint="eastAsia" w:ascii="宋体" w:hAnsi="宋体"/>
          <w:b/>
          <w:bCs/>
          <w:highlight w:val="none"/>
          <w:lang w:val="en-US" w:eastAsia="zh-CN"/>
        </w:rPr>
        <w:t>20</w:t>
      </w:r>
      <w:r>
        <w:rPr>
          <w:rFonts w:hint="eastAsia" w:ascii="宋体" w:hAnsi="宋体"/>
          <w:b/>
          <w:bCs/>
          <w:highlight w:val="none"/>
        </w:rPr>
        <w:t>分）</w:t>
      </w:r>
    </w:p>
    <w:p>
      <w:pPr>
        <w:keepNext/>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highlight w:val="none"/>
          <w:lang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售后服务方案分</w:t>
      </w:r>
      <w:r>
        <w:rPr>
          <w:rFonts w:hint="eastAsia" w:ascii="宋体" w:hAnsi="宋体"/>
          <w:b/>
          <w:bCs/>
          <w:highlight w:val="none"/>
        </w:rPr>
        <w:t>………………………………………………………………………………（满分</w:t>
      </w:r>
      <w:r>
        <w:rPr>
          <w:rFonts w:hint="eastAsia" w:ascii="宋体" w:hAnsi="宋体"/>
          <w:b/>
          <w:bCs/>
          <w:highlight w:val="none"/>
          <w:lang w:val="en-US" w:eastAsia="zh-CN"/>
        </w:rPr>
        <w:t>16</w:t>
      </w:r>
      <w:r>
        <w:rPr>
          <w:rFonts w:hint="eastAsia" w:ascii="宋体" w:hAnsi="宋体"/>
          <w:b/>
          <w:bCs/>
          <w:highlight w:val="none"/>
        </w:rPr>
        <w:t>分）</w:t>
      </w:r>
    </w:p>
    <w:p>
      <w:pPr>
        <w:keepNext/>
        <w:keepLines w:val="0"/>
        <w:pageBreakBefore w:val="0"/>
        <w:widowControl w:val="0"/>
        <w:kinsoku/>
        <w:wordWrap/>
        <w:overflowPunct/>
        <w:topLinePunct w:val="0"/>
        <w:autoSpaceDE/>
        <w:autoSpaceDN/>
        <w:bidi w:val="0"/>
        <w:spacing w:line="360" w:lineRule="exact"/>
        <w:ind w:firstLine="105" w:firstLineChars="50"/>
        <w:textAlignment w:val="auto"/>
        <w:rPr>
          <w:rFonts w:ascii="宋体"/>
          <w:highlight w:val="none"/>
        </w:rPr>
      </w:pPr>
      <w:r>
        <w:rPr>
          <w:rFonts w:hint="eastAsia" w:ascii="宋体" w:hAnsi="宋体"/>
          <w:highlight w:val="none"/>
        </w:rPr>
        <w:t>一档：售后服务方案简单，但售后服务方案能基本满足招标文件要求……………………………（</w:t>
      </w:r>
      <w:r>
        <w:rPr>
          <w:rFonts w:ascii="宋体"/>
          <w:highlight w:val="none"/>
        </w:rPr>
        <w:t>0.1-</w:t>
      </w:r>
      <w:r>
        <w:rPr>
          <w:rFonts w:hint="eastAsia" w:ascii="宋体" w:hAnsi="宋体"/>
          <w:highlight w:val="none"/>
          <w:lang w:val="en-US" w:eastAsia="zh-CN"/>
        </w:rPr>
        <w:t>5</w:t>
      </w:r>
      <w:r>
        <w:rPr>
          <w:rFonts w:hint="eastAsia" w:ascii="宋体" w:hAnsi="宋体"/>
          <w:highlight w:val="none"/>
        </w:rPr>
        <w:t>分）</w:t>
      </w:r>
    </w:p>
    <w:p>
      <w:pPr>
        <w:keepNext/>
        <w:keepLines w:val="0"/>
        <w:pageBreakBefore w:val="0"/>
        <w:widowControl w:val="0"/>
        <w:kinsoku/>
        <w:wordWrap/>
        <w:overflowPunct/>
        <w:topLinePunct w:val="0"/>
        <w:autoSpaceDE/>
        <w:autoSpaceDN/>
        <w:bidi w:val="0"/>
        <w:spacing w:line="360" w:lineRule="exact"/>
        <w:ind w:left="735" w:leftChars="50" w:hanging="630" w:hangingChars="300"/>
        <w:jc w:val="left"/>
        <w:textAlignment w:val="auto"/>
        <w:rPr>
          <w:rFonts w:ascii="宋体"/>
          <w:highlight w:val="none"/>
        </w:rPr>
      </w:pPr>
      <w:r>
        <w:rPr>
          <w:rFonts w:hint="eastAsia" w:ascii="宋体" w:hAnsi="宋体"/>
          <w:highlight w:val="none"/>
        </w:rPr>
        <w:t>二档：售后服务满足招标文件要求，有较详细的售后服务方案、培训方案，有较详细的售后服务流程，有满足本项目需求的售后服务机构及售后服务人员</w:t>
      </w:r>
      <w:r>
        <w:rPr>
          <w:rFonts w:hint="eastAsia" w:ascii="宋体" w:hAnsi="宋体"/>
          <w:highlight w:val="none"/>
          <w:lang w:eastAsia="zh-CN"/>
        </w:rPr>
        <w:t>，</w:t>
      </w:r>
      <w:r>
        <w:rPr>
          <w:rFonts w:hint="eastAsia" w:ascii="宋体" w:hAnsi="宋体"/>
          <w:szCs w:val="21"/>
          <w:highlight w:val="none"/>
        </w:rPr>
        <w:t>响应时间、质保期</w:t>
      </w:r>
      <w:r>
        <w:rPr>
          <w:rFonts w:hint="eastAsia" w:ascii="宋体" w:hAnsi="宋体"/>
          <w:szCs w:val="21"/>
          <w:highlight w:val="none"/>
          <w:lang w:eastAsia="zh-CN"/>
        </w:rPr>
        <w:t>、交货期等均能满足本项目采购需求</w:t>
      </w:r>
      <w:r>
        <w:rPr>
          <w:rFonts w:hint="eastAsia" w:ascii="宋体" w:hAnsi="宋体"/>
          <w:highlight w:val="none"/>
        </w:rPr>
        <w:t>…………………………………………………………………………………………（</w:t>
      </w:r>
      <w:r>
        <w:rPr>
          <w:rFonts w:hint="eastAsia" w:ascii="宋体" w:hAnsi="宋体"/>
          <w:highlight w:val="none"/>
          <w:lang w:val="en-US" w:eastAsia="zh-CN"/>
        </w:rPr>
        <w:t>5</w:t>
      </w:r>
      <w:r>
        <w:rPr>
          <w:rFonts w:ascii="宋体" w:hAnsi="宋体"/>
          <w:highlight w:val="none"/>
        </w:rPr>
        <w:t>.1-</w:t>
      </w:r>
      <w:r>
        <w:rPr>
          <w:rFonts w:hint="eastAsia" w:ascii="宋体" w:hAnsi="宋体"/>
          <w:highlight w:val="none"/>
        </w:rPr>
        <w:t>1</w:t>
      </w:r>
      <w:r>
        <w:rPr>
          <w:rFonts w:hint="eastAsia" w:ascii="宋体" w:hAnsi="宋体"/>
          <w:highlight w:val="none"/>
          <w:lang w:val="en-US" w:eastAsia="zh-CN"/>
        </w:rPr>
        <w:t>1</w:t>
      </w:r>
      <w:r>
        <w:rPr>
          <w:rFonts w:hint="eastAsia" w:ascii="宋体" w:hAnsi="宋体"/>
          <w:highlight w:val="none"/>
        </w:rPr>
        <w:t>分）</w:t>
      </w:r>
    </w:p>
    <w:p>
      <w:pPr>
        <w:keepNext/>
        <w:keepLines w:val="0"/>
        <w:pageBreakBefore w:val="0"/>
        <w:widowControl w:val="0"/>
        <w:kinsoku/>
        <w:wordWrap/>
        <w:overflowPunct/>
        <w:topLinePunct w:val="0"/>
        <w:autoSpaceDE/>
        <w:autoSpaceDN/>
        <w:bidi w:val="0"/>
        <w:spacing w:line="360" w:lineRule="exact"/>
        <w:ind w:left="735" w:leftChars="50" w:hanging="630" w:hangingChars="300"/>
        <w:jc w:val="left"/>
        <w:textAlignment w:val="auto"/>
        <w:rPr>
          <w:rFonts w:hint="eastAsia" w:ascii="宋体" w:hAnsi="宋体"/>
          <w:highlight w:val="none"/>
        </w:rPr>
      </w:pPr>
      <w:r>
        <w:rPr>
          <w:rFonts w:hint="eastAsia" w:ascii="宋体" w:hAnsi="宋体"/>
          <w:highlight w:val="none"/>
        </w:rPr>
        <w:t>三档：在满足二档的基础上，售后服务优于招标文件要求，有详细且实用的售后服务体系，</w:t>
      </w:r>
      <w:r>
        <w:rPr>
          <w:rFonts w:hint="eastAsia" w:ascii="宋体" w:hAnsi="宋体"/>
          <w:szCs w:val="21"/>
          <w:highlight w:val="none"/>
        </w:rPr>
        <w:t>服务内容、故障解决方案、拟投入本项目的售后人员情况等以及质保期后的服务方案合理性强、可行性好、专业性强</w:t>
      </w:r>
      <w:r>
        <w:rPr>
          <w:rFonts w:hint="eastAsia" w:ascii="宋体" w:hAnsi="宋体"/>
          <w:highlight w:val="none"/>
          <w:lang w:eastAsia="zh-CN"/>
        </w:rPr>
        <w:t>；</w:t>
      </w:r>
      <w:r>
        <w:rPr>
          <w:rFonts w:hint="eastAsia" w:ascii="宋体" w:hAnsi="宋体"/>
          <w:szCs w:val="21"/>
          <w:highlight w:val="none"/>
        </w:rPr>
        <w:t>响应时间、质保期</w:t>
      </w:r>
      <w:r>
        <w:rPr>
          <w:rFonts w:hint="eastAsia" w:ascii="宋体" w:hAnsi="宋体"/>
          <w:szCs w:val="21"/>
          <w:highlight w:val="none"/>
          <w:lang w:eastAsia="zh-CN"/>
        </w:rPr>
        <w:t>、交货期等均优于本项目采购需求；投标人</w:t>
      </w:r>
      <w:r>
        <w:rPr>
          <w:rFonts w:hint="eastAsia" w:ascii="宋体" w:hAnsi="宋体"/>
          <w:highlight w:val="none"/>
        </w:rPr>
        <w:t>在广西地区内设有</w:t>
      </w:r>
      <w:r>
        <w:rPr>
          <w:rFonts w:hint="eastAsia" w:ascii="宋体" w:hAnsi="宋体"/>
          <w:highlight w:val="none"/>
          <w:lang w:eastAsia="zh-CN"/>
        </w:rPr>
        <w:t>公司或</w:t>
      </w:r>
      <w:r>
        <w:rPr>
          <w:rFonts w:hint="eastAsia" w:ascii="宋体" w:hAnsi="宋体"/>
          <w:highlight w:val="none"/>
        </w:rPr>
        <w:t>分公司或办事处</w:t>
      </w:r>
      <w:r>
        <w:rPr>
          <w:rFonts w:hint="eastAsia" w:ascii="宋体" w:hAnsi="宋体"/>
          <w:highlight w:val="none"/>
          <w:lang w:eastAsia="zh-CN"/>
        </w:rPr>
        <w:t>，</w:t>
      </w:r>
      <w:r>
        <w:rPr>
          <w:rFonts w:hint="eastAsia" w:ascii="宋体" w:hAnsi="宋体"/>
          <w:highlight w:val="none"/>
        </w:rPr>
        <w:t>具有常驻广西区内的服务人员及专职的售后服务人员（提供投标</w:t>
      </w:r>
      <w:r>
        <w:rPr>
          <w:rFonts w:hint="eastAsia" w:ascii="宋体" w:hAnsi="宋体"/>
          <w:highlight w:val="none"/>
          <w:lang w:eastAsia="zh-CN"/>
        </w:rPr>
        <w:t>人</w:t>
      </w:r>
      <w:r>
        <w:rPr>
          <w:rFonts w:hint="eastAsia" w:ascii="宋体" w:hAnsi="宋体"/>
          <w:highlight w:val="none"/>
        </w:rPr>
        <w:t>为其于</w:t>
      </w:r>
      <w:r>
        <w:rPr>
          <w:rFonts w:ascii="宋体" w:hAnsi="宋体"/>
          <w:highlight w:val="none"/>
        </w:rPr>
        <w:t>202</w:t>
      </w:r>
      <w:r>
        <w:rPr>
          <w:rFonts w:hint="eastAsia" w:ascii="宋体" w:hAnsi="宋体"/>
          <w:highlight w:val="none"/>
          <w:lang w:val="en-US" w:eastAsia="zh-CN"/>
        </w:rPr>
        <w:t>0</w:t>
      </w:r>
      <w:r>
        <w:rPr>
          <w:rFonts w:hint="eastAsia" w:ascii="宋体" w:hAnsi="宋体"/>
          <w:highlight w:val="none"/>
        </w:rPr>
        <w:t>年</w:t>
      </w:r>
      <w:r>
        <w:rPr>
          <w:rFonts w:hint="eastAsia" w:ascii="宋体" w:hAnsi="宋体"/>
          <w:highlight w:val="none"/>
          <w:lang w:val="en-US" w:eastAsia="zh-CN"/>
        </w:rPr>
        <w:t>10</w:t>
      </w:r>
      <w:r>
        <w:rPr>
          <w:rFonts w:hint="eastAsia" w:ascii="宋体" w:hAnsi="宋体"/>
          <w:highlight w:val="none"/>
        </w:rPr>
        <w:t>月以来连续三个月依法缴纳社保费的有效证明）……………………………………………（1</w:t>
      </w:r>
      <w:r>
        <w:rPr>
          <w:rFonts w:hint="eastAsia" w:ascii="宋体" w:hAnsi="宋体"/>
          <w:highlight w:val="none"/>
          <w:lang w:val="en-US" w:eastAsia="zh-CN"/>
        </w:rPr>
        <w:t>1</w:t>
      </w:r>
      <w:r>
        <w:rPr>
          <w:rFonts w:ascii="宋体" w:hAnsi="宋体"/>
          <w:highlight w:val="none"/>
        </w:rPr>
        <w:t>.1-</w:t>
      </w:r>
      <w:r>
        <w:rPr>
          <w:rFonts w:hint="eastAsia" w:ascii="宋体" w:hAnsi="宋体"/>
          <w:highlight w:val="none"/>
          <w:lang w:val="en-US" w:eastAsia="zh-CN"/>
        </w:rPr>
        <w:t>16</w:t>
      </w:r>
      <w:r>
        <w:rPr>
          <w:rFonts w:hint="eastAsia" w:ascii="宋体" w:hAnsi="宋体"/>
          <w:highlight w:val="none"/>
        </w:rPr>
        <w:t>分）</w:t>
      </w:r>
    </w:p>
    <w:p>
      <w:pPr>
        <w:pStyle w:val="2"/>
        <w:ind w:left="0" w:leftChars="0" w:firstLine="0" w:firstLineChars="0"/>
        <w:rPr>
          <w:rFonts w:hint="eastAsia" w:ascii="宋体" w:hAnsi="宋体" w:cs="宋体"/>
          <w:highlight w:val="none"/>
          <w:lang w:val="en-US" w:eastAsia="zh-CN"/>
        </w:rPr>
      </w:pPr>
      <w:r>
        <w:rPr>
          <w:rFonts w:hint="eastAsia"/>
          <w:highlight w:val="none"/>
          <w:lang w:val="en-US" w:eastAsia="zh-CN"/>
        </w:rPr>
        <w:t xml:space="preserve">  </w:t>
      </w:r>
      <w:r>
        <w:rPr>
          <w:rFonts w:hint="eastAsia" w:ascii="宋体" w:hAnsi="宋体" w:eastAsia="宋体" w:cs="宋体"/>
          <w:highlight w:val="none"/>
          <w:lang w:val="en-US" w:eastAsia="zh-CN"/>
        </w:rPr>
        <w:t>（2）</w:t>
      </w:r>
      <w:r>
        <w:rPr>
          <w:rFonts w:hint="eastAsia" w:ascii="宋体" w:hAnsi="宋体" w:cs="宋体"/>
          <w:highlight w:val="none"/>
          <w:lang w:val="en-US" w:eastAsia="zh-CN"/>
        </w:rPr>
        <w:t>售后服务保障分</w:t>
      </w:r>
      <w:r>
        <w:rPr>
          <w:rFonts w:hint="eastAsia" w:ascii="宋体" w:hAnsi="宋体"/>
          <w:highlight w:val="none"/>
        </w:rPr>
        <w:t>…………………………………………………………………………………（</w:t>
      </w:r>
      <w:r>
        <w:rPr>
          <w:rFonts w:hint="eastAsia" w:ascii="宋体" w:hAnsi="宋体"/>
          <w:highlight w:val="none"/>
          <w:lang w:eastAsia="zh-CN"/>
        </w:rPr>
        <w:t>满分</w:t>
      </w:r>
      <w:r>
        <w:rPr>
          <w:rFonts w:hint="eastAsia" w:ascii="宋体" w:hAnsi="宋体"/>
          <w:highlight w:val="none"/>
          <w:lang w:val="en-US" w:eastAsia="zh-CN"/>
        </w:rPr>
        <w:t>4</w:t>
      </w:r>
      <w:r>
        <w:rPr>
          <w:rFonts w:hint="eastAsia" w:ascii="宋体" w:hAnsi="宋体"/>
          <w:highlight w:val="none"/>
        </w:rPr>
        <w:t>分）</w:t>
      </w:r>
    </w:p>
    <w:p>
      <w:pPr>
        <w:pStyle w:val="2"/>
        <w:ind w:left="840" w:leftChars="0" w:hanging="840" w:hangingChars="400"/>
        <w:rPr>
          <w:rFonts w:hint="eastAsia" w:ascii="宋体" w:hAnsi="宋体" w:cs="宋体"/>
          <w:highlight w:val="none"/>
          <w:lang w:val="en-US" w:eastAsia="zh-CN"/>
        </w:rPr>
      </w:pPr>
      <w:r>
        <w:rPr>
          <w:rFonts w:hint="eastAsia" w:ascii="宋体" w:hAnsi="宋体" w:cs="宋体"/>
          <w:highlight w:val="none"/>
          <w:lang w:val="en-US" w:eastAsia="zh-CN"/>
        </w:rPr>
        <w:t xml:space="preserve">       提供核心产品的生产厂家售后服务承诺书的，每提供一个核心产品的售后服务承诺书得1分，满分4</w:t>
      </w:r>
    </w:p>
    <w:p>
      <w:pPr>
        <w:pStyle w:val="2"/>
        <w:keepNext w:val="0"/>
        <w:keepLines w:val="0"/>
        <w:pageBreakBefore w:val="0"/>
        <w:widowControl w:val="0"/>
        <w:kinsoku/>
        <w:wordWrap/>
        <w:overflowPunct/>
        <w:topLinePunct w:val="0"/>
        <w:autoSpaceDE/>
        <w:autoSpaceDN/>
        <w:bidi w:val="0"/>
        <w:adjustRightInd/>
        <w:snapToGrid/>
        <w:ind w:left="945" w:leftChars="350" w:hanging="210" w:hangingChars="100"/>
        <w:textAlignment w:val="auto"/>
        <w:rPr>
          <w:rFonts w:hint="eastAsia" w:ascii="宋体" w:hAnsi="宋体" w:cs="宋体"/>
          <w:highlight w:val="none"/>
          <w:lang w:val="en-US" w:eastAsia="zh-CN"/>
        </w:rPr>
      </w:pPr>
      <w:r>
        <w:rPr>
          <w:rFonts w:hint="eastAsia" w:ascii="宋体" w:hAnsi="宋体" w:cs="宋体"/>
          <w:highlight w:val="none"/>
          <w:lang w:val="en-US" w:eastAsia="zh-CN"/>
        </w:rPr>
        <w:t>分（售后服务承诺书须加盖生产厂家公章，否则不得分）。</w:t>
      </w:r>
    </w:p>
    <w:p>
      <w:pPr>
        <w:pStyle w:val="2"/>
        <w:numPr>
          <w:ilvl w:val="0"/>
          <w:numId w:val="4"/>
        </w:numPr>
        <w:rPr>
          <w:rFonts w:hint="default" w:ascii="宋体" w:hAnsi="宋体" w:cs="宋体"/>
          <w:b/>
          <w:bCs/>
          <w:highlight w:val="none"/>
          <w:lang w:val="en-US" w:eastAsia="zh-CN"/>
        </w:rPr>
      </w:pPr>
      <w:r>
        <w:rPr>
          <w:rFonts w:hint="eastAsia" w:ascii="宋体" w:hAnsi="宋体" w:cs="宋体"/>
          <w:b/>
          <w:bCs/>
          <w:highlight w:val="none"/>
          <w:lang w:val="en-US" w:eastAsia="zh-CN"/>
        </w:rPr>
        <w:t>企业经验分</w:t>
      </w:r>
      <w:r>
        <w:rPr>
          <w:rFonts w:hint="eastAsia" w:ascii="宋体" w:hAnsi="宋体"/>
          <w:b/>
          <w:bCs/>
          <w:highlight w:val="none"/>
        </w:rPr>
        <w:t>………………………………………………………………………………………（满分4分）</w:t>
      </w:r>
    </w:p>
    <w:p>
      <w:pPr>
        <w:keepNext/>
        <w:keepLines w:val="0"/>
        <w:pageBreakBefore w:val="0"/>
        <w:widowControl w:val="0"/>
        <w:kinsoku/>
        <w:wordWrap/>
        <w:overflowPunct/>
        <w:topLinePunct w:val="0"/>
        <w:autoSpaceDE/>
        <w:autoSpaceDN/>
        <w:bidi w:val="0"/>
        <w:adjustRightInd/>
        <w:snapToGrid/>
        <w:spacing w:line="360" w:lineRule="exact"/>
        <w:ind w:left="742" w:leftChars="250" w:hanging="217" w:hangingChars="103"/>
        <w:textAlignment w:val="auto"/>
        <w:rPr>
          <w:rFonts w:hint="default" w:ascii="宋体" w:hAnsi="宋体"/>
          <w:b/>
          <w:bCs/>
          <w:highlight w:val="none"/>
          <w:lang w:val="en-US" w:eastAsia="zh-CN"/>
        </w:rPr>
      </w:pPr>
      <w:r>
        <w:rPr>
          <w:rFonts w:hint="eastAsia" w:ascii="宋体" w:hAnsi="宋体"/>
          <w:b/>
          <w:bCs/>
          <w:highlight w:val="none"/>
          <w:lang w:val="en-US" w:eastAsia="zh-CN"/>
        </w:rPr>
        <w:t xml:space="preserve">   </w:t>
      </w:r>
      <w:r>
        <w:rPr>
          <w:rFonts w:hint="eastAsia" w:ascii="宋体" w:hAnsi="宋体"/>
          <w:b w:val="0"/>
          <w:bCs w:val="0"/>
          <w:highlight w:val="none"/>
          <w:lang w:val="en-US" w:eastAsia="zh-CN"/>
        </w:rPr>
        <w:t>投标人2018年1月1日以来，具有信息化类似业绩的，每有一项得1分，满分4分【以提供合同书复印件或中标（成交）通知书复印件为准，不提供不得分】。</w:t>
      </w:r>
    </w:p>
    <w:p>
      <w:pPr>
        <w:keepNext/>
        <w:keepLines w:val="0"/>
        <w:pageBreakBefore w:val="0"/>
        <w:widowControl w:val="0"/>
        <w:kinsoku/>
        <w:wordWrap/>
        <w:overflowPunct/>
        <w:topLinePunct w:val="0"/>
        <w:autoSpaceDE/>
        <w:autoSpaceDN/>
        <w:bidi w:val="0"/>
        <w:spacing w:line="360" w:lineRule="exact"/>
        <w:ind w:firstLine="413" w:firstLineChars="196"/>
        <w:textAlignment w:val="auto"/>
        <w:rPr>
          <w:rFonts w:ascii="宋体"/>
          <w:highlight w:val="none"/>
        </w:rPr>
      </w:pPr>
      <w:r>
        <w:rPr>
          <w:rFonts w:hint="eastAsia" w:ascii="宋体" w:hAnsi="宋体"/>
          <w:b/>
          <w:bCs/>
          <w:highlight w:val="none"/>
          <w:lang w:val="en-US" w:eastAsia="zh-CN"/>
        </w:rPr>
        <w:t>5</w:t>
      </w:r>
      <w:r>
        <w:rPr>
          <w:rFonts w:ascii="宋体" w:hAnsi="宋体"/>
          <w:b/>
          <w:bCs/>
          <w:highlight w:val="none"/>
        </w:rPr>
        <w:t xml:space="preserve">. </w:t>
      </w:r>
      <w:r>
        <w:rPr>
          <w:rFonts w:hint="eastAsia" w:ascii="宋体" w:hAnsi="宋体"/>
          <w:b/>
          <w:bCs/>
          <w:highlight w:val="none"/>
        </w:rPr>
        <w:t>政策功能分………………………………………………………………………………………（满分</w:t>
      </w:r>
      <w:r>
        <w:rPr>
          <w:rFonts w:ascii="宋体" w:hAnsi="宋体"/>
          <w:b/>
          <w:bCs/>
          <w:highlight w:val="none"/>
        </w:rPr>
        <w:t>1</w:t>
      </w:r>
      <w:r>
        <w:rPr>
          <w:rFonts w:hint="eastAsia" w:ascii="宋体" w:hAnsi="宋体"/>
          <w:b/>
          <w:bCs/>
          <w:highlight w:val="none"/>
        </w:rPr>
        <w:t>分）</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仿宋"/>
          <w:highlight w:val="none"/>
        </w:rPr>
      </w:pPr>
      <w:r>
        <w:rPr>
          <w:rFonts w:hint="eastAsia" w:hAnsi="宋体" w:cs="仿宋"/>
          <w:highlight w:val="none"/>
        </w:rPr>
        <w:t>（</w:t>
      </w:r>
      <w:r>
        <w:rPr>
          <w:rFonts w:hAnsi="宋体" w:cs="仿宋"/>
          <w:highlight w:val="none"/>
        </w:rPr>
        <w:t>1</w:t>
      </w:r>
      <w:r>
        <w:rPr>
          <w:rFonts w:hint="eastAsia" w:hAnsi="宋体" w:cs="仿宋"/>
          <w:highlight w:val="none"/>
        </w:rPr>
        <w:t>）</w:t>
      </w:r>
      <w:r>
        <w:rPr>
          <w:rFonts w:hint="eastAsia" w:hAnsi="宋体" w:cs="Courier New"/>
          <w:highlight w:val="none"/>
        </w:rPr>
        <w:t>投标的核心产品纳入最新一期节能产品政府采购品目清单的</w:t>
      </w:r>
      <w:r>
        <w:rPr>
          <w:rFonts w:hint="eastAsia" w:hAnsi="宋体" w:cs="仿宋"/>
          <w:highlight w:val="none"/>
        </w:rPr>
        <w:t>（适用于非强制采购节能产品，提供投标产品所属清单页）每有一项加</w:t>
      </w:r>
      <w:r>
        <w:rPr>
          <w:rFonts w:hAnsi="宋体" w:cs="仿宋"/>
          <w:highlight w:val="none"/>
        </w:rPr>
        <w:t>0.5</w:t>
      </w:r>
      <w:r>
        <w:rPr>
          <w:rFonts w:hint="eastAsia" w:hAnsi="宋体" w:cs="仿宋"/>
          <w:highlight w:val="none"/>
        </w:rPr>
        <w:t>分</w:t>
      </w:r>
      <w:r>
        <w:rPr>
          <w:rFonts w:hint="eastAsia" w:hAnsi="宋体"/>
          <w:highlight w:val="none"/>
        </w:rPr>
        <w:t>……………………………………………………</w:t>
      </w:r>
      <w:r>
        <w:rPr>
          <w:rFonts w:hint="eastAsia" w:hAnsi="宋体" w:cs="仿宋"/>
          <w:highlight w:val="none"/>
        </w:rPr>
        <w:t>（满分</w:t>
      </w:r>
      <w:r>
        <w:rPr>
          <w:rFonts w:hAnsi="宋体" w:cs="仿宋"/>
          <w:highlight w:val="none"/>
        </w:rPr>
        <w:t>0.5</w:t>
      </w:r>
      <w:r>
        <w:rPr>
          <w:rFonts w:hint="eastAsia" w:hAnsi="宋体" w:cs="仿宋"/>
          <w:highlight w:val="none"/>
        </w:rPr>
        <w:t>分）</w:t>
      </w:r>
    </w:p>
    <w:p>
      <w:pPr>
        <w:pStyle w:val="31"/>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仿宋"/>
          <w:highlight w:val="none"/>
        </w:rPr>
      </w:pPr>
      <w:r>
        <w:rPr>
          <w:rFonts w:hint="eastAsia" w:hAnsi="宋体"/>
          <w:highlight w:val="none"/>
        </w:rPr>
        <w:t>（</w:t>
      </w:r>
      <w:r>
        <w:rPr>
          <w:highlight w:val="none"/>
        </w:rPr>
        <w:t>2</w:t>
      </w:r>
      <w:r>
        <w:rPr>
          <w:rFonts w:hint="eastAsia" w:hAnsi="宋体"/>
          <w:highlight w:val="none"/>
        </w:rPr>
        <w:t>）</w:t>
      </w:r>
      <w:r>
        <w:rPr>
          <w:rFonts w:hint="eastAsia" w:hAnsi="宋体" w:cs="Courier New"/>
          <w:highlight w:val="none"/>
        </w:rPr>
        <w:t>投标的核心产品纳入最新一期环境标志产品政府采购品目清单的</w:t>
      </w:r>
      <w:r>
        <w:rPr>
          <w:rFonts w:hint="eastAsia" w:hAnsi="宋体"/>
          <w:highlight w:val="none"/>
        </w:rPr>
        <w:t>（提供投标产品所属清单页），每有一项加</w:t>
      </w:r>
      <w:r>
        <w:rPr>
          <w:highlight w:val="none"/>
        </w:rPr>
        <w:t>0.5</w:t>
      </w:r>
      <w:r>
        <w:rPr>
          <w:rFonts w:hint="eastAsia" w:hAnsi="宋体"/>
          <w:highlight w:val="none"/>
        </w:rPr>
        <w:t>分</w:t>
      </w:r>
      <w:r>
        <w:rPr>
          <w:rFonts w:hint="eastAsia"/>
          <w:highlight w:val="none"/>
        </w:rPr>
        <w:t>………………………………………………………………………………（满分</w:t>
      </w:r>
      <w:r>
        <w:rPr>
          <w:highlight w:val="none"/>
        </w:rPr>
        <w:t>0.5</w:t>
      </w:r>
      <w:r>
        <w:rPr>
          <w:rFonts w:hint="eastAsia" w:hAnsi="宋体"/>
          <w:highlight w:val="none"/>
        </w:rPr>
        <w:t>分）</w:t>
      </w:r>
    </w:p>
    <w:p>
      <w:pPr>
        <w:keepNext/>
        <w:keepLines w:val="0"/>
        <w:pageBreakBefore w:val="0"/>
        <w:widowControl w:val="0"/>
        <w:kinsoku/>
        <w:wordWrap/>
        <w:overflowPunct/>
        <w:topLinePunct w:val="0"/>
        <w:autoSpaceDE/>
        <w:autoSpaceDN/>
        <w:bidi w:val="0"/>
        <w:spacing w:line="360" w:lineRule="exact"/>
        <w:ind w:firstLine="105" w:firstLineChars="50"/>
        <w:textAlignment w:val="auto"/>
        <w:rPr>
          <w:rFonts w:hint="eastAsia" w:ascii="宋体" w:eastAsia="宋体"/>
          <w:b/>
          <w:bCs/>
          <w:sz w:val="24"/>
          <w:highlight w:val="none"/>
          <w:lang w:eastAsia="zh-CN"/>
        </w:rPr>
      </w:pPr>
      <w:r>
        <w:rPr>
          <w:rFonts w:hint="eastAsia" w:ascii="宋体" w:hAnsi="宋体"/>
          <w:highlight w:val="none"/>
        </w:rPr>
        <w:t>（三）总得分＝</w:t>
      </w:r>
      <w:r>
        <w:rPr>
          <w:rFonts w:ascii="宋体" w:hAnsi="宋体"/>
          <w:highlight w:val="none"/>
        </w:rPr>
        <w:t>1</w:t>
      </w:r>
      <w:r>
        <w:rPr>
          <w:rFonts w:hint="eastAsia" w:ascii="宋体" w:hAnsi="宋体"/>
          <w:highlight w:val="none"/>
        </w:rPr>
        <w:t>＋</w:t>
      </w:r>
      <w:r>
        <w:rPr>
          <w:rFonts w:ascii="宋体" w:hAnsi="宋体"/>
          <w:highlight w:val="none"/>
        </w:rPr>
        <w:t>2</w:t>
      </w:r>
      <w:r>
        <w:rPr>
          <w:rFonts w:hint="eastAsia" w:ascii="宋体" w:hAnsi="宋体"/>
          <w:highlight w:val="none"/>
        </w:rPr>
        <w:t>＋</w:t>
      </w:r>
      <w:r>
        <w:rPr>
          <w:rFonts w:ascii="宋体" w:hAnsi="宋体"/>
          <w:highlight w:val="none"/>
        </w:rPr>
        <w:t>3+4+</w:t>
      </w:r>
      <w:r>
        <w:rPr>
          <w:rFonts w:hint="eastAsia" w:ascii="宋体" w:hAnsi="宋体"/>
          <w:highlight w:val="none"/>
          <w:lang w:val="en-US" w:eastAsia="zh-CN"/>
        </w:rPr>
        <w:t>5</w:t>
      </w:r>
    </w:p>
    <w:p>
      <w:pPr>
        <w:keepNext/>
        <w:keepLines w:val="0"/>
        <w:pageBreakBefore w:val="0"/>
        <w:widowControl w:val="0"/>
        <w:kinsoku/>
        <w:wordWrap/>
        <w:overflowPunct/>
        <w:topLinePunct w:val="0"/>
        <w:autoSpaceDE/>
        <w:autoSpaceDN/>
        <w:bidi w:val="0"/>
        <w:spacing w:line="360" w:lineRule="exact"/>
        <w:ind w:firstLine="207" w:firstLineChars="98"/>
        <w:textAlignment w:val="auto"/>
        <w:rPr>
          <w:rFonts w:ascii="宋体" w:cs="宋体"/>
          <w:b/>
          <w:bCs/>
          <w:szCs w:val="21"/>
          <w:highlight w:val="none"/>
        </w:rPr>
      </w:pPr>
      <w:r>
        <w:rPr>
          <w:rFonts w:hint="eastAsia" w:ascii="宋体" w:hAnsi="宋体" w:cs="宋体"/>
          <w:b/>
          <w:bCs/>
          <w:szCs w:val="21"/>
          <w:highlight w:val="none"/>
        </w:rPr>
        <w:t>三、中标候选人推荐原则</w:t>
      </w:r>
    </w:p>
    <w:p>
      <w:pPr>
        <w:keepNext/>
        <w:keepLines w:val="0"/>
        <w:pageBreakBefore w:val="0"/>
        <w:widowControl w:val="0"/>
        <w:kinsoku/>
        <w:wordWrap/>
        <w:overflowPunct/>
        <w:topLinePunct w:val="0"/>
        <w:autoSpaceDE/>
        <w:autoSpaceDN/>
        <w:bidi w:val="0"/>
        <w:spacing w:line="360" w:lineRule="exact"/>
        <w:ind w:left="735" w:leftChars="50" w:hanging="630" w:hangingChars="300"/>
        <w:textAlignment w:val="auto"/>
        <w:rPr>
          <w:rFonts w:ascii="宋体" w:cs="宋体"/>
          <w:szCs w:val="21"/>
          <w:highlight w:val="none"/>
        </w:rPr>
      </w:pPr>
      <w:r>
        <w:rPr>
          <w:rFonts w:hint="eastAsia" w:ascii="宋体" w:hAnsi="宋体" w:cs="宋体"/>
          <w:szCs w:val="21"/>
          <w:highlight w:val="none"/>
        </w:rPr>
        <w:t>（一）评标委员会将根据总得分由高到低排列次序（总得分相同时，以投标报价由低到高顺序排列；总得分相同且投标报价相同的，按技术指标优劣顺序排列）并推荐</w:t>
      </w:r>
      <w:r>
        <w:rPr>
          <w:rFonts w:ascii="宋体" w:hAnsi="宋体" w:cs="宋体"/>
          <w:szCs w:val="21"/>
          <w:highlight w:val="none"/>
        </w:rPr>
        <w:t>3</w:t>
      </w:r>
      <w:r>
        <w:rPr>
          <w:rFonts w:hint="eastAsia" w:ascii="宋体" w:hAnsi="宋体" w:cs="宋体"/>
          <w:szCs w:val="21"/>
          <w:highlight w:val="none"/>
        </w:rPr>
        <w:t>名中标候选供应商。</w:t>
      </w:r>
    </w:p>
    <w:p>
      <w:pPr>
        <w:keepNext/>
        <w:keepLines w:val="0"/>
        <w:pageBreakBefore w:val="0"/>
        <w:widowControl w:val="0"/>
        <w:kinsoku/>
        <w:wordWrap/>
        <w:overflowPunct/>
        <w:topLinePunct w:val="0"/>
        <w:autoSpaceDE/>
        <w:autoSpaceDN/>
        <w:bidi w:val="0"/>
        <w:spacing w:line="360" w:lineRule="exact"/>
        <w:ind w:left="735" w:leftChars="50" w:hanging="630" w:hangingChars="300"/>
        <w:textAlignment w:val="auto"/>
        <w:rPr>
          <w:rFonts w:ascii="宋体" w:cs="宋体"/>
          <w:szCs w:val="21"/>
          <w:highlight w:val="none"/>
        </w:rPr>
      </w:pPr>
      <w:r>
        <w:rPr>
          <w:rFonts w:hint="eastAsia" w:ascii="宋体" w:hAnsi="宋体" w:cs="宋体"/>
          <w:szCs w:val="21"/>
          <w:highlight w:val="none"/>
        </w:rPr>
        <w:t>（二）招标人应当确定评标委员会推荐排名第一的中标候选人为中标供应商。排名第一的中标候选人放弃中标</w:t>
      </w:r>
      <w:r>
        <w:rPr>
          <w:rFonts w:hint="eastAsia" w:ascii="宋体" w:hAnsi="宋体" w:cs="宋体"/>
          <w:spacing w:val="-2"/>
          <w:szCs w:val="21"/>
          <w:highlight w:val="none"/>
        </w:rPr>
        <w:t>、或未按规定签订合同（招标人原因除外）、或</w:t>
      </w:r>
      <w:r>
        <w:rPr>
          <w:rFonts w:hint="eastAsia" w:ascii="宋体" w:hAnsi="宋体" w:cs="宋体"/>
          <w:szCs w:val="21"/>
          <w:highlight w:val="none"/>
        </w:rPr>
        <w:t>因不可抗力提出不能履行合同</w:t>
      </w:r>
      <w:r>
        <w:rPr>
          <w:rFonts w:hint="eastAsia" w:ascii="宋体" w:hAnsi="宋体" w:cs="宋体"/>
          <w:spacing w:val="-2"/>
          <w:szCs w:val="21"/>
          <w:highlight w:val="none"/>
        </w:rPr>
        <w:t>、或拒不履行合同的</w:t>
      </w:r>
      <w:r>
        <w:rPr>
          <w:rFonts w:hint="eastAsia" w:ascii="宋体" w:hAnsi="宋体" w:cs="宋体"/>
          <w:szCs w:val="21"/>
          <w:highlight w:val="none"/>
        </w:rPr>
        <w:t>，或者未在招标文件规定期限内提交质量（履约）保证金的，招标人可以确定排名第二的中标候选人为中标供应商。排名第二的中标候选人因前款原因不能签订合同或履行合同的，招标人可以确定排名第三的中标候选人为中标供应商。出现上述情况，招标人也可以重新开展政府采购活动。</w:t>
      </w:r>
    </w:p>
    <w:p>
      <w:pPr>
        <w:pStyle w:val="101"/>
        <w:rPr>
          <w:highlight w:val="none"/>
        </w:rPr>
      </w:pPr>
    </w:p>
    <w:p>
      <w:pPr>
        <w:pStyle w:val="2"/>
        <w:ind w:firstLine="420"/>
        <w:rPr>
          <w:highlight w:val="none"/>
        </w:rPr>
      </w:pPr>
    </w:p>
    <w:sectPr>
      <w:headerReference r:id="rId4" w:type="first"/>
      <w:headerReference r:id="rId3" w:type="default"/>
      <w:footerReference r:id="rId5" w:type="default"/>
      <w:footerReference r:id="rId6" w:type="even"/>
      <w:pgSz w:w="11906" w:h="16838"/>
      <w:pgMar w:top="1021" w:right="1021" w:bottom="1021" w:left="102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3"/>
      </w:rPr>
    </w:pPr>
    <w:r>
      <w:rPr>
        <w:rStyle w:val="63"/>
      </w:rPr>
      <w:fldChar w:fldCharType="begin"/>
    </w:r>
    <w:r>
      <w:rPr>
        <w:rStyle w:val="63"/>
      </w:rPr>
      <w:instrText xml:space="preserve">PAGE  </w:instrText>
    </w:r>
    <w:r>
      <w:rPr>
        <w:rStyle w:val="63"/>
      </w:rPr>
      <w:fldChar w:fldCharType="separate"/>
    </w:r>
    <w:r>
      <w:rPr>
        <w:rStyle w:val="63"/>
      </w:rPr>
      <w:t>41</w:t>
    </w:r>
    <w:r>
      <w:rPr>
        <w:rStyle w:val="63"/>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3"/>
      </w:rPr>
    </w:pPr>
    <w:r>
      <w:rPr>
        <w:rStyle w:val="63"/>
      </w:rPr>
      <w:fldChar w:fldCharType="begin"/>
    </w:r>
    <w:r>
      <w:rPr>
        <w:rStyle w:val="63"/>
      </w:rPr>
      <w:instrText xml:space="preserve">PAGE  </w:instrText>
    </w:r>
    <w:r>
      <w:rPr>
        <w:rStyle w:val="63"/>
      </w:rPr>
      <w:fldChar w:fldCharType="end"/>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jc w:val="both"/>
      <w:rPr>
        <w:rFonts w:hint="default" w:eastAsia="宋体"/>
        <w:u w:val="single"/>
        <w:lang w:val="en-US" w:eastAsia="zh-CN"/>
      </w:rPr>
    </w:pPr>
    <w:r>
      <w:rPr>
        <w:rFonts w:hint="eastAsia"/>
        <w:u w:val="single"/>
      </w:rPr>
      <w:t>广西新宇建设项目管理有限公司</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rPr>
      <w:t>广西新宇建设项目管理有限公司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63C1A"/>
    <w:multiLevelType w:val="singleLevel"/>
    <w:tmpl w:val="E4C63C1A"/>
    <w:lvl w:ilvl="0" w:tentative="0">
      <w:start w:val="4"/>
      <w:numFmt w:val="decimal"/>
      <w:suff w:val="space"/>
      <w:lvlText w:val="%1."/>
      <w:lvlJc w:val="left"/>
    </w:lvl>
  </w:abstractNum>
  <w:abstractNum w:abstractNumId="1">
    <w:nsid w:val="FFFFFF89"/>
    <w:multiLevelType w:val="singleLevel"/>
    <w:tmpl w:val="FFFFFF89"/>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2">
    <w:nsid w:val="00000010"/>
    <w:multiLevelType w:val="singleLevel"/>
    <w:tmpl w:val="00000010"/>
    <w:lvl w:ilvl="0" w:tentative="0">
      <w:start w:val="1"/>
      <w:numFmt w:val="bullet"/>
      <w:pStyle w:val="25"/>
      <w:lvlText w:val=""/>
      <w:legacy w:legacy="1" w:legacySpace="0" w:legacyIndent="360"/>
      <w:lvlJc w:val="center"/>
      <w:pPr>
        <w:ind w:left="360" w:hanging="360"/>
      </w:pPr>
      <w:rPr>
        <w:rFonts w:hint="default" w:ascii="MS Sans Serif" w:hAnsi="MS Sans Serif"/>
        <w:sz w:val="18"/>
      </w:rPr>
    </w:lvl>
  </w:abstractNum>
  <w:abstractNum w:abstractNumId="3">
    <w:nsid w:val="18EA1118"/>
    <w:multiLevelType w:val="multilevel"/>
    <w:tmpl w:val="18EA1118"/>
    <w:lvl w:ilvl="0" w:tentative="0">
      <w:start w:val="4"/>
      <w:numFmt w:val="japaneseCounting"/>
      <w:lvlText w:val="第%1章"/>
      <w:lvlJc w:val="left"/>
      <w:pPr>
        <w:tabs>
          <w:tab w:val="left" w:pos="1440"/>
        </w:tabs>
        <w:ind w:left="1440" w:hanging="14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dit="forms" w:enforcement="1" w:cryptProviderType="rsaFull" w:cryptAlgorithmClass="hash" w:cryptAlgorithmType="typeAny" w:cryptAlgorithmSid="4" w:cryptSpinCount="0" w:hash="DldhZrTd5YzgfYC355iVGyxuXfI=" w:salt="G45m5HA9kcElNocmsSvJBg=="/>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B3B"/>
    <w:rsid w:val="00001186"/>
    <w:rsid w:val="00001398"/>
    <w:rsid w:val="0000157A"/>
    <w:rsid w:val="00001EAB"/>
    <w:rsid w:val="000021BC"/>
    <w:rsid w:val="00002214"/>
    <w:rsid w:val="000025C9"/>
    <w:rsid w:val="000033A5"/>
    <w:rsid w:val="000040B6"/>
    <w:rsid w:val="00004B34"/>
    <w:rsid w:val="00004FCE"/>
    <w:rsid w:val="0000501A"/>
    <w:rsid w:val="00005D8B"/>
    <w:rsid w:val="0000651F"/>
    <w:rsid w:val="00007361"/>
    <w:rsid w:val="00007E2E"/>
    <w:rsid w:val="00010782"/>
    <w:rsid w:val="00011B51"/>
    <w:rsid w:val="00011B5E"/>
    <w:rsid w:val="00011C85"/>
    <w:rsid w:val="000120DB"/>
    <w:rsid w:val="0001222D"/>
    <w:rsid w:val="0001261E"/>
    <w:rsid w:val="00012E46"/>
    <w:rsid w:val="000134C8"/>
    <w:rsid w:val="0001448F"/>
    <w:rsid w:val="00015904"/>
    <w:rsid w:val="00016107"/>
    <w:rsid w:val="00016AE9"/>
    <w:rsid w:val="0001744C"/>
    <w:rsid w:val="00017903"/>
    <w:rsid w:val="000204FA"/>
    <w:rsid w:val="000208F9"/>
    <w:rsid w:val="00021294"/>
    <w:rsid w:val="000216FE"/>
    <w:rsid w:val="0002181B"/>
    <w:rsid w:val="00021BAA"/>
    <w:rsid w:val="00021BB4"/>
    <w:rsid w:val="00021CD2"/>
    <w:rsid w:val="00021DAC"/>
    <w:rsid w:val="000226C6"/>
    <w:rsid w:val="00022A31"/>
    <w:rsid w:val="00022F20"/>
    <w:rsid w:val="00023ECC"/>
    <w:rsid w:val="00024A0C"/>
    <w:rsid w:val="00025921"/>
    <w:rsid w:val="00025AB2"/>
    <w:rsid w:val="000263BD"/>
    <w:rsid w:val="0002676A"/>
    <w:rsid w:val="00026876"/>
    <w:rsid w:val="00026D5B"/>
    <w:rsid w:val="000275F3"/>
    <w:rsid w:val="000279C4"/>
    <w:rsid w:val="00027E2B"/>
    <w:rsid w:val="000305DB"/>
    <w:rsid w:val="00030A46"/>
    <w:rsid w:val="00031A5C"/>
    <w:rsid w:val="00031E23"/>
    <w:rsid w:val="0003318B"/>
    <w:rsid w:val="00033466"/>
    <w:rsid w:val="000338EC"/>
    <w:rsid w:val="000343D5"/>
    <w:rsid w:val="000346B2"/>
    <w:rsid w:val="0003580B"/>
    <w:rsid w:val="00035FBF"/>
    <w:rsid w:val="00036513"/>
    <w:rsid w:val="000365D4"/>
    <w:rsid w:val="00036F60"/>
    <w:rsid w:val="00037241"/>
    <w:rsid w:val="0003726B"/>
    <w:rsid w:val="000372EF"/>
    <w:rsid w:val="00037439"/>
    <w:rsid w:val="000378CC"/>
    <w:rsid w:val="00037BC8"/>
    <w:rsid w:val="00040D91"/>
    <w:rsid w:val="00041153"/>
    <w:rsid w:val="0004144F"/>
    <w:rsid w:val="0004170D"/>
    <w:rsid w:val="0004182E"/>
    <w:rsid w:val="000434DC"/>
    <w:rsid w:val="00043866"/>
    <w:rsid w:val="00043B7B"/>
    <w:rsid w:val="00043D56"/>
    <w:rsid w:val="00044612"/>
    <w:rsid w:val="000451D2"/>
    <w:rsid w:val="0004578E"/>
    <w:rsid w:val="0004598A"/>
    <w:rsid w:val="00046333"/>
    <w:rsid w:val="000470E1"/>
    <w:rsid w:val="000478CB"/>
    <w:rsid w:val="00047F23"/>
    <w:rsid w:val="00050665"/>
    <w:rsid w:val="000517F0"/>
    <w:rsid w:val="00051D0F"/>
    <w:rsid w:val="000520A7"/>
    <w:rsid w:val="0005306E"/>
    <w:rsid w:val="0005388A"/>
    <w:rsid w:val="00053ECF"/>
    <w:rsid w:val="00054012"/>
    <w:rsid w:val="00054720"/>
    <w:rsid w:val="00055126"/>
    <w:rsid w:val="00055DC9"/>
    <w:rsid w:val="0005614B"/>
    <w:rsid w:val="000567C2"/>
    <w:rsid w:val="000574A8"/>
    <w:rsid w:val="000577D5"/>
    <w:rsid w:val="00057BC5"/>
    <w:rsid w:val="00057BD0"/>
    <w:rsid w:val="0006055C"/>
    <w:rsid w:val="000606B8"/>
    <w:rsid w:val="000609C9"/>
    <w:rsid w:val="00061078"/>
    <w:rsid w:val="000615F9"/>
    <w:rsid w:val="00062159"/>
    <w:rsid w:val="00062859"/>
    <w:rsid w:val="00062951"/>
    <w:rsid w:val="0006296E"/>
    <w:rsid w:val="000629D9"/>
    <w:rsid w:val="00062E98"/>
    <w:rsid w:val="0006360B"/>
    <w:rsid w:val="00065049"/>
    <w:rsid w:val="0006620C"/>
    <w:rsid w:val="0006713D"/>
    <w:rsid w:val="00067146"/>
    <w:rsid w:val="000671CC"/>
    <w:rsid w:val="000675AB"/>
    <w:rsid w:val="000676B4"/>
    <w:rsid w:val="000702BE"/>
    <w:rsid w:val="00070C81"/>
    <w:rsid w:val="000711AE"/>
    <w:rsid w:val="00071A9D"/>
    <w:rsid w:val="00071C52"/>
    <w:rsid w:val="00071F28"/>
    <w:rsid w:val="00072532"/>
    <w:rsid w:val="00072C0F"/>
    <w:rsid w:val="00072C14"/>
    <w:rsid w:val="00073296"/>
    <w:rsid w:val="00073CC9"/>
    <w:rsid w:val="00073D01"/>
    <w:rsid w:val="000745D0"/>
    <w:rsid w:val="00075128"/>
    <w:rsid w:val="0007695B"/>
    <w:rsid w:val="00077188"/>
    <w:rsid w:val="00077488"/>
    <w:rsid w:val="00077E37"/>
    <w:rsid w:val="00080BEC"/>
    <w:rsid w:val="0008134B"/>
    <w:rsid w:val="00081682"/>
    <w:rsid w:val="00081C08"/>
    <w:rsid w:val="00081C62"/>
    <w:rsid w:val="000823ED"/>
    <w:rsid w:val="000828E4"/>
    <w:rsid w:val="00083BB2"/>
    <w:rsid w:val="00084D91"/>
    <w:rsid w:val="00086924"/>
    <w:rsid w:val="00086B4A"/>
    <w:rsid w:val="00087159"/>
    <w:rsid w:val="00087409"/>
    <w:rsid w:val="000907EC"/>
    <w:rsid w:val="0009083A"/>
    <w:rsid w:val="000918F3"/>
    <w:rsid w:val="00091BEC"/>
    <w:rsid w:val="00092553"/>
    <w:rsid w:val="00092FC8"/>
    <w:rsid w:val="000930CF"/>
    <w:rsid w:val="000934EE"/>
    <w:rsid w:val="00093650"/>
    <w:rsid w:val="00093821"/>
    <w:rsid w:val="00094230"/>
    <w:rsid w:val="00094828"/>
    <w:rsid w:val="0009484A"/>
    <w:rsid w:val="000958AB"/>
    <w:rsid w:val="00096846"/>
    <w:rsid w:val="00096D0A"/>
    <w:rsid w:val="000978C2"/>
    <w:rsid w:val="00097FFC"/>
    <w:rsid w:val="000A078B"/>
    <w:rsid w:val="000A07C2"/>
    <w:rsid w:val="000A0BE5"/>
    <w:rsid w:val="000A1825"/>
    <w:rsid w:val="000A1C09"/>
    <w:rsid w:val="000A1F90"/>
    <w:rsid w:val="000A366B"/>
    <w:rsid w:val="000A4017"/>
    <w:rsid w:val="000A40FB"/>
    <w:rsid w:val="000A4337"/>
    <w:rsid w:val="000A5475"/>
    <w:rsid w:val="000A6833"/>
    <w:rsid w:val="000A69D6"/>
    <w:rsid w:val="000A6B4B"/>
    <w:rsid w:val="000A6DE5"/>
    <w:rsid w:val="000A710C"/>
    <w:rsid w:val="000A782A"/>
    <w:rsid w:val="000A7B33"/>
    <w:rsid w:val="000A7DF8"/>
    <w:rsid w:val="000B016C"/>
    <w:rsid w:val="000B1BDD"/>
    <w:rsid w:val="000B1F5F"/>
    <w:rsid w:val="000B209E"/>
    <w:rsid w:val="000B212A"/>
    <w:rsid w:val="000B2AFC"/>
    <w:rsid w:val="000B32CD"/>
    <w:rsid w:val="000B376B"/>
    <w:rsid w:val="000B4531"/>
    <w:rsid w:val="000B454A"/>
    <w:rsid w:val="000B4C20"/>
    <w:rsid w:val="000B4CDC"/>
    <w:rsid w:val="000B645B"/>
    <w:rsid w:val="000B650E"/>
    <w:rsid w:val="000B7324"/>
    <w:rsid w:val="000B7721"/>
    <w:rsid w:val="000B776B"/>
    <w:rsid w:val="000B7C00"/>
    <w:rsid w:val="000C0422"/>
    <w:rsid w:val="000C075A"/>
    <w:rsid w:val="000C14D9"/>
    <w:rsid w:val="000C1D6D"/>
    <w:rsid w:val="000C1D73"/>
    <w:rsid w:val="000C1F86"/>
    <w:rsid w:val="000C2B70"/>
    <w:rsid w:val="000C2F2A"/>
    <w:rsid w:val="000C32D1"/>
    <w:rsid w:val="000C391B"/>
    <w:rsid w:val="000C4514"/>
    <w:rsid w:val="000C4B45"/>
    <w:rsid w:val="000C4DC5"/>
    <w:rsid w:val="000C4F95"/>
    <w:rsid w:val="000C66EE"/>
    <w:rsid w:val="000C6A47"/>
    <w:rsid w:val="000C6AE8"/>
    <w:rsid w:val="000C7977"/>
    <w:rsid w:val="000C7A62"/>
    <w:rsid w:val="000C7C25"/>
    <w:rsid w:val="000D04D0"/>
    <w:rsid w:val="000D05F2"/>
    <w:rsid w:val="000D100D"/>
    <w:rsid w:val="000D181B"/>
    <w:rsid w:val="000D1B71"/>
    <w:rsid w:val="000D28C6"/>
    <w:rsid w:val="000D2A6E"/>
    <w:rsid w:val="000D2DF5"/>
    <w:rsid w:val="000D30AD"/>
    <w:rsid w:val="000D3A86"/>
    <w:rsid w:val="000D42E6"/>
    <w:rsid w:val="000D555C"/>
    <w:rsid w:val="000D56BE"/>
    <w:rsid w:val="000D5C0A"/>
    <w:rsid w:val="000D63C6"/>
    <w:rsid w:val="000D6666"/>
    <w:rsid w:val="000D6CBC"/>
    <w:rsid w:val="000D6F64"/>
    <w:rsid w:val="000D70BE"/>
    <w:rsid w:val="000D7737"/>
    <w:rsid w:val="000E0071"/>
    <w:rsid w:val="000E0C7B"/>
    <w:rsid w:val="000E34E6"/>
    <w:rsid w:val="000E3749"/>
    <w:rsid w:val="000E3A06"/>
    <w:rsid w:val="000E3B88"/>
    <w:rsid w:val="000E3E0D"/>
    <w:rsid w:val="000E41B1"/>
    <w:rsid w:val="000E466C"/>
    <w:rsid w:val="000E4EDB"/>
    <w:rsid w:val="000E51C6"/>
    <w:rsid w:val="000E54AE"/>
    <w:rsid w:val="000E559D"/>
    <w:rsid w:val="000E5B67"/>
    <w:rsid w:val="000E6F66"/>
    <w:rsid w:val="000E7094"/>
    <w:rsid w:val="000E71D2"/>
    <w:rsid w:val="000E73AE"/>
    <w:rsid w:val="000E77D9"/>
    <w:rsid w:val="000E7BEC"/>
    <w:rsid w:val="000E7C77"/>
    <w:rsid w:val="000F0451"/>
    <w:rsid w:val="000F067F"/>
    <w:rsid w:val="000F0ECA"/>
    <w:rsid w:val="000F122C"/>
    <w:rsid w:val="000F1A3F"/>
    <w:rsid w:val="000F1E0D"/>
    <w:rsid w:val="000F1EF8"/>
    <w:rsid w:val="000F31FD"/>
    <w:rsid w:val="000F40AA"/>
    <w:rsid w:val="000F41F9"/>
    <w:rsid w:val="000F4555"/>
    <w:rsid w:val="000F491D"/>
    <w:rsid w:val="000F58D3"/>
    <w:rsid w:val="000F58E1"/>
    <w:rsid w:val="000F5F72"/>
    <w:rsid w:val="000F61A2"/>
    <w:rsid w:val="000F6371"/>
    <w:rsid w:val="000F68D8"/>
    <w:rsid w:val="000F7112"/>
    <w:rsid w:val="0010089C"/>
    <w:rsid w:val="00100CE7"/>
    <w:rsid w:val="00100CF7"/>
    <w:rsid w:val="0010172A"/>
    <w:rsid w:val="00103643"/>
    <w:rsid w:val="0010428B"/>
    <w:rsid w:val="001044C1"/>
    <w:rsid w:val="00104D43"/>
    <w:rsid w:val="00104FFF"/>
    <w:rsid w:val="00105B71"/>
    <w:rsid w:val="00110191"/>
    <w:rsid w:val="0011127E"/>
    <w:rsid w:val="00111348"/>
    <w:rsid w:val="0011183C"/>
    <w:rsid w:val="00112C1B"/>
    <w:rsid w:val="00113101"/>
    <w:rsid w:val="00113AE9"/>
    <w:rsid w:val="00113DBD"/>
    <w:rsid w:val="00114953"/>
    <w:rsid w:val="001149BA"/>
    <w:rsid w:val="001161C9"/>
    <w:rsid w:val="001168A7"/>
    <w:rsid w:val="00116EB7"/>
    <w:rsid w:val="00117E49"/>
    <w:rsid w:val="00120086"/>
    <w:rsid w:val="00121067"/>
    <w:rsid w:val="00121432"/>
    <w:rsid w:val="001215F7"/>
    <w:rsid w:val="00121D62"/>
    <w:rsid w:val="00122512"/>
    <w:rsid w:val="0012254D"/>
    <w:rsid w:val="00122C31"/>
    <w:rsid w:val="00122E97"/>
    <w:rsid w:val="001235D3"/>
    <w:rsid w:val="001236AD"/>
    <w:rsid w:val="00124169"/>
    <w:rsid w:val="0012452B"/>
    <w:rsid w:val="001247DC"/>
    <w:rsid w:val="00126752"/>
    <w:rsid w:val="001271B1"/>
    <w:rsid w:val="001276A7"/>
    <w:rsid w:val="00127779"/>
    <w:rsid w:val="0013092A"/>
    <w:rsid w:val="001315A2"/>
    <w:rsid w:val="00132638"/>
    <w:rsid w:val="001326D3"/>
    <w:rsid w:val="00133102"/>
    <w:rsid w:val="001350E1"/>
    <w:rsid w:val="00136038"/>
    <w:rsid w:val="00136449"/>
    <w:rsid w:val="00136A8D"/>
    <w:rsid w:val="00136E14"/>
    <w:rsid w:val="00137001"/>
    <w:rsid w:val="0013705F"/>
    <w:rsid w:val="00137935"/>
    <w:rsid w:val="00141665"/>
    <w:rsid w:val="00141FF8"/>
    <w:rsid w:val="0014297A"/>
    <w:rsid w:val="00143982"/>
    <w:rsid w:val="00143F03"/>
    <w:rsid w:val="001440AC"/>
    <w:rsid w:val="00144305"/>
    <w:rsid w:val="0014581B"/>
    <w:rsid w:val="00145823"/>
    <w:rsid w:val="00147041"/>
    <w:rsid w:val="00150989"/>
    <w:rsid w:val="001511BA"/>
    <w:rsid w:val="001513A4"/>
    <w:rsid w:val="001522EB"/>
    <w:rsid w:val="00153DE1"/>
    <w:rsid w:val="001551B5"/>
    <w:rsid w:val="001551B6"/>
    <w:rsid w:val="001577E8"/>
    <w:rsid w:val="00157BE3"/>
    <w:rsid w:val="00160D93"/>
    <w:rsid w:val="0016223B"/>
    <w:rsid w:val="00162C83"/>
    <w:rsid w:val="00162F33"/>
    <w:rsid w:val="00163762"/>
    <w:rsid w:val="001641F0"/>
    <w:rsid w:val="0016485E"/>
    <w:rsid w:val="00164FD1"/>
    <w:rsid w:val="0016544C"/>
    <w:rsid w:val="001658A5"/>
    <w:rsid w:val="001659B9"/>
    <w:rsid w:val="00166637"/>
    <w:rsid w:val="001666E0"/>
    <w:rsid w:val="00166858"/>
    <w:rsid w:val="00167BEC"/>
    <w:rsid w:val="00170325"/>
    <w:rsid w:val="001707DD"/>
    <w:rsid w:val="00171EC8"/>
    <w:rsid w:val="0017207A"/>
    <w:rsid w:val="001723FF"/>
    <w:rsid w:val="00172A27"/>
    <w:rsid w:val="00172B82"/>
    <w:rsid w:val="001735D3"/>
    <w:rsid w:val="00173BAE"/>
    <w:rsid w:val="001746A6"/>
    <w:rsid w:val="001750E0"/>
    <w:rsid w:val="001757BD"/>
    <w:rsid w:val="00175956"/>
    <w:rsid w:val="00176BF8"/>
    <w:rsid w:val="00176CD1"/>
    <w:rsid w:val="00176FCC"/>
    <w:rsid w:val="001777B6"/>
    <w:rsid w:val="0018102B"/>
    <w:rsid w:val="001814B1"/>
    <w:rsid w:val="001815C3"/>
    <w:rsid w:val="0018171F"/>
    <w:rsid w:val="00182019"/>
    <w:rsid w:val="001836A7"/>
    <w:rsid w:val="00184075"/>
    <w:rsid w:val="00184808"/>
    <w:rsid w:val="00184CD1"/>
    <w:rsid w:val="001857E9"/>
    <w:rsid w:val="00185860"/>
    <w:rsid w:val="00186312"/>
    <w:rsid w:val="00186AAC"/>
    <w:rsid w:val="00186E3B"/>
    <w:rsid w:val="0018711C"/>
    <w:rsid w:val="00187324"/>
    <w:rsid w:val="00187415"/>
    <w:rsid w:val="0019067B"/>
    <w:rsid w:val="00190B57"/>
    <w:rsid w:val="00191110"/>
    <w:rsid w:val="00191698"/>
    <w:rsid w:val="001919AD"/>
    <w:rsid w:val="00191A1E"/>
    <w:rsid w:val="00192645"/>
    <w:rsid w:val="001927D5"/>
    <w:rsid w:val="00193DF9"/>
    <w:rsid w:val="00193F95"/>
    <w:rsid w:val="001947F2"/>
    <w:rsid w:val="00195521"/>
    <w:rsid w:val="0019572D"/>
    <w:rsid w:val="00195AA0"/>
    <w:rsid w:val="00195D1F"/>
    <w:rsid w:val="00196670"/>
    <w:rsid w:val="00196B49"/>
    <w:rsid w:val="00196BDA"/>
    <w:rsid w:val="00196D32"/>
    <w:rsid w:val="0019704B"/>
    <w:rsid w:val="00197123"/>
    <w:rsid w:val="00197313"/>
    <w:rsid w:val="001974CE"/>
    <w:rsid w:val="001A030B"/>
    <w:rsid w:val="001A04B4"/>
    <w:rsid w:val="001A061F"/>
    <w:rsid w:val="001A0F4A"/>
    <w:rsid w:val="001A2520"/>
    <w:rsid w:val="001A359E"/>
    <w:rsid w:val="001A386F"/>
    <w:rsid w:val="001A3A0E"/>
    <w:rsid w:val="001A49CA"/>
    <w:rsid w:val="001A4AAA"/>
    <w:rsid w:val="001A5CFD"/>
    <w:rsid w:val="001A5DB7"/>
    <w:rsid w:val="001A640E"/>
    <w:rsid w:val="001A66D4"/>
    <w:rsid w:val="001A7043"/>
    <w:rsid w:val="001A7539"/>
    <w:rsid w:val="001B006C"/>
    <w:rsid w:val="001B0937"/>
    <w:rsid w:val="001B0C23"/>
    <w:rsid w:val="001B2624"/>
    <w:rsid w:val="001B2728"/>
    <w:rsid w:val="001B28E2"/>
    <w:rsid w:val="001B2BEE"/>
    <w:rsid w:val="001B3022"/>
    <w:rsid w:val="001B30B8"/>
    <w:rsid w:val="001B3282"/>
    <w:rsid w:val="001B45D9"/>
    <w:rsid w:val="001B5B1A"/>
    <w:rsid w:val="001B667F"/>
    <w:rsid w:val="001B6844"/>
    <w:rsid w:val="001C08AA"/>
    <w:rsid w:val="001C0CA7"/>
    <w:rsid w:val="001C0D0C"/>
    <w:rsid w:val="001C13EC"/>
    <w:rsid w:val="001C15E6"/>
    <w:rsid w:val="001C278E"/>
    <w:rsid w:val="001C40C4"/>
    <w:rsid w:val="001C4177"/>
    <w:rsid w:val="001C4293"/>
    <w:rsid w:val="001C43DF"/>
    <w:rsid w:val="001C4BBB"/>
    <w:rsid w:val="001C501B"/>
    <w:rsid w:val="001C53D1"/>
    <w:rsid w:val="001C56FE"/>
    <w:rsid w:val="001C5934"/>
    <w:rsid w:val="001C5EEC"/>
    <w:rsid w:val="001C6325"/>
    <w:rsid w:val="001C7C67"/>
    <w:rsid w:val="001C7E1F"/>
    <w:rsid w:val="001D0073"/>
    <w:rsid w:val="001D0941"/>
    <w:rsid w:val="001D09A7"/>
    <w:rsid w:val="001D1774"/>
    <w:rsid w:val="001D18B8"/>
    <w:rsid w:val="001D24B4"/>
    <w:rsid w:val="001D3FEC"/>
    <w:rsid w:val="001D4142"/>
    <w:rsid w:val="001D480E"/>
    <w:rsid w:val="001D564E"/>
    <w:rsid w:val="001D5EE8"/>
    <w:rsid w:val="001D6696"/>
    <w:rsid w:val="001D6860"/>
    <w:rsid w:val="001D6904"/>
    <w:rsid w:val="001D729C"/>
    <w:rsid w:val="001E04A8"/>
    <w:rsid w:val="001E09A5"/>
    <w:rsid w:val="001E0F14"/>
    <w:rsid w:val="001E1232"/>
    <w:rsid w:val="001E1663"/>
    <w:rsid w:val="001E30AB"/>
    <w:rsid w:val="001E3243"/>
    <w:rsid w:val="001E337C"/>
    <w:rsid w:val="001E4255"/>
    <w:rsid w:val="001E53D7"/>
    <w:rsid w:val="001E61FB"/>
    <w:rsid w:val="001E70E9"/>
    <w:rsid w:val="001F07E5"/>
    <w:rsid w:val="001F0995"/>
    <w:rsid w:val="001F0D8A"/>
    <w:rsid w:val="001F0DB8"/>
    <w:rsid w:val="001F130C"/>
    <w:rsid w:val="001F13DB"/>
    <w:rsid w:val="001F1974"/>
    <w:rsid w:val="001F19FC"/>
    <w:rsid w:val="001F1ABB"/>
    <w:rsid w:val="001F2291"/>
    <w:rsid w:val="001F3A7C"/>
    <w:rsid w:val="001F46D0"/>
    <w:rsid w:val="001F50C8"/>
    <w:rsid w:val="001F5163"/>
    <w:rsid w:val="001F5902"/>
    <w:rsid w:val="001F5F52"/>
    <w:rsid w:val="001F64A5"/>
    <w:rsid w:val="001F6820"/>
    <w:rsid w:val="001F7E17"/>
    <w:rsid w:val="00200137"/>
    <w:rsid w:val="0020058D"/>
    <w:rsid w:val="002008DF"/>
    <w:rsid w:val="002010B0"/>
    <w:rsid w:val="002030C7"/>
    <w:rsid w:val="00203EFF"/>
    <w:rsid w:val="002040AD"/>
    <w:rsid w:val="00204612"/>
    <w:rsid w:val="00204DFF"/>
    <w:rsid w:val="00204E27"/>
    <w:rsid w:val="00205423"/>
    <w:rsid w:val="0020544C"/>
    <w:rsid w:val="002056F8"/>
    <w:rsid w:val="00205AFB"/>
    <w:rsid w:val="00205DA7"/>
    <w:rsid w:val="00206050"/>
    <w:rsid w:val="00206B96"/>
    <w:rsid w:val="00206C1A"/>
    <w:rsid w:val="00207326"/>
    <w:rsid w:val="00207C1B"/>
    <w:rsid w:val="00210459"/>
    <w:rsid w:val="00210D98"/>
    <w:rsid w:val="00211266"/>
    <w:rsid w:val="00211274"/>
    <w:rsid w:val="00211460"/>
    <w:rsid w:val="002115A8"/>
    <w:rsid w:val="00211661"/>
    <w:rsid w:val="00211734"/>
    <w:rsid w:val="00211B35"/>
    <w:rsid w:val="00211DC9"/>
    <w:rsid w:val="00211FCE"/>
    <w:rsid w:val="00211FFA"/>
    <w:rsid w:val="00212937"/>
    <w:rsid w:val="00212B76"/>
    <w:rsid w:val="00213217"/>
    <w:rsid w:val="00215404"/>
    <w:rsid w:val="00215420"/>
    <w:rsid w:val="00216439"/>
    <w:rsid w:val="00216E27"/>
    <w:rsid w:val="00217561"/>
    <w:rsid w:val="00217E64"/>
    <w:rsid w:val="002207EA"/>
    <w:rsid w:val="00220FEE"/>
    <w:rsid w:val="002211CD"/>
    <w:rsid w:val="0022161B"/>
    <w:rsid w:val="00221704"/>
    <w:rsid w:val="002226F7"/>
    <w:rsid w:val="00223167"/>
    <w:rsid w:val="002239D6"/>
    <w:rsid w:val="00224110"/>
    <w:rsid w:val="0022422E"/>
    <w:rsid w:val="002247D6"/>
    <w:rsid w:val="0022486C"/>
    <w:rsid w:val="00225689"/>
    <w:rsid w:val="002264DC"/>
    <w:rsid w:val="00226C56"/>
    <w:rsid w:val="002270F6"/>
    <w:rsid w:val="0022742D"/>
    <w:rsid w:val="00230899"/>
    <w:rsid w:val="002309B2"/>
    <w:rsid w:val="00230A1A"/>
    <w:rsid w:val="00230CAC"/>
    <w:rsid w:val="00230CE4"/>
    <w:rsid w:val="00231270"/>
    <w:rsid w:val="00232853"/>
    <w:rsid w:val="00232E2F"/>
    <w:rsid w:val="00232FA0"/>
    <w:rsid w:val="002333C9"/>
    <w:rsid w:val="002336D5"/>
    <w:rsid w:val="00234283"/>
    <w:rsid w:val="00234E1C"/>
    <w:rsid w:val="00235F87"/>
    <w:rsid w:val="00236623"/>
    <w:rsid w:val="002373A0"/>
    <w:rsid w:val="00237981"/>
    <w:rsid w:val="00240174"/>
    <w:rsid w:val="002402F6"/>
    <w:rsid w:val="0024115E"/>
    <w:rsid w:val="002422E1"/>
    <w:rsid w:val="00242511"/>
    <w:rsid w:val="00243C44"/>
    <w:rsid w:val="002442A1"/>
    <w:rsid w:val="00244861"/>
    <w:rsid w:val="0024537F"/>
    <w:rsid w:val="00245847"/>
    <w:rsid w:val="00245F44"/>
    <w:rsid w:val="00246931"/>
    <w:rsid w:val="002469C7"/>
    <w:rsid w:val="00246BE4"/>
    <w:rsid w:val="00246BF5"/>
    <w:rsid w:val="002472CE"/>
    <w:rsid w:val="00250CFA"/>
    <w:rsid w:val="0025124A"/>
    <w:rsid w:val="00251504"/>
    <w:rsid w:val="002519B1"/>
    <w:rsid w:val="00252BD5"/>
    <w:rsid w:val="00253683"/>
    <w:rsid w:val="0025393B"/>
    <w:rsid w:val="00253954"/>
    <w:rsid w:val="00253B40"/>
    <w:rsid w:val="002540DE"/>
    <w:rsid w:val="0025493A"/>
    <w:rsid w:val="002553A5"/>
    <w:rsid w:val="002557D4"/>
    <w:rsid w:val="002565F7"/>
    <w:rsid w:val="00256678"/>
    <w:rsid w:val="0025675E"/>
    <w:rsid w:val="00257364"/>
    <w:rsid w:val="00257B42"/>
    <w:rsid w:val="00260C9D"/>
    <w:rsid w:val="002626D9"/>
    <w:rsid w:val="002639CD"/>
    <w:rsid w:val="002639FD"/>
    <w:rsid w:val="002640A7"/>
    <w:rsid w:val="0026414F"/>
    <w:rsid w:val="00264338"/>
    <w:rsid w:val="00264712"/>
    <w:rsid w:val="00264EC9"/>
    <w:rsid w:val="00265053"/>
    <w:rsid w:val="002650C4"/>
    <w:rsid w:val="00265468"/>
    <w:rsid w:val="002658BF"/>
    <w:rsid w:val="002667EC"/>
    <w:rsid w:val="00266B85"/>
    <w:rsid w:val="00267CDD"/>
    <w:rsid w:val="00267FCE"/>
    <w:rsid w:val="0027033B"/>
    <w:rsid w:val="002703BF"/>
    <w:rsid w:val="0027288E"/>
    <w:rsid w:val="00273061"/>
    <w:rsid w:val="002732CF"/>
    <w:rsid w:val="00273568"/>
    <w:rsid w:val="00273715"/>
    <w:rsid w:val="00273B4A"/>
    <w:rsid w:val="00273D29"/>
    <w:rsid w:val="00274321"/>
    <w:rsid w:val="00275EED"/>
    <w:rsid w:val="002760C4"/>
    <w:rsid w:val="00276B3C"/>
    <w:rsid w:val="00280A64"/>
    <w:rsid w:val="00280B92"/>
    <w:rsid w:val="00280C03"/>
    <w:rsid w:val="002810C7"/>
    <w:rsid w:val="00281F7C"/>
    <w:rsid w:val="00282834"/>
    <w:rsid w:val="00282EE1"/>
    <w:rsid w:val="00284E00"/>
    <w:rsid w:val="0028521A"/>
    <w:rsid w:val="00286CDF"/>
    <w:rsid w:val="00290FB0"/>
    <w:rsid w:val="00291766"/>
    <w:rsid w:val="00291805"/>
    <w:rsid w:val="002919AF"/>
    <w:rsid w:val="00292B39"/>
    <w:rsid w:val="00293195"/>
    <w:rsid w:val="002937E2"/>
    <w:rsid w:val="00293C48"/>
    <w:rsid w:val="00293D5F"/>
    <w:rsid w:val="00293FEF"/>
    <w:rsid w:val="002940B1"/>
    <w:rsid w:val="002946AE"/>
    <w:rsid w:val="00294E15"/>
    <w:rsid w:val="00294EC2"/>
    <w:rsid w:val="00295184"/>
    <w:rsid w:val="00295212"/>
    <w:rsid w:val="00295C8C"/>
    <w:rsid w:val="00295DF3"/>
    <w:rsid w:val="00295EF7"/>
    <w:rsid w:val="00297770"/>
    <w:rsid w:val="002A0CBD"/>
    <w:rsid w:val="002A0D7A"/>
    <w:rsid w:val="002A2F4B"/>
    <w:rsid w:val="002A3949"/>
    <w:rsid w:val="002A3FBB"/>
    <w:rsid w:val="002A52B4"/>
    <w:rsid w:val="002A556F"/>
    <w:rsid w:val="002A5895"/>
    <w:rsid w:val="002A5CFC"/>
    <w:rsid w:val="002A6AD0"/>
    <w:rsid w:val="002A6ADD"/>
    <w:rsid w:val="002A6D4E"/>
    <w:rsid w:val="002A709C"/>
    <w:rsid w:val="002A7BB2"/>
    <w:rsid w:val="002A7CE0"/>
    <w:rsid w:val="002B112E"/>
    <w:rsid w:val="002B1434"/>
    <w:rsid w:val="002B14DD"/>
    <w:rsid w:val="002B15DE"/>
    <w:rsid w:val="002B18E2"/>
    <w:rsid w:val="002B1965"/>
    <w:rsid w:val="002B2BCA"/>
    <w:rsid w:val="002B364F"/>
    <w:rsid w:val="002B3F10"/>
    <w:rsid w:val="002B433B"/>
    <w:rsid w:val="002B4587"/>
    <w:rsid w:val="002B593B"/>
    <w:rsid w:val="002B6934"/>
    <w:rsid w:val="002B6C07"/>
    <w:rsid w:val="002B76B9"/>
    <w:rsid w:val="002B7B55"/>
    <w:rsid w:val="002B7DA7"/>
    <w:rsid w:val="002C0AFF"/>
    <w:rsid w:val="002C1222"/>
    <w:rsid w:val="002C12C3"/>
    <w:rsid w:val="002C13B5"/>
    <w:rsid w:val="002C1446"/>
    <w:rsid w:val="002C1911"/>
    <w:rsid w:val="002C1B8D"/>
    <w:rsid w:val="002C2693"/>
    <w:rsid w:val="002C2932"/>
    <w:rsid w:val="002C2AF7"/>
    <w:rsid w:val="002C4E93"/>
    <w:rsid w:val="002C590E"/>
    <w:rsid w:val="002C5BF1"/>
    <w:rsid w:val="002C6178"/>
    <w:rsid w:val="002C629D"/>
    <w:rsid w:val="002C6877"/>
    <w:rsid w:val="002D0192"/>
    <w:rsid w:val="002D06DE"/>
    <w:rsid w:val="002D0750"/>
    <w:rsid w:val="002D0E16"/>
    <w:rsid w:val="002D114B"/>
    <w:rsid w:val="002D11E2"/>
    <w:rsid w:val="002D1B81"/>
    <w:rsid w:val="002D1D1B"/>
    <w:rsid w:val="002D1DA2"/>
    <w:rsid w:val="002D1E02"/>
    <w:rsid w:val="002D2090"/>
    <w:rsid w:val="002D2169"/>
    <w:rsid w:val="002D2272"/>
    <w:rsid w:val="002D256C"/>
    <w:rsid w:val="002D2600"/>
    <w:rsid w:val="002D27EE"/>
    <w:rsid w:val="002D312B"/>
    <w:rsid w:val="002D4E93"/>
    <w:rsid w:val="002D4F2E"/>
    <w:rsid w:val="002D5608"/>
    <w:rsid w:val="002D562B"/>
    <w:rsid w:val="002D615C"/>
    <w:rsid w:val="002D6D02"/>
    <w:rsid w:val="002D711A"/>
    <w:rsid w:val="002D77C9"/>
    <w:rsid w:val="002E003A"/>
    <w:rsid w:val="002E042E"/>
    <w:rsid w:val="002E063F"/>
    <w:rsid w:val="002E0B41"/>
    <w:rsid w:val="002E0BED"/>
    <w:rsid w:val="002E0E09"/>
    <w:rsid w:val="002E1457"/>
    <w:rsid w:val="002E1D5C"/>
    <w:rsid w:val="002E1D6A"/>
    <w:rsid w:val="002E23DC"/>
    <w:rsid w:val="002E253C"/>
    <w:rsid w:val="002E2DA0"/>
    <w:rsid w:val="002E4B3A"/>
    <w:rsid w:val="002E5098"/>
    <w:rsid w:val="002E5442"/>
    <w:rsid w:val="002E5E63"/>
    <w:rsid w:val="002E5E8B"/>
    <w:rsid w:val="002E5ECE"/>
    <w:rsid w:val="002E6903"/>
    <w:rsid w:val="002E69CD"/>
    <w:rsid w:val="002E6C5D"/>
    <w:rsid w:val="002E714B"/>
    <w:rsid w:val="002E7400"/>
    <w:rsid w:val="002E77CB"/>
    <w:rsid w:val="002E794D"/>
    <w:rsid w:val="002E7E5F"/>
    <w:rsid w:val="002E7FDD"/>
    <w:rsid w:val="002F08CA"/>
    <w:rsid w:val="002F0AA2"/>
    <w:rsid w:val="002F1067"/>
    <w:rsid w:val="002F1D7B"/>
    <w:rsid w:val="002F2CEC"/>
    <w:rsid w:val="002F31A7"/>
    <w:rsid w:val="002F32C4"/>
    <w:rsid w:val="002F4A8C"/>
    <w:rsid w:val="002F4CF3"/>
    <w:rsid w:val="002F7A17"/>
    <w:rsid w:val="002F7A48"/>
    <w:rsid w:val="00300715"/>
    <w:rsid w:val="0030167D"/>
    <w:rsid w:val="00301C01"/>
    <w:rsid w:val="00301C28"/>
    <w:rsid w:val="003027DC"/>
    <w:rsid w:val="00302AF3"/>
    <w:rsid w:val="00303902"/>
    <w:rsid w:val="003039C1"/>
    <w:rsid w:val="003039C6"/>
    <w:rsid w:val="00303B67"/>
    <w:rsid w:val="00303C59"/>
    <w:rsid w:val="00304070"/>
    <w:rsid w:val="0030413E"/>
    <w:rsid w:val="00304422"/>
    <w:rsid w:val="00304E22"/>
    <w:rsid w:val="003059A4"/>
    <w:rsid w:val="00306619"/>
    <w:rsid w:val="00306C75"/>
    <w:rsid w:val="003071DD"/>
    <w:rsid w:val="00307B4D"/>
    <w:rsid w:val="00307B62"/>
    <w:rsid w:val="00311417"/>
    <w:rsid w:val="00312624"/>
    <w:rsid w:val="00313224"/>
    <w:rsid w:val="00314B2D"/>
    <w:rsid w:val="0031506A"/>
    <w:rsid w:val="00315F2D"/>
    <w:rsid w:val="00316437"/>
    <w:rsid w:val="0031691B"/>
    <w:rsid w:val="00316F66"/>
    <w:rsid w:val="003172BD"/>
    <w:rsid w:val="00317708"/>
    <w:rsid w:val="00317870"/>
    <w:rsid w:val="00320201"/>
    <w:rsid w:val="0032083D"/>
    <w:rsid w:val="00320E9E"/>
    <w:rsid w:val="00321204"/>
    <w:rsid w:val="0032138A"/>
    <w:rsid w:val="00321A5A"/>
    <w:rsid w:val="00322440"/>
    <w:rsid w:val="003226D5"/>
    <w:rsid w:val="00322731"/>
    <w:rsid w:val="00322F77"/>
    <w:rsid w:val="003234C3"/>
    <w:rsid w:val="00324696"/>
    <w:rsid w:val="00324FC6"/>
    <w:rsid w:val="00325233"/>
    <w:rsid w:val="00325697"/>
    <w:rsid w:val="00327139"/>
    <w:rsid w:val="0032745A"/>
    <w:rsid w:val="00327B01"/>
    <w:rsid w:val="00327BAE"/>
    <w:rsid w:val="00327F24"/>
    <w:rsid w:val="003304AB"/>
    <w:rsid w:val="003307B6"/>
    <w:rsid w:val="00330C9D"/>
    <w:rsid w:val="00330F77"/>
    <w:rsid w:val="00331264"/>
    <w:rsid w:val="0033164A"/>
    <w:rsid w:val="00331D2A"/>
    <w:rsid w:val="003323A3"/>
    <w:rsid w:val="00332705"/>
    <w:rsid w:val="00332F45"/>
    <w:rsid w:val="00333F22"/>
    <w:rsid w:val="00333FD6"/>
    <w:rsid w:val="0033414C"/>
    <w:rsid w:val="00335A06"/>
    <w:rsid w:val="0033609C"/>
    <w:rsid w:val="00337E37"/>
    <w:rsid w:val="00340D4A"/>
    <w:rsid w:val="00340FBE"/>
    <w:rsid w:val="00341647"/>
    <w:rsid w:val="00341956"/>
    <w:rsid w:val="00342106"/>
    <w:rsid w:val="003428FC"/>
    <w:rsid w:val="00342E3D"/>
    <w:rsid w:val="00343C32"/>
    <w:rsid w:val="00344047"/>
    <w:rsid w:val="00344563"/>
    <w:rsid w:val="00344D29"/>
    <w:rsid w:val="003459E5"/>
    <w:rsid w:val="00345D40"/>
    <w:rsid w:val="0034707B"/>
    <w:rsid w:val="0034746B"/>
    <w:rsid w:val="003476FE"/>
    <w:rsid w:val="0034786F"/>
    <w:rsid w:val="00351ABF"/>
    <w:rsid w:val="003544AC"/>
    <w:rsid w:val="00354CC1"/>
    <w:rsid w:val="003553EF"/>
    <w:rsid w:val="003554ED"/>
    <w:rsid w:val="00357A43"/>
    <w:rsid w:val="00360229"/>
    <w:rsid w:val="00360625"/>
    <w:rsid w:val="00361176"/>
    <w:rsid w:val="003613F7"/>
    <w:rsid w:val="00361CCE"/>
    <w:rsid w:val="00362103"/>
    <w:rsid w:val="00362F17"/>
    <w:rsid w:val="00364A1F"/>
    <w:rsid w:val="00364C92"/>
    <w:rsid w:val="0036598C"/>
    <w:rsid w:val="00365E5C"/>
    <w:rsid w:val="00366364"/>
    <w:rsid w:val="00366E04"/>
    <w:rsid w:val="003679B9"/>
    <w:rsid w:val="00370610"/>
    <w:rsid w:val="0037070D"/>
    <w:rsid w:val="00370DC8"/>
    <w:rsid w:val="003718BE"/>
    <w:rsid w:val="00371E77"/>
    <w:rsid w:val="00371FA4"/>
    <w:rsid w:val="00372188"/>
    <w:rsid w:val="003729E4"/>
    <w:rsid w:val="00373095"/>
    <w:rsid w:val="003737F0"/>
    <w:rsid w:val="00373A1B"/>
    <w:rsid w:val="00374DD7"/>
    <w:rsid w:val="003751F5"/>
    <w:rsid w:val="003752C9"/>
    <w:rsid w:val="003761A7"/>
    <w:rsid w:val="00376A6E"/>
    <w:rsid w:val="00376CA6"/>
    <w:rsid w:val="003770E8"/>
    <w:rsid w:val="0037720A"/>
    <w:rsid w:val="00377522"/>
    <w:rsid w:val="00377BDE"/>
    <w:rsid w:val="00377DCB"/>
    <w:rsid w:val="003807B3"/>
    <w:rsid w:val="00380B6A"/>
    <w:rsid w:val="00382141"/>
    <w:rsid w:val="0038328A"/>
    <w:rsid w:val="00383833"/>
    <w:rsid w:val="00383C6B"/>
    <w:rsid w:val="00383DE3"/>
    <w:rsid w:val="00384685"/>
    <w:rsid w:val="00384949"/>
    <w:rsid w:val="00385A62"/>
    <w:rsid w:val="00386D26"/>
    <w:rsid w:val="0038740D"/>
    <w:rsid w:val="00387637"/>
    <w:rsid w:val="00387822"/>
    <w:rsid w:val="00387A66"/>
    <w:rsid w:val="003902C9"/>
    <w:rsid w:val="00390424"/>
    <w:rsid w:val="00390BDF"/>
    <w:rsid w:val="00391315"/>
    <w:rsid w:val="00391D4A"/>
    <w:rsid w:val="00391E2B"/>
    <w:rsid w:val="0039259D"/>
    <w:rsid w:val="00392B7F"/>
    <w:rsid w:val="00392D82"/>
    <w:rsid w:val="003930A3"/>
    <w:rsid w:val="003931AE"/>
    <w:rsid w:val="0039388E"/>
    <w:rsid w:val="00393AC6"/>
    <w:rsid w:val="00393DCC"/>
    <w:rsid w:val="00393F19"/>
    <w:rsid w:val="003943F5"/>
    <w:rsid w:val="003948DF"/>
    <w:rsid w:val="00395EA2"/>
    <w:rsid w:val="003967ED"/>
    <w:rsid w:val="00396B47"/>
    <w:rsid w:val="00397A70"/>
    <w:rsid w:val="003A0063"/>
    <w:rsid w:val="003A0421"/>
    <w:rsid w:val="003A0426"/>
    <w:rsid w:val="003A08EB"/>
    <w:rsid w:val="003A08FE"/>
    <w:rsid w:val="003A168D"/>
    <w:rsid w:val="003A1E36"/>
    <w:rsid w:val="003A265F"/>
    <w:rsid w:val="003A2682"/>
    <w:rsid w:val="003A4036"/>
    <w:rsid w:val="003A41FF"/>
    <w:rsid w:val="003A544F"/>
    <w:rsid w:val="003A5ADB"/>
    <w:rsid w:val="003A66CD"/>
    <w:rsid w:val="003A726B"/>
    <w:rsid w:val="003A7CF1"/>
    <w:rsid w:val="003B0BFA"/>
    <w:rsid w:val="003B0C22"/>
    <w:rsid w:val="003B0D0E"/>
    <w:rsid w:val="003B1668"/>
    <w:rsid w:val="003B1682"/>
    <w:rsid w:val="003B1819"/>
    <w:rsid w:val="003B1A52"/>
    <w:rsid w:val="003B1DE3"/>
    <w:rsid w:val="003B20F4"/>
    <w:rsid w:val="003B2175"/>
    <w:rsid w:val="003B22D1"/>
    <w:rsid w:val="003B2375"/>
    <w:rsid w:val="003B563E"/>
    <w:rsid w:val="003B5796"/>
    <w:rsid w:val="003B5F99"/>
    <w:rsid w:val="003B6B62"/>
    <w:rsid w:val="003B75E0"/>
    <w:rsid w:val="003B7DD3"/>
    <w:rsid w:val="003C042D"/>
    <w:rsid w:val="003C070F"/>
    <w:rsid w:val="003C0D70"/>
    <w:rsid w:val="003C1DE7"/>
    <w:rsid w:val="003C2D2C"/>
    <w:rsid w:val="003C2D4C"/>
    <w:rsid w:val="003C2FD4"/>
    <w:rsid w:val="003C3AAC"/>
    <w:rsid w:val="003C4BDD"/>
    <w:rsid w:val="003C4E37"/>
    <w:rsid w:val="003C529B"/>
    <w:rsid w:val="003C5F12"/>
    <w:rsid w:val="003C63FD"/>
    <w:rsid w:val="003C6FAC"/>
    <w:rsid w:val="003C76FE"/>
    <w:rsid w:val="003D20D8"/>
    <w:rsid w:val="003D2A07"/>
    <w:rsid w:val="003D34D1"/>
    <w:rsid w:val="003D3963"/>
    <w:rsid w:val="003D3A0A"/>
    <w:rsid w:val="003D4D96"/>
    <w:rsid w:val="003D4ECF"/>
    <w:rsid w:val="003D5927"/>
    <w:rsid w:val="003D5A31"/>
    <w:rsid w:val="003D671A"/>
    <w:rsid w:val="003D6D7E"/>
    <w:rsid w:val="003D7489"/>
    <w:rsid w:val="003D7A2E"/>
    <w:rsid w:val="003D7A94"/>
    <w:rsid w:val="003E00EB"/>
    <w:rsid w:val="003E04D7"/>
    <w:rsid w:val="003E0F81"/>
    <w:rsid w:val="003E1298"/>
    <w:rsid w:val="003E143A"/>
    <w:rsid w:val="003E17A6"/>
    <w:rsid w:val="003E1AE7"/>
    <w:rsid w:val="003E2C4C"/>
    <w:rsid w:val="003E32F2"/>
    <w:rsid w:val="003E3AF5"/>
    <w:rsid w:val="003E3D2D"/>
    <w:rsid w:val="003E43EF"/>
    <w:rsid w:val="003E45ED"/>
    <w:rsid w:val="003E46CC"/>
    <w:rsid w:val="003E49C1"/>
    <w:rsid w:val="003E49CB"/>
    <w:rsid w:val="003E4A67"/>
    <w:rsid w:val="003E4DB9"/>
    <w:rsid w:val="003E4E18"/>
    <w:rsid w:val="003E53A9"/>
    <w:rsid w:val="003E564A"/>
    <w:rsid w:val="003E5F81"/>
    <w:rsid w:val="003E6000"/>
    <w:rsid w:val="003E64C7"/>
    <w:rsid w:val="003F0B5B"/>
    <w:rsid w:val="003F0F23"/>
    <w:rsid w:val="003F0FAA"/>
    <w:rsid w:val="003F16EB"/>
    <w:rsid w:val="003F195B"/>
    <w:rsid w:val="003F2192"/>
    <w:rsid w:val="003F2734"/>
    <w:rsid w:val="003F32B6"/>
    <w:rsid w:val="003F33C8"/>
    <w:rsid w:val="003F3846"/>
    <w:rsid w:val="003F3D43"/>
    <w:rsid w:val="003F3D88"/>
    <w:rsid w:val="003F481D"/>
    <w:rsid w:val="003F4C53"/>
    <w:rsid w:val="003F4F07"/>
    <w:rsid w:val="003F500F"/>
    <w:rsid w:val="003F5630"/>
    <w:rsid w:val="003F5CC6"/>
    <w:rsid w:val="003F5F90"/>
    <w:rsid w:val="003F72C1"/>
    <w:rsid w:val="003F7C3C"/>
    <w:rsid w:val="00400BBD"/>
    <w:rsid w:val="00400C7C"/>
    <w:rsid w:val="00400CC9"/>
    <w:rsid w:val="00400D42"/>
    <w:rsid w:val="0040130E"/>
    <w:rsid w:val="00401C8C"/>
    <w:rsid w:val="00401CA3"/>
    <w:rsid w:val="004022D1"/>
    <w:rsid w:val="00402506"/>
    <w:rsid w:val="00402DEA"/>
    <w:rsid w:val="00402F5A"/>
    <w:rsid w:val="004033C4"/>
    <w:rsid w:val="00403858"/>
    <w:rsid w:val="0040410D"/>
    <w:rsid w:val="004042D3"/>
    <w:rsid w:val="00404E4A"/>
    <w:rsid w:val="0040517A"/>
    <w:rsid w:val="004052E4"/>
    <w:rsid w:val="00405996"/>
    <w:rsid w:val="0040638C"/>
    <w:rsid w:val="00406586"/>
    <w:rsid w:val="0040709B"/>
    <w:rsid w:val="0040710D"/>
    <w:rsid w:val="00410D96"/>
    <w:rsid w:val="004111E5"/>
    <w:rsid w:val="0041136C"/>
    <w:rsid w:val="00411923"/>
    <w:rsid w:val="004129A6"/>
    <w:rsid w:val="004133B6"/>
    <w:rsid w:val="00413B70"/>
    <w:rsid w:val="00414720"/>
    <w:rsid w:val="00414F71"/>
    <w:rsid w:val="00415685"/>
    <w:rsid w:val="004159D8"/>
    <w:rsid w:val="00415EBA"/>
    <w:rsid w:val="0041641F"/>
    <w:rsid w:val="004165D8"/>
    <w:rsid w:val="00417C15"/>
    <w:rsid w:val="004226BA"/>
    <w:rsid w:val="00423022"/>
    <w:rsid w:val="0042332A"/>
    <w:rsid w:val="00423BB4"/>
    <w:rsid w:val="00423FB8"/>
    <w:rsid w:val="00424485"/>
    <w:rsid w:val="004246FC"/>
    <w:rsid w:val="0042508B"/>
    <w:rsid w:val="004250E9"/>
    <w:rsid w:val="00425300"/>
    <w:rsid w:val="0042583C"/>
    <w:rsid w:val="00425D45"/>
    <w:rsid w:val="004264B1"/>
    <w:rsid w:val="00426804"/>
    <w:rsid w:val="00426A30"/>
    <w:rsid w:val="00426E01"/>
    <w:rsid w:val="00427608"/>
    <w:rsid w:val="00427858"/>
    <w:rsid w:val="004278E2"/>
    <w:rsid w:val="00427EF1"/>
    <w:rsid w:val="004301FE"/>
    <w:rsid w:val="00430EFA"/>
    <w:rsid w:val="0043192E"/>
    <w:rsid w:val="0043251F"/>
    <w:rsid w:val="00433004"/>
    <w:rsid w:val="004332A1"/>
    <w:rsid w:val="004332D8"/>
    <w:rsid w:val="00433499"/>
    <w:rsid w:val="004340BA"/>
    <w:rsid w:val="00434ABE"/>
    <w:rsid w:val="00434DAE"/>
    <w:rsid w:val="00435991"/>
    <w:rsid w:val="00436130"/>
    <w:rsid w:val="00436542"/>
    <w:rsid w:val="0043687C"/>
    <w:rsid w:val="004377C1"/>
    <w:rsid w:val="00441404"/>
    <w:rsid w:val="00441677"/>
    <w:rsid w:val="00441F7F"/>
    <w:rsid w:val="00441FD6"/>
    <w:rsid w:val="004426A1"/>
    <w:rsid w:val="00442CB5"/>
    <w:rsid w:val="00442F49"/>
    <w:rsid w:val="004432B6"/>
    <w:rsid w:val="00444B75"/>
    <w:rsid w:val="004460BE"/>
    <w:rsid w:val="004463CD"/>
    <w:rsid w:val="004474E9"/>
    <w:rsid w:val="004475C3"/>
    <w:rsid w:val="00450EAD"/>
    <w:rsid w:val="004515CA"/>
    <w:rsid w:val="00451DE8"/>
    <w:rsid w:val="00453555"/>
    <w:rsid w:val="0045387B"/>
    <w:rsid w:val="00453CB0"/>
    <w:rsid w:val="00454117"/>
    <w:rsid w:val="004548A9"/>
    <w:rsid w:val="004549AB"/>
    <w:rsid w:val="00455EC1"/>
    <w:rsid w:val="00456836"/>
    <w:rsid w:val="00456C46"/>
    <w:rsid w:val="004579C1"/>
    <w:rsid w:val="0046041C"/>
    <w:rsid w:val="00460981"/>
    <w:rsid w:val="00460ACE"/>
    <w:rsid w:val="00460E69"/>
    <w:rsid w:val="0046186A"/>
    <w:rsid w:val="00461BB9"/>
    <w:rsid w:val="004628F2"/>
    <w:rsid w:val="004658A1"/>
    <w:rsid w:val="00465EBF"/>
    <w:rsid w:val="0046613D"/>
    <w:rsid w:val="00466C12"/>
    <w:rsid w:val="00466FA0"/>
    <w:rsid w:val="00467219"/>
    <w:rsid w:val="00467C46"/>
    <w:rsid w:val="00470319"/>
    <w:rsid w:val="004708F5"/>
    <w:rsid w:val="00470A34"/>
    <w:rsid w:val="00470CD4"/>
    <w:rsid w:val="004718A4"/>
    <w:rsid w:val="00471FDF"/>
    <w:rsid w:val="00472368"/>
    <w:rsid w:val="004725A3"/>
    <w:rsid w:val="00472712"/>
    <w:rsid w:val="00473237"/>
    <w:rsid w:val="0047388F"/>
    <w:rsid w:val="00473B01"/>
    <w:rsid w:val="00473DEC"/>
    <w:rsid w:val="004749C8"/>
    <w:rsid w:val="00474A96"/>
    <w:rsid w:val="00475D9A"/>
    <w:rsid w:val="00476468"/>
    <w:rsid w:val="00476B4D"/>
    <w:rsid w:val="00477338"/>
    <w:rsid w:val="004777B8"/>
    <w:rsid w:val="00477B6E"/>
    <w:rsid w:val="00477E96"/>
    <w:rsid w:val="004802F0"/>
    <w:rsid w:val="004807EA"/>
    <w:rsid w:val="00480DF3"/>
    <w:rsid w:val="00480F2C"/>
    <w:rsid w:val="004829E5"/>
    <w:rsid w:val="00483100"/>
    <w:rsid w:val="004852EE"/>
    <w:rsid w:val="00485E56"/>
    <w:rsid w:val="0048604F"/>
    <w:rsid w:val="004873C1"/>
    <w:rsid w:val="00487A6C"/>
    <w:rsid w:val="00487E87"/>
    <w:rsid w:val="00490396"/>
    <w:rsid w:val="00490DA7"/>
    <w:rsid w:val="00491970"/>
    <w:rsid w:val="00492232"/>
    <w:rsid w:val="0049235D"/>
    <w:rsid w:val="00492EDD"/>
    <w:rsid w:val="004942EB"/>
    <w:rsid w:val="00494D7F"/>
    <w:rsid w:val="00495489"/>
    <w:rsid w:val="0049576D"/>
    <w:rsid w:val="00495B7D"/>
    <w:rsid w:val="00495E98"/>
    <w:rsid w:val="004966D9"/>
    <w:rsid w:val="00496EB1"/>
    <w:rsid w:val="00497209"/>
    <w:rsid w:val="0049736B"/>
    <w:rsid w:val="00497B25"/>
    <w:rsid w:val="004A0E58"/>
    <w:rsid w:val="004A18F6"/>
    <w:rsid w:val="004A231A"/>
    <w:rsid w:val="004A2C2B"/>
    <w:rsid w:val="004A2C85"/>
    <w:rsid w:val="004A3897"/>
    <w:rsid w:val="004A4068"/>
    <w:rsid w:val="004A4A2B"/>
    <w:rsid w:val="004A5BE6"/>
    <w:rsid w:val="004A5C89"/>
    <w:rsid w:val="004A5D03"/>
    <w:rsid w:val="004A600B"/>
    <w:rsid w:val="004A6A36"/>
    <w:rsid w:val="004A6B76"/>
    <w:rsid w:val="004A6C56"/>
    <w:rsid w:val="004A767C"/>
    <w:rsid w:val="004A767F"/>
    <w:rsid w:val="004A7B5E"/>
    <w:rsid w:val="004B0A38"/>
    <w:rsid w:val="004B0F20"/>
    <w:rsid w:val="004B154D"/>
    <w:rsid w:val="004B154F"/>
    <w:rsid w:val="004B1595"/>
    <w:rsid w:val="004B1655"/>
    <w:rsid w:val="004B1BFE"/>
    <w:rsid w:val="004B25C7"/>
    <w:rsid w:val="004B2D44"/>
    <w:rsid w:val="004B3083"/>
    <w:rsid w:val="004B41E6"/>
    <w:rsid w:val="004B425A"/>
    <w:rsid w:val="004B4F4D"/>
    <w:rsid w:val="004B5A42"/>
    <w:rsid w:val="004B5B78"/>
    <w:rsid w:val="004B6660"/>
    <w:rsid w:val="004B6A70"/>
    <w:rsid w:val="004C0AEE"/>
    <w:rsid w:val="004C1076"/>
    <w:rsid w:val="004C16B0"/>
    <w:rsid w:val="004C27C9"/>
    <w:rsid w:val="004C3A17"/>
    <w:rsid w:val="004C4B7A"/>
    <w:rsid w:val="004C504C"/>
    <w:rsid w:val="004C53E7"/>
    <w:rsid w:val="004C6949"/>
    <w:rsid w:val="004C6FE7"/>
    <w:rsid w:val="004C7296"/>
    <w:rsid w:val="004C76B2"/>
    <w:rsid w:val="004C796A"/>
    <w:rsid w:val="004D1139"/>
    <w:rsid w:val="004D115C"/>
    <w:rsid w:val="004D18B2"/>
    <w:rsid w:val="004D2305"/>
    <w:rsid w:val="004D237A"/>
    <w:rsid w:val="004D252B"/>
    <w:rsid w:val="004D2F49"/>
    <w:rsid w:val="004D35B1"/>
    <w:rsid w:val="004D4044"/>
    <w:rsid w:val="004D4297"/>
    <w:rsid w:val="004D4470"/>
    <w:rsid w:val="004D456B"/>
    <w:rsid w:val="004D4702"/>
    <w:rsid w:val="004D4F0C"/>
    <w:rsid w:val="004D5115"/>
    <w:rsid w:val="004D5D47"/>
    <w:rsid w:val="004D5D67"/>
    <w:rsid w:val="004D5DA5"/>
    <w:rsid w:val="004D6291"/>
    <w:rsid w:val="004D65FE"/>
    <w:rsid w:val="004D673D"/>
    <w:rsid w:val="004D706D"/>
    <w:rsid w:val="004D789A"/>
    <w:rsid w:val="004E0114"/>
    <w:rsid w:val="004E043C"/>
    <w:rsid w:val="004E0B8E"/>
    <w:rsid w:val="004E114A"/>
    <w:rsid w:val="004E133B"/>
    <w:rsid w:val="004E1685"/>
    <w:rsid w:val="004E1A4D"/>
    <w:rsid w:val="004E219B"/>
    <w:rsid w:val="004E2284"/>
    <w:rsid w:val="004E294B"/>
    <w:rsid w:val="004E2B05"/>
    <w:rsid w:val="004E2E6E"/>
    <w:rsid w:val="004E30E0"/>
    <w:rsid w:val="004E310D"/>
    <w:rsid w:val="004E4ABA"/>
    <w:rsid w:val="004E52B0"/>
    <w:rsid w:val="004E5999"/>
    <w:rsid w:val="004E5FAF"/>
    <w:rsid w:val="004E61F0"/>
    <w:rsid w:val="004E6F06"/>
    <w:rsid w:val="004E6FB1"/>
    <w:rsid w:val="004E78D8"/>
    <w:rsid w:val="004E7AA4"/>
    <w:rsid w:val="004E7E57"/>
    <w:rsid w:val="004E7E65"/>
    <w:rsid w:val="004F036F"/>
    <w:rsid w:val="004F0497"/>
    <w:rsid w:val="004F05CC"/>
    <w:rsid w:val="004F0669"/>
    <w:rsid w:val="004F110F"/>
    <w:rsid w:val="004F169E"/>
    <w:rsid w:val="004F1701"/>
    <w:rsid w:val="004F2C80"/>
    <w:rsid w:val="004F2E92"/>
    <w:rsid w:val="004F3EB8"/>
    <w:rsid w:val="004F4977"/>
    <w:rsid w:val="004F4D27"/>
    <w:rsid w:val="004F5678"/>
    <w:rsid w:val="004F5A97"/>
    <w:rsid w:val="004F5B17"/>
    <w:rsid w:val="004F6067"/>
    <w:rsid w:val="004F672E"/>
    <w:rsid w:val="004F6A1D"/>
    <w:rsid w:val="004F6E59"/>
    <w:rsid w:val="004F7467"/>
    <w:rsid w:val="004F794C"/>
    <w:rsid w:val="005007A9"/>
    <w:rsid w:val="0050087E"/>
    <w:rsid w:val="00501132"/>
    <w:rsid w:val="005013E5"/>
    <w:rsid w:val="00501407"/>
    <w:rsid w:val="005015C7"/>
    <w:rsid w:val="00501DDF"/>
    <w:rsid w:val="00501FCF"/>
    <w:rsid w:val="005028D5"/>
    <w:rsid w:val="005036CE"/>
    <w:rsid w:val="00503FC0"/>
    <w:rsid w:val="00504E90"/>
    <w:rsid w:val="005050A0"/>
    <w:rsid w:val="005056CD"/>
    <w:rsid w:val="00507057"/>
    <w:rsid w:val="00507DD1"/>
    <w:rsid w:val="00510144"/>
    <w:rsid w:val="00510410"/>
    <w:rsid w:val="00510D13"/>
    <w:rsid w:val="005111BE"/>
    <w:rsid w:val="005123D3"/>
    <w:rsid w:val="00512ABD"/>
    <w:rsid w:val="00512C41"/>
    <w:rsid w:val="00514217"/>
    <w:rsid w:val="00515E25"/>
    <w:rsid w:val="005160D8"/>
    <w:rsid w:val="005165FC"/>
    <w:rsid w:val="00516AEA"/>
    <w:rsid w:val="00516D89"/>
    <w:rsid w:val="00517594"/>
    <w:rsid w:val="00520799"/>
    <w:rsid w:val="00520D70"/>
    <w:rsid w:val="005213ED"/>
    <w:rsid w:val="00521665"/>
    <w:rsid w:val="005218FC"/>
    <w:rsid w:val="0052196A"/>
    <w:rsid w:val="00522B23"/>
    <w:rsid w:val="00522B2D"/>
    <w:rsid w:val="00522BE8"/>
    <w:rsid w:val="00523711"/>
    <w:rsid w:val="00523BF9"/>
    <w:rsid w:val="00523D4C"/>
    <w:rsid w:val="00524609"/>
    <w:rsid w:val="00524DA4"/>
    <w:rsid w:val="00525069"/>
    <w:rsid w:val="0052511C"/>
    <w:rsid w:val="00525D36"/>
    <w:rsid w:val="00527865"/>
    <w:rsid w:val="00530C9F"/>
    <w:rsid w:val="00531957"/>
    <w:rsid w:val="00531D01"/>
    <w:rsid w:val="0053247E"/>
    <w:rsid w:val="005331B5"/>
    <w:rsid w:val="005333E7"/>
    <w:rsid w:val="005334B0"/>
    <w:rsid w:val="00534A4E"/>
    <w:rsid w:val="005360FC"/>
    <w:rsid w:val="0053632D"/>
    <w:rsid w:val="00537C36"/>
    <w:rsid w:val="00540133"/>
    <w:rsid w:val="00540DA3"/>
    <w:rsid w:val="00540E28"/>
    <w:rsid w:val="00540EF6"/>
    <w:rsid w:val="005414D4"/>
    <w:rsid w:val="005414E6"/>
    <w:rsid w:val="00541D03"/>
    <w:rsid w:val="00542486"/>
    <w:rsid w:val="00542FD4"/>
    <w:rsid w:val="00544369"/>
    <w:rsid w:val="0054442F"/>
    <w:rsid w:val="005448F6"/>
    <w:rsid w:val="005451B1"/>
    <w:rsid w:val="005458E6"/>
    <w:rsid w:val="00545EDD"/>
    <w:rsid w:val="00546198"/>
    <w:rsid w:val="005464C3"/>
    <w:rsid w:val="0054681E"/>
    <w:rsid w:val="00547590"/>
    <w:rsid w:val="005479D0"/>
    <w:rsid w:val="00547A8D"/>
    <w:rsid w:val="00547E42"/>
    <w:rsid w:val="00547EDA"/>
    <w:rsid w:val="00550047"/>
    <w:rsid w:val="0055093F"/>
    <w:rsid w:val="00550D5D"/>
    <w:rsid w:val="00551D95"/>
    <w:rsid w:val="00551E01"/>
    <w:rsid w:val="005523C4"/>
    <w:rsid w:val="005526CE"/>
    <w:rsid w:val="0055371D"/>
    <w:rsid w:val="005545F5"/>
    <w:rsid w:val="005555AD"/>
    <w:rsid w:val="00556319"/>
    <w:rsid w:val="00556406"/>
    <w:rsid w:val="0055717E"/>
    <w:rsid w:val="0055736E"/>
    <w:rsid w:val="00560AA2"/>
    <w:rsid w:val="00560F91"/>
    <w:rsid w:val="00561144"/>
    <w:rsid w:val="005611B8"/>
    <w:rsid w:val="0056147C"/>
    <w:rsid w:val="00562253"/>
    <w:rsid w:val="00563DA4"/>
    <w:rsid w:val="0056400A"/>
    <w:rsid w:val="005643E9"/>
    <w:rsid w:val="00565E9D"/>
    <w:rsid w:val="0056602C"/>
    <w:rsid w:val="00566138"/>
    <w:rsid w:val="005667F2"/>
    <w:rsid w:val="00566A23"/>
    <w:rsid w:val="00566BC2"/>
    <w:rsid w:val="00567F06"/>
    <w:rsid w:val="00570B86"/>
    <w:rsid w:val="00571A60"/>
    <w:rsid w:val="00571A81"/>
    <w:rsid w:val="005722F1"/>
    <w:rsid w:val="00572469"/>
    <w:rsid w:val="005726D4"/>
    <w:rsid w:val="0057275F"/>
    <w:rsid w:val="005728D8"/>
    <w:rsid w:val="005738F6"/>
    <w:rsid w:val="005740AB"/>
    <w:rsid w:val="00575085"/>
    <w:rsid w:val="00575101"/>
    <w:rsid w:val="00575D88"/>
    <w:rsid w:val="00576D43"/>
    <w:rsid w:val="005775E1"/>
    <w:rsid w:val="00577AAB"/>
    <w:rsid w:val="0058047F"/>
    <w:rsid w:val="005819A7"/>
    <w:rsid w:val="00581D35"/>
    <w:rsid w:val="005820F5"/>
    <w:rsid w:val="00582C23"/>
    <w:rsid w:val="00584255"/>
    <w:rsid w:val="00584B5B"/>
    <w:rsid w:val="00584EFE"/>
    <w:rsid w:val="0058522F"/>
    <w:rsid w:val="00585C59"/>
    <w:rsid w:val="0058637D"/>
    <w:rsid w:val="00586668"/>
    <w:rsid w:val="00586EC2"/>
    <w:rsid w:val="005872F0"/>
    <w:rsid w:val="005901AC"/>
    <w:rsid w:val="00590361"/>
    <w:rsid w:val="00590508"/>
    <w:rsid w:val="00590A84"/>
    <w:rsid w:val="00590D37"/>
    <w:rsid w:val="00591752"/>
    <w:rsid w:val="00592BDC"/>
    <w:rsid w:val="005930BA"/>
    <w:rsid w:val="00593808"/>
    <w:rsid w:val="00593DAC"/>
    <w:rsid w:val="005950F0"/>
    <w:rsid w:val="00595B04"/>
    <w:rsid w:val="005966B6"/>
    <w:rsid w:val="00596961"/>
    <w:rsid w:val="00596CEE"/>
    <w:rsid w:val="00596FC3"/>
    <w:rsid w:val="005A0565"/>
    <w:rsid w:val="005A0F03"/>
    <w:rsid w:val="005A1282"/>
    <w:rsid w:val="005A1F2F"/>
    <w:rsid w:val="005A20DD"/>
    <w:rsid w:val="005A3134"/>
    <w:rsid w:val="005A3B90"/>
    <w:rsid w:val="005A3DC4"/>
    <w:rsid w:val="005A4ABA"/>
    <w:rsid w:val="005A5B26"/>
    <w:rsid w:val="005A7077"/>
    <w:rsid w:val="005A7113"/>
    <w:rsid w:val="005A77A5"/>
    <w:rsid w:val="005A78F5"/>
    <w:rsid w:val="005A7A1F"/>
    <w:rsid w:val="005A7EBA"/>
    <w:rsid w:val="005B03E8"/>
    <w:rsid w:val="005B09E4"/>
    <w:rsid w:val="005B1B11"/>
    <w:rsid w:val="005B21B5"/>
    <w:rsid w:val="005B3981"/>
    <w:rsid w:val="005B3B12"/>
    <w:rsid w:val="005B45A3"/>
    <w:rsid w:val="005B4E52"/>
    <w:rsid w:val="005B50CF"/>
    <w:rsid w:val="005B59E0"/>
    <w:rsid w:val="005B5D87"/>
    <w:rsid w:val="005B5DF5"/>
    <w:rsid w:val="005B5F6B"/>
    <w:rsid w:val="005B6819"/>
    <w:rsid w:val="005B6AAD"/>
    <w:rsid w:val="005B73EC"/>
    <w:rsid w:val="005B7413"/>
    <w:rsid w:val="005B7497"/>
    <w:rsid w:val="005B7AB9"/>
    <w:rsid w:val="005C0519"/>
    <w:rsid w:val="005C09AA"/>
    <w:rsid w:val="005C14D3"/>
    <w:rsid w:val="005C1C0A"/>
    <w:rsid w:val="005C2618"/>
    <w:rsid w:val="005C2DBB"/>
    <w:rsid w:val="005C3157"/>
    <w:rsid w:val="005C3C96"/>
    <w:rsid w:val="005C5514"/>
    <w:rsid w:val="005C5C24"/>
    <w:rsid w:val="005C5F8A"/>
    <w:rsid w:val="005C70F2"/>
    <w:rsid w:val="005C7938"/>
    <w:rsid w:val="005D02B2"/>
    <w:rsid w:val="005D0A73"/>
    <w:rsid w:val="005D0DCE"/>
    <w:rsid w:val="005D1906"/>
    <w:rsid w:val="005D1C92"/>
    <w:rsid w:val="005D1E07"/>
    <w:rsid w:val="005D204C"/>
    <w:rsid w:val="005D20E5"/>
    <w:rsid w:val="005D2BEA"/>
    <w:rsid w:val="005D3135"/>
    <w:rsid w:val="005D37A5"/>
    <w:rsid w:val="005D41EB"/>
    <w:rsid w:val="005D65A7"/>
    <w:rsid w:val="005D6A60"/>
    <w:rsid w:val="005D6FFA"/>
    <w:rsid w:val="005D7051"/>
    <w:rsid w:val="005D7489"/>
    <w:rsid w:val="005D7B62"/>
    <w:rsid w:val="005D7E14"/>
    <w:rsid w:val="005E0067"/>
    <w:rsid w:val="005E0C60"/>
    <w:rsid w:val="005E11D1"/>
    <w:rsid w:val="005E1E6E"/>
    <w:rsid w:val="005E333D"/>
    <w:rsid w:val="005E38FE"/>
    <w:rsid w:val="005E3B87"/>
    <w:rsid w:val="005E3CF5"/>
    <w:rsid w:val="005E4E2C"/>
    <w:rsid w:val="005E5273"/>
    <w:rsid w:val="005E5725"/>
    <w:rsid w:val="005E7FE4"/>
    <w:rsid w:val="005F0EC2"/>
    <w:rsid w:val="005F11A6"/>
    <w:rsid w:val="005F2340"/>
    <w:rsid w:val="005F248C"/>
    <w:rsid w:val="005F2858"/>
    <w:rsid w:val="005F2D98"/>
    <w:rsid w:val="005F3772"/>
    <w:rsid w:val="005F3C2E"/>
    <w:rsid w:val="005F3D82"/>
    <w:rsid w:val="005F513B"/>
    <w:rsid w:val="005F632F"/>
    <w:rsid w:val="005F6B94"/>
    <w:rsid w:val="005F6E37"/>
    <w:rsid w:val="005F72EC"/>
    <w:rsid w:val="005F7512"/>
    <w:rsid w:val="005F75D1"/>
    <w:rsid w:val="005F7609"/>
    <w:rsid w:val="005F7966"/>
    <w:rsid w:val="005F7DA5"/>
    <w:rsid w:val="006004F6"/>
    <w:rsid w:val="006014B1"/>
    <w:rsid w:val="00602592"/>
    <w:rsid w:val="0060323C"/>
    <w:rsid w:val="00603440"/>
    <w:rsid w:val="0060358F"/>
    <w:rsid w:val="00603CAA"/>
    <w:rsid w:val="00603F6C"/>
    <w:rsid w:val="00604011"/>
    <w:rsid w:val="00604151"/>
    <w:rsid w:val="0060490D"/>
    <w:rsid w:val="00604FC9"/>
    <w:rsid w:val="00605696"/>
    <w:rsid w:val="006058AB"/>
    <w:rsid w:val="006060C8"/>
    <w:rsid w:val="006063C8"/>
    <w:rsid w:val="00606FD8"/>
    <w:rsid w:val="00610A58"/>
    <w:rsid w:val="00610CBB"/>
    <w:rsid w:val="00611211"/>
    <w:rsid w:val="00611EFF"/>
    <w:rsid w:val="0061202F"/>
    <w:rsid w:val="006129B2"/>
    <w:rsid w:val="0061312C"/>
    <w:rsid w:val="00613971"/>
    <w:rsid w:val="006139E5"/>
    <w:rsid w:val="006141D0"/>
    <w:rsid w:val="00614B1A"/>
    <w:rsid w:val="00615A92"/>
    <w:rsid w:val="00615EC0"/>
    <w:rsid w:val="006164B9"/>
    <w:rsid w:val="0061772B"/>
    <w:rsid w:val="0062044D"/>
    <w:rsid w:val="00620BFB"/>
    <w:rsid w:val="00621383"/>
    <w:rsid w:val="006217CA"/>
    <w:rsid w:val="0062185A"/>
    <w:rsid w:val="00621DD3"/>
    <w:rsid w:val="00622BBE"/>
    <w:rsid w:val="006230D1"/>
    <w:rsid w:val="006236B9"/>
    <w:rsid w:val="00624154"/>
    <w:rsid w:val="006243A2"/>
    <w:rsid w:val="006247EB"/>
    <w:rsid w:val="00624AAE"/>
    <w:rsid w:val="00627421"/>
    <w:rsid w:val="006277E1"/>
    <w:rsid w:val="00627D3E"/>
    <w:rsid w:val="00630E1D"/>
    <w:rsid w:val="0063167C"/>
    <w:rsid w:val="00631A66"/>
    <w:rsid w:val="00632E28"/>
    <w:rsid w:val="00632E7A"/>
    <w:rsid w:val="006330C9"/>
    <w:rsid w:val="0063398D"/>
    <w:rsid w:val="00633C2F"/>
    <w:rsid w:val="00633F24"/>
    <w:rsid w:val="00634388"/>
    <w:rsid w:val="00636538"/>
    <w:rsid w:val="00636D37"/>
    <w:rsid w:val="006413D4"/>
    <w:rsid w:val="0064201C"/>
    <w:rsid w:val="006421E0"/>
    <w:rsid w:val="00642A82"/>
    <w:rsid w:val="00642CC0"/>
    <w:rsid w:val="00642FAC"/>
    <w:rsid w:val="00644318"/>
    <w:rsid w:val="00644D87"/>
    <w:rsid w:val="0064561F"/>
    <w:rsid w:val="006469F2"/>
    <w:rsid w:val="00646CE0"/>
    <w:rsid w:val="00646ED4"/>
    <w:rsid w:val="006473AB"/>
    <w:rsid w:val="006476CA"/>
    <w:rsid w:val="00647743"/>
    <w:rsid w:val="006500E6"/>
    <w:rsid w:val="00650C2A"/>
    <w:rsid w:val="00650E90"/>
    <w:rsid w:val="0065168B"/>
    <w:rsid w:val="00651CE6"/>
    <w:rsid w:val="006526FB"/>
    <w:rsid w:val="00652B39"/>
    <w:rsid w:val="00652C3D"/>
    <w:rsid w:val="00652D06"/>
    <w:rsid w:val="0065309D"/>
    <w:rsid w:val="00654324"/>
    <w:rsid w:val="006543A8"/>
    <w:rsid w:val="00655486"/>
    <w:rsid w:val="00655C1A"/>
    <w:rsid w:val="00655D23"/>
    <w:rsid w:val="00656265"/>
    <w:rsid w:val="006572CD"/>
    <w:rsid w:val="00660314"/>
    <w:rsid w:val="0066074C"/>
    <w:rsid w:val="006607D1"/>
    <w:rsid w:val="0066083D"/>
    <w:rsid w:val="00660DF0"/>
    <w:rsid w:val="00660F60"/>
    <w:rsid w:val="006613F6"/>
    <w:rsid w:val="00661AF1"/>
    <w:rsid w:val="006620E2"/>
    <w:rsid w:val="0066232D"/>
    <w:rsid w:val="00662C24"/>
    <w:rsid w:val="00662CCD"/>
    <w:rsid w:val="00663618"/>
    <w:rsid w:val="00663688"/>
    <w:rsid w:val="0066433D"/>
    <w:rsid w:val="0066456D"/>
    <w:rsid w:val="00664619"/>
    <w:rsid w:val="00665717"/>
    <w:rsid w:val="00665750"/>
    <w:rsid w:val="0066584C"/>
    <w:rsid w:val="00665E12"/>
    <w:rsid w:val="00665FE0"/>
    <w:rsid w:val="006667AC"/>
    <w:rsid w:val="00666FA6"/>
    <w:rsid w:val="00667762"/>
    <w:rsid w:val="0066784B"/>
    <w:rsid w:val="006702C4"/>
    <w:rsid w:val="006708D1"/>
    <w:rsid w:val="00670A19"/>
    <w:rsid w:val="00670DE8"/>
    <w:rsid w:val="006711CB"/>
    <w:rsid w:val="00671433"/>
    <w:rsid w:val="00671BD7"/>
    <w:rsid w:val="00671D8A"/>
    <w:rsid w:val="006722F0"/>
    <w:rsid w:val="006729F3"/>
    <w:rsid w:val="00672FA9"/>
    <w:rsid w:val="00673C18"/>
    <w:rsid w:val="00673DB1"/>
    <w:rsid w:val="00675981"/>
    <w:rsid w:val="00677F95"/>
    <w:rsid w:val="006816EB"/>
    <w:rsid w:val="00681868"/>
    <w:rsid w:val="006821BF"/>
    <w:rsid w:val="006822D1"/>
    <w:rsid w:val="006841E2"/>
    <w:rsid w:val="00684380"/>
    <w:rsid w:val="0068516B"/>
    <w:rsid w:val="00685C1F"/>
    <w:rsid w:val="0068600D"/>
    <w:rsid w:val="0068609F"/>
    <w:rsid w:val="00686BDB"/>
    <w:rsid w:val="00686DED"/>
    <w:rsid w:val="00686FF5"/>
    <w:rsid w:val="006873A9"/>
    <w:rsid w:val="00690151"/>
    <w:rsid w:val="0069076F"/>
    <w:rsid w:val="006910BC"/>
    <w:rsid w:val="0069170C"/>
    <w:rsid w:val="0069230F"/>
    <w:rsid w:val="00692578"/>
    <w:rsid w:val="00692AF0"/>
    <w:rsid w:val="00692C43"/>
    <w:rsid w:val="00693015"/>
    <w:rsid w:val="006938FC"/>
    <w:rsid w:val="00693D8E"/>
    <w:rsid w:val="00694471"/>
    <w:rsid w:val="00694C22"/>
    <w:rsid w:val="00694D87"/>
    <w:rsid w:val="006962F6"/>
    <w:rsid w:val="00697E79"/>
    <w:rsid w:val="006A0B3E"/>
    <w:rsid w:val="006A0F58"/>
    <w:rsid w:val="006A1147"/>
    <w:rsid w:val="006A121D"/>
    <w:rsid w:val="006A1C5B"/>
    <w:rsid w:val="006A2DDC"/>
    <w:rsid w:val="006A3432"/>
    <w:rsid w:val="006A3A83"/>
    <w:rsid w:val="006A4BD8"/>
    <w:rsid w:val="006A50AE"/>
    <w:rsid w:val="006A5DE3"/>
    <w:rsid w:val="006A5E20"/>
    <w:rsid w:val="006A74EF"/>
    <w:rsid w:val="006A796A"/>
    <w:rsid w:val="006B07E8"/>
    <w:rsid w:val="006B096B"/>
    <w:rsid w:val="006B0B0D"/>
    <w:rsid w:val="006B0D54"/>
    <w:rsid w:val="006B0D8D"/>
    <w:rsid w:val="006B149D"/>
    <w:rsid w:val="006B24E2"/>
    <w:rsid w:val="006B2E1F"/>
    <w:rsid w:val="006B2F63"/>
    <w:rsid w:val="006B44F1"/>
    <w:rsid w:val="006B4CDC"/>
    <w:rsid w:val="006B65B6"/>
    <w:rsid w:val="006B6624"/>
    <w:rsid w:val="006B6BA1"/>
    <w:rsid w:val="006B7B1E"/>
    <w:rsid w:val="006B7E90"/>
    <w:rsid w:val="006C004F"/>
    <w:rsid w:val="006C128A"/>
    <w:rsid w:val="006C1C79"/>
    <w:rsid w:val="006C1E71"/>
    <w:rsid w:val="006C238B"/>
    <w:rsid w:val="006C2754"/>
    <w:rsid w:val="006C2A16"/>
    <w:rsid w:val="006C2CCF"/>
    <w:rsid w:val="006C2DFD"/>
    <w:rsid w:val="006C38E6"/>
    <w:rsid w:val="006C3D59"/>
    <w:rsid w:val="006C3F65"/>
    <w:rsid w:val="006C4248"/>
    <w:rsid w:val="006C5B46"/>
    <w:rsid w:val="006C7A96"/>
    <w:rsid w:val="006C7CA7"/>
    <w:rsid w:val="006D049E"/>
    <w:rsid w:val="006D0D6B"/>
    <w:rsid w:val="006D1009"/>
    <w:rsid w:val="006D1018"/>
    <w:rsid w:val="006D14E7"/>
    <w:rsid w:val="006D1803"/>
    <w:rsid w:val="006D2305"/>
    <w:rsid w:val="006D36E2"/>
    <w:rsid w:val="006D3F17"/>
    <w:rsid w:val="006D3F2B"/>
    <w:rsid w:val="006D6073"/>
    <w:rsid w:val="006D6548"/>
    <w:rsid w:val="006D69B4"/>
    <w:rsid w:val="006E12B1"/>
    <w:rsid w:val="006E1EA2"/>
    <w:rsid w:val="006E2511"/>
    <w:rsid w:val="006E4073"/>
    <w:rsid w:val="006E4F1A"/>
    <w:rsid w:val="006E4FEB"/>
    <w:rsid w:val="006E5D73"/>
    <w:rsid w:val="006E5F11"/>
    <w:rsid w:val="006E7441"/>
    <w:rsid w:val="006E7596"/>
    <w:rsid w:val="006F01F3"/>
    <w:rsid w:val="006F09FC"/>
    <w:rsid w:val="006F10A4"/>
    <w:rsid w:val="006F1516"/>
    <w:rsid w:val="006F1816"/>
    <w:rsid w:val="006F1C1B"/>
    <w:rsid w:val="006F2631"/>
    <w:rsid w:val="006F2BA6"/>
    <w:rsid w:val="006F2E61"/>
    <w:rsid w:val="006F3E35"/>
    <w:rsid w:val="006F4B4F"/>
    <w:rsid w:val="006F5A00"/>
    <w:rsid w:val="006F641D"/>
    <w:rsid w:val="006F6616"/>
    <w:rsid w:val="006F7B60"/>
    <w:rsid w:val="00700452"/>
    <w:rsid w:val="00700AFC"/>
    <w:rsid w:val="00700BB4"/>
    <w:rsid w:val="00700CC7"/>
    <w:rsid w:val="0070202C"/>
    <w:rsid w:val="00703E21"/>
    <w:rsid w:val="007047F9"/>
    <w:rsid w:val="007057ED"/>
    <w:rsid w:val="00706422"/>
    <w:rsid w:val="00706792"/>
    <w:rsid w:val="0070694A"/>
    <w:rsid w:val="00706F76"/>
    <w:rsid w:val="00707023"/>
    <w:rsid w:val="007073C4"/>
    <w:rsid w:val="00711373"/>
    <w:rsid w:val="007117AB"/>
    <w:rsid w:val="00712D63"/>
    <w:rsid w:val="00712F04"/>
    <w:rsid w:val="00712F92"/>
    <w:rsid w:val="007134E8"/>
    <w:rsid w:val="0071364B"/>
    <w:rsid w:val="00713E80"/>
    <w:rsid w:val="00713F39"/>
    <w:rsid w:val="007144CE"/>
    <w:rsid w:val="00714823"/>
    <w:rsid w:val="0071602E"/>
    <w:rsid w:val="0071757D"/>
    <w:rsid w:val="00717B7D"/>
    <w:rsid w:val="00720816"/>
    <w:rsid w:val="00721191"/>
    <w:rsid w:val="00721CC6"/>
    <w:rsid w:val="00722257"/>
    <w:rsid w:val="007222CC"/>
    <w:rsid w:val="007234E6"/>
    <w:rsid w:val="007236E3"/>
    <w:rsid w:val="00723C64"/>
    <w:rsid w:val="007248E6"/>
    <w:rsid w:val="00724928"/>
    <w:rsid w:val="00724A92"/>
    <w:rsid w:val="007253BF"/>
    <w:rsid w:val="0072549C"/>
    <w:rsid w:val="00725823"/>
    <w:rsid w:val="00727194"/>
    <w:rsid w:val="0072794F"/>
    <w:rsid w:val="00727CF7"/>
    <w:rsid w:val="00730746"/>
    <w:rsid w:val="00731866"/>
    <w:rsid w:val="007318FF"/>
    <w:rsid w:val="007320B2"/>
    <w:rsid w:val="007324A0"/>
    <w:rsid w:val="007327A4"/>
    <w:rsid w:val="00732A80"/>
    <w:rsid w:val="00733335"/>
    <w:rsid w:val="007335DF"/>
    <w:rsid w:val="007346A7"/>
    <w:rsid w:val="00734C44"/>
    <w:rsid w:val="00735664"/>
    <w:rsid w:val="00735790"/>
    <w:rsid w:val="007357D1"/>
    <w:rsid w:val="0073616F"/>
    <w:rsid w:val="0073665A"/>
    <w:rsid w:val="00736802"/>
    <w:rsid w:val="007368C2"/>
    <w:rsid w:val="00737931"/>
    <w:rsid w:val="007405DB"/>
    <w:rsid w:val="00740724"/>
    <w:rsid w:val="00740847"/>
    <w:rsid w:val="00740ECF"/>
    <w:rsid w:val="007412E8"/>
    <w:rsid w:val="007418B6"/>
    <w:rsid w:val="00742217"/>
    <w:rsid w:val="007426C5"/>
    <w:rsid w:val="007430DC"/>
    <w:rsid w:val="00743390"/>
    <w:rsid w:val="0074344A"/>
    <w:rsid w:val="00743D76"/>
    <w:rsid w:val="00743F88"/>
    <w:rsid w:val="00744C77"/>
    <w:rsid w:val="00745406"/>
    <w:rsid w:val="00745AC5"/>
    <w:rsid w:val="0074712C"/>
    <w:rsid w:val="00747F2F"/>
    <w:rsid w:val="00750263"/>
    <w:rsid w:val="007512A1"/>
    <w:rsid w:val="00751A15"/>
    <w:rsid w:val="00751F03"/>
    <w:rsid w:val="00752425"/>
    <w:rsid w:val="007542CC"/>
    <w:rsid w:val="00754480"/>
    <w:rsid w:val="00754AE4"/>
    <w:rsid w:val="00754C43"/>
    <w:rsid w:val="00754C44"/>
    <w:rsid w:val="00754E54"/>
    <w:rsid w:val="00754E9C"/>
    <w:rsid w:val="0075563E"/>
    <w:rsid w:val="00755666"/>
    <w:rsid w:val="00755905"/>
    <w:rsid w:val="00755FB4"/>
    <w:rsid w:val="0075612B"/>
    <w:rsid w:val="007565AD"/>
    <w:rsid w:val="0075787B"/>
    <w:rsid w:val="007601E1"/>
    <w:rsid w:val="00760310"/>
    <w:rsid w:val="00760411"/>
    <w:rsid w:val="00760C07"/>
    <w:rsid w:val="00760D57"/>
    <w:rsid w:val="0076278C"/>
    <w:rsid w:val="00763372"/>
    <w:rsid w:val="007636D7"/>
    <w:rsid w:val="0076387E"/>
    <w:rsid w:val="007648EE"/>
    <w:rsid w:val="00764923"/>
    <w:rsid w:val="00764DBA"/>
    <w:rsid w:val="00764E1A"/>
    <w:rsid w:val="00764F00"/>
    <w:rsid w:val="007654D6"/>
    <w:rsid w:val="00765AC4"/>
    <w:rsid w:val="007660AA"/>
    <w:rsid w:val="0076628C"/>
    <w:rsid w:val="00766547"/>
    <w:rsid w:val="00766A83"/>
    <w:rsid w:val="0076716A"/>
    <w:rsid w:val="0076748E"/>
    <w:rsid w:val="00767A00"/>
    <w:rsid w:val="007704DB"/>
    <w:rsid w:val="007726D3"/>
    <w:rsid w:val="00772A0E"/>
    <w:rsid w:val="00773B4C"/>
    <w:rsid w:val="00773DB1"/>
    <w:rsid w:val="00773EEF"/>
    <w:rsid w:val="007742D6"/>
    <w:rsid w:val="007744FC"/>
    <w:rsid w:val="00774510"/>
    <w:rsid w:val="00774533"/>
    <w:rsid w:val="00774E89"/>
    <w:rsid w:val="00774EF1"/>
    <w:rsid w:val="007759AE"/>
    <w:rsid w:val="007767B9"/>
    <w:rsid w:val="007770AE"/>
    <w:rsid w:val="00777AC1"/>
    <w:rsid w:val="00780638"/>
    <w:rsid w:val="00780DEC"/>
    <w:rsid w:val="00781982"/>
    <w:rsid w:val="00781E2A"/>
    <w:rsid w:val="00782736"/>
    <w:rsid w:val="00782F3F"/>
    <w:rsid w:val="00783B01"/>
    <w:rsid w:val="0078410A"/>
    <w:rsid w:val="0078457D"/>
    <w:rsid w:val="00784E2A"/>
    <w:rsid w:val="0078512B"/>
    <w:rsid w:val="00785603"/>
    <w:rsid w:val="0078565B"/>
    <w:rsid w:val="00785A24"/>
    <w:rsid w:val="007869AC"/>
    <w:rsid w:val="00786C77"/>
    <w:rsid w:val="007877D4"/>
    <w:rsid w:val="00787C4A"/>
    <w:rsid w:val="00787C4E"/>
    <w:rsid w:val="00787E0D"/>
    <w:rsid w:val="00790286"/>
    <w:rsid w:val="00790887"/>
    <w:rsid w:val="00790EC2"/>
    <w:rsid w:val="00791B4A"/>
    <w:rsid w:val="007929A5"/>
    <w:rsid w:val="00792AE5"/>
    <w:rsid w:val="0079315B"/>
    <w:rsid w:val="00793254"/>
    <w:rsid w:val="00793588"/>
    <w:rsid w:val="00793F97"/>
    <w:rsid w:val="00795039"/>
    <w:rsid w:val="00795442"/>
    <w:rsid w:val="007957C2"/>
    <w:rsid w:val="00795B5A"/>
    <w:rsid w:val="00795CEC"/>
    <w:rsid w:val="00795D4F"/>
    <w:rsid w:val="00796674"/>
    <w:rsid w:val="00796DB7"/>
    <w:rsid w:val="007978BC"/>
    <w:rsid w:val="007A0225"/>
    <w:rsid w:val="007A0359"/>
    <w:rsid w:val="007A04B6"/>
    <w:rsid w:val="007A06D9"/>
    <w:rsid w:val="007A07A0"/>
    <w:rsid w:val="007A1086"/>
    <w:rsid w:val="007A2F62"/>
    <w:rsid w:val="007A31F4"/>
    <w:rsid w:val="007A33D9"/>
    <w:rsid w:val="007A37AE"/>
    <w:rsid w:val="007A39A6"/>
    <w:rsid w:val="007A3FA0"/>
    <w:rsid w:val="007A4616"/>
    <w:rsid w:val="007A5523"/>
    <w:rsid w:val="007A5AC2"/>
    <w:rsid w:val="007A5E30"/>
    <w:rsid w:val="007A65A1"/>
    <w:rsid w:val="007A6EB7"/>
    <w:rsid w:val="007A7097"/>
    <w:rsid w:val="007A760E"/>
    <w:rsid w:val="007A7772"/>
    <w:rsid w:val="007A7AAC"/>
    <w:rsid w:val="007B1903"/>
    <w:rsid w:val="007B21E3"/>
    <w:rsid w:val="007B2B58"/>
    <w:rsid w:val="007B2DE8"/>
    <w:rsid w:val="007B2F16"/>
    <w:rsid w:val="007B32FE"/>
    <w:rsid w:val="007B3FFD"/>
    <w:rsid w:val="007B44DF"/>
    <w:rsid w:val="007B48CE"/>
    <w:rsid w:val="007B5500"/>
    <w:rsid w:val="007B5C1A"/>
    <w:rsid w:val="007B6850"/>
    <w:rsid w:val="007B6A87"/>
    <w:rsid w:val="007B6FB9"/>
    <w:rsid w:val="007B7069"/>
    <w:rsid w:val="007C01EC"/>
    <w:rsid w:val="007C0A66"/>
    <w:rsid w:val="007C0ED0"/>
    <w:rsid w:val="007C1947"/>
    <w:rsid w:val="007C371E"/>
    <w:rsid w:val="007C408D"/>
    <w:rsid w:val="007C4364"/>
    <w:rsid w:val="007C510A"/>
    <w:rsid w:val="007C569D"/>
    <w:rsid w:val="007C5719"/>
    <w:rsid w:val="007C573F"/>
    <w:rsid w:val="007C7CEA"/>
    <w:rsid w:val="007D03C3"/>
    <w:rsid w:val="007D12D5"/>
    <w:rsid w:val="007D13E2"/>
    <w:rsid w:val="007D1611"/>
    <w:rsid w:val="007D19C0"/>
    <w:rsid w:val="007D1D04"/>
    <w:rsid w:val="007D1DB8"/>
    <w:rsid w:val="007D21EA"/>
    <w:rsid w:val="007D27E9"/>
    <w:rsid w:val="007D2B05"/>
    <w:rsid w:val="007D4161"/>
    <w:rsid w:val="007D445B"/>
    <w:rsid w:val="007D57DD"/>
    <w:rsid w:val="007D6011"/>
    <w:rsid w:val="007D739D"/>
    <w:rsid w:val="007E01F2"/>
    <w:rsid w:val="007E1135"/>
    <w:rsid w:val="007E116F"/>
    <w:rsid w:val="007E1977"/>
    <w:rsid w:val="007E21D2"/>
    <w:rsid w:val="007E28F5"/>
    <w:rsid w:val="007E301B"/>
    <w:rsid w:val="007E31F3"/>
    <w:rsid w:val="007E3234"/>
    <w:rsid w:val="007E324B"/>
    <w:rsid w:val="007E3422"/>
    <w:rsid w:val="007E38A0"/>
    <w:rsid w:val="007E3A25"/>
    <w:rsid w:val="007E4456"/>
    <w:rsid w:val="007E4692"/>
    <w:rsid w:val="007E4CCB"/>
    <w:rsid w:val="007E5EE2"/>
    <w:rsid w:val="007E6568"/>
    <w:rsid w:val="007E6BDF"/>
    <w:rsid w:val="007E7051"/>
    <w:rsid w:val="007F0E17"/>
    <w:rsid w:val="007F1B13"/>
    <w:rsid w:val="007F2C69"/>
    <w:rsid w:val="007F2E8D"/>
    <w:rsid w:val="007F341B"/>
    <w:rsid w:val="007F37A9"/>
    <w:rsid w:val="007F3F7C"/>
    <w:rsid w:val="007F484C"/>
    <w:rsid w:val="007F48C0"/>
    <w:rsid w:val="007F4E37"/>
    <w:rsid w:val="007F5814"/>
    <w:rsid w:val="007F5E43"/>
    <w:rsid w:val="007F682B"/>
    <w:rsid w:val="0080089B"/>
    <w:rsid w:val="00800C60"/>
    <w:rsid w:val="00800DCA"/>
    <w:rsid w:val="00800E66"/>
    <w:rsid w:val="00800EDF"/>
    <w:rsid w:val="008013DA"/>
    <w:rsid w:val="00801F05"/>
    <w:rsid w:val="008025D3"/>
    <w:rsid w:val="008026B9"/>
    <w:rsid w:val="00802EB4"/>
    <w:rsid w:val="00803526"/>
    <w:rsid w:val="00803AB2"/>
    <w:rsid w:val="00804B1A"/>
    <w:rsid w:val="00804F78"/>
    <w:rsid w:val="008064C1"/>
    <w:rsid w:val="00806DC3"/>
    <w:rsid w:val="008072BE"/>
    <w:rsid w:val="00807321"/>
    <w:rsid w:val="008077EB"/>
    <w:rsid w:val="00807F4F"/>
    <w:rsid w:val="00811275"/>
    <w:rsid w:val="00811998"/>
    <w:rsid w:val="00812704"/>
    <w:rsid w:val="00813181"/>
    <w:rsid w:val="00813643"/>
    <w:rsid w:val="0081495A"/>
    <w:rsid w:val="00814DCE"/>
    <w:rsid w:val="00815559"/>
    <w:rsid w:val="008155B6"/>
    <w:rsid w:val="008156A9"/>
    <w:rsid w:val="0081570F"/>
    <w:rsid w:val="008157D2"/>
    <w:rsid w:val="00815801"/>
    <w:rsid w:val="00815F0D"/>
    <w:rsid w:val="00817257"/>
    <w:rsid w:val="00817469"/>
    <w:rsid w:val="008175D9"/>
    <w:rsid w:val="00820B27"/>
    <w:rsid w:val="00821320"/>
    <w:rsid w:val="008213FD"/>
    <w:rsid w:val="00821820"/>
    <w:rsid w:val="00821888"/>
    <w:rsid w:val="008218DB"/>
    <w:rsid w:val="00821C40"/>
    <w:rsid w:val="00821F5D"/>
    <w:rsid w:val="0082216B"/>
    <w:rsid w:val="008234B8"/>
    <w:rsid w:val="008234FF"/>
    <w:rsid w:val="00823722"/>
    <w:rsid w:val="00823789"/>
    <w:rsid w:val="00824FDF"/>
    <w:rsid w:val="0083032E"/>
    <w:rsid w:val="008303FC"/>
    <w:rsid w:val="008304E3"/>
    <w:rsid w:val="0083059E"/>
    <w:rsid w:val="00830CDB"/>
    <w:rsid w:val="008323A4"/>
    <w:rsid w:val="00832E8B"/>
    <w:rsid w:val="0083333F"/>
    <w:rsid w:val="008333E6"/>
    <w:rsid w:val="008336A2"/>
    <w:rsid w:val="00833C46"/>
    <w:rsid w:val="00834925"/>
    <w:rsid w:val="00834A48"/>
    <w:rsid w:val="00834E21"/>
    <w:rsid w:val="0083508C"/>
    <w:rsid w:val="00835D63"/>
    <w:rsid w:val="008368FA"/>
    <w:rsid w:val="00836B11"/>
    <w:rsid w:val="00836DED"/>
    <w:rsid w:val="00837996"/>
    <w:rsid w:val="00837C5E"/>
    <w:rsid w:val="00840390"/>
    <w:rsid w:val="008405C6"/>
    <w:rsid w:val="00840939"/>
    <w:rsid w:val="0084097E"/>
    <w:rsid w:val="00840A1F"/>
    <w:rsid w:val="00841904"/>
    <w:rsid w:val="00842D73"/>
    <w:rsid w:val="00842E8C"/>
    <w:rsid w:val="00843140"/>
    <w:rsid w:val="00843661"/>
    <w:rsid w:val="00843EF6"/>
    <w:rsid w:val="00843FF8"/>
    <w:rsid w:val="008448DA"/>
    <w:rsid w:val="00845E81"/>
    <w:rsid w:val="00845F6A"/>
    <w:rsid w:val="008466A5"/>
    <w:rsid w:val="008506A1"/>
    <w:rsid w:val="00850A21"/>
    <w:rsid w:val="0085171F"/>
    <w:rsid w:val="008524B6"/>
    <w:rsid w:val="00852E36"/>
    <w:rsid w:val="00853E01"/>
    <w:rsid w:val="008542AA"/>
    <w:rsid w:val="00854345"/>
    <w:rsid w:val="008543E9"/>
    <w:rsid w:val="008549BA"/>
    <w:rsid w:val="008549F8"/>
    <w:rsid w:val="00855B21"/>
    <w:rsid w:val="00856C5A"/>
    <w:rsid w:val="0086087E"/>
    <w:rsid w:val="00860A04"/>
    <w:rsid w:val="00860C4C"/>
    <w:rsid w:val="00860DCC"/>
    <w:rsid w:val="00861CA9"/>
    <w:rsid w:val="0086215A"/>
    <w:rsid w:val="0086220A"/>
    <w:rsid w:val="00862966"/>
    <w:rsid w:val="00862E22"/>
    <w:rsid w:val="00862F48"/>
    <w:rsid w:val="00863DC5"/>
    <w:rsid w:val="0086414D"/>
    <w:rsid w:val="00864222"/>
    <w:rsid w:val="00864AE6"/>
    <w:rsid w:val="008656B1"/>
    <w:rsid w:val="00865903"/>
    <w:rsid w:val="008659BA"/>
    <w:rsid w:val="0086611D"/>
    <w:rsid w:val="008668CB"/>
    <w:rsid w:val="00866FF0"/>
    <w:rsid w:val="0086778E"/>
    <w:rsid w:val="00870364"/>
    <w:rsid w:val="008706B4"/>
    <w:rsid w:val="008706C7"/>
    <w:rsid w:val="0087073C"/>
    <w:rsid w:val="00870C11"/>
    <w:rsid w:val="00870E16"/>
    <w:rsid w:val="0087186E"/>
    <w:rsid w:val="008728A1"/>
    <w:rsid w:val="00872B41"/>
    <w:rsid w:val="00873207"/>
    <w:rsid w:val="00874083"/>
    <w:rsid w:val="00874268"/>
    <w:rsid w:val="00874384"/>
    <w:rsid w:val="00875B2A"/>
    <w:rsid w:val="008765FE"/>
    <w:rsid w:val="008766F3"/>
    <w:rsid w:val="0087765F"/>
    <w:rsid w:val="00877C7C"/>
    <w:rsid w:val="008801C6"/>
    <w:rsid w:val="0088046E"/>
    <w:rsid w:val="008806EB"/>
    <w:rsid w:val="008812C1"/>
    <w:rsid w:val="00881618"/>
    <w:rsid w:val="00881705"/>
    <w:rsid w:val="0088182B"/>
    <w:rsid w:val="00881B17"/>
    <w:rsid w:val="00881B78"/>
    <w:rsid w:val="008829DF"/>
    <w:rsid w:val="008836CA"/>
    <w:rsid w:val="00883909"/>
    <w:rsid w:val="0088396C"/>
    <w:rsid w:val="00883CB0"/>
    <w:rsid w:val="008842C4"/>
    <w:rsid w:val="008842E2"/>
    <w:rsid w:val="008843AB"/>
    <w:rsid w:val="0088503D"/>
    <w:rsid w:val="008855B5"/>
    <w:rsid w:val="008863CE"/>
    <w:rsid w:val="00886B8D"/>
    <w:rsid w:val="00887A0F"/>
    <w:rsid w:val="008905F9"/>
    <w:rsid w:val="00890FFF"/>
    <w:rsid w:val="0089202C"/>
    <w:rsid w:val="00892D17"/>
    <w:rsid w:val="0089473D"/>
    <w:rsid w:val="00894A5A"/>
    <w:rsid w:val="00895170"/>
    <w:rsid w:val="0089635A"/>
    <w:rsid w:val="008963AD"/>
    <w:rsid w:val="00896552"/>
    <w:rsid w:val="008965C4"/>
    <w:rsid w:val="008A055C"/>
    <w:rsid w:val="008A0599"/>
    <w:rsid w:val="008A0F59"/>
    <w:rsid w:val="008A1748"/>
    <w:rsid w:val="008A1771"/>
    <w:rsid w:val="008A1974"/>
    <w:rsid w:val="008A1B4A"/>
    <w:rsid w:val="008A1BE2"/>
    <w:rsid w:val="008A1EE1"/>
    <w:rsid w:val="008A2018"/>
    <w:rsid w:val="008A31B4"/>
    <w:rsid w:val="008A32D6"/>
    <w:rsid w:val="008A510C"/>
    <w:rsid w:val="008A5A75"/>
    <w:rsid w:val="008A5DF6"/>
    <w:rsid w:val="008A5EEC"/>
    <w:rsid w:val="008A71F3"/>
    <w:rsid w:val="008A76A6"/>
    <w:rsid w:val="008A79E4"/>
    <w:rsid w:val="008A7F8F"/>
    <w:rsid w:val="008B002F"/>
    <w:rsid w:val="008B01AF"/>
    <w:rsid w:val="008B11A1"/>
    <w:rsid w:val="008B1F82"/>
    <w:rsid w:val="008B2BC0"/>
    <w:rsid w:val="008B2BF0"/>
    <w:rsid w:val="008B3446"/>
    <w:rsid w:val="008B3FE7"/>
    <w:rsid w:val="008B4394"/>
    <w:rsid w:val="008B4454"/>
    <w:rsid w:val="008B4760"/>
    <w:rsid w:val="008B4A61"/>
    <w:rsid w:val="008B4FBC"/>
    <w:rsid w:val="008B51F6"/>
    <w:rsid w:val="008B5718"/>
    <w:rsid w:val="008B63C3"/>
    <w:rsid w:val="008B643C"/>
    <w:rsid w:val="008C0199"/>
    <w:rsid w:val="008C3498"/>
    <w:rsid w:val="008C3EE3"/>
    <w:rsid w:val="008C5208"/>
    <w:rsid w:val="008C5251"/>
    <w:rsid w:val="008C55D3"/>
    <w:rsid w:val="008C5FC8"/>
    <w:rsid w:val="008C6AA3"/>
    <w:rsid w:val="008C6B08"/>
    <w:rsid w:val="008C76BD"/>
    <w:rsid w:val="008D0D4E"/>
    <w:rsid w:val="008D0DBE"/>
    <w:rsid w:val="008D1231"/>
    <w:rsid w:val="008D1C01"/>
    <w:rsid w:val="008D3209"/>
    <w:rsid w:val="008D32BF"/>
    <w:rsid w:val="008D3E25"/>
    <w:rsid w:val="008D437D"/>
    <w:rsid w:val="008D471C"/>
    <w:rsid w:val="008D4BB4"/>
    <w:rsid w:val="008D55DB"/>
    <w:rsid w:val="008D55E9"/>
    <w:rsid w:val="008D5DB2"/>
    <w:rsid w:val="008D6296"/>
    <w:rsid w:val="008D66CD"/>
    <w:rsid w:val="008D7002"/>
    <w:rsid w:val="008D7083"/>
    <w:rsid w:val="008D72E1"/>
    <w:rsid w:val="008D744B"/>
    <w:rsid w:val="008D770C"/>
    <w:rsid w:val="008E082A"/>
    <w:rsid w:val="008E0FF5"/>
    <w:rsid w:val="008E164F"/>
    <w:rsid w:val="008E24C8"/>
    <w:rsid w:val="008E2501"/>
    <w:rsid w:val="008E33A4"/>
    <w:rsid w:val="008E3935"/>
    <w:rsid w:val="008E489B"/>
    <w:rsid w:val="008E50F3"/>
    <w:rsid w:val="008E52B0"/>
    <w:rsid w:val="008E5C89"/>
    <w:rsid w:val="008E5EB9"/>
    <w:rsid w:val="008E774F"/>
    <w:rsid w:val="008E77D7"/>
    <w:rsid w:val="008F03C1"/>
    <w:rsid w:val="008F083A"/>
    <w:rsid w:val="008F41A5"/>
    <w:rsid w:val="008F49E2"/>
    <w:rsid w:val="008F50F7"/>
    <w:rsid w:val="008F51A8"/>
    <w:rsid w:val="008F5224"/>
    <w:rsid w:val="008F5433"/>
    <w:rsid w:val="008F593E"/>
    <w:rsid w:val="008F5CCB"/>
    <w:rsid w:val="008F6957"/>
    <w:rsid w:val="008F6DEA"/>
    <w:rsid w:val="008F7380"/>
    <w:rsid w:val="008F74FB"/>
    <w:rsid w:val="00900787"/>
    <w:rsid w:val="0090102F"/>
    <w:rsid w:val="00901140"/>
    <w:rsid w:val="00902089"/>
    <w:rsid w:val="009021BE"/>
    <w:rsid w:val="0090258A"/>
    <w:rsid w:val="00902CA0"/>
    <w:rsid w:val="009032B4"/>
    <w:rsid w:val="009039B7"/>
    <w:rsid w:val="009040F9"/>
    <w:rsid w:val="00904292"/>
    <w:rsid w:val="00904892"/>
    <w:rsid w:val="00905637"/>
    <w:rsid w:val="00905729"/>
    <w:rsid w:val="009061F9"/>
    <w:rsid w:val="00906516"/>
    <w:rsid w:val="00906B19"/>
    <w:rsid w:val="00907D67"/>
    <w:rsid w:val="00910557"/>
    <w:rsid w:val="009106DD"/>
    <w:rsid w:val="009124CE"/>
    <w:rsid w:val="00912AAE"/>
    <w:rsid w:val="009133BA"/>
    <w:rsid w:val="00913970"/>
    <w:rsid w:val="009144CD"/>
    <w:rsid w:val="009150A6"/>
    <w:rsid w:val="0091590D"/>
    <w:rsid w:val="00916556"/>
    <w:rsid w:val="00916792"/>
    <w:rsid w:val="009168FF"/>
    <w:rsid w:val="00916E41"/>
    <w:rsid w:val="009171E1"/>
    <w:rsid w:val="00917F55"/>
    <w:rsid w:val="00917F7A"/>
    <w:rsid w:val="00920F92"/>
    <w:rsid w:val="009213A0"/>
    <w:rsid w:val="00921888"/>
    <w:rsid w:val="0092189C"/>
    <w:rsid w:val="00922224"/>
    <w:rsid w:val="009225D9"/>
    <w:rsid w:val="00924039"/>
    <w:rsid w:val="00924DAF"/>
    <w:rsid w:val="00925356"/>
    <w:rsid w:val="0092607C"/>
    <w:rsid w:val="00926620"/>
    <w:rsid w:val="009278DA"/>
    <w:rsid w:val="00927CD3"/>
    <w:rsid w:val="00931B35"/>
    <w:rsid w:val="00931B50"/>
    <w:rsid w:val="009331FC"/>
    <w:rsid w:val="009334C8"/>
    <w:rsid w:val="0093395B"/>
    <w:rsid w:val="00933BFD"/>
    <w:rsid w:val="0093499B"/>
    <w:rsid w:val="00934AB1"/>
    <w:rsid w:val="00935A9E"/>
    <w:rsid w:val="00935ECD"/>
    <w:rsid w:val="00937F9F"/>
    <w:rsid w:val="009409A9"/>
    <w:rsid w:val="00940C19"/>
    <w:rsid w:val="00940CEF"/>
    <w:rsid w:val="009412FB"/>
    <w:rsid w:val="009414F7"/>
    <w:rsid w:val="009431BE"/>
    <w:rsid w:val="0094392C"/>
    <w:rsid w:val="009441B8"/>
    <w:rsid w:val="009449E0"/>
    <w:rsid w:val="00944A95"/>
    <w:rsid w:val="00944EE7"/>
    <w:rsid w:val="00945BFA"/>
    <w:rsid w:val="00946669"/>
    <w:rsid w:val="009468EE"/>
    <w:rsid w:val="00946D3F"/>
    <w:rsid w:val="00947BE9"/>
    <w:rsid w:val="00947D88"/>
    <w:rsid w:val="00950977"/>
    <w:rsid w:val="0095274B"/>
    <w:rsid w:val="00953A11"/>
    <w:rsid w:val="00954169"/>
    <w:rsid w:val="00954798"/>
    <w:rsid w:val="009549FE"/>
    <w:rsid w:val="0095590C"/>
    <w:rsid w:val="00955A20"/>
    <w:rsid w:val="00956400"/>
    <w:rsid w:val="00956B9D"/>
    <w:rsid w:val="0095720D"/>
    <w:rsid w:val="00960755"/>
    <w:rsid w:val="00960F3A"/>
    <w:rsid w:val="00960FD4"/>
    <w:rsid w:val="0096119B"/>
    <w:rsid w:val="00961CE7"/>
    <w:rsid w:val="00961D71"/>
    <w:rsid w:val="00961E9D"/>
    <w:rsid w:val="00962182"/>
    <w:rsid w:val="00962838"/>
    <w:rsid w:val="00962A94"/>
    <w:rsid w:val="0096306F"/>
    <w:rsid w:val="00963320"/>
    <w:rsid w:val="00963DBD"/>
    <w:rsid w:val="00964D1D"/>
    <w:rsid w:val="009650AE"/>
    <w:rsid w:val="00965391"/>
    <w:rsid w:val="009655F3"/>
    <w:rsid w:val="009659DF"/>
    <w:rsid w:val="009663DC"/>
    <w:rsid w:val="0096654A"/>
    <w:rsid w:val="00966879"/>
    <w:rsid w:val="0096725E"/>
    <w:rsid w:val="0097051E"/>
    <w:rsid w:val="00970629"/>
    <w:rsid w:val="00970BA6"/>
    <w:rsid w:val="009710A6"/>
    <w:rsid w:val="00971BB8"/>
    <w:rsid w:val="009720DE"/>
    <w:rsid w:val="00972E6B"/>
    <w:rsid w:val="009733F8"/>
    <w:rsid w:val="0097391B"/>
    <w:rsid w:val="00973E4B"/>
    <w:rsid w:val="0097412B"/>
    <w:rsid w:val="00974496"/>
    <w:rsid w:val="00974694"/>
    <w:rsid w:val="00975DBC"/>
    <w:rsid w:val="0097676D"/>
    <w:rsid w:val="009767DC"/>
    <w:rsid w:val="0097698A"/>
    <w:rsid w:val="00976F97"/>
    <w:rsid w:val="00977B39"/>
    <w:rsid w:val="009801C4"/>
    <w:rsid w:val="00980EEB"/>
    <w:rsid w:val="0098185A"/>
    <w:rsid w:val="00982A5E"/>
    <w:rsid w:val="00982BA1"/>
    <w:rsid w:val="0098303F"/>
    <w:rsid w:val="009831AE"/>
    <w:rsid w:val="00983CD4"/>
    <w:rsid w:val="0098416F"/>
    <w:rsid w:val="00984C50"/>
    <w:rsid w:val="00984E14"/>
    <w:rsid w:val="00985350"/>
    <w:rsid w:val="00985F5A"/>
    <w:rsid w:val="00986203"/>
    <w:rsid w:val="0098621E"/>
    <w:rsid w:val="00986725"/>
    <w:rsid w:val="00986826"/>
    <w:rsid w:val="00986B92"/>
    <w:rsid w:val="00986BCA"/>
    <w:rsid w:val="009870F6"/>
    <w:rsid w:val="00987185"/>
    <w:rsid w:val="00987C47"/>
    <w:rsid w:val="00990AA9"/>
    <w:rsid w:val="009910BC"/>
    <w:rsid w:val="0099154D"/>
    <w:rsid w:val="009918AD"/>
    <w:rsid w:val="00991944"/>
    <w:rsid w:val="00991A36"/>
    <w:rsid w:val="00991FE5"/>
    <w:rsid w:val="009920D2"/>
    <w:rsid w:val="0099335E"/>
    <w:rsid w:val="00993E2E"/>
    <w:rsid w:val="00995A32"/>
    <w:rsid w:val="00996180"/>
    <w:rsid w:val="0099665D"/>
    <w:rsid w:val="00996EA4"/>
    <w:rsid w:val="00997FD3"/>
    <w:rsid w:val="009A0206"/>
    <w:rsid w:val="009A14D7"/>
    <w:rsid w:val="009A154D"/>
    <w:rsid w:val="009A182B"/>
    <w:rsid w:val="009A18F6"/>
    <w:rsid w:val="009A19EC"/>
    <w:rsid w:val="009A1DB1"/>
    <w:rsid w:val="009A1FC8"/>
    <w:rsid w:val="009A20DA"/>
    <w:rsid w:val="009A5290"/>
    <w:rsid w:val="009A5D41"/>
    <w:rsid w:val="009A6CB1"/>
    <w:rsid w:val="009A7FE1"/>
    <w:rsid w:val="009B0285"/>
    <w:rsid w:val="009B03A1"/>
    <w:rsid w:val="009B0573"/>
    <w:rsid w:val="009B0696"/>
    <w:rsid w:val="009B084A"/>
    <w:rsid w:val="009B1703"/>
    <w:rsid w:val="009B20B4"/>
    <w:rsid w:val="009B2196"/>
    <w:rsid w:val="009B25A0"/>
    <w:rsid w:val="009B2A55"/>
    <w:rsid w:val="009B2E77"/>
    <w:rsid w:val="009B3047"/>
    <w:rsid w:val="009B3132"/>
    <w:rsid w:val="009B34DF"/>
    <w:rsid w:val="009B3B63"/>
    <w:rsid w:val="009B3DE2"/>
    <w:rsid w:val="009B44D8"/>
    <w:rsid w:val="009B46BE"/>
    <w:rsid w:val="009B5ECC"/>
    <w:rsid w:val="009B5EF8"/>
    <w:rsid w:val="009B650A"/>
    <w:rsid w:val="009B67A5"/>
    <w:rsid w:val="009B702E"/>
    <w:rsid w:val="009B750D"/>
    <w:rsid w:val="009B7F80"/>
    <w:rsid w:val="009C01CF"/>
    <w:rsid w:val="009C0EF2"/>
    <w:rsid w:val="009C1627"/>
    <w:rsid w:val="009C22FF"/>
    <w:rsid w:val="009C24D7"/>
    <w:rsid w:val="009C27B3"/>
    <w:rsid w:val="009C2967"/>
    <w:rsid w:val="009C2E03"/>
    <w:rsid w:val="009C3A85"/>
    <w:rsid w:val="009C40BA"/>
    <w:rsid w:val="009C41A8"/>
    <w:rsid w:val="009C4676"/>
    <w:rsid w:val="009C46B8"/>
    <w:rsid w:val="009C4AEE"/>
    <w:rsid w:val="009C5352"/>
    <w:rsid w:val="009C5772"/>
    <w:rsid w:val="009C644C"/>
    <w:rsid w:val="009C6EF4"/>
    <w:rsid w:val="009C7A10"/>
    <w:rsid w:val="009D008D"/>
    <w:rsid w:val="009D01F0"/>
    <w:rsid w:val="009D0A0C"/>
    <w:rsid w:val="009D0CBF"/>
    <w:rsid w:val="009D0F37"/>
    <w:rsid w:val="009D174D"/>
    <w:rsid w:val="009D19A3"/>
    <w:rsid w:val="009D1DD2"/>
    <w:rsid w:val="009D2326"/>
    <w:rsid w:val="009D2CEE"/>
    <w:rsid w:val="009D321B"/>
    <w:rsid w:val="009D3449"/>
    <w:rsid w:val="009D392F"/>
    <w:rsid w:val="009D3AE4"/>
    <w:rsid w:val="009D3C0F"/>
    <w:rsid w:val="009D430A"/>
    <w:rsid w:val="009D46B4"/>
    <w:rsid w:val="009D609D"/>
    <w:rsid w:val="009D621F"/>
    <w:rsid w:val="009D66FC"/>
    <w:rsid w:val="009D6E7B"/>
    <w:rsid w:val="009D71C5"/>
    <w:rsid w:val="009D72A0"/>
    <w:rsid w:val="009E1C65"/>
    <w:rsid w:val="009E3046"/>
    <w:rsid w:val="009E30ED"/>
    <w:rsid w:val="009E3503"/>
    <w:rsid w:val="009E36F5"/>
    <w:rsid w:val="009E4295"/>
    <w:rsid w:val="009E6006"/>
    <w:rsid w:val="009E6A37"/>
    <w:rsid w:val="009E6C15"/>
    <w:rsid w:val="009E6D2F"/>
    <w:rsid w:val="009E71B1"/>
    <w:rsid w:val="009E772E"/>
    <w:rsid w:val="009F0CB4"/>
    <w:rsid w:val="009F11D0"/>
    <w:rsid w:val="009F1772"/>
    <w:rsid w:val="009F34C3"/>
    <w:rsid w:val="009F3F23"/>
    <w:rsid w:val="009F3F42"/>
    <w:rsid w:val="009F5707"/>
    <w:rsid w:val="009F5FBC"/>
    <w:rsid w:val="009F63FE"/>
    <w:rsid w:val="009F653F"/>
    <w:rsid w:val="009F656D"/>
    <w:rsid w:val="009F692C"/>
    <w:rsid w:val="009F6CC7"/>
    <w:rsid w:val="009F6D48"/>
    <w:rsid w:val="009F70AA"/>
    <w:rsid w:val="009F7314"/>
    <w:rsid w:val="009F77A8"/>
    <w:rsid w:val="009F7955"/>
    <w:rsid w:val="009F7C7A"/>
    <w:rsid w:val="009F7F85"/>
    <w:rsid w:val="009F7F89"/>
    <w:rsid w:val="00A00412"/>
    <w:rsid w:val="00A01439"/>
    <w:rsid w:val="00A01875"/>
    <w:rsid w:val="00A020ED"/>
    <w:rsid w:val="00A02436"/>
    <w:rsid w:val="00A0290C"/>
    <w:rsid w:val="00A02CAC"/>
    <w:rsid w:val="00A02EB0"/>
    <w:rsid w:val="00A030B0"/>
    <w:rsid w:val="00A0338E"/>
    <w:rsid w:val="00A03A4E"/>
    <w:rsid w:val="00A04C96"/>
    <w:rsid w:val="00A04F05"/>
    <w:rsid w:val="00A05085"/>
    <w:rsid w:val="00A05259"/>
    <w:rsid w:val="00A06067"/>
    <w:rsid w:val="00A0648D"/>
    <w:rsid w:val="00A06B25"/>
    <w:rsid w:val="00A06C4E"/>
    <w:rsid w:val="00A070FF"/>
    <w:rsid w:val="00A07B3A"/>
    <w:rsid w:val="00A07ED4"/>
    <w:rsid w:val="00A1020D"/>
    <w:rsid w:val="00A1042F"/>
    <w:rsid w:val="00A10917"/>
    <w:rsid w:val="00A10B90"/>
    <w:rsid w:val="00A10FC0"/>
    <w:rsid w:val="00A115B8"/>
    <w:rsid w:val="00A12FC6"/>
    <w:rsid w:val="00A12FFE"/>
    <w:rsid w:val="00A13C08"/>
    <w:rsid w:val="00A13E77"/>
    <w:rsid w:val="00A14D52"/>
    <w:rsid w:val="00A16376"/>
    <w:rsid w:val="00A16E43"/>
    <w:rsid w:val="00A171AC"/>
    <w:rsid w:val="00A175E2"/>
    <w:rsid w:val="00A202EE"/>
    <w:rsid w:val="00A207F7"/>
    <w:rsid w:val="00A20E97"/>
    <w:rsid w:val="00A211E2"/>
    <w:rsid w:val="00A21C92"/>
    <w:rsid w:val="00A21DE5"/>
    <w:rsid w:val="00A223F3"/>
    <w:rsid w:val="00A22DD4"/>
    <w:rsid w:val="00A2346B"/>
    <w:rsid w:val="00A234D5"/>
    <w:rsid w:val="00A255B7"/>
    <w:rsid w:val="00A25C46"/>
    <w:rsid w:val="00A25F12"/>
    <w:rsid w:val="00A25F2F"/>
    <w:rsid w:val="00A26486"/>
    <w:rsid w:val="00A26E5C"/>
    <w:rsid w:val="00A30260"/>
    <w:rsid w:val="00A30674"/>
    <w:rsid w:val="00A30AA1"/>
    <w:rsid w:val="00A315D8"/>
    <w:rsid w:val="00A31AE2"/>
    <w:rsid w:val="00A32498"/>
    <w:rsid w:val="00A32DA9"/>
    <w:rsid w:val="00A32E52"/>
    <w:rsid w:val="00A32EF8"/>
    <w:rsid w:val="00A33781"/>
    <w:rsid w:val="00A337D2"/>
    <w:rsid w:val="00A33929"/>
    <w:rsid w:val="00A33E4B"/>
    <w:rsid w:val="00A33F04"/>
    <w:rsid w:val="00A33FE1"/>
    <w:rsid w:val="00A355F3"/>
    <w:rsid w:val="00A361BE"/>
    <w:rsid w:val="00A36628"/>
    <w:rsid w:val="00A37197"/>
    <w:rsid w:val="00A3727E"/>
    <w:rsid w:val="00A37896"/>
    <w:rsid w:val="00A402D2"/>
    <w:rsid w:val="00A40493"/>
    <w:rsid w:val="00A4088C"/>
    <w:rsid w:val="00A41003"/>
    <w:rsid w:val="00A414EB"/>
    <w:rsid w:val="00A41BA8"/>
    <w:rsid w:val="00A421F4"/>
    <w:rsid w:val="00A4271F"/>
    <w:rsid w:val="00A432B3"/>
    <w:rsid w:val="00A436E6"/>
    <w:rsid w:val="00A43FB5"/>
    <w:rsid w:val="00A4440B"/>
    <w:rsid w:val="00A45336"/>
    <w:rsid w:val="00A46518"/>
    <w:rsid w:val="00A46AE4"/>
    <w:rsid w:val="00A47196"/>
    <w:rsid w:val="00A47408"/>
    <w:rsid w:val="00A47511"/>
    <w:rsid w:val="00A500A0"/>
    <w:rsid w:val="00A501DB"/>
    <w:rsid w:val="00A5050F"/>
    <w:rsid w:val="00A5089A"/>
    <w:rsid w:val="00A50CB9"/>
    <w:rsid w:val="00A513E2"/>
    <w:rsid w:val="00A5289E"/>
    <w:rsid w:val="00A52B4A"/>
    <w:rsid w:val="00A52C2C"/>
    <w:rsid w:val="00A52EA3"/>
    <w:rsid w:val="00A537F7"/>
    <w:rsid w:val="00A54B97"/>
    <w:rsid w:val="00A54F97"/>
    <w:rsid w:val="00A55D88"/>
    <w:rsid w:val="00A568DA"/>
    <w:rsid w:val="00A57383"/>
    <w:rsid w:val="00A57662"/>
    <w:rsid w:val="00A57F73"/>
    <w:rsid w:val="00A60036"/>
    <w:rsid w:val="00A6044A"/>
    <w:rsid w:val="00A6096B"/>
    <w:rsid w:val="00A60ACB"/>
    <w:rsid w:val="00A611D7"/>
    <w:rsid w:val="00A61872"/>
    <w:rsid w:val="00A61DAF"/>
    <w:rsid w:val="00A63FD2"/>
    <w:rsid w:val="00A643B5"/>
    <w:rsid w:val="00A64B6B"/>
    <w:rsid w:val="00A64D15"/>
    <w:rsid w:val="00A65193"/>
    <w:rsid w:val="00A652B5"/>
    <w:rsid w:val="00A6625E"/>
    <w:rsid w:val="00A6659C"/>
    <w:rsid w:val="00A6692A"/>
    <w:rsid w:val="00A6699C"/>
    <w:rsid w:val="00A66CBF"/>
    <w:rsid w:val="00A67538"/>
    <w:rsid w:val="00A67C0D"/>
    <w:rsid w:val="00A701FD"/>
    <w:rsid w:val="00A70279"/>
    <w:rsid w:val="00A705C3"/>
    <w:rsid w:val="00A7084F"/>
    <w:rsid w:val="00A70966"/>
    <w:rsid w:val="00A7130F"/>
    <w:rsid w:val="00A71F82"/>
    <w:rsid w:val="00A72109"/>
    <w:rsid w:val="00A72A0A"/>
    <w:rsid w:val="00A73251"/>
    <w:rsid w:val="00A733FE"/>
    <w:rsid w:val="00A7357E"/>
    <w:rsid w:val="00A73B18"/>
    <w:rsid w:val="00A743FA"/>
    <w:rsid w:val="00A747B6"/>
    <w:rsid w:val="00A749B1"/>
    <w:rsid w:val="00A75904"/>
    <w:rsid w:val="00A76073"/>
    <w:rsid w:val="00A76537"/>
    <w:rsid w:val="00A768E0"/>
    <w:rsid w:val="00A76A13"/>
    <w:rsid w:val="00A77A31"/>
    <w:rsid w:val="00A77C28"/>
    <w:rsid w:val="00A803C2"/>
    <w:rsid w:val="00A805BD"/>
    <w:rsid w:val="00A81429"/>
    <w:rsid w:val="00A81793"/>
    <w:rsid w:val="00A825CA"/>
    <w:rsid w:val="00A82B41"/>
    <w:rsid w:val="00A83137"/>
    <w:rsid w:val="00A83449"/>
    <w:rsid w:val="00A842EB"/>
    <w:rsid w:val="00A84E4E"/>
    <w:rsid w:val="00A84EF2"/>
    <w:rsid w:val="00A862D2"/>
    <w:rsid w:val="00A863CB"/>
    <w:rsid w:val="00A8672B"/>
    <w:rsid w:val="00A8739F"/>
    <w:rsid w:val="00A87E2A"/>
    <w:rsid w:val="00A922C1"/>
    <w:rsid w:val="00A9298A"/>
    <w:rsid w:val="00A947BF"/>
    <w:rsid w:val="00A94957"/>
    <w:rsid w:val="00A94C37"/>
    <w:rsid w:val="00A94F0C"/>
    <w:rsid w:val="00A97084"/>
    <w:rsid w:val="00A9752C"/>
    <w:rsid w:val="00A97BFF"/>
    <w:rsid w:val="00AA023B"/>
    <w:rsid w:val="00AA05DB"/>
    <w:rsid w:val="00AA0E4F"/>
    <w:rsid w:val="00AA18AE"/>
    <w:rsid w:val="00AA1F26"/>
    <w:rsid w:val="00AA2BD8"/>
    <w:rsid w:val="00AA2C68"/>
    <w:rsid w:val="00AA2F77"/>
    <w:rsid w:val="00AA2FF9"/>
    <w:rsid w:val="00AA4033"/>
    <w:rsid w:val="00AA517E"/>
    <w:rsid w:val="00AA5492"/>
    <w:rsid w:val="00AA5CAC"/>
    <w:rsid w:val="00AA5ECA"/>
    <w:rsid w:val="00AA6F0B"/>
    <w:rsid w:val="00AA7D48"/>
    <w:rsid w:val="00AB0C12"/>
    <w:rsid w:val="00AB0D87"/>
    <w:rsid w:val="00AB1635"/>
    <w:rsid w:val="00AB2994"/>
    <w:rsid w:val="00AB3B4D"/>
    <w:rsid w:val="00AB4655"/>
    <w:rsid w:val="00AB4B7D"/>
    <w:rsid w:val="00AB4B8F"/>
    <w:rsid w:val="00AB4B9F"/>
    <w:rsid w:val="00AB4E2E"/>
    <w:rsid w:val="00AB5510"/>
    <w:rsid w:val="00AB56BF"/>
    <w:rsid w:val="00AB68DA"/>
    <w:rsid w:val="00AB6E2B"/>
    <w:rsid w:val="00AC0010"/>
    <w:rsid w:val="00AC0A6A"/>
    <w:rsid w:val="00AC0BFB"/>
    <w:rsid w:val="00AC1107"/>
    <w:rsid w:val="00AC15C7"/>
    <w:rsid w:val="00AC201D"/>
    <w:rsid w:val="00AC275B"/>
    <w:rsid w:val="00AC342C"/>
    <w:rsid w:val="00AC3807"/>
    <w:rsid w:val="00AC41FA"/>
    <w:rsid w:val="00AC4621"/>
    <w:rsid w:val="00AC4947"/>
    <w:rsid w:val="00AC6770"/>
    <w:rsid w:val="00AC681A"/>
    <w:rsid w:val="00AC6CBD"/>
    <w:rsid w:val="00AC77BB"/>
    <w:rsid w:val="00AC7C19"/>
    <w:rsid w:val="00AD003F"/>
    <w:rsid w:val="00AD067E"/>
    <w:rsid w:val="00AD0861"/>
    <w:rsid w:val="00AD0DB5"/>
    <w:rsid w:val="00AD1B00"/>
    <w:rsid w:val="00AD1CA1"/>
    <w:rsid w:val="00AD1E53"/>
    <w:rsid w:val="00AD23F4"/>
    <w:rsid w:val="00AD26AD"/>
    <w:rsid w:val="00AD2C00"/>
    <w:rsid w:val="00AD54DC"/>
    <w:rsid w:val="00AD56E1"/>
    <w:rsid w:val="00AD5F05"/>
    <w:rsid w:val="00AD6D2A"/>
    <w:rsid w:val="00AD750D"/>
    <w:rsid w:val="00AE04CE"/>
    <w:rsid w:val="00AE0772"/>
    <w:rsid w:val="00AE09DD"/>
    <w:rsid w:val="00AE1119"/>
    <w:rsid w:val="00AE135F"/>
    <w:rsid w:val="00AE1A04"/>
    <w:rsid w:val="00AE1BA0"/>
    <w:rsid w:val="00AE1C79"/>
    <w:rsid w:val="00AE26A1"/>
    <w:rsid w:val="00AE3CCA"/>
    <w:rsid w:val="00AE439A"/>
    <w:rsid w:val="00AE4DFF"/>
    <w:rsid w:val="00AE4FC5"/>
    <w:rsid w:val="00AE5D50"/>
    <w:rsid w:val="00AE6BBD"/>
    <w:rsid w:val="00AE73EB"/>
    <w:rsid w:val="00AF09D4"/>
    <w:rsid w:val="00AF0F8D"/>
    <w:rsid w:val="00AF14EA"/>
    <w:rsid w:val="00AF2096"/>
    <w:rsid w:val="00AF22D4"/>
    <w:rsid w:val="00AF2841"/>
    <w:rsid w:val="00AF2A85"/>
    <w:rsid w:val="00AF2EB1"/>
    <w:rsid w:val="00AF5069"/>
    <w:rsid w:val="00AF5BB2"/>
    <w:rsid w:val="00AF5D10"/>
    <w:rsid w:val="00AF6A98"/>
    <w:rsid w:val="00AF6AFE"/>
    <w:rsid w:val="00AF7236"/>
    <w:rsid w:val="00AF7874"/>
    <w:rsid w:val="00AF78E1"/>
    <w:rsid w:val="00AF79C1"/>
    <w:rsid w:val="00B009A9"/>
    <w:rsid w:val="00B013D9"/>
    <w:rsid w:val="00B019EE"/>
    <w:rsid w:val="00B01A85"/>
    <w:rsid w:val="00B025E3"/>
    <w:rsid w:val="00B02851"/>
    <w:rsid w:val="00B02B07"/>
    <w:rsid w:val="00B02CCD"/>
    <w:rsid w:val="00B02E2A"/>
    <w:rsid w:val="00B02EF2"/>
    <w:rsid w:val="00B037B9"/>
    <w:rsid w:val="00B0415E"/>
    <w:rsid w:val="00B04533"/>
    <w:rsid w:val="00B04692"/>
    <w:rsid w:val="00B04CF4"/>
    <w:rsid w:val="00B05709"/>
    <w:rsid w:val="00B0595B"/>
    <w:rsid w:val="00B0631B"/>
    <w:rsid w:val="00B064E3"/>
    <w:rsid w:val="00B066BB"/>
    <w:rsid w:val="00B069B1"/>
    <w:rsid w:val="00B06FA2"/>
    <w:rsid w:val="00B07E80"/>
    <w:rsid w:val="00B07FF5"/>
    <w:rsid w:val="00B10131"/>
    <w:rsid w:val="00B109B1"/>
    <w:rsid w:val="00B109E8"/>
    <w:rsid w:val="00B10F97"/>
    <w:rsid w:val="00B114DA"/>
    <w:rsid w:val="00B127D3"/>
    <w:rsid w:val="00B12D48"/>
    <w:rsid w:val="00B12FEA"/>
    <w:rsid w:val="00B137BE"/>
    <w:rsid w:val="00B14418"/>
    <w:rsid w:val="00B14A75"/>
    <w:rsid w:val="00B14F88"/>
    <w:rsid w:val="00B14FDC"/>
    <w:rsid w:val="00B15829"/>
    <w:rsid w:val="00B158CC"/>
    <w:rsid w:val="00B1616C"/>
    <w:rsid w:val="00B203A3"/>
    <w:rsid w:val="00B210F6"/>
    <w:rsid w:val="00B227DE"/>
    <w:rsid w:val="00B22A33"/>
    <w:rsid w:val="00B22C05"/>
    <w:rsid w:val="00B233CF"/>
    <w:rsid w:val="00B23946"/>
    <w:rsid w:val="00B2424F"/>
    <w:rsid w:val="00B24AF2"/>
    <w:rsid w:val="00B2557D"/>
    <w:rsid w:val="00B255D4"/>
    <w:rsid w:val="00B25A97"/>
    <w:rsid w:val="00B25E35"/>
    <w:rsid w:val="00B26654"/>
    <w:rsid w:val="00B3012C"/>
    <w:rsid w:val="00B3039F"/>
    <w:rsid w:val="00B304F8"/>
    <w:rsid w:val="00B30736"/>
    <w:rsid w:val="00B3268E"/>
    <w:rsid w:val="00B33EF5"/>
    <w:rsid w:val="00B33FC1"/>
    <w:rsid w:val="00B34070"/>
    <w:rsid w:val="00B3444D"/>
    <w:rsid w:val="00B34F53"/>
    <w:rsid w:val="00B3542A"/>
    <w:rsid w:val="00B362F0"/>
    <w:rsid w:val="00B36D05"/>
    <w:rsid w:val="00B37461"/>
    <w:rsid w:val="00B374D7"/>
    <w:rsid w:val="00B400C1"/>
    <w:rsid w:val="00B402D4"/>
    <w:rsid w:val="00B405E0"/>
    <w:rsid w:val="00B40B79"/>
    <w:rsid w:val="00B425FB"/>
    <w:rsid w:val="00B42647"/>
    <w:rsid w:val="00B428EB"/>
    <w:rsid w:val="00B42DD7"/>
    <w:rsid w:val="00B42F64"/>
    <w:rsid w:val="00B431E6"/>
    <w:rsid w:val="00B43805"/>
    <w:rsid w:val="00B43B14"/>
    <w:rsid w:val="00B43F9F"/>
    <w:rsid w:val="00B44AE4"/>
    <w:rsid w:val="00B451B1"/>
    <w:rsid w:val="00B45505"/>
    <w:rsid w:val="00B456D0"/>
    <w:rsid w:val="00B459F3"/>
    <w:rsid w:val="00B45E99"/>
    <w:rsid w:val="00B465B5"/>
    <w:rsid w:val="00B4678A"/>
    <w:rsid w:val="00B4719C"/>
    <w:rsid w:val="00B474EA"/>
    <w:rsid w:val="00B4780B"/>
    <w:rsid w:val="00B47892"/>
    <w:rsid w:val="00B50312"/>
    <w:rsid w:val="00B51665"/>
    <w:rsid w:val="00B52E42"/>
    <w:rsid w:val="00B53A51"/>
    <w:rsid w:val="00B5445C"/>
    <w:rsid w:val="00B548E6"/>
    <w:rsid w:val="00B54F40"/>
    <w:rsid w:val="00B551BD"/>
    <w:rsid w:val="00B553D1"/>
    <w:rsid w:val="00B555C2"/>
    <w:rsid w:val="00B55C27"/>
    <w:rsid w:val="00B56580"/>
    <w:rsid w:val="00B56DDF"/>
    <w:rsid w:val="00B56E4C"/>
    <w:rsid w:val="00B56FF5"/>
    <w:rsid w:val="00B57745"/>
    <w:rsid w:val="00B57B93"/>
    <w:rsid w:val="00B616B6"/>
    <w:rsid w:val="00B61FB5"/>
    <w:rsid w:val="00B621C3"/>
    <w:rsid w:val="00B63F5D"/>
    <w:rsid w:val="00B64784"/>
    <w:rsid w:val="00B64A8C"/>
    <w:rsid w:val="00B64E96"/>
    <w:rsid w:val="00B6594F"/>
    <w:rsid w:val="00B65975"/>
    <w:rsid w:val="00B66218"/>
    <w:rsid w:val="00B67501"/>
    <w:rsid w:val="00B67E25"/>
    <w:rsid w:val="00B711A8"/>
    <w:rsid w:val="00B7165E"/>
    <w:rsid w:val="00B71832"/>
    <w:rsid w:val="00B722E3"/>
    <w:rsid w:val="00B72ABD"/>
    <w:rsid w:val="00B7457C"/>
    <w:rsid w:val="00B75240"/>
    <w:rsid w:val="00B75A9E"/>
    <w:rsid w:val="00B75C4E"/>
    <w:rsid w:val="00B7606A"/>
    <w:rsid w:val="00B762F3"/>
    <w:rsid w:val="00B76D30"/>
    <w:rsid w:val="00B772CA"/>
    <w:rsid w:val="00B7795D"/>
    <w:rsid w:val="00B8098A"/>
    <w:rsid w:val="00B80CA5"/>
    <w:rsid w:val="00B810AE"/>
    <w:rsid w:val="00B822D3"/>
    <w:rsid w:val="00B82A33"/>
    <w:rsid w:val="00B82F6A"/>
    <w:rsid w:val="00B83109"/>
    <w:rsid w:val="00B844DF"/>
    <w:rsid w:val="00B846A2"/>
    <w:rsid w:val="00B85CA9"/>
    <w:rsid w:val="00B86606"/>
    <w:rsid w:val="00B8660E"/>
    <w:rsid w:val="00B90855"/>
    <w:rsid w:val="00B91629"/>
    <w:rsid w:val="00B92473"/>
    <w:rsid w:val="00B92903"/>
    <w:rsid w:val="00B9338E"/>
    <w:rsid w:val="00B93B88"/>
    <w:rsid w:val="00B94455"/>
    <w:rsid w:val="00B94E39"/>
    <w:rsid w:val="00B95CBF"/>
    <w:rsid w:val="00B96367"/>
    <w:rsid w:val="00B96C30"/>
    <w:rsid w:val="00B97771"/>
    <w:rsid w:val="00B978B9"/>
    <w:rsid w:val="00BA1050"/>
    <w:rsid w:val="00BA173D"/>
    <w:rsid w:val="00BA21ED"/>
    <w:rsid w:val="00BA231F"/>
    <w:rsid w:val="00BA2490"/>
    <w:rsid w:val="00BA2CA4"/>
    <w:rsid w:val="00BA2CB0"/>
    <w:rsid w:val="00BA2CDB"/>
    <w:rsid w:val="00BA4724"/>
    <w:rsid w:val="00BA4F09"/>
    <w:rsid w:val="00BA5A5F"/>
    <w:rsid w:val="00BA5DA3"/>
    <w:rsid w:val="00BA5F9F"/>
    <w:rsid w:val="00BA608B"/>
    <w:rsid w:val="00BA63DF"/>
    <w:rsid w:val="00BA6A10"/>
    <w:rsid w:val="00BA7478"/>
    <w:rsid w:val="00BB04F5"/>
    <w:rsid w:val="00BB0869"/>
    <w:rsid w:val="00BB08A0"/>
    <w:rsid w:val="00BB0C58"/>
    <w:rsid w:val="00BB0C81"/>
    <w:rsid w:val="00BB0E38"/>
    <w:rsid w:val="00BB0ED6"/>
    <w:rsid w:val="00BB1775"/>
    <w:rsid w:val="00BB1B8A"/>
    <w:rsid w:val="00BB22CD"/>
    <w:rsid w:val="00BB2B87"/>
    <w:rsid w:val="00BB2CB8"/>
    <w:rsid w:val="00BB3BD3"/>
    <w:rsid w:val="00BB3C9A"/>
    <w:rsid w:val="00BB47D9"/>
    <w:rsid w:val="00BB4D33"/>
    <w:rsid w:val="00BB4E9C"/>
    <w:rsid w:val="00BB5900"/>
    <w:rsid w:val="00BB66FB"/>
    <w:rsid w:val="00BB74E8"/>
    <w:rsid w:val="00BB78C3"/>
    <w:rsid w:val="00BB797B"/>
    <w:rsid w:val="00BB7CFA"/>
    <w:rsid w:val="00BC0490"/>
    <w:rsid w:val="00BC053C"/>
    <w:rsid w:val="00BC07E0"/>
    <w:rsid w:val="00BC1FEA"/>
    <w:rsid w:val="00BC222C"/>
    <w:rsid w:val="00BC28C3"/>
    <w:rsid w:val="00BC73C9"/>
    <w:rsid w:val="00BD06F5"/>
    <w:rsid w:val="00BD0EBF"/>
    <w:rsid w:val="00BD0F60"/>
    <w:rsid w:val="00BD12E3"/>
    <w:rsid w:val="00BD1E70"/>
    <w:rsid w:val="00BD2AC6"/>
    <w:rsid w:val="00BD2FAC"/>
    <w:rsid w:val="00BD30C6"/>
    <w:rsid w:val="00BD3DE0"/>
    <w:rsid w:val="00BD3FB0"/>
    <w:rsid w:val="00BD4AE5"/>
    <w:rsid w:val="00BD4DA4"/>
    <w:rsid w:val="00BD7D36"/>
    <w:rsid w:val="00BD7D51"/>
    <w:rsid w:val="00BD7ED5"/>
    <w:rsid w:val="00BD7F57"/>
    <w:rsid w:val="00BE015F"/>
    <w:rsid w:val="00BE135C"/>
    <w:rsid w:val="00BE15AA"/>
    <w:rsid w:val="00BE1656"/>
    <w:rsid w:val="00BE168A"/>
    <w:rsid w:val="00BE1C1A"/>
    <w:rsid w:val="00BE1EE9"/>
    <w:rsid w:val="00BE21E3"/>
    <w:rsid w:val="00BE22FF"/>
    <w:rsid w:val="00BE2764"/>
    <w:rsid w:val="00BE2DB5"/>
    <w:rsid w:val="00BE2DF2"/>
    <w:rsid w:val="00BE32E1"/>
    <w:rsid w:val="00BE33CD"/>
    <w:rsid w:val="00BE3AE3"/>
    <w:rsid w:val="00BE41D3"/>
    <w:rsid w:val="00BE427F"/>
    <w:rsid w:val="00BE42AB"/>
    <w:rsid w:val="00BE54DE"/>
    <w:rsid w:val="00BE76E0"/>
    <w:rsid w:val="00BE7A22"/>
    <w:rsid w:val="00BF0074"/>
    <w:rsid w:val="00BF036D"/>
    <w:rsid w:val="00BF0864"/>
    <w:rsid w:val="00BF0B79"/>
    <w:rsid w:val="00BF0CDE"/>
    <w:rsid w:val="00BF1406"/>
    <w:rsid w:val="00BF1548"/>
    <w:rsid w:val="00BF18F8"/>
    <w:rsid w:val="00BF25DB"/>
    <w:rsid w:val="00BF3456"/>
    <w:rsid w:val="00BF4AB3"/>
    <w:rsid w:val="00BF5036"/>
    <w:rsid w:val="00BF5397"/>
    <w:rsid w:val="00BF5613"/>
    <w:rsid w:val="00BF6E41"/>
    <w:rsid w:val="00BF74EE"/>
    <w:rsid w:val="00C0029F"/>
    <w:rsid w:val="00C00B3A"/>
    <w:rsid w:val="00C00C4B"/>
    <w:rsid w:val="00C0147D"/>
    <w:rsid w:val="00C030BE"/>
    <w:rsid w:val="00C03101"/>
    <w:rsid w:val="00C03D02"/>
    <w:rsid w:val="00C042C0"/>
    <w:rsid w:val="00C047EC"/>
    <w:rsid w:val="00C04A34"/>
    <w:rsid w:val="00C04D9C"/>
    <w:rsid w:val="00C04FC7"/>
    <w:rsid w:val="00C057FB"/>
    <w:rsid w:val="00C05960"/>
    <w:rsid w:val="00C068DD"/>
    <w:rsid w:val="00C06D18"/>
    <w:rsid w:val="00C06D19"/>
    <w:rsid w:val="00C07164"/>
    <w:rsid w:val="00C078DD"/>
    <w:rsid w:val="00C07C3C"/>
    <w:rsid w:val="00C10417"/>
    <w:rsid w:val="00C10437"/>
    <w:rsid w:val="00C10AB3"/>
    <w:rsid w:val="00C10D70"/>
    <w:rsid w:val="00C116CE"/>
    <w:rsid w:val="00C116E5"/>
    <w:rsid w:val="00C11821"/>
    <w:rsid w:val="00C11894"/>
    <w:rsid w:val="00C12210"/>
    <w:rsid w:val="00C123DD"/>
    <w:rsid w:val="00C12EFA"/>
    <w:rsid w:val="00C1452A"/>
    <w:rsid w:val="00C14C56"/>
    <w:rsid w:val="00C14CE7"/>
    <w:rsid w:val="00C1508D"/>
    <w:rsid w:val="00C15BA2"/>
    <w:rsid w:val="00C15CBA"/>
    <w:rsid w:val="00C1601A"/>
    <w:rsid w:val="00C16B2B"/>
    <w:rsid w:val="00C177D0"/>
    <w:rsid w:val="00C17857"/>
    <w:rsid w:val="00C1790A"/>
    <w:rsid w:val="00C17C98"/>
    <w:rsid w:val="00C208EA"/>
    <w:rsid w:val="00C21543"/>
    <w:rsid w:val="00C21D62"/>
    <w:rsid w:val="00C238A6"/>
    <w:rsid w:val="00C23AD1"/>
    <w:rsid w:val="00C23C26"/>
    <w:rsid w:val="00C23CCB"/>
    <w:rsid w:val="00C251E7"/>
    <w:rsid w:val="00C25CA7"/>
    <w:rsid w:val="00C266A9"/>
    <w:rsid w:val="00C26AB2"/>
    <w:rsid w:val="00C26C1E"/>
    <w:rsid w:val="00C2760F"/>
    <w:rsid w:val="00C30469"/>
    <w:rsid w:val="00C307A5"/>
    <w:rsid w:val="00C31519"/>
    <w:rsid w:val="00C316AC"/>
    <w:rsid w:val="00C31FE5"/>
    <w:rsid w:val="00C3200B"/>
    <w:rsid w:val="00C3216E"/>
    <w:rsid w:val="00C32236"/>
    <w:rsid w:val="00C327D3"/>
    <w:rsid w:val="00C32E5D"/>
    <w:rsid w:val="00C33682"/>
    <w:rsid w:val="00C33AA0"/>
    <w:rsid w:val="00C34CB3"/>
    <w:rsid w:val="00C35BE9"/>
    <w:rsid w:val="00C365B2"/>
    <w:rsid w:val="00C36A64"/>
    <w:rsid w:val="00C37D52"/>
    <w:rsid w:val="00C404DE"/>
    <w:rsid w:val="00C420E4"/>
    <w:rsid w:val="00C432AF"/>
    <w:rsid w:val="00C453D5"/>
    <w:rsid w:val="00C45585"/>
    <w:rsid w:val="00C45C5C"/>
    <w:rsid w:val="00C45CE9"/>
    <w:rsid w:val="00C4612B"/>
    <w:rsid w:val="00C46670"/>
    <w:rsid w:val="00C46DC1"/>
    <w:rsid w:val="00C46FE5"/>
    <w:rsid w:val="00C47048"/>
    <w:rsid w:val="00C4797C"/>
    <w:rsid w:val="00C50CB6"/>
    <w:rsid w:val="00C516AF"/>
    <w:rsid w:val="00C52222"/>
    <w:rsid w:val="00C53210"/>
    <w:rsid w:val="00C53700"/>
    <w:rsid w:val="00C53DD3"/>
    <w:rsid w:val="00C5419C"/>
    <w:rsid w:val="00C544BF"/>
    <w:rsid w:val="00C559A2"/>
    <w:rsid w:val="00C56367"/>
    <w:rsid w:val="00C56ABD"/>
    <w:rsid w:val="00C571E2"/>
    <w:rsid w:val="00C574A1"/>
    <w:rsid w:val="00C579CB"/>
    <w:rsid w:val="00C604B2"/>
    <w:rsid w:val="00C6051A"/>
    <w:rsid w:val="00C60B64"/>
    <w:rsid w:val="00C60DF0"/>
    <w:rsid w:val="00C618F1"/>
    <w:rsid w:val="00C6217A"/>
    <w:rsid w:val="00C62280"/>
    <w:rsid w:val="00C62382"/>
    <w:rsid w:val="00C62A32"/>
    <w:rsid w:val="00C62FFD"/>
    <w:rsid w:val="00C64111"/>
    <w:rsid w:val="00C6463E"/>
    <w:rsid w:val="00C6467D"/>
    <w:rsid w:val="00C65890"/>
    <w:rsid w:val="00C65C63"/>
    <w:rsid w:val="00C664C8"/>
    <w:rsid w:val="00C66570"/>
    <w:rsid w:val="00C67C47"/>
    <w:rsid w:val="00C67EB7"/>
    <w:rsid w:val="00C70E5B"/>
    <w:rsid w:val="00C717AC"/>
    <w:rsid w:val="00C726DF"/>
    <w:rsid w:val="00C742FF"/>
    <w:rsid w:val="00C74945"/>
    <w:rsid w:val="00C7614B"/>
    <w:rsid w:val="00C7756B"/>
    <w:rsid w:val="00C80F41"/>
    <w:rsid w:val="00C81619"/>
    <w:rsid w:val="00C82066"/>
    <w:rsid w:val="00C82207"/>
    <w:rsid w:val="00C83452"/>
    <w:rsid w:val="00C8430D"/>
    <w:rsid w:val="00C85060"/>
    <w:rsid w:val="00C85140"/>
    <w:rsid w:val="00C85F0D"/>
    <w:rsid w:val="00C85F8E"/>
    <w:rsid w:val="00C86636"/>
    <w:rsid w:val="00C87B94"/>
    <w:rsid w:val="00C87F88"/>
    <w:rsid w:val="00C9011A"/>
    <w:rsid w:val="00C90759"/>
    <w:rsid w:val="00C90D07"/>
    <w:rsid w:val="00C91B01"/>
    <w:rsid w:val="00C91E16"/>
    <w:rsid w:val="00C91FAE"/>
    <w:rsid w:val="00C92A12"/>
    <w:rsid w:val="00C93043"/>
    <w:rsid w:val="00C93842"/>
    <w:rsid w:val="00C93D06"/>
    <w:rsid w:val="00C94081"/>
    <w:rsid w:val="00C96B4A"/>
    <w:rsid w:val="00C97EC1"/>
    <w:rsid w:val="00CA0FF1"/>
    <w:rsid w:val="00CA1CEB"/>
    <w:rsid w:val="00CA2514"/>
    <w:rsid w:val="00CA3EBD"/>
    <w:rsid w:val="00CA4A21"/>
    <w:rsid w:val="00CA4C75"/>
    <w:rsid w:val="00CA5307"/>
    <w:rsid w:val="00CA5863"/>
    <w:rsid w:val="00CA58A1"/>
    <w:rsid w:val="00CA5D58"/>
    <w:rsid w:val="00CA6EC7"/>
    <w:rsid w:val="00CA723B"/>
    <w:rsid w:val="00CA7A57"/>
    <w:rsid w:val="00CB02DA"/>
    <w:rsid w:val="00CB07F4"/>
    <w:rsid w:val="00CB0912"/>
    <w:rsid w:val="00CB0B1F"/>
    <w:rsid w:val="00CB0E0F"/>
    <w:rsid w:val="00CB144A"/>
    <w:rsid w:val="00CB150C"/>
    <w:rsid w:val="00CB1718"/>
    <w:rsid w:val="00CB24CF"/>
    <w:rsid w:val="00CB2F3E"/>
    <w:rsid w:val="00CB320E"/>
    <w:rsid w:val="00CB3486"/>
    <w:rsid w:val="00CB38FD"/>
    <w:rsid w:val="00CB3924"/>
    <w:rsid w:val="00CB3DDB"/>
    <w:rsid w:val="00CB503D"/>
    <w:rsid w:val="00CB54D7"/>
    <w:rsid w:val="00CB599A"/>
    <w:rsid w:val="00CB5DD3"/>
    <w:rsid w:val="00CB6140"/>
    <w:rsid w:val="00CB6482"/>
    <w:rsid w:val="00CB6812"/>
    <w:rsid w:val="00CB6919"/>
    <w:rsid w:val="00CB6C62"/>
    <w:rsid w:val="00CB6E71"/>
    <w:rsid w:val="00CB72A7"/>
    <w:rsid w:val="00CB781B"/>
    <w:rsid w:val="00CB7A38"/>
    <w:rsid w:val="00CC042F"/>
    <w:rsid w:val="00CC06E6"/>
    <w:rsid w:val="00CC0CB4"/>
    <w:rsid w:val="00CC0D51"/>
    <w:rsid w:val="00CC16E8"/>
    <w:rsid w:val="00CC171A"/>
    <w:rsid w:val="00CC1C47"/>
    <w:rsid w:val="00CC2431"/>
    <w:rsid w:val="00CC2D75"/>
    <w:rsid w:val="00CC2D95"/>
    <w:rsid w:val="00CC31DA"/>
    <w:rsid w:val="00CC3841"/>
    <w:rsid w:val="00CC416D"/>
    <w:rsid w:val="00CC4E55"/>
    <w:rsid w:val="00CC4F24"/>
    <w:rsid w:val="00CC54F2"/>
    <w:rsid w:val="00CC59B2"/>
    <w:rsid w:val="00CC59D9"/>
    <w:rsid w:val="00CC762E"/>
    <w:rsid w:val="00CC7DB0"/>
    <w:rsid w:val="00CD0829"/>
    <w:rsid w:val="00CD21CB"/>
    <w:rsid w:val="00CD2428"/>
    <w:rsid w:val="00CD283A"/>
    <w:rsid w:val="00CD2F0E"/>
    <w:rsid w:val="00CD4FC8"/>
    <w:rsid w:val="00CD529D"/>
    <w:rsid w:val="00CD5CDC"/>
    <w:rsid w:val="00CD6634"/>
    <w:rsid w:val="00CD683D"/>
    <w:rsid w:val="00CD6D55"/>
    <w:rsid w:val="00CD754F"/>
    <w:rsid w:val="00CD774C"/>
    <w:rsid w:val="00CE0B52"/>
    <w:rsid w:val="00CE0D62"/>
    <w:rsid w:val="00CE1868"/>
    <w:rsid w:val="00CE1D32"/>
    <w:rsid w:val="00CE2738"/>
    <w:rsid w:val="00CE394E"/>
    <w:rsid w:val="00CE395F"/>
    <w:rsid w:val="00CE3BC7"/>
    <w:rsid w:val="00CE4353"/>
    <w:rsid w:val="00CE4F5E"/>
    <w:rsid w:val="00CE54F7"/>
    <w:rsid w:val="00CE6EE3"/>
    <w:rsid w:val="00CF08F5"/>
    <w:rsid w:val="00CF1E1F"/>
    <w:rsid w:val="00CF2126"/>
    <w:rsid w:val="00CF25F4"/>
    <w:rsid w:val="00CF3C26"/>
    <w:rsid w:val="00CF3E0E"/>
    <w:rsid w:val="00CF4763"/>
    <w:rsid w:val="00CF4A41"/>
    <w:rsid w:val="00CF4BA9"/>
    <w:rsid w:val="00CF530B"/>
    <w:rsid w:val="00CF54F5"/>
    <w:rsid w:val="00CF59C9"/>
    <w:rsid w:val="00CF5AD1"/>
    <w:rsid w:val="00CF5D88"/>
    <w:rsid w:val="00CF60D8"/>
    <w:rsid w:val="00CF6A25"/>
    <w:rsid w:val="00CF6B11"/>
    <w:rsid w:val="00CF7E28"/>
    <w:rsid w:val="00CF7EBC"/>
    <w:rsid w:val="00D00101"/>
    <w:rsid w:val="00D00A20"/>
    <w:rsid w:val="00D00BE8"/>
    <w:rsid w:val="00D00D03"/>
    <w:rsid w:val="00D01950"/>
    <w:rsid w:val="00D01961"/>
    <w:rsid w:val="00D01A26"/>
    <w:rsid w:val="00D01AD6"/>
    <w:rsid w:val="00D028B9"/>
    <w:rsid w:val="00D030FF"/>
    <w:rsid w:val="00D031BD"/>
    <w:rsid w:val="00D03762"/>
    <w:rsid w:val="00D043F8"/>
    <w:rsid w:val="00D060CA"/>
    <w:rsid w:val="00D07159"/>
    <w:rsid w:val="00D074D5"/>
    <w:rsid w:val="00D10245"/>
    <w:rsid w:val="00D102AB"/>
    <w:rsid w:val="00D108B9"/>
    <w:rsid w:val="00D10992"/>
    <w:rsid w:val="00D10C82"/>
    <w:rsid w:val="00D10DF2"/>
    <w:rsid w:val="00D11091"/>
    <w:rsid w:val="00D11BBD"/>
    <w:rsid w:val="00D11D6D"/>
    <w:rsid w:val="00D120E7"/>
    <w:rsid w:val="00D12924"/>
    <w:rsid w:val="00D12B30"/>
    <w:rsid w:val="00D13E59"/>
    <w:rsid w:val="00D14CCD"/>
    <w:rsid w:val="00D163AD"/>
    <w:rsid w:val="00D16BFF"/>
    <w:rsid w:val="00D1733E"/>
    <w:rsid w:val="00D174C4"/>
    <w:rsid w:val="00D17A9B"/>
    <w:rsid w:val="00D17FD8"/>
    <w:rsid w:val="00D207B9"/>
    <w:rsid w:val="00D213B5"/>
    <w:rsid w:val="00D215AF"/>
    <w:rsid w:val="00D216A9"/>
    <w:rsid w:val="00D225D5"/>
    <w:rsid w:val="00D22AD5"/>
    <w:rsid w:val="00D230BE"/>
    <w:rsid w:val="00D232BA"/>
    <w:rsid w:val="00D23460"/>
    <w:rsid w:val="00D24B2B"/>
    <w:rsid w:val="00D24D7F"/>
    <w:rsid w:val="00D24E16"/>
    <w:rsid w:val="00D24E2E"/>
    <w:rsid w:val="00D26182"/>
    <w:rsid w:val="00D264F4"/>
    <w:rsid w:val="00D278A6"/>
    <w:rsid w:val="00D31278"/>
    <w:rsid w:val="00D3186A"/>
    <w:rsid w:val="00D32BE8"/>
    <w:rsid w:val="00D33583"/>
    <w:rsid w:val="00D347B2"/>
    <w:rsid w:val="00D35674"/>
    <w:rsid w:val="00D35A98"/>
    <w:rsid w:val="00D35E5B"/>
    <w:rsid w:val="00D35F15"/>
    <w:rsid w:val="00D36383"/>
    <w:rsid w:val="00D364BE"/>
    <w:rsid w:val="00D36B10"/>
    <w:rsid w:val="00D36D22"/>
    <w:rsid w:val="00D36DE7"/>
    <w:rsid w:val="00D3771B"/>
    <w:rsid w:val="00D41153"/>
    <w:rsid w:val="00D4144D"/>
    <w:rsid w:val="00D41EB2"/>
    <w:rsid w:val="00D42379"/>
    <w:rsid w:val="00D42448"/>
    <w:rsid w:val="00D4287A"/>
    <w:rsid w:val="00D4291F"/>
    <w:rsid w:val="00D43307"/>
    <w:rsid w:val="00D4370A"/>
    <w:rsid w:val="00D4378D"/>
    <w:rsid w:val="00D43AD5"/>
    <w:rsid w:val="00D4440B"/>
    <w:rsid w:val="00D459EB"/>
    <w:rsid w:val="00D45FB4"/>
    <w:rsid w:val="00D45FB6"/>
    <w:rsid w:val="00D46364"/>
    <w:rsid w:val="00D476B1"/>
    <w:rsid w:val="00D47861"/>
    <w:rsid w:val="00D47CA0"/>
    <w:rsid w:val="00D504C7"/>
    <w:rsid w:val="00D51C61"/>
    <w:rsid w:val="00D51C71"/>
    <w:rsid w:val="00D52183"/>
    <w:rsid w:val="00D52324"/>
    <w:rsid w:val="00D53ADE"/>
    <w:rsid w:val="00D5516A"/>
    <w:rsid w:val="00D56522"/>
    <w:rsid w:val="00D56C45"/>
    <w:rsid w:val="00D57BC8"/>
    <w:rsid w:val="00D60837"/>
    <w:rsid w:val="00D60DFA"/>
    <w:rsid w:val="00D61129"/>
    <w:rsid w:val="00D6149D"/>
    <w:rsid w:val="00D62F23"/>
    <w:rsid w:val="00D63105"/>
    <w:rsid w:val="00D63286"/>
    <w:rsid w:val="00D643F3"/>
    <w:rsid w:val="00D64CFC"/>
    <w:rsid w:val="00D652A6"/>
    <w:rsid w:val="00D6544E"/>
    <w:rsid w:val="00D670A9"/>
    <w:rsid w:val="00D672AC"/>
    <w:rsid w:val="00D67D67"/>
    <w:rsid w:val="00D7010E"/>
    <w:rsid w:val="00D70455"/>
    <w:rsid w:val="00D70644"/>
    <w:rsid w:val="00D70786"/>
    <w:rsid w:val="00D709BD"/>
    <w:rsid w:val="00D71BFD"/>
    <w:rsid w:val="00D71D42"/>
    <w:rsid w:val="00D71E03"/>
    <w:rsid w:val="00D72186"/>
    <w:rsid w:val="00D7264A"/>
    <w:rsid w:val="00D726E6"/>
    <w:rsid w:val="00D73123"/>
    <w:rsid w:val="00D73836"/>
    <w:rsid w:val="00D739EE"/>
    <w:rsid w:val="00D74191"/>
    <w:rsid w:val="00D74D53"/>
    <w:rsid w:val="00D74FAF"/>
    <w:rsid w:val="00D76490"/>
    <w:rsid w:val="00D765EC"/>
    <w:rsid w:val="00D76ED8"/>
    <w:rsid w:val="00D7747C"/>
    <w:rsid w:val="00D778D8"/>
    <w:rsid w:val="00D80D80"/>
    <w:rsid w:val="00D8165E"/>
    <w:rsid w:val="00D81BF2"/>
    <w:rsid w:val="00D83D71"/>
    <w:rsid w:val="00D846F4"/>
    <w:rsid w:val="00D84CC1"/>
    <w:rsid w:val="00D84F84"/>
    <w:rsid w:val="00D84FEC"/>
    <w:rsid w:val="00D86227"/>
    <w:rsid w:val="00D868EB"/>
    <w:rsid w:val="00D86BE0"/>
    <w:rsid w:val="00D8729A"/>
    <w:rsid w:val="00D9073D"/>
    <w:rsid w:val="00D90EA6"/>
    <w:rsid w:val="00D9184B"/>
    <w:rsid w:val="00D92821"/>
    <w:rsid w:val="00D92BBA"/>
    <w:rsid w:val="00D92C5F"/>
    <w:rsid w:val="00D9346B"/>
    <w:rsid w:val="00D94B09"/>
    <w:rsid w:val="00D9513D"/>
    <w:rsid w:val="00D95DF0"/>
    <w:rsid w:val="00D972E6"/>
    <w:rsid w:val="00DA0145"/>
    <w:rsid w:val="00DA0948"/>
    <w:rsid w:val="00DA0C0C"/>
    <w:rsid w:val="00DA0C7B"/>
    <w:rsid w:val="00DA0D33"/>
    <w:rsid w:val="00DA0E35"/>
    <w:rsid w:val="00DA105C"/>
    <w:rsid w:val="00DA1782"/>
    <w:rsid w:val="00DA1BE1"/>
    <w:rsid w:val="00DA26D0"/>
    <w:rsid w:val="00DA27A3"/>
    <w:rsid w:val="00DA2EE4"/>
    <w:rsid w:val="00DA416A"/>
    <w:rsid w:val="00DA506D"/>
    <w:rsid w:val="00DA665D"/>
    <w:rsid w:val="00DA6B87"/>
    <w:rsid w:val="00DA6BD9"/>
    <w:rsid w:val="00DA70F1"/>
    <w:rsid w:val="00DA7416"/>
    <w:rsid w:val="00DA7434"/>
    <w:rsid w:val="00DA7C47"/>
    <w:rsid w:val="00DA7DC1"/>
    <w:rsid w:val="00DB0A6D"/>
    <w:rsid w:val="00DB0EEF"/>
    <w:rsid w:val="00DB1A6A"/>
    <w:rsid w:val="00DB3CB0"/>
    <w:rsid w:val="00DB3CF4"/>
    <w:rsid w:val="00DB3E34"/>
    <w:rsid w:val="00DB405E"/>
    <w:rsid w:val="00DB4482"/>
    <w:rsid w:val="00DB4F98"/>
    <w:rsid w:val="00DB5136"/>
    <w:rsid w:val="00DB5F85"/>
    <w:rsid w:val="00DB67D7"/>
    <w:rsid w:val="00DB6AF9"/>
    <w:rsid w:val="00DB6F3F"/>
    <w:rsid w:val="00DB720D"/>
    <w:rsid w:val="00DB7C61"/>
    <w:rsid w:val="00DC0179"/>
    <w:rsid w:val="00DC0377"/>
    <w:rsid w:val="00DC049D"/>
    <w:rsid w:val="00DC19D7"/>
    <w:rsid w:val="00DC1F52"/>
    <w:rsid w:val="00DC2B02"/>
    <w:rsid w:val="00DC3820"/>
    <w:rsid w:val="00DC3E1B"/>
    <w:rsid w:val="00DC3E8D"/>
    <w:rsid w:val="00DC54AD"/>
    <w:rsid w:val="00DC5B94"/>
    <w:rsid w:val="00DC5D73"/>
    <w:rsid w:val="00DC6915"/>
    <w:rsid w:val="00DC75EF"/>
    <w:rsid w:val="00DC7BF6"/>
    <w:rsid w:val="00DD0BF8"/>
    <w:rsid w:val="00DD1A35"/>
    <w:rsid w:val="00DD1A6D"/>
    <w:rsid w:val="00DD1D9A"/>
    <w:rsid w:val="00DD26AB"/>
    <w:rsid w:val="00DD380C"/>
    <w:rsid w:val="00DD3C58"/>
    <w:rsid w:val="00DD515F"/>
    <w:rsid w:val="00DD5B49"/>
    <w:rsid w:val="00DD5BD1"/>
    <w:rsid w:val="00DD7099"/>
    <w:rsid w:val="00DD70C5"/>
    <w:rsid w:val="00DD753C"/>
    <w:rsid w:val="00DD7F60"/>
    <w:rsid w:val="00DE000E"/>
    <w:rsid w:val="00DE0A63"/>
    <w:rsid w:val="00DE21FC"/>
    <w:rsid w:val="00DE2570"/>
    <w:rsid w:val="00DE2A02"/>
    <w:rsid w:val="00DE379B"/>
    <w:rsid w:val="00DE3A68"/>
    <w:rsid w:val="00DE4054"/>
    <w:rsid w:val="00DE41E3"/>
    <w:rsid w:val="00DE45BA"/>
    <w:rsid w:val="00DE5093"/>
    <w:rsid w:val="00DE50D8"/>
    <w:rsid w:val="00DE5693"/>
    <w:rsid w:val="00DE71CC"/>
    <w:rsid w:val="00DE7605"/>
    <w:rsid w:val="00DE7A7C"/>
    <w:rsid w:val="00DE7CB7"/>
    <w:rsid w:val="00DE7ED0"/>
    <w:rsid w:val="00DF0441"/>
    <w:rsid w:val="00DF05EB"/>
    <w:rsid w:val="00DF0899"/>
    <w:rsid w:val="00DF0FA7"/>
    <w:rsid w:val="00DF1311"/>
    <w:rsid w:val="00DF1334"/>
    <w:rsid w:val="00DF1382"/>
    <w:rsid w:val="00DF1472"/>
    <w:rsid w:val="00DF1AB5"/>
    <w:rsid w:val="00DF21BB"/>
    <w:rsid w:val="00DF2267"/>
    <w:rsid w:val="00DF2949"/>
    <w:rsid w:val="00DF2C36"/>
    <w:rsid w:val="00DF3CF5"/>
    <w:rsid w:val="00DF4FA2"/>
    <w:rsid w:val="00DF5160"/>
    <w:rsid w:val="00DF5371"/>
    <w:rsid w:val="00DF5623"/>
    <w:rsid w:val="00DF6838"/>
    <w:rsid w:val="00DF696A"/>
    <w:rsid w:val="00DF7299"/>
    <w:rsid w:val="00DF7485"/>
    <w:rsid w:val="00DF7787"/>
    <w:rsid w:val="00DF7B00"/>
    <w:rsid w:val="00DF7B02"/>
    <w:rsid w:val="00E02CDF"/>
    <w:rsid w:val="00E03E38"/>
    <w:rsid w:val="00E04F54"/>
    <w:rsid w:val="00E062D8"/>
    <w:rsid w:val="00E06831"/>
    <w:rsid w:val="00E0796F"/>
    <w:rsid w:val="00E101C5"/>
    <w:rsid w:val="00E103E4"/>
    <w:rsid w:val="00E1063E"/>
    <w:rsid w:val="00E1070B"/>
    <w:rsid w:val="00E110C1"/>
    <w:rsid w:val="00E115A6"/>
    <w:rsid w:val="00E115FB"/>
    <w:rsid w:val="00E11B19"/>
    <w:rsid w:val="00E11F64"/>
    <w:rsid w:val="00E12332"/>
    <w:rsid w:val="00E1312D"/>
    <w:rsid w:val="00E139E1"/>
    <w:rsid w:val="00E144CC"/>
    <w:rsid w:val="00E146AB"/>
    <w:rsid w:val="00E14D5B"/>
    <w:rsid w:val="00E155D4"/>
    <w:rsid w:val="00E1709F"/>
    <w:rsid w:val="00E17155"/>
    <w:rsid w:val="00E17926"/>
    <w:rsid w:val="00E17F3E"/>
    <w:rsid w:val="00E208C9"/>
    <w:rsid w:val="00E21458"/>
    <w:rsid w:val="00E21EED"/>
    <w:rsid w:val="00E223EB"/>
    <w:rsid w:val="00E2291F"/>
    <w:rsid w:val="00E22D03"/>
    <w:rsid w:val="00E2384D"/>
    <w:rsid w:val="00E24125"/>
    <w:rsid w:val="00E2433A"/>
    <w:rsid w:val="00E24B1A"/>
    <w:rsid w:val="00E24C97"/>
    <w:rsid w:val="00E25BD1"/>
    <w:rsid w:val="00E25CFD"/>
    <w:rsid w:val="00E25D02"/>
    <w:rsid w:val="00E260E9"/>
    <w:rsid w:val="00E2645C"/>
    <w:rsid w:val="00E266C7"/>
    <w:rsid w:val="00E272C7"/>
    <w:rsid w:val="00E30005"/>
    <w:rsid w:val="00E30761"/>
    <w:rsid w:val="00E310DC"/>
    <w:rsid w:val="00E3174E"/>
    <w:rsid w:val="00E31E6D"/>
    <w:rsid w:val="00E322BE"/>
    <w:rsid w:val="00E3258A"/>
    <w:rsid w:val="00E325D1"/>
    <w:rsid w:val="00E328DD"/>
    <w:rsid w:val="00E32EC6"/>
    <w:rsid w:val="00E331F3"/>
    <w:rsid w:val="00E336A5"/>
    <w:rsid w:val="00E33788"/>
    <w:rsid w:val="00E33927"/>
    <w:rsid w:val="00E33DE5"/>
    <w:rsid w:val="00E343F1"/>
    <w:rsid w:val="00E34B14"/>
    <w:rsid w:val="00E35107"/>
    <w:rsid w:val="00E35742"/>
    <w:rsid w:val="00E37560"/>
    <w:rsid w:val="00E37DA9"/>
    <w:rsid w:val="00E4059A"/>
    <w:rsid w:val="00E40732"/>
    <w:rsid w:val="00E40B31"/>
    <w:rsid w:val="00E40DBA"/>
    <w:rsid w:val="00E4223C"/>
    <w:rsid w:val="00E42624"/>
    <w:rsid w:val="00E430CE"/>
    <w:rsid w:val="00E43D0F"/>
    <w:rsid w:val="00E44665"/>
    <w:rsid w:val="00E44861"/>
    <w:rsid w:val="00E45D09"/>
    <w:rsid w:val="00E46336"/>
    <w:rsid w:val="00E46483"/>
    <w:rsid w:val="00E47144"/>
    <w:rsid w:val="00E4717A"/>
    <w:rsid w:val="00E4774E"/>
    <w:rsid w:val="00E47DFF"/>
    <w:rsid w:val="00E47EFF"/>
    <w:rsid w:val="00E509B1"/>
    <w:rsid w:val="00E50D20"/>
    <w:rsid w:val="00E5114B"/>
    <w:rsid w:val="00E516C2"/>
    <w:rsid w:val="00E51D96"/>
    <w:rsid w:val="00E52848"/>
    <w:rsid w:val="00E52E99"/>
    <w:rsid w:val="00E5335B"/>
    <w:rsid w:val="00E541ED"/>
    <w:rsid w:val="00E542AC"/>
    <w:rsid w:val="00E54CD2"/>
    <w:rsid w:val="00E55B63"/>
    <w:rsid w:val="00E55C2A"/>
    <w:rsid w:val="00E569BE"/>
    <w:rsid w:val="00E56AB1"/>
    <w:rsid w:val="00E579FA"/>
    <w:rsid w:val="00E57DC2"/>
    <w:rsid w:val="00E60F94"/>
    <w:rsid w:val="00E619AE"/>
    <w:rsid w:val="00E620D8"/>
    <w:rsid w:val="00E6292B"/>
    <w:rsid w:val="00E62BB4"/>
    <w:rsid w:val="00E62E2C"/>
    <w:rsid w:val="00E639CB"/>
    <w:rsid w:val="00E63B28"/>
    <w:rsid w:val="00E63F25"/>
    <w:rsid w:val="00E6428F"/>
    <w:rsid w:val="00E6440A"/>
    <w:rsid w:val="00E647D0"/>
    <w:rsid w:val="00E64EC0"/>
    <w:rsid w:val="00E65830"/>
    <w:rsid w:val="00E65C84"/>
    <w:rsid w:val="00E65FAA"/>
    <w:rsid w:val="00E661B4"/>
    <w:rsid w:val="00E67180"/>
    <w:rsid w:val="00E67CA0"/>
    <w:rsid w:val="00E67DE9"/>
    <w:rsid w:val="00E7031C"/>
    <w:rsid w:val="00E70735"/>
    <w:rsid w:val="00E70CA4"/>
    <w:rsid w:val="00E7167C"/>
    <w:rsid w:val="00E7212F"/>
    <w:rsid w:val="00E723C8"/>
    <w:rsid w:val="00E72494"/>
    <w:rsid w:val="00E7259C"/>
    <w:rsid w:val="00E736FA"/>
    <w:rsid w:val="00E73A5E"/>
    <w:rsid w:val="00E73BD0"/>
    <w:rsid w:val="00E73F59"/>
    <w:rsid w:val="00E7593A"/>
    <w:rsid w:val="00E8141C"/>
    <w:rsid w:val="00E81852"/>
    <w:rsid w:val="00E81AAB"/>
    <w:rsid w:val="00E81B61"/>
    <w:rsid w:val="00E81D12"/>
    <w:rsid w:val="00E81D27"/>
    <w:rsid w:val="00E8213A"/>
    <w:rsid w:val="00E82C8F"/>
    <w:rsid w:val="00E82F21"/>
    <w:rsid w:val="00E82FAC"/>
    <w:rsid w:val="00E85513"/>
    <w:rsid w:val="00E85CAD"/>
    <w:rsid w:val="00E8662C"/>
    <w:rsid w:val="00E8664B"/>
    <w:rsid w:val="00E8684A"/>
    <w:rsid w:val="00E86BA9"/>
    <w:rsid w:val="00E86BED"/>
    <w:rsid w:val="00E86E3E"/>
    <w:rsid w:val="00E870AE"/>
    <w:rsid w:val="00E870CE"/>
    <w:rsid w:val="00E875E5"/>
    <w:rsid w:val="00E87626"/>
    <w:rsid w:val="00E87788"/>
    <w:rsid w:val="00E879F8"/>
    <w:rsid w:val="00E87EA5"/>
    <w:rsid w:val="00E90683"/>
    <w:rsid w:val="00E91747"/>
    <w:rsid w:val="00E919D6"/>
    <w:rsid w:val="00E92362"/>
    <w:rsid w:val="00E9269E"/>
    <w:rsid w:val="00E92E4C"/>
    <w:rsid w:val="00E93039"/>
    <w:rsid w:val="00E9416E"/>
    <w:rsid w:val="00E94686"/>
    <w:rsid w:val="00E95144"/>
    <w:rsid w:val="00E954BB"/>
    <w:rsid w:val="00E9643E"/>
    <w:rsid w:val="00E974F5"/>
    <w:rsid w:val="00E97736"/>
    <w:rsid w:val="00E97C3C"/>
    <w:rsid w:val="00E97EEE"/>
    <w:rsid w:val="00EA0036"/>
    <w:rsid w:val="00EA0CD2"/>
    <w:rsid w:val="00EA0E47"/>
    <w:rsid w:val="00EA12F2"/>
    <w:rsid w:val="00EA2049"/>
    <w:rsid w:val="00EA26B0"/>
    <w:rsid w:val="00EA2763"/>
    <w:rsid w:val="00EA30CF"/>
    <w:rsid w:val="00EA33C0"/>
    <w:rsid w:val="00EA3E21"/>
    <w:rsid w:val="00EA4883"/>
    <w:rsid w:val="00EA5340"/>
    <w:rsid w:val="00EA5AB3"/>
    <w:rsid w:val="00EA6E30"/>
    <w:rsid w:val="00EA76EE"/>
    <w:rsid w:val="00EA7C79"/>
    <w:rsid w:val="00EA7C82"/>
    <w:rsid w:val="00EB0810"/>
    <w:rsid w:val="00EB087F"/>
    <w:rsid w:val="00EB2395"/>
    <w:rsid w:val="00EB3BEA"/>
    <w:rsid w:val="00EB3C4B"/>
    <w:rsid w:val="00EB4FAC"/>
    <w:rsid w:val="00EB51A9"/>
    <w:rsid w:val="00EB6295"/>
    <w:rsid w:val="00EB66C6"/>
    <w:rsid w:val="00EB79D3"/>
    <w:rsid w:val="00EB7B0D"/>
    <w:rsid w:val="00EB7CF1"/>
    <w:rsid w:val="00EB7EE3"/>
    <w:rsid w:val="00EC0544"/>
    <w:rsid w:val="00EC07BF"/>
    <w:rsid w:val="00EC12D5"/>
    <w:rsid w:val="00EC16D8"/>
    <w:rsid w:val="00EC186F"/>
    <w:rsid w:val="00EC29C9"/>
    <w:rsid w:val="00EC2D46"/>
    <w:rsid w:val="00EC316D"/>
    <w:rsid w:val="00EC335E"/>
    <w:rsid w:val="00EC3505"/>
    <w:rsid w:val="00EC3D05"/>
    <w:rsid w:val="00EC760F"/>
    <w:rsid w:val="00ED0058"/>
    <w:rsid w:val="00ED0D15"/>
    <w:rsid w:val="00ED10DA"/>
    <w:rsid w:val="00ED198E"/>
    <w:rsid w:val="00ED1B82"/>
    <w:rsid w:val="00ED20FF"/>
    <w:rsid w:val="00ED251C"/>
    <w:rsid w:val="00ED2753"/>
    <w:rsid w:val="00ED3E84"/>
    <w:rsid w:val="00ED4647"/>
    <w:rsid w:val="00ED5743"/>
    <w:rsid w:val="00ED69EE"/>
    <w:rsid w:val="00ED7136"/>
    <w:rsid w:val="00EE0E9D"/>
    <w:rsid w:val="00EE0EEE"/>
    <w:rsid w:val="00EE2FD7"/>
    <w:rsid w:val="00EE39D1"/>
    <w:rsid w:val="00EE4641"/>
    <w:rsid w:val="00EE4BF2"/>
    <w:rsid w:val="00EE5269"/>
    <w:rsid w:val="00EE52B7"/>
    <w:rsid w:val="00EE61B0"/>
    <w:rsid w:val="00EE6A38"/>
    <w:rsid w:val="00EE72FD"/>
    <w:rsid w:val="00EE78B5"/>
    <w:rsid w:val="00EE7FD7"/>
    <w:rsid w:val="00EF0026"/>
    <w:rsid w:val="00EF02EC"/>
    <w:rsid w:val="00EF02F7"/>
    <w:rsid w:val="00EF0692"/>
    <w:rsid w:val="00EF09A6"/>
    <w:rsid w:val="00EF0DDB"/>
    <w:rsid w:val="00EF186D"/>
    <w:rsid w:val="00EF1BFC"/>
    <w:rsid w:val="00EF1CCA"/>
    <w:rsid w:val="00EF2017"/>
    <w:rsid w:val="00EF2C50"/>
    <w:rsid w:val="00EF3E14"/>
    <w:rsid w:val="00EF4506"/>
    <w:rsid w:val="00EF5BF3"/>
    <w:rsid w:val="00EF5D25"/>
    <w:rsid w:val="00EF6DEA"/>
    <w:rsid w:val="00EF7323"/>
    <w:rsid w:val="00F00017"/>
    <w:rsid w:val="00F00158"/>
    <w:rsid w:val="00F008DA"/>
    <w:rsid w:val="00F00D2D"/>
    <w:rsid w:val="00F013B9"/>
    <w:rsid w:val="00F01FD6"/>
    <w:rsid w:val="00F026D5"/>
    <w:rsid w:val="00F033E3"/>
    <w:rsid w:val="00F04260"/>
    <w:rsid w:val="00F042AE"/>
    <w:rsid w:val="00F04636"/>
    <w:rsid w:val="00F0467A"/>
    <w:rsid w:val="00F047CD"/>
    <w:rsid w:val="00F06A21"/>
    <w:rsid w:val="00F06F0E"/>
    <w:rsid w:val="00F07234"/>
    <w:rsid w:val="00F07AFE"/>
    <w:rsid w:val="00F07D50"/>
    <w:rsid w:val="00F10E55"/>
    <w:rsid w:val="00F110CE"/>
    <w:rsid w:val="00F117B2"/>
    <w:rsid w:val="00F11901"/>
    <w:rsid w:val="00F123E2"/>
    <w:rsid w:val="00F13026"/>
    <w:rsid w:val="00F1509D"/>
    <w:rsid w:val="00F15566"/>
    <w:rsid w:val="00F1626C"/>
    <w:rsid w:val="00F171F5"/>
    <w:rsid w:val="00F17586"/>
    <w:rsid w:val="00F1776D"/>
    <w:rsid w:val="00F20AB2"/>
    <w:rsid w:val="00F2195A"/>
    <w:rsid w:val="00F22100"/>
    <w:rsid w:val="00F223EF"/>
    <w:rsid w:val="00F235BA"/>
    <w:rsid w:val="00F23B6B"/>
    <w:rsid w:val="00F24632"/>
    <w:rsid w:val="00F246DF"/>
    <w:rsid w:val="00F24E56"/>
    <w:rsid w:val="00F25881"/>
    <w:rsid w:val="00F25D75"/>
    <w:rsid w:val="00F260AF"/>
    <w:rsid w:val="00F264E8"/>
    <w:rsid w:val="00F2723A"/>
    <w:rsid w:val="00F2723C"/>
    <w:rsid w:val="00F27322"/>
    <w:rsid w:val="00F3089A"/>
    <w:rsid w:val="00F30BB0"/>
    <w:rsid w:val="00F30F91"/>
    <w:rsid w:val="00F316E1"/>
    <w:rsid w:val="00F31DE8"/>
    <w:rsid w:val="00F31E60"/>
    <w:rsid w:val="00F320AB"/>
    <w:rsid w:val="00F32279"/>
    <w:rsid w:val="00F32C62"/>
    <w:rsid w:val="00F333BE"/>
    <w:rsid w:val="00F345D8"/>
    <w:rsid w:val="00F35587"/>
    <w:rsid w:val="00F35722"/>
    <w:rsid w:val="00F35A14"/>
    <w:rsid w:val="00F35D9A"/>
    <w:rsid w:val="00F36520"/>
    <w:rsid w:val="00F36534"/>
    <w:rsid w:val="00F36A33"/>
    <w:rsid w:val="00F36F40"/>
    <w:rsid w:val="00F36F7E"/>
    <w:rsid w:val="00F3783B"/>
    <w:rsid w:val="00F37BF7"/>
    <w:rsid w:val="00F40EE8"/>
    <w:rsid w:val="00F419C7"/>
    <w:rsid w:val="00F421BD"/>
    <w:rsid w:val="00F42AF2"/>
    <w:rsid w:val="00F4301D"/>
    <w:rsid w:val="00F43871"/>
    <w:rsid w:val="00F43F89"/>
    <w:rsid w:val="00F441DE"/>
    <w:rsid w:val="00F446A3"/>
    <w:rsid w:val="00F446A7"/>
    <w:rsid w:val="00F4484D"/>
    <w:rsid w:val="00F4571D"/>
    <w:rsid w:val="00F45D0F"/>
    <w:rsid w:val="00F46234"/>
    <w:rsid w:val="00F47B19"/>
    <w:rsid w:val="00F47C2A"/>
    <w:rsid w:val="00F47C4B"/>
    <w:rsid w:val="00F47EB3"/>
    <w:rsid w:val="00F50077"/>
    <w:rsid w:val="00F50CC1"/>
    <w:rsid w:val="00F50D05"/>
    <w:rsid w:val="00F51132"/>
    <w:rsid w:val="00F51CAA"/>
    <w:rsid w:val="00F523AA"/>
    <w:rsid w:val="00F52C88"/>
    <w:rsid w:val="00F532E9"/>
    <w:rsid w:val="00F533C7"/>
    <w:rsid w:val="00F53FFE"/>
    <w:rsid w:val="00F54255"/>
    <w:rsid w:val="00F5491F"/>
    <w:rsid w:val="00F554A7"/>
    <w:rsid w:val="00F55C4B"/>
    <w:rsid w:val="00F55EA8"/>
    <w:rsid w:val="00F562D8"/>
    <w:rsid w:val="00F56B30"/>
    <w:rsid w:val="00F56B55"/>
    <w:rsid w:val="00F56CE7"/>
    <w:rsid w:val="00F56E9D"/>
    <w:rsid w:val="00F5707D"/>
    <w:rsid w:val="00F57286"/>
    <w:rsid w:val="00F57D63"/>
    <w:rsid w:val="00F57E7A"/>
    <w:rsid w:val="00F609D1"/>
    <w:rsid w:val="00F61756"/>
    <w:rsid w:val="00F618FC"/>
    <w:rsid w:val="00F61A60"/>
    <w:rsid w:val="00F624BD"/>
    <w:rsid w:val="00F6262A"/>
    <w:rsid w:val="00F6370D"/>
    <w:rsid w:val="00F6417F"/>
    <w:rsid w:val="00F642E8"/>
    <w:rsid w:val="00F646FD"/>
    <w:rsid w:val="00F64B4B"/>
    <w:rsid w:val="00F656FB"/>
    <w:rsid w:val="00F6580B"/>
    <w:rsid w:val="00F65A73"/>
    <w:rsid w:val="00F65D07"/>
    <w:rsid w:val="00F66EB7"/>
    <w:rsid w:val="00F670B6"/>
    <w:rsid w:val="00F678CE"/>
    <w:rsid w:val="00F67B32"/>
    <w:rsid w:val="00F705D3"/>
    <w:rsid w:val="00F7092E"/>
    <w:rsid w:val="00F713D1"/>
    <w:rsid w:val="00F71AC5"/>
    <w:rsid w:val="00F71AF0"/>
    <w:rsid w:val="00F727DE"/>
    <w:rsid w:val="00F73BF8"/>
    <w:rsid w:val="00F74025"/>
    <w:rsid w:val="00F74A7A"/>
    <w:rsid w:val="00F74B14"/>
    <w:rsid w:val="00F757F3"/>
    <w:rsid w:val="00F7723C"/>
    <w:rsid w:val="00F776D8"/>
    <w:rsid w:val="00F779D1"/>
    <w:rsid w:val="00F77A0E"/>
    <w:rsid w:val="00F77E87"/>
    <w:rsid w:val="00F8015D"/>
    <w:rsid w:val="00F81952"/>
    <w:rsid w:val="00F81F96"/>
    <w:rsid w:val="00F83898"/>
    <w:rsid w:val="00F83FB3"/>
    <w:rsid w:val="00F86304"/>
    <w:rsid w:val="00F86494"/>
    <w:rsid w:val="00F86EBB"/>
    <w:rsid w:val="00F875E1"/>
    <w:rsid w:val="00F8779E"/>
    <w:rsid w:val="00F877CC"/>
    <w:rsid w:val="00F87923"/>
    <w:rsid w:val="00F90724"/>
    <w:rsid w:val="00F90897"/>
    <w:rsid w:val="00F922F3"/>
    <w:rsid w:val="00F931E3"/>
    <w:rsid w:val="00F93F6E"/>
    <w:rsid w:val="00F95E52"/>
    <w:rsid w:val="00F95F12"/>
    <w:rsid w:val="00F973F2"/>
    <w:rsid w:val="00F974BC"/>
    <w:rsid w:val="00F97983"/>
    <w:rsid w:val="00F97A68"/>
    <w:rsid w:val="00FA0725"/>
    <w:rsid w:val="00FA0EB3"/>
    <w:rsid w:val="00FA0F1D"/>
    <w:rsid w:val="00FA18A5"/>
    <w:rsid w:val="00FA1A1D"/>
    <w:rsid w:val="00FA1EC7"/>
    <w:rsid w:val="00FA224B"/>
    <w:rsid w:val="00FA2591"/>
    <w:rsid w:val="00FA2636"/>
    <w:rsid w:val="00FA3837"/>
    <w:rsid w:val="00FA433D"/>
    <w:rsid w:val="00FA44B2"/>
    <w:rsid w:val="00FA4D58"/>
    <w:rsid w:val="00FA52A2"/>
    <w:rsid w:val="00FA61CE"/>
    <w:rsid w:val="00FA64B7"/>
    <w:rsid w:val="00FA6FAD"/>
    <w:rsid w:val="00FA7367"/>
    <w:rsid w:val="00FB08FC"/>
    <w:rsid w:val="00FB1192"/>
    <w:rsid w:val="00FB1283"/>
    <w:rsid w:val="00FB18C3"/>
    <w:rsid w:val="00FB1C79"/>
    <w:rsid w:val="00FB2E1E"/>
    <w:rsid w:val="00FB3905"/>
    <w:rsid w:val="00FB4BA6"/>
    <w:rsid w:val="00FB720E"/>
    <w:rsid w:val="00FB752B"/>
    <w:rsid w:val="00FC0A65"/>
    <w:rsid w:val="00FC16D0"/>
    <w:rsid w:val="00FC1DE3"/>
    <w:rsid w:val="00FC23A2"/>
    <w:rsid w:val="00FC29DF"/>
    <w:rsid w:val="00FC2BA3"/>
    <w:rsid w:val="00FC2F8C"/>
    <w:rsid w:val="00FC3D69"/>
    <w:rsid w:val="00FC3FB7"/>
    <w:rsid w:val="00FC4557"/>
    <w:rsid w:val="00FC48EB"/>
    <w:rsid w:val="00FC4A2B"/>
    <w:rsid w:val="00FC4F5E"/>
    <w:rsid w:val="00FC52D1"/>
    <w:rsid w:val="00FC5BCC"/>
    <w:rsid w:val="00FC768F"/>
    <w:rsid w:val="00FC7D86"/>
    <w:rsid w:val="00FC7E5F"/>
    <w:rsid w:val="00FD02FC"/>
    <w:rsid w:val="00FD0419"/>
    <w:rsid w:val="00FD09DB"/>
    <w:rsid w:val="00FD13A4"/>
    <w:rsid w:val="00FD2BA4"/>
    <w:rsid w:val="00FD3104"/>
    <w:rsid w:val="00FD34DB"/>
    <w:rsid w:val="00FD4726"/>
    <w:rsid w:val="00FD6382"/>
    <w:rsid w:val="00FD68EF"/>
    <w:rsid w:val="00FD6C8F"/>
    <w:rsid w:val="00FD745F"/>
    <w:rsid w:val="00FD755B"/>
    <w:rsid w:val="00FD7EB1"/>
    <w:rsid w:val="00FE0B02"/>
    <w:rsid w:val="00FE0C3C"/>
    <w:rsid w:val="00FE1039"/>
    <w:rsid w:val="00FE11BB"/>
    <w:rsid w:val="00FE209E"/>
    <w:rsid w:val="00FE235B"/>
    <w:rsid w:val="00FE25D1"/>
    <w:rsid w:val="00FE26CC"/>
    <w:rsid w:val="00FE33C3"/>
    <w:rsid w:val="00FE4974"/>
    <w:rsid w:val="00FE4981"/>
    <w:rsid w:val="00FE49F1"/>
    <w:rsid w:val="00FE4A7A"/>
    <w:rsid w:val="00FE4ACD"/>
    <w:rsid w:val="00FE4AE0"/>
    <w:rsid w:val="00FE4E0E"/>
    <w:rsid w:val="00FE524A"/>
    <w:rsid w:val="00FE5FBF"/>
    <w:rsid w:val="00FE6F09"/>
    <w:rsid w:val="00FE6F64"/>
    <w:rsid w:val="00FE753D"/>
    <w:rsid w:val="00FE779D"/>
    <w:rsid w:val="00FF083D"/>
    <w:rsid w:val="00FF0F9F"/>
    <w:rsid w:val="00FF1167"/>
    <w:rsid w:val="00FF1343"/>
    <w:rsid w:val="00FF1A07"/>
    <w:rsid w:val="00FF1D92"/>
    <w:rsid w:val="00FF258C"/>
    <w:rsid w:val="00FF298B"/>
    <w:rsid w:val="00FF2CDB"/>
    <w:rsid w:val="00FF2FCD"/>
    <w:rsid w:val="00FF3E05"/>
    <w:rsid w:val="00FF40FE"/>
    <w:rsid w:val="00FF47E9"/>
    <w:rsid w:val="00FF5711"/>
    <w:rsid w:val="00FF57CE"/>
    <w:rsid w:val="00FF5BC3"/>
    <w:rsid w:val="00FF65F6"/>
    <w:rsid w:val="00FF66D4"/>
    <w:rsid w:val="00FF6812"/>
    <w:rsid w:val="00FF6A9A"/>
    <w:rsid w:val="010121B4"/>
    <w:rsid w:val="01057B9C"/>
    <w:rsid w:val="011D520B"/>
    <w:rsid w:val="012E3084"/>
    <w:rsid w:val="014D1A1E"/>
    <w:rsid w:val="015C23ED"/>
    <w:rsid w:val="01876270"/>
    <w:rsid w:val="01C27EE0"/>
    <w:rsid w:val="01DE5789"/>
    <w:rsid w:val="01EA629E"/>
    <w:rsid w:val="01EC394D"/>
    <w:rsid w:val="01F257C6"/>
    <w:rsid w:val="01F3358F"/>
    <w:rsid w:val="01F966FB"/>
    <w:rsid w:val="01FA5C38"/>
    <w:rsid w:val="02083418"/>
    <w:rsid w:val="020839A4"/>
    <w:rsid w:val="021A48A1"/>
    <w:rsid w:val="023B0C42"/>
    <w:rsid w:val="02417F36"/>
    <w:rsid w:val="02815AEE"/>
    <w:rsid w:val="028F254D"/>
    <w:rsid w:val="02965968"/>
    <w:rsid w:val="02AB779A"/>
    <w:rsid w:val="02BB1210"/>
    <w:rsid w:val="02C734AB"/>
    <w:rsid w:val="02D80282"/>
    <w:rsid w:val="02FF3B4F"/>
    <w:rsid w:val="030A5F87"/>
    <w:rsid w:val="03153D4F"/>
    <w:rsid w:val="033108AA"/>
    <w:rsid w:val="03335269"/>
    <w:rsid w:val="03377A87"/>
    <w:rsid w:val="033B159C"/>
    <w:rsid w:val="033E02C8"/>
    <w:rsid w:val="035A5108"/>
    <w:rsid w:val="035F0FDC"/>
    <w:rsid w:val="036238EE"/>
    <w:rsid w:val="0367131C"/>
    <w:rsid w:val="037167B4"/>
    <w:rsid w:val="03741BEE"/>
    <w:rsid w:val="03803A6C"/>
    <w:rsid w:val="038B7CF8"/>
    <w:rsid w:val="03C629F9"/>
    <w:rsid w:val="03F64B7C"/>
    <w:rsid w:val="03FC2783"/>
    <w:rsid w:val="0407219A"/>
    <w:rsid w:val="04125505"/>
    <w:rsid w:val="04180229"/>
    <w:rsid w:val="04457D7A"/>
    <w:rsid w:val="04493717"/>
    <w:rsid w:val="04542D69"/>
    <w:rsid w:val="046D61BF"/>
    <w:rsid w:val="046E257A"/>
    <w:rsid w:val="04754DF6"/>
    <w:rsid w:val="04757804"/>
    <w:rsid w:val="04826618"/>
    <w:rsid w:val="04A06BD3"/>
    <w:rsid w:val="04B12503"/>
    <w:rsid w:val="04B54326"/>
    <w:rsid w:val="04C027DA"/>
    <w:rsid w:val="04D05535"/>
    <w:rsid w:val="05344197"/>
    <w:rsid w:val="05381C93"/>
    <w:rsid w:val="05491754"/>
    <w:rsid w:val="054D6E41"/>
    <w:rsid w:val="055C29E6"/>
    <w:rsid w:val="05667072"/>
    <w:rsid w:val="05807E42"/>
    <w:rsid w:val="059949FB"/>
    <w:rsid w:val="05B65011"/>
    <w:rsid w:val="05EB7434"/>
    <w:rsid w:val="05ED6639"/>
    <w:rsid w:val="06094477"/>
    <w:rsid w:val="062E3E59"/>
    <w:rsid w:val="06380872"/>
    <w:rsid w:val="065E106E"/>
    <w:rsid w:val="066F069C"/>
    <w:rsid w:val="06894AA7"/>
    <w:rsid w:val="06AA6586"/>
    <w:rsid w:val="06B01105"/>
    <w:rsid w:val="06B705AA"/>
    <w:rsid w:val="06BC31F8"/>
    <w:rsid w:val="06BF110B"/>
    <w:rsid w:val="06C93C94"/>
    <w:rsid w:val="06DE0942"/>
    <w:rsid w:val="06F00EC7"/>
    <w:rsid w:val="07536316"/>
    <w:rsid w:val="075F1857"/>
    <w:rsid w:val="07610443"/>
    <w:rsid w:val="07685775"/>
    <w:rsid w:val="078E4114"/>
    <w:rsid w:val="07CC4505"/>
    <w:rsid w:val="07E7203A"/>
    <w:rsid w:val="07F51D10"/>
    <w:rsid w:val="07F52AF3"/>
    <w:rsid w:val="07FD548A"/>
    <w:rsid w:val="08011855"/>
    <w:rsid w:val="082F0748"/>
    <w:rsid w:val="083663FE"/>
    <w:rsid w:val="08416698"/>
    <w:rsid w:val="08541113"/>
    <w:rsid w:val="0870583B"/>
    <w:rsid w:val="087246A4"/>
    <w:rsid w:val="087A78EF"/>
    <w:rsid w:val="0888612A"/>
    <w:rsid w:val="088A4E54"/>
    <w:rsid w:val="08B4574D"/>
    <w:rsid w:val="08B84D5E"/>
    <w:rsid w:val="091372BC"/>
    <w:rsid w:val="093840F4"/>
    <w:rsid w:val="09682067"/>
    <w:rsid w:val="096B19AA"/>
    <w:rsid w:val="09760EFF"/>
    <w:rsid w:val="09A344DE"/>
    <w:rsid w:val="09ED1A20"/>
    <w:rsid w:val="0A0176DB"/>
    <w:rsid w:val="0A0D0C73"/>
    <w:rsid w:val="0A2E2742"/>
    <w:rsid w:val="0A333C86"/>
    <w:rsid w:val="0A3F5A60"/>
    <w:rsid w:val="0A5E413C"/>
    <w:rsid w:val="0A7E393D"/>
    <w:rsid w:val="0A864227"/>
    <w:rsid w:val="0AAD72F9"/>
    <w:rsid w:val="0ACD638B"/>
    <w:rsid w:val="0AD9524D"/>
    <w:rsid w:val="0AFD63AD"/>
    <w:rsid w:val="0B0C7D22"/>
    <w:rsid w:val="0B2473D6"/>
    <w:rsid w:val="0B414874"/>
    <w:rsid w:val="0B5A11EE"/>
    <w:rsid w:val="0B5A5B07"/>
    <w:rsid w:val="0B916435"/>
    <w:rsid w:val="0B9F6F1A"/>
    <w:rsid w:val="0BA714CF"/>
    <w:rsid w:val="0BE228D9"/>
    <w:rsid w:val="0BE704D4"/>
    <w:rsid w:val="0BEC7A31"/>
    <w:rsid w:val="0BFF45B8"/>
    <w:rsid w:val="0C0055CE"/>
    <w:rsid w:val="0C493EF0"/>
    <w:rsid w:val="0C8830CE"/>
    <w:rsid w:val="0C9D062C"/>
    <w:rsid w:val="0CA6525B"/>
    <w:rsid w:val="0CB269EE"/>
    <w:rsid w:val="0CCC27B8"/>
    <w:rsid w:val="0CD2371B"/>
    <w:rsid w:val="0CF01234"/>
    <w:rsid w:val="0CF40DB9"/>
    <w:rsid w:val="0CFC41A7"/>
    <w:rsid w:val="0D2248AB"/>
    <w:rsid w:val="0D391C3B"/>
    <w:rsid w:val="0D43795F"/>
    <w:rsid w:val="0D4B0B4A"/>
    <w:rsid w:val="0D604920"/>
    <w:rsid w:val="0D6D3FB8"/>
    <w:rsid w:val="0D865AA9"/>
    <w:rsid w:val="0D9A1D62"/>
    <w:rsid w:val="0DA445F7"/>
    <w:rsid w:val="0DA6054C"/>
    <w:rsid w:val="0DB728CB"/>
    <w:rsid w:val="0DCC25F2"/>
    <w:rsid w:val="0DD704E8"/>
    <w:rsid w:val="0E1722D9"/>
    <w:rsid w:val="0E1A6622"/>
    <w:rsid w:val="0E1F3F88"/>
    <w:rsid w:val="0E296E8C"/>
    <w:rsid w:val="0E3C6A6F"/>
    <w:rsid w:val="0E5D2169"/>
    <w:rsid w:val="0E642DBE"/>
    <w:rsid w:val="0E6B2D07"/>
    <w:rsid w:val="0E8934EC"/>
    <w:rsid w:val="0EBA2932"/>
    <w:rsid w:val="0EFA7455"/>
    <w:rsid w:val="0F075240"/>
    <w:rsid w:val="0F3B44B7"/>
    <w:rsid w:val="0F4559E8"/>
    <w:rsid w:val="0F7874D3"/>
    <w:rsid w:val="0F7A572B"/>
    <w:rsid w:val="0F7E3D1F"/>
    <w:rsid w:val="0F93184A"/>
    <w:rsid w:val="0FA31B3C"/>
    <w:rsid w:val="0FCB0D2B"/>
    <w:rsid w:val="0FEF6E8E"/>
    <w:rsid w:val="100F2BAC"/>
    <w:rsid w:val="1020070E"/>
    <w:rsid w:val="10814771"/>
    <w:rsid w:val="109B601A"/>
    <w:rsid w:val="10A019E2"/>
    <w:rsid w:val="10D12BCF"/>
    <w:rsid w:val="10DE01B7"/>
    <w:rsid w:val="10E900DF"/>
    <w:rsid w:val="10F65B9E"/>
    <w:rsid w:val="11182E8B"/>
    <w:rsid w:val="1135167B"/>
    <w:rsid w:val="1140740F"/>
    <w:rsid w:val="115926A3"/>
    <w:rsid w:val="115E381C"/>
    <w:rsid w:val="1164034B"/>
    <w:rsid w:val="116F63DA"/>
    <w:rsid w:val="1174620A"/>
    <w:rsid w:val="11916C7D"/>
    <w:rsid w:val="119E5550"/>
    <w:rsid w:val="11AB263B"/>
    <w:rsid w:val="11C875C7"/>
    <w:rsid w:val="11D84AEB"/>
    <w:rsid w:val="11DC3A84"/>
    <w:rsid w:val="1200444D"/>
    <w:rsid w:val="120B186C"/>
    <w:rsid w:val="120D7A16"/>
    <w:rsid w:val="121374A0"/>
    <w:rsid w:val="121B3BC2"/>
    <w:rsid w:val="12BA42E5"/>
    <w:rsid w:val="12CB26FA"/>
    <w:rsid w:val="12CF0A95"/>
    <w:rsid w:val="12DC5E2A"/>
    <w:rsid w:val="12E54F70"/>
    <w:rsid w:val="12E55A1D"/>
    <w:rsid w:val="13072288"/>
    <w:rsid w:val="13154A76"/>
    <w:rsid w:val="134210AC"/>
    <w:rsid w:val="134770B1"/>
    <w:rsid w:val="134971E4"/>
    <w:rsid w:val="135E06A6"/>
    <w:rsid w:val="13621B42"/>
    <w:rsid w:val="1392645F"/>
    <w:rsid w:val="13970D53"/>
    <w:rsid w:val="139F62B4"/>
    <w:rsid w:val="13CD6ED0"/>
    <w:rsid w:val="13CF3524"/>
    <w:rsid w:val="13F9496E"/>
    <w:rsid w:val="140037BB"/>
    <w:rsid w:val="141B10DA"/>
    <w:rsid w:val="141F04B3"/>
    <w:rsid w:val="143E208D"/>
    <w:rsid w:val="144A3D1C"/>
    <w:rsid w:val="145B447D"/>
    <w:rsid w:val="14723CA6"/>
    <w:rsid w:val="14A14619"/>
    <w:rsid w:val="14AC4AD7"/>
    <w:rsid w:val="14B7654A"/>
    <w:rsid w:val="15182EDD"/>
    <w:rsid w:val="151A3E92"/>
    <w:rsid w:val="151B4973"/>
    <w:rsid w:val="15210405"/>
    <w:rsid w:val="15297911"/>
    <w:rsid w:val="152D633D"/>
    <w:rsid w:val="152F0479"/>
    <w:rsid w:val="156003AE"/>
    <w:rsid w:val="15B25EA5"/>
    <w:rsid w:val="15B76143"/>
    <w:rsid w:val="15C2087C"/>
    <w:rsid w:val="15DD11B0"/>
    <w:rsid w:val="15FF2A30"/>
    <w:rsid w:val="160B4401"/>
    <w:rsid w:val="161569B0"/>
    <w:rsid w:val="1621472A"/>
    <w:rsid w:val="162B63DB"/>
    <w:rsid w:val="1633568A"/>
    <w:rsid w:val="1655024E"/>
    <w:rsid w:val="16735A85"/>
    <w:rsid w:val="16805975"/>
    <w:rsid w:val="168129A1"/>
    <w:rsid w:val="168C2CC8"/>
    <w:rsid w:val="16903CA0"/>
    <w:rsid w:val="16A64C95"/>
    <w:rsid w:val="16B03EFD"/>
    <w:rsid w:val="16BB65F4"/>
    <w:rsid w:val="16BF6841"/>
    <w:rsid w:val="16CC3C26"/>
    <w:rsid w:val="16DE482C"/>
    <w:rsid w:val="16F45BA7"/>
    <w:rsid w:val="16FA076D"/>
    <w:rsid w:val="16FA0CE1"/>
    <w:rsid w:val="17083D77"/>
    <w:rsid w:val="170C1684"/>
    <w:rsid w:val="1720323B"/>
    <w:rsid w:val="1743599B"/>
    <w:rsid w:val="1747628E"/>
    <w:rsid w:val="175517F4"/>
    <w:rsid w:val="176E0FDC"/>
    <w:rsid w:val="178859BF"/>
    <w:rsid w:val="178E01E6"/>
    <w:rsid w:val="178E22EF"/>
    <w:rsid w:val="178F0397"/>
    <w:rsid w:val="179A0FFA"/>
    <w:rsid w:val="17A63D28"/>
    <w:rsid w:val="17AF2F8C"/>
    <w:rsid w:val="17ED036C"/>
    <w:rsid w:val="17F00113"/>
    <w:rsid w:val="181776EB"/>
    <w:rsid w:val="182A7118"/>
    <w:rsid w:val="18510D38"/>
    <w:rsid w:val="187537ED"/>
    <w:rsid w:val="18AC35C1"/>
    <w:rsid w:val="18B5559A"/>
    <w:rsid w:val="18C319F7"/>
    <w:rsid w:val="18F0300A"/>
    <w:rsid w:val="196B24D2"/>
    <w:rsid w:val="1971423F"/>
    <w:rsid w:val="198C6EBC"/>
    <w:rsid w:val="19BC6116"/>
    <w:rsid w:val="19CB5635"/>
    <w:rsid w:val="19D209DE"/>
    <w:rsid w:val="19FC69DF"/>
    <w:rsid w:val="1A081098"/>
    <w:rsid w:val="1A580EB0"/>
    <w:rsid w:val="1A60497A"/>
    <w:rsid w:val="1A772B87"/>
    <w:rsid w:val="1A903008"/>
    <w:rsid w:val="1A987461"/>
    <w:rsid w:val="1AAA7452"/>
    <w:rsid w:val="1AD17CA8"/>
    <w:rsid w:val="1AD55CAA"/>
    <w:rsid w:val="1ADB1778"/>
    <w:rsid w:val="1AE21D0C"/>
    <w:rsid w:val="1AF44D5D"/>
    <w:rsid w:val="1B0B129A"/>
    <w:rsid w:val="1B121B29"/>
    <w:rsid w:val="1B1B3F34"/>
    <w:rsid w:val="1B253D47"/>
    <w:rsid w:val="1B4E5053"/>
    <w:rsid w:val="1B5D2DE0"/>
    <w:rsid w:val="1B604DF7"/>
    <w:rsid w:val="1B921FF3"/>
    <w:rsid w:val="1BA633C0"/>
    <w:rsid w:val="1BC103FE"/>
    <w:rsid w:val="1BC3175F"/>
    <w:rsid w:val="1BDF3D7D"/>
    <w:rsid w:val="1BEF3A56"/>
    <w:rsid w:val="1C0822DA"/>
    <w:rsid w:val="1C0C163B"/>
    <w:rsid w:val="1C100809"/>
    <w:rsid w:val="1C177C20"/>
    <w:rsid w:val="1C2A5565"/>
    <w:rsid w:val="1C2F0CD1"/>
    <w:rsid w:val="1C762D35"/>
    <w:rsid w:val="1C7A54B0"/>
    <w:rsid w:val="1C7F00B8"/>
    <w:rsid w:val="1C86410C"/>
    <w:rsid w:val="1CBF6A22"/>
    <w:rsid w:val="1CC768F8"/>
    <w:rsid w:val="1CE859BE"/>
    <w:rsid w:val="1D015AE5"/>
    <w:rsid w:val="1D07589C"/>
    <w:rsid w:val="1D3C429E"/>
    <w:rsid w:val="1D4A5C87"/>
    <w:rsid w:val="1D4E0258"/>
    <w:rsid w:val="1D541EFB"/>
    <w:rsid w:val="1D6A0C05"/>
    <w:rsid w:val="1D6E6BA6"/>
    <w:rsid w:val="1DAE417C"/>
    <w:rsid w:val="1DDE68B0"/>
    <w:rsid w:val="1DDF5700"/>
    <w:rsid w:val="1DFD3319"/>
    <w:rsid w:val="1E2D7697"/>
    <w:rsid w:val="1E44339B"/>
    <w:rsid w:val="1E515C21"/>
    <w:rsid w:val="1E5D5F5E"/>
    <w:rsid w:val="1E6B2C5C"/>
    <w:rsid w:val="1EC61459"/>
    <w:rsid w:val="1F0301F3"/>
    <w:rsid w:val="1F0B3FA8"/>
    <w:rsid w:val="1F1C0096"/>
    <w:rsid w:val="1F1E3F15"/>
    <w:rsid w:val="1F22017B"/>
    <w:rsid w:val="1F365824"/>
    <w:rsid w:val="1F3E18B1"/>
    <w:rsid w:val="1F3E65A4"/>
    <w:rsid w:val="1F4E4A57"/>
    <w:rsid w:val="1F5C33B2"/>
    <w:rsid w:val="1F6C01FB"/>
    <w:rsid w:val="1F6E5AA6"/>
    <w:rsid w:val="1F86685B"/>
    <w:rsid w:val="1F936DDB"/>
    <w:rsid w:val="1F983359"/>
    <w:rsid w:val="1FAF7086"/>
    <w:rsid w:val="1FC9456C"/>
    <w:rsid w:val="1FDC62CF"/>
    <w:rsid w:val="1FEA721E"/>
    <w:rsid w:val="2000783F"/>
    <w:rsid w:val="202B6047"/>
    <w:rsid w:val="20350C8C"/>
    <w:rsid w:val="20361FFF"/>
    <w:rsid w:val="203B2300"/>
    <w:rsid w:val="205116A7"/>
    <w:rsid w:val="206665FB"/>
    <w:rsid w:val="207659AC"/>
    <w:rsid w:val="209469F1"/>
    <w:rsid w:val="209D5762"/>
    <w:rsid w:val="20AB0E7B"/>
    <w:rsid w:val="20B03301"/>
    <w:rsid w:val="20B67389"/>
    <w:rsid w:val="20C65B22"/>
    <w:rsid w:val="20C973F9"/>
    <w:rsid w:val="20E30BDA"/>
    <w:rsid w:val="21193606"/>
    <w:rsid w:val="21212A72"/>
    <w:rsid w:val="212161FF"/>
    <w:rsid w:val="212D4E36"/>
    <w:rsid w:val="21413CAA"/>
    <w:rsid w:val="216A70BC"/>
    <w:rsid w:val="218477B1"/>
    <w:rsid w:val="218E4210"/>
    <w:rsid w:val="21D70B84"/>
    <w:rsid w:val="21E83E79"/>
    <w:rsid w:val="21F14B9E"/>
    <w:rsid w:val="21F23A6F"/>
    <w:rsid w:val="221064F1"/>
    <w:rsid w:val="221A35C8"/>
    <w:rsid w:val="22292F15"/>
    <w:rsid w:val="222F5B9B"/>
    <w:rsid w:val="22477BDC"/>
    <w:rsid w:val="225E5DAE"/>
    <w:rsid w:val="226C1580"/>
    <w:rsid w:val="228910C3"/>
    <w:rsid w:val="22A14CAF"/>
    <w:rsid w:val="22A80088"/>
    <w:rsid w:val="22B0078D"/>
    <w:rsid w:val="22C2262B"/>
    <w:rsid w:val="22D55E24"/>
    <w:rsid w:val="22DD4CB8"/>
    <w:rsid w:val="22E03BC1"/>
    <w:rsid w:val="22E903DF"/>
    <w:rsid w:val="22F247F2"/>
    <w:rsid w:val="230E215D"/>
    <w:rsid w:val="23314C87"/>
    <w:rsid w:val="235F7C19"/>
    <w:rsid w:val="2362779B"/>
    <w:rsid w:val="2363134C"/>
    <w:rsid w:val="23B11D71"/>
    <w:rsid w:val="23CC5E70"/>
    <w:rsid w:val="240949AF"/>
    <w:rsid w:val="241E57DC"/>
    <w:rsid w:val="24272C62"/>
    <w:rsid w:val="243112BD"/>
    <w:rsid w:val="24316697"/>
    <w:rsid w:val="24360333"/>
    <w:rsid w:val="24511DF5"/>
    <w:rsid w:val="245537BC"/>
    <w:rsid w:val="24723EC5"/>
    <w:rsid w:val="248E160F"/>
    <w:rsid w:val="249F50C1"/>
    <w:rsid w:val="24A44625"/>
    <w:rsid w:val="24A858F2"/>
    <w:rsid w:val="24BD3F8A"/>
    <w:rsid w:val="24C238FB"/>
    <w:rsid w:val="24CC7712"/>
    <w:rsid w:val="24D06DF3"/>
    <w:rsid w:val="25213C44"/>
    <w:rsid w:val="253A4A18"/>
    <w:rsid w:val="25523BBE"/>
    <w:rsid w:val="259125F2"/>
    <w:rsid w:val="25AF3095"/>
    <w:rsid w:val="25B530D3"/>
    <w:rsid w:val="2600201A"/>
    <w:rsid w:val="261C52D1"/>
    <w:rsid w:val="261D777B"/>
    <w:rsid w:val="261F466A"/>
    <w:rsid w:val="26244257"/>
    <w:rsid w:val="265E3C59"/>
    <w:rsid w:val="266620D4"/>
    <w:rsid w:val="266D4047"/>
    <w:rsid w:val="267820F2"/>
    <w:rsid w:val="268F4014"/>
    <w:rsid w:val="26A75B16"/>
    <w:rsid w:val="26C50280"/>
    <w:rsid w:val="26CA59D0"/>
    <w:rsid w:val="26CD2968"/>
    <w:rsid w:val="26FA09CC"/>
    <w:rsid w:val="2708692E"/>
    <w:rsid w:val="272C3D09"/>
    <w:rsid w:val="27360B95"/>
    <w:rsid w:val="273A2B22"/>
    <w:rsid w:val="275556F2"/>
    <w:rsid w:val="276F0FE8"/>
    <w:rsid w:val="277903C9"/>
    <w:rsid w:val="27CB6717"/>
    <w:rsid w:val="27D156C2"/>
    <w:rsid w:val="27D52825"/>
    <w:rsid w:val="27E061D5"/>
    <w:rsid w:val="27EC6870"/>
    <w:rsid w:val="27F77575"/>
    <w:rsid w:val="27FF4D2A"/>
    <w:rsid w:val="28054866"/>
    <w:rsid w:val="28143602"/>
    <w:rsid w:val="2822269C"/>
    <w:rsid w:val="28234252"/>
    <w:rsid w:val="282E547B"/>
    <w:rsid w:val="283E2113"/>
    <w:rsid w:val="284561A6"/>
    <w:rsid w:val="28487DB2"/>
    <w:rsid w:val="28890C2E"/>
    <w:rsid w:val="289A3463"/>
    <w:rsid w:val="289E746C"/>
    <w:rsid w:val="28AC3B75"/>
    <w:rsid w:val="28B63737"/>
    <w:rsid w:val="28D4248B"/>
    <w:rsid w:val="28E27DFA"/>
    <w:rsid w:val="28E353A7"/>
    <w:rsid w:val="29372C66"/>
    <w:rsid w:val="295419DA"/>
    <w:rsid w:val="297C4BA0"/>
    <w:rsid w:val="297D4845"/>
    <w:rsid w:val="29950BD6"/>
    <w:rsid w:val="299B3659"/>
    <w:rsid w:val="29A16262"/>
    <w:rsid w:val="29B04C31"/>
    <w:rsid w:val="29B4646D"/>
    <w:rsid w:val="29B54886"/>
    <w:rsid w:val="29C341A6"/>
    <w:rsid w:val="2A122BAE"/>
    <w:rsid w:val="2A1D25F8"/>
    <w:rsid w:val="2A231C35"/>
    <w:rsid w:val="2A5B3223"/>
    <w:rsid w:val="2A63278C"/>
    <w:rsid w:val="2A8F24C6"/>
    <w:rsid w:val="2A95289A"/>
    <w:rsid w:val="2A981247"/>
    <w:rsid w:val="2AA80AC8"/>
    <w:rsid w:val="2AAE2830"/>
    <w:rsid w:val="2AD0339B"/>
    <w:rsid w:val="2ADB536F"/>
    <w:rsid w:val="2AF045E9"/>
    <w:rsid w:val="2AF24068"/>
    <w:rsid w:val="2AF73C58"/>
    <w:rsid w:val="2B000A49"/>
    <w:rsid w:val="2B1F3166"/>
    <w:rsid w:val="2B3551D5"/>
    <w:rsid w:val="2B3A692D"/>
    <w:rsid w:val="2B4C12AC"/>
    <w:rsid w:val="2B630132"/>
    <w:rsid w:val="2B731CEC"/>
    <w:rsid w:val="2B8071C6"/>
    <w:rsid w:val="2B8443F3"/>
    <w:rsid w:val="2B952540"/>
    <w:rsid w:val="2B9A2D46"/>
    <w:rsid w:val="2BB14E47"/>
    <w:rsid w:val="2BB9200D"/>
    <w:rsid w:val="2BCD32BF"/>
    <w:rsid w:val="2BDC7935"/>
    <w:rsid w:val="2BF6059B"/>
    <w:rsid w:val="2BF94657"/>
    <w:rsid w:val="2C0B3F95"/>
    <w:rsid w:val="2C206568"/>
    <w:rsid w:val="2C293CC4"/>
    <w:rsid w:val="2C426B52"/>
    <w:rsid w:val="2C5D7B0A"/>
    <w:rsid w:val="2C731F22"/>
    <w:rsid w:val="2C756364"/>
    <w:rsid w:val="2CA45841"/>
    <w:rsid w:val="2CDB6701"/>
    <w:rsid w:val="2D05415D"/>
    <w:rsid w:val="2D11771E"/>
    <w:rsid w:val="2D156B44"/>
    <w:rsid w:val="2D17278E"/>
    <w:rsid w:val="2D1B17E0"/>
    <w:rsid w:val="2D6F231C"/>
    <w:rsid w:val="2D8A3552"/>
    <w:rsid w:val="2DA35FC8"/>
    <w:rsid w:val="2DC4206B"/>
    <w:rsid w:val="2DEB7597"/>
    <w:rsid w:val="2E034A1C"/>
    <w:rsid w:val="2E0740CF"/>
    <w:rsid w:val="2E205AD0"/>
    <w:rsid w:val="2E210FA6"/>
    <w:rsid w:val="2E2C4D9A"/>
    <w:rsid w:val="2E2E58BC"/>
    <w:rsid w:val="2E7507BE"/>
    <w:rsid w:val="2E8205E9"/>
    <w:rsid w:val="2E8B7F8E"/>
    <w:rsid w:val="2E9A5B2C"/>
    <w:rsid w:val="2EA03FB8"/>
    <w:rsid w:val="2EAD041C"/>
    <w:rsid w:val="2EBF7907"/>
    <w:rsid w:val="2EC576BF"/>
    <w:rsid w:val="2EE12697"/>
    <w:rsid w:val="2F155401"/>
    <w:rsid w:val="2F3437B5"/>
    <w:rsid w:val="2F424F98"/>
    <w:rsid w:val="2F7E453D"/>
    <w:rsid w:val="2FB136D1"/>
    <w:rsid w:val="2FF16036"/>
    <w:rsid w:val="300B1D99"/>
    <w:rsid w:val="301B0808"/>
    <w:rsid w:val="303514AA"/>
    <w:rsid w:val="30525650"/>
    <w:rsid w:val="30586DD3"/>
    <w:rsid w:val="3096010A"/>
    <w:rsid w:val="309C71D7"/>
    <w:rsid w:val="30B87238"/>
    <w:rsid w:val="30C25AB2"/>
    <w:rsid w:val="30C6418A"/>
    <w:rsid w:val="30C94247"/>
    <w:rsid w:val="30D667F4"/>
    <w:rsid w:val="30DB41EA"/>
    <w:rsid w:val="30F45482"/>
    <w:rsid w:val="31094BCF"/>
    <w:rsid w:val="311A376B"/>
    <w:rsid w:val="312D1FA1"/>
    <w:rsid w:val="31386288"/>
    <w:rsid w:val="313A73F8"/>
    <w:rsid w:val="31484DAC"/>
    <w:rsid w:val="315C35EC"/>
    <w:rsid w:val="317279D5"/>
    <w:rsid w:val="31854027"/>
    <w:rsid w:val="31950005"/>
    <w:rsid w:val="31980713"/>
    <w:rsid w:val="31A911FF"/>
    <w:rsid w:val="31AA54CE"/>
    <w:rsid w:val="31C33D33"/>
    <w:rsid w:val="31C425C6"/>
    <w:rsid w:val="31F4135B"/>
    <w:rsid w:val="31F70B7F"/>
    <w:rsid w:val="31FF2363"/>
    <w:rsid w:val="32052694"/>
    <w:rsid w:val="32062131"/>
    <w:rsid w:val="32106F9F"/>
    <w:rsid w:val="321D6C6F"/>
    <w:rsid w:val="32201C34"/>
    <w:rsid w:val="32332A29"/>
    <w:rsid w:val="323F4785"/>
    <w:rsid w:val="32566CB2"/>
    <w:rsid w:val="325A1ABE"/>
    <w:rsid w:val="325B0E99"/>
    <w:rsid w:val="326445C4"/>
    <w:rsid w:val="326A4FE9"/>
    <w:rsid w:val="330C27F8"/>
    <w:rsid w:val="33270A7A"/>
    <w:rsid w:val="333961D6"/>
    <w:rsid w:val="33C06EDD"/>
    <w:rsid w:val="33C21CD0"/>
    <w:rsid w:val="342071C9"/>
    <w:rsid w:val="34874F00"/>
    <w:rsid w:val="34915775"/>
    <w:rsid w:val="349C47C8"/>
    <w:rsid w:val="349F4E79"/>
    <w:rsid w:val="34B03A96"/>
    <w:rsid w:val="34B624C2"/>
    <w:rsid w:val="34CD677F"/>
    <w:rsid w:val="34D150D1"/>
    <w:rsid w:val="34EA259E"/>
    <w:rsid w:val="34F140F2"/>
    <w:rsid w:val="34FD1EFB"/>
    <w:rsid w:val="34FD203D"/>
    <w:rsid w:val="350F46D5"/>
    <w:rsid w:val="351247F0"/>
    <w:rsid w:val="352C260B"/>
    <w:rsid w:val="353C2AD3"/>
    <w:rsid w:val="354E6933"/>
    <w:rsid w:val="35616C94"/>
    <w:rsid w:val="35655BBA"/>
    <w:rsid w:val="359E662A"/>
    <w:rsid w:val="35C33F12"/>
    <w:rsid w:val="35C9247D"/>
    <w:rsid w:val="35EB226D"/>
    <w:rsid w:val="360E23B9"/>
    <w:rsid w:val="361602E2"/>
    <w:rsid w:val="36164001"/>
    <w:rsid w:val="362A1F3C"/>
    <w:rsid w:val="363B5B6B"/>
    <w:rsid w:val="36522807"/>
    <w:rsid w:val="368D718F"/>
    <w:rsid w:val="36996527"/>
    <w:rsid w:val="36A51998"/>
    <w:rsid w:val="36D21F9E"/>
    <w:rsid w:val="36ED11A0"/>
    <w:rsid w:val="36ED4ED5"/>
    <w:rsid w:val="36F671BF"/>
    <w:rsid w:val="370C14F2"/>
    <w:rsid w:val="37104193"/>
    <w:rsid w:val="371B2276"/>
    <w:rsid w:val="376A29DA"/>
    <w:rsid w:val="378F5EFD"/>
    <w:rsid w:val="3790104B"/>
    <w:rsid w:val="379F6930"/>
    <w:rsid w:val="37CA4016"/>
    <w:rsid w:val="37DE7E95"/>
    <w:rsid w:val="381C3E30"/>
    <w:rsid w:val="382A7158"/>
    <w:rsid w:val="38436DC3"/>
    <w:rsid w:val="38442A6D"/>
    <w:rsid w:val="384A3E02"/>
    <w:rsid w:val="384A776D"/>
    <w:rsid w:val="3895738D"/>
    <w:rsid w:val="38B7551A"/>
    <w:rsid w:val="38F36BBC"/>
    <w:rsid w:val="39425817"/>
    <w:rsid w:val="3957201F"/>
    <w:rsid w:val="39642924"/>
    <w:rsid w:val="39774223"/>
    <w:rsid w:val="39816DA0"/>
    <w:rsid w:val="399504BC"/>
    <w:rsid w:val="399A66BA"/>
    <w:rsid w:val="39A1604F"/>
    <w:rsid w:val="39BD2B8F"/>
    <w:rsid w:val="39D236E8"/>
    <w:rsid w:val="39E731EB"/>
    <w:rsid w:val="39E84055"/>
    <w:rsid w:val="39F3672B"/>
    <w:rsid w:val="39F744F4"/>
    <w:rsid w:val="3A04734E"/>
    <w:rsid w:val="3A0974A1"/>
    <w:rsid w:val="3A0F46AD"/>
    <w:rsid w:val="3A695E8C"/>
    <w:rsid w:val="3AA94E43"/>
    <w:rsid w:val="3AAC4396"/>
    <w:rsid w:val="3ACC0C53"/>
    <w:rsid w:val="3AD01001"/>
    <w:rsid w:val="3AEC68EA"/>
    <w:rsid w:val="3AF17344"/>
    <w:rsid w:val="3AF35F74"/>
    <w:rsid w:val="3B0E55BF"/>
    <w:rsid w:val="3B2404C1"/>
    <w:rsid w:val="3B420BA9"/>
    <w:rsid w:val="3B56585F"/>
    <w:rsid w:val="3B582F84"/>
    <w:rsid w:val="3B5D5F5A"/>
    <w:rsid w:val="3B7D4CE9"/>
    <w:rsid w:val="3B967EC8"/>
    <w:rsid w:val="3BB43ADF"/>
    <w:rsid w:val="3BE20F55"/>
    <w:rsid w:val="3C100947"/>
    <w:rsid w:val="3C2178E1"/>
    <w:rsid w:val="3C247790"/>
    <w:rsid w:val="3C254CCC"/>
    <w:rsid w:val="3C2F50A0"/>
    <w:rsid w:val="3C4363E5"/>
    <w:rsid w:val="3C7045F4"/>
    <w:rsid w:val="3C7C4451"/>
    <w:rsid w:val="3CC20720"/>
    <w:rsid w:val="3CCE286D"/>
    <w:rsid w:val="3CEE7ECF"/>
    <w:rsid w:val="3D0C457F"/>
    <w:rsid w:val="3D1132AC"/>
    <w:rsid w:val="3D27173A"/>
    <w:rsid w:val="3D3E6943"/>
    <w:rsid w:val="3D452A22"/>
    <w:rsid w:val="3D4E024D"/>
    <w:rsid w:val="3D8036B9"/>
    <w:rsid w:val="3D803E9A"/>
    <w:rsid w:val="3D89397E"/>
    <w:rsid w:val="3DF677BE"/>
    <w:rsid w:val="3DF72ABE"/>
    <w:rsid w:val="3E15789E"/>
    <w:rsid w:val="3E1759A0"/>
    <w:rsid w:val="3E301DCB"/>
    <w:rsid w:val="3E345DF8"/>
    <w:rsid w:val="3E3D5624"/>
    <w:rsid w:val="3E4F0AE8"/>
    <w:rsid w:val="3E5760F2"/>
    <w:rsid w:val="3E68154D"/>
    <w:rsid w:val="3E704FCB"/>
    <w:rsid w:val="3EA9233C"/>
    <w:rsid w:val="3EAF69F9"/>
    <w:rsid w:val="3EBF76EB"/>
    <w:rsid w:val="3F0B7E11"/>
    <w:rsid w:val="3F0E7013"/>
    <w:rsid w:val="3F0F3EE3"/>
    <w:rsid w:val="3F153021"/>
    <w:rsid w:val="3F185A9B"/>
    <w:rsid w:val="3F1C339F"/>
    <w:rsid w:val="3F1E5F14"/>
    <w:rsid w:val="3F944F38"/>
    <w:rsid w:val="3FA00970"/>
    <w:rsid w:val="3FC63D20"/>
    <w:rsid w:val="3FEE7DAF"/>
    <w:rsid w:val="40063F6B"/>
    <w:rsid w:val="400B78ED"/>
    <w:rsid w:val="400E65E7"/>
    <w:rsid w:val="40282AA6"/>
    <w:rsid w:val="402D7425"/>
    <w:rsid w:val="405C2DA8"/>
    <w:rsid w:val="406632F6"/>
    <w:rsid w:val="40977E1F"/>
    <w:rsid w:val="40D0628C"/>
    <w:rsid w:val="40D103D4"/>
    <w:rsid w:val="40DF404A"/>
    <w:rsid w:val="40DF6A9C"/>
    <w:rsid w:val="40EA4A09"/>
    <w:rsid w:val="40F7111F"/>
    <w:rsid w:val="41242BF5"/>
    <w:rsid w:val="412B6EC3"/>
    <w:rsid w:val="417E782D"/>
    <w:rsid w:val="418745FB"/>
    <w:rsid w:val="41CD4A79"/>
    <w:rsid w:val="41E9517F"/>
    <w:rsid w:val="42094C96"/>
    <w:rsid w:val="422305D1"/>
    <w:rsid w:val="423C32AA"/>
    <w:rsid w:val="42491097"/>
    <w:rsid w:val="42517D6E"/>
    <w:rsid w:val="429C4E95"/>
    <w:rsid w:val="42A860CD"/>
    <w:rsid w:val="42B93B70"/>
    <w:rsid w:val="42C83D75"/>
    <w:rsid w:val="42CC47ED"/>
    <w:rsid w:val="42D15B46"/>
    <w:rsid w:val="42DB0F9D"/>
    <w:rsid w:val="42EE6E5E"/>
    <w:rsid w:val="4337056C"/>
    <w:rsid w:val="43500040"/>
    <w:rsid w:val="43553331"/>
    <w:rsid w:val="4366785E"/>
    <w:rsid w:val="437064DB"/>
    <w:rsid w:val="437D7F53"/>
    <w:rsid w:val="438F3560"/>
    <w:rsid w:val="43AF18AB"/>
    <w:rsid w:val="441D1F00"/>
    <w:rsid w:val="444B5EB8"/>
    <w:rsid w:val="4450050C"/>
    <w:rsid w:val="445B4C0B"/>
    <w:rsid w:val="44730FEE"/>
    <w:rsid w:val="448564E7"/>
    <w:rsid w:val="448B6C94"/>
    <w:rsid w:val="44AA6EF0"/>
    <w:rsid w:val="44AD2071"/>
    <w:rsid w:val="44BC7627"/>
    <w:rsid w:val="44CD0BFE"/>
    <w:rsid w:val="44F90E69"/>
    <w:rsid w:val="4529649C"/>
    <w:rsid w:val="45300F05"/>
    <w:rsid w:val="45441531"/>
    <w:rsid w:val="456D49E4"/>
    <w:rsid w:val="458D7F51"/>
    <w:rsid w:val="4595240D"/>
    <w:rsid w:val="459A088E"/>
    <w:rsid w:val="45D7166C"/>
    <w:rsid w:val="45E51F6C"/>
    <w:rsid w:val="45FA0B7A"/>
    <w:rsid w:val="46012F35"/>
    <w:rsid w:val="460A6533"/>
    <w:rsid w:val="463846C2"/>
    <w:rsid w:val="46503696"/>
    <w:rsid w:val="46651B54"/>
    <w:rsid w:val="466A75E0"/>
    <w:rsid w:val="467C6A02"/>
    <w:rsid w:val="469204B3"/>
    <w:rsid w:val="46A5512F"/>
    <w:rsid w:val="46A76A8C"/>
    <w:rsid w:val="46B12AB1"/>
    <w:rsid w:val="46C304EC"/>
    <w:rsid w:val="46C8731F"/>
    <w:rsid w:val="46C878C5"/>
    <w:rsid w:val="46CC11E3"/>
    <w:rsid w:val="46CD5BB6"/>
    <w:rsid w:val="46DD4D00"/>
    <w:rsid w:val="46DE6997"/>
    <w:rsid w:val="46EF3E91"/>
    <w:rsid w:val="46EF6269"/>
    <w:rsid w:val="46FC032D"/>
    <w:rsid w:val="4720710C"/>
    <w:rsid w:val="472D7FF7"/>
    <w:rsid w:val="47713F8E"/>
    <w:rsid w:val="47CA46F7"/>
    <w:rsid w:val="47D46E3D"/>
    <w:rsid w:val="47E37BA6"/>
    <w:rsid w:val="47EF5207"/>
    <w:rsid w:val="47F84F07"/>
    <w:rsid w:val="47F92871"/>
    <w:rsid w:val="47FA65A7"/>
    <w:rsid w:val="4806741C"/>
    <w:rsid w:val="480760B4"/>
    <w:rsid w:val="48097452"/>
    <w:rsid w:val="480E330C"/>
    <w:rsid w:val="48112763"/>
    <w:rsid w:val="4858400B"/>
    <w:rsid w:val="48596344"/>
    <w:rsid w:val="485B4A38"/>
    <w:rsid w:val="48701C28"/>
    <w:rsid w:val="488B2397"/>
    <w:rsid w:val="48BC20D7"/>
    <w:rsid w:val="48E96695"/>
    <w:rsid w:val="48EC7C3C"/>
    <w:rsid w:val="49037270"/>
    <w:rsid w:val="4923123E"/>
    <w:rsid w:val="49313B6A"/>
    <w:rsid w:val="4932074F"/>
    <w:rsid w:val="496D6281"/>
    <w:rsid w:val="498262DF"/>
    <w:rsid w:val="499E06BA"/>
    <w:rsid w:val="49B15607"/>
    <w:rsid w:val="49C3062D"/>
    <w:rsid w:val="49CD3FBF"/>
    <w:rsid w:val="49FE12F1"/>
    <w:rsid w:val="4A076404"/>
    <w:rsid w:val="4A0A4BB5"/>
    <w:rsid w:val="4A436119"/>
    <w:rsid w:val="4A471071"/>
    <w:rsid w:val="4A4B5754"/>
    <w:rsid w:val="4A4B6D2D"/>
    <w:rsid w:val="4A670F80"/>
    <w:rsid w:val="4A6A1ED8"/>
    <w:rsid w:val="4A750B08"/>
    <w:rsid w:val="4A98135C"/>
    <w:rsid w:val="4AEA0EF6"/>
    <w:rsid w:val="4AEB49B0"/>
    <w:rsid w:val="4AFE6AA2"/>
    <w:rsid w:val="4B142940"/>
    <w:rsid w:val="4B2C32D6"/>
    <w:rsid w:val="4B4D5F8D"/>
    <w:rsid w:val="4B5B5980"/>
    <w:rsid w:val="4B672FE7"/>
    <w:rsid w:val="4B6D5AAA"/>
    <w:rsid w:val="4B8C55D6"/>
    <w:rsid w:val="4BCC3BF6"/>
    <w:rsid w:val="4BD95EEF"/>
    <w:rsid w:val="4C0D2254"/>
    <w:rsid w:val="4C163D80"/>
    <w:rsid w:val="4C6E0FF4"/>
    <w:rsid w:val="4C712CE5"/>
    <w:rsid w:val="4C934009"/>
    <w:rsid w:val="4CA61B4F"/>
    <w:rsid w:val="4CA725C0"/>
    <w:rsid w:val="4CC34FEA"/>
    <w:rsid w:val="4CCA71C6"/>
    <w:rsid w:val="4CCC49B3"/>
    <w:rsid w:val="4CD939BA"/>
    <w:rsid w:val="4CFB6325"/>
    <w:rsid w:val="4D1760B7"/>
    <w:rsid w:val="4D1946CB"/>
    <w:rsid w:val="4D252946"/>
    <w:rsid w:val="4D3D4B44"/>
    <w:rsid w:val="4D5D3E56"/>
    <w:rsid w:val="4D651791"/>
    <w:rsid w:val="4D6B0350"/>
    <w:rsid w:val="4D7D3941"/>
    <w:rsid w:val="4D866513"/>
    <w:rsid w:val="4DA85CDA"/>
    <w:rsid w:val="4DB53509"/>
    <w:rsid w:val="4DE75FA2"/>
    <w:rsid w:val="4DE956A9"/>
    <w:rsid w:val="4E0738EF"/>
    <w:rsid w:val="4E201AFE"/>
    <w:rsid w:val="4E210D00"/>
    <w:rsid w:val="4E595A69"/>
    <w:rsid w:val="4E8273DA"/>
    <w:rsid w:val="4ECA49EE"/>
    <w:rsid w:val="4EE11B97"/>
    <w:rsid w:val="4EFA7091"/>
    <w:rsid w:val="4F024AB5"/>
    <w:rsid w:val="4F1D667C"/>
    <w:rsid w:val="4F3B3C9E"/>
    <w:rsid w:val="4F552295"/>
    <w:rsid w:val="4F5F670D"/>
    <w:rsid w:val="4F697CFB"/>
    <w:rsid w:val="4F6B3699"/>
    <w:rsid w:val="4F7555AE"/>
    <w:rsid w:val="4F9143C4"/>
    <w:rsid w:val="4F9B31A5"/>
    <w:rsid w:val="4FB01AF3"/>
    <w:rsid w:val="4FB11E18"/>
    <w:rsid w:val="4FC84FD7"/>
    <w:rsid w:val="4FF439F8"/>
    <w:rsid w:val="50046CAF"/>
    <w:rsid w:val="500A072C"/>
    <w:rsid w:val="501F000D"/>
    <w:rsid w:val="501F267E"/>
    <w:rsid w:val="50205563"/>
    <w:rsid w:val="50210599"/>
    <w:rsid w:val="50907AA1"/>
    <w:rsid w:val="50A65494"/>
    <w:rsid w:val="50B90736"/>
    <w:rsid w:val="50CB4EC5"/>
    <w:rsid w:val="50F63E48"/>
    <w:rsid w:val="51155D61"/>
    <w:rsid w:val="513E5413"/>
    <w:rsid w:val="51516656"/>
    <w:rsid w:val="51625027"/>
    <w:rsid w:val="51635F6C"/>
    <w:rsid w:val="516460DD"/>
    <w:rsid w:val="51666BE5"/>
    <w:rsid w:val="51A0630A"/>
    <w:rsid w:val="51AD1AC1"/>
    <w:rsid w:val="51C216E1"/>
    <w:rsid w:val="51D63AAB"/>
    <w:rsid w:val="51E92754"/>
    <w:rsid w:val="51EC4680"/>
    <w:rsid w:val="51F27F2D"/>
    <w:rsid w:val="51F861BD"/>
    <w:rsid w:val="5220669B"/>
    <w:rsid w:val="523F1E74"/>
    <w:rsid w:val="527009FF"/>
    <w:rsid w:val="52775E6A"/>
    <w:rsid w:val="528A50AC"/>
    <w:rsid w:val="52C926F6"/>
    <w:rsid w:val="52D32E9B"/>
    <w:rsid w:val="52F237F2"/>
    <w:rsid w:val="52F30FB2"/>
    <w:rsid w:val="53067476"/>
    <w:rsid w:val="53540E87"/>
    <w:rsid w:val="535D120B"/>
    <w:rsid w:val="536E71E3"/>
    <w:rsid w:val="53840CB5"/>
    <w:rsid w:val="53A03C29"/>
    <w:rsid w:val="53C26886"/>
    <w:rsid w:val="53CF0220"/>
    <w:rsid w:val="53F57AC0"/>
    <w:rsid w:val="53FC5E13"/>
    <w:rsid w:val="53FE336B"/>
    <w:rsid w:val="542A46FB"/>
    <w:rsid w:val="545E2968"/>
    <w:rsid w:val="545E4C0F"/>
    <w:rsid w:val="546A6F41"/>
    <w:rsid w:val="546D5968"/>
    <w:rsid w:val="548250B8"/>
    <w:rsid w:val="54CC29EA"/>
    <w:rsid w:val="55000835"/>
    <w:rsid w:val="55002049"/>
    <w:rsid w:val="55033954"/>
    <w:rsid w:val="55055294"/>
    <w:rsid w:val="550A2115"/>
    <w:rsid w:val="554D231E"/>
    <w:rsid w:val="555836EB"/>
    <w:rsid w:val="557650C0"/>
    <w:rsid w:val="557A7DE6"/>
    <w:rsid w:val="558C0B67"/>
    <w:rsid w:val="55925592"/>
    <w:rsid w:val="55B74699"/>
    <w:rsid w:val="55C84FA4"/>
    <w:rsid w:val="55CE2BA1"/>
    <w:rsid w:val="56227512"/>
    <w:rsid w:val="562F3155"/>
    <w:rsid w:val="564216AA"/>
    <w:rsid w:val="566532E6"/>
    <w:rsid w:val="56694D86"/>
    <w:rsid w:val="566A5AB9"/>
    <w:rsid w:val="56A82AA3"/>
    <w:rsid w:val="56A95CBD"/>
    <w:rsid w:val="56D74779"/>
    <w:rsid w:val="56E505D6"/>
    <w:rsid w:val="56F0161B"/>
    <w:rsid w:val="57124491"/>
    <w:rsid w:val="57486E24"/>
    <w:rsid w:val="57673611"/>
    <w:rsid w:val="577D6E7F"/>
    <w:rsid w:val="57954A94"/>
    <w:rsid w:val="57A61F77"/>
    <w:rsid w:val="57B71599"/>
    <w:rsid w:val="57C94CAA"/>
    <w:rsid w:val="57D37EA8"/>
    <w:rsid w:val="57E350F5"/>
    <w:rsid w:val="5804203C"/>
    <w:rsid w:val="5833380D"/>
    <w:rsid w:val="583F6B67"/>
    <w:rsid w:val="58453292"/>
    <w:rsid w:val="584C40CF"/>
    <w:rsid w:val="58792CF0"/>
    <w:rsid w:val="587C5238"/>
    <w:rsid w:val="58835D0A"/>
    <w:rsid w:val="58946122"/>
    <w:rsid w:val="58B13AE3"/>
    <w:rsid w:val="58C94A85"/>
    <w:rsid w:val="58EE6ACC"/>
    <w:rsid w:val="58F0674C"/>
    <w:rsid w:val="58FB4C69"/>
    <w:rsid w:val="59034BD8"/>
    <w:rsid w:val="59170A28"/>
    <w:rsid w:val="595444FC"/>
    <w:rsid w:val="59661345"/>
    <w:rsid w:val="59744A51"/>
    <w:rsid w:val="59752E7A"/>
    <w:rsid w:val="597F43BF"/>
    <w:rsid w:val="59A82BCB"/>
    <w:rsid w:val="59D350CA"/>
    <w:rsid w:val="59E10F73"/>
    <w:rsid w:val="59E9012B"/>
    <w:rsid w:val="59F174F2"/>
    <w:rsid w:val="59FB769B"/>
    <w:rsid w:val="59FF05AA"/>
    <w:rsid w:val="5A235E77"/>
    <w:rsid w:val="5A261777"/>
    <w:rsid w:val="5A283713"/>
    <w:rsid w:val="5A2D3FEC"/>
    <w:rsid w:val="5A375691"/>
    <w:rsid w:val="5A4C14B5"/>
    <w:rsid w:val="5A55435D"/>
    <w:rsid w:val="5A631518"/>
    <w:rsid w:val="5A634463"/>
    <w:rsid w:val="5A640DB5"/>
    <w:rsid w:val="5A8B2E8C"/>
    <w:rsid w:val="5A9B1042"/>
    <w:rsid w:val="5AA37F08"/>
    <w:rsid w:val="5AD8350E"/>
    <w:rsid w:val="5B05022E"/>
    <w:rsid w:val="5B1B7103"/>
    <w:rsid w:val="5B23227A"/>
    <w:rsid w:val="5B326085"/>
    <w:rsid w:val="5B385DDF"/>
    <w:rsid w:val="5B692B89"/>
    <w:rsid w:val="5B727A52"/>
    <w:rsid w:val="5B760740"/>
    <w:rsid w:val="5BA344AB"/>
    <w:rsid w:val="5BA52E63"/>
    <w:rsid w:val="5BDB3C45"/>
    <w:rsid w:val="5BEF370E"/>
    <w:rsid w:val="5BEF471F"/>
    <w:rsid w:val="5BFF663A"/>
    <w:rsid w:val="5C0D399A"/>
    <w:rsid w:val="5C276F08"/>
    <w:rsid w:val="5C3818D0"/>
    <w:rsid w:val="5C437C7E"/>
    <w:rsid w:val="5C721F32"/>
    <w:rsid w:val="5C764219"/>
    <w:rsid w:val="5C7A68B6"/>
    <w:rsid w:val="5CC36434"/>
    <w:rsid w:val="5CE64688"/>
    <w:rsid w:val="5CE74894"/>
    <w:rsid w:val="5CEA79D6"/>
    <w:rsid w:val="5D301B09"/>
    <w:rsid w:val="5D3B6868"/>
    <w:rsid w:val="5D4D2572"/>
    <w:rsid w:val="5D546DEE"/>
    <w:rsid w:val="5D5A55DB"/>
    <w:rsid w:val="5D880462"/>
    <w:rsid w:val="5DA4513B"/>
    <w:rsid w:val="5DAB21D7"/>
    <w:rsid w:val="5DBF1D70"/>
    <w:rsid w:val="5DD067F8"/>
    <w:rsid w:val="5DEF00E1"/>
    <w:rsid w:val="5E394764"/>
    <w:rsid w:val="5E75011D"/>
    <w:rsid w:val="5EB7643D"/>
    <w:rsid w:val="5EC2074F"/>
    <w:rsid w:val="5ED1261B"/>
    <w:rsid w:val="5EDF5256"/>
    <w:rsid w:val="5F2B5303"/>
    <w:rsid w:val="5F30657A"/>
    <w:rsid w:val="5F342048"/>
    <w:rsid w:val="5F4E75EF"/>
    <w:rsid w:val="5F584B74"/>
    <w:rsid w:val="5FF00010"/>
    <w:rsid w:val="60164795"/>
    <w:rsid w:val="6021428F"/>
    <w:rsid w:val="60214F14"/>
    <w:rsid w:val="604520B0"/>
    <w:rsid w:val="604551E8"/>
    <w:rsid w:val="604A1211"/>
    <w:rsid w:val="60564A66"/>
    <w:rsid w:val="6059123C"/>
    <w:rsid w:val="606A4CED"/>
    <w:rsid w:val="607A0182"/>
    <w:rsid w:val="60A10A7D"/>
    <w:rsid w:val="60AF5FBC"/>
    <w:rsid w:val="60D81FA4"/>
    <w:rsid w:val="60DD1E5C"/>
    <w:rsid w:val="60E93827"/>
    <w:rsid w:val="60FE7608"/>
    <w:rsid w:val="61020ED0"/>
    <w:rsid w:val="613C395C"/>
    <w:rsid w:val="61703BC0"/>
    <w:rsid w:val="618A23AA"/>
    <w:rsid w:val="61AF487C"/>
    <w:rsid w:val="61B32133"/>
    <w:rsid w:val="61CB62F9"/>
    <w:rsid w:val="61D15516"/>
    <w:rsid w:val="61DF16F3"/>
    <w:rsid w:val="61FD1D5C"/>
    <w:rsid w:val="62014586"/>
    <w:rsid w:val="62161841"/>
    <w:rsid w:val="62164809"/>
    <w:rsid w:val="622A297C"/>
    <w:rsid w:val="622D6E7D"/>
    <w:rsid w:val="622E55FF"/>
    <w:rsid w:val="626611B9"/>
    <w:rsid w:val="62A4589B"/>
    <w:rsid w:val="62A727B2"/>
    <w:rsid w:val="62B01BF9"/>
    <w:rsid w:val="62DC2230"/>
    <w:rsid w:val="631B741B"/>
    <w:rsid w:val="631E2FA8"/>
    <w:rsid w:val="633330CC"/>
    <w:rsid w:val="63404D96"/>
    <w:rsid w:val="634925C1"/>
    <w:rsid w:val="63604368"/>
    <w:rsid w:val="636A5923"/>
    <w:rsid w:val="637921B7"/>
    <w:rsid w:val="63A70463"/>
    <w:rsid w:val="63BB5C80"/>
    <w:rsid w:val="63E63AF4"/>
    <w:rsid w:val="641E068B"/>
    <w:rsid w:val="642E3BA4"/>
    <w:rsid w:val="64404C97"/>
    <w:rsid w:val="64460B76"/>
    <w:rsid w:val="64B13FAF"/>
    <w:rsid w:val="64C746B7"/>
    <w:rsid w:val="64CE2F7F"/>
    <w:rsid w:val="64D4603E"/>
    <w:rsid w:val="64E67403"/>
    <w:rsid w:val="65085119"/>
    <w:rsid w:val="651214DA"/>
    <w:rsid w:val="65241CD9"/>
    <w:rsid w:val="65340950"/>
    <w:rsid w:val="6545536C"/>
    <w:rsid w:val="654D1CBF"/>
    <w:rsid w:val="657664CC"/>
    <w:rsid w:val="657B0223"/>
    <w:rsid w:val="657D28D7"/>
    <w:rsid w:val="659014FA"/>
    <w:rsid w:val="65933819"/>
    <w:rsid w:val="659447FA"/>
    <w:rsid w:val="65977189"/>
    <w:rsid w:val="659B43C5"/>
    <w:rsid w:val="65E0583F"/>
    <w:rsid w:val="65E70F80"/>
    <w:rsid w:val="65E85D5E"/>
    <w:rsid w:val="65FF076F"/>
    <w:rsid w:val="660161BC"/>
    <w:rsid w:val="660C1D84"/>
    <w:rsid w:val="6624195B"/>
    <w:rsid w:val="664D70F1"/>
    <w:rsid w:val="668078A8"/>
    <w:rsid w:val="66A90182"/>
    <w:rsid w:val="66BB4FBD"/>
    <w:rsid w:val="66C449E3"/>
    <w:rsid w:val="66D57530"/>
    <w:rsid w:val="66DE4AA6"/>
    <w:rsid w:val="672F4289"/>
    <w:rsid w:val="67331A75"/>
    <w:rsid w:val="67473CCB"/>
    <w:rsid w:val="67571703"/>
    <w:rsid w:val="67696CE8"/>
    <w:rsid w:val="67B46540"/>
    <w:rsid w:val="67B923D9"/>
    <w:rsid w:val="67C151C3"/>
    <w:rsid w:val="67C82C3F"/>
    <w:rsid w:val="67D253E6"/>
    <w:rsid w:val="67E44D89"/>
    <w:rsid w:val="67F43B95"/>
    <w:rsid w:val="67FC5552"/>
    <w:rsid w:val="68052EDA"/>
    <w:rsid w:val="680F4D53"/>
    <w:rsid w:val="686C6C7C"/>
    <w:rsid w:val="686F052A"/>
    <w:rsid w:val="686F3684"/>
    <w:rsid w:val="687D5BB4"/>
    <w:rsid w:val="688526EE"/>
    <w:rsid w:val="6888190E"/>
    <w:rsid w:val="68957C28"/>
    <w:rsid w:val="68A51FD0"/>
    <w:rsid w:val="68C42339"/>
    <w:rsid w:val="68C473B1"/>
    <w:rsid w:val="68D568D6"/>
    <w:rsid w:val="68DB16F4"/>
    <w:rsid w:val="691371EE"/>
    <w:rsid w:val="69273D3C"/>
    <w:rsid w:val="692B1D49"/>
    <w:rsid w:val="69402278"/>
    <w:rsid w:val="694A678E"/>
    <w:rsid w:val="694F36CE"/>
    <w:rsid w:val="695E470A"/>
    <w:rsid w:val="69605DD6"/>
    <w:rsid w:val="697554ED"/>
    <w:rsid w:val="698D7F32"/>
    <w:rsid w:val="69C819CB"/>
    <w:rsid w:val="69EB5F0C"/>
    <w:rsid w:val="69FA6245"/>
    <w:rsid w:val="6A3E6CFA"/>
    <w:rsid w:val="6A5220F2"/>
    <w:rsid w:val="6A57322C"/>
    <w:rsid w:val="6A625816"/>
    <w:rsid w:val="6A7D3F5C"/>
    <w:rsid w:val="6A8532E9"/>
    <w:rsid w:val="6A87584D"/>
    <w:rsid w:val="6A907644"/>
    <w:rsid w:val="6A9C36BB"/>
    <w:rsid w:val="6AAB23F2"/>
    <w:rsid w:val="6AB95A61"/>
    <w:rsid w:val="6ADD6B53"/>
    <w:rsid w:val="6AE054C9"/>
    <w:rsid w:val="6AE876AA"/>
    <w:rsid w:val="6AE96574"/>
    <w:rsid w:val="6AEE3FE2"/>
    <w:rsid w:val="6AF55D5E"/>
    <w:rsid w:val="6AFF5C1B"/>
    <w:rsid w:val="6AFF79BB"/>
    <w:rsid w:val="6B0E0F3B"/>
    <w:rsid w:val="6B151783"/>
    <w:rsid w:val="6B3411CB"/>
    <w:rsid w:val="6B3930D4"/>
    <w:rsid w:val="6B670F48"/>
    <w:rsid w:val="6B8B7E9A"/>
    <w:rsid w:val="6BA46FAF"/>
    <w:rsid w:val="6BED36B4"/>
    <w:rsid w:val="6C0E01F8"/>
    <w:rsid w:val="6C156606"/>
    <w:rsid w:val="6C3F76AE"/>
    <w:rsid w:val="6C40654A"/>
    <w:rsid w:val="6C4357D8"/>
    <w:rsid w:val="6C7B3758"/>
    <w:rsid w:val="6C81498E"/>
    <w:rsid w:val="6CCA7594"/>
    <w:rsid w:val="6CDA4128"/>
    <w:rsid w:val="6CDF3B4C"/>
    <w:rsid w:val="6CFE18B8"/>
    <w:rsid w:val="6D067303"/>
    <w:rsid w:val="6D0716D9"/>
    <w:rsid w:val="6D302984"/>
    <w:rsid w:val="6D3979B7"/>
    <w:rsid w:val="6D5E3B61"/>
    <w:rsid w:val="6D65538A"/>
    <w:rsid w:val="6D674FA4"/>
    <w:rsid w:val="6D952E1B"/>
    <w:rsid w:val="6D990D5C"/>
    <w:rsid w:val="6DD43CD0"/>
    <w:rsid w:val="6DE4126D"/>
    <w:rsid w:val="6DEE0854"/>
    <w:rsid w:val="6E125385"/>
    <w:rsid w:val="6E1568F7"/>
    <w:rsid w:val="6E210C63"/>
    <w:rsid w:val="6E2519AF"/>
    <w:rsid w:val="6E375EA9"/>
    <w:rsid w:val="6E541849"/>
    <w:rsid w:val="6E6F5E69"/>
    <w:rsid w:val="6E831ED5"/>
    <w:rsid w:val="6E881DA8"/>
    <w:rsid w:val="6E981D9A"/>
    <w:rsid w:val="6EA4790B"/>
    <w:rsid w:val="6ECB342B"/>
    <w:rsid w:val="6EDB0308"/>
    <w:rsid w:val="6EF63E7B"/>
    <w:rsid w:val="6F5F71C5"/>
    <w:rsid w:val="6F6E64E7"/>
    <w:rsid w:val="6F723308"/>
    <w:rsid w:val="6F79393B"/>
    <w:rsid w:val="6FA35D03"/>
    <w:rsid w:val="6FB811BC"/>
    <w:rsid w:val="6FE60CD3"/>
    <w:rsid w:val="6FFD3D22"/>
    <w:rsid w:val="701D623E"/>
    <w:rsid w:val="70384AAA"/>
    <w:rsid w:val="70894795"/>
    <w:rsid w:val="70B01698"/>
    <w:rsid w:val="70B70E36"/>
    <w:rsid w:val="70B85D7D"/>
    <w:rsid w:val="70BD55F5"/>
    <w:rsid w:val="70BD6DB8"/>
    <w:rsid w:val="70C11FF0"/>
    <w:rsid w:val="710E739E"/>
    <w:rsid w:val="71144207"/>
    <w:rsid w:val="711F1FDC"/>
    <w:rsid w:val="712C5F66"/>
    <w:rsid w:val="7134213E"/>
    <w:rsid w:val="71547A98"/>
    <w:rsid w:val="715502FD"/>
    <w:rsid w:val="718C2AA2"/>
    <w:rsid w:val="718E05D7"/>
    <w:rsid w:val="71944590"/>
    <w:rsid w:val="71A22A45"/>
    <w:rsid w:val="71AA4A4F"/>
    <w:rsid w:val="72287C78"/>
    <w:rsid w:val="724A4975"/>
    <w:rsid w:val="72747C4A"/>
    <w:rsid w:val="72785B20"/>
    <w:rsid w:val="727D3845"/>
    <w:rsid w:val="72834C6D"/>
    <w:rsid w:val="729B2496"/>
    <w:rsid w:val="72AC17BE"/>
    <w:rsid w:val="72AC42EC"/>
    <w:rsid w:val="72B0183F"/>
    <w:rsid w:val="72C0024E"/>
    <w:rsid w:val="72F66CD0"/>
    <w:rsid w:val="73026B0E"/>
    <w:rsid w:val="73102ACF"/>
    <w:rsid w:val="732F70AE"/>
    <w:rsid w:val="73414AB2"/>
    <w:rsid w:val="7351197A"/>
    <w:rsid w:val="73581530"/>
    <w:rsid w:val="73647DF8"/>
    <w:rsid w:val="73867A70"/>
    <w:rsid w:val="738C3325"/>
    <w:rsid w:val="739E1E76"/>
    <w:rsid w:val="73BB6DE0"/>
    <w:rsid w:val="73C500F9"/>
    <w:rsid w:val="73D36178"/>
    <w:rsid w:val="73D92F73"/>
    <w:rsid w:val="73F42E8A"/>
    <w:rsid w:val="73FA7E60"/>
    <w:rsid w:val="73FF499B"/>
    <w:rsid w:val="740609EB"/>
    <w:rsid w:val="741373FD"/>
    <w:rsid w:val="74161D28"/>
    <w:rsid w:val="74173EA3"/>
    <w:rsid w:val="744A2A08"/>
    <w:rsid w:val="748822C3"/>
    <w:rsid w:val="749E4801"/>
    <w:rsid w:val="74B70CE5"/>
    <w:rsid w:val="74C423B4"/>
    <w:rsid w:val="74C51726"/>
    <w:rsid w:val="74D92077"/>
    <w:rsid w:val="74DD6793"/>
    <w:rsid w:val="74E17552"/>
    <w:rsid w:val="75024B0A"/>
    <w:rsid w:val="750401DA"/>
    <w:rsid w:val="752D1181"/>
    <w:rsid w:val="752F5829"/>
    <w:rsid w:val="75357028"/>
    <w:rsid w:val="754E057F"/>
    <w:rsid w:val="756114F7"/>
    <w:rsid w:val="75635116"/>
    <w:rsid w:val="756D24D8"/>
    <w:rsid w:val="758B1EBA"/>
    <w:rsid w:val="75A20732"/>
    <w:rsid w:val="75CD4107"/>
    <w:rsid w:val="760E023A"/>
    <w:rsid w:val="76152C73"/>
    <w:rsid w:val="76353D4D"/>
    <w:rsid w:val="763B0055"/>
    <w:rsid w:val="76490477"/>
    <w:rsid w:val="764B70B9"/>
    <w:rsid w:val="76764AC8"/>
    <w:rsid w:val="769A18C0"/>
    <w:rsid w:val="76A22091"/>
    <w:rsid w:val="76AA1C46"/>
    <w:rsid w:val="76C664A5"/>
    <w:rsid w:val="77166686"/>
    <w:rsid w:val="771D6030"/>
    <w:rsid w:val="772B4602"/>
    <w:rsid w:val="77780B43"/>
    <w:rsid w:val="777A683C"/>
    <w:rsid w:val="77A0626F"/>
    <w:rsid w:val="77BD015A"/>
    <w:rsid w:val="77E520F5"/>
    <w:rsid w:val="77FB55E2"/>
    <w:rsid w:val="781255CB"/>
    <w:rsid w:val="78300BAA"/>
    <w:rsid w:val="7856082B"/>
    <w:rsid w:val="785F34A3"/>
    <w:rsid w:val="786F3B3F"/>
    <w:rsid w:val="788D6321"/>
    <w:rsid w:val="78AC2234"/>
    <w:rsid w:val="78B6187C"/>
    <w:rsid w:val="78E21694"/>
    <w:rsid w:val="78EB4673"/>
    <w:rsid w:val="793315D7"/>
    <w:rsid w:val="79373289"/>
    <w:rsid w:val="79447C26"/>
    <w:rsid w:val="795D71C4"/>
    <w:rsid w:val="7994278F"/>
    <w:rsid w:val="79B072DF"/>
    <w:rsid w:val="7A067DBE"/>
    <w:rsid w:val="7A253F44"/>
    <w:rsid w:val="7A3C04A7"/>
    <w:rsid w:val="7A513559"/>
    <w:rsid w:val="7A535D3A"/>
    <w:rsid w:val="7A9E1233"/>
    <w:rsid w:val="7B075242"/>
    <w:rsid w:val="7B212A14"/>
    <w:rsid w:val="7B2A437C"/>
    <w:rsid w:val="7B4C530A"/>
    <w:rsid w:val="7B7B395F"/>
    <w:rsid w:val="7B83122D"/>
    <w:rsid w:val="7B88078E"/>
    <w:rsid w:val="7BA32A46"/>
    <w:rsid w:val="7BD16374"/>
    <w:rsid w:val="7BD8471C"/>
    <w:rsid w:val="7C20250F"/>
    <w:rsid w:val="7C3B4EDA"/>
    <w:rsid w:val="7C4A6B44"/>
    <w:rsid w:val="7C647F37"/>
    <w:rsid w:val="7C6944E8"/>
    <w:rsid w:val="7C6969F9"/>
    <w:rsid w:val="7C767F00"/>
    <w:rsid w:val="7C832701"/>
    <w:rsid w:val="7CA81A61"/>
    <w:rsid w:val="7CDD61F5"/>
    <w:rsid w:val="7D151042"/>
    <w:rsid w:val="7D165AC3"/>
    <w:rsid w:val="7D510909"/>
    <w:rsid w:val="7D615494"/>
    <w:rsid w:val="7D951727"/>
    <w:rsid w:val="7D971CB4"/>
    <w:rsid w:val="7DA30D6D"/>
    <w:rsid w:val="7DB84226"/>
    <w:rsid w:val="7DC2746F"/>
    <w:rsid w:val="7DC46352"/>
    <w:rsid w:val="7DCB1877"/>
    <w:rsid w:val="7DEB6667"/>
    <w:rsid w:val="7DFB28B5"/>
    <w:rsid w:val="7DFF6962"/>
    <w:rsid w:val="7E154148"/>
    <w:rsid w:val="7E3B63FA"/>
    <w:rsid w:val="7E512FFC"/>
    <w:rsid w:val="7E5E0803"/>
    <w:rsid w:val="7E68414B"/>
    <w:rsid w:val="7E751D09"/>
    <w:rsid w:val="7E8541E0"/>
    <w:rsid w:val="7E8D0FD9"/>
    <w:rsid w:val="7EA26F21"/>
    <w:rsid w:val="7EB448D2"/>
    <w:rsid w:val="7EBD14C0"/>
    <w:rsid w:val="7EC30CE6"/>
    <w:rsid w:val="7ED639C5"/>
    <w:rsid w:val="7EDA38F7"/>
    <w:rsid w:val="7EE732F1"/>
    <w:rsid w:val="7F23650E"/>
    <w:rsid w:val="7F380DEF"/>
    <w:rsid w:val="7F57374F"/>
    <w:rsid w:val="7F5E14BA"/>
    <w:rsid w:val="7F936FD5"/>
    <w:rsid w:val="7F977B67"/>
    <w:rsid w:val="7FC41EA6"/>
    <w:rsid w:val="7FF31F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7"/>
    <w:qFormat/>
    <w:uiPriority w:val="99"/>
    <w:pPr>
      <w:keepNext/>
      <w:outlineLvl w:val="0"/>
    </w:pPr>
    <w:rPr>
      <w:b/>
      <w:sz w:val="24"/>
      <w:szCs w:val="20"/>
    </w:rPr>
  </w:style>
  <w:style w:type="paragraph" w:styleId="4">
    <w:name w:val="heading 2"/>
    <w:basedOn w:val="1"/>
    <w:next w:val="1"/>
    <w:link w:val="394"/>
    <w:qFormat/>
    <w:uiPriority w:val="99"/>
    <w:pPr>
      <w:keepNext/>
      <w:keepLines/>
      <w:widowControl/>
      <w:spacing w:line="416" w:lineRule="auto"/>
      <w:jc w:val="left"/>
      <w:outlineLvl w:val="1"/>
    </w:pPr>
    <w:rPr>
      <w:rFonts w:ascii="Arial" w:hAnsi="Arial" w:eastAsia="仿宋_GB2312"/>
      <w:b/>
      <w:spacing w:val="20"/>
      <w:kern w:val="0"/>
      <w:sz w:val="24"/>
      <w:szCs w:val="20"/>
    </w:rPr>
  </w:style>
  <w:style w:type="paragraph" w:styleId="5">
    <w:name w:val="heading 3"/>
    <w:basedOn w:val="1"/>
    <w:next w:val="1"/>
    <w:link w:val="384"/>
    <w:qFormat/>
    <w:uiPriority w:val="99"/>
    <w:pPr>
      <w:keepNext/>
      <w:outlineLvl w:val="2"/>
    </w:pPr>
    <w:rPr>
      <w:b/>
      <w:sz w:val="24"/>
      <w:szCs w:val="20"/>
    </w:rPr>
  </w:style>
  <w:style w:type="paragraph" w:styleId="6">
    <w:name w:val="heading 4"/>
    <w:basedOn w:val="1"/>
    <w:next w:val="1"/>
    <w:link w:val="270"/>
    <w:qFormat/>
    <w:uiPriority w:val="99"/>
    <w:pPr>
      <w:keepNext/>
      <w:autoSpaceDE w:val="0"/>
      <w:autoSpaceDN w:val="0"/>
      <w:adjustRightInd w:val="0"/>
      <w:outlineLvl w:val="3"/>
    </w:pPr>
    <w:rPr>
      <w:b/>
      <w:color w:val="000000"/>
      <w:sz w:val="24"/>
      <w:szCs w:val="20"/>
    </w:rPr>
  </w:style>
  <w:style w:type="paragraph" w:styleId="7">
    <w:name w:val="heading 5"/>
    <w:basedOn w:val="1"/>
    <w:next w:val="1"/>
    <w:link w:val="342"/>
    <w:qFormat/>
    <w:uiPriority w:val="99"/>
    <w:pPr>
      <w:keepNext/>
      <w:autoSpaceDE w:val="0"/>
      <w:autoSpaceDN w:val="0"/>
      <w:adjustRightInd w:val="0"/>
      <w:jc w:val="center"/>
      <w:outlineLvl w:val="4"/>
    </w:pPr>
    <w:rPr>
      <w:b/>
      <w:color w:val="000000"/>
      <w:sz w:val="24"/>
      <w:szCs w:val="20"/>
    </w:rPr>
  </w:style>
  <w:style w:type="paragraph" w:styleId="8">
    <w:name w:val="heading 6"/>
    <w:basedOn w:val="1"/>
    <w:next w:val="9"/>
    <w:link w:val="74"/>
    <w:qFormat/>
    <w:uiPriority w:val="99"/>
    <w:pPr>
      <w:keepNext/>
      <w:keepLines/>
      <w:spacing w:before="240" w:after="64" w:line="320" w:lineRule="auto"/>
      <w:outlineLvl w:val="5"/>
    </w:pPr>
    <w:rPr>
      <w:rFonts w:ascii="Arial" w:hAnsi="Arial" w:eastAsia="黑体"/>
      <w:b/>
      <w:sz w:val="24"/>
    </w:rPr>
  </w:style>
  <w:style w:type="paragraph" w:styleId="10">
    <w:name w:val="heading 7"/>
    <w:basedOn w:val="1"/>
    <w:next w:val="9"/>
    <w:link w:val="75"/>
    <w:qFormat/>
    <w:uiPriority w:val="99"/>
    <w:pPr>
      <w:keepNext/>
      <w:keepLines/>
      <w:spacing w:before="240" w:after="64" w:line="320" w:lineRule="auto"/>
      <w:outlineLvl w:val="6"/>
    </w:pPr>
    <w:rPr>
      <w:b/>
      <w:sz w:val="24"/>
    </w:rPr>
  </w:style>
  <w:style w:type="paragraph" w:styleId="11">
    <w:name w:val="heading 8"/>
    <w:basedOn w:val="1"/>
    <w:next w:val="9"/>
    <w:link w:val="76"/>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9"/>
    <w:link w:val="77"/>
    <w:qFormat/>
    <w:uiPriority w:val="99"/>
    <w:pPr>
      <w:keepNext/>
      <w:keepLines/>
      <w:spacing w:before="240" w:after="64" w:line="320" w:lineRule="auto"/>
      <w:outlineLvl w:val="8"/>
    </w:pPr>
    <w:rPr>
      <w:rFonts w:ascii="Arial" w:hAnsi="Arial" w:eastAsia="黑体"/>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kj正文"/>
    <w:basedOn w:val="1"/>
    <w:qFormat/>
    <w:uiPriority w:val="99"/>
    <w:pPr>
      <w:ind w:firstLine="200" w:firstLineChars="200"/>
    </w:pPr>
  </w:style>
  <w:style w:type="paragraph" w:styleId="9">
    <w:name w:val="Normal Indent"/>
    <w:basedOn w:val="1"/>
    <w:link w:val="388"/>
    <w:qFormat/>
    <w:uiPriority w:val="99"/>
    <w:pPr>
      <w:ind w:firstLine="420"/>
    </w:pPr>
    <w:rPr>
      <w:sz w:val="24"/>
      <w:szCs w:val="20"/>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rPr>
      <w:rFonts w:ascii="Calibri" w:hAnsi="Calibri"/>
      <w:szCs w:val="22"/>
    </w:rPr>
  </w:style>
  <w:style w:type="paragraph" w:styleId="15">
    <w:name w:val="table of authorities"/>
    <w:basedOn w:val="1"/>
    <w:next w:val="1"/>
    <w:qFormat/>
    <w:uiPriority w:val="99"/>
    <w:pPr>
      <w:ind w:left="420" w:leftChars="200"/>
    </w:pPr>
  </w:style>
  <w:style w:type="paragraph" w:styleId="16">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List Bullet"/>
    <w:basedOn w:val="1"/>
    <w:qFormat/>
    <w:uiPriority w:val="99"/>
    <w:pPr>
      <w:tabs>
        <w:tab w:val="left" w:pos="400"/>
      </w:tabs>
      <w:autoSpaceDE w:val="0"/>
      <w:autoSpaceDN w:val="0"/>
      <w:adjustRightInd w:val="0"/>
      <w:spacing w:line="360" w:lineRule="auto"/>
      <w:ind w:left="420" w:leftChars="200"/>
      <w:jc w:val="left"/>
    </w:pPr>
    <w:rPr>
      <w:rFonts w:ascii="Arial" w:hAnsi="Arial"/>
      <w:kern w:val="0"/>
      <w:szCs w:val="21"/>
    </w:rPr>
  </w:style>
  <w:style w:type="paragraph" w:styleId="19">
    <w:name w:val="Document Map"/>
    <w:basedOn w:val="1"/>
    <w:link w:val="262"/>
    <w:semiHidden/>
    <w:qFormat/>
    <w:uiPriority w:val="99"/>
    <w:pPr>
      <w:shd w:val="clear" w:color="auto" w:fill="000080"/>
    </w:pPr>
    <w:rPr>
      <w:sz w:val="24"/>
      <w:szCs w:val="20"/>
    </w:rPr>
  </w:style>
  <w:style w:type="paragraph" w:styleId="20">
    <w:name w:val="annotation text"/>
    <w:basedOn w:val="1"/>
    <w:link w:val="377"/>
    <w:semiHidden/>
    <w:qFormat/>
    <w:uiPriority w:val="99"/>
    <w:pPr>
      <w:jc w:val="left"/>
    </w:pPr>
    <w:rPr>
      <w:sz w:val="24"/>
      <w:szCs w:val="20"/>
    </w:rPr>
  </w:style>
  <w:style w:type="paragraph" w:styleId="21">
    <w:name w:val="Salutation"/>
    <w:basedOn w:val="1"/>
    <w:next w:val="1"/>
    <w:link w:val="81"/>
    <w:qFormat/>
    <w:uiPriority w:val="99"/>
    <w:rPr>
      <w:sz w:val="28"/>
    </w:rPr>
  </w:style>
  <w:style w:type="paragraph" w:styleId="22">
    <w:name w:val="Body Text 3"/>
    <w:basedOn w:val="1"/>
    <w:link w:val="82"/>
    <w:qFormat/>
    <w:uiPriority w:val="99"/>
    <w:pPr>
      <w:widowControl/>
      <w:adjustRightInd w:val="0"/>
      <w:snapToGrid w:val="0"/>
      <w:spacing w:line="360" w:lineRule="auto"/>
    </w:pPr>
    <w:rPr>
      <w:rFonts w:ascii="宋体" w:hAnsi="Courier New"/>
      <w:color w:val="000000"/>
      <w:szCs w:val="20"/>
    </w:rPr>
  </w:style>
  <w:style w:type="paragraph" w:styleId="23">
    <w:name w:val="Body Text"/>
    <w:basedOn w:val="1"/>
    <w:next w:val="1"/>
    <w:link w:val="327"/>
    <w:qFormat/>
    <w:uiPriority w:val="99"/>
    <w:pPr>
      <w:jc w:val="center"/>
    </w:pPr>
    <w:rPr>
      <w:sz w:val="24"/>
      <w:szCs w:val="20"/>
    </w:rPr>
  </w:style>
  <w:style w:type="paragraph" w:styleId="24">
    <w:name w:val="Body Text Indent"/>
    <w:basedOn w:val="1"/>
    <w:link w:val="372"/>
    <w:qFormat/>
    <w:uiPriority w:val="99"/>
    <w:pPr>
      <w:spacing w:line="200" w:lineRule="exact"/>
      <w:ind w:firstLine="301"/>
    </w:pPr>
    <w:rPr>
      <w:rFonts w:ascii="宋体" w:hAnsi="Courier New"/>
      <w:spacing w:val="-4"/>
      <w:sz w:val="18"/>
      <w:szCs w:val="20"/>
    </w:rPr>
  </w:style>
  <w:style w:type="paragraph" w:styleId="25">
    <w:name w:val="List Number 3"/>
    <w:basedOn w:val="1"/>
    <w:qFormat/>
    <w:uiPriority w:val="99"/>
    <w:pPr>
      <w:numPr>
        <w:ilvl w:val="0"/>
        <w:numId w:val="1"/>
      </w:numPr>
    </w:pPr>
  </w:style>
  <w:style w:type="paragraph" w:styleId="26">
    <w:name w:val="List 2"/>
    <w:basedOn w:val="1"/>
    <w:qFormat/>
    <w:uiPriority w:val="99"/>
    <w:pPr>
      <w:ind w:left="100" w:leftChars="200" w:hanging="200" w:hangingChars="200"/>
    </w:pPr>
    <w:rPr>
      <w:sz w:val="28"/>
    </w:rPr>
  </w:style>
  <w:style w:type="paragraph" w:styleId="27">
    <w:name w:val="Block Text"/>
    <w:basedOn w:val="1"/>
    <w:qFormat/>
    <w:uiPriority w:val="99"/>
    <w:pPr>
      <w:adjustRightInd w:val="0"/>
      <w:ind w:left="420" w:right="33"/>
      <w:jc w:val="left"/>
      <w:textAlignment w:val="baseline"/>
    </w:pPr>
    <w:rPr>
      <w:kern w:val="0"/>
      <w:sz w:val="24"/>
      <w:szCs w:val="20"/>
    </w:rPr>
  </w:style>
  <w:style w:type="paragraph" w:styleId="28">
    <w:name w:val="index 4"/>
    <w:basedOn w:val="1"/>
    <w:next w:val="1"/>
    <w:qFormat/>
    <w:uiPriority w:val="99"/>
    <w:pPr>
      <w:ind w:left="600" w:leftChars="600"/>
    </w:pPr>
  </w:style>
  <w:style w:type="paragraph" w:styleId="29">
    <w:name w:val="toc 5"/>
    <w:basedOn w:val="1"/>
    <w:next w:val="1"/>
    <w:qFormat/>
    <w:uiPriority w:val="99"/>
    <w:pPr>
      <w:ind w:left="1680" w:leftChars="800"/>
    </w:pPr>
    <w:rPr>
      <w:rFonts w:ascii="Calibri" w:hAnsi="Calibri"/>
      <w:szCs w:val="22"/>
    </w:rPr>
  </w:style>
  <w:style w:type="paragraph" w:styleId="30">
    <w:name w:val="toc 3"/>
    <w:basedOn w:val="1"/>
    <w:next w:val="1"/>
    <w:semiHidden/>
    <w:qFormat/>
    <w:uiPriority w:val="99"/>
    <w:pPr>
      <w:tabs>
        <w:tab w:val="right" w:leader="dot" w:pos="9741"/>
      </w:tabs>
    </w:pPr>
  </w:style>
  <w:style w:type="paragraph" w:styleId="31">
    <w:name w:val="Plain Text"/>
    <w:basedOn w:val="1"/>
    <w:next w:val="6"/>
    <w:link w:val="400"/>
    <w:qFormat/>
    <w:uiPriority w:val="99"/>
    <w:rPr>
      <w:rFonts w:ascii="宋体" w:hAnsi="Courier New"/>
      <w:szCs w:val="20"/>
    </w:rPr>
  </w:style>
  <w:style w:type="paragraph" w:styleId="32">
    <w:name w:val="toc 8"/>
    <w:basedOn w:val="1"/>
    <w:next w:val="1"/>
    <w:qFormat/>
    <w:uiPriority w:val="99"/>
    <w:pPr>
      <w:ind w:left="2940" w:leftChars="1400"/>
    </w:pPr>
    <w:rPr>
      <w:rFonts w:ascii="Calibri" w:hAnsi="Calibri"/>
      <w:szCs w:val="22"/>
    </w:rPr>
  </w:style>
  <w:style w:type="paragraph" w:styleId="33">
    <w:name w:val="Date"/>
    <w:basedOn w:val="1"/>
    <w:next w:val="1"/>
    <w:link w:val="364"/>
    <w:qFormat/>
    <w:uiPriority w:val="99"/>
    <w:rPr>
      <w:sz w:val="28"/>
      <w:szCs w:val="20"/>
    </w:rPr>
  </w:style>
  <w:style w:type="paragraph" w:styleId="34">
    <w:name w:val="Body Text Indent 2"/>
    <w:basedOn w:val="1"/>
    <w:link w:val="265"/>
    <w:qFormat/>
    <w:uiPriority w:val="99"/>
    <w:pPr>
      <w:ind w:firstLine="412" w:firstLineChars="196"/>
    </w:pPr>
    <w:rPr>
      <w:sz w:val="24"/>
      <w:szCs w:val="20"/>
    </w:rPr>
  </w:style>
  <w:style w:type="paragraph" w:styleId="35">
    <w:name w:val="endnote text"/>
    <w:basedOn w:val="1"/>
    <w:link w:val="88"/>
    <w:qFormat/>
    <w:uiPriority w:val="99"/>
    <w:pPr>
      <w:snapToGrid w:val="0"/>
      <w:jc w:val="left"/>
    </w:pPr>
    <w:rPr>
      <w:rFonts w:ascii="Calibri" w:hAnsi="Calibri"/>
      <w:szCs w:val="22"/>
    </w:rPr>
  </w:style>
  <w:style w:type="paragraph" w:styleId="36">
    <w:name w:val="Balloon Text"/>
    <w:basedOn w:val="1"/>
    <w:link w:val="275"/>
    <w:semiHidden/>
    <w:qFormat/>
    <w:uiPriority w:val="99"/>
    <w:rPr>
      <w:sz w:val="18"/>
      <w:szCs w:val="20"/>
    </w:rPr>
  </w:style>
  <w:style w:type="paragraph" w:styleId="37">
    <w:name w:val="footer"/>
    <w:basedOn w:val="1"/>
    <w:link w:val="274"/>
    <w:qFormat/>
    <w:uiPriority w:val="99"/>
    <w:pPr>
      <w:tabs>
        <w:tab w:val="center" w:pos="4153"/>
        <w:tab w:val="right" w:pos="8306"/>
      </w:tabs>
      <w:snapToGrid w:val="0"/>
      <w:jc w:val="left"/>
    </w:pPr>
    <w:rPr>
      <w:rFonts w:ascii="宋体" w:hAnsi="Courier New"/>
      <w:sz w:val="18"/>
      <w:szCs w:val="20"/>
    </w:rPr>
  </w:style>
  <w:style w:type="paragraph" w:styleId="38">
    <w:name w:val="header"/>
    <w:basedOn w:val="1"/>
    <w:link w:val="256"/>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39">
    <w:name w:val="toc 1"/>
    <w:basedOn w:val="1"/>
    <w:next w:val="1"/>
    <w:semiHidden/>
    <w:qFormat/>
    <w:uiPriority w:val="99"/>
  </w:style>
  <w:style w:type="paragraph" w:styleId="40">
    <w:name w:val="toc 4"/>
    <w:basedOn w:val="1"/>
    <w:next w:val="1"/>
    <w:semiHidden/>
    <w:qFormat/>
    <w:uiPriority w:val="99"/>
    <w:pPr>
      <w:ind w:left="1260" w:leftChars="600"/>
    </w:pPr>
  </w:style>
  <w:style w:type="paragraph" w:styleId="41">
    <w:name w:val="Subtitle"/>
    <w:basedOn w:val="1"/>
    <w:next w:val="1"/>
    <w:link w:val="92"/>
    <w:qFormat/>
    <w:uiPriority w:val="99"/>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99"/>
    <w:pPr>
      <w:ind w:left="200" w:hanging="200" w:hangingChars="200"/>
    </w:pPr>
    <w:rPr>
      <w:sz w:val="28"/>
    </w:rPr>
  </w:style>
  <w:style w:type="paragraph" w:styleId="43">
    <w:name w:val="footnote text"/>
    <w:basedOn w:val="1"/>
    <w:link w:val="344"/>
    <w:qFormat/>
    <w:uiPriority w:val="99"/>
    <w:pPr>
      <w:adjustRightInd w:val="0"/>
      <w:spacing w:line="312" w:lineRule="atLeast"/>
      <w:jc w:val="left"/>
      <w:textAlignment w:val="baseline"/>
    </w:pPr>
    <w:rPr>
      <w:kern w:val="0"/>
      <w:sz w:val="18"/>
      <w:szCs w:val="20"/>
    </w:rPr>
  </w:style>
  <w:style w:type="paragraph" w:styleId="44">
    <w:name w:val="toc 6"/>
    <w:basedOn w:val="1"/>
    <w:next w:val="1"/>
    <w:qFormat/>
    <w:uiPriority w:val="99"/>
    <w:pPr>
      <w:ind w:left="2100" w:leftChars="1000"/>
    </w:pPr>
    <w:rPr>
      <w:rFonts w:ascii="Calibri" w:hAnsi="Calibri"/>
      <w:szCs w:val="22"/>
    </w:rPr>
  </w:style>
  <w:style w:type="paragraph" w:styleId="45">
    <w:name w:val="List 5"/>
    <w:basedOn w:val="1"/>
    <w:qFormat/>
    <w:uiPriority w:val="99"/>
    <w:pPr>
      <w:ind w:left="2100" w:hanging="420"/>
    </w:pPr>
    <w:rPr>
      <w:szCs w:val="20"/>
    </w:rPr>
  </w:style>
  <w:style w:type="paragraph" w:styleId="46">
    <w:name w:val="Body Text Indent 3"/>
    <w:basedOn w:val="1"/>
    <w:link w:val="94"/>
    <w:qFormat/>
    <w:uiPriority w:val="99"/>
    <w:pPr>
      <w:ind w:left="210"/>
    </w:pPr>
    <w:rPr>
      <w:rFonts w:ascii="宋体"/>
      <w:sz w:val="28"/>
    </w:rPr>
  </w:style>
  <w:style w:type="paragraph" w:styleId="47">
    <w:name w:val="toc 2"/>
    <w:basedOn w:val="1"/>
    <w:next w:val="1"/>
    <w:semiHidden/>
    <w:qFormat/>
    <w:uiPriority w:val="99"/>
    <w:pPr>
      <w:ind w:left="420" w:leftChars="200"/>
    </w:pPr>
  </w:style>
  <w:style w:type="paragraph" w:styleId="48">
    <w:name w:val="toc 9"/>
    <w:basedOn w:val="1"/>
    <w:next w:val="1"/>
    <w:qFormat/>
    <w:uiPriority w:val="99"/>
    <w:pPr>
      <w:ind w:left="3360" w:leftChars="1600"/>
    </w:pPr>
    <w:rPr>
      <w:rFonts w:ascii="Calibri" w:hAnsi="Calibri"/>
      <w:szCs w:val="22"/>
    </w:rPr>
  </w:style>
  <w:style w:type="paragraph" w:styleId="49">
    <w:name w:val="Body Text 2"/>
    <w:basedOn w:val="1"/>
    <w:link w:val="95"/>
    <w:qFormat/>
    <w:uiPriority w:val="99"/>
    <w:pPr>
      <w:jc w:val="center"/>
    </w:pPr>
    <w:rPr>
      <w:b/>
      <w:bCs/>
    </w:rPr>
  </w:style>
  <w:style w:type="paragraph" w:styleId="50">
    <w:name w:val="List 4"/>
    <w:basedOn w:val="1"/>
    <w:qFormat/>
    <w:uiPriority w:val="99"/>
    <w:pPr>
      <w:ind w:left="100" w:leftChars="600" w:hanging="200" w:hangingChars="200"/>
    </w:pPr>
  </w:style>
  <w:style w:type="paragraph" w:styleId="51">
    <w:name w:val="List Continue 2"/>
    <w:basedOn w:val="1"/>
    <w:qFormat/>
    <w:uiPriority w:val="99"/>
    <w:pPr>
      <w:spacing w:after="120"/>
      <w:ind w:left="840" w:leftChars="400"/>
    </w:pPr>
  </w:style>
  <w:style w:type="paragraph" w:styleId="52">
    <w:name w:val="HTML Preformatted"/>
    <w:basedOn w:val="1"/>
    <w:link w:val="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3">
    <w:name w:val="Normal (Web)"/>
    <w:basedOn w:val="1"/>
    <w:qFormat/>
    <w:uiPriority w:val="99"/>
    <w:pPr>
      <w:widowControl/>
      <w:spacing w:beforeAutospacing="1" w:afterAutospacing="1"/>
      <w:jc w:val="left"/>
    </w:pPr>
    <w:rPr>
      <w:rFonts w:ascii="宋体" w:hAnsi="宋体" w:cs="宋体"/>
      <w:kern w:val="0"/>
      <w:sz w:val="24"/>
    </w:rPr>
  </w:style>
  <w:style w:type="paragraph" w:styleId="54">
    <w:name w:val="index 1"/>
    <w:basedOn w:val="1"/>
    <w:next w:val="1"/>
    <w:semiHidden/>
    <w:qFormat/>
    <w:uiPriority w:val="99"/>
    <w:pPr>
      <w:ind w:firstLine="420"/>
    </w:pPr>
    <w:rPr>
      <w:rFonts w:ascii="宋体" w:hAnsi="宋体"/>
      <w:bCs/>
      <w:szCs w:val="21"/>
    </w:rPr>
  </w:style>
  <w:style w:type="paragraph" w:styleId="55">
    <w:name w:val="Title"/>
    <w:basedOn w:val="1"/>
    <w:link w:val="97"/>
    <w:qFormat/>
    <w:uiPriority w:val="99"/>
    <w:pPr>
      <w:ind w:firstLine="432"/>
      <w:jc w:val="center"/>
    </w:pPr>
    <w:rPr>
      <w:b/>
      <w:bCs/>
      <w:sz w:val="52"/>
    </w:rPr>
  </w:style>
  <w:style w:type="paragraph" w:styleId="56">
    <w:name w:val="annotation subject"/>
    <w:basedOn w:val="20"/>
    <w:next w:val="20"/>
    <w:link w:val="250"/>
    <w:semiHidden/>
    <w:qFormat/>
    <w:uiPriority w:val="99"/>
    <w:rPr>
      <w:b/>
    </w:rPr>
  </w:style>
  <w:style w:type="paragraph" w:styleId="57">
    <w:name w:val="Body Text First Indent"/>
    <w:basedOn w:val="23"/>
    <w:link w:val="99"/>
    <w:qFormat/>
    <w:uiPriority w:val="99"/>
    <w:pPr>
      <w:spacing w:line="300" w:lineRule="auto"/>
      <w:ind w:firstLine="425"/>
      <w:jc w:val="both"/>
    </w:pPr>
  </w:style>
  <w:style w:type="paragraph" w:styleId="58">
    <w:name w:val="Body Text First Indent 2"/>
    <w:basedOn w:val="24"/>
    <w:link w:val="100"/>
    <w:qFormat/>
    <w:uiPriority w:val="99"/>
    <w:pPr>
      <w:spacing w:after="120" w:line="240" w:lineRule="auto"/>
      <w:ind w:left="420" w:leftChars="200" w:firstLine="420" w:firstLineChars="200"/>
    </w:pPr>
    <w:rPr>
      <w:rFonts w:ascii="Times New Roman" w:hAnsi="Times New Roman"/>
      <w:spacing w:val="0"/>
      <w:sz w:val="21"/>
      <w:szCs w:val="24"/>
    </w:rPr>
  </w:style>
  <w:style w:type="table" w:styleId="60">
    <w:name w:val="Table Grid"/>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99"/>
    <w:rPr>
      <w:rFonts w:cs="Times New Roman"/>
      <w:b/>
    </w:rPr>
  </w:style>
  <w:style w:type="character" w:styleId="63">
    <w:name w:val="page number"/>
    <w:qFormat/>
    <w:uiPriority w:val="99"/>
    <w:rPr>
      <w:rFonts w:eastAsia="Batang" w:cs="Times New Roman"/>
      <w:sz w:val="24"/>
    </w:rPr>
  </w:style>
  <w:style w:type="character" w:styleId="64">
    <w:name w:val="FollowedHyperlink"/>
    <w:qFormat/>
    <w:uiPriority w:val="99"/>
    <w:rPr>
      <w:rFonts w:cs="Times New Roman"/>
      <w:color w:val="800080"/>
      <w:u w:val="single"/>
    </w:rPr>
  </w:style>
  <w:style w:type="character" w:styleId="65">
    <w:name w:val="Emphasis"/>
    <w:qFormat/>
    <w:uiPriority w:val="99"/>
    <w:rPr>
      <w:rFonts w:cs="Times New Roman"/>
      <w:i/>
    </w:rPr>
  </w:style>
  <w:style w:type="character" w:styleId="66">
    <w:name w:val="Hyperlink"/>
    <w:qFormat/>
    <w:uiPriority w:val="99"/>
    <w:rPr>
      <w:rFonts w:cs="Times New Roman"/>
      <w:color w:val="0000FF"/>
      <w:u w:val="single"/>
    </w:rPr>
  </w:style>
  <w:style w:type="character" w:styleId="67">
    <w:name w:val="HTML Code"/>
    <w:qFormat/>
    <w:uiPriority w:val="99"/>
    <w:rPr>
      <w:rFonts w:ascii="宋体" w:hAnsi="宋体" w:eastAsia="宋体" w:cs="Times New Roman"/>
      <w:sz w:val="24"/>
    </w:rPr>
  </w:style>
  <w:style w:type="character" w:styleId="68">
    <w:name w:val="annotation reference"/>
    <w:semiHidden/>
    <w:qFormat/>
    <w:uiPriority w:val="99"/>
    <w:rPr>
      <w:rFonts w:cs="Times New Roman"/>
      <w:sz w:val="21"/>
    </w:rPr>
  </w:style>
  <w:style w:type="character" w:customStyle="1" w:styleId="69">
    <w:name w:val="Heading 1 Char"/>
    <w:qFormat/>
    <w:locked/>
    <w:uiPriority w:val="99"/>
    <w:rPr>
      <w:rFonts w:eastAsia="宋体" w:cs="Times New Roman"/>
      <w:b/>
      <w:kern w:val="44"/>
      <w:sz w:val="44"/>
      <w:lang w:val="en-US" w:eastAsia="zh-CN"/>
    </w:rPr>
  </w:style>
  <w:style w:type="character" w:customStyle="1" w:styleId="70">
    <w:name w:val="Heading 2 Char"/>
    <w:qFormat/>
    <w:locked/>
    <w:uiPriority w:val="99"/>
    <w:rPr>
      <w:rFonts w:ascii="Arial" w:hAnsi="Arial" w:eastAsia="黑体" w:cs="Times New Roman"/>
      <w:b/>
      <w:kern w:val="2"/>
      <w:sz w:val="32"/>
      <w:lang w:val="en-US" w:eastAsia="zh-CN"/>
    </w:rPr>
  </w:style>
  <w:style w:type="character" w:customStyle="1" w:styleId="71">
    <w:name w:val="Heading 3 Char"/>
    <w:qFormat/>
    <w:locked/>
    <w:uiPriority w:val="99"/>
    <w:rPr>
      <w:rFonts w:cs="Times New Roman"/>
      <w:b/>
      <w:kern w:val="2"/>
      <w:sz w:val="32"/>
    </w:rPr>
  </w:style>
  <w:style w:type="character" w:customStyle="1" w:styleId="72">
    <w:name w:val="Heading 4 Char"/>
    <w:qFormat/>
    <w:locked/>
    <w:uiPriority w:val="99"/>
    <w:rPr>
      <w:rFonts w:ascii="Arial" w:hAnsi="Arial" w:eastAsia="宋体" w:cs="Times New Roman"/>
      <w:b/>
      <w:kern w:val="2"/>
      <w:sz w:val="28"/>
      <w:lang w:val="en-US" w:eastAsia="zh-CN"/>
    </w:rPr>
  </w:style>
  <w:style w:type="character" w:customStyle="1" w:styleId="73">
    <w:name w:val="Heading 5 Char"/>
    <w:qFormat/>
    <w:locked/>
    <w:uiPriority w:val="99"/>
    <w:rPr>
      <w:rFonts w:eastAsia="宋体" w:cs="Times New Roman"/>
      <w:b/>
      <w:kern w:val="2"/>
      <w:sz w:val="28"/>
      <w:lang w:val="en-US" w:eastAsia="zh-CN"/>
    </w:rPr>
  </w:style>
  <w:style w:type="character" w:customStyle="1" w:styleId="74">
    <w:name w:val="标题 6 字符"/>
    <w:link w:val="8"/>
    <w:qFormat/>
    <w:locked/>
    <w:uiPriority w:val="99"/>
    <w:rPr>
      <w:rFonts w:ascii="Arial" w:hAnsi="Arial" w:eastAsia="黑体" w:cs="Times New Roman"/>
      <w:b/>
      <w:kern w:val="2"/>
      <w:sz w:val="24"/>
      <w:lang w:val="en-US" w:eastAsia="zh-CN"/>
    </w:rPr>
  </w:style>
  <w:style w:type="character" w:customStyle="1" w:styleId="75">
    <w:name w:val="标题 7 字符"/>
    <w:link w:val="10"/>
    <w:qFormat/>
    <w:locked/>
    <w:uiPriority w:val="99"/>
    <w:rPr>
      <w:rFonts w:eastAsia="宋体" w:cs="Times New Roman"/>
      <w:b/>
      <w:kern w:val="2"/>
      <w:sz w:val="24"/>
      <w:lang w:val="en-US" w:eastAsia="zh-CN"/>
    </w:rPr>
  </w:style>
  <w:style w:type="character" w:customStyle="1" w:styleId="76">
    <w:name w:val="标题 8 字符"/>
    <w:link w:val="11"/>
    <w:qFormat/>
    <w:locked/>
    <w:uiPriority w:val="99"/>
    <w:rPr>
      <w:rFonts w:ascii="Arial" w:hAnsi="Arial" w:eastAsia="黑体" w:cs="Times New Roman"/>
      <w:kern w:val="2"/>
      <w:sz w:val="24"/>
      <w:lang w:val="en-US" w:eastAsia="zh-CN"/>
    </w:rPr>
  </w:style>
  <w:style w:type="character" w:customStyle="1" w:styleId="77">
    <w:name w:val="标题 9 字符"/>
    <w:link w:val="12"/>
    <w:qFormat/>
    <w:locked/>
    <w:uiPriority w:val="99"/>
    <w:rPr>
      <w:rFonts w:ascii="Arial" w:hAnsi="Arial" w:eastAsia="黑体" w:cs="Times New Roman"/>
      <w:kern w:val="2"/>
      <w:sz w:val="24"/>
      <w:lang w:val="en-US" w:eastAsia="zh-CN"/>
    </w:rPr>
  </w:style>
  <w:style w:type="character" w:customStyle="1" w:styleId="78">
    <w:name w:val="Body Text Char"/>
    <w:qFormat/>
    <w:locked/>
    <w:uiPriority w:val="99"/>
    <w:rPr>
      <w:rFonts w:eastAsia="宋体" w:cs="Times New Roman"/>
      <w:kern w:val="2"/>
      <w:sz w:val="24"/>
      <w:lang w:val="en-US" w:eastAsia="zh-CN"/>
    </w:rPr>
  </w:style>
  <w:style w:type="character" w:customStyle="1" w:styleId="79">
    <w:name w:val="Document Map Char"/>
    <w:qFormat/>
    <w:locked/>
    <w:uiPriority w:val="99"/>
    <w:rPr>
      <w:rFonts w:eastAsia="宋体" w:cs="Times New Roman"/>
      <w:kern w:val="2"/>
      <w:sz w:val="24"/>
      <w:lang w:val="en-US" w:eastAsia="zh-CN"/>
    </w:rPr>
  </w:style>
  <w:style w:type="character" w:customStyle="1" w:styleId="80">
    <w:name w:val="Comment Text Char"/>
    <w:qFormat/>
    <w:locked/>
    <w:uiPriority w:val="99"/>
    <w:rPr>
      <w:rFonts w:cs="Times New Roman"/>
      <w:sz w:val="24"/>
    </w:rPr>
  </w:style>
  <w:style w:type="character" w:customStyle="1" w:styleId="81">
    <w:name w:val="称呼 字符"/>
    <w:link w:val="21"/>
    <w:semiHidden/>
    <w:qFormat/>
    <w:locked/>
    <w:uiPriority w:val="99"/>
    <w:rPr>
      <w:rFonts w:cs="Times New Roman"/>
      <w:sz w:val="24"/>
      <w:szCs w:val="24"/>
    </w:rPr>
  </w:style>
  <w:style w:type="character" w:customStyle="1" w:styleId="82">
    <w:name w:val="正文文本 3 字符"/>
    <w:link w:val="22"/>
    <w:qFormat/>
    <w:locked/>
    <w:uiPriority w:val="99"/>
    <w:rPr>
      <w:rFonts w:ascii="宋体" w:hAnsi="Courier New" w:eastAsia="宋体" w:cs="Times New Roman"/>
      <w:color w:val="000000"/>
      <w:kern w:val="2"/>
      <w:sz w:val="21"/>
      <w:lang w:val="en-US" w:eastAsia="zh-CN"/>
    </w:rPr>
  </w:style>
  <w:style w:type="character" w:customStyle="1" w:styleId="83">
    <w:name w:val="Body Text Indent Char"/>
    <w:qFormat/>
    <w:locked/>
    <w:uiPriority w:val="99"/>
    <w:rPr>
      <w:rFonts w:ascii="宋体" w:hAnsi="宋体" w:eastAsia="宋体" w:cs="Times New Roman"/>
      <w:kern w:val="2"/>
      <w:sz w:val="21"/>
      <w:lang w:val="en-US" w:eastAsia="zh-CN"/>
    </w:rPr>
  </w:style>
  <w:style w:type="character" w:customStyle="1" w:styleId="84">
    <w:name w:val="Plain Text Char"/>
    <w:link w:val="85"/>
    <w:qFormat/>
    <w:locked/>
    <w:uiPriority w:val="99"/>
    <w:rPr>
      <w:rFonts w:ascii="宋体" w:hAnsi="Courier New" w:eastAsia="宋体" w:cs="Times New Roman"/>
      <w:sz w:val="24"/>
    </w:rPr>
  </w:style>
  <w:style w:type="paragraph" w:customStyle="1" w:styleId="85">
    <w:name w:val="Plain Text1"/>
    <w:basedOn w:val="1"/>
    <w:link w:val="84"/>
    <w:qFormat/>
    <w:uiPriority w:val="99"/>
    <w:rPr>
      <w:rFonts w:ascii="宋体" w:hAnsi="Courier New"/>
      <w:kern w:val="0"/>
      <w:sz w:val="24"/>
      <w:szCs w:val="20"/>
    </w:rPr>
  </w:style>
  <w:style w:type="character" w:customStyle="1" w:styleId="86">
    <w:name w:val="Date Char"/>
    <w:qFormat/>
    <w:locked/>
    <w:uiPriority w:val="99"/>
    <w:rPr>
      <w:rFonts w:eastAsia="宋体" w:cs="Times New Roman"/>
      <w:kern w:val="2"/>
      <w:sz w:val="24"/>
      <w:lang w:val="en-US" w:eastAsia="zh-CN"/>
    </w:rPr>
  </w:style>
  <w:style w:type="character" w:customStyle="1" w:styleId="87">
    <w:name w:val="Body Text Indent 2 Char"/>
    <w:qFormat/>
    <w:locked/>
    <w:uiPriority w:val="99"/>
    <w:rPr>
      <w:rFonts w:eastAsia="宋体" w:cs="Times New Roman"/>
      <w:kern w:val="2"/>
      <w:sz w:val="24"/>
      <w:lang w:val="en-US" w:eastAsia="zh-CN"/>
    </w:rPr>
  </w:style>
  <w:style w:type="character" w:customStyle="1" w:styleId="88">
    <w:name w:val="尾注文本 字符"/>
    <w:link w:val="35"/>
    <w:semiHidden/>
    <w:qFormat/>
    <w:locked/>
    <w:uiPriority w:val="99"/>
    <w:rPr>
      <w:rFonts w:cs="Times New Roman"/>
      <w:sz w:val="24"/>
      <w:szCs w:val="24"/>
    </w:rPr>
  </w:style>
  <w:style w:type="character" w:customStyle="1" w:styleId="89">
    <w:name w:val="Balloon Text Char"/>
    <w:qFormat/>
    <w:locked/>
    <w:uiPriority w:val="99"/>
    <w:rPr>
      <w:rFonts w:cs="Times New Roman"/>
      <w:sz w:val="18"/>
    </w:rPr>
  </w:style>
  <w:style w:type="character" w:customStyle="1" w:styleId="90">
    <w:name w:val="Footer Char"/>
    <w:qFormat/>
    <w:locked/>
    <w:uiPriority w:val="99"/>
    <w:rPr>
      <w:rFonts w:eastAsia="宋体" w:cs="Times New Roman"/>
      <w:kern w:val="2"/>
      <w:sz w:val="18"/>
      <w:lang w:val="en-US" w:eastAsia="zh-CN"/>
    </w:rPr>
  </w:style>
  <w:style w:type="character" w:customStyle="1" w:styleId="91">
    <w:name w:val="Header Char"/>
    <w:qFormat/>
    <w:locked/>
    <w:uiPriority w:val="99"/>
    <w:rPr>
      <w:rFonts w:eastAsia="宋体" w:cs="Times New Roman"/>
      <w:kern w:val="2"/>
      <w:sz w:val="18"/>
      <w:lang w:val="en-US" w:eastAsia="zh-CN"/>
    </w:rPr>
  </w:style>
  <w:style w:type="character" w:customStyle="1" w:styleId="92">
    <w:name w:val="副标题 字符"/>
    <w:link w:val="41"/>
    <w:qFormat/>
    <w:locked/>
    <w:uiPriority w:val="99"/>
    <w:rPr>
      <w:rFonts w:ascii="Cambria" w:hAnsi="Cambria" w:cs="Times New Roman"/>
      <w:b/>
      <w:bCs/>
      <w:kern w:val="28"/>
      <w:sz w:val="32"/>
      <w:szCs w:val="32"/>
    </w:rPr>
  </w:style>
  <w:style w:type="character" w:customStyle="1" w:styleId="93">
    <w:name w:val="Footnote Text Char"/>
    <w:qFormat/>
    <w:locked/>
    <w:uiPriority w:val="99"/>
    <w:rPr>
      <w:rFonts w:eastAsia="宋体" w:cs="Times New Roman"/>
      <w:sz w:val="18"/>
      <w:lang w:val="en-US" w:eastAsia="zh-CN"/>
    </w:rPr>
  </w:style>
  <w:style w:type="character" w:customStyle="1" w:styleId="94">
    <w:name w:val="正文文本缩进 3 字符"/>
    <w:link w:val="46"/>
    <w:qFormat/>
    <w:locked/>
    <w:uiPriority w:val="99"/>
    <w:rPr>
      <w:rFonts w:ascii="宋体" w:eastAsia="宋体" w:cs="Times New Roman"/>
      <w:kern w:val="2"/>
      <w:sz w:val="24"/>
      <w:lang w:val="en-US" w:eastAsia="zh-CN"/>
    </w:rPr>
  </w:style>
  <w:style w:type="character" w:customStyle="1" w:styleId="95">
    <w:name w:val="正文文本 2 字符"/>
    <w:link w:val="49"/>
    <w:qFormat/>
    <w:locked/>
    <w:uiPriority w:val="99"/>
    <w:rPr>
      <w:rFonts w:eastAsia="宋体" w:cs="Times New Roman"/>
      <w:b/>
      <w:kern w:val="2"/>
      <w:sz w:val="24"/>
      <w:lang w:val="en-US" w:eastAsia="zh-CN"/>
    </w:rPr>
  </w:style>
  <w:style w:type="character" w:customStyle="1" w:styleId="96">
    <w:name w:val="HTML 预设格式 字符"/>
    <w:link w:val="52"/>
    <w:semiHidden/>
    <w:qFormat/>
    <w:locked/>
    <w:uiPriority w:val="99"/>
    <w:rPr>
      <w:rFonts w:ascii="黑体" w:hAnsi="Courier New" w:eastAsia="黑体" w:cs="Times New Roman"/>
      <w:lang w:val="en-US" w:eastAsia="zh-CN"/>
    </w:rPr>
  </w:style>
  <w:style w:type="character" w:customStyle="1" w:styleId="97">
    <w:name w:val="标题 字符"/>
    <w:link w:val="55"/>
    <w:qFormat/>
    <w:locked/>
    <w:uiPriority w:val="99"/>
    <w:rPr>
      <w:rFonts w:ascii="Cambria" w:hAnsi="Cambria" w:cs="Times New Roman"/>
      <w:b/>
      <w:sz w:val="32"/>
    </w:rPr>
  </w:style>
  <w:style w:type="character" w:customStyle="1" w:styleId="98">
    <w:name w:val="Comment Subject Char"/>
    <w:qFormat/>
    <w:locked/>
    <w:uiPriority w:val="99"/>
    <w:rPr>
      <w:rFonts w:cs="Times New Roman"/>
      <w:b/>
      <w:sz w:val="24"/>
    </w:rPr>
  </w:style>
  <w:style w:type="character" w:customStyle="1" w:styleId="99">
    <w:name w:val="正文文本首行缩进 字符"/>
    <w:link w:val="57"/>
    <w:semiHidden/>
    <w:qFormat/>
    <w:locked/>
    <w:uiPriority w:val="99"/>
    <w:rPr>
      <w:rFonts w:eastAsia="宋体" w:cs="Times New Roman"/>
      <w:kern w:val="2"/>
      <w:sz w:val="24"/>
      <w:szCs w:val="24"/>
      <w:lang w:val="en-US" w:eastAsia="zh-CN"/>
    </w:rPr>
  </w:style>
  <w:style w:type="character" w:customStyle="1" w:styleId="100">
    <w:name w:val="正文文本首行缩进 2 字符"/>
    <w:link w:val="58"/>
    <w:semiHidden/>
    <w:qFormat/>
    <w:locked/>
    <w:uiPriority w:val="99"/>
    <w:rPr>
      <w:rFonts w:ascii="宋体" w:hAnsi="宋体" w:eastAsia="宋体" w:cs="Times New Roman"/>
      <w:kern w:val="2"/>
      <w:sz w:val="24"/>
      <w:szCs w:val="24"/>
      <w:lang w:val="en-US" w:eastAsia="zh-CN"/>
    </w:rPr>
  </w:style>
  <w:style w:type="paragraph" w:customStyle="1" w:styleId="101">
    <w:name w:val="表格文字"/>
    <w:basedOn w:val="1"/>
    <w:qFormat/>
    <w:uiPriority w:val="99"/>
    <w:pPr>
      <w:jc w:val="left"/>
    </w:pPr>
    <w:rPr>
      <w:bCs/>
      <w:spacing w:val="10"/>
      <w:kern w:val="0"/>
      <w:sz w:val="24"/>
    </w:rPr>
  </w:style>
  <w:style w:type="paragraph" w:customStyle="1" w:styleId="102">
    <w:name w:val="reader-word-layer reader-word-s2-3 reader-word-s2-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
    <w:name w:val="列出段落1"/>
    <w:basedOn w:val="1"/>
    <w:link w:val="390"/>
    <w:qFormat/>
    <w:uiPriority w:val="99"/>
    <w:pPr>
      <w:ind w:firstLine="420" w:firstLineChars="200"/>
    </w:pPr>
    <w:rPr>
      <w:rFonts w:ascii="Calibri" w:hAnsi="Calibri"/>
      <w:sz w:val="22"/>
      <w:szCs w:val="20"/>
    </w:rPr>
  </w:style>
  <w:style w:type="paragraph" w:customStyle="1" w:styleId="104">
    <w:name w:val="五号正文（标准）"/>
    <w:basedOn w:val="1"/>
    <w:qFormat/>
    <w:uiPriority w:val="99"/>
    <w:pPr>
      <w:spacing w:line="360" w:lineRule="auto"/>
      <w:ind w:right="55" w:firstLine="560" w:firstLineChars="200"/>
    </w:pPr>
    <w:rPr>
      <w:rFonts w:eastAsia="仿宋_GB2312"/>
      <w:sz w:val="28"/>
      <w:szCs w:val="20"/>
    </w:rPr>
  </w:style>
  <w:style w:type="paragraph" w:customStyle="1" w:styleId="105">
    <w:name w:val="Report Text"/>
    <w:basedOn w:val="1"/>
    <w:link w:val="396"/>
    <w:qFormat/>
    <w:uiPriority w:val="99"/>
    <w:pPr>
      <w:widowControl/>
      <w:spacing w:before="240" w:after="120"/>
      <w:ind w:left="1080"/>
    </w:pPr>
    <w:rPr>
      <w:rFonts w:ascii="Arial" w:hAnsi="Arial"/>
      <w:kern w:val="28"/>
      <w:sz w:val="22"/>
      <w:szCs w:val="20"/>
    </w:rPr>
  </w:style>
  <w:style w:type="paragraph" w:customStyle="1" w:styleId="106">
    <w:name w:val="Char Char4 Char Char Char Char"/>
    <w:basedOn w:val="1"/>
    <w:qFormat/>
    <w:uiPriority w:val="99"/>
    <w:pPr>
      <w:widowControl/>
      <w:spacing w:after="160" w:line="240" w:lineRule="exact"/>
      <w:jc w:val="left"/>
    </w:pPr>
  </w:style>
  <w:style w:type="paragraph" w:customStyle="1" w:styleId="107">
    <w:name w:val="菲页2"/>
    <w:basedOn w:val="5"/>
    <w:qFormat/>
    <w:uiPriority w:val="99"/>
    <w:pPr>
      <w:keepLines/>
      <w:widowControl/>
      <w:tabs>
        <w:tab w:val="left" w:pos="1800"/>
      </w:tabs>
      <w:spacing w:before="120" w:after="120" w:line="360" w:lineRule="auto"/>
      <w:ind w:left="1800" w:hanging="420"/>
      <w:jc w:val="center"/>
    </w:pPr>
    <w:rPr>
      <w:rFonts w:ascii="黑体" w:hAnsi="宋体" w:eastAsia="黑体"/>
      <w:b w:val="0"/>
      <w:kern w:val="0"/>
      <w:sz w:val="44"/>
    </w:rPr>
  </w:style>
  <w:style w:type="paragraph" w:customStyle="1" w:styleId="108">
    <w:name w:val="标题5"/>
    <w:basedOn w:val="5"/>
    <w:link w:val="247"/>
    <w:qFormat/>
    <w:uiPriority w:val="99"/>
    <w:pPr>
      <w:keepLines/>
      <w:spacing w:before="260" w:after="260" w:line="413" w:lineRule="auto"/>
    </w:pPr>
    <w:rPr>
      <w:rFonts w:ascii="Arial" w:hAnsi="Arial"/>
      <w:kern w:val="0"/>
      <w:sz w:val="32"/>
    </w:rPr>
  </w:style>
  <w:style w:type="paragraph" w:customStyle="1" w:styleId="109">
    <w:name w:val="文章附标题"/>
    <w:basedOn w:val="1"/>
    <w:next w:val="3"/>
    <w:qFormat/>
    <w:uiPriority w:val="99"/>
    <w:pPr>
      <w:widowControl/>
      <w:spacing w:before="187" w:after="175" w:line="374" w:lineRule="atLeast"/>
      <w:jc w:val="center"/>
      <w:textAlignment w:val="baseline"/>
    </w:pPr>
    <w:rPr>
      <w:color w:val="000000"/>
      <w:kern w:val="0"/>
      <w:sz w:val="36"/>
      <w:szCs w:val="20"/>
      <w:u w:color="000000"/>
    </w:rPr>
  </w:style>
  <w:style w:type="paragraph" w:customStyle="1" w:styleId="110">
    <w:name w:val="Char Char Char Char Char Char Char Char Char"/>
    <w:basedOn w:val="1"/>
    <w:qFormat/>
    <w:uiPriority w:val="99"/>
    <w:pPr>
      <w:widowControl/>
      <w:spacing w:after="160" w:line="240" w:lineRule="exact"/>
      <w:jc w:val="left"/>
    </w:pPr>
    <w:rPr>
      <w:szCs w:val="20"/>
    </w:rPr>
  </w:style>
  <w:style w:type="paragraph" w:customStyle="1" w:styleId="111">
    <w:name w:val="p15"/>
    <w:basedOn w:val="1"/>
    <w:qFormat/>
    <w:uiPriority w:val="99"/>
    <w:pPr>
      <w:widowControl/>
    </w:pPr>
    <w:rPr>
      <w:rFonts w:ascii="宋体" w:hAnsi="宋体" w:cs="宋体"/>
      <w:kern w:val="0"/>
      <w:szCs w:val="21"/>
    </w:rPr>
  </w:style>
  <w:style w:type="paragraph" w:customStyle="1" w:styleId="11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14">
    <w:name w:val="reader-word-layer reader-word-s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5">
    <w:name w:val="Char Char Char Char Char Char1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16">
    <w:name w:val="3"/>
    <w:basedOn w:val="1"/>
    <w:qFormat/>
    <w:uiPriority w:val="99"/>
    <w:pPr>
      <w:spacing w:line="360" w:lineRule="auto"/>
      <w:ind w:firstLine="200" w:firstLineChars="200"/>
    </w:pPr>
    <w:rPr>
      <w:rFonts w:ascii="宋体" w:hAnsi="宋体" w:cs="宋体"/>
      <w:sz w:val="24"/>
    </w:rPr>
  </w:style>
  <w:style w:type="paragraph" w:customStyle="1" w:styleId="117">
    <w:name w:val="表格文本"/>
    <w:basedOn w:val="1"/>
    <w:qFormat/>
    <w:uiPriority w:val="99"/>
    <w:pPr>
      <w:tabs>
        <w:tab w:val="decimal" w:pos="0"/>
      </w:tabs>
      <w:autoSpaceDE w:val="0"/>
      <w:autoSpaceDN w:val="0"/>
      <w:adjustRightInd w:val="0"/>
      <w:spacing w:line="360" w:lineRule="auto"/>
      <w:jc w:val="left"/>
    </w:pPr>
    <w:rPr>
      <w:rFonts w:ascii="Arial" w:hAnsi="Arial"/>
      <w:kern w:val="0"/>
      <w:szCs w:val="21"/>
    </w:rPr>
  </w:style>
  <w:style w:type="paragraph" w:customStyle="1" w:styleId="118">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19">
    <w:name w:val="正文首行缩进两字符"/>
    <w:basedOn w:val="1"/>
    <w:qFormat/>
    <w:uiPriority w:val="99"/>
    <w:pPr>
      <w:spacing w:line="360" w:lineRule="auto"/>
      <w:ind w:firstLine="200" w:firstLineChars="200"/>
    </w:pPr>
  </w:style>
  <w:style w:type="paragraph" w:customStyle="1" w:styleId="120">
    <w:name w:val="样式 标题 3 + (中文) 黑体 小四 非加粗 段前: 7.8 磅 段后: 0 磅 行距: 固定值 20 磅"/>
    <w:basedOn w:val="5"/>
    <w:qFormat/>
    <w:uiPriority w:val="99"/>
    <w:pPr>
      <w:keepLines/>
      <w:spacing w:line="400" w:lineRule="exact"/>
    </w:pPr>
    <w:rPr>
      <w:rFonts w:eastAsia="黑体" w:cs="宋体"/>
      <w:b w:val="0"/>
    </w:rPr>
  </w:style>
  <w:style w:type="paragraph" w:customStyle="1" w:styleId="121">
    <w:name w:val="标题3"/>
    <w:basedOn w:val="5"/>
    <w:qFormat/>
    <w:uiPriority w:val="99"/>
    <w:pPr>
      <w:widowControl/>
      <w:tabs>
        <w:tab w:val="left" w:pos="1247"/>
      </w:tabs>
      <w:spacing w:before="240" w:after="120" w:line="360" w:lineRule="auto"/>
      <w:ind w:left="1247" w:hanging="1247"/>
      <w:jc w:val="left"/>
    </w:pPr>
    <w:rPr>
      <w:rFonts w:ascii="Arial" w:hAnsi="Arial"/>
      <w:kern w:val="0"/>
      <w:sz w:val="52"/>
      <w:szCs w:val="52"/>
    </w:rPr>
  </w:style>
  <w:style w:type="paragraph" w:customStyle="1" w:styleId="122">
    <w:name w:val="样式 标题 2 + Times New Roman 四号 非加粗 段前: 5 磅 段后: 0 磅 行距: 固定值 20..."/>
    <w:basedOn w:val="4"/>
    <w:qFormat/>
    <w:uiPriority w:val="99"/>
    <w:pPr>
      <w:widowControl w:val="0"/>
      <w:spacing w:before="100" w:line="400" w:lineRule="exact"/>
      <w:jc w:val="both"/>
    </w:pPr>
    <w:rPr>
      <w:rFonts w:ascii="Times New Roman" w:hAnsi="Times New Roman" w:eastAsia="黑体" w:cs="宋体"/>
      <w:b w:val="0"/>
      <w:spacing w:val="0"/>
    </w:rPr>
  </w:style>
  <w:style w:type="paragraph" w:customStyle="1" w:styleId="123">
    <w:name w:val="修订1"/>
    <w:qFormat/>
    <w:uiPriority w:val="99"/>
    <w:rPr>
      <w:rFonts w:ascii="Times New Roman" w:hAnsi="Times New Roman" w:eastAsia="宋体" w:cs="Times New Roman"/>
      <w:kern w:val="2"/>
      <w:sz w:val="21"/>
      <w:szCs w:val="24"/>
      <w:lang w:val="en-US" w:eastAsia="zh-CN" w:bidi="ar-SA"/>
    </w:rPr>
  </w:style>
  <w:style w:type="paragraph" w:customStyle="1" w:styleId="124">
    <w:name w:val="文章总标题"/>
    <w:basedOn w:val="1"/>
    <w:next w:val="109"/>
    <w:qFormat/>
    <w:uiPriority w:val="9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25">
    <w:name w:val="Char1"/>
    <w:basedOn w:val="1"/>
    <w:qFormat/>
    <w:uiPriority w:val="99"/>
    <w:rPr>
      <w:szCs w:val="21"/>
    </w:rPr>
  </w:style>
  <w:style w:type="paragraph" w:customStyle="1" w:styleId="126">
    <w:name w:val="reader-word-layer reader-word-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F2"/>
    <w:basedOn w:val="1"/>
    <w:qFormat/>
    <w:uiPriority w:val="99"/>
    <w:pPr>
      <w:autoSpaceDE w:val="0"/>
      <w:autoSpaceDN w:val="0"/>
      <w:adjustRightInd w:val="0"/>
      <w:ind w:firstLine="601"/>
      <w:textAlignment w:val="baseline"/>
    </w:pPr>
    <w:rPr>
      <w:kern w:val="0"/>
      <w:sz w:val="24"/>
      <w:szCs w:val="20"/>
    </w:rPr>
  </w:style>
  <w:style w:type="paragraph" w:customStyle="1" w:styleId="128">
    <w:name w:val="目录"/>
    <w:basedOn w:val="1"/>
    <w:qFormat/>
    <w:uiPriority w:val="99"/>
    <w:pPr>
      <w:widowControl/>
      <w:jc w:val="center"/>
    </w:pPr>
    <w:rPr>
      <w:rFonts w:ascii="宋体"/>
      <w:b/>
      <w:kern w:val="0"/>
      <w:sz w:val="36"/>
      <w:szCs w:val="20"/>
    </w:rPr>
  </w:style>
  <w:style w:type="paragraph" w:customStyle="1" w:styleId="129">
    <w:name w:val="表格内容单行居左"/>
    <w:basedOn w:val="57"/>
    <w:qFormat/>
    <w:uiPriority w:val="99"/>
    <w:pPr>
      <w:spacing w:line="240" w:lineRule="auto"/>
      <w:ind w:firstLine="0"/>
      <w:jc w:val="left"/>
    </w:pPr>
    <w:rPr>
      <w:rFonts w:eastAsia="楷体_GB2312"/>
    </w:rPr>
  </w:style>
  <w:style w:type="paragraph" w:customStyle="1" w:styleId="130">
    <w:name w:val="表"/>
    <w:basedOn w:val="1"/>
    <w:link w:val="303"/>
    <w:qFormat/>
    <w:uiPriority w:val="99"/>
    <w:pPr>
      <w:autoSpaceDE w:val="0"/>
      <w:autoSpaceDN w:val="0"/>
      <w:adjustRightInd w:val="0"/>
      <w:spacing w:before="60" w:after="60"/>
      <w:ind w:left="-57" w:right="-57"/>
      <w:jc w:val="center"/>
    </w:pPr>
    <w:rPr>
      <w:color w:val="000000"/>
      <w:kern w:val="0"/>
      <w:sz w:val="20"/>
      <w:szCs w:val="20"/>
    </w:rPr>
  </w:style>
  <w:style w:type="paragraph" w:customStyle="1" w:styleId="13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2">
    <w:name w:val="Char Char Char Char Char Char Char"/>
    <w:basedOn w:val="1"/>
    <w:qFormat/>
    <w:uiPriority w:val="99"/>
  </w:style>
  <w:style w:type="paragraph" w:customStyle="1" w:styleId="13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134">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2ji"/>
    <w:basedOn w:val="4"/>
    <w:qFormat/>
    <w:uiPriority w:val="99"/>
    <w:pPr>
      <w:widowControl w:val="0"/>
      <w:adjustRightInd w:val="0"/>
      <w:spacing w:line="360" w:lineRule="auto"/>
      <w:jc w:val="both"/>
      <w:textAlignment w:val="baseline"/>
    </w:pPr>
    <w:rPr>
      <w:rFonts w:ascii="宋体" w:hAnsi="宋体" w:eastAsia="宋体"/>
      <w:bCs/>
      <w:spacing w:val="0"/>
      <w:sz w:val="21"/>
      <w:szCs w:val="21"/>
    </w:rPr>
  </w:style>
  <w:style w:type="paragraph" w:customStyle="1" w:styleId="136">
    <w:name w:val="v15"/>
    <w:basedOn w:val="1"/>
    <w:qFormat/>
    <w:uiPriority w:val="99"/>
    <w:pPr>
      <w:widowControl/>
      <w:spacing w:beforeAutospacing="1" w:afterAutospacing="1"/>
      <w:jc w:val="left"/>
    </w:pPr>
    <w:rPr>
      <w:rFonts w:ascii="宋体" w:hAnsi="宋体"/>
      <w:color w:val="000000"/>
      <w:kern w:val="0"/>
      <w:sz w:val="24"/>
    </w:rPr>
  </w:style>
  <w:style w:type="paragraph" w:customStyle="1" w:styleId="137">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rPr>
  </w:style>
  <w:style w:type="paragraph" w:customStyle="1" w:styleId="138">
    <w:name w:val="xl2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139">
    <w:name w:val="默认段落字体 Para Char1"/>
    <w:next w:val="1"/>
    <w:qFormat/>
    <w:uiPriority w:val="99"/>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0">
    <w:name w:val="默认段落字体 Para Char Char Char Char Char Char Char Char Char Char"/>
    <w:basedOn w:val="1"/>
    <w:qFormat/>
    <w:uiPriority w:val="99"/>
    <w:rPr>
      <w:kern w:val="0"/>
      <w:szCs w:val="20"/>
    </w:rPr>
  </w:style>
  <w:style w:type="paragraph" w:customStyle="1" w:styleId="141">
    <w:name w:val="节标题"/>
    <w:basedOn w:val="1"/>
    <w:next w:val="142"/>
    <w:qFormat/>
    <w:uiPriority w:val="99"/>
    <w:pPr>
      <w:widowControl/>
      <w:spacing w:line="289" w:lineRule="atLeast"/>
      <w:jc w:val="center"/>
      <w:textAlignment w:val="baseline"/>
    </w:pPr>
    <w:rPr>
      <w:color w:val="000000"/>
      <w:kern w:val="0"/>
      <w:sz w:val="28"/>
      <w:szCs w:val="20"/>
      <w:u w:color="000000"/>
    </w:rPr>
  </w:style>
  <w:style w:type="paragraph" w:customStyle="1" w:styleId="142">
    <w:name w:val="小节标题"/>
    <w:basedOn w:val="1"/>
    <w:next w:val="1"/>
    <w:qFormat/>
    <w:uiPriority w:val="99"/>
    <w:pPr>
      <w:widowControl/>
      <w:spacing w:before="175" w:after="102" w:line="351" w:lineRule="atLeast"/>
      <w:textAlignment w:val="baseline"/>
    </w:pPr>
    <w:rPr>
      <w:rFonts w:eastAsia="黑体"/>
      <w:color w:val="000000"/>
      <w:kern w:val="0"/>
      <w:szCs w:val="20"/>
      <w:u w:color="000000"/>
    </w:rPr>
  </w:style>
  <w:style w:type="paragraph" w:customStyle="1" w:styleId="143">
    <w:name w:val="Char Char Char Char Char Char Char Char Char Char Char Char Char Char Char Char1"/>
    <w:basedOn w:val="1"/>
    <w:qFormat/>
    <w:uiPriority w:val="99"/>
    <w:pPr>
      <w:tabs>
        <w:tab w:val="left" w:pos="360"/>
      </w:tabs>
      <w:spacing w:line="360" w:lineRule="auto"/>
      <w:ind w:left="482" w:firstLine="200" w:firstLineChars="200"/>
    </w:pPr>
  </w:style>
  <w:style w:type="paragraph" w:customStyle="1" w:styleId="144">
    <w:name w:val="正文文本缩进 Char Char Char Char"/>
    <w:basedOn w:val="1"/>
    <w:qFormat/>
    <w:uiPriority w:val="99"/>
    <w:pPr>
      <w:ind w:firstLine="540"/>
    </w:pPr>
    <w:rPr>
      <w:rFonts w:ascii="宋体" w:hAnsi="Courier New"/>
      <w:szCs w:val="20"/>
    </w:rPr>
  </w:style>
  <w:style w:type="paragraph" w:customStyle="1" w:styleId="145">
    <w:name w:val="Char Char1 Char Char Char Char"/>
    <w:basedOn w:val="19"/>
    <w:qFormat/>
    <w:uiPriority w:val="99"/>
    <w:rPr>
      <w:rFonts w:ascii="Tahoma" w:hAnsi="Tahoma"/>
    </w:rPr>
  </w:style>
  <w:style w:type="paragraph" w:customStyle="1" w:styleId="146">
    <w:name w:val="菲页(卷)"/>
    <w:basedOn w:val="3"/>
    <w:next w:val="147"/>
    <w:qFormat/>
    <w:uiPriority w:val="99"/>
    <w:pPr>
      <w:widowControl/>
      <w:tabs>
        <w:tab w:val="left" w:pos="900"/>
      </w:tabs>
      <w:ind w:left="900" w:hanging="360"/>
      <w:jc w:val="center"/>
      <w:outlineLvl w:val="1"/>
    </w:pPr>
    <w:rPr>
      <w:rFonts w:ascii="黑体" w:eastAsia="黑体"/>
      <w:b w:val="0"/>
      <w:kern w:val="0"/>
      <w:sz w:val="52"/>
    </w:rPr>
  </w:style>
  <w:style w:type="paragraph" w:customStyle="1" w:styleId="147">
    <w:name w:val="Normal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8">
    <w:name w:val="目录文字"/>
    <w:basedOn w:val="1"/>
    <w:link w:val="382"/>
    <w:qFormat/>
    <w:uiPriority w:val="99"/>
    <w:pPr>
      <w:widowControl/>
      <w:spacing w:line="480" w:lineRule="auto"/>
      <w:jc w:val="left"/>
    </w:pPr>
    <w:rPr>
      <w:rFonts w:ascii="宋体" w:hAnsi="宋体"/>
      <w:kern w:val="0"/>
      <w:sz w:val="24"/>
      <w:szCs w:val="20"/>
    </w:rPr>
  </w:style>
  <w:style w:type="paragraph" w:customStyle="1" w:styleId="149">
    <w:name w:val="表格"/>
    <w:basedOn w:val="1"/>
    <w:qFormat/>
    <w:uiPriority w:val="99"/>
    <w:pPr>
      <w:spacing w:line="400" w:lineRule="exact"/>
    </w:pPr>
    <w:rPr>
      <w:sz w:val="24"/>
    </w:rPr>
  </w:style>
  <w:style w:type="paragraph" w:customStyle="1" w:styleId="150">
    <w:name w:val="表格题注"/>
    <w:basedOn w:val="1"/>
    <w:next w:val="1"/>
    <w:qFormat/>
    <w:uiPriority w:val="99"/>
    <w:pPr>
      <w:keepLines/>
      <w:autoSpaceDE w:val="0"/>
      <w:autoSpaceDN w:val="0"/>
      <w:adjustRightInd w:val="0"/>
      <w:spacing w:beforeLines="100" w:line="360" w:lineRule="auto"/>
      <w:ind w:left="360" w:hanging="360"/>
      <w:jc w:val="center"/>
    </w:pPr>
    <w:rPr>
      <w:rFonts w:ascii="Arial" w:hAnsi="Arial"/>
      <w:kern w:val="0"/>
      <w:sz w:val="18"/>
      <w:szCs w:val="18"/>
    </w:rPr>
  </w:style>
  <w:style w:type="paragraph" w:customStyle="1" w:styleId="151">
    <w:name w:val="Char Char Char"/>
    <w:basedOn w:val="19"/>
    <w:qFormat/>
    <w:uiPriority w:val="99"/>
    <w:rPr>
      <w:rFonts w:ascii="Tahoma" w:hAnsi="Tahoma"/>
    </w:rPr>
  </w:style>
  <w:style w:type="paragraph" w:customStyle="1" w:styleId="152">
    <w:name w:val="td25main"/>
    <w:basedOn w:val="1"/>
    <w:qFormat/>
    <w:uiPriority w:val="99"/>
    <w:pPr>
      <w:widowControl/>
      <w:spacing w:beforeAutospacing="1" w:afterAutospacing="1" w:line="300" w:lineRule="atLeast"/>
      <w:jc w:val="left"/>
    </w:pPr>
    <w:rPr>
      <w:rFonts w:ascii="宋体" w:hAnsi="宋体" w:cs="宋体"/>
      <w:kern w:val="0"/>
      <w:sz w:val="18"/>
      <w:szCs w:val="18"/>
    </w:rPr>
  </w:style>
  <w:style w:type="paragraph" w:customStyle="1" w:styleId="153">
    <w:name w:val="目录1"/>
    <w:basedOn w:val="1"/>
    <w:next w:val="1"/>
    <w:qFormat/>
    <w:uiPriority w:val="99"/>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54">
    <w:name w:val="次小点说明 Char"/>
    <w:basedOn w:val="9"/>
    <w:qFormat/>
    <w:uiPriority w:val="99"/>
    <w:pPr>
      <w:ind w:firstLine="0"/>
    </w:pPr>
  </w:style>
  <w:style w:type="paragraph" w:customStyle="1" w:styleId="155">
    <w:name w:val="Char1 Char Char Char Char Char Char"/>
    <w:basedOn w:val="1"/>
    <w:qFormat/>
    <w:uiPriority w:val="99"/>
    <w:rPr>
      <w:rFonts w:ascii="Tahoma" w:hAnsi="Tahoma"/>
      <w:sz w:val="24"/>
      <w:szCs w:val="20"/>
    </w:rPr>
  </w:style>
  <w:style w:type="paragraph" w:customStyle="1" w:styleId="15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7">
    <w:name w:val="_Style 42"/>
    <w:basedOn w:val="1"/>
    <w:qFormat/>
    <w:uiPriority w:val="99"/>
    <w:pPr>
      <w:widowControl/>
      <w:spacing w:line="240" w:lineRule="exact"/>
      <w:jc w:val="left"/>
    </w:pPr>
    <w:rPr>
      <w:rFonts w:ascii="宋体" w:hAnsi="Courier New"/>
      <w:szCs w:val="20"/>
    </w:rPr>
  </w:style>
  <w:style w:type="paragraph" w:customStyle="1" w:styleId="158">
    <w:name w:val="Char Char Char Char Char Char Char Char Char1 Char1 Char Char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159">
    <w:name w:val="样式3"/>
    <w:basedOn w:val="23"/>
    <w:qFormat/>
    <w:uiPriority w:val="99"/>
    <w:pPr>
      <w:spacing w:after="120" w:line="360" w:lineRule="auto"/>
      <w:jc w:val="both"/>
    </w:pPr>
    <w:rPr>
      <w:rFonts w:ascii="宋体"/>
    </w:rPr>
  </w:style>
  <w:style w:type="paragraph" w:customStyle="1" w:styleId="160">
    <w:name w:val="正文段"/>
    <w:basedOn w:val="1"/>
    <w:qFormat/>
    <w:uiPriority w:val="99"/>
    <w:pPr>
      <w:widowControl/>
      <w:snapToGrid w:val="0"/>
      <w:spacing w:afterLines="50"/>
      <w:ind w:firstLine="200" w:firstLineChars="200"/>
    </w:pPr>
    <w:rPr>
      <w:kern w:val="0"/>
      <w:sz w:val="24"/>
      <w:szCs w:val="20"/>
    </w:rPr>
  </w:style>
  <w:style w:type="paragraph" w:customStyle="1" w:styleId="16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2">
    <w:name w:val="样式 标题 2 + (西文) 宋体 非加粗 居中"/>
    <w:basedOn w:val="4"/>
    <w:qFormat/>
    <w:uiPriority w:val="99"/>
    <w:pPr>
      <w:widowControl w:val="0"/>
      <w:jc w:val="center"/>
    </w:pPr>
    <w:rPr>
      <w:rFonts w:ascii="宋体" w:hAnsi="宋体" w:eastAsia="黑体" w:cs="宋体"/>
      <w:b w:val="0"/>
      <w:spacing w:val="2"/>
    </w:rPr>
  </w:style>
  <w:style w:type="paragraph" w:customStyle="1" w:styleId="163">
    <w:name w:val="List Paragraph1"/>
    <w:basedOn w:val="1"/>
    <w:qFormat/>
    <w:uiPriority w:val="99"/>
    <w:pPr>
      <w:ind w:firstLine="420" w:firstLineChars="200"/>
    </w:pPr>
    <w:rPr>
      <w:rFonts w:ascii="Calibri" w:hAnsi="Calibri"/>
      <w:szCs w:val="22"/>
    </w:rPr>
  </w:style>
  <w:style w:type="paragraph" w:customStyle="1" w:styleId="164">
    <w:name w:val="默认段落字体 Para Char Char Char Char Char Char Char Char Char1 Char Char Char Char"/>
    <w:basedOn w:val="1"/>
    <w:qFormat/>
    <w:uiPriority w:val="99"/>
    <w:rPr>
      <w:rFonts w:ascii="Tahoma" w:hAnsi="Tahoma"/>
      <w:sz w:val="24"/>
      <w:szCs w:val="20"/>
    </w:rPr>
  </w:style>
  <w:style w:type="paragraph" w:customStyle="1" w:styleId="165">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66">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2-2ji"/>
    <w:basedOn w:val="4"/>
    <w:qFormat/>
    <w:uiPriority w:val="99"/>
    <w:pPr>
      <w:widowControl w:val="0"/>
      <w:spacing w:line="360" w:lineRule="auto"/>
      <w:jc w:val="center"/>
    </w:pPr>
    <w:rPr>
      <w:rFonts w:ascii="宋体" w:hAnsi="宋体" w:eastAsia="宋体"/>
      <w:bCs/>
      <w:spacing w:val="0"/>
      <w:kern w:val="2"/>
      <w:sz w:val="36"/>
    </w:rPr>
  </w:style>
  <w:style w:type="paragraph" w:customStyle="1" w:styleId="168">
    <w:name w:val="reader-word-layer reader-word-s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9">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0">
    <w:name w:val="插图题注"/>
    <w:basedOn w:val="1"/>
    <w:next w:val="1"/>
    <w:qFormat/>
    <w:uiPriority w:val="99"/>
    <w:pPr>
      <w:autoSpaceDE w:val="0"/>
      <w:autoSpaceDN w:val="0"/>
      <w:adjustRightInd w:val="0"/>
      <w:spacing w:afterLines="100" w:line="360" w:lineRule="auto"/>
      <w:ind w:left="360" w:hanging="360"/>
      <w:jc w:val="center"/>
    </w:pPr>
    <w:rPr>
      <w:rFonts w:ascii="Arial" w:hAnsi="Arial"/>
      <w:kern w:val="0"/>
      <w:sz w:val="18"/>
      <w:szCs w:val="18"/>
    </w:rPr>
  </w:style>
  <w:style w:type="paragraph" w:customStyle="1" w:styleId="171">
    <w:name w:val="Char2"/>
    <w:basedOn w:val="1"/>
    <w:link w:val="363"/>
    <w:qFormat/>
    <w:uiPriority w:val="99"/>
    <w:pPr>
      <w:widowControl/>
      <w:spacing w:after="160" w:line="240" w:lineRule="exact"/>
      <w:jc w:val="left"/>
    </w:pPr>
    <w:rPr>
      <w:rFonts w:ascii="Verdana" w:hAnsi="Verdana"/>
      <w:kern w:val="0"/>
      <w:szCs w:val="20"/>
      <w:lang w:eastAsia="en-US"/>
    </w:rPr>
  </w:style>
  <w:style w:type="paragraph" w:customStyle="1" w:styleId="172">
    <w:name w:val="表号"/>
    <w:basedOn w:val="1"/>
    <w:qFormat/>
    <w:uiPriority w:val="99"/>
    <w:pPr>
      <w:keepLines/>
      <w:autoSpaceDE w:val="0"/>
      <w:autoSpaceDN w:val="0"/>
      <w:adjustRightInd w:val="0"/>
      <w:spacing w:line="360" w:lineRule="auto"/>
      <w:ind w:left="360" w:hanging="360"/>
      <w:jc w:val="center"/>
    </w:pPr>
    <w:rPr>
      <w:rFonts w:ascii="宋体"/>
      <w:kern w:val="0"/>
      <w:szCs w:val="21"/>
    </w:rPr>
  </w:style>
  <w:style w:type="paragraph" w:customStyle="1" w:styleId="173">
    <w:name w:val="目录4"/>
    <w:basedOn w:val="1"/>
    <w:next w:val="1"/>
    <w:qFormat/>
    <w:uiPriority w:val="99"/>
    <w:pPr>
      <w:widowControl/>
      <w:tabs>
        <w:tab w:val="left" w:leader="dot" w:pos="8503"/>
      </w:tabs>
      <w:spacing w:line="317" w:lineRule="atLeast"/>
      <w:ind w:firstLine="629"/>
      <w:textAlignment w:val="baseline"/>
    </w:pPr>
    <w:rPr>
      <w:color w:val="000000"/>
      <w:kern w:val="0"/>
      <w:szCs w:val="20"/>
      <w:u w:color="000000"/>
    </w:rPr>
  </w:style>
  <w:style w:type="paragraph" w:customStyle="1" w:styleId="174">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5">
    <w:name w:val="_Style 37"/>
    <w:basedOn w:val="1"/>
    <w:next w:val="1"/>
    <w:qFormat/>
    <w:uiPriority w:val="99"/>
  </w:style>
  <w:style w:type="paragraph" w:customStyle="1" w:styleId="176">
    <w:name w:val="Char Char Char1"/>
    <w:basedOn w:val="19"/>
    <w:qFormat/>
    <w:uiPriority w:val="99"/>
    <w:rPr>
      <w:rFonts w:ascii="Tahoma" w:hAnsi="Tahoma"/>
    </w:rPr>
  </w:style>
  <w:style w:type="paragraph" w:customStyle="1" w:styleId="177">
    <w:name w:val="444"/>
    <w:basedOn w:val="1"/>
    <w:qFormat/>
    <w:uiPriority w:val="99"/>
    <w:pPr>
      <w:adjustRightInd w:val="0"/>
      <w:spacing w:line="312" w:lineRule="atLeast"/>
      <w:jc w:val="center"/>
      <w:textAlignment w:val="baseline"/>
    </w:pPr>
    <w:rPr>
      <w:b/>
      <w:kern w:val="0"/>
      <w:sz w:val="36"/>
      <w:szCs w:val="36"/>
    </w:rPr>
  </w:style>
  <w:style w:type="paragraph" w:customStyle="1" w:styleId="178">
    <w:name w:val="表格列标题文字"/>
    <w:basedOn w:val="1"/>
    <w:qFormat/>
    <w:uiPriority w:val="99"/>
    <w:pPr>
      <w:spacing w:before="60" w:after="60" w:line="300" w:lineRule="auto"/>
      <w:jc w:val="center"/>
    </w:pPr>
    <w:rPr>
      <w:b/>
    </w:rPr>
  </w:style>
  <w:style w:type="paragraph" w:customStyle="1" w:styleId="179">
    <w:name w:val="无间隔1"/>
    <w:link w:val="361"/>
    <w:qFormat/>
    <w:uiPriority w:val="99"/>
    <w:pPr>
      <w:widowControl w:val="0"/>
      <w:jc w:val="both"/>
    </w:pPr>
    <w:rPr>
      <w:rFonts w:ascii="Times New Roman" w:hAnsi="Times New Roman" w:eastAsia="宋体" w:cs="Times New Roman"/>
      <w:kern w:val="2"/>
      <w:sz w:val="22"/>
      <w:lang w:val="en-US" w:eastAsia="zh-CN" w:bidi="ar-SA"/>
    </w:rPr>
  </w:style>
  <w:style w:type="paragraph" w:customStyle="1" w:styleId="180">
    <w:name w:val="Char Char Char1 Char"/>
    <w:basedOn w:val="1"/>
    <w:qFormat/>
    <w:uiPriority w:val="99"/>
    <w:pPr>
      <w:tabs>
        <w:tab w:val="left" w:pos="360"/>
      </w:tabs>
      <w:spacing w:line="360" w:lineRule="auto"/>
      <w:ind w:left="482" w:firstLine="200" w:firstLineChars="200"/>
    </w:pPr>
    <w:rPr>
      <w:rFonts w:ascii="宋体"/>
      <w:sz w:val="24"/>
      <w:szCs w:val="20"/>
    </w:rPr>
  </w:style>
  <w:style w:type="paragraph" w:customStyle="1" w:styleId="181">
    <w:name w:val="表内文字"/>
    <w:basedOn w:val="1"/>
    <w:qFormat/>
    <w:uiPriority w:val="99"/>
    <w:pPr>
      <w:snapToGrid w:val="0"/>
      <w:spacing w:line="320" w:lineRule="exact"/>
      <w:jc w:val="center"/>
    </w:pPr>
    <w:rPr>
      <w:rFonts w:ascii="宋体" w:hAnsi="宋体"/>
      <w:b/>
      <w:sz w:val="24"/>
    </w:rPr>
  </w:style>
  <w:style w:type="paragraph" w:customStyle="1" w:styleId="18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83">
    <w:name w:val="reader-word-layer reader-word-s2-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4">
    <w:name w:val="默认段落字体 Para Char"/>
    <w:basedOn w:val="1"/>
    <w:qFormat/>
    <w:uiPriority w:val="99"/>
    <w:pPr>
      <w:adjustRightInd w:val="0"/>
      <w:spacing w:line="360" w:lineRule="auto"/>
    </w:pPr>
    <w:rPr>
      <w:kern w:val="0"/>
      <w:sz w:val="24"/>
      <w:szCs w:val="20"/>
    </w:rPr>
  </w:style>
  <w:style w:type="paragraph" w:customStyle="1" w:styleId="185">
    <w:name w:val="Report List"/>
    <w:basedOn w:val="1"/>
    <w:qFormat/>
    <w:uiPriority w:val="99"/>
    <w:pPr>
      <w:widowControl/>
      <w:numPr>
        <w:ilvl w:val="0"/>
        <w:numId w:val="2"/>
      </w:numPr>
      <w:tabs>
        <w:tab w:val="clear" w:pos="360"/>
      </w:tabs>
      <w:spacing w:before="120" w:after="120"/>
    </w:pPr>
    <w:rPr>
      <w:rFonts w:ascii="Arial" w:hAnsi="Arial" w:cs="Tahoma"/>
      <w:kern w:val="28"/>
      <w:sz w:val="22"/>
      <w:szCs w:val="20"/>
    </w:rPr>
  </w:style>
  <w:style w:type="paragraph" w:customStyle="1" w:styleId="186">
    <w:name w:val="Char"/>
    <w:basedOn w:val="1"/>
    <w:qFormat/>
    <w:uiPriority w:val="99"/>
    <w:rPr>
      <w:rFonts w:ascii="仿宋_GB2312" w:eastAsia="仿宋_GB2312"/>
      <w:b/>
      <w:sz w:val="32"/>
      <w:szCs w:val="32"/>
    </w:rPr>
  </w:style>
  <w:style w:type="paragraph" w:customStyle="1" w:styleId="187">
    <w:name w:val="自定义标题一"/>
    <w:basedOn w:val="3"/>
    <w:link w:val="333"/>
    <w:qFormat/>
    <w:uiPriority w:val="99"/>
    <w:pPr>
      <w:keepLines/>
      <w:pageBreakBefore/>
      <w:tabs>
        <w:tab w:val="left" w:pos="144"/>
      </w:tabs>
      <w:spacing w:line="360" w:lineRule="auto"/>
      <w:ind w:left="144" w:hanging="144"/>
      <w:jc w:val="center"/>
    </w:pPr>
    <w:rPr>
      <w:rFonts w:ascii="黑体" w:hAnsi="黑体" w:eastAsia="黑体"/>
      <w:kern w:val="44"/>
      <w:sz w:val="44"/>
    </w:rPr>
  </w:style>
  <w:style w:type="paragraph" w:customStyle="1" w:styleId="188">
    <w:name w:val="Char Char Char Char Char Char1 Char1"/>
    <w:basedOn w:val="19"/>
    <w:qFormat/>
    <w:uiPriority w:val="99"/>
    <w:rPr>
      <w:rFonts w:ascii="Tahoma" w:hAnsi="Tahoma"/>
    </w:rPr>
  </w:style>
  <w:style w:type="paragraph" w:customStyle="1" w:styleId="189">
    <w:name w:val="List Paragraph11"/>
    <w:basedOn w:val="1"/>
    <w:qFormat/>
    <w:uiPriority w:val="99"/>
    <w:pPr>
      <w:ind w:firstLine="420" w:firstLineChars="200"/>
    </w:pPr>
    <w:rPr>
      <w:rFonts w:ascii="Calibri" w:hAnsi="Calibri"/>
    </w:rPr>
  </w:style>
  <w:style w:type="paragraph" w:customStyle="1" w:styleId="190">
    <w:name w:val="样式1"/>
    <w:basedOn w:val="1"/>
    <w:qFormat/>
    <w:uiPriority w:val="99"/>
    <w:rPr>
      <w:rFonts w:ascii="宋体" w:hAnsi="宋体"/>
      <w:b/>
      <w:bCs/>
      <w:sz w:val="30"/>
      <w:szCs w:val="20"/>
    </w:rPr>
  </w:style>
  <w:style w:type="paragraph" w:customStyle="1" w:styleId="191">
    <w:name w:val="bb"/>
    <w:basedOn w:val="1"/>
    <w:qFormat/>
    <w:uiPriority w:val="99"/>
    <w:pPr>
      <w:widowControl/>
      <w:spacing w:before="100" w:beforeAutospacing="1" w:after="100" w:afterAutospacing="1"/>
      <w:jc w:val="left"/>
    </w:pPr>
    <w:rPr>
      <w:rFonts w:ascii="宋体" w:hAnsi="宋体"/>
      <w:kern w:val="0"/>
      <w:sz w:val="24"/>
    </w:rPr>
  </w:style>
  <w:style w:type="paragraph" w:customStyle="1" w:styleId="192">
    <w:name w:val="TOC 标题1"/>
    <w:basedOn w:val="3"/>
    <w:next w:val="1"/>
    <w:qFormat/>
    <w:uiPriority w:val="99"/>
    <w:pPr>
      <w:keepLines/>
      <w:spacing w:before="340" w:after="330" w:line="576" w:lineRule="auto"/>
      <w:outlineLvl w:val="9"/>
    </w:pPr>
    <w:rPr>
      <w:rFonts w:ascii="Calibri" w:hAnsi="Calibri" w:eastAsia="黑体"/>
      <w:bCs/>
      <w:kern w:val="44"/>
      <w:sz w:val="44"/>
      <w:szCs w:val="44"/>
    </w:rPr>
  </w:style>
  <w:style w:type="paragraph" w:customStyle="1" w:styleId="193">
    <w:name w:val="缺省文本"/>
    <w:basedOn w:val="1"/>
    <w:qFormat/>
    <w:uiPriority w:val="99"/>
    <w:pPr>
      <w:autoSpaceDE w:val="0"/>
      <w:autoSpaceDN w:val="0"/>
      <w:adjustRightInd w:val="0"/>
      <w:spacing w:line="360" w:lineRule="auto"/>
      <w:jc w:val="left"/>
    </w:pPr>
    <w:rPr>
      <w:kern w:val="0"/>
      <w:szCs w:val="21"/>
    </w:rPr>
  </w:style>
  <w:style w:type="paragraph" w:customStyle="1" w:styleId="194">
    <w:name w:val="样式 首行缩进:  2 字符"/>
    <w:basedOn w:val="1"/>
    <w:qFormat/>
    <w:uiPriority w:val="99"/>
    <w:pPr>
      <w:spacing w:line="400" w:lineRule="exact"/>
      <w:ind w:firstLine="200" w:firstLineChars="200"/>
    </w:pPr>
    <w:rPr>
      <w:rFonts w:cs="宋体"/>
      <w:sz w:val="24"/>
    </w:rPr>
  </w:style>
  <w:style w:type="paragraph" w:customStyle="1" w:styleId="195">
    <w:name w:val="列出段落11"/>
    <w:basedOn w:val="1"/>
    <w:qFormat/>
    <w:uiPriority w:val="99"/>
    <w:pPr>
      <w:ind w:firstLine="420" w:firstLineChars="200"/>
    </w:pPr>
    <w:rPr>
      <w:rFonts w:ascii="Calibri" w:hAnsi="Calibri"/>
      <w:szCs w:val="22"/>
    </w:rPr>
  </w:style>
  <w:style w:type="paragraph" w:customStyle="1" w:styleId="19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7">
    <w:name w:val="目录3"/>
    <w:basedOn w:val="1"/>
    <w:next w:val="1"/>
    <w:qFormat/>
    <w:uiPriority w:val="99"/>
    <w:pPr>
      <w:widowControl/>
      <w:tabs>
        <w:tab w:val="left" w:leader="dot" w:pos="8503"/>
      </w:tabs>
      <w:spacing w:line="317" w:lineRule="atLeast"/>
      <w:ind w:firstLine="419"/>
      <w:textAlignment w:val="baseline"/>
    </w:pPr>
    <w:rPr>
      <w:color w:val="000000"/>
      <w:kern w:val="0"/>
      <w:szCs w:val="20"/>
      <w:u w:color="000000"/>
    </w:rPr>
  </w:style>
  <w:style w:type="paragraph" w:customStyle="1" w:styleId="19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99">
    <w:name w:val="菲页1"/>
    <w:basedOn w:val="4"/>
    <w:qFormat/>
    <w:uiPriority w:val="99"/>
    <w:pPr>
      <w:jc w:val="center"/>
    </w:pPr>
    <w:rPr>
      <w:rFonts w:ascii="黑体" w:hAnsi="宋体" w:eastAsia="宋体"/>
      <w:b w:val="0"/>
      <w:spacing w:val="0"/>
      <w:sz w:val="52"/>
    </w:rPr>
  </w:style>
  <w:style w:type="paragraph" w:customStyle="1" w:styleId="200">
    <w:name w:val="明显引用1"/>
    <w:basedOn w:val="1"/>
    <w:next w:val="1"/>
    <w:link w:val="248"/>
    <w:qFormat/>
    <w:uiPriority w:val="99"/>
    <w:pPr>
      <w:pBdr>
        <w:bottom w:val="single" w:color="4F81BD" w:sz="4" w:space="4"/>
      </w:pBdr>
      <w:spacing w:before="200" w:after="280"/>
      <w:ind w:left="936" w:right="936"/>
    </w:pPr>
    <w:rPr>
      <w:b/>
      <w:i/>
      <w:color w:val="4F81BD"/>
      <w:kern w:val="0"/>
      <w:sz w:val="20"/>
      <w:szCs w:val="20"/>
    </w:rPr>
  </w:style>
  <w:style w:type="paragraph" w:customStyle="1" w:styleId="201">
    <w:name w:val="Char Char1 Char Char Char Char Char Char Char Char Char Char Char Char Char Char"/>
    <w:basedOn w:val="1"/>
    <w:qFormat/>
    <w:uiPriority w:val="99"/>
    <w:pPr>
      <w:widowControl/>
      <w:spacing w:line="240" w:lineRule="exact"/>
      <w:jc w:val="left"/>
    </w:pPr>
    <w:rPr>
      <w:szCs w:val="20"/>
    </w:rPr>
  </w:style>
  <w:style w:type="paragraph" w:customStyle="1" w:styleId="202">
    <w:name w:val="Char Char1"/>
    <w:basedOn w:val="1"/>
    <w:qFormat/>
    <w:uiPriority w:val="99"/>
    <w:pPr>
      <w:widowControl/>
      <w:spacing w:line="240" w:lineRule="exact"/>
      <w:jc w:val="left"/>
    </w:pPr>
    <w:rPr>
      <w:rFonts w:ascii="Verdana" w:hAnsi="Verdana" w:eastAsia="楷体_GB2312"/>
      <w:b/>
      <w:i/>
      <w:iCs/>
      <w:color w:val="000000"/>
      <w:kern w:val="0"/>
      <w:sz w:val="20"/>
      <w:szCs w:val="20"/>
      <w:lang w:eastAsia="en-US"/>
    </w:rPr>
  </w:style>
  <w:style w:type="paragraph" w:customStyle="1" w:styleId="203">
    <w:name w:val="_Style 5"/>
    <w:basedOn w:val="1"/>
    <w:qFormat/>
    <w:uiPriority w:val="99"/>
    <w:pPr>
      <w:spacing w:afterLines="25"/>
    </w:pPr>
    <w:rPr>
      <w:rFonts w:ascii="Arial" w:hAnsi="Arial"/>
    </w:rPr>
  </w:style>
  <w:style w:type="paragraph" w:customStyle="1" w:styleId="204">
    <w:name w:val="2"/>
    <w:basedOn w:val="19"/>
    <w:qFormat/>
    <w:uiPriority w:val="99"/>
    <w:pPr>
      <w:snapToGrid w:val="0"/>
    </w:pPr>
  </w:style>
  <w:style w:type="paragraph" w:customStyle="1" w:styleId="205">
    <w:name w:val="目录2"/>
    <w:basedOn w:val="1"/>
    <w:next w:val="1"/>
    <w:qFormat/>
    <w:uiPriority w:val="99"/>
    <w:pPr>
      <w:widowControl/>
      <w:tabs>
        <w:tab w:val="left" w:leader="dot" w:pos="8503"/>
      </w:tabs>
      <w:spacing w:line="317" w:lineRule="atLeast"/>
      <w:ind w:firstLine="209"/>
      <w:textAlignment w:val="baseline"/>
    </w:pPr>
    <w:rPr>
      <w:color w:val="000000"/>
      <w:kern w:val="0"/>
      <w:szCs w:val="20"/>
      <w:u w:color="000000"/>
    </w:rPr>
  </w:style>
  <w:style w:type="paragraph" w:customStyle="1" w:styleId="206">
    <w:name w:val="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21"/>
    <w:basedOn w:val="1"/>
    <w:qFormat/>
    <w:uiPriority w:val="99"/>
    <w:pPr>
      <w:widowControl/>
      <w:spacing w:after="160" w:line="240" w:lineRule="exact"/>
      <w:jc w:val="left"/>
    </w:pPr>
    <w:rPr>
      <w:rFonts w:ascii="Verdana" w:hAnsi="Verdana"/>
      <w:kern w:val="0"/>
      <w:szCs w:val="20"/>
      <w:lang w:eastAsia="en-US"/>
    </w:rPr>
  </w:style>
  <w:style w:type="paragraph" w:customStyle="1" w:styleId="208">
    <w:name w:val="Char Char Char1 Char Char Char Char Char Char Char Char Char Char Char Char Char Char Char"/>
    <w:basedOn w:val="1"/>
    <w:qFormat/>
    <w:uiPriority w:val="99"/>
    <w:pPr>
      <w:widowControl/>
      <w:adjustRightInd w:val="0"/>
      <w:spacing w:after="160" w:line="240" w:lineRule="exact"/>
      <w:jc w:val="left"/>
    </w:pPr>
    <w:rPr>
      <w:rFonts w:ascii="Verdana" w:hAnsi="Verdana"/>
      <w:kern w:val="0"/>
      <w:sz w:val="20"/>
      <w:szCs w:val="20"/>
      <w:lang w:eastAsia="en-US"/>
    </w:rPr>
  </w:style>
  <w:style w:type="paragraph" w:customStyle="1" w:styleId="209">
    <w:name w:val="1"/>
    <w:basedOn w:val="1"/>
    <w:next w:val="24"/>
    <w:qFormat/>
    <w:uiPriority w:val="99"/>
    <w:pPr>
      <w:spacing w:line="300" w:lineRule="exact"/>
      <w:ind w:firstLine="420"/>
    </w:pPr>
    <w:rPr>
      <w:szCs w:val="20"/>
    </w:rPr>
  </w:style>
  <w:style w:type="paragraph" w:customStyle="1" w:styleId="210">
    <w:name w:val="目录标题"/>
    <w:basedOn w:val="1"/>
    <w:next w:val="1"/>
    <w:qFormat/>
    <w:uiPriority w:val="99"/>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11">
    <w:name w:val="样式 正文缩进 + 首行缩进:  2 字符 段前: 0.5 行"/>
    <w:basedOn w:val="1"/>
    <w:qFormat/>
    <w:uiPriority w:val="99"/>
    <w:pPr>
      <w:spacing w:beforeLines="50" w:line="300" w:lineRule="auto"/>
      <w:ind w:firstLine="480" w:firstLineChars="200"/>
    </w:pPr>
    <w:rPr>
      <w:rFonts w:cs="宋体"/>
      <w:szCs w:val="20"/>
    </w:rPr>
  </w:style>
  <w:style w:type="paragraph" w:customStyle="1" w:styleId="212">
    <w:name w:val="引用1"/>
    <w:basedOn w:val="1"/>
    <w:next w:val="1"/>
    <w:link w:val="332"/>
    <w:qFormat/>
    <w:uiPriority w:val="99"/>
    <w:rPr>
      <w:i/>
      <w:color w:val="000000"/>
      <w:kern w:val="0"/>
      <w:sz w:val="20"/>
      <w:szCs w:val="20"/>
    </w:rPr>
  </w:style>
  <w:style w:type="paragraph" w:customStyle="1" w:styleId="213">
    <w:name w:val="Body"/>
    <w:basedOn w:val="1"/>
    <w:qFormat/>
    <w:uiPriority w:val="99"/>
    <w:pPr>
      <w:widowControl/>
      <w:tabs>
        <w:tab w:val="left" w:pos="1980"/>
      </w:tabs>
      <w:spacing w:before="80" w:after="80" w:line="360" w:lineRule="auto"/>
      <w:jc w:val="center"/>
    </w:pPr>
    <w:rPr>
      <w:szCs w:val="21"/>
    </w:rPr>
  </w:style>
  <w:style w:type="paragraph" w:customStyle="1" w:styleId="214">
    <w:name w:val="cn"/>
    <w:basedOn w:val="1"/>
    <w:qFormat/>
    <w:uiPriority w:val="99"/>
    <w:pPr>
      <w:widowControl/>
      <w:spacing w:beforeAutospacing="1" w:afterAutospacing="1"/>
      <w:jc w:val="left"/>
    </w:pPr>
    <w:rPr>
      <w:rFonts w:ascii="宋体" w:hAnsi="宋体"/>
      <w:kern w:val="0"/>
      <w:sz w:val="18"/>
      <w:szCs w:val="18"/>
    </w:rPr>
  </w:style>
  <w:style w:type="paragraph" w:customStyle="1" w:styleId="215">
    <w:name w:val="Char Char1 Char Char Char Char Char Char Char Char Char Char Char Char Char Char1"/>
    <w:basedOn w:val="1"/>
    <w:qFormat/>
    <w:uiPriority w:val="99"/>
    <w:pPr>
      <w:widowControl/>
      <w:spacing w:line="240" w:lineRule="exact"/>
      <w:jc w:val="left"/>
    </w:pPr>
    <w:rPr>
      <w:szCs w:val="20"/>
    </w:rPr>
  </w:style>
  <w:style w:type="paragraph" w:customStyle="1" w:styleId="216">
    <w:name w:val="p0"/>
    <w:basedOn w:val="1"/>
    <w:qFormat/>
    <w:uiPriority w:val="99"/>
    <w:pPr>
      <w:widowControl/>
    </w:pPr>
    <w:rPr>
      <w:kern w:val="0"/>
      <w:szCs w:val="21"/>
    </w:rPr>
  </w:style>
  <w:style w:type="paragraph" w:customStyle="1" w:styleId="217">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218">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9">
    <w:name w:val="样式 正文文字 + 小四 段后: 0 磅 行距: 1.5 倍行距"/>
    <w:basedOn w:val="23"/>
    <w:qFormat/>
    <w:uiPriority w:val="99"/>
    <w:pPr>
      <w:spacing w:line="360" w:lineRule="auto"/>
      <w:ind w:firstLine="480" w:firstLineChars="200"/>
      <w:jc w:val="both"/>
    </w:pPr>
    <w:rPr>
      <w:rFonts w:cs="宋体"/>
    </w:rPr>
  </w:style>
  <w:style w:type="paragraph" w:customStyle="1" w:styleId="220">
    <w:name w:val="Char3"/>
    <w:basedOn w:val="1"/>
    <w:qFormat/>
    <w:uiPriority w:val="99"/>
    <w:pPr>
      <w:widowControl/>
      <w:spacing w:line="240" w:lineRule="exact"/>
      <w:jc w:val="left"/>
    </w:pPr>
  </w:style>
  <w:style w:type="paragraph" w:customStyle="1" w:styleId="221">
    <w:name w:val="Char Char Char Char Char Char Char Char Char1 Char1 Char Char Char 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222">
    <w:name w:val="_Style 35"/>
    <w:basedOn w:val="19"/>
    <w:qFormat/>
    <w:uiPriority w:val="99"/>
    <w:pPr>
      <w:widowControl/>
      <w:ind w:firstLine="454"/>
      <w:jc w:val="left"/>
    </w:pPr>
  </w:style>
  <w:style w:type="paragraph" w:customStyle="1" w:styleId="22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224">
    <w:name w:val="Char Char Char Char Char Char Char Char Char Char Char Char Char"/>
    <w:basedOn w:val="19"/>
    <w:qFormat/>
    <w:uiPriority w:val="99"/>
    <w:rPr>
      <w:rFonts w:ascii="Tahoma" w:hAnsi="Tahoma"/>
    </w:rPr>
  </w:style>
  <w:style w:type="paragraph" w:customStyle="1" w:styleId="225">
    <w:name w:val="a9"/>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6">
    <w:name w:val="p16"/>
    <w:basedOn w:val="1"/>
    <w:qFormat/>
    <w:uiPriority w:val="99"/>
    <w:pPr>
      <w:widowControl/>
    </w:pPr>
    <w:rPr>
      <w:rFonts w:ascii="宋体" w:hAnsi="宋体" w:cs="宋体"/>
      <w:kern w:val="0"/>
      <w:szCs w:val="21"/>
    </w:rPr>
  </w:style>
  <w:style w:type="paragraph" w:customStyle="1" w:styleId="227">
    <w:name w:val="无间隔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29">
    <w:name w:val="Char Char1 Char Char Char Char1"/>
    <w:basedOn w:val="19"/>
    <w:qFormat/>
    <w:uiPriority w:val="99"/>
    <w:rPr>
      <w:rFonts w:ascii="Tahoma" w:hAnsi="Tahoma"/>
    </w:rPr>
  </w:style>
  <w:style w:type="paragraph" w:customStyle="1" w:styleId="23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31">
    <w:name w:val="Char Char Char Char Char Char Char1"/>
    <w:basedOn w:val="1"/>
    <w:qFormat/>
    <w:uiPriority w:val="99"/>
    <w:pPr>
      <w:widowControl/>
      <w:spacing w:after="160" w:line="240" w:lineRule="exact"/>
      <w:jc w:val="left"/>
    </w:pPr>
  </w:style>
  <w:style w:type="paragraph" w:customStyle="1" w:styleId="232">
    <w:name w:val="xl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233">
    <w:name w:val="Char Char Char Char1"/>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5">
    <w:name w:val="1ji"/>
    <w:basedOn w:val="3"/>
    <w:link w:val="251"/>
    <w:qFormat/>
    <w:uiPriority w:val="99"/>
    <w:pPr>
      <w:widowControl/>
      <w:jc w:val="center"/>
    </w:pPr>
    <w:rPr>
      <w:rFonts w:ascii="宋体" w:hAnsi="宋体"/>
      <w:kern w:val="44"/>
      <w:sz w:val="44"/>
    </w:rPr>
  </w:style>
  <w:style w:type="paragraph" w:customStyle="1" w:styleId="236">
    <w:name w:val="Char1 Char Char Char"/>
    <w:basedOn w:val="1"/>
    <w:qFormat/>
    <w:uiPriority w:val="99"/>
    <w:rPr>
      <w:rFonts w:ascii="Tahoma" w:hAnsi="Tahoma"/>
      <w:sz w:val="24"/>
      <w:szCs w:val="20"/>
    </w:rPr>
  </w:style>
  <w:style w:type="paragraph" w:customStyle="1" w:styleId="23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8">
    <w:name w:val="表项"/>
    <w:next w:val="1"/>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239">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0">
    <w:name w:val="标题1"/>
    <w:basedOn w:val="3"/>
    <w:qFormat/>
    <w:uiPriority w:val="99"/>
    <w:pPr>
      <w:widowControl/>
      <w:pBdr>
        <w:bottom w:val="single" w:color="auto" w:sz="8" w:space="6"/>
      </w:pBdr>
      <w:tabs>
        <w:tab w:val="left" w:pos="0"/>
      </w:tabs>
      <w:spacing w:before="480" w:after="240" w:line="360" w:lineRule="auto"/>
      <w:ind w:left="567" w:hanging="567"/>
      <w:jc w:val="left"/>
    </w:pPr>
    <w:rPr>
      <w:rFonts w:ascii="宋体" w:hAnsi="宋体"/>
      <w:bCs/>
      <w:smallCaps/>
      <w:color w:val="000000"/>
      <w:spacing w:val="10"/>
      <w:kern w:val="20"/>
      <w:szCs w:val="21"/>
    </w:rPr>
  </w:style>
  <w:style w:type="paragraph" w:customStyle="1" w:styleId="241">
    <w:name w:val="表格内容单行居中"/>
    <w:basedOn w:val="1"/>
    <w:qFormat/>
    <w:uiPriority w:val="99"/>
    <w:pPr>
      <w:spacing w:line="300" w:lineRule="auto"/>
      <w:jc w:val="center"/>
    </w:pPr>
    <w:rPr>
      <w:rFonts w:eastAsia="楷体_GB2312"/>
    </w:rPr>
  </w:style>
  <w:style w:type="paragraph" w:customStyle="1" w:styleId="242">
    <w:name w:val="Default Paragraph Font Para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3">
    <w:name w:val="tgt1"/>
    <w:basedOn w:val="1"/>
    <w:qFormat/>
    <w:uiPriority w:val="99"/>
    <w:pPr>
      <w:widowControl/>
      <w:spacing w:after="150"/>
      <w:jc w:val="left"/>
    </w:pPr>
    <w:rPr>
      <w:rFonts w:ascii="宋体" w:hAnsi="宋体" w:cs="宋体"/>
      <w:kern w:val="0"/>
      <w:sz w:val="24"/>
    </w:rPr>
  </w:style>
  <w:style w:type="character" w:customStyle="1" w:styleId="244">
    <w:name w:val="手改 Char Char1"/>
    <w:qFormat/>
    <w:uiPriority w:val="99"/>
    <w:rPr>
      <w:rFonts w:eastAsia="宋体"/>
      <w:kern w:val="2"/>
      <w:sz w:val="24"/>
      <w:lang w:val="en-US" w:eastAsia="zh-CN"/>
    </w:rPr>
  </w:style>
  <w:style w:type="character" w:customStyle="1" w:styleId="245">
    <w:name w:val="表正文 Char2"/>
    <w:qFormat/>
    <w:locked/>
    <w:uiPriority w:val="99"/>
    <w:rPr>
      <w:rFonts w:eastAsia="宋体"/>
      <w:kern w:val="2"/>
      <w:sz w:val="24"/>
      <w:lang w:val="en-US" w:eastAsia="zh-CN"/>
    </w:rPr>
  </w:style>
  <w:style w:type="character" w:customStyle="1" w:styleId="246">
    <w:name w:val="cubane_hilight1"/>
    <w:qFormat/>
    <w:uiPriority w:val="99"/>
    <w:rPr>
      <w:color w:val="CC0000"/>
    </w:rPr>
  </w:style>
  <w:style w:type="character" w:customStyle="1" w:styleId="247">
    <w:name w:val="标题5 Char Char"/>
    <w:link w:val="108"/>
    <w:qFormat/>
    <w:locked/>
    <w:uiPriority w:val="99"/>
    <w:rPr>
      <w:rFonts w:ascii="Arial" w:hAnsi="Arial"/>
      <w:b/>
      <w:sz w:val="32"/>
    </w:rPr>
  </w:style>
  <w:style w:type="character" w:customStyle="1" w:styleId="248">
    <w:name w:val="明显引用 字符"/>
    <w:link w:val="200"/>
    <w:qFormat/>
    <w:locked/>
    <w:uiPriority w:val="99"/>
    <w:rPr>
      <w:b/>
      <w:i/>
      <w:color w:val="4F81BD"/>
    </w:rPr>
  </w:style>
  <w:style w:type="character" w:customStyle="1" w:styleId="249">
    <w:name w:val="fo Char"/>
    <w:qFormat/>
    <w:uiPriority w:val="99"/>
    <w:rPr>
      <w:rFonts w:eastAsia="宋体"/>
      <w:kern w:val="2"/>
      <w:sz w:val="18"/>
      <w:lang w:val="en-US" w:eastAsia="zh-CN"/>
    </w:rPr>
  </w:style>
  <w:style w:type="character" w:customStyle="1" w:styleId="250">
    <w:name w:val="批注主题 字符"/>
    <w:link w:val="56"/>
    <w:qFormat/>
    <w:locked/>
    <w:uiPriority w:val="99"/>
    <w:rPr>
      <w:rFonts w:eastAsia="宋体"/>
      <w:b/>
      <w:kern w:val="2"/>
      <w:sz w:val="24"/>
      <w:lang w:val="en-US" w:eastAsia="zh-CN"/>
    </w:rPr>
  </w:style>
  <w:style w:type="character" w:customStyle="1" w:styleId="251">
    <w:name w:val="1ji Char"/>
    <w:link w:val="235"/>
    <w:qFormat/>
    <w:locked/>
    <w:uiPriority w:val="99"/>
    <w:rPr>
      <w:rFonts w:ascii="宋体" w:hAnsi="宋体" w:eastAsia="宋体"/>
      <w:b/>
      <w:kern w:val="44"/>
      <w:sz w:val="44"/>
      <w:lang w:val="en-US" w:eastAsia="zh-CN"/>
    </w:rPr>
  </w:style>
  <w:style w:type="character" w:customStyle="1" w:styleId="252">
    <w:name w:val="letter list Char"/>
    <w:qFormat/>
    <w:uiPriority w:val="99"/>
    <w:rPr>
      <w:rFonts w:eastAsia="宋体"/>
      <w:b/>
      <w:kern w:val="2"/>
      <w:sz w:val="24"/>
      <w:lang w:val="en-US" w:eastAsia="zh-CN"/>
    </w:rPr>
  </w:style>
  <w:style w:type="character" w:customStyle="1" w:styleId="253">
    <w:name w:val="content2"/>
    <w:qFormat/>
    <w:uiPriority w:val="99"/>
    <w:rPr>
      <w:rFonts w:cs="Times New Roman"/>
    </w:rPr>
  </w:style>
  <w:style w:type="character" w:customStyle="1" w:styleId="254">
    <w:name w:val="批注文字 Char1"/>
    <w:qFormat/>
    <w:uiPriority w:val="99"/>
    <w:rPr>
      <w:rFonts w:ascii="Times New Roman" w:hAnsi="Times New Roman" w:eastAsia="宋体"/>
      <w:sz w:val="24"/>
    </w:rPr>
  </w:style>
  <w:style w:type="character" w:customStyle="1" w:styleId="255">
    <w:name w:val="p1"/>
    <w:qFormat/>
    <w:uiPriority w:val="99"/>
    <w:rPr>
      <w:rFonts w:cs="Times New Roman"/>
    </w:rPr>
  </w:style>
  <w:style w:type="character" w:customStyle="1" w:styleId="256">
    <w:name w:val="页眉 字符"/>
    <w:link w:val="38"/>
    <w:qFormat/>
    <w:locked/>
    <w:uiPriority w:val="99"/>
    <w:rPr>
      <w:rFonts w:ascii="宋体" w:hAnsi="Courier New" w:eastAsia="宋体"/>
      <w:kern w:val="2"/>
      <w:sz w:val="18"/>
      <w:lang w:val="en-US" w:eastAsia="zh-CN"/>
    </w:rPr>
  </w:style>
  <w:style w:type="character" w:customStyle="1" w:styleId="257">
    <w:name w:val="Char Char14"/>
    <w:qFormat/>
    <w:uiPriority w:val="99"/>
    <w:rPr>
      <w:sz w:val="18"/>
    </w:rPr>
  </w:style>
  <w:style w:type="character" w:customStyle="1" w:styleId="258">
    <w:name w:val="case31"/>
    <w:qFormat/>
    <w:uiPriority w:val="99"/>
    <w:rPr>
      <w:rFonts w:ascii="_x000B__x000C_" w:hAnsi="_x000B__x000C_"/>
      <w:sz w:val="21"/>
    </w:rPr>
  </w:style>
  <w:style w:type="character" w:customStyle="1" w:styleId="259">
    <w:name w:val="font01"/>
    <w:qFormat/>
    <w:uiPriority w:val="99"/>
    <w:rPr>
      <w:rFonts w:ascii="宋体" w:hAnsi="宋体" w:eastAsia="宋体"/>
      <w:color w:val="FF0000"/>
      <w:sz w:val="21"/>
      <w:u w:val="none"/>
    </w:rPr>
  </w:style>
  <w:style w:type="character" w:customStyle="1" w:styleId="260">
    <w:name w:val="unnamed3"/>
    <w:qFormat/>
    <w:uiPriority w:val="99"/>
    <w:rPr>
      <w:rFonts w:cs="Times New Roman"/>
    </w:rPr>
  </w:style>
  <w:style w:type="character" w:customStyle="1" w:styleId="261">
    <w:name w:val="Char Char15"/>
    <w:qFormat/>
    <w:uiPriority w:val="99"/>
    <w:rPr>
      <w:sz w:val="18"/>
    </w:rPr>
  </w:style>
  <w:style w:type="character" w:customStyle="1" w:styleId="262">
    <w:name w:val="文档结构图 字符"/>
    <w:link w:val="19"/>
    <w:qFormat/>
    <w:locked/>
    <w:uiPriority w:val="99"/>
    <w:rPr>
      <w:rFonts w:eastAsia="宋体"/>
      <w:kern w:val="2"/>
      <w:sz w:val="24"/>
      <w:lang w:val="en-US" w:eastAsia="zh-CN"/>
    </w:rPr>
  </w:style>
  <w:style w:type="character" w:customStyle="1" w:styleId="263">
    <w:name w:val="批注框文本 Char1"/>
    <w:qFormat/>
    <w:uiPriority w:val="99"/>
    <w:rPr>
      <w:rFonts w:ascii="Times New Roman" w:hAnsi="Times New Roman" w:eastAsia="宋体"/>
      <w:sz w:val="18"/>
    </w:rPr>
  </w:style>
  <w:style w:type="character" w:customStyle="1" w:styleId="264">
    <w:name w:val="f141"/>
    <w:qFormat/>
    <w:uiPriority w:val="99"/>
    <w:rPr>
      <w:sz w:val="21"/>
    </w:rPr>
  </w:style>
  <w:style w:type="character" w:customStyle="1" w:styleId="265">
    <w:name w:val="正文文本缩进 2 字符"/>
    <w:link w:val="34"/>
    <w:qFormat/>
    <w:locked/>
    <w:uiPriority w:val="99"/>
    <w:rPr>
      <w:rFonts w:eastAsia="宋体"/>
      <w:kern w:val="2"/>
      <w:sz w:val="24"/>
      <w:lang w:val="en-US" w:eastAsia="zh-CN"/>
    </w:rPr>
  </w:style>
  <w:style w:type="character" w:customStyle="1" w:styleId="266">
    <w:name w:val="llyf92"/>
    <w:qFormat/>
    <w:uiPriority w:val="99"/>
    <w:rPr>
      <w:sz w:val="18"/>
    </w:rPr>
  </w:style>
  <w:style w:type="character" w:customStyle="1" w:styleId="267">
    <w:name w:val="Char Char19"/>
    <w:qFormat/>
    <w:uiPriority w:val="99"/>
    <w:rPr>
      <w:rFonts w:ascii="Arial" w:hAnsi="Arial" w:eastAsia="宋体"/>
      <w:b/>
      <w:sz w:val="28"/>
    </w:rPr>
  </w:style>
  <w:style w:type="character" w:customStyle="1" w:styleId="268">
    <w:name w:val="1ji Char Char"/>
    <w:qFormat/>
    <w:locked/>
    <w:uiPriority w:val="99"/>
    <w:rPr>
      <w:rFonts w:ascii="宋体" w:hAnsi="宋体" w:eastAsia="宋体"/>
      <w:b/>
      <w:kern w:val="44"/>
      <w:sz w:val="44"/>
    </w:rPr>
  </w:style>
  <w:style w:type="character" w:customStyle="1" w:styleId="269">
    <w:name w:val="Char Char9"/>
    <w:qFormat/>
    <w:uiPriority w:val="99"/>
    <w:rPr>
      <w:rFonts w:eastAsia="宋体"/>
      <w:b/>
      <w:kern w:val="44"/>
      <w:sz w:val="44"/>
      <w:lang w:val="en-US" w:eastAsia="zh-CN"/>
    </w:rPr>
  </w:style>
  <w:style w:type="character" w:customStyle="1" w:styleId="270">
    <w:name w:val="标题 4 字符"/>
    <w:link w:val="6"/>
    <w:qFormat/>
    <w:locked/>
    <w:uiPriority w:val="99"/>
    <w:rPr>
      <w:rFonts w:eastAsia="宋体"/>
      <w:b/>
      <w:color w:val="000000"/>
      <w:kern w:val="2"/>
      <w:sz w:val="24"/>
      <w:lang w:val="en-US" w:eastAsia="zh-CN"/>
    </w:rPr>
  </w:style>
  <w:style w:type="character" w:customStyle="1" w:styleId="271">
    <w:name w:val="标题 3 Char Char Char"/>
    <w:qFormat/>
    <w:locked/>
    <w:uiPriority w:val="99"/>
    <w:rPr>
      <w:rFonts w:ascii="宋体" w:hAnsi="宋体" w:eastAsia="宋体"/>
      <w:b/>
      <w:sz w:val="32"/>
      <w:lang w:val="en-US" w:eastAsia="zh-CN"/>
    </w:rPr>
  </w:style>
  <w:style w:type="character" w:customStyle="1" w:styleId="272">
    <w:name w:val="text11"/>
    <w:qFormat/>
    <w:uiPriority w:val="99"/>
    <w:rPr>
      <w:rFonts w:ascii="Verdana" w:hAnsi="Verdana"/>
      <w:color w:val="4E4E4E"/>
      <w:sz w:val="18"/>
    </w:rPr>
  </w:style>
  <w:style w:type="character" w:customStyle="1" w:styleId="273">
    <w:name w:val="Char Char24"/>
    <w:qFormat/>
    <w:uiPriority w:val="99"/>
    <w:rPr>
      <w:rFonts w:eastAsia="宋体"/>
      <w:b/>
      <w:kern w:val="44"/>
      <w:sz w:val="44"/>
      <w:lang w:val="en-US" w:eastAsia="zh-CN"/>
    </w:rPr>
  </w:style>
  <w:style w:type="character" w:customStyle="1" w:styleId="274">
    <w:name w:val="页脚 字符"/>
    <w:link w:val="37"/>
    <w:qFormat/>
    <w:locked/>
    <w:uiPriority w:val="99"/>
    <w:rPr>
      <w:rFonts w:ascii="宋体" w:hAnsi="Courier New" w:eastAsia="宋体"/>
      <w:kern w:val="2"/>
      <w:sz w:val="18"/>
      <w:lang w:val="en-US" w:eastAsia="zh-CN"/>
    </w:rPr>
  </w:style>
  <w:style w:type="character" w:customStyle="1" w:styleId="275">
    <w:name w:val="批注框文本 字符"/>
    <w:link w:val="36"/>
    <w:qFormat/>
    <w:locked/>
    <w:uiPriority w:val="99"/>
    <w:rPr>
      <w:rFonts w:eastAsia="宋体"/>
      <w:kern w:val="2"/>
      <w:sz w:val="18"/>
      <w:lang w:val="en-US" w:eastAsia="zh-CN"/>
    </w:rPr>
  </w:style>
  <w:style w:type="character" w:customStyle="1" w:styleId="276">
    <w:name w:val="正文缩进 Char"/>
    <w:qFormat/>
    <w:uiPriority w:val="99"/>
    <w:rPr>
      <w:rFonts w:ascii="Verdana" w:hAnsi="Verdana" w:eastAsia="宋体"/>
      <w:kern w:val="2"/>
      <w:sz w:val="24"/>
      <w:lang w:val="en-US" w:eastAsia="zh-CN"/>
    </w:rPr>
  </w:style>
  <w:style w:type="character" w:customStyle="1" w:styleId="277">
    <w:name w:val="文档结构图 Char1"/>
    <w:qFormat/>
    <w:uiPriority w:val="99"/>
    <w:rPr>
      <w:rFonts w:ascii="宋体" w:hAnsi="Times New Roman" w:eastAsia="宋体"/>
      <w:sz w:val="18"/>
    </w:rPr>
  </w:style>
  <w:style w:type="character" w:customStyle="1" w:styleId="278">
    <w:name w:val="Legal Level 1.1.1. Char"/>
    <w:qFormat/>
    <w:uiPriority w:val="99"/>
    <w:rPr>
      <w:rFonts w:ascii="Arial" w:hAnsi="Arial" w:eastAsia="黑体"/>
      <w:kern w:val="2"/>
      <w:sz w:val="24"/>
      <w:lang w:val="en-US" w:eastAsia="zh-CN"/>
    </w:rPr>
  </w:style>
  <w:style w:type="character" w:customStyle="1" w:styleId="279">
    <w:name w:val="Char Char"/>
    <w:qFormat/>
    <w:uiPriority w:val="99"/>
    <w:rPr>
      <w:rFonts w:eastAsia="宋体"/>
      <w:kern w:val="2"/>
      <w:sz w:val="24"/>
      <w:lang w:val="en-US" w:eastAsia="zh-CN"/>
    </w:rPr>
  </w:style>
  <w:style w:type="character" w:customStyle="1" w:styleId="280">
    <w:name w:val="Char Char Char Char Char"/>
    <w:qFormat/>
    <w:uiPriority w:val="99"/>
    <w:rPr>
      <w:rFonts w:eastAsia="宋体"/>
      <w:b/>
      <w:kern w:val="44"/>
      <w:sz w:val="44"/>
      <w:lang w:val="en-US" w:eastAsia="zh-CN"/>
    </w:rPr>
  </w:style>
  <w:style w:type="character" w:customStyle="1" w:styleId="281">
    <w:name w:val="标题 3 Char Char"/>
    <w:qFormat/>
    <w:uiPriority w:val="99"/>
    <w:rPr>
      <w:rFonts w:eastAsia="宋体"/>
      <w:b/>
      <w:kern w:val="2"/>
      <w:sz w:val="24"/>
      <w:lang w:val="en-US" w:eastAsia="zh-CN"/>
    </w:rPr>
  </w:style>
  <w:style w:type="character" w:customStyle="1" w:styleId="282">
    <w:name w:val="gray12"/>
    <w:qFormat/>
    <w:uiPriority w:val="99"/>
    <w:rPr>
      <w:rFonts w:cs="Times New Roman"/>
    </w:rPr>
  </w:style>
  <w:style w:type="character" w:customStyle="1" w:styleId="283">
    <w:name w:val="ca-1"/>
    <w:qFormat/>
    <w:uiPriority w:val="99"/>
    <w:rPr>
      <w:rFonts w:cs="Times New Roman"/>
    </w:rPr>
  </w:style>
  <w:style w:type="character" w:customStyle="1" w:styleId="284">
    <w:name w:val="正文文本 Char1"/>
    <w:qFormat/>
    <w:uiPriority w:val="99"/>
    <w:rPr>
      <w:kern w:val="2"/>
      <w:sz w:val="22"/>
    </w:rPr>
  </w:style>
  <w:style w:type="character" w:customStyle="1" w:styleId="285">
    <w:name w:val="Char Char6"/>
    <w:qFormat/>
    <w:uiPriority w:val="99"/>
    <w:rPr>
      <w:rFonts w:eastAsia="宋体"/>
      <w:b/>
      <w:kern w:val="44"/>
      <w:sz w:val="44"/>
      <w:lang w:val="en-US" w:eastAsia="zh-CN"/>
    </w:rPr>
  </w:style>
  <w:style w:type="character" w:customStyle="1" w:styleId="286">
    <w:name w:val="style31"/>
    <w:qFormat/>
    <w:uiPriority w:val="99"/>
    <w:rPr>
      <w:sz w:val="18"/>
    </w:rPr>
  </w:style>
  <w:style w:type="character" w:customStyle="1" w:styleId="287">
    <w:name w:val="style21"/>
    <w:qFormat/>
    <w:uiPriority w:val="99"/>
    <w:rPr>
      <w:sz w:val="17"/>
    </w:rPr>
  </w:style>
  <w:style w:type="character" w:customStyle="1" w:styleId="288">
    <w:name w:val="Char Char21"/>
    <w:qFormat/>
    <w:uiPriority w:val="99"/>
    <w:rPr>
      <w:rFonts w:ascii="Arial" w:hAnsi="Arial" w:eastAsia="黑体"/>
      <w:b/>
      <w:sz w:val="32"/>
    </w:rPr>
  </w:style>
  <w:style w:type="character" w:customStyle="1" w:styleId="289">
    <w:name w:val="不明显参考1"/>
    <w:qFormat/>
    <w:uiPriority w:val="99"/>
    <w:rPr>
      <w:smallCaps/>
      <w:color w:val="C0504D"/>
      <w:u w:val="single"/>
    </w:rPr>
  </w:style>
  <w:style w:type="character" w:customStyle="1" w:styleId="290">
    <w:name w:val="不明显强调1"/>
    <w:qFormat/>
    <w:uiPriority w:val="99"/>
    <w:rPr>
      <w:i/>
      <w:color w:val="808080"/>
    </w:rPr>
  </w:style>
  <w:style w:type="character" w:customStyle="1" w:styleId="291">
    <w:name w:val="普通文字 Char Char4"/>
    <w:qFormat/>
    <w:uiPriority w:val="99"/>
    <w:rPr>
      <w:rFonts w:ascii="宋体" w:hAnsi="Courier New" w:eastAsia="宋体"/>
      <w:kern w:val="2"/>
      <w:sz w:val="21"/>
      <w:lang w:val="en-US" w:eastAsia="zh-CN"/>
    </w:rPr>
  </w:style>
  <w:style w:type="character" w:customStyle="1" w:styleId="292">
    <w:name w:val="h21"/>
    <w:qFormat/>
    <w:uiPriority w:val="99"/>
    <w:rPr>
      <w:sz w:val="19"/>
    </w:rPr>
  </w:style>
  <w:style w:type="character" w:customStyle="1" w:styleId="293">
    <w:name w:val="white"/>
    <w:qFormat/>
    <w:uiPriority w:val="99"/>
    <w:rPr>
      <w:rFonts w:cs="Times New Roman"/>
    </w:rPr>
  </w:style>
  <w:style w:type="character" w:customStyle="1" w:styleId="294">
    <w:name w:val="ca-0"/>
    <w:qFormat/>
    <w:uiPriority w:val="99"/>
  </w:style>
  <w:style w:type="character" w:customStyle="1" w:styleId="295">
    <w:name w:val="f151"/>
    <w:qFormat/>
    <w:uiPriority w:val="99"/>
    <w:rPr>
      <w:sz w:val="23"/>
    </w:rPr>
  </w:style>
  <w:style w:type="character" w:customStyle="1" w:styleId="296">
    <w:name w:val="H1 Char"/>
    <w:qFormat/>
    <w:uiPriority w:val="99"/>
    <w:rPr>
      <w:rFonts w:eastAsia="宋体"/>
      <w:b/>
      <w:kern w:val="44"/>
      <w:sz w:val="44"/>
      <w:lang w:val="en-US" w:eastAsia="zh-CN"/>
    </w:rPr>
  </w:style>
  <w:style w:type="character" w:customStyle="1" w:styleId="297">
    <w:name w:val="Char Char26"/>
    <w:qFormat/>
    <w:uiPriority w:val="99"/>
    <w:rPr>
      <w:rFonts w:ascii="Arial" w:hAnsi="Arial" w:eastAsia="黑体"/>
      <w:b/>
      <w:sz w:val="32"/>
    </w:rPr>
  </w:style>
  <w:style w:type="character" w:customStyle="1" w:styleId="298">
    <w:name w:val="apple-style-span"/>
    <w:qFormat/>
    <w:uiPriority w:val="99"/>
    <w:rPr>
      <w:rFonts w:cs="Times New Roman"/>
    </w:rPr>
  </w:style>
  <w:style w:type="character" w:customStyle="1" w:styleId="299">
    <w:name w:val="H5 Char1"/>
    <w:qFormat/>
    <w:uiPriority w:val="99"/>
    <w:rPr>
      <w:rFonts w:eastAsia="宋体"/>
      <w:b/>
      <w:color w:val="000000"/>
      <w:kern w:val="2"/>
      <w:sz w:val="24"/>
      <w:lang w:val="en-US" w:eastAsia="zh-CN"/>
    </w:rPr>
  </w:style>
  <w:style w:type="character" w:customStyle="1" w:styleId="300">
    <w:name w:val="批注主题 Char1"/>
    <w:qFormat/>
    <w:uiPriority w:val="99"/>
    <w:rPr>
      <w:rFonts w:ascii="Times New Roman" w:hAnsi="Times New Roman" w:eastAsia="宋体"/>
      <w:b/>
      <w:sz w:val="24"/>
    </w:rPr>
  </w:style>
  <w:style w:type="character" w:customStyle="1" w:styleId="301">
    <w:name w:val="Char Char22"/>
    <w:qFormat/>
    <w:uiPriority w:val="99"/>
    <w:rPr>
      <w:rFonts w:eastAsia="宋体"/>
      <w:b/>
      <w:kern w:val="2"/>
      <w:sz w:val="24"/>
      <w:lang w:val="en-US" w:eastAsia="zh-CN"/>
    </w:rPr>
  </w:style>
  <w:style w:type="character" w:customStyle="1" w:styleId="302">
    <w:name w:val="明显参考1"/>
    <w:qFormat/>
    <w:uiPriority w:val="99"/>
    <w:rPr>
      <w:b/>
      <w:smallCaps/>
      <w:color w:val="C0504D"/>
      <w:spacing w:val="5"/>
      <w:u w:val="single"/>
    </w:rPr>
  </w:style>
  <w:style w:type="character" w:customStyle="1" w:styleId="303">
    <w:name w:val="表 Char"/>
    <w:link w:val="130"/>
    <w:qFormat/>
    <w:locked/>
    <w:uiPriority w:val="99"/>
    <w:rPr>
      <w:color w:val="000000"/>
    </w:rPr>
  </w:style>
  <w:style w:type="character" w:customStyle="1" w:styleId="304">
    <w:name w:val="普通文字1 Char2"/>
    <w:qFormat/>
    <w:uiPriority w:val="99"/>
    <w:rPr>
      <w:rFonts w:ascii="宋体" w:hAnsi="Courier New" w:eastAsia="宋体"/>
      <w:kern w:val="2"/>
      <w:sz w:val="21"/>
      <w:lang w:val="en-US" w:eastAsia="zh-CN"/>
    </w:rPr>
  </w:style>
  <w:style w:type="character" w:customStyle="1" w:styleId="305">
    <w:name w:val="unnamed21"/>
    <w:qFormat/>
    <w:uiPriority w:val="99"/>
    <w:rPr>
      <w:rFonts w:cs="Times New Roman"/>
    </w:rPr>
  </w:style>
  <w:style w:type="character" w:customStyle="1" w:styleId="306">
    <w:name w:val="标题 Char1"/>
    <w:qFormat/>
    <w:uiPriority w:val="99"/>
    <w:rPr>
      <w:rFonts w:ascii="Cambria" w:hAnsi="Cambria" w:eastAsia="宋体"/>
      <w:b/>
      <w:sz w:val="32"/>
    </w:rPr>
  </w:style>
  <w:style w:type="character" w:customStyle="1" w:styleId="307">
    <w:name w:val="日期 Char1"/>
    <w:qFormat/>
    <w:uiPriority w:val="99"/>
    <w:rPr>
      <w:rFonts w:ascii="Times New Roman" w:hAnsi="Times New Roman" w:eastAsia="宋体"/>
      <w:sz w:val="24"/>
    </w:rPr>
  </w:style>
  <w:style w:type="character" w:customStyle="1" w:styleId="308">
    <w:name w:val="Char Char16"/>
    <w:qFormat/>
    <w:uiPriority w:val="99"/>
    <w:rPr>
      <w:rFonts w:ascii="Arial" w:hAnsi="Arial" w:eastAsia="宋体"/>
      <w:b/>
      <w:kern w:val="2"/>
      <w:sz w:val="32"/>
    </w:rPr>
  </w:style>
  <w:style w:type="character" w:customStyle="1" w:styleId="309">
    <w:name w:val="mark"/>
    <w:qFormat/>
    <w:uiPriority w:val="99"/>
    <w:rPr>
      <w:rFonts w:cs="Times New Roman"/>
    </w:rPr>
  </w:style>
  <w:style w:type="character" w:customStyle="1" w:styleId="310">
    <w:name w:val="mark8"/>
    <w:qFormat/>
    <w:uiPriority w:val="99"/>
    <w:rPr>
      <w:b/>
      <w:sz w:val="21"/>
    </w:rPr>
  </w:style>
  <w:style w:type="character" w:customStyle="1" w:styleId="311">
    <w:name w:val="Comment Text Char1"/>
    <w:qFormat/>
    <w:uiPriority w:val="99"/>
    <w:rPr>
      <w:sz w:val="24"/>
    </w:rPr>
  </w:style>
  <w:style w:type="character" w:customStyle="1" w:styleId="312">
    <w:name w:val="header odd Char Char"/>
    <w:qFormat/>
    <w:uiPriority w:val="99"/>
    <w:rPr>
      <w:rFonts w:ascii="宋体" w:hAnsi="Courier New" w:eastAsia="宋体"/>
      <w:kern w:val="2"/>
      <w:sz w:val="18"/>
      <w:lang w:val="en-US" w:eastAsia="zh-CN"/>
    </w:rPr>
  </w:style>
  <w:style w:type="character" w:customStyle="1" w:styleId="313">
    <w:name w:val="style54"/>
    <w:qFormat/>
    <w:uiPriority w:val="99"/>
    <w:rPr>
      <w:rFonts w:cs="Times New Roman"/>
    </w:rPr>
  </w:style>
  <w:style w:type="character" w:customStyle="1" w:styleId="314">
    <w:name w:val="Heading 3 Char1"/>
    <w:qFormat/>
    <w:uiPriority w:val="99"/>
    <w:rPr>
      <w:rFonts w:eastAsia="宋体"/>
      <w:b/>
      <w:kern w:val="2"/>
      <w:sz w:val="32"/>
      <w:lang w:val="en-US" w:eastAsia="zh-CN"/>
    </w:rPr>
  </w:style>
  <w:style w:type="character" w:customStyle="1" w:styleId="315">
    <w:name w:val="style161"/>
    <w:qFormat/>
    <w:uiPriority w:val="99"/>
    <w:rPr>
      <w:color w:val="666666"/>
    </w:rPr>
  </w:style>
  <w:style w:type="character" w:customStyle="1" w:styleId="316">
    <w:name w:val="Para head"/>
    <w:qFormat/>
    <w:uiPriority w:val="99"/>
    <w:rPr>
      <w:rFonts w:ascii="Arial" w:hAnsi="Arial"/>
      <w:sz w:val="20"/>
    </w:rPr>
  </w:style>
  <w:style w:type="character" w:customStyle="1" w:styleId="317">
    <w:name w:val="Char Char18"/>
    <w:qFormat/>
    <w:uiPriority w:val="99"/>
    <w:rPr>
      <w:rFonts w:ascii="Arial" w:hAnsi="Arial" w:eastAsia="黑体"/>
      <w:kern w:val="2"/>
      <w:sz w:val="24"/>
      <w:lang w:val="en-US" w:eastAsia="zh-CN"/>
    </w:rPr>
  </w:style>
  <w:style w:type="character" w:customStyle="1" w:styleId="318">
    <w:name w:val="Char Char91"/>
    <w:qFormat/>
    <w:uiPriority w:val="99"/>
    <w:rPr>
      <w:rFonts w:eastAsia="宋体"/>
      <w:sz w:val="24"/>
    </w:rPr>
  </w:style>
  <w:style w:type="character" w:customStyle="1" w:styleId="319">
    <w:name w:val="H1 Char2"/>
    <w:qFormat/>
    <w:uiPriority w:val="99"/>
    <w:rPr>
      <w:rFonts w:eastAsia="宋体"/>
      <w:b/>
      <w:kern w:val="2"/>
      <w:sz w:val="24"/>
      <w:lang w:val="en-US" w:eastAsia="zh-CN"/>
    </w:rPr>
  </w:style>
  <w:style w:type="character" w:customStyle="1" w:styleId="320">
    <w:name w:val="font11"/>
    <w:qFormat/>
    <w:uiPriority w:val="99"/>
    <w:rPr>
      <w:rFonts w:ascii="Times New Roman" w:hAnsi="Times New Roman"/>
      <w:color w:val="000000"/>
      <w:sz w:val="20"/>
      <w:u w:val="none"/>
    </w:rPr>
  </w:style>
  <w:style w:type="character" w:customStyle="1" w:styleId="321">
    <w:name w:val="Char Char13"/>
    <w:qFormat/>
    <w:uiPriority w:val="99"/>
    <w:rPr>
      <w:rFonts w:ascii="宋体" w:hAnsi="Courier New" w:eastAsia="宋体"/>
      <w:sz w:val="21"/>
    </w:rPr>
  </w:style>
  <w:style w:type="character" w:customStyle="1" w:styleId="322">
    <w:name w:val="Char Char241"/>
    <w:qFormat/>
    <w:uiPriority w:val="99"/>
    <w:rPr>
      <w:rFonts w:ascii="Arial" w:hAnsi="Arial" w:eastAsia="黑体"/>
      <w:sz w:val="28"/>
    </w:rPr>
  </w:style>
  <w:style w:type="character" w:customStyle="1" w:styleId="323">
    <w:name w:val="手改 Char Char"/>
    <w:qFormat/>
    <w:uiPriority w:val="99"/>
    <w:rPr>
      <w:rFonts w:ascii="宋体" w:eastAsia="宋体"/>
      <w:sz w:val="34"/>
      <w:lang w:val="en-US" w:eastAsia="zh-CN"/>
    </w:rPr>
  </w:style>
  <w:style w:type="character" w:customStyle="1" w:styleId="324">
    <w:name w:val="1051"/>
    <w:qFormat/>
    <w:uiPriority w:val="99"/>
    <w:rPr>
      <w:sz w:val="21"/>
    </w:rPr>
  </w:style>
  <w:style w:type="character" w:customStyle="1" w:styleId="325">
    <w:name w:val="标题4 Char Char"/>
    <w:qFormat/>
    <w:uiPriority w:val="99"/>
    <w:rPr>
      <w:rFonts w:ascii="Arial" w:hAnsi="Arial"/>
      <w:b/>
      <w:sz w:val="32"/>
    </w:rPr>
  </w:style>
  <w:style w:type="character" w:customStyle="1" w:styleId="326">
    <w:name w:val="Char Char2"/>
    <w:qFormat/>
    <w:uiPriority w:val="99"/>
    <w:rPr>
      <w:rFonts w:ascii="宋体" w:hAnsi="Courier New" w:eastAsia="宋体"/>
      <w:kern w:val="2"/>
      <w:sz w:val="24"/>
      <w:lang w:val="en-US" w:eastAsia="zh-CN"/>
    </w:rPr>
  </w:style>
  <w:style w:type="character" w:customStyle="1" w:styleId="327">
    <w:name w:val="正文文本 字符"/>
    <w:link w:val="23"/>
    <w:qFormat/>
    <w:locked/>
    <w:uiPriority w:val="99"/>
    <w:rPr>
      <w:rFonts w:eastAsia="宋体"/>
      <w:kern w:val="2"/>
      <w:sz w:val="24"/>
      <w:lang w:val="en-US" w:eastAsia="zh-CN"/>
    </w:rPr>
  </w:style>
  <w:style w:type="character" w:customStyle="1" w:styleId="328">
    <w:name w:val="标题 Char2"/>
    <w:qFormat/>
    <w:uiPriority w:val="99"/>
    <w:rPr>
      <w:rFonts w:ascii="Cambria" w:hAnsi="Cambria" w:eastAsia="宋体"/>
      <w:b/>
      <w:sz w:val="32"/>
    </w:rPr>
  </w:style>
  <w:style w:type="character" w:customStyle="1" w:styleId="329">
    <w:name w:val="Char Char30"/>
    <w:qFormat/>
    <w:uiPriority w:val="99"/>
    <w:rPr>
      <w:rFonts w:ascii="Times New Roman" w:hAnsi="Times New Roman" w:eastAsia="宋体"/>
      <w:sz w:val="24"/>
    </w:rPr>
  </w:style>
  <w:style w:type="character" w:customStyle="1" w:styleId="330">
    <w:name w:val="Char Char20"/>
    <w:qFormat/>
    <w:uiPriority w:val="99"/>
    <w:rPr>
      <w:rFonts w:eastAsia="宋体"/>
      <w:b/>
      <w:kern w:val="2"/>
      <w:sz w:val="24"/>
      <w:lang w:val="en-US" w:eastAsia="zh-CN"/>
    </w:rPr>
  </w:style>
  <w:style w:type="character" w:customStyle="1" w:styleId="331">
    <w:name w:val="正文文字首行缩进 Char"/>
    <w:qFormat/>
    <w:uiPriority w:val="99"/>
    <w:rPr>
      <w:rFonts w:ascii="仿宋_GB2312" w:eastAsia="仿宋_GB2312"/>
      <w:kern w:val="2"/>
      <w:sz w:val="32"/>
      <w:lang w:val="en-US" w:eastAsia="zh-CN"/>
    </w:rPr>
  </w:style>
  <w:style w:type="character" w:customStyle="1" w:styleId="332">
    <w:name w:val="引用 字符"/>
    <w:link w:val="212"/>
    <w:qFormat/>
    <w:locked/>
    <w:uiPriority w:val="99"/>
    <w:rPr>
      <w:i/>
      <w:color w:val="000000"/>
    </w:rPr>
  </w:style>
  <w:style w:type="character" w:customStyle="1" w:styleId="333">
    <w:name w:val="自定义标题一 Char"/>
    <w:link w:val="187"/>
    <w:qFormat/>
    <w:locked/>
    <w:uiPriority w:val="99"/>
    <w:rPr>
      <w:rFonts w:ascii="黑体" w:hAnsi="黑体" w:eastAsia="黑体"/>
      <w:b/>
      <w:kern w:val="44"/>
      <w:sz w:val="44"/>
    </w:rPr>
  </w:style>
  <w:style w:type="character" w:customStyle="1" w:styleId="334">
    <w:name w:val="批注文字 Char"/>
    <w:qFormat/>
    <w:uiPriority w:val="99"/>
    <w:rPr>
      <w:kern w:val="2"/>
      <w:sz w:val="24"/>
    </w:rPr>
  </w:style>
  <w:style w:type="character" w:customStyle="1" w:styleId="335">
    <w:name w:val="style11"/>
    <w:qFormat/>
    <w:uiPriority w:val="99"/>
    <w:rPr>
      <w:rFonts w:ascii="Arial" w:hAnsi="Arial"/>
    </w:rPr>
  </w:style>
  <w:style w:type="character" w:customStyle="1" w:styleId="336">
    <w:name w:val="Char Char10"/>
    <w:qFormat/>
    <w:uiPriority w:val="99"/>
    <w:rPr>
      <w:rFonts w:eastAsia="宋体"/>
      <w:kern w:val="2"/>
      <w:sz w:val="24"/>
      <w:lang w:val="en-US" w:eastAsia="zh-CN"/>
    </w:rPr>
  </w:style>
  <w:style w:type="character" w:customStyle="1" w:styleId="337">
    <w:name w:val="Char Char12"/>
    <w:qFormat/>
    <w:uiPriority w:val="99"/>
    <w:rPr>
      <w:sz w:val="18"/>
    </w:rPr>
  </w:style>
  <w:style w:type="character" w:customStyle="1" w:styleId="338">
    <w:name w:val="正文文字首行缩进 Char1"/>
    <w:qFormat/>
    <w:uiPriority w:val="99"/>
    <w:rPr>
      <w:rFonts w:ascii="宋体" w:hAnsi="Courier New" w:eastAsia="宋体"/>
      <w:spacing w:val="-4"/>
      <w:kern w:val="2"/>
      <w:sz w:val="18"/>
      <w:lang w:val="en-US" w:eastAsia="zh-CN"/>
    </w:rPr>
  </w:style>
  <w:style w:type="character" w:customStyle="1" w:styleId="339">
    <w:name w:val="small"/>
    <w:qFormat/>
    <w:uiPriority w:val="99"/>
    <w:rPr>
      <w:rFonts w:cs="Times New Roman"/>
    </w:rPr>
  </w:style>
  <w:style w:type="character" w:customStyle="1" w:styleId="340">
    <w:name w:val="自定义标题一 Char Char"/>
    <w:qFormat/>
    <w:uiPriority w:val="99"/>
    <w:rPr>
      <w:rFonts w:ascii="黑体" w:hAnsi="黑体" w:eastAsia="黑体"/>
      <w:b/>
      <w:kern w:val="44"/>
      <w:sz w:val="44"/>
    </w:rPr>
  </w:style>
  <w:style w:type="character" w:customStyle="1" w:styleId="341">
    <w:name w:val="h Char"/>
    <w:qFormat/>
    <w:uiPriority w:val="99"/>
    <w:rPr>
      <w:rFonts w:eastAsia="宋体"/>
      <w:kern w:val="2"/>
      <w:sz w:val="18"/>
      <w:lang w:val="en-US" w:eastAsia="zh-CN"/>
    </w:rPr>
  </w:style>
  <w:style w:type="character" w:customStyle="1" w:styleId="342">
    <w:name w:val="标题 5 字符"/>
    <w:link w:val="7"/>
    <w:qFormat/>
    <w:locked/>
    <w:uiPriority w:val="99"/>
    <w:rPr>
      <w:rFonts w:eastAsia="宋体"/>
      <w:b/>
      <w:color w:val="000000"/>
      <w:kern w:val="2"/>
      <w:sz w:val="24"/>
      <w:lang w:val="en-US" w:eastAsia="zh-CN"/>
    </w:rPr>
  </w:style>
  <w:style w:type="character" w:customStyle="1" w:styleId="343">
    <w:name w:val="graytext1"/>
    <w:qFormat/>
    <w:uiPriority w:val="99"/>
    <w:rPr>
      <w:color w:val="666666"/>
    </w:rPr>
  </w:style>
  <w:style w:type="character" w:customStyle="1" w:styleId="344">
    <w:name w:val="脚注文本 字符"/>
    <w:link w:val="43"/>
    <w:qFormat/>
    <w:locked/>
    <w:uiPriority w:val="99"/>
    <w:rPr>
      <w:sz w:val="18"/>
    </w:rPr>
  </w:style>
  <w:style w:type="character" w:customStyle="1" w:styleId="345">
    <w:name w:val="标题 Char3"/>
    <w:qFormat/>
    <w:uiPriority w:val="99"/>
    <w:rPr>
      <w:rFonts w:ascii="Cambria" w:hAnsi="Cambria" w:eastAsia="宋体"/>
      <w:b/>
      <w:sz w:val="32"/>
    </w:rPr>
  </w:style>
  <w:style w:type="character" w:customStyle="1" w:styleId="346">
    <w:name w:val="书籍标题1"/>
    <w:qFormat/>
    <w:uiPriority w:val="99"/>
    <w:rPr>
      <w:b/>
      <w:smallCaps/>
      <w:spacing w:val="5"/>
    </w:rPr>
  </w:style>
  <w:style w:type="character" w:customStyle="1" w:styleId="347">
    <w:name w:val="mh-map_new-info"/>
    <w:qFormat/>
    <w:uiPriority w:val="99"/>
    <w:rPr>
      <w:rFonts w:cs="Times New Roman"/>
    </w:rPr>
  </w:style>
  <w:style w:type="character" w:customStyle="1" w:styleId="348">
    <w:name w:val="明显引用 Char1"/>
    <w:qFormat/>
    <w:uiPriority w:val="99"/>
    <w:rPr>
      <w:rFonts w:ascii="Times New Roman" w:hAnsi="Times New Roman" w:eastAsia="宋体"/>
      <w:b/>
      <w:i/>
      <w:color w:val="4F81BD"/>
      <w:sz w:val="24"/>
    </w:rPr>
  </w:style>
  <w:style w:type="character" w:customStyle="1" w:styleId="349">
    <w:name w:val="h Char1"/>
    <w:qFormat/>
    <w:uiPriority w:val="99"/>
    <w:rPr>
      <w:rFonts w:ascii="宋体" w:hAnsi="Courier New" w:eastAsia="宋体"/>
      <w:kern w:val="2"/>
      <w:sz w:val="18"/>
      <w:lang w:val="en-US" w:eastAsia="zh-CN"/>
    </w:rPr>
  </w:style>
  <w:style w:type="character" w:customStyle="1" w:styleId="350">
    <w:name w:val="textcontents"/>
    <w:qFormat/>
    <w:uiPriority w:val="99"/>
  </w:style>
  <w:style w:type="character" w:customStyle="1" w:styleId="351">
    <w:name w:val="Char Char211"/>
    <w:qFormat/>
    <w:uiPriority w:val="99"/>
    <w:rPr>
      <w:rFonts w:ascii="Arial" w:hAnsi="Arial" w:eastAsia="黑体"/>
      <w:b/>
      <w:kern w:val="2"/>
      <w:sz w:val="24"/>
      <w:lang w:val="en-US" w:eastAsia="zh-CN"/>
    </w:rPr>
  </w:style>
  <w:style w:type="character" w:customStyle="1" w:styleId="352">
    <w:name w:val="H5 Char"/>
    <w:qFormat/>
    <w:uiPriority w:val="99"/>
    <w:rPr>
      <w:rFonts w:eastAsia="宋体"/>
      <w:b/>
      <w:kern w:val="2"/>
      <w:sz w:val="28"/>
      <w:lang w:val="en-US" w:eastAsia="zh-CN"/>
    </w:rPr>
  </w:style>
  <w:style w:type="character" w:customStyle="1" w:styleId="353">
    <w:name w:val="Char Char33"/>
    <w:qFormat/>
    <w:uiPriority w:val="99"/>
    <w:rPr>
      <w:rFonts w:ascii="宋体" w:hAnsi="Courier New" w:eastAsia="宋体"/>
      <w:sz w:val="21"/>
    </w:rPr>
  </w:style>
  <w:style w:type="character" w:customStyle="1" w:styleId="354">
    <w:name w:val="fo Char1"/>
    <w:qFormat/>
    <w:uiPriority w:val="99"/>
    <w:rPr>
      <w:rFonts w:ascii="宋体" w:hAnsi="Courier New" w:eastAsia="宋体"/>
      <w:kern w:val="2"/>
      <w:sz w:val="18"/>
      <w:lang w:val="en-US" w:eastAsia="zh-CN"/>
    </w:rPr>
  </w:style>
  <w:style w:type="character" w:customStyle="1" w:styleId="355">
    <w:name w:val="Char Char191"/>
    <w:qFormat/>
    <w:uiPriority w:val="99"/>
    <w:rPr>
      <w:rFonts w:ascii="Arial" w:hAnsi="Arial" w:eastAsia="黑体"/>
      <w:kern w:val="2"/>
      <w:sz w:val="24"/>
      <w:lang w:val="en-US" w:eastAsia="zh-CN"/>
    </w:rPr>
  </w:style>
  <w:style w:type="character" w:customStyle="1" w:styleId="356">
    <w:name w:val="Char Char221"/>
    <w:qFormat/>
    <w:uiPriority w:val="99"/>
    <w:rPr>
      <w:rFonts w:ascii="Times New Roman" w:hAnsi="Times New Roman" w:eastAsia="宋体"/>
      <w:b/>
      <w:kern w:val="44"/>
      <w:sz w:val="44"/>
    </w:rPr>
  </w:style>
  <w:style w:type="character" w:customStyle="1" w:styleId="357">
    <w:name w:val="Char Char201"/>
    <w:qFormat/>
    <w:uiPriority w:val="99"/>
    <w:rPr>
      <w:rFonts w:ascii="Times New Roman" w:hAnsi="Times New Roman" w:eastAsia="宋体"/>
      <w:b/>
      <w:sz w:val="32"/>
    </w:rPr>
  </w:style>
  <w:style w:type="character" w:customStyle="1" w:styleId="358">
    <w:name w:val="apple-converted-space"/>
    <w:qFormat/>
    <w:uiPriority w:val="99"/>
    <w:rPr>
      <w:rFonts w:cs="Times New Roman"/>
    </w:rPr>
  </w:style>
  <w:style w:type="character" w:customStyle="1" w:styleId="359">
    <w:name w:val="H3 Char"/>
    <w:qFormat/>
    <w:uiPriority w:val="99"/>
    <w:rPr>
      <w:rFonts w:eastAsia="黑体"/>
      <w:kern w:val="2"/>
      <w:sz w:val="32"/>
      <w:lang w:val="en-US" w:eastAsia="zh-CN"/>
    </w:rPr>
  </w:style>
  <w:style w:type="character" w:customStyle="1" w:styleId="360">
    <w:name w:val="Char Char25"/>
    <w:qFormat/>
    <w:uiPriority w:val="99"/>
    <w:rPr>
      <w:rFonts w:eastAsia="宋体"/>
      <w:b/>
      <w:sz w:val="32"/>
    </w:rPr>
  </w:style>
  <w:style w:type="character" w:customStyle="1" w:styleId="361">
    <w:name w:val="无间隔 字符"/>
    <w:link w:val="179"/>
    <w:qFormat/>
    <w:locked/>
    <w:uiPriority w:val="99"/>
    <w:rPr>
      <w:kern w:val="2"/>
      <w:sz w:val="22"/>
      <w:lang w:val="en-US" w:eastAsia="zh-CN"/>
    </w:rPr>
  </w:style>
  <w:style w:type="character" w:customStyle="1" w:styleId="362">
    <w:name w:val="Char Char23"/>
    <w:qFormat/>
    <w:uiPriority w:val="99"/>
    <w:rPr>
      <w:rFonts w:eastAsia="宋体"/>
      <w:b/>
      <w:kern w:val="44"/>
      <w:sz w:val="44"/>
      <w:lang w:val="en-US" w:eastAsia="zh-CN"/>
    </w:rPr>
  </w:style>
  <w:style w:type="character" w:customStyle="1" w:styleId="363">
    <w:name w:val="Char2 Char"/>
    <w:link w:val="171"/>
    <w:qFormat/>
    <w:locked/>
    <w:uiPriority w:val="99"/>
    <w:rPr>
      <w:rFonts w:ascii="Verdana" w:hAnsi="Verdana" w:eastAsia="宋体"/>
      <w:sz w:val="21"/>
      <w:lang w:val="en-US" w:eastAsia="en-US"/>
    </w:rPr>
  </w:style>
  <w:style w:type="character" w:customStyle="1" w:styleId="364">
    <w:name w:val="日期 字符"/>
    <w:link w:val="33"/>
    <w:qFormat/>
    <w:locked/>
    <w:uiPriority w:val="99"/>
    <w:rPr>
      <w:rFonts w:eastAsia="宋体"/>
      <w:kern w:val="2"/>
      <w:sz w:val="28"/>
      <w:lang w:val="en-US" w:eastAsia="zh-CN"/>
    </w:rPr>
  </w:style>
  <w:style w:type="character" w:customStyle="1" w:styleId="365">
    <w:name w:val="H2 Char"/>
    <w:qFormat/>
    <w:uiPriority w:val="99"/>
    <w:rPr>
      <w:rFonts w:ascii="Arial" w:hAnsi="Arial" w:eastAsia="黑体"/>
      <w:b/>
      <w:sz w:val="32"/>
    </w:rPr>
  </w:style>
  <w:style w:type="character" w:customStyle="1" w:styleId="366">
    <w:name w:val="表正文 Char1"/>
    <w:qFormat/>
    <w:locked/>
    <w:uiPriority w:val="99"/>
    <w:rPr>
      <w:rFonts w:eastAsia="宋体"/>
      <w:kern w:val="2"/>
      <w:sz w:val="24"/>
      <w:lang w:val="en-US" w:eastAsia="zh-CN"/>
    </w:rPr>
  </w:style>
  <w:style w:type="character" w:customStyle="1" w:styleId="367">
    <w:name w:val="Heading 2 Hidden Char1"/>
    <w:qFormat/>
    <w:uiPriority w:val="99"/>
    <w:rPr>
      <w:rFonts w:ascii="Arial" w:hAnsi="Arial" w:eastAsia="仿宋_GB2312"/>
      <w:b/>
      <w:spacing w:val="20"/>
      <w:sz w:val="24"/>
      <w:lang w:val="en-US" w:eastAsia="zh-CN"/>
    </w:rPr>
  </w:style>
  <w:style w:type="character" w:customStyle="1" w:styleId="368">
    <w:name w:val="st"/>
    <w:qFormat/>
    <w:uiPriority w:val="99"/>
    <w:rPr>
      <w:rFonts w:cs="Times New Roman"/>
    </w:rPr>
  </w:style>
  <w:style w:type="character" w:customStyle="1" w:styleId="369">
    <w:name w:val="Char Char27"/>
    <w:qFormat/>
    <w:uiPriority w:val="99"/>
    <w:rPr>
      <w:rFonts w:eastAsia="宋体"/>
      <w:b/>
      <w:kern w:val="44"/>
      <w:sz w:val="44"/>
      <w:lang w:val="en-US" w:eastAsia="zh-CN"/>
    </w:rPr>
  </w:style>
  <w:style w:type="character" w:customStyle="1" w:styleId="370">
    <w:name w:val="H1 Char1"/>
    <w:qFormat/>
    <w:uiPriority w:val="99"/>
    <w:rPr>
      <w:rFonts w:eastAsia="宋体"/>
      <w:b/>
      <w:kern w:val="2"/>
      <w:sz w:val="24"/>
      <w:lang w:val="en-US" w:eastAsia="zh-CN"/>
    </w:rPr>
  </w:style>
  <w:style w:type="character" w:customStyle="1" w:styleId="371">
    <w:name w:val="H6 Char"/>
    <w:qFormat/>
    <w:uiPriority w:val="99"/>
    <w:rPr>
      <w:rFonts w:ascii="Arial" w:hAnsi="Arial" w:eastAsia="黑体"/>
      <w:b/>
      <w:kern w:val="2"/>
      <w:sz w:val="24"/>
      <w:lang w:val="en-US" w:eastAsia="zh-CN"/>
    </w:rPr>
  </w:style>
  <w:style w:type="character" w:customStyle="1" w:styleId="372">
    <w:name w:val="正文文本缩进 字符"/>
    <w:link w:val="24"/>
    <w:qFormat/>
    <w:locked/>
    <w:uiPriority w:val="99"/>
    <w:rPr>
      <w:rFonts w:ascii="宋体" w:hAnsi="Courier New" w:eastAsia="宋体"/>
      <w:spacing w:val="-4"/>
      <w:kern w:val="2"/>
      <w:sz w:val="18"/>
      <w:lang w:val="en-US" w:eastAsia="zh-CN"/>
    </w:rPr>
  </w:style>
  <w:style w:type="character" w:customStyle="1" w:styleId="373">
    <w:name w:val="批注文字 Char Char"/>
    <w:qFormat/>
    <w:uiPriority w:val="99"/>
    <w:rPr>
      <w:rFonts w:ascii="宋体" w:hAnsi="Times New Roman" w:eastAsia="宋体"/>
      <w:sz w:val="20"/>
    </w:rPr>
  </w:style>
  <w:style w:type="character" w:customStyle="1" w:styleId="374">
    <w:name w:val="PIM 4 Char"/>
    <w:qFormat/>
    <w:uiPriority w:val="99"/>
    <w:rPr>
      <w:rFonts w:eastAsia="宋体"/>
      <w:b/>
      <w:color w:val="000000"/>
      <w:kern w:val="2"/>
      <w:sz w:val="24"/>
      <w:lang w:val="en-US" w:eastAsia="zh-CN"/>
    </w:rPr>
  </w:style>
  <w:style w:type="character" w:customStyle="1" w:styleId="375">
    <w:name w:val="style51"/>
    <w:qFormat/>
    <w:uiPriority w:val="99"/>
    <w:rPr>
      <w:rFonts w:cs="Times New Roman"/>
    </w:rPr>
  </w:style>
  <w:style w:type="character" w:customStyle="1" w:styleId="376">
    <w:name w:val="Title3 Char1"/>
    <w:qFormat/>
    <w:uiPriority w:val="99"/>
    <w:rPr>
      <w:rFonts w:eastAsia="宋体"/>
      <w:b/>
      <w:kern w:val="2"/>
      <w:sz w:val="32"/>
      <w:lang w:val="en-US" w:eastAsia="zh-CN"/>
    </w:rPr>
  </w:style>
  <w:style w:type="character" w:customStyle="1" w:styleId="377">
    <w:name w:val="批注文字 字符1"/>
    <w:link w:val="20"/>
    <w:qFormat/>
    <w:locked/>
    <w:uiPriority w:val="99"/>
    <w:rPr>
      <w:rFonts w:eastAsia="宋体"/>
      <w:kern w:val="2"/>
      <w:sz w:val="24"/>
      <w:lang w:val="en-US" w:eastAsia="zh-CN"/>
    </w:rPr>
  </w:style>
  <w:style w:type="character" w:customStyle="1" w:styleId="378">
    <w:name w:val="普通文字1 Char1"/>
    <w:qFormat/>
    <w:uiPriority w:val="99"/>
    <w:rPr>
      <w:rFonts w:ascii="宋体" w:hAnsi="Courier New" w:eastAsia="宋体"/>
      <w:kern w:val="2"/>
      <w:sz w:val="21"/>
      <w:lang w:val="en-US" w:eastAsia="zh-CN"/>
    </w:rPr>
  </w:style>
  <w:style w:type="character" w:customStyle="1" w:styleId="379">
    <w:name w:val="Char Char11"/>
    <w:qFormat/>
    <w:uiPriority w:val="99"/>
    <w:rPr>
      <w:rFonts w:ascii="Times New Roman" w:hAnsi="Times New Roman" w:eastAsia="宋体"/>
      <w:sz w:val="24"/>
    </w:rPr>
  </w:style>
  <w:style w:type="character" w:customStyle="1" w:styleId="380">
    <w:name w:val="三级标题 Char"/>
    <w:qFormat/>
    <w:uiPriority w:val="99"/>
    <w:rPr>
      <w:rFonts w:ascii="Arial" w:hAnsi="Arial" w:eastAsia="黑体"/>
      <w:kern w:val="2"/>
      <w:sz w:val="24"/>
      <w:lang w:val="en-US" w:eastAsia="zh-CN"/>
    </w:rPr>
  </w:style>
  <w:style w:type="character" w:customStyle="1" w:styleId="381">
    <w:name w:val="批注文字 Char2"/>
    <w:qFormat/>
    <w:uiPriority w:val="99"/>
    <w:rPr>
      <w:rFonts w:eastAsia="宋体"/>
      <w:kern w:val="2"/>
      <w:sz w:val="24"/>
      <w:lang w:val="en-US" w:eastAsia="zh-CN"/>
    </w:rPr>
  </w:style>
  <w:style w:type="character" w:customStyle="1" w:styleId="382">
    <w:name w:val="目录文字 Char"/>
    <w:link w:val="148"/>
    <w:qFormat/>
    <w:locked/>
    <w:uiPriority w:val="99"/>
    <w:rPr>
      <w:rFonts w:ascii="宋体" w:hAnsi="宋体" w:eastAsia="宋体"/>
      <w:sz w:val="24"/>
      <w:lang w:val="en-US" w:eastAsia="zh-CN"/>
    </w:rPr>
  </w:style>
  <w:style w:type="character" w:customStyle="1" w:styleId="383">
    <w:name w:val="引用 Char1"/>
    <w:qFormat/>
    <w:uiPriority w:val="99"/>
    <w:rPr>
      <w:rFonts w:ascii="Times New Roman" w:hAnsi="Times New Roman" w:eastAsia="宋体"/>
      <w:i/>
      <w:color w:val="000000"/>
      <w:sz w:val="24"/>
    </w:rPr>
  </w:style>
  <w:style w:type="character" w:customStyle="1" w:styleId="384">
    <w:name w:val="标题 3 字符"/>
    <w:link w:val="5"/>
    <w:qFormat/>
    <w:locked/>
    <w:uiPriority w:val="99"/>
    <w:rPr>
      <w:rFonts w:eastAsia="宋体"/>
      <w:b/>
      <w:kern w:val="2"/>
      <w:sz w:val="24"/>
      <w:lang w:val="en-US" w:eastAsia="zh-CN"/>
    </w:rPr>
  </w:style>
  <w:style w:type="character" w:customStyle="1" w:styleId="385">
    <w:name w:val="062"/>
    <w:qFormat/>
    <w:uiPriority w:val="99"/>
    <w:rPr>
      <w:rFonts w:ascii="宋体" w:eastAsia="宋体"/>
      <w:b/>
      <w:sz w:val="32"/>
    </w:rPr>
  </w:style>
  <w:style w:type="character" w:customStyle="1" w:styleId="386">
    <w:name w:val="Char Char8"/>
    <w:qFormat/>
    <w:uiPriority w:val="99"/>
    <w:rPr>
      <w:rFonts w:ascii="宋体" w:hAnsi="Courier New" w:eastAsia="宋体"/>
      <w:kern w:val="2"/>
      <w:sz w:val="21"/>
      <w:lang w:val="en-US" w:eastAsia="zh-CN"/>
    </w:rPr>
  </w:style>
  <w:style w:type="character" w:customStyle="1" w:styleId="387">
    <w:name w:val="标题 1 字符"/>
    <w:link w:val="3"/>
    <w:qFormat/>
    <w:locked/>
    <w:uiPriority w:val="99"/>
    <w:rPr>
      <w:rFonts w:eastAsia="宋体"/>
      <w:b/>
      <w:kern w:val="2"/>
      <w:sz w:val="24"/>
      <w:lang w:val="en-US" w:eastAsia="zh-CN"/>
    </w:rPr>
  </w:style>
  <w:style w:type="character" w:customStyle="1" w:styleId="388">
    <w:name w:val="正文缩进 字符1"/>
    <w:link w:val="9"/>
    <w:qFormat/>
    <w:locked/>
    <w:uiPriority w:val="99"/>
    <w:rPr>
      <w:rFonts w:eastAsia="宋体"/>
      <w:kern w:val="2"/>
      <w:sz w:val="24"/>
      <w:lang w:val="en-US" w:eastAsia="zh-CN"/>
    </w:rPr>
  </w:style>
  <w:style w:type="character" w:customStyle="1" w:styleId="389">
    <w:name w:val="Char Char231"/>
    <w:qFormat/>
    <w:uiPriority w:val="99"/>
    <w:rPr>
      <w:rFonts w:ascii="Times New Roman" w:hAnsi="Times New Roman" w:eastAsia="宋体"/>
      <w:b/>
      <w:kern w:val="44"/>
      <w:sz w:val="44"/>
    </w:rPr>
  </w:style>
  <w:style w:type="character" w:customStyle="1" w:styleId="390">
    <w:name w:val="列出段落 Char"/>
    <w:link w:val="103"/>
    <w:qFormat/>
    <w:locked/>
    <w:uiPriority w:val="99"/>
    <w:rPr>
      <w:rFonts w:ascii="Calibri" w:hAnsi="Calibri" w:eastAsia="宋体"/>
      <w:kern w:val="2"/>
      <w:sz w:val="22"/>
      <w:lang w:val="en-US" w:eastAsia="zh-CN"/>
    </w:rPr>
  </w:style>
  <w:style w:type="character" w:customStyle="1" w:styleId="391">
    <w:name w:val="无间隔 Char Char"/>
    <w:qFormat/>
    <w:uiPriority w:val="99"/>
    <w:rPr>
      <w:rFonts w:ascii="Calibri" w:hAnsi="Calibri" w:eastAsia="宋体"/>
      <w:sz w:val="22"/>
      <w:lang w:val="en-US" w:eastAsia="zh-CN"/>
    </w:rPr>
  </w:style>
  <w:style w:type="character" w:customStyle="1" w:styleId="392">
    <w:name w:val="line"/>
    <w:qFormat/>
    <w:uiPriority w:val="99"/>
    <w:rPr>
      <w:rFonts w:cs="Times New Roman"/>
    </w:rPr>
  </w:style>
  <w:style w:type="character" w:customStyle="1" w:styleId="393">
    <w:name w:val="明显强调1"/>
    <w:qFormat/>
    <w:uiPriority w:val="99"/>
    <w:rPr>
      <w:b/>
      <w:i/>
      <w:color w:val="4F81BD"/>
    </w:rPr>
  </w:style>
  <w:style w:type="character" w:customStyle="1" w:styleId="394">
    <w:name w:val="标题 2 字符"/>
    <w:link w:val="4"/>
    <w:qFormat/>
    <w:locked/>
    <w:uiPriority w:val="99"/>
    <w:rPr>
      <w:rFonts w:ascii="Arial" w:hAnsi="Arial" w:eastAsia="仿宋_GB2312"/>
      <w:b/>
      <w:spacing w:val="20"/>
      <w:sz w:val="24"/>
      <w:lang w:val="en-US" w:eastAsia="zh-CN"/>
    </w:rPr>
  </w:style>
  <w:style w:type="character" w:customStyle="1" w:styleId="395">
    <w:name w:val="Char Char17"/>
    <w:qFormat/>
    <w:uiPriority w:val="99"/>
    <w:rPr>
      <w:rFonts w:eastAsia="黑体"/>
      <w:b/>
      <w:kern w:val="44"/>
      <w:sz w:val="44"/>
    </w:rPr>
  </w:style>
  <w:style w:type="character" w:customStyle="1" w:styleId="396">
    <w:name w:val="Report Text Char"/>
    <w:link w:val="105"/>
    <w:qFormat/>
    <w:locked/>
    <w:uiPriority w:val="99"/>
    <w:rPr>
      <w:rFonts w:ascii="Arial" w:hAnsi="Arial" w:eastAsia="宋体"/>
      <w:kern w:val="28"/>
      <w:sz w:val="22"/>
      <w:lang w:val="en-US" w:eastAsia="zh-CN"/>
    </w:rPr>
  </w:style>
  <w:style w:type="character" w:customStyle="1" w:styleId="397">
    <w:name w:val="Char Char181"/>
    <w:qFormat/>
    <w:uiPriority w:val="99"/>
    <w:rPr>
      <w:rFonts w:ascii="Times New Roman" w:hAnsi="Times New Roman" w:eastAsia="宋体"/>
      <w:b/>
      <w:sz w:val="28"/>
    </w:rPr>
  </w:style>
  <w:style w:type="character" w:customStyle="1" w:styleId="398">
    <w:name w:val="普通文字 Char Char1"/>
    <w:qFormat/>
    <w:uiPriority w:val="99"/>
    <w:rPr>
      <w:rFonts w:ascii="宋体" w:hAnsi="Courier New" w:eastAsia="宋体"/>
      <w:kern w:val="2"/>
      <w:sz w:val="21"/>
      <w:lang w:val="en-US" w:eastAsia="zh-CN"/>
    </w:rPr>
  </w:style>
  <w:style w:type="character" w:customStyle="1" w:styleId="399">
    <w:name w:val="Char Char171"/>
    <w:qFormat/>
    <w:uiPriority w:val="99"/>
    <w:rPr>
      <w:rFonts w:ascii="Times New Roman" w:hAnsi="Times New Roman"/>
      <w:b/>
      <w:kern w:val="2"/>
      <w:sz w:val="24"/>
    </w:rPr>
  </w:style>
  <w:style w:type="character" w:customStyle="1" w:styleId="400">
    <w:name w:val="纯文本 字符1"/>
    <w:link w:val="31"/>
    <w:qFormat/>
    <w:locked/>
    <w:uiPriority w:val="99"/>
    <w:rPr>
      <w:rFonts w:ascii="宋体" w:hAnsi="Courier New" w:eastAsia="宋体"/>
      <w:kern w:val="2"/>
      <w:sz w:val="21"/>
      <w:lang w:val="en-US" w:eastAsia="zh-CN"/>
    </w:rPr>
  </w:style>
  <w:style w:type="character" w:customStyle="1" w:styleId="401">
    <w:name w:val="纯文本 Char"/>
    <w:qFormat/>
    <w:uiPriority w:val="99"/>
    <w:rPr>
      <w:rFonts w:ascii="宋体" w:hAnsi="Courier New" w:eastAsia="宋体"/>
      <w:kern w:val="2"/>
      <w:sz w:val="21"/>
      <w:lang w:val="en-US" w:eastAsia="zh-CN"/>
    </w:rPr>
  </w:style>
  <w:style w:type="character" w:customStyle="1" w:styleId="402">
    <w:name w:val="批注文字 字符"/>
    <w:qFormat/>
    <w:uiPriority w:val="99"/>
    <w:rPr>
      <w:rFonts w:eastAsia="宋体"/>
      <w:kern w:val="2"/>
      <w:sz w:val="24"/>
      <w:lang w:val="en-US" w:eastAsia="zh-CN"/>
    </w:rPr>
  </w:style>
  <w:style w:type="paragraph" w:customStyle="1" w:styleId="403">
    <w:name w:val="Char Char Char Char Char Char Char Char Char1 Char1 Char Char Char Char Char Char Char Char Char Char Char Char2"/>
    <w:basedOn w:val="1"/>
    <w:qFormat/>
    <w:uiPriority w:val="99"/>
    <w:pPr>
      <w:spacing w:line="360" w:lineRule="auto"/>
      <w:ind w:firstLine="200" w:firstLineChars="200"/>
    </w:pPr>
    <w:rPr>
      <w:rFonts w:ascii="宋体" w:hAnsi="宋体" w:cs="宋体"/>
      <w:sz w:val="24"/>
    </w:rPr>
  </w:style>
  <w:style w:type="character" w:customStyle="1" w:styleId="404">
    <w:name w:val="正文缩进 字符"/>
    <w:qFormat/>
    <w:locked/>
    <w:uiPriority w:val="99"/>
    <w:rPr>
      <w:rFonts w:eastAsia="宋体"/>
      <w:kern w:val="2"/>
      <w:sz w:val="24"/>
      <w:lang w:val="en-US" w:eastAsia="zh-CN"/>
    </w:rPr>
  </w:style>
  <w:style w:type="character" w:customStyle="1" w:styleId="405">
    <w:name w:val="纯文本 字符"/>
    <w:qFormat/>
    <w:uiPriority w:val="99"/>
    <w:rPr>
      <w:rFonts w:ascii="宋体" w:hAnsi="Courier New" w:eastAsia="宋体"/>
      <w:kern w:val="2"/>
      <w:sz w:val="21"/>
      <w:lang w:val="en-US" w:eastAsia="zh-CN"/>
    </w:rPr>
  </w:style>
  <w:style w:type="paragraph" w:customStyle="1" w:styleId="406">
    <w:name w:val="Char Char Char Char Char Char Char Char Char1 Char1 Char Char Char Char Char Char Char Char Char Char Char Char3"/>
    <w:basedOn w:val="1"/>
    <w:qFormat/>
    <w:uiPriority w:val="99"/>
    <w:pPr>
      <w:spacing w:line="360" w:lineRule="auto"/>
      <w:ind w:firstLine="200" w:firstLineChars="200"/>
    </w:pPr>
    <w:rPr>
      <w:rFonts w:ascii="宋体" w:hAnsi="宋体" w:cs="宋体"/>
      <w:sz w:val="24"/>
    </w:rPr>
  </w:style>
  <w:style w:type="paragraph" w:customStyle="1" w:styleId="407">
    <w:name w:val="Char Char Char Char Char Char Char Char Char1 Char1 Char Char Char Char Char Char Char Char Char Char Char Char4"/>
    <w:basedOn w:val="1"/>
    <w:qFormat/>
    <w:uiPriority w:val="99"/>
    <w:pPr>
      <w:spacing w:line="360" w:lineRule="auto"/>
      <w:ind w:firstLine="200" w:firstLineChars="200"/>
    </w:pPr>
    <w:rPr>
      <w:rFonts w:ascii="宋体" w:hAnsi="宋体" w:cs="宋体"/>
      <w:sz w:val="24"/>
    </w:rPr>
  </w:style>
  <w:style w:type="character" w:customStyle="1" w:styleId="408">
    <w:name w:val="font61"/>
    <w:qFormat/>
    <w:uiPriority w:val="99"/>
    <w:rPr>
      <w:rFonts w:ascii="宋体" w:hAnsi="宋体" w:eastAsia="宋体" w:cs="宋体"/>
      <w:color w:val="000000"/>
      <w:sz w:val="22"/>
      <w:szCs w:val="22"/>
      <w:u w:val="none"/>
    </w:rPr>
  </w:style>
  <w:style w:type="character" w:customStyle="1" w:styleId="409">
    <w:name w:val="font111"/>
    <w:qFormat/>
    <w:uiPriority w:val="99"/>
    <w:rPr>
      <w:rFonts w:ascii="宋体" w:hAnsi="宋体" w:eastAsia="宋体" w:cs="宋体"/>
      <w:color w:val="FF0000"/>
      <w:sz w:val="20"/>
      <w:szCs w:val="20"/>
      <w:u w:val="none"/>
    </w:rPr>
  </w:style>
  <w:style w:type="character" w:customStyle="1" w:styleId="410">
    <w:name w:val="font21"/>
    <w:qFormat/>
    <w:uiPriority w:val="99"/>
    <w:rPr>
      <w:rFonts w:ascii="宋体" w:hAnsi="宋体" w:eastAsia="宋体" w:cs="宋体"/>
      <w:color w:val="000000"/>
      <w:sz w:val="20"/>
      <w:szCs w:val="20"/>
      <w:u w:val="none"/>
    </w:rPr>
  </w:style>
  <w:style w:type="character" w:customStyle="1" w:styleId="411">
    <w:name w:val="font31"/>
    <w:qFormat/>
    <w:uiPriority w:val="99"/>
    <w:rPr>
      <w:rFonts w:ascii="新宋体" w:hAnsi="新宋体" w:eastAsia="新宋体" w:cs="新宋体"/>
      <w:color w:val="000000"/>
      <w:sz w:val="24"/>
      <w:szCs w:val="24"/>
      <w:u w:val="none"/>
    </w:rPr>
  </w:style>
  <w:style w:type="paragraph" w:customStyle="1" w:styleId="412">
    <w:name w:val="Table Paragraph"/>
    <w:basedOn w:val="1"/>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7626</Words>
  <Characters>43474</Characters>
  <Lines>362</Lines>
  <Paragraphs>101</Paragraphs>
  <TotalTime>3</TotalTime>
  <ScaleCrop>false</ScaleCrop>
  <LinksUpToDate>false</LinksUpToDate>
  <CharactersWithSpaces>50999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2019-12-06T03:20:00Z</dcterms:created>
  <dc:creator>微软用户</dc:creator>
  <cp:lastModifiedBy>W.M.</cp:lastModifiedBy>
  <cp:lastPrinted>2019-12-05T01:57:00Z</cp:lastPrinted>
  <dcterms:modified xsi:type="dcterms:W3CDTF">2021-04-22T09:48:42Z</dcterms:modified>
  <dc:title>广西冠联项目管理有限公司</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GSEDS_HWMT_d46a6755">
    <vt:lpwstr>f2454d0c_mFV0yj84ISk2OMpOkHv4rx9KlB0=_8QYrr1NKSStlYLckzCKQrlcRvjNWErl9gT5QLpzt6IJHgNTo5sEiJHmyOVkQ648aUezUzRZvXjb9_84bdc069</vt:lpwstr>
  </property>
  <property fmtid="{D5CDD505-2E9C-101B-9397-08002B2CF9AE}" pid="4" name="ICV">
    <vt:lpwstr>FD793632348A4D11887F541FE1166E01</vt:lpwstr>
  </property>
</Properties>
</file>