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20" w:after="120" w:line="480" w:lineRule="exact"/>
        <w:jc w:val="center"/>
        <w:outlineLvl w:val="0"/>
        <w:rPr>
          <w:rFonts w:hint="eastAsia" w:hAnsi="宋体"/>
          <w:b/>
          <w:sz w:val="28"/>
          <w:szCs w:val="28"/>
        </w:rPr>
      </w:pPr>
      <w:bookmarkStart w:id="0" w:name="_GoBack"/>
      <w:r>
        <w:rPr>
          <w:rFonts w:hint="eastAsia" w:hAnsi="宋体"/>
          <w:b/>
          <w:sz w:val="28"/>
          <w:szCs w:val="28"/>
        </w:rPr>
        <w:t>广西新宇建设项目管理有限公司关于柳州市智慧房产（一期）建设项目(项目编号：LZG20-143)公开招标公告</w:t>
      </w:r>
    </w:p>
    <w:bookmarkEnd w:id="0"/>
    <w:p>
      <w:pPr>
        <w:snapToGrid w:val="0"/>
        <w:spacing w:line="380" w:lineRule="exact"/>
        <w:ind w:firstLine="480" w:firstLineChars="200"/>
        <w:rPr>
          <w:rFonts w:ascii="宋体" w:hAnsi="宋体" w:cs="Arial"/>
          <w:sz w:val="24"/>
          <w:szCs w:val="24"/>
        </w:rPr>
      </w:pPr>
      <w:r>
        <w:rPr>
          <w:rFonts w:hint="eastAsia" w:ascii="宋体" w:hAnsi="宋体" w:cs="Arial"/>
          <w:sz w:val="24"/>
          <w:szCs w:val="24"/>
        </w:rPr>
        <w:t>广西新宇建设项目管理有限公司受柳州市住房和城乡建设局委托，根据《中华人民共和国政府采购法》及其实施条例、</w:t>
      </w:r>
      <w:r>
        <w:rPr>
          <w:rFonts w:hint="eastAsia"/>
          <w:sz w:val="24"/>
          <w:szCs w:val="24"/>
        </w:rPr>
        <w:t>《政府采购货物和服务招标投标管理办法》</w:t>
      </w:r>
      <w:r>
        <w:rPr>
          <w:rFonts w:hint="eastAsia" w:ascii="宋体" w:hAnsi="宋体" w:cs="Arial"/>
          <w:sz w:val="24"/>
          <w:szCs w:val="24"/>
        </w:rPr>
        <w:t>等有关规定，</w:t>
      </w:r>
      <w:r>
        <w:rPr>
          <w:rFonts w:hint="eastAsia" w:ascii="宋体" w:hAnsi="宋体"/>
          <w:sz w:val="24"/>
          <w:szCs w:val="24"/>
        </w:rPr>
        <w:t>现对</w:t>
      </w:r>
      <w:r>
        <w:rPr>
          <w:rFonts w:hint="eastAsia" w:ascii="宋体" w:hAnsi="宋体" w:cs="Arial"/>
          <w:sz w:val="24"/>
          <w:szCs w:val="24"/>
        </w:rPr>
        <w:t>柳州市智慧房产（一期）建设项目进行公开招标，现将本次公开招标有关事项公告如下：</w:t>
      </w:r>
    </w:p>
    <w:p>
      <w:pPr>
        <w:snapToGrid w:val="0"/>
        <w:spacing w:line="380" w:lineRule="exact"/>
        <w:ind w:firstLine="482" w:firstLineChars="200"/>
        <w:rPr>
          <w:rFonts w:hint="eastAsia" w:ascii="宋体" w:hAnsi="宋体" w:cs="Arial"/>
          <w:sz w:val="24"/>
          <w:szCs w:val="24"/>
        </w:rPr>
      </w:pPr>
      <w:r>
        <w:rPr>
          <w:rFonts w:hint="eastAsia" w:ascii="宋体" w:hAnsi="宋体" w:cs="Arial"/>
          <w:b/>
          <w:bCs/>
          <w:sz w:val="24"/>
          <w:szCs w:val="24"/>
        </w:rPr>
        <w:t>一、采购项目名称：</w:t>
      </w:r>
      <w:r>
        <w:rPr>
          <w:rFonts w:hint="eastAsia" w:ascii="宋体" w:hAnsi="宋体" w:cs="Arial"/>
          <w:sz w:val="24"/>
          <w:szCs w:val="24"/>
        </w:rPr>
        <w:t>柳州市智慧房产（一期）建设项目</w:t>
      </w:r>
    </w:p>
    <w:p>
      <w:pPr>
        <w:snapToGrid w:val="0"/>
        <w:spacing w:line="380" w:lineRule="exact"/>
        <w:ind w:firstLine="482" w:firstLineChars="200"/>
        <w:rPr>
          <w:rFonts w:ascii="宋体" w:hAnsi="宋体" w:cs="Arial"/>
          <w:sz w:val="24"/>
          <w:szCs w:val="24"/>
        </w:rPr>
      </w:pPr>
      <w:r>
        <w:rPr>
          <w:rFonts w:hint="eastAsia" w:ascii="宋体" w:hAnsi="宋体" w:cs="Arial"/>
          <w:b/>
          <w:bCs/>
          <w:sz w:val="24"/>
          <w:szCs w:val="24"/>
        </w:rPr>
        <w:t>二、采购项目编号：</w:t>
      </w:r>
      <w:r>
        <w:rPr>
          <w:rFonts w:hint="eastAsia" w:ascii="宋体" w:hAnsi="宋体" w:cs="Arial"/>
          <w:sz w:val="24"/>
          <w:szCs w:val="24"/>
        </w:rPr>
        <w:t>LZG20-143</w:t>
      </w:r>
    </w:p>
    <w:p>
      <w:pPr>
        <w:snapToGrid w:val="0"/>
        <w:spacing w:line="380" w:lineRule="exact"/>
        <w:ind w:firstLine="482" w:firstLineChars="200"/>
        <w:rPr>
          <w:rFonts w:ascii="宋体" w:hAnsi="宋体" w:cs="Arial"/>
          <w:b/>
          <w:bCs/>
          <w:sz w:val="24"/>
          <w:szCs w:val="24"/>
        </w:rPr>
      </w:pPr>
      <w:r>
        <w:rPr>
          <w:rFonts w:hint="eastAsia" w:ascii="宋体" w:hAnsi="宋体" w:cs="Arial"/>
          <w:b/>
          <w:bCs/>
          <w:sz w:val="24"/>
          <w:szCs w:val="24"/>
        </w:rPr>
        <w:t>三、采购内容、数量、简要规格描述及概况：</w:t>
      </w:r>
    </w:p>
    <w:p>
      <w:pPr>
        <w:snapToGrid w:val="0"/>
        <w:spacing w:line="380" w:lineRule="exact"/>
        <w:ind w:firstLine="470" w:firstLineChars="196"/>
        <w:rPr>
          <w:rFonts w:hint="eastAsia" w:ascii="宋体" w:hAnsi="宋体" w:cs="Arial"/>
          <w:b/>
          <w:bCs/>
          <w:sz w:val="24"/>
          <w:szCs w:val="24"/>
        </w:rPr>
      </w:pPr>
      <w:r>
        <w:rPr>
          <w:rFonts w:hint="eastAsia" w:ascii="宋体" w:hAnsi="宋体" w:cs="Arial"/>
          <w:sz w:val="24"/>
          <w:szCs w:val="24"/>
        </w:rPr>
        <w:t>采购一套覆盖房产交易及监管、保障性住房管理、房产数据于一体的智慧房产系统。如需进一步了解详细内容，详见招标文件。</w:t>
      </w:r>
    </w:p>
    <w:p>
      <w:pPr>
        <w:snapToGrid w:val="0"/>
        <w:spacing w:line="380" w:lineRule="exact"/>
        <w:ind w:firstLine="482" w:firstLineChars="200"/>
        <w:rPr>
          <w:rFonts w:ascii="宋体" w:hAnsi="宋体" w:cs="Arial"/>
          <w:color w:val="C00000"/>
          <w:sz w:val="24"/>
          <w:szCs w:val="24"/>
        </w:rPr>
      </w:pPr>
      <w:r>
        <w:rPr>
          <w:rFonts w:hint="eastAsia" w:ascii="宋体" w:hAnsi="宋体" w:cs="Arial"/>
          <w:b/>
          <w:bCs/>
          <w:sz w:val="24"/>
          <w:szCs w:val="24"/>
        </w:rPr>
        <w:t>四、采购项目预算金额（人民币）：</w:t>
      </w:r>
      <w:r>
        <w:rPr>
          <w:rFonts w:hint="eastAsia" w:ascii="宋体" w:hAnsi="宋体" w:cs="Arial"/>
          <w:sz w:val="24"/>
          <w:szCs w:val="24"/>
        </w:rPr>
        <w:t>陆佰玖拾叁万贰仟陆佰元整。</w:t>
      </w:r>
    </w:p>
    <w:p>
      <w:pPr>
        <w:snapToGrid w:val="0"/>
        <w:spacing w:line="380" w:lineRule="exact"/>
        <w:ind w:firstLine="472" w:firstLineChars="196"/>
        <w:rPr>
          <w:rFonts w:ascii="宋体" w:hAnsi="宋体" w:cs="Arial"/>
          <w:b/>
          <w:sz w:val="24"/>
          <w:szCs w:val="24"/>
        </w:rPr>
      </w:pPr>
      <w:r>
        <w:rPr>
          <w:rFonts w:hint="eastAsia" w:ascii="宋体" w:hAnsi="宋体" w:cs="Arial"/>
          <w:b/>
          <w:sz w:val="24"/>
          <w:szCs w:val="24"/>
        </w:rPr>
        <w:t>五、本项目需要落实的政府采购政策：</w:t>
      </w:r>
    </w:p>
    <w:p>
      <w:pPr>
        <w:snapToGrid w:val="0"/>
        <w:spacing w:line="380" w:lineRule="exact"/>
        <w:ind w:firstLine="470" w:firstLineChars="196"/>
        <w:rPr>
          <w:rFonts w:ascii="宋体" w:hAnsi="宋体" w:cs="Arial"/>
          <w:sz w:val="24"/>
          <w:szCs w:val="24"/>
        </w:rPr>
      </w:pPr>
      <w:r>
        <w:rPr>
          <w:rFonts w:hint="eastAsia" w:ascii="宋体" w:hAnsi="宋体" w:cs="Arial"/>
          <w:sz w:val="24"/>
          <w:szCs w:val="24"/>
        </w:rPr>
        <w:t>1、财政部《关于印发〈政府采购促进中小企业发展暂行办法〉的通知》（财库[2011]181号）；</w:t>
      </w:r>
    </w:p>
    <w:p>
      <w:pPr>
        <w:snapToGrid w:val="0"/>
        <w:spacing w:line="380" w:lineRule="exact"/>
        <w:ind w:firstLine="470" w:firstLineChars="196"/>
        <w:rPr>
          <w:rFonts w:ascii="宋体" w:hAnsi="宋体" w:cs="Arial"/>
          <w:sz w:val="24"/>
          <w:szCs w:val="24"/>
        </w:rPr>
      </w:pPr>
      <w:r>
        <w:rPr>
          <w:rFonts w:hint="eastAsia" w:ascii="宋体" w:hAnsi="宋体" w:cs="Arial"/>
          <w:sz w:val="24"/>
          <w:szCs w:val="24"/>
        </w:rPr>
        <w:t>2、《关于政府采购支持监狱企业发展有关问题的通知》（财库[2014]68号）；</w:t>
      </w:r>
    </w:p>
    <w:p>
      <w:pPr>
        <w:snapToGrid w:val="0"/>
        <w:spacing w:line="380" w:lineRule="exact"/>
        <w:ind w:firstLine="470" w:firstLineChars="196"/>
        <w:rPr>
          <w:rFonts w:ascii="宋体" w:hAnsi="宋体" w:cs="Arial"/>
          <w:sz w:val="24"/>
          <w:szCs w:val="24"/>
        </w:rPr>
      </w:pPr>
      <w:r>
        <w:rPr>
          <w:rFonts w:hint="eastAsia" w:ascii="宋体" w:hAnsi="宋体" w:cs="Arial"/>
          <w:sz w:val="24"/>
          <w:szCs w:val="24"/>
        </w:rPr>
        <w:t>3、《三部门联合发布关于促进残疾人就业政府采购政策的通知》（财库〔2017〕141号）；</w:t>
      </w:r>
    </w:p>
    <w:p>
      <w:pPr>
        <w:snapToGrid w:val="0"/>
        <w:spacing w:line="380" w:lineRule="exact"/>
        <w:ind w:firstLine="470" w:firstLineChars="196"/>
        <w:rPr>
          <w:rFonts w:ascii="宋体" w:hAnsi="宋体" w:cs="Arial"/>
          <w:sz w:val="24"/>
          <w:szCs w:val="24"/>
        </w:rPr>
      </w:pPr>
      <w:r>
        <w:rPr>
          <w:rFonts w:hint="eastAsia" w:ascii="宋体" w:hAnsi="宋体" w:cs="Arial"/>
          <w:sz w:val="24"/>
          <w:szCs w:val="24"/>
        </w:rPr>
        <w:t>4、《财政部关于在政府采购活动中查询及使用信用记录有关问题的通知》（财库〔2016〕125号）等。</w:t>
      </w:r>
    </w:p>
    <w:p>
      <w:pPr>
        <w:snapToGrid w:val="0"/>
        <w:spacing w:line="380" w:lineRule="exact"/>
        <w:ind w:firstLine="472" w:firstLineChars="196"/>
        <w:rPr>
          <w:rFonts w:ascii="宋体" w:hAnsi="宋体" w:cs="Arial"/>
          <w:b/>
          <w:bCs/>
          <w:sz w:val="24"/>
          <w:szCs w:val="24"/>
        </w:rPr>
      </w:pPr>
      <w:r>
        <w:rPr>
          <w:rFonts w:hint="eastAsia" w:ascii="宋体" w:hAnsi="宋体" w:cs="Arial"/>
          <w:b/>
          <w:bCs/>
          <w:sz w:val="24"/>
          <w:szCs w:val="24"/>
        </w:rPr>
        <w:t>六、投标人资格要求：</w:t>
      </w:r>
    </w:p>
    <w:p>
      <w:pPr>
        <w:pStyle w:val="3"/>
        <w:spacing w:line="380" w:lineRule="exact"/>
        <w:ind w:firstLine="480" w:firstLineChars="200"/>
        <w:rPr>
          <w:rFonts w:hint="eastAsia" w:hAnsi="宋体" w:cs="Times New Roman"/>
          <w:sz w:val="24"/>
          <w:szCs w:val="24"/>
        </w:rPr>
      </w:pPr>
      <w:r>
        <w:rPr>
          <w:rFonts w:hint="eastAsia" w:hAnsi="宋体" w:cs="Times New Roman"/>
          <w:sz w:val="24"/>
          <w:szCs w:val="24"/>
        </w:rPr>
        <w:t>1、符合《中华人民共和国政府采购法》第二十二条的规定:1）具有独立承担民事责任的能力；2）具有良好的商业信誉和健全的财务会计制度；3）有依法缴纳税收和社会保障资金的良好记录；4）参加政府采购活动前三年内，在经营活动中没有重大违法记录；5）法律、行政法规规定的其他条件（具体要求按采购文件执行）；</w:t>
      </w:r>
    </w:p>
    <w:p>
      <w:pPr>
        <w:pStyle w:val="3"/>
        <w:spacing w:line="380" w:lineRule="exact"/>
        <w:ind w:firstLine="480" w:firstLineChars="200"/>
        <w:rPr>
          <w:rFonts w:hint="eastAsia" w:hAnsi="宋体" w:cs="Times New Roman"/>
          <w:sz w:val="24"/>
          <w:szCs w:val="24"/>
        </w:rPr>
      </w:pPr>
      <w:r>
        <w:rPr>
          <w:rFonts w:hint="eastAsia" w:hAnsi="宋体" w:cs="Times New Roman"/>
          <w:sz w:val="24"/>
          <w:szCs w:val="24"/>
        </w:rPr>
        <w:t>2、未被列入“信用中国”网站(www.creditchina.gov.cn)和中国政府采购网(www.ccgp.gov.cn)渠道信用记录失信被执行人、重大税收违法案件当事人名单、政府采购严重违法失信行为记录名单的供应商；</w:t>
      </w:r>
    </w:p>
    <w:p>
      <w:pPr>
        <w:pStyle w:val="3"/>
        <w:spacing w:line="380" w:lineRule="exact"/>
        <w:ind w:firstLine="480" w:firstLineChars="200"/>
        <w:rPr>
          <w:rFonts w:hAnsi="宋体" w:cs="Times New Roman"/>
          <w:sz w:val="24"/>
          <w:szCs w:val="24"/>
        </w:rPr>
      </w:pPr>
      <w:r>
        <w:rPr>
          <w:rFonts w:hint="eastAsia" w:hAnsi="宋体" w:cs="Times New Roman"/>
          <w:sz w:val="24"/>
          <w:szCs w:val="24"/>
        </w:rPr>
        <w:t>3、本项目不接受联合体投标；</w:t>
      </w:r>
    </w:p>
    <w:p>
      <w:pPr>
        <w:snapToGrid w:val="0"/>
        <w:spacing w:line="380" w:lineRule="exact"/>
        <w:ind w:firstLine="472" w:firstLineChars="196"/>
        <w:rPr>
          <w:rFonts w:ascii="宋体" w:hAnsi="宋体" w:cs="Arial"/>
          <w:b/>
          <w:bCs/>
          <w:sz w:val="24"/>
          <w:szCs w:val="24"/>
        </w:rPr>
      </w:pPr>
      <w:r>
        <w:rPr>
          <w:rFonts w:hint="eastAsia" w:ascii="宋体" w:hAnsi="宋体" w:cs="Arial"/>
          <w:b/>
          <w:bCs/>
          <w:sz w:val="24"/>
          <w:szCs w:val="24"/>
        </w:rPr>
        <w:t>七、招标文件的获取：</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1、自公告发布之日起至2020年</w:t>
      </w:r>
      <w:r>
        <w:rPr>
          <w:rFonts w:hint="eastAsia" w:ascii="宋体" w:hAnsi="宋体" w:cs="Arial"/>
          <w:sz w:val="24"/>
          <w:szCs w:val="24"/>
          <w:lang w:val="en-US" w:eastAsia="zh-CN"/>
        </w:rPr>
        <w:t>6</w:t>
      </w:r>
      <w:r>
        <w:rPr>
          <w:rFonts w:hint="eastAsia" w:ascii="宋体" w:hAnsi="宋体" w:cs="Arial"/>
          <w:sz w:val="24"/>
          <w:szCs w:val="24"/>
        </w:rPr>
        <w:t>月</w:t>
      </w:r>
      <w:r>
        <w:rPr>
          <w:rFonts w:hint="eastAsia" w:ascii="宋体" w:hAnsi="宋体" w:cs="Arial"/>
          <w:sz w:val="24"/>
          <w:szCs w:val="24"/>
          <w:lang w:val="en-US" w:eastAsia="zh-CN"/>
        </w:rPr>
        <w:t>24</w:t>
      </w:r>
      <w:r>
        <w:rPr>
          <w:rFonts w:hint="eastAsia" w:ascii="宋体" w:hAnsi="宋体" w:cs="Arial"/>
          <w:sz w:val="24"/>
          <w:szCs w:val="24"/>
        </w:rPr>
        <w:t>日17时止；</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2、本项目招标文件为网上免费获取，供应商可以登陆柳州市公共资源交易平台（ggzy.liuzhou.gov.cn）的“交易信息”—“政府采购”—“政采公告”中打开项目的招标公告正文，点击下方的“获取招标文件”按钮，下载招标文件；</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3、网上获取采购文件程序及注意事项详见柳州市公共资源交易平台（ggzy.liuzhou.gov.cn）或柳州市政府采购网（www.zfcg.gov.cn/0802/92336.html）下载中心《政府采购类项目网上获取招标文件操作手册》。</w:t>
      </w:r>
    </w:p>
    <w:p>
      <w:pPr>
        <w:snapToGrid w:val="0"/>
        <w:spacing w:line="380" w:lineRule="exact"/>
        <w:ind w:firstLine="416"/>
        <w:rPr>
          <w:rFonts w:hint="eastAsia" w:ascii="宋体" w:hAnsi="宋体" w:cs="Arial"/>
          <w:sz w:val="24"/>
          <w:szCs w:val="24"/>
        </w:rPr>
      </w:pPr>
      <w:r>
        <w:rPr>
          <w:rFonts w:hint="eastAsia" w:ascii="宋体" w:hAnsi="宋体" w:cs="Arial"/>
          <w:sz w:val="24"/>
          <w:szCs w:val="24"/>
        </w:rPr>
        <w:t>4、注意事项：供应商在获取招标文件时，企业应按照主体资格证明上面的名称（如营业执照、事业单位法人证书、民办非企业单位登记证书等）完整正确填写单位名称，自然人应按身份证姓名填写；未在柳州市公共资源交易平台网站获取招标文件的供应商采购代理机构将拒收其投标文件。已获取招标文件的供应商不等于符合本项目的投标人资格。</w:t>
      </w:r>
    </w:p>
    <w:p>
      <w:pPr>
        <w:snapToGrid w:val="0"/>
        <w:spacing w:line="380" w:lineRule="exact"/>
        <w:ind w:firstLine="416"/>
        <w:rPr>
          <w:rFonts w:ascii="宋体" w:hAnsi="宋体" w:cs="Arial"/>
          <w:b/>
          <w:sz w:val="24"/>
          <w:szCs w:val="24"/>
        </w:rPr>
      </w:pPr>
      <w:r>
        <w:rPr>
          <w:rFonts w:hint="eastAsia" w:ascii="宋体" w:hAnsi="宋体" w:cs="Arial"/>
          <w:b/>
          <w:sz w:val="24"/>
          <w:szCs w:val="24"/>
        </w:rPr>
        <w:t>八</w:t>
      </w:r>
      <w:r>
        <w:rPr>
          <w:rFonts w:hint="eastAsia" w:ascii="宋体" w:hAnsi="宋体" w:cs="Arial"/>
          <w:b/>
          <w:bCs/>
          <w:sz w:val="24"/>
          <w:szCs w:val="24"/>
        </w:rPr>
        <w:t>、</w:t>
      </w:r>
      <w:r>
        <w:rPr>
          <w:rFonts w:hint="eastAsia" w:ascii="宋体" w:hAnsi="宋体" w:cs="Arial"/>
          <w:b/>
          <w:sz w:val="24"/>
          <w:szCs w:val="24"/>
        </w:rPr>
        <w:t>投标保证金：</w:t>
      </w:r>
    </w:p>
    <w:p>
      <w:pPr>
        <w:spacing w:line="380" w:lineRule="exact"/>
        <w:ind w:firstLine="420"/>
        <w:rPr>
          <w:rFonts w:ascii="宋体" w:hAnsi="宋体" w:cs="Arial"/>
          <w:sz w:val="24"/>
          <w:szCs w:val="24"/>
        </w:rPr>
      </w:pPr>
      <w:r>
        <w:rPr>
          <w:rFonts w:hint="eastAsia" w:ascii="宋体" w:hAnsi="宋体" w:cs="Arial"/>
          <w:sz w:val="24"/>
          <w:szCs w:val="24"/>
        </w:rPr>
        <w:t>1、投标保证金：人民币陆万</w:t>
      </w:r>
      <w:r>
        <w:rPr>
          <w:rFonts w:hint="eastAsia" w:ascii="宋体" w:hAnsi="宋体"/>
          <w:sz w:val="24"/>
          <w:szCs w:val="24"/>
        </w:rPr>
        <w:t>元整</w:t>
      </w:r>
      <w:r>
        <w:rPr>
          <w:rFonts w:hint="eastAsia" w:ascii="宋体" w:hAnsi="宋体" w:cs="宋体"/>
          <w:sz w:val="24"/>
          <w:szCs w:val="24"/>
        </w:rPr>
        <w:t>﹝¥60</w:t>
      </w:r>
      <w:r>
        <w:rPr>
          <w:rFonts w:ascii="宋体" w:hAnsi="宋体" w:cs="宋体"/>
          <w:sz w:val="24"/>
          <w:szCs w:val="24"/>
        </w:rPr>
        <w:t>000</w:t>
      </w:r>
      <w:r>
        <w:rPr>
          <w:rFonts w:hint="eastAsia" w:ascii="宋体" w:hAnsi="宋体" w:cs="宋体"/>
          <w:sz w:val="24"/>
          <w:szCs w:val="24"/>
        </w:rPr>
        <w:t>.00元﹞</w:t>
      </w:r>
      <w:r>
        <w:rPr>
          <w:rFonts w:hint="eastAsia" w:ascii="宋体" w:hAnsi="宋体" w:cs="Arial"/>
          <w:sz w:val="24"/>
          <w:szCs w:val="24"/>
        </w:rPr>
        <w:t>。</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2、投标保证金以电汇、转帐、网上银行、支票、汇票、本票或者金融机构、担保机构出具的保函等非现金形式交提交；投标保证金采用电汇、转帐、网上银行支付形式提交的须交至以下账户，否则视为无效投标保证金；</w:t>
      </w:r>
    </w:p>
    <w:p>
      <w:pPr>
        <w:snapToGrid w:val="0"/>
        <w:spacing w:line="380" w:lineRule="exact"/>
        <w:ind w:firstLine="480" w:firstLineChars="200"/>
        <w:rPr>
          <w:rFonts w:ascii="宋体" w:hAnsi="宋体" w:cs="Arial"/>
          <w:sz w:val="24"/>
          <w:szCs w:val="24"/>
        </w:rPr>
      </w:pPr>
      <w:r>
        <w:rPr>
          <w:rFonts w:hint="eastAsia" w:ascii="宋体" w:hAnsi="宋体" w:cs="Arial"/>
          <w:sz w:val="24"/>
          <w:szCs w:val="24"/>
        </w:rPr>
        <w:t>开户名称：广西新宇建设项目管理有限公司柳州分公司</w:t>
      </w:r>
    </w:p>
    <w:p>
      <w:pPr>
        <w:snapToGrid w:val="0"/>
        <w:spacing w:line="380" w:lineRule="exact"/>
        <w:ind w:firstLine="480" w:firstLineChars="200"/>
        <w:rPr>
          <w:rFonts w:ascii="宋体" w:hAnsi="宋体" w:cs="Arial"/>
          <w:sz w:val="24"/>
          <w:szCs w:val="24"/>
        </w:rPr>
      </w:pPr>
      <w:r>
        <w:rPr>
          <w:rFonts w:hint="eastAsia" w:ascii="宋体" w:hAnsi="宋体" w:cs="Arial"/>
          <w:sz w:val="24"/>
          <w:szCs w:val="24"/>
        </w:rPr>
        <w:t>开户银行：柳州银行海关支行</w:t>
      </w:r>
    </w:p>
    <w:p>
      <w:pPr>
        <w:pStyle w:val="3"/>
        <w:spacing w:line="380" w:lineRule="exact"/>
        <w:ind w:firstLine="475" w:firstLineChars="198"/>
        <w:rPr>
          <w:rFonts w:hint="eastAsia" w:hAnsi="宋体" w:cs="Arial"/>
          <w:sz w:val="24"/>
          <w:szCs w:val="24"/>
        </w:rPr>
      </w:pPr>
      <w:r>
        <w:rPr>
          <w:rFonts w:hint="eastAsia" w:hAnsi="宋体" w:cs="Arial"/>
          <w:sz w:val="24"/>
          <w:szCs w:val="24"/>
        </w:rPr>
        <w:t>银行账号：7030 8201 1010 2000 0006 9</w:t>
      </w:r>
    </w:p>
    <w:p>
      <w:pPr>
        <w:snapToGrid w:val="0"/>
        <w:spacing w:line="380" w:lineRule="exact"/>
        <w:ind w:firstLine="416"/>
        <w:rPr>
          <w:rFonts w:ascii="宋体" w:hAnsi="宋体" w:cs="Arial"/>
          <w:sz w:val="24"/>
          <w:szCs w:val="24"/>
        </w:rPr>
      </w:pPr>
      <w:r>
        <w:rPr>
          <w:rFonts w:hint="eastAsia" w:ascii="宋体" w:hAnsi="宋体" w:cs="Arial"/>
          <w:b/>
          <w:sz w:val="24"/>
          <w:szCs w:val="24"/>
        </w:rPr>
        <w:t>九、</w:t>
      </w:r>
      <w:r>
        <w:rPr>
          <w:rFonts w:hint="eastAsia" w:ascii="宋体" w:hAnsi="宋体" w:cs="Arial"/>
          <w:b/>
          <w:bCs/>
          <w:sz w:val="24"/>
          <w:szCs w:val="24"/>
        </w:rPr>
        <w:t>投标截止时间和地点</w:t>
      </w:r>
      <w:r>
        <w:rPr>
          <w:rFonts w:hint="eastAsia" w:ascii="宋体" w:hAnsi="宋体" w:cs="Arial"/>
          <w:sz w:val="24"/>
          <w:szCs w:val="24"/>
        </w:rPr>
        <w:t>：</w:t>
      </w:r>
    </w:p>
    <w:p>
      <w:pPr>
        <w:snapToGrid w:val="0"/>
        <w:spacing w:line="380" w:lineRule="exact"/>
        <w:ind w:firstLine="480" w:firstLineChars="200"/>
        <w:rPr>
          <w:rFonts w:ascii="宋体" w:hAnsi="宋体" w:cs="Arial"/>
          <w:sz w:val="24"/>
          <w:szCs w:val="24"/>
        </w:rPr>
      </w:pPr>
      <w:r>
        <w:rPr>
          <w:rFonts w:hint="eastAsia" w:ascii="宋体" w:hAnsi="宋体" w:cs="Arial"/>
          <w:sz w:val="24"/>
          <w:szCs w:val="24"/>
        </w:rPr>
        <w:t>投标文件开始接收时间：2020年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7</w:t>
      </w:r>
      <w:r>
        <w:rPr>
          <w:rFonts w:hint="eastAsia" w:ascii="宋体" w:hAnsi="宋体" w:cs="Arial"/>
          <w:sz w:val="24"/>
          <w:szCs w:val="24"/>
        </w:rPr>
        <w:t>日上午9时00分。投标人应于投标截止时间2020年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7</w:t>
      </w:r>
      <w:r>
        <w:rPr>
          <w:rFonts w:hint="eastAsia" w:ascii="宋体" w:hAnsi="宋体" w:cs="Arial"/>
          <w:sz w:val="24"/>
          <w:szCs w:val="24"/>
        </w:rPr>
        <w:t>日上午</w:t>
      </w:r>
      <w:r>
        <w:rPr>
          <w:rFonts w:hint="eastAsia" w:ascii="宋体" w:hAnsi="宋体" w:cs="Arial"/>
          <w:bCs/>
          <w:sz w:val="24"/>
          <w:szCs w:val="24"/>
        </w:rPr>
        <w:t>9时30分</w:t>
      </w:r>
      <w:r>
        <w:rPr>
          <w:rFonts w:hint="eastAsia" w:ascii="宋体" w:hAnsi="宋体" w:cs="Arial"/>
          <w:sz w:val="24"/>
          <w:szCs w:val="24"/>
        </w:rPr>
        <w:t>前将投标文件密封送交到柳州市公共资源交易中心本项目开标室（柳州市新柳大道115号柳州国际会展中心国际会议中心8楼）。逾期送达或未密封的投标文件将予以拒收（或作无效投标文件处理）。</w:t>
      </w:r>
    </w:p>
    <w:p>
      <w:pPr>
        <w:snapToGrid w:val="0"/>
        <w:spacing w:line="380" w:lineRule="exact"/>
        <w:ind w:firstLine="420"/>
        <w:rPr>
          <w:rFonts w:ascii="宋体" w:hAnsi="宋体" w:cs="Arial"/>
          <w:sz w:val="24"/>
          <w:szCs w:val="24"/>
        </w:rPr>
      </w:pPr>
      <w:r>
        <w:rPr>
          <w:rFonts w:hint="eastAsia" w:ascii="宋体" w:hAnsi="宋体" w:cs="Arial"/>
          <w:b/>
          <w:bCs/>
          <w:sz w:val="24"/>
          <w:szCs w:val="24"/>
        </w:rPr>
        <w:t>十、开标时间及地点</w:t>
      </w:r>
      <w:r>
        <w:rPr>
          <w:rFonts w:hint="eastAsia" w:ascii="宋体" w:hAnsi="宋体" w:cs="Arial"/>
          <w:sz w:val="24"/>
          <w:szCs w:val="24"/>
        </w:rPr>
        <w:t>：</w:t>
      </w:r>
    </w:p>
    <w:p>
      <w:pPr>
        <w:snapToGrid w:val="0"/>
        <w:spacing w:line="380" w:lineRule="exact"/>
        <w:ind w:firstLine="480" w:firstLineChars="200"/>
        <w:rPr>
          <w:rFonts w:hint="eastAsia" w:ascii="宋体" w:hAnsi="宋体" w:cs="Arial"/>
          <w:sz w:val="24"/>
          <w:szCs w:val="24"/>
        </w:rPr>
      </w:pPr>
      <w:r>
        <w:rPr>
          <w:rFonts w:hint="eastAsia" w:ascii="宋体" w:hAnsi="宋体" w:cs="Arial"/>
          <w:bCs/>
          <w:sz w:val="24"/>
          <w:szCs w:val="24"/>
        </w:rPr>
        <w:t>本项目开标时间为</w:t>
      </w:r>
      <w:r>
        <w:rPr>
          <w:rFonts w:hint="eastAsia" w:ascii="宋体" w:hAnsi="宋体" w:cs="Arial"/>
          <w:sz w:val="24"/>
          <w:szCs w:val="24"/>
        </w:rPr>
        <w:t>2020年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7</w:t>
      </w:r>
      <w:r>
        <w:rPr>
          <w:rFonts w:hint="eastAsia" w:ascii="宋体" w:hAnsi="宋体" w:cs="Arial"/>
          <w:bCs/>
          <w:sz w:val="24"/>
          <w:szCs w:val="24"/>
        </w:rPr>
        <w:t>日上午9时30分</w:t>
      </w:r>
      <w:r>
        <w:rPr>
          <w:rFonts w:hint="eastAsia" w:ascii="宋体" w:hAnsi="宋体" w:cs="Arial"/>
          <w:sz w:val="24"/>
          <w:szCs w:val="24"/>
        </w:rPr>
        <w:t>整</w:t>
      </w:r>
      <w:r>
        <w:rPr>
          <w:rFonts w:hint="eastAsia" w:ascii="宋体" w:hAnsi="宋体" w:cs="Arial"/>
          <w:bCs/>
          <w:sz w:val="24"/>
          <w:szCs w:val="24"/>
        </w:rPr>
        <w:t>。本次招标将于开标时间在</w:t>
      </w:r>
      <w:r>
        <w:rPr>
          <w:rFonts w:hint="eastAsia" w:ascii="宋体" w:hAnsi="宋体" w:cs="Arial"/>
          <w:sz w:val="24"/>
          <w:szCs w:val="24"/>
        </w:rPr>
        <w:t>柳州市公共资源交易中心本项目开标室（柳州市新柳大道115号柳州国际会展中心国际会议中心8楼）</w:t>
      </w:r>
      <w:r>
        <w:rPr>
          <w:rFonts w:ascii="宋体" w:hAnsi="宋体" w:cs="Arial"/>
          <w:bCs/>
          <w:sz w:val="24"/>
          <w:szCs w:val="24"/>
        </w:rPr>
        <w:t>开标</w:t>
      </w:r>
      <w:r>
        <w:rPr>
          <w:rFonts w:hint="eastAsia" w:ascii="宋体" w:hAnsi="宋体" w:cs="Arial"/>
          <w:bCs/>
          <w:sz w:val="24"/>
          <w:szCs w:val="24"/>
        </w:rPr>
        <w:t>，投标人可以由法定代表人或委托代理人出席开标会议（携带本人身份证原件，委托代理人出席应携带单位授权委托书</w:t>
      </w:r>
      <w:r>
        <w:rPr>
          <w:rFonts w:hint="eastAsia" w:ascii="宋体" w:hAnsi="宋体" w:cs="Arial"/>
          <w:sz w:val="24"/>
          <w:szCs w:val="24"/>
        </w:rPr>
        <w:t>原件）。</w:t>
      </w:r>
    </w:p>
    <w:p>
      <w:pPr>
        <w:snapToGrid w:val="0"/>
        <w:spacing w:line="380" w:lineRule="exact"/>
        <w:ind w:firstLine="482" w:firstLineChars="200"/>
        <w:rPr>
          <w:rFonts w:hint="eastAsia" w:ascii="宋体" w:hAnsi="宋体" w:cs="Arial"/>
          <w:b/>
          <w:bCs/>
          <w:sz w:val="24"/>
          <w:szCs w:val="24"/>
        </w:rPr>
      </w:pPr>
      <w:r>
        <w:rPr>
          <w:rFonts w:hint="eastAsia" w:ascii="宋体" w:hAnsi="宋体" w:cs="Arial"/>
          <w:b/>
          <w:bCs/>
          <w:sz w:val="24"/>
          <w:szCs w:val="24"/>
        </w:rPr>
        <w:t>十一、联系事项：</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1、采购人名称：柳州市住房和城乡建设局</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 xml:space="preserve">   地址: 柳州市八一路77号</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 xml:space="preserve">   联系人及电话: 莫万里；  联系电话：0772-2870029</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2、采购代理机构：广西新宇建设项目管理有限公司</w:t>
      </w:r>
    </w:p>
    <w:p>
      <w:pPr>
        <w:snapToGrid w:val="0"/>
        <w:spacing w:line="380" w:lineRule="exact"/>
        <w:ind w:firstLine="840" w:firstLineChars="350"/>
        <w:rPr>
          <w:rFonts w:hint="eastAsia" w:ascii="宋体" w:hAnsi="宋体" w:cs="Arial"/>
          <w:sz w:val="24"/>
          <w:szCs w:val="24"/>
        </w:rPr>
      </w:pPr>
      <w:r>
        <w:rPr>
          <w:rFonts w:hint="eastAsia" w:ascii="宋体" w:hAnsi="宋体" w:cs="Arial"/>
          <w:sz w:val="24"/>
          <w:szCs w:val="24"/>
        </w:rPr>
        <w:t>地址：广西柳州市东环大道228号双福雅苑1栋（双福大厦）9楼</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 xml:space="preserve">   项目联系人：吕莹莹；  联系电话：0772-2622293    传真：0772-2622292</w:t>
      </w:r>
    </w:p>
    <w:p>
      <w:pPr>
        <w:snapToGrid w:val="0"/>
        <w:spacing w:line="380" w:lineRule="exact"/>
        <w:ind w:firstLine="480" w:firstLineChars="200"/>
        <w:rPr>
          <w:rFonts w:hint="eastAsia" w:ascii="宋体" w:hAnsi="宋体" w:cs="Arial"/>
          <w:sz w:val="24"/>
          <w:szCs w:val="24"/>
        </w:rPr>
      </w:pPr>
      <w:r>
        <w:rPr>
          <w:rFonts w:hint="eastAsia" w:ascii="宋体" w:hAnsi="宋体" w:cs="Arial"/>
          <w:sz w:val="24"/>
          <w:szCs w:val="24"/>
        </w:rPr>
        <w:t>3、监督部门:柳州市财政局政府采购监督管理科    联系电话：0772-2830320</w:t>
      </w:r>
    </w:p>
    <w:p>
      <w:pPr>
        <w:snapToGrid w:val="0"/>
        <w:spacing w:line="360" w:lineRule="auto"/>
        <w:ind w:left="2125" w:leftChars="1012" w:firstLine="5064" w:firstLineChars="2110"/>
        <w:rPr>
          <w:rFonts w:hint="eastAsia" w:ascii="宋体" w:hAnsi="宋体" w:cs="Arial"/>
          <w:sz w:val="24"/>
          <w:szCs w:val="24"/>
        </w:rPr>
      </w:pPr>
    </w:p>
    <w:p>
      <w:pPr>
        <w:snapToGrid w:val="0"/>
        <w:spacing w:line="380" w:lineRule="exact"/>
        <w:ind w:left="0" w:leftChars="0" w:firstLine="5064" w:firstLineChars="2110"/>
        <w:rPr>
          <w:rFonts w:ascii="宋体" w:hAnsi="宋体" w:cs="Arial"/>
          <w:sz w:val="24"/>
          <w:szCs w:val="24"/>
        </w:rPr>
      </w:pPr>
      <w:r>
        <w:rPr>
          <w:rFonts w:hint="eastAsia" w:ascii="宋体" w:hAnsi="宋体" w:cs="Arial"/>
          <w:sz w:val="24"/>
          <w:szCs w:val="24"/>
        </w:rPr>
        <w:t>广西新宇建设项目管理有限公司</w:t>
      </w:r>
    </w:p>
    <w:p>
      <w:pPr>
        <w:rPr>
          <w:sz w:val="24"/>
          <w:szCs w:val="24"/>
        </w:rPr>
      </w:pPr>
      <w:r>
        <w:rPr>
          <w:rFonts w:hint="eastAsia" w:ascii="宋体" w:hAnsi="宋体" w:cs="Arial"/>
          <w:sz w:val="24"/>
          <w:szCs w:val="24"/>
        </w:rPr>
        <w:t xml:space="preserve">                     </w:t>
      </w:r>
      <w:r>
        <w:rPr>
          <w:rFonts w:hint="eastAsia" w:ascii="宋体" w:hAnsi="宋体" w:cs="Arial"/>
          <w:sz w:val="24"/>
          <w:szCs w:val="24"/>
          <w:lang w:val="en-US" w:eastAsia="zh-CN"/>
        </w:rPr>
        <w:t xml:space="preserve">                         </w:t>
      </w:r>
      <w:r>
        <w:rPr>
          <w:rFonts w:hint="eastAsia" w:ascii="宋体" w:hAnsi="宋体" w:cs="Arial"/>
          <w:sz w:val="24"/>
          <w:szCs w:val="24"/>
        </w:rPr>
        <w:t xml:space="preserve"> 二○二○年</w:t>
      </w:r>
      <w:r>
        <w:rPr>
          <w:rFonts w:hint="eastAsia" w:ascii="宋体" w:hAnsi="宋体" w:cs="Arial"/>
          <w:sz w:val="24"/>
          <w:szCs w:val="24"/>
          <w:lang w:eastAsia="zh-CN"/>
        </w:rPr>
        <w:t>六</w:t>
      </w:r>
      <w:r>
        <w:rPr>
          <w:rFonts w:hint="eastAsia" w:ascii="宋体" w:hAnsi="宋体" w:cs="Arial"/>
          <w:sz w:val="24"/>
          <w:szCs w:val="24"/>
        </w:rPr>
        <w:t>月</w:t>
      </w:r>
      <w:r>
        <w:rPr>
          <w:rFonts w:hint="eastAsia" w:ascii="宋体" w:hAnsi="宋体" w:cs="Arial"/>
          <w:sz w:val="24"/>
          <w:szCs w:val="24"/>
          <w:lang w:eastAsia="zh-CN"/>
        </w:rPr>
        <w:t>十五</w:t>
      </w:r>
      <w:r>
        <w:rPr>
          <w:rFonts w:hint="eastAsia" w:ascii="宋体" w:hAnsi="宋体" w:cs="Arial"/>
          <w:sz w:val="24"/>
          <w:szCs w:val="24"/>
        </w:rPr>
        <w:t>日</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C603B"/>
    <w:rsid w:val="3EBC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widowControl/>
      <w:spacing w:before="120" w:after="120" w:line="360" w:lineRule="auto"/>
      <w:jc w:val="center"/>
      <w:textAlignment w:val="baseline"/>
    </w:pPr>
    <w:rPr>
      <w:rFonts w:ascii="Arial" w:hAnsi="Arial" w:eastAsia="黑体"/>
      <w:kern w:val="0"/>
      <w:sz w:val="28"/>
      <w:szCs w:val="20"/>
      <w:lang w:val="en-US" w:eastAsia="zh-CN" w:bidi="ar-SA"/>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2020-06-15T08:29:00Z</dcterms:created>
  <dc:creator>ɑ。小帥﹖</dc:creator>
  <cp:lastModifiedBy>ɑ。小帥﹖</cp:lastModifiedBy>
  <dcterms:modified xsi:type="dcterms:W3CDTF">2020-06-15T08:52:20Z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