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hint="eastAsia" w:ascii="宋体" w:hAnsi="宋体" w:cs="宋体"/>
          <w:color w:val="auto"/>
          <w:szCs w:val="21"/>
          <w:highlight w:val="none"/>
        </w:rPr>
      </w:pPr>
      <w:r>
        <w:rPr>
          <w:rFonts w:hint="eastAsia" w:ascii="宋体" w:hAnsi="宋体" w:cs="宋体"/>
          <w:b/>
          <w:bCs/>
          <w:color w:val="auto"/>
          <w:sz w:val="28"/>
          <w:szCs w:val="28"/>
          <w:highlight w:val="none"/>
        </w:rPr>
        <w:t>广西同泽工程项目管理股份有限公司</w:t>
      </w:r>
      <w:r>
        <w:rPr>
          <w:rFonts w:hint="eastAsia" w:ascii="宋体" w:hAnsi="宋体" w:cs="宋体"/>
          <w:b/>
          <w:bCs/>
          <w:color w:val="auto"/>
          <w:sz w:val="28"/>
          <w:szCs w:val="28"/>
          <w:highlight w:val="none"/>
          <w:lang w:eastAsia="zh-CN"/>
        </w:rPr>
        <w:t>柳州市柳城县岩溶地区石漠化综合治理工程2020年度建设项目（小型水利水保设施工程）</w:t>
      </w:r>
      <w:r>
        <w:rPr>
          <w:rFonts w:hint="eastAsia" w:ascii="宋体" w:hAnsi="宋体" w:cs="宋体"/>
          <w:b/>
          <w:bCs/>
          <w:color w:val="auto"/>
          <w:sz w:val="28"/>
          <w:szCs w:val="28"/>
          <w:highlight w:val="none"/>
        </w:rPr>
        <w:t>(</w:t>
      </w:r>
      <w:r>
        <w:rPr>
          <w:rFonts w:hint="eastAsia" w:ascii="宋体" w:hAnsi="宋体" w:cs="宋体"/>
          <w:b/>
          <w:bCs/>
          <w:color w:val="auto"/>
          <w:sz w:val="28"/>
          <w:szCs w:val="28"/>
          <w:highlight w:val="none"/>
          <w:lang w:eastAsia="zh-CN"/>
        </w:rPr>
        <w:t>L</w:t>
      </w:r>
      <w:r>
        <w:rPr>
          <w:rFonts w:hint="eastAsia" w:ascii="宋体" w:hAnsi="宋体" w:cs="宋体"/>
          <w:b/>
          <w:bCs/>
          <w:color w:val="auto"/>
          <w:sz w:val="28"/>
          <w:szCs w:val="28"/>
          <w:highlight w:val="none"/>
          <w:lang w:val="en-US" w:eastAsia="zh-CN"/>
        </w:rPr>
        <w:t>CG20-024</w:t>
      </w:r>
      <w:r>
        <w:rPr>
          <w:rFonts w:hint="eastAsia" w:ascii="宋体" w:hAnsi="宋体" w:cs="宋体"/>
          <w:b/>
          <w:bCs/>
          <w:color w:val="auto"/>
          <w:sz w:val="28"/>
          <w:szCs w:val="28"/>
          <w:highlight w:val="none"/>
        </w:rPr>
        <w:t>)</w:t>
      </w:r>
      <w:r>
        <w:rPr>
          <w:rFonts w:hint="eastAsia" w:ascii="宋体" w:hAnsi="宋体" w:cs="宋体"/>
          <w:b/>
          <w:bCs/>
          <w:color w:val="auto"/>
          <w:sz w:val="28"/>
          <w:szCs w:val="28"/>
          <w:highlight w:val="none"/>
          <w:lang w:eastAsia="zh-CN"/>
        </w:rPr>
        <w:t>公开</w:t>
      </w:r>
      <w:r>
        <w:rPr>
          <w:rFonts w:hint="eastAsia" w:ascii="宋体" w:hAnsi="宋体" w:cs="宋体"/>
          <w:b/>
          <w:bCs/>
          <w:color w:val="auto"/>
          <w:sz w:val="28"/>
          <w:szCs w:val="28"/>
          <w:highlight w:val="none"/>
        </w:rPr>
        <w:t>招标公告</w:t>
      </w:r>
    </w:p>
    <w:p>
      <w:pPr>
        <w:spacing w:line="360" w:lineRule="exact"/>
        <w:rPr>
          <w:rFonts w:hint="eastAsia" w:ascii="宋体" w:hAnsi="宋体" w:cs="宋体"/>
          <w:color w:val="auto"/>
          <w:szCs w:val="21"/>
          <w:highlight w:val="none"/>
        </w:rPr>
      </w:pPr>
      <w:r>
        <w:rPr>
          <w:rFonts w:hint="eastAsia" w:ascii="宋体" w:hAnsi="宋体" w:cs="宋体"/>
          <w:color w:val="auto"/>
          <w:szCs w:val="21"/>
          <w:highlight w:val="none"/>
        </w:rPr>
        <w:t xml:space="preserve">    </w:t>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92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95" w:hRule="atLeast"/>
        </w:trPr>
        <w:tc>
          <w:tcPr>
            <w:tcW w:w="9435" w:type="dxa"/>
            <w:tcBorders>
              <w:top w:val="outset" w:color="auto" w:sz="6" w:space="0"/>
              <w:left w:val="outset" w:color="auto" w:sz="6" w:space="0"/>
              <w:bottom w:val="outset" w:color="auto" w:sz="6" w:space="0"/>
              <w:right w:val="outset" w:color="auto" w:sz="6" w:space="0"/>
            </w:tcBorders>
            <w:noWrap w:val="0"/>
            <w:vAlign w:val="top"/>
          </w:tcPr>
          <w:p>
            <w:pPr>
              <w:pStyle w:val="2"/>
              <w:keepNext w:val="0"/>
              <w:keepLines w:val="0"/>
              <w:widowControl/>
              <w:suppressLineNumbers w:val="0"/>
              <w:spacing w:line="360" w:lineRule="atLeast"/>
              <w:ind w:right="0"/>
              <w:rPr>
                <w:color w:val="auto"/>
                <w:highlight w:val="none"/>
              </w:rPr>
            </w:pPr>
            <w:r>
              <w:rPr>
                <w:rStyle w:val="5"/>
                <w:rFonts w:hint="eastAsia" w:ascii="宋体" w:hAnsi="宋体" w:eastAsia="宋体" w:cs="宋体"/>
                <w:color w:val="auto"/>
                <w:sz w:val="21"/>
                <w:szCs w:val="21"/>
                <w:highlight w:val="none"/>
              </w:rPr>
              <w:t>项目概况：</w:t>
            </w:r>
            <w:r>
              <w:rPr>
                <w:rStyle w:val="5"/>
                <w:rFonts w:hint="eastAsia" w:eastAsia="宋体" w:cs="宋体"/>
                <w:b w:val="0"/>
                <w:bCs w:val="0"/>
                <w:color w:val="auto"/>
                <w:sz w:val="21"/>
                <w:szCs w:val="21"/>
                <w:highlight w:val="none"/>
                <w:lang w:eastAsia="zh-CN"/>
              </w:rPr>
              <w:t>柳州市柳城县岩溶地区石漠化综合治理工程2020年度建设项目（小型水利水保设施工程）</w:t>
            </w:r>
            <w:r>
              <w:rPr>
                <w:rFonts w:hint="eastAsia" w:ascii="宋体" w:hAnsi="宋体" w:eastAsia="宋体" w:cs="宋体"/>
                <w:color w:val="auto"/>
                <w:sz w:val="21"/>
                <w:szCs w:val="21"/>
                <w:highlight w:val="none"/>
              </w:rPr>
              <w:t>的潜在投标人应在柳州市公共资源交易平台（ggzy.liuzhou.gov.cn）获取招标文件，并于2020年</w:t>
            </w:r>
            <w:r>
              <w:rPr>
                <w:rFonts w:hint="eastAsia" w:eastAsia="宋体" w:cs="宋体"/>
                <w:color w:val="auto"/>
                <w:sz w:val="21"/>
                <w:szCs w:val="21"/>
                <w:highlight w:val="none"/>
                <w:lang w:val="en-US" w:eastAsia="zh-CN"/>
              </w:rPr>
              <w:t>12</w:t>
            </w:r>
            <w:r>
              <w:rPr>
                <w:rFonts w:hint="eastAsia" w:ascii="宋体" w:hAnsi="宋体" w:eastAsia="宋体" w:cs="宋体"/>
                <w:color w:val="auto"/>
                <w:sz w:val="21"/>
                <w:szCs w:val="21"/>
                <w:highlight w:val="none"/>
              </w:rPr>
              <w:t>月</w:t>
            </w:r>
            <w:r>
              <w:rPr>
                <w:rFonts w:hint="eastAsia" w:eastAsia="宋体" w:cs="宋体"/>
                <w:color w:val="auto"/>
                <w:sz w:val="21"/>
                <w:szCs w:val="21"/>
                <w:highlight w:val="none"/>
                <w:lang w:val="en-US" w:eastAsia="zh-CN"/>
              </w:rPr>
              <w:t>17</w:t>
            </w:r>
            <w:r>
              <w:rPr>
                <w:rFonts w:hint="eastAsia" w:ascii="宋体" w:hAnsi="宋体" w:eastAsia="宋体" w:cs="宋体"/>
                <w:color w:val="auto"/>
                <w:sz w:val="21"/>
                <w:szCs w:val="21"/>
                <w:highlight w:val="none"/>
              </w:rPr>
              <w:t>日9点30分（北京时间）前递交投标文件。</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b/>
          <w:bCs/>
          <w:color w:val="auto"/>
          <w:highlight w:val="none"/>
        </w:rPr>
      </w:pPr>
      <w:r>
        <w:rPr>
          <w:rFonts w:hint="eastAsia"/>
          <w:b/>
          <w:bCs/>
          <w:color w:val="auto"/>
          <w:highlight w:val="none"/>
        </w:rPr>
        <w:t>一、项目基本情况</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宋体"/>
          <w:color w:val="auto"/>
          <w:highlight w:val="none"/>
          <w:lang w:eastAsia="zh-CN"/>
        </w:rPr>
      </w:pPr>
      <w:r>
        <w:rPr>
          <w:rFonts w:hint="eastAsia"/>
          <w:color w:val="auto"/>
          <w:highlight w:val="none"/>
        </w:rPr>
        <w:t>项目编号：</w:t>
      </w:r>
      <w:r>
        <w:rPr>
          <w:rFonts w:hint="eastAsia"/>
          <w:color w:val="auto"/>
          <w:highlight w:val="none"/>
          <w:lang w:eastAsia="zh-CN"/>
        </w:rPr>
        <w:t>LCG20-024</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auto"/>
          <w:highlight w:val="none"/>
          <w:lang w:eastAsia="zh-CN"/>
        </w:rPr>
      </w:pPr>
      <w:r>
        <w:rPr>
          <w:rFonts w:hint="eastAsia"/>
          <w:color w:val="auto"/>
          <w:highlight w:val="none"/>
        </w:rPr>
        <w:t>项目名称：</w:t>
      </w:r>
      <w:r>
        <w:rPr>
          <w:rFonts w:hint="eastAsia"/>
          <w:color w:val="auto"/>
          <w:highlight w:val="none"/>
          <w:lang w:eastAsia="zh-CN"/>
        </w:rPr>
        <w:t>柳州市柳城县岩溶地区石漠化综合治理工程2020年度建设项目（小型水利水保设施工程）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auto"/>
          <w:highlight w:val="none"/>
          <w:lang w:val="en-US" w:eastAsia="zh-CN"/>
        </w:rPr>
      </w:pPr>
      <w:r>
        <w:rPr>
          <w:rFonts w:hint="eastAsia" w:ascii="宋体" w:hAnsi="宋体" w:cs="宋体"/>
          <w:bCs/>
          <w:color w:val="auto"/>
          <w:szCs w:val="21"/>
          <w:highlight w:val="none"/>
        </w:rPr>
        <w:t>Ⅰ标段</w:t>
      </w:r>
      <w:r>
        <w:rPr>
          <w:rFonts w:hint="eastAsia"/>
          <w:color w:val="auto"/>
          <w:highlight w:val="none"/>
          <w:lang w:val="en-US" w:eastAsia="zh-CN"/>
        </w:rPr>
        <w:t>：</w:t>
      </w:r>
      <w:r>
        <w:rPr>
          <w:rFonts w:hint="eastAsia"/>
          <w:color w:val="auto"/>
          <w:highlight w:val="none"/>
          <w:lang w:eastAsia="zh-CN"/>
        </w:rPr>
        <w:t>柳州市柳城县岩溶地区石漠化综合治理工程2020年度建设项目（小型水利水保设施工程第</w:t>
      </w:r>
      <w:r>
        <w:rPr>
          <w:rFonts w:hint="eastAsia" w:ascii="宋体" w:hAnsi="宋体" w:cs="宋体"/>
          <w:bCs/>
          <w:color w:val="auto"/>
          <w:szCs w:val="21"/>
          <w:highlight w:val="none"/>
        </w:rPr>
        <w:t>Ⅰ标段</w:t>
      </w:r>
      <w:r>
        <w:rPr>
          <w:rFonts w:hint="eastAsia"/>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auto"/>
          <w:highlight w:val="none"/>
          <w:lang w:val="en-US" w:eastAsia="zh-CN"/>
        </w:rPr>
      </w:pPr>
      <w:r>
        <w:rPr>
          <w:rFonts w:hint="eastAsia" w:ascii="宋体" w:hAnsi="宋体" w:cs="宋体"/>
          <w:bCs/>
          <w:color w:val="auto"/>
          <w:szCs w:val="21"/>
          <w:highlight w:val="none"/>
        </w:rPr>
        <w:t>Ⅱ标段</w:t>
      </w:r>
      <w:r>
        <w:rPr>
          <w:rFonts w:hint="eastAsia"/>
          <w:color w:val="auto"/>
          <w:highlight w:val="none"/>
          <w:lang w:val="en-US" w:eastAsia="zh-CN"/>
        </w:rPr>
        <w:t>：柳州市柳城县岩溶地区石漠化综合治理工程2020年度建设项目（小型水利水保设施工程第</w:t>
      </w:r>
      <w:r>
        <w:rPr>
          <w:rFonts w:hint="eastAsia" w:ascii="宋体" w:hAnsi="宋体" w:cs="宋体"/>
          <w:bCs/>
          <w:color w:val="auto"/>
          <w:szCs w:val="21"/>
          <w:highlight w:val="none"/>
        </w:rPr>
        <w:t>Ⅱ标段</w:t>
      </w:r>
      <w:r>
        <w:rPr>
          <w:rFonts w:hint="eastAsia"/>
          <w:color w:val="auto"/>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auto"/>
          <w:highlight w:val="none"/>
        </w:rPr>
      </w:pPr>
      <w:r>
        <w:rPr>
          <w:rFonts w:hint="eastAsia"/>
          <w:color w:val="auto"/>
          <w:highlight w:val="none"/>
        </w:rPr>
        <w:t>预算金额：人民币</w:t>
      </w:r>
      <w:r>
        <w:rPr>
          <w:rFonts w:hint="eastAsia"/>
          <w:color w:val="auto"/>
          <w:highlight w:val="none"/>
          <w:lang w:eastAsia="zh-CN"/>
        </w:rPr>
        <w:t>肆佰壹拾柒万玖仟玖佰叁拾柒元整</w:t>
      </w:r>
      <w:r>
        <w:rPr>
          <w:rFonts w:hint="eastAsia"/>
          <w:color w:val="auto"/>
          <w:highlight w:val="none"/>
        </w:rPr>
        <w:t>（￥</w:t>
      </w:r>
      <w:r>
        <w:rPr>
          <w:rFonts w:hint="eastAsia"/>
          <w:color w:val="auto"/>
          <w:highlight w:val="none"/>
          <w:lang w:val="en-US" w:eastAsia="zh-CN"/>
        </w:rPr>
        <w:t>4179937.00</w:t>
      </w:r>
      <w:r>
        <w:rPr>
          <w:rFonts w:hint="eastAsia"/>
          <w:color w:val="auto"/>
          <w:highlight w:val="none"/>
        </w:rPr>
        <w:t>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auto"/>
          <w:highlight w:val="none"/>
          <w:lang w:val="en-US" w:eastAsia="zh-CN"/>
        </w:rPr>
      </w:pPr>
      <w:r>
        <w:rPr>
          <w:rFonts w:hint="eastAsia" w:ascii="宋体" w:hAnsi="宋体" w:cs="宋体"/>
          <w:bCs/>
          <w:color w:val="auto"/>
          <w:szCs w:val="21"/>
          <w:highlight w:val="none"/>
        </w:rPr>
        <w:t>Ⅰ标段</w:t>
      </w:r>
      <w:r>
        <w:rPr>
          <w:rFonts w:hint="eastAsia"/>
          <w:color w:val="auto"/>
          <w:highlight w:val="none"/>
          <w:lang w:val="en-US" w:eastAsia="zh-CN"/>
        </w:rPr>
        <w:t>：人民币贰佰贰拾陆万捌仟壹佰叁拾贰元整（￥</w:t>
      </w:r>
      <w:r>
        <w:rPr>
          <w:rFonts w:hint="eastAsia"/>
          <w:bCs/>
          <w:color w:val="auto"/>
          <w:szCs w:val="21"/>
          <w:highlight w:val="none"/>
          <w:lang w:val="en-US" w:eastAsia="zh-CN"/>
        </w:rPr>
        <w:t>2268132.00</w:t>
      </w:r>
      <w:r>
        <w:rPr>
          <w:rFonts w:hint="eastAsia"/>
          <w:color w:val="auto"/>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auto"/>
          <w:highlight w:val="none"/>
          <w:lang w:val="en-US" w:eastAsia="zh-CN"/>
        </w:rPr>
      </w:pPr>
      <w:r>
        <w:rPr>
          <w:rFonts w:hint="eastAsia" w:ascii="宋体" w:hAnsi="宋体" w:cs="宋体"/>
          <w:bCs/>
          <w:color w:val="auto"/>
          <w:szCs w:val="21"/>
          <w:highlight w:val="none"/>
        </w:rPr>
        <w:t>Ⅱ标段</w:t>
      </w:r>
      <w:r>
        <w:rPr>
          <w:rFonts w:hint="eastAsia"/>
          <w:color w:val="auto"/>
          <w:highlight w:val="none"/>
          <w:lang w:val="en-US" w:eastAsia="zh-CN"/>
        </w:rPr>
        <w:t>：人民币壹佰玖拾壹万壹仟捌佰零伍元整（￥</w:t>
      </w:r>
      <w:r>
        <w:rPr>
          <w:rFonts w:hint="eastAsia"/>
          <w:bCs/>
          <w:color w:val="auto"/>
          <w:szCs w:val="21"/>
          <w:highlight w:val="none"/>
          <w:lang w:val="en-US" w:eastAsia="zh-CN"/>
        </w:rPr>
        <w:t>1911805.00</w:t>
      </w:r>
      <w:r>
        <w:rPr>
          <w:rFonts w:hint="eastAsia"/>
          <w:color w:val="auto"/>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auto"/>
          <w:highlight w:val="none"/>
        </w:rPr>
      </w:pPr>
      <w:r>
        <w:rPr>
          <w:rFonts w:hint="eastAsia"/>
          <w:color w:val="auto"/>
          <w:highlight w:val="none"/>
        </w:rPr>
        <w:t>最高限价：人民币</w:t>
      </w:r>
      <w:r>
        <w:rPr>
          <w:rFonts w:hint="eastAsia"/>
          <w:color w:val="auto"/>
          <w:highlight w:val="none"/>
          <w:lang w:eastAsia="zh-CN"/>
        </w:rPr>
        <w:t>肆佰壹拾柒万玖仟玖佰叁拾柒元整</w:t>
      </w:r>
      <w:r>
        <w:rPr>
          <w:rFonts w:hint="eastAsia"/>
          <w:color w:val="auto"/>
          <w:highlight w:val="none"/>
        </w:rPr>
        <w:t>（￥</w:t>
      </w:r>
      <w:r>
        <w:rPr>
          <w:rFonts w:hint="eastAsia"/>
          <w:color w:val="auto"/>
          <w:highlight w:val="none"/>
          <w:lang w:val="en-US" w:eastAsia="zh-CN"/>
        </w:rPr>
        <w:t>4179937.00</w:t>
      </w:r>
      <w:r>
        <w:rPr>
          <w:rFonts w:hint="eastAsia"/>
          <w:color w:val="auto"/>
          <w:highlight w:val="none"/>
        </w:rPr>
        <w:t>元）</w:t>
      </w: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auto"/>
          <w:highlight w:val="none"/>
          <w:lang w:val="en-US" w:eastAsia="zh-CN"/>
        </w:rPr>
      </w:pPr>
      <w:r>
        <w:rPr>
          <w:rFonts w:hint="eastAsia" w:ascii="宋体" w:hAnsi="宋体" w:cs="宋体"/>
          <w:bCs/>
          <w:color w:val="auto"/>
          <w:szCs w:val="21"/>
          <w:highlight w:val="none"/>
        </w:rPr>
        <w:t>Ⅰ标段</w:t>
      </w:r>
      <w:r>
        <w:rPr>
          <w:rFonts w:hint="eastAsia"/>
          <w:color w:val="auto"/>
          <w:highlight w:val="none"/>
          <w:lang w:val="en-US" w:eastAsia="zh-CN"/>
        </w:rPr>
        <w:t>：人民币贰佰贰拾陆万捌仟壹佰叁拾贰元整（￥</w:t>
      </w:r>
      <w:r>
        <w:rPr>
          <w:rFonts w:hint="eastAsia"/>
          <w:bCs/>
          <w:color w:val="auto"/>
          <w:szCs w:val="21"/>
          <w:highlight w:val="none"/>
          <w:lang w:val="en-US" w:eastAsia="zh-CN"/>
        </w:rPr>
        <w:t>2268132.00</w:t>
      </w:r>
      <w:r>
        <w:rPr>
          <w:rFonts w:hint="eastAsia"/>
          <w:color w:val="auto"/>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auto"/>
          <w:highlight w:val="none"/>
          <w:lang w:val="en-US" w:eastAsia="zh-CN"/>
        </w:rPr>
      </w:pPr>
      <w:r>
        <w:rPr>
          <w:rFonts w:hint="eastAsia" w:ascii="宋体" w:hAnsi="宋体" w:cs="宋体"/>
          <w:bCs/>
          <w:color w:val="auto"/>
          <w:szCs w:val="21"/>
          <w:highlight w:val="none"/>
        </w:rPr>
        <w:t>Ⅱ标段</w:t>
      </w:r>
      <w:r>
        <w:rPr>
          <w:rFonts w:hint="eastAsia"/>
          <w:color w:val="auto"/>
          <w:highlight w:val="none"/>
          <w:lang w:val="en-US" w:eastAsia="zh-CN"/>
        </w:rPr>
        <w:t>：人民币壹佰玖拾壹万壹仟捌佰零伍元整（￥</w:t>
      </w:r>
      <w:r>
        <w:rPr>
          <w:rFonts w:hint="eastAsia"/>
          <w:bCs/>
          <w:color w:val="auto"/>
          <w:szCs w:val="21"/>
          <w:highlight w:val="none"/>
          <w:lang w:val="en-US" w:eastAsia="zh-CN"/>
        </w:rPr>
        <w:t>1911805.00</w:t>
      </w:r>
      <w:r>
        <w:rPr>
          <w:rFonts w:hint="eastAsia"/>
          <w:color w:val="auto"/>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color w:val="auto"/>
          <w:highlight w:val="none"/>
        </w:rPr>
      </w:pPr>
      <w:r>
        <w:rPr>
          <w:rFonts w:hint="eastAsia"/>
          <w:color w:val="auto"/>
          <w:highlight w:val="none"/>
        </w:rPr>
        <w:t>采购需求：</w:t>
      </w:r>
      <w:r>
        <w:rPr>
          <w:rFonts w:hint="eastAsia"/>
          <w:color w:val="auto"/>
          <w:highlight w:val="none"/>
          <w:lang w:eastAsia="zh-CN"/>
        </w:rPr>
        <w:t>详见工程量清单。</w:t>
      </w:r>
      <w:r>
        <w:rPr>
          <w:rFonts w:hint="eastAsia"/>
          <w:color w:val="auto"/>
          <w:highlight w:val="none"/>
        </w:rPr>
        <w:t xml:space="preserve">如需进一步了解详细内容，详见招标文件。 </w:t>
      </w:r>
    </w:p>
    <w:p>
      <w:pPr>
        <w:keepNext w:val="0"/>
        <w:keepLines w:val="0"/>
        <w:pageBreakBefore w:val="0"/>
        <w:widowControl w:val="0"/>
        <w:kinsoku/>
        <w:wordWrap/>
        <w:overflowPunct/>
        <w:topLinePunct w:val="0"/>
        <w:autoSpaceDE/>
        <w:autoSpaceDN/>
        <w:bidi w:val="0"/>
        <w:adjustRightInd/>
        <w:snapToGrid/>
        <w:spacing w:line="400" w:lineRule="exact"/>
        <w:textAlignment w:val="auto"/>
        <w:rPr>
          <w:color w:val="auto"/>
          <w:highlight w:val="none"/>
        </w:rPr>
      </w:pPr>
      <w:r>
        <w:rPr>
          <w:rFonts w:hint="eastAsia"/>
          <w:color w:val="auto"/>
          <w:highlight w:val="none"/>
        </w:rPr>
        <w:t>合同履行期限：</w:t>
      </w:r>
      <w:r>
        <w:rPr>
          <w:rFonts w:hint="eastAsia" w:ascii="宋体" w:hAnsi="宋体" w:cs="宋体"/>
          <w:bCs/>
          <w:color w:val="auto"/>
          <w:szCs w:val="21"/>
          <w:highlight w:val="none"/>
        </w:rPr>
        <w:t>Ⅰ标段</w:t>
      </w:r>
      <w:r>
        <w:rPr>
          <w:rFonts w:hint="eastAsia"/>
          <w:color w:val="auto"/>
          <w:highlight w:val="none"/>
        </w:rPr>
        <w:t>工期：1</w:t>
      </w:r>
      <w:r>
        <w:rPr>
          <w:rFonts w:hint="eastAsia"/>
          <w:color w:val="auto"/>
          <w:highlight w:val="none"/>
          <w:lang w:val="en-US" w:eastAsia="zh-CN"/>
        </w:rPr>
        <w:t>50</w:t>
      </w:r>
      <w:r>
        <w:rPr>
          <w:rFonts w:hint="eastAsia"/>
          <w:color w:val="auto"/>
          <w:highlight w:val="none"/>
        </w:rPr>
        <w:t>日历天</w:t>
      </w:r>
      <w:r>
        <w:rPr>
          <w:rFonts w:hint="eastAsia"/>
          <w:color w:val="auto"/>
          <w:highlight w:val="none"/>
          <w:lang w:eastAsia="zh-CN"/>
        </w:rPr>
        <w:t>；</w:t>
      </w:r>
      <w:r>
        <w:rPr>
          <w:rFonts w:hint="eastAsia" w:ascii="宋体" w:hAnsi="宋体" w:cs="宋体"/>
          <w:bCs/>
          <w:color w:val="auto"/>
          <w:szCs w:val="21"/>
          <w:highlight w:val="none"/>
        </w:rPr>
        <w:t>Ⅱ标段</w:t>
      </w:r>
      <w:r>
        <w:rPr>
          <w:rFonts w:hint="eastAsia"/>
          <w:color w:val="auto"/>
          <w:highlight w:val="none"/>
        </w:rPr>
        <w:t>工期：1</w:t>
      </w:r>
      <w:r>
        <w:rPr>
          <w:rFonts w:hint="eastAsia"/>
          <w:color w:val="auto"/>
          <w:highlight w:val="none"/>
          <w:lang w:val="en-US" w:eastAsia="zh-CN"/>
        </w:rPr>
        <w:t>5</w:t>
      </w:r>
      <w:r>
        <w:rPr>
          <w:rFonts w:hint="eastAsia"/>
          <w:color w:val="auto"/>
          <w:highlight w:val="none"/>
        </w:rPr>
        <w:t>0日历天</w:t>
      </w:r>
      <w:r>
        <w:rPr>
          <w:rFonts w:hint="eastAsia"/>
          <w:color w:val="auto"/>
          <w:highlight w:val="none"/>
          <w:lang w:eastAsia="zh-CN"/>
        </w:rPr>
        <w:t>；</w:t>
      </w:r>
      <w:r>
        <w:rPr>
          <w:rFonts w:hint="eastAsia"/>
          <w:color w:val="auto"/>
          <w:highlight w:val="none"/>
        </w:rPr>
        <w:t>本项目不接受联合体投标。</w:t>
      </w:r>
    </w:p>
    <w:p>
      <w:pPr>
        <w:keepNext w:val="0"/>
        <w:keepLines w:val="0"/>
        <w:pageBreakBefore w:val="0"/>
        <w:widowControl w:val="0"/>
        <w:kinsoku/>
        <w:wordWrap/>
        <w:overflowPunct/>
        <w:topLinePunct w:val="0"/>
        <w:autoSpaceDE/>
        <w:autoSpaceDN/>
        <w:bidi w:val="0"/>
        <w:adjustRightInd/>
        <w:snapToGrid/>
        <w:spacing w:line="400" w:lineRule="exact"/>
        <w:textAlignment w:val="auto"/>
        <w:rPr>
          <w:b/>
          <w:bCs/>
          <w:color w:val="auto"/>
          <w:highlight w:val="none"/>
        </w:rPr>
      </w:pPr>
      <w:r>
        <w:rPr>
          <w:rFonts w:hint="eastAsia"/>
          <w:b/>
          <w:bCs/>
          <w:color w:val="auto"/>
          <w:highlight w:val="none"/>
        </w:rPr>
        <w:t>二、申请人的资格要求：</w:t>
      </w:r>
    </w:p>
    <w:p>
      <w:pPr>
        <w:spacing w:line="360" w:lineRule="exact"/>
        <w:rPr>
          <w:rFonts w:hint="eastAsia" w:ascii="宋体" w:hAnsi="宋体" w:cs="宋体"/>
          <w:b/>
          <w:color w:val="auto"/>
          <w:szCs w:val="21"/>
          <w:highlight w:val="none"/>
        </w:rPr>
      </w:pPr>
      <w:r>
        <w:rPr>
          <w:rFonts w:hint="eastAsia" w:ascii="宋体" w:hAnsi="宋体" w:cs="宋体"/>
          <w:b/>
          <w:color w:val="auto"/>
          <w:szCs w:val="21"/>
          <w:highlight w:val="none"/>
        </w:rPr>
        <w:t>Ⅰ标段、Ⅱ标段资格要求：</w:t>
      </w:r>
    </w:p>
    <w:p>
      <w:pPr>
        <w:spacing w:line="360" w:lineRule="exact"/>
        <w:ind w:firstLine="42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1.国内注册（指按国家有关规定要求注册的）具备独立法人资格，并同时具有</w:t>
      </w:r>
      <w:r>
        <w:rPr>
          <w:rFonts w:hint="eastAsia" w:ascii="宋体" w:hAnsi="宋体" w:cs="宋体"/>
          <w:color w:val="auto"/>
          <w:szCs w:val="21"/>
          <w:highlight w:val="none"/>
          <w:lang w:val="en-US" w:eastAsia="zh-CN"/>
        </w:rPr>
        <w:t>水利水电工程或市政公用工程施工总承包叁级（含叁级）</w:t>
      </w:r>
      <w:r>
        <w:rPr>
          <w:rFonts w:hint="eastAsia" w:ascii="宋体" w:hAnsi="宋体" w:cs="宋体"/>
          <w:color w:val="auto"/>
          <w:szCs w:val="21"/>
          <w:highlight w:val="none"/>
        </w:rPr>
        <w:t>以上资质的施工企业，具有有效的企业安全生产许可证，并在人员、设备、资金等方面具有相应的施工能力，项目经理要求为</w:t>
      </w:r>
      <w:r>
        <w:rPr>
          <w:rFonts w:hint="eastAsia" w:ascii="宋体" w:hAnsi="宋体" w:cs="宋体"/>
          <w:color w:val="auto"/>
          <w:szCs w:val="21"/>
          <w:highlight w:val="none"/>
          <w:u w:val="single"/>
          <w:lang w:eastAsia="zh-CN"/>
        </w:rPr>
        <w:t>水利水电工程或市政公用工程</w:t>
      </w:r>
      <w:r>
        <w:rPr>
          <w:rFonts w:hint="eastAsia" w:ascii="宋体" w:hAnsi="宋体" w:cs="宋体"/>
          <w:color w:val="auto"/>
          <w:szCs w:val="21"/>
          <w:highlight w:val="none"/>
          <w:u w:val="single"/>
        </w:rPr>
        <w:t>专业贰级及以上</w:t>
      </w:r>
      <w:r>
        <w:rPr>
          <w:rFonts w:hint="eastAsia" w:ascii="宋体" w:hAnsi="宋体" w:cs="宋体"/>
          <w:color w:val="auto"/>
          <w:szCs w:val="21"/>
          <w:highlight w:val="none"/>
        </w:rPr>
        <w:t>注册建造师资格及有效的安全生产考核合格B证</w:t>
      </w:r>
      <w:r>
        <w:rPr>
          <w:rFonts w:hint="eastAsia" w:ascii="宋体" w:hAnsi="宋体" w:cs="宋体"/>
          <w:color w:val="auto"/>
          <w:szCs w:val="21"/>
          <w:highlight w:val="none"/>
          <w:lang w:eastAsia="zh-CN"/>
        </w:rPr>
        <w:t>，</w:t>
      </w:r>
      <w:r>
        <w:rPr>
          <w:rFonts w:hint="eastAsia" w:ascii="宋体" w:hAnsi="宋体" w:cs="宋体"/>
          <w:color w:val="auto"/>
          <w:szCs w:val="21"/>
          <w:highlight w:val="none"/>
        </w:rPr>
        <w:t>无在建工程</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本项目不接受有在建、已中标未开工或已列为其他项目中标候选人第一名的建造师作为项目经理</w:t>
      </w:r>
      <w:r>
        <w:rPr>
          <w:rFonts w:hint="eastAsia" w:ascii="宋体" w:hAnsi="宋体" w:cs="宋体"/>
          <w:color w:val="auto"/>
          <w:szCs w:val="21"/>
          <w:highlight w:val="none"/>
          <w:lang w:eastAsia="zh-CN"/>
        </w:rPr>
        <w:t>）</w:t>
      </w:r>
      <w:r>
        <w:rPr>
          <w:rFonts w:hint="eastAsia" w:ascii="宋体" w:hAnsi="宋体" w:eastAsia="宋体" w:cs="宋体"/>
          <w:color w:val="auto"/>
          <w:sz w:val="21"/>
          <w:szCs w:val="21"/>
          <w:highlight w:val="none"/>
          <w:lang w:val="zh-CN" w:eastAsia="zh-CN"/>
        </w:rPr>
        <w:t xml:space="preserve">(符合桂建管 〔 2013 〕 </w:t>
      </w:r>
      <w:r>
        <w:rPr>
          <w:rFonts w:hint="eastAsia" w:ascii="宋体" w:hAnsi="宋体" w:eastAsia="宋体" w:cs="宋体"/>
          <w:color w:val="auto"/>
          <w:sz w:val="21"/>
          <w:szCs w:val="21"/>
          <w:highlight w:val="none"/>
          <w:lang w:val="en-US" w:eastAsia="zh-CN"/>
        </w:rPr>
        <w:t>17</w:t>
      </w:r>
      <w:r>
        <w:rPr>
          <w:rFonts w:hint="eastAsia" w:ascii="宋体" w:hAnsi="宋体" w:eastAsia="宋体" w:cs="宋体"/>
          <w:color w:val="auto"/>
          <w:sz w:val="21"/>
          <w:szCs w:val="21"/>
          <w:highlight w:val="none"/>
          <w:lang w:val="zh-CN" w:eastAsia="zh-CN"/>
        </w:rPr>
        <w:t xml:space="preserve"> 号文、桂建管﹝2014﹞25号文和桂建管﹝201</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lang w:val="zh-CN" w:eastAsia="zh-CN"/>
        </w:rPr>
        <w:t>﹞</w:t>
      </w:r>
      <w:r>
        <w:rPr>
          <w:rFonts w:hint="eastAsia" w:ascii="宋体" w:hAnsi="宋体" w:eastAsia="宋体" w:cs="宋体"/>
          <w:color w:val="auto"/>
          <w:sz w:val="21"/>
          <w:szCs w:val="21"/>
          <w:highlight w:val="none"/>
          <w:lang w:val="en-US" w:eastAsia="zh-CN"/>
        </w:rPr>
        <w:t>70</w:t>
      </w:r>
      <w:r>
        <w:rPr>
          <w:rFonts w:hint="eastAsia" w:ascii="宋体" w:hAnsi="宋体" w:eastAsia="宋体" w:cs="宋体"/>
          <w:color w:val="auto"/>
          <w:sz w:val="21"/>
          <w:szCs w:val="21"/>
          <w:highlight w:val="none"/>
          <w:lang w:val="zh-CN" w:eastAsia="zh-CN"/>
        </w:rPr>
        <w:t>除外) ；</w:t>
      </w:r>
    </w:p>
    <w:p>
      <w:pPr>
        <w:spacing w:line="36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2.符合《中华人民共和国政府采购法》第二十二条规定的条件。</w:t>
      </w:r>
    </w:p>
    <w:p>
      <w:pPr>
        <w:spacing w:line="36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3.投标人不得为失信被执行人（以评标阶段评标委员会通过“信用中国”网站（www.creditchina.gov.cn）及中国政府采购网（http://www.ccgp.gov.cn/）查询的结果为准，当评标场所缺乏查询条件时，由招标人或招标代理机构进行查询并保证查询结果的真实性）。</w:t>
      </w:r>
    </w:p>
    <w:p>
      <w:pPr>
        <w:spacing w:line="36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4.本项目不接受联合体投标。</w:t>
      </w:r>
    </w:p>
    <w:p>
      <w:pPr>
        <w:keepNext w:val="0"/>
        <w:keepLines w:val="0"/>
        <w:pageBreakBefore w:val="0"/>
        <w:widowControl w:val="0"/>
        <w:kinsoku/>
        <w:wordWrap/>
        <w:overflowPunct/>
        <w:topLinePunct w:val="0"/>
        <w:autoSpaceDE/>
        <w:autoSpaceDN/>
        <w:bidi w:val="0"/>
        <w:adjustRightInd/>
        <w:snapToGrid/>
        <w:spacing w:line="400" w:lineRule="exact"/>
        <w:textAlignment w:val="auto"/>
        <w:rPr>
          <w:b/>
          <w:bCs/>
          <w:color w:val="auto"/>
          <w:highlight w:val="none"/>
        </w:rPr>
      </w:pPr>
      <w:r>
        <w:rPr>
          <w:rFonts w:hint="eastAsia"/>
          <w:b/>
          <w:bCs/>
          <w:color w:val="auto"/>
          <w:highlight w:val="none"/>
        </w:rPr>
        <w:t>三、获取招标文件</w:t>
      </w:r>
    </w:p>
    <w:p>
      <w:pPr>
        <w:keepNext w:val="0"/>
        <w:keepLines w:val="0"/>
        <w:pageBreakBefore w:val="0"/>
        <w:widowControl w:val="0"/>
        <w:kinsoku/>
        <w:wordWrap/>
        <w:overflowPunct/>
        <w:topLinePunct w:val="0"/>
        <w:autoSpaceDE/>
        <w:autoSpaceDN/>
        <w:bidi w:val="0"/>
        <w:adjustRightInd/>
        <w:snapToGrid/>
        <w:spacing w:line="400" w:lineRule="exact"/>
        <w:textAlignment w:val="auto"/>
        <w:rPr>
          <w:color w:val="auto"/>
          <w:highlight w:val="none"/>
        </w:rPr>
      </w:pPr>
      <w:r>
        <w:rPr>
          <w:rFonts w:hint="eastAsia"/>
          <w:color w:val="auto"/>
          <w:highlight w:val="none"/>
        </w:rPr>
        <w:t>时间：2020年</w:t>
      </w:r>
      <w:r>
        <w:rPr>
          <w:rFonts w:hint="eastAsia"/>
          <w:color w:val="auto"/>
          <w:highlight w:val="none"/>
          <w:lang w:val="en-US" w:eastAsia="zh-CN"/>
        </w:rPr>
        <w:t>11</w:t>
      </w:r>
      <w:r>
        <w:rPr>
          <w:rFonts w:hint="eastAsia"/>
          <w:color w:val="auto"/>
          <w:highlight w:val="none"/>
        </w:rPr>
        <w:t>月</w:t>
      </w:r>
      <w:r>
        <w:rPr>
          <w:rFonts w:hint="eastAsia"/>
          <w:color w:val="auto"/>
          <w:highlight w:val="none"/>
          <w:lang w:val="en-US" w:eastAsia="zh-CN"/>
        </w:rPr>
        <w:t>26</w:t>
      </w:r>
      <w:r>
        <w:rPr>
          <w:rFonts w:hint="eastAsia"/>
          <w:color w:val="auto"/>
          <w:highlight w:val="none"/>
        </w:rPr>
        <w:t>日至2020年</w:t>
      </w:r>
      <w:r>
        <w:rPr>
          <w:rFonts w:hint="eastAsia"/>
          <w:color w:val="auto"/>
          <w:highlight w:val="none"/>
          <w:lang w:val="en-US" w:eastAsia="zh-CN"/>
        </w:rPr>
        <w:t>12</w:t>
      </w:r>
      <w:r>
        <w:rPr>
          <w:rFonts w:hint="eastAsia"/>
          <w:color w:val="auto"/>
          <w:highlight w:val="none"/>
        </w:rPr>
        <w:t>月</w:t>
      </w:r>
      <w:r>
        <w:rPr>
          <w:rFonts w:hint="eastAsia"/>
          <w:color w:val="auto"/>
          <w:highlight w:val="none"/>
          <w:lang w:val="en-US" w:eastAsia="zh-CN"/>
        </w:rPr>
        <w:t>04</w:t>
      </w:r>
      <w:r>
        <w:rPr>
          <w:rFonts w:hint="eastAsia"/>
          <w:color w:val="auto"/>
          <w:highlight w:val="none"/>
        </w:rPr>
        <w:t>日，每天上午09:00至12:00，下午13:00至16:00（北京时间，法定节假日除外）</w:t>
      </w:r>
    </w:p>
    <w:p>
      <w:pPr>
        <w:keepNext w:val="0"/>
        <w:keepLines w:val="0"/>
        <w:pageBreakBefore w:val="0"/>
        <w:widowControl w:val="0"/>
        <w:kinsoku/>
        <w:wordWrap/>
        <w:overflowPunct/>
        <w:topLinePunct w:val="0"/>
        <w:autoSpaceDE/>
        <w:autoSpaceDN/>
        <w:bidi w:val="0"/>
        <w:adjustRightInd/>
        <w:snapToGrid/>
        <w:spacing w:line="400" w:lineRule="exact"/>
        <w:textAlignment w:val="auto"/>
        <w:rPr>
          <w:color w:val="auto"/>
          <w:highlight w:val="none"/>
        </w:rPr>
      </w:pPr>
      <w:r>
        <w:rPr>
          <w:rFonts w:hint="eastAsia"/>
          <w:color w:val="auto"/>
          <w:highlight w:val="none"/>
        </w:rPr>
        <w:t>地点：潜在供应商必须通过登录柳州市公共资源交易平台网站(ggzy.liuzhou.gov.cn) 的“交易信息”——“政府采购”——“政采公告”中打开项目的招标公告正文，点击下方的“获取招标文件”按钮，在弹出的界面填写相应的信息，填写信息完毕后点击“获取文件”。</w:t>
      </w:r>
    </w:p>
    <w:p>
      <w:pPr>
        <w:keepNext w:val="0"/>
        <w:keepLines w:val="0"/>
        <w:pageBreakBefore w:val="0"/>
        <w:widowControl w:val="0"/>
        <w:kinsoku/>
        <w:wordWrap/>
        <w:overflowPunct/>
        <w:topLinePunct w:val="0"/>
        <w:autoSpaceDE/>
        <w:autoSpaceDN/>
        <w:bidi w:val="0"/>
        <w:adjustRightInd/>
        <w:snapToGrid/>
        <w:spacing w:line="400" w:lineRule="exact"/>
        <w:textAlignment w:val="auto"/>
        <w:rPr>
          <w:color w:val="auto"/>
          <w:highlight w:val="none"/>
        </w:rPr>
      </w:pPr>
      <w:r>
        <w:rPr>
          <w:rFonts w:hint="eastAsia"/>
          <w:color w:val="auto"/>
          <w:highlight w:val="none"/>
        </w:rPr>
        <w:t>方式：潜在供应商在获取招标文件时，企、事业或其它组织应按照其主体资格证明资料上面的名称（如营业执照、事业单位法人证书、民办非企业单位登记证书等）完整正确填写，自然人应按身份证姓名填写；未按上述地点及方式获取招标文件的供应商，采购代理机构将拒收其投标文件。已获取招标文件的供应商不等于符合本项目的投标人资格。</w:t>
      </w:r>
    </w:p>
    <w:p>
      <w:pPr>
        <w:keepNext w:val="0"/>
        <w:keepLines w:val="0"/>
        <w:pageBreakBefore w:val="0"/>
        <w:widowControl w:val="0"/>
        <w:kinsoku/>
        <w:wordWrap/>
        <w:overflowPunct/>
        <w:topLinePunct w:val="0"/>
        <w:autoSpaceDE/>
        <w:autoSpaceDN/>
        <w:bidi w:val="0"/>
        <w:adjustRightInd/>
        <w:snapToGrid/>
        <w:spacing w:line="400" w:lineRule="exact"/>
        <w:textAlignment w:val="auto"/>
        <w:rPr>
          <w:color w:val="auto"/>
          <w:highlight w:val="none"/>
        </w:rPr>
      </w:pPr>
      <w:r>
        <w:rPr>
          <w:rFonts w:hint="eastAsia"/>
          <w:color w:val="auto"/>
          <w:highlight w:val="none"/>
        </w:rPr>
        <w:t>售价：0元。</w:t>
      </w:r>
    </w:p>
    <w:p>
      <w:pPr>
        <w:keepNext w:val="0"/>
        <w:keepLines w:val="0"/>
        <w:pageBreakBefore w:val="0"/>
        <w:widowControl w:val="0"/>
        <w:kinsoku/>
        <w:wordWrap/>
        <w:overflowPunct/>
        <w:topLinePunct w:val="0"/>
        <w:autoSpaceDE/>
        <w:autoSpaceDN/>
        <w:bidi w:val="0"/>
        <w:adjustRightInd/>
        <w:snapToGrid/>
        <w:spacing w:line="400" w:lineRule="exact"/>
        <w:textAlignment w:val="auto"/>
        <w:rPr>
          <w:b/>
          <w:bCs/>
          <w:color w:val="auto"/>
          <w:highlight w:val="none"/>
        </w:rPr>
      </w:pPr>
      <w:r>
        <w:rPr>
          <w:rFonts w:hint="eastAsia"/>
          <w:b/>
          <w:bCs/>
          <w:color w:val="auto"/>
          <w:highlight w:val="none"/>
        </w:rPr>
        <w:t>四、提交投标文件截止时间、开标时间和地点</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auto"/>
          <w:highlight w:val="none"/>
        </w:rPr>
      </w:pPr>
      <w:r>
        <w:rPr>
          <w:rFonts w:hint="eastAsia"/>
          <w:color w:val="auto"/>
          <w:highlight w:val="none"/>
        </w:rPr>
        <w:t>2020年</w:t>
      </w:r>
      <w:r>
        <w:rPr>
          <w:rFonts w:hint="eastAsia"/>
          <w:color w:val="auto"/>
          <w:highlight w:val="none"/>
          <w:lang w:val="en-US" w:eastAsia="zh-CN"/>
        </w:rPr>
        <w:t>12</w:t>
      </w:r>
      <w:r>
        <w:rPr>
          <w:rFonts w:hint="eastAsia"/>
          <w:color w:val="auto"/>
          <w:highlight w:val="none"/>
        </w:rPr>
        <w:t>月</w:t>
      </w:r>
      <w:r>
        <w:rPr>
          <w:rFonts w:hint="eastAsia"/>
          <w:color w:val="auto"/>
          <w:highlight w:val="none"/>
          <w:lang w:val="en-US" w:eastAsia="zh-CN"/>
        </w:rPr>
        <w:t>17</w:t>
      </w:r>
      <w:r>
        <w:rPr>
          <w:rFonts w:hint="eastAsia"/>
          <w:color w:val="auto"/>
          <w:highlight w:val="none"/>
        </w:rPr>
        <w:t>日09点30分（北京时间）</w:t>
      </w:r>
    </w:p>
    <w:p>
      <w:pPr>
        <w:keepNext w:val="0"/>
        <w:keepLines w:val="0"/>
        <w:pageBreakBefore w:val="0"/>
        <w:widowControl w:val="0"/>
        <w:kinsoku/>
        <w:wordWrap/>
        <w:overflowPunct/>
        <w:topLinePunct w:val="0"/>
        <w:autoSpaceDE/>
        <w:autoSpaceDN/>
        <w:bidi w:val="0"/>
        <w:adjustRightInd/>
        <w:snapToGrid/>
        <w:spacing w:line="400" w:lineRule="exact"/>
        <w:textAlignment w:val="auto"/>
        <w:rPr>
          <w:color w:val="auto"/>
          <w:highlight w:val="none"/>
        </w:rPr>
      </w:pPr>
      <w:r>
        <w:rPr>
          <w:rFonts w:hint="eastAsia"/>
          <w:color w:val="auto"/>
          <w:highlight w:val="none"/>
        </w:rPr>
        <w:t>地点：柳州市新柳大道115号柳州国际会展中心—会议中心八楼开标室</w:t>
      </w:r>
    </w:p>
    <w:p>
      <w:pPr>
        <w:keepNext w:val="0"/>
        <w:keepLines w:val="0"/>
        <w:pageBreakBefore w:val="0"/>
        <w:widowControl w:val="0"/>
        <w:kinsoku/>
        <w:wordWrap/>
        <w:overflowPunct/>
        <w:topLinePunct w:val="0"/>
        <w:autoSpaceDE/>
        <w:autoSpaceDN/>
        <w:bidi w:val="0"/>
        <w:adjustRightInd/>
        <w:snapToGrid/>
        <w:spacing w:line="400" w:lineRule="exact"/>
        <w:textAlignment w:val="auto"/>
        <w:rPr>
          <w:b/>
          <w:bCs/>
          <w:color w:val="auto"/>
          <w:highlight w:val="none"/>
        </w:rPr>
      </w:pPr>
      <w:r>
        <w:rPr>
          <w:rFonts w:hint="eastAsia"/>
          <w:b/>
          <w:bCs/>
          <w:color w:val="auto"/>
          <w:highlight w:val="none"/>
        </w:rPr>
        <w:t>五、公告期限</w:t>
      </w:r>
    </w:p>
    <w:p>
      <w:pPr>
        <w:keepNext w:val="0"/>
        <w:keepLines w:val="0"/>
        <w:pageBreakBefore w:val="0"/>
        <w:widowControl w:val="0"/>
        <w:kinsoku/>
        <w:wordWrap/>
        <w:overflowPunct/>
        <w:topLinePunct w:val="0"/>
        <w:autoSpaceDE/>
        <w:autoSpaceDN/>
        <w:bidi w:val="0"/>
        <w:adjustRightInd/>
        <w:snapToGrid/>
        <w:spacing w:line="400" w:lineRule="exact"/>
        <w:textAlignment w:val="auto"/>
        <w:rPr>
          <w:color w:val="auto"/>
          <w:highlight w:val="none"/>
        </w:rPr>
      </w:pPr>
      <w:r>
        <w:rPr>
          <w:rFonts w:hint="eastAsia"/>
          <w:color w:val="auto"/>
          <w:highlight w:val="none"/>
        </w:rPr>
        <w:t>自本公告发布之日起5个工作日。</w:t>
      </w:r>
    </w:p>
    <w:p>
      <w:pPr>
        <w:keepNext w:val="0"/>
        <w:keepLines w:val="0"/>
        <w:pageBreakBefore w:val="0"/>
        <w:widowControl w:val="0"/>
        <w:kinsoku/>
        <w:wordWrap/>
        <w:overflowPunct/>
        <w:topLinePunct w:val="0"/>
        <w:autoSpaceDE/>
        <w:autoSpaceDN/>
        <w:bidi w:val="0"/>
        <w:adjustRightInd/>
        <w:snapToGrid/>
        <w:spacing w:line="400" w:lineRule="exact"/>
        <w:textAlignment w:val="auto"/>
        <w:rPr>
          <w:b/>
          <w:bCs/>
          <w:color w:val="auto"/>
          <w:highlight w:val="none"/>
        </w:rPr>
      </w:pPr>
      <w:r>
        <w:rPr>
          <w:rFonts w:hint="eastAsia"/>
          <w:b/>
          <w:bCs/>
          <w:color w:val="auto"/>
          <w:highlight w:val="none"/>
        </w:rPr>
        <w:t>六、其他补充事宜</w:t>
      </w:r>
    </w:p>
    <w:p>
      <w:pPr>
        <w:keepNext w:val="0"/>
        <w:keepLines w:val="0"/>
        <w:pageBreakBefore w:val="0"/>
        <w:widowControl w:val="0"/>
        <w:kinsoku/>
        <w:wordWrap/>
        <w:overflowPunct/>
        <w:topLinePunct w:val="0"/>
        <w:autoSpaceDE/>
        <w:autoSpaceDN/>
        <w:bidi w:val="0"/>
        <w:adjustRightInd/>
        <w:snapToGrid/>
        <w:spacing w:line="400" w:lineRule="exact"/>
        <w:textAlignment w:val="auto"/>
        <w:rPr>
          <w:color w:val="auto"/>
          <w:highlight w:val="none"/>
        </w:rPr>
      </w:pPr>
      <w:r>
        <w:rPr>
          <w:rFonts w:hint="eastAsia"/>
          <w:color w:val="auto"/>
          <w:highlight w:val="none"/>
        </w:rPr>
        <w:t>1.投标保证金：</w:t>
      </w:r>
      <w:r>
        <w:rPr>
          <w:rFonts w:hint="eastAsia" w:ascii="宋体" w:hAnsi="宋体" w:cs="宋体"/>
          <w:bCs/>
          <w:color w:val="auto"/>
          <w:szCs w:val="21"/>
          <w:highlight w:val="none"/>
        </w:rPr>
        <w:t>Ⅰ标段</w:t>
      </w:r>
      <w:r>
        <w:rPr>
          <w:rFonts w:hint="eastAsia"/>
          <w:color w:val="auto"/>
          <w:highlight w:val="none"/>
        </w:rPr>
        <w:t>人民币</w:t>
      </w:r>
      <w:r>
        <w:rPr>
          <w:rFonts w:hint="eastAsia"/>
          <w:color w:val="auto"/>
          <w:highlight w:val="none"/>
          <w:lang w:eastAsia="zh-CN"/>
        </w:rPr>
        <w:t>贰</w:t>
      </w:r>
      <w:r>
        <w:rPr>
          <w:rFonts w:hint="eastAsia"/>
          <w:color w:val="auto"/>
          <w:highlight w:val="none"/>
        </w:rPr>
        <w:t>万元整（￥</w:t>
      </w:r>
      <w:r>
        <w:rPr>
          <w:rFonts w:hint="eastAsia"/>
          <w:color w:val="auto"/>
          <w:highlight w:val="none"/>
          <w:lang w:val="en-US" w:eastAsia="zh-CN"/>
        </w:rPr>
        <w:t>2</w:t>
      </w:r>
      <w:r>
        <w:rPr>
          <w:rFonts w:hint="eastAsia"/>
          <w:color w:val="auto"/>
          <w:highlight w:val="none"/>
        </w:rPr>
        <w:t>0000.00）</w:t>
      </w:r>
      <w:r>
        <w:rPr>
          <w:rFonts w:hint="eastAsia"/>
          <w:color w:val="auto"/>
          <w:highlight w:val="none"/>
          <w:lang w:eastAsia="zh-CN"/>
        </w:rPr>
        <w:t>；</w:t>
      </w:r>
      <w:r>
        <w:rPr>
          <w:rFonts w:hint="eastAsia" w:ascii="宋体" w:hAnsi="宋体" w:cs="宋体"/>
          <w:bCs/>
          <w:color w:val="auto"/>
          <w:szCs w:val="21"/>
          <w:highlight w:val="none"/>
        </w:rPr>
        <w:t>Ⅱ标段</w:t>
      </w:r>
      <w:r>
        <w:rPr>
          <w:rFonts w:hint="eastAsia"/>
          <w:color w:val="auto"/>
          <w:highlight w:val="none"/>
        </w:rPr>
        <w:t>人民币</w:t>
      </w:r>
      <w:r>
        <w:rPr>
          <w:rFonts w:hint="eastAsia"/>
          <w:color w:val="auto"/>
          <w:highlight w:val="none"/>
          <w:lang w:eastAsia="zh-CN"/>
        </w:rPr>
        <w:t>壹</w:t>
      </w:r>
      <w:r>
        <w:rPr>
          <w:rFonts w:hint="eastAsia"/>
          <w:color w:val="auto"/>
          <w:highlight w:val="none"/>
        </w:rPr>
        <w:t>万元整（￥</w:t>
      </w:r>
      <w:r>
        <w:rPr>
          <w:rFonts w:hint="eastAsia"/>
          <w:color w:val="auto"/>
          <w:highlight w:val="none"/>
          <w:lang w:val="en-US" w:eastAsia="zh-CN"/>
        </w:rPr>
        <w:t>1</w:t>
      </w:r>
      <w:r>
        <w:rPr>
          <w:rFonts w:hint="eastAsia"/>
          <w:color w:val="auto"/>
          <w:highlight w:val="none"/>
        </w:rPr>
        <w:t>0000.00）投标人应于截标前将投标保证金以电汇、转账、</w:t>
      </w:r>
      <w:r>
        <w:rPr>
          <w:rFonts w:hint="eastAsia"/>
          <w:color w:val="auto"/>
          <w:highlight w:val="none"/>
          <w:lang w:eastAsia="zh-CN"/>
        </w:rPr>
        <w:t>保函、</w:t>
      </w:r>
      <w:r>
        <w:rPr>
          <w:rFonts w:hint="eastAsia"/>
          <w:color w:val="auto"/>
          <w:highlight w:val="none"/>
        </w:rPr>
        <w:t>网银等非现金形式到达以下账户。</w:t>
      </w:r>
    </w:p>
    <w:p>
      <w:pPr>
        <w:keepNext w:val="0"/>
        <w:keepLines w:val="0"/>
        <w:pageBreakBefore w:val="0"/>
        <w:widowControl w:val="0"/>
        <w:kinsoku/>
        <w:wordWrap/>
        <w:overflowPunct/>
        <w:topLinePunct w:val="0"/>
        <w:autoSpaceDE/>
        <w:autoSpaceDN/>
        <w:bidi w:val="0"/>
        <w:adjustRightInd/>
        <w:snapToGrid/>
        <w:spacing w:line="400" w:lineRule="exact"/>
        <w:textAlignment w:val="auto"/>
        <w:rPr>
          <w:color w:val="auto"/>
          <w:highlight w:val="none"/>
        </w:rPr>
      </w:pPr>
      <w:r>
        <w:rPr>
          <w:rFonts w:hint="eastAsia"/>
          <w:color w:val="auto"/>
          <w:highlight w:val="none"/>
        </w:rPr>
        <w:t>开户名称：广西同泽工程项目管理股份有限公司柳州分公司</w:t>
      </w:r>
    </w:p>
    <w:p>
      <w:pPr>
        <w:keepNext w:val="0"/>
        <w:keepLines w:val="0"/>
        <w:pageBreakBefore w:val="0"/>
        <w:widowControl w:val="0"/>
        <w:kinsoku/>
        <w:wordWrap/>
        <w:overflowPunct/>
        <w:topLinePunct w:val="0"/>
        <w:autoSpaceDE/>
        <w:autoSpaceDN/>
        <w:bidi w:val="0"/>
        <w:adjustRightInd/>
        <w:snapToGrid/>
        <w:spacing w:line="400" w:lineRule="exact"/>
        <w:textAlignment w:val="auto"/>
        <w:rPr>
          <w:color w:val="auto"/>
          <w:highlight w:val="none"/>
        </w:rPr>
      </w:pPr>
      <w:r>
        <w:rPr>
          <w:rFonts w:hint="eastAsia"/>
          <w:color w:val="auto"/>
          <w:highlight w:val="none"/>
        </w:rPr>
        <w:t>银行账号：268212010108478211</w:t>
      </w:r>
    </w:p>
    <w:p>
      <w:pPr>
        <w:keepNext w:val="0"/>
        <w:keepLines w:val="0"/>
        <w:pageBreakBefore w:val="0"/>
        <w:widowControl w:val="0"/>
        <w:kinsoku/>
        <w:wordWrap/>
        <w:overflowPunct/>
        <w:topLinePunct w:val="0"/>
        <w:autoSpaceDE/>
        <w:autoSpaceDN/>
        <w:bidi w:val="0"/>
        <w:adjustRightInd/>
        <w:snapToGrid/>
        <w:spacing w:line="400" w:lineRule="exact"/>
        <w:textAlignment w:val="auto"/>
        <w:rPr>
          <w:color w:val="auto"/>
          <w:highlight w:val="none"/>
        </w:rPr>
      </w:pPr>
      <w:r>
        <w:rPr>
          <w:rFonts w:hint="eastAsia"/>
          <w:color w:val="auto"/>
          <w:highlight w:val="none"/>
        </w:rPr>
        <w:t>开户银行：柳州市区农村信用合作联社窑埠分社</w:t>
      </w:r>
    </w:p>
    <w:p>
      <w:pPr>
        <w:keepNext w:val="0"/>
        <w:keepLines w:val="0"/>
        <w:pageBreakBefore w:val="0"/>
        <w:widowControl w:val="0"/>
        <w:kinsoku/>
        <w:wordWrap/>
        <w:overflowPunct/>
        <w:topLinePunct w:val="0"/>
        <w:autoSpaceDE/>
        <w:autoSpaceDN/>
        <w:bidi w:val="0"/>
        <w:adjustRightInd/>
        <w:snapToGrid/>
        <w:spacing w:line="400" w:lineRule="exact"/>
        <w:textAlignment w:val="auto"/>
        <w:rPr>
          <w:color w:val="auto"/>
          <w:highlight w:val="none"/>
        </w:rPr>
      </w:pPr>
      <w:r>
        <w:rPr>
          <w:rFonts w:hint="eastAsia"/>
          <w:color w:val="auto"/>
          <w:highlight w:val="none"/>
        </w:rPr>
        <w:t>办理投标保证金手续时，请务必在银行进账单或电汇单的用途或空白栏上注明投标项目名称及采购编号，以免耽误投标。</w:t>
      </w:r>
    </w:p>
    <w:p>
      <w:pPr>
        <w:keepNext w:val="0"/>
        <w:keepLines w:val="0"/>
        <w:pageBreakBefore w:val="0"/>
        <w:widowControl w:val="0"/>
        <w:kinsoku/>
        <w:wordWrap/>
        <w:overflowPunct/>
        <w:topLinePunct w:val="0"/>
        <w:autoSpaceDE/>
        <w:autoSpaceDN/>
        <w:bidi w:val="0"/>
        <w:adjustRightInd/>
        <w:snapToGrid/>
        <w:spacing w:line="400" w:lineRule="exact"/>
        <w:textAlignment w:val="auto"/>
        <w:rPr>
          <w:color w:val="auto"/>
          <w:highlight w:val="none"/>
        </w:rPr>
      </w:pPr>
      <w:r>
        <w:rPr>
          <w:rFonts w:hint="eastAsia"/>
          <w:color w:val="auto"/>
          <w:highlight w:val="none"/>
        </w:rPr>
        <w:t>2.投标人应在投标文件提交起止时间内，将投标文件密封送达投标地点，未在规定时间内送达或未按照招标文件要求密封的投标文件，将予以拒收。</w:t>
      </w:r>
    </w:p>
    <w:p>
      <w:pPr>
        <w:keepNext w:val="0"/>
        <w:keepLines w:val="0"/>
        <w:pageBreakBefore w:val="0"/>
        <w:widowControl w:val="0"/>
        <w:kinsoku/>
        <w:wordWrap/>
        <w:overflowPunct/>
        <w:topLinePunct w:val="0"/>
        <w:autoSpaceDE/>
        <w:autoSpaceDN/>
        <w:bidi w:val="0"/>
        <w:adjustRightInd/>
        <w:snapToGrid/>
        <w:spacing w:line="400" w:lineRule="exact"/>
        <w:textAlignment w:val="auto"/>
        <w:rPr>
          <w:color w:val="auto"/>
          <w:highlight w:val="none"/>
        </w:rPr>
      </w:pPr>
      <w:r>
        <w:rPr>
          <w:rFonts w:hint="eastAsia"/>
          <w:color w:val="auto"/>
          <w:highlight w:val="none"/>
        </w:rPr>
        <w:t>3.监督部门：柳城县政府采购管理中心；电话：0772-7616836</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auto"/>
          <w:highlight w:val="none"/>
        </w:rPr>
      </w:pPr>
      <w:r>
        <w:rPr>
          <w:rFonts w:hint="eastAsia"/>
          <w:color w:val="auto"/>
          <w:highlight w:val="none"/>
        </w:rPr>
        <w:t>4.发布公告的媒介：本次招标公告同时在中国政府采购网、柳州市政府采购网、广西政府采购网发布。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eastAsia="宋体"/>
          <w:color w:val="auto"/>
          <w:highlight w:val="none"/>
          <w:lang w:val="en-US" w:eastAsia="zh-CN"/>
        </w:rPr>
      </w:pPr>
      <w:r>
        <w:rPr>
          <w:rFonts w:hint="eastAsia"/>
          <w:color w:val="auto"/>
          <w:highlight w:val="none"/>
          <w:lang w:val="en-US" w:eastAsia="zh-CN"/>
        </w:rPr>
        <w:t>5.投标人可对上述2个标段进行投标，最多只能中1个标段。</w:t>
      </w:r>
    </w:p>
    <w:p>
      <w:pPr>
        <w:keepNext w:val="0"/>
        <w:keepLines w:val="0"/>
        <w:pageBreakBefore w:val="0"/>
        <w:widowControl w:val="0"/>
        <w:kinsoku/>
        <w:wordWrap/>
        <w:overflowPunct/>
        <w:topLinePunct w:val="0"/>
        <w:autoSpaceDE/>
        <w:autoSpaceDN/>
        <w:bidi w:val="0"/>
        <w:adjustRightInd/>
        <w:snapToGrid/>
        <w:spacing w:line="400" w:lineRule="exact"/>
        <w:textAlignment w:val="auto"/>
        <w:rPr>
          <w:b/>
          <w:bCs/>
          <w:color w:val="auto"/>
          <w:highlight w:val="none"/>
        </w:rPr>
      </w:pPr>
      <w:r>
        <w:rPr>
          <w:rFonts w:hint="eastAsia"/>
          <w:b/>
          <w:bCs/>
          <w:color w:val="auto"/>
          <w:highlight w:val="none"/>
        </w:rPr>
        <w:t>七、对本次招标提出询问，请按以下方式联系</w:t>
      </w:r>
    </w:p>
    <w:p>
      <w:pPr>
        <w:keepNext w:val="0"/>
        <w:keepLines w:val="0"/>
        <w:pageBreakBefore w:val="0"/>
        <w:widowControl w:val="0"/>
        <w:kinsoku/>
        <w:wordWrap/>
        <w:overflowPunct/>
        <w:topLinePunct w:val="0"/>
        <w:autoSpaceDE/>
        <w:autoSpaceDN/>
        <w:bidi w:val="0"/>
        <w:adjustRightInd/>
        <w:snapToGrid/>
        <w:spacing w:line="400" w:lineRule="exact"/>
        <w:textAlignment w:val="auto"/>
        <w:rPr>
          <w:color w:val="auto"/>
          <w:highlight w:val="none"/>
        </w:rPr>
      </w:pPr>
      <w:r>
        <w:rPr>
          <w:rFonts w:hint="eastAsia"/>
          <w:color w:val="auto"/>
          <w:highlight w:val="none"/>
        </w:rPr>
        <w:t>1.采购人信息</w:t>
      </w:r>
    </w:p>
    <w:p>
      <w:pPr>
        <w:widowControl/>
        <w:autoSpaceDE w:val="0"/>
        <w:spacing w:line="360" w:lineRule="exact"/>
        <w:rPr>
          <w:rFonts w:hint="eastAsia" w:ascii="宋体" w:hAnsi="宋体" w:cs="宋体"/>
          <w:color w:val="auto"/>
          <w:szCs w:val="21"/>
          <w:highlight w:val="none"/>
          <w:lang w:bidi="ar"/>
        </w:rPr>
      </w:pPr>
      <w:r>
        <w:rPr>
          <w:rFonts w:hint="eastAsia" w:ascii="宋体" w:hAnsi="宋体" w:cs="宋体"/>
          <w:color w:val="auto"/>
          <w:szCs w:val="21"/>
          <w:highlight w:val="none"/>
          <w:lang w:eastAsia="zh-CN" w:bidi="ar"/>
        </w:rPr>
        <w:t>名</w:t>
      </w:r>
      <w:r>
        <w:rPr>
          <w:rFonts w:hint="eastAsia" w:ascii="宋体" w:hAnsi="宋体" w:cs="宋体"/>
          <w:color w:val="auto"/>
          <w:szCs w:val="21"/>
          <w:highlight w:val="none"/>
          <w:lang w:val="en-US" w:eastAsia="zh-CN" w:bidi="ar"/>
        </w:rPr>
        <w:t xml:space="preserve">  </w:t>
      </w:r>
      <w:r>
        <w:rPr>
          <w:rFonts w:hint="eastAsia" w:ascii="宋体" w:hAnsi="宋体" w:cs="宋体"/>
          <w:color w:val="auto"/>
          <w:szCs w:val="21"/>
          <w:highlight w:val="none"/>
          <w:lang w:eastAsia="zh-CN" w:bidi="ar"/>
        </w:rPr>
        <w:t>称</w:t>
      </w:r>
      <w:r>
        <w:rPr>
          <w:rFonts w:hint="eastAsia" w:ascii="宋体" w:hAnsi="宋体" w:cs="宋体"/>
          <w:color w:val="auto"/>
          <w:szCs w:val="21"/>
          <w:highlight w:val="none"/>
          <w:lang w:bidi="ar"/>
        </w:rPr>
        <w:t>：</w:t>
      </w:r>
      <w:r>
        <w:rPr>
          <w:rFonts w:hint="eastAsia" w:ascii="宋体" w:hAnsi="宋体" w:cs="宋体"/>
          <w:color w:val="auto"/>
          <w:sz w:val="21"/>
          <w:szCs w:val="21"/>
          <w:highlight w:val="none"/>
          <w:lang w:eastAsia="zh-CN"/>
        </w:rPr>
        <w:t xml:space="preserve">柳城县发展和改革局 </w:t>
      </w:r>
    </w:p>
    <w:p>
      <w:pPr>
        <w:widowControl/>
        <w:autoSpaceDE w:val="0"/>
        <w:spacing w:line="360" w:lineRule="exact"/>
        <w:rPr>
          <w:rFonts w:hint="eastAsia" w:ascii="宋体" w:hAnsi="宋体" w:cs="宋体"/>
          <w:color w:val="auto"/>
          <w:szCs w:val="21"/>
          <w:highlight w:val="none"/>
          <w:lang w:bidi="ar"/>
        </w:rPr>
      </w:pPr>
      <w:r>
        <w:rPr>
          <w:rFonts w:hint="eastAsia" w:ascii="宋体" w:hAnsi="宋体" w:cs="宋体"/>
          <w:color w:val="auto"/>
          <w:szCs w:val="21"/>
          <w:highlight w:val="none"/>
          <w:lang w:bidi="ar"/>
        </w:rPr>
        <w:t>地  址：</w:t>
      </w:r>
      <w:r>
        <w:rPr>
          <w:rFonts w:hint="eastAsia" w:ascii="宋体" w:hAnsi="宋体" w:eastAsia="宋体" w:cs="宋体"/>
          <w:color w:val="auto"/>
          <w:kern w:val="0"/>
          <w:szCs w:val="21"/>
          <w:highlight w:val="none"/>
        </w:rPr>
        <w:t xml:space="preserve">柳城县大埔镇胜利东路7号  </w:t>
      </w:r>
    </w:p>
    <w:p>
      <w:pPr>
        <w:keepNext w:val="0"/>
        <w:keepLines w:val="0"/>
        <w:pageBreakBefore w:val="0"/>
        <w:widowControl w:val="0"/>
        <w:kinsoku/>
        <w:wordWrap/>
        <w:overflowPunct/>
        <w:topLinePunct w:val="0"/>
        <w:autoSpaceDE/>
        <w:autoSpaceDN/>
        <w:bidi w:val="0"/>
        <w:adjustRightInd/>
        <w:snapToGrid/>
        <w:spacing w:line="400" w:lineRule="exact"/>
        <w:textAlignment w:val="auto"/>
        <w:rPr>
          <w:color w:val="auto"/>
          <w:highlight w:val="none"/>
        </w:rPr>
      </w:pPr>
      <w:r>
        <w:rPr>
          <w:rFonts w:hint="eastAsia"/>
          <w:color w:val="auto"/>
          <w:highlight w:val="none"/>
        </w:rPr>
        <w:t>联系方式：</w:t>
      </w:r>
      <w:r>
        <w:rPr>
          <w:rFonts w:hint="eastAsia" w:ascii="宋体" w:hAnsi="宋体" w:cs="宋体"/>
          <w:color w:val="auto"/>
          <w:kern w:val="0"/>
          <w:szCs w:val="21"/>
          <w:highlight w:val="none"/>
          <w:lang w:val="en-US" w:eastAsia="zh-CN"/>
        </w:rPr>
        <w:t xml:space="preserve">0772-7611817 </w:t>
      </w:r>
    </w:p>
    <w:p>
      <w:pPr>
        <w:keepNext w:val="0"/>
        <w:keepLines w:val="0"/>
        <w:pageBreakBefore w:val="0"/>
        <w:widowControl w:val="0"/>
        <w:kinsoku/>
        <w:wordWrap/>
        <w:overflowPunct/>
        <w:topLinePunct w:val="0"/>
        <w:autoSpaceDE/>
        <w:autoSpaceDN/>
        <w:bidi w:val="0"/>
        <w:adjustRightInd/>
        <w:snapToGrid/>
        <w:spacing w:line="400" w:lineRule="exact"/>
        <w:textAlignment w:val="auto"/>
        <w:rPr>
          <w:color w:val="auto"/>
          <w:highlight w:val="none"/>
        </w:rPr>
      </w:pPr>
      <w:r>
        <w:rPr>
          <w:rFonts w:hint="eastAsia"/>
          <w:color w:val="auto"/>
          <w:highlight w:val="none"/>
        </w:rPr>
        <w:t>2.采购代理机构信息</w:t>
      </w:r>
    </w:p>
    <w:p>
      <w:pPr>
        <w:keepNext w:val="0"/>
        <w:keepLines w:val="0"/>
        <w:pageBreakBefore w:val="0"/>
        <w:widowControl w:val="0"/>
        <w:kinsoku/>
        <w:wordWrap/>
        <w:overflowPunct/>
        <w:topLinePunct w:val="0"/>
        <w:autoSpaceDE/>
        <w:autoSpaceDN/>
        <w:bidi w:val="0"/>
        <w:adjustRightInd/>
        <w:snapToGrid/>
        <w:spacing w:line="400" w:lineRule="exact"/>
        <w:textAlignment w:val="auto"/>
        <w:rPr>
          <w:color w:val="auto"/>
          <w:highlight w:val="none"/>
        </w:rPr>
      </w:pPr>
      <w:r>
        <w:rPr>
          <w:rFonts w:hint="eastAsia"/>
          <w:color w:val="auto"/>
          <w:highlight w:val="none"/>
        </w:rPr>
        <w:t>名称：广西同泽工程项目管理股份有限公司</w:t>
      </w:r>
    </w:p>
    <w:p>
      <w:pPr>
        <w:keepNext w:val="0"/>
        <w:keepLines w:val="0"/>
        <w:pageBreakBefore w:val="0"/>
        <w:widowControl w:val="0"/>
        <w:kinsoku/>
        <w:wordWrap/>
        <w:overflowPunct/>
        <w:topLinePunct w:val="0"/>
        <w:autoSpaceDE/>
        <w:autoSpaceDN/>
        <w:bidi w:val="0"/>
        <w:adjustRightInd/>
        <w:snapToGrid/>
        <w:spacing w:line="400" w:lineRule="exact"/>
        <w:textAlignment w:val="auto"/>
        <w:rPr>
          <w:color w:val="auto"/>
          <w:highlight w:val="none"/>
        </w:rPr>
      </w:pPr>
      <w:r>
        <w:rPr>
          <w:rFonts w:hint="eastAsia"/>
          <w:color w:val="auto"/>
          <w:highlight w:val="none"/>
        </w:rPr>
        <w:t>地址：柳州市桂中大道南端6号九洲国际25楼</w:t>
      </w:r>
    </w:p>
    <w:p>
      <w:pPr>
        <w:keepNext w:val="0"/>
        <w:keepLines w:val="0"/>
        <w:pageBreakBefore w:val="0"/>
        <w:widowControl w:val="0"/>
        <w:kinsoku/>
        <w:wordWrap/>
        <w:overflowPunct/>
        <w:topLinePunct w:val="0"/>
        <w:autoSpaceDE/>
        <w:autoSpaceDN/>
        <w:bidi w:val="0"/>
        <w:adjustRightInd/>
        <w:snapToGrid/>
        <w:spacing w:line="400" w:lineRule="exact"/>
        <w:textAlignment w:val="auto"/>
        <w:rPr>
          <w:color w:val="auto"/>
          <w:highlight w:val="none"/>
        </w:rPr>
      </w:pPr>
      <w:r>
        <w:rPr>
          <w:rFonts w:hint="eastAsia"/>
          <w:color w:val="auto"/>
          <w:highlight w:val="none"/>
        </w:rPr>
        <w:t>联系方式：0772-3808868</w:t>
      </w:r>
    </w:p>
    <w:p>
      <w:pPr>
        <w:keepNext w:val="0"/>
        <w:keepLines w:val="0"/>
        <w:pageBreakBefore w:val="0"/>
        <w:widowControl w:val="0"/>
        <w:kinsoku/>
        <w:wordWrap/>
        <w:overflowPunct/>
        <w:topLinePunct w:val="0"/>
        <w:autoSpaceDE/>
        <w:autoSpaceDN/>
        <w:bidi w:val="0"/>
        <w:adjustRightInd/>
        <w:snapToGrid/>
        <w:spacing w:line="400" w:lineRule="exact"/>
        <w:textAlignment w:val="auto"/>
        <w:rPr>
          <w:color w:val="auto"/>
          <w:highlight w:val="none"/>
        </w:rPr>
      </w:pPr>
      <w:r>
        <w:rPr>
          <w:rFonts w:hint="eastAsia"/>
          <w:color w:val="auto"/>
          <w:highlight w:val="none"/>
        </w:rPr>
        <w:t>3.项目联系方式</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宋体"/>
          <w:color w:val="auto"/>
          <w:highlight w:val="none"/>
          <w:lang w:eastAsia="zh-CN"/>
        </w:rPr>
      </w:pPr>
      <w:r>
        <w:rPr>
          <w:rFonts w:hint="eastAsia"/>
          <w:color w:val="auto"/>
          <w:highlight w:val="none"/>
        </w:rPr>
        <w:t>项目联系人：</w:t>
      </w:r>
      <w:r>
        <w:rPr>
          <w:rFonts w:hint="eastAsia"/>
          <w:color w:val="auto"/>
          <w:highlight w:val="none"/>
          <w:lang w:eastAsia="zh-CN"/>
        </w:rPr>
        <w:t>梁秀华</w:t>
      </w:r>
    </w:p>
    <w:p>
      <w:pPr>
        <w:keepNext w:val="0"/>
        <w:keepLines w:val="0"/>
        <w:pageBreakBefore w:val="0"/>
        <w:widowControl w:val="0"/>
        <w:kinsoku/>
        <w:wordWrap/>
        <w:overflowPunct/>
        <w:topLinePunct w:val="0"/>
        <w:autoSpaceDE/>
        <w:autoSpaceDN/>
        <w:bidi w:val="0"/>
        <w:adjustRightInd/>
        <w:snapToGrid/>
        <w:spacing w:line="400" w:lineRule="exact"/>
        <w:textAlignment w:val="auto"/>
        <w:rPr>
          <w:color w:val="auto"/>
          <w:highlight w:val="none"/>
        </w:rPr>
      </w:pPr>
      <w:r>
        <w:rPr>
          <w:rFonts w:hint="eastAsia"/>
          <w:color w:val="auto"/>
          <w:highlight w:val="none"/>
        </w:rPr>
        <w:t>电 话：0772-3808868</w:t>
      </w:r>
    </w:p>
    <w:p>
      <w:pPr>
        <w:keepNext w:val="0"/>
        <w:keepLines w:val="0"/>
        <w:pageBreakBefore w:val="0"/>
        <w:widowControl w:val="0"/>
        <w:kinsoku/>
        <w:wordWrap/>
        <w:overflowPunct/>
        <w:topLinePunct w:val="0"/>
        <w:autoSpaceDE/>
        <w:autoSpaceDN/>
        <w:bidi w:val="0"/>
        <w:adjustRightInd/>
        <w:snapToGrid/>
        <w:spacing w:line="400" w:lineRule="exact"/>
        <w:ind w:firstLine="5040" w:firstLineChars="2400"/>
        <w:textAlignment w:val="auto"/>
        <w:rPr>
          <w:color w:val="auto"/>
          <w:highlight w:val="none"/>
        </w:rPr>
      </w:pPr>
      <w:r>
        <w:rPr>
          <w:rFonts w:hint="eastAsia"/>
          <w:color w:val="auto"/>
          <w:highlight w:val="none"/>
        </w:rPr>
        <w:t>广西同泽工程项目管理股份有限公司</w:t>
      </w:r>
    </w:p>
    <w:p>
      <w:pPr>
        <w:keepNext w:val="0"/>
        <w:keepLines w:val="0"/>
        <w:pageBreakBefore w:val="0"/>
        <w:widowControl w:val="0"/>
        <w:kinsoku/>
        <w:wordWrap/>
        <w:overflowPunct/>
        <w:topLinePunct w:val="0"/>
        <w:autoSpaceDE/>
        <w:autoSpaceDN/>
        <w:bidi w:val="0"/>
        <w:adjustRightInd/>
        <w:snapToGrid/>
        <w:spacing w:line="400" w:lineRule="exact"/>
        <w:textAlignment w:val="auto"/>
        <w:rPr>
          <w:color w:val="auto"/>
          <w:highlight w:val="none"/>
        </w:rPr>
      </w:pPr>
      <w:r>
        <w:rPr>
          <w:rFonts w:hint="eastAsia"/>
          <w:color w:val="auto"/>
          <w:highlight w:val="none"/>
        </w:rPr>
        <w:t>                                                                                                                                     </w:t>
      </w:r>
      <w:r>
        <w:rPr>
          <w:rFonts w:hint="eastAsia"/>
          <w:color w:val="auto"/>
          <w:highlight w:val="none"/>
          <w:lang w:val="en-US" w:eastAsia="zh-CN"/>
        </w:rPr>
        <w:t xml:space="preserve">                                                   </w:t>
      </w:r>
      <w:r>
        <w:rPr>
          <w:rFonts w:hint="eastAsia"/>
          <w:color w:val="auto"/>
          <w:highlight w:val="none"/>
        </w:rPr>
        <w:t>2020年</w:t>
      </w:r>
      <w:r>
        <w:rPr>
          <w:rFonts w:hint="eastAsia"/>
          <w:color w:val="auto"/>
          <w:highlight w:val="none"/>
          <w:lang w:val="en-US" w:eastAsia="zh-CN"/>
        </w:rPr>
        <w:t>11</w:t>
      </w:r>
      <w:r>
        <w:rPr>
          <w:rFonts w:hint="eastAsia"/>
          <w:color w:val="auto"/>
          <w:highlight w:val="none"/>
        </w:rPr>
        <w:t>月</w:t>
      </w:r>
      <w:r>
        <w:rPr>
          <w:rFonts w:hint="eastAsia"/>
          <w:color w:val="auto"/>
          <w:highlight w:val="none"/>
          <w:lang w:val="en-US" w:eastAsia="zh-CN"/>
        </w:rPr>
        <w:t xml:space="preserve"> 26 </w:t>
      </w:r>
      <w:r>
        <w:rPr>
          <w:rFonts w:hint="eastAsia"/>
          <w:color w:val="auto"/>
          <w:highlight w:val="none"/>
        </w:rPr>
        <w:t>日</w:t>
      </w:r>
    </w:p>
    <w:p>
      <w:pPr>
        <w:spacing w:line="360" w:lineRule="exact"/>
        <w:rPr>
          <w:rFonts w:hint="eastAsia" w:ascii="宋体" w:hAnsi="宋体" w:cs="宋体"/>
          <w:color w:val="auto"/>
          <w:szCs w:val="21"/>
          <w:highlight w:val="none"/>
        </w:rPr>
      </w:pPr>
    </w:p>
    <w:p>
      <w:pPr>
        <w:rPr>
          <w:color w:val="auto"/>
          <w:highlight w:val="none"/>
        </w:rPr>
      </w:pPr>
    </w:p>
    <w:p>
      <w:pPr>
        <w:ind w:left="-420" w:leftChars="-200" w:right="-512" w:rightChars="-244" w:firstLine="420" w:firstLineChars="200"/>
      </w:pPr>
    </w:p>
    <w:sectPr>
      <w:pgSz w:w="11906" w:h="16838"/>
      <w:pgMar w:top="1440" w:right="12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96770D"/>
    <w:rsid w:val="2E96770D"/>
    <w:rsid w:val="447854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 w:type="character" w:styleId="5">
    <w:name w:val="Strong"/>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2020-11-26T02:20:00Z</dcterms:created>
  <dc:creator>花花</dc:creator>
  <cp:lastModifiedBy>花花</cp:lastModifiedBy>
  <dcterms:modified xsi:type="dcterms:W3CDTF">2020-11-26T02:35:10Z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