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714" w:rsidRPr="006A2A04" w:rsidRDefault="00342714" w:rsidP="00342714">
      <w:pPr>
        <w:pStyle w:val="1"/>
        <w:numPr>
          <w:ilvl w:val="0"/>
          <w:numId w:val="0"/>
        </w:numPr>
        <w:spacing w:before="156" w:after="156"/>
        <w:ind w:left="420"/>
        <w:rPr>
          <w:rFonts w:ascii="宋体" w:hAnsi="宋体" w:cs="宋体"/>
        </w:rPr>
      </w:pPr>
      <w:bookmarkStart w:id="0" w:name="_Toc43392641"/>
      <w:r w:rsidRPr="006A2A04">
        <w:rPr>
          <w:rFonts w:ascii="宋体" w:hAnsi="宋体" w:cs="宋体" w:hint="eastAsia"/>
        </w:rPr>
        <w:t>招标项目采购需求</w:t>
      </w:r>
      <w:bookmarkEnd w:id="0"/>
    </w:p>
    <w:p w:rsidR="00342714" w:rsidRPr="006A2A04" w:rsidRDefault="00342714" w:rsidP="00342714">
      <w:pPr>
        <w:pStyle w:val="2"/>
        <w:numPr>
          <w:ilvl w:val="0"/>
          <w:numId w:val="0"/>
        </w:numPr>
        <w:ind w:left="425"/>
      </w:pPr>
      <w:bookmarkStart w:id="1" w:name="_Toc34400881"/>
      <w:bookmarkStart w:id="2" w:name="_Toc43392642"/>
      <w:r w:rsidRPr="006A2A04">
        <w:rPr>
          <w:rFonts w:hint="eastAsia"/>
          <w:szCs w:val="28"/>
        </w:rPr>
        <w:t>一、</w:t>
      </w:r>
      <w:r w:rsidRPr="006A2A04">
        <w:rPr>
          <w:rFonts w:hint="eastAsia"/>
        </w:rPr>
        <w:t>项目建设内容及规模</w:t>
      </w:r>
      <w:bookmarkEnd w:id="1"/>
      <w:bookmarkEnd w:id="2"/>
    </w:p>
    <w:p w:rsidR="00342714" w:rsidRPr="006A2A04" w:rsidRDefault="00342714" w:rsidP="00342714">
      <w:pPr>
        <w:spacing w:line="360" w:lineRule="auto"/>
        <w:ind w:firstLineChars="200" w:firstLine="420"/>
        <w:rPr>
          <w:szCs w:val="30"/>
        </w:rPr>
      </w:pPr>
      <w:r w:rsidRPr="006A2A04">
        <w:rPr>
          <w:rFonts w:hint="eastAsia"/>
          <w:szCs w:val="28"/>
        </w:rPr>
        <w:t>本项目主要建设内容为：规划总用地面积为</w:t>
      </w:r>
      <w:r w:rsidRPr="006A2A04">
        <w:rPr>
          <w:rFonts w:hint="eastAsia"/>
          <w:szCs w:val="28"/>
        </w:rPr>
        <w:t>38886.48</w:t>
      </w:r>
      <w:r w:rsidRPr="006A2A04">
        <w:rPr>
          <w:rFonts w:hint="eastAsia"/>
          <w:szCs w:val="28"/>
        </w:rPr>
        <w:t>平方米（约合</w:t>
      </w:r>
      <w:r w:rsidRPr="006A2A04">
        <w:rPr>
          <w:rFonts w:hint="eastAsia"/>
          <w:szCs w:val="28"/>
        </w:rPr>
        <w:t>58.33</w:t>
      </w:r>
      <w:r w:rsidRPr="006A2A04">
        <w:rPr>
          <w:rFonts w:hint="eastAsia"/>
          <w:szCs w:val="28"/>
        </w:rPr>
        <w:t>亩），设计总建筑面积</w:t>
      </w:r>
      <w:r w:rsidRPr="006A2A04">
        <w:rPr>
          <w:rFonts w:hint="eastAsia"/>
          <w:szCs w:val="28"/>
        </w:rPr>
        <w:t>80676</w:t>
      </w:r>
      <w:r w:rsidRPr="006A2A04">
        <w:rPr>
          <w:rFonts w:hint="eastAsia"/>
          <w:szCs w:val="28"/>
        </w:rPr>
        <w:t>㎡，其中地上建筑面积</w:t>
      </w:r>
      <w:r w:rsidRPr="006A2A04">
        <w:rPr>
          <w:rFonts w:hint="eastAsia"/>
          <w:szCs w:val="28"/>
        </w:rPr>
        <w:t>60676</w:t>
      </w:r>
      <w:r w:rsidRPr="006A2A04">
        <w:rPr>
          <w:rFonts w:hint="eastAsia"/>
          <w:szCs w:val="28"/>
        </w:rPr>
        <w:t>㎡，地下建筑面积</w:t>
      </w:r>
      <w:r w:rsidRPr="006A2A04">
        <w:rPr>
          <w:rFonts w:hint="eastAsia"/>
          <w:szCs w:val="28"/>
        </w:rPr>
        <w:t>20000</w:t>
      </w:r>
      <w:r w:rsidRPr="006A2A04">
        <w:rPr>
          <w:rFonts w:hint="eastAsia"/>
          <w:szCs w:val="28"/>
        </w:rPr>
        <w:t>㎡。设计藏书量</w:t>
      </w:r>
      <w:r w:rsidRPr="006A2A04">
        <w:rPr>
          <w:rFonts w:hint="eastAsia"/>
          <w:szCs w:val="28"/>
        </w:rPr>
        <w:t>360</w:t>
      </w:r>
      <w:r w:rsidRPr="006A2A04">
        <w:rPr>
          <w:rFonts w:hint="eastAsia"/>
          <w:szCs w:val="28"/>
        </w:rPr>
        <w:t>万册，阅览座位</w:t>
      </w:r>
      <w:r w:rsidRPr="006A2A04">
        <w:rPr>
          <w:rFonts w:hint="eastAsia"/>
          <w:szCs w:val="28"/>
        </w:rPr>
        <w:t>2500</w:t>
      </w:r>
      <w:r w:rsidRPr="006A2A04">
        <w:rPr>
          <w:rFonts w:hint="eastAsia"/>
          <w:szCs w:val="28"/>
        </w:rPr>
        <w:t>个。建筑主要设计图书馆主楼一栋，图书馆主楼设计为一栋</w:t>
      </w:r>
      <w:r w:rsidRPr="006A2A04">
        <w:rPr>
          <w:rFonts w:hint="eastAsia"/>
          <w:szCs w:val="28"/>
        </w:rPr>
        <w:t>8</w:t>
      </w:r>
      <w:r w:rsidRPr="006A2A04">
        <w:rPr>
          <w:rFonts w:hint="eastAsia"/>
          <w:szCs w:val="28"/>
        </w:rPr>
        <w:t>层的建筑（东面局部为</w:t>
      </w:r>
      <w:r w:rsidRPr="006A2A04">
        <w:rPr>
          <w:rFonts w:hint="eastAsia"/>
          <w:szCs w:val="28"/>
        </w:rPr>
        <w:t>3</w:t>
      </w:r>
      <w:r w:rsidRPr="006A2A04">
        <w:rPr>
          <w:rFonts w:hint="eastAsia"/>
          <w:szCs w:val="28"/>
        </w:rPr>
        <w:t>层），为钢结构装配式建筑，</w:t>
      </w:r>
      <w:r>
        <w:rPr>
          <w:rFonts w:hint="eastAsia"/>
          <w:szCs w:val="28"/>
        </w:rPr>
        <w:t>装配率为</w:t>
      </w:r>
      <w:r>
        <w:rPr>
          <w:rFonts w:hint="eastAsia"/>
          <w:szCs w:val="28"/>
        </w:rPr>
        <w:t>66%</w:t>
      </w:r>
      <w:r>
        <w:rPr>
          <w:rFonts w:hint="eastAsia"/>
          <w:szCs w:val="28"/>
        </w:rPr>
        <w:t>，</w:t>
      </w:r>
      <w:r w:rsidRPr="006A2A04">
        <w:rPr>
          <w:rFonts w:hint="eastAsia"/>
          <w:szCs w:val="28"/>
        </w:rPr>
        <w:t>并设一层地下室。</w:t>
      </w:r>
    </w:p>
    <w:p w:rsidR="00342714" w:rsidRPr="006A2A04" w:rsidRDefault="00342714" w:rsidP="00342714">
      <w:pPr>
        <w:spacing w:line="360" w:lineRule="auto"/>
        <w:ind w:firstLineChars="200" w:firstLine="420"/>
        <w:rPr>
          <w:szCs w:val="28"/>
        </w:rPr>
      </w:pPr>
      <w:r w:rsidRPr="006A2A04">
        <w:rPr>
          <w:rFonts w:hint="eastAsia"/>
          <w:szCs w:val="28"/>
        </w:rPr>
        <w:t>主要建设内容包括：</w:t>
      </w:r>
    </w:p>
    <w:p w:rsidR="00342714" w:rsidRPr="006A2A04" w:rsidRDefault="00342714" w:rsidP="00342714">
      <w:pPr>
        <w:spacing w:line="360" w:lineRule="auto"/>
        <w:ind w:firstLineChars="200" w:firstLine="420"/>
        <w:rPr>
          <w:szCs w:val="28"/>
        </w:rPr>
      </w:pPr>
      <w:r w:rsidRPr="006A2A04">
        <w:rPr>
          <w:rFonts w:hint="eastAsia"/>
          <w:szCs w:val="28"/>
        </w:rPr>
        <w:t>1</w:t>
      </w:r>
      <w:r w:rsidRPr="006A2A04">
        <w:rPr>
          <w:rFonts w:hint="eastAsia"/>
          <w:szCs w:val="28"/>
        </w:rPr>
        <w:t>）图书馆主楼</w:t>
      </w:r>
    </w:p>
    <w:p w:rsidR="00342714" w:rsidRPr="006A2A04" w:rsidRDefault="00342714" w:rsidP="00342714">
      <w:pPr>
        <w:spacing w:line="360" w:lineRule="auto"/>
        <w:ind w:firstLineChars="200" w:firstLine="420"/>
        <w:rPr>
          <w:szCs w:val="28"/>
        </w:rPr>
      </w:pPr>
      <w:r w:rsidRPr="006A2A04">
        <w:rPr>
          <w:rFonts w:hint="eastAsia"/>
          <w:szCs w:val="28"/>
        </w:rPr>
        <w:t>图书馆设计为八层建筑，首层层高</w:t>
      </w:r>
      <w:r w:rsidRPr="006A2A04">
        <w:rPr>
          <w:rFonts w:hint="eastAsia"/>
          <w:szCs w:val="28"/>
        </w:rPr>
        <w:t>6</w:t>
      </w:r>
      <w:r w:rsidRPr="006A2A04">
        <w:rPr>
          <w:rFonts w:hint="eastAsia"/>
          <w:szCs w:val="28"/>
        </w:rPr>
        <w:t>米，二～三层层高</w:t>
      </w:r>
      <w:r w:rsidRPr="006A2A04">
        <w:rPr>
          <w:rFonts w:hint="eastAsia"/>
          <w:szCs w:val="28"/>
        </w:rPr>
        <w:t>4.5</w:t>
      </w:r>
      <w:r w:rsidRPr="006A2A04">
        <w:rPr>
          <w:rFonts w:hint="eastAsia"/>
          <w:szCs w:val="28"/>
        </w:rPr>
        <w:t>米，四～八层层高</w:t>
      </w:r>
      <w:r w:rsidRPr="006A2A04">
        <w:rPr>
          <w:rFonts w:hint="eastAsia"/>
          <w:szCs w:val="28"/>
        </w:rPr>
        <w:t>5.1</w:t>
      </w:r>
      <w:r w:rsidRPr="006A2A04">
        <w:rPr>
          <w:rFonts w:hint="eastAsia"/>
          <w:szCs w:val="28"/>
        </w:rPr>
        <w:t>米。</w:t>
      </w:r>
    </w:p>
    <w:p w:rsidR="00342714" w:rsidRPr="006A2A04" w:rsidRDefault="00342714" w:rsidP="00342714">
      <w:pPr>
        <w:spacing w:line="360" w:lineRule="auto"/>
        <w:ind w:firstLineChars="200" w:firstLine="420"/>
        <w:rPr>
          <w:szCs w:val="28"/>
        </w:rPr>
      </w:pPr>
      <w:r w:rsidRPr="006A2A04">
        <w:rPr>
          <w:rFonts w:hint="eastAsia"/>
          <w:szCs w:val="28"/>
        </w:rPr>
        <w:t>项目主要功能包含图书馆主馆、少儿馆及多功能展区三大部分。多功能展区位于楼宇东部一至三层，一层包含形象序厅、城市模型展厅、城市概况厅、多功能报告厅等；二至三层为</w:t>
      </w:r>
      <w:r w:rsidRPr="006A2A04">
        <w:rPr>
          <w:rFonts w:hint="eastAsia"/>
          <w:szCs w:val="28"/>
        </w:rPr>
        <w:t>2</w:t>
      </w:r>
      <w:r w:rsidRPr="006A2A04">
        <w:rPr>
          <w:rFonts w:hint="eastAsia"/>
          <w:szCs w:val="28"/>
        </w:rPr>
        <w:t>层通高展厅，主要包含历史展厅、现代展厅、未来展区等。其中</w:t>
      </w:r>
      <w:r w:rsidRPr="006A2A04">
        <w:rPr>
          <w:rFonts w:hint="eastAsia"/>
          <w:szCs w:val="28"/>
        </w:rPr>
        <w:t>15M3</w:t>
      </w:r>
      <w:r w:rsidRPr="006A2A04">
        <w:rPr>
          <w:rFonts w:hint="eastAsia"/>
          <w:szCs w:val="28"/>
        </w:rPr>
        <w:t>层通高城市模型展厅位于东南角。东侧门厅作为图书馆与多功能展厅共有公共门厅，图书馆人流也可通过公共门厅到达图书馆信息服务大厅。</w:t>
      </w:r>
    </w:p>
    <w:p w:rsidR="00342714" w:rsidRPr="006A2A04" w:rsidRDefault="00342714" w:rsidP="00342714">
      <w:pPr>
        <w:spacing w:line="360" w:lineRule="auto"/>
        <w:ind w:firstLineChars="200" w:firstLine="420"/>
        <w:rPr>
          <w:szCs w:val="28"/>
        </w:rPr>
      </w:pPr>
      <w:r w:rsidRPr="006A2A04">
        <w:rPr>
          <w:rFonts w:hint="eastAsia"/>
          <w:szCs w:val="28"/>
        </w:rPr>
        <w:t>少儿馆设置在楼宇西南部，毗邻西侧步行街，方便少儿进出。首层为童玩天地、亲子绘本，二三层为少儿主题活动室、少儿报刊借阅室、少儿图书借阅室等，四层为童创体验中心、少儿展厅、儿童休闲区户外平台等。</w:t>
      </w:r>
    </w:p>
    <w:p w:rsidR="00342714" w:rsidRPr="006A2A04" w:rsidRDefault="00342714" w:rsidP="00342714">
      <w:pPr>
        <w:spacing w:line="360" w:lineRule="auto"/>
        <w:ind w:firstLineChars="200" w:firstLine="420"/>
        <w:rPr>
          <w:szCs w:val="28"/>
        </w:rPr>
      </w:pPr>
      <w:r w:rsidRPr="006A2A04">
        <w:rPr>
          <w:rFonts w:hint="eastAsia"/>
          <w:szCs w:val="28"/>
        </w:rPr>
        <w:t>图书馆主入口位于北侧，一层中庭设置总服务区，二层中庭设置检索服务大厅，图书馆主要阅览空间在四至六层，四层为数字体验展示区，五六层为常规阅览区，特藏阅览区位于七层；学术研究区与行政办公区则位于八层。</w:t>
      </w:r>
    </w:p>
    <w:p w:rsidR="00342714" w:rsidRPr="006A2A04" w:rsidRDefault="00342714" w:rsidP="00342714">
      <w:pPr>
        <w:spacing w:line="360" w:lineRule="auto"/>
        <w:ind w:firstLineChars="200" w:firstLine="420"/>
        <w:rPr>
          <w:szCs w:val="28"/>
        </w:rPr>
      </w:pPr>
      <w:r w:rsidRPr="006A2A04">
        <w:rPr>
          <w:rFonts w:hint="eastAsia"/>
          <w:szCs w:val="28"/>
        </w:rPr>
        <w:t>2</w:t>
      </w:r>
      <w:r w:rsidRPr="006A2A04">
        <w:rPr>
          <w:rFonts w:hint="eastAsia"/>
          <w:szCs w:val="28"/>
        </w:rPr>
        <w:t>）地下室</w:t>
      </w:r>
    </w:p>
    <w:p w:rsidR="00342714" w:rsidRPr="006A2A04" w:rsidRDefault="00342714" w:rsidP="00342714">
      <w:pPr>
        <w:spacing w:line="360" w:lineRule="auto"/>
        <w:ind w:firstLineChars="200" w:firstLine="420"/>
        <w:rPr>
          <w:szCs w:val="28"/>
        </w:rPr>
      </w:pPr>
      <w:r w:rsidRPr="006A2A04">
        <w:rPr>
          <w:rFonts w:hint="eastAsia"/>
          <w:szCs w:val="28"/>
        </w:rPr>
        <w:t>地下室总建筑面积</w:t>
      </w:r>
      <w:r w:rsidRPr="006A2A04">
        <w:rPr>
          <w:rFonts w:hint="eastAsia"/>
          <w:szCs w:val="28"/>
        </w:rPr>
        <w:t>20000</w:t>
      </w:r>
      <w:r w:rsidRPr="006A2A04">
        <w:rPr>
          <w:rFonts w:hint="eastAsia"/>
          <w:szCs w:val="28"/>
        </w:rPr>
        <w:t>平方米，地下室主要布置配电间、设备间等设备用房和地下停车库，以满足停车位要求，可停放小汽车</w:t>
      </w:r>
      <w:r w:rsidRPr="006A2A04">
        <w:rPr>
          <w:rFonts w:hint="eastAsia"/>
          <w:szCs w:val="28"/>
        </w:rPr>
        <w:t>450</w:t>
      </w:r>
      <w:r w:rsidRPr="006A2A04">
        <w:rPr>
          <w:rFonts w:hint="eastAsia"/>
          <w:szCs w:val="28"/>
        </w:rPr>
        <w:t>辆；本工程按规范要求配置设置</w:t>
      </w:r>
      <w:r w:rsidRPr="006A2A04">
        <w:rPr>
          <w:rFonts w:hint="eastAsia"/>
          <w:szCs w:val="28"/>
        </w:rPr>
        <w:t>2400</w:t>
      </w:r>
      <w:r w:rsidRPr="006A2A04">
        <w:rPr>
          <w:rFonts w:hint="eastAsia"/>
          <w:szCs w:val="28"/>
        </w:rPr>
        <w:t>平方米人民防空地下室，战时为二等人员掩蔽所，平时为普通汽车库。人防地下室的抗力等级为甲类核</w:t>
      </w:r>
      <w:r w:rsidRPr="006A2A04">
        <w:rPr>
          <w:rFonts w:hint="eastAsia"/>
          <w:szCs w:val="28"/>
        </w:rPr>
        <w:t>6</w:t>
      </w:r>
      <w:r w:rsidRPr="006A2A04">
        <w:rPr>
          <w:rFonts w:hint="eastAsia"/>
          <w:szCs w:val="28"/>
        </w:rPr>
        <w:t>级常</w:t>
      </w:r>
      <w:r w:rsidRPr="006A2A04">
        <w:rPr>
          <w:rFonts w:hint="eastAsia"/>
          <w:szCs w:val="28"/>
        </w:rPr>
        <w:t>6</w:t>
      </w:r>
      <w:r w:rsidRPr="006A2A04">
        <w:rPr>
          <w:rFonts w:hint="eastAsia"/>
          <w:szCs w:val="28"/>
        </w:rPr>
        <w:t>级，防化等级为丙级。</w:t>
      </w:r>
    </w:p>
    <w:p w:rsidR="00342714" w:rsidRPr="006A2A04" w:rsidRDefault="00342714" w:rsidP="00342714">
      <w:pPr>
        <w:spacing w:line="360" w:lineRule="auto"/>
        <w:ind w:firstLineChars="200" w:firstLine="420"/>
        <w:rPr>
          <w:szCs w:val="28"/>
        </w:rPr>
      </w:pPr>
      <w:r w:rsidRPr="006A2A04">
        <w:rPr>
          <w:rFonts w:hint="eastAsia"/>
          <w:szCs w:val="28"/>
        </w:rPr>
        <w:t>3</w:t>
      </w:r>
      <w:r w:rsidRPr="006A2A04">
        <w:rPr>
          <w:rFonts w:hint="eastAsia"/>
          <w:szCs w:val="28"/>
        </w:rPr>
        <w:t>）建设道路及铺装、变配电照明及动力系统、消防、给排水、弱电及智能化、通风空调、景观绿化等其他附属配套设施。</w:t>
      </w:r>
    </w:p>
    <w:p w:rsidR="00342714" w:rsidRPr="006A2A04" w:rsidRDefault="00342714" w:rsidP="00342714">
      <w:pPr>
        <w:spacing w:line="360" w:lineRule="auto"/>
        <w:ind w:firstLineChars="200" w:firstLine="420"/>
        <w:rPr>
          <w:szCs w:val="28"/>
        </w:rPr>
      </w:pPr>
      <w:r w:rsidRPr="006A2A04">
        <w:rPr>
          <w:rFonts w:hint="eastAsia"/>
          <w:szCs w:val="28"/>
        </w:rPr>
        <w:t>项目主要建设内容见下表</w:t>
      </w:r>
    </w:p>
    <w:tbl>
      <w:tblPr>
        <w:tblW w:w="9286" w:type="dxa"/>
        <w:jc w:val="center"/>
        <w:tblLayout w:type="fixed"/>
        <w:tblLook w:val="04A0"/>
      </w:tblPr>
      <w:tblGrid>
        <w:gridCol w:w="978"/>
        <w:gridCol w:w="3050"/>
        <w:gridCol w:w="875"/>
        <w:gridCol w:w="1937"/>
        <w:gridCol w:w="2446"/>
      </w:tblGrid>
      <w:tr w:rsidR="00342714" w:rsidRPr="006A2A04" w:rsidTr="00DF5630">
        <w:trPr>
          <w:trHeight w:val="405"/>
          <w:jc w:val="center"/>
        </w:trPr>
        <w:tc>
          <w:tcPr>
            <w:tcW w:w="9286" w:type="dxa"/>
            <w:gridSpan w:val="5"/>
            <w:tcBorders>
              <w:top w:val="nil"/>
              <w:left w:val="nil"/>
              <w:bottom w:val="single" w:sz="4" w:space="0" w:color="auto"/>
              <w:right w:val="nil"/>
            </w:tcBorders>
            <w:vAlign w:val="bottom"/>
          </w:tcPr>
          <w:p w:rsidR="00342714" w:rsidRPr="006A2A04" w:rsidRDefault="00342714" w:rsidP="00DF5630">
            <w:pPr>
              <w:widowControl/>
              <w:jc w:val="center"/>
              <w:rPr>
                <w:b/>
                <w:bCs/>
                <w:sz w:val="24"/>
              </w:rPr>
            </w:pPr>
            <w:r w:rsidRPr="006A2A04">
              <w:rPr>
                <w:rFonts w:hint="eastAsia"/>
                <w:b/>
                <w:bCs/>
                <w:sz w:val="22"/>
              </w:rPr>
              <w:lastRenderedPageBreak/>
              <w:t>主要技术经济指标表</w:t>
            </w:r>
          </w:p>
        </w:tc>
      </w:tr>
      <w:tr w:rsidR="00342714" w:rsidRPr="006A2A04" w:rsidTr="00DF5630">
        <w:trPr>
          <w:trHeight w:val="71"/>
          <w:jc w:val="center"/>
        </w:trPr>
        <w:tc>
          <w:tcPr>
            <w:tcW w:w="4028" w:type="dxa"/>
            <w:gridSpan w:val="2"/>
            <w:tcBorders>
              <w:top w:val="single" w:sz="4" w:space="0" w:color="auto"/>
              <w:left w:val="single" w:sz="4" w:space="0" w:color="auto"/>
              <w:bottom w:val="single" w:sz="4" w:space="0" w:color="auto"/>
              <w:right w:val="single" w:sz="4" w:space="0" w:color="auto"/>
            </w:tcBorders>
            <w:vAlign w:val="center"/>
          </w:tcPr>
          <w:p w:rsidR="00342714" w:rsidRPr="006A2A04" w:rsidRDefault="00342714" w:rsidP="00DF5630">
            <w:pPr>
              <w:widowControl/>
              <w:jc w:val="center"/>
              <w:rPr>
                <w:b/>
                <w:bCs/>
                <w:szCs w:val="21"/>
              </w:rPr>
            </w:pPr>
            <w:r w:rsidRPr="006A2A04">
              <w:rPr>
                <w:rFonts w:hint="eastAsia"/>
                <w:b/>
                <w:bCs/>
                <w:szCs w:val="21"/>
              </w:rPr>
              <w:t>项目名称</w:t>
            </w:r>
          </w:p>
        </w:tc>
        <w:tc>
          <w:tcPr>
            <w:tcW w:w="875"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b/>
                <w:bCs/>
                <w:szCs w:val="21"/>
              </w:rPr>
            </w:pPr>
            <w:r w:rsidRPr="006A2A04">
              <w:rPr>
                <w:rFonts w:hint="eastAsia"/>
                <w:b/>
                <w:bCs/>
                <w:szCs w:val="21"/>
              </w:rPr>
              <w:t>单位</w:t>
            </w:r>
          </w:p>
        </w:tc>
        <w:tc>
          <w:tcPr>
            <w:tcW w:w="1937"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b/>
                <w:bCs/>
                <w:szCs w:val="21"/>
              </w:rPr>
            </w:pPr>
            <w:r w:rsidRPr="006A2A04">
              <w:rPr>
                <w:rFonts w:hint="eastAsia"/>
                <w:b/>
                <w:bCs/>
                <w:szCs w:val="21"/>
              </w:rPr>
              <w:t>数量</w:t>
            </w:r>
          </w:p>
        </w:tc>
        <w:tc>
          <w:tcPr>
            <w:tcW w:w="2446"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备注</w:t>
            </w:r>
          </w:p>
        </w:tc>
      </w:tr>
      <w:tr w:rsidR="00342714" w:rsidRPr="006A2A04" w:rsidTr="00DF5630">
        <w:trPr>
          <w:trHeight w:val="148"/>
          <w:jc w:val="center"/>
        </w:trPr>
        <w:tc>
          <w:tcPr>
            <w:tcW w:w="4028" w:type="dxa"/>
            <w:gridSpan w:val="2"/>
            <w:tcBorders>
              <w:top w:val="single" w:sz="4" w:space="0" w:color="auto"/>
              <w:left w:val="single" w:sz="4" w:space="0" w:color="auto"/>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总用地面积</w:t>
            </w:r>
          </w:p>
        </w:tc>
        <w:tc>
          <w:tcPr>
            <w:tcW w:w="875"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w:t>
            </w:r>
          </w:p>
        </w:tc>
        <w:tc>
          <w:tcPr>
            <w:tcW w:w="1937"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38886.48</w:t>
            </w:r>
          </w:p>
        </w:tc>
        <w:tc>
          <w:tcPr>
            <w:tcW w:w="2446"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约合</w:t>
            </w:r>
            <w:r w:rsidRPr="006A2A04">
              <w:rPr>
                <w:rFonts w:hint="eastAsia"/>
                <w:szCs w:val="21"/>
              </w:rPr>
              <w:t>58.33</w:t>
            </w:r>
            <w:r w:rsidRPr="006A2A04">
              <w:rPr>
                <w:rFonts w:hint="eastAsia"/>
                <w:szCs w:val="21"/>
              </w:rPr>
              <w:t>亩</w:t>
            </w:r>
          </w:p>
        </w:tc>
      </w:tr>
      <w:tr w:rsidR="00342714" w:rsidRPr="006A2A04" w:rsidTr="00DF5630">
        <w:trPr>
          <w:trHeight w:val="74"/>
          <w:jc w:val="center"/>
        </w:trPr>
        <w:tc>
          <w:tcPr>
            <w:tcW w:w="4028" w:type="dxa"/>
            <w:gridSpan w:val="2"/>
            <w:tcBorders>
              <w:top w:val="single" w:sz="4" w:space="0" w:color="auto"/>
              <w:left w:val="single" w:sz="4" w:space="0" w:color="auto"/>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总建筑面积</w:t>
            </w:r>
          </w:p>
        </w:tc>
        <w:tc>
          <w:tcPr>
            <w:tcW w:w="875"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w:t>
            </w:r>
          </w:p>
        </w:tc>
        <w:tc>
          <w:tcPr>
            <w:tcW w:w="1937"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 xml:space="preserve">80676.00 </w:t>
            </w:r>
          </w:p>
        </w:tc>
        <w:tc>
          <w:tcPr>
            <w:tcW w:w="2446"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p>
        </w:tc>
      </w:tr>
      <w:tr w:rsidR="00342714" w:rsidRPr="006A2A04" w:rsidTr="00DF5630">
        <w:trPr>
          <w:trHeight w:val="151"/>
          <w:jc w:val="center"/>
        </w:trPr>
        <w:tc>
          <w:tcPr>
            <w:tcW w:w="978" w:type="dxa"/>
            <w:vMerge w:val="restart"/>
            <w:tcBorders>
              <w:top w:val="single" w:sz="4" w:space="0" w:color="auto"/>
              <w:left w:val="single" w:sz="4" w:space="0" w:color="auto"/>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其中</w:t>
            </w:r>
          </w:p>
        </w:tc>
        <w:tc>
          <w:tcPr>
            <w:tcW w:w="3050"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地上建筑面积</w:t>
            </w:r>
          </w:p>
        </w:tc>
        <w:tc>
          <w:tcPr>
            <w:tcW w:w="875"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w:t>
            </w:r>
          </w:p>
        </w:tc>
        <w:tc>
          <w:tcPr>
            <w:tcW w:w="1937"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 xml:space="preserve">60676.00 </w:t>
            </w:r>
          </w:p>
        </w:tc>
        <w:tc>
          <w:tcPr>
            <w:tcW w:w="2446"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p>
        </w:tc>
      </w:tr>
      <w:tr w:rsidR="00342714" w:rsidRPr="006A2A04" w:rsidTr="00DF5630">
        <w:trPr>
          <w:trHeight w:val="65"/>
          <w:jc w:val="center"/>
        </w:trPr>
        <w:tc>
          <w:tcPr>
            <w:tcW w:w="978" w:type="dxa"/>
            <w:vMerge/>
            <w:tcBorders>
              <w:top w:val="single" w:sz="4" w:space="0" w:color="auto"/>
              <w:left w:val="single" w:sz="4" w:space="0" w:color="auto"/>
              <w:bottom w:val="single" w:sz="4" w:space="0" w:color="auto"/>
              <w:right w:val="single" w:sz="4" w:space="0" w:color="auto"/>
            </w:tcBorders>
            <w:vAlign w:val="center"/>
          </w:tcPr>
          <w:p w:rsidR="00342714" w:rsidRPr="006A2A04" w:rsidRDefault="00342714" w:rsidP="00DF5630"/>
        </w:tc>
        <w:tc>
          <w:tcPr>
            <w:tcW w:w="3050"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地下建筑面积</w:t>
            </w:r>
          </w:p>
        </w:tc>
        <w:tc>
          <w:tcPr>
            <w:tcW w:w="875"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w:t>
            </w:r>
          </w:p>
        </w:tc>
        <w:tc>
          <w:tcPr>
            <w:tcW w:w="1937"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 xml:space="preserve">20000.00 </w:t>
            </w:r>
          </w:p>
        </w:tc>
        <w:tc>
          <w:tcPr>
            <w:tcW w:w="2446"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含人防</w:t>
            </w:r>
            <w:r w:rsidRPr="006A2A04">
              <w:rPr>
                <w:rFonts w:hint="eastAsia"/>
                <w:szCs w:val="21"/>
              </w:rPr>
              <w:t>2400</w:t>
            </w:r>
            <w:r w:rsidRPr="006A2A04">
              <w:rPr>
                <w:rFonts w:hint="eastAsia"/>
                <w:szCs w:val="21"/>
              </w:rPr>
              <w:t>㎡</w:t>
            </w:r>
          </w:p>
        </w:tc>
      </w:tr>
      <w:tr w:rsidR="00342714" w:rsidRPr="006A2A04" w:rsidTr="00DF5630">
        <w:trPr>
          <w:trHeight w:val="142"/>
          <w:jc w:val="center"/>
        </w:trPr>
        <w:tc>
          <w:tcPr>
            <w:tcW w:w="4028" w:type="dxa"/>
            <w:gridSpan w:val="2"/>
            <w:tcBorders>
              <w:top w:val="single" w:sz="4" w:space="0" w:color="auto"/>
              <w:left w:val="single" w:sz="4" w:space="0" w:color="auto"/>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建筑基底面积</w:t>
            </w:r>
          </w:p>
        </w:tc>
        <w:tc>
          <w:tcPr>
            <w:tcW w:w="875"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w:t>
            </w:r>
          </w:p>
        </w:tc>
        <w:tc>
          <w:tcPr>
            <w:tcW w:w="1937"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 xml:space="preserve">11665.00 </w:t>
            </w:r>
          </w:p>
        </w:tc>
        <w:tc>
          <w:tcPr>
            <w:tcW w:w="2446"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p>
        </w:tc>
      </w:tr>
      <w:tr w:rsidR="00342714" w:rsidRPr="006A2A04" w:rsidTr="00DF5630">
        <w:trPr>
          <w:trHeight w:val="56"/>
          <w:jc w:val="center"/>
        </w:trPr>
        <w:tc>
          <w:tcPr>
            <w:tcW w:w="4028" w:type="dxa"/>
            <w:gridSpan w:val="2"/>
            <w:tcBorders>
              <w:top w:val="single" w:sz="4" w:space="0" w:color="auto"/>
              <w:left w:val="single" w:sz="4" w:space="0" w:color="auto"/>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建筑密度</w:t>
            </w:r>
          </w:p>
        </w:tc>
        <w:tc>
          <w:tcPr>
            <w:tcW w:w="875"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w:t>
            </w:r>
          </w:p>
        </w:tc>
        <w:tc>
          <w:tcPr>
            <w:tcW w:w="1937"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 xml:space="preserve">30.00 </w:t>
            </w:r>
          </w:p>
        </w:tc>
        <w:tc>
          <w:tcPr>
            <w:tcW w:w="2446"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p>
        </w:tc>
      </w:tr>
      <w:tr w:rsidR="00342714" w:rsidRPr="006A2A04" w:rsidTr="00DF5630">
        <w:trPr>
          <w:trHeight w:val="53"/>
          <w:jc w:val="center"/>
        </w:trPr>
        <w:tc>
          <w:tcPr>
            <w:tcW w:w="4028" w:type="dxa"/>
            <w:gridSpan w:val="2"/>
            <w:tcBorders>
              <w:top w:val="single" w:sz="4" w:space="0" w:color="auto"/>
              <w:left w:val="single" w:sz="4" w:space="0" w:color="auto"/>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容积率</w:t>
            </w:r>
          </w:p>
        </w:tc>
        <w:tc>
          <w:tcPr>
            <w:tcW w:w="875"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p>
        </w:tc>
        <w:tc>
          <w:tcPr>
            <w:tcW w:w="1937"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 xml:space="preserve">1.56 </w:t>
            </w:r>
          </w:p>
        </w:tc>
        <w:tc>
          <w:tcPr>
            <w:tcW w:w="2446"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p>
        </w:tc>
      </w:tr>
      <w:tr w:rsidR="00342714" w:rsidRPr="006A2A04" w:rsidTr="00DF5630">
        <w:trPr>
          <w:trHeight w:val="97"/>
          <w:jc w:val="center"/>
        </w:trPr>
        <w:tc>
          <w:tcPr>
            <w:tcW w:w="4028" w:type="dxa"/>
            <w:gridSpan w:val="2"/>
            <w:tcBorders>
              <w:top w:val="single" w:sz="4" w:space="0" w:color="auto"/>
              <w:left w:val="single" w:sz="4" w:space="0" w:color="auto"/>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绿地率</w:t>
            </w:r>
          </w:p>
        </w:tc>
        <w:tc>
          <w:tcPr>
            <w:tcW w:w="875"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w:t>
            </w:r>
          </w:p>
        </w:tc>
        <w:tc>
          <w:tcPr>
            <w:tcW w:w="1937"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 xml:space="preserve">30.00 </w:t>
            </w:r>
          </w:p>
        </w:tc>
        <w:tc>
          <w:tcPr>
            <w:tcW w:w="2446"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p>
        </w:tc>
      </w:tr>
      <w:tr w:rsidR="00342714" w:rsidRPr="006A2A04" w:rsidTr="00DF5630">
        <w:trPr>
          <w:trHeight w:val="141"/>
          <w:jc w:val="center"/>
        </w:trPr>
        <w:tc>
          <w:tcPr>
            <w:tcW w:w="4028" w:type="dxa"/>
            <w:gridSpan w:val="2"/>
            <w:tcBorders>
              <w:top w:val="single" w:sz="4" w:space="0" w:color="auto"/>
              <w:left w:val="single" w:sz="4" w:space="0" w:color="auto"/>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机动车停车位</w:t>
            </w:r>
          </w:p>
        </w:tc>
        <w:tc>
          <w:tcPr>
            <w:tcW w:w="875"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辆</w:t>
            </w:r>
          </w:p>
        </w:tc>
        <w:tc>
          <w:tcPr>
            <w:tcW w:w="1937"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530</w:t>
            </w:r>
          </w:p>
        </w:tc>
        <w:tc>
          <w:tcPr>
            <w:tcW w:w="2446"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含</w:t>
            </w:r>
            <w:r w:rsidRPr="006A2A04">
              <w:rPr>
                <w:rFonts w:hint="eastAsia"/>
                <w:szCs w:val="21"/>
              </w:rPr>
              <w:t>55</w:t>
            </w:r>
            <w:r w:rsidRPr="006A2A04">
              <w:rPr>
                <w:rFonts w:hint="eastAsia"/>
                <w:szCs w:val="21"/>
              </w:rPr>
              <w:t>个充电桩</w:t>
            </w:r>
          </w:p>
        </w:tc>
      </w:tr>
      <w:tr w:rsidR="00342714" w:rsidRPr="006A2A04" w:rsidTr="00DF5630">
        <w:trPr>
          <w:trHeight w:val="121"/>
          <w:jc w:val="center"/>
        </w:trPr>
        <w:tc>
          <w:tcPr>
            <w:tcW w:w="978" w:type="dxa"/>
            <w:vMerge w:val="restart"/>
            <w:tcBorders>
              <w:top w:val="single" w:sz="4" w:space="0" w:color="auto"/>
              <w:left w:val="single" w:sz="4" w:space="0" w:color="auto"/>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其中</w:t>
            </w:r>
          </w:p>
        </w:tc>
        <w:tc>
          <w:tcPr>
            <w:tcW w:w="3050"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地上停车位</w:t>
            </w:r>
          </w:p>
        </w:tc>
        <w:tc>
          <w:tcPr>
            <w:tcW w:w="875"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辆</w:t>
            </w:r>
          </w:p>
        </w:tc>
        <w:tc>
          <w:tcPr>
            <w:tcW w:w="1937"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50</w:t>
            </w:r>
          </w:p>
        </w:tc>
        <w:tc>
          <w:tcPr>
            <w:tcW w:w="2446"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p>
        </w:tc>
      </w:tr>
      <w:tr w:rsidR="00342714" w:rsidRPr="006A2A04" w:rsidTr="00DF5630">
        <w:trPr>
          <w:trHeight w:val="66"/>
          <w:jc w:val="center"/>
        </w:trPr>
        <w:tc>
          <w:tcPr>
            <w:tcW w:w="978" w:type="dxa"/>
            <w:vMerge/>
            <w:tcBorders>
              <w:top w:val="single" w:sz="4" w:space="0" w:color="auto"/>
              <w:left w:val="single" w:sz="4" w:space="0" w:color="auto"/>
              <w:bottom w:val="single" w:sz="4" w:space="0" w:color="auto"/>
              <w:right w:val="single" w:sz="4" w:space="0" w:color="auto"/>
            </w:tcBorders>
            <w:vAlign w:val="center"/>
          </w:tcPr>
          <w:p w:rsidR="00342714" w:rsidRPr="006A2A04" w:rsidRDefault="00342714" w:rsidP="00DF5630"/>
        </w:tc>
        <w:tc>
          <w:tcPr>
            <w:tcW w:w="3050"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地下机动车停车位</w:t>
            </w:r>
          </w:p>
        </w:tc>
        <w:tc>
          <w:tcPr>
            <w:tcW w:w="875"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辆</w:t>
            </w:r>
          </w:p>
        </w:tc>
        <w:tc>
          <w:tcPr>
            <w:tcW w:w="1937"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450</w:t>
            </w:r>
          </w:p>
        </w:tc>
        <w:tc>
          <w:tcPr>
            <w:tcW w:w="2446"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含</w:t>
            </w:r>
            <w:r w:rsidRPr="006A2A04">
              <w:rPr>
                <w:rFonts w:hint="eastAsia"/>
                <w:szCs w:val="21"/>
              </w:rPr>
              <w:t>10</w:t>
            </w:r>
            <w:r w:rsidRPr="006A2A04">
              <w:rPr>
                <w:rFonts w:hint="eastAsia"/>
                <w:szCs w:val="21"/>
              </w:rPr>
              <w:t>个无障碍车位</w:t>
            </w:r>
          </w:p>
        </w:tc>
      </w:tr>
      <w:tr w:rsidR="00342714" w:rsidRPr="006A2A04" w:rsidTr="00DF5630">
        <w:trPr>
          <w:trHeight w:val="154"/>
          <w:jc w:val="center"/>
        </w:trPr>
        <w:tc>
          <w:tcPr>
            <w:tcW w:w="4028" w:type="dxa"/>
            <w:gridSpan w:val="2"/>
            <w:tcBorders>
              <w:top w:val="single" w:sz="4" w:space="0" w:color="auto"/>
              <w:left w:val="single" w:sz="4" w:space="0" w:color="auto"/>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非机动车停车位</w:t>
            </w:r>
          </w:p>
        </w:tc>
        <w:tc>
          <w:tcPr>
            <w:tcW w:w="875"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辆</w:t>
            </w:r>
          </w:p>
        </w:tc>
        <w:tc>
          <w:tcPr>
            <w:tcW w:w="1937"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r w:rsidRPr="006A2A04">
              <w:rPr>
                <w:rFonts w:hint="eastAsia"/>
                <w:szCs w:val="21"/>
              </w:rPr>
              <w:t>2400</w:t>
            </w:r>
          </w:p>
        </w:tc>
        <w:tc>
          <w:tcPr>
            <w:tcW w:w="2446" w:type="dxa"/>
            <w:tcBorders>
              <w:top w:val="single" w:sz="4" w:space="0" w:color="auto"/>
              <w:left w:val="nil"/>
              <w:bottom w:val="single" w:sz="4" w:space="0" w:color="auto"/>
              <w:right w:val="single" w:sz="4" w:space="0" w:color="auto"/>
            </w:tcBorders>
            <w:vAlign w:val="center"/>
          </w:tcPr>
          <w:p w:rsidR="00342714" w:rsidRPr="006A2A04" w:rsidRDefault="00342714" w:rsidP="00DF5630">
            <w:pPr>
              <w:widowControl/>
              <w:jc w:val="center"/>
              <w:rPr>
                <w:szCs w:val="21"/>
              </w:rPr>
            </w:pPr>
          </w:p>
        </w:tc>
      </w:tr>
    </w:tbl>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3、 运营范围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hint="eastAsia"/>
          <w:szCs w:val="28"/>
        </w:rPr>
        <w:t>项目公司在运营期主要负责图书馆生活文化空间的商业运营，负责项目范围内（包括大堂、地下室、室外等，不包含图书馆主馆、少儿馆及多功能展区等区域）的物业管理（包含保安、保洁、绿化、道路养护等）和建筑及设备设施日常养护（图书馆入驻单位原有功能设备暂由其自行管理）；项目建成后图书核心业务仍由柳州市图书馆管理单位负责。</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4、 投资规模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根据初步设计概算表本项目建设总投资</w:t>
      </w:r>
      <w:r w:rsidRPr="006A2A04">
        <w:rPr>
          <w:rFonts w:asciiTheme="minorEastAsia" w:eastAsiaTheme="minorEastAsia" w:hAnsiTheme="minorEastAsia"/>
          <w:kern w:val="0"/>
          <w:szCs w:val="21"/>
        </w:rPr>
        <w:t>110982.78</w:t>
      </w:r>
      <w:r w:rsidRPr="006A2A04">
        <w:rPr>
          <w:rFonts w:asciiTheme="minorEastAsia" w:eastAsiaTheme="minorEastAsia" w:hAnsiTheme="minorEastAsia" w:hint="eastAsia"/>
          <w:kern w:val="0"/>
          <w:szCs w:val="21"/>
        </w:rPr>
        <w:t>万元。其中：建安费用</w:t>
      </w:r>
      <w:r w:rsidRPr="006A2A04">
        <w:rPr>
          <w:rFonts w:asciiTheme="minorEastAsia" w:eastAsiaTheme="minorEastAsia" w:hAnsiTheme="minorEastAsia"/>
          <w:kern w:val="0"/>
          <w:szCs w:val="21"/>
        </w:rPr>
        <w:t>95561.34</w:t>
      </w:r>
      <w:r w:rsidRPr="006A2A04">
        <w:rPr>
          <w:rFonts w:asciiTheme="minorEastAsia" w:eastAsiaTheme="minorEastAsia" w:hAnsiTheme="minorEastAsia" w:hint="eastAsia"/>
          <w:kern w:val="0"/>
          <w:szCs w:val="21"/>
        </w:rPr>
        <w:t>万元（包含建筑工程费</w:t>
      </w:r>
      <w:r w:rsidRPr="006A2A04">
        <w:rPr>
          <w:rFonts w:asciiTheme="minorEastAsia" w:eastAsiaTheme="minorEastAsia" w:hAnsiTheme="minorEastAsia"/>
          <w:kern w:val="0"/>
          <w:szCs w:val="21"/>
        </w:rPr>
        <w:t>71929.30</w:t>
      </w:r>
      <w:r w:rsidRPr="006A2A04">
        <w:rPr>
          <w:rFonts w:asciiTheme="minorEastAsia" w:eastAsiaTheme="minorEastAsia" w:hAnsiTheme="minorEastAsia" w:hint="eastAsia"/>
          <w:kern w:val="0"/>
          <w:szCs w:val="21"/>
        </w:rPr>
        <w:t>万元、设备购置费</w:t>
      </w:r>
      <w:r w:rsidRPr="006A2A04">
        <w:rPr>
          <w:rFonts w:asciiTheme="minorEastAsia" w:eastAsiaTheme="minorEastAsia" w:hAnsiTheme="minorEastAsia"/>
          <w:kern w:val="0"/>
          <w:szCs w:val="21"/>
        </w:rPr>
        <w:t>9407.18</w:t>
      </w:r>
      <w:r w:rsidRPr="006A2A04">
        <w:rPr>
          <w:rFonts w:asciiTheme="minorEastAsia" w:eastAsiaTheme="minorEastAsia" w:hAnsiTheme="minorEastAsia" w:hint="eastAsia"/>
          <w:kern w:val="0"/>
          <w:szCs w:val="21"/>
        </w:rPr>
        <w:t>万元，安装工程14</w:t>
      </w:r>
      <w:r w:rsidRPr="006A2A04">
        <w:rPr>
          <w:rFonts w:asciiTheme="minorEastAsia" w:eastAsiaTheme="minorEastAsia" w:hAnsiTheme="minorEastAsia"/>
          <w:kern w:val="0"/>
          <w:szCs w:val="21"/>
        </w:rPr>
        <w:t>224.86</w:t>
      </w:r>
      <w:r w:rsidRPr="006A2A04">
        <w:rPr>
          <w:rFonts w:asciiTheme="minorEastAsia" w:eastAsiaTheme="minorEastAsia" w:hAnsiTheme="minorEastAsia" w:hint="eastAsia"/>
          <w:kern w:val="0"/>
          <w:szCs w:val="21"/>
        </w:rPr>
        <w:t>万元），工程建设其他费用</w:t>
      </w:r>
      <w:r w:rsidRPr="006A2A04">
        <w:rPr>
          <w:rFonts w:asciiTheme="minorEastAsia" w:eastAsiaTheme="minorEastAsia" w:hAnsiTheme="minorEastAsia"/>
          <w:kern w:val="0"/>
          <w:szCs w:val="21"/>
        </w:rPr>
        <w:t>10136.55</w:t>
      </w:r>
      <w:r w:rsidRPr="006A2A04">
        <w:rPr>
          <w:rFonts w:asciiTheme="minorEastAsia" w:eastAsiaTheme="minorEastAsia" w:hAnsiTheme="minorEastAsia" w:hint="eastAsia"/>
          <w:kern w:val="0"/>
          <w:szCs w:val="21"/>
        </w:rPr>
        <w:t>万元，预备费</w:t>
      </w:r>
      <w:r w:rsidRPr="006A2A04">
        <w:rPr>
          <w:rFonts w:asciiTheme="minorEastAsia" w:eastAsiaTheme="minorEastAsia" w:hAnsiTheme="minorEastAsia"/>
          <w:kern w:val="0"/>
          <w:szCs w:val="21"/>
        </w:rPr>
        <w:t>5284.89</w:t>
      </w:r>
      <w:r w:rsidRPr="006A2A04">
        <w:rPr>
          <w:rFonts w:asciiTheme="minorEastAsia" w:eastAsiaTheme="minorEastAsia" w:hAnsiTheme="minorEastAsia" w:hint="eastAsia"/>
          <w:kern w:val="0"/>
          <w:szCs w:val="21"/>
        </w:rPr>
        <w:t>万元。</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藏书360万册的成本，经调查预计每本成本40元，需约4年购置完成，投资约1.44亿元。藏书购置资金不纳入本次PPP项目投资范围，形成资产也不计入项目公司范畴。</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投资情况如下：</w:t>
      </w:r>
    </w:p>
    <w:p w:rsidR="00342714" w:rsidRDefault="00342714" w:rsidP="00342714">
      <w:pPr>
        <w:jc w:val="center"/>
        <w:rPr>
          <w:szCs w:val="28"/>
        </w:rPr>
      </w:pPr>
      <w:r w:rsidRPr="006A2A04">
        <w:rPr>
          <w:rFonts w:hint="eastAsia"/>
          <w:szCs w:val="28"/>
        </w:rPr>
        <w:t>项目初步设计概算表</w:t>
      </w:r>
    </w:p>
    <w:tbl>
      <w:tblPr>
        <w:tblW w:w="9286" w:type="dxa"/>
        <w:tblLayout w:type="fixed"/>
        <w:tblLook w:val="04A0"/>
      </w:tblPr>
      <w:tblGrid>
        <w:gridCol w:w="813"/>
        <w:gridCol w:w="3126"/>
        <w:gridCol w:w="1183"/>
        <w:gridCol w:w="1174"/>
        <w:gridCol w:w="1174"/>
        <w:gridCol w:w="1816"/>
      </w:tblGrid>
      <w:tr w:rsidR="00342714" w:rsidRPr="006A2A04" w:rsidTr="00DF5630">
        <w:trPr>
          <w:trHeight w:val="20"/>
          <w:tblHeader/>
        </w:trPr>
        <w:tc>
          <w:tcPr>
            <w:tcW w:w="813"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序号</w:t>
            </w:r>
          </w:p>
        </w:tc>
        <w:tc>
          <w:tcPr>
            <w:tcW w:w="3126"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工程或费用名称</w:t>
            </w:r>
          </w:p>
        </w:tc>
        <w:tc>
          <w:tcPr>
            <w:tcW w:w="5347" w:type="dxa"/>
            <w:gridSpan w:val="4"/>
            <w:tcBorders>
              <w:top w:val="single" w:sz="4" w:space="0" w:color="auto"/>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概算价值（万元）</w:t>
            </w:r>
          </w:p>
        </w:tc>
      </w:tr>
      <w:tr w:rsidR="00342714" w:rsidRPr="006A2A04" w:rsidTr="00DF5630">
        <w:trPr>
          <w:trHeight w:val="20"/>
          <w:tblHeader/>
        </w:trPr>
        <w:tc>
          <w:tcPr>
            <w:tcW w:w="813" w:type="dxa"/>
            <w:vMerge/>
            <w:tcBorders>
              <w:top w:val="single" w:sz="4" w:space="0" w:color="auto"/>
              <w:left w:val="single" w:sz="4" w:space="0" w:color="auto"/>
              <w:bottom w:val="single" w:sz="4" w:space="0" w:color="auto"/>
              <w:right w:val="single" w:sz="4" w:space="0" w:color="auto"/>
            </w:tcBorders>
            <w:vAlign w:val="center"/>
          </w:tcPr>
          <w:p w:rsidR="00342714" w:rsidRPr="006A2A04" w:rsidRDefault="00342714" w:rsidP="00DF5630">
            <w:pPr>
              <w:widowControl/>
              <w:jc w:val="left"/>
              <w:rPr>
                <w:rFonts w:hAnsi="宋体"/>
                <w:sz w:val="18"/>
                <w:szCs w:val="18"/>
              </w:rPr>
            </w:pPr>
          </w:p>
        </w:tc>
        <w:tc>
          <w:tcPr>
            <w:tcW w:w="3126" w:type="dxa"/>
            <w:vMerge/>
            <w:tcBorders>
              <w:top w:val="single" w:sz="4" w:space="0" w:color="auto"/>
              <w:left w:val="single" w:sz="4" w:space="0" w:color="auto"/>
              <w:bottom w:val="single" w:sz="4" w:space="0" w:color="auto"/>
              <w:right w:val="single" w:sz="4" w:space="0" w:color="auto"/>
            </w:tcBorders>
            <w:vAlign w:val="center"/>
          </w:tcPr>
          <w:p w:rsidR="00342714" w:rsidRPr="006A2A04" w:rsidRDefault="00342714" w:rsidP="00DF5630">
            <w:pPr>
              <w:widowControl/>
              <w:jc w:val="left"/>
              <w:rPr>
                <w:rFonts w:hAnsi="宋体"/>
                <w:sz w:val="18"/>
                <w:szCs w:val="18"/>
              </w:rPr>
            </w:pPr>
          </w:p>
        </w:tc>
        <w:tc>
          <w:tcPr>
            <w:tcW w:w="1183"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建筑工程</w:t>
            </w:r>
          </w:p>
        </w:tc>
        <w:tc>
          <w:tcPr>
            <w:tcW w:w="1174"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安装工程</w:t>
            </w:r>
          </w:p>
        </w:tc>
        <w:tc>
          <w:tcPr>
            <w:tcW w:w="1174"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设备购置</w:t>
            </w:r>
          </w:p>
        </w:tc>
        <w:tc>
          <w:tcPr>
            <w:tcW w:w="1816"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合计</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一</w:t>
            </w:r>
          </w:p>
        </w:tc>
        <w:tc>
          <w:tcPr>
            <w:tcW w:w="3126"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jc w:val="left"/>
              <w:rPr>
                <w:rFonts w:hAnsi="宋体"/>
                <w:sz w:val="18"/>
                <w:szCs w:val="18"/>
              </w:rPr>
            </w:pPr>
            <w:r w:rsidRPr="006A2A04">
              <w:rPr>
                <w:rFonts w:hAnsi="宋体" w:hint="eastAsia"/>
                <w:sz w:val="18"/>
                <w:szCs w:val="18"/>
              </w:rPr>
              <w:t>第一部份：建安工程费用</w:t>
            </w:r>
          </w:p>
        </w:tc>
        <w:tc>
          <w:tcPr>
            <w:tcW w:w="1183"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 xml:space="preserve">71929.30 </w:t>
            </w:r>
          </w:p>
        </w:tc>
        <w:tc>
          <w:tcPr>
            <w:tcW w:w="1174"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 xml:space="preserve">9407.18 </w:t>
            </w:r>
          </w:p>
        </w:tc>
        <w:tc>
          <w:tcPr>
            <w:tcW w:w="1174"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 xml:space="preserve">14224.86 </w:t>
            </w:r>
          </w:p>
        </w:tc>
        <w:tc>
          <w:tcPr>
            <w:tcW w:w="1816"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 xml:space="preserve">95561.34 </w:t>
            </w:r>
          </w:p>
        </w:tc>
      </w:tr>
      <w:tr w:rsidR="00342714" w:rsidRPr="006A2A04" w:rsidTr="00DF5630">
        <w:trPr>
          <w:trHeight w:val="20"/>
        </w:trPr>
        <w:tc>
          <w:tcPr>
            <w:tcW w:w="813" w:type="dxa"/>
            <w:tcBorders>
              <w:top w:val="nil"/>
              <w:left w:val="single" w:sz="4" w:space="0" w:color="auto"/>
              <w:bottom w:val="nil"/>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1</w:t>
            </w:r>
          </w:p>
        </w:tc>
        <w:tc>
          <w:tcPr>
            <w:tcW w:w="3126" w:type="dxa"/>
            <w:tcBorders>
              <w:top w:val="nil"/>
              <w:left w:val="nil"/>
              <w:bottom w:val="nil"/>
              <w:right w:val="single" w:sz="4" w:space="0" w:color="auto"/>
            </w:tcBorders>
            <w:shd w:val="clear" w:color="000000" w:fill="C0C0C0"/>
            <w:vAlign w:val="center"/>
          </w:tcPr>
          <w:p w:rsidR="00342714" w:rsidRPr="006A2A04" w:rsidRDefault="00342714" w:rsidP="00DF5630">
            <w:pPr>
              <w:jc w:val="left"/>
              <w:rPr>
                <w:rFonts w:hAnsi="宋体"/>
                <w:sz w:val="18"/>
                <w:szCs w:val="18"/>
              </w:rPr>
            </w:pPr>
            <w:r w:rsidRPr="006A2A04">
              <w:rPr>
                <w:rFonts w:hAnsi="宋体" w:hint="eastAsia"/>
                <w:sz w:val="18"/>
                <w:szCs w:val="18"/>
              </w:rPr>
              <w:t>地下工程</w:t>
            </w:r>
          </w:p>
        </w:tc>
        <w:tc>
          <w:tcPr>
            <w:tcW w:w="1183" w:type="dxa"/>
            <w:tcBorders>
              <w:top w:val="nil"/>
              <w:left w:val="nil"/>
              <w:bottom w:val="nil"/>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 xml:space="preserve">11005.18 </w:t>
            </w:r>
          </w:p>
        </w:tc>
        <w:tc>
          <w:tcPr>
            <w:tcW w:w="1174" w:type="dxa"/>
            <w:tcBorders>
              <w:top w:val="nil"/>
              <w:left w:val="nil"/>
              <w:bottom w:val="nil"/>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 xml:space="preserve">0.00 </w:t>
            </w:r>
          </w:p>
        </w:tc>
        <w:tc>
          <w:tcPr>
            <w:tcW w:w="1174" w:type="dxa"/>
            <w:tcBorders>
              <w:top w:val="nil"/>
              <w:left w:val="nil"/>
              <w:bottom w:val="nil"/>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 xml:space="preserve">0.00 </w:t>
            </w:r>
          </w:p>
        </w:tc>
        <w:tc>
          <w:tcPr>
            <w:tcW w:w="1816"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 xml:space="preserve">11005.18 </w:t>
            </w:r>
          </w:p>
        </w:tc>
      </w:tr>
      <w:tr w:rsidR="00342714" w:rsidRPr="006A2A04" w:rsidTr="00DF5630">
        <w:trPr>
          <w:trHeight w:val="20"/>
        </w:trPr>
        <w:tc>
          <w:tcPr>
            <w:tcW w:w="813" w:type="dxa"/>
            <w:tcBorders>
              <w:top w:val="single" w:sz="4" w:space="0" w:color="auto"/>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jc w:val="center"/>
              <w:rPr>
                <w:sz w:val="18"/>
              </w:rPr>
            </w:pPr>
            <w:r w:rsidRPr="006A2A04">
              <w:rPr>
                <w:rFonts w:hint="eastAsia"/>
                <w:sz w:val="18"/>
              </w:rPr>
              <w:t>1.1</w:t>
            </w:r>
          </w:p>
        </w:tc>
        <w:tc>
          <w:tcPr>
            <w:tcW w:w="3126" w:type="dxa"/>
            <w:tcBorders>
              <w:top w:val="single" w:sz="4" w:space="0" w:color="auto"/>
              <w:left w:val="nil"/>
              <w:bottom w:val="single" w:sz="4" w:space="0" w:color="auto"/>
              <w:right w:val="single" w:sz="4" w:space="0" w:color="auto"/>
            </w:tcBorders>
            <w:shd w:val="clear" w:color="auto" w:fill="auto"/>
            <w:vAlign w:val="center"/>
          </w:tcPr>
          <w:p w:rsidR="00342714" w:rsidRPr="006A2A04" w:rsidRDefault="00342714" w:rsidP="00DF5630">
            <w:pPr>
              <w:jc w:val="left"/>
              <w:rPr>
                <w:sz w:val="18"/>
              </w:rPr>
            </w:pPr>
            <w:r w:rsidRPr="006A2A04">
              <w:rPr>
                <w:rFonts w:hint="eastAsia"/>
                <w:sz w:val="18"/>
              </w:rPr>
              <w:t>土建工程</w:t>
            </w:r>
          </w:p>
        </w:tc>
        <w:tc>
          <w:tcPr>
            <w:tcW w:w="1183" w:type="dxa"/>
            <w:tcBorders>
              <w:top w:val="single" w:sz="4" w:space="0" w:color="auto"/>
              <w:left w:val="nil"/>
              <w:bottom w:val="single" w:sz="4" w:space="0" w:color="auto"/>
              <w:right w:val="single" w:sz="4" w:space="0" w:color="auto"/>
            </w:tcBorders>
            <w:shd w:val="clear" w:color="auto" w:fill="auto"/>
            <w:vAlign w:val="center"/>
          </w:tcPr>
          <w:p w:rsidR="00342714" w:rsidRPr="006A2A04" w:rsidRDefault="00342714" w:rsidP="00DF5630">
            <w:pPr>
              <w:jc w:val="center"/>
              <w:rPr>
                <w:sz w:val="18"/>
              </w:rPr>
            </w:pPr>
            <w:r w:rsidRPr="006A2A04">
              <w:rPr>
                <w:rFonts w:hint="eastAsia"/>
                <w:sz w:val="18"/>
              </w:rPr>
              <w:t xml:space="preserve">9240.47 </w:t>
            </w:r>
          </w:p>
        </w:tc>
        <w:tc>
          <w:tcPr>
            <w:tcW w:w="1174" w:type="dxa"/>
            <w:tcBorders>
              <w:top w:val="single" w:sz="4" w:space="0" w:color="auto"/>
              <w:left w:val="nil"/>
              <w:bottom w:val="single" w:sz="4" w:space="0" w:color="auto"/>
              <w:right w:val="single" w:sz="4" w:space="0" w:color="auto"/>
            </w:tcBorders>
            <w:shd w:val="clear" w:color="auto" w:fill="auto"/>
            <w:vAlign w:val="center"/>
          </w:tcPr>
          <w:p w:rsidR="00342714" w:rsidRPr="006A2A04" w:rsidRDefault="00342714" w:rsidP="00DF5630">
            <w:pPr>
              <w:jc w:val="center"/>
              <w:rPr>
                <w:sz w:val="18"/>
              </w:rPr>
            </w:pPr>
          </w:p>
        </w:tc>
        <w:tc>
          <w:tcPr>
            <w:tcW w:w="1174" w:type="dxa"/>
            <w:tcBorders>
              <w:top w:val="single" w:sz="4" w:space="0" w:color="auto"/>
              <w:left w:val="nil"/>
              <w:bottom w:val="single" w:sz="4" w:space="0" w:color="auto"/>
              <w:right w:val="single" w:sz="4" w:space="0" w:color="auto"/>
            </w:tcBorders>
            <w:shd w:val="clear" w:color="auto" w:fill="auto"/>
            <w:vAlign w:val="center"/>
          </w:tcPr>
          <w:p w:rsidR="00342714" w:rsidRPr="006A2A04" w:rsidRDefault="00342714" w:rsidP="00DF5630">
            <w:pPr>
              <w:jc w:val="center"/>
              <w:rPr>
                <w:sz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jc w:val="center"/>
              <w:rPr>
                <w:sz w:val="18"/>
              </w:rPr>
            </w:pPr>
            <w:r w:rsidRPr="006A2A04">
              <w:rPr>
                <w:rFonts w:hint="eastAsia"/>
                <w:sz w:val="18"/>
              </w:rPr>
              <w:t xml:space="preserve">9240.47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jc w:val="center"/>
              <w:rPr>
                <w:sz w:val="18"/>
              </w:rPr>
            </w:pPr>
            <w:r w:rsidRPr="006A2A04">
              <w:rPr>
                <w:rFonts w:hint="eastAsia"/>
                <w:sz w:val="18"/>
              </w:rPr>
              <w:t>1.1.1</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jc w:val="left"/>
              <w:rPr>
                <w:sz w:val="18"/>
              </w:rPr>
            </w:pPr>
            <w:r w:rsidRPr="006A2A04">
              <w:rPr>
                <w:rFonts w:hint="eastAsia"/>
                <w:sz w:val="18"/>
              </w:rPr>
              <w:t>地下结构工程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jc w:val="center"/>
              <w:rPr>
                <w:sz w:val="18"/>
              </w:rPr>
            </w:pPr>
            <w:r w:rsidRPr="006A2A04">
              <w:rPr>
                <w:rFonts w:hint="eastAsia"/>
                <w:sz w:val="18"/>
              </w:rPr>
              <w:t xml:space="preserve">7213.17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jc w:val="center"/>
              <w:rPr>
                <w:sz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jc w:val="center"/>
              <w:rPr>
                <w:sz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jc w:val="center"/>
              <w:rPr>
                <w:sz w:val="18"/>
              </w:rPr>
            </w:pPr>
            <w:r w:rsidRPr="006A2A04">
              <w:rPr>
                <w:rFonts w:hint="eastAsia"/>
                <w:sz w:val="18"/>
              </w:rPr>
              <w:t xml:space="preserve">7213.17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jc w:val="center"/>
              <w:rPr>
                <w:sz w:val="18"/>
              </w:rPr>
            </w:pPr>
            <w:r w:rsidRPr="006A2A04">
              <w:rPr>
                <w:rFonts w:hint="eastAsia"/>
                <w:sz w:val="18"/>
              </w:rPr>
              <w:t>1.1.2</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jc w:val="left"/>
              <w:rPr>
                <w:sz w:val="18"/>
              </w:rPr>
            </w:pPr>
            <w:r w:rsidRPr="006A2A04">
              <w:rPr>
                <w:rFonts w:hint="eastAsia"/>
                <w:sz w:val="18"/>
              </w:rPr>
              <w:t>地下建筑工程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jc w:val="center"/>
              <w:rPr>
                <w:sz w:val="18"/>
              </w:rPr>
            </w:pPr>
            <w:r w:rsidRPr="006A2A04">
              <w:rPr>
                <w:rFonts w:hint="eastAsia"/>
                <w:sz w:val="18"/>
              </w:rPr>
              <w:t xml:space="preserve">1060.45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jc w:val="center"/>
              <w:rPr>
                <w:sz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jc w:val="center"/>
              <w:rPr>
                <w:sz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jc w:val="center"/>
              <w:rPr>
                <w:sz w:val="18"/>
              </w:rPr>
            </w:pPr>
            <w:r w:rsidRPr="006A2A04">
              <w:rPr>
                <w:rFonts w:hint="eastAsia"/>
                <w:sz w:val="18"/>
              </w:rPr>
              <w:t xml:space="preserve">1060.45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jc w:val="center"/>
              <w:rPr>
                <w:sz w:val="18"/>
              </w:rPr>
            </w:pPr>
            <w:r w:rsidRPr="006A2A04">
              <w:rPr>
                <w:rFonts w:hint="eastAsia"/>
                <w:sz w:val="18"/>
              </w:rPr>
              <w:t>1.1.3</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jc w:val="left"/>
              <w:rPr>
                <w:sz w:val="18"/>
              </w:rPr>
            </w:pPr>
            <w:r w:rsidRPr="006A2A04">
              <w:rPr>
                <w:rFonts w:hint="eastAsia"/>
                <w:sz w:val="18"/>
              </w:rPr>
              <w:t>地下人防补差</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jc w:val="center"/>
              <w:rPr>
                <w:sz w:val="18"/>
              </w:rPr>
            </w:pPr>
            <w:r w:rsidRPr="006A2A04">
              <w:rPr>
                <w:rFonts w:hint="eastAsia"/>
                <w:sz w:val="18"/>
              </w:rPr>
              <w:t xml:space="preserve">966.85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jc w:val="center"/>
              <w:rPr>
                <w:sz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jc w:val="center"/>
              <w:rPr>
                <w:sz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jc w:val="center"/>
              <w:rPr>
                <w:sz w:val="18"/>
              </w:rPr>
            </w:pPr>
            <w:r w:rsidRPr="006A2A04">
              <w:rPr>
                <w:rFonts w:hint="eastAsia"/>
                <w:sz w:val="18"/>
              </w:rPr>
              <w:t xml:space="preserve">966.85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1.2</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建筑装饰工程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jc w:val="center"/>
              <w:rPr>
                <w:sz w:val="18"/>
              </w:rPr>
            </w:pPr>
            <w:r w:rsidRPr="006A2A04">
              <w:rPr>
                <w:rFonts w:hint="eastAsia"/>
                <w:sz w:val="18"/>
              </w:rPr>
              <w:t xml:space="preserve">1044.55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1044.55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1.3</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土石方工程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jc w:val="center"/>
              <w:rPr>
                <w:sz w:val="18"/>
              </w:rPr>
            </w:pPr>
            <w:r w:rsidRPr="006A2A04">
              <w:rPr>
                <w:rFonts w:hint="eastAsia"/>
                <w:sz w:val="18"/>
              </w:rPr>
              <w:t xml:space="preserve">673.73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673.73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lastRenderedPageBreak/>
              <w:t>1.4</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基坑支护工程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jc w:val="center"/>
              <w:rPr>
                <w:sz w:val="18"/>
              </w:rPr>
            </w:pPr>
            <w:r w:rsidRPr="006A2A04">
              <w:rPr>
                <w:rFonts w:hint="eastAsia"/>
                <w:sz w:val="18"/>
              </w:rPr>
              <w:t xml:space="preserve">46.43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46.43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2</w:t>
            </w:r>
          </w:p>
        </w:tc>
        <w:tc>
          <w:tcPr>
            <w:tcW w:w="3126"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left"/>
              <w:rPr>
                <w:rFonts w:hAnsi="宋体"/>
                <w:b/>
                <w:bCs/>
                <w:sz w:val="18"/>
                <w:szCs w:val="18"/>
              </w:rPr>
            </w:pPr>
            <w:r w:rsidRPr="006A2A04">
              <w:rPr>
                <w:rFonts w:hAnsi="宋体" w:hint="eastAsia"/>
                <w:b/>
                <w:bCs/>
                <w:sz w:val="18"/>
                <w:szCs w:val="18"/>
              </w:rPr>
              <w:t>地上工程</w:t>
            </w:r>
          </w:p>
        </w:tc>
        <w:tc>
          <w:tcPr>
            <w:tcW w:w="1183"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 xml:space="preserve">59949.74 </w:t>
            </w:r>
          </w:p>
        </w:tc>
        <w:tc>
          <w:tcPr>
            <w:tcW w:w="1174"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 xml:space="preserve">0.00 </w:t>
            </w:r>
          </w:p>
        </w:tc>
        <w:tc>
          <w:tcPr>
            <w:tcW w:w="1174"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 xml:space="preserve">0.00 </w:t>
            </w:r>
          </w:p>
        </w:tc>
        <w:tc>
          <w:tcPr>
            <w:tcW w:w="1816"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 xml:space="preserve">59949.74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2.1</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土建工程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28173.48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28173.48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2.1.1</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结构工程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25973.05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25973.05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2.1.2</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建筑工程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2200.43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2200.43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2.2</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建筑装饰工程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21058.76</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21058.76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2.2.1</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图书馆展示馆室内装修费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8063.03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8063.03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2.2.2</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图书馆门厅室内装修费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817.73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817.73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2.2.2</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图书馆报告厅室内装修费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397.58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397.58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2.2.2</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图书馆其他部位室内装修费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11780.42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11780.42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2.3</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外立面装饰工程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10717.49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10717.49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3</w:t>
            </w:r>
          </w:p>
        </w:tc>
        <w:tc>
          <w:tcPr>
            <w:tcW w:w="3126"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left"/>
              <w:rPr>
                <w:rFonts w:hAnsi="宋体"/>
                <w:b/>
                <w:bCs/>
                <w:sz w:val="18"/>
                <w:szCs w:val="18"/>
              </w:rPr>
            </w:pPr>
            <w:r w:rsidRPr="006A2A04">
              <w:rPr>
                <w:rFonts w:hAnsi="宋体" w:hint="eastAsia"/>
                <w:b/>
                <w:bCs/>
                <w:sz w:val="18"/>
                <w:szCs w:val="18"/>
              </w:rPr>
              <w:t>安装工程</w:t>
            </w:r>
          </w:p>
        </w:tc>
        <w:tc>
          <w:tcPr>
            <w:tcW w:w="1183"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p>
        </w:tc>
        <w:tc>
          <w:tcPr>
            <w:tcW w:w="1174"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 xml:space="preserve">9373.07 </w:t>
            </w:r>
          </w:p>
        </w:tc>
        <w:tc>
          <w:tcPr>
            <w:tcW w:w="1174"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b/>
                <w:bCs/>
                <w:sz w:val="18"/>
                <w:szCs w:val="18"/>
              </w:rPr>
              <w:t>13863.35</w:t>
            </w:r>
          </w:p>
        </w:tc>
        <w:tc>
          <w:tcPr>
            <w:tcW w:w="1816"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b/>
                <w:bCs/>
                <w:sz w:val="18"/>
                <w:szCs w:val="18"/>
              </w:rPr>
              <w:t>23236.42</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3.1</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给排水及消防工程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1465.20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279.79 </w:t>
            </w: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1744.99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3.1.1</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给排水工程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474.67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186.93 </w:t>
            </w: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661.60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3.1.2</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消防、喷淋系统</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932.18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55.66 </w:t>
            </w: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987.84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3.1.3</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雨水回收系统</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58.35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37.20 </w:t>
            </w: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95.55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3.2</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供配电及照明工程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3481.91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1926.27 </w:t>
            </w: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5408.18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3.2.1</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变配电工程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304.94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1091.60 </w:t>
            </w: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1396.54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3.2.2</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电气工程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2645.85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452.70 </w:t>
            </w: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3098.55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3.2.3</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冷冻机房配电</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72.57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98.00 </w:t>
            </w: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170.57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3.2.4</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火灾自动报警系统</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38.85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283.97 </w:t>
            </w: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322.82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3.2.5</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泛光照明工程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419.70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419.70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3.3</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弱电及智能化工程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515.65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2003.29 </w:t>
            </w: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2518.94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3.3.1</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弱电设备</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276.03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2003.29 </w:t>
            </w: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2279.32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3.3.2</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弱电配管工程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239.62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239.62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3.4</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空调通风工程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2620.45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1744.00 </w:t>
            </w: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4364.45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3.4.1</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暖通工程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2575.45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1444.00 </w:t>
            </w: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4019.45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3.4.2</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空调</w:t>
            </w:r>
            <w:r w:rsidRPr="006A2A04">
              <w:rPr>
                <w:rFonts w:hAnsi="宋体" w:hint="eastAsia"/>
                <w:sz w:val="18"/>
                <w:szCs w:val="18"/>
              </w:rPr>
              <w:t>BA</w:t>
            </w:r>
            <w:r w:rsidRPr="006A2A04">
              <w:rPr>
                <w:rFonts w:hAnsi="宋体" w:hint="eastAsia"/>
                <w:sz w:val="18"/>
                <w:szCs w:val="18"/>
              </w:rPr>
              <w:t>系统</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45.00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300.00 </w:t>
            </w: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345.00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3.5</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充电桩</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84.00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84.00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3.6</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电梯工程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136.50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910.00 </w:t>
            </w: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1046.50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3.7</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柴油发电机及供油系统</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270.00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270.00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3.8</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抗震支架</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399.68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399.68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3.10</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图书馆专业设备</w:t>
            </w:r>
          </w:p>
        </w:tc>
        <w:tc>
          <w:tcPr>
            <w:tcW w:w="1183" w:type="dxa"/>
            <w:tcBorders>
              <w:top w:val="nil"/>
              <w:left w:val="nil"/>
              <w:bottom w:val="nil"/>
              <w:right w:val="nil"/>
            </w:tcBorders>
            <w:shd w:val="clear" w:color="auto" w:fill="auto"/>
            <w:vAlign w:val="center"/>
          </w:tcPr>
          <w:p w:rsidR="00342714" w:rsidRPr="006A2A04" w:rsidRDefault="00342714" w:rsidP="00DF5630">
            <w:pPr>
              <w:widowControl/>
              <w:jc w:val="left"/>
              <w:rPr>
                <w:rFonts w:hAnsi="宋体"/>
                <w:sz w:val="18"/>
                <w:szCs w:val="18"/>
              </w:rPr>
            </w:pPr>
          </w:p>
        </w:tc>
        <w:tc>
          <w:tcPr>
            <w:tcW w:w="1174" w:type="dxa"/>
            <w:tcBorders>
              <w:top w:val="nil"/>
              <w:left w:val="single" w:sz="4" w:space="0" w:color="auto"/>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7000</w:t>
            </w: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7000.00</w:t>
            </w:r>
          </w:p>
        </w:tc>
      </w:tr>
      <w:tr w:rsidR="00342714" w:rsidRPr="006A2A04" w:rsidTr="00DF5630">
        <w:trPr>
          <w:trHeight w:val="20"/>
        </w:trPr>
        <w:tc>
          <w:tcPr>
            <w:tcW w:w="813" w:type="dxa"/>
            <w:tcBorders>
              <w:top w:val="nil"/>
              <w:left w:val="single" w:sz="4" w:space="0" w:color="auto"/>
              <w:bottom w:val="nil"/>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4</w:t>
            </w:r>
          </w:p>
        </w:tc>
        <w:tc>
          <w:tcPr>
            <w:tcW w:w="3126"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left"/>
              <w:rPr>
                <w:rFonts w:hAnsi="宋体"/>
                <w:b/>
                <w:bCs/>
                <w:sz w:val="18"/>
                <w:szCs w:val="18"/>
              </w:rPr>
            </w:pPr>
            <w:r w:rsidRPr="006A2A04">
              <w:rPr>
                <w:rFonts w:hAnsi="宋体" w:hint="eastAsia"/>
                <w:b/>
                <w:bCs/>
                <w:sz w:val="18"/>
                <w:szCs w:val="18"/>
              </w:rPr>
              <w:t>室外配套工程</w:t>
            </w:r>
          </w:p>
        </w:tc>
        <w:tc>
          <w:tcPr>
            <w:tcW w:w="1183" w:type="dxa"/>
            <w:tcBorders>
              <w:top w:val="single" w:sz="4" w:space="0" w:color="auto"/>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 xml:space="preserve">974.38 </w:t>
            </w:r>
          </w:p>
        </w:tc>
        <w:tc>
          <w:tcPr>
            <w:tcW w:w="1174"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 xml:space="preserve">34.11 </w:t>
            </w:r>
          </w:p>
        </w:tc>
        <w:tc>
          <w:tcPr>
            <w:tcW w:w="1174"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 xml:space="preserve">361.51 </w:t>
            </w:r>
          </w:p>
        </w:tc>
        <w:tc>
          <w:tcPr>
            <w:tcW w:w="1816"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 xml:space="preserve">1370.01 </w:t>
            </w:r>
          </w:p>
        </w:tc>
      </w:tr>
      <w:tr w:rsidR="00342714" w:rsidRPr="006A2A04" w:rsidTr="00DF5630">
        <w:trPr>
          <w:trHeight w:val="20"/>
        </w:trPr>
        <w:tc>
          <w:tcPr>
            <w:tcW w:w="813" w:type="dxa"/>
            <w:tcBorders>
              <w:top w:val="single" w:sz="4" w:space="0" w:color="auto"/>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4.1</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场内道路、停车场、铺装</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681.08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681.08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4.2</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地面景观绿化工程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221.62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221.62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4.3</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屋面景观绿化工程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71.68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71.68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4.4</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室外电气及照明工程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8.66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106.97 </w:t>
            </w: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115.63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4.5</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室外给排水灌溉及消防工程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25.45 </w:t>
            </w: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254.54 </w:t>
            </w:r>
          </w:p>
        </w:tc>
        <w:tc>
          <w:tcPr>
            <w:tcW w:w="181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 xml:space="preserve">280.00 </w:t>
            </w:r>
          </w:p>
        </w:tc>
      </w:tr>
      <w:tr w:rsidR="00342714" w:rsidRPr="006A2A04" w:rsidTr="00DF5630">
        <w:trPr>
          <w:trHeight w:val="20"/>
        </w:trPr>
        <w:tc>
          <w:tcPr>
            <w:tcW w:w="813" w:type="dxa"/>
            <w:tcBorders>
              <w:top w:val="nil"/>
              <w:left w:val="single" w:sz="4" w:space="0" w:color="auto"/>
              <w:bottom w:val="nil"/>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二</w:t>
            </w:r>
          </w:p>
        </w:tc>
        <w:tc>
          <w:tcPr>
            <w:tcW w:w="3126"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left"/>
              <w:rPr>
                <w:rFonts w:hAnsi="宋体"/>
                <w:b/>
                <w:bCs/>
                <w:sz w:val="18"/>
                <w:szCs w:val="18"/>
              </w:rPr>
            </w:pPr>
            <w:r w:rsidRPr="006A2A04">
              <w:rPr>
                <w:rFonts w:hAnsi="宋体" w:hint="eastAsia"/>
                <w:b/>
                <w:bCs/>
                <w:sz w:val="18"/>
                <w:szCs w:val="18"/>
              </w:rPr>
              <w:t>第二部分：工程建设其他费</w:t>
            </w:r>
          </w:p>
        </w:tc>
        <w:tc>
          <w:tcPr>
            <w:tcW w:w="1183"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p>
        </w:tc>
        <w:tc>
          <w:tcPr>
            <w:tcW w:w="1174"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p>
        </w:tc>
        <w:tc>
          <w:tcPr>
            <w:tcW w:w="1174"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p>
        </w:tc>
        <w:tc>
          <w:tcPr>
            <w:tcW w:w="1816"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b/>
                <w:bCs/>
                <w:sz w:val="18"/>
                <w:szCs w:val="18"/>
              </w:rPr>
              <w:t>10136.55</w:t>
            </w:r>
          </w:p>
        </w:tc>
      </w:tr>
      <w:tr w:rsidR="00342714" w:rsidRPr="006A2A04" w:rsidTr="00DF5630">
        <w:trPr>
          <w:trHeight w:val="20"/>
        </w:trPr>
        <w:tc>
          <w:tcPr>
            <w:tcW w:w="813" w:type="dxa"/>
            <w:tcBorders>
              <w:top w:val="single" w:sz="4" w:space="0" w:color="auto"/>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1</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水土保持费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4.28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lastRenderedPageBreak/>
              <w:t>2</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前期工作咨询费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168.47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2.1</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编制项目建议书</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45.39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2.2</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编制可行性研究报告</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90.78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2.3</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评估可行性研究报告</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16.15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tcPr>
          <w:p w:rsidR="00342714" w:rsidRPr="006A2A04" w:rsidRDefault="00342714" w:rsidP="00DF5630">
            <w:pPr>
              <w:widowControl/>
              <w:jc w:val="center"/>
              <w:rPr>
                <w:rFonts w:hAnsi="宋体"/>
                <w:sz w:val="18"/>
                <w:szCs w:val="18"/>
              </w:rPr>
            </w:pPr>
            <w:r w:rsidRPr="006A2A04">
              <w:rPr>
                <w:rFonts w:hAnsi="宋体" w:hint="eastAsia"/>
                <w:sz w:val="18"/>
                <w:szCs w:val="18"/>
              </w:rPr>
              <w:t>2.4</w:t>
            </w:r>
          </w:p>
        </w:tc>
        <w:tc>
          <w:tcPr>
            <w:tcW w:w="312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left"/>
              <w:rPr>
                <w:rFonts w:hAnsi="宋体"/>
                <w:sz w:val="18"/>
                <w:szCs w:val="18"/>
              </w:rPr>
            </w:pPr>
            <w:r w:rsidRPr="006A2A04">
              <w:rPr>
                <w:rFonts w:hAnsi="宋体" w:hint="eastAsia"/>
                <w:sz w:val="18"/>
                <w:szCs w:val="18"/>
              </w:rPr>
              <w:t>初步设计评审费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16.15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3</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工程设计费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2641.82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4</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工程勘察费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477.81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5</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施工图审查费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93.59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6</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竣工图编制费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132.09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7</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工程监理费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1451.25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8</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招标代理费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142.69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8.1</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工程招标费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61.52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8.2</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设备招标费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52.96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8.3</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服务招标费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28.21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9</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工程保险费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286.68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10</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建设单位管理费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1002.32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11</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高可靠性供电贴费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109.20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12</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工程造价咨询费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482.09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13</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环境影响评价费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5.85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14</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市政建设配套费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1433.42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15</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建设工程检验试验费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1227.18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15.1</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建筑工程及装饰装修工程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1078.94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15.2</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安装工程（消防工程）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29.64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15.3</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安装工程（其他安装工程）</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113.22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15.4</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园林工程（绿化工程除外）</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5.38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sz w:val="18"/>
                <w:szCs w:val="18"/>
              </w:rPr>
            </w:pPr>
            <w:r w:rsidRPr="006A2A04">
              <w:rPr>
                <w:rFonts w:hAnsi="宋体" w:hint="eastAsia"/>
                <w:sz w:val="18"/>
                <w:szCs w:val="18"/>
              </w:rPr>
              <w:t>16</w:t>
            </w:r>
          </w:p>
        </w:tc>
        <w:tc>
          <w:tcPr>
            <w:tcW w:w="3126"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left"/>
              <w:rPr>
                <w:rFonts w:hAnsi="宋体"/>
                <w:sz w:val="18"/>
                <w:szCs w:val="18"/>
              </w:rPr>
            </w:pPr>
            <w:r w:rsidRPr="006A2A04">
              <w:rPr>
                <w:rFonts w:hAnsi="宋体" w:hint="eastAsia"/>
                <w:sz w:val="18"/>
                <w:szCs w:val="18"/>
              </w:rPr>
              <w:t>场地准备及临时设施费</w:t>
            </w:r>
          </w:p>
        </w:tc>
        <w:tc>
          <w:tcPr>
            <w:tcW w:w="1183"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174" w:type="dxa"/>
            <w:tcBorders>
              <w:top w:val="nil"/>
              <w:left w:val="nil"/>
              <w:bottom w:val="single" w:sz="4" w:space="0" w:color="auto"/>
              <w:right w:val="single" w:sz="4" w:space="0" w:color="auto"/>
            </w:tcBorders>
            <w:shd w:val="clear" w:color="auto" w:fill="auto"/>
            <w:vAlign w:val="center"/>
          </w:tcPr>
          <w:p w:rsidR="00342714" w:rsidRPr="006A2A04" w:rsidRDefault="00342714" w:rsidP="00DF5630">
            <w:pPr>
              <w:widowControl/>
              <w:jc w:val="center"/>
              <w:rPr>
                <w:rFonts w:hAnsi="宋体"/>
                <w:sz w:val="18"/>
                <w:szCs w:val="18"/>
              </w:rPr>
            </w:pPr>
          </w:p>
        </w:tc>
        <w:tc>
          <w:tcPr>
            <w:tcW w:w="1816" w:type="dxa"/>
            <w:tcBorders>
              <w:top w:val="nil"/>
              <w:left w:val="nil"/>
              <w:bottom w:val="single" w:sz="4" w:space="0" w:color="auto"/>
              <w:right w:val="single" w:sz="4" w:space="0" w:color="auto"/>
            </w:tcBorders>
            <w:shd w:val="clear" w:color="auto" w:fill="auto"/>
          </w:tcPr>
          <w:p w:rsidR="00342714" w:rsidRPr="006A2A04" w:rsidRDefault="00342714" w:rsidP="00DF5630">
            <w:pPr>
              <w:widowControl/>
              <w:jc w:val="center"/>
              <w:rPr>
                <w:rFonts w:hAnsi="宋体"/>
                <w:sz w:val="18"/>
                <w:szCs w:val="18"/>
              </w:rPr>
            </w:pPr>
            <w:r w:rsidRPr="006A2A04">
              <w:rPr>
                <w:rFonts w:hAnsi="宋体"/>
                <w:sz w:val="18"/>
                <w:szCs w:val="18"/>
              </w:rPr>
              <w:t xml:space="preserve">477.81 </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三</w:t>
            </w:r>
          </w:p>
        </w:tc>
        <w:tc>
          <w:tcPr>
            <w:tcW w:w="3126"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left"/>
              <w:rPr>
                <w:rFonts w:hAnsi="宋体"/>
                <w:b/>
                <w:bCs/>
                <w:sz w:val="18"/>
                <w:szCs w:val="18"/>
              </w:rPr>
            </w:pPr>
            <w:r w:rsidRPr="006A2A04">
              <w:rPr>
                <w:rFonts w:hAnsi="宋体" w:hint="eastAsia"/>
                <w:b/>
                <w:bCs/>
                <w:sz w:val="18"/>
                <w:szCs w:val="18"/>
              </w:rPr>
              <w:t>基本预备费</w:t>
            </w:r>
          </w:p>
        </w:tc>
        <w:tc>
          <w:tcPr>
            <w:tcW w:w="1183"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p>
        </w:tc>
        <w:tc>
          <w:tcPr>
            <w:tcW w:w="1174"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p>
        </w:tc>
        <w:tc>
          <w:tcPr>
            <w:tcW w:w="1174"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p>
        </w:tc>
        <w:tc>
          <w:tcPr>
            <w:tcW w:w="1816"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b/>
                <w:bCs/>
                <w:sz w:val="18"/>
                <w:szCs w:val="18"/>
              </w:rPr>
              <w:t>5284.89</w:t>
            </w:r>
          </w:p>
        </w:tc>
      </w:tr>
      <w:tr w:rsidR="00342714" w:rsidRPr="006A2A04" w:rsidTr="00DF5630">
        <w:trPr>
          <w:trHeight w:val="20"/>
        </w:trPr>
        <w:tc>
          <w:tcPr>
            <w:tcW w:w="813" w:type="dxa"/>
            <w:tcBorders>
              <w:top w:val="nil"/>
              <w:left w:val="single" w:sz="4" w:space="0" w:color="auto"/>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hint="eastAsia"/>
                <w:b/>
                <w:bCs/>
                <w:sz w:val="18"/>
                <w:szCs w:val="18"/>
              </w:rPr>
              <w:t>四</w:t>
            </w:r>
          </w:p>
        </w:tc>
        <w:tc>
          <w:tcPr>
            <w:tcW w:w="3126"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left"/>
              <w:rPr>
                <w:rFonts w:hAnsi="宋体"/>
                <w:b/>
                <w:bCs/>
                <w:sz w:val="18"/>
                <w:szCs w:val="18"/>
              </w:rPr>
            </w:pPr>
            <w:r w:rsidRPr="006A2A04">
              <w:rPr>
                <w:rFonts w:hAnsi="宋体" w:hint="eastAsia"/>
                <w:b/>
                <w:bCs/>
                <w:sz w:val="18"/>
                <w:szCs w:val="18"/>
              </w:rPr>
              <w:t>概算合计</w:t>
            </w:r>
          </w:p>
        </w:tc>
        <w:tc>
          <w:tcPr>
            <w:tcW w:w="1183"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p>
        </w:tc>
        <w:tc>
          <w:tcPr>
            <w:tcW w:w="1174"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p>
        </w:tc>
        <w:tc>
          <w:tcPr>
            <w:tcW w:w="1174"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p>
        </w:tc>
        <w:tc>
          <w:tcPr>
            <w:tcW w:w="1816" w:type="dxa"/>
            <w:tcBorders>
              <w:top w:val="nil"/>
              <w:left w:val="nil"/>
              <w:bottom w:val="single" w:sz="4" w:space="0" w:color="auto"/>
              <w:right w:val="single" w:sz="4" w:space="0" w:color="auto"/>
            </w:tcBorders>
            <w:shd w:val="clear" w:color="000000" w:fill="C0C0C0"/>
            <w:vAlign w:val="center"/>
          </w:tcPr>
          <w:p w:rsidR="00342714" w:rsidRPr="006A2A04" w:rsidRDefault="00342714" w:rsidP="00DF5630">
            <w:pPr>
              <w:widowControl/>
              <w:jc w:val="center"/>
              <w:rPr>
                <w:rFonts w:hAnsi="宋体"/>
                <w:b/>
                <w:bCs/>
                <w:sz w:val="18"/>
                <w:szCs w:val="18"/>
              </w:rPr>
            </w:pPr>
            <w:r w:rsidRPr="006A2A04">
              <w:rPr>
                <w:rFonts w:hAnsi="宋体"/>
                <w:b/>
                <w:bCs/>
                <w:sz w:val="18"/>
                <w:szCs w:val="18"/>
              </w:rPr>
              <w:t>110982.78</w:t>
            </w:r>
          </w:p>
        </w:tc>
      </w:tr>
    </w:tbl>
    <w:p w:rsidR="00342714" w:rsidRPr="006A2A04" w:rsidRDefault="00342714" w:rsidP="00342714">
      <w:pPr>
        <w:widowControl/>
        <w:jc w:val="left"/>
        <w:rPr>
          <w:rFonts w:ascii="宋体" w:hAnsi="宋体" w:cs="宋体"/>
          <w:kern w:val="0"/>
          <w:sz w:val="24"/>
          <w:szCs w:val="24"/>
        </w:rPr>
      </w:pPr>
    </w:p>
    <w:p w:rsidR="00342714" w:rsidRPr="002F39D0" w:rsidRDefault="00342714" w:rsidP="00342714">
      <w:pPr>
        <w:widowControl/>
        <w:spacing w:line="360" w:lineRule="auto"/>
        <w:ind w:firstLineChars="200" w:firstLine="420"/>
        <w:jc w:val="left"/>
        <w:rPr>
          <w:rFonts w:asciiTheme="minorEastAsia" w:eastAsiaTheme="minorEastAsia" w:hAnsiTheme="minorEastAsia"/>
          <w:kern w:val="0"/>
          <w:szCs w:val="21"/>
        </w:rPr>
      </w:pPr>
      <w:r w:rsidRPr="002F39D0">
        <w:rPr>
          <w:rFonts w:asciiTheme="minorEastAsia" w:eastAsiaTheme="minorEastAsia" w:hAnsiTheme="minorEastAsia" w:hint="eastAsia"/>
          <w:kern w:val="0"/>
          <w:szCs w:val="21"/>
        </w:rPr>
        <w:t>5、采购需求及范围</w:t>
      </w:r>
    </w:p>
    <w:p w:rsidR="00342714" w:rsidRPr="002F39D0" w:rsidRDefault="00342714" w:rsidP="00342714">
      <w:pPr>
        <w:widowControl/>
        <w:spacing w:line="360" w:lineRule="auto"/>
        <w:ind w:firstLineChars="200" w:firstLine="420"/>
        <w:jc w:val="left"/>
        <w:rPr>
          <w:rFonts w:asciiTheme="minorEastAsia" w:eastAsiaTheme="minorEastAsia" w:hAnsiTheme="minorEastAsia"/>
          <w:kern w:val="0"/>
          <w:szCs w:val="21"/>
        </w:rPr>
      </w:pPr>
      <w:r w:rsidRPr="002F39D0">
        <w:rPr>
          <w:rFonts w:asciiTheme="minorEastAsia" w:eastAsiaTheme="minorEastAsia" w:hAnsiTheme="minorEastAsia" w:hint="eastAsia"/>
          <w:kern w:val="0"/>
          <w:szCs w:val="21"/>
        </w:rPr>
        <w:t>本项目采购范围为柳州市图书馆（新馆）PPP项目的社会资本方。通过政府采购确定中选社会资本方，采用PPP模式中的BOT（建设—运营—移交）运作方式，由政府方出资代表（东城集团）与中选社会资本方按照法人治理结构成立项目公司，项目公司在合同期限内承担本项目的投融资、建设、运营和维护职责。项目公司应遵从国家和项目所在地有关法律、法规、规章及相关的标准和规范，全面履行《柳州市图书馆（新馆）PPP项目合同》中所规定各项义务；政府方按约定向项目公司支付</w:t>
      </w:r>
      <w:r w:rsidRPr="002F39D0">
        <w:rPr>
          <w:rFonts w:asciiTheme="minorEastAsia" w:eastAsiaTheme="minorEastAsia" w:hAnsiTheme="minorEastAsia"/>
          <w:kern w:val="0"/>
          <w:szCs w:val="21"/>
        </w:rPr>
        <w:t>可行性缺口补助</w:t>
      </w:r>
      <w:r w:rsidRPr="002F39D0">
        <w:rPr>
          <w:rFonts w:asciiTheme="minorEastAsia" w:eastAsiaTheme="minorEastAsia" w:hAnsiTheme="minorEastAsia" w:hint="eastAsia"/>
          <w:kern w:val="0"/>
          <w:szCs w:val="21"/>
        </w:rPr>
        <w:t>。</w:t>
      </w:r>
    </w:p>
    <w:p w:rsidR="0034271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2F39D0">
        <w:rPr>
          <w:rFonts w:asciiTheme="minorEastAsia" w:eastAsiaTheme="minorEastAsia" w:hAnsiTheme="minorEastAsia" w:hint="eastAsia"/>
          <w:kern w:val="0"/>
          <w:szCs w:val="21"/>
        </w:rPr>
        <w:lastRenderedPageBreak/>
        <w:t>本项目为新建项目，建设内容为公共设施建设，项目公司负责本项目的运营维护工作，合作期完成后需移交柳州市文化广电和旅游局或柳州市人民政府指定的其他机构。</w:t>
      </w:r>
    </w:p>
    <w:p w:rsidR="00342714" w:rsidRDefault="00342714" w:rsidP="00342714">
      <w:pPr>
        <w:widowControl/>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sidRPr="002F39D0">
        <w:rPr>
          <w:rFonts w:asciiTheme="minorEastAsia" w:eastAsiaTheme="minorEastAsia" w:hAnsiTheme="minorEastAsia" w:hint="eastAsia"/>
          <w:kern w:val="0"/>
          <w:szCs w:val="21"/>
        </w:rPr>
        <w:t>PPP合作方式</w:t>
      </w:r>
    </w:p>
    <w:p w:rsidR="00342714" w:rsidRPr="006A2A04" w:rsidRDefault="00342714" w:rsidP="00342714">
      <w:pPr>
        <w:spacing w:line="360" w:lineRule="auto"/>
        <w:ind w:firstLineChars="200" w:firstLine="420"/>
        <w:rPr>
          <w:rFonts w:ascii="宋体" w:hAnsi="宋体"/>
          <w:szCs w:val="21"/>
        </w:rPr>
      </w:pPr>
      <w:r>
        <w:rPr>
          <w:rFonts w:ascii="宋体" w:hAnsi="宋体" w:hint="eastAsia"/>
          <w:szCs w:val="21"/>
        </w:rPr>
        <w:t>6</w:t>
      </w:r>
      <w:r w:rsidRPr="006A2A04">
        <w:rPr>
          <w:rFonts w:ascii="宋体" w:hAnsi="宋体" w:hint="eastAsia"/>
          <w:szCs w:val="21"/>
        </w:rPr>
        <w:t>.1运作方式：项目实施PPP模式中的</w:t>
      </w:r>
      <w:r w:rsidRPr="006A2A04">
        <w:rPr>
          <w:rFonts w:ascii="宋体" w:hAnsi="宋体" w:cs="宋体" w:hint="eastAsia"/>
          <w:szCs w:val="21"/>
        </w:rPr>
        <w:t>BOT（</w:t>
      </w:r>
      <w:r w:rsidRPr="006A2A04">
        <w:rPr>
          <w:rFonts w:hint="eastAsia"/>
          <w:szCs w:val="30"/>
        </w:rPr>
        <w:t>建设—运营—移交</w:t>
      </w:r>
      <w:r w:rsidRPr="006A2A04">
        <w:rPr>
          <w:rFonts w:ascii="宋体" w:hAnsi="宋体" w:cs="宋体" w:hint="eastAsia"/>
          <w:szCs w:val="21"/>
        </w:rPr>
        <w:t>）</w:t>
      </w:r>
      <w:r w:rsidRPr="006A2A04">
        <w:rPr>
          <w:rFonts w:ascii="宋体" w:hAnsi="宋体" w:hint="eastAsia"/>
          <w:szCs w:val="21"/>
        </w:rPr>
        <w:t>运作方式。由政府方出资代表与中选社会资本方按照法人治理结构成立项目公司（有限责任公司类型），项目公司在合同期限内承担本项目的投融资、建设、运营、维护、移交职责。</w:t>
      </w:r>
    </w:p>
    <w:p w:rsidR="00342714" w:rsidRPr="006A2A04" w:rsidRDefault="00342714" w:rsidP="00342714">
      <w:pPr>
        <w:spacing w:line="360" w:lineRule="auto"/>
        <w:ind w:firstLineChars="200" w:firstLine="420"/>
        <w:rPr>
          <w:rFonts w:ascii="宋体" w:hAnsi="宋体"/>
          <w:szCs w:val="21"/>
        </w:rPr>
      </w:pPr>
      <w:r>
        <w:rPr>
          <w:rFonts w:ascii="宋体" w:hAnsi="宋体" w:hint="eastAsia"/>
          <w:szCs w:val="21"/>
        </w:rPr>
        <w:t>6</w:t>
      </w:r>
      <w:r w:rsidRPr="006A2A04">
        <w:rPr>
          <w:rFonts w:ascii="宋体" w:hAnsi="宋体" w:hint="eastAsia"/>
          <w:szCs w:val="21"/>
        </w:rPr>
        <w:t>.2项目公司股权比例：</w:t>
      </w:r>
    </w:p>
    <w:p w:rsidR="00342714" w:rsidRPr="006A2A04" w:rsidRDefault="00342714" w:rsidP="00342714">
      <w:pPr>
        <w:spacing w:line="360" w:lineRule="auto"/>
        <w:ind w:firstLineChars="200" w:firstLine="420"/>
        <w:rPr>
          <w:rFonts w:ascii="宋体" w:hAnsi="宋体"/>
          <w:szCs w:val="21"/>
        </w:rPr>
      </w:pPr>
      <w:r w:rsidRPr="006A2A04">
        <w:rPr>
          <w:rFonts w:hint="eastAsia"/>
        </w:rPr>
        <w:t>项目资本金设置为项目总投资的</w:t>
      </w:r>
      <w:r w:rsidRPr="006A2A04">
        <w:rPr>
          <w:rFonts w:hint="eastAsia"/>
        </w:rPr>
        <w:t>20%</w:t>
      </w:r>
      <w:r w:rsidRPr="006A2A04">
        <w:rPr>
          <w:rFonts w:hint="eastAsia"/>
        </w:rPr>
        <w:t>，即本项目的项目资本金金额</w:t>
      </w:r>
      <w:r>
        <w:rPr>
          <w:rFonts w:hint="eastAsia"/>
        </w:rPr>
        <w:t>至少</w:t>
      </w:r>
      <w:r w:rsidRPr="006A2A04">
        <w:rPr>
          <w:rFonts w:hint="eastAsia"/>
        </w:rPr>
        <w:t>为</w:t>
      </w:r>
      <w:r w:rsidRPr="006A2A04">
        <w:rPr>
          <w:rFonts w:hint="eastAsia"/>
        </w:rPr>
        <w:t>22196.56</w:t>
      </w:r>
      <w:r w:rsidRPr="006A2A04">
        <w:rPr>
          <w:rFonts w:hint="eastAsia"/>
        </w:rPr>
        <w:t>万元。</w:t>
      </w:r>
    </w:p>
    <w:p w:rsidR="00342714" w:rsidRPr="006A2A04" w:rsidRDefault="00342714" w:rsidP="00342714">
      <w:pPr>
        <w:spacing w:line="360" w:lineRule="auto"/>
        <w:ind w:firstLineChars="200" w:firstLine="420"/>
        <w:rPr>
          <w:rFonts w:ascii="宋体" w:hAnsi="宋体"/>
          <w:szCs w:val="21"/>
        </w:rPr>
      </w:pPr>
      <w:r w:rsidRPr="006A2A04">
        <w:rPr>
          <w:rFonts w:ascii="宋体" w:hAnsi="宋体" w:hint="eastAsia"/>
          <w:szCs w:val="21"/>
        </w:rPr>
        <w:t>引入社会投资人与政府出资代表共同出资成立项目公司。项目</w:t>
      </w:r>
      <w:r>
        <w:rPr>
          <w:rFonts w:ascii="宋体" w:hAnsi="宋体" w:hint="eastAsia"/>
          <w:szCs w:val="21"/>
        </w:rPr>
        <w:t>公司</w:t>
      </w:r>
      <w:r w:rsidRPr="006A2A04">
        <w:rPr>
          <w:rFonts w:ascii="宋体" w:hAnsi="宋体" w:hint="eastAsia"/>
          <w:szCs w:val="21"/>
        </w:rPr>
        <w:t>注册资本</w:t>
      </w:r>
      <w:r w:rsidRPr="006A2A04">
        <w:rPr>
          <w:rFonts w:ascii="宋体" w:hAnsi="宋体"/>
          <w:szCs w:val="21"/>
        </w:rPr>
        <w:t>2000</w:t>
      </w:r>
      <w:r w:rsidRPr="006A2A04">
        <w:rPr>
          <w:rFonts w:ascii="宋体" w:hAnsi="宋体" w:hint="eastAsia"/>
          <w:szCs w:val="21"/>
        </w:rPr>
        <w:t>万元，由政府出资代表与社会资本方按</w:t>
      </w:r>
      <w:r w:rsidRPr="006A2A04">
        <w:rPr>
          <w:rFonts w:ascii="宋体" w:hAnsi="宋体"/>
          <w:szCs w:val="21"/>
        </w:rPr>
        <w:t>20%</w:t>
      </w:r>
      <w:r w:rsidRPr="006A2A04">
        <w:rPr>
          <w:rFonts w:ascii="宋体" w:hAnsi="宋体" w:hint="eastAsia"/>
          <w:szCs w:val="21"/>
        </w:rPr>
        <w:t>：</w:t>
      </w:r>
      <w:r w:rsidRPr="006A2A04">
        <w:rPr>
          <w:rFonts w:ascii="宋体" w:hAnsi="宋体"/>
          <w:szCs w:val="21"/>
        </w:rPr>
        <w:t>80%</w:t>
      </w:r>
      <w:r w:rsidRPr="006A2A04">
        <w:rPr>
          <w:rFonts w:ascii="宋体" w:hAnsi="宋体" w:hint="eastAsia"/>
          <w:szCs w:val="21"/>
        </w:rPr>
        <w:t>比例，以现金出资方式组建。政府方出资金额为人民币</w:t>
      </w:r>
      <w:r w:rsidRPr="006A2A04">
        <w:rPr>
          <w:rFonts w:ascii="宋体" w:hAnsi="宋体"/>
          <w:szCs w:val="21"/>
        </w:rPr>
        <w:t>400</w:t>
      </w:r>
      <w:r w:rsidRPr="006A2A04">
        <w:rPr>
          <w:rFonts w:ascii="宋体" w:hAnsi="宋体" w:hint="eastAsia"/>
          <w:szCs w:val="21"/>
        </w:rPr>
        <w:t>万元，社会资本出资金额为人民币</w:t>
      </w:r>
      <w:r w:rsidRPr="006A2A04">
        <w:rPr>
          <w:rFonts w:ascii="宋体" w:hAnsi="宋体"/>
          <w:szCs w:val="21"/>
        </w:rPr>
        <w:t>1600</w:t>
      </w:r>
      <w:r w:rsidRPr="006A2A04">
        <w:rPr>
          <w:rFonts w:ascii="宋体" w:hAnsi="宋体" w:hint="eastAsia"/>
          <w:szCs w:val="21"/>
        </w:rPr>
        <w:t>万元。</w:t>
      </w:r>
    </w:p>
    <w:p w:rsidR="00342714" w:rsidRPr="006A2A04" w:rsidRDefault="00342714" w:rsidP="00342714">
      <w:pPr>
        <w:spacing w:line="360" w:lineRule="auto"/>
        <w:ind w:firstLineChars="200" w:firstLine="420"/>
        <w:rPr>
          <w:rFonts w:ascii="宋体" w:hAnsi="宋体"/>
          <w:szCs w:val="21"/>
        </w:rPr>
      </w:pPr>
      <w:r w:rsidRPr="006A2A04">
        <w:rPr>
          <w:rFonts w:ascii="宋体" w:hAnsi="宋体" w:hint="eastAsia"/>
          <w:szCs w:val="21"/>
        </w:rPr>
        <w:t>注册资金投入方式：项目公司成立后</w:t>
      </w:r>
      <w:r w:rsidRPr="006A2A04">
        <w:rPr>
          <w:rFonts w:ascii="宋体" w:hAnsi="宋体"/>
          <w:szCs w:val="21"/>
        </w:rPr>
        <w:t>30</w:t>
      </w:r>
      <w:r w:rsidRPr="006A2A04">
        <w:rPr>
          <w:rFonts w:ascii="宋体" w:hAnsi="宋体" w:hint="eastAsia"/>
          <w:szCs w:val="21"/>
        </w:rPr>
        <w:t>日内，</w:t>
      </w:r>
      <w:r>
        <w:rPr>
          <w:rFonts w:ascii="宋体" w:hAnsi="宋体" w:hint="eastAsia"/>
          <w:szCs w:val="21"/>
        </w:rPr>
        <w:t>各</w:t>
      </w:r>
      <w:r w:rsidRPr="006A2A04">
        <w:rPr>
          <w:rFonts w:ascii="宋体" w:hAnsi="宋体" w:hint="eastAsia"/>
          <w:szCs w:val="21"/>
        </w:rPr>
        <w:t>股东将出资金额全部到位。</w:t>
      </w:r>
    </w:p>
    <w:p w:rsidR="00342714" w:rsidRPr="006A2A04" w:rsidRDefault="00342714" w:rsidP="00342714">
      <w:pPr>
        <w:spacing w:line="360" w:lineRule="auto"/>
        <w:ind w:firstLineChars="200" w:firstLine="420"/>
        <w:rPr>
          <w:rFonts w:ascii="宋体" w:hAnsi="宋体"/>
          <w:szCs w:val="21"/>
        </w:rPr>
      </w:pPr>
      <w:r w:rsidRPr="006A2A04">
        <w:rPr>
          <w:rFonts w:ascii="宋体" w:hAnsi="宋体" w:hint="eastAsia"/>
          <w:szCs w:val="21"/>
        </w:rPr>
        <w:t>项目资本金由政府出资代表与社会资本方按20%：80%比例，在建设期内根据施工进度情况及施工合同的付款约定分期注入。</w:t>
      </w:r>
    </w:p>
    <w:p w:rsidR="00342714" w:rsidRPr="006A2A04" w:rsidRDefault="00342714" w:rsidP="00342714">
      <w:pPr>
        <w:spacing w:line="360" w:lineRule="auto"/>
        <w:ind w:firstLineChars="200" w:firstLine="420"/>
        <w:rPr>
          <w:rFonts w:ascii="宋体" w:hAnsi="宋体"/>
          <w:szCs w:val="21"/>
        </w:rPr>
      </w:pPr>
      <w:r>
        <w:rPr>
          <w:rFonts w:ascii="宋体" w:hAnsi="宋体" w:hint="eastAsia"/>
          <w:szCs w:val="21"/>
        </w:rPr>
        <w:t>6</w:t>
      </w:r>
      <w:r w:rsidRPr="006A2A04">
        <w:rPr>
          <w:rFonts w:ascii="宋体" w:hAnsi="宋体" w:hint="eastAsia"/>
          <w:szCs w:val="21"/>
        </w:rPr>
        <w:t>.3合作期限：</w:t>
      </w:r>
    </w:p>
    <w:p w:rsidR="00342714" w:rsidRPr="006A2A04" w:rsidRDefault="00342714" w:rsidP="00342714">
      <w:pPr>
        <w:spacing w:line="360" w:lineRule="auto"/>
        <w:ind w:firstLineChars="200" w:firstLine="420"/>
        <w:rPr>
          <w:rFonts w:ascii="宋体" w:hAnsi="宋体"/>
          <w:szCs w:val="21"/>
        </w:rPr>
      </w:pPr>
      <w:r w:rsidRPr="006A2A04">
        <w:rPr>
          <w:rFonts w:ascii="宋体" w:hAnsi="宋体" w:cs="宋体" w:hint="eastAsia"/>
          <w:szCs w:val="21"/>
        </w:rPr>
        <w:t>本项目特许经营期（合作期</w:t>
      </w:r>
      <w:r w:rsidRPr="006A2A04">
        <w:rPr>
          <w:rFonts w:ascii="宋体" w:hAnsi="宋体" w:hint="eastAsia"/>
          <w:szCs w:val="21"/>
        </w:rPr>
        <w:t>限）为12年。其中建设期为2年，</w:t>
      </w:r>
      <w:r w:rsidRPr="006A2A04">
        <w:rPr>
          <w:rFonts w:ascii="宋体" w:hAnsi="宋体"/>
          <w:szCs w:val="21"/>
        </w:rPr>
        <w:t>运营期</w:t>
      </w:r>
      <w:r w:rsidRPr="006A2A04">
        <w:rPr>
          <w:rFonts w:ascii="宋体" w:hAnsi="宋体" w:hint="eastAsia"/>
          <w:szCs w:val="21"/>
        </w:rPr>
        <w:t>为10</w:t>
      </w:r>
      <w:r w:rsidRPr="006A2A04">
        <w:rPr>
          <w:rFonts w:ascii="宋体" w:hAnsi="宋体"/>
          <w:szCs w:val="21"/>
        </w:rPr>
        <w:t>年</w:t>
      </w:r>
      <w:r w:rsidRPr="006A2A04">
        <w:rPr>
          <w:rFonts w:ascii="宋体" w:hAnsi="宋体" w:hint="eastAsia"/>
          <w:szCs w:val="21"/>
        </w:rPr>
        <w:t>。</w:t>
      </w:r>
    </w:p>
    <w:p w:rsidR="00342714" w:rsidRPr="006A2A04" w:rsidRDefault="00342714" w:rsidP="00342714">
      <w:pPr>
        <w:spacing w:line="360" w:lineRule="auto"/>
        <w:ind w:firstLineChars="200" w:firstLine="420"/>
        <w:rPr>
          <w:rFonts w:ascii="宋体" w:hAnsi="宋体"/>
          <w:szCs w:val="21"/>
        </w:rPr>
      </w:pPr>
      <w:r>
        <w:rPr>
          <w:rFonts w:ascii="宋体" w:hAnsi="宋体" w:hint="eastAsia"/>
          <w:szCs w:val="21"/>
        </w:rPr>
        <w:t>6</w:t>
      </w:r>
      <w:r w:rsidRPr="006A2A04">
        <w:rPr>
          <w:rFonts w:ascii="宋体" w:hAnsi="宋体" w:hint="eastAsia"/>
          <w:szCs w:val="21"/>
        </w:rPr>
        <w:t>.4项目回报机制</w:t>
      </w:r>
    </w:p>
    <w:p w:rsidR="00342714" w:rsidRPr="002F39D0"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宋体" w:hAnsi="宋体" w:hint="eastAsia"/>
          <w:szCs w:val="21"/>
        </w:rPr>
        <w:t>项目公司的回报为</w:t>
      </w:r>
      <w:r w:rsidRPr="006A2A04">
        <w:rPr>
          <w:rFonts w:ascii="宋体" w:hAnsi="宋体" w:hint="eastAsia"/>
          <w:szCs w:val="21"/>
          <w:u w:val="single"/>
        </w:rPr>
        <w:t>“可行性缺口补助”机制</w:t>
      </w:r>
      <w:r w:rsidRPr="006A2A04">
        <w:rPr>
          <w:rFonts w:ascii="宋体" w:hAnsi="宋体" w:hint="eastAsia"/>
          <w:szCs w:val="21"/>
        </w:rPr>
        <w:t>。</w:t>
      </w:r>
    </w:p>
    <w:p w:rsidR="00342714" w:rsidRPr="006A2A04" w:rsidRDefault="00342714" w:rsidP="00342714">
      <w:pPr>
        <w:pStyle w:val="2"/>
        <w:numPr>
          <w:ilvl w:val="0"/>
          <w:numId w:val="0"/>
        </w:numPr>
        <w:ind w:left="425"/>
      </w:pPr>
      <w:bookmarkStart w:id="3" w:name="_Toc34400882"/>
      <w:bookmarkStart w:id="4" w:name="_Toc43392643"/>
      <w:r w:rsidRPr="006A2A04">
        <w:rPr>
          <w:rFonts w:hint="eastAsia"/>
        </w:rPr>
        <w:t>二、项目核心边界条件</w:t>
      </w:r>
      <w:bookmarkEnd w:id="3"/>
      <w:bookmarkEnd w:id="4"/>
    </w:p>
    <w:p w:rsidR="00342714" w:rsidRPr="006A2A04" w:rsidRDefault="00342714" w:rsidP="00342714">
      <w:pPr>
        <w:pStyle w:val="3"/>
        <w:numPr>
          <w:ilvl w:val="0"/>
          <w:numId w:val="0"/>
        </w:numPr>
      </w:pPr>
      <w:r w:rsidRPr="006A2A04">
        <w:rPr>
          <w:rFonts w:hint="eastAsia"/>
        </w:rPr>
        <w:t>（一）各方</w:t>
      </w:r>
      <w:r w:rsidRPr="006A2A04">
        <w:t>的权利义务</w:t>
      </w:r>
    </w:p>
    <w:p w:rsidR="00342714" w:rsidRPr="006A2A04" w:rsidRDefault="00342714" w:rsidP="00342714">
      <w:pPr>
        <w:widowControl/>
        <w:numPr>
          <w:ilvl w:val="2"/>
          <w:numId w:val="3"/>
        </w:numPr>
        <w:tabs>
          <w:tab w:val="clear" w:pos="0"/>
          <w:tab w:val="num" w:pos="851"/>
        </w:tabs>
        <w:spacing w:line="360" w:lineRule="auto"/>
        <w:ind w:left="0" w:firstLineChars="200" w:firstLine="422"/>
        <w:jc w:val="left"/>
        <w:rPr>
          <w:rFonts w:asciiTheme="minorEastAsia" w:eastAsiaTheme="minorEastAsia" w:hAnsiTheme="minorEastAsia"/>
          <w:b/>
          <w:kern w:val="0"/>
          <w:szCs w:val="21"/>
        </w:rPr>
      </w:pPr>
      <w:bookmarkStart w:id="5" w:name="_Toc467229613"/>
      <w:bookmarkStart w:id="6" w:name="_Toc467865266"/>
      <w:bookmarkStart w:id="7" w:name="_Toc467073261"/>
      <w:bookmarkStart w:id="8" w:name="_Toc467229526"/>
      <w:bookmarkStart w:id="9" w:name="_Toc492285921"/>
      <w:bookmarkStart w:id="10" w:name="_Toc467229790"/>
      <w:bookmarkStart w:id="11" w:name="_Toc467229700"/>
      <w:bookmarkStart w:id="12" w:name="_Toc467865539"/>
      <w:bookmarkStart w:id="13" w:name="_Toc468287384"/>
      <w:bookmarkStart w:id="14" w:name="_Toc468287293"/>
      <w:bookmarkStart w:id="15" w:name="_Toc467865419"/>
      <w:bookmarkStart w:id="16" w:name="_Toc467986240"/>
      <w:r w:rsidRPr="006A2A04">
        <w:rPr>
          <w:rFonts w:asciiTheme="minorEastAsia" w:eastAsiaTheme="minorEastAsia" w:hAnsiTheme="minorEastAsia" w:hint="eastAsia"/>
          <w:b/>
          <w:kern w:val="0"/>
          <w:szCs w:val="21"/>
        </w:rPr>
        <w:t>政府方的主要权利义务</w:t>
      </w:r>
      <w:bookmarkEnd w:id="5"/>
      <w:bookmarkEnd w:id="6"/>
      <w:bookmarkEnd w:id="7"/>
      <w:bookmarkEnd w:id="8"/>
      <w:bookmarkEnd w:id="9"/>
      <w:bookmarkEnd w:id="10"/>
      <w:bookmarkEnd w:id="11"/>
      <w:bookmarkEnd w:id="12"/>
      <w:bookmarkEnd w:id="13"/>
      <w:bookmarkEnd w:id="14"/>
      <w:bookmarkEnd w:id="15"/>
      <w:bookmarkEnd w:id="16"/>
    </w:p>
    <w:p w:rsidR="00342714" w:rsidRPr="006A2A04" w:rsidRDefault="00342714" w:rsidP="00342714">
      <w:pPr>
        <w:widowControl/>
        <w:numPr>
          <w:ilvl w:val="0"/>
          <w:numId w:val="3"/>
        </w:numPr>
        <w:tabs>
          <w:tab w:val="num" w:pos="0"/>
        </w:tabs>
        <w:spacing w:line="360" w:lineRule="auto"/>
        <w:ind w:left="567" w:firstLineChars="200" w:firstLine="422"/>
        <w:jc w:val="left"/>
        <w:rPr>
          <w:rFonts w:asciiTheme="minorEastAsia" w:eastAsiaTheme="minorEastAsia" w:hAnsiTheme="minorEastAsia"/>
          <w:b/>
          <w:bCs/>
          <w:kern w:val="0"/>
          <w:szCs w:val="21"/>
        </w:rPr>
      </w:pPr>
      <w:r w:rsidRPr="006A2A04">
        <w:rPr>
          <w:rFonts w:asciiTheme="minorEastAsia" w:eastAsiaTheme="minorEastAsia" w:hAnsiTheme="minorEastAsia" w:hint="eastAsia"/>
          <w:b/>
          <w:bCs/>
          <w:kern w:val="0"/>
          <w:szCs w:val="21"/>
        </w:rPr>
        <w:t>政府方的主要权利</w:t>
      </w:r>
    </w:p>
    <w:p w:rsidR="00342714" w:rsidRPr="006A2A04" w:rsidRDefault="00342714" w:rsidP="00342714">
      <w:pPr>
        <w:widowControl/>
        <w:numPr>
          <w:ilvl w:val="0"/>
          <w:numId w:val="4"/>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有权对项目公司的投资建设过程实施监管，包括项目融资及资金到位和使用情况、项目建设进度、工程质量、安全防范措施等；以及要求项目公司进行项目交付和缺陷责任期内的维修；如发现存在违约情况，有权根据《PPP项目合同》要求社会资本方或项目公司承担违约责任，履约保证金不予退还；</w:t>
      </w:r>
    </w:p>
    <w:p w:rsidR="00342714" w:rsidRPr="006A2A04" w:rsidRDefault="00342714" w:rsidP="00342714">
      <w:pPr>
        <w:widowControl/>
        <w:numPr>
          <w:ilvl w:val="0"/>
          <w:numId w:val="4"/>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在合作期内对项目公司的经营活动进行监管；</w:t>
      </w:r>
    </w:p>
    <w:p w:rsidR="00342714" w:rsidRPr="006A2A04" w:rsidRDefault="00342714" w:rsidP="00342714">
      <w:pPr>
        <w:widowControl/>
        <w:numPr>
          <w:ilvl w:val="0"/>
          <w:numId w:val="4"/>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有权要求本项目依法接受审计机关的审计监督；</w:t>
      </w:r>
    </w:p>
    <w:p w:rsidR="00342714" w:rsidRPr="006A2A04" w:rsidRDefault="00342714" w:rsidP="00342714">
      <w:pPr>
        <w:widowControl/>
        <w:numPr>
          <w:ilvl w:val="0"/>
          <w:numId w:val="4"/>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lastRenderedPageBreak/>
        <w:t>在项目公司违约时，有权根据《PPP项目合同》要求项目公司进行违约赔偿或提前终止合作；</w:t>
      </w:r>
    </w:p>
    <w:p w:rsidR="00342714" w:rsidRPr="006A2A04" w:rsidRDefault="00342714" w:rsidP="00342714">
      <w:pPr>
        <w:widowControl/>
        <w:numPr>
          <w:ilvl w:val="0"/>
          <w:numId w:val="4"/>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项目合作期满后，有权无偿收回本项目设施。</w:t>
      </w:r>
    </w:p>
    <w:p w:rsidR="00342714" w:rsidRPr="006A2A04" w:rsidRDefault="00342714" w:rsidP="00342714">
      <w:pPr>
        <w:widowControl/>
        <w:numPr>
          <w:ilvl w:val="0"/>
          <w:numId w:val="3"/>
        </w:numPr>
        <w:tabs>
          <w:tab w:val="num" w:pos="0"/>
        </w:tabs>
        <w:spacing w:line="360" w:lineRule="auto"/>
        <w:ind w:left="567" w:firstLineChars="200" w:firstLine="422"/>
        <w:jc w:val="left"/>
        <w:rPr>
          <w:rFonts w:asciiTheme="minorEastAsia" w:eastAsiaTheme="minorEastAsia" w:hAnsiTheme="minorEastAsia"/>
          <w:b/>
          <w:bCs/>
          <w:kern w:val="0"/>
          <w:szCs w:val="21"/>
        </w:rPr>
      </w:pPr>
      <w:r w:rsidRPr="006A2A04">
        <w:rPr>
          <w:rFonts w:asciiTheme="minorEastAsia" w:eastAsiaTheme="minorEastAsia" w:hAnsiTheme="minorEastAsia" w:hint="eastAsia"/>
          <w:b/>
          <w:bCs/>
          <w:kern w:val="0"/>
          <w:szCs w:val="21"/>
        </w:rPr>
        <w:t>政府方的主要义务</w:t>
      </w:r>
    </w:p>
    <w:p w:rsidR="00342714" w:rsidRPr="006A2A04" w:rsidRDefault="00342714" w:rsidP="00342714">
      <w:pPr>
        <w:widowControl/>
        <w:numPr>
          <w:ilvl w:val="0"/>
          <w:numId w:val="5"/>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依法与项目公司签订《PPP项目合同》；</w:t>
      </w:r>
    </w:p>
    <w:p w:rsidR="00342714" w:rsidRPr="006A2A04" w:rsidRDefault="00342714" w:rsidP="00342714">
      <w:pPr>
        <w:widowControl/>
        <w:numPr>
          <w:ilvl w:val="0"/>
          <w:numId w:val="5"/>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负责确定项目建设内容、规模、目标等内容，负责项目用地的报批、征地等工作，提供征地相关手续及资料，并依法依规提供土地；</w:t>
      </w:r>
    </w:p>
    <w:p w:rsidR="00342714" w:rsidRPr="006A2A04" w:rsidRDefault="00342714" w:rsidP="00342714">
      <w:pPr>
        <w:widowControl/>
        <w:numPr>
          <w:ilvl w:val="0"/>
          <w:numId w:val="5"/>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协调项目公司与相关部门的关系，协助项目公司进行项目未完成的审批及建设所必须的证明文件等工作；</w:t>
      </w:r>
    </w:p>
    <w:p w:rsidR="00342714" w:rsidRPr="006A2A04" w:rsidRDefault="00342714" w:rsidP="00342714">
      <w:pPr>
        <w:widowControl/>
        <w:numPr>
          <w:ilvl w:val="0"/>
          <w:numId w:val="5"/>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积极协助项目公司配备本项目建设施工条件，包括水、电和道路等配套设施，以及保障施工不受干扰等；</w:t>
      </w:r>
    </w:p>
    <w:p w:rsidR="00342714" w:rsidRPr="006A2A04" w:rsidRDefault="00342714" w:rsidP="00342714">
      <w:pPr>
        <w:widowControl/>
        <w:numPr>
          <w:ilvl w:val="0"/>
          <w:numId w:val="5"/>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审核项目公司提交的付费申请，履行《PPP项目合同》约定的资金支付义务；</w:t>
      </w:r>
    </w:p>
    <w:p w:rsidR="00342714" w:rsidRPr="006A2A04" w:rsidRDefault="00342714" w:rsidP="00342714">
      <w:pPr>
        <w:widowControl/>
        <w:numPr>
          <w:ilvl w:val="0"/>
          <w:numId w:val="5"/>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负责本项目财政预算评审、决算审计等全部相关工作。</w:t>
      </w:r>
    </w:p>
    <w:p w:rsidR="00342714" w:rsidRPr="006A2A04" w:rsidRDefault="00342714" w:rsidP="00342714">
      <w:pPr>
        <w:widowControl/>
        <w:numPr>
          <w:ilvl w:val="0"/>
          <w:numId w:val="5"/>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此外，应行使法律、法规及《PPP项目合同》赋予的其他权利并履行其规定的其他义务。</w:t>
      </w:r>
    </w:p>
    <w:p w:rsidR="00342714" w:rsidRPr="006A2A04" w:rsidRDefault="00342714" w:rsidP="00342714">
      <w:pPr>
        <w:widowControl/>
        <w:numPr>
          <w:ilvl w:val="2"/>
          <w:numId w:val="3"/>
        </w:numPr>
        <w:tabs>
          <w:tab w:val="clear" w:pos="0"/>
          <w:tab w:val="num" w:pos="851"/>
        </w:tabs>
        <w:spacing w:line="360" w:lineRule="auto"/>
        <w:ind w:left="0" w:firstLineChars="200" w:firstLine="422"/>
        <w:jc w:val="left"/>
        <w:rPr>
          <w:rFonts w:asciiTheme="minorEastAsia" w:eastAsiaTheme="minorEastAsia" w:hAnsiTheme="minorEastAsia"/>
          <w:b/>
          <w:kern w:val="0"/>
          <w:szCs w:val="21"/>
        </w:rPr>
      </w:pPr>
      <w:bookmarkStart w:id="17" w:name="_Toc468287294"/>
      <w:bookmarkStart w:id="18" w:name="_Toc468287385"/>
      <w:bookmarkStart w:id="19" w:name="_Toc492285922"/>
      <w:bookmarkStart w:id="20" w:name="_Toc467986241"/>
      <w:bookmarkStart w:id="21" w:name="_Toc467865540"/>
      <w:bookmarkStart w:id="22" w:name="_Toc467865267"/>
      <w:bookmarkStart w:id="23" w:name="_Toc467229614"/>
      <w:bookmarkStart w:id="24" w:name="_Toc467865420"/>
      <w:bookmarkStart w:id="25" w:name="_Toc467229701"/>
      <w:bookmarkStart w:id="26" w:name="_Toc467229791"/>
      <w:bookmarkStart w:id="27" w:name="_Toc467073262"/>
      <w:bookmarkStart w:id="28" w:name="_Toc467229527"/>
      <w:r w:rsidRPr="006A2A04">
        <w:rPr>
          <w:rFonts w:asciiTheme="minorEastAsia" w:eastAsiaTheme="minorEastAsia" w:hAnsiTheme="minorEastAsia" w:hint="eastAsia"/>
          <w:b/>
          <w:kern w:val="0"/>
          <w:szCs w:val="21"/>
        </w:rPr>
        <w:t>社会资本权利和义务</w:t>
      </w:r>
      <w:bookmarkEnd w:id="17"/>
      <w:bookmarkEnd w:id="18"/>
      <w:bookmarkEnd w:id="19"/>
      <w:bookmarkEnd w:id="20"/>
      <w:bookmarkEnd w:id="21"/>
      <w:bookmarkEnd w:id="22"/>
      <w:bookmarkEnd w:id="23"/>
      <w:bookmarkEnd w:id="24"/>
      <w:bookmarkEnd w:id="25"/>
      <w:bookmarkEnd w:id="26"/>
      <w:bookmarkEnd w:id="27"/>
      <w:bookmarkEnd w:id="28"/>
    </w:p>
    <w:p w:rsidR="00342714" w:rsidRPr="006A2A04" w:rsidRDefault="00342714" w:rsidP="00342714">
      <w:pPr>
        <w:widowControl/>
        <w:numPr>
          <w:ilvl w:val="0"/>
          <w:numId w:val="3"/>
        </w:numPr>
        <w:tabs>
          <w:tab w:val="num" w:pos="0"/>
        </w:tabs>
        <w:spacing w:line="360" w:lineRule="auto"/>
        <w:ind w:left="567" w:firstLineChars="200" w:firstLine="422"/>
        <w:jc w:val="left"/>
        <w:rPr>
          <w:rFonts w:asciiTheme="minorEastAsia" w:eastAsiaTheme="minorEastAsia" w:hAnsiTheme="minorEastAsia"/>
          <w:b/>
          <w:bCs/>
          <w:kern w:val="0"/>
          <w:szCs w:val="21"/>
        </w:rPr>
      </w:pPr>
      <w:r w:rsidRPr="006A2A04">
        <w:rPr>
          <w:rFonts w:asciiTheme="minorEastAsia" w:eastAsiaTheme="minorEastAsia" w:hAnsiTheme="minorEastAsia" w:hint="eastAsia"/>
          <w:b/>
          <w:bCs/>
          <w:kern w:val="0"/>
          <w:szCs w:val="21"/>
        </w:rPr>
        <w:t>社会资本的主要权利</w:t>
      </w:r>
    </w:p>
    <w:p w:rsidR="00342714" w:rsidRPr="006A2A04" w:rsidRDefault="00342714" w:rsidP="00342714">
      <w:pPr>
        <w:widowControl/>
        <w:numPr>
          <w:ilvl w:val="0"/>
          <w:numId w:val="6"/>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根据本项目相关合同约定进行投资、回收投资成本并取得投资回报；</w:t>
      </w:r>
    </w:p>
    <w:p w:rsidR="00342714" w:rsidRPr="006A2A04" w:rsidRDefault="00342714" w:rsidP="00342714">
      <w:pPr>
        <w:widowControl/>
        <w:numPr>
          <w:ilvl w:val="0"/>
          <w:numId w:val="6"/>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根据《股东协议》行使项目公司股东权利；</w:t>
      </w:r>
    </w:p>
    <w:p w:rsidR="00342714" w:rsidRPr="006A2A04" w:rsidRDefault="00342714" w:rsidP="00342714">
      <w:pPr>
        <w:widowControl/>
        <w:numPr>
          <w:ilvl w:val="0"/>
          <w:numId w:val="6"/>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对本项目实施过程进行组织、指导、监督、协调。</w:t>
      </w:r>
    </w:p>
    <w:p w:rsidR="00342714" w:rsidRPr="006A2A04" w:rsidRDefault="00342714" w:rsidP="00342714">
      <w:pPr>
        <w:widowControl/>
        <w:numPr>
          <w:ilvl w:val="0"/>
          <w:numId w:val="3"/>
        </w:numPr>
        <w:tabs>
          <w:tab w:val="num" w:pos="0"/>
        </w:tabs>
        <w:spacing w:line="360" w:lineRule="auto"/>
        <w:ind w:left="567" w:firstLineChars="200" w:firstLine="422"/>
        <w:jc w:val="left"/>
        <w:rPr>
          <w:rFonts w:asciiTheme="minorEastAsia" w:eastAsiaTheme="minorEastAsia" w:hAnsiTheme="minorEastAsia"/>
          <w:b/>
          <w:bCs/>
          <w:kern w:val="0"/>
          <w:szCs w:val="21"/>
        </w:rPr>
      </w:pPr>
      <w:r w:rsidRPr="006A2A04">
        <w:rPr>
          <w:rFonts w:asciiTheme="minorEastAsia" w:eastAsiaTheme="minorEastAsia" w:hAnsiTheme="minorEastAsia" w:hint="eastAsia"/>
          <w:b/>
          <w:bCs/>
          <w:kern w:val="0"/>
          <w:szCs w:val="21"/>
        </w:rPr>
        <w:t>社会资本的主要义务</w:t>
      </w:r>
    </w:p>
    <w:p w:rsidR="00342714" w:rsidRPr="006A2A04" w:rsidRDefault="00342714" w:rsidP="00342714">
      <w:pPr>
        <w:widowControl/>
        <w:numPr>
          <w:ilvl w:val="0"/>
          <w:numId w:val="7"/>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按照《股东协议》的约定牵头组建并在柳州市注册设立项目公司；</w:t>
      </w:r>
    </w:p>
    <w:p w:rsidR="00342714" w:rsidRPr="006A2A04" w:rsidRDefault="00342714" w:rsidP="00342714">
      <w:pPr>
        <w:widowControl/>
        <w:numPr>
          <w:ilvl w:val="0"/>
          <w:numId w:val="7"/>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负责本项目施工建设总承包工作；</w:t>
      </w:r>
    </w:p>
    <w:p w:rsidR="00342714" w:rsidRPr="006A2A04" w:rsidRDefault="00342714" w:rsidP="00342714">
      <w:pPr>
        <w:widowControl/>
        <w:numPr>
          <w:ilvl w:val="0"/>
          <w:numId w:val="7"/>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项目公司无法完成融资时，由社会资本负责融资。</w:t>
      </w:r>
    </w:p>
    <w:p w:rsidR="00342714" w:rsidRPr="006A2A04" w:rsidRDefault="00342714" w:rsidP="00342714">
      <w:pPr>
        <w:widowControl/>
        <w:numPr>
          <w:ilvl w:val="0"/>
          <w:numId w:val="7"/>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负责组织、指导、监督、协调项目公司的各项经营活动，如出现由于项目公司或社会资本原因引起项目公司无法履行《PPP项目合同》规定的权利和义务的情况，社会资本有义务负责重整项目公司继续履行《PPP项目合同》规定的权利和义务。</w:t>
      </w:r>
    </w:p>
    <w:p w:rsidR="00342714" w:rsidRPr="006A2A04" w:rsidRDefault="00342714" w:rsidP="00342714">
      <w:pPr>
        <w:widowControl/>
        <w:numPr>
          <w:ilvl w:val="2"/>
          <w:numId w:val="3"/>
        </w:numPr>
        <w:tabs>
          <w:tab w:val="clear" w:pos="0"/>
          <w:tab w:val="num" w:pos="851"/>
        </w:tabs>
        <w:spacing w:line="360" w:lineRule="auto"/>
        <w:ind w:left="0" w:firstLineChars="200" w:firstLine="422"/>
        <w:jc w:val="left"/>
        <w:rPr>
          <w:rFonts w:asciiTheme="minorEastAsia" w:eastAsiaTheme="minorEastAsia" w:hAnsiTheme="minorEastAsia"/>
          <w:b/>
          <w:kern w:val="0"/>
          <w:szCs w:val="21"/>
        </w:rPr>
      </w:pPr>
      <w:bookmarkStart w:id="29" w:name="_Toc467865421"/>
      <w:bookmarkStart w:id="30" w:name="_Toc467865541"/>
      <w:bookmarkStart w:id="31" w:name="_Toc467229792"/>
      <w:bookmarkStart w:id="32" w:name="_Toc468287386"/>
      <w:bookmarkStart w:id="33" w:name="_Toc467229528"/>
      <w:bookmarkStart w:id="34" w:name="_Toc467986242"/>
      <w:bookmarkStart w:id="35" w:name="_Toc468287295"/>
      <w:bookmarkStart w:id="36" w:name="_Toc467865268"/>
      <w:bookmarkStart w:id="37" w:name="_Toc492285923"/>
      <w:bookmarkStart w:id="38" w:name="_Toc467229702"/>
      <w:bookmarkStart w:id="39" w:name="_Toc467229615"/>
      <w:bookmarkStart w:id="40" w:name="_Toc467073263"/>
      <w:r w:rsidRPr="006A2A04">
        <w:rPr>
          <w:rFonts w:asciiTheme="minorEastAsia" w:eastAsiaTheme="minorEastAsia" w:hAnsiTheme="minorEastAsia" w:hint="eastAsia"/>
          <w:b/>
          <w:kern w:val="0"/>
          <w:szCs w:val="21"/>
        </w:rPr>
        <w:t>项目公司的主要权利义务</w:t>
      </w:r>
      <w:bookmarkEnd w:id="29"/>
      <w:bookmarkEnd w:id="30"/>
      <w:bookmarkEnd w:id="31"/>
      <w:bookmarkEnd w:id="32"/>
      <w:bookmarkEnd w:id="33"/>
      <w:bookmarkEnd w:id="34"/>
      <w:bookmarkEnd w:id="35"/>
      <w:bookmarkEnd w:id="36"/>
      <w:bookmarkEnd w:id="37"/>
      <w:bookmarkEnd w:id="38"/>
      <w:bookmarkEnd w:id="39"/>
      <w:bookmarkEnd w:id="40"/>
    </w:p>
    <w:p w:rsidR="00342714" w:rsidRPr="006A2A04" w:rsidRDefault="00342714" w:rsidP="00342714">
      <w:pPr>
        <w:widowControl/>
        <w:numPr>
          <w:ilvl w:val="0"/>
          <w:numId w:val="3"/>
        </w:numPr>
        <w:tabs>
          <w:tab w:val="num" w:pos="0"/>
        </w:tabs>
        <w:spacing w:line="360" w:lineRule="auto"/>
        <w:ind w:left="567" w:firstLineChars="200" w:firstLine="422"/>
        <w:jc w:val="left"/>
        <w:rPr>
          <w:rFonts w:asciiTheme="minorEastAsia" w:eastAsiaTheme="minorEastAsia" w:hAnsiTheme="minorEastAsia"/>
          <w:b/>
          <w:bCs/>
          <w:kern w:val="0"/>
          <w:szCs w:val="21"/>
        </w:rPr>
      </w:pPr>
      <w:r w:rsidRPr="006A2A04">
        <w:rPr>
          <w:rFonts w:asciiTheme="minorEastAsia" w:eastAsiaTheme="minorEastAsia" w:hAnsiTheme="minorEastAsia" w:hint="eastAsia"/>
          <w:b/>
          <w:bCs/>
          <w:kern w:val="0"/>
          <w:szCs w:val="21"/>
        </w:rPr>
        <w:t>项目公司的主要权利</w:t>
      </w:r>
    </w:p>
    <w:p w:rsidR="00342714" w:rsidRPr="006A2A04" w:rsidRDefault="00342714" w:rsidP="00342714">
      <w:pPr>
        <w:widowControl/>
        <w:numPr>
          <w:ilvl w:val="0"/>
          <w:numId w:val="8"/>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在运营期内享有本项目运营维护权；</w:t>
      </w:r>
    </w:p>
    <w:p w:rsidR="00342714" w:rsidRPr="006A2A04" w:rsidRDefault="00342714" w:rsidP="00342714">
      <w:pPr>
        <w:widowControl/>
        <w:numPr>
          <w:ilvl w:val="0"/>
          <w:numId w:val="8"/>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lastRenderedPageBreak/>
        <w:t>按照《PPP项目合同》约定的方式回收投资成本和取得投资回报；</w:t>
      </w:r>
    </w:p>
    <w:p w:rsidR="00342714" w:rsidRPr="006A2A04" w:rsidRDefault="00342714" w:rsidP="00342714">
      <w:pPr>
        <w:widowControl/>
        <w:numPr>
          <w:ilvl w:val="0"/>
          <w:numId w:val="8"/>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按照《中华人民共和国公司法》及相关法律、法规的规定和《PPP项目合同》约定，自主开展涉及本项目投（融）资、建设、运营维护等方面的各项经营活动。</w:t>
      </w:r>
    </w:p>
    <w:p w:rsidR="00342714" w:rsidRPr="006A2A04" w:rsidRDefault="00342714" w:rsidP="00342714">
      <w:pPr>
        <w:widowControl/>
        <w:numPr>
          <w:ilvl w:val="0"/>
          <w:numId w:val="8"/>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在政府方严重违约时，有权按照《PPP项目合同》的有关规定提前解除合作、解除《股东协议》，并获得合理补偿。</w:t>
      </w:r>
    </w:p>
    <w:p w:rsidR="00342714" w:rsidRPr="006A2A04" w:rsidRDefault="00342714" w:rsidP="00342714">
      <w:pPr>
        <w:widowControl/>
        <w:numPr>
          <w:ilvl w:val="0"/>
          <w:numId w:val="3"/>
        </w:numPr>
        <w:tabs>
          <w:tab w:val="num" w:pos="0"/>
        </w:tabs>
        <w:spacing w:line="360" w:lineRule="auto"/>
        <w:ind w:left="567" w:firstLineChars="200" w:firstLine="422"/>
        <w:jc w:val="left"/>
        <w:rPr>
          <w:rFonts w:asciiTheme="minorEastAsia" w:eastAsiaTheme="minorEastAsia" w:hAnsiTheme="minorEastAsia"/>
          <w:b/>
          <w:bCs/>
          <w:kern w:val="0"/>
          <w:szCs w:val="21"/>
        </w:rPr>
      </w:pPr>
      <w:r w:rsidRPr="006A2A04">
        <w:rPr>
          <w:rFonts w:asciiTheme="minorEastAsia" w:eastAsiaTheme="minorEastAsia" w:hAnsiTheme="minorEastAsia" w:hint="eastAsia"/>
          <w:b/>
          <w:bCs/>
          <w:kern w:val="0"/>
          <w:szCs w:val="21"/>
        </w:rPr>
        <w:t>项目公司的主要义务</w:t>
      </w:r>
    </w:p>
    <w:p w:rsidR="00342714" w:rsidRPr="006A2A04" w:rsidRDefault="00342714" w:rsidP="00342714">
      <w:pPr>
        <w:widowControl/>
        <w:numPr>
          <w:ilvl w:val="0"/>
          <w:numId w:val="9"/>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按照《PPP项目合同》的约定，承担本项目投（融）资、建设管理、运营维护、移交等的责任和风险；</w:t>
      </w:r>
    </w:p>
    <w:p w:rsidR="00342714" w:rsidRPr="006A2A04" w:rsidRDefault="00342714" w:rsidP="00342714">
      <w:pPr>
        <w:widowControl/>
        <w:numPr>
          <w:ilvl w:val="0"/>
          <w:numId w:val="9"/>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负责组织具备投资和工程建设管理能力和经验的管理、技术、财务等类别人员参加本项目建设、运营维护，并根据本项目需求完善项目公司的机构设置及人员配备；</w:t>
      </w:r>
    </w:p>
    <w:p w:rsidR="00342714" w:rsidRPr="006A2A04" w:rsidRDefault="00342714" w:rsidP="00342714">
      <w:pPr>
        <w:widowControl/>
        <w:numPr>
          <w:ilvl w:val="0"/>
          <w:numId w:val="9"/>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承担本项目所需的项目申报审批事项，有义务满足获得项目相关批准要求的条件；</w:t>
      </w:r>
    </w:p>
    <w:p w:rsidR="00342714" w:rsidRPr="006A2A04" w:rsidRDefault="00342714" w:rsidP="00342714">
      <w:pPr>
        <w:widowControl/>
        <w:numPr>
          <w:ilvl w:val="0"/>
          <w:numId w:val="9"/>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按照《PPP项目合同》约定的进度、质量标准完成所有工程的建设，自行承担建设相关的一切费用、责任和风险；</w:t>
      </w:r>
    </w:p>
    <w:p w:rsidR="00342714" w:rsidRPr="006A2A04" w:rsidRDefault="00342714" w:rsidP="00342714">
      <w:pPr>
        <w:widowControl/>
        <w:numPr>
          <w:ilvl w:val="0"/>
          <w:numId w:val="9"/>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接受国家和政府方按国家有关法律及法规规定对本项目进行的审计；</w:t>
      </w:r>
    </w:p>
    <w:p w:rsidR="00342714" w:rsidRPr="006A2A04" w:rsidRDefault="00342714" w:rsidP="00342714">
      <w:pPr>
        <w:widowControl/>
        <w:numPr>
          <w:ilvl w:val="0"/>
          <w:numId w:val="9"/>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承担工程质量等原因造成的</w:t>
      </w:r>
      <w:r w:rsidRPr="006A2A04">
        <w:rPr>
          <w:rFonts w:asciiTheme="minorEastAsia" w:eastAsiaTheme="minorEastAsia" w:hAnsiTheme="minorEastAsia"/>
          <w:kern w:val="0"/>
          <w:szCs w:val="21"/>
        </w:rPr>
        <w:t>维护</w:t>
      </w:r>
      <w:r w:rsidRPr="006A2A04">
        <w:rPr>
          <w:rFonts w:asciiTheme="minorEastAsia" w:eastAsiaTheme="minorEastAsia" w:hAnsiTheme="minorEastAsia" w:hint="eastAsia"/>
          <w:kern w:val="0"/>
          <w:szCs w:val="21"/>
        </w:rPr>
        <w:t>支出；</w:t>
      </w:r>
    </w:p>
    <w:p w:rsidR="00342714" w:rsidRPr="006A2A04" w:rsidRDefault="00342714" w:rsidP="00342714">
      <w:pPr>
        <w:widowControl/>
        <w:numPr>
          <w:ilvl w:val="0"/>
          <w:numId w:val="9"/>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应按照国家有关规定建立健全的质量和安全保证体系，落实质量和安全生产责任制，建设期应加强对承包人的监督和管理，确保项目的工程质量和财产、人员安全；</w:t>
      </w:r>
    </w:p>
    <w:p w:rsidR="00342714" w:rsidRPr="006A2A04" w:rsidRDefault="00342714" w:rsidP="00342714">
      <w:pPr>
        <w:widowControl/>
        <w:numPr>
          <w:ilvl w:val="0"/>
          <w:numId w:val="9"/>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将项目公司高级管理人员的确定或变更情况，以及对本项目有重大影响的事项及时报告</w:t>
      </w:r>
      <w:r w:rsidRPr="006A2A04">
        <w:rPr>
          <w:rFonts w:asciiTheme="minorEastAsia" w:eastAsiaTheme="minorEastAsia" w:hAnsiTheme="minorEastAsia"/>
          <w:kern w:val="0"/>
          <w:szCs w:val="21"/>
        </w:rPr>
        <w:t>柳州市文化广电和旅游局</w:t>
      </w:r>
      <w:r w:rsidRPr="006A2A04">
        <w:rPr>
          <w:rFonts w:asciiTheme="minorEastAsia" w:eastAsiaTheme="minorEastAsia" w:hAnsiTheme="minorEastAsia" w:hint="eastAsia"/>
          <w:kern w:val="0"/>
          <w:szCs w:val="21"/>
        </w:rPr>
        <w:t>相关单位；</w:t>
      </w:r>
    </w:p>
    <w:p w:rsidR="00342714" w:rsidRPr="006A2A04" w:rsidRDefault="00342714" w:rsidP="00342714">
      <w:pPr>
        <w:widowControl/>
        <w:numPr>
          <w:ilvl w:val="0"/>
          <w:numId w:val="9"/>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接受和配合</w:t>
      </w:r>
      <w:r w:rsidRPr="006A2A04">
        <w:rPr>
          <w:rFonts w:asciiTheme="minorEastAsia" w:eastAsiaTheme="minorEastAsia" w:hAnsiTheme="minorEastAsia"/>
          <w:kern w:val="0"/>
          <w:szCs w:val="21"/>
        </w:rPr>
        <w:t>柳州市文化广电和旅游局</w:t>
      </w:r>
      <w:r w:rsidRPr="006A2A04">
        <w:rPr>
          <w:rFonts w:asciiTheme="minorEastAsia" w:eastAsiaTheme="minorEastAsia" w:hAnsiTheme="minorEastAsia" w:hint="eastAsia"/>
          <w:kern w:val="0"/>
          <w:szCs w:val="21"/>
        </w:rPr>
        <w:t>相关部门对本项目的监管；</w:t>
      </w:r>
    </w:p>
    <w:p w:rsidR="00342714" w:rsidRPr="006A2A04" w:rsidRDefault="00342714" w:rsidP="00342714">
      <w:pPr>
        <w:widowControl/>
        <w:numPr>
          <w:ilvl w:val="0"/>
          <w:numId w:val="9"/>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根据《PPP项目合同》相关规定，接受</w:t>
      </w:r>
      <w:r w:rsidRPr="006A2A04">
        <w:rPr>
          <w:rFonts w:asciiTheme="minorEastAsia" w:eastAsiaTheme="minorEastAsia" w:hAnsiTheme="minorEastAsia"/>
          <w:kern w:val="0"/>
          <w:szCs w:val="21"/>
        </w:rPr>
        <w:t>柳州市文化广电和旅游局</w:t>
      </w:r>
      <w:r w:rsidRPr="006A2A04">
        <w:rPr>
          <w:rFonts w:asciiTheme="minorEastAsia" w:eastAsiaTheme="minorEastAsia" w:hAnsiTheme="minorEastAsia" w:hint="eastAsia"/>
          <w:kern w:val="0"/>
          <w:szCs w:val="21"/>
        </w:rPr>
        <w:t>对本项目实施的临时接管或征用；</w:t>
      </w:r>
    </w:p>
    <w:p w:rsidR="00342714" w:rsidRPr="006A2A04" w:rsidRDefault="00342714" w:rsidP="00342714">
      <w:pPr>
        <w:widowControl/>
        <w:numPr>
          <w:ilvl w:val="0"/>
          <w:numId w:val="9"/>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未经</w:t>
      </w:r>
      <w:r w:rsidRPr="006A2A04">
        <w:rPr>
          <w:rFonts w:asciiTheme="minorEastAsia" w:eastAsiaTheme="minorEastAsia" w:hAnsiTheme="minorEastAsia"/>
          <w:kern w:val="0"/>
          <w:szCs w:val="21"/>
        </w:rPr>
        <w:t>柳州市文化广电和旅游局</w:t>
      </w:r>
      <w:r w:rsidRPr="006A2A04">
        <w:rPr>
          <w:rFonts w:asciiTheme="minorEastAsia" w:eastAsiaTheme="minorEastAsia" w:hAnsiTheme="minorEastAsia" w:hint="eastAsia"/>
          <w:kern w:val="0"/>
          <w:szCs w:val="21"/>
        </w:rPr>
        <w:t>同意，不得将项目的投（融）资、建设和运营维护委托给第三方；</w:t>
      </w:r>
    </w:p>
    <w:p w:rsidR="00342714" w:rsidRPr="006A2A04" w:rsidRDefault="00342714" w:rsidP="00342714">
      <w:pPr>
        <w:widowControl/>
        <w:numPr>
          <w:ilvl w:val="0"/>
          <w:numId w:val="9"/>
        </w:numPr>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根据《PPP项目合同》对项目设施进行中、大修和移交。</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此外，项目公司应行使法律、法规、当地政府的政策和文件、及《PPP项目合同》赋予的其他权利并履行规定的其它义务。</w:t>
      </w:r>
    </w:p>
    <w:p w:rsidR="00342714" w:rsidRPr="006A2A04" w:rsidRDefault="00342714" w:rsidP="00342714">
      <w:pPr>
        <w:pStyle w:val="3"/>
        <w:numPr>
          <w:ilvl w:val="0"/>
          <w:numId w:val="0"/>
        </w:numPr>
      </w:pPr>
      <w:r w:rsidRPr="006A2A04">
        <w:rPr>
          <w:rFonts w:hint="eastAsia"/>
        </w:rPr>
        <w:t>（二）交易条件边界</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1、 项目资产权属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lastRenderedPageBreak/>
        <w:t>由项目公司在完成建设后经双方认可的审计机构确认的项目总投资作为最终形成的资产。资产</w:t>
      </w:r>
      <w:r w:rsidRPr="006A2A04">
        <w:rPr>
          <w:rFonts w:hint="eastAsia"/>
        </w:rPr>
        <w:t>权</w:t>
      </w:r>
      <w:r w:rsidRPr="006A2A04">
        <w:t>属于政府，运营期由项目公司负责运营。</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2、 项目用地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本项目建设用地由东城集团通过公开招拍挂的方式获得土地，并将土地无偿提供给项目公司使用。在合作期限内，项目公司拥有使用土地的权利，至合作期期满为止。</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在项目合作期内，未经政府方书面同意，中标人不得将项目所用土地用于本项目之外的任何目的。</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3、 前期费用</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包括但不限于立项、可研（含专题报告）、勘察设计（含图审）、招投标、咨询等在内的前期工作费用由东城集团先行垫付，待项目公司成立后此部分费用（须提供相关票据），经双方确认后按照中标社会资本方投标收益率计算的资金占用成本支付给东城集团，并计入项目建设投资总额。</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4、 PPP 项目合同期限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本项目合作期为12年，自PPP项目合同生效之日算起。其中，建设期暂定为2年，项目整体竣工验收合格后进入运营期。运营期为10年，非项目公司原因导致建设期延误的，建设期和运营期相应顺延。项目公司原因导致建设期延误的，按PPP项目合同的约定处理。在合作期内，实际建设期的缩短或延长不改变运营期限。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5、 项目回报机制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（1）项目公司回报机制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本项目采用可行性缺口补助模式，即政府依照PPP项目合同，根据项目公司提供服务质量和绩效考核结果，按年度向项目公司支付运营补贴从而满足其投资收益。</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（2）股东回报机制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本项目政府出资代表和社会资本方以现金方式出资，资本性投入主要是自有资金，本项目运营期内，股东同股同权。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（3） 项目公司回报机制设计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项目公司在运营期主要负责图书馆生活文化空间的商业运营，负责项目范围内（包括大堂、地下室、室外等，不包含图书馆主馆、少儿馆及多功能展区等区域）的物业管理（包含保安、保洁、绿化、道路养护等）和建筑及设备设施日常养护（图书馆入驻单位原有功能设备暂由其自行管理）；项目建成后图书核心业务仍由柳州市图书馆管理单位负责。</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lastRenderedPageBreak/>
        <w:t>商业运营收入和停车费收入作为使用者付费，其中，商业运营收入的经营范围包括：1）图书生活文化空间，面积2963.88平方米，此部分采用准公益运营方式；2）城市展示空间，面积约7642.76平方米，场地对外提供租赁等服务，政府方、企业、社会组织等均可作为承租方。停车场运营收入包括内部使用车位收费及对外经营车位收入。上述运营面积及收费价格需经过政府方审批，若运营区域由政府方承租，则项目公司可不承担对应区域使用者付费增减风险。政府方承租商业运营区域的面积范围、具体价格可由政府方与项目公司在PPP项目合同中具体约定。项目公司收入来源，但无法弥补</w:t>
      </w:r>
      <w:r w:rsidRPr="006A2A04">
        <w:rPr>
          <w:rFonts w:asciiTheme="minorEastAsia" w:eastAsiaTheme="minorEastAsia" w:hAnsiTheme="minorEastAsia"/>
          <w:kern w:val="0"/>
          <w:szCs w:val="21"/>
        </w:rPr>
        <w:t>项目</w:t>
      </w:r>
      <w:r w:rsidRPr="006A2A04">
        <w:rPr>
          <w:rFonts w:asciiTheme="minorEastAsia" w:eastAsiaTheme="minorEastAsia" w:hAnsiTheme="minorEastAsia" w:hint="eastAsia"/>
          <w:kern w:val="0"/>
          <w:szCs w:val="21"/>
        </w:rPr>
        <w:t>投资运营</w:t>
      </w:r>
      <w:r w:rsidRPr="006A2A04">
        <w:rPr>
          <w:rFonts w:asciiTheme="minorEastAsia" w:eastAsiaTheme="minorEastAsia" w:hAnsiTheme="minorEastAsia"/>
          <w:kern w:val="0"/>
          <w:szCs w:val="21"/>
        </w:rPr>
        <w:t>成本时</w:t>
      </w:r>
      <w:r w:rsidRPr="006A2A04">
        <w:rPr>
          <w:rFonts w:asciiTheme="minorEastAsia" w:eastAsiaTheme="minorEastAsia" w:hAnsiTheme="minorEastAsia" w:hint="eastAsia"/>
          <w:kern w:val="0"/>
          <w:szCs w:val="21"/>
        </w:rPr>
        <w:t>，通过政府可行性缺口补助补足。</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kern w:val="0"/>
          <w:szCs w:val="21"/>
        </w:rPr>
        <w:fldChar w:fldCharType="begin"/>
      </w:r>
      <w:r w:rsidRPr="006A2A04">
        <w:rPr>
          <w:rFonts w:asciiTheme="minorEastAsia" w:eastAsiaTheme="minorEastAsia" w:hAnsiTheme="minorEastAsia" w:hint="eastAsia"/>
          <w:kern w:val="0"/>
          <w:szCs w:val="21"/>
        </w:rPr>
        <w:instrText>= 1 \* GB3</w:instrText>
      </w:r>
      <w:r w:rsidRPr="006A2A04">
        <w:rPr>
          <w:rFonts w:asciiTheme="minorEastAsia" w:eastAsiaTheme="minorEastAsia" w:hAnsiTheme="minorEastAsia"/>
          <w:kern w:val="0"/>
          <w:szCs w:val="21"/>
        </w:rPr>
        <w:fldChar w:fldCharType="separate"/>
      </w:r>
      <w:r w:rsidRPr="006A2A04">
        <w:rPr>
          <w:rFonts w:asciiTheme="minorEastAsia" w:eastAsiaTheme="minorEastAsia" w:hAnsiTheme="minorEastAsia" w:hint="eastAsia"/>
          <w:kern w:val="0"/>
          <w:szCs w:val="21"/>
        </w:rPr>
        <w:t>①</w:t>
      </w:r>
      <w:r w:rsidRPr="006A2A04">
        <w:rPr>
          <w:rFonts w:asciiTheme="minorEastAsia" w:eastAsiaTheme="minorEastAsia" w:hAnsiTheme="minorEastAsia"/>
          <w:kern w:val="0"/>
          <w:szCs w:val="21"/>
        </w:rPr>
        <w:fldChar w:fldCharType="end"/>
      </w:r>
      <w:r w:rsidRPr="006A2A04">
        <w:rPr>
          <w:rFonts w:asciiTheme="minorEastAsia" w:eastAsiaTheme="minorEastAsia" w:hAnsiTheme="minorEastAsia" w:hint="eastAsia"/>
          <w:kern w:val="0"/>
          <w:szCs w:val="21"/>
        </w:rPr>
        <w:t xml:space="preserve"> 可行性缺口补贴公式 </w:t>
      </w:r>
    </w:p>
    <w:p w:rsidR="00342714" w:rsidRPr="006A2A04" w:rsidRDefault="00342714" w:rsidP="00342714">
      <w:pPr>
        <w:widowControl/>
        <w:spacing w:line="360" w:lineRule="auto"/>
        <w:ind w:firstLineChars="200" w:firstLine="422"/>
        <w:jc w:val="left"/>
        <w:rPr>
          <w:rFonts w:asciiTheme="minorEastAsia" w:eastAsiaTheme="minorEastAsia" w:hAnsiTheme="minorEastAsia"/>
          <w:b/>
          <w:bCs/>
          <w:kern w:val="0"/>
          <w:szCs w:val="21"/>
        </w:rPr>
      </w:pPr>
      <w:r w:rsidRPr="006A2A04">
        <w:rPr>
          <w:rFonts w:asciiTheme="minorEastAsia" w:eastAsiaTheme="minorEastAsia" w:hAnsiTheme="minorEastAsia"/>
          <w:b/>
          <w:bCs/>
          <w:kern w:val="0"/>
          <w:szCs w:val="21"/>
        </w:rPr>
        <w:t>可行性缺口补助</w:t>
      </w:r>
      <w:r w:rsidRPr="006A2A04">
        <w:rPr>
          <w:rFonts w:asciiTheme="minorEastAsia" w:eastAsiaTheme="minorEastAsia" w:hAnsiTheme="minorEastAsia" w:hint="eastAsia"/>
          <w:b/>
          <w:bCs/>
          <w:kern w:val="0"/>
          <w:szCs w:val="21"/>
        </w:rPr>
        <w:t>=</w:t>
      </w:r>
      <w:r w:rsidRPr="006A2A04">
        <w:rPr>
          <w:rFonts w:asciiTheme="minorEastAsia" w:eastAsiaTheme="minorEastAsia" w:hAnsiTheme="minorEastAsia"/>
          <w:b/>
          <w:bCs/>
          <w:kern w:val="0"/>
          <w:szCs w:val="21"/>
        </w:rPr>
        <w:t>可用性服务费</w:t>
      </w:r>
      <w:r w:rsidRPr="006A2A04">
        <w:rPr>
          <w:rFonts w:asciiTheme="minorEastAsia" w:eastAsiaTheme="minorEastAsia" w:hAnsiTheme="minorEastAsia" w:hint="eastAsia"/>
          <w:b/>
          <w:bCs/>
          <w:kern w:val="0"/>
          <w:szCs w:val="21"/>
        </w:rPr>
        <w:t>＋</w:t>
      </w:r>
      <w:r w:rsidRPr="006A2A04">
        <w:rPr>
          <w:rFonts w:asciiTheme="minorEastAsia" w:eastAsiaTheme="minorEastAsia" w:hAnsiTheme="minorEastAsia"/>
          <w:b/>
          <w:bCs/>
          <w:kern w:val="0"/>
          <w:szCs w:val="21"/>
        </w:rPr>
        <w:t>运营服务费＋税费</w:t>
      </w:r>
      <w:r w:rsidRPr="006A2A04">
        <w:rPr>
          <w:rFonts w:asciiTheme="minorEastAsia" w:eastAsiaTheme="minorEastAsia" w:hAnsiTheme="minorEastAsia" w:hint="eastAsia"/>
          <w:b/>
          <w:bCs/>
          <w:kern w:val="0"/>
          <w:szCs w:val="21"/>
        </w:rPr>
        <w:t>－</w:t>
      </w:r>
      <w:r w:rsidRPr="006A2A04">
        <w:rPr>
          <w:rFonts w:asciiTheme="minorEastAsia" w:eastAsiaTheme="minorEastAsia" w:hAnsiTheme="minorEastAsia"/>
          <w:b/>
          <w:bCs/>
          <w:kern w:val="0"/>
          <w:szCs w:val="21"/>
        </w:rPr>
        <w:t>使用者付费</w:t>
      </w:r>
    </w:p>
    <w:p w:rsidR="00342714" w:rsidRPr="006A2A04" w:rsidRDefault="00342714" w:rsidP="00342714">
      <w:pPr>
        <w:widowControl/>
        <w:spacing w:line="360" w:lineRule="auto"/>
        <w:ind w:firstLineChars="200" w:firstLine="420"/>
        <w:jc w:val="left"/>
        <w:rPr>
          <w:rFonts w:asciiTheme="minorEastAsia" w:eastAsiaTheme="minorEastAsia" w:hAnsiTheme="minorEastAsia"/>
          <w:bCs/>
          <w:kern w:val="0"/>
          <w:szCs w:val="21"/>
        </w:rPr>
      </w:pPr>
      <w:r w:rsidRPr="006A2A04">
        <w:rPr>
          <w:rFonts w:asciiTheme="minorEastAsia" w:eastAsiaTheme="minorEastAsia" w:hAnsiTheme="minorEastAsia" w:hint="eastAsia"/>
          <w:bCs/>
          <w:kern w:val="0"/>
          <w:szCs w:val="21"/>
        </w:rPr>
        <w:t>可用性付费，即针对项目建成后的可用性进行付费，</w:t>
      </w:r>
      <w:r w:rsidRPr="006A2A04">
        <w:rPr>
          <w:rFonts w:asciiTheme="minorEastAsia" w:eastAsiaTheme="minorEastAsia" w:hAnsiTheme="minorEastAsia"/>
          <w:bCs/>
          <w:kern w:val="0"/>
          <w:szCs w:val="21"/>
        </w:rPr>
        <w:t>按</w:t>
      </w:r>
      <w:r w:rsidRPr="006A2A04">
        <w:rPr>
          <w:rFonts w:asciiTheme="minorEastAsia" w:eastAsiaTheme="minorEastAsia" w:hAnsiTheme="minorEastAsia" w:hint="eastAsia"/>
          <w:bCs/>
          <w:kern w:val="0"/>
          <w:szCs w:val="21"/>
        </w:rPr>
        <w:t>运营期年</w:t>
      </w:r>
      <w:r w:rsidRPr="006A2A04">
        <w:rPr>
          <w:rFonts w:asciiTheme="minorEastAsia" w:eastAsiaTheme="minorEastAsia" w:hAnsiTheme="minorEastAsia"/>
          <w:bCs/>
          <w:kern w:val="0"/>
          <w:szCs w:val="21"/>
        </w:rPr>
        <w:t>限和</w:t>
      </w:r>
      <w:r w:rsidRPr="006A2A04">
        <w:rPr>
          <w:rFonts w:asciiTheme="minorEastAsia" w:eastAsiaTheme="minorEastAsia" w:hAnsiTheme="minorEastAsia" w:hint="eastAsia"/>
          <w:bCs/>
          <w:kern w:val="0"/>
          <w:szCs w:val="21"/>
        </w:rPr>
        <w:t>年投资收益率，平均逐年计算。</w:t>
      </w:r>
    </w:p>
    <w:p w:rsidR="00342714" w:rsidRPr="006A2A04" w:rsidRDefault="00342714" w:rsidP="00342714">
      <w:pPr>
        <w:widowControl/>
        <w:spacing w:line="360" w:lineRule="auto"/>
        <w:ind w:firstLineChars="200" w:firstLine="420"/>
        <w:jc w:val="left"/>
        <w:rPr>
          <w:rFonts w:asciiTheme="minorEastAsia" w:eastAsiaTheme="minorEastAsia" w:hAnsiTheme="minorEastAsia"/>
          <w:bCs/>
          <w:kern w:val="0"/>
          <w:szCs w:val="21"/>
        </w:rPr>
      </w:pPr>
      <w:r w:rsidRPr="006A2A04">
        <w:rPr>
          <w:rFonts w:asciiTheme="minorEastAsia" w:eastAsiaTheme="minorEastAsia" w:hAnsiTheme="minorEastAsia"/>
          <w:bCs/>
          <w:noProof/>
          <w:kern w:val="0"/>
          <w:szCs w:val="21"/>
        </w:rPr>
        <w:drawing>
          <wp:inline distT="0" distB="0" distL="0" distR="0">
            <wp:extent cx="2006600" cy="429544"/>
            <wp:effectExtent l="0" t="0" r="0" b="8890"/>
            <wp:docPr id="1" name="图片 9" descr="19668600278743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196686002787434359"/>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2009316" cy="430125"/>
                    </a:xfrm>
                    <a:prstGeom prst="rect">
                      <a:avLst/>
                    </a:prstGeom>
                    <a:noFill/>
                    <a:ln w="9525">
                      <a:noFill/>
                      <a:miter lim="800000"/>
                      <a:headEnd/>
                      <a:tailEnd/>
                    </a:ln>
                    <a:effectLst/>
                  </pic:spPr>
                </pic:pic>
              </a:graphicData>
            </a:graphic>
          </wp:inline>
        </w:drawing>
      </w:r>
    </w:p>
    <w:p w:rsidR="00342714" w:rsidRPr="006A2A04" w:rsidRDefault="00342714" w:rsidP="00342714">
      <w:pPr>
        <w:widowControl/>
        <w:spacing w:line="360" w:lineRule="auto"/>
        <w:ind w:firstLineChars="200" w:firstLine="420"/>
        <w:jc w:val="left"/>
        <w:rPr>
          <w:rFonts w:asciiTheme="minorEastAsia" w:eastAsiaTheme="minorEastAsia" w:hAnsiTheme="minorEastAsia"/>
          <w:bCs/>
          <w:kern w:val="0"/>
          <w:szCs w:val="21"/>
        </w:rPr>
      </w:pPr>
      <w:r w:rsidRPr="006A2A04">
        <w:rPr>
          <w:rFonts w:asciiTheme="minorEastAsia" w:eastAsiaTheme="minorEastAsia" w:hAnsiTheme="minorEastAsia"/>
          <w:bCs/>
          <w:kern w:val="0"/>
          <w:szCs w:val="21"/>
        </w:rPr>
        <w:t>其中：</w:t>
      </w:r>
    </w:p>
    <w:p w:rsidR="00342714" w:rsidRPr="006A2A04" w:rsidRDefault="00342714" w:rsidP="00342714">
      <w:pPr>
        <w:widowControl/>
        <w:spacing w:line="360" w:lineRule="auto"/>
        <w:ind w:firstLineChars="200" w:firstLine="420"/>
        <w:jc w:val="left"/>
        <w:rPr>
          <w:rFonts w:asciiTheme="minorEastAsia" w:eastAsiaTheme="minorEastAsia" w:hAnsiTheme="minorEastAsia"/>
          <w:bCs/>
          <w:kern w:val="0"/>
          <w:szCs w:val="21"/>
        </w:rPr>
      </w:pPr>
      <w:r w:rsidRPr="006A2A04">
        <w:rPr>
          <w:rFonts w:asciiTheme="minorEastAsia" w:eastAsiaTheme="minorEastAsia" w:hAnsiTheme="minorEastAsia"/>
          <w:bCs/>
          <w:kern w:val="0"/>
          <w:szCs w:val="21"/>
        </w:rPr>
        <w:t>A为经决算评审（审计）的本项目建设总投资</w:t>
      </w:r>
    </w:p>
    <w:p w:rsidR="00342714" w:rsidRPr="006A2A04" w:rsidRDefault="00342714" w:rsidP="00342714">
      <w:pPr>
        <w:widowControl/>
        <w:spacing w:line="360" w:lineRule="auto"/>
        <w:ind w:firstLineChars="200" w:firstLine="420"/>
        <w:jc w:val="left"/>
        <w:rPr>
          <w:rFonts w:asciiTheme="minorEastAsia" w:eastAsiaTheme="minorEastAsia" w:hAnsiTheme="minorEastAsia"/>
          <w:bCs/>
          <w:kern w:val="0"/>
          <w:szCs w:val="21"/>
        </w:rPr>
      </w:pPr>
      <w:r w:rsidRPr="006A2A04">
        <w:rPr>
          <w:rFonts w:asciiTheme="minorEastAsia" w:eastAsiaTheme="minorEastAsia" w:hAnsiTheme="minorEastAsia"/>
          <w:bCs/>
          <w:kern w:val="0"/>
          <w:szCs w:val="21"/>
        </w:rPr>
        <w:t>A=</w:t>
      </w:r>
      <w:r w:rsidRPr="006A2A04">
        <w:rPr>
          <w:rFonts w:asciiTheme="minorEastAsia" w:eastAsiaTheme="minorEastAsia" w:hAnsiTheme="minorEastAsia" w:hint="eastAsia"/>
          <w:bCs/>
          <w:kern w:val="0"/>
          <w:szCs w:val="21"/>
        </w:rPr>
        <w:t>建筑安装工程费×（1-项目建设工程费用结算下浮率）+设备及工具器具购置费+工程建设其他费用</w:t>
      </w:r>
    </w:p>
    <w:p w:rsidR="00342714" w:rsidRPr="006A2A04" w:rsidRDefault="00342714" w:rsidP="00342714">
      <w:pPr>
        <w:widowControl/>
        <w:spacing w:line="360" w:lineRule="auto"/>
        <w:ind w:firstLineChars="200" w:firstLine="420"/>
        <w:jc w:val="left"/>
        <w:rPr>
          <w:rFonts w:asciiTheme="minorEastAsia" w:eastAsiaTheme="minorEastAsia" w:hAnsiTheme="minorEastAsia"/>
          <w:bCs/>
          <w:kern w:val="0"/>
          <w:szCs w:val="21"/>
        </w:rPr>
      </w:pPr>
      <w:r w:rsidRPr="006A2A04">
        <w:rPr>
          <w:rFonts w:asciiTheme="minorEastAsia" w:eastAsiaTheme="minorEastAsia" w:hAnsiTheme="minorEastAsia"/>
          <w:bCs/>
          <w:kern w:val="0"/>
          <w:szCs w:val="21"/>
        </w:rPr>
        <w:t>B为社会投资人投标的</w:t>
      </w:r>
      <w:bookmarkStart w:id="41" w:name="_Hlk13495595"/>
      <w:r w:rsidRPr="006A2A04">
        <w:rPr>
          <w:rFonts w:asciiTheme="minorEastAsia" w:eastAsiaTheme="minorEastAsia" w:hAnsiTheme="minorEastAsia"/>
          <w:bCs/>
          <w:kern w:val="0"/>
          <w:szCs w:val="21"/>
        </w:rPr>
        <w:t>年投资收益率</w:t>
      </w:r>
      <w:bookmarkEnd w:id="41"/>
      <w:r w:rsidRPr="006A2A04">
        <w:rPr>
          <w:rFonts w:asciiTheme="minorEastAsia" w:eastAsiaTheme="minorEastAsia" w:hAnsiTheme="minorEastAsia"/>
          <w:bCs/>
          <w:kern w:val="0"/>
          <w:szCs w:val="21"/>
        </w:rPr>
        <w:t>，本项目取6%为投标上限值</w:t>
      </w:r>
    </w:p>
    <w:p w:rsidR="00342714" w:rsidRPr="006A2A04" w:rsidRDefault="00342714" w:rsidP="00342714">
      <w:pPr>
        <w:widowControl/>
        <w:spacing w:line="360" w:lineRule="auto"/>
        <w:ind w:firstLineChars="200" w:firstLine="420"/>
        <w:jc w:val="left"/>
        <w:rPr>
          <w:rFonts w:asciiTheme="minorEastAsia" w:eastAsiaTheme="minorEastAsia" w:hAnsiTheme="minorEastAsia"/>
          <w:bCs/>
          <w:kern w:val="0"/>
          <w:szCs w:val="21"/>
        </w:rPr>
      </w:pPr>
      <w:r w:rsidRPr="006A2A04">
        <w:rPr>
          <w:rFonts w:asciiTheme="minorEastAsia" w:eastAsiaTheme="minorEastAsia" w:hAnsiTheme="minorEastAsia"/>
          <w:bCs/>
          <w:kern w:val="0"/>
          <w:szCs w:val="21"/>
        </w:rPr>
        <w:t>N为运营期，本项目运营期为10年</w:t>
      </w:r>
    </w:p>
    <w:p w:rsidR="00342714" w:rsidRPr="006A2A04" w:rsidRDefault="00342714" w:rsidP="00342714">
      <w:pPr>
        <w:widowControl/>
        <w:spacing w:line="360" w:lineRule="auto"/>
        <w:ind w:firstLineChars="200" w:firstLine="420"/>
        <w:jc w:val="left"/>
        <w:rPr>
          <w:rFonts w:asciiTheme="minorEastAsia" w:eastAsiaTheme="minorEastAsia" w:hAnsiTheme="minorEastAsia"/>
          <w:bCs/>
          <w:kern w:val="0"/>
          <w:szCs w:val="21"/>
        </w:rPr>
      </w:pPr>
      <w:r w:rsidRPr="006A2A04">
        <w:rPr>
          <w:rFonts w:asciiTheme="minorEastAsia" w:eastAsiaTheme="minorEastAsia" w:hAnsiTheme="minorEastAsia"/>
          <w:bCs/>
          <w:kern w:val="0"/>
          <w:szCs w:val="21"/>
        </w:rPr>
        <w:t>运营服务费</w:t>
      </w:r>
      <w:r w:rsidRPr="006A2A04">
        <w:rPr>
          <w:rFonts w:asciiTheme="minorEastAsia" w:eastAsiaTheme="minorEastAsia" w:hAnsiTheme="minorEastAsia" w:hint="eastAsia"/>
          <w:bCs/>
          <w:kern w:val="0"/>
          <w:szCs w:val="21"/>
        </w:rPr>
        <w:t>即</w:t>
      </w:r>
      <w:r w:rsidRPr="006A2A04">
        <w:rPr>
          <w:rFonts w:asciiTheme="minorEastAsia" w:eastAsiaTheme="minorEastAsia" w:hAnsiTheme="minorEastAsia"/>
          <w:bCs/>
          <w:kern w:val="0"/>
          <w:szCs w:val="21"/>
        </w:rPr>
        <w:t>项目公司的运营成本。</w:t>
      </w:r>
    </w:p>
    <w:p w:rsidR="00342714" w:rsidRPr="006A2A04" w:rsidRDefault="00342714" w:rsidP="00342714">
      <w:pPr>
        <w:widowControl/>
        <w:spacing w:line="360" w:lineRule="auto"/>
        <w:ind w:firstLineChars="200" w:firstLine="420"/>
        <w:jc w:val="left"/>
        <w:rPr>
          <w:rFonts w:asciiTheme="minorEastAsia" w:eastAsiaTheme="minorEastAsia" w:hAnsiTheme="minorEastAsia"/>
          <w:bCs/>
          <w:kern w:val="0"/>
          <w:szCs w:val="21"/>
        </w:rPr>
      </w:pPr>
      <w:r w:rsidRPr="006A2A04">
        <w:rPr>
          <w:rFonts w:asciiTheme="minorEastAsia" w:eastAsiaTheme="minorEastAsia" w:hAnsiTheme="minorEastAsia" w:hint="eastAsia"/>
          <w:bCs/>
          <w:kern w:val="0"/>
          <w:szCs w:val="21"/>
        </w:rPr>
        <w:t>税费——</w:t>
      </w:r>
      <w:r w:rsidRPr="006A2A04">
        <w:rPr>
          <w:rFonts w:asciiTheme="minorEastAsia" w:eastAsiaTheme="minorEastAsia" w:hAnsiTheme="minorEastAsia"/>
          <w:bCs/>
          <w:kern w:val="0"/>
          <w:szCs w:val="21"/>
        </w:rPr>
        <w:t>为可用性服务费和运营服务费的金额所缴纳的增值税及其附加税。可用性服务费和运营服务费为不含税金额，在本</w:t>
      </w:r>
      <w:r w:rsidRPr="006A2A04">
        <w:rPr>
          <w:rFonts w:asciiTheme="minorEastAsia" w:eastAsiaTheme="minorEastAsia" w:hAnsiTheme="minorEastAsia" w:hint="eastAsia"/>
          <w:bCs/>
          <w:kern w:val="0"/>
          <w:szCs w:val="21"/>
        </w:rPr>
        <w:t>项目</w:t>
      </w:r>
      <w:r w:rsidRPr="006A2A04">
        <w:rPr>
          <w:rFonts w:asciiTheme="minorEastAsia" w:eastAsiaTheme="minorEastAsia" w:hAnsiTheme="minorEastAsia"/>
          <w:bCs/>
          <w:kern w:val="0"/>
          <w:szCs w:val="21"/>
        </w:rPr>
        <w:t>税费测算时，增值税税率取值为6%，附加税取值为增值税的12%，增值税和附加税税率合计</w:t>
      </w:r>
      <w:r w:rsidRPr="006A2A04">
        <w:rPr>
          <w:rFonts w:asciiTheme="minorEastAsia" w:eastAsiaTheme="minorEastAsia" w:hAnsiTheme="minorEastAsia" w:hint="eastAsia"/>
          <w:bCs/>
          <w:kern w:val="0"/>
          <w:szCs w:val="21"/>
        </w:rPr>
        <w:t>取值</w:t>
      </w:r>
      <w:r w:rsidRPr="006A2A04">
        <w:rPr>
          <w:rFonts w:asciiTheme="minorEastAsia" w:eastAsiaTheme="minorEastAsia" w:hAnsiTheme="minorEastAsia"/>
          <w:bCs/>
          <w:kern w:val="0"/>
          <w:szCs w:val="21"/>
        </w:rPr>
        <w:t>6.72%。</w:t>
      </w:r>
    </w:p>
    <w:p w:rsidR="00342714" w:rsidRPr="006A2A04" w:rsidRDefault="00342714" w:rsidP="00342714">
      <w:pPr>
        <w:widowControl/>
        <w:spacing w:line="360" w:lineRule="auto"/>
        <w:ind w:firstLineChars="200" w:firstLine="420"/>
        <w:jc w:val="left"/>
        <w:rPr>
          <w:rFonts w:asciiTheme="minorEastAsia" w:eastAsiaTheme="minorEastAsia" w:hAnsiTheme="minorEastAsia"/>
          <w:bCs/>
          <w:kern w:val="0"/>
          <w:szCs w:val="21"/>
        </w:rPr>
      </w:pPr>
      <w:r w:rsidRPr="006A2A04">
        <w:rPr>
          <w:rFonts w:asciiTheme="minorEastAsia" w:eastAsiaTheme="minorEastAsia" w:hAnsiTheme="minorEastAsia" w:hint="eastAsia"/>
          <w:bCs/>
          <w:kern w:val="0"/>
          <w:szCs w:val="21"/>
        </w:rPr>
        <w:t>上述税费不含房产税、土地使用税和所得税。如房产税和土地使用税需缴纳，缴纳金额另行协商。本测算按6.72%进行测算，计算政府应支付金额时，实际增值税及附加的税率按柳州市税务局相关政策规定取值。</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bCs/>
          <w:kern w:val="0"/>
          <w:szCs w:val="21"/>
        </w:rPr>
        <w:t>使用者付费收入来源主要为商业运营收入及停车费收入。项目公司在公共图书馆范围内的经营活动必须符合《中华人民共和国公共图书馆法》要求，合作项目必须围绕图书及文化</w:t>
      </w:r>
      <w:r w:rsidRPr="006A2A04">
        <w:rPr>
          <w:rFonts w:asciiTheme="minorEastAsia" w:eastAsiaTheme="minorEastAsia" w:hAnsiTheme="minorEastAsia" w:hint="eastAsia"/>
          <w:bCs/>
          <w:kern w:val="0"/>
          <w:szCs w:val="21"/>
        </w:rPr>
        <w:lastRenderedPageBreak/>
        <w:t>服务核心，不得在馆内从事危害国家安全、损害社会公共利益和其他违反法律法规的活动，杜绝其他任何可能影响图书馆声誉和形象的市场经营项目</w:t>
      </w:r>
      <w:r w:rsidRPr="006A2A04">
        <w:rPr>
          <w:rFonts w:asciiTheme="minorEastAsia" w:eastAsiaTheme="minorEastAsia" w:hAnsiTheme="minorEastAsia"/>
          <w:bCs/>
          <w:kern w:val="0"/>
          <w:szCs w:val="21"/>
        </w:rPr>
        <w:t>。</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kern w:val="0"/>
          <w:szCs w:val="21"/>
        </w:rPr>
        <w:fldChar w:fldCharType="begin"/>
      </w:r>
      <w:r w:rsidRPr="006A2A04">
        <w:rPr>
          <w:rFonts w:asciiTheme="minorEastAsia" w:eastAsiaTheme="minorEastAsia" w:hAnsiTheme="minorEastAsia" w:hint="eastAsia"/>
          <w:kern w:val="0"/>
          <w:szCs w:val="21"/>
        </w:rPr>
        <w:instrText>= 2 \* GB3</w:instrText>
      </w:r>
      <w:r w:rsidRPr="006A2A04">
        <w:rPr>
          <w:rFonts w:asciiTheme="minorEastAsia" w:eastAsiaTheme="minorEastAsia" w:hAnsiTheme="minorEastAsia"/>
          <w:kern w:val="0"/>
          <w:szCs w:val="21"/>
        </w:rPr>
        <w:fldChar w:fldCharType="separate"/>
      </w:r>
      <w:r w:rsidRPr="006A2A04">
        <w:rPr>
          <w:rFonts w:asciiTheme="minorEastAsia" w:eastAsiaTheme="minorEastAsia" w:hAnsiTheme="minorEastAsia" w:hint="eastAsia"/>
          <w:kern w:val="0"/>
          <w:szCs w:val="21"/>
        </w:rPr>
        <w:t>②</w:t>
      </w:r>
      <w:r w:rsidRPr="006A2A04">
        <w:rPr>
          <w:rFonts w:asciiTheme="minorEastAsia" w:eastAsiaTheme="minorEastAsia" w:hAnsiTheme="minorEastAsia"/>
          <w:kern w:val="0"/>
          <w:szCs w:val="21"/>
        </w:rPr>
        <w:fldChar w:fldCharType="end"/>
      </w:r>
      <w:r w:rsidRPr="006A2A04">
        <w:rPr>
          <w:rFonts w:asciiTheme="minorEastAsia" w:eastAsiaTheme="minorEastAsia" w:hAnsiTheme="minorEastAsia" w:hint="eastAsia"/>
          <w:kern w:val="0"/>
          <w:szCs w:val="21"/>
        </w:rPr>
        <w:t xml:space="preserve">绩效考核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本项目通过对项目公司</w:t>
      </w:r>
      <w:r w:rsidRPr="006A2A04">
        <w:rPr>
          <w:rFonts w:asciiTheme="minorEastAsia" w:eastAsiaTheme="minorEastAsia" w:hAnsiTheme="minorEastAsia"/>
          <w:kern w:val="0"/>
          <w:szCs w:val="21"/>
        </w:rPr>
        <w:t>对项目全生命周期的</w:t>
      </w:r>
      <w:r w:rsidRPr="006A2A04">
        <w:rPr>
          <w:rFonts w:asciiTheme="minorEastAsia" w:eastAsiaTheme="minorEastAsia" w:hAnsiTheme="minorEastAsia" w:hint="eastAsia"/>
          <w:kern w:val="0"/>
          <w:szCs w:val="21"/>
        </w:rPr>
        <w:t>服务质量进行考核，政府根据绩效考核的结果支付可行性缺口补助费用。</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可行性缺口补助=可用性服务费＋运营服务费＋税费－当年使用者付费</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kern w:val="0"/>
          <w:szCs w:val="21"/>
        </w:rPr>
        <w:t>其中可用性服务费</w:t>
      </w:r>
      <w:r w:rsidRPr="006A2A04">
        <w:rPr>
          <w:rFonts w:asciiTheme="minorEastAsia" w:eastAsiaTheme="minorEastAsia" w:hAnsiTheme="minorEastAsia" w:hint="eastAsia"/>
          <w:kern w:val="0"/>
          <w:szCs w:val="21"/>
        </w:rPr>
        <w:t>70</w:t>
      </w:r>
      <w:r w:rsidRPr="006A2A04">
        <w:rPr>
          <w:rFonts w:asciiTheme="minorEastAsia" w:eastAsiaTheme="minorEastAsia" w:hAnsiTheme="minorEastAsia"/>
          <w:kern w:val="0"/>
          <w:szCs w:val="21"/>
        </w:rPr>
        <w:t>%</w:t>
      </w:r>
      <w:r w:rsidRPr="006A2A04">
        <w:rPr>
          <w:rFonts w:asciiTheme="minorEastAsia" w:eastAsiaTheme="minorEastAsia" w:hAnsiTheme="minorEastAsia" w:cstheme="minorEastAsia"/>
          <w:kern w:val="0"/>
          <w:szCs w:val="21"/>
        </w:rPr>
        <w:t>根据建设期</w:t>
      </w:r>
      <w:r w:rsidRPr="006A2A04">
        <w:rPr>
          <w:rFonts w:asciiTheme="minorEastAsia" w:eastAsiaTheme="minorEastAsia" w:hAnsiTheme="minorEastAsia" w:cstheme="minorEastAsia" w:hint="eastAsia"/>
          <w:kern w:val="0"/>
          <w:szCs w:val="21"/>
        </w:rPr>
        <w:t>考核</w:t>
      </w:r>
      <w:r w:rsidRPr="006A2A04">
        <w:rPr>
          <w:rFonts w:asciiTheme="minorEastAsia" w:eastAsiaTheme="minorEastAsia" w:hAnsiTheme="minorEastAsia" w:cstheme="minorEastAsia"/>
          <w:kern w:val="0"/>
          <w:szCs w:val="21"/>
        </w:rPr>
        <w:t>结果确认，</w:t>
      </w:r>
      <w:r w:rsidRPr="006A2A04">
        <w:rPr>
          <w:rFonts w:asciiTheme="minorEastAsia" w:eastAsiaTheme="minorEastAsia" w:hAnsiTheme="minorEastAsia"/>
          <w:kern w:val="0"/>
          <w:szCs w:val="21"/>
        </w:rPr>
        <w:t>可用性服务费</w:t>
      </w:r>
      <w:r w:rsidRPr="006A2A04">
        <w:rPr>
          <w:rFonts w:asciiTheme="minorEastAsia" w:eastAsiaTheme="minorEastAsia" w:hAnsiTheme="minorEastAsia" w:hint="eastAsia"/>
          <w:kern w:val="0"/>
          <w:szCs w:val="21"/>
        </w:rPr>
        <w:t>30</w:t>
      </w:r>
      <w:r w:rsidRPr="006A2A04">
        <w:rPr>
          <w:rFonts w:asciiTheme="minorEastAsia" w:eastAsiaTheme="minorEastAsia" w:hAnsiTheme="minorEastAsia"/>
          <w:kern w:val="0"/>
          <w:szCs w:val="21"/>
        </w:rPr>
        <w:t>%及</w:t>
      </w:r>
      <w:r w:rsidRPr="006A2A04">
        <w:rPr>
          <w:rFonts w:asciiTheme="minorEastAsia" w:eastAsiaTheme="minorEastAsia" w:hAnsiTheme="minorEastAsia" w:hint="eastAsia"/>
          <w:kern w:val="0"/>
          <w:szCs w:val="21"/>
        </w:rPr>
        <w:t>运营</w:t>
      </w:r>
      <w:r w:rsidRPr="006A2A04">
        <w:rPr>
          <w:rFonts w:asciiTheme="minorEastAsia" w:eastAsiaTheme="minorEastAsia" w:hAnsiTheme="minorEastAsia"/>
          <w:kern w:val="0"/>
          <w:szCs w:val="21"/>
        </w:rPr>
        <w:t>服务费</w:t>
      </w:r>
      <w:r w:rsidRPr="006A2A04">
        <w:rPr>
          <w:rFonts w:asciiTheme="minorEastAsia" w:eastAsiaTheme="minorEastAsia" w:hAnsiTheme="minorEastAsia" w:cstheme="minorEastAsia" w:hint="eastAsia"/>
          <w:kern w:val="0"/>
          <w:szCs w:val="21"/>
        </w:rPr>
        <w:t>则根据</w:t>
      </w:r>
      <w:r w:rsidRPr="006A2A04">
        <w:rPr>
          <w:rFonts w:asciiTheme="minorEastAsia" w:eastAsiaTheme="minorEastAsia" w:hAnsiTheme="minorEastAsia" w:cstheme="minorEastAsia"/>
          <w:kern w:val="0"/>
          <w:szCs w:val="21"/>
        </w:rPr>
        <w:t>运营期考核结果确认。</w:t>
      </w:r>
      <w:r w:rsidRPr="006A2A04">
        <w:rPr>
          <w:rFonts w:asciiTheme="minorEastAsia" w:eastAsiaTheme="minorEastAsia" w:hAnsiTheme="minorEastAsia" w:hint="eastAsia"/>
          <w:kern w:val="0"/>
          <w:szCs w:val="21"/>
        </w:rPr>
        <w:t>绩效考核相关内容详见项目合同文本草案。</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kern w:val="0"/>
          <w:szCs w:val="21"/>
        </w:rPr>
        <w:fldChar w:fldCharType="begin"/>
      </w:r>
      <w:r w:rsidRPr="006A2A04">
        <w:rPr>
          <w:rFonts w:asciiTheme="minorEastAsia" w:eastAsiaTheme="minorEastAsia" w:hAnsiTheme="minorEastAsia" w:hint="eastAsia"/>
          <w:kern w:val="0"/>
          <w:szCs w:val="21"/>
        </w:rPr>
        <w:instrText>= 3 \* GB3</w:instrText>
      </w:r>
      <w:r w:rsidRPr="006A2A04">
        <w:rPr>
          <w:rFonts w:asciiTheme="minorEastAsia" w:eastAsiaTheme="minorEastAsia" w:hAnsiTheme="minorEastAsia"/>
          <w:kern w:val="0"/>
          <w:szCs w:val="21"/>
        </w:rPr>
        <w:fldChar w:fldCharType="separate"/>
      </w:r>
      <w:r w:rsidRPr="006A2A04">
        <w:rPr>
          <w:rFonts w:asciiTheme="minorEastAsia" w:eastAsiaTheme="minorEastAsia" w:hAnsiTheme="minorEastAsia" w:hint="eastAsia"/>
          <w:kern w:val="0"/>
          <w:szCs w:val="21"/>
        </w:rPr>
        <w:t>③</w:t>
      </w:r>
      <w:r w:rsidRPr="006A2A04">
        <w:rPr>
          <w:rFonts w:asciiTheme="minorEastAsia" w:eastAsiaTheme="minorEastAsia" w:hAnsiTheme="minorEastAsia"/>
          <w:kern w:val="0"/>
          <w:szCs w:val="21"/>
        </w:rPr>
        <w:fldChar w:fldCharType="end"/>
      </w:r>
      <w:r w:rsidRPr="006A2A04">
        <w:rPr>
          <w:rFonts w:asciiTheme="minorEastAsia" w:eastAsiaTheme="minorEastAsia" w:hAnsiTheme="minorEastAsia" w:hint="eastAsia"/>
          <w:kern w:val="0"/>
          <w:szCs w:val="21"/>
        </w:rPr>
        <w:t>支付时间</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按合同约定，自项目正式进入运营日起，至次年该日的前一日止，为一个运营年度。在项目运营期内，政府应</w:t>
      </w:r>
      <w:r w:rsidRPr="006A2A04">
        <w:rPr>
          <w:rFonts w:asciiTheme="minorEastAsia" w:eastAsiaTheme="minorEastAsia" w:hAnsiTheme="minorEastAsia"/>
          <w:kern w:val="0"/>
          <w:szCs w:val="21"/>
        </w:rPr>
        <w:t>支付费用在</w:t>
      </w:r>
      <w:r w:rsidRPr="006A2A04">
        <w:rPr>
          <w:rFonts w:asciiTheme="minorEastAsia" w:eastAsiaTheme="minorEastAsia" w:hAnsiTheme="minorEastAsia" w:hint="eastAsia"/>
          <w:kern w:val="0"/>
          <w:szCs w:val="21"/>
        </w:rPr>
        <w:t>每个运营年度内分两次支付。政府首次支付费用时间为正式运营起始日起三个月内，支付可用性服务费</w:t>
      </w:r>
      <w:r w:rsidRPr="006A2A04">
        <w:rPr>
          <w:rFonts w:asciiTheme="minorEastAsia" w:eastAsiaTheme="minorEastAsia" w:hAnsiTheme="minorEastAsia"/>
          <w:kern w:val="0"/>
          <w:szCs w:val="21"/>
        </w:rPr>
        <w:t>7</w:t>
      </w:r>
      <w:r w:rsidRPr="006A2A04">
        <w:rPr>
          <w:rFonts w:asciiTheme="minorEastAsia" w:eastAsiaTheme="minorEastAsia" w:hAnsiTheme="minorEastAsia" w:hint="eastAsia"/>
          <w:kern w:val="0"/>
          <w:szCs w:val="21"/>
        </w:rPr>
        <w:t>0%。此后每年可用性服务费</w:t>
      </w:r>
      <w:r w:rsidRPr="006A2A04">
        <w:rPr>
          <w:rFonts w:asciiTheme="minorEastAsia" w:eastAsiaTheme="minorEastAsia" w:hAnsiTheme="minorEastAsia"/>
          <w:kern w:val="0"/>
          <w:szCs w:val="21"/>
        </w:rPr>
        <w:t>7</w:t>
      </w:r>
      <w:r w:rsidRPr="006A2A04">
        <w:rPr>
          <w:rFonts w:asciiTheme="minorEastAsia" w:eastAsiaTheme="minorEastAsia" w:hAnsiTheme="minorEastAsia" w:hint="eastAsia"/>
          <w:kern w:val="0"/>
          <w:szCs w:val="21"/>
        </w:rPr>
        <w:t>0%均在每个运营年度开始后三个月内支付。每年应支付费用剩余部分在运营年度结束后，根据绩效考核结果核算</w:t>
      </w:r>
      <w:r w:rsidRPr="006A2A04">
        <w:rPr>
          <w:rFonts w:asciiTheme="minorEastAsia" w:eastAsiaTheme="minorEastAsia" w:hAnsiTheme="minorEastAsia"/>
          <w:kern w:val="0"/>
          <w:szCs w:val="21"/>
        </w:rPr>
        <w:t>后</w:t>
      </w:r>
      <w:r w:rsidRPr="006A2A04">
        <w:rPr>
          <w:rFonts w:asciiTheme="minorEastAsia" w:eastAsiaTheme="minorEastAsia" w:hAnsiTheme="minorEastAsia" w:hint="eastAsia"/>
          <w:kern w:val="0"/>
          <w:szCs w:val="21"/>
        </w:rPr>
        <w:t>支付。此后年度以此类推。</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6、 调价机制</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（1）</w:t>
      </w:r>
      <w:r w:rsidRPr="006A2A04">
        <w:rPr>
          <w:rFonts w:asciiTheme="minorEastAsia" w:eastAsiaTheme="minorEastAsia" w:hAnsiTheme="minorEastAsia"/>
          <w:kern w:val="0"/>
          <w:szCs w:val="21"/>
        </w:rPr>
        <w:t>因通货膨胀/通货紧缩引起的运营维护费调整机制</w:t>
      </w:r>
    </w:p>
    <w:p w:rsidR="00342714" w:rsidRPr="006A2A04" w:rsidRDefault="00342714" w:rsidP="00342714">
      <w:pPr>
        <w:spacing w:line="360" w:lineRule="auto"/>
        <w:ind w:firstLineChars="200" w:firstLine="420"/>
      </w:pPr>
      <w:r w:rsidRPr="006A2A04">
        <w:t>项目公司在运营维护期间面临的通货膨胀</w:t>
      </w:r>
      <w:r w:rsidRPr="006A2A04">
        <w:t>/</w:t>
      </w:r>
      <w:r w:rsidRPr="006A2A04">
        <w:t>通货紧缩风险，需要引入运营服务费调价机制。</w:t>
      </w:r>
    </w:p>
    <w:p w:rsidR="00342714" w:rsidRPr="006A2A04" w:rsidRDefault="00342714" w:rsidP="00342714">
      <w:pPr>
        <w:spacing w:line="360" w:lineRule="auto"/>
        <w:ind w:firstLineChars="200" w:firstLine="420"/>
      </w:pPr>
      <w:r w:rsidRPr="006A2A04">
        <w:t>每年</w:t>
      </w:r>
      <w:r>
        <w:rPr>
          <w:rFonts w:hint="eastAsia"/>
        </w:rPr>
        <w:t>可</w:t>
      </w:r>
      <w:r w:rsidRPr="006A2A04">
        <w:t>核算调整一次</w:t>
      </w:r>
      <w:r w:rsidRPr="006A2A04">
        <w:rPr>
          <w:rFonts w:hint="eastAsia"/>
        </w:rPr>
        <w:t>。</w:t>
      </w:r>
      <w:r w:rsidRPr="006A2A04">
        <w:t>若人工成本、居民消费价格指数</w:t>
      </w:r>
      <w:r w:rsidRPr="006A2A04">
        <w:rPr>
          <w:rFonts w:hint="eastAsia"/>
        </w:rPr>
        <w:t>上涨</w:t>
      </w:r>
      <w:r w:rsidRPr="006A2A04">
        <w:t>导致运营维护成本</w:t>
      </w:r>
      <w:r w:rsidRPr="006A2A04">
        <w:rPr>
          <w:rFonts w:hint="eastAsia"/>
        </w:rPr>
        <w:t>增加</w:t>
      </w:r>
      <w:r w:rsidRPr="006A2A04">
        <w:t>，</w:t>
      </w:r>
      <w:r w:rsidRPr="006A2A04">
        <w:rPr>
          <w:rFonts w:hint="eastAsia"/>
        </w:rPr>
        <w:t>则</w:t>
      </w:r>
      <w:r w:rsidRPr="006A2A04">
        <w:t>项目公司可申请调整运营维护费。</w:t>
      </w:r>
    </w:p>
    <w:p w:rsidR="00342714" w:rsidRPr="006A2A04" w:rsidRDefault="00342714" w:rsidP="00342714">
      <w:pPr>
        <w:spacing w:line="360" w:lineRule="auto"/>
        <w:ind w:firstLineChars="200" w:firstLine="420"/>
      </w:pPr>
      <w:r w:rsidRPr="006A2A04">
        <w:t>调价公式：</w:t>
      </w:r>
    </w:p>
    <w:p w:rsidR="00342714" w:rsidRPr="006A2A04" w:rsidRDefault="00342714" w:rsidP="00342714">
      <w:pPr>
        <w:spacing w:line="360" w:lineRule="auto"/>
        <w:ind w:firstLineChars="200" w:firstLine="420"/>
      </w:pPr>
      <w:proofErr w:type="spellStart"/>
      <w:r w:rsidRPr="006A2A04">
        <w:t>P</w:t>
      </w:r>
      <w:r w:rsidRPr="006A2A04">
        <w:rPr>
          <w:vertAlign w:val="subscript"/>
        </w:rPr>
        <w:t>n</w:t>
      </w:r>
      <w:proofErr w:type="spellEnd"/>
      <w:r w:rsidRPr="006A2A04">
        <w:t>=P</w:t>
      </w:r>
      <w:r w:rsidRPr="006A2A04">
        <w:rPr>
          <w:vertAlign w:val="subscript"/>
        </w:rPr>
        <w:t>n-1</w:t>
      </w:r>
      <w:r w:rsidRPr="006A2A04">
        <w:t>×K</w:t>
      </w:r>
      <w:r w:rsidRPr="006A2A04">
        <w:rPr>
          <w:vertAlign w:val="subscript"/>
        </w:rPr>
        <w:t>n</w:t>
      </w:r>
    </w:p>
    <w:p w:rsidR="00342714" w:rsidRPr="006A2A04" w:rsidRDefault="00342714" w:rsidP="00342714">
      <w:pPr>
        <w:spacing w:line="360" w:lineRule="auto"/>
        <w:ind w:firstLineChars="200" w:firstLine="420"/>
      </w:pPr>
      <w:r w:rsidRPr="006A2A04">
        <w:t>其中：</w:t>
      </w:r>
      <w:proofErr w:type="spellStart"/>
      <w:r w:rsidRPr="006A2A04">
        <w:t>P</w:t>
      </w:r>
      <w:r w:rsidRPr="006A2A04">
        <w:rPr>
          <w:vertAlign w:val="subscript"/>
        </w:rPr>
        <w:t>n</w:t>
      </w:r>
      <w:proofErr w:type="spellEnd"/>
      <w:r w:rsidRPr="006A2A04">
        <w:t>为第</w:t>
      </w:r>
      <w:r w:rsidRPr="006A2A04">
        <w:t>n</w:t>
      </w:r>
      <w:r w:rsidRPr="006A2A04">
        <w:t>年调整后的运营费；</w:t>
      </w:r>
    </w:p>
    <w:p w:rsidR="00342714" w:rsidRPr="006A2A04" w:rsidRDefault="00342714" w:rsidP="00342714">
      <w:pPr>
        <w:spacing w:line="360" w:lineRule="auto"/>
        <w:ind w:firstLineChars="200" w:firstLine="420"/>
      </w:pPr>
      <w:r w:rsidRPr="006A2A04">
        <w:t>P</w:t>
      </w:r>
      <w:r w:rsidRPr="006A2A04">
        <w:rPr>
          <w:vertAlign w:val="subscript"/>
        </w:rPr>
        <w:t>n-1</w:t>
      </w:r>
      <w:r w:rsidRPr="006A2A04">
        <w:t>为调整前的运营费；</w:t>
      </w:r>
    </w:p>
    <w:p w:rsidR="00342714" w:rsidRPr="006A2A04" w:rsidRDefault="00342714" w:rsidP="00342714">
      <w:pPr>
        <w:spacing w:line="360" w:lineRule="auto"/>
        <w:ind w:firstLineChars="200" w:firstLine="420"/>
      </w:pPr>
      <w:r w:rsidRPr="006A2A04">
        <w:t>n</w:t>
      </w:r>
      <w:r w:rsidRPr="006A2A04">
        <w:t>指第</w:t>
      </w:r>
      <w:r w:rsidRPr="006A2A04">
        <w:t>n</w:t>
      </w:r>
      <w:r w:rsidRPr="006A2A04">
        <w:t>年是调整运维费的当年；</w:t>
      </w:r>
    </w:p>
    <w:p w:rsidR="00342714" w:rsidRPr="006A2A04" w:rsidRDefault="00342714" w:rsidP="00342714">
      <w:pPr>
        <w:spacing w:line="360" w:lineRule="auto"/>
        <w:ind w:firstLineChars="200" w:firstLine="420"/>
      </w:pPr>
      <w:proofErr w:type="spellStart"/>
      <w:r w:rsidRPr="006A2A04">
        <w:t>K</w:t>
      </w:r>
      <w:r w:rsidRPr="006A2A04">
        <w:rPr>
          <w:vertAlign w:val="subscript"/>
        </w:rPr>
        <w:t>n</w:t>
      </w:r>
      <w:proofErr w:type="spellEnd"/>
      <w:r w:rsidRPr="006A2A04">
        <w:t>为调价系数，计算公式如下：</w:t>
      </w:r>
    </w:p>
    <w:p w:rsidR="00342714" w:rsidRPr="006A2A04" w:rsidRDefault="00342714" w:rsidP="00342714">
      <w:pPr>
        <w:spacing w:line="360" w:lineRule="auto"/>
        <w:ind w:firstLineChars="200" w:firstLine="420"/>
      </w:pPr>
      <w:r w:rsidRPr="006A2A04">
        <w:t>K=a</w:t>
      </w:r>
      <w:r w:rsidRPr="006A2A04">
        <w:t>（</w:t>
      </w:r>
      <w:proofErr w:type="spellStart"/>
      <w:r w:rsidRPr="006A2A04">
        <w:t>L</w:t>
      </w:r>
      <w:r w:rsidRPr="006A2A04">
        <w:rPr>
          <w:vertAlign w:val="subscript"/>
        </w:rPr>
        <w:t>n</w:t>
      </w:r>
      <w:proofErr w:type="spellEnd"/>
      <w:r w:rsidRPr="006A2A04">
        <w:t>/L</w:t>
      </w:r>
      <w:r w:rsidRPr="006A2A04">
        <w:rPr>
          <w:vertAlign w:val="subscript"/>
        </w:rPr>
        <w:t>n-1</w:t>
      </w:r>
      <w:r w:rsidRPr="006A2A04">
        <w:t>）＋</w:t>
      </w:r>
      <w:r w:rsidRPr="006A2A04">
        <w:t>b</w:t>
      </w:r>
      <w:r w:rsidRPr="006A2A04">
        <w:t>（</w:t>
      </w:r>
      <w:proofErr w:type="spellStart"/>
      <w:r w:rsidRPr="006A2A04">
        <w:t>CPI</w:t>
      </w:r>
      <w:r w:rsidRPr="006A2A04">
        <w:rPr>
          <w:vertAlign w:val="subscript"/>
        </w:rPr>
        <w:t>n</w:t>
      </w:r>
      <w:proofErr w:type="spellEnd"/>
      <w:r w:rsidRPr="006A2A04">
        <w:t>/CPI</w:t>
      </w:r>
      <w:r w:rsidRPr="006A2A04">
        <w:rPr>
          <w:vertAlign w:val="subscript"/>
        </w:rPr>
        <w:t>n-1</w:t>
      </w:r>
      <w:r w:rsidRPr="006A2A04">
        <w:t>）</w:t>
      </w:r>
    </w:p>
    <w:p w:rsidR="00342714" w:rsidRPr="006A2A04" w:rsidRDefault="00342714" w:rsidP="00342714">
      <w:pPr>
        <w:spacing w:line="360" w:lineRule="auto"/>
        <w:ind w:firstLineChars="200" w:firstLine="420"/>
      </w:pPr>
      <w:r w:rsidRPr="006A2A04">
        <w:t>其中，</w:t>
      </w:r>
      <w:proofErr w:type="spellStart"/>
      <w:r w:rsidRPr="006A2A04">
        <w:t>a+b</w:t>
      </w:r>
      <w:proofErr w:type="spellEnd"/>
      <w:r w:rsidRPr="006A2A04">
        <w:t>=1</w:t>
      </w:r>
      <w:r w:rsidRPr="006A2A04">
        <w:t>；</w:t>
      </w:r>
      <w:r w:rsidRPr="006A2A04">
        <w:t>a</w:t>
      </w:r>
      <w:r w:rsidRPr="006A2A04">
        <w:t>是人工费用在初始运营维护成本中所占的比例；</w:t>
      </w:r>
      <w:r w:rsidRPr="006A2A04">
        <w:t xml:space="preserve">b </w:t>
      </w:r>
      <w:r w:rsidRPr="006A2A04">
        <w:t>为初始运营维护成本中除人工费用以外的其他因素（主要指自来水、维修费、电费、税费）在初始运营维护成本中所占的比例；</w:t>
      </w:r>
      <w:proofErr w:type="spellStart"/>
      <w:r w:rsidRPr="006A2A04">
        <w:t>L</w:t>
      </w:r>
      <w:r w:rsidRPr="006A2A04">
        <w:rPr>
          <w:vertAlign w:val="subscript"/>
        </w:rPr>
        <w:t>n</w:t>
      </w:r>
      <w:proofErr w:type="spellEnd"/>
      <w:r w:rsidRPr="006A2A04">
        <w:t>指在第</w:t>
      </w:r>
      <w:r w:rsidRPr="006A2A04">
        <w:t>n</w:t>
      </w:r>
      <w:r w:rsidRPr="006A2A04">
        <w:t>年柳州市统计局公布的</w:t>
      </w:r>
      <w:r w:rsidRPr="006A2A04">
        <w:rPr>
          <w:rFonts w:hint="eastAsia"/>
        </w:rPr>
        <w:t>年度</w:t>
      </w:r>
      <w:r w:rsidRPr="006A2A04">
        <w:t>在岗职工平均工资；</w:t>
      </w:r>
      <w:r w:rsidRPr="006A2A04">
        <w:t>L</w:t>
      </w:r>
      <w:r w:rsidRPr="006A2A04">
        <w:rPr>
          <w:vertAlign w:val="subscript"/>
        </w:rPr>
        <w:t>n-1</w:t>
      </w:r>
      <w:r w:rsidRPr="006A2A04">
        <w:t>指在第</w:t>
      </w:r>
      <w:r w:rsidRPr="006A2A04">
        <w:t>n-1</w:t>
      </w:r>
      <w:r w:rsidRPr="006A2A04">
        <w:lastRenderedPageBreak/>
        <w:t>年柳州市统计局公布的</w:t>
      </w:r>
      <w:r w:rsidRPr="006A2A04">
        <w:rPr>
          <w:rFonts w:hint="eastAsia"/>
        </w:rPr>
        <w:t>年度</w:t>
      </w:r>
      <w:r w:rsidRPr="006A2A04">
        <w:t>在岗职工平均工资；</w:t>
      </w:r>
      <w:proofErr w:type="spellStart"/>
      <w:r w:rsidRPr="006A2A04">
        <w:t>CPI</w:t>
      </w:r>
      <w:r w:rsidRPr="006A2A04">
        <w:rPr>
          <w:vertAlign w:val="subscript"/>
        </w:rPr>
        <w:t>n</w:t>
      </w:r>
      <w:proofErr w:type="spellEnd"/>
      <w:r w:rsidRPr="006A2A04">
        <w:t>指国家统计局公布的在第</w:t>
      </w:r>
      <w:r w:rsidRPr="006A2A04">
        <w:t>n</w:t>
      </w:r>
      <w:r w:rsidRPr="006A2A04">
        <w:t>年获知的第</w:t>
      </w:r>
      <w:r w:rsidRPr="006A2A04">
        <w:t>n-1</w:t>
      </w:r>
      <w:r w:rsidRPr="006A2A04">
        <w:t>年的居民消费价格指数；</w:t>
      </w:r>
      <w:r w:rsidRPr="006A2A04">
        <w:t>CPI</w:t>
      </w:r>
      <w:r w:rsidRPr="006A2A04">
        <w:rPr>
          <w:vertAlign w:val="subscript"/>
        </w:rPr>
        <w:t>n-1</w:t>
      </w:r>
      <w:r w:rsidRPr="006A2A04">
        <w:t>指国家统计局公布的在第</w:t>
      </w:r>
      <w:r w:rsidRPr="006A2A04">
        <w:t>n-1</w:t>
      </w:r>
      <w:r w:rsidRPr="006A2A04">
        <w:t>年获知的第</w:t>
      </w:r>
      <w:r w:rsidRPr="006A2A04">
        <w:t>n-2</w:t>
      </w:r>
      <w:r w:rsidRPr="006A2A04">
        <w:t>年的居民消费价格指数。</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（2） 因中国人民银行基准利率变化引起的可行性缺口补助金额的调整</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项目运营期内，基准利率利率的变化影响项目公司支出的财务费用。为公平起见，整个运营期间政府将根据人行五年以上贷款基准利率的变化调整可行性缺口补助金额。调整机制设置为：在项目正式运营后，若银行五年以上贷款基准利率发生变化时，双方均可提出调整政府可行性缺口补助的申请并启动调整程序，调整幅度以能完全覆盖利息变化额度为限。</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调整公式设定如下：</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kern w:val="0"/>
          <w:szCs w:val="21"/>
        </w:rPr>
        <w:t>Al=A1i+B×(</w:t>
      </w:r>
      <w:proofErr w:type="spellStart"/>
      <w:r w:rsidRPr="006A2A04">
        <w:rPr>
          <w:rFonts w:asciiTheme="minorEastAsia" w:eastAsiaTheme="minorEastAsia" w:hAnsiTheme="minorEastAsia"/>
          <w:kern w:val="0"/>
          <w:szCs w:val="21"/>
        </w:rPr>
        <w:t>Rn-Ri</w:t>
      </w:r>
      <w:proofErr w:type="spellEnd"/>
      <w:r w:rsidRPr="006A2A04">
        <w:rPr>
          <w:rFonts w:asciiTheme="minorEastAsia" w:eastAsiaTheme="minorEastAsia" w:hAnsiTheme="minorEastAsia"/>
          <w:kern w:val="0"/>
          <w:szCs w:val="21"/>
        </w:rPr>
        <w:t>)×T/365</w:t>
      </w:r>
    </w:p>
    <w:p w:rsidR="0034271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其中，Al为调整后政府补贴金额，A1i为第n年调整前政府补贴金额，B为第n年调整时借款未付余额，</w:t>
      </w:r>
      <w:proofErr w:type="spellStart"/>
      <w:r w:rsidRPr="006A2A04">
        <w:rPr>
          <w:rFonts w:asciiTheme="minorEastAsia" w:eastAsiaTheme="minorEastAsia" w:hAnsiTheme="minorEastAsia" w:hint="eastAsia"/>
          <w:kern w:val="0"/>
          <w:szCs w:val="21"/>
        </w:rPr>
        <w:t>Rn</w:t>
      </w:r>
      <w:proofErr w:type="spellEnd"/>
      <w:r w:rsidRPr="006A2A04">
        <w:rPr>
          <w:rFonts w:asciiTheme="minorEastAsia" w:eastAsiaTheme="minorEastAsia" w:hAnsiTheme="minorEastAsia" w:hint="eastAsia"/>
          <w:kern w:val="0"/>
          <w:szCs w:val="21"/>
        </w:rPr>
        <w:t>为银行贷款利率变化后执行银行贷款计息利率，</w:t>
      </w:r>
      <w:proofErr w:type="spellStart"/>
      <w:r w:rsidRPr="006A2A04">
        <w:rPr>
          <w:rFonts w:asciiTheme="minorEastAsia" w:eastAsiaTheme="minorEastAsia" w:hAnsiTheme="minorEastAsia" w:hint="eastAsia"/>
          <w:kern w:val="0"/>
          <w:szCs w:val="21"/>
        </w:rPr>
        <w:t>Ri</w:t>
      </w:r>
      <w:proofErr w:type="spellEnd"/>
      <w:r w:rsidRPr="006A2A04">
        <w:rPr>
          <w:rFonts w:asciiTheme="minorEastAsia" w:eastAsiaTheme="minorEastAsia" w:hAnsiTheme="minorEastAsia" w:hint="eastAsia"/>
          <w:kern w:val="0"/>
          <w:szCs w:val="21"/>
        </w:rPr>
        <w:t>为银行贷款利率变化前执行银行贷款计息利率，T为利率变化年计息期内利率变化后的计息天数。</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9864AA">
        <w:rPr>
          <w:rFonts w:asciiTheme="minorEastAsia" w:eastAsiaTheme="minorEastAsia" w:hAnsiTheme="minorEastAsia" w:hint="eastAsia"/>
          <w:kern w:val="0"/>
          <w:szCs w:val="21"/>
        </w:rPr>
        <w:t>如实际融资未参照人民银行基准利率进行贷款，则可根据实际贷款利率变化进行调价，项目公司需提供相关材料供政府方核查。</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（3）调价程序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调价机制触发时，可以由项目公司主动向本实施构提交调价申请，也可以由实施机构向项目公司发出调价通知。项目公司或实施机构应附详细的调整说明和相关证材料。经项目公司、实施机构、发改部门、财政部门等相关部门核定审批后实施，自调价机制启动的次年执行调价后的价格，直至下一次调价机制启动。</w:t>
      </w:r>
    </w:p>
    <w:p w:rsidR="00342714" w:rsidRPr="006A2A04" w:rsidRDefault="00342714" w:rsidP="00342714">
      <w:pPr>
        <w:pStyle w:val="3"/>
        <w:numPr>
          <w:ilvl w:val="0"/>
          <w:numId w:val="0"/>
        </w:numPr>
      </w:pPr>
      <w:r w:rsidRPr="006A2A04">
        <w:rPr>
          <w:rFonts w:hint="eastAsia"/>
        </w:rPr>
        <w:t>（三）履约保障边界</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1、 保险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项目建设和运营期间可能遇到不可预期或不可控制的风险，PPP项目合同中应对项目公司必须投保的险种进行明确规定，保护政府和社会资本权益。制定保险计划时，应结合项目实际情况，综合考虑计划风险转移程度、项目公司保险费支付能力及保险方案特性。建议本项目保险内容主要包含：</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（1）建设期应投保险种</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完工延迟险；</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建筑工程一切险；</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第三方责任险；</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lastRenderedPageBreak/>
        <w:t>其他必要险种。</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（2）运营期应投保险种</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财产一切险；</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公共责任险；</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其他必要险种。</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另外，还包括按照中国法律要求的任何强制性保险，也可购买其他商业保险。该费用已纳入项目运营成本，不另计。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2、 投标保证金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参与投标的社会资本方需缴纳人民币 50 万元的投标保证金，投标人缴纳保证金后不参加投标，保证金不予退还。投标人未中选，投标保证金在规定时间日内无息返还。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同时为保证投标人在中标后履行中标义务，如中标社会资本中标后不领取中标通知书或不签订《投资合作协议》，建议将本次违约作为违反信用的事件，记录入信用中国等企业信用评定体系，根据国家相关规定限制违约企业参与相关业务。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3、 建设履约保证金 </w:t>
      </w:r>
    </w:p>
    <w:p w:rsidR="00342714" w:rsidRPr="00F85158" w:rsidRDefault="00342714" w:rsidP="00342714">
      <w:pPr>
        <w:widowControl/>
        <w:spacing w:line="360" w:lineRule="auto"/>
        <w:ind w:firstLineChars="200" w:firstLine="420"/>
        <w:jc w:val="left"/>
        <w:rPr>
          <w:rFonts w:asciiTheme="minorEastAsia" w:eastAsiaTheme="minorEastAsia" w:hAnsiTheme="minorEastAsia"/>
          <w:kern w:val="0"/>
          <w:szCs w:val="21"/>
        </w:rPr>
      </w:pPr>
      <w:r w:rsidRPr="00F85158">
        <w:rPr>
          <w:rFonts w:asciiTheme="minorEastAsia" w:eastAsiaTheme="minorEastAsia" w:hAnsiTheme="minorEastAsia" w:hint="eastAsia"/>
          <w:kern w:val="0"/>
          <w:szCs w:val="21"/>
        </w:rPr>
        <w:t>在中标社会资本接到中标通知书后三十（30）日内，应向柳州市文化广电和旅游局提交保证金，以</w:t>
      </w:r>
      <w:r w:rsidRPr="00F85158">
        <w:rPr>
          <w:rFonts w:asciiTheme="minorEastAsia" w:eastAsiaTheme="minorEastAsia" w:hAnsiTheme="minorEastAsia"/>
          <w:kern w:val="0"/>
          <w:szCs w:val="21"/>
        </w:rPr>
        <w:t>保证其履行</w:t>
      </w:r>
      <w:r w:rsidRPr="00F85158">
        <w:rPr>
          <w:rFonts w:asciiTheme="minorEastAsia" w:eastAsiaTheme="minorEastAsia" w:hAnsiTheme="minorEastAsia" w:hint="eastAsia"/>
          <w:kern w:val="0"/>
          <w:szCs w:val="21"/>
        </w:rPr>
        <w:t>《PPP项目</w:t>
      </w:r>
      <w:r w:rsidRPr="00F85158">
        <w:rPr>
          <w:rFonts w:asciiTheme="minorEastAsia" w:eastAsiaTheme="minorEastAsia" w:hAnsiTheme="minorEastAsia"/>
          <w:kern w:val="0"/>
          <w:szCs w:val="21"/>
        </w:rPr>
        <w:t>合同</w:t>
      </w:r>
      <w:r w:rsidRPr="00F85158">
        <w:rPr>
          <w:rFonts w:asciiTheme="minorEastAsia" w:eastAsiaTheme="minorEastAsia" w:hAnsiTheme="minorEastAsia" w:hint="eastAsia"/>
          <w:kern w:val="0"/>
          <w:szCs w:val="21"/>
        </w:rPr>
        <w:t>》等</w:t>
      </w:r>
      <w:r w:rsidRPr="00F85158">
        <w:rPr>
          <w:rFonts w:asciiTheme="minorEastAsia" w:eastAsiaTheme="minorEastAsia" w:hAnsiTheme="minorEastAsia"/>
          <w:kern w:val="0"/>
          <w:szCs w:val="21"/>
        </w:rPr>
        <w:t>合同中约定的</w:t>
      </w:r>
      <w:r w:rsidRPr="00F85158">
        <w:rPr>
          <w:rFonts w:asciiTheme="minorEastAsia" w:eastAsiaTheme="minorEastAsia" w:hAnsiTheme="minorEastAsia" w:hint="eastAsia"/>
          <w:kern w:val="0"/>
          <w:szCs w:val="21"/>
        </w:rPr>
        <w:t>股东出资、项目公司设立、本</w:t>
      </w:r>
      <w:r w:rsidRPr="00F85158">
        <w:rPr>
          <w:rFonts w:asciiTheme="minorEastAsia" w:eastAsiaTheme="minorEastAsia" w:hAnsiTheme="minorEastAsia"/>
          <w:kern w:val="0"/>
          <w:szCs w:val="21"/>
        </w:rPr>
        <w:t>项目筹资、建设的责任。</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建设履约保证金金额为人民币1000万元。在建设期内，如柳州市文化广电和旅游局兑取部分或全部建设履约保证</w:t>
      </w:r>
      <w:bookmarkStart w:id="42" w:name="_GoBack"/>
      <w:bookmarkEnd w:id="42"/>
      <w:r w:rsidRPr="006A2A04">
        <w:rPr>
          <w:rFonts w:asciiTheme="minorEastAsia" w:eastAsiaTheme="minorEastAsia" w:hAnsiTheme="minorEastAsia" w:hint="eastAsia"/>
          <w:kern w:val="0"/>
          <w:szCs w:val="21"/>
        </w:rPr>
        <w:t>金，社会资本应在通知其提取之后五（5）个工作日内将建设履约保证金的数额恢复至约定的金额。</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本项目全部竣工验收结束，且项目公司递交了运营履约保证金后十五（15）个工作日内，柳州市文化广电和旅游局将建设履约保证金不计利息退还。</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kern w:val="0"/>
          <w:szCs w:val="21"/>
        </w:rPr>
        <w:t>4</w:t>
      </w:r>
      <w:r w:rsidRPr="006A2A04">
        <w:rPr>
          <w:rFonts w:asciiTheme="minorEastAsia" w:eastAsiaTheme="minorEastAsia" w:hAnsiTheme="minorEastAsia" w:hint="eastAsia"/>
          <w:kern w:val="0"/>
          <w:szCs w:val="21"/>
        </w:rPr>
        <w:t xml:space="preserve">、 运营履约保证金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为保证项目公司履行运营期运营维护义务，本项目全部竣工验收结束之日起十五（15）个工作日内，项目公司应向柳州市文化广电和旅游局提交金额为人民币500万元的运营履约保证金。</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若采用运营履约保函形式，在运营期内，项目公司有义务保证该保函的金额一直不低于500万元，一旦低于该金额，项目公司应在柳州市文化广电和旅游局通知其提取之后五（5）个工作日内将运营履约保证金的数额恢复至约定的金额，并向柳州市文化广电和旅游局出示</w:t>
      </w:r>
      <w:r w:rsidRPr="006A2A04">
        <w:rPr>
          <w:rFonts w:asciiTheme="minorEastAsia" w:eastAsiaTheme="minorEastAsia" w:hAnsiTheme="minorEastAsia" w:hint="eastAsia"/>
          <w:kern w:val="0"/>
          <w:szCs w:val="21"/>
        </w:rPr>
        <w:lastRenderedPageBreak/>
        <w:t>其已经恢复运营履约保证金数额的证据，否则柳州市文化广电和旅游局有权提前终止项目合同。</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柳州市文化广电和旅游局应在项目公司递交移交保证金之后的十五（15）个工作日内将运营期履约保证金不计利息退还。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kern w:val="0"/>
          <w:szCs w:val="21"/>
        </w:rPr>
        <w:t>6</w:t>
      </w:r>
      <w:r w:rsidRPr="006A2A04">
        <w:rPr>
          <w:rFonts w:asciiTheme="minorEastAsia" w:eastAsiaTheme="minorEastAsia" w:hAnsiTheme="minorEastAsia" w:hint="eastAsia"/>
          <w:kern w:val="0"/>
          <w:szCs w:val="21"/>
        </w:rPr>
        <w:t xml:space="preserve">、 移交保证金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在整个项目合作期结束前的十二个月，项目公司须向柳州市文化广电和旅游局提交移交保证金，金额为人民币500万元，作为其履行房产及设备的维护、绿化养护、移交前大修、移交、移交后的质保及其他相关义务的担保。</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政府方在保证期（运营期满移交完毕后十二（12）个月）结束后的十五（15）个工作日内将移交保证金不计利息退还。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（四） 调整衔接边界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t>调整衔接边界主要明确应急处置、临时接管和提前终止、合同变更、合同展期、项目新增改扩建需求等应对措施。</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1、 应急处置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项目公司应组织制定管理应急预案，发生险情时，应当采取紧急措施并及时通知相关单位，柳州市文化广电和旅游局对项目公司应急机制进行监管，发生重大应急事件实施机构可根据情况对本项目进行临时接管。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2、 临时接管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kern w:val="0"/>
          <w:szCs w:val="21"/>
        </w:rPr>
        <w:t>项目公司有下列行为之一的，柳州市文化广电和旅游局可对本项目实施临时接管：</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（1）</w:t>
      </w:r>
      <w:r w:rsidRPr="006A2A04">
        <w:rPr>
          <w:rFonts w:asciiTheme="minorEastAsia" w:eastAsiaTheme="minorEastAsia" w:hAnsiTheme="minorEastAsia"/>
          <w:kern w:val="0"/>
          <w:szCs w:val="21"/>
        </w:rPr>
        <w:t>擅自转让、出租投资建设及运营管理权的；</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（2）</w:t>
      </w:r>
      <w:r w:rsidRPr="006A2A04">
        <w:rPr>
          <w:rFonts w:asciiTheme="minorEastAsia" w:eastAsiaTheme="minorEastAsia" w:hAnsiTheme="minorEastAsia"/>
          <w:kern w:val="0"/>
          <w:szCs w:val="21"/>
        </w:rPr>
        <w:t>存在重大安全隐患且拒不整改，危及或者可能危及公共利益、公共安全的；</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（3）</w:t>
      </w:r>
      <w:r w:rsidRPr="006A2A04">
        <w:rPr>
          <w:rFonts w:asciiTheme="minorEastAsia" w:eastAsiaTheme="minorEastAsia" w:hAnsiTheme="minorEastAsia"/>
          <w:kern w:val="0"/>
          <w:szCs w:val="21"/>
        </w:rPr>
        <w:t>因管理不善发生重大质量、生产安全事故的；</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（4）</w:t>
      </w:r>
      <w:r w:rsidRPr="006A2A04">
        <w:rPr>
          <w:rFonts w:asciiTheme="minorEastAsia" w:eastAsiaTheme="minorEastAsia" w:hAnsiTheme="minorEastAsia"/>
          <w:kern w:val="0"/>
          <w:szCs w:val="21"/>
        </w:rPr>
        <w:t>被依法注销、关停的；</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（5）</w:t>
      </w:r>
      <w:r w:rsidRPr="006A2A04">
        <w:rPr>
          <w:rFonts w:asciiTheme="minorEastAsia" w:eastAsiaTheme="minorEastAsia" w:hAnsiTheme="minorEastAsia"/>
          <w:kern w:val="0"/>
          <w:szCs w:val="21"/>
        </w:rPr>
        <w:t>擅自将所经营的财产进行处置或者抵押的；</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（6）</w:t>
      </w:r>
      <w:r w:rsidRPr="006A2A04">
        <w:rPr>
          <w:rFonts w:asciiTheme="minorEastAsia" w:eastAsiaTheme="minorEastAsia" w:hAnsiTheme="minorEastAsia"/>
          <w:kern w:val="0"/>
          <w:szCs w:val="21"/>
        </w:rPr>
        <w:t>法律法规规定的需由政府方对项目公司进行临时接管的其他情形。</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3、 提前解除 </w:t>
      </w:r>
    </w:p>
    <w:p w:rsidR="00342714" w:rsidRPr="006A2A04" w:rsidRDefault="00342714" w:rsidP="00342714">
      <w:pPr>
        <w:widowControl/>
        <w:numPr>
          <w:ilvl w:val="0"/>
          <w:numId w:val="3"/>
        </w:numPr>
        <w:tabs>
          <w:tab w:val="num" w:pos="0"/>
        </w:tabs>
        <w:spacing w:line="360" w:lineRule="auto"/>
        <w:ind w:firstLineChars="200" w:firstLine="422"/>
        <w:jc w:val="left"/>
        <w:rPr>
          <w:rFonts w:asciiTheme="minorEastAsia" w:eastAsiaTheme="minorEastAsia" w:hAnsiTheme="minorEastAsia"/>
          <w:b/>
          <w:bCs/>
          <w:kern w:val="0"/>
          <w:szCs w:val="21"/>
        </w:rPr>
      </w:pPr>
      <w:r w:rsidRPr="006A2A04">
        <w:rPr>
          <w:rFonts w:asciiTheme="minorEastAsia" w:eastAsiaTheme="minorEastAsia" w:hAnsiTheme="minorEastAsia" w:hint="eastAsia"/>
          <w:b/>
          <w:bCs/>
          <w:kern w:val="0"/>
          <w:szCs w:val="21"/>
        </w:rPr>
        <w:t>（1）提前解除的情形</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w:t>
      </w:r>
      <w:r w:rsidRPr="006A2A04">
        <w:rPr>
          <w:rFonts w:asciiTheme="minorEastAsia" w:eastAsiaTheme="minorEastAsia" w:hAnsiTheme="minorEastAsia"/>
          <w:kern w:val="0"/>
          <w:szCs w:val="21"/>
        </w:rPr>
        <w:t>双方协商一致的提前</w:t>
      </w:r>
      <w:r w:rsidRPr="006A2A04">
        <w:rPr>
          <w:rFonts w:asciiTheme="minorEastAsia" w:eastAsiaTheme="minorEastAsia" w:hAnsiTheme="minorEastAsia" w:hint="eastAsia"/>
          <w:kern w:val="0"/>
          <w:szCs w:val="21"/>
        </w:rPr>
        <w:t>解除</w:t>
      </w:r>
      <w:r w:rsidRPr="006A2A04">
        <w:rPr>
          <w:rFonts w:asciiTheme="minorEastAsia" w:eastAsiaTheme="minorEastAsia" w:hAnsiTheme="minorEastAsia"/>
          <w:kern w:val="0"/>
          <w:szCs w:val="21"/>
        </w:rPr>
        <w:t>；</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w:t>
      </w:r>
      <w:r w:rsidRPr="006A2A04">
        <w:rPr>
          <w:rFonts w:asciiTheme="minorEastAsia" w:eastAsiaTheme="minorEastAsia" w:hAnsiTheme="minorEastAsia"/>
          <w:kern w:val="0"/>
          <w:szCs w:val="21"/>
        </w:rPr>
        <w:t>法律变更或政府行为导致的提前</w:t>
      </w:r>
      <w:r w:rsidRPr="006A2A04">
        <w:rPr>
          <w:rFonts w:asciiTheme="minorEastAsia" w:eastAsiaTheme="minorEastAsia" w:hAnsiTheme="minorEastAsia" w:hint="eastAsia"/>
          <w:kern w:val="0"/>
          <w:szCs w:val="21"/>
        </w:rPr>
        <w:t>解除</w:t>
      </w:r>
      <w:r w:rsidRPr="006A2A04">
        <w:rPr>
          <w:rFonts w:asciiTheme="minorEastAsia" w:eastAsiaTheme="minorEastAsia" w:hAnsiTheme="minorEastAsia"/>
          <w:kern w:val="0"/>
          <w:szCs w:val="21"/>
        </w:rPr>
        <w:t>；</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w:t>
      </w:r>
      <w:r w:rsidRPr="006A2A04">
        <w:rPr>
          <w:rFonts w:asciiTheme="minorEastAsia" w:eastAsiaTheme="minorEastAsia" w:hAnsiTheme="minorEastAsia"/>
          <w:kern w:val="0"/>
          <w:szCs w:val="21"/>
        </w:rPr>
        <w:t>不可抗力导致的提前</w:t>
      </w:r>
      <w:r w:rsidRPr="006A2A04">
        <w:rPr>
          <w:rFonts w:asciiTheme="minorEastAsia" w:eastAsiaTheme="minorEastAsia" w:hAnsiTheme="minorEastAsia" w:hint="eastAsia"/>
          <w:kern w:val="0"/>
          <w:szCs w:val="21"/>
        </w:rPr>
        <w:t>解除</w:t>
      </w:r>
      <w:r w:rsidRPr="006A2A04">
        <w:rPr>
          <w:rFonts w:asciiTheme="minorEastAsia" w:eastAsiaTheme="minorEastAsia" w:hAnsiTheme="minorEastAsia"/>
          <w:kern w:val="0"/>
          <w:szCs w:val="21"/>
        </w:rPr>
        <w:t>；</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lastRenderedPageBreak/>
        <w:t>——任</w:t>
      </w:r>
      <w:r w:rsidRPr="006A2A04">
        <w:rPr>
          <w:rFonts w:asciiTheme="minorEastAsia" w:eastAsiaTheme="minorEastAsia" w:hAnsiTheme="minorEastAsia"/>
          <w:kern w:val="0"/>
          <w:szCs w:val="21"/>
        </w:rPr>
        <w:t>一方违约导致的提前</w:t>
      </w:r>
      <w:r w:rsidRPr="006A2A04">
        <w:rPr>
          <w:rFonts w:asciiTheme="minorEastAsia" w:eastAsiaTheme="minorEastAsia" w:hAnsiTheme="minorEastAsia" w:hint="eastAsia"/>
          <w:kern w:val="0"/>
          <w:szCs w:val="21"/>
        </w:rPr>
        <w:t>解除</w:t>
      </w:r>
      <w:r w:rsidRPr="006A2A04">
        <w:rPr>
          <w:rFonts w:asciiTheme="minorEastAsia" w:eastAsiaTheme="minorEastAsia" w:hAnsiTheme="minorEastAsia"/>
          <w:kern w:val="0"/>
          <w:szCs w:val="21"/>
        </w:rPr>
        <w:t>。</w:t>
      </w:r>
    </w:p>
    <w:p w:rsidR="00342714" w:rsidRPr="006A2A04" w:rsidRDefault="00342714" w:rsidP="00342714">
      <w:pPr>
        <w:widowControl/>
        <w:numPr>
          <w:ilvl w:val="0"/>
          <w:numId w:val="3"/>
        </w:numPr>
        <w:tabs>
          <w:tab w:val="num" w:pos="0"/>
        </w:tabs>
        <w:spacing w:line="360" w:lineRule="auto"/>
        <w:ind w:firstLineChars="200" w:firstLine="422"/>
        <w:jc w:val="left"/>
        <w:rPr>
          <w:rFonts w:asciiTheme="minorEastAsia" w:eastAsiaTheme="minorEastAsia" w:hAnsiTheme="minorEastAsia"/>
          <w:b/>
          <w:bCs/>
          <w:kern w:val="0"/>
          <w:szCs w:val="21"/>
        </w:rPr>
      </w:pPr>
      <w:r w:rsidRPr="006A2A04">
        <w:rPr>
          <w:rFonts w:asciiTheme="minorEastAsia" w:eastAsiaTheme="minorEastAsia" w:hAnsiTheme="minorEastAsia" w:hint="eastAsia"/>
          <w:b/>
          <w:bCs/>
          <w:kern w:val="0"/>
          <w:szCs w:val="21"/>
        </w:rPr>
        <w:t>（2）提前解除的补偿方式</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kern w:val="0"/>
          <w:szCs w:val="21"/>
        </w:rPr>
        <w:t>项目合作期内，因不可抗力、不可预见因素、法律变更或一方出现严重违约、双方协商一致而导致项目不能继续进行，则PPP项目提前</w:t>
      </w:r>
      <w:r w:rsidRPr="006A2A04">
        <w:rPr>
          <w:rFonts w:asciiTheme="minorEastAsia" w:eastAsiaTheme="minorEastAsia" w:hAnsiTheme="minorEastAsia" w:hint="eastAsia"/>
          <w:kern w:val="0"/>
          <w:szCs w:val="21"/>
        </w:rPr>
        <w:t>解除</w:t>
      </w:r>
      <w:r w:rsidRPr="006A2A04">
        <w:rPr>
          <w:rFonts w:asciiTheme="minorEastAsia" w:eastAsiaTheme="minorEastAsia" w:hAnsiTheme="minorEastAsia"/>
          <w:kern w:val="0"/>
          <w:szCs w:val="21"/>
        </w:rPr>
        <w:t>，</w:t>
      </w:r>
      <w:r w:rsidRPr="006A2A04">
        <w:rPr>
          <w:rFonts w:asciiTheme="minorEastAsia" w:eastAsiaTheme="minorEastAsia" w:hAnsiTheme="minorEastAsia" w:hint="eastAsia"/>
          <w:kern w:val="0"/>
          <w:szCs w:val="21"/>
        </w:rPr>
        <w:t>解除</w:t>
      </w:r>
      <w:r w:rsidRPr="006A2A04">
        <w:rPr>
          <w:rFonts w:asciiTheme="minorEastAsia" w:eastAsiaTheme="minorEastAsia" w:hAnsiTheme="minorEastAsia"/>
          <w:kern w:val="0"/>
          <w:szCs w:val="21"/>
        </w:rPr>
        <w:t>事项及补偿原则如下：</w:t>
      </w:r>
    </w:p>
    <w:tbl>
      <w:tblPr>
        <w:tblW w:w="5000" w:type="pct"/>
        <w:jc w:val="center"/>
        <w:tblBorders>
          <w:top w:val="single" w:sz="4" w:space="0" w:color="000000"/>
          <w:left w:val="single" w:sz="4" w:space="0" w:color="000000"/>
          <w:bottom w:val="single" w:sz="4" w:space="0" w:color="000000"/>
          <w:right w:val="single" w:sz="4" w:space="0" w:color="000000"/>
          <w:insideH w:val="outset" w:sz="6" w:space="0" w:color="auto"/>
          <w:insideV w:val="outset" w:sz="6" w:space="0" w:color="auto"/>
        </w:tblBorders>
        <w:tblLook w:val="04A0"/>
      </w:tblPr>
      <w:tblGrid>
        <w:gridCol w:w="1082"/>
        <w:gridCol w:w="3753"/>
        <w:gridCol w:w="3687"/>
      </w:tblGrid>
      <w:tr w:rsidR="00342714" w:rsidRPr="006A2A04" w:rsidTr="00DF5630">
        <w:trPr>
          <w:trHeight w:val="384"/>
          <w:tblHeader/>
          <w:jc w:val="center"/>
        </w:trPr>
        <w:tc>
          <w:tcPr>
            <w:tcW w:w="63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342714" w:rsidRPr="006A2A04" w:rsidRDefault="00342714" w:rsidP="00DF5630">
            <w:pPr>
              <w:widowControl/>
              <w:spacing w:line="360" w:lineRule="auto"/>
              <w:jc w:val="center"/>
              <w:rPr>
                <w:rFonts w:asciiTheme="minorEastAsia" w:eastAsiaTheme="minorEastAsia" w:hAnsiTheme="minorEastAsia"/>
                <w:b/>
                <w:kern w:val="0"/>
                <w:szCs w:val="21"/>
              </w:rPr>
            </w:pPr>
            <w:r w:rsidRPr="006A2A04">
              <w:rPr>
                <w:rFonts w:asciiTheme="minorEastAsia" w:eastAsiaTheme="minorEastAsia" w:hAnsiTheme="minorEastAsia" w:hint="eastAsia"/>
                <w:b/>
                <w:kern w:val="0"/>
                <w:szCs w:val="21"/>
              </w:rPr>
              <w:t>条款号</w:t>
            </w:r>
          </w:p>
        </w:tc>
        <w:tc>
          <w:tcPr>
            <w:tcW w:w="220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342714" w:rsidRPr="006A2A04" w:rsidRDefault="00342714" w:rsidP="00DF5630">
            <w:pPr>
              <w:widowControl/>
              <w:spacing w:line="360" w:lineRule="auto"/>
              <w:jc w:val="center"/>
              <w:rPr>
                <w:rFonts w:asciiTheme="minorEastAsia" w:eastAsiaTheme="minorEastAsia" w:hAnsiTheme="minorEastAsia"/>
                <w:b/>
                <w:kern w:val="0"/>
                <w:szCs w:val="21"/>
              </w:rPr>
            </w:pPr>
            <w:r w:rsidRPr="006A2A04">
              <w:rPr>
                <w:rFonts w:asciiTheme="minorEastAsia" w:eastAsiaTheme="minorEastAsia" w:hAnsiTheme="minorEastAsia" w:hint="eastAsia"/>
                <w:b/>
                <w:kern w:val="0"/>
                <w:szCs w:val="21"/>
              </w:rPr>
              <w:t>项目合同提前解除之情形</w:t>
            </w:r>
          </w:p>
        </w:tc>
        <w:tc>
          <w:tcPr>
            <w:tcW w:w="216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342714" w:rsidRPr="006A2A04" w:rsidRDefault="00342714" w:rsidP="00DF5630">
            <w:pPr>
              <w:widowControl/>
              <w:spacing w:line="360" w:lineRule="auto"/>
              <w:jc w:val="center"/>
              <w:rPr>
                <w:rFonts w:asciiTheme="minorEastAsia" w:eastAsiaTheme="minorEastAsia" w:hAnsiTheme="minorEastAsia"/>
                <w:b/>
                <w:kern w:val="0"/>
                <w:szCs w:val="21"/>
              </w:rPr>
            </w:pPr>
            <w:r w:rsidRPr="006A2A04">
              <w:rPr>
                <w:rFonts w:asciiTheme="minorEastAsia" w:eastAsiaTheme="minorEastAsia" w:hAnsiTheme="minorEastAsia" w:hint="eastAsia"/>
                <w:b/>
                <w:kern w:val="0"/>
                <w:szCs w:val="21"/>
              </w:rPr>
              <w:t>解除补偿金</w:t>
            </w:r>
          </w:p>
        </w:tc>
      </w:tr>
      <w:tr w:rsidR="00342714" w:rsidRPr="006A2A04" w:rsidTr="00DF5630">
        <w:trPr>
          <w:jc w:val="center"/>
        </w:trPr>
        <w:tc>
          <w:tcPr>
            <w:tcW w:w="635" w:type="pct"/>
            <w:vMerge w:val="restart"/>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1</w:t>
            </w:r>
          </w:p>
        </w:tc>
        <w:tc>
          <w:tcPr>
            <w:tcW w:w="2202" w:type="pct"/>
            <w:vMerge w:val="restart"/>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项目公司原因提前解除</w:t>
            </w:r>
          </w:p>
          <w:p w:rsidR="00342714" w:rsidRPr="006A2A04" w:rsidRDefault="00342714" w:rsidP="00DF5630">
            <w:pPr>
              <w:widowControl/>
              <w:spacing w:line="360" w:lineRule="auto"/>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(甲方提出，乙方违约)</w:t>
            </w:r>
          </w:p>
        </w:tc>
        <w:tc>
          <w:tcPr>
            <w:tcW w:w="2163" w:type="pct"/>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建设期解除时，为A1×0.8+D</w:t>
            </w:r>
          </w:p>
        </w:tc>
      </w:tr>
      <w:tr w:rsidR="00342714" w:rsidRPr="006A2A04" w:rsidTr="00DF5630">
        <w:trPr>
          <w:jc w:val="center"/>
        </w:trPr>
        <w:tc>
          <w:tcPr>
            <w:tcW w:w="635" w:type="pct"/>
            <w:vMerge/>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p>
        </w:tc>
        <w:tc>
          <w:tcPr>
            <w:tcW w:w="2202" w:type="pct"/>
            <w:vMerge/>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p>
        </w:tc>
        <w:tc>
          <w:tcPr>
            <w:tcW w:w="2163" w:type="pct"/>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运营期解除时，为A2×0.8+D</w:t>
            </w:r>
          </w:p>
        </w:tc>
      </w:tr>
      <w:tr w:rsidR="00342714" w:rsidRPr="006A2A04" w:rsidTr="00DF5630">
        <w:trPr>
          <w:jc w:val="center"/>
        </w:trPr>
        <w:tc>
          <w:tcPr>
            <w:tcW w:w="635" w:type="pct"/>
            <w:vMerge w:val="restart"/>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2</w:t>
            </w:r>
          </w:p>
        </w:tc>
        <w:tc>
          <w:tcPr>
            <w:tcW w:w="2202" w:type="pct"/>
            <w:vMerge w:val="restart"/>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政府原因导致提前解除</w:t>
            </w:r>
          </w:p>
          <w:p w:rsidR="00342714" w:rsidRPr="006A2A04" w:rsidRDefault="00342714" w:rsidP="00DF5630">
            <w:pPr>
              <w:widowControl/>
              <w:spacing w:line="360" w:lineRule="auto"/>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(乙方提出，甲方违约)</w:t>
            </w:r>
          </w:p>
        </w:tc>
        <w:tc>
          <w:tcPr>
            <w:tcW w:w="2163" w:type="pct"/>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建设期解除时，为A1×1.2+D</w:t>
            </w:r>
          </w:p>
        </w:tc>
      </w:tr>
      <w:tr w:rsidR="00342714" w:rsidRPr="006A2A04" w:rsidTr="00DF5630">
        <w:trPr>
          <w:jc w:val="center"/>
        </w:trPr>
        <w:tc>
          <w:tcPr>
            <w:tcW w:w="635" w:type="pct"/>
            <w:vMerge/>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p>
        </w:tc>
        <w:tc>
          <w:tcPr>
            <w:tcW w:w="2202" w:type="pct"/>
            <w:vMerge/>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p>
        </w:tc>
        <w:tc>
          <w:tcPr>
            <w:tcW w:w="2163" w:type="pct"/>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运营期解除时，为A2×1.2+D</w:t>
            </w:r>
          </w:p>
        </w:tc>
      </w:tr>
      <w:tr w:rsidR="00342714" w:rsidRPr="006A2A04" w:rsidTr="00DF5630">
        <w:trPr>
          <w:jc w:val="center"/>
        </w:trPr>
        <w:tc>
          <w:tcPr>
            <w:tcW w:w="635" w:type="pct"/>
            <w:vMerge w:val="restart"/>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3</w:t>
            </w:r>
          </w:p>
        </w:tc>
        <w:tc>
          <w:tcPr>
            <w:tcW w:w="2202" w:type="pct"/>
            <w:vMerge w:val="restart"/>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法律变更或政府因公益性目的</w:t>
            </w:r>
          </w:p>
        </w:tc>
        <w:tc>
          <w:tcPr>
            <w:tcW w:w="2163" w:type="pct"/>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建设期解除时，为A1×1.1+D</w:t>
            </w:r>
          </w:p>
        </w:tc>
      </w:tr>
      <w:tr w:rsidR="00342714" w:rsidRPr="006A2A04" w:rsidTr="00DF5630">
        <w:trPr>
          <w:jc w:val="center"/>
        </w:trPr>
        <w:tc>
          <w:tcPr>
            <w:tcW w:w="635" w:type="pct"/>
            <w:vMerge/>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p>
        </w:tc>
        <w:tc>
          <w:tcPr>
            <w:tcW w:w="2202" w:type="pct"/>
            <w:vMerge/>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p>
        </w:tc>
        <w:tc>
          <w:tcPr>
            <w:tcW w:w="2163" w:type="pct"/>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运营期解除时，为A2×1.1+D</w:t>
            </w:r>
          </w:p>
        </w:tc>
      </w:tr>
      <w:tr w:rsidR="00342714" w:rsidRPr="006A2A04" w:rsidTr="00DF5630">
        <w:trPr>
          <w:trHeight w:val="566"/>
          <w:jc w:val="center"/>
        </w:trPr>
        <w:tc>
          <w:tcPr>
            <w:tcW w:w="635" w:type="pct"/>
            <w:vMerge w:val="restart"/>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4</w:t>
            </w:r>
          </w:p>
        </w:tc>
        <w:tc>
          <w:tcPr>
            <w:tcW w:w="2202" w:type="pct"/>
            <w:vMerge w:val="restart"/>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不可抗力原因解除</w:t>
            </w:r>
          </w:p>
        </w:tc>
        <w:tc>
          <w:tcPr>
            <w:tcW w:w="2163" w:type="pct"/>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建设期解除时，为A1-B-C</w:t>
            </w:r>
          </w:p>
        </w:tc>
      </w:tr>
      <w:tr w:rsidR="00342714" w:rsidRPr="006A2A04" w:rsidTr="00DF5630">
        <w:trPr>
          <w:trHeight w:val="566"/>
          <w:jc w:val="center"/>
        </w:trPr>
        <w:tc>
          <w:tcPr>
            <w:tcW w:w="635" w:type="pct"/>
            <w:vMerge/>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p>
        </w:tc>
        <w:tc>
          <w:tcPr>
            <w:tcW w:w="2202" w:type="pct"/>
            <w:vMerge/>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p>
        </w:tc>
        <w:tc>
          <w:tcPr>
            <w:tcW w:w="2163" w:type="pct"/>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运营期解除时，为A2-B-C</w:t>
            </w:r>
          </w:p>
        </w:tc>
      </w:tr>
      <w:tr w:rsidR="00342714" w:rsidRPr="006A2A04" w:rsidTr="00DF5630">
        <w:trPr>
          <w:trHeight w:val="566"/>
          <w:jc w:val="center"/>
        </w:trPr>
        <w:tc>
          <w:tcPr>
            <w:tcW w:w="635" w:type="pct"/>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5</w:t>
            </w:r>
          </w:p>
        </w:tc>
        <w:tc>
          <w:tcPr>
            <w:tcW w:w="2202" w:type="pct"/>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协商解除</w:t>
            </w:r>
          </w:p>
        </w:tc>
        <w:tc>
          <w:tcPr>
            <w:tcW w:w="2163" w:type="pct"/>
            <w:tcBorders>
              <w:top w:val="single" w:sz="4" w:space="0" w:color="000000"/>
              <w:left w:val="single" w:sz="4" w:space="0" w:color="000000"/>
              <w:bottom w:val="single" w:sz="4" w:space="0" w:color="000000"/>
              <w:right w:val="single" w:sz="4" w:space="0" w:color="000000"/>
            </w:tcBorders>
            <w:vAlign w:val="center"/>
          </w:tcPr>
          <w:p w:rsidR="00342714" w:rsidRPr="006A2A04" w:rsidRDefault="00342714" w:rsidP="00DF5630">
            <w:pPr>
              <w:widowControl/>
              <w:spacing w:line="360" w:lineRule="auto"/>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另行商定</w:t>
            </w:r>
          </w:p>
        </w:tc>
      </w:tr>
    </w:tbl>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注：此处</w:t>
      </w:r>
      <w:r w:rsidRPr="006A2A04">
        <w:rPr>
          <w:rFonts w:asciiTheme="minorEastAsia" w:eastAsiaTheme="minorEastAsia" w:hAnsiTheme="minorEastAsia"/>
          <w:kern w:val="0"/>
          <w:szCs w:val="21"/>
        </w:rPr>
        <w:t>的</w:t>
      </w:r>
      <w:r w:rsidRPr="006A2A04">
        <w:rPr>
          <w:rFonts w:asciiTheme="minorEastAsia" w:eastAsiaTheme="minorEastAsia" w:hAnsiTheme="minorEastAsia" w:hint="eastAsia"/>
          <w:kern w:val="0"/>
          <w:szCs w:val="21"/>
        </w:rPr>
        <w:t>甲方指政府方；乙方指项目公司。</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A1为审计确认的乙方累计已支付投资成本总额；</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A2为审计确认的乙方投资成本总额减去政府方已支付的费用中成本部分的累计额；</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B为乙方（含贷款方）实际获得的保险赔款；</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C为发生不可抗力情形时，因乙方投保不足，导致所获保险赔款无法使项目设施恢复到出险前的正常状态和价值的恢复性建设费用缺额部分（如有）；</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D为终止后乙方应向甲方移交运营维护所需的零部件及其他必要设备的合理评估值。</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如属项目公司原因，政府方发出的终止情形的，则政府方有权自本项目提前终止日起算三年内（如剩余合作期短于三年的，则指余下的合作期）分期分批次向项目公司支付补偿金，具体分批次的支付比例及时间进度安排由政府方确定。</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4、 合同变更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（1）合同变更的启动</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如果法律变更、规划调整或者项目公司（较合同签署时）发生重大变更，影响任一方重大利益的或者影响公共利益或安全的，则任一方可发起合同变更程序。</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lastRenderedPageBreak/>
        <w:t>（2）合同变更规则</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各方应在PPP项目合同签署时明确合同变更规则，对不可变更或谈判的条款，原则上在项目合同期限内不允许变更或协商修订，仅针对导致合同变更的情形所带来的重大变化协商相应的解决机制，并据此修订合同文本。</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（3）合同变更的效力</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合同变更未涉及的条款仍持续有效，变更的条款的原PPP项目合同约定不一致的，以变更后的约定为准。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5、 合同展期</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为了确保项目实施的灵活性，本PPP项目合同在法律允许的范围内，对于PPP项目合同期限内发生非项目公司应当承担的风险而导致项目公司损失的情形下，项目公司可以请求延长项目合作期限，在合作期内，实际建设期的缩短或延长不改变运营期限。本项目延期事由包括：</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（1）因可归责于政府方的原因导致工期延误的；</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（2）因政府财政预算的调整，使得相应的支付能力受到影响的；</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（3）项目公司在合作期内履约记录良好，在符合届时适用法律规定的前提下，双方协商一致同意展期的。</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合同生效后发布新的法律、法规或对法律、法规进行修订，双方遵循最初各自的权利义务、主要职责原则，进行协商。</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项目协议有效期满后，若项目公司仍有意愿继续运营，可与政府方将合同展期，展期长度待实际情况确定，且在中标社会资本方有意向的前提下，优先选择与其磋商合同展期事宜。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6、 工程变更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政府认为需要对项目建设进行变更的，应当书面通知项目公司。项目公司应当出具书面回复，对变更无法达成一致的，适用争议解决程序；项目公司同意变更的，政府方应当对项目公司变更所需的审批、许可进行积极配合。项目公司认为需要对项目建设进行变更的，在不改变本项目约定的产出要求的原则下，项目公司可以对设计文件提出变更，按照规定报经审核和批准后方可实施，相应风险应由项目公司承担。工程变更由项目公司负责实施。除下述工程变更之外，其它投资均由社会资本承担。</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（1）因政府方因城市规划、管理需要、征地拆迁方案、政府方负责的配套设施建设、法律法规变化以及其它政策性调整的原因提出的，通过专家论证确定的，并获得市政府同意</w:t>
      </w:r>
      <w:r w:rsidRPr="006A2A04">
        <w:rPr>
          <w:rFonts w:asciiTheme="minorEastAsia" w:eastAsiaTheme="minorEastAsia" w:hAnsiTheme="minorEastAsia" w:hint="eastAsia"/>
          <w:kern w:val="0"/>
          <w:szCs w:val="21"/>
        </w:rPr>
        <w:lastRenderedPageBreak/>
        <w:t>的工程变更，导致投资额增加或减少的，超出部分全部由政府以新增补助资金或者调整政府年付费金额的方式予以解决；减少部分由政府对应下调政府年付费金额。</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2）因自然因素的不可抗力，如地震、海啸、台风、暴雨、暴风、雷击、洪水、雪灾、泥石流等可保险的自然风险因素造成的工程变更，导致投资额超出经批复的施工图预算的，由保险公司进行赔付。在保险公司赔付额到位前，超出的投资额先由项目公司垫付。</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3）因社会因素的不可抗力，如战争、军事行动、罢工、骚乱、暴动、恐怖活动、没收、征用等不可保险的社会风险因素造成的工程变更，导致投资额超出经批复的施工图预算的，超出部分由股东增资以及增加债务融资的方式解决。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7、 退出机制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为了确保本项目工程建设、运营质量，降低项目投资建设运营风险，同时考虑到各不同社会资本的投资偏好，提升本项目对社会资本的吸引力，对本项目的退出机制做如下安排</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1、正常情况下的退出</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（1）届满退出</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项目合作期满后，项目公司应向柳州市政府或其指定机构按照合同约定的移交形式、移交内容和移交标准完好移交项目设施的所有权益。</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（2）协议退出</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1）为保持本项目在建设期内实施主体的稳定，建议项目公司各股东应确保于在建工程建设期满后一定合理时限内，即项目公司成立之日至近期提标改造在建项目正式开始稳定商业运营后的一段时间内，除因法律要求由司法机关裁定执行外不得通过直接或间接形式转让其在项目公司中的全部或部分股权，此段时间即为股权锁定期，股权锁定期暂定五年。</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项目公司成立后五年内，社会资本不得向第三方和其他股东转让其持有的项目公司全部或部分股权。如提前报政府并经书面批准，且受让方需拥有相同或更优的运营能力时，能承担相同权利及义务的，才能进行调整。</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2）运营期第四年-第十年，在保证正常运营的情况下，经本项目实施机构事先书面同意，社会资本可以转让其持有的项目公司全部或部分股权。但受让方须具备有效承接本项目运营管理的能力，且须承继转让方的全部义务。项目公司其他股东在同等条件下具有优先受让权。</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2、非正常情况下的退出</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 xml:space="preserve">当协议终止时，政府和社会投资者应在协议终止之日起15日内共同确定投资文件、财务文件、施工文件、工程设备、材料、投资方的设备和工程的价值，以及参照提前终止的补偿方式计算各方补偿。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lastRenderedPageBreak/>
        <w:t xml:space="preserve">8、 移交安排 </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合同期满前，实施机构或政府指定机构和项目公司应按照项目合同约定共同成立移交委员会，共同商定项目设施运营管理权移交的详细程序、培训计划的实施和将移交的设备、设施、物品、零配件和备件等的详细清单。</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实施机构和项目公司应对项目整体的运营维护工作、保养状况进行联合检测，也可以委托具有相应资质的中介机构进行检测。检测合格，检测费用由政府方承担；检测不合格的，检测费用由项目公司承担。</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经检测，保养质量达到本项目的规定并且符合约定的标准，项目公司可按照有关规定办理项目移交手续；保养质量或状况监测结果不达标的，移交工作组应要求项目公司进行恢复性修理、更新重置，项目公司应当在政府方要求的期限内进行养护维修直至达到要求。</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项目运营期满，项目公司将项目资产无偿移交给柳州市文化广电和旅游局或政府指定机构，双方在移交清单上共同签字盖章予以确认，实施机构向项目公司签发交付证明。项目可用性服务费支付完毕视为移交完成。</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项目全部移交完毕时，项目公司需确保移交的所有项目设施不存在任何抵押、质押等担保权益或产权约束，亦不得存在任何种类和性质的索赔权。</w:t>
      </w:r>
    </w:p>
    <w:p w:rsidR="00342714" w:rsidRPr="006A2A04" w:rsidRDefault="00342714" w:rsidP="00342714">
      <w:pPr>
        <w:widowControl/>
        <w:spacing w:line="360" w:lineRule="auto"/>
        <w:ind w:firstLineChars="200" w:firstLine="420"/>
        <w:jc w:val="left"/>
        <w:rPr>
          <w:rFonts w:asciiTheme="minorEastAsia" w:eastAsiaTheme="minorEastAsia" w:hAnsiTheme="minorEastAsia"/>
          <w:kern w:val="0"/>
          <w:szCs w:val="21"/>
        </w:rPr>
      </w:pPr>
      <w:r w:rsidRPr="006A2A04">
        <w:rPr>
          <w:rFonts w:asciiTheme="minorEastAsia" w:eastAsiaTheme="minorEastAsia" w:hAnsiTheme="minorEastAsia" w:hint="eastAsia"/>
          <w:kern w:val="0"/>
          <w:szCs w:val="21"/>
        </w:rPr>
        <w:t>移交范围：包括项目资产的所有运营、管理权力和责任，项目工程实体及项目设计施工、竣工验收、审计决算、保修责任履行、运营维护等相关档案资料文件等。</w:t>
      </w:r>
    </w:p>
    <w:p w:rsidR="00342714" w:rsidRPr="006A2A04" w:rsidRDefault="00342714" w:rsidP="00342714">
      <w:pPr>
        <w:pStyle w:val="2"/>
        <w:numPr>
          <w:ilvl w:val="0"/>
          <w:numId w:val="0"/>
        </w:numPr>
        <w:ind w:left="425"/>
      </w:pPr>
      <w:bookmarkStart w:id="43" w:name="_Toc43392644"/>
      <w:r w:rsidRPr="006A2A04">
        <w:rPr>
          <w:rFonts w:hint="eastAsia"/>
        </w:rPr>
        <w:t>三、招标控制价</w:t>
      </w:r>
      <w:bookmarkEnd w:id="43"/>
    </w:p>
    <w:p w:rsidR="00342714" w:rsidRPr="006A2A04" w:rsidRDefault="00342714" w:rsidP="00342714">
      <w:pPr>
        <w:ind w:firstLine="420"/>
        <w:jc w:val="left"/>
        <w:rPr>
          <w:rFonts w:ascii="宋体"/>
        </w:rPr>
      </w:pPr>
      <w:r w:rsidRPr="006A2A04">
        <w:rPr>
          <w:rFonts w:ascii="宋体" w:hAnsi="宋体" w:cs="宋体" w:hint="eastAsia"/>
        </w:rPr>
        <w:t>工程造价下浮系数（</w:t>
      </w:r>
      <w:r w:rsidRPr="006A2A04">
        <w:rPr>
          <w:rFonts w:ascii="宋体" w:hAnsi="宋体" w:cs="宋体"/>
        </w:rPr>
        <w:t>K</w:t>
      </w:r>
      <w:r w:rsidRPr="006A2A04">
        <w:rPr>
          <w:rFonts w:ascii="宋体" w:hAnsi="宋体" w:cs="宋体" w:hint="eastAsia"/>
        </w:rPr>
        <w:t>）</w:t>
      </w:r>
      <w:r w:rsidRPr="006A2A04">
        <w:rPr>
          <w:rFonts w:ascii="宋体" w:cs="宋体" w:hint="eastAsia"/>
        </w:rPr>
        <w:t>≥</w:t>
      </w:r>
      <w:r w:rsidRPr="006A2A04">
        <w:rPr>
          <w:rFonts w:ascii="宋体" w:hAnsi="宋体" w:cs="宋体" w:hint="eastAsia"/>
        </w:rPr>
        <w:t>0</w:t>
      </w:r>
      <w:r w:rsidRPr="006A2A04">
        <w:rPr>
          <w:rFonts w:ascii="宋体" w:hAnsi="宋体" w:cs="宋体"/>
        </w:rPr>
        <w:t>%</w:t>
      </w:r>
      <w:r w:rsidRPr="006A2A04">
        <w:rPr>
          <w:rFonts w:ascii="宋体" w:hAnsi="宋体" w:cs="宋体" w:hint="eastAsia"/>
        </w:rPr>
        <w:t>，即：工程建安费报价≤95561.34万元。</w:t>
      </w:r>
    </w:p>
    <w:p w:rsidR="008033B5" w:rsidRPr="00342714" w:rsidRDefault="008033B5"/>
    <w:sectPr w:rsidR="008033B5" w:rsidRPr="00342714" w:rsidSect="003347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A00002BF" w:usb1="38CF7CFA" w:usb2="00000016" w:usb3="00000000" w:csb0="0004000F" w:csb1="00000000"/>
  </w:font>
  <w:font w:name="Heiti SC Light">
    <w:altName w:val="Arial Unicode MS"/>
    <w:charset w:val="86"/>
    <w:family w:val="auto"/>
    <w:pitch w:val="default"/>
    <w:sig w:usb0="00000000" w:usb1="00000000" w:usb2="00000010" w:usb3="00000000" w:csb0="003E0000" w:csb1="00000000"/>
  </w:font>
  <w:font w:name="仿宋_GB2312">
    <w:altName w:val="MS Gothic"/>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01290C"/>
    <w:multiLevelType w:val="singleLevel"/>
    <w:tmpl w:val="8B01290C"/>
    <w:lvl w:ilvl="0">
      <w:start w:val="1"/>
      <w:numFmt w:val="chineseCounting"/>
      <w:suff w:val="space"/>
      <w:lvlText w:val="第%1章"/>
      <w:lvlJc w:val="left"/>
      <w:rPr>
        <w:rFonts w:hint="eastAsia"/>
      </w:rPr>
    </w:lvl>
  </w:abstractNum>
  <w:abstractNum w:abstractNumId="1">
    <w:nsid w:val="197271FF"/>
    <w:multiLevelType w:val="multilevel"/>
    <w:tmpl w:val="197271FF"/>
    <w:lvl w:ilvl="0">
      <w:start w:val="1"/>
      <w:numFmt w:val="decimal"/>
      <w:suff w:val="space"/>
      <w:lvlText w:val="（%1）"/>
      <w:lvlJc w:val="left"/>
      <w:pPr>
        <w:tabs>
          <w:tab w:val="left" w:pos="0"/>
        </w:tabs>
        <w:ind w:left="0" w:firstLine="567"/>
      </w:pPr>
      <w:rPr>
        <w:rFonts w:ascii="Times New Roman" w:hAnsi="Times New Roman" w:hint="default"/>
      </w:rPr>
    </w:lvl>
    <w:lvl w:ilvl="1">
      <w:start w:val="1"/>
      <w:numFmt w:val="lowerLetter"/>
      <w:lvlText w:val="%2)"/>
      <w:lvlJc w:val="left"/>
      <w:pPr>
        <w:tabs>
          <w:tab w:val="left" w:pos="0"/>
        </w:tabs>
        <w:ind w:left="1400" w:hanging="420"/>
      </w:pPr>
    </w:lvl>
    <w:lvl w:ilvl="2">
      <w:start w:val="1"/>
      <w:numFmt w:val="lowerRoman"/>
      <w:lvlText w:val="%3."/>
      <w:lvlJc w:val="right"/>
      <w:pPr>
        <w:tabs>
          <w:tab w:val="left" w:pos="0"/>
        </w:tabs>
        <w:ind w:left="1820" w:hanging="420"/>
      </w:pPr>
    </w:lvl>
    <w:lvl w:ilvl="3">
      <w:start w:val="1"/>
      <w:numFmt w:val="decimal"/>
      <w:lvlText w:val="%4."/>
      <w:lvlJc w:val="left"/>
      <w:pPr>
        <w:tabs>
          <w:tab w:val="left" w:pos="0"/>
        </w:tabs>
        <w:ind w:left="2240" w:hanging="420"/>
      </w:pPr>
    </w:lvl>
    <w:lvl w:ilvl="4">
      <w:start w:val="1"/>
      <w:numFmt w:val="lowerLetter"/>
      <w:lvlText w:val="%5)"/>
      <w:lvlJc w:val="left"/>
      <w:pPr>
        <w:tabs>
          <w:tab w:val="left" w:pos="0"/>
        </w:tabs>
        <w:ind w:left="2660" w:hanging="420"/>
      </w:pPr>
    </w:lvl>
    <w:lvl w:ilvl="5">
      <w:start w:val="1"/>
      <w:numFmt w:val="lowerRoman"/>
      <w:lvlText w:val="%6."/>
      <w:lvlJc w:val="right"/>
      <w:pPr>
        <w:tabs>
          <w:tab w:val="left" w:pos="0"/>
        </w:tabs>
        <w:ind w:left="3080" w:hanging="420"/>
      </w:pPr>
    </w:lvl>
    <w:lvl w:ilvl="6">
      <w:start w:val="1"/>
      <w:numFmt w:val="decimal"/>
      <w:lvlText w:val="%7."/>
      <w:lvlJc w:val="left"/>
      <w:pPr>
        <w:tabs>
          <w:tab w:val="left" w:pos="0"/>
        </w:tabs>
        <w:ind w:left="3500" w:hanging="420"/>
      </w:pPr>
    </w:lvl>
    <w:lvl w:ilvl="7">
      <w:start w:val="1"/>
      <w:numFmt w:val="lowerLetter"/>
      <w:lvlText w:val="%8)"/>
      <w:lvlJc w:val="left"/>
      <w:pPr>
        <w:tabs>
          <w:tab w:val="left" w:pos="0"/>
        </w:tabs>
        <w:ind w:left="3920" w:hanging="420"/>
      </w:pPr>
    </w:lvl>
    <w:lvl w:ilvl="8">
      <w:start w:val="1"/>
      <w:numFmt w:val="lowerRoman"/>
      <w:lvlText w:val="%9."/>
      <w:lvlJc w:val="right"/>
      <w:pPr>
        <w:tabs>
          <w:tab w:val="left" w:pos="0"/>
        </w:tabs>
        <w:ind w:left="4340" w:hanging="420"/>
      </w:pPr>
    </w:lvl>
  </w:abstractNum>
  <w:abstractNum w:abstractNumId="2">
    <w:nsid w:val="21AD1385"/>
    <w:multiLevelType w:val="multilevel"/>
    <w:tmpl w:val="21AD1385"/>
    <w:lvl w:ilvl="0">
      <w:start w:val="1"/>
      <w:numFmt w:val="bullet"/>
      <w:lvlText w:val=""/>
      <w:lvlJc w:val="left"/>
      <w:pPr>
        <w:tabs>
          <w:tab w:val="left" w:pos="0"/>
        </w:tabs>
        <w:ind w:left="982" w:hanging="420"/>
      </w:pPr>
      <w:rPr>
        <w:rFonts w:ascii="Wingdings" w:hAnsi="Wingdings" w:hint="default"/>
      </w:rPr>
    </w:lvl>
    <w:lvl w:ilvl="1">
      <w:start w:val="1"/>
      <w:numFmt w:val="bullet"/>
      <w:lvlText w:val=""/>
      <w:lvlJc w:val="left"/>
      <w:pPr>
        <w:tabs>
          <w:tab w:val="left" w:pos="0"/>
        </w:tabs>
        <w:ind w:left="1402" w:hanging="420"/>
      </w:pPr>
      <w:rPr>
        <w:rFonts w:ascii="Wingdings" w:hAnsi="Wingdings" w:hint="default"/>
      </w:rPr>
    </w:lvl>
    <w:lvl w:ilvl="2">
      <w:start w:val="1"/>
      <w:numFmt w:val="bullet"/>
      <w:lvlText w:val=""/>
      <w:lvlJc w:val="left"/>
      <w:pPr>
        <w:tabs>
          <w:tab w:val="left" w:pos="0"/>
        </w:tabs>
        <w:ind w:left="1822" w:hanging="420"/>
      </w:pPr>
      <w:rPr>
        <w:rFonts w:ascii="Wingdings" w:hAnsi="Wingdings" w:hint="default"/>
      </w:rPr>
    </w:lvl>
    <w:lvl w:ilvl="3">
      <w:start w:val="1"/>
      <w:numFmt w:val="bullet"/>
      <w:lvlText w:val=""/>
      <w:lvlJc w:val="left"/>
      <w:pPr>
        <w:tabs>
          <w:tab w:val="left" w:pos="0"/>
        </w:tabs>
        <w:ind w:left="2242" w:hanging="420"/>
      </w:pPr>
      <w:rPr>
        <w:rFonts w:ascii="Wingdings" w:hAnsi="Wingdings" w:hint="default"/>
      </w:rPr>
    </w:lvl>
    <w:lvl w:ilvl="4">
      <w:start w:val="1"/>
      <w:numFmt w:val="bullet"/>
      <w:lvlText w:val=""/>
      <w:lvlJc w:val="left"/>
      <w:pPr>
        <w:tabs>
          <w:tab w:val="left" w:pos="0"/>
        </w:tabs>
        <w:ind w:left="2662" w:hanging="420"/>
      </w:pPr>
      <w:rPr>
        <w:rFonts w:ascii="Wingdings" w:hAnsi="Wingdings" w:hint="default"/>
      </w:rPr>
    </w:lvl>
    <w:lvl w:ilvl="5">
      <w:start w:val="1"/>
      <w:numFmt w:val="bullet"/>
      <w:lvlText w:val=""/>
      <w:lvlJc w:val="left"/>
      <w:pPr>
        <w:tabs>
          <w:tab w:val="left" w:pos="0"/>
        </w:tabs>
        <w:ind w:left="3082" w:hanging="420"/>
      </w:pPr>
      <w:rPr>
        <w:rFonts w:ascii="Wingdings" w:hAnsi="Wingdings" w:hint="default"/>
      </w:rPr>
    </w:lvl>
    <w:lvl w:ilvl="6">
      <w:start w:val="1"/>
      <w:numFmt w:val="bullet"/>
      <w:lvlText w:val=""/>
      <w:lvlJc w:val="left"/>
      <w:pPr>
        <w:tabs>
          <w:tab w:val="left" w:pos="0"/>
        </w:tabs>
        <w:ind w:left="3502" w:hanging="420"/>
      </w:pPr>
      <w:rPr>
        <w:rFonts w:ascii="Wingdings" w:hAnsi="Wingdings" w:hint="default"/>
      </w:rPr>
    </w:lvl>
    <w:lvl w:ilvl="7">
      <w:start w:val="1"/>
      <w:numFmt w:val="bullet"/>
      <w:lvlText w:val=""/>
      <w:lvlJc w:val="left"/>
      <w:pPr>
        <w:tabs>
          <w:tab w:val="left" w:pos="0"/>
        </w:tabs>
        <w:ind w:left="3922" w:hanging="420"/>
      </w:pPr>
      <w:rPr>
        <w:rFonts w:ascii="Wingdings" w:hAnsi="Wingdings" w:hint="default"/>
      </w:rPr>
    </w:lvl>
    <w:lvl w:ilvl="8">
      <w:start w:val="1"/>
      <w:numFmt w:val="bullet"/>
      <w:lvlText w:val=""/>
      <w:lvlJc w:val="left"/>
      <w:pPr>
        <w:tabs>
          <w:tab w:val="left" w:pos="0"/>
        </w:tabs>
        <w:ind w:left="4342" w:hanging="420"/>
      </w:pPr>
      <w:rPr>
        <w:rFonts w:ascii="Wingdings" w:hAnsi="Wingdings" w:hint="default"/>
      </w:rPr>
    </w:lvl>
  </w:abstractNum>
  <w:abstractNum w:abstractNumId="3">
    <w:nsid w:val="4A486BDB"/>
    <w:multiLevelType w:val="multilevel"/>
    <w:tmpl w:val="4A486BDB"/>
    <w:lvl w:ilvl="0">
      <w:start w:val="1"/>
      <w:numFmt w:val="decimal"/>
      <w:suff w:val="space"/>
      <w:lvlText w:val="（%1）"/>
      <w:lvlJc w:val="left"/>
      <w:pPr>
        <w:tabs>
          <w:tab w:val="left" w:pos="0"/>
        </w:tabs>
        <w:ind w:left="0" w:firstLine="567"/>
      </w:pPr>
      <w:rPr>
        <w:rFonts w:ascii="Times New Roman" w:hAnsi="Times New Roman" w:hint="default"/>
      </w:rPr>
    </w:lvl>
    <w:lvl w:ilvl="1">
      <w:start w:val="1"/>
      <w:numFmt w:val="lowerLetter"/>
      <w:lvlText w:val="%2)"/>
      <w:lvlJc w:val="left"/>
      <w:pPr>
        <w:tabs>
          <w:tab w:val="left" w:pos="0"/>
        </w:tabs>
        <w:ind w:left="1400" w:hanging="420"/>
      </w:pPr>
    </w:lvl>
    <w:lvl w:ilvl="2">
      <w:start w:val="1"/>
      <w:numFmt w:val="lowerRoman"/>
      <w:lvlText w:val="%3."/>
      <w:lvlJc w:val="right"/>
      <w:pPr>
        <w:tabs>
          <w:tab w:val="left" w:pos="0"/>
        </w:tabs>
        <w:ind w:left="1820" w:hanging="420"/>
      </w:pPr>
    </w:lvl>
    <w:lvl w:ilvl="3">
      <w:start w:val="1"/>
      <w:numFmt w:val="decimal"/>
      <w:lvlText w:val="%4."/>
      <w:lvlJc w:val="left"/>
      <w:pPr>
        <w:tabs>
          <w:tab w:val="left" w:pos="0"/>
        </w:tabs>
        <w:ind w:left="2240" w:hanging="420"/>
      </w:pPr>
    </w:lvl>
    <w:lvl w:ilvl="4">
      <w:start w:val="1"/>
      <w:numFmt w:val="lowerLetter"/>
      <w:lvlText w:val="%5)"/>
      <w:lvlJc w:val="left"/>
      <w:pPr>
        <w:tabs>
          <w:tab w:val="left" w:pos="0"/>
        </w:tabs>
        <w:ind w:left="2660" w:hanging="420"/>
      </w:pPr>
    </w:lvl>
    <w:lvl w:ilvl="5">
      <w:start w:val="1"/>
      <w:numFmt w:val="lowerRoman"/>
      <w:lvlText w:val="%6."/>
      <w:lvlJc w:val="right"/>
      <w:pPr>
        <w:tabs>
          <w:tab w:val="left" w:pos="0"/>
        </w:tabs>
        <w:ind w:left="3080" w:hanging="420"/>
      </w:pPr>
    </w:lvl>
    <w:lvl w:ilvl="6">
      <w:start w:val="1"/>
      <w:numFmt w:val="decimal"/>
      <w:lvlText w:val="%7."/>
      <w:lvlJc w:val="left"/>
      <w:pPr>
        <w:tabs>
          <w:tab w:val="left" w:pos="0"/>
        </w:tabs>
        <w:ind w:left="3500" w:hanging="420"/>
      </w:pPr>
    </w:lvl>
    <w:lvl w:ilvl="7">
      <w:start w:val="1"/>
      <w:numFmt w:val="lowerLetter"/>
      <w:lvlText w:val="%8)"/>
      <w:lvlJc w:val="left"/>
      <w:pPr>
        <w:tabs>
          <w:tab w:val="left" w:pos="0"/>
        </w:tabs>
        <w:ind w:left="3920" w:hanging="420"/>
      </w:pPr>
    </w:lvl>
    <w:lvl w:ilvl="8">
      <w:start w:val="1"/>
      <w:numFmt w:val="lowerRoman"/>
      <w:lvlText w:val="%9."/>
      <w:lvlJc w:val="right"/>
      <w:pPr>
        <w:tabs>
          <w:tab w:val="left" w:pos="0"/>
        </w:tabs>
        <w:ind w:left="4340" w:hanging="420"/>
      </w:pPr>
    </w:lvl>
  </w:abstractNum>
  <w:abstractNum w:abstractNumId="4">
    <w:nsid w:val="4C1A354F"/>
    <w:multiLevelType w:val="multilevel"/>
    <w:tmpl w:val="4C1A354F"/>
    <w:lvl w:ilvl="0">
      <w:start w:val="1"/>
      <w:numFmt w:val="decimal"/>
      <w:suff w:val="space"/>
      <w:lvlText w:val="（%1）"/>
      <w:lvlJc w:val="left"/>
      <w:pPr>
        <w:tabs>
          <w:tab w:val="left" w:pos="0"/>
        </w:tabs>
        <w:ind w:left="0" w:firstLine="567"/>
      </w:pPr>
      <w:rPr>
        <w:rFonts w:ascii="Times New Roman" w:hAnsi="Times New Roman" w:hint="default"/>
      </w:rPr>
    </w:lvl>
    <w:lvl w:ilvl="1">
      <w:start w:val="1"/>
      <w:numFmt w:val="lowerLetter"/>
      <w:lvlText w:val="%2)"/>
      <w:lvlJc w:val="left"/>
      <w:pPr>
        <w:tabs>
          <w:tab w:val="left" w:pos="0"/>
        </w:tabs>
        <w:ind w:left="1400" w:hanging="420"/>
      </w:pPr>
    </w:lvl>
    <w:lvl w:ilvl="2">
      <w:start w:val="1"/>
      <w:numFmt w:val="lowerRoman"/>
      <w:lvlText w:val="%3."/>
      <w:lvlJc w:val="right"/>
      <w:pPr>
        <w:tabs>
          <w:tab w:val="left" w:pos="0"/>
        </w:tabs>
        <w:ind w:left="1820" w:hanging="420"/>
      </w:pPr>
    </w:lvl>
    <w:lvl w:ilvl="3">
      <w:start w:val="1"/>
      <w:numFmt w:val="decimal"/>
      <w:lvlText w:val="%4."/>
      <w:lvlJc w:val="left"/>
      <w:pPr>
        <w:tabs>
          <w:tab w:val="left" w:pos="0"/>
        </w:tabs>
        <w:ind w:left="2240" w:hanging="420"/>
      </w:pPr>
    </w:lvl>
    <w:lvl w:ilvl="4">
      <w:start w:val="1"/>
      <w:numFmt w:val="lowerLetter"/>
      <w:lvlText w:val="%5)"/>
      <w:lvlJc w:val="left"/>
      <w:pPr>
        <w:tabs>
          <w:tab w:val="left" w:pos="0"/>
        </w:tabs>
        <w:ind w:left="2660" w:hanging="420"/>
      </w:pPr>
    </w:lvl>
    <w:lvl w:ilvl="5">
      <w:start w:val="1"/>
      <w:numFmt w:val="lowerRoman"/>
      <w:lvlText w:val="%6."/>
      <w:lvlJc w:val="right"/>
      <w:pPr>
        <w:tabs>
          <w:tab w:val="left" w:pos="0"/>
        </w:tabs>
        <w:ind w:left="3080" w:hanging="420"/>
      </w:pPr>
    </w:lvl>
    <w:lvl w:ilvl="6">
      <w:start w:val="1"/>
      <w:numFmt w:val="decimal"/>
      <w:lvlText w:val="%7."/>
      <w:lvlJc w:val="left"/>
      <w:pPr>
        <w:tabs>
          <w:tab w:val="left" w:pos="0"/>
        </w:tabs>
        <w:ind w:left="3500" w:hanging="420"/>
      </w:pPr>
    </w:lvl>
    <w:lvl w:ilvl="7">
      <w:start w:val="1"/>
      <w:numFmt w:val="lowerLetter"/>
      <w:lvlText w:val="%8)"/>
      <w:lvlJc w:val="left"/>
      <w:pPr>
        <w:tabs>
          <w:tab w:val="left" w:pos="0"/>
        </w:tabs>
        <w:ind w:left="3920" w:hanging="420"/>
      </w:pPr>
    </w:lvl>
    <w:lvl w:ilvl="8">
      <w:start w:val="1"/>
      <w:numFmt w:val="lowerRoman"/>
      <w:lvlText w:val="%9."/>
      <w:lvlJc w:val="right"/>
      <w:pPr>
        <w:tabs>
          <w:tab w:val="left" w:pos="0"/>
        </w:tabs>
        <w:ind w:left="4340" w:hanging="420"/>
      </w:pPr>
    </w:lvl>
  </w:abstractNum>
  <w:abstractNum w:abstractNumId="5">
    <w:nsid w:val="4D0D227D"/>
    <w:multiLevelType w:val="multilevel"/>
    <w:tmpl w:val="4D0D227D"/>
    <w:lvl w:ilvl="0">
      <w:start w:val="1"/>
      <w:numFmt w:val="decimal"/>
      <w:pStyle w:val="2"/>
      <w:lvlText w:val="%1"/>
      <w:lvlJc w:val="left"/>
      <w:pPr>
        <w:ind w:left="425" w:hanging="425"/>
      </w:pPr>
      <w:rPr>
        <w:rFonts w:hint="eastAsia"/>
      </w:rPr>
    </w:lvl>
    <w:lvl w:ilvl="1">
      <w:start w:val="1"/>
      <w:numFmt w:val="decimal"/>
      <w:pStyle w:val="3"/>
      <w:lvlText w:val="%1.%2"/>
      <w:lvlJc w:val="left"/>
      <w:pPr>
        <w:ind w:left="992" w:hanging="567"/>
      </w:pPr>
      <w:rPr>
        <w:rFonts w:hint="eastAsia"/>
      </w:rPr>
    </w:lvl>
    <w:lvl w:ilvl="2">
      <w:start w:val="1"/>
      <w:numFmt w:val="decimal"/>
      <w:pStyle w:val="4"/>
      <w:lvlText w:val="%1.%2.%3"/>
      <w:lvlJc w:val="left"/>
      <w:pPr>
        <w:ind w:left="567"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4D806E5D"/>
    <w:multiLevelType w:val="multilevel"/>
    <w:tmpl w:val="4D806E5D"/>
    <w:lvl w:ilvl="0">
      <w:start w:val="1"/>
      <w:numFmt w:val="decimal"/>
      <w:suff w:val="space"/>
      <w:lvlText w:val="（%1）"/>
      <w:lvlJc w:val="left"/>
      <w:pPr>
        <w:tabs>
          <w:tab w:val="left" w:pos="0"/>
        </w:tabs>
        <w:ind w:left="0" w:firstLine="567"/>
      </w:pPr>
      <w:rPr>
        <w:rFonts w:ascii="Times New Roman" w:hAnsi="Times New Roman" w:hint="default"/>
      </w:rPr>
    </w:lvl>
    <w:lvl w:ilvl="1">
      <w:start w:val="1"/>
      <w:numFmt w:val="lowerLetter"/>
      <w:lvlText w:val="%2)"/>
      <w:lvlJc w:val="left"/>
      <w:pPr>
        <w:tabs>
          <w:tab w:val="left" w:pos="0"/>
        </w:tabs>
        <w:ind w:left="1400" w:hanging="420"/>
      </w:pPr>
    </w:lvl>
    <w:lvl w:ilvl="2">
      <w:start w:val="1"/>
      <w:numFmt w:val="lowerRoman"/>
      <w:lvlText w:val="%3."/>
      <w:lvlJc w:val="right"/>
      <w:pPr>
        <w:tabs>
          <w:tab w:val="left" w:pos="0"/>
        </w:tabs>
        <w:ind w:left="1820" w:hanging="420"/>
      </w:pPr>
    </w:lvl>
    <w:lvl w:ilvl="3">
      <w:start w:val="1"/>
      <w:numFmt w:val="decimal"/>
      <w:lvlText w:val="%4."/>
      <w:lvlJc w:val="left"/>
      <w:pPr>
        <w:tabs>
          <w:tab w:val="left" w:pos="0"/>
        </w:tabs>
        <w:ind w:left="2240" w:hanging="420"/>
      </w:pPr>
    </w:lvl>
    <w:lvl w:ilvl="4">
      <w:start w:val="1"/>
      <w:numFmt w:val="lowerLetter"/>
      <w:lvlText w:val="%5)"/>
      <w:lvlJc w:val="left"/>
      <w:pPr>
        <w:tabs>
          <w:tab w:val="left" w:pos="0"/>
        </w:tabs>
        <w:ind w:left="2660" w:hanging="420"/>
      </w:pPr>
    </w:lvl>
    <w:lvl w:ilvl="5">
      <w:start w:val="1"/>
      <w:numFmt w:val="lowerRoman"/>
      <w:lvlText w:val="%6."/>
      <w:lvlJc w:val="right"/>
      <w:pPr>
        <w:tabs>
          <w:tab w:val="left" w:pos="0"/>
        </w:tabs>
        <w:ind w:left="3080" w:hanging="420"/>
      </w:pPr>
    </w:lvl>
    <w:lvl w:ilvl="6">
      <w:start w:val="1"/>
      <w:numFmt w:val="decimal"/>
      <w:lvlText w:val="%7."/>
      <w:lvlJc w:val="left"/>
      <w:pPr>
        <w:tabs>
          <w:tab w:val="left" w:pos="0"/>
        </w:tabs>
        <w:ind w:left="3500" w:hanging="420"/>
      </w:pPr>
    </w:lvl>
    <w:lvl w:ilvl="7">
      <w:start w:val="1"/>
      <w:numFmt w:val="lowerLetter"/>
      <w:lvlText w:val="%8)"/>
      <w:lvlJc w:val="left"/>
      <w:pPr>
        <w:tabs>
          <w:tab w:val="left" w:pos="0"/>
        </w:tabs>
        <w:ind w:left="3920" w:hanging="420"/>
      </w:pPr>
    </w:lvl>
    <w:lvl w:ilvl="8">
      <w:start w:val="1"/>
      <w:numFmt w:val="lowerRoman"/>
      <w:lvlText w:val="%9."/>
      <w:lvlJc w:val="right"/>
      <w:pPr>
        <w:tabs>
          <w:tab w:val="left" w:pos="0"/>
        </w:tabs>
        <w:ind w:left="4340" w:hanging="420"/>
      </w:pPr>
    </w:lvl>
  </w:abstractNum>
  <w:abstractNum w:abstractNumId="7">
    <w:nsid w:val="5FF92EDE"/>
    <w:multiLevelType w:val="multilevel"/>
    <w:tmpl w:val="5FF92EDE"/>
    <w:lvl w:ilvl="0">
      <w:start w:val="1"/>
      <w:numFmt w:val="decimal"/>
      <w:suff w:val="space"/>
      <w:lvlText w:val="（%1）"/>
      <w:lvlJc w:val="left"/>
      <w:pPr>
        <w:tabs>
          <w:tab w:val="left" w:pos="0"/>
        </w:tabs>
        <w:ind w:left="0" w:firstLine="567"/>
      </w:pPr>
      <w:rPr>
        <w:rFonts w:ascii="Times New Roman" w:hAnsi="Times New Roman" w:hint="default"/>
      </w:rPr>
    </w:lvl>
    <w:lvl w:ilvl="1">
      <w:start w:val="1"/>
      <w:numFmt w:val="lowerLetter"/>
      <w:lvlText w:val="%2)"/>
      <w:lvlJc w:val="left"/>
      <w:pPr>
        <w:tabs>
          <w:tab w:val="left" w:pos="0"/>
        </w:tabs>
        <w:ind w:left="1400" w:hanging="420"/>
      </w:pPr>
    </w:lvl>
    <w:lvl w:ilvl="2">
      <w:start w:val="1"/>
      <w:numFmt w:val="lowerRoman"/>
      <w:lvlText w:val="%3."/>
      <w:lvlJc w:val="right"/>
      <w:pPr>
        <w:tabs>
          <w:tab w:val="left" w:pos="0"/>
        </w:tabs>
        <w:ind w:left="1820" w:hanging="420"/>
      </w:pPr>
    </w:lvl>
    <w:lvl w:ilvl="3">
      <w:start w:val="1"/>
      <w:numFmt w:val="decimal"/>
      <w:lvlText w:val="%4."/>
      <w:lvlJc w:val="left"/>
      <w:pPr>
        <w:tabs>
          <w:tab w:val="left" w:pos="0"/>
        </w:tabs>
        <w:ind w:left="2240" w:hanging="420"/>
      </w:pPr>
    </w:lvl>
    <w:lvl w:ilvl="4">
      <w:start w:val="1"/>
      <w:numFmt w:val="lowerLetter"/>
      <w:lvlText w:val="%5)"/>
      <w:lvlJc w:val="left"/>
      <w:pPr>
        <w:tabs>
          <w:tab w:val="left" w:pos="0"/>
        </w:tabs>
        <w:ind w:left="2660" w:hanging="420"/>
      </w:pPr>
    </w:lvl>
    <w:lvl w:ilvl="5">
      <w:start w:val="1"/>
      <w:numFmt w:val="lowerRoman"/>
      <w:lvlText w:val="%6."/>
      <w:lvlJc w:val="right"/>
      <w:pPr>
        <w:tabs>
          <w:tab w:val="left" w:pos="0"/>
        </w:tabs>
        <w:ind w:left="3080" w:hanging="420"/>
      </w:pPr>
    </w:lvl>
    <w:lvl w:ilvl="6">
      <w:start w:val="1"/>
      <w:numFmt w:val="decimal"/>
      <w:lvlText w:val="%7."/>
      <w:lvlJc w:val="left"/>
      <w:pPr>
        <w:tabs>
          <w:tab w:val="left" w:pos="0"/>
        </w:tabs>
        <w:ind w:left="3500" w:hanging="420"/>
      </w:pPr>
    </w:lvl>
    <w:lvl w:ilvl="7">
      <w:start w:val="1"/>
      <w:numFmt w:val="lowerLetter"/>
      <w:lvlText w:val="%8)"/>
      <w:lvlJc w:val="left"/>
      <w:pPr>
        <w:tabs>
          <w:tab w:val="left" w:pos="0"/>
        </w:tabs>
        <w:ind w:left="3920" w:hanging="420"/>
      </w:pPr>
    </w:lvl>
    <w:lvl w:ilvl="8">
      <w:start w:val="1"/>
      <w:numFmt w:val="lowerRoman"/>
      <w:lvlText w:val="%9."/>
      <w:lvlJc w:val="right"/>
      <w:pPr>
        <w:tabs>
          <w:tab w:val="left" w:pos="0"/>
        </w:tabs>
        <w:ind w:left="4340" w:hanging="420"/>
      </w:pPr>
    </w:lvl>
  </w:abstractNum>
  <w:abstractNum w:abstractNumId="8">
    <w:nsid w:val="60E87F9B"/>
    <w:multiLevelType w:val="multilevel"/>
    <w:tmpl w:val="60E87F9B"/>
    <w:lvl w:ilvl="0">
      <w:start w:val="1"/>
      <w:numFmt w:val="decimal"/>
      <w:suff w:val="space"/>
      <w:lvlText w:val="（%1）"/>
      <w:lvlJc w:val="left"/>
      <w:pPr>
        <w:tabs>
          <w:tab w:val="left" w:pos="0"/>
        </w:tabs>
        <w:ind w:left="0" w:firstLine="567"/>
      </w:pPr>
      <w:rPr>
        <w:rFonts w:ascii="Times New Roman" w:hAnsi="Times New Roman" w:hint="default"/>
      </w:rPr>
    </w:lvl>
    <w:lvl w:ilvl="1">
      <w:start w:val="1"/>
      <w:numFmt w:val="lowerLetter"/>
      <w:lvlText w:val="%2)"/>
      <w:lvlJc w:val="left"/>
      <w:pPr>
        <w:tabs>
          <w:tab w:val="left" w:pos="0"/>
        </w:tabs>
        <w:ind w:left="1400" w:hanging="420"/>
      </w:pPr>
    </w:lvl>
    <w:lvl w:ilvl="2">
      <w:start w:val="1"/>
      <w:numFmt w:val="lowerRoman"/>
      <w:lvlText w:val="%3."/>
      <w:lvlJc w:val="right"/>
      <w:pPr>
        <w:tabs>
          <w:tab w:val="left" w:pos="0"/>
        </w:tabs>
        <w:ind w:left="1820" w:hanging="420"/>
      </w:pPr>
    </w:lvl>
    <w:lvl w:ilvl="3">
      <w:start w:val="1"/>
      <w:numFmt w:val="decimal"/>
      <w:lvlText w:val="%4."/>
      <w:lvlJc w:val="left"/>
      <w:pPr>
        <w:tabs>
          <w:tab w:val="left" w:pos="0"/>
        </w:tabs>
        <w:ind w:left="2240" w:hanging="420"/>
      </w:pPr>
    </w:lvl>
    <w:lvl w:ilvl="4">
      <w:start w:val="1"/>
      <w:numFmt w:val="lowerLetter"/>
      <w:lvlText w:val="%5)"/>
      <w:lvlJc w:val="left"/>
      <w:pPr>
        <w:tabs>
          <w:tab w:val="left" w:pos="0"/>
        </w:tabs>
        <w:ind w:left="2660" w:hanging="420"/>
      </w:pPr>
    </w:lvl>
    <w:lvl w:ilvl="5">
      <w:start w:val="1"/>
      <w:numFmt w:val="lowerRoman"/>
      <w:lvlText w:val="%6."/>
      <w:lvlJc w:val="right"/>
      <w:pPr>
        <w:tabs>
          <w:tab w:val="left" w:pos="0"/>
        </w:tabs>
        <w:ind w:left="3080" w:hanging="420"/>
      </w:pPr>
    </w:lvl>
    <w:lvl w:ilvl="6">
      <w:start w:val="1"/>
      <w:numFmt w:val="decimal"/>
      <w:lvlText w:val="%7."/>
      <w:lvlJc w:val="left"/>
      <w:pPr>
        <w:tabs>
          <w:tab w:val="left" w:pos="0"/>
        </w:tabs>
        <w:ind w:left="3500" w:hanging="420"/>
      </w:pPr>
    </w:lvl>
    <w:lvl w:ilvl="7">
      <w:start w:val="1"/>
      <w:numFmt w:val="lowerLetter"/>
      <w:lvlText w:val="%8)"/>
      <w:lvlJc w:val="left"/>
      <w:pPr>
        <w:tabs>
          <w:tab w:val="left" w:pos="0"/>
        </w:tabs>
        <w:ind w:left="3920" w:hanging="420"/>
      </w:pPr>
    </w:lvl>
    <w:lvl w:ilvl="8">
      <w:start w:val="1"/>
      <w:numFmt w:val="lowerRoman"/>
      <w:lvlText w:val="%9."/>
      <w:lvlJc w:val="right"/>
      <w:pPr>
        <w:tabs>
          <w:tab w:val="left" w:pos="0"/>
        </w:tabs>
        <w:ind w:left="4340" w:hanging="420"/>
      </w:pPr>
    </w:lvl>
  </w:abstractNum>
  <w:abstractNum w:abstractNumId="9">
    <w:nsid w:val="61E0145D"/>
    <w:multiLevelType w:val="multilevel"/>
    <w:tmpl w:val="61E0145D"/>
    <w:lvl w:ilvl="0">
      <w:start w:val="1"/>
      <w:numFmt w:val="chineseCountingThousand"/>
      <w:pStyle w:val="1"/>
      <w:lvlText w:val="第%1章"/>
      <w:lvlJc w:val="left"/>
      <w:pPr>
        <w:ind w:left="420" w:hanging="420"/>
      </w:pPr>
      <w:rPr>
        <w:rFonts w:hint="default"/>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5"/>
  </w:num>
  <w:num w:numId="3">
    <w:abstractNumId w:val="2"/>
  </w:num>
  <w:num w:numId="4">
    <w:abstractNumId w:val="7"/>
  </w:num>
  <w:num w:numId="5">
    <w:abstractNumId w:val="8"/>
  </w:num>
  <w:num w:numId="6">
    <w:abstractNumId w:val="1"/>
  </w:num>
  <w:num w:numId="7">
    <w:abstractNumId w:val="3"/>
  </w:num>
  <w:num w:numId="8">
    <w:abstractNumId w:val="6"/>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2714"/>
    <w:rsid w:val="00000356"/>
    <w:rsid w:val="00000C8A"/>
    <w:rsid w:val="00000E7C"/>
    <w:rsid w:val="000020E0"/>
    <w:rsid w:val="000067A9"/>
    <w:rsid w:val="00007376"/>
    <w:rsid w:val="0001074E"/>
    <w:rsid w:val="0001164E"/>
    <w:rsid w:val="00011697"/>
    <w:rsid w:val="00014DBE"/>
    <w:rsid w:val="000162A0"/>
    <w:rsid w:val="0002011E"/>
    <w:rsid w:val="00023DB2"/>
    <w:rsid w:val="00024086"/>
    <w:rsid w:val="000251D7"/>
    <w:rsid w:val="00025944"/>
    <w:rsid w:val="00026042"/>
    <w:rsid w:val="0002693F"/>
    <w:rsid w:val="00026EC9"/>
    <w:rsid w:val="0002732D"/>
    <w:rsid w:val="00027EC4"/>
    <w:rsid w:val="00032567"/>
    <w:rsid w:val="00033EF5"/>
    <w:rsid w:val="00034D54"/>
    <w:rsid w:val="000372C9"/>
    <w:rsid w:val="000404F3"/>
    <w:rsid w:val="00041234"/>
    <w:rsid w:val="00041D6A"/>
    <w:rsid w:val="00042785"/>
    <w:rsid w:val="00043CD1"/>
    <w:rsid w:val="000446F2"/>
    <w:rsid w:val="00044ED3"/>
    <w:rsid w:val="00044FA3"/>
    <w:rsid w:val="00047524"/>
    <w:rsid w:val="0004760D"/>
    <w:rsid w:val="000476C5"/>
    <w:rsid w:val="00047D17"/>
    <w:rsid w:val="00050D51"/>
    <w:rsid w:val="00050EE1"/>
    <w:rsid w:val="000512E4"/>
    <w:rsid w:val="00051BD8"/>
    <w:rsid w:val="00051ED6"/>
    <w:rsid w:val="00054D23"/>
    <w:rsid w:val="000557C0"/>
    <w:rsid w:val="0005660E"/>
    <w:rsid w:val="000649F7"/>
    <w:rsid w:val="00065FDF"/>
    <w:rsid w:val="00067FC6"/>
    <w:rsid w:val="0007116F"/>
    <w:rsid w:val="00071DD0"/>
    <w:rsid w:val="0007404C"/>
    <w:rsid w:val="000756DA"/>
    <w:rsid w:val="00077B69"/>
    <w:rsid w:val="00080E23"/>
    <w:rsid w:val="000818D5"/>
    <w:rsid w:val="0008591B"/>
    <w:rsid w:val="00085FF1"/>
    <w:rsid w:val="00086841"/>
    <w:rsid w:val="00087F3D"/>
    <w:rsid w:val="00091B54"/>
    <w:rsid w:val="00092585"/>
    <w:rsid w:val="0009294C"/>
    <w:rsid w:val="00093306"/>
    <w:rsid w:val="000934F0"/>
    <w:rsid w:val="0009489A"/>
    <w:rsid w:val="000950E7"/>
    <w:rsid w:val="00096EC5"/>
    <w:rsid w:val="000A0FFB"/>
    <w:rsid w:val="000A14BC"/>
    <w:rsid w:val="000A15C9"/>
    <w:rsid w:val="000A24D7"/>
    <w:rsid w:val="000A4534"/>
    <w:rsid w:val="000A7F17"/>
    <w:rsid w:val="000B32B6"/>
    <w:rsid w:val="000B44AC"/>
    <w:rsid w:val="000B57C8"/>
    <w:rsid w:val="000B5DF9"/>
    <w:rsid w:val="000B5E8E"/>
    <w:rsid w:val="000B663A"/>
    <w:rsid w:val="000B7E8E"/>
    <w:rsid w:val="000C0657"/>
    <w:rsid w:val="000C0E45"/>
    <w:rsid w:val="000C2C5B"/>
    <w:rsid w:val="000C2CF5"/>
    <w:rsid w:val="000C44D7"/>
    <w:rsid w:val="000C521A"/>
    <w:rsid w:val="000C5400"/>
    <w:rsid w:val="000C72BF"/>
    <w:rsid w:val="000C72CA"/>
    <w:rsid w:val="000D2274"/>
    <w:rsid w:val="000D5977"/>
    <w:rsid w:val="000D5F19"/>
    <w:rsid w:val="000D6421"/>
    <w:rsid w:val="000D6EDA"/>
    <w:rsid w:val="000D6F0D"/>
    <w:rsid w:val="000D726C"/>
    <w:rsid w:val="000D733F"/>
    <w:rsid w:val="000E18FF"/>
    <w:rsid w:val="000E2718"/>
    <w:rsid w:val="000E3851"/>
    <w:rsid w:val="000E4E7E"/>
    <w:rsid w:val="000E5D2A"/>
    <w:rsid w:val="000E7995"/>
    <w:rsid w:val="000F0691"/>
    <w:rsid w:val="000F0E0C"/>
    <w:rsid w:val="000F20D3"/>
    <w:rsid w:val="000F23A6"/>
    <w:rsid w:val="000F2EA1"/>
    <w:rsid w:val="000F454E"/>
    <w:rsid w:val="000F49DC"/>
    <w:rsid w:val="000F5C66"/>
    <w:rsid w:val="000F5DD5"/>
    <w:rsid w:val="0010023F"/>
    <w:rsid w:val="00101108"/>
    <w:rsid w:val="0010166E"/>
    <w:rsid w:val="00101FB0"/>
    <w:rsid w:val="00103329"/>
    <w:rsid w:val="00104259"/>
    <w:rsid w:val="00104C58"/>
    <w:rsid w:val="0011341C"/>
    <w:rsid w:val="001150FD"/>
    <w:rsid w:val="00115F23"/>
    <w:rsid w:val="0011637E"/>
    <w:rsid w:val="0011719C"/>
    <w:rsid w:val="001171AC"/>
    <w:rsid w:val="00117C1A"/>
    <w:rsid w:val="00120AEC"/>
    <w:rsid w:val="0012156F"/>
    <w:rsid w:val="0012233D"/>
    <w:rsid w:val="001249C8"/>
    <w:rsid w:val="00124B2D"/>
    <w:rsid w:val="001259D3"/>
    <w:rsid w:val="001263B4"/>
    <w:rsid w:val="00127715"/>
    <w:rsid w:val="00131EB4"/>
    <w:rsid w:val="00136479"/>
    <w:rsid w:val="00136885"/>
    <w:rsid w:val="00136A5B"/>
    <w:rsid w:val="001378AF"/>
    <w:rsid w:val="00141216"/>
    <w:rsid w:val="001413C7"/>
    <w:rsid w:val="001413CA"/>
    <w:rsid w:val="00141C9E"/>
    <w:rsid w:val="00143463"/>
    <w:rsid w:val="001458C5"/>
    <w:rsid w:val="00151191"/>
    <w:rsid w:val="00152CDB"/>
    <w:rsid w:val="00153229"/>
    <w:rsid w:val="00154166"/>
    <w:rsid w:val="00154FD6"/>
    <w:rsid w:val="001576AE"/>
    <w:rsid w:val="001576EC"/>
    <w:rsid w:val="00161044"/>
    <w:rsid w:val="001622C7"/>
    <w:rsid w:val="00163595"/>
    <w:rsid w:val="00163D6D"/>
    <w:rsid w:val="001670A3"/>
    <w:rsid w:val="00167391"/>
    <w:rsid w:val="00167A0C"/>
    <w:rsid w:val="00171211"/>
    <w:rsid w:val="00171D3B"/>
    <w:rsid w:val="001733DC"/>
    <w:rsid w:val="00173668"/>
    <w:rsid w:val="00173FED"/>
    <w:rsid w:val="00175055"/>
    <w:rsid w:val="0017645E"/>
    <w:rsid w:val="00176CCA"/>
    <w:rsid w:val="00176F39"/>
    <w:rsid w:val="00177CAE"/>
    <w:rsid w:val="00177FAD"/>
    <w:rsid w:val="001809C1"/>
    <w:rsid w:val="001811CE"/>
    <w:rsid w:val="001815A6"/>
    <w:rsid w:val="001821F6"/>
    <w:rsid w:val="00184CEB"/>
    <w:rsid w:val="00186253"/>
    <w:rsid w:val="001922E2"/>
    <w:rsid w:val="00192B0A"/>
    <w:rsid w:val="00193F38"/>
    <w:rsid w:val="00195653"/>
    <w:rsid w:val="0019624F"/>
    <w:rsid w:val="001962D5"/>
    <w:rsid w:val="00196425"/>
    <w:rsid w:val="001A0A86"/>
    <w:rsid w:val="001A2ADD"/>
    <w:rsid w:val="001A5BC4"/>
    <w:rsid w:val="001A6AF3"/>
    <w:rsid w:val="001B07EB"/>
    <w:rsid w:val="001B0901"/>
    <w:rsid w:val="001B1CA3"/>
    <w:rsid w:val="001B2E52"/>
    <w:rsid w:val="001B3116"/>
    <w:rsid w:val="001B3220"/>
    <w:rsid w:val="001B4B5B"/>
    <w:rsid w:val="001B4BA5"/>
    <w:rsid w:val="001B4D39"/>
    <w:rsid w:val="001B5917"/>
    <w:rsid w:val="001B5A3E"/>
    <w:rsid w:val="001B780F"/>
    <w:rsid w:val="001C4143"/>
    <w:rsid w:val="001C4170"/>
    <w:rsid w:val="001C438B"/>
    <w:rsid w:val="001C4C71"/>
    <w:rsid w:val="001C4DEE"/>
    <w:rsid w:val="001C6310"/>
    <w:rsid w:val="001D2A2D"/>
    <w:rsid w:val="001D2E1A"/>
    <w:rsid w:val="001D3C4D"/>
    <w:rsid w:val="001D3F98"/>
    <w:rsid w:val="001D5D8E"/>
    <w:rsid w:val="001E1364"/>
    <w:rsid w:val="001E1A3C"/>
    <w:rsid w:val="001E2093"/>
    <w:rsid w:val="001E2BE6"/>
    <w:rsid w:val="001E3E6A"/>
    <w:rsid w:val="001E4980"/>
    <w:rsid w:val="001E7CB8"/>
    <w:rsid w:val="001F01B1"/>
    <w:rsid w:val="001F0B23"/>
    <w:rsid w:val="001F1894"/>
    <w:rsid w:val="001F18FE"/>
    <w:rsid w:val="001F1CFA"/>
    <w:rsid w:val="001F6758"/>
    <w:rsid w:val="001F765D"/>
    <w:rsid w:val="001F7894"/>
    <w:rsid w:val="002028C5"/>
    <w:rsid w:val="002029EE"/>
    <w:rsid w:val="00210D42"/>
    <w:rsid w:val="002110B2"/>
    <w:rsid w:val="00214CC4"/>
    <w:rsid w:val="00217D17"/>
    <w:rsid w:val="002211AA"/>
    <w:rsid w:val="00221E99"/>
    <w:rsid w:val="00222BCA"/>
    <w:rsid w:val="00224C33"/>
    <w:rsid w:val="002265D8"/>
    <w:rsid w:val="00226683"/>
    <w:rsid w:val="002269B7"/>
    <w:rsid w:val="00233076"/>
    <w:rsid w:val="002356D5"/>
    <w:rsid w:val="002453E4"/>
    <w:rsid w:val="00245BDE"/>
    <w:rsid w:val="00247122"/>
    <w:rsid w:val="002472E0"/>
    <w:rsid w:val="002545E9"/>
    <w:rsid w:val="002557AB"/>
    <w:rsid w:val="00255BD9"/>
    <w:rsid w:val="0025602C"/>
    <w:rsid w:val="0025620D"/>
    <w:rsid w:val="002564E4"/>
    <w:rsid w:val="00263358"/>
    <w:rsid w:val="0026427A"/>
    <w:rsid w:val="002648C3"/>
    <w:rsid w:val="00265E78"/>
    <w:rsid w:val="00266389"/>
    <w:rsid w:val="00266558"/>
    <w:rsid w:val="00267725"/>
    <w:rsid w:val="002704DD"/>
    <w:rsid w:val="00270A9F"/>
    <w:rsid w:val="00274450"/>
    <w:rsid w:val="002749A3"/>
    <w:rsid w:val="00274AA6"/>
    <w:rsid w:val="00280A9B"/>
    <w:rsid w:val="00280D76"/>
    <w:rsid w:val="0028493C"/>
    <w:rsid w:val="00285588"/>
    <w:rsid w:val="00287D64"/>
    <w:rsid w:val="00290028"/>
    <w:rsid w:val="00291877"/>
    <w:rsid w:val="00291B25"/>
    <w:rsid w:val="00291BE9"/>
    <w:rsid w:val="002930FC"/>
    <w:rsid w:val="002940D2"/>
    <w:rsid w:val="00295E01"/>
    <w:rsid w:val="0029620C"/>
    <w:rsid w:val="002965BF"/>
    <w:rsid w:val="00296F93"/>
    <w:rsid w:val="00297C7C"/>
    <w:rsid w:val="00297E59"/>
    <w:rsid w:val="002A0B88"/>
    <w:rsid w:val="002A137D"/>
    <w:rsid w:val="002A2DFA"/>
    <w:rsid w:val="002A2F0C"/>
    <w:rsid w:val="002A33DA"/>
    <w:rsid w:val="002A77DF"/>
    <w:rsid w:val="002B3CF4"/>
    <w:rsid w:val="002B3E38"/>
    <w:rsid w:val="002B524F"/>
    <w:rsid w:val="002B5B67"/>
    <w:rsid w:val="002B69D0"/>
    <w:rsid w:val="002C20D1"/>
    <w:rsid w:val="002C3E8C"/>
    <w:rsid w:val="002C4663"/>
    <w:rsid w:val="002C4693"/>
    <w:rsid w:val="002C5527"/>
    <w:rsid w:val="002C654F"/>
    <w:rsid w:val="002C7D14"/>
    <w:rsid w:val="002D087A"/>
    <w:rsid w:val="002D156F"/>
    <w:rsid w:val="002D1A5B"/>
    <w:rsid w:val="002D379B"/>
    <w:rsid w:val="002D4F58"/>
    <w:rsid w:val="002D63BA"/>
    <w:rsid w:val="002E116A"/>
    <w:rsid w:val="002E1D6C"/>
    <w:rsid w:val="002E1E5F"/>
    <w:rsid w:val="002E4B7B"/>
    <w:rsid w:val="002E4BE2"/>
    <w:rsid w:val="002E63FD"/>
    <w:rsid w:val="002E7586"/>
    <w:rsid w:val="002F08B1"/>
    <w:rsid w:val="002F0E58"/>
    <w:rsid w:val="002F350D"/>
    <w:rsid w:val="002F68CE"/>
    <w:rsid w:val="00300B0A"/>
    <w:rsid w:val="00302A14"/>
    <w:rsid w:val="003030B9"/>
    <w:rsid w:val="00303910"/>
    <w:rsid w:val="003057B6"/>
    <w:rsid w:val="0031032B"/>
    <w:rsid w:val="00311DA9"/>
    <w:rsid w:val="00313393"/>
    <w:rsid w:val="00313FFC"/>
    <w:rsid w:val="00317379"/>
    <w:rsid w:val="0031751B"/>
    <w:rsid w:val="00320E11"/>
    <w:rsid w:val="0032134F"/>
    <w:rsid w:val="00322E06"/>
    <w:rsid w:val="00324049"/>
    <w:rsid w:val="00324B7D"/>
    <w:rsid w:val="0032535D"/>
    <w:rsid w:val="0032556E"/>
    <w:rsid w:val="00326F71"/>
    <w:rsid w:val="00327C61"/>
    <w:rsid w:val="00332631"/>
    <w:rsid w:val="00332E60"/>
    <w:rsid w:val="0033406D"/>
    <w:rsid w:val="00334563"/>
    <w:rsid w:val="0033470D"/>
    <w:rsid w:val="00336B6E"/>
    <w:rsid w:val="003376D8"/>
    <w:rsid w:val="003406AF"/>
    <w:rsid w:val="00340B8E"/>
    <w:rsid w:val="00342714"/>
    <w:rsid w:val="00342CB6"/>
    <w:rsid w:val="0034495C"/>
    <w:rsid w:val="003452C4"/>
    <w:rsid w:val="003457B3"/>
    <w:rsid w:val="00345C0B"/>
    <w:rsid w:val="003465F5"/>
    <w:rsid w:val="0034721B"/>
    <w:rsid w:val="0034785C"/>
    <w:rsid w:val="003502AD"/>
    <w:rsid w:val="00353095"/>
    <w:rsid w:val="003550F2"/>
    <w:rsid w:val="00355296"/>
    <w:rsid w:val="00355D5F"/>
    <w:rsid w:val="00357398"/>
    <w:rsid w:val="00357538"/>
    <w:rsid w:val="00362712"/>
    <w:rsid w:val="00362979"/>
    <w:rsid w:val="00364A1E"/>
    <w:rsid w:val="0036530A"/>
    <w:rsid w:val="00365710"/>
    <w:rsid w:val="003677F3"/>
    <w:rsid w:val="003717C0"/>
    <w:rsid w:val="003734F2"/>
    <w:rsid w:val="003755E4"/>
    <w:rsid w:val="003805DD"/>
    <w:rsid w:val="00380D66"/>
    <w:rsid w:val="00381A63"/>
    <w:rsid w:val="00382BCF"/>
    <w:rsid w:val="00383642"/>
    <w:rsid w:val="00383B71"/>
    <w:rsid w:val="003849EB"/>
    <w:rsid w:val="00384FA7"/>
    <w:rsid w:val="0038569E"/>
    <w:rsid w:val="00387082"/>
    <w:rsid w:val="0039027C"/>
    <w:rsid w:val="00391FC3"/>
    <w:rsid w:val="0039339A"/>
    <w:rsid w:val="00393CBC"/>
    <w:rsid w:val="00395D4C"/>
    <w:rsid w:val="003A0121"/>
    <w:rsid w:val="003A092B"/>
    <w:rsid w:val="003A1953"/>
    <w:rsid w:val="003A205C"/>
    <w:rsid w:val="003A3FC0"/>
    <w:rsid w:val="003A4AD4"/>
    <w:rsid w:val="003A4D3F"/>
    <w:rsid w:val="003A6CA4"/>
    <w:rsid w:val="003A79D6"/>
    <w:rsid w:val="003A7A08"/>
    <w:rsid w:val="003B2A39"/>
    <w:rsid w:val="003B2F82"/>
    <w:rsid w:val="003C032A"/>
    <w:rsid w:val="003C03AD"/>
    <w:rsid w:val="003C05B8"/>
    <w:rsid w:val="003C41AE"/>
    <w:rsid w:val="003C4504"/>
    <w:rsid w:val="003C4A77"/>
    <w:rsid w:val="003C6CB3"/>
    <w:rsid w:val="003C7364"/>
    <w:rsid w:val="003C7BC1"/>
    <w:rsid w:val="003D1E71"/>
    <w:rsid w:val="003D2A96"/>
    <w:rsid w:val="003D3082"/>
    <w:rsid w:val="003D56CB"/>
    <w:rsid w:val="003D66C5"/>
    <w:rsid w:val="003D6E04"/>
    <w:rsid w:val="003D706B"/>
    <w:rsid w:val="003D724E"/>
    <w:rsid w:val="003D74B0"/>
    <w:rsid w:val="003D7BEC"/>
    <w:rsid w:val="003E051C"/>
    <w:rsid w:val="003E0E34"/>
    <w:rsid w:val="003E13D1"/>
    <w:rsid w:val="003E1B3C"/>
    <w:rsid w:val="003E2352"/>
    <w:rsid w:val="003E2D17"/>
    <w:rsid w:val="003E321E"/>
    <w:rsid w:val="003E45FA"/>
    <w:rsid w:val="003E512F"/>
    <w:rsid w:val="003E769D"/>
    <w:rsid w:val="003F045E"/>
    <w:rsid w:val="003F2560"/>
    <w:rsid w:val="003F62F8"/>
    <w:rsid w:val="00400FE1"/>
    <w:rsid w:val="00401360"/>
    <w:rsid w:val="00402340"/>
    <w:rsid w:val="004058B6"/>
    <w:rsid w:val="004060A3"/>
    <w:rsid w:val="00406AF9"/>
    <w:rsid w:val="00407D33"/>
    <w:rsid w:val="00407E8A"/>
    <w:rsid w:val="00407F56"/>
    <w:rsid w:val="00410CE5"/>
    <w:rsid w:val="00411265"/>
    <w:rsid w:val="0041264E"/>
    <w:rsid w:val="00414769"/>
    <w:rsid w:val="00421A78"/>
    <w:rsid w:val="00424527"/>
    <w:rsid w:val="00425F9D"/>
    <w:rsid w:val="00426C8B"/>
    <w:rsid w:val="00431B1F"/>
    <w:rsid w:val="00434AD3"/>
    <w:rsid w:val="004354E5"/>
    <w:rsid w:val="00435519"/>
    <w:rsid w:val="00436533"/>
    <w:rsid w:val="0043677D"/>
    <w:rsid w:val="004404B4"/>
    <w:rsid w:val="004416E6"/>
    <w:rsid w:val="00441D6B"/>
    <w:rsid w:val="004427F6"/>
    <w:rsid w:val="0044404D"/>
    <w:rsid w:val="00444C3D"/>
    <w:rsid w:val="00445B5A"/>
    <w:rsid w:val="004460E5"/>
    <w:rsid w:val="00447EF2"/>
    <w:rsid w:val="0045040C"/>
    <w:rsid w:val="00450463"/>
    <w:rsid w:val="004518D7"/>
    <w:rsid w:val="0045202F"/>
    <w:rsid w:val="00452BDE"/>
    <w:rsid w:val="00455230"/>
    <w:rsid w:val="00456661"/>
    <w:rsid w:val="00460B45"/>
    <w:rsid w:val="00462292"/>
    <w:rsid w:val="00462703"/>
    <w:rsid w:val="0046288D"/>
    <w:rsid w:val="00462915"/>
    <w:rsid w:val="004630DF"/>
    <w:rsid w:val="0046357A"/>
    <w:rsid w:val="0046421C"/>
    <w:rsid w:val="00466B27"/>
    <w:rsid w:val="004676F3"/>
    <w:rsid w:val="00467E3B"/>
    <w:rsid w:val="00470C9D"/>
    <w:rsid w:val="00471088"/>
    <w:rsid w:val="004714EC"/>
    <w:rsid w:val="00471D19"/>
    <w:rsid w:val="00472387"/>
    <w:rsid w:val="00472A4D"/>
    <w:rsid w:val="00473038"/>
    <w:rsid w:val="0047338F"/>
    <w:rsid w:val="00473FCA"/>
    <w:rsid w:val="00474267"/>
    <w:rsid w:val="0047458B"/>
    <w:rsid w:val="0047460D"/>
    <w:rsid w:val="00477A96"/>
    <w:rsid w:val="004803CA"/>
    <w:rsid w:val="00481B1E"/>
    <w:rsid w:val="00482263"/>
    <w:rsid w:val="00483EF4"/>
    <w:rsid w:val="004847E8"/>
    <w:rsid w:val="00485578"/>
    <w:rsid w:val="00485957"/>
    <w:rsid w:val="00487A5E"/>
    <w:rsid w:val="00490975"/>
    <w:rsid w:val="00490D19"/>
    <w:rsid w:val="004923B9"/>
    <w:rsid w:val="00492D57"/>
    <w:rsid w:val="00493647"/>
    <w:rsid w:val="00493954"/>
    <w:rsid w:val="00493D7C"/>
    <w:rsid w:val="00493F69"/>
    <w:rsid w:val="004953E8"/>
    <w:rsid w:val="004954E3"/>
    <w:rsid w:val="004A4AA6"/>
    <w:rsid w:val="004A51F6"/>
    <w:rsid w:val="004A655B"/>
    <w:rsid w:val="004A7346"/>
    <w:rsid w:val="004A74EB"/>
    <w:rsid w:val="004B055A"/>
    <w:rsid w:val="004B180A"/>
    <w:rsid w:val="004B1F50"/>
    <w:rsid w:val="004B3A1F"/>
    <w:rsid w:val="004B461C"/>
    <w:rsid w:val="004B56D9"/>
    <w:rsid w:val="004B5FDA"/>
    <w:rsid w:val="004B6A87"/>
    <w:rsid w:val="004C0009"/>
    <w:rsid w:val="004C2D41"/>
    <w:rsid w:val="004C2E34"/>
    <w:rsid w:val="004C44A6"/>
    <w:rsid w:val="004C5EE3"/>
    <w:rsid w:val="004C67D4"/>
    <w:rsid w:val="004C6BE7"/>
    <w:rsid w:val="004D0025"/>
    <w:rsid w:val="004D155E"/>
    <w:rsid w:val="004D3207"/>
    <w:rsid w:val="004D39FF"/>
    <w:rsid w:val="004E0286"/>
    <w:rsid w:val="004E1A80"/>
    <w:rsid w:val="004E1E97"/>
    <w:rsid w:val="004E5698"/>
    <w:rsid w:val="004E65FA"/>
    <w:rsid w:val="004F4931"/>
    <w:rsid w:val="004F53D1"/>
    <w:rsid w:val="004F549F"/>
    <w:rsid w:val="004F55E9"/>
    <w:rsid w:val="004F5C94"/>
    <w:rsid w:val="004F6E41"/>
    <w:rsid w:val="00500886"/>
    <w:rsid w:val="00503977"/>
    <w:rsid w:val="00503F71"/>
    <w:rsid w:val="00504A2F"/>
    <w:rsid w:val="0050673E"/>
    <w:rsid w:val="00507138"/>
    <w:rsid w:val="00510185"/>
    <w:rsid w:val="0051031E"/>
    <w:rsid w:val="005109AB"/>
    <w:rsid w:val="00510CBC"/>
    <w:rsid w:val="00513529"/>
    <w:rsid w:val="00514609"/>
    <w:rsid w:val="005152C5"/>
    <w:rsid w:val="0051744A"/>
    <w:rsid w:val="00517D42"/>
    <w:rsid w:val="00517F56"/>
    <w:rsid w:val="005253C9"/>
    <w:rsid w:val="00525A80"/>
    <w:rsid w:val="00526091"/>
    <w:rsid w:val="00531B14"/>
    <w:rsid w:val="00531E38"/>
    <w:rsid w:val="00532DDB"/>
    <w:rsid w:val="0053510D"/>
    <w:rsid w:val="005358E4"/>
    <w:rsid w:val="0053593E"/>
    <w:rsid w:val="005359C9"/>
    <w:rsid w:val="0053686F"/>
    <w:rsid w:val="00536D27"/>
    <w:rsid w:val="00537C30"/>
    <w:rsid w:val="00537EA4"/>
    <w:rsid w:val="005400A5"/>
    <w:rsid w:val="0054117E"/>
    <w:rsid w:val="00541DFE"/>
    <w:rsid w:val="00541E6D"/>
    <w:rsid w:val="00542D2F"/>
    <w:rsid w:val="00543C97"/>
    <w:rsid w:val="0054617F"/>
    <w:rsid w:val="005461C3"/>
    <w:rsid w:val="00546EB3"/>
    <w:rsid w:val="00547901"/>
    <w:rsid w:val="0055231E"/>
    <w:rsid w:val="00553316"/>
    <w:rsid w:val="00560196"/>
    <w:rsid w:val="00560DBB"/>
    <w:rsid w:val="00561015"/>
    <w:rsid w:val="0056172C"/>
    <w:rsid w:val="00563349"/>
    <w:rsid w:val="005633D1"/>
    <w:rsid w:val="00564377"/>
    <w:rsid w:val="00565281"/>
    <w:rsid w:val="00565CD4"/>
    <w:rsid w:val="00567283"/>
    <w:rsid w:val="005675E8"/>
    <w:rsid w:val="0056773A"/>
    <w:rsid w:val="00570920"/>
    <w:rsid w:val="00570C2C"/>
    <w:rsid w:val="00571587"/>
    <w:rsid w:val="0057192A"/>
    <w:rsid w:val="0057197E"/>
    <w:rsid w:val="00571E54"/>
    <w:rsid w:val="00572434"/>
    <w:rsid w:val="00572DAD"/>
    <w:rsid w:val="005731BE"/>
    <w:rsid w:val="00573352"/>
    <w:rsid w:val="00574200"/>
    <w:rsid w:val="00574E95"/>
    <w:rsid w:val="005765A3"/>
    <w:rsid w:val="0058069F"/>
    <w:rsid w:val="00581B67"/>
    <w:rsid w:val="005827D1"/>
    <w:rsid w:val="00584938"/>
    <w:rsid w:val="005900E3"/>
    <w:rsid w:val="00591132"/>
    <w:rsid w:val="00591AFA"/>
    <w:rsid w:val="0059213B"/>
    <w:rsid w:val="0059414C"/>
    <w:rsid w:val="00596ABE"/>
    <w:rsid w:val="005A059D"/>
    <w:rsid w:val="005A077A"/>
    <w:rsid w:val="005A1342"/>
    <w:rsid w:val="005A3F10"/>
    <w:rsid w:val="005A59EF"/>
    <w:rsid w:val="005A6FB5"/>
    <w:rsid w:val="005A74E6"/>
    <w:rsid w:val="005B00C1"/>
    <w:rsid w:val="005B1832"/>
    <w:rsid w:val="005B294E"/>
    <w:rsid w:val="005B4C4D"/>
    <w:rsid w:val="005C001C"/>
    <w:rsid w:val="005C28BF"/>
    <w:rsid w:val="005C495C"/>
    <w:rsid w:val="005C49A0"/>
    <w:rsid w:val="005C6DAE"/>
    <w:rsid w:val="005C7429"/>
    <w:rsid w:val="005C7AFC"/>
    <w:rsid w:val="005C7D16"/>
    <w:rsid w:val="005D0251"/>
    <w:rsid w:val="005D11DB"/>
    <w:rsid w:val="005D2EDD"/>
    <w:rsid w:val="005E0AA9"/>
    <w:rsid w:val="005E2E7D"/>
    <w:rsid w:val="005E3E1C"/>
    <w:rsid w:val="005E43AE"/>
    <w:rsid w:val="005E6DE5"/>
    <w:rsid w:val="005E6E02"/>
    <w:rsid w:val="005E7438"/>
    <w:rsid w:val="005E787C"/>
    <w:rsid w:val="005E78DD"/>
    <w:rsid w:val="005F1D13"/>
    <w:rsid w:val="005F28EB"/>
    <w:rsid w:val="005F2972"/>
    <w:rsid w:val="005F6EB0"/>
    <w:rsid w:val="00600CC7"/>
    <w:rsid w:val="0060157D"/>
    <w:rsid w:val="00601752"/>
    <w:rsid w:val="00602AD9"/>
    <w:rsid w:val="006059C3"/>
    <w:rsid w:val="00607850"/>
    <w:rsid w:val="006123E5"/>
    <w:rsid w:val="006127ED"/>
    <w:rsid w:val="006136FB"/>
    <w:rsid w:val="00613A60"/>
    <w:rsid w:val="00614650"/>
    <w:rsid w:val="00614987"/>
    <w:rsid w:val="00620BE1"/>
    <w:rsid w:val="00620D5A"/>
    <w:rsid w:val="00621940"/>
    <w:rsid w:val="006219D3"/>
    <w:rsid w:val="00623426"/>
    <w:rsid w:val="00623D86"/>
    <w:rsid w:val="006247AB"/>
    <w:rsid w:val="00625A78"/>
    <w:rsid w:val="00627425"/>
    <w:rsid w:val="00627B3A"/>
    <w:rsid w:val="006301C8"/>
    <w:rsid w:val="0063057D"/>
    <w:rsid w:val="00631D1D"/>
    <w:rsid w:val="00633705"/>
    <w:rsid w:val="0063479A"/>
    <w:rsid w:val="00634CC4"/>
    <w:rsid w:val="0063688B"/>
    <w:rsid w:val="0064062D"/>
    <w:rsid w:val="00641488"/>
    <w:rsid w:val="006436F1"/>
    <w:rsid w:val="00643902"/>
    <w:rsid w:val="00647A39"/>
    <w:rsid w:val="00647DE3"/>
    <w:rsid w:val="00650644"/>
    <w:rsid w:val="00651300"/>
    <w:rsid w:val="00652045"/>
    <w:rsid w:val="00652147"/>
    <w:rsid w:val="006535A8"/>
    <w:rsid w:val="00653D78"/>
    <w:rsid w:val="00656A63"/>
    <w:rsid w:val="00657EFD"/>
    <w:rsid w:val="00660B93"/>
    <w:rsid w:val="006610FE"/>
    <w:rsid w:val="0066146D"/>
    <w:rsid w:val="006622B6"/>
    <w:rsid w:val="00662976"/>
    <w:rsid w:val="00662C82"/>
    <w:rsid w:val="0066453B"/>
    <w:rsid w:val="00664E75"/>
    <w:rsid w:val="00665423"/>
    <w:rsid w:val="006657AF"/>
    <w:rsid w:val="00666B4D"/>
    <w:rsid w:val="0066716A"/>
    <w:rsid w:val="006674A5"/>
    <w:rsid w:val="00667B21"/>
    <w:rsid w:val="00670B5E"/>
    <w:rsid w:val="00670D80"/>
    <w:rsid w:val="006729ED"/>
    <w:rsid w:val="0067304B"/>
    <w:rsid w:val="006739A3"/>
    <w:rsid w:val="00675666"/>
    <w:rsid w:val="00675F07"/>
    <w:rsid w:val="00676620"/>
    <w:rsid w:val="00680A22"/>
    <w:rsid w:val="0068114A"/>
    <w:rsid w:val="0068176E"/>
    <w:rsid w:val="006819C4"/>
    <w:rsid w:val="006853FA"/>
    <w:rsid w:val="0068566C"/>
    <w:rsid w:val="00685F8E"/>
    <w:rsid w:val="00686D3F"/>
    <w:rsid w:val="006876BE"/>
    <w:rsid w:val="00691ED6"/>
    <w:rsid w:val="00694D21"/>
    <w:rsid w:val="00696BA9"/>
    <w:rsid w:val="00697B85"/>
    <w:rsid w:val="006A2C40"/>
    <w:rsid w:val="006A3145"/>
    <w:rsid w:val="006A4195"/>
    <w:rsid w:val="006A7B9D"/>
    <w:rsid w:val="006B027E"/>
    <w:rsid w:val="006B0673"/>
    <w:rsid w:val="006B0914"/>
    <w:rsid w:val="006B14C3"/>
    <w:rsid w:val="006B2725"/>
    <w:rsid w:val="006B4A60"/>
    <w:rsid w:val="006B4BB0"/>
    <w:rsid w:val="006B4C98"/>
    <w:rsid w:val="006B52EF"/>
    <w:rsid w:val="006C1412"/>
    <w:rsid w:val="006C1553"/>
    <w:rsid w:val="006C1BC8"/>
    <w:rsid w:val="006C232B"/>
    <w:rsid w:val="006C442E"/>
    <w:rsid w:val="006C45D5"/>
    <w:rsid w:val="006C47BE"/>
    <w:rsid w:val="006C4874"/>
    <w:rsid w:val="006C558C"/>
    <w:rsid w:val="006C75CF"/>
    <w:rsid w:val="006C787B"/>
    <w:rsid w:val="006D23C9"/>
    <w:rsid w:val="006D2E86"/>
    <w:rsid w:val="006D526E"/>
    <w:rsid w:val="006D5BB1"/>
    <w:rsid w:val="006D69EE"/>
    <w:rsid w:val="006D6F98"/>
    <w:rsid w:val="006D75F3"/>
    <w:rsid w:val="006E1429"/>
    <w:rsid w:val="006E2805"/>
    <w:rsid w:val="006E37EB"/>
    <w:rsid w:val="006E4810"/>
    <w:rsid w:val="006E69E1"/>
    <w:rsid w:val="006E7273"/>
    <w:rsid w:val="006F4BF1"/>
    <w:rsid w:val="006F4D28"/>
    <w:rsid w:val="006F5598"/>
    <w:rsid w:val="006F67BC"/>
    <w:rsid w:val="006F761D"/>
    <w:rsid w:val="006F7EC1"/>
    <w:rsid w:val="00701A27"/>
    <w:rsid w:val="00705AC6"/>
    <w:rsid w:val="00710582"/>
    <w:rsid w:val="00710E47"/>
    <w:rsid w:val="0071134A"/>
    <w:rsid w:val="00711630"/>
    <w:rsid w:val="0071228B"/>
    <w:rsid w:val="00712546"/>
    <w:rsid w:val="00712A8D"/>
    <w:rsid w:val="007138C4"/>
    <w:rsid w:val="00716EA0"/>
    <w:rsid w:val="0072246C"/>
    <w:rsid w:val="007236D4"/>
    <w:rsid w:val="00726B00"/>
    <w:rsid w:val="0073032E"/>
    <w:rsid w:val="0073075F"/>
    <w:rsid w:val="007319AE"/>
    <w:rsid w:val="007331A3"/>
    <w:rsid w:val="00733990"/>
    <w:rsid w:val="0073462B"/>
    <w:rsid w:val="00734E44"/>
    <w:rsid w:val="007353FB"/>
    <w:rsid w:val="00735D15"/>
    <w:rsid w:val="00737692"/>
    <w:rsid w:val="00740573"/>
    <w:rsid w:val="00741B3E"/>
    <w:rsid w:val="00742C6D"/>
    <w:rsid w:val="00750764"/>
    <w:rsid w:val="00752E84"/>
    <w:rsid w:val="00753209"/>
    <w:rsid w:val="007536FA"/>
    <w:rsid w:val="00753A17"/>
    <w:rsid w:val="00754389"/>
    <w:rsid w:val="0075562D"/>
    <w:rsid w:val="00755C6A"/>
    <w:rsid w:val="00756363"/>
    <w:rsid w:val="00756F33"/>
    <w:rsid w:val="00756F62"/>
    <w:rsid w:val="00760FF3"/>
    <w:rsid w:val="00761BAD"/>
    <w:rsid w:val="007621C9"/>
    <w:rsid w:val="007677F8"/>
    <w:rsid w:val="00772323"/>
    <w:rsid w:val="007732D1"/>
    <w:rsid w:val="00773E79"/>
    <w:rsid w:val="007743E7"/>
    <w:rsid w:val="00775A03"/>
    <w:rsid w:val="00780C08"/>
    <w:rsid w:val="00784564"/>
    <w:rsid w:val="0078483C"/>
    <w:rsid w:val="00786C36"/>
    <w:rsid w:val="00787FC0"/>
    <w:rsid w:val="00791A49"/>
    <w:rsid w:val="00791B91"/>
    <w:rsid w:val="00791BB1"/>
    <w:rsid w:val="0079227C"/>
    <w:rsid w:val="00794A97"/>
    <w:rsid w:val="00797B7C"/>
    <w:rsid w:val="007A0582"/>
    <w:rsid w:val="007A2408"/>
    <w:rsid w:val="007A25F3"/>
    <w:rsid w:val="007A2C99"/>
    <w:rsid w:val="007A345B"/>
    <w:rsid w:val="007A53D5"/>
    <w:rsid w:val="007A5A7A"/>
    <w:rsid w:val="007A5C91"/>
    <w:rsid w:val="007A7723"/>
    <w:rsid w:val="007A7A8E"/>
    <w:rsid w:val="007A7EF2"/>
    <w:rsid w:val="007B235F"/>
    <w:rsid w:val="007B28A1"/>
    <w:rsid w:val="007B306A"/>
    <w:rsid w:val="007B652F"/>
    <w:rsid w:val="007B6F1F"/>
    <w:rsid w:val="007B72B4"/>
    <w:rsid w:val="007C03E1"/>
    <w:rsid w:val="007C15E5"/>
    <w:rsid w:val="007C3A76"/>
    <w:rsid w:val="007C448B"/>
    <w:rsid w:val="007C5603"/>
    <w:rsid w:val="007C59C8"/>
    <w:rsid w:val="007D0E77"/>
    <w:rsid w:val="007D1513"/>
    <w:rsid w:val="007D15E1"/>
    <w:rsid w:val="007D35F1"/>
    <w:rsid w:val="007D4A54"/>
    <w:rsid w:val="007D5D21"/>
    <w:rsid w:val="007D678A"/>
    <w:rsid w:val="007E1755"/>
    <w:rsid w:val="007E3562"/>
    <w:rsid w:val="007E365C"/>
    <w:rsid w:val="007E5197"/>
    <w:rsid w:val="007E5445"/>
    <w:rsid w:val="007F102E"/>
    <w:rsid w:val="007F587E"/>
    <w:rsid w:val="007F7381"/>
    <w:rsid w:val="00801B72"/>
    <w:rsid w:val="00801FB4"/>
    <w:rsid w:val="008033B5"/>
    <w:rsid w:val="00803CCE"/>
    <w:rsid w:val="00805643"/>
    <w:rsid w:val="00805E76"/>
    <w:rsid w:val="00806FD8"/>
    <w:rsid w:val="00807359"/>
    <w:rsid w:val="008101C7"/>
    <w:rsid w:val="008106EE"/>
    <w:rsid w:val="0081260B"/>
    <w:rsid w:val="00812743"/>
    <w:rsid w:val="0081333F"/>
    <w:rsid w:val="00813E02"/>
    <w:rsid w:val="008143B9"/>
    <w:rsid w:val="00814B0B"/>
    <w:rsid w:val="00815ECB"/>
    <w:rsid w:val="00816B63"/>
    <w:rsid w:val="00822DB1"/>
    <w:rsid w:val="00823684"/>
    <w:rsid w:val="0082410A"/>
    <w:rsid w:val="00825C1F"/>
    <w:rsid w:val="00831470"/>
    <w:rsid w:val="00832A80"/>
    <w:rsid w:val="0083357C"/>
    <w:rsid w:val="00833BDD"/>
    <w:rsid w:val="008351A7"/>
    <w:rsid w:val="0083554A"/>
    <w:rsid w:val="0084142D"/>
    <w:rsid w:val="00841C94"/>
    <w:rsid w:val="0084242E"/>
    <w:rsid w:val="008427D5"/>
    <w:rsid w:val="0084469F"/>
    <w:rsid w:val="00847E78"/>
    <w:rsid w:val="00850122"/>
    <w:rsid w:val="00850858"/>
    <w:rsid w:val="00850AFE"/>
    <w:rsid w:val="008511C3"/>
    <w:rsid w:val="0085218E"/>
    <w:rsid w:val="00856EAA"/>
    <w:rsid w:val="00857292"/>
    <w:rsid w:val="00857911"/>
    <w:rsid w:val="008634A6"/>
    <w:rsid w:val="008635A8"/>
    <w:rsid w:val="00870485"/>
    <w:rsid w:val="008725AF"/>
    <w:rsid w:val="008729B7"/>
    <w:rsid w:val="00873B06"/>
    <w:rsid w:val="00874FA1"/>
    <w:rsid w:val="008753F6"/>
    <w:rsid w:val="008762D7"/>
    <w:rsid w:val="00880AC2"/>
    <w:rsid w:val="00881166"/>
    <w:rsid w:val="00881360"/>
    <w:rsid w:val="00884D89"/>
    <w:rsid w:val="008851C9"/>
    <w:rsid w:val="00886F1A"/>
    <w:rsid w:val="0088759E"/>
    <w:rsid w:val="008907A7"/>
    <w:rsid w:val="008913E8"/>
    <w:rsid w:val="00893973"/>
    <w:rsid w:val="008959BB"/>
    <w:rsid w:val="00895A97"/>
    <w:rsid w:val="00895E2E"/>
    <w:rsid w:val="00896F32"/>
    <w:rsid w:val="008A02F5"/>
    <w:rsid w:val="008A0B5D"/>
    <w:rsid w:val="008A1D72"/>
    <w:rsid w:val="008A2C94"/>
    <w:rsid w:val="008A3BD1"/>
    <w:rsid w:val="008A4CB0"/>
    <w:rsid w:val="008A5134"/>
    <w:rsid w:val="008A78D9"/>
    <w:rsid w:val="008B130B"/>
    <w:rsid w:val="008B3949"/>
    <w:rsid w:val="008B6A4A"/>
    <w:rsid w:val="008B74D2"/>
    <w:rsid w:val="008C00E2"/>
    <w:rsid w:val="008C0C3B"/>
    <w:rsid w:val="008C142D"/>
    <w:rsid w:val="008C209B"/>
    <w:rsid w:val="008C35C6"/>
    <w:rsid w:val="008C3919"/>
    <w:rsid w:val="008C4CA8"/>
    <w:rsid w:val="008C57FF"/>
    <w:rsid w:val="008C5F04"/>
    <w:rsid w:val="008C69B5"/>
    <w:rsid w:val="008C7DF1"/>
    <w:rsid w:val="008D09EC"/>
    <w:rsid w:val="008D14A5"/>
    <w:rsid w:val="008D2730"/>
    <w:rsid w:val="008D2EA6"/>
    <w:rsid w:val="008D4BF8"/>
    <w:rsid w:val="008D53C3"/>
    <w:rsid w:val="008D54BD"/>
    <w:rsid w:val="008D6E7E"/>
    <w:rsid w:val="008D77C5"/>
    <w:rsid w:val="008D7EFD"/>
    <w:rsid w:val="008E0C07"/>
    <w:rsid w:val="008E11B4"/>
    <w:rsid w:val="008E2EDC"/>
    <w:rsid w:val="008E4244"/>
    <w:rsid w:val="008E6B41"/>
    <w:rsid w:val="008F08C1"/>
    <w:rsid w:val="008F1D68"/>
    <w:rsid w:val="008F3EDC"/>
    <w:rsid w:val="008F4917"/>
    <w:rsid w:val="008F5256"/>
    <w:rsid w:val="008F614D"/>
    <w:rsid w:val="008F63B3"/>
    <w:rsid w:val="00900138"/>
    <w:rsid w:val="009008F9"/>
    <w:rsid w:val="0090167B"/>
    <w:rsid w:val="009034A4"/>
    <w:rsid w:val="00904A4D"/>
    <w:rsid w:val="009065B0"/>
    <w:rsid w:val="00906A30"/>
    <w:rsid w:val="00906CEE"/>
    <w:rsid w:val="00906DBF"/>
    <w:rsid w:val="00906F93"/>
    <w:rsid w:val="009071BC"/>
    <w:rsid w:val="0091103A"/>
    <w:rsid w:val="009138BF"/>
    <w:rsid w:val="00913B55"/>
    <w:rsid w:val="00913E6A"/>
    <w:rsid w:val="009144F9"/>
    <w:rsid w:val="00916624"/>
    <w:rsid w:val="00916FC7"/>
    <w:rsid w:val="00917959"/>
    <w:rsid w:val="00917A99"/>
    <w:rsid w:val="00920159"/>
    <w:rsid w:val="00922070"/>
    <w:rsid w:val="0092244F"/>
    <w:rsid w:val="0092393B"/>
    <w:rsid w:val="00924336"/>
    <w:rsid w:val="00925736"/>
    <w:rsid w:val="009275AD"/>
    <w:rsid w:val="0092760B"/>
    <w:rsid w:val="00930537"/>
    <w:rsid w:val="00930BE7"/>
    <w:rsid w:val="00930C31"/>
    <w:rsid w:val="009325C2"/>
    <w:rsid w:val="00934648"/>
    <w:rsid w:val="00934E94"/>
    <w:rsid w:val="00935A84"/>
    <w:rsid w:val="00936443"/>
    <w:rsid w:val="009409FE"/>
    <w:rsid w:val="00940B5D"/>
    <w:rsid w:val="00940F56"/>
    <w:rsid w:val="00941256"/>
    <w:rsid w:val="009413D7"/>
    <w:rsid w:val="00941443"/>
    <w:rsid w:val="0094215F"/>
    <w:rsid w:val="0094370E"/>
    <w:rsid w:val="00944F81"/>
    <w:rsid w:val="00945E8B"/>
    <w:rsid w:val="00946A3A"/>
    <w:rsid w:val="009503B7"/>
    <w:rsid w:val="009518F6"/>
    <w:rsid w:val="009528FE"/>
    <w:rsid w:val="0095290D"/>
    <w:rsid w:val="00952E86"/>
    <w:rsid w:val="009538D1"/>
    <w:rsid w:val="00954540"/>
    <w:rsid w:val="00956F85"/>
    <w:rsid w:val="00957937"/>
    <w:rsid w:val="009604E0"/>
    <w:rsid w:val="00961C49"/>
    <w:rsid w:val="00962CF1"/>
    <w:rsid w:val="00963607"/>
    <w:rsid w:val="00964502"/>
    <w:rsid w:val="009667B5"/>
    <w:rsid w:val="00967058"/>
    <w:rsid w:val="00967C3B"/>
    <w:rsid w:val="00970026"/>
    <w:rsid w:val="00970D60"/>
    <w:rsid w:val="009712F2"/>
    <w:rsid w:val="00975056"/>
    <w:rsid w:val="00975AC7"/>
    <w:rsid w:val="00976B1A"/>
    <w:rsid w:val="00980C60"/>
    <w:rsid w:val="009815B5"/>
    <w:rsid w:val="00983527"/>
    <w:rsid w:val="0098380D"/>
    <w:rsid w:val="0098643F"/>
    <w:rsid w:val="009868DE"/>
    <w:rsid w:val="00986CB0"/>
    <w:rsid w:val="009870D0"/>
    <w:rsid w:val="00987B71"/>
    <w:rsid w:val="00990686"/>
    <w:rsid w:val="00993D65"/>
    <w:rsid w:val="009940C8"/>
    <w:rsid w:val="00995757"/>
    <w:rsid w:val="009965C3"/>
    <w:rsid w:val="009976EA"/>
    <w:rsid w:val="009A084A"/>
    <w:rsid w:val="009A249D"/>
    <w:rsid w:val="009A2806"/>
    <w:rsid w:val="009A32EF"/>
    <w:rsid w:val="009A384D"/>
    <w:rsid w:val="009A3D63"/>
    <w:rsid w:val="009A50F6"/>
    <w:rsid w:val="009A58C4"/>
    <w:rsid w:val="009A6666"/>
    <w:rsid w:val="009A70BE"/>
    <w:rsid w:val="009A76D7"/>
    <w:rsid w:val="009B5189"/>
    <w:rsid w:val="009B7796"/>
    <w:rsid w:val="009B7A43"/>
    <w:rsid w:val="009C0B74"/>
    <w:rsid w:val="009C16E1"/>
    <w:rsid w:val="009C1F52"/>
    <w:rsid w:val="009C52AA"/>
    <w:rsid w:val="009C5794"/>
    <w:rsid w:val="009C5FFB"/>
    <w:rsid w:val="009C6E99"/>
    <w:rsid w:val="009D0CC7"/>
    <w:rsid w:val="009D2EDB"/>
    <w:rsid w:val="009D559F"/>
    <w:rsid w:val="009E1BE2"/>
    <w:rsid w:val="009E2330"/>
    <w:rsid w:val="009E58A0"/>
    <w:rsid w:val="009F0A90"/>
    <w:rsid w:val="009F0F39"/>
    <w:rsid w:val="009F153A"/>
    <w:rsid w:val="009F2A5F"/>
    <w:rsid w:val="009F3867"/>
    <w:rsid w:val="009F3BA9"/>
    <w:rsid w:val="009F5277"/>
    <w:rsid w:val="009F5FA2"/>
    <w:rsid w:val="009F6699"/>
    <w:rsid w:val="009F76A7"/>
    <w:rsid w:val="009F79D0"/>
    <w:rsid w:val="00A0106E"/>
    <w:rsid w:val="00A0174E"/>
    <w:rsid w:val="00A01D84"/>
    <w:rsid w:val="00A025A6"/>
    <w:rsid w:val="00A038F2"/>
    <w:rsid w:val="00A04F6E"/>
    <w:rsid w:val="00A05036"/>
    <w:rsid w:val="00A0595F"/>
    <w:rsid w:val="00A059ED"/>
    <w:rsid w:val="00A07603"/>
    <w:rsid w:val="00A07AA7"/>
    <w:rsid w:val="00A07C7B"/>
    <w:rsid w:val="00A12C84"/>
    <w:rsid w:val="00A131A9"/>
    <w:rsid w:val="00A1321C"/>
    <w:rsid w:val="00A15769"/>
    <w:rsid w:val="00A16E2B"/>
    <w:rsid w:val="00A20F92"/>
    <w:rsid w:val="00A24864"/>
    <w:rsid w:val="00A25901"/>
    <w:rsid w:val="00A31358"/>
    <w:rsid w:val="00A32C77"/>
    <w:rsid w:val="00A333E1"/>
    <w:rsid w:val="00A362C2"/>
    <w:rsid w:val="00A36341"/>
    <w:rsid w:val="00A36583"/>
    <w:rsid w:val="00A37855"/>
    <w:rsid w:val="00A41E37"/>
    <w:rsid w:val="00A423FB"/>
    <w:rsid w:val="00A43745"/>
    <w:rsid w:val="00A446E2"/>
    <w:rsid w:val="00A45D0F"/>
    <w:rsid w:val="00A46305"/>
    <w:rsid w:val="00A52A0F"/>
    <w:rsid w:val="00A53AF3"/>
    <w:rsid w:val="00A53D17"/>
    <w:rsid w:val="00A55F5D"/>
    <w:rsid w:val="00A577CB"/>
    <w:rsid w:val="00A57AC8"/>
    <w:rsid w:val="00A57E05"/>
    <w:rsid w:val="00A651A8"/>
    <w:rsid w:val="00A674FA"/>
    <w:rsid w:val="00A72196"/>
    <w:rsid w:val="00A72562"/>
    <w:rsid w:val="00A7545D"/>
    <w:rsid w:val="00A75505"/>
    <w:rsid w:val="00A76DAF"/>
    <w:rsid w:val="00A77E5E"/>
    <w:rsid w:val="00A81436"/>
    <w:rsid w:val="00A826D3"/>
    <w:rsid w:val="00A839E0"/>
    <w:rsid w:val="00A8446B"/>
    <w:rsid w:val="00A84A92"/>
    <w:rsid w:val="00A85117"/>
    <w:rsid w:val="00A85596"/>
    <w:rsid w:val="00A85740"/>
    <w:rsid w:val="00A867AD"/>
    <w:rsid w:val="00A87E34"/>
    <w:rsid w:val="00A902CC"/>
    <w:rsid w:val="00A9166E"/>
    <w:rsid w:val="00A92543"/>
    <w:rsid w:val="00A92684"/>
    <w:rsid w:val="00A92FE3"/>
    <w:rsid w:val="00A9395E"/>
    <w:rsid w:val="00A94B3F"/>
    <w:rsid w:val="00A95153"/>
    <w:rsid w:val="00A95C83"/>
    <w:rsid w:val="00A96CDD"/>
    <w:rsid w:val="00A97670"/>
    <w:rsid w:val="00A97C75"/>
    <w:rsid w:val="00AA2A93"/>
    <w:rsid w:val="00AA5585"/>
    <w:rsid w:val="00AA5DBF"/>
    <w:rsid w:val="00AA744C"/>
    <w:rsid w:val="00AB14FB"/>
    <w:rsid w:val="00AB3B33"/>
    <w:rsid w:val="00AB479C"/>
    <w:rsid w:val="00AB520F"/>
    <w:rsid w:val="00AB68A9"/>
    <w:rsid w:val="00AC0304"/>
    <w:rsid w:val="00AC1186"/>
    <w:rsid w:val="00AC3571"/>
    <w:rsid w:val="00AC4899"/>
    <w:rsid w:val="00AC4E20"/>
    <w:rsid w:val="00AC4E72"/>
    <w:rsid w:val="00AC6889"/>
    <w:rsid w:val="00AC71D8"/>
    <w:rsid w:val="00AD0846"/>
    <w:rsid w:val="00AD2BAC"/>
    <w:rsid w:val="00AD5B5D"/>
    <w:rsid w:val="00AD5D1A"/>
    <w:rsid w:val="00AD625A"/>
    <w:rsid w:val="00AD630F"/>
    <w:rsid w:val="00AD71FC"/>
    <w:rsid w:val="00AD731A"/>
    <w:rsid w:val="00AD731F"/>
    <w:rsid w:val="00AD7BFB"/>
    <w:rsid w:val="00AE2682"/>
    <w:rsid w:val="00AE3295"/>
    <w:rsid w:val="00AE3D19"/>
    <w:rsid w:val="00AE6763"/>
    <w:rsid w:val="00AF2218"/>
    <w:rsid w:val="00AF232F"/>
    <w:rsid w:val="00AF3550"/>
    <w:rsid w:val="00AF3AC4"/>
    <w:rsid w:val="00AF3B00"/>
    <w:rsid w:val="00AF52EF"/>
    <w:rsid w:val="00AF65AD"/>
    <w:rsid w:val="00AF68F6"/>
    <w:rsid w:val="00B023EA"/>
    <w:rsid w:val="00B02519"/>
    <w:rsid w:val="00B026F9"/>
    <w:rsid w:val="00B039A5"/>
    <w:rsid w:val="00B07789"/>
    <w:rsid w:val="00B1108D"/>
    <w:rsid w:val="00B118D8"/>
    <w:rsid w:val="00B133D6"/>
    <w:rsid w:val="00B14E31"/>
    <w:rsid w:val="00B15DB4"/>
    <w:rsid w:val="00B1701A"/>
    <w:rsid w:val="00B17A10"/>
    <w:rsid w:val="00B205E2"/>
    <w:rsid w:val="00B2216B"/>
    <w:rsid w:val="00B2249A"/>
    <w:rsid w:val="00B235FA"/>
    <w:rsid w:val="00B24002"/>
    <w:rsid w:val="00B249DF"/>
    <w:rsid w:val="00B24EEB"/>
    <w:rsid w:val="00B266C9"/>
    <w:rsid w:val="00B3006D"/>
    <w:rsid w:val="00B30AB7"/>
    <w:rsid w:val="00B31008"/>
    <w:rsid w:val="00B3142D"/>
    <w:rsid w:val="00B31FC1"/>
    <w:rsid w:val="00B32AE1"/>
    <w:rsid w:val="00B332A4"/>
    <w:rsid w:val="00B33509"/>
    <w:rsid w:val="00B3702B"/>
    <w:rsid w:val="00B37919"/>
    <w:rsid w:val="00B40594"/>
    <w:rsid w:val="00B50128"/>
    <w:rsid w:val="00B510CB"/>
    <w:rsid w:val="00B5171B"/>
    <w:rsid w:val="00B560D0"/>
    <w:rsid w:val="00B5629B"/>
    <w:rsid w:val="00B562E6"/>
    <w:rsid w:val="00B57CE5"/>
    <w:rsid w:val="00B600CD"/>
    <w:rsid w:val="00B60C2C"/>
    <w:rsid w:val="00B61CF6"/>
    <w:rsid w:val="00B6629E"/>
    <w:rsid w:val="00B667AD"/>
    <w:rsid w:val="00B667F3"/>
    <w:rsid w:val="00B7140A"/>
    <w:rsid w:val="00B72356"/>
    <w:rsid w:val="00B72664"/>
    <w:rsid w:val="00B7422B"/>
    <w:rsid w:val="00B7526F"/>
    <w:rsid w:val="00B756A2"/>
    <w:rsid w:val="00B75BB5"/>
    <w:rsid w:val="00B773ED"/>
    <w:rsid w:val="00B7789D"/>
    <w:rsid w:val="00B77F17"/>
    <w:rsid w:val="00B806B3"/>
    <w:rsid w:val="00B81202"/>
    <w:rsid w:val="00B825EF"/>
    <w:rsid w:val="00B852D4"/>
    <w:rsid w:val="00B85B06"/>
    <w:rsid w:val="00B866D6"/>
    <w:rsid w:val="00B86819"/>
    <w:rsid w:val="00B868B0"/>
    <w:rsid w:val="00B8796E"/>
    <w:rsid w:val="00B90B7F"/>
    <w:rsid w:val="00B92858"/>
    <w:rsid w:val="00B92D9B"/>
    <w:rsid w:val="00B930ED"/>
    <w:rsid w:val="00B93987"/>
    <w:rsid w:val="00B956C7"/>
    <w:rsid w:val="00B9684F"/>
    <w:rsid w:val="00B97E88"/>
    <w:rsid w:val="00BA1C66"/>
    <w:rsid w:val="00BA3E33"/>
    <w:rsid w:val="00BA3FE1"/>
    <w:rsid w:val="00BA4AA7"/>
    <w:rsid w:val="00BA593B"/>
    <w:rsid w:val="00BA6224"/>
    <w:rsid w:val="00BB0BC4"/>
    <w:rsid w:val="00BB0C82"/>
    <w:rsid w:val="00BB218C"/>
    <w:rsid w:val="00BB22AA"/>
    <w:rsid w:val="00BB2AEF"/>
    <w:rsid w:val="00BB2EDB"/>
    <w:rsid w:val="00BB4C4C"/>
    <w:rsid w:val="00BB4D89"/>
    <w:rsid w:val="00BB5886"/>
    <w:rsid w:val="00BB58ED"/>
    <w:rsid w:val="00BB5AB2"/>
    <w:rsid w:val="00BB5DB6"/>
    <w:rsid w:val="00BB6338"/>
    <w:rsid w:val="00BB63C8"/>
    <w:rsid w:val="00BB6AF0"/>
    <w:rsid w:val="00BB788A"/>
    <w:rsid w:val="00BC0FEE"/>
    <w:rsid w:val="00BC2592"/>
    <w:rsid w:val="00BC32B9"/>
    <w:rsid w:val="00BC3D75"/>
    <w:rsid w:val="00BC5182"/>
    <w:rsid w:val="00BC5B91"/>
    <w:rsid w:val="00BC7364"/>
    <w:rsid w:val="00BD0D67"/>
    <w:rsid w:val="00BD1226"/>
    <w:rsid w:val="00BD5BBF"/>
    <w:rsid w:val="00BD5F19"/>
    <w:rsid w:val="00BE0A3F"/>
    <w:rsid w:val="00BE0BAB"/>
    <w:rsid w:val="00BE0E15"/>
    <w:rsid w:val="00BE3249"/>
    <w:rsid w:val="00BE45D6"/>
    <w:rsid w:val="00BE50BB"/>
    <w:rsid w:val="00BE5197"/>
    <w:rsid w:val="00BE661E"/>
    <w:rsid w:val="00BE66E9"/>
    <w:rsid w:val="00BE6FA1"/>
    <w:rsid w:val="00BE73C8"/>
    <w:rsid w:val="00BE7CC7"/>
    <w:rsid w:val="00BF0B5A"/>
    <w:rsid w:val="00BF22A7"/>
    <w:rsid w:val="00BF2BC1"/>
    <w:rsid w:val="00BF4854"/>
    <w:rsid w:val="00BF4AEA"/>
    <w:rsid w:val="00BF5FC6"/>
    <w:rsid w:val="00BF6177"/>
    <w:rsid w:val="00BF6C1D"/>
    <w:rsid w:val="00BF6ED7"/>
    <w:rsid w:val="00BF701F"/>
    <w:rsid w:val="00BF742D"/>
    <w:rsid w:val="00BF7F63"/>
    <w:rsid w:val="00C00F94"/>
    <w:rsid w:val="00C018E9"/>
    <w:rsid w:val="00C02139"/>
    <w:rsid w:val="00C02F70"/>
    <w:rsid w:val="00C04865"/>
    <w:rsid w:val="00C0754F"/>
    <w:rsid w:val="00C114BC"/>
    <w:rsid w:val="00C15247"/>
    <w:rsid w:val="00C20281"/>
    <w:rsid w:val="00C20DF9"/>
    <w:rsid w:val="00C214A8"/>
    <w:rsid w:val="00C21813"/>
    <w:rsid w:val="00C21855"/>
    <w:rsid w:val="00C2219E"/>
    <w:rsid w:val="00C22B1E"/>
    <w:rsid w:val="00C24209"/>
    <w:rsid w:val="00C26D74"/>
    <w:rsid w:val="00C27CA4"/>
    <w:rsid w:val="00C3084A"/>
    <w:rsid w:val="00C31363"/>
    <w:rsid w:val="00C32B08"/>
    <w:rsid w:val="00C332CD"/>
    <w:rsid w:val="00C33588"/>
    <w:rsid w:val="00C337B8"/>
    <w:rsid w:val="00C33A5E"/>
    <w:rsid w:val="00C436E3"/>
    <w:rsid w:val="00C43CC3"/>
    <w:rsid w:val="00C45D80"/>
    <w:rsid w:val="00C46BC6"/>
    <w:rsid w:val="00C500D6"/>
    <w:rsid w:val="00C52453"/>
    <w:rsid w:val="00C526CA"/>
    <w:rsid w:val="00C53A1B"/>
    <w:rsid w:val="00C542D6"/>
    <w:rsid w:val="00C554B7"/>
    <w:rsid w:val="00C56533"/>
    <w:rsid w:val="00C572E5"/>
    <w:rsid w:val="00C574F2"/>
    <w:rsid w:val="00C5782B"/>
    <w:rsid w:val="00C57A4D"/>
    <w:rsid w:val="00C57DB3"/>
    <w:rsid w:val="00C61033"/>
    <w:rsid w:val="00C6121E"/>
    <w:rsid w:val="00C6370C"/>
    <w:rsid w:val="00C6442A"/>
    <w:rsid w:val="00C649A1"/>
    <w:rsid w:val="00C65C30"/>
    <w:rsid w:val="00C667B3"/>
    <w:rsid w:val="00C66952"/>
    <w:rsid w:val="00C678FB"/>
    <w:rsid w:val="00C70D78"/>
    <w:rsid w:val="00C71132"/>
    <w:rsid w:val="00C714D4"/>
    <w:rsid w:val="00C71A60"/>
    <w:rsid w:val="00C71E6F"/>
    <w:rsid w:val="00C724E6"/>
    <w:rsid w:val="00C72E9D"/>
    <w:rsid w:val="00C7355B"/>
    <w:rsid w:val="00C74A51"/>
    <w:rsid w:val="00C76390"/>
    <w:rsid w:val="00C7646F"/>
    <w:rsid w:val="00C77974"/>
    <w:rsid w:val="00C80744"/>
    <w:rsid w:val="00C80777"/>
    <w:rsid w:val="00C80CD6"/>
    <w:rsid w:val="00C8129A"/>
    <w:rsid w:val="00C84F7C"/>
    <w:rsid w:val="00C86A5C"/>
    <w:rsid w:val="00C9131E"/>
    <w:rsid w:val="00C93B81"/>
    <w:rsid w:val="00C93BA5"/>
    <w:rsid w:val="00C95E0B"/>
    <w:rsid w:val="00C97E7A"/>
    <w:rsid w:val="00CA0403"/>
    <w:rsid w:val="00CA3B92"/>
    <w:rsid w:val="00CA59ED"/>
    <w:rsid w:val="00CA73DB"/>
    <w:rsid w:val="00CA7C7F"/>
    <w:rsid w:val="00CB1DF2"/>
    <w:rsid w:val="00CB2A06"/>
    <w:rsid w:val="00CB3FBD"/>
    <w:rsid w:val="00CB409F"/>
    <w:rsid w:val="00CB40F8"/>
    <w:rsid w:val="00CB56F9"/>
    <w:rsid w:val="00CB646D"/>
    <w:rsid w:val="00CB7CE3"/>
    <w:rsid w:val="00CC3203"/>
    <w:rsid w:val="00CC5830"/>
    <w:rsid w:val="00CC5DBE"/>
    <w:rsid w:val="00CC6547"/>
    <w:rsid w:val="00CD0560"/>
    <w:rsid w:val="00CD0EA5"/>
    <w:rsid w:val="00CD167A"/>
    <w:rsid w:val="00CD1C3B"/>
    <w:rsid w:val="00CD2835"/>
    <w:rsid w:val="00CD332C"/>
    <w:rsid w:val="00CD35A5"/>
    <w:rsid w:val="00CE134F"/>
    <w:rsid w:val="00CE2D18"/>
    <w:rsid w:val="00CE482C"/>
    <w:rsid w:val="00CF057F"/>
    <w:rsid w:val="00CF0EFB"/>
    <w:rsid w:val="00CF1727"/>
    <w:rsid w:val="00CF4319"/>
    <w:rsid w:val="00CF69C9"/>
    <w:rsid w:val="00D00045"/>
    <w:rsid w:val="00D01762"/>
    <w:rsid w:val="00D01E15"/>
    <w:rsid w:val="00D0271A"/>
    <w:rsid w:val="00D033D7"/>
    <w:rsid w:val="00D03B71"/>
    <w:rsid w:val="00D04C5A"/>
    <w:rsid w:val="00D04E93"/>
    <w:rsid w:val="00D0663E"/>
    <w:rsid w:val="00D10477"/>
    <w:rsid w:val="00D11438"/>
    <w:rsid w:val="00D117ED"/>
    <w:rsid w:val="00D1337F"/>
    <w:rsid w:val="00D1348D"/>
    <w:rsid w:val="00D15E9D"/>
    <w:rsid w:val="00D1721D"/>
    <w:rsid w:val="00D17312"/>
    <w:rsid w:val="00D203EC"/>
    <w:rsid w:val="00D2440C"/>
    <w:rsid w:val="00D27713"/>
    <w:rsid w:val="00D27F8A"/>
    <w:rsid w:val="00D30123"/>
    <w:rsid w:val="00D301A3"/>
    <w:rsid w:val="00D309CA"/>
    <w:rsid w:val="00D32803"/>
    <w:rsid w:val="00D3301D"/>
    <w:rsid w:val="00D3303E"/>
    <w:rsid w:val="00D347A8"/>
    <w:rsid w:val="00D3559E"/>
    <w:rsid w:val="00D359CA"/>
    <w:rsid w:val="00D365BC"/>
    <w:rsid w:val="00D366C1"/>
    <w:rsid w:val="00D36CC9"/>
    <w:rsid w:val="00D41D15"/>
    <w:rsid w:val="00D429FC"/>
    <w:rsid w:val="00D42CD4"/>
    <w:rsid w:val="00D43EE9"/>
    <w:rsid w:val="00D46870"/>
    <w:rsid w:val="00D468E3"/>
    <w:rsid w:val="00D469EC"/>
    <w:rsid w:val="00D50B54"/>
    <w:rsid w:val="00D50ED7"/>
    <w:rsid w:val="00D51476"/>
    <w:rsid w:val="00D51E99"/>
    <w:rsid w:val="00D53A8C"/>
    <w:rsid w:val="00D56AF2"/>
    <w:rsid w:val="00D56B82"/>
    <w:rsid w:val="00D579BE"/>
    <w:rsid w:val="00D64542"/>
    <w:rsid w:val="00D64A6B"/>
    <w:rsid w:val="00D65B02"/>
    <w:rsid w:val="00D65D5D"/>
    <w:rsid w:val="00D6643C"/>
    <w:rsid w:val="00D678BE"/>
    <w:rsid w:val="00D7011A"/>
    <w:rsid w:val="00D73030"/>
    <w:rsid w:val="00D73649"/>
    <w:rsid w:val="00D736A5"/>
    <w:rsid w:val="00D75078"/>
    <w:rsid w:val="00D76D43"/>
    <w:rsid w:val="00D80A73"/>
    <w:rsid w:val="00D823BC"/>
    <w:rsid w:val="00D83E17"/>
    <w:rsid w:val="00D849AF"/>
    <w:rsid w:val="00D90A0D"/>
    <w:rsid w:val="00D93560"/>
    <w:rsid w:val="00D95335"/>
    <w:rsid w:val="00D957E3"/>
    <w:rsid w:val="00D96590"/>
    <w:rsid w:val="00DA0FF0"/>
    <w:rsid w:val="00DA34D1"/>
    <w:rsid w:val="00DB0B8A"/>
    <w:rsid w:val="00DB1C8C"/>
    <w:rsid w:val="00DB4DE7"/>
    <w:rsid w:val="00DB4ED8"/>
    <w:rsid w:val="00DC0068"/>
    <w:rsid w:val="00DC11B6"/>
    <w:rsid w:val="00DC2824"/>
    <w:rsid w:val="00DC28AB"/>
    <w:rsid w:val="00DC2BCB"/>
    <w:rsid w:val="00DC3F74"/>
    <w:rsid w:val="00DC415D"/>
    <w:rsid w:val="00DC53FC"/>
    <w:rsid w:val="00DC7330"/>
    <w:rsid w:val="00DC7C85"/>
    <w:rsid w:val="00DD0EFD"/>
    <w:rsid w:val="00DD11B7"/>
    <w:rsid w:val="00DD3C87"/>
    <w:rsid w:val="00DD4A48"/>
    <w:rsid w:val="00DD4FF9"/>
    <w:rsid w:val="00DD7517"/>
    <w:rsid w:val="00DD75B9"/>
    <w:rsid w:val="00DD7B93"/>
    <w:rsid w:val="00DE1A7A"/>
    <w:rsid w:val="00DE3565"/>
    <w:rsid w:val="00DE41EE"/>
    <w:rsid w:val="00DE5D3D"/>
    <w:rsid w:val="00DE6BEA"/>
    <w:rsid w:val="00DE6C91"/>
    <w:rsid w:val="00DF08A7"/>
    <w:rsid w:val="00DF1670"/>
    <w:rsid w:val="00DF1DCC"/>
    <w:rsid w:val="00DF224E"/>
    <w:rsid w:val="00DF2B85"/>
    <w:rsid w:val="00DF2E10"/>
    <w:rsid w:val="00DF3531"/>
    <w:rsid w:val="00DF4486"/>
    <w:rsid w:val="00DF5D45"/>
    <w:rsid w:val="00DF7B74"/>
    <w:rsid w:val="00E00A37"/>
    <w:rsid w:val="00E01756"/>
    <w:rsid w:val="00E0248E"/>
    <w:rsid w:val="00E028F3"/>
    <w:rsid w:val="00E0331A"/>
    <w:rsid w:val="00E036FC"/>
    <w:rsid w:val="00E043DE"/>
    <w:rsid w:val="00E0610A"/>
    <w:rsid w:val="00E06D32"/>
    <w:rsid w:val="00E11739"/>
    <w:rsid w:val="00E11CAB"/>
    <w:rsid w:val="00E13E72"/>
    <w:rsid w:val="00E143C8"/>
    <w:rsid w:val="00E1448B"/>
    <w:rsid w:val="00E17631"/>
    <w:rsid w:val="00E20CE4"/>
    <w:rsid w:val="00E211E3"/>
    <w:rsid w:val="00E22C37"/>
    <w:rsid w:val="00E232B8"/>
    <w:rsid w:val="00E23D43"/>
    <w:rsid w:val="00E25C98"/>
    <w:rsid w:val="00E27C04"/>
    <w:rsid w:val="00E30E2C"/>
    <w:rsid w:val="00E31EE5"/>
    <w:rsid w:val="00E31FAB"/>
    <w:rsid w:val="00E34C5C"/>
    <w:rsid w:val="00E36DE3"/>
    <w:rsid w:val="00E36F78"/>
    <w:rsid w:val="00E370CB"/>
    <w:rsid w:val="00E4090E"/>
    <w:rsid w:val="00E40987"/>
    <w:rsid w:val="00E42DE5"/>
    <w:rsid w:val="00E4316F"/>
    <w:rsid w:val="00E433D2"/>
    <w:rsid w:val="00E4351A"/>
    <w:rsid w:val="00E437D4"/>
    <w:rsid w:val="00E44176"/>
    <w:rsid w:val="00E44982"/>
    <w:rsid w:val="00E4548E"/>
    <w:rsid w:val="00E5236F"/>
    <w:rsid w:val="00E5460B"/>
    <w:rsid w:val="00E55782"/>
    <w:rsid w:val="00E568AB"/>
    <w:rsid w:val="00E56BE5"/>
    <w:rsid w:val="00E60D12"/>
    <w:rsid w:val="00E60F99"/>
    <w:rsid w:val="00E61BC4"/>
    <w:rsid w:val="00E629F9"/>
    <w:rsid w:val="00E648E8"/>
    <w:rsid w:val="00E66BF6"/>
    <w:rsid w:val="00E720E3"/>
    <w:rsid w:val="00E7365B"/>
    <w:rsid w:val="00E73B8D"/>
    <w:rsid w:val="00E7589A"/>
    <w:rsid w:val="00E770B0"/>
    <w:rsid w:val="00E80D8A"/>
    <w:rsid w:val="00E81127"/>
    <w:rsid w:val="00E8213D"/>
    <w:rsid w:val="00E8230F"/>
    <w:rsid w:val="00E84D4F"/>
    <w:rsid w:val="00E84F01"/>
    <w:rsid w:val="00E85DF2"/>
    <w:rsid w:val="00E91478"/>
    <w:rsid w:val="00E934EC"/>
    <w:rsid w:val="00E937E5"/>
    <w:rsid w:val="00E947B3"/>
    <w:rsid w:val="00E95424"/>
    <w:rsid w:val="00E96630"/>
    <w:rsid w:val="00E9741F"/>
    <w:rsid w:val="00EA05AC"/>
    <w:rsid w:val="00EA19BB"/>
    <w:rsid w:val="00EA40AA"/>
    <w:rsid w:val="00EA4610"/>
    <w:rsid w:val="00EA574F"/>
    <w:rsid w:val="00EA5FD5"/>
    <w:rsid w:val="00EA6413"/>
    <w:rsid w:val="00EA6597"/>
    <w:rsid w:val="00EA7C1C"/>
    <w:rsid w:val="00EB0C61"/>
    <w:rsid w:val="00EB121D"/>
    <w:rsid w:val="00EB1D02"/>
    <w:rsid w:val="00EB3460"/>
    <w:rsid w:val="00EB374D"/>
    <w:rsid w:val="00EB41EE"/>
    <w:rsid w:val="00EB5652"/>
    <w:rsid w:val="00EC00AE"/>
    <w:rsid w:val="00EC1140"/>
    <w:rsid w:val="00EC365D"/>
    <w:rsid w:val="00EC439F"/>
    <w:rsid w:val="00EC4C5E"/>
    <w:rsid w:val="00EC4FF8"/>
    <w:rsid w:val="00EC64F4"/>
    <w:rsid w:val="00EC6549"/>
    <w:rsid w:val="00ED15C8"/>
    <w:rsid w:val="00ED165B"/>
    <w:rsid w:val="00ED1B90"/>
    <w:rsid w:val="00ED275F"/>
    <w:rsid w:val="00EE1A92"/>
    <w:rsid w:val="00EE462C"/>
    <w:rsid w:val="00EE4CE2"/>
    <w:rsid w:val="00EE6048"/>
    <w:rsid w:val="00EE6E0F"/>
    <w:rsid w:val="00EE724F"/>
    <w:rsid w:val="00EF1244"/>
    <w:rsid w:val="00EF1B10"/>
    <w:rsid w:val="00EF3E3F"/>
    <w:rsid w:val="00EF4547"/>
    <w:rsid w:val="00EF5175"/>
    <w:rsid w:val="00EF5603"/>
    <w:rsid w:val="00F01C2A"/>
    <w:rsid w:val="00F03786"/>
    <w:rsid w:val="00F03A72"/>
    <w:rsid w:val="00F0484A"/>
    <w:rsid w:val="00F051FB"/>
    <w:rsid w:val="00F05D13"/>
    <w:rsid w:val="00F07A52"/>
    <w:rsid w:val="00F11F17"/>
    <w:rsid w:val="00F12400"/>
    <w:rsid w:val="00F1250E"/>
    <w:rsid w:val="00F12B18"/>
    <w:rsid w:val="00F14EFD"/>
    <w:rsid w:val="00F151AC"/>
    <w:rsid w:val="00F1524F"/>
    <w:rsid w:val="00F1562B"/>
    <w:rsid w:val="00F16139"/>
    <w:rsid w:val="00F20E9C"/>
    <w:rsid w:val="00F21855"/>
    <w:rsid w:val="00F23361"/>
    <w:rsid w:val="00F24DC6"/>
    <w:rsid w:val="00F26510"/>
    <w:rsid w:val="00F2693F"/>
    <w:rsid w:val="00F27387"/>
    <w:rsid w:val="00F312A7"/>
    <w:rsid w:val="00F32CCA"/>
    <w:rsid w:val="00F33370"/>
    <w:rsid w:val="00F34415"/>
    <w:rsid w:val="00F347C4"/>
    <w:rsid w:val="00F34FD3"/>
    <w:rsid w:val="00F35D59"/>
    <w:rsid w:val="00F36892"/>
    <w:rsid w:val="00F419E0"/>
    <w:rsid w:val="00F44FB1"/>
    <w:rsid w:val="00F47248"/>
    <w:rsid w:val="00F509AC"/>
    <w:rsid w:val="00F565A9"/>
    <w:rsid w:val="00F56C58"/>
    <w:rsid w:val="00F60428"/>
    <w:rsid w:val="00F61154"/>
    <w:rsid w:val="00F615CC"/>
    <w:rsid w:val="00F61F70"/>
    <w:rsid w:val="00F61FDA"/>
    <w:rsid w:val="00F621AF"/>
    <w:rsid w:val="00F62BCF"/>
    <w:rsid w:val="00F639F4"/>
    <w:rsid w:val="00F648E5"/>
    <w:rsid w:val="00F6504B"/>
    <w:rsid w:val="00F70830"/>
    <w:rsid w:val="00F74410"/>
    <w:rsid w:val="00F77912"/>
    <w:rsid w:val="00F77D72"/>
    <w:rsid w:val="00F80A77"/>
    <w:rsid w:val="00F81D7E"/>
    <w:rsid w:val="00F82846"/>
    <w:rsid w:val="00F8333B"/>
    <w:rsid w:val="00F85648"/>
    <w:rsid w:val="00F8664B"/>
    <w:rsid w:val="00F86D69"/>
    <w:rsid w:val="00F8782D"/>
    <w:rsid w:val="00F90624"/>
    <w:rsid w:val="00F916CC"/>
    <w:rsid w:val="00F918F8"/>
    <w:rsid w:val="00F9215B"/>
    <w:rsid w:val="00F92A09"/>
    <w:rsid w:val="00F96514"/>
    <w:rsid w:val="00FA1452"/>
    <w:rsid w:val="00FA2189"/>
    <w:rsid w:val="00FA465D"/>
    <w:rsid w:val="00FA6787"/>
    <w:rsid w:val="00FA6F18"/>
    <w:rsid w:val="00FA7BBB"/>
    <w:rsid w:val="00FB230D"/>
    <w:rsid w:val="00FB27DB"/>
    <w:rsid w:val="00FB2AC5"/>
    <w:rsid w:val="00FB2C44"/>
    <w:rsid w:val="00FB321C"/>
    <w:rsid w:val="00FB4688"/>
    <w:rsid w:val="00FB5504"/>
    <w:rsid w:val="00FB6060"/>
    <w:rsid w:val="00FB6226"/>
    <w:rsid w:val="00FC257C"/>
    <w:rsid w:val="00FC6222"/>
    <w:rsid w:val="00FC6999"/>
    <w:rsid w:val="00FC7241"/>
    <w:rsid w:val="00FC78D8"/>
    <w:rsid w:val="00FD2263"/>
    <w:rsid w:val="00FD26C3"/>
    <w:rsid w:val="00FD414B"/>
    <w:rsid w:val="00FD41F3"/>
    <w:rsid w:val="00FD51EE"/>
    <w:rsid w:val="00FD627D"/>
    <w:rsid w:val="00FD7041"/>
    <w:rsid w:val="00FE3FFF"/>
    <w:rsid w:val="00FE4242"/>
    <w:rsid w:val="00FE45E7"/>
    <w:rsid w:val="00FE6FEC"/>
    <w:rsid w:val="00FE71D0"/>
    <w:rsid w:val="00FE7B7B"/>
    <w:rsid w:val="00FF0762"/>
    <w:rsid w:val="00FF177F"/>
    <w:rsid w:val="00FF1AE4"/>
    <w:rsid w:val="00FF472B"/>
    <w:rsid w:val="00FF663B"/>
    <w:rsid w:val="00FF70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qFormat="1"/>
    <w:lsdException w:name="Body Text 3" w:qFormat="1"/>
    <w:lsdException w:name="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HTML Typewriter"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14"/>
    <w:pPr>
      <w:widowControl w:val="0"/>
      <w:jc w:val="both"/>
    </w:pPr>
    <w:rPr>
      <w:rFonts w:ascii="Calibri" w:eastAsia="宋体" w:hAnsi="Calibri" w:cs="Times New Roman"/>
    </w:rPr>
  </w:style>
  <w:style w:type="paragraph" w:styleId="1">
    <w:name w:val="heading 1"/>
    <w:basedOn w:val="a"/>
    <w:next w:val="a"/>
    <w:link w:val="1Char"/>
    <w:uiPriority w:val="9"/>
    <w:qFormat/>
    <w:rsid w:val="00342714"/>
    <w:pPr>
      <w:numPr>
        <w:numId w:val="1"/>
      </w:numPr>
      <w:spacing w:beforeLines="50" w:afterLines="50" w:line="360" w:lineRule="auto"/>
      <w:jc w:val="center"/>
      <w:outlineLvl w:val="0"/>
    </w:pPr>
    <w:rPr>
      <w:rFonts w:ascii="黑体" w:eastAsia="黑体"/>
      <w:b/>
      <w:sz w:val="32"/>
      <w:szCs w:val="32"/>
    </w:rPr>
  </w:style>
  <w:style w:type="paragraph" w:styleId="2">
    <w:name w:val="heading 2"/>
    <w:basedOn w:val="a"/>
    <w:next w:val="a"/>
    <w:link w:val="2Char"/>
    <w:uiPriority w:val="9"/>
    <w:unhideWhenUsed/>
    <w:qFormat/>
    <w:rsid w:val="00342714"/>
    <w:pPr>
      <w:keepNext/>
      <w:keepLines/>
      <w:numPr>
        <w:numId w:val="2"/>
      </w:numPr>
      <w:spacing w:before="120" w:after="120" w:line="360" w:lineRule="auto"/>
      <w:outlineLvl w:val="1"/>
    </w:pPr>
    <w:rPr>
      <w:rFonts w:ascii="Cambria" w:hAnsi="Cambria"/>
      <w:b/>
      <w:bCs/>
      <w:sz w:val="28"/>
      <w:szCs w:val="32"/>
    </w:rPr>
  </w:style>
  <w:style w:type="paragraph" w:styleId="3">
    <w:name w:val="heading 3"/>
    <w:basedOn w:val="a"/>
    <w:next w:val="a"/>
    <w:link w:val="3Char"/>
    <w:uiPriority w:val="9"/>
    <w:unhideWhenUsed/>
    <w:qFormat/>
    <w:rsid w:val="00342714"/>
    <w:pPr>
      <w:keepNext/>
      <w:keepLines/>
      <w:numPr>
        <w:ilvl w:val="1"/>
        <w:numId w:val="2"/>
      </w:numPr>
      <w:spacing w:line="360" w:lineRule="auto"/>
      <w:outlineLvl w:val="2"/>
    </w:pPr>
    <w:rPr>
      <w:rFonts w:eastAsia="楷体"/>
      <w:bCs/>
      <w:sz w:val="24"/>
      <w:szCs w:val="32"/>
    </w:rPr>
  </w:style>
  <w:style w:type="paragraph" w:styleId="4">
    <w:name w:val="heading 4"/>
    <w:basedOn w:val="a"/>
    <w:next w:val="a"/>
    <w:link w:val="4Char"/>
    <w:uiPriority w:val="9"/>
    <w:unhideWhenUsed/>
    <w:qFormat/>
    <w:rsid w:val="00342714"/>
    <w:pPr>
      <w:keepNext/>
      <w:keepLines/>
      <w:numPr>
        <w:ilvl w:val="2"/>
        <w:numId w:val="2"/>
      </w:numPr>
      <w:spacing w:line="360" w:lineRule="auto"/>
      <w:outlineLvl w:val="3"/>
    </w:pPr>
    <w:rPr>
      <w:rFonts w:ascii="Cambria" w:hAnsi="Cambria"/>
      <w:b/>
      <w:bCs/>
      <w:szCs w:val="28"/>
    </w:rPr>
  </w:style>
  <w:style w:type="paragraph" w:styleId="5">
    <w:name w:val="heading 5"/>
    <w:basedOn w:val="a"/>
    <w:next w:val="a"/>
    <w:link w:val="5Char"/>
    <w:uiPriority w:val="9"/>
    <w:unhideWhenUsed/>
    <w:qFormat/>
    <w:rsid w:val="00342714"/>
    <w:pPr>
      <w:widowControl/>
      <w:spacing w:before="200" w:after="80" w:line="360" w:lineRule="auto"/>
      <w:ind w:firstLineChars="200" w:firstLine="200"/>
      <w:jc w:val="left"/>
      <w:outlineLvl w:val="4"/>
    </w:pPr>
    <w:rPr>
      <w:rFonts w:ascii="Cambria" w:eastAsia="仿宋" w:hAnsi="Cambria"/>
      <w:color w:val="4F81BD"/>
      <w:kern w:val="0"/>
      <w:sz w:val="20"/>
      <w:szCs w:val="20"/>
    </w:rPr>
  </w:style>
  <w:style w:type="paragraph" w:styleId="6">
    <w:name w:val="heading 6"/>
    <w:basedOn w:val="a"/>
    <w:next w:val="a"/>
    <w:link w:val="6Char"/>
    <w:uiPriority w:val="99"/>
    <w:qFormat/>
    <w:rsid w:val="00342714"/>
    <w:pPr>
      <w:keepNext/>
      <w:keepLines/>
      <w:spacing w:before="240" w:after="64" w:line="320" w:lineRule="auto"/>
      <w:outlineLvl w:val="5"/>
    </w:pPr>
    <w:rPr>
      <w:rFonts w:ascii="Cambria" w:hAnsi="Cambria"/>
      <w:b/>
      <w:bCs/>
      <w:sz w:val="24"/>
      <w:szCs w:val="24"/>
    </w:rPr>
  </w:style>
  <w:style w:type="paragraph" w:styleId="7">
    <w:name w:val="heading 7"/>
    <w:basedOn w:val="a"/>
    <w:next w:val="a"/>
    <w:link w:val="7Char"/>
    <w:uiPriority w:val="9"/>
    <w:unhideWhenUsed/>
    <w:qFormat/>
    <w:rsid w:val="00342714"/>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342714"/>
    <w:pPr>
      <w:widowControl/>
      <w:spacing w:before="320" w:after="100" w:line="360" w:lineRule="auto"/>
      <w:ind w:firstLineChars="200" w:firstLine="200"/>
      <w:jc w:val="left"/>
      <w:outlineLvl w:val="7"/>
    </w:pPr>
    <w:rPr>
      <w:rFonts w:ascii="Cambria" w:eastAsia="仿宋" w:hAnsi="Cambria"/>
      <w:b/>
      <w:bCs/>
      <w:i/>
      <w:iCs/>
      <w:color w:val="9BBB59"/>
      <w:kern w:val="0"/>
      <w:sz w:val="20"/>
      <w:szCs w:val="20"/>
    </w:rPr>
  </w:style>
  <w:style w:type="paragraph" w:styleId="9">
    <w:name w:val="heading 9"/>
    <w:basedOn w:val="a"/>
    <w:next w:val="a"/>
    <w:link w:val="9Char"/>
    <w:uiPriority w:val="9"/>
    <w:unhideWhenUsed/>
    <w:qFormat/>
    <w:rsid w:val="00342714"/>
    <w:pPr>
      <w:widowControl/>
      <w:spacing w:before="320" w:after="100" w:line="360" w:lineRule="auto"/>
      <w:ind w:firstLineChars="200" w:firstLine="200"/>
      <w:jc w:val="left"/>
      <w:outlineLvl w:val="8"/>
    </w:pPr>
    <w:rPr>
      <w:rFonts w:ascii="Cambria" w:eastAsia="仿宋" w:hAnsi="Cambria"/>
      <w:i/>
      <w:iCs/>
      <w:color w:val="9BBB59"/>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342714"/>
    <w:rPr>
      <w:rFonts w:ascii="黑体" w:eastAsia="黑体" w:hAnsi="Calibri" w:cs="Times New Roman"/>
      <w:b/>
      <w:sz w:val="32"/>
      <w:szCs w:val="32"/>
    </w:rPr>
  </w:style>
  <w:style w:type="character" w:customStyle="1" w:styleId="2Char">
    <w:name w:val="标题 2 Char"/>
    <w:basedOn w:val="a0"/>
    <w:link w:val="2"/>
    <w:uiPriority w:val="9"/>
    <w:qFormat/>
    <w:rsid w:val="00342714"/>
    <w:rPr>
      <w:rFonts w:ascii="Cambria" w:eastAsia="宋体" w:hAnsi="Cambria" w:cs="Times New Roman"/>
      <w:b/>
      <w:bCs/>
      <w:sz w:val="28"/>
      <w:szCs w:val="32"/>
    </w:rPr>
  </w:style>
  <w:style w:type="character" w:customStyle="1" w:styleId="3Char">
    <w:name w:val="标题 3 Char"/>
    <w:basedOn w:val="a0"/>
    <w:link w:val="3"/>
    <w:uiPriority w:val="9"/>
    <w:qFormat/>
    <w:rsid w:val="00342714"/>
    <w:rPr>
      <w:rFonts w:ascii="Calibri" w:eastAsia="楷体" w:hAnsi="Calibri" w:cs="Times New Roman"/>
      <w:bCs/>
      <w:sz w:val="24"/>
      <w:szCs w:val="32"/>
    </w:rPr>
  </w:style>
  <w:style w:type="character" w:customStyle="1" w:styleId="4Char">
    <w:name w:val="标题 4 Char"/>
    <w:basedOn w:val="a0"/>
    <w:link w:val="4"/>
    <w:uiPriority w:val="9"/>
    <w:qFormat/>
    <w:rsid w:val="00342714"/>
    <w:rPr>
      <w:rFonts w:ascii="Cambria" w:eastAsia="宋体" w:hAnsi="Cambria" w:cs="Times New Roman"/>
      <w:b/>
      <w:bCs/>
      <w:szCs w:val="28"/>
    </w:rPr>
  </w:style>
  <w:style w:type="character" w:customStyle="1" w:styleId="5Char">
    <w:name w:val="标题 5 Char"/>
    <w:basedOn w:val="a0"/>
    <w:link w:val="5"/>
    <w:uiPriority w:val="9"/>
    <w:qFormat/>
    <w:rsid w:val="00342714"/>
    <w:rPr>
      <w:rFonts w:ascii="Cambria" w:eastAsia="仿宋" w:hAnsi="Cambria" w:cs="Times New Roman"/>
      <w:color w:val="4F81BD"/>
      <w:kern w:val="0"/>
      <w:sz w:val="20"/>
      <w:szCs w:val="20"/>
    </w:rPr>
  </w:style>
  <w:style w:type="character" w:customStyle="1" w:styleId="6Char">
    <w:name w:val="标题 6 Char"/>
    <w:basedOn w:val="a0"/>
    <w:link w:val="6"/>
    <w:uiPriority w:val="99"/>
    <w:qFormat/>
    <w:rsid w:val="00342714"/>
    <w:rPr>
      <w:rFonts w:ascii="Cambria" w:eastAsia="宋体" w:hAnsi="Cambria" w:cs="Times New Roman"/>
      <w:b/>
      <w:bCs/>
      <w:sz w:val="24"/>
      <w:szCs w:val="24"/>
    </w:rPr>
  </w:style>
  <w:style w:type="character" w:customStyle="1" w:styleId="7Char">
    <w:name w:val="标题 7 Char"/>
    <w:basedOn w:val="a0"/>
    <w:link w:val="7"/>
    <w:uiPriority w:val="9"/>
    <w:qFormat/>
    <w:rsid w:val="00342714"/>
    <w:rPr>
      <w:rFonts w:ascii="Calibri" w:eastAsia="宋体" w:hAnsi="Calibri" w:cs="Times New Roman"/>
      <w:b/>
      <w:bCs/>
      <w:sz w:val="24"/>
      <w:szCs w:val="24"/>
    </w:rPr>
  </w:style>
  <w:style w:type="character" w:customStyle="1" w:styleId="8Char">
    <w:name w:val="标题 8 Char"/>
    <w:basedOn w:val="a0"/>
    <w:link w:val="8"/>
    <w:uiPriority w:val="9"/>
    <w:qFormat/>
    <w:rsid w:val="00342714"/>
    <w:rPr>
      <w:rFonts w:ascii="Cambria" w:eastAsia="仿宋" w:hAnsi="Cambria" w:cs="Times New Roman"/>
      <w:b/>
      <w:bCs/>
      <w:i/>
      <w:iCs/>
      <w:color w:val="9BBB59"/>
      <w:kern w:val="0"/>
      <w:sz w:val="20"/>
      <w:szCs w:val="20"/>
    </w:rPr>
  </w:style>
  <w:style w:type="character" w:customStyle="1" w:styleId="9Char">
    <w:name w:val="标题 9 Char"/>
    <w:basedOn w:val="a0"/>
    <w:link w:val="9"/>
    <w:uiPriority w:val="9"/>
    <w:qFormat/>
    <w:rsid w:val="00342714"/>
    <w:rPr>
      <w:rFonts w:ascii="Cambria" w:eastAsia="仿宋" w:hAnsi="Cambria" w:cs="Times New Roman"/>
      <w:i/>
      <w:iCs/>
      <w:color w:val="9BBB59"/>
      <w:kern w:val="0"/>
      <w:sz w:val="20"/>
      <w:szCs w:val="20"/>
    </w:rPr>
  </w:style>
  <w:style w:type="paragraph" w:styleId="a3">
    <w:name w:val="annotation text"/>
    <w:basedOn w:val="a"/>
    <w:link w:val="Char"/>
    <w:uiPriority w:val="99"/>
    <w:unhideWhenUsed/>
    <w:qFormat/>
    <w:rsid w:val="00342714"/>
    <w:pPr>
      <w:jc w:val="left"/>
    </w:pPr>
  </w:style>
  <w:style w:type="character" w:customStyle="1" w:styleId="Char">
    <w:name w:val="批注文字 Char"/>
    <w:basedOn w:val="a0"/>
    <w:link w:val="a3"/>
    <w:uiPriority w:val="99"/>
    <w:semiHidden/>
    <w:qFormat/>
    <w:rsid w:val="00342714"/>
    <w:rPr>
      <w:rFonts w:ascii="Calibri" w:eastAsia="宋体" w:hAnsi="Calibri" w:cs="Times New Roman"/>
    </w:rPr>
  </w:style>
  <w:style w:type="paragraph" w:styleId="a4">
    <w:name w:val="annotation subject"/>
    <w:basedOn w:val="a3"/>
    <w:next w:val="a3"/>
    <w:link w:val="Char0"/>
    <w:uiPriority w:val="99"/>
    <w:unhideWhenUsed/>
    <w:qFormat/>
    <w:rsid w:val="00342714"/>
    <w:rPr>
      <w:b/>
      <w:bCs/>
    </w:rPr>
  </w:style>
  <w:style w:type="character" w:customStyle="1" w:styleId="Char0">
    <w:name w:val="批注主题 Char"/>
    <w:basedOn w:val="Char"/>
    <w:link w:val="a4"/>
    <w:uiPriority w:val="99"/>
    <w:qFormat/>
    <w:rsid w:val="00342714"/>
    <w:rPr>
      <w:b/>
      <w:bCs/>
    </w:rPr>
  </w:style>
  <w:style w:type="paragraph" w:styleId="70">
    <w:name w:val="toc 7"/>
    <w:basedOn w:val="a"/>
    <w:next w:val="a"/>
    <w:uiPriority w:val="39"/>
    <w:unhideWhenUsed/>
    <w:qFormat/>
    <w:rsid w:val="00342714"/>
    <w:pPr>
      <w:ind w:leftChars="1200" w:left="2520"/>
    </w:pPr>
    <w:rPr>
      <w:rFonts w:ascii="等线" w:eastAsia="等线" w:hAnsi="等线"/>
    </w:rPr>
  </w:style>
  <w:style w:type="paragraph" w:styleId="a5">
    <w:name w:val="caption"/>
    <w:basedOn w:val="a"/>
    <w:next w:val="a"/>
    <w:uiPriority w:val="35"/>
    <w:unhideWhenUsed/>
    <w:qFormat/>
    <w:rsid w:val="00342714"/>
    <w:pPr>
      <w:widowControl/>
      <w:spacing w:line="360" w:lineRule="auto"/>
      <w:ind w:firstLineChars="200" w:firstLine="560"/>
      <w:jc w:val="left"/>
    </w:pPr>
    <w:rPr>
      <w:rFonts w:ascii="仿宋" w:eastAsia="仿宋" w:hAnsi="仿宋"/>
      <w:b/>
      <w:bCs/>
      <w:kern w:val="0"/>
      <w:sz w:val="18"/>
      <w:szCs w:val="18"/>
    </w:rPr>
  </w:style>
  <w:style w:type="paragraph" w:styleId="a6">
    <w:name w:val="Document Map"/>
    <w:basedOn w:val="a"/>
    <w:link w:val="Char1"/>
    <w:uiPriority w:val="99"/>
    <w:unhideWhenUsed/>
    <w:qFormat/>
    <w:rsid w:val="00342714"/>
    <w:rPr>
      <w:rFonts w:ascii="Heiti SC Light" w:eastAsia="Heiti SC Light"/>
      <w:sz w:val="24"/>
      <w:szCs w:val="24"/>
    </w:rPr>
  </w:style>
  <w:style w:type="character" w:customStyle="1" w:styleId="Char1">
    <w:name w:val="文档结构图 Char"/>
    <w:basedOn w:val="a0"/>
    <w:link w:val="a6"/>
    <w:uiPriority w:val="99"/>
    <w:qFormat/>
    <w:rsid w:val="00342714"/>
    <w:rPr>
      <w:rFonts w:ascii="Heiti SC Light" w:eastAsia="Heiti SC Light" w:hAnsi="Calibri" w:cs="Times New Roman"/>
      <w:sz w:val="24"/>
      <w:szCs w:val="24"/>
    </w:rPr>
  </w:style>
  <w:style w:type="paragraph" w:styleId="30">
    <w:name w:val="Body Text 3"/>
    <w:basedOn w:val="a"/>
    <w:link w:val="3Char0"/>
    <w:uiPriority w:val="99"/>
    <w:unhideWhenUsed/>
    <w:qFormat/>
    <w:rsid w:val="00342714"/>
    <w:pPr>
      <w:spacing w:after="120"/>
    </w:pPr>
    <w:rPr>
      <w:sz w:val="16"/>
      <w:szCs w:val="16"/>
    </w:rPr>
  </w:style>
  <w:style w:type="character" w:customStyle="1" w:styleId="3Char0">
    <w:name w:val="正文文本 3 Char"/>
    <w:basedOn w:val="a0"/>
    <w:link w:val="30"/>
    <w:uiPriority w:val="99"/>
    <w:qFormat/>
    <w:rsid w:val="00342714"/>
    <w:rPr>
      <w:rFonts w:ascii="Calibri" w:eastAsia="宋体" w:hAnsi="Calibri" w:cs="Times New Roman"/>
      <w:sz w:val="16"/>
      <w:szCs w:val="16"/>
    </w:rPr>
  </w:style>
  <w:style w:type="paragraph" w:styleId="a7">
    <w:name w:val="Body Text"/>
    <w:basedOn w:val="a"/>
    <w:link w:val="Char2"/>
    <w:unhideWhenUsed/>
    <w:qFormat/>
    <w:rsid w:val="00342714"/>
    <w:pPr>
      <w:spacing w:after="120"/>
    </w:pPr>
    <w:rPr>
      <w:rFonts w:ascii="Times New Roman" w:hAnsi="Times New Roman"/>
      <w:szCs w:val="24"/>
    </w:rPr>
  </w:style>
  <w:style w:type="character" w:customStyle="1" w:styleId="Char2">
    <w:name w:val="正文文本 Char"/>
    <w:basedOn w:val="a0"/>
    <w:link w:val="a7"/>
    <w:qFormat/>
    <w:rsid w:val="00342714"/>
    <w:rPr>
      <w:rFonts w:ascii="Times New Roman" w:eastAsia="宋体" w:hAnsi="Times New Roman" w:cs="Times New Roman"/>
      <w:szCs w:val="24"/>
    </w:rPr>
  </w:style>
  <w:style w:type="paragraph" w:styleId="a8">
    <w:name w:val="Body Text Indent"/>
    <w:basedOn w:val="a"/>
    <w:link w:val="Char3"/>
    <w:qFormat/>
    <w:rsid w:val="00342714"/>
    <w:pPr>
      <w:ind w:left="360" w:firstLineChars="20" w:firstLine="56"/>
    </w:pPr>
    <w:rPr>
      <w:rFonts w:eastAsia="仿宋_GB2312"/>
      <w:kern w:val="0"/>
      <w:sz w:val="32"/>
      <w:szCs w:val="24"/>
    </w:rPr>
  </w:style>
  <w:style w:type="character" w:customStyle="1" w:styleId="Char3">
    <w:name w:val="正文文本缩进 Char"/>
    <w:basedOn w:val="a0"/>
    <w:link w:val="a8"/>
    <w:qFormat/>
    <w:rsid w:val="00342714"/>
    <w:rPr>
      <w:rFonts w:ascii="Calibri" w:eastAsia="仿宋_GB2312" w:hAnsi="Calibri" w:cs="Times New Roman"/>
      <w:kern w:val="0"/>
      <w:sz w:val="32"/>
      <w:szCs w:val="24"/>
    </w:rPr>
  </w:style>
  <w:style w:type="paragraph" w:styleId="50">
    <w:name w:val="toc 5"/>
    <w:basedOn w:val="a"/>
    <w:next w:val="a"/>
    <w:uiPriority w:val="39"/>
    <w:unhideWhenUsed/>
    <w:qFormat/>
    <w:rsid w:val="00342714"/>
    <w:pPr>
      <w:ind w:leftChars="800" w:left="1680"/>
    </w:pPr>
    <w:rPr>
      <w:rFonts w:ascii="等线" w:eastAsia="等线" w:hAnsi="等线"/>
    </w:rPr>
  </w:style>
  <w:style w:type="paragraph" w:styleId="31">
    <w:name w:val="toc 3"/>
    <w:basedOn w:val="a"/>
    <w:next w:val="a"/>
    <w:uiPriority w:val="39"/>
    <w:unhideWhenUsed/>
    <w:qFormat/>
    <w:rsid w:val="00342714"/>
    <w:pPr>
      <w:spacing w:line="340" w:lineRule="exact"/>
      <w:ind w:leftChars="400" w:left="400"/>
    </w:pPr>
  </w:style>
  <w:style w:type="paragraph" w:styleId="a9">
    <w:name w:val="Plain Text"/>
    <w:basedOn w:val="a"/>
    <w:link w:val="Char4"/>
    <w:qFormat/>
    <w:rsid w:val="00342714"/>
    <w:rPr>
      <w:rFonts w:ascii="宋体" w:hAnsi="Courier New"/>
      <w:szCs w:val="20"/>
    </w:rPr>
  </w:style>
  <w:style w:type="character" w:customStyle="1" w:styleId="Char4">
    <w:name w:val="纯文本 Char"/>
    <w:basedOn w:val="a0"/>
    <w:link w:val="a9"/>
    <w:qFormat/>
    <w:rsid w:val="00342714"/>
    <w:rPr>
      <w:rFonts w:ascii="宋体" w:eastAsia="宋体" w:hAnsi="Courier New" w:cs="Times New Roman"/>
      <w:szCs w:val="20"/>
    </w:rPr>
  </w:style>
  <w:style w:type="paragraph" w:styleId="80">
    <w:name w:val="toc 8"/>
    <w:basedOn w:val="a"/>
    <w:next w:val="a"/>
    <w:uiPriority w:val="39"/>
    <w:unhideWhenUsed/>
    <w:qFormat/>
    <w:rsid w:val="00342714"/>
    <w:pPr>
      <w:ind w:leftChars="1400" w:left="2940"/>
    </w:pPr>
    <w:rPr>
      <w:rFonts w:ascii="等线" w:eastAsia="等线" w:hAnsi="等线"/>
    </w:rPr>
  </w:style>
  <w:style w:type="paragraph" w:styleId="aa">
    <w:name w:val="Date"/>
    <w:basedOn w:val="a"/>
    <w:next w:val="a"/>
    <w:link w:val="Char5"/>
    <w:uiPriority w:val="99"/>
    <w:unhideWhenUsed/>
    <w:qFormat/>
    <w:rsid w:val="00342714"/>
    <w:pPr>
      <w:ind w:leftChars="2500" w:left="100"/>
    </w:pPr>
  </w:style>
  <w:style w:type="character" w:customStyle="1" w:styleId="Char5">
    <w:name w:val="日期 Char"/>
    <w:basedOn w:val="a0"/>
    <w:link w:val="aa"/>
    <w:uiPriority w:val="99"/>
    <w:qFormat/>
    <w:rsid w:val="00342714"/>
    <w:rPr>
      <w:rFonts w:ascii="Calibri" w:eastAsia="宋体" w:hAnsi="Calibri" w:cs="Times New Roman"/>
    </w:rPr>
  </w:style>
  <w:style w:type="paragraph" w:styleId="ab">
    <w:name w:val="Balloon Text"/>
    <w:basedOn w:val="a"/>
    <w:link w:val="Char6"/>
    <w:uiPriority w:val="99"/>
    <w:unhideWhenUsed/>
    <w:qFormat/>
    <w:rsid w:val="00342714"/>
    <w:rPr>
      <w:sz w:val="18"/>
      <w:szCs w:val="18"/>
    </w:rPr>
  </w:style>
  <w:style w:type="character" w:customStyle="1" w:styleId="Char6">
    <w:name w:val="批注框文本 Char"/>
    <w:basedOn w:val="a0"/>
    <w:link w:val="ab"/>
    <w:uiPriority w:val="99"/>
    <w:qFormat/>
    <w:rsid w:val="00342714"/>
    <w:rPr>
      <w:rFonts w:ascii="Calibri" w:eastAsia="宋体" w:hAnsi="Calibri" w:cs="Times New Roman"/>
      <w:sz w:val="18"/>
      <w:szCs w:val="18"/>
    </w:rPr>
  </w:style>
  <w:style w:type="paragraph" w:styleId="ac">
    <w:name w:val="footer"/>
    <w:basedOn w:val="a"/>
    <w:link w:val="Char7"/>
    <w:uiPriority w:val="99"/>
    <w:unhideWhenUsed/>
    <w:qFormat/>
    <w:rsid w:val="00342714"/>
    <w:pPr>
      <w:tabs>
        <w:tab w:val="center" w:pos="4153"/>
        <w:tab w:val="right" w:pos="8306"/>
      </w:tabs>
      <w:snapToGrid w:val="0"/>
      <w:jc w:val="left"/>
    </w:pPr>
    <w:rPr>
      <w:sz w:val="18"/>
      <w:szCs w:val="18"/>
    </w:rPr>
  </w:style>
  <w:style w:type="character" w:customStyle="1" w:styleId="Char7">
    <w:name w:val="页脚 Char"/>
    <w:basedOn w:val="a0"/>
    <w:link w:val="ac"/>
    <w:uiPriority w:val="99"/>
    <w:qFormat/>
    <w:rsid w:val="00342714"/>
    <w:rPr>
      <w:rFonts w:ascii="Calibri" w:eastAsia="宋体" w:hAnsi="Calibri" w:cs="Times New Roman"/>
      <w:sz w:val="18"/>
      <w:szCs w:val="18"/>
    </w:rPr>
  </w:style>
  <w:style w:type="paragraph" w:styleId="ad">
    <w:name w:val="header"/>
    <w:basedOn w:val="a"/>
    <w:link w:val="Char8"/>
    <w:uiPriority w:val="99"/>
    <w:unhideWhenUsed/>
    <w:qFormat/>
    <w:rsid w:val="00342714"/>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d"/>
    <w:uiPriority w:val="99"/>
    <w:qFormat/>
    <w:rsid w:val="00342714"/>
    <w:rPr>
      <w:rFonts w:ascii="Calibri" w:eastAsia="宋体" w:hAnsi="Calibri" w:cs="Times New Roman"/>
      <w:sz w:val="18"/>
      <w:szCs w:val="18"/>
    </w:rPr>
  </w:style>
  <w:style w:type="paragraph" w:styleId="10">
    <w:name w:val="toc 1"/>
    <w:basedOn w:val="a"/>
    <w:next w:val="a"/>
    <w:uiPriority w:val="39"/>
    <w:unhideWhenUsed/>
    <w:qFormat/>
    <w:rsid w:val="00342714"/>
    <w:pPr>
      <w:spacing w:line="440" w:lineRule="exact"/>
    </w:pPr>
    <w:rPr>
      <w:b/>
    </w:rPr>
  </w:style>
  <w:style w:type="paragraph" w:styleId="40">
    <w:name w:val="toc 4"/>
    <w:basedOn w:val="a"/>
    <w:next w:val="a"/>
    <w:uiPriority w:val="39"/>
    <w:unhideWhenUsed/>
    <w:qFormat/>
    <w:rsid w:val="00342714"/>
    <w:pPr>
      <w:ind w:leftChars="600" w:left="1260"/>
    </w:pPr>
    <w:rPr>
      <w:rFonts w:ascii="等线" w:eastAsia="等线" w:hAnsi="等线"/>
    </w:rPr>
  </w:style>
  <w:style w:type="paragraph" w:styleId="ae">
    <w:name w:val="Subtitle"/>
    <w:basedOn w:val="a"/>
    <w:next w:val="a"/>
    <w:link w:val="Char9"/>
    <w:qFormat/>
    <w:rsid w:val="00342714"/>
    <w:pPr>
      <w:widowControl/>
      <w:spacing w:before="200" w:after="900" w:line="360" w:lineRule="auto"/>
      <w:ind w:firstLineChars="200" w:firstLine="200"/>
      <w:jc w:val="right"/>
    </w:pPr>
    <w:rPr>
      <w:rFonts w:ascii="仿宋" w:eastAsia="仿宋" w:hAnsi="仿宋"/>
      <w:i/>
      <w:iCs/>
      <w:kern w:val="0"/>
      <w:sz w:val="24"/>
      <w:szCs w:val="24"/>
    </w:rPr>
  </w:style>
  <w:style w:type="character" w:customStyle="1" w:styleId="Char9">
    <w:name w:val="副标题 Char"/>
    <w:basedOn w:val="a0"/>
    <w:link w:val="ae"/>
    <w:qFormat/>
    <w:rsid w:val="00342714"/>
    <w:rPr>
      <w:rFonts w:ascii="仿宋" w:eastAsia="仿宋" w:hAnsi="仿宋" w:cs="Times New Roman"/>
      <w:i/>
      <w:iCs/>
      <w:kern w:val="0"/>
      <w:sz w:val="24"/>
      <w:szCs w:val="24"/>
    </w:rPr>
  </w:style>
  <w:style w:type="paragraph" w:styleId="af">
    <w:name w:val="footnote text"/>
    <w:basedOn w:val="a"/>
    <w:link w:val="Chara"/>
    <w:uiPriority w:val="99"/>
    <w:unhideWhenUsed/>
    <w:qFormat/>
    <w:rsid w:val="00342714"/>
    <w:pPr>
      <w:snapToGrid w:val="0"/>
      <w:jc w:val="left"/>
    </w:pPr>
    <w:rPr>
      <w:sz w:val="18"/>
      <w:szCs w:val="18"/>
    </w:rPr>
  </w:style>
  <w:style w:type="character" w:customStyle="1" w:styleId="Chara">
    <w:name w:val="脚注文本 Char"/>
    <w:basedOn w:val="a0"/>
    <w:link w:val="af"/>
    <w:uiPriority w:val="99"/>
    <w:qFormat/>
    <w:rsid w:val="00342714"/>
    <w:rPr>
      <w:rFonts w:ascii="Calibri" w:eastAsia="宋体" w:hAnsi="Calibri" w:cs="Times New Roman"/>
      <w:sz w:val="18"/>
      <w:szCs w:val="18"/>
    </w:rPr>
  </w:style>
  <w:style w:type="paragraph" w:styleId="60">
    <w:name w:val="toc 6"/>
    <w:basedOn w:val="a"/>
    <w:next w:val="a"/>
    <w:uiPriority w:val="39"/>
    <w:unhideWhenUsed/>
    <w:qFormat/>
    <w:rsid w:val="00342714"/>
    <w:pPr>
      <w:ind w:leftChars="1000" w:left="2100"/>
    </w:pPr>
    <w:rPr>
      <w:rFonts w:ascii="等线" w:eastAsia="等线" w:hAnsi="等线"/>
    </w:rPr>
  </w:style>
  <w:style w:type="paragraph" w:styleId="20">
    <w:name w:val="toc 2"/>
    <w:basedOn w:val="a"/>
    <w:next w:val="a"/>
    <w:uiPriority w:val="39"/>
    <w:unhideWhenUsed/>
    <w:qFormat/>
    <w:rsid w:val="00342714"/>
    <w:pPr>
      <w:ind w:leftChars="200" w:left="200"/>
    </w:pPr>
  </w:style>
  <w:style w:type="paragraph" w:styleId="90">
    <w:name w:val="toc 9"/>
    <w:basedOn w:val="a"/>
    <w:next w:val="a"/>
    <w:uiPriority w:val="39"/>
    <w:unhideWhenUsed/>
    <w:qFormat/>
    <w:rsid w:val="00342714"/>
    <w:pPr>
      <w:ind w:leftChars="1600" w:left="3360"/>
    </w:pPr>
    <w:rPr>
      <w:rFonts w:ascii="等线" w:eastAsia="等线" w:hAnsi="等线"/>
    </w:rPr>
  </w:style>
  <w:style w:type="paragraph" w:styleId="af0">
    <w:name w:val="Title"/>
    <w:basedOn w:val="a"/>
    <w:next w:val="a"/>
    <w:link w:val="Charb"/>
    <w:qFormat/>
    <w:rsid w:val="00342714"/>
    <w:pPr>
      <w:widowControl/>
      <w:pBdr>
        <w:top w:val="single" w:sz="8" w:space="10" w:color="A7BFDE"/>
        <w:bottom w:val="single" w:sz="24" w:space="15" w:color="9BBB59"/>
      </w:pBdr>
      <w:spacing w:line="360" w:lineRule="auto"/>
      <w:ind w:firstLineChars="200" w:firstLine="200"/>
      <w:jc w:val="center"/>
    </w:pPr>
    <w:rPr>
      <w:rFonts w:ascii="Cambria" w:eastAsia="仿宋" w:hAnsi="Cambria"/>
      <w:i/>
      <w:iCs/>
      <w:color w:val="243F60"/>
      <w:kern w:val="0"/>
      <w:sz w:val="60"/>
      <w:szCs w:val="60"/>
    </w:rPr>
  </w:style>
  <w:style w:type="character" w:customStyle="1" w:styleId="Charb">
    <w:name w:val="标题 Char"/>
    <w:basedOn w:val="a0"/>
    <w:link w:val="af0"/>
    <w:qFormat/>
    <w:rsid w:val="00342714"/>
    <w:rPr>
      <w:rFonts w:ascii="Cambria" w:eastAsia="仿宋" w:hAnsi="Cambria" w:cs="Times New Roman"/>
      <w:i/>
      <w:iCs/>
      <w:color w:val="243F60"/>
      <w:kern w:val="0"/>
      <w:sz w:val="60"/>
      <w:szCs w:val="60"/>
    </w:rPr>
  </w:style>
  <w:style w:type="character" w:styleId="af1">
    <w:name w:val="Strong"/>
    <w:uiPriority w:val="22"/>
    <w:qFormat/>
    <w:rsid w:val="00342714"/>
    <w:rPr>
      <w:b/>
      <w:bCs/>
      <w:spacing w:val="0"/>
    </w:rPr>
  </w:style>
  <w:style w:type="character" w:styleId="af2">
    <w:name w:val="Emphasis"/>
    <w:basedOn w:val="a0"/>
    <w:uiPriority w:val="20"/>
    <w:qFormat/>
    <w:rsid w:val="00342714"/>
    <w:rPr>
      <w:color w:val="CC0000"/>
    </w:rPr>
  </w:style>
  <w:style w:type="character" w:styleId="HTML">
    <w:name w:val="HTML Typewriter"/>
    <w:qFormat/>
    <w:rsid w:val="00342714"/>
    <w:rPr>
      <w:rFonts w:ascii="Courier New" w:hAnsi="Courier New" w:cs="Courier New"/>
      <w:sz w:val="20"/>
      <w:szCs w:val="20"/>
    </w:rPr>
  </w:style>
  <w:style w:type="character" w:styleId="af3">
    <w:name w:val="Hyperlink"/>
    <w:uiPriority w:val="99"/>
    <w:unhideWhenUsed/>
    <w:qFormat/>
    <w:rsid w:val="00342714"/>
    <w:rPr>
      <w:color w:val="0563C1"/>
      <w:u w:val="single"/>
    </w:rPr>
  </w:style>
  <w:style w:type="character" w:styleId="af4">
    <w:name w:val="annotation reference"/>
    <w:uiPriority w:val="99"/>
    <w:unhideWhenUsed/>
    <w:qFormat/>
    <w:rsid w:val="00342714"/>
    <w:rPr>
      <w:sz w:val="21"/>
      <w:szCs w:val="21"/>
    </w:rPr>
  </w:style>
  <w:style w:type="character" w:styleId="af5">
    <w:name w:val="footnote reference"/>
    <w:uiPriority w:val="99"/>
    <w:unhideWhenUsed/>
    <w:qFormat/>
    <w:rsid w:val="00342714"/>
    <w:rPr>
      <w:vertAlign w:val="superscript"/>
    </w:rPr>
  </w:style>
  <w:style w:type="table" w:styleId="af6">
    <w:name w:val="Table Grid"/>
    <w:basedOn w:val="a1"/>
    <w:uiPriority w:val="59"/>
    <w:qFormat/>
    <w:rsid w:val="00342714"/>
    <w:rPr>
      <w:rFonts w:ascii="Calibri" w:eastAsia="宋体" w:hAnsi="Calibri"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CharChar">
    <w:name w:val="Char Char Char Char Char Char Char"/>
    <w:basedOn w:val="a"/>
    <w:qFormat/>
    <w:rsid w:val="00342714"/>
    <w:pPr>
      <w:spacing w:line="240" w:lineRule="atLeast"/>
      <w:ind w:left="420" w:firstLine="420"/>
    </w:pPr>
    <w:rPr>
      <w:rFonts w:ascii="Times New Roman" w:hAnsi="Times New Roman"/>
      <w:kern w:val="0"/>
      <w:szCs w:val="21"/>
    </w:rPr>
  </w:style>
  <w:style w:type="character" w:customStyle="1" w:styleId="af7">
    <w:name w:val="正文文本缩进 字符"/>
    <w:uiPriority w:val="99"/>
    <w:semiHidden/>
    <w:qFormat/>
    <w:rsid w:val="00342714"/>
    <w:rPr>
      <w:rFonts w:ascii="Calibri" w:eastAsia="宋体" w:hAnsi="Calibri"/>
      <w:kern w:val="2"/>
      <w:sz w:val="21"/>
      <w:szCs w:val="22"/>
    </w:rPr>
  </w:style>
  <w:style w:type="character" w:customStyle="1" w:styleId="32">
    <w:name w:val="正文文本 3 字符"/>
    <w:uiPriority w:val="99"/>
    <w:semiHidden/>
    <w:qFormat/>
    <w:rsid w:val="00342714"/>
    <w:rPr>
      <w:rFonts w:ascii="Calibri" w:eastAsia="宋体" w:hAnsi="Calibri"/>
      <w:kern w:val="2"/>
      <w:sz w:val="16"/>
      <w:szCs w:val="16"/>
    </w:rPr>
  </w:style>
  <w:style w:type="character" w:customStyle="1" w:styleId="af8">
    <w:name w:val="正文文本 字符"/>
    <w:uiPriority w:val="99"/>
    <w:semiHidden/>
    <w:qFormat/>
    <w:rsid w:val="00342714"/>
    <w:rPr>
      <w:rFonts w:ascii="Calibri" w:eastAsia="宋体" w:hAnsi="Calibri"/>
      <w:kern w:val="2"/>
      <w:sz w:val="21"/>
      <w:szCs w:val="22"/>
    </w:rPr>
  </w:style>
  <w:style w:type="character" w:customStyle="1" w:styleId="af9">
    <w:name w:val="样式 仿宋"/>
    <w:qFormat/>
    <w:rsid w:val="00342714"/>
    <w:rPr>
      <w:rFonts w:ascii="仿宋" w:eastAsia="仿宋" w:hAnsi="仿宋"/>
      <w:kern w:val="1"/>
    </w:rPr>
  </w:style>
  <w:style w:type="character" w:customStyle="1" w:styleId="Char10">
    <w:name w:val="纯文本 Char1"/>
    <w:qFormat/>
    <w:rsid w:val="00342714"/>
    <w:rPr>
      <w:rFonts w:ascii="宋体" w:eastAsia="宋体" w:hAnsi="Courier New" w:cs="Courier New"/>
      <w:kern w:val="2"/>
      <w:sz w:val="21"/>
      <w:szCs w:val="21"/>
    </w:rPr>
  </w:style>
  <w:style w:type="paragraph" w:customStyle="1" w:styleId="11">
    <w:name w:val="列表段落1"/>
    <w:basedOn w:val="a"/>
    <w:link w:val="Charc"/>
    <w:uiPriority w:val="99"/>
    <w:unhideWhenUsed/>
    <w:qFormat/>
    <w:rsid w:val="00342714"/>
    <w:pPr>
      <w:ind w:firstLineChars="200" w:firstLine="420"/>
    </w:pPr>
  </w:style>
  <w:style w:type="character" w:customStyle="1" w:styleId="Charc">
    <w:name w:val="列出段落 Char"/>
    <w:link w:val="11"/>
    <w:uiPriority w:val="99"/>
    <w:qFormat/>
    <w:rsid w:val="00342714"/>
    <w:rPr>
      <w:rFonts w:ascii="Calibri" w:eastAsia="宋体" w:hAnsi="Calibri" w:cs="Times New Roman"/>
    </w:rPr>
  </w:style>
  <w:style w:type="character" w:customStyle="1" w:styleId="12">
    <w:name w:val="占位符文本1"/>
    <w:uiPriority w:val="67"/>
    <w:semiHidden/>
    <w:qFormat/>
    <w:rsid w:val="00342714"/>
    <w:rPr>
      <w:color w:val="808080"/>
    </w:rPr>
  </w:style>
  <w:style w:type="paragraph" w:customStyle="1" w:styleId="TableParagraph">
    <w:name w:val="Table Paragraph"/>
    <w:basedOn w:val="a"/>
    <w:uiPriority w:val="1"/>
    <w:qFormat/>
    <w:rsid w:val="00342714"/>
    <w:pPr>
      <w:jc w:val="left"/>
    </w:pPr>
    <w:rPr>
      <w:kern w:val="0"/>
      <w:sz w:val="22"/>
      <w:lang w:eastAsia="en-US"/>
    </w:rPr>
  </w:style>
  <w:style w:type="paragraph" w:customStyle="1" w:styleId="afa">
    <w:name w:val="表格文字"/>
    <w:basedOn w:val="a"/>
    <w:link w:val="Chard"/>
    <w:qFormat/>
    <w:rsid w:val="00342714"/>
    <w:pPr>
      <w:widowControl/>
      <w:spacing w:line="360" w:lineRule="auto"/>
      <w:ind w:hanging="33"/>
      <w:jc w:val="center"/>
    </w:pPr>
    <w:rPr>
      <w:rFonts w:ascii="仿宋" w:eastAsia="仿宋" w:hAnsi="仿宋"/>
      <w:kern w:val="0"/>
      <w:sz w:val="28"/>
      <w:szCs w:val="24"/>
    </w:rPr>
  </w:style>
  <w:style w:type="character" w:customStyle="1" w:styleId="Chard">
    <w:name w:val="表格文字 Char"/>
    <w:basedOn w:val="a0"/>
    <w:link w:val="afa"/>
    <w:qFormat/>
    <w:rsid w:val="00342714"/>
    <w:rPr>
      <w:rFonts w:ascii="仿宋" w:eastAsia="仿宋" w:hAnsi="仿宋" w:cs="Times New Roman"/>
      <w:kern w:val="0"/>
      <w:sz w:val="28"/>
      <w:szCs w:val="24"/>
    </w:rPr>
  </w:style>
  <w:style w:type="character" w:customStyle="1" w:styleId="cucd-0CharChar">
    <w:name w:val="cucd-0 Char Char"/>
    <w:link w:val="cucd-0"/>
    <w:qFormat/>
    <w:rsid w:val="00342714"/>
    <w:rPr>
      <w:rFonts w:ascii="Times New Roman" w:hAnsi="Times New Roman"/>
      <w:sz w:val="24"/>
      <w:szCs w:val="24"/>
    </w:rPr>
  </w:style>
  <w:style w:type="paragraph" w:customStyle="1" w:styleId="cucd-0">
    <w:name w:val="cucd-0"/>
    <w:link w:val="cucd-0CharChar"/>
    <w:qFormat/>
    <w:rsid w:val="00342714"/>
    <w:pPr>
      <w:spacing w:line="360" w:lineRule="auto"/>
      <w:ind w:firstLineChars="200" w:firstLine="480"/>
    </w:pPr>
    <w:rPr>
      <w:rFonts w:ascii="Times New Roman" w:hAnsi="Times New Roman"/>
      <w:sz w:val="24"/>
      <w:szCs w:val="24"/>
    </w:rPr>
  </w:style>
  <w:style w:type="character" w:customStyle="1" w:styleId="cucd-TB-HeadChar">
    <w:name w:val="cucd-TB-Head Char"/>
    <w:link w:val="cucd-TB-Head"/>
    <w:qFormat/>
    <w:rsid w:val="00342714"/>
    <w:rPr>
      <w:rFonts w:eastAsia="黑体"/>
      <w:sz w:val="24"/>
      <w:szCs w:val="24"/>
    </w:rPr>
  </w:style>
  <w:style w:type="paragraph" w:customStyle="1" w:styleId="cucd-TB-Head">
    <w:name w:val="cucd-TB-Head"/>
    <w:basedOn w:val="a"/>
    <w:next w:val="cucd-0"/>
    <w:link w:val="cucd-TB-HeadChar"/>
    <w:qFormat/>
    <w:rsid w:val="00342714"/>
    <w:pPr>
      <w:spacing w:line="360" w:lineRule="auto"/>
      <w:jc w:val="center"/>
    </w:pPr>
    <w:rPr>
      <w:rFonts w:asciiTheme="minorHAnsi" w:eastAsia="黑体" w:hAnsiTheme="minorHAnsi" w:cstheme="minorBidi"/>
      <w:sz w:val="24"/>
      <w:szCs w:val="24"/>
    </w:rPr>
  </w:style>
  <w:style w:type="character" w:customStyle="1" w:styleId="cucd-TBChar">
    <w:name w:val="cucd-TB Char"/>
    <w:link w:val="cucd-TB"/>
    <w:qFormat/>
    <w:rsid w:val="00342714"/>
    <w:rPr>
      <w:rFonts w:ascii="Times New Roman" w:hAnsi="Times New Roman"/>
      <w:szCs w:val="24"/>
    </w:rPr>
  </w:style>
  <w:style w:type="paragraph" w:customStyle="1" w:styleId="cucd-TB">
    <w:name w:val="cucd-TB"/>
    <w:link w:val="cucd-TBChar"/>
    <w:qFormat/>
    <w:rsid w:val="00342714"/>
    <w:pPr>
      <w:spacing w:line="360" w:lineRule="auto"/>
      <w:jc w:val="center"/>
    </w:pPr>
    <w:rPr>
      <w:rFonts w:ascii="Times New Roman" w:hAnsi="Times New Roman"/>
      <w:szCs w:val="24"/>
    </w:rPr>
  </w:style>
  <w:style w:type="character" w:customStyle="1" w:styleId="cucd-4CharChar">
    <w:name w:val="cucd-4 Char Char"/>
    <w:link w:val="cucd-4"/>
    <w:qFormat/>
    <w:rsid w:val="00342714"/>
    <w:rPr>
      <w:rFonts w:ascii="Times New Roman" w:hAnsi="Times New Roman"/>
      <w:b/>
      <w:sz w:val="24"/>
      <w:szCs w:val="24"/>
    </w:rPr>
  </w:style>
  <w:style w:type="paragraph" w:customStyle="1" w:styleId="cucd-4">
    <w:name w:val="cucd-4"/>
    <w:next w:val="cucd-0"/>
    <w:link w:val="cucd-4CharChar"/>
    <w:qFormat/>
    <w:rsid w:val="00342714"/>
    <w:pPr>
      <w:tabs>
        <w:tab w:val="left" w:pos="851"/>
      </w:tabs>
      <w:spacing w:line="360" w:lineRule="auto"/>
      <w:ind w:left="851" w:hanging="851"/>
      <w:outlineLvl w:val="3"/>
    </w:pPr>
    <w:rPr>
      <w:rFonts w:ascii="Times New Roman" w:hAnsi="Times New Roman"/>
      <w:b/>
      <w:sz w:val="24"/>
      <w:szCs w:val="24"/>
    </w:rPr>
  </w:style>
  <w:style w:type="paragraph" w:customStyle="1" w:styleId="cucd-3">
    <w:name w:val="cucd-3"/>
    <w:next w:val="cucd-4"/>
    <w:link w:val="cucd-3Char"/>
    <w:qFormat/>
    <w:rsid w:val="00342714"/>
    <w:pPr>
      <w:spacing w:line="360" w:lineRule="auto"/>
      <w:ind w:left="1418" w:hanging="567"/>
      <w:outlineLvl w:val="2"/>
    </w:pPr>
    <w:rPr>
      <w:rFonts w:ascii="Times New Roman" w:eastAsia="宋体" w:hAnsi="Times New Roman" w:cs="Times New Roman"/>
      <w:b/>
      <w:sz w:val="28"/>
      <w:szCs w:val="24"/>
    </w:rPr>
  </w:style>
  <w:style w:type="character" w:customStyle="1" w:styleId="cucd-3Char">
    <w:name w:val="cucd-3 Char"/>
    <w:link w:val="cucd-3"/>
    <w:qFormat/>
    <w:rsid w:val="00342714"/>
    <w:rPr>
      <w:rFonts w:ascii="Times New Roman" w:eastAsia="宋体" w:hAnsi="Times New Roman" w:cs="Times New Roman"/>
      <w:b/>
      <w:sz w:val="28"/>
      <w:szCs w:val="24"/>
    </w:rPr>
  </w:style>
  <w:style w:type="paragraph" w:customStyle="1" w:styleId="cucd-2">
    <w:name w:val="cucd-2"/>
    <w:next w:val="cucd-3"/>
    <w:link w:val="cucd-2Char"/>
    <w:qFormat/>
    <w:rsid w:val="00342714"/>
    <w:pPr>
      <w:tabs>
        <w:tab w:val="left" w:pos="567"/>
      </w:tabs>
      <w:spacing w:line="360" w:lineRule="auto"/>
      <w:ind w:left="567" w:hanging="567"/>
      <w:outlineLvl w:val="1"/>
    </w:pPr>
    <w:rPr>
      <w:rFonts w:ascii="Times New Roman" w:eastAsia="黑体" w:hAnsi="Times New Roman" w:cs="Times New Roman"/>
      <w:b/>
      <w:sz w:val="30"/>
      <w:szCs w:val="24"/>
    </w:rPr>
  </w:style>
  <w:style w:type="character" w:customStyle="1" w:styleId="cucd-2Char">
    <w:name w:val="cucd-2 Char"/>
    <w:link w:val="cucd-2"/>
    <w:qFormat/>
    <w:rsid w:val="00342714"/>
    <w:rPr>
      <w:rFonts w:ascii="Times New Roman" w:eastAsia="黑体" w:hAnsi="Times New Roman" w:cs="Times New Roman"/>
      <w:b/>
      <w:sz w:val="30"/>
      <w:szCs w:val="24"/>
    </w:rPr>
  </w:style>
  <w:style w:type="paragraph" w:customStyle="1" w:styleId="cucd-1">
    <w:name w:val="cucd-1"/>
    <w:next w:val="cucd-2"/>
    <w:link w:val="cucd-1Char"/>
    <w:qFormat/>
    <w:rsid w:val="00342714"/>
    <w:pPr>
      <w:pageBreakBefore/>
      <w:tabs>
        <w:tab w:val="left" w:pos="425"/>
      </w:tabs>
      <w:spacing w:beforeLines="100" w:afterLines="50" w:line="360" w:lineRule="auto"/>
      <w:ind w:left="425" w:hanging="425"/>
      <w:jc w:val="center"/>
      <w:outlineLvl w:val="0"/>
    </w:pPr>
    <w:rPr>
      <w:rFonts w:ascii="Times New Roman" w:eastAsia="黑体" w:hAnsi="Times New Roman" w:cs="Times New Roman"/>
      <w:b/>
      <w:sz w:val="36"/>
      <w:szCs w:val="24"/>
    </w:rPr>
  </w:style>
  <w:style w:type="character" w:customStyle="1" w:styleId="cucd-1Char">
    <w:name w:val="cucd-1 Char"/>
    <w:link w:val="cucd-1"/>
    <w:qFormat/>
    <w:rsid w:val="00342714"/>
    <w:rPr>
      <w:rFonts w:ascii="Times New Roman" w:eastAsia="黑体" w:hAnsi="Times New Roman" w:cs="Times New Roman"/>
      <w:b/>
      <w:sz w:val="36"/>
      <w:szCs w:val="24"/>
    </w:rPr>
  </w:style>
  <w:style w:type="character" w:customStyle="1" w:styleId="cucd-0Char">
    <w:name w:val="cucd-0 Char"/>
    <w:qFormat/>
    <w:rsid w:val="00342714"/>
    <w:rPr>
      <w:kern w:val="2"/>
      <w:sz w:val="24"/>
      <w:szCs w:val="24"/>
      <w:lang w:bidi="ar-SA"/>
    </w:rPr>
  </w:style>
  <w:style w:type="paragraph" w:customStyle="1" w:styleId="afb">
    <w:name w:val="二级标题"/>
    <w:basedOn w:val="cucd-2"/>
    <w:qFormat/>
    <w:rsid w:val="00342714"/>
    <w:pPr>
      <w:tabs>
        <w:tab w:val="clear" w:pos="567"/>
        <w:tab w:val="left" w:pos="1276"/>
      </w:tabs>
      <w:ind w:left="142" w:firstLineChars="200" w:firstLine="643"/>
      <w:outlineLvl w:val="2"/>
    </w:pPr>
    <w:rPr>
      <w:rFonts w:ascii="仿宋" w:eastAsia="仿宋" w:hAnsi="仿宋"/>
      <w:sz w:val="28"/>
      <w:szCs w:val="28"/>
    </w:rPr>
  </w:style>
  <w:style w:type="paragraph" w:customStyle="1" w:styleId="afc">
    <w:name w:val="三级标题"/>
    <w:basedOn w:val="cucd-2"/>
    <w:link w:val="Chare"/>
    <w:qFormat/>
    <w:rsid w:val="00342714"/>
    <w:pPr>
      <w:tabs>
        <w:tab w:val="clear" w:pos="567"/>
        <w:tab w:val="left" w:pos="1276"/>
      </w:tabs>
      <w:ind w:left="142" w:firstLineChars="200" w:firstLine="562"/>
      <w:outlineLvl w:val="2"/>
    </w:pPr>
    <w:rPr>
      <w:rFonts w:ascii="仿宋" w:eastAsia="仿宋" w:hAnsi="仿宋"/>
      <w:sz w:val="28"/>
      <w:szCs w:val="28"/>
    </w:rPr>
  </w:style>
  <w:style w:type="character" w:customStyle="1" w:styleId="Chare">
    <w:name w:val="三级标题 Char"/>
    <w:basedOn w:val="a0"/>
    <w:link w:val="afc"/>
    <w:qFormat/>
    <w:rsid w:val="00342714"/>
    <w:rPr>
      <w:rFonts w:ascii="仿宋" w:eastAsia="仿宋" w:hAnsi="仿宋" w:cs="Times New Roman"/>
      <w:b/>
      <w:sz w:val="28"/>
      <w:szCs w:val="28"/>
    </w:rPr>
  </w:style>
  <w:style w:type="paragraph" w:customStyle="1" w:styleId="afd">
    <w:name w:val="四级标题"/>
    <w:basedOn w:val="11"/>
    <w:link w:val="Charf"/>
    <w:qFormat/>
    <w:rsid w:val="00342714"/>
    <w:pPr>
      <w:widowControl/>
      <w:spacing w:line="360" w:lineRule="auto"/>
      <w:ind w:left="960" w:firstLineChars="0" w:firstLine="0"/>
      <w:contextualSpacing/>
      <w:jc w:val="left"/>
    </w:pPr>
    <w:rPr>
      <w:rFonts w:ascii="仿宋" w:eastAsia="仿宋" w:hAnsi="仿宋"/>
      <w:b/>
      <w:kern w:val="0"/>
      <w:sz w:val="30"/>
      <w:szCs w:val="28"/>
    </w:rPr>
  </w:style>
  <w:style w:type="character" w:customStyle="1" w:styleId="Charf">
    <w:name w:val="四级标题 Char"/>
    <w:basedOn w:val="Charc"/>
    <w:link w:val="afd"/>
    <w:qFormat/>
    <w:rsid w:val="00342714"/>
    <w:rPr>
      <w:rFonts w:ascii="仿宋" w:eastAsia="仿宋" w:hAnsi="仿宋"/>
      <w:b/>
      <w:kern w:val="0"/>
      <w:sz w:val="30"/>
      <w:szCs w:val="28"/>
    </w:rPr>
  </w:style>
  <w:style w:type="paragraph" w:customStyle="1" w:styleId="3GB231200">
    <w:name w:val="样式 标题 3 + 仿宋_GB2312 小四 段前: 0 磅 段后: 0 磅"/>
    <w:basedOn w:val="3"/>
    <w:qFormat/>
    <w:rsid w:val="00342714"/>
    <w:pPr>
      <w:numPr>
        <w:ilvl w:val="0"/>
        <w:numId w:val="0"/>
      </w:numPr>
      <w:spacing w:beforeLines="50" w:line="415" w:lineRule="auto"/>
      <w:jc w:val="center"/>
    </w:pPr>
    <w:rPr>
      <w:rFonts w:ascii="仿宋_GB2312" w:eastAsia="仿宋_GB2312" w:cs="宋体"/>
      <w:b/>
      <w:kern w:val="0"/>
      <w:szCs w:val="22"/>
    </w:rPr>
  </w:style>
  <w:style w:type="character" w:customStyle="1" w:styleId="content">
    <w:name w:val="content"/>
    <w:basedOn w:val="a0"/>
    <w:qFormat/>
    <w:rsid w:val="00342714"/>
  </w:style>
  <w:style w:type="character" w:customStyle="1" w:styleId="3Char1">
    <w:name w:val="标题 3 Char1"/>
    <w:qFormat/>
    <w:rsid w:val="00342714"/>
    <w:rPr>
      <w:rFonts w:ascii="宋体" w:eastAsia="宋体"/>
      <w:b/>
      <w:kern w:val="28"/>
      <w:sz w:val="24"/>
      <w:szCs w:val="24"/>
      <w:lang w:val="en-US" w:eastAsia="zh-CN" w:bidi="ar-SA"/>
    </w:rPr>
  </w:style>
  <w:style w:type="character" w:customStyle="1" w:styleId="4Char1">
    <w:name w:val="标题 4 Char1"/>
    <w:qFormat/>
    <w:rsid w:val="00342714"/>
    <w:rPr>
      <w:rFonts w:eastAsia="宋体"/>
      <w:b/>
      <w:i/>
      <w:kern w:val="28"/>
      <w:sz w:val="24"/>
      <w:lang w:val="en-US" w:eastAsia="zh-CN" w:bidi="ar-SA"/>
    </w:rPr>
  </w:style>
  <w:style w:type="paragraph" w:customStyle="1" w:styleId="13">
    <w:name w:val="无间隔1"/>
    <w:basedOn w:val="a"/>
    <w:link w:val="Charf0"/>
    <w:uiPriority w:val="1"/>
    <w:qFormat/>
    <w:rsid w:val="00342714"/>
    <w:pPr>
      <w:widowControl/>
      <w:spacing w:line="360" w:lineRule="auto"/>
      <w:ind w:firstLineChars="200" w:firstLine="200"/>
      <w:jc w:val="left"/>
    </w:pPr>
    <w:rPr>
      <w:rFonts w:ascii="仿宋" w:eastAsia="仿宋" w:hAnsi="仿宋"/>
      <w:kern w:val="0"/>
      <w:sz w:val="30"/>
      <w:szCs w:val="28"/>
    </w:rPr>
  </w:style>
  <w:style w:type="character" w:customStyle="1" w:styleId="Charf0">
    <w:name w:val="无间隔 Char"/>
    <w:basedOn w:val="a0"/>
    <w:link w:val="13"/>
    <w:uiPriority w:val="1"/>
    <w:qFormat/>
    <w:rsid w:val="00342714"/>
    <w:rPr>
      <w:rFonts w:ascii="仿宋" w:eastAsia="仿宋" w:hAnsi="仿宋" w:cs="Times New Roman"/>
      <w:kern w:val="0"/>
      <w:sz w:val="30"/>
      <w:szCs w:val="28"/>
    </w:rPr>
  </w:style>
  <w:style w:type="paragraph" w:customStyle="1" w:styleId="14">
    <w:name w:val="引用1"/>
    <w:basedOn w:val="a"/>
    <w:next w:val="a"/>
    <w:link w:val="Charf1"/>
    <w:uiPriority w:val="29"/>
    <w:qFormat/>
    <w:rsid w:val="00342714"/>
    <w:pPr>
      <w:widowControl/>
      <w:spacing w:line="360" w:lineRule="auto"/>
      <w:ind w:firstLineChars="200" w:firstLine="560"/>
      <w:jc w:val="left"/>
    </w:pPr>
    <w:rPr>
      <w:rFonts w:ascii="Cambria" w:eastAsia="仿宋" w:hAnsi="Cambria"/>
      <w:i/>
      <w:iCs/>
      <w:color w:val="5A5A5A"/>
      <w:kern w:val="0"/>
      <w:sz w:val="20"/>
      <w:szCs w:val="20"/>
    </w:rPr>
  </w:style>
  <w:style w:type="character" w:customStyle="1" w:styleId="Charf1">
    <w:name w:val="引用 Char"/>
    <w:basedOn w:val="a0"/>
    <w:link w:val="14"/>
    <w:uiPriority w:val="29"/>
    <w:qFormat/>
    <w:rsid w:val="00342714"/>
    <w:rPr>
      <w:rFonts w:ascii="Cambria" w:eastAsia="仿宋" w:hAnsi="Cambria" w:cs="Times New Roman"/>
      <w:i/>
      <w:iCs/>
      <w:color w:val="5A5A5A"/>
      <w:kern w:val="0"/>
      <w:sz w:val="20"/>
      <w:szCs w:val="20"/>
    </w:rPr>
  </w:style>
  <w:style w:type="paragraph" w:customStyle="1" w:styleId="15">
    <w:name w:val="明显引用1"/>
    <w:basedOn w:val="a"/>
    <w:next w:val="a"/>
    <w:link w:val="Charf2"/>
    <w:uiPriority w:val="30"/>
    <w:qFormat/>
    <w:rsid w:val="00342714"/>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Chars="200" w:firstLine="560"/>
      <w:jc w:val="left"/>
    </w:pPr>
    <w:rPr>
      <w:rFonts w:ascii="Cambria" w:eastAsia="仿宋" w:hAnsi="Cambria"/>
      <w:i/>
      <w:iCs/>
      <w:color w:val="FFFFFF"/>
      <w:kern w:val="0"/>
      <w:sz w:val="24"/>
      <w:szCs w:val="24"/>
    </w:rPr>
  </w:style>
  <w:style w:type="character" w:customStyle="1" w:styleId="Charf2">
    <w:name w:val="明显引用 Char"/>
    <w:basedOn w:val="a0"/>
    <w:link w:val="15"/>
    <w:uiPriority w:val="30"/>
    <w:qFormat/>
    <w:rsid w:val="00342714"/>
    <w:rPr>
      <w:rFonts w:ascii="Cambria" w:eastAsia="仿宋" w:hAnsi="Cambria" w:cs="Times New Roman"/>
      <w:i/>
      <w:iCs/>
      <w:color w:val="FFFFFF"/>
      <w:kern w:val="0"/>
      <w:sz w:val="24"/>
      <w:szCs w:val="24"/>
      <w:shd w:val="clear" w:color="auto" w:fill="4F81BD"/>
    </w:rPr>
  </w:style>
  <w:style w:type="character" w:customStyle="1" w:styleId="16">
    <w:name w:val="不明显强调1"/>
    <w:uiPriority w:val="19"/>
    <w:qFormat/>
    <w:rsid w:val="00342714"/>
    <w:rPr>
      <w:i/>
      <w:iCs/>
      <w:color w:val="5A5A5A"/>
    </w:rPr>
  </w:style>
  <w:style w:type="character" w:customStyle="1" w:styleId="17">
    <w:name w:val="明显强调1"/>
    <w:uiPriority w:val="21"/>
    <w:qFormat/>
    <w:rsid w:val="00342714"/>
    <w:rPr>
      <w:b/>
      <w:bCs/>
      <w:i/>
      <w:iCs/>
      <w:color w:val="4F81BD"/>
      <w:sz w:val="22"/>
      <w:szCs w:val="22"/>
    </w:rPr>
  </w:style>
  <w:style w:type="character" w:customStyle="1" w:styleId="18">
    <w:name w:val="不明显参考1"/>
    <w:uiPriority w:val="31"/>
    <w:qFormat/>
    <w:rsid w:val="00342714"/>
    <w:rPr>
      <w:color w:val="auto"/>
      <w:u w:val="single" w:color="9BBB59"/>
    </w:rPr>
  </w:style>
  <w:style w:type="character" w:customStyle="1" w:styleId="19">
    <w:name w:val="明显参考1"/>
    <w:uiPriority w:val="32"/>
    <w:qFormat/>
    <w:rsid w:val="00342714"/>
    <w:rPr>
      <w:b/>
      <w:bCs/>
      <w:color w:val="76923C"/>
      <w:u w:val="single" w:color="9BBB59"/>
    </w:rPr>
  </w:style>
  <w:style w:type="character" w:customStyle="1" w:styleId="1a">
    <w:name w:val="书籍标题1"/>
    <w:uiPriority w:val="33"/>
    <w:qFormat/>
    <w:rsid w:val="00342714"/>
    <w:rPr>
      <w:rFonts w:ascii="Cambria" w:eastAsia="宋体" w:hAnsi="Cambria" w:cs="Times New Roman"/>
      <w:b/>
      <w:bCs/>
      <w:i/>
      <w:iCs/>
      <w:color w:val="auto"/>
    </w:rPr>
  </w:style>
  <w:style w:type="paragraph" w:customStyle="1" w:styleId="TOC1">
    <w:name w:val="TOC 标题1"/>
    <w:basedOn w:val="1"/>
    <w:next w:val="a"/>
    <w:uiPriority w:val="39"/>
    <w:unhideWhenUsed/>
    <w:qFormat/>
    <w:rsid w:val="00342714"/>
    <w:pPr>
      <w:widowControl/>
      <w:numPr>
        <w:numId w:val="0"/>
      </w:numPr>
      <w:pBdr>
        <w:bottom w:val="single" w:sz="12" w:space="1" w:color="365F91"/>
      </w:pBdr>
      <w:spacing w:beforeLines="0" w:afterLines="0"/>
      <w:ind w:firstLineChars="200" w:firstLine="200"/>
      <w:jc w:val="left"/>
      <w:outlineLvl w:val="9"/>
    </w:pPr>
    <w:rPr>
      <w:rFonts w:ascii="Cambria" w:eastAsia="仿宋" w:hAnsi="Cambria"/>
      <w:bCs/>
      <w:kern w:val="0"/>
      <w:sz w:val="28"/>
      <w:szCs w:val="24"/>
      <w:lang w:bidi="en-US"/>
    </w:rPr>
  </w:style>
  <w:style w:type="paragraph" w:customStyle="1" w:styleId="afe">
    <w:name w:val="正文文字"/>
    <w:basedOn w:val="a"/>
    <w:qFormat/>
    <w:rsid w:val="00342714"/>
    <w:pPr>
      <w:snapToGrid w:val="0"/>
      <w:spacing w:beforeLines="50" w:line="360" w:lineRule="auto"/>
      <w:ind w:left="980" w:firstLineChars="200" w:hanging="420"/>
    </w:pPr>
    <w:rPr>
      <w:rFonts w:ascii="宋体" w:eastAsia="仿宋" w:hAnsi="宋体" w:cs="Arial"/>
      <w:bCs/>
      <w:kern w:val="0"/>
      <w:sz w:val="30"/>
      <w:szCs w:val="21"/>
      <w:lang w:val="de-DE"/>
    </w:rPr>
  </w:style>
  <w:style w:type="paragraph" w:customStyle="1" w:styleId="CUCD-10">
    <w:name w:val="CUCD-1"/>
    <w:next w:val="a"/>
    <w:qFormat/>
    <w:rsid w:val="00342714"/>
    <w:pPr>
      <w:pageBreakBefore/>
      <w:spacing w:beforeLines="50" w:afterLines="50"/>
      <w:ind w:left="2835"/>
      <w:jc w:val="center"/>
      <w:outlineLvl w:val="0"/>
    </w:pPr>
    <w:rPr>
      <w:rFonts w:ascii="Arial" w:eastAsia="黑体" w:hAnsi="Arial" w:cs="Arial"/>
      <w:b/>
      <w:sz w:val="32"/>
      <w:szCs w:val="21"/>
    </w:rPr>
  </w:style>
  <w:style w:type="paragraph" w:customStyle="1" w:styleId="CUCD-20">
    <w:name w:val="CUCD-2"/>
    <w:next w:val="a"/>
    <w:qFormat/>
    <w:rsid w:val="00342714"/>
    <w:pPr>
      <w:jc w:val="both"/>
      <w:outlineLvl w:val="1"/>
    </w:pPr>
    <w:rPr>
      <w:rFonts w:ascii="Arial" w:eastAsia="宋体" w:hAnsi="宋体" w:cs="Arial"/>
      <w:b/>
      <w:sz w:val="28"/>
      <w:szCs w:val="28"/>
    </w:rPr>
  </w:style>
  <w:style w:type="paragraph" w:customStyle="1" w:styleId="CUCD-30">
    <w:name w:val="CUCD-3"/>
    <w:next w:val="a"/>
    <w:qFormat/>
    <w:rsid w:val="00342714"/>
    <w:pPr>
      <w:ind w:left="284"/>
      <w:jc w:val="both"/>
      <w:outlineLvl w:val="2"/>
    </w:pPr>
    <w:rPr>
      <w:rFonts w:ascii="Arial" w:eastAsia="宋体" w:hAnsi="Arial" w:cs="Times New Roman"/>
      <w:b/>
      <w:sz w:val="28"/>
      <w:szCs w:val="21"/>
    </w:rPr>
  </w:style>
  <w:style w:type="paragraph" w:customStyle="1" w:styleId="CUCD-40">
    <w:name w:val="CUCD-4"/>
    <w:next w:val="a"/>
    <w:qFormat/>
    <w:rsid w:val="00342714"/>
    <w:pPr>
      <w:jc w:val="both"/>
    </w:pPr>
    <w:rPr>
      <w:rFonts w:ascii="Arial" w:eastAsia="宋体" w:hAnsi="Arial" w:cs="Times New Roman"/>
      <w:b/>
      <w:sz w:val="28"/>
      <w:szCs w:val="21"/>
    </w:rPr>
  </w:style>
  <w:style w:type="paragraph" w:customStyle="1" w:styleId="CUCD-00">
    <w:name w:val="CUCD-0"/>
    <w:basedOn w:val="a"/>
    <w:link w:val="CUCD-0Char0"/>
    <w:qFormat/>
    <w:rsid w:val="00342714"/>
    <w:pPr>
      <w:spacing w:beforeLines="50" w:line="360" w:lineRule="auto"/>
      <w:ind w:firstLineChars="200" w:firstLine="200"/>
      <w:jc w:val="left"/>
    </w:pPr>
    <w:rPr>
      <w:rFonts w:ascii="Arial" w:eastAsia="仿宋" w:hAnsi="Arial"/>
      <w:kern w:val="0"/>
      <w:sz w:val="24"/>
      <w:szCs w:val="28"/>
    </w:rPr>
  </w:style>
  <w:style w:type="character" w:customStyle="1" w:styleId="CUCD-0Char0">
    <w:name w:val="CUCD-0 Char"/>
    <w:link w:val="CUCD-00"/>
    <w:qFormat/>
    <w:rsid w:val="00342714"/>
    <w:rPr>
      <w:rFonts w:ascii="Arial" w:eastAsia="仿宋" w:hAnsi="Arial" w:cs="Times New Roman"/>
      <w:kern w:val="0"/>
      <w:sz w:val="24"/>
      <w:szCs w:val="28"/>
    </w:rPr>
  </w:style>
  <w:style w:type="paragraph" w:customStyle="1" w:styleId="CUCD-H">
    <w:name w:val="CUCD-H"/>
    <w:next w:val="CUCD-00"/>
    <w:qFormat/>
    <w:rsid w:val="00342714"/>
    <w:pPr>
      <w:spacing w:line="360" w:lineRule="auto"/>
      <w:ind w:firstLine="360"/>
      <w:jc w:val="center"/>
    </w:pPr>
    <w:rPr>
      <w:rFonts w:ascii="宋体" w:eastAsia="宋体" w:hAnsi="宋体" w:cs="Arial"/>
      <w:sz w:val="24"/>
      <w:szCs w:val="21"/>
    </w:rPr>
  </w:style>
  <w:style w:type="paragraph" w:customStyle="1" w:styleId="aff">
    <w:name w:val="文本正文"/>
    <w:basedOn w:val="a"/>
    <w:link w:val="Charf3"/>
    <w:qFormat/>
    <w:rsid w:val="00342714"/>
    <w:pPr>
      <w:spacing w:line="360" w:lineRule="auto"/>
      <w:ind w:firstLineChars="200" w:firstLine="560"/>
    </w:pPr>
    <w:rPr>
      <w:rFonts w:ascii="仿宋" w:eastAsia="仿宋" w:hAnsi="仿宋"/>
      <w:kern w:val="0"/>
      <w:sz w:val="24"/>
      <w:szCs w:val="20"/>
    </w:rPr>
  </w:style>
  <w:style w:type="character" w:customStyle="1" w:styleId="Charf3">
    <w:name w:val="文本正文 Char"/>
    <w:link w:val="aff"/>
    <w:qFormat/>
    <w:rsid w:val="00342714"/>
    <w:rPr>
      <w:rFonts w:ascii="仿宋" w:eastAsia="仿宋" w:hAnsi="仿宋" w:cs="Times New Roman"/>
      <w:kern w:val="0"/>
      <w:sz w:val="24"/>
      <w:szCs w:val="20"/>
    </w:rPr>
  </w:style>
  <w:style w:type="paragraph" w:customStyle="1" w:styleId="aff0">
    <w:name w:val="图表标题靠右"/>
    <w:basedOn w:val="a7"/>
    <w:qFormat/>
    <w:rsid w:val="00342714"/>
    <w:pPr>
      <w:spacing w:after="0" w:line="360" w:lineRule="auto"/>
      <w:ind w:firstLineChars="200" w:firstLine="560"/>
      <w:jc w:val="right"/>
    </w:pPr>
    <w:rPr>
      <w:rFonts w:ascii="仿宋" w:eastAsia="黑体" w:hAnsi="仿宋"/>
      <w:szCs w:val="20"/>
    </w:rPr>
  </w:style>
  <w:style w:type="paragraph" w:customStyle="1" w:styleId="wsm">
    <w:name w:val="表名 wsm"/>
    <w:basedOn w:val="a"/>
    <w:link w:val="wsmChar"/>
    <w:qFormat/>
    <w:rsid w:val="00342714"/>
    <w:pPr>
      <w:adjustRightInd w:val="0"/>
      <w:snapToGrid w:val="0"/>
      <w:spacing w:line="360" w:lineRule="auto"/>
      <w:ind w:firstLineChars="200" w:firstLine="560"/>
      <w:jc w:val="center"/>
    </w:pPr>
    <w:rPr>
      <w:rFonts w:ascii="仿宋" w:eastAsia="黑体" w:hAnsi="仿宋"/>
      <w:kern w:val="0"/>
      <w:sz w:val="20"/>
      <w:szCs w:val="21"/>
    </w:rPr>
  </w:style>
  <w:style w:type="character" w:customStyle="1" w:styleId="wsmChar">
    <w:name w:val="表名 wsm Char"/>
    <w:link w:val="wsm"/>
    <w:qFormat/>
    <w:rsid w:val="00342714"/>
    <w:rPr>
      <w:rFonts w:ascii="仿宋" w:eastAsia="黑体" w:hAnsi="仿宋" w:cs="Times New Roman"/>
      <w:kern w:val="0"/>
      <w:sz w:val="20"/>
      <w:szCs w:val="21"/>
    </w:rPr>
  </w:style>
  <w:style w:type="paragraph" w:customStyle="1" w:styleId="wsm0">
    <w:name w:val="wsm 要点"/>
    <w:basedOn w:val="a"/>
    <w:qFormat/>
    <w:rsid w:val="00342714"/>
    <w:pPr>
      <w:adjustRightInd w:val="0"/>
      <w:snapToGrid w:val="0"/>
      <w:spacing w:line="360" w:lineRule="auto"/>
      <w:ind w:firstLineChars="200" w:firstLine="420"/>
      <w:jc w:val="left"/>
    </w:pPr>
    <w:rPr>
      <w:rFonts w:ascii="仿宋" w:eastAsia="仿宋_GB2312" w:hAnsi="仿宋"/>
      <w:b/>
      <w:sz w:val="30"/>
      <w:szCs w:val="21"/>
    </w:rPr>
  </w:style>
  <w:style w:type="character" w:customStyle="1" w:styleId="apple-style-span">
    <w:name w:val="apple-style-span"/>
    <w:basedOn w:val="a0"/>
    <w:qFormat/>
    <w:rsid w:val="00342714"/>
  </w:style>
  <w:style w:type="paragraph" w:customStyle="1" w:styleId="cauc-0">
    <w:name w:val="cauc-0"/>
    <w:link w:val="cauc-0Char"/>
    <w:qFormat/>
    <w:rsid w:val="00342714"/>
    <w:pPr>
      <w:spacing w:line="360" w:lineRule="auto"/>
      <w:ind w:firstLineChars="200" w:firstLine="480"/>
    </w:pPr>
    <w:rPr>
      <w:rFonts w:ascii="Calibri" w:eastAsia="宋体" w:hAnsi="Calibri" w:cs="Times New Roman"/>
      <w:kern w:val="0"/>
      <w:sz w:val="24"/>
      <w:szCs w:val="24"/>
    </w:rPr>
  </w:style>
  <w:style w:type="character" w:customStyle="1" w:styleId="cauc-0Char">
    <w:name w:val="cauc-0 Char"/>
    <w:link w:val="cauc-0"/>
    <w:qFormat/>
    <w:rsid w:val="00342714"/>
    <w:rPr>
      <w:rFonts w:ascii="Calibri" w:eastAsia="宋体" w:hAnsi="Calibri" w:cs="Times New Roman"/>
      <w:kern w:val="0"/>
      <w:sz w:val="24"/>
      <w:szCs w:val="24"/>
    </w:rPr>
  </w:style>
  <w:style w:type="character" w:customStyle="1" w:styleId="bdsnopic2">
    <w:name w:val="bds_nopic2"/>
    <w:basedOn w:val="a0"/>
    <w:qFormat/>
    <w:rsid w:val="00342714"/>
  </w:style>
  <w:style w:type="paragraph" w:customStyle="1" w:styleId="font5">
    <w:name w:val="font5"/>
    <w:basedOn w:val="a"/>
    <w:qFormat/>
    <w:rsid w:val="00342714"/>
    <w:pPr>
      <w:widowControl/>
      <w:spacing w:before="100" w:beforeAutospacing="1" w:after="100" w:afterAutospacing="1" w:line="360" w:lineRule="auto"/>
      <w:ind w:firstLineChars="200" w:firstLine="200"/>
      <w:jc w:val="left"/>
    </w:pPr>
    <w:rPr>
      <w:rFonts w:ascii="宋体" w:eastAsia="仿宋" w:hAnsi="宋体" w:cs="宋体"/>
      <w:kern w:val="0"/>
      <w:sz w:val="18"/>
      <w:szCs w:val="18"/>
    </w:rPr>
  </w:style>
  <w:style w:type="paragraph" w:customStyle="1" w:styleId="xl65">
    <w:name w:val="xl65"/>
    <w:basedOn w:val="a"/>
    <w:qFormat/>
    <w:rsid w:val="0034271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textAlignment w:val="center"/>
    </w:pPr>
    <w:rPr>
      <w:rFonts w:ascii="宋体" w:eastAsia="仿宋" w:hAnsi="宋体" w:cs="宋体"/>
      <w:kern w:val="0"/>
      <w:sz w:val="20"/>
      <w:szCs w:val="20"/>
    </w:rPr>
  </w:style>
  <w:style w:type="paragraph" w:customStyle="1" w:styleId="xl66">
    <w:name w:val="xl66"/>
    <w:basedOn w:val="a"/>
    <w:qFormat/>
    <w:rsid w:val="0034271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宋体" w:eastAsia="仿宋" w:hAnsi="宋体" w:cs="宋体"/>
      <w:kern w:val="0"/>
      <w:sz w:val="20"/>
      <w:szCs w:val="20"/>
    </w:rPr>
  </w:style>
  <w:style w:type="paragraph" w:customStyle="1" w:styleId="xl67">
    <w:name w:val="xl67"/>
    <w:basedOn w:val="a"/>
    <w:qFormat/>
    <w:rsid w:val="0034271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200"/>
      <w:jc w:val="center"/>
      <w:textAlignment w:val="center"/>
    </w:pPr>
    <w:rPr>
      <w:rFonts w:ascii="宋体" w:eastAsia="仿宋" w:hAnsi="宋体" w:cs="宋体"/>
      <w:kern w:val="0"/>
      <w:sz w:val="20"/>
      <w:szCs w:val="20"/>
    </w:rPr>
  </w:style>
  <w:style w:type="paragraph" w:customStyle="1" w:styleId="xl68">
    <w:name w:val="xl68"/>
    <w:basedOn w:val="a"/>
    <w:qFormat/>
    <w:rsid w:val="0034271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宋体" w:eastAsia="仿宋" w:hAnsi="宋体" w:cs="宋体"/>
      <w:color w:val="FF0000"/>
      <w:kern w:val="0"/>
      <w:sz w:val="20"/>
      <w:szCs w:val="20"/>
    </w:rPr>
  </w:style>
  <w:style w:type="paragraph" w:customStyle="1" w:styleId="xl69">
    <w:name w:val="xl69"/>
    <w:basedOn w:val="a"/>
    <w:qFormat/>
    <w:rsid w:val="0034271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仿宋" w:hAnsi="宋体" w:cs="宋体"/>
      <w:kern w:val="0"/>
      <w:sz w:val="24"/>
      <w:szCs w:val="24"/>
    </w:rPr>
  </w:style>
  <w:style w:type="paragraph" w:customStyle="1" w:styleId="xl70">
    <w:name w:val="xl70"/>
    <w:basedOn w:val="a"/>
    <w:qFormat/>
    <w:rsid w:val="0034271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宋体" w:eastAsia="仿宋" w:hAnsi="宋体" w:cs="宋体"/>
      <w:kern w:val="0"/>
      <w:sz w:val="20"/>
      <w:szCs w:val="20"/>
    </w:rPr>
  </w:style>
  <w:style w:type="paragraph" w:customStyle="1" w:styleId="xl71">
    <w:name w:val="xl71"/>
    <w:basedOn w:val="a"/>
    <w:qFormat/>
    <w:rsid w:val="00342714"/>
    <w:pPr>
      <w:widowControl/>
      <w:spacing w:before="100" w:beforeAutospacing="1" w:after="100" w:afterAutospacing="1" w:line="360" w:lineRule="auto"/>
      <w:ind w:firstLineChars="200" w:firstLine="200"/>
      <w:jc w:val="left"/>
      <w:textAlignment w:val="center"/>
    </w:pPr>
    <w:rPr>
      <w:rFonts w:ascii="宋体" w:eastAsia="仿宋" w:hAnsi="宋体" w:cs="宋体"/>
      <w:kern w:val="0"/>
      <w:sz w:val="20"/>
      <w:szCs w:val="20"/>
    </w:rPr>
  </w:style>
  <w:style w:type="paragraph" w:customStyle="1" w:styleId="xl72">
    <w:name w:val="xl72"/>
    <w:basedOn w:val="a"/>
    <w:qFormat/>
    <w:rsid w:val="00342714"/>
    <w:pPr>
      <w:widowControl/>
      <w:spacing w:before="100" w:beforeAutospacing="1" w:after="100" w:afterAutospacing="1" w:line="360" w:lineRule="auto"/>
      <w:ind w:firstLineChars="200" w:firstLine="200"/>
      <w:jc w:val="right"/>
      <w:textAlignment w:val="center"/>
    </w:pPr>
    <w:rPr>
      <w:rFonts w:ascii="宋体" w:eastAsia="仿宋" w:hAnsi="宋体" w:cs="宋体"/>
      <w:kern w:val="0"/>
      <w:sz w:val="20"/>
      <w:szCs w:val="20"/>
    </w:rPr>
  </w:style>
  <w:style w:type="paragraph" w:customStyle="1" w:styleId="xl73">
    <w:name w:val="xl73"/>
    <w:basedOn w:val="a"/>
    <w:qFormat/>
    <w:rsid w:val="00342714"/>
    <w:pPr>
      <w:widowControl/>
      <w:spacing w:before="100" w:beforeAutospacing="1" w:after="100" w:afterAutospacing="1" w:line="360" w:lineRule="auto"/>
      <w:ind w:firstLineChars="200" w:firstLine="200"/>
      <w:jc w:val="left"/>
      <w:textAlignment w:val="center"/>
    </w:pPr>
    <w:rPr>
      <w:rFonts w:ascii="宋体" w:eastAsia="仿宋" w:hAnsi="宋体" w:cs="宋体"/>
      <w:kern w:val="0"/>
      <w:sz w:val="28"/>
      <w:szCs w:val="28"/>
    </w:rPr>
  </w:style>
  <w:style w:type="paragraph" w:customStyle="1" w:styleId="xl74">
    <w:name w:val="xl74"/>
    <w:basedOn w:val="a"/>
    <w:qFormat/>
    <w:rsid w:val="003427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200"/>
      <w:jc w:val="center"/>
      <w:textAlignment w:val="center"/>
    </w:pPr>
    <w:rPr>
      <w:rFonts w:ascii="宋体" w:eastAsia="仿宋" w:hAnsi="宋体" w:cs="宋体"/>
      <w:kern w:val="0"/>
      <w:sz w:val="20"/>
      <w:szCs w:val="20"/>
    </w:rPr>
  </w:style>
  <w:style w:type="paragraph" w:customStyle="1" w:styleId="xl75">
    <w:name w:val="xl75"/>
    <w:basedOn w:val="a"/>
    <w:qFormat/>
    <w:rsid w:val="0034271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宋体" w:eastAsia="仿宋" w:hAnsi="宋体" w:cs="宋体"/>
      <w:color w:val="00B050"/>
      <w:kern w:val="0"/>
      <w:sz w:val="20"/>
      <w:szCs w:val="20"/>
    </w:rPr>
  </w:style>
  <w:style w:type="paragraph" w:customStyle="1" w:styleId="xl76">
    <w:name w:val="xl76"/>
    <w:basedOn w:val="a"/>
    <w:qFormat/>
    <w:rsid w:val="00342714"/>
    <w:pPr>
      <w:widowControl/>
      <w:spacing w:before="100" w:beforeAutospacing="1" w:after="100" w:afterAutospacing="1" w:line="360" w:lineRule="auto"/>
      <w:ind w:firstLineChars="200" w:firstLine="200"/>
      <w:jc w:val="center"/>
      <w:textAlignment w:val="center"/>
    </w:pPr>
    <w:rPr>
      <w:rFonts w:ascii="宋体" w:eastAsia="仿宋" w:hAnsi="宋体" w:cs="宋体"/>
      <w:kern w:val="0"/>
      <w:sz w:val="28"/>
      <w:szCs w:val="28"/>
    </w:rPr>
  </w:style>
  <w:style w:type="paragraph" w:customStyle="1" w:styleId="xl77">
    <w:name w:val="xl77"/>
    <w:basedOn w:val="a"/>
    <w:qFormat/>
    <w:rsid w:val="00342714"/>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textAlignment w:val="center"/>
    </w:pPr>
    <w:rPr>
      <w:rFonts w:ascii="宋体" w:eastAsia="仿宋" w:hAnsi="宋体" w:cs="宋体"/>
      <w:kern w:val="0"/>
      <w:sz w:val="20"/>
      <w:szCs w:val="20"/>
    </w:rPr>
  </w:style>
  <w:style w:type="paragraph" w:customStyle="1" w:styleId="xl78">
    <w:name w:val="xl78"/>
    <w:basedOn w:val="a"/>
    <w:qFormat/>
    <w:rsid w:val="00342714"/>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textAlignment w:val="center"/>
    </w:pPr>
    <w:rPr>
      <w:rFonts w:ascii="宋体" w:eastAsia="仿宋" w:hAnsi="宋体" w:cs="宋体"/>
      <w:kern w:val="0"/>
      <w:sz w:val="20"/>
      <w:szCs w:val="20"/>
    </w:rPr>
  </w:style>
  <w:style w:type="paragraph" w:customStyle="1" w:styleId="Default">
    <w:name w:val="Default"/>
    <w:qFormat/>
    <w:rsid w:val="00342714"/>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1b">
    <w:name w:val="列出段落1"/>
    <w:basedOn w:val="a"/>
    <w:uiPriority w:val="34"/>
    <w:qFormat/>
    <w:rsid w:val="00342714"/>
    <w:pPr>
      <w:ind w:firstLineChars="200" w:firstLine="420"/>
    </w:pPr>
    <w:rPr>
      <w:kern w:val="0"/>
      <w:sz w:val="20"/>
      <w:szCs w:val="20"/>
    </w:rPr>
  </w:style>
  <w:style w:type="paragraph" w:customStyle="1" w:styleId="aff1">
    <w:name w:val="带编号正文"/>
    <w:basedOn w:val="a"/>
    <w:link w:val="Charf4"/>
    <w:qFormat/>
    <w:rsid w:val="00342714"/>
    <w:pPr>
      <w:widowControl/>
      <w:spacing w:line="360" w:lineRule="auto"/>
      <w:ind w:firstLineChars="200" w:firstLine="600"/>
      <w:jc w:val="left"/>
    </w:pPr>
    <w:rPr>
      <w:rFonts w:ascii="仿宋" w:eastAsia="仿宋" w:hAnsi="仿宋"/>
      <w:kern w:val="0"/>
      <w:sz w:val="30"/>
      <w:szCs w:val="30"/>
    </w:rPr>
  </w:style>
  <w:style w:type="character" w:customStyle="1" w:styleId="Charf4">
    <w:name w:val="带编号正文 Char"/>
    <w:basedOn w:val="a0"/>
    <w:link w:val="aff1"/>
    <w:qFormat/>
    <w:rsid w:val="00342714"/>
    <w:rPr>
      <w:rFonts w:ascii="仿宋" w:eastAsia="仿宋" w:hAnsi="仿宋" w:cs="Times New Roman"/>
      <w:kern w:val="0"/>
      <w:sz w:val="30"/>
      <w:szCs w:val="30"/>
    </w:rPr>
  </w:style>
  <w:style w:type="paragraph" w:customStyle="1" w:styleId="aff2">
    <w:name w:val="三级标题正文"/>
    <w:basedOn w:val="afc"/>
    <w:link w:val="Charf5"/>
    <w:qFormat/>
    <w:rsid w:val="00342714"/>
    <w:pPr>
      <w:ind w:left="425" w:firstLineChars="0" w:firstLine="0"/>
    </w:pPr>
    <w:rPr>
      <w:rFonts w:cs="仿宋_GB2312"/>
      <w:b w:val="0"/>
      <w:kern w:val="0"/>
      <w:sz w:val="30"/>
      <w:szCs w:val="30"/>
    </w:rPr>
  </w:style>
  <w:style w:type="character" w:customStyle="1" w:styleId="Charf5">
    <w:name w:val="三级标题正文 Char"/>
    <w:basedOn w:val="Chare"/>
    <w:link w:val="aff2"/>
    <w:qFormat/>
    <w:rsid w:val="00342714"/>
    <w:rPr>
      <w:rFonts w:cs="仿宋_GB2312"/>
      <w:kern w:val="0"/>
      <w:sz w:val="30"/>
      <w:szCs w:val="30"/>
    </w:rPr>
  </w:style>
  <w:style w:type="character" w:customStyle="1" w:styleId="cucd-0Char1">
    <w:name w:val="cucd-0 Char1"/>
    <w:qFormat/>
    <w:rsid w:val="00342714"/>
    <w:rPr>
      <w:kern w:val="2"/>
      <w:sz w:val="24"/>
      <w:szCs w:val="24"/>
    </w:rPr>
  </w:style>
  <w:style w:type="character" w:customStyle="1" w:styleId="apple-converted-space">
    <w:name w:val="apple-converted-space"/>
    <w:basedOn w:val="a0"/>
    <w:qFormat/>
    <w:rsid w:val="00342714"/>
  </w:style>
  <w:style w:type="character" w:customStyle="1" w:styleId="Char11">
    <w:name w:val="日期 Char1"/>
    <w:uiPriority w:val="99"/>
    <w:qFormat/>
    <w:rsid w:val="00342714"/>
    <w:rPr>
      <w:rFonts w:ascii="Calibri" w:eastAsia="宋体" w:hAnsi="Calibri"/>
      <w:kern w:val="2"/>
      <w:sz w:val="21"/>
    </w:rPr>
  </w:style>
  <w:style w:type="character" w:customStyle="1" w:styleId="Char12">
    <w:name w:val="批注框文本 Char1"/>
    <w:uiPriority w:val="99"/>
    <w:qFormat/>
    <w:rsid w:val="00342714"/>
    <w:rPr>
      <w:rFonts w:ascii="Calibri" w:eastAsia="宋体" w:hAnsi="Calibri"/>
      <w:kern w:val="2"/>
      <w:sz w:val="18"/>
      <w:szCs w:val="18"/>
    </w:rPr>
  </w:style>
  <w:style w:type="character" w:customStyle="1" w:styleId="Char13">
    <w:name w:val="页脚 Char1"/>
    <w:uiPriority w:val="99"/>
    <w:qFormat/>
    <w:rsid w:val="00342714"/>
    <w:rPr>
      <w:rFonts w:ascii="Calibri" w:eastAsia="宋体" w:hAnsi="Calibri"/>
      <w:kern w:val="2"/>
      <w:sz w:val="18"/>
      <w:szCs w:val="18"/>
    </w:rPr>
  </w:style>
  <w:style w:type="character" w:customStyle="1" w:styleId="Char14">
    <w:name w:val="页眉 Char1"/>
    <w:uiPriority w:val="99"/>
    <w:qFormat/>
    <w:rsid w:val="00342714"/>
    <w:rPr>
      <w:rFonts w:ascii="Calibri" w:eastAsia="宋体" w:hAnsi="Calibri"/>
      <w:kern w:val="2"/>
      <w:sz w:val="18"/>
      <w:szCs w:val="18"/>
    </w:rPr>
  </w:style>
  <w:style w:type="character" w:customStyle="1" w:styleId="Char15">
    <w:name w:val="脚注文本 Char1"/>
    <w:uiPriority w:val="99"/>
    <w:qFormat/>
    <w:rsid w:val="00342714"/>
    <w:rPr>
      <w:rFonts w:ascii="Calibri" w:eastAsia="宋体" w:hAnsi="Calibri"/>
      <w:kern w:val="2"/>
      <w:sz w:val="18"/>
      <w:szCs w:val="18"/>
    </w:rPr>
  </w:style>
  <w:style w:type="paragraph" w:customStyle="1" w:styleId="xl31">
    <w:name w:val="xl31"/>
    <w:basedOn w:val="a"/>
    <w:qFormat/>
    <w:rsid w:val="00342714"/>
    <w:pPr>
      <w:widowControl/>
      <w:pBdr>
        <w:bottom w:val="single" w:sz="4" w:space="0" w:color="auto"/>
        <w:right w:val="single" w:sz="4" w:space="0" w:color="auto"/>
      </w:pBdr>
      <w:spacing w:before="100" w:beforeAutospacing="1" w:after="100" w:afterAutospacing="1"/>
      <w:jc w:val="center"/>
    </w:pPr>
    <w:rPr>
      <w:rFonts w:ascii="宋体" w:hAnsi="宋体"/>
      <w:kern w:val="0"/>
      <w:szCs w:val="20"/>
    </w:rPr>
  </w:style>
  <w:style w:type="paragraph" w:styleId="aff3">
    <w:name w:val="List Paragraph"/>
    <w:basedOn w:val="a"/>
    <w:uiPriority w:val="34"/>
    <w:qFormat/>
    <w:rsid w:val="00342714"/>
    <w:pPr>
      <w:spacing w:line="360" w:lineRule="auto"/>
      <w:ind w:firstLineChars="200" w:firstLine="420"/>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2128</Words>
  <Characters>12135</Characters>
  <Application>Microsoft Office Word</Application>
  <DocSecurity>0</DocSecurity>
  <Lines>101</Lines>
  <Paragraphs>28</Paragraphs>
  <ScaleCrop>false</ScaleCrop>
  <Company>微软中国</Company>
  <LinksUpToDate>false</LinksUpToDate>
  <CharactersWithSpaces>14235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2020-07-09T01:17:00Z</dcterms:created>
  <dcterms:modified xsi:type="dcterms:W3CDTF">2020-07-09T01:18:00Z</dcterms:modified>
</cp:coreProperties>
</file>