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03" w:rsidRDefault="00C45003" w:rsidP="00C45003">
      <w:pPr>
        <w:spacing w:after="100" w:afterAutospacing="1"/>
        <w:jc w:val="center"/>
        <w:outlineLvl w:val="0"/>
        <w:rPr>
          <w:rFonts w:ascii="黑体" w:eastAsia="黑体" w:hint="eastAsia"/>
          <w:sz w:val="28"/>
          <w:szCs w:val="28"/>
        </w:rPr>
      </w:pPr>
      <w:r>
        <w:rPr>
          <w:rFonts w:ascii="黑体" w:eastAsia="黑体" w:hint="eastAsia"/>
          <w:sz w:val="28"/>
          <w:szCs w:val="28"/>
        </w:rPr>
        <w:t>资格预审公告</w:t>
      </w:r>
    </w:p>
    <w:p w:rsidR="00C45003" w:rsidRDefault="00C45003" w:rsidP="00C45003">
      <w:pPr>
        <w:pStyle w:val="a3"/>
        <w:spacing w:line="360" w:lineRule="auto"/>
        <w:ind w:left="0" w:firstLineChars="200" w:firstLine="420"/>
        <w:rPr>
          <w:rFonts w:ascii="宋体" w:eastAsia="宋体" w:hAnsi="宋体" w:hint="eastAsia"/>
          <w:bCs/>
          <w:sz w:val="21"/>
          <w:szCs w:val="21"/>
        </w:rPr>
      </w:pPr>
      <w:bookmarkStart w:id="0" w:name="OLE_LINK1"/>
      <w:bookmarkStart w:id="1" w:name="OLE_LINK2"/>
      <w:r>
        <w:rPr>
          <w:rFonts w:ascii="宋体" w:eastAsia="宋体" w:hAnsi="宋体" w:hint="eastAsia"/>
          <w:bCs/>
          <w:sz w:val="21"/>
          <w:szCs w:val="21"/>
        </w:rPr>
        <w:t>广西鑫润建设项目管理有限公司受</w:t>
      </w:r>
      <w:r>
        <w:rPr>
          <w:rFonts w:ascii="宋体" w:eastAsia="宋体" w:hAnsi="宋体" w:hint="eastAsia"/>
          <w:b/>
          <w:bCs/>
          <w:sz w:val="21"/>
          <w:szCs w:val="21"/>
          <w:u w:val="single"/>
        </w:rPr>
        <w:t>柳州市文化广电和旅游局</w:t>
      </w:r>
      <w:r>
        <w:rPr>
          <w:rFonts w:ascii="宋体" w:eastAsia="宋体" w:hAnsi="宋体" w:hint="eastAsia"/>
          <w:bCs/>
          <w:sz w:val="21"/>
          <w:szCs w:val="21"/>
        </w:rPr>
        <w:t>委托，根据《中华人民共和国政府采购法》和《政府和社会资本合作项目政府采购管理办法》等有关法律、行政法规以及省市规范性文件规定，经财政部门批准的政府采购计划（清单编号：</w:t>
      </w:r>
      <w:r w:rsidRPr="003F2170">
        <w:rPr>
          <w:rFonts w:ascii="宋体" w:eastAsia="宋体" w:hAnsi="宋体" w:hint="eastAsia"/>
          <w:bCs/>
          <w:sz w:val="21"/>
          <w:szCs w:val="21"/>
        </w:rPr>
        <w:t>柳政采2005176</w:t>
      </w:r>
      <w:r>
        <w:rPr>
          <w:rFonts w:ascii="宋体" w:eastAsia="宋体" w:hAnsi="宋体" w:hint="eastAsia"/>
          <w:bCs/>
          <w:sz w:val="21"/>
          <w:szCs w:val="21"/>
        </w:rPr>
        <w:t>）批准，就</w:t>
      </w:r>
      <w:r>
        <w:rPr>
          <w:rFonts w:ascii="宋体" w:eastAsia="宋体" w:hAnsi="宋体" w:hint="eastAsia"/>
          <w:b/>
          <w:bCs/>
          <w:sz w:val="21"/>
          <w:szCs w:val="21"/>
          <w:u w:val="single"/>
        </w:rPr>
        <w:t>柳州市图书馆（新馆）PPP项目社会资本方采购</w:t>
      </w:r>
      <w:r>
        <w:rPr>
          <w:rFonts w:ascii="宋体" w:eastAsia="宋体" w:hAnsi="宋体" w:hint="eastAsia"/>
          <w:bCs/>
          <w:sz w:val="21"/>
          <w:szCs w:val="21"/>
        </w:rPr>
        <w:t>项目进行资格预审，现将资格预审有关事宜公告如下，特邀请符合条件的社会资本（以下简称申请人）参与资格预审：</w:t>
      </w:r>
    </w:p>
    <w:p w:rsidR="00C45003" w:rsidRDefault="00C45003" w:rsidP="00C45003">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13"/>
        <w:rPr>
          <w:rFonts w:ascii="宋体" w:hAnsi="宋体" w:hint="eastAsia"/>
          <w:b/>
          <w:bCs/>
          <w:szCs w:val="21"/>
        </w:rPr>
      </w:pPr>
      <w:r>
        <w:rPr>
          <w:rFonts w:ascii="宋体" w:hAnsi="宋体" w:hint="eastAsia"/>
          <w:b/>
          <w:bCs/>
          <w:szCs w:val="21"/>
        </w:rPr>
        <w:t>一、项目名称：柳州市图书馆（新馆）PPP项目社会资本方采购</w:t>
      </w:r>
    </w:p>
    <w:p w:rsidR="00C45003" w:rsidRDefault="00C45003" w:rsidP="00C45003">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Chars="196" w:firstLine="413"/>
        <w:rPr>
          <w:rFonts w:ascii="宋体" w:hAnsi="宋体" w:hint="eastAsia"/>
          <w:b/>
          <w:bCs/>
          <w:szCs w:val="21"/>
        </w:rPr>
      </w:pPr>
      <w:r>
        <w:rPr>
          <w:rFonts w:ascii="宋体" w:hAnsi="宋体" w:hint="eastAsia"/>
          <w:b/>
          <w:bCs/>
          <w:szCs w:val="21"/>
        </w:rPr>
        <w:t>二、采购编号：</w:t>
      </w:r>
      <w:r w:rsidRPr="003F2170">
        <w:rPr>
          <w:rFonts w:ascii="宋体" w:hAnsi="宋体"/>
          <w:b/>
          <w:bCs/>
          <w:szCs w:val="21"/>
        </w:rPr>
        <w:t>LZG20-140</w:t>
      </w:r>
    </w:p>
    <w:p w:rsidR="00C45003" w:rsidRDefault="00C45003" w:rsidP="00C45003">
      <w:pPr>
        <w:pStyle w:val="a3"/>
        <w:spacing w:line="360" w:lineRule="auto"/>
        <w:ind w:left="0" w:firstLineChars="200" w:firstLine="422"/>
        <w:rPr>
          <w:rFonts w:ascii="宋体" w:eastAsia="宋体" w:hAnsi="宋体" w:hint="eastAsia"/>
          <w:bCs/>
          <w:sz w:val="21"/>
          <w:szCs w:val="21"/>
        </w:rPr>
      </w:pPr>
      <w:r>
        <w:rPr>
          <w:rFonts w:ascii="宋体" w:eastAsia="宋体" w:hAnsi="宋体" w:hint="eastAsia"/>
          <w:b/>
          <w:bCs/>
          <w:sz w:val="21"/>
          <w:szCs w:val="21"/>
        </w:rPr>
        <w:t>三、采购内容：（如需进一步了解，详见招标文件）</w:t>
      </w:r>
    </w:p>
    <w:p w:rsidR="00C45003" w:rsidRDefault="00C45003" w:rsidP="00C45003">
      <w:pPr>
        <w:pStyle w:val="a3"/>
        <w:spacing w:line="360" w:lineRule="auto"/>
        <w:ind w:left="0" w:firstLineChars="200" w:firstLine="422"/>
        <w:rPr>
          <w:rFonts w:ascii="宋体" w:eastAsia="宋体" w:hAnsi="宋体"/>
          <w:b/>
          <w:bCs/>
          <w:sz w:val="21"/>
          <w:szCs w:val="21"/>
        </w:rPr>
      </w:pPr>
      <w:r>
        <w:rPr>
          <w:rFonts w:ascii="宋体" w:eastAsia="宋体" w:hAnsi="宋体" w:hint="eastAsia"/>
          <w:b/>
          <w:bCs/>
          <w:sz w:val="21"/>
          <w:szCs w:val="21"/>
        </w:rPr>
        <w:t>1.采购条件</w:t>
      </w:r>
    </w:p>
    <w:p w:rsidR="00C45003" w:rsidRDefault="00C45003" w:rsidP="00C45003">
      <w:pPr>
        <w:pStyle w:val="a3"/>
        <w:spacing w:line="360" w:lineRule="auto"/>
        <w:ind w:left="0" w:firstLineChars="200" w:firstLine="422"/>
        <w:rPr>
          <w:rFonts w:ascii="宋体" w:eastAsia="宋体" w:hAnsi="宋体" w:hint="eastAsia"/>
          <w:sz w:val="21"/>
          <w:szCs w:val="21"/>
        </w:rPr>
      </w:pPr>
      <w:r>
        <w:rPr>
          <w:rFonts w:ascii="宋体" w:eastAsia="宋体" w:hAnsi="宋体" w:hint="eastAsia"/>
          <w:b/>
          <w:bCs/>
          <w:sz w:val="21"/>
          <w:szCs w:val="21"/>
          <w:u w:val="single"/>
        </w:rPr>
        <w:t>柳州市图书馆（新馆）PPP项目社会资本方采购</w:t>
      </w:r>
      <w:r>
        <w:rPr>
          <w:rFonts w:ascii="宋体" w:eastAsia="宋体" w:hAnsi="宋体" w:hint="eastAsia"/>
          <w:sz w:val="21"/>
          <w:szCs w:val="21"/>
        </w:rPr>
        <w:t>项目已由柳州市</w:t>
      </w:r>
      <w:r>
        <w:rPr>
          <w:rFonts w:ascii="宋体" w:eastAsia="宋体" w:hAnsi="宋体" w:hint="eastAsia"/>
          <w:sz w:val="21"/>
          <w:szCs w:val="21"/>
          <w:u w:val="single"/>
        </w:rPr>
        <w:t>人民政府</w:t>
      </w:r>
      <w:r>
        <w:rPr>
          <w:rFonts w:ascii="宋体" w:eastAsia="宋体" w:hAnsi="宋体" w:hint="eastAsia"/>
          <w:sz w:val="21"/>
          <w:szCs w:val="21"/>
        </w:rPr>
        <w:t>（项目授权主体）授权</w:t>
      </w:r>
      <w:r>
        <w:rPr>
          <w:rFonts w:ascii="宋体" w:eastAsia="宋体" w:hAnsi="宋体" w:hint="eastAsia"/>
          <w:b/>
          <w:bCs/>
          <w:sz w:val="21"/>
          <w:szCs w:val="21"/>
          <w:u w:val="single"/>
        </w:rPr>
        <w:t>柳州市文化广电和旅游局</w:t>
      </w:r>
      <w:r>
        <w:rPr>
          <w:rFonts w:ascii="宋体" w:eastAsia="宋体" w:hAnsi="宋体"/>
          <w:bCs/>
          <w:sz w:val="21"/>
          <w:szCs w:val="21"/>
        </w:rPr>
        <w:t>（采购人</w:t>
      </w:r>
      <w:r>
        <w:rPr>
          <w:rFonts w:ascii="宋体" w:eastAsia="宋体" w:hAnsi="宋体" w:hint="eastAsia"/>
          <w:bCs/>
          <w:sz w:val="21"/>
          <w:szCs w:val="21"/>
        </w:rPr>
        <w:t>，以下简称“文广旅局”</w:t>
      </w:r>
      <w:r>
        <w:rPr>
          <w:rFonts w:ascii="宋体" w:eastAsia="宋体" w:hAnsi="宋体"/>
          <w:bCs/>
          <w:sz w:val="21"/>
          <w:szCs w:val="21"/>
        </w:rPr>
        <w:t>）</w:t>
      </w:r>
      <w:r>
        <w:rPr>
          <w:rFonts w:ascii="宋体" w:eastAsia="宋体" w:hAnsi="宋体" w:hint="eastAsia"/>
          <w:sz w:val="21"/>
          <w:szCs w:val="21"/>
        </w:rPr>
        <w:t>为</w:t>
      </w:r>
      <w:r>
        <w:rPr>
          <w:rFonts w:ascii="宋体" w:eastAsia="宋体" w:hAnsi="宋体" w:hint="eastAsia"/>
          <w:b/>
          <w:bCs/>
          <w:sz w:val="21"/>
          <w:szCs w:val="21"/>
          <w:u w:val="single"/>
        </w:rPr>
        <w:t>柳州市图书馆（新馆）PPP项目</w:t>
      </w:r>
      <w:r>
        <w:rPr>
          <w:rFonts w:ascii="宋体" w:eastAsia="宋体" w:hAnsi="宋体" w:hint="eastAsia"/>
          <w:sz w:val="21"/>
          <w:szCs w:val="21"/>
        </w:rPr>
        <w:t>的实施机构，</w:t>
      </w:r>
      <w:r>
        <w:rPr>
          <w:rFonts w:ascii="宋体" w:eastAsia="宋体" w:hAnsi="宋体" w:hint="eastAsia"/>
          <w:b/>
          <w:bCs/>
          <w:sz w:val="21"/>
          <w:szCs w:val="21"/>
          <w:u w:val="single"/>
        </w:rPr>
        <w:t>广西柳州市东城投资开发集团有限公司</w:t>
      </w:r>
      <w:r>
        <w:rPr>
          <w:rFonts w:ascii="宋体" w:eastAsia="宋体" w:hAnsi="宋体" w:hint="eastAsia"/>
          <w:bCs/>
          <w:sz w:val="21"/>
          <w:szCs w:val="21"/>
        </w:rPr>
        <w:t>（以下简称“东城集团”）做为政府方出资代表，</w:t>
      </w:r>
      <w:r>
        <w:rPr>
          <w:rFonts w:ascii="宋体" w:eastAsia="宋体" w:hAnsi="宋体" w:hint="eastAsia"/>
          <w:sz w:val="21"/>
          <w:szCs w:val="21"/>
        </w:rPr>
        <w:t>并以柳州市人民政府</w:t>
      </w:r>
      <w:r>
        <w:rPr>
          <w:rFonts w:ascii="宋体" w:eastAsia="宋体" w:hAnsi="宋体" w:hint="eastAsia"/>
          <w:sz w:val="21"/>
          <w:szCs w:val="21"/>
          <w:u w:val="single"/>
        </w:rPr>
        <w:t xml:space="preserve">  柳政函（2020）161号</w:t>
      </w:r>
      <w:r>
        <w:rPr>
          <w:rFonts w:ascii="宋体" w:eastAsia="宋体" w:hAnsi="宋体" w:cs="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文件审核通过了项目实施方案，采用政府和社会资本合作模式（PPP）</w:t>
      </w:r>
      <w:r>
        <w:rPr>
          <w:rFonts w:ascii="宋体" w:eastAsia="宋体" w:hAnsi="宋体" w:hint="eastAsia"/>
          <w:bCs/>
          <w:sz w:val="21"/>
          <w:szCs w:val="21"/>
        </w:rPr>
        <w:t>，采购方式为</w:t>
      </w:r>
      <w:r>
        <w:rPr>
          <w:rFonts w:ascii="宋体" w:eastAsia="宋体" w:hAnsi="宋体" w:hint="eastAsia"/>
          <w:b/>
          <w:bCs/>
          <w:sz w:val="21"/>
          <w:szCs w:val="21"/>
          <w:u w:val="single"/>
        </w:rPr>
        <w:t>公开招标</w:t>
      </w:r>
      <w:r>
        <w:rPr>
          <w:rFonts w:ascii="宋体" w:eastAsia="宋体" w:hAnsi="宋体" w:hint="eastAsia"/>
          <w:sz w:val="21"/>
          <w:szCs w:val="21"/>
        </w:rPr>
        <w:t>。</w:t>
      </w:r>
    </w:p>
    <w:p w:rsidR="00C45003" w:rsidRDefault="00C45003" w:rsidP="00C45003">
      <w:pPr>
        <w:pStyle w:val="a3"/>
        <w:spacing w:line="360" w:lineRule="auto"/>
        <w:ind w:left="0" w:firstLineChars="200" w:firstLine="422"/>
        <w:rPr>
          <w:rFonts w:ascii="宋体" w:eastAsia="宋体" w:hAnsi="宋体"/>
          <w:b/>
          <w:bCs/>
          <w:sz w:val="21"/>
          <w:szCs w:val="21"/>
        </w:rPr>
      </w:pPr>
      <w:r>
        <w:rPr>
          <w:rFonts w:ascii="宋体" w:eastAsia="宋体" w:hAnsi="宋体"/>
          <w:b/>
          <w:bCs/>
          <w:sz w:val="21"/>
          <w:szCs w:val="21"/>
        </w:rPr>
        <w:t>2</w:t>
      </w:r>
      <w:r>
        <w:rPr>
          <w:rFonts w:ascii="宋体" w:eastAsia="宋体" w:hAnsi="宋体" w:hint="eastAsia"/>
          <w:b/>
          <w:bCs/>
          <w:sz w:val="21"/>
          <w:szCs w:val="21"/>
        </w:rPr>
        <w:t>.项目概况</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2.1建设地点</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本项目</w:t>
      </w:r>
      <w:r>
        <w:rPr>
          <w:rFonts w:hint="eastAsia"/>
          <w:szCs w:val="30"/>
        </w:rPr>
        <w:t>位于柳州市柳东新区核心商务区，横三路南部，创业大道</w:t>
      </w:r>
      <w:r>
        <w:rPr>
          <w:rFonts w:hint="eastAsia"/>
          <w:szCs w:val="30"/>
        </w:rPr>
        <w:t>A</w:t>
      </w:r>
      <w:r>
        <w:rPr>
          <w:rFonts w:hint="eastAsia"/>
          <w:szCs w:val="30"/>
        </w:rPr>
        <w:t>段以西。东侧紧邻市民中心，北侧为商业综合体，南侧为商务用地，西侧为商住混合用地。</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2.2建设规模及主要建设内容</w:t>
      </w:r>
    </w:p>
    <w:p w:rsidR="00C45003" w:rsidRDefault="00C45003" w:rsidP="00C45003">
      <w:pPr>
        <w:spacing w:line="360" w:lineRule="auto"/>
        <w:ind w:firstLineChars="200" w:firstLine="420"/>
        <w:rPr>
          <w:szCs w:val="30"/>
        </w:rPr>
      </w:pPr>
      <w:r>
        <w:rPr>
          <w:rFonts w:hint="eastAsia"/>
          <w:szCs w:val="28"/>
        </w:rPr>
        <w:t>本项目主要建设内容为：规划总用地面积为</w:t>
      </w:r>
      <w:r>
        <w:rPr>
          <w:rFonts w:hint="eastAsia"/>
          <w:szCs w:val="28"/>
        </w:rPr>
        <w:t>38886.48</w:t>
      </w:r>
      <w:r>
        <w:rPr>
          <w:rFonts w:hint="eastAsia"/>
          <w:szCs w:val="28"/>
        </w:rPr>
        <w:t>平方米（约合</w:t>
      </w:r>
      <w:r>
        <w:rPr>
          <w:rFonts w:hint="eastAsia"/>
          <w:szCs w:val="28"/>
        </w:rPr>
        <w:t>58.33</w:t>
      </w:r>
      <w:r>
        <w:rPr>
          <w:rFonts w:hint="eastAsia"/>
          <w:szCs w:val="28"/>
        </w:rPr>
        <w:t>亩），设计总建筑面积</w:t>
      </w:r>
      <w:r>
        <w:rPr>
          <w:rFonts w:hint="eastAsia"/>
          <w:szCs w:val="28"/>
        </w:rPr>
        <w:t>80676</w:t>
      </w:r>
      <w:r>
        <w:rPr>
          <w:rFonts w:hint="eastAsia"/>
          <w:szCs w:val="28"/>
        </w:rPr>
        <w:t>㎡，其中地上建筑面积</w:t>
      </w:r>
      <w:r>
        <w:rPr>
          <w:rFonts w:hint="eastAsia"/>
          <w:szCs w:val="28"/>
        </w:rPr>
        <w:t>60676</w:t>
      </w:r>
      <w:r>
        <w:rPr>
          <w:rFonts w:hint="eastAsia"/>
          <w:szCs w:val="28"/>
        </w:rPr>
        <w:t>㎡，地下建筑面积</w:t>
      </w:r>
      <w:r>
        <w:rPr>
          <w:rFonts w:hint="eastAsia"/>
          <w:szCs w:val="28"/>
        </w:rPr>
        <w:t>20000</w:t>
      </w:r>
      <w:r>
        <w:rPr>
          <w:rFonts w:hint="eastAsia"/>
          <w:szCs w:val="28"/>
        </w:rPr>
        <w:t>㎡。设计藏书量</w:t>
      </w:r>
      <w:r>
        <w:rPr>
          <w:rFonts w:hint="eastAsia"/>
          <w:szCs w:val="28"/>
        </w:rPr>
        <w:t>360</w:t>
      </w:r>
      <w:r>
        <w:rPr>
          <w:rFonts w:hint="eastAsia"/>
          <w:szCs w:val="28"/>
        </w:rPr>
        <w:t>万册，阅览座位</w:t>
      </w:r>
      <w:r>
        <w:rPr>
          <w:rFonts w:hint="eastAsia"/>
          <w:szCs w:val="28"/>
        </w:rPr>
        <w:t>2500</w:t>
      </w:r>
      <w:r>
        <w:rPr>
          <w:rFonts w:hint="eastAsia"/>
          <w:szCs w:val="28"/>
        </w:rPr>
        <w:t>个。建筑主要设计图书馆主楼一栋，图书馆主楼设计为一栋</w:t>
      </w:r>
      <w:r>
        <w:rPr>
          <w:rFonts w:hint="eastAsia"/>
          <w:szCs w:val="28"/>
        </w:rPr>
        <w:t>8</w:t>
      </w:r>
      <w:r>
        <w:rPr>
          <w:rFonts w:hint="eastAsia"/>
          <w:szCs w:val="28"/>
        </w:rPr>
        <w:t>层的建筑（东面局部为</w:t>
      </w:r>
      <w:r>
        <w:rPr>
          <w:rFonts w:hint="eastAsia"/>
          <w:szCs w:val="28"/>
        </w:rPr>
        <w:t>3</w:t>
      </w:r>
      <w:r>
        <w:rPr>
          <w:rFonts w:hint="eastAsia"/>
          <w:szCs w:val="28"/>
        </w:rPr>
        <w:t>层），为钢结构装配式建筑，并设一层地下室。</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主要建设内容包括：</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1）图书馆主楼</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图书馆设计为八层建筑，首层层高6米，二～三层层高4.5米，四～八层层高5.1米。</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项目主要功能包含图书馆主馆、少儿馆及多功能展区三大部分。多功能展区位于楼宇东部一至三层，一层包含形象序厅、城市模型展厅、城市概况厅、多功能报告厅等；二至三层</w:t>
      </w:r>
      <w:r>
        <w:rPr>
          <w:rFonts w:ascii="宋体" w:hAnsi="宋体" w:cs="宋体" w:hint="eastAsia"/>
          <w:szCs w:val="21"/>
        </w:rPr>
        <w:lastRenderedPageBreak/>
        <w:t>为2层通高展厅，主要包含历史展厅、现代展厅、未来展区等。其中15M3层通高城市模型展厅位于东南角。东侧门厅作为图书馆与多功能展厅共有公共门厅，图书馆人流也可通过公共门厅到达图书馆信息服务大厅。</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少儿馆设置在楼宇西南部，毗邻西侧步行街，方便少儿进出。首层为童玩天地、亲子绘本，二三层为少儿主题活动室、少儿报刊借阅室、少儿图书借阅室等，四层为童创体验中心、少儿展厅、儿童休闲区户外平台等。</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图书馆主入口位于北侧，一层中庭设置总服务区，二层中庭设置检索服务大厅，图书馆主要阅览空间在四至六层，四层为数字体验展示区，五六层为常规阅览区，特藏阅览区位于七层；学术研究区与行政办公区则位于八层。</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2）地下室</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地下室总建筑面积20000平方米，地下室主要布置配电间、设备间等设备用房和地下停车库，以满足停车位要求，可停放小汽车450辆；本工程按规范要求配置设置2400平方米人民防空地下室，战时为二等人员掩蔽所，平时为普通汽车库。人防地下室的抗力等级为甲类核6级常6级，防化等级为丙级。</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3）建设道路及铺装、变配电照明及动力系统、消防、给排水、弱电及智能化、通风空调、景观绿化等其他附属配套设施。</w:t>
      </w: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项目主要建设内容见下表</w:t>
      </w:r>
    </w:p>
    <w:tbl>
      <w:tblPr>
        <w:tblW w:w="9286" w:type="dxa"/>
        <w:jc w:val="center"/>
        <w:tblLayout w:type="fixed"/>
        <w:tblLook w:val="0000"/>
      </w:tblPr>
      <w:tblGrid>
        <w:gridCol w:w="978"/>
        <w:gridCol w:w="3050"/>
        <w:gridCol w:w="875"/>
        <w:gridCol w:w="1937"/>
        <w:gridCol w:w="2446"/>
      </w:tblGrid>
      <w:tr w:rsidR="00C45003" w:rsidTr="001A42F0">
        <w:trPr>
          <w:trHeight w:val="405"/>
          <w:jc w:val="center"/>
        </w:trPr>
        <w:tc>
          <w:tcPr>
            <w:tcW w:w="9286" w:type="dxa"/>
            <w:gridSpan w:val="5"/>
            <w:tcBorders>
              <w:top w:val="nil"/>
              <w:left w:val="nil"/>
              <w:bottom w:val="single" w:sz="4" w:space="0" w:color="auto"/>
              <w:right w:val="nil"/>
            </w:tcBorders>
            <w:vAlign w:val="bottom"/>
          </w:tcPr>
          <w:p w:rsidR="00C45003" w:rsidRDefault="00C45003" w:rsidP="001A42F0">
            <w:pPr>
              <w:widowControl/>
              <w:jc w:val="center"/>
              <w:rPr>
                <w:b/>
                <w:bCs/>
                <w:sz w:val="24"/>
              </w:rPr>
            </w:pPr>
            <w:r>
              <w:rPr>
                <w:rFonts w:hint="eastAsia"/>
                <w:b/>
                <w:bCs/>
                <w:sz w:val="22"/>
              </w:rPr>
              <w:t>主要技术经济指标表</w:t>
            </w:r>
          </w:p>
        </w:tc>
      </w:tr>
      <w:tr w:rsidR="00C45003" w:rsidTr="001A42F0">
        <w:trPr>
          <w:trHeight w:val="71"/>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b/>
                <w:bCs/>
                <w:szCs w:val="21"/>
              </w:rPr>
            </w:pPr>
            <w:r>
              <w:rPr>
                <w:rFonts w:hint="eastAsia"/>
                <w:b/>
                <w:bCs/>
                <w:szCs w:val="21"/>
              </w:rPr>
              <w:t>项目名称</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b/>
                <w:bCs/>
                <w:szCs w:val="21"/>
              </w:rPr>
            </w:pPr>
            <w:r>
              <w:rPr>
                <w:rFonts w:hint="eastAsia"/>
                <w:b/>
                <w:bCs/>
                <w:szCs w:val="21"/>
              </w:rPr>
              <w:t>单位</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b/>
                <w:bCs/>
                <w:szCs w:val="21"/>
              </w:rPr>
            </w:pPr>
            <w:r>
              <w:rPr>
                <w:rFonts w:hint="eastAsia"/>
                <w:b/>
                <w:bCs/>
                <w:szCs w:val="21"/>
              </w:rPr>
              <w:t>数量</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备注</w:t>
            </w:r>
          </w:p>
        </w:tc>
      </w:tr>
      <w:tr w:rsidR="00C45003" w:rsidTr="001A42F0">
        <w:trPr>
          <w:trHeight w:val="148"/>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总用地面积</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38886.48</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约合</w:t>
            </w:r>
            <w:r>
              <w:rPr>
                <w:rFonts w:hint="eastAsia"/>
                <w:szCs w:val="21"/>
              </w:rPr>
              <w:t>58.33</w:t>
            </w:r>
            <w:r>
              <w:rPr>
                <w:rFonts w:hint="eastAsia"/>
                <w:szCs w:val="21"/>
              </w:rPr>
              <w:t>亩</w:t>
            </w:r>
          </w:p>
        </w:tc>
      </w:tr>
      <w:tr w:rsidR="00C45003" w:rsidTr="001A42F0">
        <w:trPr>
          <w:trHeight w:val="74"/>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总建筑面积</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80676.00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151"/>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其中</w:t>
            </w:r>
          </w:p>
        </w:tc>
        <w:tc>
          <w:tcPr>
            <w:tcW w:w="3050"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地上建筑面积</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60676.00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65"/>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C45003" w:rsidRDefault="00C45003" w:rsidP="001A42F0"/>
        </w:tc>
        <w:tc>
          <w:tcPr>
            <w:tcW w:w="3050"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地下建筑面积</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20000.00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含人防</w:t>
            </w:r>
            <w:r>
              <w:rPr>
                <w:rFonts w:hint="eastAsia"/>
                <w:szCs w:val="21"/>
              </w:rPr>
              <w:t>2400</w:t>
            </w:r>
            <w:r>
              <w:rPr>
                <w:rFonts w:hint="eastAsia"/>
                <w:szCs w:val="21"/>
              </w:rPr>
              <w:t>㎡</w:t>
            </w:r>
          </w:p>
        </w:tc>
      </w:tr>
      <w:tr w:rsidR="00C45003" w:rsidTr="001A42F0">
        <w:trPr>
          <w:trHeight w:val="142"/>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建筑基底面积</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11665.00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56"/>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建筑密度</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30.00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53"/>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容积率</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1.56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97"/>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绿地率</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 xml:space="preserve">30.00 </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141"/>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机动车停车位</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530</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含</w:t>
            </w:r>
            <w:r>
              <w:rPr>
                <w:rFonts w:hint="eastAsia"/>
                <w:szCs w:val="21"/>
              </w:rPr>
              <w:t>55</w:t>
            </w:r>
            <w:r>
              <w:rPr>
                <w:rFonts w:hint="eastAsia"/>
                <w:szCs w:val="21"/>
              </w:rPr>
              <w:t>个充电桩</w:t>
            </w:r>
          </w:p>
        </w:tc>
      </w:tr>
      <w:tr w:rsidR="00C45003" w:rsidTr="001A42F0">
        <w:trPr>
          <w:trHeight w:val="121"/>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其中</w:t>
            </w:r>
          </w:p>
        </w:tc>
        <w:tc>
          <w:tcPr>
            <w:tcW w:w="3050"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地上停车位</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50</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r w:rsidR="00C45003" w:rsidTr="001A42F0">
        <w:trPr>
          <w:trHeight w:val="66"/>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C45003" w:rsidRDefault="00C45003" w:rsidP="001A42F0"/>
        </w:tc>
        <w:tc>
          <w:tcPr>
            <w:tcW w:w="3050"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地下机动车停车位</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450</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含</w:t>
            </w:r>
            <w:r>
              <w:rPr>
                <w:rFonts w:hint="eastAsia"/>
                <w:szCs w:val="21"/>
              </w:rPr>
              <w:t>10</w:t>
            </w:r>
            <w:r>
              <w:rPr>
                <w:rFonts w:hint="eastAsia"/>
                <w:szCs w:val="21"/>
              </w:rPr>
              <w:t>个无障碍车位</w:t>
            </w:r>
          </w:p>
        </w:tc>
      </w:tr>
      <w:tr w:rsidR="00C45003" w:rsidTr="001A42F0">
        <w:trPr>
          <w:trHeight w:val="154"/>
          <w:jc w:val="center"/>
        </w:trPr>
        <w:tc>
          <w:tcPr>
            <w:tcW w:w="4028" w:type="dxa"/>
            <w:gridSpan w:val="2"/>
            <w:tcBorders>
              <w:top w:val="single" w:sz="4" w:space="0" w:color="auto"/>
              <w:left w:val="single" w:sz="4" w:space="0" w:color="auto"/>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非机动车停车位</w:t>
            </w:r>
          </w:p>
        </w:tc>
        <w:tc>
          <w:tcPr>
            <w:tcW w:w="875"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辆</w:t>
            </w:r>
          </w:p>
        </w:tc>
        <w:tc>
          <w:tcPr>
            <w:tcW w:w="1937"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r>
              <w:rPr>
                <w:rFonts w:hint="eastAsia"/>
                <w:szCs w:val="21"/>
              </w:rPr>
              <w:t>2400</w:t>
            </w:r>
          </w:p>
        </w:tc>
        <w:tc>
          <w:tcPr>
            <w:tcW w:w="2446" w:type="dxa"/>
            <w:tcBorders>
              <w:top w:val="single" w:sz="4" w:space="0" w:color="auto"/>
              <w:left w:val="nil"/>
              <w:bottom w:val="single" w:sz="4" w:space="0" w:color="auto"/>
              <w:right w:val="single" w:sz="4" w:space="0" w:color="auto"/>
            </w:tcBorders>
            <w:vAlign w:val="center"/>
          </w:tcPr>
          <w:p w:rsidR="00C45003" w:rsidRDefault="00C45003" w:rsidP="001A42F0">
            <w:pPr>
              <w:widowControl/>
              <w:jc w:val="center"/>
              <w:rPr>
                <w:szCs w:val="21"/>
              </w:rPr>
            </w:pPr>
          </w:p>
        </w:tc>
      </w:tr>
    </w:tbl>
    <w:p w:rsidR="00C45003" w:rsidRDefault="00C45003" w:rsidP="00C45003">
      <w:pPr>
        <w:spacing w:line="360" w:lineRule="auto"/>
        <w:rPr>
          <w:szCs w:val="30"/>
        </w:rPr>
      </w:pPr>
    </w:p>
    <w:p w:rsidR="00C45003" w:rsidRDefault="00C45003" w:rsidP="00C45003">
      <w:pPr>
        <w:spacing w:line="360" w:lineRule="auto"/>
        <w:ind w:firstLineChars="200" w:firstLine="420"/>
        <w:rPr>
          <w:rFonts w:ascii="宋体" w:hAnsi="宋体" w:cs="宋体"/>
          <w:szCs w:val="21"/>
        </w:rPr>
      </w:pPr>
      <w:r>
        <w:rPr>
          <w:rFonts w:ascii="宋体" w:hAnsi="宋体" w:cs="宋体" w:hint="eastAsia"/>
          <w:szCs w:val="21"/>
        </w:rPr>
        <w:t>2.3投资构成</w:t>
      </w:r>
    </w:p>
    <w:p w:rsidR="00C45003" w:rsidRDefault="00C45003" w:rsidP="00C45003">
      <w:pPr>
        <w:spacing w:line="360" w:lineRule="auto"/>
        <w:ind w:firstLineChars="202" w:firstLine="424"/>
        <w:rPr>
          <w:rFonts w:ascii="宋体" w:hAnsi="宋体"/>
          <w:szCs w:val="21"/>
        </w:rPr>
      </w:pPr>
      <w:r>
        <w:rPr>
          <w:rFonts w:ascii="宋体" w:hAnsi="宋体" w:hint="eastAsia"/>
          <w:szCs w:val="21"/>
        </w:rPr>
        <w:t>本项目静态建设总投资110982.78万元。其中：建安费用95561.34万元（包含建筑工</w:t>
      </w:r>
      <w:r>
        <w:rPr>
          <w:rFonts w:ascii="宋体" w:hAnsi="宋体" w:hint="eastAsia"/>
          <w:szCs w:val="21"/>
        </w:rPr>
        <w:lastRenderedPageBreak/>
        <w:t>程费71929.30万元、设备购置费9407.18万元，安装工程14224.86万元），工程建设其他费用10136.55万元，预备费5284.89万元。</w:t>
      </w:r>
    </w:p>
    <w:p w:rsidR="00C45003" w:rsidRDefault="00C45003" w:rsidP="00C45003">
      <w:pPr>
        <w:spacing w:line="360" w:lineRule="auto"/>
        <w:ind w:firstLineChars="202" w:firstLine="424"/>
        <w:rPr>
          <w:rFonts w:ascii="宋体" w:hAnsi="宋体"/>
          <w:szCs w:val="21"/>
        </w:rPr>
      </w:pPr>
      <w:r>
        <w:rPr>
          <w:rFonts w:hint="eastAsia"/>
          <w:szCs w:val="28"/>
        </w:rPr>
        <w:t>藏书</w:t>
      </w:r>
      <w:r>
        <w:rPr>
          <w:rFonts w:hint="eastAsia"/>
          <w:szCs w:val="28"/>
        </w:rPr>
        <w:t>360</w:t>
      </w:r>
      <w:r>
        <w:rPr>
          <w:rFonts w:hint="eastAsia"/>
          <w:szCs w:val="28"/>
        </w:rPr>
        <w:t>万册的成本，经调查预计每本成本</w:t>
      </w:r>
      <w:r>
        <w:rPr>
          <w:rFonts w:hint="eastAsia"/>
          <w:szCs w:val="28"/>
        </w:rPr>
        <w:t>40</w:t>
      </w:r>
      <w:r>
        <w:rPr>
          <w:rFonts w:hint="eastAsia"/>
          <w:szCs w:val="28"/>
        </w:rPr>
        <w:t>元，需约</w:t>
      </w:r>
      <w:r>
        <w:rPr>
          <w:rFonts w:hint="eastAsia"/>
          <w:szCs w:val="28"/>
        </w:rPr>
        <w:t>4</w:t>
      </w:r>
      <w:r>
        <w:rPr>
          <w:rFonts w:hint="eastAsia"/>
          <w:szCs w:val="28"/>
        </w:rPr>
        <w:t>年购置完成，投资约</w:t>
      </w:r>
      <w:r>
        <w:rPr>
          <w:rFonts w:hint="eastAsia"/>
          <w:szCs w:val="28"/>
        </w:rPr>
        <w:t>1.44</w:t>
      </w:r>
      <w:r>
        <w:rPr>
          <w:rFonts w:hint="eastAsia"/>
          <w:szCs w:val="28"/>
        </w:rPr>
        <w:t>亿元。藏书购置资金不纳入本次</w:t>
      </w:r>
      <w:r>
        <w:rPr>
          <w:rFonts w:hint="eastAsia"/>
          <w:szCs w:val="28"/>
        </w:rPr>
        <w:t>PPP</w:t>
      </w:r>
      <w:r>
        <w:rPr>
          <w:rFonts w:hint="eastAsia"/>
          <w:szCs w:val="28"/>
        </w:rPr>
        <w:t>项目投资范围，形成资产也不计入项目公司范畴。</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3.采购需求及范围</w:t>
      </w:r>
    </w:p>
    <w:p w:rsidR="00C45003" w:rsidRDefault="00C45003" w:rsidP="00C45003">
      <w:pPr>
        <w:spacing w:line="360" w:lineRule="auto"/>
        <w:ind w:firstLineChars="200" w:firstLine="420"/>
        <w:rPr>
          <w:rFonts w:ascii="宋体" w:hAnsi="宋体" w:cs="宋体"/>
          <w:szCs w:val="21"/>
        </w:rPr>
      </w:pPr>
      <w:r>
        <w:rPr>
          <w:rFonts w:hint="eastAsia"/>
          <w:szCs w:val="21"/>
        </w:rPr>
        <w:t>本项目采购范围为柳州市图书馆（新馆）</w:t>
      </w:r>
      <w:r>
        <w:rPr>
          <w:rFonts w:hint="eastAsia"/>
          <w:szCs w:val="21"/>
        </w:rPr>
        <w:t>PPP</w:t>
      </w:r>
      <w:r>
        <w:rPr>
          <w:rFonts w:hint="eastAsia"/>
          <w:szCs w:val="21"/>
        </w:rPr>
        <w:t>项目的社会资本方。</w:t>
      </w:r>
      <w:r>
        <w:rPr>
          <w:rFonts w:ascii="宋体" w:hAnsi="宋体" w:hint="eastAsia"/>
          <w:szCs w:val="21"/>
        </w:rPr>
        <w:t>通过政府采购确定中选社会资本方，</w:t>
      </w:r>
      <w:r>
        <w:rPr>
          <w:rFonts w:ascii="宋体" w:hAnsi="宋体" w:cs="宋体" w:hint="eastAsia"/>
          <w:szCs w:val="21"/>
        </w:rPr>
        <w:t>采用PPP模式中的BOT（</w:t>
      </w:r>
      <w:r>
        <w:rPr>
          <w:rFonts w:hint="eastAsia"/>
          <w:szCs w:val="30"/>
        </w:rPr>
        <w:t>建设—运营—移交</w:t>
      </w:r>
      <w:r>
        <w:rPr>
          <w:rFonts w:ascii="宋体" w:hAnsi="宋体" w:cs="宋体" w:hint="eastAsia"/>
          <w:szCs w:val="21"/>
        </w:rPr>
        <w:t>）运作方式，由政府方出资代表（东城集团）与</w:t>
      </w:r>
      <w:r>
        <w:rPr>
          <w:rFonts w:ascii="宋体" w:hAnsi="宋体" w:hint="eastAsia"/>
          <w:szCs w:val="21"/>
        </w:rPr>
        <w:t>中选社会资本方按照法人治理结构成立项目公司</w:t>
      </w:r>
      <w:r>
        <w:rPr>
          <w:rFonts w:ascii="宋体" w:hAnsi="宋体" w:cs="宋体" w:hint="eastAsia"/>
          <w:szCs w:val="21"/>
        </w:rPr>
        <w:t>，项目公司在合同期限内承担本项目的投融资、建设、运营和维护职责。项目公司应遵从国家和项目所在地有关法律、法规、规章及相关的标准和规范，全面履行《</w:t>
      </w:r>
      <w:r>
        <w:rPr>
          <w:rFonts w:ascii="宋体" w:hAnsi="宋体" w:hint="eastAsia"/>
          <w:szCs w:val="21"/>
        </w:rPr>
        <w:t>柳州市图书馆（新馆）PPP项目</w:t>
      </w:r>
      <w:r>
        <w:rPr>
          <w:rFonts w:ascii="宋体" w:hAnsi="宋体" w:cs="宋体" w:hint="eastAsia"/>
          <w:szCs w:val="21"/>
        </w:rPr>
        <w:t>合同》中所规定各项义务；政府方按约定向项目公司支付</w:t>
      </w:r>
      <w:r>
        <w:rPr>
          <w:rFonts w:ascii="宋体" w:hAnsi="宋体" w:cs="宋体"/>
          <w:szCs w:val="21"/>
        </w:rPr>
        <w:t>可行性缺口补助</w:t>
      </w:r>
      <w:r>
        <w:rPr>
          <w:rFonts w:ascii="宋体" w:hAnsi="宋体" w:cs="宋体" w:hint="eastAsia"/>
          <w:szCs w:val="21"/>
        </w:rPr>
        <w:t>。</w:t>
      </w:r>
    </w:p>
    <w:p w:rsidR="00C45003" w:rsidRDefault="00C45003" w:rsidP="00C45003">
      <w:pPr>
        <w:spacing w:line="360" w:lineRule="auto"/>
        <w:ind w:firstLineChars="200" w:firstLine="420"/>
        <w:rPr>
          <w:rFonts w:ascii="宋体" w:hAnsi="宋体" w:cs="宋体" w:hint="eastAsia"/>
          <w:szCs w:val="21"/>
        </w:rPr>
      </w:pPr>
      <w:r>
        <w:rPr>
          <w:rFonts w:ascii="宋体" w:hAnsi="宋体" w:cs="宋体" w:hint="eastAsia"/>
          <w:szCs w:val="21"/>
        </w:rPr>
        <w:t>本项目为新建项目，建设内容为公共设施建设，项目公司负责本项目的运营维护工作，合作期完成后需移交柳州市柳东新区管理委员会或柳州市人民政府指定的其他机构。</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4、PPP合作方式</w:t>
      </w:r>
    </w:p>
    <w:p w:rsidR="00C45003" w:rsidRDefault="00C45003" w:rsidP="00C45003">
      <w:pPr>
        <w:spacing w:line="360" w:lineRule="auto"/>
        <w:ind w:firstLineChars="200" w:firstLine="420"/>
        <w:rPr>
          <w:rFonts w:ascii="宋体" w:hAnsi="宋体"/>
          <w:szCs w:val="21"/>
        </w:rPr>
      </w:pPr>
      <w:r>
        <w:rPr>
          <w:rFonts w:ascii="宋体" w:hAnsi="宋体" w:hint="eastAsia"/>
          <w:szCs w:val="21"/>
        </w:rPr>
        <w:t>4.1运作方式：项目实施PPP模式中的</w:t>
      </w:r>
      <w:r>
        <w:rPr>
          <w:rFonts w:ascii="宋体" w:hAnsi="宋体" w:cs="宋体" w:hint="eastAsia"/>
          <w:szCs w:val="21"/>
        </w:rPr>
        <w:t>BOT（</w:t>
      </w:r>
      <w:r>
        <w:rPr>
          <w:rFonts w:hint="eastAsia"/>
          <w:szCs w:val="30"/>
        </w:rPr>
        <w:t>建设—运营—移交</w:t>
      </w:r>
      <w:r>
        <w:rPr>
          <w:rFonts w:ascii="宋体" w:hAnsi="宋体" w:cs="宋体" w:hint="eastAsia"/>
          <w:szCs w:val="21"/>
        </w:rPr>
        <w:t>）</w:t>
      </w:r>
      <w:r>
        <w:rPr>
          <w:rFonts w:ascii="宋体" w:hAnsi="宋体" w:hint="eastAsia"/>
          <w:szCs w:val="21"/>
        </w:rPr>
        <w:t>运作方式。由政府方出资代表与中选社会资本方按照法人治理结构成立项目公司（有限责任公司类型），项目公司在合同期限内承担本项目的投融资、建设、运营、维护、移交职责。</w:t>
      </w:r>
    </w:p>
    <w:p w:rsidR="00C45003" w:rsidRDefault="00C45003" w:rsidP="00C45003">
      <w:pPr>
        <w:spacing w:line="360" w:lineRule="auto"/>
        <w:ind w:firstLineChars="200" w:firstLine="420"/>
        <w:rPr>
          <w:rFonts w:ascii="宋体" w:hAnsi="宋体"/>
          <w:szCs w:val="21"/>
        </w:rPr>
      </w:pPr>
      <w:r>
        <w:rPr>
          <w:rFonts w:ascii="宋体" w:hAnsi="宋体" w:hint="eastAsia"/>
          <w:szCs w:val="21"/>
        </w:rPr>
        <w:t>4.2项目公司股权比例：</w:t>
      </w:r>
    </w:p>
    <w:p w:rsidR="00C45003" w:rsidRDefault="00C45003" w:rsidP="00C45003">
      <w:pPr>
        <w:spacing w:line="360" w:lineRule="auto"/>
        <w:ind w:firstLineChars="200" w:firstLine="420"/>
        <w:rPr>
          <w:rFonts w:ascii="宋体" w:hAnsi="宋体"/>
          <w:szCs w:val="21"/>
        </w:rPr>
      </w:pPr>
      <w:r>
        <w:rPr>
          <w:rFonts w:hint="eastAsia"/>
        </w:rPr>
        <w:t>项目资本金设置为项目总投资的</w:t>
      </w:r>
      <w:r>
        <w:rPr>
          <w:rFonts w:hint="eastAsia"/>
        </w:rPr>
        <w:t>20%</w:t>
      </w:r>
      <w:r>
        <w:rPr>
          <w:rFonts w:hint="eastAsia"/>
        </w:rPr>
        <w:t>，即本项目的项目资本金金额为</w:t>
      </w:r>
      <w:r>
        <w:rPr>
          <w:rFonts w:hint="eastAsia"/>
        </w:rPr>
        <w:t>22196.56</w:t>
      </w:r>
      <w:r>
        <w:rPr>
          <w:rFonts w:hint="eastAsia"/>
        </w:rPr>
        <w:t>万元。</w:t>
      </w:r>
    </w:p>
    <w:p w:rsidR="00C45003" w:rsidRDefault="00C45003" w:rsidP="00C45003">
      <w:pPr>
        <w:spacing w:line="360" w:lineRule="auto"/>
        <w:ind w:firstLineChars="200" w:firstLine="420"/>
        <w:rPr>
          <w:rFonts w:ascii="宋体" w:hAnsi="宋体"/>
          <w:szCs w:val="21"/>
        </w:rPr>
      </w:pPr>
      <w:r>
        <w:rPr>
          <w:rFonts w:ascii="宋体" w:hAnsi="宋体" w:hint="eastAsia"/>
          <w:szCs w:val="21"/>
        </w:rPr>
        <w:t>引入社会投资人与政府出资代表共同出资成立项目公司。本项目注册资本</w:t>
      </w:r>
      <w:r>
        <w:rPr>
          <w:rFonts w:ascii="宋体" w:hAnsi="宋体"/>
          <w:szCs w:val="21"/>
        </w:rPr>
        <w:t>2000</w:t>
      </w:r>
      <w:r>
        <w:rPr>
          <w:rFonts w:ascii="宋体" w:hAnsi="宋体" w:hint="eastAsia"/>
          <w:szCs w:val="21"/>
        </w:rPr>
        <w:t>万元，项目公司注册资本由政府出资代表与社会资本方按</w:t>
      </w:r>
      <w:r>
        <w:rPr>
          <w:rFonts w:ascii="宋体" w:hAnsi="宋体"/>
          <w:szCs w:val="21"/>
        </w:rPr>
        <w:t>20%</w:t>
      </w:r>
      <w:r>
        <w:rPr>
          <w:rFonts w:ascii="宋体" w:hAnsi="宋体" w:hint="eastAsia"/>
          <w:szCs w:val="21"/>
        </w:rPr>
        <w:t>：</w:t>
      </w:r>
      <w:r>
        <w:rPr>
          <w:rFonts w:ascii="宋体" w:hAnsi="宋体"/>
          <w:szCs w:val="21"/>
        </w:rPr>
        <w:t>80%</w:t>
      </w:r>
      <w:r>
        <w:rPr>
          <w:rFonts w:ascii="宋体" w:hAnsi="宋体" w:hint="eastAsia"/>
          <w:szCs w:val="21"/>
        </w:rPr>
        <w:t>比例，以现金出资方式组建。政府方出资金额为人民币</w:t>
      </w:r>
      <w:r>
        <w:rPr>
          <w:rFonts w:ascii="宋体" w:hAnsi="宋体"/>
          <w:szCs w:val="21"/>
        </w:rPr>
        <w:t>400</w:t>
      </w:r>
      <w:r>
        <w:rPr>
          <w:rFonts w:ascii="宋体" w:hAnsi="宋体" w:hint="eastAsia"/>
          <w:szCs w:val="21"/>
        </w:rPr>
        <w:t>万元，社会资本出资金额为人民币</w:t>
      </w:r>
      <w:r>
        <w:rPr>
          <w:rFonts w:ascii="宋体" w:hAnsi="宋体"/>
          <w:szCs w:val="21"/>
        </w:rPr>
        <w:t>1600</w:t>
      </w:r>
      <w:r>
        <w:rPr>
          <w:rFonts w:ascii="宋体" w:hAnsi="宋体" w:hint="eastAsia"/>
          <w:szCs w:val="21"/>
        </w:rPr>
        <w:t>万元。</w:t>
      </w:r>
    </w:p>
    <w:p w:rsidR="00C45003" w:rsidRDefault="00C45003" w:rsidP="00C45003">
      <w:pPr>
        <w:spacing w:line="360" w:lineRule="auto"/>
        <w:ind w:firstLineChars="200" w:firstLine="420"/>
        <w:rPr>
          <w:rFonts w:ascii="宋体" w:hAnsi="宋体"/>
          <w:szCs w:val="21"/>
        </w:rPr>
      </w:pPr>
      <w:r>
        <w:rPr>
          <w:rFonts w:ascii="宋体" w:hAnsi="宋体" w:hint="eastAsia"/>
          <w:szCs w:val="21"/>
        </w:rPr>
        <w:t>注册资金投入方式：项目公司成立后</w:t>
      </w:r>
      <w:r>
        <w:rPr>
          <w:rFonts w:ascii="宋体" w:hAnsi="宋体"/>
          <w:szCs w:val="21"/>
        </w:rPr>
        <w:t>30</w:t>
      </w:r>
      <w:r>
        <w:rPr>
          <w:rFonts w:ascii="宋体" w:hAnsi="宋体" w:hint="eastAsia"/>
          <w:szCs w:val="21"/>
        </w:rPr>
        <w:t>日内，双方股东将出资金额全部到位。</w:t>
      </w:r>
    </w:p>
    <w:p w:rsidR="00C45003" w:rsidRDefault="00C45003" w:rsidP="00C45003">
      <w:pPr>
        <w:spacing w:line="360" w:lineRule="auto"/>
        <w:ind w:firstLineChars="200" w:firstLine="420"/>
        <w:rPr>
          <w:rFonts w:ascii="宋体" w:hAnsi="宋体"/>
          <w:szCs w:val="21"/>
        </w:rPr>
      </w:pPr>
      <w:r>
        <w:rPr>
          <w:rFonts w:ascii="宋体" w:hAnsi="宋体" w:hint="eastAsia"/>
          <w:szCs w:val="21"/>
        </w:rPr>
        <w:t>项目资本金由政府出资代表与社会资本方按20%：80%比例，在建设期内根据施工进度情况及施工合同的付款约定分期注入。</w:t>
      </w:r>
    </w:p>
    <w:p w:rsidR="00C45003" w:rsidRDefault="00C45003" w:rsidP="00C45003">
      <w:pPr>
        <w:spacing w:line="360" w:lineRule="auto"/>
        <w:ind w:firstLineChars="200" w:firstLine="420"/>
        <w:rPr>
          <w:rFonts w:ascii="宋体" w:hAnsi="宋体"/>
          <w:szCs w:val="21"/>
        </w:rPr>
      </w:pPr>
      <w:r>
        <w:rPr>
          <w:rFonts w:ascii="宋体" w:hAnsi="宋体" w:hint="eastAsia"/>
          <w:szCs w:val="21"/>
        </w:rPr>
        <w:t>4.3合作期限：</w:t>
      </w:r>
    </w:p>
    <w:p w:rsidR="00C45003" w:rsidRDefault="00C45003" w:rsidP="00C45003">
      <w:pPr>
        <w:spacing w:line="360" w:lineRule="auto"/>
        <w:ind w:firstLineChars="200" w:firstLine="420"/>
        <w:rPr>
          <w:rFonts w:ascii="宋体" w:hAnsi="宋体"/>
          <w:szCs w:val="21"/>
        </w:rPr>
      </w:pPr>
      <w:r>
        <w:rPr>
          <w:rFonts w:ascii="宋体" w:hAnsi="宋体" w:cs="宋体" w:hint="eastAsia"/>
          <w:szCs w:val="21"/>
        </w:rPr>
        <w:t>本项目特许经营期（合作期</w:t>
      </w:r>
      <w:r>
        <w:rPr>
          <w:rFonts w:ascii="宋体" w:hAnsi="宋体" w:hint="eastAsia"/>
          <w:szCs w:val="21"/>
        </w:rPr>
        <w:t>限）为12年。其中建设期为2年，</w:t>
      </w:r>
      <w:r>
        <w:rPr>
          <w:rFonts w:ascii="宋体" w:hAnsi="宋体"/>
          <w:szCs w:val="21"/>
        </w:rPr>
        <w:t>运营期</w:t>
      </w:r>
      <w:r>
        <w:rPr>
          <w:rFonts w:ascii="宋体" w:hAnsi="宋体" w:hint="eastAsia"/>
          <w:szCs w:val="21"/>
        </w:rPr>
        <w:t>为10</w:t>
      </w:r>
      <w:r>
        <w:rPr>
          <w:rFonts w:ascii="宋体" w:hAnsi="宋体"/>
          <w:szCs w:val="21"/>
        </w:rPr>
        <w:t>年</w:t>
      </w:r>
      <w:r>
        <w:rPr>
          <w:rFonts w:ascii="宋体" w:hAnsi="宋体" w:hint="eastAsia"/>
          <w:szCs w:val="21"/>
        </w:rPr>
        <w:t>。</w:t>
      </w:r>
    </w:p>
    <w:p w:rsidR="00C45003" w:rsidRDefault="00C45003" w:rsidP="00C45003">
      <w:pPr>
        <w:spacing w:line="360" w:lineRule="auto"/>
        <w:ind w:firstLineChars="200" w:firstLine="420"/>
        <w:rPr>
          <w:rFonts w:ascii="宋体" w:hAnsi="宋体"/>
          <w:szCs w:val="21"/>
        </w:rPr>
      </w:pPr>
      <w:r>
        <w:rPr>
          <w:rFonts w:ascii="宋体" w:hAnsi="宋体" w:hint="eastAsia"/>
          <w:szCs w:val="21"/>
        </w:rPr>
        <w:t>4.4项目回报机制</w:t>
      </w:r>
    </w:p>
    <w:p w:rsidR="00C45003" w:rsidRDefault="00C45003" w:rsidP="00C45003">
      <w:pPr>
        <w:spacing w:line="360" w:lineRule="auto"/>
        <w:ind w:firstLineChars="200" w:firstLine="420"/>
        <w:rPr>
          <w:rFonts w:ascii="宋体" w:hAnsi="宋体"/>
          <w:szCs w:val="21"/>
        </w:rPr>
      </w:pPr>
      <w:r>
        <w:rPr>
          <w:rFonts w:ascii="宋体" w:hAnsi="宋体" w:hint="eastAsia"/>
          <w:szCs w:val="21"/>
        </w:rPr>
        <w:t>项目公司的回报为</w:t>
      </w:r>
      <w:r>
        <w:rPr>
          <w:rFonts w:ascii="宋体" w:hAnsi="宋体" w:hint="eastAsia"/>
          <w:szCs w:val="21"/>
          <w:u w:val="single"/>
        </w:rPr>
        <w:t>“可行性缺口补助”机制</w:t>
      </w:r>
      <w:r>
        <w:rPr>
          <w:rFonts w:ascii="宋体" w:hAnsi="宋体" w:hint="eastAsia"/>
          <w:szCs w:val="21"/>
        </w:rPr>
        <w:t>。</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四、申请人资格要求</w:t>
      </w:r>
    </w:p>
    <w:p w:rsidR="00C45003" w:rsidRDefault="00C45003" w:rsidP="00C45003">
      <w:pPr>
        <w:spacing w:line="360" w:lineRule="auto"/>
        <w:ind w:firstLineChars="200" w:firstLine="422"/>
        <w:rPr>
          <w:rFonts w:ascii="宋体" w:hAnsi="宋体"/>
          <w:b/>
          <w:szCs w:val="21"/>
        </w:rPr>
      </w:pPr>
      <w:r>
        <w:rPr>
          <w:rFonts w:ascii="宋体" w:hAnsi="宋体"/>
          <w:b/>
          <w:szCs w:val="21"/>
        </w:rPr>
        <w:lastRenderedPageBreak/>
        <w:t>1</w:t>
      </w:r>
      <w:r>
        <w:rPr>
          <w:rFonts w:ascii="宋体" w:hAnsi="宋体" w:hint="eastAsia"/>
          <w:b/>
          <w:szCs w:val="21"/>
        </w:rPr>
        <w:t>、资质要求</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1.1符合《中华人民共和国政府采购法》第二十二条规定（以联合体形式申请资格预审的，联合体各方成员均须满足）；</w:t>
      </w:r>
    </w:p>
    <w:p w:rsidR="00C45003" w:rsidRDefault="00C45003" w:rsidP="00C45003">
      <w:pPr>
        <w:spacing w:line="360" w:lineRule="auto"/>
        <w:ind w:firstLineChars="200" w:firstLine="420"/>
        <w:rPr>
          <w:rFonts w:ascii="宋体" w:hAnsi="宋体"/>
          <w:szCs w:val="21"/>
        </w:rPr>
      </w:pPr>
      <w:r>
        <w:rPr>
          <w:rFonts w:ascii="宋体" w:hAnsi="宋体" w:hint="eastAsia"/>
          <w:szCs w:val="21"/>
        </w:rPr>
        <w:t>1.2 具备中华人民共和国住房和城乡建设部颁发的</w:t>
      </w:r>
      <w:r>
        <w:rPr>
          <w:rFonts w:ascii="宋体" w:hAnsi="宋体" w:hint="eastAsia"/>
          <w:b/>
          <w:szCs w:val="21"/>
          <w:u w:val="single"/>
        </w:rPr>
        <w:t>建筑工程施工总承包贰级（及以上）资质</w:t>
      </w:r>
      <w:r>
        <w:rPr>
          <w:rFonts w:ascii="宋体" w:hAnsi="宋体" w:hint="eastAsia"/>
          <w:szCs w:val="21"/>
        </w:rPr>
        <w:t>。</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1.3具备国内注册（指按国家有关规定要求注册的）并具备独立承担民事责任的能力（以联合体形式申请资格预审的，联合体各方成员均须满足）；</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1.4拟派本项目负责工程施工的项目经理须具备</w:t>
      </w:r>
      <w:r>
        <w:rPr>
          <w:rFonts w:ascii="宋体" w:hAnsi="宋体" w:hint="eastAsia"/>
          <w:b/>
          <w:szCs w:val="21"/>
          <w:u w:val="single"/>
        </w:rPr>
        <w:t>建筑工程</w:t>
      </w:r>
      <w:r>
        <w:rPr>
          <w:rFonts w:ascii="宋体" w:hAnsi="宋体" w:hint="eastAsia"/>
          <w:szCs w:val="21"/>
        </w:rPr>
        <w:t>专业</w:t>
      </w:r>
      <w:r>
        <w:rPr>
          <w:rFonts w:ascii="宋体" w:hAnsi="宋体" w:hint="eastAsia"/>
          <w:b/>
          <w:szCs w:val="21"/>
          <w:u w:val="single"/>
        </w:rPr>
        <w:t>壹级</w:t>
      </w:r>
      <w:r>
        <w:rPr>
          <w:rFonts w:ascii="宋体" w:hAnsi="宋体" w:hint="eastAsia"/>
          <w:szCs w:val="21"/>
        </w:rPr>
        <w:t>注册建造师执业资格，并不得有在建工程（已中标未开工或已列为其他项目第一中标候选人视为已有在建工程）；</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1.5专职安全员须具备有效安全生产考核合格证书（C类），人数符合建设部《关于印发&lt;建筑施工企业安全生产管理机构设置及专职安全生产管理人员配备办&gt;的通知》（建质[2008]91号）规定不少于</w:t>
      </w:r>
      <w:r>
        <w:rPr>
          <w:rFonts w:ascii="宋体" w:hAnsi="宋体" w:hint="eastAsia"/>
          <w:b/>
          <w:szCs w:val="21"/>
          <w:u w:val="single"/>
        </w:rPr>
        <w:t>3</w:t>
      </w:r>
      <w:r>
        <w:rPr>
          <w:rFonts w:ascii="宋体" w:hAnsi="宋体" w:hint="eastAsia"/>
          <w:szCs w:val="21"/>
        </w:rPr>
        <w:t>人；</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2、财务要求</w:t>
      </w:r>
    </w:p>
    <w:p w:rsidR="00C45003" w:rsidRDefault="00C45003" w:rsidP="00C45003">
      <w:pPr>
        <w:spacing w:line="360" w:lineRule="auto"/>
        <w:ind w:firstLineChars="200" w:firstLine="420"/>
        <w:rPr>
          <w:rFonts w:ascii="宋体" w:hAnsi="宋体" w:cs="宋体" w:hint="eastAsia"/>
          <w:szCs w:val="21"/>
        </w:rPr>
      </w:pPr>
      <w:r>
        <w:rPr>
          <w:rFonts w:ascii="宋体" w:hAnsi="宋体" w:cs="宋体" w:hint="eastAsia"/>
          <w:szCs w:val="21"/>
        </w:rPr>
        <w:t>2.1投标人应提供近三年（2016、2017、2018）</w:t>
      </w:r>
      <w:r>
        <w:rPr>
          <w:rFonts w:hint="eastAsia"/>
        </w:rPr>
        <w:t>经会计师事务所或审计机构审计的财务会计报表，包括资产负债表、现金流量表、利润表和财务情况说明书的复印件；</w:t>
      </w:r>
    </w:p>
    <w:p w:rsidR="00C45003" w:rsidRDefault="00C45003" w:rsidP="00C45003">
      <w:pPr>
        <w:spacing w:line="360" w:lineRule="auto"/>
        <w:ind w:firstLineChars="200" w:firstLine="420"/>
        <w:rPr>
          <w:rFonts w:ascii="宋体" w:hAnsi="宋体" w:cs="宋体" w:hint="eastAsia"/>
          <w:szCs w:val="21"/>
        </w:rPr>
      </w:pPr>
      <w:r>
        <w:rPr>
          <w:rFonts w:ascii="宋体" w:hAnsi="宋体" w:cs="宋体" w:hint="eastAsia"/>
          <w:szCs w:val="21"/>
        </w:rPr>
        <w:t>2.2</w:t>
      </w:r>
      <w:r>
        <w:rPr>
          <w:rFonts w:hint="eastAsia"/>
        </w:rPr>
        <w:t>投标人须提供</w:t>
      </w:r>
      <w:r>
        <w:t>没有处于财产被接管、冻结、破产或其他不良状态，无重大不良资产或不良投资项目</w:t>
      </w:r>
      <w:r>
        <w:rPr>
          <w:rFonts w:hint="eastAsia"/>
        </w:rPr>
        <w:t>的承诺书（以联合体形式申请资格预审的，联合体各方成员均须满足）</w:t>
      </w:r>
      <w:r>
        <w:t>；</w:t>
      </w:r>
    </w:p>
    <w:p w:rsidR="00C45003" w:rsidRDefault="00C45003" w:rsidP="00C45003">
      <w:pPr>
        <w:spacing w:line="360" w:lineRule="auto"/>
        <w:ind w:firstLineChars="200" w:firstLine="420"/>
        <w:rPr>
          <w:rFonts w:ascii="宋体" w:hAnsi="宋体" w:cs="宋体" w:hint="eastAsia"/>
          <w:szCs w:val="21"/>
        </w:rPr>
      </w:pPr>
      <w:r>
        <w:rPr>
          <w:rFonts w:ascii="宋体" w:hAnsi="宋体" w:cs="宋体" w:hint="eastAsia"/>
          <w:szCs w:val="21"/>
        </w:rPr>
        <w:t>2.3投标人须提供承诺用于本项目的金融机构的授信文件，授信金额不低于10亿元人民币，或提供承诺用于本项目的金额不低于10亿元人民币的自有资金证明。</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3、业绩要求</w:t>
      </w:r>
    </w:p>
    <w:p w:rsidR="00C45003" w:rsidRDefault="00C45003" w:rsidP="00C45003">
      <w:pPr>
        <w:spacing w:line="360" w:lineRule="auto"/>
        <w:ind w:firstLineChars="200" w:firstLine="420"/>
        <w:rPr>
          <w:rFonts w:ascii="宋体" w:hAnsi="宋体" w:cs="宋体" w:hint="eastAsia"/>
          <w:szCs w:val="21"/>
        </w:rPr>
      </w:pPr>
      <w:r>
        <w:rPr>
          <w:rFonts w:ascii="宋体" w:hAnsi="宋体" w:cs="宋体" w:hint="eastAsia"/>
          <w:szCs w:val="21"/>
        </w:rPr>
        <w:t>自2016年1月1日至资格预审申请文件递交截止之日止，在中国大陆地区承担过一个建筑面积六万平米及以上在建或已完工的公共建筑施工或投资业绩（工程投资业绩、总承包施工业绩均可，业绩证明材料需提供中标通知书（如有）、工程合同协议书、工程竣工验收证明材料（如有）以及投标人认为需要增加的其他证明材料，并在开标时提供原件，否则不予认可）。</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4、信誉要求</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4.1申请人参加本次政府采购活动前，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申请人可在“信用中国”网站（www.creditchina.gov.cn）、中国</w:t>
      </w:r>
      <w:r>
        <w:rPr>
          <w:rFonts w:ascii="宋体" w:hAnsi="宋体" w:hint="eastAsia"/>
          <w:szCs w:val="21"/>
        </w:rPr>
        <w:lastRenderedPageBreak/>
        <w:t>政府采购网（www.ccgp.gov.cn）查询相关供应商主体信用记录] （以联合体形式申请资格预审的，联合体各方成员均须满足）。</w:t>
      </w:r>
    </w:p>
    <w:p w:rsidR="00C45003" w:rsidRDefault="00C45003" w:rsidP="00C45003">
      <w:pPr>
        <w:spacing w:line="360" w:lineRule="auto"/>
        <w:ind w:firstLineChars="200" w:firstLine="420"/>
        <w:rPr>
          <w:rFonts w:ascii="宋体" w:hAnsi="宋体"/>
          <w:szCs w:val="21"/>
        </w:rPr>
      </w:pPr>
      <w:r>
        <w:rPr>
          <w:rFonts w:ascii="宋体" w:hAnsi="宋体" w:hint="eastAsia"/>
          <w:szCs w:val="21"/>
        </w:rPr>
        <w:t>4.2</w:t>
      </w:r>
      <w:r>
        <w:rPr>
          <w:rFonts w:ascii="宋体" w:hAnsi="宋体"/>
          <w:szCs w:val="21"/>
        </w:rPr>
        <w:t>提供</w:t>
      </w:r>
      <w:r>
        <w:t>近</w:t>
      </w:r>
      <w:r>
        <w:rPr>
          <w:rFonts w:hint="eastAsia"/>
        </w:rPr>
        <w:t>三</w:t>
      </w:r>
      <w:r>
        <w:t>年内</w:t>
      </w:r>
      <w:r>
        <w:rPr>
          <w:rFonts w:hint="eastAsia"/>
        </w:rPr>
        <w:t>（</w:t>
      </w:r>
      <w:r>
        <w:rPr>
          <w:rFonts w:hint="eastAsia"/>
        </w:rPr>
        <w:t>2017</w:t>
      </w:r>
      <w:r>
        <w:rPr>
          <w:rFonts w:hint="eastAsia"/>
        </w:rPr>
        <w:t>、</w:t>
      </w:r>
      <w:r>
        <w:rPr>
          <w:rFonts w:hint="eastAsia"/>
        </w:rPr>
        <w:t>2018</w:t>
      </w:r>
      <w:r>
        <w:rPr>
          <w:rFonts w:hint="eastAsia"/>
        </w:rPr>
        <w:t>、</w:t>
      </w:r>
      <w:r>
        <w:rPr>
          <w:rFonts w:hint="eastAsia"/>
        </w:rPr>
        <w:t>2019</w:t>
      </w:r>
      <w:r>
        <w:rPr>
          <w:rFonts w:hint="eastAsia"/>
        </w:rPr>
        <w:t>）</w:t>
      </w:r>
      <w:r>
        <w:t>在经营活动中无违法和不良记录的承诺书</w:t>
      </w:r>
      <w:r>
        <w:rPr>
          <w:rFonts w:hint="eastAsia"/>
        </w:rPr>
        <w:t>（</w:t>
      </w:r>
      <w:r>
        <w:rPr>
          <w:rFonts w:ascii="宋体" w:hAnsi="宋体" w:hint="eastAsia"/>
          <w:szCs w:val="21"/>
        </w:rPr>
        <w:t>以联合体形式申请资格预审的，联合体各方成员均须满足）</w:t>
      </w:r>
      <w:r>
        <w:t>；</w:t>
      </w:r>
    </w:p>
    <w:p w:rsidR="00C45003" w:rsidRDefault="00C45003" w:rsidP="00C45003">
      <w:pPr>
        <w:spacing w:line="360" w:lineRule="auto"/>
        <w:ind w:firstLineChars="200" w:firstLine="422"/>
        <w:rPr>
          <w:rFonts w:ascii="宋体" w:hAnsi="宋体"/>
          <w:b/>
          <w:szCs w:val="21"/>
        </w:rPr>
      </w:pPr>
      <w:r>
        <w:rPr>
          <w:rFonts w:ascii="宋体" w:hAnsi="宋体" w:hint="eastAsia"/>
          <w:b/>
          <w:szCs w:val="21"/>
        </w:rPr>
        <w:t>5、其他要求</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5.1资格预审申请人需提供2019年11月至2020年4月中任意一个月的“中华人民共和国税收专用完税证明”复印件或“电子缴税凭证”复印件或由当地税务部门开具的正常缴纳税收（或免税）证明原件（国税或地税）（上述月份均为零申报时，须提供企业税务申报表复印件）；</w:t>
      </w:r>
    </w:p>
    <w:p w:rsidR="00C45003" w:rsidRDefault="00C45003" w:rsidP="00C45003">
      <w:pPr>
        <w:spacing w:line="360" w:lineRule="auto"/>
        <w:ind w:firstLineChars="200" w:firstLine="420"/>
        <w:rPr>
          <w:rFonts w:ascii="宋体" w:hAnsi="宋体"/>
          <w:szCs w:val="21"/>
        </w:rPr>
      </w:pPr>
      <w:r>
        <w:rPr>
          <w:rFonts w:ascii="宋体" w:hAnsi="宋体" w:hint="eastAsia"/>
          <w:szCs w:val="21"/>
        </w:rPr>
        <w:t>5.2资格预审申请人需提供2019年11月至2020年4月中任意一个月的“社会保险基金专用收款收据”复印件或“电子缴款凭证”复印件或由社保部门开具的正常缴纳社保费用证明原件；</w:t>
      </w:r>
    </w:p>
    <w:p w:rsidR="00C45003" w:rsidRDefault="00C45003" w:rsidP="00C45003">
      <w:pPr>
        <w:spacing w:line="360" w:lineRule="auto"/>
        <w:ind w:firstLineChars="200" w:firstLine="420"/>
        <w:rPr>
          <w:rFonts w:ascii="宋体" w:hAnsi="宋体"/>
          <w:szCs w:val="21"/>
        </w:rPr>
      </w:pPr>
      <w:r>
        <w:rPr>
          <w:rFonts w:ascii="宋体" w:hAnsi="宋体" w:hint="eastAsia"/>
          <w:szCs w:val="21"/>
        </w:rPr>
        <w:t>5.3单位负责人为同一人或者存在直接控股、管理关系的不同申请人，不得参加同一包或者未划分包的同一采购项目的资格预审；</w:t>
      </w:r>
    </w:p>
    <w:p w:rsidR="00C45003" w:rsidRDefault="00C45003" w:rsidP="00C45003">
      <w:pPr>
        <w:spacing w:line="360" w:lineRule="auto"/>
        <w:ind w:firstLineChars="200" w:firstLine="420"/>
        <w:rPr>
          <w:rFonts w:ascii="宋体" w:hAnsi="宋体"/>
          <w:szCs w:val="21"/>
        </w:rPr>
      </w:pPr>
      <w:r>
        <w:rPr>
          <w:rFonts w:ascii="宋体" w:hAnsi="宋体" w:hint="eastAsia"/>
          <w:szCs w:val="21"/>
        </w:rPr>
        <w:t>5.4本级政府所属融资平台公司及其控股国有企业不得单独或与其他申请人组成联合体参加本次资格预审，但对于已经与政府脱钩，建立完善公司治理结构和现代企业制度，实现市场化运营的融资平台公司，在其承担的地方政府债务已纳入政府财政预算、得到妥善处置并明确公告今后不再承担地方政府举债融资职能的前提下，可以参加本次资格预审。</w:t>
      </w:r>
    </w:p>
    <w:p w:rsidR="00C45003" w:rsidRDefault="00C45003" w:rsidP="00C45003">
      <w:pPr>
        <w:spacing w:line="360" w:lineRule="auto"/>
        <w:ind w:firstLineChars="200" w:firstLine="420"/>
        <w:rPr>
          <w:rFonts w:ascii="宋体" w:hAnsi="宋体"/>
          <w:szCs w:val="21"/>
        </w:rPr>
      </w:pPr>
      <w:r>
        <w:rPr>
          <w:rFonts w:ascii="宋体" w:hAnsi="宋体" w:hint="eastAsia"/>
          <w:szCs w:val="21"/>
        </w:rPr>
        <w:t>5.5本次资格预审</w:t>
      </w:r>
      <w:r>
        <w:rPr>
          <w:rFonts w:ascii="宋体" w:hAnsi="宋体" w:hint="eastAsia"/>
          <w:szCs w:val="21"/>
          <w:u w:val="single"/>
        </w:rPr>
        <w:t xml:space="preserve">   </w:t>
      </w:r>
      <w:r>
        <w:rPr>
          <w:rFonts w:ascii="宋体" w:hAnsi="宋体"/>
          <w:szCs w:val="21"/>
          <w:u w:val="single"/>
        </w:rPr>
        <w:t>允许</w:t>
      </w:r>
      <w:r>
        <w:rPr>
          <w:rFonts w:ascii="宋体" w:hAnsi="宋体" w:hint="eastAsia"/>
          <w:szCs w:val="21"/>
          <w:u w:val="single"/>
        </w:rPr>
        <w:t xml:space="preserve">   </w:t>
      </w:r>
      <w:r>
        <w:rPr>
          <w:rFonts w:ascii="宋体" w:hAnsi="宋体" w:hint="eastAsia"/>
          <w:szCs w:val="21"/>
        </w:rPr>
        <w:t>（</w:t>
      </w:r>
      <w:r>
        <w:rPr>
          <w:rFonts w:ascii="宋体" w:hAnsi="宋体"/>
          <w:szCs w:val="21"/>
        </w:rPr>
        <w:t>允许</w:t>
      </w:r>
      <w:r>
        <w:rPr>
          <w:rFonts w:ascii="宋体" w:hAnsi="宋体" w:hint="eastAsia"/>
          <w:szCs w:val="21"/>
        </w:rPr>
        <w:t>/不允许）</w:t>
      </w:r>
      <w:r>
        <w:rPr>
          <w:rFonts w:ascii="宋体" w:hAnsi="宋体"/>
          <w:szCs w:val="21"/>
        </w:rPr>
        <w:t>联合体资格预审</w:t>
      </w:r>
      <w:r>
        <w:rPr>
          <w:rFonts w:ascii="宋体" w:hAnsi="宋体" w:hint="eastAsia"/>
          <w:szCs w:val="21"/>
        </w:rPr>
        <w:t>申请。联合体申请资格预审的，应满足下列要求：</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（1）联合体成员不得超过3家（含3家）；</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（2）仅接受由单一施工企业与投资机构所组成的联合体，不接受两个及以上施工企业所组成的施工联合体；</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（3）联合体各方之间应当签订共同投标协议，明确约定联合体各方承担的工作和相应的责任；</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（4）联合体各方签订共同投标协议后，不得再以自己名义单独在同一项目中投标，也不得组成新的联合体参加同一项目投标；</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（5）投标联合体投标人的相同资质按分工计算；分工相同的，按最低的一方计算；</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（6）投资机构方应满足上述第1.1款资格条件要求，负责为本项目提供债权融资支持；</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（7）社会资本在中标后，未经采购人书面同意，联合体的组成结构或职责及出资比例</w:t>
      </w:r>
      <w:r>
        <w:rPr>
          <w:rFonts w:ascii="宋体" w:hAnsi="宋体" w:hint="eastAsia"/>
          <w:szCs w:val="21"/>
        </w:rPr>
        <w:lastRenderedPageBreak/>
        <w:t>均不得变动。</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（8）联合体申请资格预审的，联合体各方成员均须出资入股。</w:t>
      </w:r>
    </w:p>
    <w:p w:rsidR="00C45003" w:rsidRDefault="00C45003" w:rsidP="00C45003">
      <w:pPr>
        <w:spacing w:line="360" w:lineRule="auto"/>
        <w:ind w:firstLineChars="200" w:firstLine="420"/>
        <w:rPr>
          <w:rFonts w:ascii="宋体" w:hAnsi="宋体" w:hint="eastAsia"/>
          <w:szCs w:val="21"/>
        </w:rPr>
      </w:pPr>
    </w:p>
    <w:p w:rsidR="00C45003" w:rsidRDefault="00C45003" w:rsidP="00C45003">
      <w:pPr>
        <w:spacing w:line="360" w:lineRule="auto"/>
        <w:ind w:firstLineChars="200" w:firstLine="422"/>
        <w:rPr>
          <w:rFonts w:ascii="宋体" w:hAnsi="宋体" w:hint="eastAsia"/>
          <w:b/>
          <w:szCs w:val="21"/>
        </w:rPr>
      </w:pPr>
      <w:r>
        <w:rPr>
          <w:rFonts w:ascii="宋体" w:hAnsi="宋体" w:hint="eastAsia"/>
          <w:b/>
          <w:szCs w:val="21"/>
        </w:rPr>
        <w:t>五、资格预审方法</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本次资格预审采用合格制。经初步审查和详细审查，合格申请人可全部参与竞争。</w:t>
      </w:r>
    </w:p>
    <w:p w:rsidR="00C45003" w:rsidRDefault="00C45003" w:rsidP="00C45003">
      <w:pPr>
        <w:spacing w:line="360" w:lineRule="auto"/>
        <w:ind w:firstLineChars="200" w:firstLine="422"/>
        <w:rPr>
          <w:rFonts w:ascii="宋体" w:hAnsi="宋体" w:hint="eastAsia"/>
          <w:b/>
          <w:szCs w:val="21"/>
        </w:rPr>
      </w:pPr>
      <w:r>
        <w:rPr>
          <w:rFonts w:ascii="宋体" w:hAnsi="宋体" w:hint="eastAsia"/>
          <w:b/>
          <w:szCs w:val="21"/>
        </w:rPr>
        <w:t>六、资格预审文件的获取</w:t>
      </w:r>
    </w:p>
    <w:p w:rsidR="00C45003" w:rsidRDefault="00C45003" w:rsidP="00C45003">
      <w:pPr>
        <w:spacing w:line="360" w:lineRule="auto"/>
        <w:ind w:firstLine="420"/>
        <w:rPr>
          <w:rFonts w:ascii="宋体" w:hAnsi="宋体" w:hint="eastAsia"/>
          <w:szCs w:val="21"/>
        </w:rPr>
      </w:pPr>
      <w:r>
        <w:rPr>
          <w:rFonts w:ascii="宋体" w:hAnsi="宋体" w:hint="eastAsia"/>
          <w:szCs w:val="21"/>
        </w:rPr>
        <w:t>1、获取时间：自本公告发布之时起至2020年6月10日17时00分止；</w:t>
      </w:r>
    </w:p>
    <w:p w:rsidR="00C45003" w:rsidRDefault="00C45003" w:rsidP="00C45003">
      <w:pPr>
        <w:spacing w:line="360" w:lineRule="auto"/>
        <w:ind w:firstLine="420"/>
        <w:rPr>
          <w:rFonts w:ascii="宋体" w:hAnsi="宋体" w:hint="eastAsia"/>
          <w:szCs w:val="21"/>
        </w:rPr>
      </w:pPr>
      <w:r>
        <w:rPr>
          <w:rFonts w:ascii="宋体" w:hAnsi="宋体" w:hint="eastAsia"/>
          <w:szCs w:val="21"/>
        </w:rPr>
        <w:t>2、获取方式：供应商自行登录柳州市公共资源交易平台（ggzy.liuzhou.gov.cn）在线免费获取招标文件；</w:t>
      </w:r>
    </w:p>
    <w:p w:rsidR="00C45003" w:rsidRDefault="00C45003" w:rsidP="00C45003">
      <w:pPr>
        <w:spacing w:line="360" w:lineRule="auto"/>
        <w:ind w:firstLine="420"/>
        <w:rPr>
          <w:rFonts w:ascii="宋体" w:hAnsi="宋体" w:hint="eastAsia"/>
          <w:szCs w:val="21"/>
        </w:rPr>
      </w:pPr>
      <w:r>
        <w:rPr>
          <w:rFonts w:ascii="宋体" w:hAnsi="宋体" w:hint="eastAsia"/>
          <w:szCs w:val="21"/>
        </w:rPr>
        <w:t>3、获取程序及注意事项：潜在供应商必须通过登录柳州市公共资源交易平台网站(ggzy.liuzhou.gov.cn) 的“交易信息”——“政府采购”——“政采公告”中打开项目的招标公告正文，点击下方的“获取招标文件”按钮，在弹出的界面填写相应的信息，填写信息完毕后点击“获取文件”；</w:t>
      </w:r>
    </w:p>
    <w:p w:rsidR="00C45003" w:rsidRDefault="00C45003" w:rsidP="00C45003">
      <w:pPr>
        <w:spacing w:line="360" w:lineRule="auto"/>
        <w:ind w:firstLine="420"/>
        <w:rPr>
          <w:rFonts w:ascii="宋体" w:hAnsi="宋体" w:hint="eastAsia"/>
          <w:szCs w:val="21"/>
        </w:rPr>
      </w:pPr>
      <w:r>
        <w:rPr>
          <w:rFonts w:ascii="宋体" w:hAnsi="宋体" w:hint="eastAsia"/>
          <w:szCs w:val="21"/>
        </w:rPr>
        <w:t>4、未按上述方式获取招标文件的供应商，采购代理机构将拒收其投标文件。已获取招标文件的供应商不等于符合本项目的投标人资格。</w:t>
      </w:r>
    </w:p>
    <w:p w:rsidR="00C45003" w:rsidRDefault="00C45003" w:rsidP="00C45003">
      <w:pPr>
        <w:spacing w:line="360" w:lineRule="auto"/>
        <w:ind w:firstLineChars="200" w:firstLine="422"/>
        <w:rPr>
          <w:rFonts w:ascii="宋体" w:hAnsi="宋体" w:hint="eastAsia"/>
          <w:b/>
          <w:szCs w:val="21"/>
        </w:rPr>
      </w:pPr>
      <w:r>
        <w:rPr>
          <w:rFonts w:ascii="宋体" w:hAnsi="宋体" w:hint="eastAsia"/>
          <w:b/>
          <w:szCs w:val="21"/>
        </w:rPr>
        <w:t>七、资格预审申请文件的提交</w:t>
      </w:r>
    </w:p>
    <w:p w:rsidR="00C45003" w:rsidRDefault="00C45003" w:rsidP="00C45003">
      <w:pPr>
        <w:spacing w:line="360" w:lineRule="auto"/>
        <w:ind w:firstLineChars="200" w:firstLine="420"/>
        <w:rPr>
          <w:rFonts w:ascii="宋体" w:hAnsi="宋体"/>
          <w:szCs w:val="21"/>
        </w:rPr>
      </w:pPr>
      <w:r>
        <w:rPr>
          <w:rFonts w:ascii="宋体" w:hAnsi="宋体" w:hint="eastAsia"/>
          <w:szCs w:val="21"/>
        </w:rPr>
        <w:t>资格预审申请人将于2020年6月23日上午9:30时前（北京时间），将预审申请文件密封提交到柳州市新柳大道115号国际会展中心会议中心八楼开标厅，资格预审申请人可以派法定代表人或授权代表出席开标会议，逾期送达将予以拒收。</w:t>
      </w:r>
    </w:p>
    <w:p w:rsidR="00C45003" w:rsidRDefault="00C45003" w:rsidP="00C45003">
      <w:pPr>
        <w:spacing w:line="360" w:lineRule="auto"/>
        <w:ind w:firstLineChars="200" w:firstLine="422"/>
        <w:rPr>
          <w:rFonts w:ascii="宋体" w:hAnsi="宋体" w:hint="eastAsia"/>
          <w:b/>
          <w:szCs w:val="21"/>
        </w:rPr>
      </w:pPr>
      <w:r>
        <w:rPr>
          <w:rFonts w:ascii="宋体" w:hAnsi="宋体" w:hint="eastAsia"/>
          <w:b/>
          <w:szCs w:val="21"/>
        </w:rPr>
        <w:t>八、网上查询地址</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www.ccgp.gov.cn（中国政府采购网）、zfcg.gxzf.gov.cn（</w:t>
      </w:r>
      <w:r>
        <w:rPr>
          <w:rFonts w:ascii="宋体" w:hAnsi="宋体"/>
          <w:szCs w:val="21"/>
        </w:rPr>
        <w:t>广西政府采购网/广西政府购买服务信息平台</w:t>
      </w:r>
      <w:r>
        <w:rPr>
          <w:rFonts w:ascii="宋体" w:hAnsi="宋体" w:hint="eastAsia"/>
          <w:szCs w:val="21"/>
        </w:rPr>
        <w:t>）、www.zfcg.gov.cn（广西柳州市政府采购网）、</w:t>
      </w:r>
      <w:r>
        <w:rPr>
          <w:rFonts w:ascii="宋体" w:hAnsi="宋体"/>
          <w:szCs w:val="21"/>
        </w:rPr>
        <w:t>ggzy.liuzhou.gov.cn/</w:t>
      </w:r>
      <w:proofErr w:type="spellStart"/>
      <w:r>
        <w:rPr>
          <w:rFonts w:ascii="宋体" w:hAnsi="宋体"/>
          <w:szCs w:val="21"/>
        </w:rPr>
        <w:t>gxlzzbw</w:t>
      </w:r>
      <w:proofErr w:type="spellEnd"/>
      <w:r>
        <w:rPr>
          <w:rFonts w:ascii="宋体" w:hAnsi="宋体"/>
          <w:szCs w:val="21"/>
        </w:rPr>
        <w:t>/（柳州市公共资源交易平台）</w:t>
      </w:r>
    </w:p>
    <w:p w:rsidR="00C45003" w:rsidRDefault="00C45003" w:rsidP="00C45003">
      <w:pPr>
        <w:spacing w:line="360" w:lineRule="auto"/>
        <w:ind w:firstLineChars="200" w:firstLine="422"/>
        <w:rPr>
          <w:rFonts w:ascii="宋体" w:hAnsi="宋体"/>
          <w:szCs w:val="21"/>
        </w:rPr>
      </w:pPr>
      <w:r>
        <w:rPr>
          <w:rFonts w:ascii="宋体" w:hAnsi="宋体" w:cs="宋体" w:hint="eastAsia"/>
          <w:b/>
          <w:szCs w:val="21"/>
        </w:rPr>
        <w:t>九、资格预审公告期限：自招标文件发售之日起七个工作日。</w:t>
      </w:r>
    </w:p>
    <w:p w:rsidR="00C45003" w:rsidRDefault="00C45003" w:rsidP="00C45003">
      <w:pPr>
        <w:spacing w:line="360" w:lineRule="auto"/>
        <w:ind w:firstLineChars="200" w:firstLine="422"/>
        <w:rPr>
          <w:rFonts w:ascii="宋体" w:hAnsi="宋体" w:cs="宋体"/>
          <w:b/>
          <w:szCs w:val="21"/>
        </w:rPr>
      </w:pPr>
      <w:r>
        <w:rPr>
          <w:rFonts w:ascii="宋体" w:hAnsi="宋体" w:cs="宋体" w:hint="eastAsia"/>
          <w:b/>
          <w:szCs w:val="21"/>
        </w:rPr>
        <w:t>十、业务咨询</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采购单位：</w:t>
      </w:r>
      <w:r>
        <w:rPr>
          <w:rFonts w:ascii="宋体" w:hAnsi="宋体" w:cs="宋体" w:hint="eastAsia"/>
          <w:bCs/>
          <w:szCs w:val="21"/>
        </w:rPr>
        <w:t>柳州市文化广电和旅游局</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采购单位联系人：陈昉            联系电话：0772-2813423</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地址： 柳州市桂中大道1号中房文化产业大厦</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采购代理机构：广西鑫润建设项目管理有限公司</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采购代理机构联系人：陈紫荞     联系电话：0772-2867153</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lastRenderedPageBreak/>
        <w:t>采购代理机构地址：柳州市东环大道256号万达广场2栋10楼</w:t>
      </w:r>
    </w:p>
    <w:p w:rsidR="00C45003" w:rsidRDefault="00C45003" w:rsidP="00C45003">
      <w:pPr>
        <w:spacing w:line="360" w:lineRule="auto"/>
        <w:ind w:firstLineChars="200" w:firstLine="420"/>
        <w:rPr>
          <w:rFonts w:ascii="宋体" w:hAnsi="宋体" w:hint="eastAsia"/>
          <w:szCs w:val="21"/>
        </w:rPr>
      </w:pPr>
      <w:r>
        <w:rPr>
          <w:rFonts w:ascii="宋体" w:hAnsi="宋体" w:hint="eastAsia"/>
          <w:szCs w:val="21"/>
        </w:rPr>
        <w:t>政府采购监督管理部门：柳州市财政局政府采购监督管理科   联系电话： 0772-2830320</w:t>
      </w:r>
    </w:p>
    <w:p w:rsidR="00C45003" w:rsidRDefault="00C45003" w:rsidP="00C45003">
      <w:pPr>
        <w:spacing w:line="360" w:lineRule="auto"/>
        <w:ind w:firstLineChars="2835" w:firstLine="5953"/>
        <w:rPr>
          <w:rFonts w:ascii="宋体" w:hAnsi="宋体" w:hint="eastAsia"/>
          <w:bCs/>
          <w:szCs w:val="21"/>
        </w:rPr>
      </w:pPr>
    </w:p>
    <w:p w:rsidR="00C45003" w:rsidRDefault="00C45003" w:rsidP="00C45003">
      <w:pPr>
        <w:spacing w:line="360" w:lineRule="auto"/>
        <w:ind w:firstLineChars="2835" w:firstLine="5953"/>
        <w:rPr>
          <w:rFonts w:ascii="宋体" w:hAnsi="宋体" w:cs="宋体" w:hint="eastAsia"/>
          <w:kern w:val="48"/>
          <w:szCs w:val="21"/>
        </w:rPr>
      </w:pPr>
      <w:r>
        <w:rPr>
          <w:rFonts w:ascii="宋体" w:hAnsi="宋体" w:cs="宋体" w:hint="eastAsia"/>
          <w:kern w:val="48"/>
          <w:szCs w:val="21"/>
        </w:rPr>
        <w:t>广西鑫润建设项目管理有限公司</w:t>
      </w:r>
    </w:p>
    <w:p w:rsidR="008033B5" w:rsidRDefault="00C45003" w:rsidP="00C45003">
      <w:r>
        <w:rPr>
          <w:rFonts w:ascii="宋体" w:hAnsi="宋体" w:cs="宋体" w:hint="eastAsia"/>
          <w:kern w:val="48"/>
          <w:szCs w:val="21"/>
        </w:rPr>
        <w:t>二〇二零年六月一日</w:t>
      </w:r>
      <w:bookmarkEnd w:id="0"/>
      <w:bookmarkEnd w:id="1"/>
    </w:p>
    <w:sectPr w:rsidR="008033B5" w:rsidSect="003347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003"/>
    <w:rsid w:val="00000356"/>
    <w:rsid w:val="00000C8A"/>
    <w:rsid w:val="00000E7C"/>
    <w:rsid w:val="000020E0"/>
    <w:rsid w:val="000067A9"/>
    <w:rsid w:val="0001164E"/>
    <w:rsid w:val="00011697"/>
    <w:rsid w:val="00014DBE"/>
    <w:rsid w:val="0002011E"/>
    <w:rsid w:val="00023DB2"/>
    <w:rsid w:val="00024086"/>
    <w:rsid w:val="000251D7"/>
    <w:rsid w:val="00025944"/>
    <w:rsid w:val="00026042"/>
    <w:rsid w:val="00026EC9"/>
    <w:rsid w:val="00027EC4"/>
    <w:rsid w:val="00032567"/>
    <w:rsid w:val="00033EF5"/>
    <w:rsid w:val="00034D54"/>
    <w:rsid w:val="000372C9"/>
    <w:rsid w:val="000404F3"/>
    <w:rsid w:val="00041234"/>
    <w:rsid w:val="00041D6A"/>
    <w:rsid w:val="00042785"/>
    <w:rsid w:val="00043CD1"/>
    <w:rsid w:val="000446F2"/>
    <w:rsid w:val="00044ED3"/>
    <w:rsid w:val="00044FA3"/>
    <w:rsid w:val="00047524"/>
    <w:rsid w:val="000476C5"/>
    <w:rsid w:val="00047D17"/>
    <w:rsid w:val="00050D51"/>
    <w:rsid w:val="00050EE1"/>
    <w:rsid w:val="000512E4"/>
    <w:rsid w:val="00051BD8"/>
    <w:rsid w:val="00051ED6"/>
    <w:rsid w:val="00054D23"/>
    <w:rsid w:val="000557C0"/>
    <w:rsid w:val="0005660E"/>
    <w:rsid w:val="000649F7"/>
    <w:rsid w:val="00065FDF"/>
    <w:rsid w:val="00067FC6"/>
    <w:rsid w:val="0007116F"/>
    <w:rsid w:val="00071DD0"/>
    <w:rsid w:val="0007404C"/>
    <w:rsid w:val="000756DA"/>
    <w:rsid w:val="00077B69"/>
    <w:rsid w:val="00080E23"/>
    <w:rsid w:val="000818D5"/>
    <w:rsid w:val="0008591B"/>
    <w:rsid w:val="00085FF1"/>
    <w:rsid w:val="00086841"/>
    <w:rsid w:val="00087F3D"/>
    <w:rsid w:val="00091B54"/>
    <w:rsid w:val="00093306"/>
    <w:rsid w:val="000934F0"/>
    <w:rsid w:val="0009489A"/>
    <w:rsid w:val="000950E7"/>
    <w:rsid w:val="00096EC5"/>
    <w:rsid w:val="000A0FFB"/>
    <w:rsid w:val="000A14BC"/>
    <w:rsid w:val="000A24D7"/>
    <w:rsid w:val="000A7F17"/>
    <w:rsid w:val="000B44AC"/>
    <w:rsid w:val="000B57C8"/>
    <w:rsid w:val="000B5DF9"/>
    <w:rsid w:val="000B5E8E"/>
    <w:rsid w:val="000B663A"/>
    <w:rsid w:val="000B7E8E"/>
    <w:rsid w:val="000C0657"/>
    <w:rsid w:val="000C0E45"/>
    <w:rsid w:val="000C2C5B"/>
    <w:rsid w:val="000C2CF5"/>
    <w:rsid w:val="000C44D7"/>
    <w:rsid w:val="000C521A"/>
    <w:rsid w:val="000C5400"/>
    <w:rsid w:val="000D2274"/>
    <w:rsid w:val="000D5977"/>
    <w:rsid w:val="000D5F19"/>
    <w:rsid w:val="000D6421"/>
    <w:rsid w:val="000D6EDA"/>
    <w:rsid w:val="000D6F0D"/>
    <w:rsid w:val="000D733F"/>
    <w:rsid w:val="000E18FF"/>
    <w:rsid w:val="000E2718"/>
    <w:rsid w:val="000E3851"/>
    <w:rsid w:val="000E4E7E"/>
    <w:rsid w:val="000E5D2A"/>
    <w:rsid w:val="000E7995"/>
    <w:rsid w:val="000F0691"/>
    <w:rsid w:val="000F20D3"/>
    <w:rsid w:val="000F23A6"/>
    <w:rsid w:val="000F2EA1"/>
    <w:rsid w:val="000F454E"/>
    <w:rsid w:val="000F49DC"/>
    <w:rsid w:val="000F5C66"/>
    <w:rsid w:val="000F5DD5"/>
    <w:rsid w:val="00101108"/>
    <w:rsid w:val="0010166E"/>
    <w:rsid w:val="00101FB0"/>
    <w:rsid w:val="00103329"/>
    <w:rsid w:val="001150FD"/>
    <w:rsid w:val="00115F23"/>
    <w:rsid w:val="001171AC"/>
    <w:rsid w:val="00120AEC"/>
    <w:rsid w:val="0012156F"/>
    <w:rsid w:val="001249C8"/>
    <w:rsid w:val="00131EB4"/>
    <w:rsid w:val="00136479"/>
    <w:rsid w:val="00136885"/>
    <w:rsid w:val="001378AF"/>
    <w:rsid w:val="00141216"/>
    <w:rsid w:val="001413C7"/>
    <w:rsid w:val="001413CA"/>
    <w:rsid w:val="00141C9E"/>
    <w:rsid w:val="00143463"/>
    <w:rsid w:val="001458C5"/>
    <w:rsid w:val="00151191"/>
    <w:rsid w:val="00152CDB"/>
    <w:rsid w:val="00153229"/>
    <w:rsid w:val="00154166"/>
    <w:rsid w:val="001576AE"/>
    <w:rsid w:val="001576EC"/>
    <w:rsid w:val="00161044"/>
    <w:rsid w:val="001622C7"/>
    <w:rsid w:val="00163595"/>
    <w:rsid w:val="00163D6D"/>
    <w:rsid w:val="001670A3"/>
    <w:rsid w:val="00167391"/>
    <w:rsid w:val="00171211"/>
    <w:rsid w:val="001733DC"/>
    <w:rsid w:val="00173668"/>
    <w:rsid w:val="00173FED"/>
    <w:rsid w:val="0017645E"/>
    <w:rsid w:val="00176CCA"/>
    <w:rsid w:val="00177CAE"/>
    <w:rsid w:val="00177FAD"/>
    <w:rsid w:val="001809C1"/>
    <w:rsid w:val="001811CE"/>
    <w:rsid w:val="001815A6"/>
    <w:rsid w:val="001821F6"/>
    <w:rsid w:val="00184CEB"/>
    <w:rsid w:val="00186253"/>
    <w:rsid w:val="001922E2"/>
    <w:rsid w:val="00192B0A"/>
    <w:rsid w:val="00193F38"/>
    <w:rsid w:val="00195653"/>
    <w:rsid w:val="001962D5"/>
    <w:rsid w:val="001A0A86"/>
    <w:rsid w:val="001A5BC4"/>
    <w:rsid w:val="001A6AF3"/>
    <w:rsid w:val="001B07EB"/>
    <w:rsid w:val="001B0901"/>
    <w:rsid w:val="001B1CA3"/>
    <w:rsid w:val="001B2E52"/>
    <w:rsid w:val="001B3220"/>
    <w:rsid w:val="001B4B5B"/>
    <w:rsid w:val="001B4BA5"/>
    <w:rsid w:val="001B4D39"/>
    <w:rsid w:val="001B5A3E"/>
    <w:rsid w:val="001B780F"/>
    <w:rsid w:val="001C4143"/>
    <w:rsid w:val="001C438B"/>
    <w:rsid w:val="001C4DEE"/>
    <w:rsid w:val="001C6310"/>
    <w:rsid w:val="001D2E1A"/>
    <w:rsid w:val="001D3C4D"/>
    <w:rsid w:val="001D3F98"/>
    <w:rsid w:val="001D5D8E"/>
    <w:rsid w:val="001E1A3C"/>
    <w:rsid w:val="001E2093"/>
    <w:rsid w:val="001E2BE6"/>
    <w:rsid w:val="001E3E6A"/>
    <w:rsid w:val="001E7CB8"/>
    <w:rsid w:val="001F01B1"/>
    <w:rsid w:val="001F0B23"/>
    <w:rsid w:val="001F1894"/>
    <w:rsid w:val="001F6758"/>
    <w:rsid w:val="001F7894"/>
    <w:rsid w:val="002028C5"/>
    <w:rsid w:val="002029EE"/>
    <w:rsid w:val="00210D42"/>
    <w:rsid w:val="002110B2"/>
    <w:rsid w:val="00214CC4"/>
    <w:rsid w:val="00217D17"/>
    <w:rsid w:val="002211AA"/>
    <w:rsid w:val="00221E99"/>
    <w:rsid w:val="00222BCA"/>
    <w:rsid w:val="002265D8"/>
    <w:rsid w:val="00226683"/>
    <w:rsid w:val="002269B7"/>
    <w:rsid w:val="00233076"/>
    <w:rsid w:val="002356D5"/>
    <w:rsid w:val="002453E4"/>
    <w:rsid w:val="00247122"/>
    <w:rsid w:val="002545E9"/>
    <w:rsid w:val="00255BD9"/>
    <w:rsid w:val="0025602C"/>
    <w:rsid w:val="0025620D"/>
    <w:rsid w:val="002564E4"/>
    <w:rsid w:val="00263358"/>
    <w:rsid w:val="0026427A"/>
    <w:rsid w:val="002648C3"/>
    <w:rsid w:val="00266389"/>
    <w:rsid w:val="00266558"/>
    <w:rsid w:val="00267725"/>
    <w:rsid w:val="002704DD"/>
    <w:rsid w:val="00270A9F"/>
    <w:rsid w:val="00274450"/>
    <w:rsid w:val="002749A3"/>
    <w:rsid w:val="00280A9B"/>
    <w:rsid w:val="0028493C"/>
    <w:rsid w:val="00285588"/>
    <w:rsid w:val="00287D64"/>
    <w:rsid w:val="00290028"/>
    <w:rsid w:val="00291B25"/>
    <w:rsid w:val="00291BE9"/>
    <w:rsid w:val="002940D2"/>
    <w:rsid w:val="0029620C"/>
    <w:rsid w:val="00296F93"/>
    <w:rsid w:val="00297C7C"/>
    <w:rsid w:val="00297E59"/>
    <w:rsid w:val="002A0B88"/>
    <w:rsid w:val="002A2DFA"/>
    <w:rsid w:val="002A2F0C"/>
    <w:rsid w:val="002A77DF"/>
    <w:rsid w:val="002B524F"/>
    <w:rsid w:val="002B5B67"/>
    <w:rsid w:val="002B69D0"/>
    <w:rsid w:val="002C20D1"/>
    <w:rsid w:val="002C3E8C"/>
    <w:rsid w:val="002C4663"/>
    <w:rsid w:val="002C4693"/>
    <w:rsid w:val="002C5527"/>
    <w:rsid w:val="002C654F"/>
    <w:rsid w:val="002D087A"/>
    <w:rsid w:val="002D156F"/>
    <w:rsid w:val="002D1A5B"/>
    <w:rsid w:val="002D4F58"/>
    <w:rsid w:val="002D63BA"/>
    <w:rsid w:val="002E1D6C"/>
    <w:rsid w:val="002E1E5F"/>
    <w:rsid w:val="002E4B7B"/>
    <w:rsid w:val="002E4BE2"/>
    <w:rsid w:val="002E7586"/>
    <w:rsid w:val="002F08B1"/>
    <w:rsid w:val="002F0E58"/>
    <w:rsid w:val="002F350D"/>
    <w:rsid w:val="002F68CE"/>
    <w:rsid w:val="00300B0A"/>
    <w:rsid w:val="00302A14"/>
    <w:rsid w:val="003030B9"/>
    <w:rsid w:val="00303910"/>
    <w:rsid w:val="0031032B"/>
    <w:rsid w:val="00313393"/>
    <w:rsid w:val="00313FFC"/>
    <w:rsid w:val="00317379"/>
    <w:rsid w:val="0031751B"/>
    <w:rsid w:val="00320E11"/>
    <w:rsid w:val="0032134F"/>
    <w:rsid w:val="00322E06"/>
    <w:rsid w:val="00324049"/>
    <w:rsid w:val="00324B7D"/>
    <w:rsid w:val="0032556E"/>
    <w:rsid w:val="00326F71"/>
    <w:rsid w:val="00332631"/>
    <w:rsid w:val="00332E60"/>
    <w:rsid w:val="0033406D"/>
    <w:rsid w:val="00334563"/>
    <w:rsid w:val="0033470D"/>
    <w:rsid w:val="00336B6E"/>
    <w:rsid w:val="003376D8"/>
    <w:rsid w:val="003406AF"/>
    <w:rsid w:val="00342CB6"/>
    <w:rsid w:val="0034495C"/>
    <w:rsid w:val="00345C0B"/>
    <w:rsid w:val="003465F5"/>
    <w:rsid w:val="0034721B"/>
    <w:rsid w:val="003502AD"/>
    <w:rsid w:val="00353095"/>
    <w:rsid w:val="003550F2"/>
    <w:rsid w:val="00355296"/>
    <w:rsid w:val="00357398"/>
    <w:rsid w:val="00357538"/>
    <w:rsid w:val="00364A1E"/>
    <w:rsid w:val="0036530A"/>
    <w:rsid w:val="00365710"/>
    <w:rsid w:val="003677F3"/>
    <w:rsid w:val="003717C0"/>
    <w:rsid w:val="003734F2"/>
    <w:rsid w:val="003755E4"/>
    <w:rsid w:val="003805DD"/>
    <w:rsid w:val="00380D66"/>
    <w:rsid w:val="00381A63"/>
    <w:rsid w:val="00383B71"/>
    <w:rsid w:val="003849EB"/>
    <w:rsid w:val="0038569E"/>
    <w:rsid w:val="00387082"/>
    <w:rsid w:val="0039339A"/>
    <w:rsid w:val="00393CBC"/>
    <w:rsid w:val="00395D4C"/>
    <w:rsid w:val="003A0121"/>
    <w:rsid w:val="003A092B"/>
    <w:rsid w:val="003A1953"/>
    <w:rsid w:val="003A3FC0"/>
    <w:rsid w:val="003A4AD4"/>
    <w:rsid w:val="003A4D3F"/>
    <w:rsid w:val="003A79D6"/>
    <w:rsid w:val="003A7A08"/>
    <w:rsid w:val="003B2A39"/>
    <w:rsid w:val="003B2F82"/>
    <w:rsid w:val="003C03AD"/>
    <w:rsid w:val="003C05B8"/>
    <w:rsid w:val="003C41AE"/>
    <w:rsid w:val="003C4A77"/>
    <w:rsid w:val="003C6CB3"/>
    <w:rsid w:val="003C7364"/>
    <w:rsid w:val="003D1E71"/>
    <w:rsid w:val="003D2A96"/>
    <w:rsid w:val="003D56CB"/>
    <w:rsid w:val="003D66C5"/>
    <w:rsid w:val="003D6E04"/>
    <w:rsid w:val="003D706B"/>
    <w:rsid w:val="003D724E"/>
    <w:rsid w:val="003D74B0"/>
    <w:rsid w:val="003D7BEC"/>
    <w:rsid w:val="003E051C"/>
    <w:rsid w:val="003E0E34"/>
    <w:rsid w:val="003E13D1"/>
    <w:rsid w:val="003E2352"/>
    <w:rsid w:val="003E45FA"/>
    <w:rsid w:val="003E769D"/>
    <w:rsid w:val="003F045E"/>
    <w:rsid w:val="003F2560"/>
    <w:rsid w:val="003F62F8"/>
    <w:rsid w:val="00400FE1"/>
    <w:rsid w:val="00401360"/>
    <w:rsid w:val="00402340"/>
    <w:rsid w:val="004058B6"/>
    <w:rsid w:val="004060A3"/>
    <w:rsid w:val="00407D33"/>
    <w:rsid w:val="00407E8A"/>
    <w:rsid w:val="00407F56"/>
    <w:rsid w:val="00410CE5"/>
    <w:rsid w:val="00411265"/>
    <w:rsid w:val="0041264E"/>
    <w:rsid w:val="00414769"/>
    <w:rsid w:val="00421A78"/>
    <w:rsid w:val="00424527"/>
    <w:rsid w:val="00425F9D"/>
    <w:rsid w:val="00426C8B"/>
    <w:rsid w:val="00431B1F"/>
    <w:rsid w:val="00434AD3"/>
    <w:rsid w:val="004354E5"/>
    <w:rsid w:val="00435519"/>
    <w:rsid w:val="00436533"/>
    <w:rsid w:val="0043677D"/>
    <w:rsid w:val="004404B4"/>
    <w:rsid w:val="004427F6"/>
    <w:rsid w:val="0044404D"/>
    <w:rsid w:val="00444C3D"/>
    <w:rsid w:val="00445B5A"/>
    <w:rsid w:val="004460E5"/>
    <w:rsid w:val="00447EF2"/>
    <w:rsid w:val="0045040C"/>
    <w:rsid w:val="00450463"/>
    <w:rsid w:val="004518D7"/>
    <w:rsid w:val="0045202F"/>
    <w:rsid w:val="00452BDE"/>
    <w:rsid w:val="00455230"/>
    <w:rsid w:val="00456661"/>
    <w:rsid w:val="00460B45"/>
    <w:rsid w:val="00462703"/>
    <w:rsid w:val="0046288D"/>
    <w:rsid w:val="004630DF"/>
    <w:rsid w:val="0046357A"/>
    <w:rsid w:val="0046421C"/>
    <w:rsid w:val="00466B27"/>
    <w:rsid w:val="004676F3"/>
    <w:rsid w:val="00467E3B"/>
    <w:rsid w:val="00470C9D"/>
    <w:rsid w:val="004714EC"/>
    <w:rsid w:val="00471D19"/>
    <w:rsid w:val="00472387"/>
    <w:rsid w:val="00472A4D"/>
    <w:rsid w:val="00473038"/>
    <w:rsid w:val="00473FCA"/>
    <w:rsid w:val="00474267"/>
    <w:rsid w:val="0047458B"/>
    <w:rsid w:val="00477A96"/>
    <w:rsid w:val="004803CA"/>
    <w:rsid w:val="00483EF4"/>
    <w:rsid w:val="004847E8"/>
    <w:rsid w:val="00485957"/>
    <w:rsid w:val="00490D19"/>
    <w:rsid w:val="004923B9"/>
    <w:rsid w:val="00492D57"/>
    <w:rsid w:val="00493647"/>
    <w:rsid w:val="00493954"/>
    <w:rsid w:val="00493F69"/>
    <w:rsid w:val="004953E8"/>
    <w:rsid w:val="004954E3"/>
    <w:rsid w:val="004A51F6"/>
    <w:rsid w:val="004A655B"/>
    <w:rsid w:val="004A7346"/>
    <w:rsid w:val="004A74EB"/>
    <w:rsid w:val="004B180A"/>
    <w:rsid w:val="004B3A1F"/>
    <w:rsid w:val="004B461C"/>
    <w:rsid w:val="004B56D9"/>
    <w:rsid w:val="004B5FDA"/>
    <w:rsid w:val="004B6A87"/>
    <w:rsid w:val="004C0009"/>
    <w:rsid w:val="004C2D41"/>
    <w:rsid w:val="004C2E34"/>
    <w:rsid w:val="004C5EE3"/>
    <w:rsid w:val="004C67D4"/>
    <w:rsid w:val="004D0025"/>
    <w:rsid w:val="004D3207"/>
    <w:rsid w:val="004D39FF"/>
    <w:rsid w:val="004E0286"/>
    <w:rsid w:val="004E1A80"/>
    <w:rsid w:val="004E1E97"/>
    <w:rsid w:val="004E5698"/>
    <w:rsid w:val="004E65FA"/>
    <w:rsid w:val="004F4931"/>
    <w:rsid w:val="004F53D1"/>
    <w:rsid w:val="004F549F"/>
    <w:rsid w:val="004F55E9"/>
    <w:rsid w:val="004F5C94"/>
    <w:rsid w:val="004F6E41"/>
    <w:rsid w:val="00500886"/>
    <w:rsid w:val="00503977"/>
    <w:rsid w:val="00503F71"/>
    <w:rsid w:val="00504A2F"/>
    <w:rsid w:val="0050673E"/>
    <w:rsid w:val="00507138"/>
    <w:rsid w:val="00510185"/>
    <w:rsid w:val="0051744A"/>
    <w:rsid w:val="00517F56"/>
    <w:rsid w:val="005253C9"/>
    <w:rsid w:val="00526091"/>
    <w:rsid w:val="00531B14"/>
    <w:rsid w:val="00532DDB"/>
    <w:rsid w:val="0053510D"/>
    <w:rsid w:val="0053593E"/>
    <w:rsid w:val="005359C9"/>
    <w:rsid w:val="00536D27"/>
    <w:rsid w:val="00537C30"/>
    <w:rsid w:val="005400A5"/>
    <w:rsid w:val="00542D2F"/>
    <w:rsid w:val="00543C97"/>
    <w:rsid w:val="0054617F"/>
    <w:rsid w:val="005461C3"/>
    <w:rsid w:val="00546EB3"/>
    <w:rsid w:val="00547901"/>
    <w:rsid w:val="00553316"/>
    <w:rsid w:val="00560DBB"/>
    <w:rsid w:val="00561015"/>
    <w:rsid w:val="0056172C"/>
    <w:rsid w:val="00563349"/>
    <w:rsid w:val="005633D1"/>
    <w:rsid w:val="00564377"/>
    <w:rsid w:val="005675E8"/>
    <w:rsid w:val="0056773A"/>
    <w:rsid w:val="00570920"/>
    <w:rsid w:val="00570C2C"/>
    <w:rsid w:val="00571587"/>
    <w:rsid w:val="0057192A"/>
    <w:rsid w:val="00571E54"/>
    <w:rsid w:val="00572434"/>
    <w:rsid w:val="005731BE"/>
    <w:rsid w:val="00573352"/>
    <w:rsid w:val="00574200"/>
    <w:rsid w:val="005765A3"/>
    <w:rsid w:val="00581B67"/>
    <w:rsid w:val="005827D1"/>
    <w:rsid w:val="00591AFA"/>
    <w:rsid w:val="0059213B"/>
    <w:rsid w:val="005A059D"/>
    <w:rsid w:val="005A1342"/>
    <w:rsid w:val="005A3F10"/>
    <w:rsid w:val="005A74E6"/>
    <w:rsid w:val="005B00C1"/>
    <w:rsid w:val="005B1832"/>
    <w:rsid w:val="005B294E"/>
    <w:rsid w:val="005B4C4D"/>
    <w:rsid w:val="005C28BF"/>
    <w:rsid w:val="005C495C"/>
    <w:rsid w:val="005C6DAE"/>
    <w:rsid w:val="005C7429"/>
    <w:rsid w:val="005C7AFC"/>
    <w:rsid w:val="005C7D16"/>
    <w:rsid w:val="005D0251"/>
    <w:rsid w:val="005D11DB"/>
    <w:rsid w:val="005D2EDD"/>
    <w:rsid w:val="005E0AA9"/>
    <w:rsid w:val="005E2E7D"/>
    <w:rsid w:val="005E3E1C"/>
    <w:rsid w:val="005E6DE5"/>
    <w:rsid w:val="005E6E02"/>
    <w:rsid w:val="005E7438"/>
    <w:rsid w:val="005E787C"/>
    <w:rsid w:val="005F1D13"/>
    <w:rsid w:val="005F28EB"/>
    <w:rsid w:val="005F2972"/>
    <w:rsid w:val="00600CC7"/>
    <w:rsid w:val="0060157D"/>
    <w:rsid w:val="00601752"/>
    <w:rsid w:val="00602AD9"/>
    <w:rsid w:val="006059C3"/>
    <w:rsid w:val="00607850"/>
    <w:rsid w:val="006127ED"/>
    <w:rsid w:val="006136FB"/>
    <w:rsid w:val="00613A60"/>
    <w:rsid w:val="00614650"/>
    <w:rsid w:val="00614987"/>
    <w:rsid w:val="00620BE1"/>
    <w:rsid w:val="00621940"/>
    <w:rsid w:val="006219D3"/>
    <w:rsid w:val="00623426"/>
    <w:rsid w:val="006247AB"/>
    <w:rsid w:val="00627425"/>
    <w:rsid w:val="00631D1D"/>
    <w:rsid w:val="00633705"/>
    <w:rsid w:val="0063479A"/>
    <w:rsid w:val="0064062D"/>
    <w:rsid w:val="00641488"/>
    <w:rsid w:val="006436F1"/>
    <w:rsid w:val="00643902"/>
    <w:rsid w:val="00647A39"/>
    <w:rsid w:val="00647DE3"/>
    <w:rsid w:val="00652045"/>
    <w:rsid w:val="00652147"/>
    <w:rsid w:val="006535A8"/>
    <w:rsid w:val="00656A63"/>
    <w:rsid w:val="00657EFD"/>
    <w:rsid w:val="00660B93"/>
    <w:rsid w:val="006610FE"/>
    <w:rsid w:val="0066146D"/>
    <w:rsid w:val="006622B6"/>
    <w:rsid w:val="00662976"/>
    <w:rsid w:val="00662C82"/>
    <w:rsid w:val="0066453B"/>
    <w:rsid w:val="00664E75"/>
    <w:rsid w:val="00665423"/>
    <w:rsid w:val="006657AF"/>
    <w:rsid w:val="00666B4D"/>
    <w:rsid w:val="00670B5E"/>
    <w:rsid w:val="00670D80"/>
    <w:rsid w:val="0067304B"/>
    <w:rsid w:val="006739A3"/>
    <w:rsid w:val="00675F07"/>
    <w:rsid w:val="00676620"/>
    <w:rsid w:val="00680A22"/>
    <w:rsid w:val="0068114A"/>
    <w:rsid w:val="0068176E"/>
    <w:rsid w:val="006819C4"/>
    <w:rsid w:val="006853FA"/>
    <w:rsid w:val="0068566C"/>
    <w:rsid w:val="00685F8E"/>
    <w:rsid w:val="006876BE"/>
    <w:rsid w:val="00697B85"/>
    <w:rsid w:val="006A2C40"/>
    <w:rsid w:val="006A3145"/>
    <w:rsid w:val="006A4195"/>
    <w:rsid w:val="006A7B9D"/>
    <w:rsid w:val="006B027E"/>
    <w:rsid w:val="006B14C3"/>
    <w:rsid w:val="006B2725"/>
    <w:rsid w:val="006B4A60"/>
    <w:rsid w:val="006B4BB0"/>
    <w:rsid w:val="006B52EF"/>
    <w:rsid w:val="006C1553"/>
    <w:rsid w:val="006C1BC8"/>
    <w:rsid w:val="006C232B"/>
    <w:rsid w:val="006C442E"/>
    <w:rsid w:val="006C45D5"/>
    <w:rsid w:val="006C4874"/>
    <w:rsid w:val="006C558C"/>
    <w:rsid w:val="006C75CF"/>
    <w:rsid w:val="006D23C9"/>
    <w:rsid w:val="006D2E86"/>
    <w:rsid w:val="006D526E"/>
    <w:rsid w:val="006D5BB1"/>
    <w:rsid w:val="006D75F3"/>
    <w:rsid w:val="006E1429"/>
    <w:rsid w:val="006E2805"/>
    <w:rsid w:val="006E37EB"/>
    <w:rsid w:val="006E4810"/>
    <w:rsid w:val="006E69E1"/>
    <w:rsid w:val="006E7273"/>
    <w:rsid w:val="006F4BF1"/>
    <w:rsid w:val="006F4D28"/>
    <w:rsid w:val="006F5598"/>
    <w:rsid w:val="006F67BC"/>
    <w:rsid w:val="006F761D"/>
    <w:rsid w:val="006F7EC1"/>
    <w:rsid w:val="00701A27"/>
    <w:rsid w:val="00705AC6"/>
    <w:rsid w:val="00710582"/>
    <w:rsid w:val="00710E47"/>
    <w:rsid w:val="00711630"/>
    <w:rsid w:val="0071228B"/>
    <w:rsid w:val="00712546"/>
    <w:rsid w:val="007138C4"/>
    <w:rsid w:val="00716EA0"/>
    <w:rsid w:val="0072246C"/>
    <w:rsid w:val="007236D4"/>
    <w:rsid w:val="00726B00"/>
    <w:rsid w:val="0073032E"/>
    <w:rsid w:val="0073075F"/>
    <w:rsid w:val="007319AE"/>
    <w:rsid w:val="007331A3"/>
    <w:rsid w:val="00733990"/>
    <w:rsid w:val="00734E44"/>
    <w:rsid w:val="007353FB"/>
    <w:rsid w:val="00735D15"/>
    <w:rsid w:val="00740573"/>
    <w:rsid w:val="00741B3E"/>
    <w:rsid w:val="00742C6D"/>
    <w:rsid w:val="00750764"/>
    <w:rsid w:val="00752E84"/>
    <w:rsid w:val="00753209"/>
    <w:rsid w:val="007536FA"/>
    <w:rsid w:val="00753A17"/>
    <w:rsid w:val="00754389"/>
    <w:rsid w:val="0075562D"/>
    <w:rsid w:val="00755C6A"/>
    <w:rsid w:val="00756363"/>
    <w:rsid w:val="00756F33"/>
    <w:rsid w:val="00756F62"/>
    <w:rsid w:val="00760FF3"/>
    <w:rsid w:val="007621C9"/>
    <w:rsid w:val="007677F8"/>
    <w:rsid w:val="00772323"/>
    <w:rsid w:val="007732D1"/>
    <w:rsid w:val="00773E79"/>
    <w:rsid w:val="007743E7"/>
    <w:rsid w:val="00775A03"/>
    <w:rsid w:val="00780C08"/>
    <w:rsid w:val="00784564"/>
    <w:rsid w:val="0078483C"/>
    <w:rsid w:val="00786C36"/>
    <w:rsid w:val="00787FC0"/>
    <w:rsid w:val="00791BB1"/>
    <w:rsid w:val="0079227C"/>
    <w:rsid w:val="00794A97"/>
    <w:rsid w:val="00797B7C"/>
    <w:rsid w:val="007A0582"/>
    <w:rsid w:val="007A2408"/>
    <w:rsid w:val="007A2C99"/>
    <w:rsid w:val="007A53D5"/>
    <w:rsid w:val="007A7723"/>
    <w:rsid w:val="007A7A8E"/>
    <w:rsid w:val="007A7EF2"/>
    <w:rsid w:val="007B235F"/>
    <w:rsid w:val="007B28A1"/>
    <w:rsid w:val="007B306A"/>
    <w:rsid w:val="007B652F"/>
    <w:rsid w:val="007B6F1F"/>
    <w:rsid w:val="007B72B4"/>
    <w:rsid w:val="007C15E5"/>
    <w:rsid w:val="007C3A76"/>
    <w:rsid w:val="007C448B"/>
    <w:rsid w:val="007C5603"/>
    <w:rsid w:val="007C59C8"/>
    <w:rsid w:val="007D0E77"/>
    <w:rsid w:val="007D1513"/>
    <w:rsid w:val="007D15E1"/>
    <w:rsid w:val="007D4A54"/>
    <w:rsid w:val="007D5D21"/>
    <w:rsid w:val="007E1755"/>
    <w:rsid w:val="007E365C"/>
    <w:rsid w:val="007E5445"/>
    <w:rsid w:val="007F102E"/>
    <w:rsid w:val="007F7381"/>
    <w:rsid w:val="00801B72"/>
    <w:rsid w:val="00801FB4"/>
    <w:rsid w:val="008033B5"/>
    <w:rsid w:val="00803CCE"/>
    <w:rsid w:val="00805E76"/>
    <w:rsid w:val="00806FD8"/>
    <w:rsid w:val="00807359"/>
    <w:rsid w:val="008106EE"/>
    <w:rsid w:val="0081260B"/>
    <w:rsid w:val="00812743"/>
    <w:rsid w:val="0081333F"/>
    <w:rsid w:val="00813E02"/>
    <w:rsid w:val="008143B9"/>
    <w:rsid w:val="00815ECB"/>
    <w:rsid w:val="00816B63"/>
    <w:rsid w:val="00822DB1"/>
    <w:rsid w:val="0082410A"/>
    <w:rsid w:val="00831470"/>
    <w:rsid w:val="00832A80"/>
    <w:rsid w:val="0083357C"/>
    <w:rsid w:val="00833BDD"/>
    <w:rsid w:val="008351A7"/>
    <w:rsid w:val="0083554A"/>
    <w:rsid w:val="0084142D"/>
    <w:rsid w:val="00841C94"/>
    <w:rsid w:val="0084242E"/>
    <w:rsid w:val="008427D5"/>
    <w:rsid w:val="0084469F"/>
    <w:rsid w:val="00847E78"/>
    <w:rsid w:val="00850858"/>
    <w:rsid w:val="00850AFE"/>
    <w:rsid w:val="008511C3"/>
    <w:rsid w:val="0085218E"/>
    <w:rsid w:val="00857911"/>
    <w:rsid w:val="008634A6"/>
    <w:rsid w:val="008635A8"/>
    <w:rsid w:val="008725AF"/>
    <w:rsid w:val="008729B7"/>
    <w:rsid w:val="00873B06"/>
    <w:rsid w:val="00874FA1"/>
    <w:rsid w:val="008753F6"/>
    <w:rsid w:val="008762D7"/>
    <w:rsid w:val="00880AC2"/>
    <w:rsid w:val="00881166"/>
    <w:rsid w:val="00881360"/>
    <w:rsid w:val="00884D89"/>
    <w:rsid w:val="008907A7"/>
    <w:rsid w:val="008913E8"/>
    <w:rsid w:val="00893973"/>
    <w:rsid w:val="00895A97"/>
    <w:rsid w:val="00895E2E"/>
    <w:rsid w:val="00896F32"/>
    <w:rsid w:val="008A02F5"/>
    <w:rsid w:val="008A0B5D"/>
    <w:rsid w:val="008A2C94"/>
    <w:rsid w:val="008A3BD1"/>
    <w:rsid w:val="008A4CB0"/>
    <w:rsid w:val="008A5134"/>
    <w:rsid w:val="008A78D9"/>
    <w:rsid w:val="008B130B"/>
    <w:rsid w:val="008B3949"/>
    <w:rsid w:val="008B74D2"/>
    <w:rsid w:val="008C00E2"/>
    <w:rsid w:val="008C0C3B"/>
    <w:rsid w:val="008C142D"/>
    <w:rsid w:val="008C209B"/>
    <w:rsid w:val="008C35C6"/>
    <w:rsid w:val="008C3919"/>
    <w:rsid w:val="008C4CA8"/>
    <w:rsid w:val="008C57FF"/>
    <w:rsid w:val="008C5F04"/>
    <w:rsid w:val="008C69B5"/>
    <w:rsid w:val="008D09EC"/>
    <w:rsid w:val="008D14A5"/>
    <w:rsid w:val="008D2730"/>
    <w:rsid w:val="008D2EA6"/>
    <w:rsid w:val="008D4BF8"/>
    <w:rsid w:val="008D53C3"/>
    <w:rsid w:val="008D54BD"/>
    <w:rsid w:val="008D77C5"/>
    <w:rsid w:val="008E0C07"/>
    <w:rsid w:val="008E11B4"/>
    <w:rsid w:val="008E2EDC"/>
    <w:rsid w:val="008E6B41"/>
    <w:rsid w:val="008F08C1"/>
    <w:rsid w:val="008F1D68"/>
    <w:rsid w:val="008F3EDC"/>
    <w:rsid w:val="008F4917"/>
    <w:rsid w:val="008F5256"/>
    <w:rsid w:val="008F614D"/>
    <w:rsid w:val="00900138"/>
    <w:rsid w:val="009008F9"/>
    <w:rsid w:val="0090167B"/>
    <w:rsid w:val="00904A4D"/>
    <w:rsid w:val="009065B0"/>
    <w:rsid w:val="00906A30"/>
    <w:rsid w:val="00906F93"/>
    <w:rsid w:val="009071BC"/>
    <w:rsid w:val="0091103A"/>
    <w:rsid w:val="009138BF"/>
    <w:rsid w:val="00913B55"/>
    <w:rsid w:val="00913E6A"/>
    <w:rsid w:val="009144F9"/>
    <w:rsid w:val="00916624"/>
    <w:rsid w:val="00916FC7"/>
    <w:rsid w:val="00917959"/>
    <w:rsid w:val="0092244F"/>
    <w:rsid w:val="0092393B"/>
    <w:rsid w:val="00924336"/>
    <w:rsid w:val="009275AD"/>
    <w:rsid w:val="0092760B"/>
    <w:rsid w:val="00930537"/>
    <w:rsid w:val="00930BE7"/>
    <w:rsid w:val="00930C31"/>
    <w:rsid w:val="00934648"/>
    <w:rsid w:val="00934E94"/>
    <w:rsid w:val="00935A84"/>
    <w:rsid w:val="00936443"/>
    <w:rsid w:val="009409FE"/>
    <w:rsid w:val="00940B5D"/>
    <w:rsid w:val="00941256"/>
    <w:rsid w:val="009413D7"/>
    <w:rsid w:val="00941443"/>
    <w:rsid w:val="0094215F"/>
    <w:rsid w:val="0094370E"/>
    <w:rsid w:val="00944F81"/>
    <w:rsid w:val="00945E8B"/>
    <w:rsid w:val="00946A3A"/>
    <w:rsid w:val="009503B7"/>
    <w:rsid w:val="009528FE"/>
    <w:rsid w:val="0095290D"/>
    <w:rsid w:val="009538D1"/>
    <w:rsid w:val="00956F85"/>
    <w:rsid w:val="00957937"/>
    <w:rsid w:val="009604E0"/>
    <w:rsid w:val="00961C49"/>
    <w:rsid w:val="00962CF1"/>
    <w:rsid w:val="00963607"/>
    <w:rsid w:val="00964502"/>
    <w:rsid w:val="009667B5"/>
    <w:rsid w:val="00970026"/>
    <w:rsid w:val="009712F2"/>
    <w:rsid w:val="00975AC7"/>
    <w:rsid w:val="00980C60"/>
    <w:rsid w:val="009815B5"/>
    <w:rsid w:val="00983527"/>
    <w:rsid w:val="0098380D"/>
    <w:rsid w:val="0098643F"/>
    <w:rsid w:val="009868DE"/>
    <w:rsid w:val="00986CB0"/>
    <w:rsid w:val="009870D0"/>
    <w:rsid w:val="00987B71"/>
    <w:rsid w:val="00990686"/>
    <w:rsid w:val="00993D65"/>
    <w:rsid w:val="009940C8"/>
    <w:rsid w:val="00995757"/>
    <w:rsid w:val="009965C3"/>
    <w:rsid w:val="009976EA"/>
    <w:rsid w:val="009A084A"/>
    <w:rsid w:val="009A2806"/>
    <w:rsid w:val="009A32EF"/>
    <w:rsid w:val="009A384D"/>
    <w:rsid w:val="009A3D63"/>
    <w:rsid w:val="009A58C4"/>
    <w:rsid w:val="009A6666"/>
    <w:rsid w:val="009A70BE"/>
    <w:rsid w:val="009A76D7"/>
    <w:rsid w:val="009B5189"/>
    <w:rsid w:val="009B7796"/>
    <w:rsid w:val="009B7A43"/>
    <w:rsid w:val="009C16E1"/>
    <w:rsid w:val="009C1F52"/>
    <w:rsid w:val="009C52AA"/>
    <w:rsid w:val="009C5FFB"/>
    <w:rsid w:val="009C6E99"/>
    <w:rsid w:val="009D0CC7"/>
    <w:rsid w:val="009D2EDB"/>
    <w:rsid w:val="009D559F"/>
    <w:rsid w:val="009E1BE2"/>
    <w:rsid w:val="009E2330"/>
    <w:rsid w:val="009E58A0"/>
    <w:rsid w:val="009F0A90"/>
    <w:rsid w:val="009F0F39"/>
    <w:rsid w:val="009F153A"/>
    <w:rsid w:val="009F3867"/>
    <w:rsid w:val="009F3BA9"/>
    <w:rsid w:val="009F5FA2"/>
    <w:rsid w:val="009F6699"/>
    <w:rsid w:val="009F76A7"/>
    <w:rsid w:val="009F79D0"/>
    <w:rsid w:val="00A0106E"/>
    <w:rsid w:val="00A01D84"/>
    <w:rsid w:val="00A025A6"/>
    <w:rsid w:val="00A038F2"/>
    <w:rsid w:val="00A04F6E"/>
    <w:rsid w:val="00A05036"/>
    <w:rsid w:val="00A059ED"/>
    <w:rsid w:val="00A07603"/>
    <w:rsid w:val="00A07AA7"/>
    <w:rsid w:val="00A07C7B"/>
    <w:rsid w:val="00A131A9"/>
    <w:rsid w:val="00A1321C"/>
    <w:rsid w:val="00A15769"/>
    <w:rsid w:val="00A16E2B"/>
    <w:rsid w:val="00A20F92"/>
    <w:rsid w:val="00A24864"/>
    <w:rsid w:val="00A25901"/>
    <w:rsid w:val="00A32C77"/>
    <w:rsid w:val="00A333E1"/>
    <w:rsid w:val="00A362C2"/>
    <w:rsid w:val="00A36583"/>
    <w:rsid w:val="00A37855"/>
    <w:rsid w:val="00A41E37"/>
    <w:rsid w:val="00A423FB"/>
    <w:rsid w:val="00A43745"/>
    <w:rsid w:val="00A446E2"/>
    <w:rsid w:val="00A45D0F"/>
    <w:rsid w:val="00A52A0F"/>
    <w:rsid w:val="00A53AF3"/>
    <w:rsid w:val="00A53D17"/>
    <w:rsid w:val="00A55F5D"/>
    <w:rsid w:val="00A577CB"/>
    <w:rsid w:val="00A57AC8"/>
    <w:rsid w:val="00A651A8"/>
    <w:rsid w:val="00A674FA"/>
    <w:rsid w:val="00A72196"/>
    <w:rsid w:val="00A72562"/>
    <w:rsid w:val="00A7545D"/>
    <w:rsid w:val="00A75505"/>
    <w:rsid w:val="00A76DAF"/>
    <w:rsid w:val="00A77E5E"/>
    <w:rsid w:val="00A81436"/>
    <w:rsid w:val="00A826D3"/>
    <w:rsid w:val="00A8446B"/>
    <w:rsid w:val="00A85117"/>
    <w:rsid w:val="00A85596"/>
    <w:rsid w:val="00A85740"/>
    <w:rsid w:val="00A867AD"/>
    <w:rsid w:val="00A87E34"/>
    <w:rsid w:val="00A902CC"/>
    <w:rsid w:val="00A92543"/>
    <w:rsid w:val="00A92684"/>
    <w:rsid w:val="00A92FE3"/>
    <w:rsid w:val="00A9395E"/>
    <w:rsid w:val="00A94B3F"/>
    <w:rsid w:val="00A95153"/>
    <w:rsid w:val="00A96CDD"/>
    <w:rsid w:val="00A97670"/>
    <w:rsid w:val="00A97C75"/>
    <w:rsid w:val="00AA2A93"/>
    <w:rsid w:val="00AA5585"/>
    <w:rsid w:val="00AA5DBF"/>
    <w:rsid w:val="00AA744C"/>
    <w:rsid w:val="00AB14FB"/>
    <w:rsid w:val="00AB3B33"/>
    <w:rsid w:val="00AB520F"/>
    <w:rsid w:val="00AB68A9"/>
    <w:rsid w:val="00AC1186"/>
    <w:rsid w:val="00AC3571"/>
    <w:rsid w:val="00AC4899"/>
    <w:rsid w:val="00AC4E20"/>
    <w:rsid w:val="00AC4E72"/>
    <w:rsid w:val="00AC71D8"/>
    <w:rsid w:val="00AD2BAC"/>
    <w:rsid w:val="00AD5D1A"/>
    <w:rsid w:val="00AD625A"/>
    <w:rsid w:val="00AD630F"/>
    <w:rsid w:val="00AD71FC"/>
    <w:rsid w:val="00AD731A"/>
    <w:rsid w:val="00AD731F"/>
    <w:rsid w:val="00AD7BFB"/>
    <w:rsid w:val="00AE2682"/>
    <w:rsid w:val="00AE3295"/>
    <w:rsid w:val="00AE3D19"/>
    <w:rsid w:val="00AF2218"/>
    <w:rsid w:val="00AF232F"/>
    <w:rsid w:val="00AF3550"/>
    <w:rsid w:val="00AF3AC4"/>
    <w:rsid w:val="00AF3B00"/>
    <w:rsid w:val="00AF52EF"/>
    <w:rsid w:val="00AF65AD"/>
    <w:rsid w:val="00AF68F6"/>
    <w:rsid w:val="00B023EA"/>
    <w:rsid w:val="00B02519"/>
    <w:rsid w:val="00B1108D"/>
    <w:rsid w:val="00B118D8"/>
    <w:rsid w:val="00B15DB4"/>
    <w:rsid w:val="00B1701A"/>
    <w:rsid w:val="00B205E2"/>
    <w:rsid w:val="00B2249A"/>
    <w:rsid w:val="00B235FA"/>
    <w:rsid w:val="00B249DF"/>
    <w:rsid w:val="00B24EEB"/>
    <w:rsid w:val="00B266C9"/>
    <w:rsid w:val="00B3006D"/>
    <w:rsid w:val="00B31008"/>
    <w:rsid w:val="00B3142D"/>
    <w:rsid w:val="00B31FC1"/>
    <w:rsid w:val="00B32AE1"/>
    <w:rsid w:val="00B332A4"/>
    <w:rsid w:val="00B33509"/>
    <w:rsid w:val="00B37919"/>
    <w:rsid w:val="00B562E6"/>
    <w:rsid w:val="00B57CE5"/>
    <w:rsid w:val="00B61CF6"/>
    <w:rsid w:val="00B6629E"/>
    <w:rsid w:val="00B667AD"/>
    <w:rsid w:val="00B667F3"/>
    <w:rsid w:val="00B72356"/>
    <w:rsid w:val="00B72664"/>
    <w:rsid w:val="00B7422B"/>
    <w:rsid w:val="00B7526F"/>
    <w:rsid w:val="00B756A2"/>
    <w:rsid w:val="00B75BB5"/>
    <w:rsid w:val="00B773ED"/>
    <w:rsid w:val="00B7789D"/>
    <w:rsid w:val="00B806B3"/>
    <w:rsid w:val="00B825EF"/>
    <w:rsid w:val="00B852D4"/>
    <w:rsid w:val="00B868B0"/>
    <w:rsid w:val="00B92858"/>
    <w:rsid w:val="00B93987"/>
    <w:rsid w:val="00B956C7"/>
    <w:rsid w:val="00B97E88"/>
    <w:rsid w:val="00BA1C66"/>
    <w:rsid w:val="00BA3FE1"/>
    <w:rsid w:val="00BA4AA7"/>
    <w:rsid w:val="00BA6224"/>
    <w:rsid w:val="00BB0BC4"/>
    <w:rsid w:val="00BB0C82"/>
    <w:rsid w:val="00BB218C"/>
    <w:rsid w:val="00BB2AEF"/>
    <w:rsid w:val="00BB2EDB"/>
    <w:rsid w:val="00BB4C4C"/>
    <w:rsid w:val="00BB58ED"/>
    <w:rsid w:val="00BB5AB2"/>
    <w:rsid w:val="00BB5DB6"/>
    <w:rsid w:val="00BB6338"/>
    <w:rsid w:val="00BB63C8"/>
    <w:rsid w:val="00BB6AF0"/>
    <w:rsid w:val="00BB788A"/>
    <w:rsid w:val="00BC32B9"/>
    <w:rsid w:val="00BC3D75"/>
    <w:rsid w:val="00BC5182"/>
    <w:rsid w:val="00BD0D67"/>
    <w:rsid w:val="00BD1226"/>
    <w:rsid w:val="00BE0BAB"/>
    <w:rsid w:val="00BE0E15"/>
    <w:rsid w:val="00BE3249"/>
    <w:rsid w:val="00BE50BB"/>
    <w:rsid w:val="00BE5197"/>
    <w:rsid w:val="00BE661E"/>
    <w:rsid w:val="00BE66E9"/>
    <w:rsid w:val="00BE73C8"/>
    <w:rsid w:val="00BE7CC7"/>
    <w:rsid w:val="00BF0B5A"/>
    <w:rsid w:val="00BF22A7"/>
    <w:rsid w:val="00BF4854"/>
    <w:rsid w:val="00BF5FC6"/>
    <w:rsid w:val="00BF6C1D"/>
    <w:rsid w:val="00BF6ED7"/>
    <w:rsid w:val="00BF701F"/>
    <w:rsid w:val="00BF742D"/>
    <w:rsid w:val="00BF7F63"/>
    <w:rsid w:val="00C00F94"/>
    <w:rsid w:val="00C018E9"/>
    <w:rsid w:val="00C02139"/>
    <w:rsid w:val="00C02F70"/>
    <w:rsid w:val="00C04865"/>
    <w:rsid w:val="00C0754F"/>
    <w:rsid w:val="00C15247"/>
    <w:rsid w:val="00C20DF9"/>
    <w:rsid w:val="00C214A8"/>
    <w:rsid w:val="00C21813"/>
    <w:rsid w:val="00C21855"/>
    <w:rsid w:val="00C22B1E"/>
    <w:rsid w:val="00C24209"/>
    <w:rsid w:val="00C27CA4"/>
    <w:rsid w:val="00C3084A"/>
    <w:rsid w:val="00C31363"/>
    <w:rsid w:val="00C32B08"/>
    <w:rsid w:val="00C332CD"/>
    <w:rsid w:val="00C33A5E"/>
    <w:rsid w:val="00C436E3"/>
    <w:rsid w:val="00C43CC3"/>
    <w:rsid w:val="00C45003"/>
    <w:rsid w:val="00C45D80"/>
    <w:rsid w:val="00C500D6"/>
    <w:rsid w:val="00C52453"/>
    <w:rsid w:val="00C526CA"/>
    <w:rsid w:val="00C53A1B"/>
    <w:rsid w:val="00C542D6"/>
    <w:rsid w:val="00C554B7"/>
    <w:rsid w:val="00C56533"/>
    <w:rsid w:val="00C574F2"/>
    <w:rsid w:val="00C5782B"/>
    <w:rsid w:val="00C57A4D"/>
    <w:rsid w:val="00C61033"/>
    <w:rsid w:val="00C6121E"/>
    <w:rsid w:val="00C6370C"/>
    <w:rsid w:val="00C6442A"/>
    <w:rsid w:val="00C649A1"/>
    <w:rsid w:val="00C65C30"/>
    <w:rsid w:val="00C667B3"/>
    <w:rsid w:val="00C66952"/>
    <w:rsid w:val="00C678FB"/>
    <w:rsid w:val="00C70D78"/>
    <w:rsid w:val="00C71132"/>
    <w:rsid w:val="00C714D4"/>
    <w:rsid w:val="00C71A60"/>
    <w:rsid w:val="00C71E6F"/>
    <w:rsid w:val="00C724E6"/>
    <w:rsid w:val="00C72E9D"/>
    <w:rsid w:val="00C7355B"/>
    <w:rsid w:val="00C74A51"/>
    <w:rsid w:val="00C76390"/>
    <w:rsid w:val="00C7646F"/>
    <w:rsid w:val="00C77974"/>
    <w:rsid w:val="00C80744"/>
    <w:rsid w:val="00C80CD6"/>
    <w:rsid w:val="00C8129A"/>
    <w:rsid w:val="00C86A5C"/>
    <w:rsid w:val="00C9131E"/>
    <w:rsid w:val="00C93B81"/>
    <w:rsid w:val="00C93BA5"/>
    <w:rsid w:val="00C97E7A"/>
    <w:rsid w:val="00CA0403"/>
    <w:rsid w:val="00CA59ED"/>
    <w:rsid w:val="00CA73DB"/>
    <w:rsid w:val="00CA7C7F"/>
    <w:rsid w:val="00CB1DF2"/>
    <w:rsid w:val="00CB2A06"/>
    <w:rsid w:val="00CB3FBD"/>
    <w:rsid w:val="00CB40F8"/>
    <w:rsid w:val="00CB56F9"/>
    <w:rsid w:val="00CB646D"/>
    <w:rsid w:val="00CC3203"/>
    <w:rsid w:val="00CC6547"/>
    <w:rsid w:val="00CD0560"/>
    <w:rsid w:val="00CD1C3B"/>
    <w:rsid w:val="00CD2835"/>
    <w:rsid w:val="00CD332C"/>
    <w:rsid w:val="00CE134F"/>
    <w:rsid w:val="00CE482C"/>
    <w:rsid w:val="00CF057F"/>
    <w:rsid w:val="00CF1727"/>
    <w:rsid w:val="00CF69C9"/>
    <w:rsid w:val="00D00045"/>
    <w:rsid w:val="00D01762"/>
    <w:rsid w:val="00D01E15"/>
    <w:rsid w:val="00D0271A"/>
    <w:rsid w:val="00D033D7"/>
    <w:rsid w:val="00D03B71"/>
    <w:rsid w:val="00D04E93"/>
    <w:rsid w:val="00D0663E"/>
    <w:rsid w:val="00D11438"/>
    <w:rsid w:val="00D117ED"/>
    <w:rsid w:val="00D1337F"/>
    <w:rsid w:val="00D1348D"/>
    <w:rsid w:val="00D15E9D"/>
    <w:rsid w:val="00D17312"/>
    <w:rsid w:val="00D203EC"/>
    <w:rsid w:val="00D2440C"/>
    <w:rsid w:val="00D27713"/>
    <w:rsid w:val="00D27F8A"/>
    <w:rsid w:val="00D30123"/>
    <w:rsid w:val="00D301A3"/>
    <w:rsid w:val="00D309CA"/>
    <w:rsid w:val="00D32803"/>
    <w:rsid w:val="00D3301D"/>
    <w:rsid w:val="00D3303E"/>
    <w:rsid w:val="00D347A8"/>
    <w:rsid w:val="00D3559E"/>
    <w:rsid w:val="00D359CA"/>
    <w:rsid w:val="00D365BC"/>
    <w:rsid w:val="00D366C1"/>
    <w:rsid w:val="00D41D15"/>
    <w:rsid w:val="00D429FC"/>
    <w:rsid w:val="00D46870"/>
    <w:rsid w:val="00D468E3"/>
    <w:rsid w:val="00D469EC"/>
    <w:rsid w:val="00D50B54"/>
    <w:rsid w:val="00D50ED7"/>
    <w:rsid w:val="00D51E99"/>
    <w:rsid w:val="00D53A8C"/>
    <w:rsid w:val="00D56AF2"/>
    <w:rsid w:val="00D56B82"/>
    <w:rsid w:val="00D579BE"/>
    <w:rsid w:val="00D64542"/>
    <w:rsid w:val="00D64A6B"/>
    <w:rsid w:val="00D65D5D"/>
    <w:rsid w:val="00D678BE"/>
    <w:rsid w:val="00D7011A"/>
    <w:rsid w:val="00D73649"/>
    <w:rsid w:val="00D76D43"/>
    <w:rsid w:val="00D80A73"/>
    <w:rsid w:val="00D823BC"/>
    <w:rsid w:val="00D83E17"/>
    <w:rsid w:val="00D849AF"/>
    <w:rsid w:val="00D90A0D"/>
    <w:rsid w:val="00D95335"/>
    <w:rsid w:val="00DA34D1"/>
    <w:rsid w:val="00DB0B8A"/>
    <w:rsid w:val="00DB4DE7"/>
    <w:rsid w:val="00DB4ED8"/>
    <w:rsid w:val="00DC0068"/>
    <w:rsid w:val="00DC11B6"/>
    <w:rsid w:val="00DC28AB"/>
    <w:rsid w:val="00DC415D"/>
    <w:rsid w:val="00DD0EFD"/>
    <w:rsid w:val="00DD11B7"/>
    <w:rsid w:val="00DD3C87"/>
    <w:rsid w:val="00DD4A48"/>
    <w:rsid w:val="00DD7517"/>
    <w:rsid w:val="00DD75B9"/>
    <w:rsid w:val="00DE1A7A"/>
    <w:rsid w:val="00DE3565"/>
    <w:rsid w:val="00DE41EE"/>
    <w:rsid w:val="00DE5D3D"/>
    <w:rsid w:val="00DE6BEA"/>
    <w:rsid w:val="00DF08A7"/>
    <w:rsid w:val="00DF1670"/>
    <w:rsid w:val="00DF1DCC"/>
    <w:rsid w:val="00DF224E"/>
    <w:rsid w:val="00DF2B85"/>
    <w:rsid w:val="00DF2E10"/>
    <w:rsid w:val="00DF3531"/>
    <w:rsid w:val="00DF4486"/>
    <w:rsid w:val="00DF5D45"/>
    <w:rsid w:val="00DF7B74"/>
    <w:rsid w:val="00E00A37"/>
    <w:rsid w:val="00E01756"/>
    <w:rsid w:val="00E0248E"/>
    <w:rsid w:val="00E028F3"/>
    <w:rsid w:val="00E0331A"/>
    <w:rsid w:val="00E036FC"/>
    <w:rsid w:val="00E0610A"/>
    <w:rsid w:val="00E06D32"/>
    <w:rsid w:val="00E11739"/>
    <w:rsid w:val="00E13E72"/>
    <w:rsid w:val="00E143C8"/>
    <w:rsid w:val="00E17631"/>
    <w:rsid w:val="00E20CE4"/>
    <w:rsid w:val="00E211E3"/>
    <w:rsid w:val="00E22C37"/>
    <w:rsid w:val="00E232B8"/>
    <w:rsid w:val="00E23D43"/>
    <w:rsid w:val="00E27C04"/>
    <w:rsid w:val="00E30E2C"/>
    <w:rsid w:val="00E31EE5"/>
    <w:rsid w:val="00E31FAB"/>
    <w:rsid w:val="00E34C5C"/>
    <w:rsid w:val="00E36DE3"/>
    <w:rsid w:val="00E36F78"/>
    <w:rsid w:val="00E370CB"/>
    <w:rsid w:val="00E4090E"/>
    <w:rsid w:val="00E40987"/>
    <w:rsid w:val="00E42DE5"/>
    <w:rsid w:val="00E4316F"/>
    <w:rsid w:val="00E433D2"/>
    <w:rsid w:val="00E4351A"/>
    <w:rsid w:val="00E44176"/>
    <w:rsid w:val="00E44982"/>
    <w:rsid w:val="00E4548E"/>
    <w:rsid w:val="00E5236F"/>
    <w:rsid w:val="00E5460B"/>
    <w:rsid w:val="00E56BE5"/>
    <w:rsid w:val="00E60D12"/>
    <w:rsid w:val="00E60F99"/>
    <w:rsid w:val="00E61BC4"/>
    <w:rsid w:val="00E629F9"/>
    <w:rsid w:val="00E648E8"/>
    <w:rsid w:val="00E66BF6"/>
    <w:rsid w:val="00E720E3"/>
    <w:rsid w:val="00E7365B"/>
    <w:rsid w:val="00E73B8D"/>
    <w:rsid w:val="00E770B0"/>
    <w:rsid w:val="00E80D8A"/>
    <w:rsid w:val="00E8213D"/>
    <w:rsid w:val="00E8230F"/>
    <w:rsid w:val="00E84F01"/>
    <w:rsid w:val="00E85DF2"/>
    <w:rsid w:val="00E91478"/>
    <w:rsid w:val="00E937E5"/>
    <w:rsid w:val="00E947B3"/>
    <w:rsid w:val="00E95424"/>
    <w:rsid w:val="00E96630"/>
    <w:rsid w:val="00EA05AC"/>
    <w:rsid w:val="00EA19BB"/>
    <w:rsid w:val="00EA40AA"/>
    <w:rsid w:val="00EA4610"/>
    <w:rsid w:val="00EA574F"/>
    <w:rsid w:val="00EA5FD5"/>
    <w:rsid w:val="00EA7C1C"/>
    <w:rsid w:val="00EB0C61"/>
    <w:rsid w:val="00EB121D"/>
    <w:rsid w:val="00EB1D02"/>
    <w:rsid w:val="00EB3460"/>
    <w:rsid w:val="00EB41EE"/>
    <w:rsid w:val="00EB5652"/>
    <w:rsid w:val="00EC00AE"/>
    <w:rsid w:val="00EC1140"/>
    <w:rsid w:val="00EC365D"/>
    <w:rsid w:val="00EC439F"/>
    <w:rsid w:val="00EC4C5E"/>
    <w:rsid w:val="00EC4FF8"/>
    <w:rsid w:val="00EC64F4"/>
    <w:rsid w:val="00EC6549"/>
    <w:rsid w:val="00ED15C8"/>
    <w:rsid w:val="00ED165B"/>
    <w:rsid w:val="00ED1B90"/>
    <w:rsid w:val="00ED275F"/>
    <w:rsid w:val="00EE1A92"/>
    <w:rsid w:val="00EE462C"/>
    <w:rsid w:val="00EE6048"/>
    <w:rsid w:val="00EE6E0F"/>
    <w:rsid w:val="00EE724F"/>
    <w:rsid w:val="00EF1B10"/>
    <w:rsid w:val="00EF3E3F"/>
    <w:rsid w:val="00EF4547"/>
    <w:rsid w:val="00EF5175"/>
    <w:rsid w:val="00F01C2A"/>
    <w:rsid w:val="00F03786"/>
    <w:rsid w:val="00F03A72"/>
    <w:rsid w:val="00F0484A"/>
    <w:rsid w:val="00F051FB"/>
    <w:rsid w:val="00F05D13"/>
    <w:rsid w:val="00F07A52"/>
    <w:rsid w:val="00F11F17"/>
    <w:rsid w:val="00F12400"/>
    <w:rsid w:val="00F1250E"/>
    <w:rsid w:val="00F12B18"/>
    <w:rsid w:val="00F14EFD"/>
    <w:rsid w:val="00F151AC"/>
    <w:rsid w:val="00F1524F"/>
    <w:rsid w:val="00F16139"/>
    <w:rsid w:val="00F20E9C"/>
    <w:rsid w:val="00F21855"/>
    <w:rsid w:val="00F23361"/>
    <w:rsid w:val="00F24DC6"/>
    <w:rsid w:val="00F26510"/>
    <w:rsid w:val="00F2693F"/>
    <w:rsid w:val="00F27387"/>
    <w:rsid w:val="00F312A7"/>
    <w:rsid w:val="00F32CCA"/>
    <w:rsid w:val="00F33370"/>
    <w:rsid w:val="00F34415"/>
    <w:rsid w:val="00F347C4"/>
    <w:rsid w:val="00F34FD3"/>
    <w:rsid w:val="00F35D59"/>
    <w:rsid w:val="00F44FB1"/>
    <w:rsid w:val="00F47248"/>
    <w:rsid w:val="00F509AC"/>
    <w:rsid w:val="00F56C58"/>
    <w:rsid w:val="00F60428"/>
    <w:rsid w:val="00F615CC"/>
    <w:rsid w:val="00F61F70"/>
    <w:rsid w:val="00F61FDA"/>
    <w:rsid w:val="00F621AF"/>
    <w:rsid w:val="00F62BCF"/>
    <w:rsid w:val="00F648E5"/>
    <w:rsid w:val="00F6504B"/>
    <w:rsid w:val="00F70830"/>
    <w:rsid w:val="00F74410"/>
    <w:rsid w:val="00F77912"/>
    <w:rsid w:val="00F80A77"/>
    <w:rsid w:val="00F81D7E"/>
    <w:rsid w:val="00F82846"/>
    <w:rsid w:val="00F8333B"/>
    <w:rsid w:val="00F85648"/>
    <w:rsid w:val="00F8664B"/>
    <w:rsid w:val="00F86D69"/>
    <w:rsid w:val="00F916CC"/>
    <w:rsid w:val="00F918F8"/>
    <w:rsid w:val="00F9215B"/>
    <w:rsid w:val="00FA1452"/>
    <w:rsid w:val="00FA2189"/>
    <w:rsid w:val="00FA465D"/>
    <w:rsid w:val="00FA6F18"/>
    <w:rsid w:val="00FA7BBB"/>
    <w:rsid w:val="00FB230D"/>
    <w:rsid w:val="00FB27DB"/>
    <w:rsid w:val="00FB2AC5"/>
    <w:rsid w:val="00FB2C44"/>
    <w:rsid w:val="00FB321C"/>
    <w:rsid w:val="00FB4688"/>
    <w:rsid w:val="00FB5504"/>
    <w:rsid w:val="00FB6060"/>
    <w:rsid w:val="00FB6226"/>
    <w:rsid w:val="00FC6222"/>
    <w:rsid w:val="00FC6999"/>
    <w:rsid w:val="00FC7241"/>
    <w:rsid w:val="00FC78D8"/>
    <w:rsid w:val="00FD2263"/>
    <w:rsid w:val="00FD26C3"/>
    <w:rsid w:val="00FD414B"/>
    <w:rsid w:val="00FD51EE"/>
    <w:rsid w:val="00FD627D"/>
    <w:rsid w:val="00FD7041"/>
    <w:rsid w:val="00FE3FFF"/>
    <w:rsid w:val="00FE4242"/>
    <w:rsid w:val="00FE45E7"/>
    <w:rsid w:val="00FE6FEC"/>
    <w:rsid w:val="00FE71D0"/>
    <w:rsid w:val="00FE7B7B"/>
    <w:rsid w:val="00FF177F"/>
    <w:rsid w:val="00FF1AE4"/>
    <w:rsid w:val="00FF472B"/>
    <w:rsid w:val="00FF6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C45003"/>
    <w:rPr>
      <w:rFonts w:eastAsia="仿宋_GB2312"/>
      <w:sz w:val="32"/>
      <w:szCs w:val="24"/>
    </w:rPr>
  </w:style>
  <w:style w:type="paragraph" w:styleId="a3">
    <w:name w:val="Body Text Indent"/>
    <w:basedOn w:val="a"/>
    <w:link w:val="Char"/>
    <w:rsid w:val="00C45003"/>
    <w:pPr>
      <w:ind w:left="360" w:firstLineChars="20" w:firstLine="56"/>
    </w:pPr>
    <w:rPr>
      <w:rFonts w:asciiTheme="minorHAnsi" w:eastAsia="仿宋_GB2312" w:hAnsiTheme="minorHAnsi" w:cstheme="minorBidi"/>
      <w:sz w:val="32"/>
      <w:szCs w:val="24"/>
    </w:rPr>
  </w:style>
  <w:style w:type="character" w:customStyle="1" w:styleId="Char1">
    <w:name w:val="正文文本缩进 Char1"/>
    <w:basedOn w:val="a0"/>
    <w:link w:val="a3"/>
    <w:uiPriority w:val="99"/>
    <w:semiHidden/>
    <w:rsid w:val="00C45003"/>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815</Words>
  <Characters>4649</Characters>
  <Application>Microsoft Office Word</Application>
  <DocSecurity>0</DocSecurity>
  <Lines>38</Lines>
  <Paragraphs>10</Paragraphs>
  <ScaleCrop>false</ScaleCrop>
  <Company>微软中国</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2020-06-01T01:52:00Z</dcterms:created>
  <dcterms:modified xsi:type="dcterms:W3CDTF">2020-06-01T01:52:00Z</dcterms:modified>
</cp:coreProperties>
</file>