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272" w:type="dxa"/>
        <w:tblLayout w:type="autofit"/>
        <w:tblCellMar>
          <w:top w:w="0" w:type="dxa"/>
          <w:left w:w="0" w:type="dxa"/>
          <w:bottom w:w="0" w:type="dxa"/>
          <w:right w:w="0" w:type="dxa"/>
        </w:tblCellMar>
      </w:tblPr>
      <w:tblGrid>
        <w:gridCol w:w="316"/>
        <w:gridCol w:w="1557"/>
        <w:gridCol w:w="3007"/>
        <w:gridCol w:w="1768"/>
        <w:gridCol w:w="3218"/>
      </w:tblGrid>
      <w:tr>
        <w:tblPrEx>
          <w:tblCellMar>
            <w:top w:w="0" w:type="dxa"/>
            <w:left w:w="0" w:type="dxa"/>
            <w:bottom w:w="0" w:type="dxa"/>
            <w:right w:w="0" w:type="dxa"/>
          </w:tblCellMar>
        </w:tblPrEx>
        <w:trPr>
          <w:trHeight w:val="708" w:hRule="atLeast"/>
        </w:trPr>
        <w:tc>
          <w:tcPr>
            <w:tcW w:w="5000" w:type="pct"/>
            <w:gridSpan w:val="5"/>
            <w:noWrap w:val="0"/>
            <w:vAlign w:val="center"/>
          </w:tcPr>
          <w:p>
            <w:pPr>
              <w:pStyle w:val="4"/>
              <w:keepNext w:val="0"/>
              <w:keepLines w:val="0"/>
              <w:widowControl/>
              <w:suppressLineNumbers w:val="0"/>
              <w:wordWrap w:val="0"/>
              <w:spacing w:before="0" w:beforeAutospacing="0" w:after="0" w:afterAutospacing="0" w:line="525" w:lineRule="atLeast"/>
              <w:ind w:left="0" w:right="0"/>
              <w:jc w:val="center"/>
              <w:rPr>
                <w:sz w:val="28"/>
                <w:szCs w:val="24"/>
              </w:rPr>
            </w:pPr>
            <w:r>
              <w:rPr>
                <w:rFonts w:hint="eastAsia" w:ascii="微软雅黑" w:hAnsi="微软雅黑" w:eastAsia="微软雅黑" w:cs="微软雅黑"/>
                <w:b/>
                <w:color w:val="333333"/>
                <w:sz w:val="36"/>
                <w:szCs w:val="36"/>
                <w:lang w:eastAsia="zh-CN"/>
              </w:rPr>
              <w:t>那坡县乡镇卫生院医疗污水、医疗废物无害化处理及配电房项目</w:t>
            </w:r>
            <w:r>
              <w:rPr>
                <w:rFonts w:ascii="微软雅黑" w:hAnsi="微软雅黑" w:eastAsia="微软雅黑" w:cs="微软雅黑"/>
                <w:b/>
                <w:color w:val="333333"/>
                <w:sz w:val="36"/>
                <w:szCs w:val="36"/>
              </w:rPr>
              <w:t>施工招标公告</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1、招标条件</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本招标项目</w:t>
            </w:r>
            <w:r>
              <w:rPr>
                <w:rFonts w:hint="eastAsia" w:ascii="微软雅黑" w:hAnsi="微软雅黑" w:eastAsia="微软雅黑" w:cs="微软雅黑"/>
                <w:b/>
                <w:color w:val="333333"/>
                <w:sz w:val="19"/>
                <w:szCs w:val="19"/>
                <w:lang w:eastAsia="zh-CN"/>
              </w:rPr>
              <w:t>那坡县乡镇卫生院医疗污水、医疗废物无害化处理及配电房项目</w:t>
            </w:r>
            <w:r>
              <w:rPr>
                <w:rFonts w:hint="eastAsia" w:ascii="微软雅黑" w:hAnsi="微软雅黑" w:eastAsia="微软雅黑" w:cs="微软雅黑"/>
                <w:color w:val="333333"/>
                <w:sz w:val="19"/>
                <w:szCs w:val="19"/>
              </w:rPr>
              <w:t>已由</w:t>
            </w:r>
            <w:r>
              <w:rPr>
                <w:rFonts w:hint="eastAsia" w:ascii="微软雅黑" w:hAnsi="微软雅黑" w:eastAsia="微软雅黑" w:cs="微软雅黑"/>
                <w:b/>
                <w:color w:val="333333"/>
                <w:sz w:val="19"/>
                <w:szCs w:val="19"/>
              </w:rPr>
              <w:t>那坡县发展和改革局</w:t>
            </w:r>
            <w:r>
              <w:rPr>
                <w:rFonts w:hint="eastAsia" w:ascii="微软雅黑" w:hAnsi="微软雅黑" w:eastAsia="微软雅黑" w:cs="微软雅黑"/>
                <w:color w:val="333333"/>
                <w:sz w:val="19"/>
                <w:szCs w:val="19"/>
              </w:rPr>
              <w:t xml:space="preserve">以 </w:t>
            </w:r>
            <w:r>
              <w:rPr>
                <w:rFonts w:hint="eastAsia" w:ascii="微软雅黑" w:hAnsi="微软雅黑" w:eastAsia="微软雅黑" w:cs="微软雅黑"/>
                <w:b/>
                <w:color w:val="333333"/>
                <w:sz w:val="19"/>
                <w:szCs w:val="19"/>
              </w:rPr>
              <w:t>关于那坡县卫生院医疗污水、医疗废物无害化处理及配电房项目</w:t>
            </w:r>
            <w:r>
              <w:rPr>
                <w:rFonts w:hint="eastAsia" w:ascii="微软雅黑" w:hAnsi="微软雅黑" w:eastAsia="微软雅黑" w:cs="微软雅黑"/>
                <w:b/>
                <w:color w:val="333333"/>
                <w:sz w:val="19"/>
                <w:szCs w:val="19"/>
                <w:lang w:val="en-US" w:eastAsia="zh-CN"/>
              </w:rPr>
              <w:t>可行性研究报告的重新批复</w:t>
            </w:r>
            <w:r>
              <w:rPr>
                <w:rFonts w:hint="eastAsia" w:ascii="微软雅黑" w:hAnsi="微软雅黑" w:eastAsia="微软雅黑" w:cs="微软雅黑"/>
                <w:b/>
                <w:color w:val="333333"/>
                <w:sz w:val="19"/>
                <w:szCs w:val="19"/>
              </w:rPr>
              <w:t>(那发改</w:t>
            </w:r>
            <w:r>
              <w:rPr>
                <w:rFonts w:hint="eastAsia" w:ascii="微软雅黑" w:hAnsi="微软雅黑" w:eastAsia="微软雅黑" w:cs="微软雅黑"/>
                <w:b/>
                <w:color w:val="333333"/>
                <w:sz w:val="19"/>
                <w:szCs w:val="19"/>
                <w:lang w:val="en-US" w:eastAsia="zh-CN"/>
              </w:rPr>
              <w:t>批复</w:t>
            </w:r>
            <w:r>
              <w:rPr>
                <w:rFonts w:hint="eastAsia" w:ascii="微软雅黑" w:hAnsi="微软雅黑" w:eastAsia="微软雅黑" w:cs="微软雅黑"/>
                <w:b/>
                <w:color w:val="333333"/>
                <w:sz w:val="19"/>
                <w:szCs w:val="19"/>
              </w:rPr>
              <w:t>【20</w:t>
            </w:r>
            <w:r>
              <w:rPr>
                <w:rFonts w:hint="eastAsia" w:ascii="微软雅黑" w:hAnsi="微软雅黑" w:eastAsia="微软雅黑" w:cs="微软雅黑"/>
                <w:b/>
                <w:color w:val="333333"/>
                <w:sz w:val="19"/>
                <w:szCs w:val="19"/>
                <w:lang w:val="en-US" w:eastAsia="zh-CN"/>
              </w:rPr>
              <w:t>20</w:t>
            </w:r>
            <w:r>
              <w:rPr>
                <w:rFonts w:hint="eastAsia" w:ascii="微软雅黑" w:hAnsi="微软雅黑" w:eastAsia="微软雅黑" w:cs="微软雅黑"/>
                <w:b/>
                <w:color w:val="333333"/>
                <w:sz w:val="19"/>
                <w:szCs w:val="19"/>
              </w:rPr>
              <w:t>】</w:t>
            </w:r>
            <w:r>
              <w:rPr>
                <w:rFonts w:hint="eastAsia" w:ascii="微软雅黑" w:hAnsi="微软雅黑" w:eastAsia="微软雅黑" w:cs="微软雅黑"/>
                <w:b/>
                <w:color w:val="333333"/>
                <w:sz w:val="19"/>
                <w:szCs w:val="19"/>
                <w:lang w:val="en-US" w:eastAsia="zh-CN"/>
              </w:rPr>
              <w:t>73</w:t>
            </w:r>
            <w:r>
              <w:rPr>
                <w:rFonts w:hint="eastAsia" w:ascii="微软雅黑" w:hAnsi="微软雅黑" w:eastAsia="微软雅黑" w:cs="微软雅黑"/>
                <w:b/>
                <w:color w:val="333333"/>
                <w:sz w:val="19"/>
                <w:szCs w:val="19"/>
              </w:rPr>
              <w:t>号)</w:t>
            </w:r>
            <w:r>
              <w:rPr>
                <w:rFonts w:hint="eastAsia" w:ascii="微软雅黑" w:hAnsi="微软雅黑" w:eastAsia="微软雅黑" w:cs="微软雅黑"/>
                <w:color w:val="333333"/>
                <w:sz w:val="19"/>
                <w:szCs w:val="19"/>
              </w:rPr>
              <w:t>批准建设，招标人（项目业主）为</w:t>
            </w:r>
            <w:r>
              <w:rPr>
                <w:rFonts w:hint="eastAsia" w:ascii="微软雅黑" w:hAnsi="微软雅黑" w:eastAsia="微软雅黑" w:cs="微软雅黑"/>
                <w:b/>
                <w:color w:val="333333"/>
                <w:sz w:val="19"/>
                <w:szCs w:val="19"/>
              </w:rPr>
              <w:t>那坡县卫生健康局</w:t>
            </w:r>
            <w:r>
              <w:rPr>
                <w:rFonts w:hint="eastAsia" w:ascii="微软雅黑" w:hAnsi="微软雅黑" w:eastAsia="微软雅黑" w:cs="微软雅黑"/>
                <w:color w:val="333333"/>
                <w:sz w:val="19"/>
                <w:szCs w:val="19"/>
              </w:rPr>
              <w:t>，建设资金来自财政项目出资比例为</w:t>
            </w:r>
            <w:r>
              <w:rPr>
                <w:rFonts w:hint="eastAsia" w:ascii="微软雅黑" w:hAnsi="微软雅黑" w:eastAsia="微软雅黑" w:cs="微软雅黑"/>
                <w:b/>
                <w:color w:val="333333"/>
                <w:sz w:val="19"/>
                <w:szCs w:val="19"/>
              </w:rPr>
              <w:t>100.00%</w:t>
            </w:r>
            <w:r>
              <w:rPr>
                <w:rFonts w:hint="eastAsia" w:ascii="微软雅黑" w:hAnsi="微软雅黑" w:eastAsia="微软雅黑" w:cs="微软雅黑"/>
                <w:color w:val="333333"/>
                <w:sz w:val="19"/>
                <w:szCs w:val="19"/>
              </w:rPr>
              <w:t xml:space="preserve">。项目已具备招标条件，现对该项目的施工进行公开招标。 </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2、项目概况与招标范围</w:t>
            </w:r>
          </w:p>
          <w:p>
            <w:pPr>
              <w:pStyle w:val="4"/>
              <w:keepNext w:val="0"/>
              <w:keepLines w:val="0"/>
              <w:widowControl/>
              <w:suppressLineNumbers w:val="0"/>
              <w:wordWrap w:val="0"/>
              <w:spacing w:before="0" w:beforeAutospacing="0" w:after="0" w:afterAutospacing="0" w:line="420" w:lineRule="atLeast"/>
              <w:ind w:left="0" w:right="0"/>
              <w:jc w:val="both"/>
              <w:rPr>
                <w:rFonts w:hint="eastAsia" w:eastAsia="微软雅黑"/>
                <w:lang w:eastAsia="zh-CN"/>
              </w:rPr>
            </w:pPr>
            <w:r>
              <w:rPr>
                <w:rFonts w:hint="eastAsia" w:ascii="微软雅黑" w:hAnsi="微软雅黑" w:eastAsia="微软雅黑" w:cs="微软雅黑"/>
                <w:color w:val="333333"/>
                <w:sz w:val="19"/>
                <w:szCs w:val="19"/>
              </w:rPr>
              <w:t>    项目招标编号：</w:t>
            </w:r>
            <w:r>
              <w:rPr>
                <w:rFonts w:hint="eastAsia" w:ascii="微软雅黑" w:hAnsi="微软雅黑" w:eastAsia="微软雅黑" w:cs="微软雅黑"/>
                <w:b/>
                <w:color w:val="333333"/>
                <w:sz w:val="19"/>
                <w:szCs w:val="19"/>
                <w:lang w:eastAsia="zh-CN"/>
              </w:rPr>
              <w:t>BSZC2020-G2-260019-FDZX</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报建号：</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建设地点：</w:t>
            </w:r>
            <w:r>
              <w:rPr>
                <w:rFonts w:hint="eastAsia" w:ascii="微软雅黑" w:hAnsi="微软雅黑" w:eastAsia="微软雅黑" w:cs="微软雅黑"/>
                <w:b/>
                <w:color w:val="333333"/>
                <w:sz w:val="19"/>
                <w:szCs w:val="19"/>
              </w:rPr>
              <w:t>那坡县内</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建设规模：1、那坡县百合乡卫生院医疗污水、医疗废物无害化处理及配电房项目，总建筑面积：102.68㎡，占地面积：102.68㎡；2、那坡县下华卫生院医疗污水、医疗废物无害化处理及配电房项目 ，总建筑面积：102.68㎡，占地面积：102.68㎡；3、那坡县平孟镇卫生院医疗污水、医疗废物无害化处理及配电房项目，总建筑面积：104.78㎡，占地面积：104.78㎡；4、那坡县坡荷乡卫生院医疗污水、医疗废物无害化处理及配电房项目，总建筑面积：106.08㎡，占地面积：106.08㎡5、那坡县北斗卫生院医疗污水、医疗废物无害化处理及配电房项目，总建筑面积：104.04㎡，占地面积：104.04㎡；6、那坡县定业卫生院医疗污水、医疗废物无害化处理及配电房项目，总建筑面积：105.84㎡，占地面积：105.84㎡；7、那坡县那隆卫生院医疗污水、医疗废物无害化处理及配电房项目，总建筑面积：103.74㎡，占地面积：103.74㎡；</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合同估算价：</w:t>
            </w:r>
            <w:r>
              <w:rPr>
                <w:rFonts w:hint="eastAsia" w:ascii="微软雅黑" w:hAnsi="微软雅黑" w:eastAsia="微软雅黑" w:cs="微软雅黑"/>
                <w:b/>
                <w:color w:val="333333"/>
                <w:sz w:val="19"/>
                <w:szCs w:val="19"/>
                <w:lang w:val="en-US" w:eastAsia="zh-CN"/>
              </w:rPr>
              <w:t>918.7</w:t>
            </w:r>
            <w:r>
              <w:rPr>
                <w:rFonts w:hint="eastAsia" w:ascii="微软雅黑" w:hAnsi="微软雅黑" w:eastAsia="微软雅黑" w:cs="微软雅黑"/>
                <w:color w:val="333333"/>
                <w:sz w:val="19"/>
                <w:szCs w:val="19"/>
              </w:rPr>
              <w:t>万元</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要求工期：</w:t>
            </w:r>
            <w:r>
              <w:rPr>
                <w:rFonts w:hint="eastAsia" w:ascii="微软雅黑" w:hAnsi="微软雅黑" w:eastAsia="微软雅黑" w:cs="微软雅黑"/>
                <w:color w:val="333333"/>
                <w:sz w:val="19"/>
                <w:szCs w:val="19"/>
                <w:lang w:val="en-US" w:eastAsia="zh-CN"/>
              </w:rPr>
              <w:t>每个标段</w:t>
            </w:r>
            <w:r>
              <w:rPr>
                <w:rFonts w:hint="eastAsia" w:ascii="微软雅黑" w:hAnsi="微软雅黑" w:eastAsia="微软雅黑" w:cs="微软雅黑"/>
                <w:color w:val="auto"/>
                <w:sz w:val="19"/>
                <w:szCs w:val="19"/>
                <w:lang w:val="en-US" w:eastAsia="zh-CN"/>
              </w:rPr>
              <w:t>均</w:t>
            </w:r>
            <w:r>
              <w:rPr>
                <w:rFonts w:hint="eastAsia" w:ascii="微软雅黑" w:hAnsi="微软雅黑" w:eastAsia="微软雅黑" w:cs="微软雅黑"/>
                <w:b/>
                <w:color w:val="auto"/>
                <w:sz w:val="19"/>
                <w:szCs w:val="19"/>
                <w:lang w:val="en-US" w:eastAsia="zh-CN"/>
              </w:rPr>
              <w:t>90日历天</w:t>
            </w:r>
            <w:r>
              <w:rPr>
                <w:rFonts w:hint="eastAsia" w:ascii="微软雅黑" w:hAnsi="微软雅黑" w:eastAsia="微软雅黑" w:cs="微软雅黑"/>
                <w:color w:val="auto"/>
                <w:sz w:val="19"/>
                <w:szCs w:val="19"/>
              </w:rPr>
              <w:t>，定额工期</w:t>
            </w:r>
            <w:r>
              <w:rPr>
                <w:rFonts w:hint="eastAsia" w:ascii="微软雅黑" w:hAnsi="微软雅黑" w:eastAsia="微软雅黑" w:cs="微软雅黑"/>
                <w:b/>
                <w:color w:val="auto"/>
                <w:sz w:val="19"/>
                <w:szCs w:val="19"/>
                <w:lang w:val="en-US" w:eastAsia="zh-CN"/>
              </w:rPr>
              <w:t>90日历天</w:t>
            </w:r>
            <w:r>
              <w:rPr>
                <w:rFonts w:hint="eastAsia" w:ascii="微软雅黑" w:hAnsi="微软雅黑" w:eastAsia="微软雅黑" w:cs="微软雅黑"/>
                <w:color w:val="auto"/>
                <w:sz w:val="19"/>
                <w:szCs w:val="19"/>
              </w:rPr>
              <w:t>【备</w:t>
            </w:r>
            <w:r>
              <w:rPr>
                <w:rFonts w:hint="eastAsia" w:ascii="微软雅黑" w:hAnsi="微软雅黑" w:eastAsia="微软雅黑" w:cs="微软雅黑"/>
                <w:color w:val="333333"/>
                <w:sz w:val="19"/>
                <w:szCs w:val="19"/>
              </w:rPr>
              <w:t>注：建筑安装工程定额工期应按《建筑安装工程工期定额（TY01-89-2016）》确定，工期压缩时，宜组织专家论证，且在招标工程量清单中增设提前竣工（赶工补偿）费项目清单。】</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招标范围：</w:t>
            </w:r>
            <w:r>
              <w:rPr>
                <w:rFonts w:hint="eastAsia" w:ascii="微软雅黑" w:hAnsi="微软雅黑" w:eastAsia="微软雅黑" w:cs="微软雅黑"/>
                <w:color w:val="333333"/>
                <w:sz w:val="19"/>
                <w:szCs w:val="19"/>
                <w:lang w:eastAsia="zh-CN"/>
              </w:rPr>
              <w:t>那坡县乡镇卫生院医疗污水、医疗废物无害化处理及配电房项目</w:t>
            </w:r>
            <w:r>
              <w:rPr>
                <w:rFonts w:hint="eastAsia" w:ascii="微软雅黑" w:hAnsi="微软雅黑" w:eastAsia="微软雅黑" w:cs="微软雅黑"/>
                <w:b/>
                <w:color w:val="333333"/>
                <w:sz w:val="19"/>
                <w:szCs w:val="19"/>
              </w:rPr>
              <w:t>（具体以施工图纸和工程量清单范围为准）</w:t>
            </w:r>
          </w:p>
          <w:p>
            <w:pPr>
              <w:pStyle w:val="4"/>
              <w:keepNext w:val="0"/>
              <w:keepLines w:val="0"/>
              <w:widowControl/>
              <w:suppressLineNumbers w:val="0"/>
              <w:wordWrap w:val="0"/>
              <w:spacing w:before="0" w:beforeAutospacing="0" w:after="0" w:afterAutospacing="0" w:line="420" w:lineRule="atLeast"/>
              <w:ind w:left="0" w:right="0"/>
              <w:jc w:val="both"/>
              <w:rPr>
                <w:rFonts w:hint="eastAsia" w:eastAsia="微软雅黑"/>
                <w:lang w:val="en-US" w:eastAsia="zh-CN"/>
              </w:rPr>
            </w:pPr>
            <w:r>
              <w:rPr>
                <w:rFonts w:hint="eastAsia" w:ascii="微软雅黑" w:hAnsi="微软雅黑" w:eastAsia="微软雅黑" w:cs="微软雅黑"/>
                <w:color w:val="333333"/>
                <w:sz w:val="19"/>
                <w:szCs w:val="19"/>
              </w:rPr>
              <w:t>    标段划分：</w:t>
            </w:r>
            <w:r>
              <w:rPr>
                <w:rFonts w:hint="eastAsia" w:ascii="微软雅黑" w:hAnsi="微软雅黑" w:eastAsia="微软雅黑" w:cs="微软雅黑"/>
                <w:color w:val="333333"/>
                <w:sz w:val="19"/>
                <w:szCs w:val="19"/>
                <w:lang w:val="en-US" w:eastAsia="zh-CN"/>
              </w:rPr>
              <w:t>划分7个标段：</w:t>
            </w:r>
            <w:r>
              <w:rPr>
                <w:rFonts w:hint="eastAsia" w:ascii="微软雅黑" w:hAnsi="微软雅黑" w:eastAsia="微软雅黑" w:cs="微软雅黑"/>
                <w:b/>
                <w:bCs/>
                <w:color w:val="333333"/>
                <w:sz w:val="19"/>
                <w:szCs w:val="19"/>
                <w:lang w:val="en-US" w:eastAsia="zh-CN"/>
              </w:rPr>
              <w:t>1标段：</w:t>
            </w:r>
            <w:r>
              <w:rPr>
                <w:rFonts w:hint="eastAsia" w:ascii="微软雅黑" w:hAnsi="微软雅黑" w:eastAsia="微软雅黑" w:cs="微软雅黑"/>
                <w:color w:val="333333"/>
                <w:sz w:val="19"/>
                <w:szCs w:val="19"/>
              </w:rPr>
              <w:t>那坡县百合乡卫生院医疗污水、医疗废物无害化处理及配电房项目</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2标段：</w:t>
            </w:r>
            <w:r>
              <w:rPr>
                <w:rFonts w:hint="eastAsia" w:ascii="微软雅黑" w:hAnsi="微软雅黑" w:eastAsia="微软雅黑" w:cs="微软雅黑"/>
                <w:color w:val="333333"/>
                <w:sz w:val="19"/>
                <w:szCs w:val="19"/>
              </w:rPr>
              <w:t>那坡县下华卫生院医疗污水、医疗废物无害化处理及配电房项目</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3标段：</w:t>
            </w:r>
            <w:r>
              <w:rPr>
                <w:rFonts w:hint="eastAsia" w:ascii="微软雅黑" w:hAnsi="微软雅黑" w:eastAsia="微软雅黑" w:cs="微软雅黑"/>
                <w:color w:val="333333"/>
                <w:sz w:val="19"/>
                <w:szCs w:val="19"/>
              </w:rPr>
              <w:t>那坡县平孟镇卫生院医疗污水、医疗废物无害化处理及配电房项目</w:t>
            </w:r>
            <w:r>
              <w:rPr>
                <w:rFonts w:hint="eastAsia" w:ascii="微软雅黑" w:hAnsi="微软雅黑" w:eastAsia="微软雅黑" w:cs="微软雅黑"/>
                <w:b/>
                <w:color w:val="333333"/>
                <w:sz w:val="19"/>
                <w:szCs w:val="19"/>
                <w:lang w:eastAsia="zh-CN"/>
              </w:rPr>
              <w:t>；</w:t>
            </w:r>
            <w:r>
              <w:rPr>
                <w:rFonts w:hint="eastAsia" w:ascii="微软雅黑" w:hAnsi="微软雅黑" w:eastAsia="微软雅黑" w:cs="微软雅黑"/>
                <w:b/>
                <w:color w:val="333333"/>
                <w:sz w:val="19"/>
                <w:szCs w:val="19"/>
                <w:lang w:val="en-US" w:eastAsia="zh-CN"/>
              </w:rPr>
              <w:t xml:space="preserve"> 4标段：</w:t>
            </w:r>
            <w:r>
              <w:rPr>
                <w:rFonts w:hint="eastAsia" w:ascii="微软雅黑" w:hAnsi="微软雅黑" w:eastAsia="微软雅黑" w:cs="微软雅黑"/>
                <w:color w:val="333333"/>
                <w:sz w:val="19"/>
                <w:szCs w:val="19"/>
              </w:rPr>
              <w:t>那坡县坡荷乡卫生院医疗污水、医疗废物无害化处理及配电房项目</w:t>
            </w:r>
            <w:r>
              <w:rPr>
                <w:rFonts w:hint="eastAsia" w:ascii="微软雅黑" w:hAnsi="微软雅黑" w:eastAsia="微软雅黑" w:cs="微软雅黑"/>
                <w:color w:val="333333"/>
                <w:sz w:val="19"/>
                <w:szCs w:val="19"/>
                <w:lang w:eastAsia="zh-CN"/>
              </w:rPr>
              <w:t>；</w:t>
            </w:r>
            <w:r>
              <w:rPr>
                <w:rFonts w:hint="eastAsia" w:ascii="微软雅黑" w:hAnsi="微软雅黑" w:eastAsia="微软雅黑" w:cs="微软雅黑"/>
                <w:b/>
                <w:bCs/>
                <w:color w:val="333333"/>
                <w:sz w:val="19"/>
                <w:szCs w:val="19"/>
                <w:lang w:val="en-US" w:eastAsia="zh-CN"/>
              </w:rPr>
              <w:t>5标段：</w:t>
            </w:r>
            <w:r>
              <w:rPr>
                <w:rFonts w:hint="eastAsia" w:ascii="微软雅黑" w:hAnsi="微软雅黑" w:eastAsia="微软雅黑" w:cs="微软雅黑"/>
                <w:color w:val="333333"/>
                <w:sz w:val="19"/>
                <w:szCs w:val="19"/>
              </w:rPr>
              <w:t>那坡县北斗卫生院医疗污水、医疗废物无害化处理及配电房项目</w:t>
            </w:r>
            <w:r>
              <w:rPr>
                <w:rFonts w:hint="eastAsia" w:ascii="微软雅黑" w:hAnsi="微软雅黑" w:eastAsia="微软雅黑" w:cs="微软雅黑"/>
                <w:color w:val="333333"/>
                <w:sz w:val="19"/>
                <w:szCs w:val="19"/>
                <w:lang w:eastAsia="zh-CN"/>
              </w:rPr>
              <w:t>；</w:t>
            </w:r>
            <w:r>
              <w:rPr>
                <w:rFonts w:hint="eastAsia" w:ascii="微软雅黑" w:hAnsi="微软雅黑" w:eastAsia="微软雅黑" w:cs="微软雅黑"/>
                <w:b/>
                <w:bCs/>
                <w:color w:val="333333"/>
                <w:sz w:val="19"/>
                <w:szCs w:val="19"/>
                <w:lang w:val="en-US" w:eastAsia="zh-CN"/>
              </w:rPr>
              <w:t>6标段：</w:t>
            </w:r>
            <w:r>
              <w:rPr>
                <w:rFonts w:hint="eastAsia" w:ascii="微软雅黑" w:hAnsi="微软雅黑" w:eastAsia="微软雅黑" w:cs="微软雅黑"/>
                <w:color w:val="333333"/>
                <w:sz w:val="19"/>
                <w:szCs w:val="19"/>
              </w:rPr>
              <w:t>那坡县定业卫生院医疗污水、医疗废物无害化处理及配电房项目</w:t>
            </w:r>
            <w:r>
              <w:rPr>
                <w:rFonts w:hint="eastAsia" w:ascii="微软雅黑" w:hAnsi="微软雅黑" w:eastAsia="微软雅黑" w:cs="微软雅黑"/>
                <w:color w:val="333333"/>
                <w:sz w:val="19"/>
                <w:szCs w:val="19"/>
                <w:lang w:eastAsia="zh-CN"/>
              </w:rPr>
              <w:t>；</w:t>
            </w:r>
            <w:r>
              <w:rPr>
                <w:rFonts w:hint="eastAsia" w:ascii="微软雅黑" w:hAnsi="微软雅黑" w:eastAsia="微软雅黑" w:cs="微软雅黑"/>
                <w:b/>
                <w:bCs/>
                <w:color w:val="333333"/>
                <w:sz w:val="19"/>
                <w:szCs w:val="19"/>
                <w:lang w:val="en-US" w:eastAsia="zh-CN"/>
              </w:rPr>
              <w:t>7标段：</w:t>
            </w:r>
            <w:r>
              <w:rPr>
                <w:rFonts w:hint="eastAsia" w:ascii="微软雅黑" w:hAnsi="微软雅黑" w:eastAsia="微软雅黑" w:cs="微软雅黑"/>
                <w:color w:val="333333"/>
                <w:sz w:val="19"/>
                <w:szCs w:val="19"/>
              </w:rPr>
              <w:t>那坡县那隆卫生院医疗污水、医疗废物无害化处理及配电房项目</w:t>
            </w:r>
            <w:r>
              <w:rPr>
                <w:rFonts w:hint="eastAsia" w:ascii="微软雅黑" w:hAnsi="微软雅黑" w:eastAsia="微软雅黑" w:cs="微软雅黑"/>
                <w:b/>
                <w:color w:val="333333"/>
                <w:sz w:val="19"/>
                <w:szCs w:val="19"/>
                <w:lang w:eastAsia="zh-CN"/>
              </w:rPr>
              <w:t>。</w:t>
            </w:r>
          </w:p>
          <w:p>
            <w:pPr>
              <w:pStyle w:val="4"/>
              <w:keepNext w:val="0"/>
              <w:keepLines w:val="0"/>
              <w:widowControl/>
              <w:suppressLineNumbers w:val="0"/>
              <w:wordWrap w:val="0"/>
              <w:spacing w:before="0" w:beforeAutospacing="0" w:after="0" w:afterAutospacing="0" w:line="420" w:lineRule="atLeast"/>
              <w:ind w:left="0" w:right="0"/>
              <w:jc w:val="both"/>
              <w:rPr>
                <w:rFonts w:hint="eastAsia" w:eastAsia="微软雅黑"/>
                <w:lang w:eastAsia="zh-CN"/>
              </w:rPr>
            </w:pPr>
            <w:r>
              <w:rPr>
                <w:rFonts w:hint="eastAsia" w:ascii="微软雅黑" w:hAnsi="微软雅黑" w:eastAsia="微软雅黑" w:cs="微软雅黑"/>
                <w:color w:val="333333"/>
                <w:sz w:val="19"/>
                <w:szCs w:val="19"/>
              </w:rPr>
              <w:t>    设计单位：</w:t>
            </w:r>
            <w:r>
              <w:rPr>
                <w:rFonts w:hint="eastAsia" w:ascii="微软雅黑" w:hAnsi="微软雅黑" w:eastAsia="微软雅黑" w:cs="微软雅黑"/>
                <w:b/>
                <w:color w:val="333333"/>
                <w:sz w:val="19"/>
                <w:szCs w:val="19"/>
                <w:lang w:eastAsia="zh-CN"/>
              </w:rPr>
              <w:t>广州博厦建筑设计研究院有限公司</w:t>
            </w:r>
          </w:p>
          <w:p>
            <w:pPr>
              <w:pStyle w:val="4"/>
              <w:keepNext w:val="0"/>
              <w:keepLines w:val="0"/>
              <w:widowControl/>
              <w:suppressLineNumbers w:val="0"/>
              <w:wordWrap w:val="0"/>
              <w:spacing w:before="0" w:beforeAutospacing="0" w:after="0" w:afterAutospacing="0" w:line="420" w:lineRule="atLeast"/>
              <w:ind w:left="0" w:right="0"/>
              <w:jc w:val="both"/>
              <w:rPr>
                <w:rFonts w:hint="eastAsia" w:eastAsia="微软雅黑"/>
                <w:lang w:val="en-US" w:eastAsia="zh-CN"/>
              </w:rPr>
            </w:pPr>
            <w:r>
              <w:rPr>
                <w:rFonts w:hint="eastAsia" w:ascii="微软雅黑" w:hAnsi="微软雅黑" w:eastAsia="微软雅黑" w:cs="微软雅黑"/>
                <w:color w:val="333333"/>
                <w:sz w:val="19"/>
                <w:szCs w:val="19"/>
              </w:rPr>
              <w:t>    勘察单位：</w:t>
            </w:r>
            <w:r>
              <w:rPr>
                <w:rFonts w:hint="eastAsia" w:ascii="微软雅黑" w:hAnsi="微软雅黑" w:eastAsia="微软雅黑" w:cs="微软雅黑"/>
                <w:color w:val="333333"/>
                <w:sz w:val="19"/>
                <w:szCs w:val="19"/>
                <w:lang w:val="en-US" w:eastAsia="zh-CN"/>
              </w:rPr>
              <w:t>/</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3、投标人资格要求</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3.1本次招标要求投标人须已办理诚信库入库手续并处于有效状态，</w:t>
            </w:r>
            <w:r>
              <w:rPr>
                <w:rFonts w:hint="eastAsia" w:ascii="微软雅黑" w:hAnsi="微软雅黑" w:eastAsia="微软雅黑" w:cs="微软雅黑"/>
                <w:color w:val="333333"/>
                <w:sz w:val="19"/>
                <w:szCs w:val="19"/>
                <w:highlight w:val="none"/>
              </w:rPr>
              <w:t>具备</w:t>
            </w:r>
            <w:r>
              <w:rPr>
                <w:rFonts w:hint="eastAsia" w:ascii="微软雅黑" w:hAnsi="微软雅黑" w:eastAsia="微软雅黑" w:cs="微软雅黑"/>
                <w:b/>
                <w:color w:val="333333"/>
                <w:sz w:val="19"/>
                <w:szCs w:val="19"/>
                <w:highlight w:val="none"/>
              </w:rPr>
              <w:t>[</w:t>
            </w:r>
            <w:r>
              <w:rPr>
                <w:rFonts w:hint="eastAsia" w:ascii="微软雅黑" w:hAnsi="微软雅黑" w:eastAsia="微软雅黑" w:cs="微软雅黑"/>
                <w:b/>
                <w:color w:val="333333"/>
                <w:sz w:val="19"/>
                <w:szCs w:val="19"/>
                <w:highlight w:val="none"/>
                <w:lang w:eastAsia="zh-CN"/>
              </w:rPr>
              <w:t>市政公用工程三级</w:t>
            </w:r>
            <w:r>
              <w:rPr>
                <w:rFonts w:hint="eastAsia" w:ascii="微软雅黑" w:hAnsi="微软雅黑" w:eastAsia="微软雅黑" w:cs="微软雅黑"/>
                <w:b/>
                <w:color w:val="333333"/>
                <w:sz w:val="19"/>
                <w:szCs w:val="19"/>
                <w:highlight w:val="none"/>
              </w:rPr>
              <w:t>](含)以上</w:t>
            </w:r>
            <w:r>
              <w:rPr>
                <w:rFonts w:hint="eastAsia" w:ascii="微软雅黑" w:hAnsi="微软雅黑" w:eastAsia="微软雅黑" w:cs="微软雅黑"/>
                <w:color w:val="333333"/>
                <w:sz w:val="19"/>
                <w:szCs w:val="19"/>
                <w:highlight w:val="none"/>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hint="eastAsia" w:ascii="微软雅黑" w:hAnsi="微软雅黑" w:eastAsia="微软雅黑" w:cs="微软雅黑"/>
                <w:b/>
                <w:color w:val="333333"/>
                <w:sz w:val="19"/>
                <w:szCs w:val="19"/>
                <w:highlight w:val="none"/>
              </w:rPr>
              <w:t>[</w:t>
            </w:r>
            <w:r>
              <w:rPr>
                <w:rFonts w:hint="eastAsia" w:ascii="微软雅黑" w:hAnsi="微软雅黑" w:eastAsia="微软雅黑" w:cs="微软雅黑"/>
                <w:b/>
                <w:color w:val="333333"/>
                <w:sz w:val="19"/>
                <w:szCs w:val="19"/>
                <w:highlight w:val="none"/>
                <w:lang w:eastAsia="zh-CN"/>
              </w:rPr>
              <w:t>市政公用工程二级</w:t>
            </w:r>
            <w:r>
              <w:rPr>
                <w:rFonts w:hint="eastAsia" w:ascii="微软雅黑" w:hAnsi="微软雅黑" w:eastAsia="微软雅黑" w:cs="微软雅黑"/>
                <w:b/>
                <w:color w:val="333333"/>
                <w:sz w:val="19"/>
                <w:szCs w:val="19"/>
                <w:highlight w:val="none"/>
              </w:rPr>
              <w:t>](含)以上</w:t>
            </w:r>
            <w:r>
              <w:rPr>
                <w:rFonts w:hint="eastAsia" w:ascii="微软雅黑" w:hAnsi="微软雅黑" w:eastAsia="微软雅黑" w:cs="微软雅黑"/>
                <w:color w:val="333333"/>
                <w:sz w:val="19"/>
                <w:szCs w:val="19"/>
                <w:highlight w:val="none"/>
              </w:rPr>
              <w:t>专</w:t>
            </w:r>
            <w:r>
              <w:rPr>
                <w:rFonts w:hint="eastAsia" w:ascii="微软雅黑" w:hAnsi="微软雅黑" w:eastAsia="微软雅黑" w:cs="微软雅黑"/>
                <w:color w:val="333333"/>
                <w:sz w:val="19"/>
                <w:szCs w:val="19"/>
              </w:rPr>
              <w:t>业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3.2业绩要求：无要求</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3.3本次招标不接受联合体投标。</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ascii="微软雅黑" w:hAnsi="微软雅黑" w:eastAsia="微软雅黑" w:cs="微软雅黑"/>
                <w:b/>
                <w:color w:val="333333"/>
                <w:sz w:val="19"/>
                <w:szCs w:val="19"/>
              </w:rPr>
              <w:t>投标人信息以广西建筑业企业诚信信息库为准</w:t>
            </w:r>
            <w:r>
              <w:rPr>
                <w:rFonts w:hint="eastAsia" w:ascii="微软雅黑" w:hAnsi="微软雅黑" w:eastAsia="微软雅黑" w:cs="微软雅黑"/>
                <w:color w:val="333333"/>
                <w:sz w:val="19"/>
                <w:szCs w:val="19"/>
              </w:rPr>
              <w:t>”的表述，均同此备注】。</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4、投标报名</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网上投标。凡有意参加投标者，请于2020年</w:t>
            </w:r>
            <w:r>
              <w:rPr>
                <w:rFonts w:hint="eastAsia" w:ascii="微软雅黑" w:hAnsi="微软雅黑" w:eastAsia="微软雅黑" w:cs="微软雅黑"/>
                <w:color w:val="333333"/>
                <w:sz w:val="19"/>
                <w:szCs w:val="19"/>
                <w:u w:val="single"/>
                <w:lang w:val="en-US" w:eastAsia="zh-CN"/>
              </w:rPr>
              <w:t xml:space="preserve"> 7 </w:t>
            </w:r>
            <w:r>
              <w:rPr>
                <w:rFonts w:hint="eastAsia" w:ascii="微软雅黑" w:hAnsi="微软雅黑" w:eastAsia="微软雅黑" w:cs="微软雅黑"/>
                <w:color w:val="333333"/>
                <w:sz w:val="19"/>
                <w:szCs w:val="19"/>
              </w:rPr>
              <w:t>月</w:t>
            </w:r>
            <w:r>
              <w:rPr>
                <w:rFonts w:hint="eastAsia" w:ascii="微软雅黑" w:hAnsi="微软雅黑" w:eastAsia="微软雅黑" w:cs="微软雅黑"/>
                <w:color w:val="333333"/>
                <w:sz w:val="19"/>
                <w:szCs w:val="19"/>
                <w:u w:val="single"/>
                <w:lang w:val="en-US" w:eastAsia="zh-CN"/>
              </w:rPr>
              <w:t xml:space="preserve"> 14 </w:t>
            </w:r>
            <w:r>
              <w:rPr>
                <w:rFonts w:hint="eastAsia" w:ascii="微软雅黑" w:hAnsi="微软雅黑" w:eastAsia="微软雅黑" w:cs="微软雅黑"/>
                <w:color w:val="333333"/>
                <w:sz w:val="19"/>
                <w:szCs w:val="19"/>
              </w:rPr>
              <w:t>日18时00分前，由潜在投标人的专职投标员凭本人在“广西建筑市场网站备案”身份证号及密码或企业CA锁登陆百色市公共资源招投标网上交易系统（http://www.bsggzy.org.cn/gxbshy）进行网上投标。</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5、招标文件的领取</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5.1凡通过网上投标者，请于2020年</w:t>
            </w:r>
            <w:r>
              <w:rPr>
                <w:rFonts w:hint="eastAsia" w:ascii="微软雅黑" w:hAnsi="微软雅黑" w:eastAsia="微软雅黑" w:cs="微软雅黑"/>
                <w:color w:val="333333"/>
                <w:sz w:val="19"/>
                <w:szCs w:val="19"/>
                <w:u w:val="single"/>
                <w:lang w:val="en-US" w:eastAsia="zh-CN"/>
              </w:rPr>
              <w:t xml:space="preserve"> 7</w:t>
            </w:r>
            <w:r>
              <w:rPr>
                <w:rFonts w:hint="eastAsia" w:ascii="微软雅黑" w:hAnsi="微软雅黑" w:eastAsia="微软雅黑" w:cs="微软雅黑"/>
                <w:color w:val="333333"/>
                <w:sz w:val="19"/>
                <w:szCs w:val="19"/>
              </w:rPr>
              <w:t>月</w:t>
            </w:r>
            <w:r>
              <w:rPr>
                <w:rFonts w:hint="eastAsia" w:ascii="微软雅黑" w:hAnsi="微软雅黑" w:eastAsia="微软雅黑" w:cs="微软雅黑"/>
                <w:color w:val="333333"/>
                <w:sz w:val="19"/>
                <w:szCs w:val="19"/>
                <w:u w:val="single"/>
                <w:lang w:val="en-US" w:eastAsia="zh-CN"/>
              </w:rPr>
              <w:t xml:space="preserve"> 8</w:t>
            </w:r>
            <w:r>
              <w:rPr>
                <w:rFonts w:hint="eastAsia" w:ascii="微软雅黑" w:hAnsi="微软雅黑" w:eastAsia="微软雅黑" w:cs="微软雅黑"/>
                <w:color w:val="333333"/>
                <w:sz w:val="19"/>
                <w:szCs w:val="19"/>
              </w:rPr>
              <w:t>日至2020年</w:t>
            </w:r>
            <w:r>
              <w:rPr>
                <w:rFonts w:hint="eastAsia" w:ascii="微软雅黑" w:hAnsi="微软雅黑" w:eastAsia="微软雅黑" w:cs="微软雅黑"/>
                <w:color w:val="333333"/>
                <w:sz w:val="19"/>
                <w:szCs w:val="19"/>
                <w:u w:val="single"/>
                <w:lang w:val="en-US" w:eastAsia="zh-CN"/>
              </w:rPr>
              <w:t xml:space="preserve"> 7 </w:t>
            </w:r>
            <w:r>
              <w:rPr>
                <w:rFonts w:hint="eastAsia" w:ascii="微软雅黑" w:hAnsi="微软雅黑" w:eastAsia="微软雅黑" w:cs="微软雅黑"/>
                <w:color w:val="333333"/>
                <w:sz w:val="19"/>
                <w:szCs w:val="19"/>
              </w:rPr>
              <w:t>月</w:t>
            </w:r>
            <w:r>
              <w:rPr>
                <w:rFonts w:hint="eastAsia" w:ascii="微软雅黑" w:hAnsi="微软雅黑" w:eastAsia="微软雅黑" w:cs="微软雅黑"/>
                <w:color w:val="333333"/>
                <w:sz w:val="19"/>
                <w:szCs w:val="19"/>
                <w:u w:val="single"/>
                <w:lang w:val="en-US" w:eastAsia="zh-CN"/>
              </w:rPr>
              <w:t xml:space="preserve"> 14 </w:t>
            </w:r>
            <w:r>
              <w:rPr>
                <w:rFonts w:hint="eastAsia" w:ascii="微软雅黑" w:hAnsi="微软雅黑" w:eastAsia="微软雅黑" w:cs="微软雅黑"/>
                <w:color w:val="333333"/>
                <w:sz w:val="19"/>
                <w:szCs w:val="19"/>
              </w:rPr>
              <w:t>日，由潜在投标人的专职投标员凭本人的“广西建筑市场诚信卡”卡号及密码或企业CA锁登陆百色市公共资源招投标网上交易系统（http://www.bsggzy.org.cn/gxbshy）下载招标文件。</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6、投标文件的递交</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6.1投标文件应通过百色市公共资源招投标网上交易系统（http://www.bsggzy.org.cn/gxbshy）递交，截止时间（投标截止时间，下同）为2020年</w:t>
            </w:r>
            <w:r>
              <w:rPr>
                <w:rFonts w:hint="eastAsia" w:ascii="微软雅黑" w:hAnsi="微软雅黑" w:eastAsia="微软雅黑" w:cs="微软雅黑"/>
                <w:color w:val="333333"/>
                <w:sz w:val="19"/>
                <w:szCs w:val="19"/>
                <w:u w:val="single"/>
                <w:lang w:val="en-US" w:eastAsia="zh-CN"/>
              </w:rPr>
              <w:t xml:space="preserve"> 7 </w:t>
            </w:r>
            <w:r>
              <w:rPr>
                <w:rFonts w:hint="eastAsia" w:ascii="微软雅黑" w:hAnsi="微软雅黑" w:eastAsia="微软雅黑" w:cs="微软雅黑"/>
                <w:color w:val="333333"/>
                <w:sz w:val="19"/>
                <w:szCs w:val="19"/>
              </w:rPr>
              <w:t>月</w:t>
            </w:r>
            <w:r>
              <w:rPr>
                <w:rFonts w:hint="eastAsia" w:ascii="微软雅黑" w:hAnsi="微软雅黑" w:eastAsia="微软雅黑" w:cs="微软雅黑"/>
                <w:color w:val="333333"/>
                <w:sz w:val="19"/>
                <w:szCs w:val="19"/>
                <w:u w:val="single"/>
                <w:lang w:val="en-US" w:eastAsia="zh-CN"/>
              </w:rPr>
              <w:t xml:space="preserve"> 28</w:t>
            </w:r>
            <w:r>
              <w:rPr>
                <w:rFonts w:hint="eastAsia" w:ascii="微软雅黑" w:hAnsi="微软雅黑" w:eastAsia="微软雅黑" w:cs="微软雅黑"/>
                <w:color w:val="333333"/>
                <w:sz w:val="19"/>
                <w:szCs w:val="19"/>
              </w:rPr>
              <w:t>日</w:t>
            </w:r>
            <w:r>
              <w:rPr>
                <w:rFonts w:hint="eastAsia" w:ascii="微软雅黑" w:hAnsi="微软雅黑" w:eastAsia="微软雅黑" w:cs="微软雅黑"/>
                <w:color w:val="333333"/>
                <w:sz w:val="19"/>
                <w:szCs w:val="19"/>
                <w:u w:val="single"/>
                <w:lang w:val="en-US" w:eastAsia="zh-CN"/>
              </w:rPr>
              <w:t xml:space="preserve"> 9 </w:t>
            </w:r>
            <w:r>
              <w:rPr>
                <w:rFonts w:hint="eastAsia" w:ascii="微软雅黑" w:hAnsi="微软雅黑" w:eastAsia="微软雅黑" w:cs="微软雅黑"/>
                <w:color w:val="333333"/>
                <w:sz w:val="19"/>
                <w:szCs w:val="19"/>
              </w:rPr>
              <w:t>时</w:t>
            </w:r>
            <w:r>
              <w:rPr>
                <w:rFonts w:hint="eastAsia" w:ascii="微软雅黑" w:hAnsi="微软雅黑" w:eastAsia="微软雅黑" w:cs="微软雅黑"/>
                <w:color w:val="333333"/>
                <w:sz w:val="19"/>
                <w:szCs w:val="19"/>
                <w:u w:val="single"/>
                <w:lang w:val="en-US" w:eastAsia="zh-CN"/>
              </w:rPr>
              <w:t xml:space="preserve"> 30 </w:t>
            </w:r>
            <w:r>
              <w:rPr>
                <w:rFonts w:hint="eastAsia" w:ascii="微软雅黑" w:hAnsi="微软雅黑" w:eastAsia="微软雅黑" w:cs="微软雅黑"/>
                <w:color w:val="333333"/>
                <w:sz w:val="19"/>
                <w:szCs w:val="19"/>
              </w:rPr>
              <w:t>分。未加密的电子投标文件光盘提交地点为百色市公共资源交易中心(当地交易中心）。</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6.2投标人须在投标截止前将加密的投标文件通过百色市公共资源招投标网上交易系统（http://www.bsggzy.org.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7、评标方式</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综合评估法</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8、预付款和进度款支付方式</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xml:space="preserve">    详见招标文件合同条款。如为防控期间，投标人须按照《百色市公共资源交易中心疫情防控期间进场交易项目服务指南》要求入场，投标人在递交投标文件时需附上“投标人承诺书”，疫情区过来人员须出具当地检疫部门的健康证明，如投标人未按要求提供以上材料或者拒绝配合检查无法按时到达开标现场的，视为无效投标。 </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9、发布公告的媒介</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本次招标公告同时在中国政府采购网（www.ccgp.gov.cn）、广西壮族自治区政府采购网（zfcg.gxzf.gov.cn）、广西壮族自治区招标投标公共服务平台（ztb.gxi.gov.cn）、广西百色市住房和城乡建设局网站（http://zjj.baise.gov.cn/）、百色市公共资源交易平台（http://www.bsggzy.org.cn/gxbszbw/）（公告发布媒体包含但不限于上述媒体）发布。</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10、交易服务单位</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百色市公共资源交易中心</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11、监督部门及电话</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w:t>
            </w:r>
            <w:r>
              <w:rPr>
                <w:rFonts w:hint="eastAsia" w:ascii="微软雅黑" w:hAnsi="微软雅黑" w:eastAsia="微软雅黑" w:cs="微软雅黑"/>
                <w:b/>
                <w:color w:val="333333"/>
                <w:sz w:val="19"/>
                <w:szCs w:val="19"/>
              </w:rPr>
              <w:t>那坡县政府采购管理办公室 联系电话：0776-6802337、那坡县建筑业管理站 联系电话：0776-6805558</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12、注意事项</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4"/>
              <w:keepNext w:val="0"/>
              <w:keepLines w:val="0"/>
              <w:widowControl/>
              <w:suppressLineNumbers w:val="0"/>
              <w:wordWrap w:val="0"/>
              <w:spacing w:before="0" w:beforeAutospacing="0" w:after="0" w:afterAutospacing="0" w:line="420" w:lineRule="atLeast"/>
              <w:ind w:left="0" w:right="0"/>
              <w:jc w:val="both"/>
            </w:pPr>
            <w:r>
              <w:rPr>
                <w:rFonts w:hint="eastAsia" w:ascii="微软雅黑" w:hAnsi="微软雅黑" w:eastAsia="微软雅黑" w:cs="微软雅黑"/>
                <w:color w:val="333333"/>
                <w:sz w:val="19"/>
                <w:szCs w:val="19"/>
              </w:rPr>
              <w:t>    12.2投标人须办理企业CA锁后并确保在有效期内才能进行网上投标、下载招标文件、制作投标文件及上传投标文件等业务。未办理企业CA锁的单位，请到</w:t>
            </w:r>
            <w:r>
              <w:rPr>
                <w:rFonts w:hint="eastAsia" w:ascii="微软雅黑" w:hAnsi="微软雅黑" w:eastAsia="微软雅黑" w:cs="微软雅黑"/>
                <w:b/>
                <w:color w:val="333333"/>
                <w:sz w:val="19"/>
                <w:szCs w:val="19"/>
              </w:rPr>
              <w:t>广西数字认证中心服务有限公司</w:t>
            </w:r>
            <w:r>
              <w:rPr>
                <w:rFonts w:hint="eastAsia" w:ascii="微软雅黑" w:hAnsi="微软雅黑" w:eastAsia="微软雅黑" w:cs="微软雅黑"/>
                <w:color w:val="333333"/>
                <w:sz w:val="19"/>
                <w:szCs w:val="19"/>
              </w:rPr>
              <w:t>办理，客服电话：</w:t>
            </w:r>
            <w:r>
              <w:rPr>
                <w:rFonts w:hint="eastAsia" w:ascii="微软雅黑" w:hAnsi="微软雅黑" w:eastAsia="微软雅黑" w:cs="微软雅黑"/>
                <w:b/>
                <w:color w:val="333333"/>
                <w:sz w:val="19"/>
                <w:szCs w:val="19"/>
              </w:rPr>
              <w:t>0771-5869801。</w:t>
            </w:r>
          </w:p>
          <w:p>
            <w:pPr>
              <w:pStyle w:val="4"/>
              <w:keepNext w:val="0"/>
              <w:keepLines w:val="0"/>
              <w:widowControl/>
              <w:suppressLineNumbers w:val="0"/>
              <w:wordWrap w:val="0"/>
              <w:spacing w:before="0" w:beforeAutospacing="0" w:after="0" w:afterAutospacing="0" w:line="525" w:lineRule="atLeast"/>
              <w:ind w:left="0" w:right="0"/>
              <w:jc w:val="left"/>
            </w:pPr>
            <w:r>
              <w:rPr>
                <w:rFonts w:hint="eastAsia" w:ascii="微软雅黑" w:hAnsi="微软雅黑" w:eastAsia="微软雅黑" w:cs="微软雅黑"/>
                <w:b/>
                <w:color w:val="333333"/>
                <w:sz w:val="19"/>
                <w:szCs w:val="19"/>
              </w:rPr>
              <w:t>13、联系方式</w:t>
            </w:r>
          </w:p>
        </w:tc>
      </w:tr>
      <w:tr>
        <w:tblPrEx>
          <w:tblCellMar>
            <w:top w:w="0" w:type="dxa"/>
            <w:left w:w="0" w:type="dxa"/>
            <w:bottom w:w="0" w:type="dxa"/>
            <w:right w:w="0" w:type="dxa"/>
          </w:tblCellMar>
        </w:tblPrEx>
        <w:trPr>
          <w:trHeight w:val="313"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招 标 人：</w:t>
            </w:r>
          </w:p>
        </w:tc>
        <w:tc>
          <w:tcPr>
            <w:tcW w:w="309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那坡县卫生健康局</w:t>
            </w: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招标代理机构：</w:t>
            </w:r>
          </w:p>
        </w:tc>
        <w:tc>
          <w:tcPr>
            <w:tcW w:w="331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方大国际工程咨询股份有限公司</w:t>
            </w:r>
          </w:p>
        </w:tc>
      </w:tr>
      <w:tr>
        <w:tblPrEx>
          <w:tblCellMar>
            <w:top w:w="0" w:type="dxa"/>
            <w:left w:w="0" w:type="dxa"/>
            <w:bottom w:w="0" w:type="dxa"/>
            <w:right w:w="0" w:type="dxa"/>
          </w:tblCellMar>
        </w:tblPrEx>
        <w:trPr>
          <w:trHeight w:val="653"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地 址：</w:t>
            </w:r>
          </w:p>
        </w:tc>
        <w:tc>
          <w:tcPr>
            <w:tcW w:w="309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那坡县康乐街67号</w:t>
            </w: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地 址：</w:t>
            </w:r>
          </w:p>
        </w:tc>
        <w:tc>
          <w:tcPr>
            <w:tcW w:w="331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百色市右江区迎龙路70号建通中心5号楼A座1单元2层</w:t>
            </w:r>
          </w:p>
        </w:tc>
      </w:tr>
      <w:tr>
        <w:tblPrEx>
          <w:tblCellMar>
            <w:top w:w="0" w:type="dxa"/>
            <w:left w:w="0" w:type="dxa"/>
            <w:bottom w:w="0" w:type="dxa"/>
            <w:right w:w="0" w:type="dxa"/>
          </w:tblCellMar>
        </w:tblPrEx>
        <w:trPr>
          <w:trHeight w:val="422"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邮 编：</w:t>
            </w:r>
          </w:p>
        </w:tc>
        <w:tc>
          <w:tcPr>
            <w:tcW w:w="309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533900</w:t>
            </w: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邮 编：</w:t>
            </w:r>
          </w:p>
        </w:tc>
        <w:tc>
          <w:tcPr>
            <w:tcW w:w="331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533000</w:t>
            </w:r>
          </w:p>
        </w:tc>
      </w:tr>
      <w:tr>
        <w:tblPrEx>
          <w:tblCellMar>
            <w:top w:w="0" w:type="dxa"/>
            <w:left w:w="0" w:type="dxa"/>
            <w:bottom w:w="0" w:type="dxa"/>
            <w:right w:w="0" w:type="dxa"/>
          </w:tblCellMar>
        </w:tblPrEx>
        <w:trPr>
          <w:trHeight w:val="544"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联 系 人：</w:t>
            </w:r>
          </w:p>
        </w:tc>
        <w:tc>
          <w:tcPr>
            <w:tcW w:w="309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梁新伟</w:t>
            </w: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联 系 人：</w:t>
            </w:r>
          </w:p>
        </w:tc>
        <w:tc>
          <w:tcPr>
            <w:tcW w:w="331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黄姿华、黄兰舒</w:t>
            </w:r>
          </w:p>
        </w:tc>
      </w:tr>
      <w:tr>
        <w:tblPrEx>
          <w:tblCellMar>
            <w:top w:w="0" w:type="dxa"/>
            <w:left w:w="0" w:type="dxa"/>
            <w:bottom w:w="0" w:type="dxa"/>
            <w:right w:w="0" w:type="dxa"/>
          </w:tblCellMar>
        </w:tblPrEx>
        <w:trPr>
          <w:trHeight w:val="530"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话：</w:t>
            </w:r>
          </w:p>
        </w:tc>
        <w:tc>
          <w:tcPr>
            <w:tcW w:w="309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0776-6802820</w:t>
            </w: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话：</w:t>
            </w:r>
          </w:p>
        </w:tc>
        <w:tc>
          <w:tcPr>
            <w:tcW w:w="331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0776-2222035</w:t>
            </w:r>
          </w:p>
        </w:tc>
      </w:tr>
      <w:tr>
        <w:tblPrEx>
          <w:tblCellMar>
            <w:top w:w="0" w:type="dxa"/>
            <w:left w:w="0" w:type="dxa"/>
            <w:bottom w:w="0" w:type="dxa"/>
            <w:right w:w="0" w:type="dxa"/>
          </w:tblCellMar>
        </w:tblPrEx>
        <w:trPr>
          <w:trHeight w:val="422"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传 真：</w:t>
            </w:r>
          </w:p>
        </w:tc>
        <w:tc>
          <w:tcPr>
            <w:tcW w:w="3097"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传 真：</w:t>
            </w:r>
          </w:p>
        </w:tc>
        <w:tc>
          <w:tcPr>
            <w:tcW w:w="3315"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r>
      <w:tr>
        <w:tblPrEx>
          <w:tblCellMar>
            <w:top w:w="0" w:type="dxa"/>
            <w:left w:w="0" w:type="dxa"/>
            <w:bottom w:w="0" w:type="dxa"/>
            <w:right w:w="0" w:type="dxa"/>
          </w:tblCellMar>
        </w:tblPrEx>
        <w:trPr>
          <w:trHeight w:val="653"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子 邮 件：</w:t>
            </w:r>
          </w:p>
        </w:tc>
        <w:tc>
          <w:tcPr>
            <w:tcW w:w="3097"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电 子 邮 件：</w:t>
            </w:r>
          </w:p>
        </w:tc>
        <w:tc>
          <w:tcPr>
            <w:tcW w:w="3315"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r>
      <w:tr>
        <w:tblPrEx>
          <w:tblCellMar>
            <w:top w:w="0" w:type="dxa"/>
            <w:left w:w="0" w:type="dxa"/>
            <w:bottom w:w="0" w:type="dxa"/>
            <w:right w:w="0" w:type="dxa"/>
          </w:tblCellMar>
        </w:tblPrEx>
        <w:trPr>
          <w:trHeight w:val="313"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网 址：</w:t>
            </w:r>
          </w:p>
        </w:tc>
        <w:tc>
          <w:tcPr>
            <w:tcW w:w="3097"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8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left"/>
              <w:rPr>
                <w:rFonts w:hint="eastAsia" w:ascii="微软雅黑" w:hAnsi="微软雅黑" w:eastAsia="微软雅黑" w:cs="微软雅黑"/>
                <w:color w:val="333333"/>
                <w:sz w:val="19"/>
                <w:szCs w:val="19"/>
              </w:rPr>
            </w:pPr>
            <w:r>
              <w:rPr>
                <w:rFonts w:hint="eastAsia" w:ascii="微软雅黑" w:hAnsi="微软雅黑" w:eastAsia="微软雅黑" w:cs="微软雅黑"/>
                <w:color w:val="333333"/>
                <w:kern w:val="0"/>
                <w:sz w:val="19"/>
                <w:szCs w:val="19"/>
                <w:lang w:val="en-US" w:eastAsia="zh-CN" w:bidi="ar"/>
              </w:rPr>
              <w:t>网 址：</w:t>
            </w:r>
          </w:p>
        </w:tc>
        <w:tc>
          <w:tcPr>
            <w:tcW w:w="3315"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r>
      <w:tr>
        <w:tblPrEx>
          <w:tblCellMar>
            <w:top w:w="0" w:type="dxa"/>
            <w:left w:w="0" w:type="dxa"/>
            <w:bottom w:w="0" w:type="dxa"/>
            <w:right w:w="0" w:type="dxa"/>
          </w:tblCellMar>
        </w:tblPrEx>
        <w:trPr>
          <w:trHeight w:val="14" w:hRule="atLeast"/>
        </w:trPr>
        <w:tc>
          <w:tcPr>
            <w:tcW w:w="326"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1603"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3097" w:type="dxa"/>
            <w:tcBorders>
              <w:top w:val="nil"/>
              <w:left w:val="nil"/>
              <w:bottom w:val="nil"/>
              <w:right w:val="nil"/>
            </w:tcBorders>
            <w:noWrap w:val="0"/>
            <w:vAlign w:val="center"/>
          </w:tcPr>
          <w:p>
            <w:pPr>
              <w:jc w:val="left"/>
              <w:rPr>
                <w:rFonts w:hint="eastAsia" w:ascii="微软雅黑" w:hAnsi="微软雅黑" w:eastAsia="微软雅黑" w:cs="微软雅黑"/>
                <w:color w:val="333333"/>
                <w:sz w:val="19"/>
                <w:szCs w:val="19"/>
              </w:rPr>
            </w:pPr>
          </w:p>
        </w:tc>
        <w:tc>
          <w:tcPr>
            <w:tcW w:w="0" w:type="auto"/>
            <w:noWrap w:val="0"/>
            <w:vAlign w:val="center"/>
          </w:tcPr>
          <w:p>
            <w:pPr>
              <w:rPr>
                <w:rFonts w:hint="eastAsia" w:ascii="微软雅黑" w:hAnsi="微软雅黑" w:eastAsia="微软雅黑" w:cs="微软雅黑"/>
                <w:color w:val="333333"/>
                <w:sz w:val="19"/>
                <w:szCs w:val="19"/>
              </w:rPr>
            </w:pPr>
          </w:p>
        </w:tc>
        <w:tc>
          <w:tcPr>
            <w:tcW w:w="0" w:type="auto"/>
            <w:noWrap w:val="0"/>
            <w:vAlign w:val="center"/>
          </w:tcPr>
          <w:p>
            <w:pPr>
              <w:rPr>
                <w:rFonts w:hint="eastAsia" w:ascii="微软雅黑" w:hAnsi="微软雅黑" w:eastAsia="微软雅黑" w:cs="微软雅黑"/>
                <w:color w:val="333333"/>
                <w:sz w:val="19"/>
                <w:szCs w:val="19"/>
              </w:rPr>
            </w:pPr>
          </w:p>
        </w:tc>
      </w:tr>
    </w:tbl>
    <w:p/>
    <w:p/>
    <w:p/>
    <w:p/>
    <w:p>
      <w:pPr>
        <w:ind w:firstLine="480" w:firstLineChars="200"/>
        <w:rPr>
          <w:rFonts w:hint="eastAsia" w:ascii="宋体" w:hAnsi="宋体"/>
          <w:bCs/>
          <w:color w:val="000000"/>
          <w:sz w:val="24"/>
          <w:szCs w:val="24"/>
        </w:rPr>
      </w:pPr>
      <w:r>
        <w:rPr>
          <w:rFonts w:hint="eastAsia" w:ascii="宋体" w:hAnsi="宋体"/>
          <w:bCs/>
          <w:color w:val="000000"/>
          <w:sz w:val="24"/>
          <w:szCs w:val="24"/>
        </w:rPr>
        <w:t xml:space="preserve">                    </w:t>
      </w:r>
      <w:r>
        <w:rPr>
          <w:rFonts w:hint="eastAsia" w:ascii="宋体" w:hAnsi="宋体"/>
          <w:bCs/>
          <w:color w:val="000000"/>
          <w:sz w:val="24"/>
          <w:szCs w:val="24"/>
          <w:lang w:val="en-US" w:eastAsia="zh-CN"/>
        </w:rPr>
        <w:t xml:space="preserve">      </w:t>
      </w:r>
      <w:r>
        <w:rPr>
          <w:rFonts w:hint="eastAsia" w:ascii="宋体" w:hAnsi="宋体"/>
          <w:bCs/>
          <w:color w:val="000000"/>
          <w:sz w:val="24"/>
          <w:szCs w:val="24"/>
          <w:lang w:eastAsia="zh-CN"/>
        </w:rPr>
        <w:t>方大国际工程咨询股份有限公司</w:t>
      </w:r>
      <w:r>
        <w:rPr>
          <w:rFonts w:hint="eastAsia" w:ascii="宋体" w:hAnsi="宋体"/>
          <w:bCs/>
          <w:color w:val="000000"/>
          <w:sz w:val="24"/>
          <w:szCs w:val="24"/>
        </w:rPr>
        <w:t xml:space="preserve">         </w:t>
      </w:r>
    </w:p>
    <w:p>
      <w:pPr>
        <w:ind w:firstLine="1560" w:firstLineChars="650"/>
        <w:rPr>
          <w:rFonts w:hint="eastAsia" w:ascii="宋体" w:hAnsi="宋体"/>
          <w:bCs/>
          <w:color w:val="000000"/>
          <w:sz w:val="24"/>
          <w:szCs w:val="24"/>
        </w:rPr>
      </w:pPr>
      <w:r>
        <w:rPr>
          <w:rFonts w:hint="eastAsia" w:ascii="宋体" w:hAnsi="宋体"/>
          <w:bCs/>
          <w:color w:val="000000"/>
          <w:sz w:val="24"/>
          <w:szCs w:val="24"/>
        </w:rPr>
        <w:t xml:space="preserve">     </w:t>
      </w:r>
    </w:p>
    <w:p>
      <w:pPr>
        <w:ind w:firstLine="720" w:firstLineChars="300"/>
        <w:rPr>
          <w:rFonts w:hint="eastAsia" w:ascii="宋体" w:hAnsi="宋体"/>
          <w:bCs/>
          <w:color w:val="000000"/>
          <w:sz w:val="24"/>
          <w:szCs w:val="24"/>
        </w:rPr>
      </w:pPr>
      <w:r>
        <w:rPr>
          <w:rFonts w:hint="eastAsia" w:ascii="宋体" w:hAnsi="宋体"/>
          <w:bCs/>
          <w:color w:val="000000"/>
          <w:sz w:val="24"/>
          <w:szCs w:val="24"/>
        </w:rPr>
        <w:t xml:space="preserve">                                   20</w:t>
      </w:r>
      <w:r>
        <w:rPr>
          <w:rFonts w:hint="eastAsia" w:ascii="宋体" w:hAnsi="宋体"/>
          <w:bCs/>
          <w:color w:val="000000"/>
          <w:sz w:val="24"/>
          <w:szCs w:val="24"/>
          <w:lang w:val="en-US" w:eastAsia="zh-CN"/>
        </w:rPr>
        <w:t>20</w:t>
      </w:r>
      <w:r>
        <w:rPr>
          <w:rFonts w:hint="eastAsia" w:ascii="宋体" w:hAnsi="宋体"/>
          <w:bCs/>
          <w:color w:val="000000"/>
          <w:sz w:val="24"/>
          <w:szCs w:val="24"/>
        </w:rPr>
        <w:t>年</w:t>
      </w:r>
      <w:r>
        <w:rPr>
          <w:rFonts w:hint="eastAsia" w:ascii="宋体" w:hAnsi="宋体"/>
          <w:bCs/>
          <w:color w:val="000000"/>
          <w:sz w:val="24"/>
          <w:szCs w:val="24"/>
          <w:lang w:val="en-US" w:eastAsia="zh-CN"/>
        </w:rPr>
        <w:t>7</w:t>
      </w:r>
      <w:r>
        <w:rPr>
          <w:rFonts w:hint="eastAsia" w:ascii="宋体" w:hAnsi="宋体"/>
          <w:bCs/>
          <w:color w:val="000000"/>
          <w:sz w:val="24"/>
          <w:szCs w:val="24"/>
        </w:rPr>
        <w:t xml:space="preserve"> 月 </w:t>
      </w:r>
      <w:r>
        <w:rPr>
          <w:rFonts w:hint="eastAsia" w:ascii="宋体" w:hAnsi="宋体"/>
          <w:bCs/>
          <w:color w:val="000000"/>
          <w:sz w:val="24"/>
          <w:szCs w:val="24"/>
          <w:lang w:val="en-US" w:eastAsia="zh-CN"/>
        </w:rPr>
        <w:t>7</w:t>
      </w:r>
      <w:r>
        <w:rPr>
          <w:rFonts w:hint="eastAsia" w:ascii="宋体" w:hAnsi="宋体"/>
          <w:bCs/>
          <w:color w:val="000000"/>
          <w:sz w:val="24"/>
          <w:szCs w:val="24"/>
        </w:rPr>
        <w:t xml:space="preserve"> 日</w:t>
      </w:r>
    </w:p>
    <w:p>
      <w:pPr>
        <w:ind w:firstLine="1560" w:firstLineChars="650"/>
        <w:rPr>
          <w:rFonts w:hint="eastAsia" w:ascii="宋体" w:hAnsi="宋体"/>
          <w:bCs/>
          <w:color w:val="000000"/>
          <w:sz w:val="24"/>
          <w:szCs w:val="24"/>
        </w:rPr>
      </w:pPr>
      <w:r>
        <w:rPr>
          <w:rFonts w:hint="eastAsia" w:ascii="宋体" w:hAnsi="宋体"/>
          <w:bCs/>
          <w:color w:val="000000"/>
          <w:sz w:val="24"/>
          <w:szCs w:val="24"/>
        </w:rPr>
        <w:t xml:space="preserve">                            </w:t>
      </w:r>
    </w:p>
    <w:p>
      <w:pPr>
        <w:ind w:firstLine="1560" w:firstLineChars="650"/>
        <w:rPr>
          <w:rFonts w:ascii="宋体" w:hAnsi="宋体"/>
          <w:color w:val="000000"/>
          <w:sz w:val="24"/>
          <w:szCs w:val="24"/>
        </w:rPr>
      </w:pPr>
      <w:r>
        <w:rPr>
          <w:rFonts w:hint="eastAsia" w:ascii="宋体" w:hAnsi="宋体"/>
          <w:bCs/>
          <w:color w:val="000000"/>
          <w:sz w:val="24"/>
          <w:szCs w:val="24"/>
        </w:rPr>
        <w:t xml:space="preserve">                                                                            </w:t>
      </w:r>
      <w:r>
        <w:rPr>
          <w:rFonts w:hint="eastAsia" w:ascii="宋体" w:hAnsi="宋体"/>
          <w:color w:val="000000"/>
          <w:sz w:val="24"/>
          <w:szCs w:val="24"/>
        </w:rPr>
        <w:t xml:space="preserve">                                                                                                                                    </w:t>
      </w:r>
    </w:p>
    <w:p>
      <w:bookmarkStart w:id="0" w:name="_GoBack"/>
      <w:bookmarkEnd w:id="0"/>
    </w:p>
    <w:sectPr>
      <w:footerReference r:id="rId3" w:type="default"/>
      <w:pgSz w:w="11906" w:h="16838"/>
      <w:pgMar w:top="1417" w:right="1020" w:bottom="1134"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4409"/>
    <w:rsid w:val="10751405"/>
    <w:rsid w:val="75930A7C"/>
    <w:rsid w:val="7CDB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99"/>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2020-07-01T08:43:00Z</dcterms:created>
  <dc:creator>Mia。</dc:creator>
  <cp:lastModifiedBy>Mia。</cp:lastModifiedBy>
  <cp:lastPrinted>2020-07-01T08:48:00Z</cp:lastPrinted>
  <dcterms:modified xsi:type="dcterms:W3CDTF">2020-07-07T01:45:47Z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