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272" w:type="dxa"/>
        <w:shd w:val="clear" w:color="auto" w:fill="auto"/>
        <w:tblLayout w:type="autofit"/>
        <w:tblCellMar>
          <w:top w:w="0" w:type="dxa"/>
          <w:left w:w="0" w:type="dxa"/>
          <w:bottom w:w="0" w:type="dxa"/>
          <w:right w:w="0" w:type="dxa"/>
        </w:tblCellMar>
      </w:tblPr>
      <w:tblGrid>
        <w:gridCol w:w="316"/>
        <w:gridCol w:w="1557"/>
        <w:gridCol w:w="3007"/>
        <w:gridCol w:w="1768"/>
        <w:gridCol w:w="3218"/>
      </w:tblGrid>
      <w:tr>
        <w:tblPrEx>
          <w:tblCellMar>
            <w:top w:w="0" w:type="dxa"/>
            <w:left w:w="0" w:type="dxa"/>
            <w:bottom w:w="0" w:type="dxa"/>
            <w:right w:w="0" w:type="dxa"/>
          </w:tblCellMar>
        </w:tblPrEx>
        <w:trPr>
          <w:trHeight w:val="3533" w:hRule="atLeast"/>
        </w:trPr>
        <w:tc>
          <w:tcPr>
            <w:tcW w:w="5000" w:type="pct"/>
            <w:gridSpan w:val="5"/>
            <w:shd w:val="clear" w:color="auto" w:fill="auto"/>
            <w:vAlign w:val="center"/>
          </w:tcPr>
          <w:p>
            <w:pPr>
              <w:pStyle w:val="2"/>
              <w:keepNext w:val="0"/>
              <w:keepLines w:val="0"/>
              <w:widowControl/>
              <w:suppressLineNumbers w:val="0"/>
              <w:wordWrap w:val="0"/>
              <w:spacing w:before="0" w:beforeAutospacing="0" w:after="0" w:afterAutospacing="0" w:line="525" w:lineRule="atLeast"/>
              <w:ind w:left="0" w:right="0"/>
              <w:jc w:val="center"/>
            </w:pPr>
            <w:r>
              <w:rPr>
                <w:rFonts w:ascii="微软雅黑" w:hAnsi="微软雅黑" w:eastAsia="微软雅黑" w:cs="微软雅黑"/>
                <w:b/>
                <w:color w:val="333333"/>
                <w:sz w:val="32"/>
                <w:szCs w:val="32"/>
              </w:rPr>
              <w:t>百都等四所乡镇卫生院职工周转房建设施工招标公告</w:t>
            </w:r>
          </w:p>
          <w:p>
            <w:pPr>
              <w:pStyle w:val="2"/>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1、招标条件</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本招标项目</w:t>
            </w:r>
            <w:r>
              <w:rPr>
                <w:rFonts w:hint="eastAsia" w:ascii="微软雅黑" w:hAnsi="微软雅黑" w:eastAsia="微软雅黑" w:cs="微软雅黑"/>
                <w:b/>
                <w:color w:val="333333"/>
                <w:sz w:val="19"/>
                <w:szCs w:val="19"/>
              </w:rPr>
              <w:t>百都等四所乡镇卫生院职工周转房建设</w:t>
            </w:r>
            <w:r>
              <w:rPr>
                <w:rFonts w:hint="eastAsia" w:ascii="微软雅黑" w:hAnsi="微软雅黑" w:eastAsia="微软雅黑" w:cs="微软雅黑"/>
                <w:color w:val="333333"/>
                <w:sz w:val="19"/>
                <w:szCs w:val="19"/>
              </w:rPr>
              <w:t>已由</w:t>
            </w:r>
            <w:r>
              <w:rPr>
                <w:rFonts w:hint="eastAsia" w:ascii="微软雅黑" w:hAnsi="微软雅黑" w:eastAsia="微软雅黑" w:cs="微软雅黑"/>
                <w:b/>
                <w:color w:val="333333"/>
                <w:sz w:val="19"/>
                <w:szCs w:val="19"/>
              </w:rPr>
              <w:t>那坡县发展和改革局</w:t>
            </w:r>
            <w:r>
              <w:rPr>
                <w:rFonts w:hint="eastAsia" w:ascii="微软雅黑" w:hAnsi="微软雅黑" w:eastAsia="微软雅黑" w:cs="微软雅黑"/>
                <w:color w:val="333333"/>
                <w:sz w:val="19"/>
                <w:szCs w:val="19"/>
              </w:rPr>
              <w:t xml:space="preserve">以 </w:t>
            </w:r>
            <w:r>
              <w:rPr>
                <w:rFonts w:hint="eastAsia" w:ascii="微软雅黑" w:hAnsi="微软雅黑" w:eastAsia="微软雅黑" w:cs="微软雅黑"/>
                <w:b/>
                <w:color w:val="333333"/>
                <w:sz w:val="19"/>
                <w:szCs w:val="19"/>
              </w:rPr>
              <w:t>关于那坡县乡镇卫生院职工周转房项目可行性研究报告的批复(那发改【2017】310号)</w:t>
            </w:r>
            <w:r>
              <w:rPr>
                <w:rFonts w:hint="eastAsia" w:ascii="微软雅黑" w:hAnsi="微软雅黑" w:eastAsia="微软雅黑" w:cs="微软雅黑"/>
                <w:color w:val="333333"/>
                <w:sz w:val="19"/>
                <w:szCs w:val="19"/>
              </w:rPr>
              <w:t>批准建设，招标人（项目业主）为</w:t>
            </w:r>
            <w:r>
              <w:rPr>
                <w:rFonts w:hint="eastAsia" w:ascii="微软雅黑" w:hAnsi="微软雅黑" w:eastAsia="微软雅黑" w:cs="微软雅黑"/>
                <w:b/>
                <w:color w:val="333333"/>
                <w:sz w:val="19"/>
                <w:szCs w:val="19"/>
              </w:rPr>
              <w:t>那坡县卫生健康局</w:t>
            </w:r>
            <w:r>
              <w:rPr>
                <w:rFonts w:hint="eastAsia" w:ascii="微软雅黑" w:hAnsi="微软雅黑" w:eastAsia="微软雅黑" w:cs="微软雅黑"/>
                <w:color w:val="333333"/>
                <w:sz w:val="19"/>
                <w:szCs w:val="19"/>
              </w:rPr>
              <w:t>，建设资金来自财政项目出资比例为</w:t>
            </w:r>
            <w:r>
              <w:rPr>
                <w:rFonts w:hint="eastAsia" w:ascii="微软雅黑" w:hAnsi="微软雅黑" w:eastAsia="微软雅黑" w:cs="微软雅黑"/>
                <w:b/>
                <w:color w:val="333333"/>
                <w:sz w:val="19"/>
                <w:szCs w:val="19"/>
              </w:rPr>
              <w:t>100.00%</w:t>
            </w:r>
            <w:r>
              <w:rPr>
                <w:rFonts w:hint="eastAsia" w:ascii="微软雅黑" w:hAnsi="微软雅黑" w:eastAsia="微软雅黑" w:cs="微软雅黑"/>
                <w:color w:val="333333"/>
                <w:sz w:val="19"/>
                <w:szCs w:val="19"/>
              </w:rPr>
              <w:t xml:space="preserve">。项目已具备招标条件，现对该项目的施工进行公开招标。 </w:t>
            </w:r>
          </w:p>
          <w:p>
            <w:pPr>
              <w:pStyle w:val="2"/>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2、项目概况与招标范围</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项目招标编号：</w:t>
            </w:r>
            <w:r>
              <w:rPr>
                <w:rFonts w:hint="eastAsia" w:ascii="微软雅黑" w:hAnsi="微软雅黑" w:eastAsia="微软雅黑" w:cs="微软雅黑"/>
                <w:b/>
                <w:color w:val="333333"/>
                <w:sz w:val="19"/>
                <w:szCs w:val="19"/>
              </w:rPr>
              <w:t>BSZC2020-G2-260006-FDZX</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报建号：</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建设地点：</w:t>
            </w:r>
            <w:r>
              <w:rPr>
                <w:rFonts w:hint="eastAsia" w:ascii="微软雅黑" w:hAnsi="微软雅黑" w:eastAsia="微软雅黑" w:cs="微软雅黑"/>
                <w:b/>
                <w:color w:val="333333"/>
                <w:sz w:val="19"/>
                <w:szCs w:val="19"/>
              </w:rPr>
              <w:t>那坡县坡荷乡、百都乡、龙合乡辖区内</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建设规模：</w:t>
            </w:r>
            <w:r>
              <w:rPr>
                <w:rFonts w:hint="eastAsia" w:ascii="微软雅黑" w:hAnsi="微软雅黑" w:eastAsia="微软雅黑" w:cs="微软雅黑"/>
                <w:b/>
                <w:color w:val="333333"/>
                <w:sz w:val="19"/>
                <w:szCs w:val="19"/>
              </w:rPr>
              <w:t>那坡县龙合镇定业卫生院职工周转房，建筑面积：1154.55㎡，建筑层数：5层，一层~五层每层层高：3m，顶层层高：2.7m；建筑高度：15.15m。建筑结构形式 框架 结构。那坡县龙合镇中心卫生院职工周转房，建筑面积：1171.25㎡，建筑层数：5层，一层~五层每层层高：3m，顶层层高：2.7m；建筑高度：15.15m。建筑结构形式 框架 结构。那坡县坡荷乡卫生院职工周转房，总建筑面积：1100.32㎡；建筑占地面积：186.16㎡；建筑层数：6层，一层~六层每层层高：3m，顶层高度2.7m，总建筑高度：18.15m。那坡县百都乡卫生院职工周转宿舍，建筑面积：1829.94㎡，其中地上建筑面积：1829.94㎡，地下建筑面积：0.00㎡。建筑基底面积：384.42㎡。建筑层数：地上 6层，地下 0 层，建筑高度：18.80m。建筑结构形式 框架 结构。</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合同估算价：</w:t>
            </w:r>
            <w:r>
              <w:rPr>
                <w:rFonts w:hint="eastAsia" w:ascii="微软雅黑" w:hAnsi="微软雅黑" w:eastAsia="微软雅黑" w:cs="微软雅黑"/>
                <w:b/>
                <w:color w:val="333333"/>
                <w:sz w:val="19"/>
                <w:szCs w:val="19"/>
                <w:lang w:val="en-US" w:eastAsia="zh-CN"/>
              </w:rPr>
              <w:t>1126.25</w:t>
            </w:r>
            <w:r>
              <w:rPr>
                <w:rFonts w:hint="eastAsia" w:ascii="微软雅黑" w:hAnsi="微软雅黑" w:eastAsia="微软雅黑" w:cs="微软雅黑"/>
                <w:color w:val="333333"/>
                <w:sz w:val="19"/>
                <w:szCs w:val="19"/>
              </w:rPr>
              <w:t>万元</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要求工期：</w:t>
            </w:r>
            <w:r>
              <w:rPr>
                <w:rFonts w:hint="eastAsia" w:ascii="微软雅黑" w:hAnsi="微软雅黑" w:eastAsia="微软雅黑" w:cs="微软雅黑"/>
                <w:b/>
                <w:color w:val="333333"/>
                <w:sz w:val="19"/>
                <w:szCs w:val="19"/>
              </w:rPr>
              <w:t>210</w:t>
            </w:r>
            <w:r>
              <w:rPr>
                <w:rFonts w:hint="eastAsia" w:ascii="微软雅黑" w:hAnsi="微软雅黑" w:eastAsia="微软雅黑" w:cs="微软雅黑"/>
                <w:color w:val="333333"/>
                <w:sz w:val="19"/>
                <w:szCs w:val="19"/>
              </w:rPr>
              <w:t>日历天，定额工期</w:t>
            </w:r>
            <w:r>
              <w:rPr>
                <w:rFonts w:hint="eastAsia" w:ascii="微软雅黑" w:hAnsi="微软雅黑" w:eastAsia="微软雅黑" w:cs="微软雅黑"/>
                <w:b/>
                <w:color w:val="333333"/>
                <w:sz w:val="19"/>
                <w:szCs w:val="19"/>
              </w:rPr>
              <w:t>210</w:t>
            </w:r>
            <w:r>
              <w:rPr>
                <w:rFonts w:hint="eastAsia" w:ascii="微软雅黑" w:hAnsi="微软雅黑" w:eastAsia="微软雅黑" w:cs="微软雅黑"/>
                <w:color w:val="333333"/>
                <w:sz w:val="19"/>
                <w:szCs w:val="19"/>
              </w:rPr>
              <w:t>日历天【备注：建筑安装工程定额工期应按《建筑安装工程工期定额（TY01-89-2016）》确定，工期压缩时，宜组织专家论证，且在招标工程量清单中增设提前竣工（赶工补偿）费项目清单。】</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招标范围：百都等四所乡镇卫生院职工周转房建设</w:t>
            </w:r>
            <w:r>
              <w:rPr>
                <w:rFonts w:hint="eastAsia" w:ascii="微软雅黑" w:hAnsi="微软雅黑" w:eastAsia="微软雅黑" w:cs="微软雅黑"/>
                <w:b/>
                <w:color w:val="333333"/>
                <w:sz w:val="19"/>
                <w:szCs w:val="19"/>
              </w:rPr>
              <w:t>（具体以施工图纸和工程量清单范围为准）</w:t>
            </w:r>
          </w:p>
          <w:p>
            <w:pPr>
              <w:pStyle w:val="2"/>
              <w:keepNext w:val="0"/>
              <w:keepLines w:val="0"/>
              <w:widowControl/>
              <w:suppressLineNumbers w:val="0"/>
              <w:wordWrap w:val="0"/>
              <w:spacing w:before="0" w:beforeAutospacing="0" w:after="0" w:afterAutospacing="0" w:line="420" w:lineRule="atLeast"/>
              <w:ind w:left="0" w:right="0"/>
              <w:jc w:val="both"/>
              <w:rPr>
                <w:rFonts w:hint="eastAsia" w:eastAsia="微软雅黑"/>
                <w:lang w:val="en-US" w:eastAsia="zh-CN"/>
              </w:rPr>
            </w:pPr>
            <w:r>
              <w:rPr>
                <w:rFonts w:hint="eastAsia" w:ascii="微软雅黑" w:hAnsi="微软雅黑" w:eastAsia="微软雅黑" w:cs="微软雅黑"/>
                <w:color w:val="333333"/>
                <w:sz w:val="19"/>
                <w:szCs w:val="19"/>
              </w:rPr>
              <w:t>    标段划分：</w:t>
            </w:r>
            <w:r>
              <w:rPr>
                <w:rFonts w:hint="eastAsia" w:ascii="微软雅黑" w:hAnsi="微软雅黑" w:eastAsia="微软雅黑" w:cs="微软雅黑"/>
                <w:color w:val="333333"/>
                <w:sz w:val="19"/>
                <w:szCs w:val="19"/>
                <w:lang w:val="en-US" w:eastAsia="zh-CN"/>
              </w:rPr>
              <w:t>分4个标段：1标段：</w:t>
            </w:r>
            <w:r>
              <w:rPr>
                <w:rFonts w:hint="eastAsia" w:ascii="微软雅黑" w:hAnsi="微软雅黑" w:eastAsia="微软雅黑" w:cs="微软雅黑"/>
                <w:b/>
                <w:color w:val="333333"/>
                <w:sz w:val="19"/>
                <w:szCs w:val="19"/>
              </w:rPr>
              <w:t>那坡县龙合镇定业卫生院职工周转房</w:t>
            </w:r>
            <w:r>
              <w:rPr>
                <w:rFonts w:hint="eastAsia" w:ascii="微软雅黑" w:hAnsi="微软雅黑" w:eastAsia="微软雅黑" w:cs="微软雅黑"/>
                <w:b/>
                <w:color w:val="333333"/>
                <w:sz w:val="19"/>
                <w:szCs w:val="19"/>
                <w:lang w:eastAsia="zh-CN"/>
              </w:rPr>
              <w:t>；</w:t>
            </w:r>
            <w:r>
              <w:rPr>
                <w:rFonts w:hint="eastAsia" w:ascii="微软雅黑" w:hAnsi="微软雅黑" w:eastAsia="微软雅黑" w:cs="微软雅黑"/>
                <w:b/>
                <w:color w:val="333333"/>
                <w:sz w:val="19"/>
                <w:szCs w:val="19"/>
                <w:lang w:val="en-US" w:eastAsia="zh-CN"/>
              </w:rPr>
              <w:t>2标段：</w:t>
            </w:r>
            <w:r>
              <w:rPr>
                <w:rFonts w:hint="eastAsia" w:ascii="微软雅黑" w:hAnsi="微软雅黑" w:eastAsia="微软雅黑" w:cs="微软雅黑"/>
                <w:b/>
                <w:color w:val="333333"/>
                <w:sz w:val="19"/>
                <w:szCs w:val="19"/>
              </w:rPr>
              <w:t>那坡县龙合镇中心卫生院职工周转房</w:t>
            </w:r>
            <w:r>
              <w:rPr>
                <w:rFonts w:hint="eastAsia" w:ascii="微软雅黑" w:hAnsi="微软雅黑" w:eastAsia="微软雅黑" w:cs="微软雅黑"/>
                <w:b/>
                <w:color w:val="333333"/>
                <w:sz w:val="19"/>
                <w:szCs w:val="19"/>
                <w:lang w:eastAsia="zh-CN"/>
              </w:rPr>
              <w:t>；</w:t>
            </w:r>
            <w:r>
              <w:rPr>
                <w:rFonts w:hint="eastAsia" w:ascii="微软雅黑" w:hAnsi="微软雅黑" w:eastAsia="微软雅黑" w:cs="微软雅黑"/>
                <w:b/>
                <w:color w:val="333333"/>
                <w:sz w:val="19"/>
                <w:szCs w:val="19"/>
                <w:lang w:val="en-US" w:eastAsia="zh-CN"/>
              </w:rPr>
              <w:t>3标段：</w:t>
            </w:r>
            <w:r>
              <w:rPr>
                <w:rFonts w:hint="eastAsia" w:ascii="微软雅黑" w:hAnsi="微软雅黑" w:eastAsia="微软雅黑" w:cs="微软雅黑"/>
                <w:b/>
                <w:color w:val="333333"/>
                <w:sz w:val="19"/>
                <w:szCs w:val="19"/>
              </w:rPr>
              <w:t>那坡县坡荷乡卫生院职工周转房</w:t>
            </w:r>
            <w:r>
              <w:rPr>
                <w:rFonts w:hint="eastAsia" w:ascii="微软雅黑" w:hAnsi="微软雅黑" w:eastAsia="微软雅黑" w:cs="微软雅黑"/>
                <w:b/>
                <w:color w:val="333333"/>
                <w:sz w:val="19"/>
                <w:szCs w:val="19"/>
                <w:lang w:eastAsia="zh-CN"/>
              </w:rPr>
              <w:t>；</w:t>
            </w:r>
            <w:r>
              <w:rPr>
                <w:rFonts w:hint="eastAsia" w:ascii="微软雅黑" w:hAnsi="微软雅黑" w:eastAsia="微软雅黑" w:cs="微软雅黑"/>
                <w:b/>
                <w:color w:val="333333"/>
                <w:sz w:val="19"/>
                <w:szCs w:val="19"/>
                <w:lang w:val="en-US" w:eastAsia="zh-CN"/>
              </w:rPr>
              <w:t xml:space="preserve"> 4标段：</w:t>
            </w:r>
            <w:r>
              <w:rPr>
                <w:rFonts w:hint="eastAsia" w:ascii="微软雅黑" w:hAnsi="微软雅黑" w:eastAsia="微软雅黑" w:cs="微软雅黑"/>
                <w:b/>
                <w:color w:val="333333"/>
                <w:sz w:val="19"/>
                <w:szCs w:val="19"/>
              </w:rPr>
              <w:t>那坡县百都乡卫生院职工周转宿舍</w:t>
            </w:r>
            <w:r>
              <w:rPr>
                <w:rFonts w:hint="eastAsia" w:ascii="微软雅黑" w:hAnsi="微软雅黑" w:eastAsia="微软雅黑" w:cs="微软雅黑"/>
                <w:b/>
                <w:color w:val="333333"/>
                <w:sz w:val="19"/>
                <w:szCs w:val="19"/>
                <w:lang w:eastAsia="zh-CN"/>
              </w:rPr>
              <w:t>。</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设计单位：</w:t>
            </w:r>
            <w:r>
              <w:rPr>
                <w:rFonts w:hint="eastAsia" w:ascii="微软雅黑" w:hAnsi="微软雅黑" w:eastAsia="微软雅黑" w:cs="微软雅黑"/>
                <w:b/>
                <w:color w:val="333333"/>
                <w:sz w:val="19"/>
                <w:szCs w:val="19"/>
              </w:rPr>
              <w:t>广西纵横勘察测绘设计有限公司</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勘察单位：</w:t>
            </w:r>
            <w:r>
              <w:rPr>
                <w:rFonts w:hint="eastAsia" w:ascii="微软雅黑" w:hAnsi="微软雅黑" w:eastAsia="微软雅黑" w:cs="微软雅黑"/>
                <w:b/>
                <w:color w:val="333333"/>
                <w:sz w:val="19"/>
                <w:szCs w:val="19"/>
              </w:rPr>
              <w:t>广西永元岩土工程有限公司</w:t>
            </w:r>
          </w:p>
          <w:p>
            <w:pPr>
              <w:pStyle w:val="2"/>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3、投标人资格要求</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3.1本次招标要求投标人须已办理诚信库入库手续并处于有效状态，具备</w:t>
            </w:r>
            <w:r>
              <w:rPr>
                <w:rFonts w:hint="eastAsia" w:ascii="微软雅黑" w:hAnsi="微软雅黑" w:eastAsia="微软雅黑" w:cs="微软雅黑"/>
                <w:b/>
                <w:color w:val="333333"/>
                <w:sz w:val="19"/>
                <w:szCs w:val="19"/>
              </w:rPr>
              <w:t>[建筑工程施工总承包三级](含)以上</w:t>
            </w:r>
            <w:r>
              <w:rPr>
                <w:rFonts w:hint="eastAsia" w:ascii="微软雅黑" w:hAnsi="微软雅黑" w:eastAsia="微软雅黑" w:cs="微软雅黑"/>
                <w:color w:val="333333"/>
                <w:sz w:val="19"/>
                <w:szCs w:val="19"/>
              </w:rPr>
              <w:t>资质【备注：招标人应当根据国家法律法规对企业资质等级许可的相关规定以及招标项目特点，合理设置企业资质等级，不得提高资质等级要求；资质设置为施工总承包已可满足项目建设要求的，不得额外同时设置专业承包资质】，并在人员、设备、资金等方面具备相应的施工能力。其中，投标人拟派项目经理须具备</w:t>
            </w:r>
            <w:r>
              <w:rPr>
                <w:rFonts w:hint="eastAsia" w:ascii="微软雅黑" w:hAnsi="微软雅黑" w:eastAsia="微软雅黑" w:cs="微软雅黑"/>
                <w:b/>
                <w:color w:val="333333"/>
                <w:sz w:val="19"/>
                <w:szCs w:val="19"/>
              </w:rPr>
              <w:t>[建筑工程二级](含)以上</w:t>
            </w:r>
            <w:r>
              <w:rPr>
                <w:rFonts w:hint="eastAsia" w:ascii="微软雅黑" w:hAnsi="微软雅黑" w:eastAsia="微软雅黑" w:cs="微软雅黑"/>
                <w:color w:val="333333"/>
                <w:sz w:val="19"/>
                <w:szCs w:val="19"/>
              </w:rPr>
              <w:t>专业注册建造师执业资格【备注：招标人应当根据项目规模，按照注册建造师执业工程规模标准，合理设置注册建造师等级，不应提高资格要求】，已录入广西建筑业企业诚信信息库并处于有效状态，具备有效的安全生产考核合格证书（B类）。本项目不接受有在建、已中标未开工或已列为其他项目中标候选人第一名的建造师作为项目经理（符合《广西壮族自治区建筑市场诚信卡管理暂行办法》第十六条第一款除外）。</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3.2业绩要求：无要求</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3.3本次招标不接受联合体投标。</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3.4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3.5投标人信息以广西建筑业企业诚信信息库为准【备注：广西建筑业企业诚信信息库仅包括与房建市政工程有关的施工、监理、检测、招标代理、园林绿化等类型的企业、人员、项目及诚信信息。其他非房建市政类工程项目的招标文件要求投标人信息以诚信库信息为准的，投标人应依法向招标人提出异议。以下所有“</w:t>
            </w:r>
            <w:r>
              <w:rPr>
                <w:rFonts w:hint="eastAsia" w:ascii="微软雅黑" w:hAnsi="微软雅黑" w:eastAsia="微软雅黑" w:cs="微软雅黑"/>
                <w:b/>
                <w:color w:val="333333"/>
                <w:sz w:val="19"/>
                <w:szCs w:val="19"/>
              </w:rPr>
              <w:t>投标人信息以广西建筑业企业诚信信息库为准</w:t>
            </w:r>
            <w:r>
              <w:rPr>
                <w:rFonts w:hint="eastAsia" w:ascii="微软雅黑" w:hAnsi="微软雅黑" w:eastAsia="微软雅黑" w:cs="微软雅黑"/>
                <w:color w:val="333333"/>
                <w:sz w:val="19"/>
                <w:szCs w:val="19"/>
              </w:rPr>
              <w:t>”的表述，均同此备注】。</w:t>
            </w:r>
          </w:p>
          <w:p>
            <w:pPr>
              <w:pStyle w:val="2"/>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4、投标报名</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网上投标。凡有意参加投标者，请于2020年06月29日18时00分前，由潜在投标人的专职投标员凭本人在“广西建筑市场网站备案”身份证号及密码或企业CA锁登陆百色市公共资源招投标网上交易系统（http://www.bsggzy.org.cn/gxbshy）进行网上投标。</w:t>
            </w:r>
          </w:p>
          <w:p>
            <w:pPr>
              <w:pStyle w:val="2"/>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5、招标文件的领取</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5.1凡通过网上投标者，请于2020年06月</w:t>
            </w:r>
            <w:r>
              <w:rPr>
                <w:rFonts w:hint="eastAsia" w:ascii="微软雅黑" w:hAnsi="微软雅黑" w:eastAsia="微软雅黑" w:cs="微软雅黑"/>
                <w:color w:val="333333"/>
                <w:sz w:val="19"/>
                <w:szCs w:val="19"/>
                <w:lang w:val="en-US" w:eastAsia="zh-CN"/>
              </w:rPr>
              <w:t>22</w:t>
            </w:r>
            <w:r>
              <w:rPr>
                <w:rFonts w:hint="eastAsia" w:ascii="微软雅黑" w:hAnsi="微软雅黑" w:eastAsia="微软雅黑" w:cs="微软雅黑"/>
                <w:color w:val="333333"/>
                <w:sz w:val="19"/>
                <w:szCs w:val="19"/>
              </w:rPr>
              <w:t>日至2020年06月29日，由潜在投标人的专职投标员凭本人的“广西建筑市场诚信卡”卡号及密码或企业CA锁登陆百色市公共资源招投标网上交易系统（http://www.bsggzy.org.cn/gxbshy）下载招标文件。</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w:t>
            </w:r>
          </w:p>
          <w:p>
            <w:pPr>
              <w:pStyle w:val="2"/>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6、投标文件的递交</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6.1投标文件应通过百色市公共资源招投标网上交易系统（http://www.bsggzy.org.cn/gxbshy）递交，截止时间（投标截止时间，下同）为2020年07月14日9时30分。未加密的电子投标文件光盘提交地点为百色市公共资源交易中心(当地交易中心）。</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6.2投标人须在投标截止前将加密的投标文件通过百色市公共资源招投标网上交易系统（http://www.bsggzy.org.cn/gxbshy）成功上传，并将与成功上传的投标文件同一时间生成的未加密投标文件电子文本刻录光盘包装密封后，于投标截止前由企业法定代表人或其授权的专职投标员提交到百色市公共资源交易中心，并持专职投标员本人身份证原件（如为法定代表人递交时可持本人身份证原件及本企业任一专职投标员的身份证复印件）、拟投入的项目经理和所有专职安全员的身份证复印件通过广西电子招标投标系统验证，否则投标无效。投标人拟投入项目经理被标注为注册状态异常的，拟投入的项目经理本人须持本人身份证原件出席开标会现场，否则招标人有权拒绝该投标人投标。</w:t>
            </w:r>
          </w:p>
          <w:p>
            <w:pPr>
              <w:pStyle w:val="2"/>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7、评标方式</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w:t>
            </w:r>
            <w:r>
              <w:rPr>
                <w:rFonts w:hint="eastAsia" w:ascii="微软雅黑" w:hAnsi="微软雅黑" w:eastAsia="微软雅黑" w:cs="微软雅黑"/>
                <w:b/>
                <w:color w:val="333333"/>
                <w:sz w:val="19"/>
                <w:szCs w:val="19"/>
              </w:rPr>
              <w:t>综合评估法</w:t>
            </w:r>
          </w:p>
          <w:p>
            <w:pPr>
              <w:pStyle w:val="2"/>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8、预付款和进度款支付方式</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xml:space="preserve">    详见招标文件合同条款。如为防控期间，投标人须按照《百色市公共资源交易中心疫情防控期间进场交易项目服务指南》要求入场，投标人在递交投标文件时需附上“投标人承诺书”，疫情区过来人员须出具当地检疫部门的健康证明，如投标人未按要求提供以上材料或者拒绝配合检查无法按时到达开标现场的，视为无效投标。 </w:t>
            </w:r>
          </w:p>
          <w:p>
            <w:pPr>
              <w:pStyle w:val="2"/>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9、发布公告的媒介</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w:t>
            </w:r>
            <w:r>
              <w:rPr>
                <w:rFonts w:hint="eastAsia" w:ascii="微软雅黑" w:hAnsi="微软雅黑" w:eastAsia="微软雅黑" w:cs="微软雅黑"/>
                <w:b/>
                <w:color w:val="333333"/>
                <w:sz w:val="19"/>
                <w:szCs w:val="19"/>
              </w:rPr>
              <w:t>本次招标公告同时在中国政府采购网（www.ccgp.gov.cn）、广西壮族自治区政府采购网（zfcg.gxzf.gov.cn）、广西壮族自治区招标投标公共服务平台（ztb.gxi.gov.cn）、广西百色市住房和城乡建设局网站（http://zjj.baise.gov.cn/）、百色市公共资源交易平台（http://www.bsggzy.org.cn/gxbszbw/）（公告发布媒体包含但不限于上述媒体）发布。</w:t>
            </w:r>
          </w:p>
          <w:p>
            <w:pPr>
              <w:pStyle w:val="2"/>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10、交易服务单位</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w:t>
            </w:r>
            <w:r>
              <w:rPr>
                <w:rFonts w:hint="eastAsia" w:ascii="微软雅黑" w:hAnsi="微软雅黑" w:eastAsia="微软雅黑" w:cs="微软雅黑"/>
                <w:b/>
                <w:color w:val="333333"/>
                <w:sz w:val="19"/>
                <w:szCs w:val="19"/>
              </w:rPr>
              <w:t>百色市公共资源交易中心</w:t>
            </w:r>
          </w:p>
          <w:p>
            <w:pPr>
              <w:pStyle w:val="2"/>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11、监督部门及电话</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w:t>
            </w:r>
            <w:r>
              <w:rPr>
                <w:rFonts w:hint="eastAsia" w:ascii="微软雅黑" w:hAnsi="微软雅黑" w:eastAsia="微软雅黑" w:cs="微软雅黑"/>
                <w:b/>
                <w:color w:val="333333"/>
                <w:sz w:val="19"/>
                <w:szCs w:val="19"/>
              </w:rPr>
              <w:t>那坡县政府采购管理办公室 联系电话：0776-6802337、那坡县建筑业管理站 联系电话：0776-6805558</w:t>
            </w:r>
          </w:p>
          <w:p>
            <w:pPr>
              <w:pStyle w:val="2"/>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12、注意事项</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12.1潜在投标人必须录入广西建筑业企业诚信信息库管理系统，广西建筑业企业诚信信息库管理系统登陆地址：http://ztb.gxzjt.gov.cn:1121/zjthy/ 。由于广西建筑业企业诚信信息库与自治区招标投标系统的相关</w:t>
            </w:r>
            <w:bookmarkStart w:id="0" w:name="_GoBack"/>
            <w:bookmarkEnd w:id="0"/>
            <w:r>
              <w:rPr>
                <w:rFonts w:hint="eastAsia" w:ascii="微软雅黑" w:hAnsi="微软雅黑" w:eastAsia="微软雅黑" w:cs="微软雅黑"/>
                <w:color w:val="333333"/>
                <w:sz w:val="19"/>
                <w:szCs w:val="19"/>
              </w:rPr>
              <w:t>信息同步存在时间差（非实时同步，每天晚上同步一次），因此投标人应至少开标时间2天前将所需投标材料在诚信库内审核通过。</w:t>
            </w:r>
          </w:p>
          <w:p>
            <w:pPr>
              <w:pStyle w:val="2"/>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12.2投标人须办理企业CA锁后并确保在有效期内才能进行网上投标、下载招标文件、制作投标文件及上传投标文件等业务。未办理企业CA锁的单位，请到</w:t>
            </w:r>
            <w:r>
              <w:rPr>
                <w:rFonts w:hint="eastAsia" w:ascii="微软雅黑" w:hAnsi="微软雅黑" w:eastAsia="微软雅黑" w:cs="微软雅黑"/>
                <w:b/>
                <w:color w:val="333333"/>
                <w:sz w:val="19"/>
                <w:szCs w:val="19"/>
              </w:rPr>
              <w:t>广西数字认证中心服务有限公司</w:t>
            </w:r>
            <w:r>
              <w:rPr>
                <w:rFonts w:hint="eastAsia" w:ascii="微软雅黑" w:hAnsi="微软雅黑" w:eastAsia="微软雅黑" w:cs="微软雅黑"/>
                <w:color w:val="333333"/>
                <w:sz w:val="19"/>
                <w:szCs w:val="19"/>
              </w:rPr>
              <w:t>办理，客服电话：</w:t>
            </w:r>
            <w:r>
              <w:rPr>
                <w:rFonts w:hint="eastAsia" w:ascii="微软雅黑" w:hAnsi="微软雅黑" w:eastAsia="微软雅黑" w:cs="微软雅黑"/>
                <w:b/>
                <w:color w:val="333333"/>
                <w:sz w:val="19"/>
                <w:szCs w:val="19"/>
              </w:rPr>
              <w:t>0771-5869801。</w:t>
            </w:r>
          </w:p>
          <w:p>
            <w:pPr>
              <w:pStyle w:val="2"/>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13、联系方式</w:t>
            </w:r>
          </w:p>
        </w:tc>
      </w:tr>
      <w:tr>
        <w:tblPrEx>
          <w:shd w:val="clear" w:color="auto" w:fill="auto"/>
          <w:tblCellMar>
            <w:top w:w="0" w:type="dxa"/>
            <w:left w:w="0" w:type="dxa"/>
            <w:bottom w:w="0" w:type="dxa"/>
            <w:right w:w="0" w:type="dxa"/>
          </w:tblCellMar>
        </w:tblPrEx>
        <w:trPr>
          <w:trHeight w:val="313" w:hRule="atLeast"/>
        </w:trPr>
        <w:tc>
          <w:tcPr>
            <w:tcW w:w="326" w:type="dxa"/>
            <w:tcBorders>
              <w:top w:val="nil"/>
              <w:left w:val="nil"/>
              <w:bottom w:val="nil"/>
              <w:right w:val="nil"/>
            </w:tcBorders>
            <w:shd w:val="clear" w:color="auto" w:fill="auto"/>
            <w:vAlign w:val="center"/>
          </w:tcPr>
          <w:p>
            <w:pPr>
              <w:jc w:val="left"/>
              <w:rPr>
                <w:rFonts w:hint="eastAsia" w:ascii="微软雅黑" w:hAnsi="微软雅黑" w:eastAsia="微软雅黑" w:cs="微软雅黑"/>
                <w:color w:val="333333"/>
                <w:sz w:val="19"/>
                <w:szCs w:val="19"/>
              </w:rPr>
            </w:pPr>
          </w:p>
        </w:tc>
        <w:tc>
          <w:tcPr>
            <w:tcW w:w="160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招 标 人：</w:t>
            </w:r>
          </w:p>
        </w:tc>
        <w:tc>
          <w:tcPr>
            <w:tcW w:w="3097"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那坡县卫生健康局</w:t>
            </w:r>
          </w:p>
        </w:tc>
        <w:tc>
          <w:tcPr>
            <w:tcW w:w="182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招标代理机构：</w:t>
            </w:r>
          </w:p>
        </w:tc>
        <w:tc>
          <w:tcPr>
            <w:tcW w:w="331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方大国际工程咨询股份有限公司</w:t>
            </w:r>
          </w:p>
        </w:tc>
      </w:tr>
      <w:tr>
        <w:tblPrEx>
          <w:shd w:val="clear" w:color="auto" w:fill="auto"/>
          <w:tblCellMar>
            <w:top w:w="0" w:type="dxa"/>
            <w:left w:w="0" w:type="dxa"/>
            <w:bottom w:w="0" w:type="dxa"/>
            <w:right w:w="0" w:type="dxa"/>
          </w:tblCellMar>
        </w:tblPrEx>
        <w:trPr>
          <w:trHeight w:val="653" w:hRule="atLeast"/>
        </w:trPr>
        <w:tc>
          <w:tcPr>
            <w:tcW w:w="326" w:type="dxa"/>
            <w:tcBorders>
              <w:top w:val="nil"/>
              <w:left w:val="nil"/>
              <w:bottom w:val="nil"/>
              <w:right w:val="nil"/>
            </w:tcBorders>
            <w:shd w:val="clear" w:color="auto" w:fill="auto"/>
            <w:vAlign w:val="center"/>
          </w:tcPr>
          <w:p>
            <w:pPr>
              <w:jc w:val="left"/>
              <w:rPr>
                <w:rFonts w:hint="eastAsia" w:ascii="微软雅黑" w:hAnsi="微软雅黑" w:eastAsia="微软雅黑" w:cs="微软雅黑"/>
                <w:color w:val="333333"/>
                <w:sz w:val="19"/>
                <w:szCs w:val="19"/>
              </w:rPr>
            </w:pPr>
          </w:p>
        </w:tc>
        <w:tc>
          <w:tcPr>
            <w:tcW w:w="160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地 址：</w:t>
            </w:r>
          </w:p>
        </w:tc>
        <w:tc>
          <w:tcPr>
            <w:tcW w:w="3097"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那坡县康乐街67号</w:t>
            </w:r>
          </w:p>
        </w:tc>
        <w:tc>
          <w:tcPr>
            <w:tcW w:w="182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地 址：</w:t>
            </w:r>
          </w:p>
        </w:tc>
        <w:tc>
          <w:tcPr>
            <w:tcW w:w="331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百色市右江区迎龙路70号建通中心5号楼A座1单元2层</w:t>
            </w:r>
          </w:p>
        </w:tc>
      </w:tr>
      <w:tr>
        <w:tblPrEx>
          <w:shd w:val="clear" w:color="auto" w:fill="auto"/>
          <w:tblCellMar>
            <w:top w:w="0" w:type="dxa"/>
            <w:left w:w="0" w:type="dxa"/>
            <w:bottom w:w="0" w:type="dxa"/>
            <w:right w:w="0" w:type="dxa"/>
          </w:tblCellMar>
        </w:tblPrEx>
        <w:trPr>
          <w:trHeight w:val="422" w:hRule="atLeast"/>
        </w:trPr>
        <w:tc>
          <w:tcPr>
            <w:tcW w:w="326" w:type="dxa"/>
            <w:tcBorders>
              <w:top w:val="nil"/>
              <w:left w:val="nil"/>
              <w:bottom w:val="nil"/>
              <w:right w:val="nil"/>
            </w:tcBorders>
            <w:shd w:val="clear" w:color="auto" w:fill="auto"/>
            <w:vAlign w:val="center"/>
          </w:tcPr>
          <w:p>
            <w:pPr>
              <w:jc w:val="left"/>
              <w:rPr>
                <w:rFonts w:hint="eastAsia" w:ascii="微软雅黑" w:hAnsi="微软雅黑" w:eastAsia="微软雅黑" w:cs="微软雅黑"/>
                <w:color w:val="333333"/>
                <w:sz w:val="19"/>
                <w:szCs w:val="19"/>
              </w:rPr>
            </w:pPr>
          </w:p>
        </w:tc>
        <w:tc>
          <w:tcPr>
            <w:tcW w:w="160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邮 编：</w:t>
            </w:r>
          </w:p>
        </w:tc>
        <w:tc>
          <w:tcPr>
            <w:tcW w:w="3097"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533900</w:t>
            </w:r>
          </w:p>
        </w:tc>
        <w:tc>
          <w:tcPr>
            <w:tcW w:w="182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邮 编：</w:t>
            </w:r>
          </w:p>
        </w:tc>
        <w:tc>
          <w:tcPr>
            <w:tcW w:w="331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533000</w:t>
            </w:r>
          </w:p>
        </w:tc>
      </w:tr>
      <w:tr>
        <w:tblPrEx>
          <w:shd w:val="clear" w:color="auto" w:fill="auto"/>
          <w:tblCellMar>
            <w:top w:w="0" w:type="dxa"/>
            <w:left w:w="0" w:type="dxa"/>
            <w:bottom w:w="0" w:type="dxa"/>
            <w:right w:w="0" w:type="dxa"/>
          </w:tblCellMar>
        </w:tblPrEx>
        <w:trPr>
          <w:trHeight w:val="544" w:hRule="atLeast"/>
        </w:trPr>
        <w:tc>
          <w:tcPr>
            <w:tcW w:w="326" w:type="dxa"/>
            <w:tcBorders>
              <w:top w:val="nil"/>
              <w:left w:val="nil"/>
              <w:bottom w:val="nil"/>
              <w:right w:val="nil"/>
            </w:tcBorders>
            <w:shd w:val="clear" w:color="auto" w:fill="auto"/>
            <w:vAlign w:val="center"/>
          </w:tcPr>
          <w:p>
            <w:pPr>
              <w:jc w:val="left"/>
              <w:rPr>
                <w:rFonts w:hint="eastAsia" w:ascii="微软雅黑" w:hAnsi="微软雅黑" w:eastAsia="微软雅黑" w:cs="微软雅黑"/>
                <w:color w:val="333333"/>
                <w:sz w:val="19"/>
                <w:szCs w:val="19"/>
              </w:rPr>
            </w:pPr>
          </w:p>
        </w:tc>
        <w:tc>
          <w:tcPr>
            <w:tcW w:w="160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联 系 人：</w:t>
            </w:r>
          </w:p>
        </w:tc>
        <w:tc>
          <w:tcPr>
            <w:tcW w:w="3097"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梁新伟</w:t>
            </w:r>
          </w:p>
        </w:tc>
        <w:tc>
          <w:tcPr>
            <w:tcW w:w="182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联 系 人：</w:t>
            </w:r>
          </w:p>
        </w:tc>
        <w:tc>
          <w:tcPr>
            <w:tcW w:w="331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黄姿华、黄兰舒</w:t>
            </w:r>
          </w:p>
        </w:tc>
      </w:tr>
      <w:tr>
        <w:tblPrEx>
          <w:shd w:val="clear" w:color="auto" w:fill="auto"/>
          <w:tblCellMar>
            <w:top w:w="0" w:type="dxa"/>
            <w:left w:w="0" w:type="dxa"/>
            <w:bottom w:w="0" w:type="dxa"/>
            <w:right w:w="0" w:type="dxa"/>
          </w:tblCellMar>
        </w:tblPrEx>
        <w:trPr>
          <w:trHeight w:val="530" w:hRule="atLeast"/>
        </w:trPr>
        <w:tc>
          <w:tcPr>
            <w:tcW w:w="326" w:type="dxa"/>
            <w:tcBorders>
              <w:top w:val="nil"/>
              <w:left w:val="nil"/>
              <w:bottom w:val="nil"/>
              <w:right w:val="nil"/>
            </w:tcBorders>
            <w:shd w:val="clear" w:color="auto" w:fill="auto"/>
            <w:vAlign w:val="center"/>
          </w:tcPr>
          <w:p>
            <w:pPr>
              <w:jc w:val="left"/>
              <w:rPr>
                <w:rFonts w:hint="eastAsia" w:ascii="微软雅黑" w:hAnsi="微软雅黑" w:eastAsia="微软雅黑" w:cs="微软雅黑"/>
                <w:color w:val="333333"/>
                <w:sz w:val="19"/>
                <w:szCs w:val="19"/>
              </w:rPr>
            </w:pPr>
          </w:p>
        </w:tc>
        <w:tc>
          <w:tcPr>
            <w:tcW w:w="160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电 话：</w:t>
            </w:r>
          </w:p>
        </w:tc>
        <w:tc>
          <w:tcPr>
            <w:tcW w:w="3097"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0776-6802820</w:t>
            </w:r>
          </w:p>
        </w:tc>
        <w:tc>
          <w:tcPr>
            <w:tcW w:w="182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电 话：</w:t>
            </w:r>
          </w:p>
        </w:tc>
        <w:tc>
          <w:tcPr>
            <w:tcW w:w="331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0776-2222035</w:t>
            </w:r>
          </w:p>
        </w:tc>
      </w:tr>
      <w:tr>
        <w:tblPrEx>
          <w:shd w:val="clear" w:color="auto" w:fill="auto"/>
          <w:tblCellMar>
            <w:top w:w="0" w:type="dxa"/>
            <w:left w:w="0" w:type="dxa"/>
            <w:bottom w:w="0" w:type="dxa"/>
            <w:right w:w="0" w:type="dxa"/>
          </w:tblCellMar>
        </w:tblPrEx>
        <w:trPr>
          <w:trHeight w:val="422" w:hRule="atLeast"/>
        </w:trPr>
        <w:tc>
          <w:tcPr>
            <w:tcW w:w="326" w:type="dxa"/>
            <w:tcBorders>
              <w:top w:val="nil"/>
              <w:left w:val="nil"/>
              <w:bottom w:val="nil"/>
              <w:right w:val="nil"/>
            </w:tcBorders>
            <w:shd w:val="clear" w:color="auto" w:fill="auto"/>
            <w:vAlign w:val="center"/>
          </w:tcPr>
          <w:p>
            <w:pPr>
              <w:jc w:val="left"/>
              <w:rPr>
                <w:rFonts w:hint="eastAsia" w:ascii="微软雅黑" w:hAnsi="微软雅黑" w:eastAsia="微软雅黑" w:cs="微软雅黑"/>
                <w:color w:val="333333"/>
                <w:sz w:val="19"/>
                <w:szCs w:val="19"/>
              </w:rPr>
            </w:pPr>
          </w:p>
        </w:tc>
        <w:tc>
          <w:tcPr>
            <w:tcW w:w="160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传 真：</w:t>
            </w:r>
          </w:p>
        </w:tc>
        <w:tc>
          <w:tcPr>
            <w:tcW w:w="3097" w:type="dxa"/>
            <w:tcBorders>
              <w:top w:val="nil"/>
              <w:left w:val="nil"/>
              <w:bottom w:val="nil"/>
              <w:right w:val="nil"/>
            </w:tcBorders>
            <w:shd w:val="clear" w:color="auto" w:fill="auto"/>
            <w:vAlign w:val="center"/>
          </w:tcPr>
          <w:p>
            <w:pPr>
              <w:jc w:val="left"/>
              <w:rPr>
                <w:rFonts w:hint="eastAsia" w:ascii="微软雅黑" w:hAnsi="微软雅黑" w:eastAsia="微软雅黑" w:cs="微软雅黑"/>
                <w:color w:val="333333"/>
                <w:sz w:val="19"/>
                <w:szCs w:val="19"/>
              </w:rPr>
            </w:pPr>
          </w:p>
        </w:tc>
        <w:tc>
          <w:tcPr>
            <w:tcW w:w="182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传 真：</w:t>
            </w:r>
          </w:p>
        </w:tc>
        <w:tc>
          <w:tcPr>
            <w:tcW w:w="3315" w:type="dxa"/>
            <w:tcBorders>
              <w:top w:val="nil"/>
              <w:left w:val="nil"/>
              <w:bottom w:val="nil"/>
              <w:right w:val="nil"/>
            </w:tcBorders>
            <w:shd w:val="clear" w:color="auto" w:fill="auto"/>
            <w:vAlign w:val="center"/>
          </w:tcPr>
          <w:p>
            <w:pPr>
              <w:jc w:val="left"/>
              <w:rPr>
                <w:rFonts w:hint="eastAsia" w:ascii="微软雅黑" w:hAnsi="微软雅黑" w:eastAsia="微软雅黑" w:cs="微软雅黑"/>
                <w:color w:val="333333"/>
                <w:sz w:val="19"/>
                <w:szCs w:val="19"/>
              </w:rPr>
            </w:pPr>
          </w:p>
        </w:tc>
      </w:tr>
      <w:tr>
        <w:tblPrEx>
          <w:shd w:val="clear" w:color="auto" w:fill="auto"/>
          <w:tblCellMar>
            <w:top w:w="0" w:type="dxa"/>
            <w:left w:w="0" w:type="dxa"/>
            <w:bottom w:w="0" w:type="dxa"/>
            <w:right w:w="0" w:type="dxa"/>
          </w:tblCellMar>
        </w:tblPrEx>
        <w:trPr>
          <w:trHeight w:val="653" w:hRule="atLeast"/>
        </w:trPr>
        <w:tc>
          <w:tcPr>
            <w:tcW w:w="326" w:type="dxa"/>
            <w:tcBorders>
              <w:top w:val="nil"/>
              <w:left w:val="nil"/>
              <w:bottom w:val="nil"/>
              <w:right w:val="nil"/>
            </w:tcBorders>
            <w:shd w:val="clear" w:color="auto" w:fill="auto"/>
            <w:vAlign w:val="center"/>
          </w:tcPr>
          <w:p>
            <w:pPr>
              <w:jc w:val="left"/>
              <w:rPr>
                <w:rFonts w:hint="eastAsia" w:ascii="微软雅黑" w:hAnsi="微软雅黑" w:eastAsia="微软雅黑" w:cs="微软雅黑"/>
                <w:color w:val="333333"/>
                <w:sz w:val="19"/>
                <w:szCs w:val="19"/>
              </w:rPr>
            </w:pPr>
          </w:p>
        </w:tc>
        <w:tc>
          <w:tcPr>
            <w:tcW w:w="160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电 子 邮 件：</w:t>
            </w:r>
          </w:p>
        </w:tc>
        <w:tc>
          <w:tcPr>
            <w:tcW w:w="3097" w:type="dxa"/>
            <w:tcBorders>
              <w:top w:val="nil"/>
              <w:left w:val="nil"/>
              <w:bottom w:val="nil"/>
              <w:right w:val="nil"/>
            </w:tcBorders>
            <w:shd w:val="clear" w:color="auto" w:fill="auto"/>
            <w:vAlign w:val="center"/>
          </w:tcPr>
          <w:p>
            <w:pPr>
              <w:jc w:val="left"/>
              <w:rPr>
                <w:rFonts w:hint="eastAsia" w:ascii="微软雅黑" w:hAnsi="微软雅黑" w:eastAsia="微软雅黑" w:cs="微软雅黑"/>
                <w:color w:val="333333"/>
                <w:sz w:val="19"/>
                <w:szCs w:val="19"/>
              </w:rPr>
            </w:pPr>
          </w:p>
        </w:tc>
        <w:tc>
          <w:tcPr>
            <w:tcW w:w="182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电 子 邮 件：</w:t>
            </w:r>
          </w:p>
        </w:tc>
        <w:tc>
          <w:tcPr>
            <w:tcW w:w="3315" w:type="dxa"/>
            <w:tcBorders>
              <w:top w:val="nil"/>
              <w:left w:val="nil"/>
              <w:bottom w:val="nil"/>
              <w:right w:val="nil"/>
            </w:tcBorders>
            <w:shd w:val="clear" w:color="auto" w:fill="auto"/>
            <w:vAlign w:val="center"/>
          </w:tcPr>
          <w:p>
            <w:pPr>
              <w:jc w:val="left"/>
              <w:rPr>
                <w:rFonts w:hint="eastAsia" w:ascii="微软雅黑" w:hAnsi="微软雅黑" w:eastAsia="微软雅黑" w:cs="微软雅黑"/>
                <w:color w:val="333333"/>
                <w:sz w:val="19"/>
                <w:szCs w:val="19"/>
              </w:rPr>
            </w:pPr>
          </w:p>
        </w:tc>
      </w:tr>
      <w:tr>
        <w:tblPrEx>
          <w:shd w:val="clear" w:color="auto" w:fill="auto"/>
          <w:tblCellMar>
            <w:top w:w="0" w:type="dxa"/>
            <w:left w:w="0" w:type="dxa"/>
            <w:bottom w:w="0" w:type="dxa"/>
            <w:right w:w="0" w:type="dxa"/>
          </w:tblCellMar>
        </w:tblPrEx>
        <w:trPr>
          <w:trHeight w:val="313" w:hRule="atLeast"/>
        </w:trPr>
        <w:tc>
          <w:tcPr>
            <w:tcW w:w="326" w:type="dxa"/>
            <w:tcBorders>
              <w:top w:val="nil"/>
              <w:left w:val="nil"/>
              <w:bottom w:val="nil"/>
              <w:right w:val="nil"/>
            </w:tcBorders>
            <w:shd w:val="clear" w:color="auto" w:fill="auto"/>
            <w:vAlign w:val="center"/>
          </w:tcPr>
          <w:p>
            <w:pPr>
              <w:jc w:val="left"/>
              <w:rPr>
                <w:rFonts w:hint="eastAsia" w:ascii="微软雅黑" w:hAnsi="微软雅黑" w:eastAsia="微软雅黑" w:cs="微软雅黑"/>
                <w:color w:val="333333"/>
                <w:sz w:val="19"/>
                <w:szCs w:val="19"/>
              </w:rPr>
            </w:pPr>
          </w:p>
        </w:tc>
        <w:tc>
          <w:tcPr>
            <w:tcW w:w="160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网 址：</w:t>
            </w:r>
          </w:p>
        </w:tc>
        <w:tc>
          <w:tcPr>
            <w:tcW w:w="3097" w:type="dxa"/>
            <w:tcBorders>
              <w:top w:val="nil"/>
              <w:left w:val="nil"/>
              <w:bottom w:val="nil"/>
              <w:right w:val="nil"/>
            </w:tcBorders>
            <w:shd w:val="clear" w:color="auto" w:fill="auto"/>
            <w:vAlign w:val="center"/>
          </w:tcPr>
          <w:p>
            <w:pPr>
              <w:jc w:val="left"/>
              <w:rPr>
                <w:rFonts w:hint="eastAsia" w:ascii="微软雅黑" w:hAnsi="微软雅黑" w:eastAsia="微软雅黑" w:cs="微软雅黑"/>
                <w:color w:val="333333"/>
                <w:sz w:val="19"/>
                <w:szCs w:val="19"/>
              </w:rPr>
            </w:pPr>
          </w:p>
        </w:tc>
        <w:tc>
          <w:tcPr>
            <w:tcW w:w="182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网 址：</w:t>
            </w:r>
          </w:p>
        </w:tc>
        <w:tc>
          <w:tcPr>
            <w:tcW w:w="3315" w:type="dxa"/>
            <w:tcBorders>
              <w:top w:val="nil"/>
              <w:left w:val="nil"/>
              <w:bottom w:val="nil"/>
              <w:right w:val="nil"/>
            </w:tcBorders>
            <w:shd w:val="clear" w:color="auto" w:fill="auto"/>
            <w:vAlign w:val="center"/>
          </w:tcPr>
          <w:p>
            <w:pPr>
              <w:jc w:val="left"/>
              <w:rPr>
                <w:rFonts w:hint="eastAsia" w:ascii="微软雅黑" w:hAnsi="微软雅黑" w:eastAsia="微软雅黑" w:cs="微软雅黑"/>
                <w:color w:val="333333"/>
                <w:sz w:val="19"/>
                <w:szCs w:val="19"/>
              </w:rPr>
            </w:pPr>
          </w:p>
        </w:tc>
      </w:tr>
      <w:tr>
        <w:tblPrEx>
          <w:shd w:val="clear" w:color="auto" w:fill="auto"/>
          <w:tblCellMar>
            <w:top w:w="0" w:type="dxa"/>
            <w:left w:w="0" w:type="dxa"/>
            <w:bottom w:w="0" w:type="dxa"/>
            <w:right w:w="0" w:type="dxa"/>
          </w:tblCellMar>
        </w:tblPrEx>
        <w:trPr>
          <w:trHeight w:val="14" w:hRule="atLeast"/>
        </w:trPr>
        <w:tc>
          <w:tcPr>
            <w:tcW w:w="326" w:type="dxa"/>
            <w:tcBorders>
              <w:top w:val="nil"/>
              <w:left w:val="nil"/>
              <w:bottom w:val="nil"/>
              <w:right w:val="nil"/>
            </w:tcBorders>
            <w:shd w:val="clear" w:color="auto" w:fill="auto"/>
            <w:vAlign w:val="center"/>
          </w:tcPr>
          <w:p>
            <w:pPr>
              <w:jc w:val="left"/>
              <w:rPr>
                <w:rFonts w:hint="eastAsia" w:ascii="微软雅黑" w:hAnsi="微软雅黑" w:eastAsia="微软雅黑" w:cs="微软雅黑"/>
                <w:color w:val="333333"/>
                <w:sz w:val="19"/>
                <w:szCs w:val="19"/>
              </w:rPr>
            </w:pPr>
          </w:p>
        </w:tc>
        <w:tc>
          <w:tcPr>
            <w:tcW w:w="1603" w:type="dxa"/>
            <w:tcBorders>
              <w:top w:val="nil"/>
              <w:left w:val="nil"/>
              <w:bottom w:val="nil"/>
              <w:right w:val="nil"/>
            </w:tcBorders>
            <w:shd w:val="clear" w:color="auto" w:fill="auto"/>
            <w:vAlign w:val="center"/>
          </w:tcPr>
          <w:p>
            <w:pPr>
              <w:jc w:val="left"/>
              <w:rPr>
                <w:rFonts w:hint="eastAsia" w:ascii="微软雅黑" w:hAnsi="微软雅黑" w:eastAsia="微软雅黑" w:cs="微软雅黑"/>
                <w:color w:val="333333"/>
                <w:sz w:val="19"/>
                <w:szCs w:val="19"/>
              </w:rPr>
            </w:pPr>
          </w:p>
        </w:tc>
        <w:tc>
          <w:tcPr>
            <w:tcW w:w="3097" w:type="dxa"/>
            <w:tcBorders>
              <w:top w:val="nil"/>
              <w:left w:val="nil"/>
              <w:bottom w:val="nil"/>
              <w:right w:val="nil"/>
            </w:tcBorders>
            <w:shd w:val="clear" w:color="auto" w:fill="auto"/>
            <w:vAlign w:val="center"/>
          </w:tcPr>
          <w:p>
            <w:pPr>
              <w:jc w:val="left"/>
              <w:rPr>
                <w:rFonts w:hint="eastAsia" w:ascii="微软雅黑" w:hAnsi="微软雅黑" w:eastAsia="微软雅黑" w:cs="微软雅黑"/>
                <w:color w:val="333333"/>
                <w:sz w:val="19"/>
                <w:szCs w:val="19"/>
              </w:rPr>
            </w:pPr>
          </w:p>
        </w:tc>
        <w:tc>
          <w:tcPr>
            <w:tcW w:w="0" w:type="auto"/>
            <w:shd w:val="clear" w:color="auto" w:fill="auto"/>
            <w:vAlign w:val="center"/>
          </w:tcPr>
          <w:p>
            <w:pPr>
              <w:rPr>
                <w:rFonts w:hint="eastAsia" w:ascii="微软雅黑" w:hAnsi="微软雅黑" w:eastAsia="微软雅黑" w:cs="微软雅黑"/>
                <w:color w:val="333333"/>
                <w:sz w:val="19"/>
                <w:szCs w:val="19"/>
              </w:rPr>
            </w:pPr>
          </w:p>
        </w:tc>
        <w:tc>
          <w:tcPr>
            <w:tcW w:w="0" w:type="auto"/>
            <w:shd w:val="clear" w:color="auto" w:fill="auto"/>
            <w:vAlign w:val="center"/>
          </w:tcPr>
          <w:p>
            <w:pPr>
              <w:rPr>
                <w:rFonts w:hint="eastAsia" w:ascii="微软雅黑" w:hAnsi="微软雅黑" w:eastAsia="微软雅黑" w:cs="微软雅黑"/>
                <w:color w:val="333333"/>
                <w:sz w:val="19"/>
                <w:szCs w:val="19"/>
              </w:rPr>
            </w:pPr>
          </w:p>
        </w:tc>
      </w:tr>
    </w:tbl>
    <w:p/>
    <w:p/>
    <w:p>
      <w:pPr>
        <w:rPr>
          <w:rFonts w:hint="eastAsia"/>
          <w:lang w:val="en-US" w:eastAsia="zh-CN"/>
        </w:rPr>
      </w:pPr>
      <w:r>
        <w:rPr>
          <w:rFonts w:hint="eastAsia"/>
          <w:lang w:val="en-US" w:eastAsia="zh-CN"/>
        </w:rPr>
        <w:t xml:space="preserve">                                                      方大国际工程咨询股份有限公司</w:t>
      </w: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 xml:space="preserve">                                                            2020年6月19日</w:t>
      </w:r>
    </w:p>
    <w:sectPr>
      <w:pgSz w:w="11906" w:h="16838"/>
      <w:pgMar w:top="1134" w:right="1020" w:bottom="1134" w:left="1020"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B6161"/>
    <w:rsid w:val="10751405"/>
    <w:rsid w:val="23CE0E43"/>
    <w:rsid w:val="54E92F40"/>
    <w:rsid w:val="58C93E73"/>
    <w:rsid w:val="5A9B6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2020-06-19T07:08:00Z</dcterms:created>
  <dc:creator>Mia。</dc:creator>
  <cp:lastModifiedBy>Mia。</cp:lastModifiedBy>
  <dcterms:modified xsi:type="dcterms:W3CDTF">2020-06-19T09:29:52Z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