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val="0"/>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drawing>
          <wp:inline distT="0" distB="0" distL="114300" distR="114300">
            <wp:extent cx="6122035" cy="8663940"/>
            <wp:effectExtent l="0" t="0" r="12065" b="3810"/>
            <wp:docPr id="4" name="图片 4" descr="2022090510363605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905103636054_00"/>
                    <pic:cNvPicPr>
                      <a:picLocks noChangeAspect="1"/>
                    </pic:cNvPicPr>
                  </pic:nvPicPr>
                  <pic:blipFill>
                    <a:blip r:embed="rId13"/>
                    <a:stretch>
                      <a:fillRect/>
                    </a:stretch>
                  </pic:blipFill>
                  <pic:spPr>
                    <a:xfrm>
                      <a:off x="0" y="0"/>
                      <a:ext cx="6122035" cy="8663940"/>
                    </a:xfrm>
                    <a:prstGeom prst="rect">
                      <a:avLst/>
                    </a:prstGeom>
                  </pic:spPr>
                </pic:pic>
              </a:graphicData>
            </a:graphic>
          </wp:inline>
        </w:drawing>
      </w:r>
      <w:r>
        <w:rPr>
          <w:rFonts w:hint="eastAsia" w:ascii="宋体" w:hAnsi="宋体" w:cs="宋体"/>
          <w:b/>
          <w:bCs/>
          <w:color w:val="auto"/>
          <w:sz w:val="36"/>
          <w:szCs w:val="36"/>
          <w:highlight w:val="none"/>
        </w:rPr>
        <w:t>目  录</w:t>
      </w:r>
    </w:p>
    <w:p>
      <w:pPr>
        <w:shd w:val="clear"/>
        <w:adjustRightInd w:val="0"/>
        <w:snapToGrid w:val="0"/>
        <w:spacing w:line="360" w:lineRule="auto"/>
        <w:jc w:val="center"/>
        <w:rPr>
          <w:rFonts w:ascii="宋体" w:hAnsi="宋体" w:cs="宋体"/>
          <w:b/>
          <w:bCs/>
          <w:color w:val="auto"/>
          <w:sz w:val="36"/>
          <w:szCs w:val="36"/>
          <w:highlight w:val="none"/>
        </w:rPr>
      </w:pPr>
    </w:p>
    <w:p>
      <w:pPr>
        <w:pStyle w:val="16"/>
        <w:tabs>
          <w:tab w:val="right" w:leader="dot" w:pos="8504"/>
          <w:tab w:val="clear" w:pos="8296"/>
        </w:tabs>
        <w:rPr>
          <w:highlight w:val="none"/>
        </w:rPr>
      </w:pPr>
      <w:r>
        <w:rPr>
          <w:rFonts w:hint="eastAsia" w:ascii="宋体" w:hAnsi="宋体" w:cs="宋体"/>
          <w:b w:val="0"/>
          <w:bCs w:val="0"/>
          <w:color w:val="auto"/>
          <w:szCs w:val="28"/>
          <w:highlight w:val="none"/>
        </w:rPr>
        <w:fldChar w:fldCharType="begin"/>
      </w:r>
      <w:r>
        <w:rPr>
          <w:rFonts w:hint="eastAsia" w:ascii="宋体" w:hAnsi="宋体" w:cs="宋体"/>
          <w:b w:val="0"/>
          <w:bCs w:val="0"/>
          <w:color w:val="auto"/>
          <w:szCs w:val="28"/>
          <w:highlight w:val="none"/>
        </w:rPr>
        <w:instrText xml:space="preserve">TOC \o "1-2" \h \u </w:instrText>
      </w:r>
      <w:r>
        <w:rPr>
          <w:rFonts w:hint="eastAsia" w:ascii="宋体" w:hAnsi="宋体" w:cs="宋体"/>
          <w:b w:val="0"/>
          <w:bCs w:val="0"/>
          <w:color w:val="auto"/>
          <w:szCs w:val="28"/>
          <w:highlight w:val="none"/>
        </w:rPr>
        <w:fldChar w:fldCharType="separate"/>
      </w:r>
      <w:r>
        <w:rPr>
          <w:rFonts w:hint="eastAsia" w:ascii="宋体" w:hAnsi="宋体" w:cs="宋体"/>
          <w:bCs w:val="0"/>
          <w:color w:val="auto"/>
          <w:szCs w:val="28"/>
          <w:highlight w:val="none"/>
        </w:rPr>
        <w:fldChar w:fldCharType="begin"/>
      </w:r>
      <w:r>
        <w:rPr>
          <w:rFonts w:hint="eastAsia" w:ascii="宋体" w:hAnsi="宋体" w:cs="宋体"/>
          <w:bCs w:val="0"/>
          <w:szCs w:val="28"/>
          <w:highlight w:val="none"/>
        </w:rPr>
        <w:instrText xml:space="preserve"> HYPERLINK \l _Toc28470 </w:instrText>
      </w:r>
      <w:r>
        <w:rPr>
          <w:rFonts w:hint="eastAsia" w:ascii="宋体" w:hAnsi="宋体" w:cs="宋体"/>
          <w:bCs w:val="0"/>
          <w:szCs w:val="28"/>
          <w:highlight w:val="none"/>
        </w:rPr>
        <w:fldChar w:fldCharType="separate"/>
      </w:r>
      <w:r>
        <w:rPr>
          <w:rFonts w:hint="eastAsia" w:asciiTheme="minorEastAsia" w:hAnsiTheme="minorEastAsia" w:eastAsiaTheme="minorEastAsia" w:cstheme="minorEastAsia"/>
          <w:bCs/>
          <w:szCs w:val="32"/>
          <w:highlight w:val="none"/>
        </w:rPr>
        <w:t xml:space="preserve">第一章 </w:t>
      </w:r>
      <w:r>
        <w:rPr>
          <w:rFonts w:hint="eastAsia" w:asciiTheme="minorEastAsia" w:hAnsiTheme="minorEastAsia" w:eastAsiaTheme="minorEastAsia" w:cstheme="minorEastAsia"/>
          <w:bCs/>
          <w:kern w:val="0"/>
          <w:szCs w:val="32"/>
          <w:highlight w:val="none"/>
        </w:rPr>
        <w:t>资格预审公告</w:t>
      </w:r>
      <w:r>
        <w:rPr>
          <w:highlight w:val="none"/>
        </w:rPr>
        <w:tab/>
      </w:r>
      <w:r>
        <w:rPr>
          <w:highlight w:val="none"/>
        </w:rPr>
        <w:fldChar w:fldCharType="begin"/>
      </w:r>
      <w:r>
        <w:rPr>
          <w:highlight w:val="none"/>
        </w:rPr>
        <w:instrText xml:space="preserve"> PAGEREF _Toc28470 </w:instrText>
      </w:r>
      <w:r>
        <w:rPr>
          <w:highlight w:val="none"/>
        </w:rPr>
        <w:fldChar w:fldCharType="separate"/>
      </w:r>
      <w:r>
        <w:rPr>
          <w:highlight w:val="none"/>
        </w:rPr>
        <w:t>1</w:t>
      </w:r>
      <w:r>
        <w:rPr>
          <w:highlight w:val="none"/>
        </w:rPr>
        <w:fldChar w:fldCharType="end"/>
      </w:r>
      <w:r>
        <w:rPr>
          <w:rFonts w:hint="eastAsia" w:ascii="宋体" w:hAnsi="宋体" w:cs="宋体"/>
          <w:bCs w:val="0"/>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_Toc11685 </w:instrText>
      </w:r>
      <w:r>
        <w:rPr>
          <w:rFonts w:hint="eastAsia" w:ascii="宋体" w:hAnsi="宋体" w:cs="宋体"/>
          <w:szCs w:val="28"/>
          <w:highlight w:val="none"/>
        </w:rPr>
        <w:fldChar w:fldCharType="separate"/>
      </w:r>
      <w:r>
        <w:rPr>
          <w:rFonts w:hint="eastAsia" w:ascii="宋体" w:hAnsi="宋体" w:cs="宋体"/>
          <w:highlight w:val="none"/>
        </w:rPr>
        <w:t>第二章 资格预审申请人须知</w:t>
      </w:r>
      <w:r>
        <w:rPr>
          <w:highlight w:val="none"/>
        </w:rPr>
        <w:tab/>
      </w:r>
      <w:r>
        <w:rPr>
          <w:highlight w:val="none"/>
        </w:rPr>
        <w:fldChar w:fldCharType="begin"/>
      </w:r>
      <w:r>
        <w:rPr>
          <w:highlight w:val="none"/>
        </w:rPr>
        <w:instrText xml:space="preserve"> PAGEREF _Toc11685 </w:instrText>
      </w:r>
      <w:r>
        <w:rPr>
          <w:highlight w:val="none"/>
        </w:rPr>
        <w:fldChar w:fldCharType="separate"/>
      </w:r>
      <w:r>
        <w:rPr>
          <w:highlight w:val="none"/>
        </w:rPr>
        <w:t>6</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_Toc29881 </w:instrText>
      </w:r>
      <w:r>
        <w:rPr>
          <w:rFonts w:hint="eastAsia" w:ascii="宋体" w:hAnsi="宋体" w:cs="宋体"/>
          <w:szCs w:val="28"/>
          <w:highlight w:val="none"/>
        </w:rPr>
        <w:fldChar w:fldCharType="separate"/>
      </w:r>
      <w:r>
        <w:rPr>
          <w:rFonts w:hint="eastAsia" w:ascii="宋体" w:hAnsi="宋体" w:cs="宋体"/>
          <w:bCs/>
          <w:kern w:val="44"/>
          <w:szCs w:val="36"/>
          <w:highlight w:val="none"/>
        </w:rPr>
        <w:t>第三章资格审查办法(合格制)</w:t>
      </w:r>
      <w:r>
        <w:rPr>
          <w:highlight w:val="none"/>
        </w:rPr>
        <w:tab/>
      </w:r>
      <w:r>
        <w:rPr>
          <w:highlight w:val="none"/>
        </w:rPr>
        <w:fldChar w:fldCharType="begin"/>
      </w:r>
      <w:r>
        <w:rPr>
          <w:highlight w:val="none"/>
        </w:rPr>
        <w:instrText xml:space="preserve"> PAGEREF _Toc29881 </w:instrText>
      </w:r>
      <w:r>
        <w:rPr>
          <w:highlight w:val="none"/>
        </w:rPr>
        <w:fldChar w:fldCharType="separate"/>
      </w:r>
      <w:r>
        <w:rPr>
          <w:highlight w:val="none"/>
        </w:rPr>
        <w:t>17</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_Toc2368 </w:instrText>
      </w:r>
      <w:r>
        <w:rPr>
          <w:rFonts w:hint="eastAsia" w:ascii="宋体" w:hAnsi="宋体" w:cs="宋体"/>
          <w:szCs w:val="28"/>
          <w:highlight w:val="none"/>
        </w:rPr>
        <w:fldChar w:fldCharType="separate"/>
      </w:r>
      <w:r>
        <w:rPr>
          <w:rFonts w:hint="eastAsia"/>
          <w:highlight w:val="none"/>
          <w:lang w:val="en-US" w:eastAsia="zh-CN"/>
        </w:rPr>
        <w:t>第四章  采购需求</w:t>
      </w:r>
      <w:r>
        <w:rPr>
          <w:highlight w:val="none"/>
        </w:rPr>
        <w:tab/>
      </w:r>
      <w:r>
        <w:rPr>
          <w:highlight w:val="none"/>
        </w:rPr>
        <w:fldChar w:fldCharType="begin"/>
      </w:r>
      <w:r>
        <w:rPr>
          <w:highlight w:val="none"/>
        </w:rPr>
        <w:instrText xml:space="preserve"> PAGEREF _Toc2368 </w:instrText>
      </w:r>
      <w:r>
        <w:rPr>
          <w:highlight w:val="none"/>
        </w:rPr>
        <w:fldChar w:fldCharType="separate"/>
      </w:r>
      <w:r>
        <w:rPr>
          <w:highlight w:val="none"/>
        </w:rPr>
        <w:t>20</w:t>
      </w:r>
      <w:r>
        <w:rPr>
          <w:highlight w:val="none"/>
        </w:rPr>
        <w:fldChar w:fldCharType="end"/>
      </w:r>
      <w:r>
        <w:rPr>
          <w:rFonts w:hint="eastAsia" w:ascii="宋体" w:hAnsi="宋体" w:cs="宋体"/>
          <w:color w:val="auto"/>
          <w:szCs w:val="28"/>
          <w:highlight w:val="none"/>
        </w:rPr>
        <w:fldChar w:fldCharType="end"/>
      </w:r>
    </w:p>
    <w:p>
      <w:pPr>
        <w:pStyle w:val="16"/>
        <w:tabs>
          <w:tab w:val="right" w:leader="dot" w:pos="8504"/>
          <w:tab w:val="clear" w:pos="829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_Toc24276 </w:instrText>
      </w:r>
      <w:r>
        <w:rPr>
          <w:rFonts w:hint="eastAsia" w:ascii="宋体" w:hAnsi="宋体" w:cs="宋体"/>
          <w:szCs w:val="28"/>
          <w:highlight w:val="none"/>
        </w:rPr>
        <w:fldChar w:fldCharType="separate"/>
      </w:r>
      <w:r>
        <w:rPr>
          <w:rFonts w:hint="eastAsia" w:ascii="宋体" w:hAnsi="宋体" w:cs="宋体"/>
          <w:bCs/>
          <w:kern w:val="0"/>
          <w:szCs w:val="32"/>
          <w:highlight w:val="none"/>
        </w:rPr>
        <w:t>第</w:t>
      </w:r>
      <w:r>
        <w:rPr>
          <w:rFonts w:hint="eastAsia" w:ascii="宋体" w:hAnsi="宋体" w:cs="宋体"/>
          <w:bCs/>
          <w:kern w:val="0"/>
          <w:szCs w:val="32"/>
          <w:highlight w:val="none"/>
          <w:lang w:val="en-US" w:eastAsia="zh-CN"/>
        </w:rPr>
        <w:t>五</w:t>
      </w:r>
      <w:r>
        <w:rPr>
          <w:rFonts w:hint="eastAsia" w:ascii="宋体" w:hAnsi="宋体" w:cs="宋体"/>
          <w:bCs/>
          <w:kern w:val="0"/>
          <w:szCs w:val="32"/>
          <w:highlight w:val="none"/>
        </w:rPr>
        <w:t>章 资格预审申请文件格式</w:t>
      </w:r>
      <w:r>
        <w:rPr>
          <w:highlight w:val="none"/>
        </w:rPr>
        <w:tab/>
      </w:r>
      <w:r>
        <w:rPr>
          <w:highlight w:val="none"/>
        </w:rPr>
        <w:fldChar w:fldCharType="begin"/>
      </w:r>
      <w:r>
        <w:rPr>
          <w:highlight w:val="none"/>
        </w:rPr>
        <w:instrText xml:space="preserve"> PAGEREF _Toc24276 </w:instrText>
      </w:r>
      <w:r>
        <w:rPr>
          <w:highlight w:val="none"/>
        </w:rPr>
        <w:fldChar w:fldCharType="separate"/>
      </w:r>
      <w:r>
        <w:rPr>
          <w:highlight w:val="none"/>
        </w:rPr>
        <w:t>35</w:t>
      </w:r>
      <w:r>
        <w:rPr>
          <w:highlight w:val="none"/>
        </w:rPr>
        <w:fldChar w:fldCharType="end"/>
      </w:r>
      <w:r>
        <w:rPr>
          <w:rFonts w:hint="eastAsia" w:ascii="宋体" w:hAnsi="宋体" w:cs="宋体"/>
          <w:color w:val="auto"/>
          <w:szCs w:val="28"/>
          <w:highlight w:val="none"/>
        </w:rPr>
        <w:fldChar w:fldCharType="end"/>
      </w:r>
    </w:p>
    <w:p>
      <w:pPr>
        <w:pStyle w:val="18"/>
        <w:tabs>
          <w:tab w:val="right" w:leader="dot" w:pos="8504"/>
        </w:tabs>
        <w:rPr>
          <w:highlight w:val="none"/>
        </w:rPr>
      </w:pPr>
    </w:p>
    <w:p>
      <w:pPr>
        <w:shd w:val="clear"/>
        <w:tabs>
          <w:tab w:val="left" w:pos="0"/>
        </w:tabs>
        <w:spacing w:line="480" w:lineRule="auto"/>
        <w:ind w:firstLine="420" w:firstLineChars="200"/>
        <w:rPr>
          <w:rFonts w:ascii="宋体" w:hAnsi="宋体" w:cs="宋体"/>
          <w:color w:val="auto"/>
          <w:sz w:val="28"/>
          <w:szCs w:val="28"/>
          <w:highlight w:val="none"/>
        </w:rPr>
      </w:pPr>
      <w:r>
        <w:rPr>
          <w:rFonts w:hint="eastAsia" w:ascii="宋体" w:hAnsi="宋体" w:cs="宋体"/>
          <w:color w:val="auto"/>
          <w:szCs w:val="28"/>
          <w:highlight w:val="none"/>
        </w:rPr>
        <w:fldChar w:fldCharType="end"/>
      </w:r>
    </w:p>
    <w:p>
      <w:pPr>
        <w:shd w:val="clear"/>
        <w:spacing w:line="360" w:lineRule="auto"/>
        <w:rPr>
          <w:rFonts w:ascii="宋体" w:hAnsi="宋体" w:cs="宋体"/>
          <w:color w:val="auto"/>
          <w:sz w:val="28"/>
          <w:szCs w:val="28"/>
          <w:highlight w:val="none"/>
        </w:rPr>
      </w:pPr>
    </w:p>
    <w:p>
      <w:pPr>
        <w:shd w:val="clear"/>
        <w:spacing w:before="120" w:beforeLines="50" w:after="120" w:afterLines="50" w:line="360" w:lineRule="auto"/>
        <w:ind w:firstLine="560" w:firstLineChars="200"/>
        <w:jc w:val="center"/>
        <w:outlineLvl w:val="0"/>
        <w:rPr>
          <w:rFonts w:ascii="宋体" w:hAnsi="宋体" w:cs="宋体"/>
          <w:color w:val="auto"/>
          <w:kern w:val="0"/>
          <w:sz w:val="28"/>
          <w:szCs w:val="28"/>
          <w:highlight w:val="none"/>
        </w:rPr>
        <w:sectPr>
          <w:pgSz w:w="11906" w:h="16838"/>
          <w:pgMar w:top="1587" w:right="1701" w:bottom="1587" w:left="1701" w:header="850" w:footer="992" w:gutter="0"/>
          <w:pgNumType w:fmt="upperRoman" w:start="1"/>
          <w:cols w:space="720" w:num="1"/>
        </w:sectPr>
      </w:pPr>
    </w:p>
    <w:p>
      <w:pPr>
        <w:numPr>
          <w:ilvl w:val="0"/>
          <w:numId w:val="1"/>
        </w:numPr>
        <w:shd w:val="clear"/>
        <w:spacing w:before="540" w:after="530" w:line="360" w:lineRule="auto"/>
        <w:ind w:firstLine="643" w:firstLineChars="200"/>
        <w:jc w:val="center"/>
        <w:outlineLvl w:val="0"/>
        <w:rPr>
          <w:rFonts w:hint="eastAsia" w:asciiTheme="minorEastAsia" w:hAnsiTheme="minorEastAsia" w:eastAsiaTheme="minorEastAsia" w:cstheme="minorEastAsia"/>
          <w:sz w:val="28"/>
          <w:szCs w:val="28"/>
          <w:highlight w:val="none"/>
        </w:rPr>
      </w:pPr>
      <w:bookmarkStart w:id="0" w:name="_Toc32608"/>
      <w:bookmarkStart w:id="1" w:name="_Toc18154"/>
      <w:bookmarkStart w:id="2" w:name="_Toc7307"/>
      <w:bookmarkStart w:id="3" w:name="_Toc14041"/>
      <w:bookmarkStart w:id="4" w:name="_Toc18549"/>
      <w:bookmarkStart w:id="5" w:name="_Toc28470"/>
      <w:bookmarkStart w:id="6" w:name="_Toc9186"/>
      <w:r>
        <w:rPr>
          <w:rFonts w:hint="eastAsia" w:asciiTheme="minorEastAsia" w:hAnsiTheme="minorEastAsia" w:eastAsiaTheme="minorEastAsia" w:cstheme="minorEastAsia"/>
          <w:b/>
          <w:bCs/>
          <w:color w:val="auto"/>
          <w:kern w:val="0"/>
          <w:sz w:val="32"/>
          <w:szCs w:val="32"/>
          <w:highlight w:val="none"/>
        </w:rPr>
        <w:t>资格预审公告</w:t>
      </w:r>
      <w:bookmarkEnd w:id="0"/>
      <w:bookmarkEnd w:id="1"/>
      <w:bookmarkEnd w:id="2"/>
      <w:bookmarkEnd w:id="3"/>
      <w:bookmarkEnd w:id="4"/>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zh-CN" w:eastAsia="zh-CN"/>
        </w:rPr>
        <w:t>南宁市2022年第二批城镇老旧小区改造PPP项目社会资本方采购</w:t>
      </w:r>
      <w:r>
        <w:rPr>
          <w:rFonts w:hint="eastAsia" w:asciiTheme="minorEastAsia" w:hAnsiTheme="minorEastAsia" w:eastAsiaTheme="minorEastAsia" w:cstheme="minorEastAsia"/>
          <w:sz w:val="21"/>
          <w:szCs w:val="21"/>
          <w:highlight w:val="none"/>
        </w:rPr>
        <w:t xml:space="preserve"> 招标项目的潜在资格预审申请人应在</w:t>
      </w:r>
      <w:r>
        <w:rPr>
          <w:rFonts w:hint="eastAsia" w:asciiTheme="minorEastAsia" w:hAnsiTheme="minorEastAsia" w:eastAsiaTheme="minorEastAsia" w:cstheme="minorEastAsia"/>
          <w:sz w:val="21"/>
          <w:szCs w:val="21"/>
          <w:highlight w:val="none"/>
          <w:u w:val="single"/>
        </w:rPr>
        <w:t>南宁市公共资源交易中心（</w:t>
      </w:r>
      <w:r>
        <w:rPr>
          <w:rFonts w:hint="eastAsia" w:asciiTheme="minorEastAsia" w:hAnsiTheme="minorEastAsia" w:eastAsiaTheme="minorEastAsia" w:cstheme="minorEastAsia"/>
          <w:sz w:val="21"/>
          <w:szCs w:val="21"/>
          <w:highlight w:val="none"/>
          <w:u w:val="single"/>
          <w:lang w:eastAsia="zh-CN"/>
        </w:rPr>
        <w:t>https://ggzy.nanning.gov.cn/gxnnzbw/</w:t>
      </w:r>
      <w:r>
        <w:rPr>
          <w:rFonts w:hint="eastAsia" w:asciiTheme="minorEastAsia" w:hAnsiTheme="minorEastAsia" w:eastAsiaTheme="minorEastAsia" w:cstheme="minorEastAsia"/>
          <w:sz w:val="21"/>
          <w:szCs w:val="21"/>
          <w:highlight w:val="none"/>
          <w:u w:val="single"/>
        </w:rPr>
        <w:t>）的信息公告处</w:t>
      </w:r>
      <w:r>
        <w:rPr>
          <w:rFonts w:hint="eastAsia" w:asciiTheme="minorEastAsia" w:hAnsiTheme="minorEastAsia" w:eastAsiaTheme="minorEastAsia" w:cstheme="minorEastAsia"/>
          <w:sz w:val="21"/>
          <w:szCs w:val="21"/>
          <w:highlight w:val="none"/>
        </w:rPr>
        <w:t>领取资格预审文件，并于</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（北京时间）前提交申请文件</w:t>
      </w:r>
      <w:r>
        <w:rPr>
          <w:rFonts w:hint="eastAsia" w:asciiTheme="minorEastAsia" w:hAnsiTheme="minorEastAsia" w:eastAsiaTheme="minorEastAsia" w:cstheme="minorEastAsia"/>
          <w:sz w:val="21"/>
          <w:szCs w:val="21"/>
          <w:highlight w:val="none"/>
        </w:rPr>
        <w:t>。</w:t>
      </w:r>
    </w:p>
    <w:p>
      <w:pPr>
        <w:pStyle w:val="5"/>
        <w:spacing w:line="360" w:lineRule="auto"/>
        <w:rPr>
          <w:rFonts w:hint="eastAsia" w:asciiTheme="minorEastAsia" w:hAnsiTheme="minorEastAsia" w:eastAsiaTheme="minorEastAsia" w:cstheme="minorEastAsia"/>
          <w:b/>
          <w:bCs w:val="0"/>
          <w:sz w:val="21"/>
          <w:szCs w:val="21"/>
          <w:highlight w:val="none"/>
        </w:rPr>
      </w:pPr>
      <w:bookmarkStart w:id="7" w:name="_Toc28358989"/>
      <w:bookmarkStart w:id="8" w:name="_Toc7140"/>
      <w:bookmarkStart w:id="9" w:name="_Toc14490"/>
      <w:bookmarkStart w:id="10" w:name="_Toc35393606"/>
      <w:bookmarkStart w:id="11" w:name="_Toc35393775"/>
      <w:bookmarkStart w:id="12" w:name="_Toc28359066"/>
      <w:r>
        <w:rPr>
          <w:rFonts w:hint="eastAsia" w:asciiTheme="minorEastAsia" w:hAnsiTheme="minorEastAsia" w:eastAsiaTheme="minorEastAsia" w:cstheme="minorEastAsia"/>
          <w:b/>
          <w:bCs w:val="0"/>
          <w:sz w:val="21"/>
          <w:szCs w:val="21"/>
          <w:highlight w:val="none"/>
        </w:rPr>
        <w:t>一、项目基本情况</w:t>
      </w:r>
      <w:bookmarkEnd w:id="7"/>
      <w:bookmarkEnd w:id="8"/>
      <w:bookmarkEnd w:id="9"/>
      <w:bookmarkEnd w:id="10"/>
      <w:bookmarkEnd w:id="11"/>
      <w:bookmarkEnd w:id="12"/>
    </w:p>
    <w:p>
      <w:pPr>
        <w:spacing w:line="360" w:lineRule="auto"/>
        <w:ind w:firstLine="420" w:firstLineChars="20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项目编号：NNZC2022-G3-991495-GXJZ</w:t>
      </w:r>
      <w:r>
        <w:rPr>
          <w:rFonts w:hint="eastAsia" w:asciiTheme="minorEastAsia" w:hAnsiTheme="minorEastAsia" w:eastAsiaTheme="minorEastAsia" w:cstheme="minorEastAsia"/>
          <w:sz w:val="21"/>
          <w:szCs w:val="21"/>
          <w:highlight w:val="none"/>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lang w:val="zh-CN" w:eastAsia="zh-CN"/>
        </w:rPr>
        <w:t>南宁市2022年第二批城镇老旧小区改造PPP项目社会资本方采购</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采购方式：公开招标</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预算金额：</w:t>
      </w:r>
      <w:r>
        <w:rPr>
          <w:rFonts w:hint="eastAsia" w:asciiTheme="minorEastAsia" w:hAnsiTheme="minorEastAsia" w:eastAsiaTheme="minorEastAsia" w:cstheme="minorEastAsia"/>
          <w:sz w:val="21"/>
          <w:szCs w:val="21"/>
          <w:highlight w:val="none"/>
          <w:lang w:val="en-US" w:eastAsia="zh-CN"/>
        </w:rPr>
        <w:t>36508.36</w:t>
      </w:r>
      <w:r>
        <w:rPr>
          <w:rFonts w:hint="eastAsia" w:asciiTheme="minorEastAsia" w:hAnsiTheme="minorEastAsia" w:eastAsiaTheme="minorEastAsia" w:cstheme="minorEastAsia"/>
          <w:sz w:val="21"/>
          <w:szCs w:val="21"/>
          <w:highlight w:val="none"/>
          <w:lang w:val="en-GB" w:eastAsia="zh-CN"/>
        </w:rPr>
        <w:t>万元</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采购需求：拟采购本项目社会资本，社会资本方全额出资成立项目公司，项目公司在授权范围内负责项目的设计优化、投融资、建设、运营和维护；政府方授权实施机构对本项目进行监督和绩效考核，合同期满后，项目公司将项目资产及相关权利等无偿移交给政府。</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合同履行期限：</w:t>
      </w:r>
      <w:r>
        <w:rPr>
          <w:rFonts w:hint="eastAsia" w:asciiTheme="minorEastAsia" w:hAnsiTheme="minorEastAsia" w:eastAsiaTheme="minorEastAsia" w:cstheme="minorEastAsia"/>
          <w:sz w:val="21"/>
          <w:szCs w:val="21"/>
          <w:highlight w:val="none"/>
          <w:lang w:val="en-US" w:eastAsia="zh-CN"/>
        </w:rPr>
        <w:t>本项目合作期为20年9个月，自PPP项目合同生效之日起算。其中，建设期计划为9个月，运营期为20年。</w:t>
      </w:r>
    </w:p>
    <w:p>
      <w:pPr>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本项目（是）接受联合体投标。</w:t>
      </w:r>
    </w:p>
    <w:p>
      <w:pPr>
        <w:pStyle w:val="5"/>
        <w:spacing w:line="360" w:lineRule="auto"/>
        <w:rPr>
          <w:rFonts w:hint="eastAsia" w:asciiTheme="minorEastAsia" w:hAnsiTheme="minorEastAsia" w:eastAsiaTheme="minorEastAsia" w:cstheme="minorEastAsia"/>
          <w:b/>
          <w:bCs w:val="0"/>
          <w:sz w:val="21"/>
          <w:szCs w:val="21"/>
          <w:highlight w:val="none"/>
        </w:rPr>
      </w:pPr>
      <w:bookmarkStart w:id="13" w:name="_Toc7024"/>
      <w:bookmarkStart w:id="14" w:name="_Toc515744789"/>
      <w:bookmarkStart w:id="15" w:name="_Toc2583679"/>
      <w:bookmarkStart w:id="16" w:name="_Toc3975"/>
      <w:bookmarkStart w:id="17" w:name="_Toc375"/>
      <w:bookmarkStart w:id="18" w:name="_Toc35393776"/>
      <w:bookmarkStart w:id="19" w:name="_Toc15365"/>
      <w:bookmarkStart w:id="20" w:name="_Toc9667"/>
      <w:bookmarkStart w:id="21" w:name="_Toc28359067"/>
      <w:bookmarkStart w:id="22" w:name="_Toc28358990"/>
      <w:bookmarkStart w:id="23" w:name="_Toc35393607"/>
      <w:bookmarkStart w:id="24" w:name="_Toc3469"/>
      <w:bookmarkStart w:id="25" w:name="_Toc515744790"/>
      <w:bookmarkStart w:id="26" w:name="_Toc30393"/>
      <w:bookmarkStart w:id="27" w:name="_Toc16653"/>
      <w:bookmarkStart w:id="28" w:name="_Toc2583680"/>
      <w:r>
        <w:rPr>
          <w:rFonts w:hint="eastAsia" w:asciiTheme="minorEastAsia" w:hAnsiTheme="minorEastAsia" w:eastAsiaTheme="minorEastAsia" w:cstheme="minorEastAsia"/>
          <w:b/>
          <w:bCs w:val="0"/>
          <w:sz w:val="21"/>
          <w:szCs w:val="21"/>
          <w:highlight w:val="none"/>
        </w:rPr>
        <w:t>二、申请人的资格要求</w:t>
      </w:r>
      <w:bookmarkEnd w:id="13"/>
      <w:bookmarkEnd w:id="14"/>
      <w:bookmarkEnd w:id="15"/>
      <w:bookmarkEnd w:id="16"/>
      <w:bookmarkEnd w:id="17"/>
      <w:r>
        <w:rPr>
          <w:rFonts w:hint="eastAsia" w:asciiTheme="minorEastAsia" w:hAnsiTheme="minorEastAsia" w:eastAsiaTheme="minorEastAsia" w:cstheme="minorEastAsia"/>
          <w:b/>
          <w:bCs w:val="0"/>
          <w:sz w:val="21"/>
          <w:szCs w:val="21"/>
          <w:highlight w:val="none"/>
        </w:rPr>
        <w:t>：</w:t>
      </w:r>
      <w:bookmarkEnd w:id="18"/>
      <w:bookmarkEnd w:id="19"/>
      <w:bookmarkEnd w:id="20"/>
      <w:bookmarkEnd w:id="21"/>
      <w:bookmarkEnd w:id="22"/>
      <w:bookmarkEnd w:id="23"/>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rPr>
      </w:pPr>
      <w:bookmarkStart w:id="29" w:name="_Toc35393608"/>
      <w:bookmarkStart w:id="30" w:name="_Toc28358991"/>
      <w:bookmarkStart w:id="31" w:name="_Toc28359068"/>
      <w:bookmarkStart w:id="32" w:name="_Toc35393777"/>
      <w:r>
        <w:rPr>
          <w:rFonts w:hint="eastAsia" w:asciiTheme="minorEastAsia" w:hAnsiTheme="minorEastAsia" w:eastAsiaTheme="minorEastAsia" w:cstheme="minorEastAsia"/>
          <w:b w:val="0"/>
          <w:bCs/>
          <w:color w:val="auto"/>
          <w:sz w:val="21"/>
          <w:szCs w:val="21"/>
          <w:highlight w:val="none"/>
        </w:rPr>
        <w:t>1.满足《中华人民共和国政府采购法》第二十二条规定；</w:t>
      </w:r>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2.落实政府采购政策需满足的资格要求：</w:t>
      </w:r>
      <w:r>
        <w:rPr>
          <w:rFonts w:hint="eastAsia" w:asciiTheme="minorEastAsia" w:hAnsiTheme="minorEastAsia" w:eastAsiaTheme="minorEastAsia" w:cstheme="minorEastAsia"/>
          <w:b w:val="0"/>
          <w:bCs/>
          <w:color w:val="auto"/>
          <w:sz w:val="21"/>
          <w:szCs w:val="21"/>
          <w:highlight w:val="none"/>
          <w:lang w:val="en-US" w:eastAsia="zh-CN"/>
        </w:rPr>
        <w:t>无；</w:t>
      </w:r>
    </w:p>
    <w:p>
      <w:pPr>
        <w:shd w:val="clear" w:color="auto" w:fill="auto"/>
        <w:spacing w:line="360" w:lineRule="auto"/>
        <w:ind w:firstLine="482"/>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3.本项目的特定资格要求：</w:t>
      </w:r>
    </w:p>
    <w:p>
      <w:pPr>
        <w:shd w:val="clear" w:color="auto" w:fill="auto"/>
        <w:spacing w:line="360" w:lineRule="auto"/>
        <w:ind w:firstLine="482"/>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（1）基本主体要求</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申请人如为联合体，则联合体牵头人、各成员需要同时满足。</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rPr>
        <w:t>：</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本项目竞争的社会资本为具有独立法人资格的境内外企业；但不包括南宁市人民政府下属的政府融资平台公司及其控股的其他国有企业（上市公司除外）；符合《中华人民共和国政府采购法》第二十二条规定，具体如下：</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具有独立承担民事责任的能力；</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具有良好的商业信誉和健全的财务会计制度；</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具有履行合同所必需的设备和专业技术能力；</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有依法缴纳税收和社会保障资金的良好记录；</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参加政府采购活动前三年内，在经营活动中没有重大违法记录；</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法律、行政法规规定的其他条件。</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本项目允许联合体参与采购活动。</w:t>
      </w:r>
    </w:p>
    <w:p>
      <w:pPr>
        <w:shd w:val="clear"/>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（2）信誉要求：</w:t>
      </w:r>
    </w:p>
    <w:p>
      <w:pPr>
        <w:shd w:val="clear" w:color="auto" w:fill="auto"/>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1）参与本项目竞争的社会资本</w:t>
      </w:r>
      <w:r>
        <w:rPr>
          <w:rFonts w:hint="eastAsia" w:asciiTheme="minorEastAsia" w:hAnsiTheme="minorEastAsia" w:eastAsiaTheme="minorEastAsia" w:cstheme="minorEastAsia"/>
          <w:color w:val="auto"/>
          <w:sz w:val="21"/>
          <w:szCs w:val="21"/>
          <w:highlight w:val="none"/>
          <w:lang w:eastAsia="zh-CN"/>
        </w:rPr>
        <w:t>在本项目</w:t>
      </w:r>
      <w:r>
        <w:rPr>
          <w:rFonts w:hint="eastAsia" w:asciiTheme="minorEastAsia" w:hAnsiTheme="minorEastAsia" w:eastAsiaTheme="minorEastAsia" w:cstheme="minorEastAsia"/>
          <w:color w:val="auto"/>
          <w:sz w:val="21"/>
          <w:szCs w:val="21"/>
          <w:highlight w:val="none"/>
          <w:lang w:val="en-US" w:eastAsia="zh-CN"/>
        </w:rPr>
        <w:t>投标有效期</w:t>
      </w:r>
      <w:r>
        <w:rPr>
          <w:rFonts w:hint="eastAsia" w:asciiTheme="minorEastAsia" w:hAnsiTheme="minorEastAsia" w:eastAsiaTheme="minorEastAsia" w:cstheme="minorEastAsia"/>
          <w:color w:val="auto"/>
          <w:sz w:val="21"/>
          <w:szCs w:val="21"/>
          <w:highlight w:val="none"/>
          <w:lang w:eastAsia="zh-CN"/>
        </w:rPr>
        <w:t>内在本项目所在地没有处于被责令停业，投标资格被取消，财产被接管、破产状态。</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2）参与本项目竞争的社会资本未被</w:t>
      </w:r>
      <w:r>
        <w:rPr>
          <w:rFonts w:hint="eastAsia" w:asciiTheme="minorEastAsia" w:hAnsiTheme="minorEastAsia" w:eastAsiaTheme="minorEastAsia" w:cstheme="minorEastAsia"/>
          <w:color w:val="auto"/>
          <w:sz w:val="21"/>
          <w:szCs w:val="21"/>
          <w:highlight w:val="none"/>
        </w:rPr>
        <w:t>列入失信被执行人、</w:t>
      </w:r>
      <w:r>
        <w:rPr>
          <w:rFonts w:hint="eastAsia" w:asciiTheme="minorEastAsia" w:hAnsiTheme="minorEastAsia" w:eastAsiaTheme="minorEastAsia" w:cstheme="minorEastAsia"/>
          <w:color w:val="auto"/>
          <w:sz w:val="21"/>
          <w:szCs w:val="21"/>
          <w:highlight w:val="none"/>
          <w:lang w:eastAsia="zh-CN"/>
        </w:rPr>
        <w:t>重大税收违法失信主体</w:t>
      </w:r>
      <w:r>
        <w:rPr>
          <w:rFonts w:hint="eastAsia" w:asciiTheme="minorEastAsia" w:hAnsiTheme="minorEastAsia" w:eastAsiaTheme="minorEastAsia" w:cstheme="minorEastAsia"/>
          <w:color w:val="auto"/>
          <w:sz w:val="21"/>
          <w:szCs w:val="21"/>
          <w:highlight w:val="none"/>
        </w:rPr>
        <w:t>、政府采购严重违法失信行为记录名单</w:t>
      </w:r>
      <w:r>
        <w:rPr>
          <w:rFonts w:hint="eastAsia" w:asciiTheme="minorEastAsia" w:hAnsiTheme="minorEastAsia" w:eastAsiaTheme="minorEastAsia" w:cstheme="minorEastAsia"/>
          <w:color w:val="auto"/>
          <w:sz w:val="21"/>
          <w:szCs w:val="21"/>
          <w:highlight w:val="none"/>
          <w:lang w:eastAsia="zh-CN"/>
        </w:rPr>
        <w:t>，并出具相应承诺</w:t>
      </w:r>
      <w:r>
        <w:rPr>
          <w:rFonts w:hint="eastAsia" w:asciiTheme="minorEastAsia" w:hAnsiTheme="minorEastAsia" w:eastAsiaTheme="minorEastAsia" w:cstheme="minorEastAsia"/>
          <w:color w:val="auto"/>
          <w:sz w:val="21"/>
          <w:szCs w:val="21"/>
          <w:highlight w:val="none"/>
        </w:rPr>
        <w:t>。</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（3）财务要求：</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bookmarkStart w:id="33" w:name="_Toc450568084"/>
      <w:bookmarkStart w:id="34" w:name="_Toc450564520"/>
      <w:bookmarkStart w:id="35" w:name="_Toc450567720"/>
      <w:r>
        <w:rPr>
          <w:rFonts w:hint="eastAsia" w:asciiTheme="minorEastAsia" w:hAnsiTheme="minorEastAsia" w:eastAsiaTheme="minorEastAsia" w:cstheme="minorEastAsia"/>
          <w:color w:val="auto"/>
          <w:sz w:val="21"/>
          <w:szCs w:val="21"/>
          <w:highlight w:val="none"/>
          <w:lang w:val="en-US" w:eastAsia="zh-CN"/>
        </w:rPr>
        <w:t>1）申请人须提供没有处于财产被接管、冻结、破产或其他不良状态和无重大不良资产或不良投资项目的承诺书。申请人如为联合体，则联合体牵头人、各成员均要提供。</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申请人经营状况良好，处于盈利状态。须提供近三年（2019、2020、2021年）经会计师事务所或审计机构审计的审计报告，包括资产负债表、现金流量表、利润表。申请人如为联合体，则联合体牵头人、各成员均需要提供(申请人</w:t>
      </w:r>
      <w:r>
        <w:rPr>
          <w:rFonts w:hint="eastAsia" w:ascii="宋体" w:hAnsi="宋体"/>
          <w:color w:val="auto"/>
          <w:szCs w:val="21"/>
          <w:highlight w:val="none"/>
        </w:rPr>
        <w:t>成立不满</w:t>
      </w:r>
      <w:r>
        <w:rPr>
          <w:rFonts w:hint="eastAsia" w:ascii="宋体" w:hAnsi="宋体"/>
          <w:color w:val="auto"/>
          <w:szCs w:val="21"/>
          <w:highlight w:val="none"/>
          <w:lang w:val="en-US" w:eastAsia="zh-CN"/>
        </w:rPr>
        <w:t>三</w:t>
      </w:r>
      <w:r>
        <w:rPr>
          <w:rFonts w:hint="eastAsia" w:ascii="宋体" w:hAnsi="宋体"/>
          <w:color w:val="auto"/>
          <w:szCs w:val="21"/>
          <w:highlight w:val="none"/>
        </w:rPr>
        <w:t>年的应提供</w:t>
      </w:r>
      <w:r>
        <w:rPr>
          <w:rFonts w:hint="eastAsia" w:ascii="宋体" w:hAnsi="宋体"/>
          <w:color w:val="auto"/>
          <w:szCs w:val="21"/>
          <w:highlight w:val="none"/>
          <w:lang w:val="en-US" w:eastAsia="zh-CN"/>
        </w:rPr>
        <w:t>自成立年份起至2021年的审计报告；成立不满一年的</w:t>
      </w:r>
      <w:r>
        <w:rPr>
          <w:rFonts w:hint="eastAsia" w:ascii="宋体" w:hAnsi="宋体"/>
          <w:color w:val="auto"/>
          <w:szCs w:val="21"/>
          <w:highlight w:val="none"/>
        </w:rPr>
        <w:t>提供</w:t>
      </w:r>
      <w:r>
        <w:rPr>
          <w:rFonts w:hint="eastAsia" w:ascii="宋体" w:hAnsi="宋体"/>
          <w:color w:val="auto"/>
          <w:szCs w:val="21"/>
          <w:highlight w:val="none"/>
          <w:lang w:val="en-US" w:eastAsia="zh-CN"/>
        </w:rPr>
        <w:t>资格预审</w:t>
      </w:r>
      <w:r>
        <w:rPr>
          <w:rFonts w:hint="eastAsia" w:ascii="宋体" w:hAnsi="宋体"/>
          <w:color w:val="auto"/>
          <w:szCs w:val="21"/>
          <w:highlight w:val="none"/>
        </w:rPr>
        <w:t>文件提交截止时间上一个月的财务状况报告复印件</w:t>
      </w:r>
      <w:r>
        <w:rPr>
          <w:rFonts w:hint="eastAsia" w:ascii="宋体" w:hAnsi="宋体"/>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zh-CN" w:eastAsia="zh-CN"/>
        </w:rPr>
        <w:t>（</w:t>
      </w: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lang w:val="zh-CN" w:eastAsia="zh-CN"/>
        </w:rPr>
        <w:t>）关于联合体的特殊要求：</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1）本项目资格预审接受联合体申请，成员可包括财务投资人或其他符合项目条件的主体，原则上应体现投融资能力和运营优势；</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2）联合体各成员间必须签订联合体协议，明确各成员的权利和义务，联合体各成员均应满足上述第（1）~（3）条资格要求，且在联合体通过资格审查后不得改变；</w:t>
      </w:r>
    </w:p>
    <w:bookmarkEnd w:id="33"/>
    <w:bookmarkEnd w:id="34"/>
    <w:bookmarkEnd w:id="35"/>
    <w:p>
      <w:pPr>
        <w:pStyle w:val="2"/>
        <w:shd w:val="clear"/>
        <w:adjustRightInd w:val="0"/>
        <w:snapToGrid w:val="0"/>
        <w:spacing w:before="120"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3）联合体各成员签订联合体协议后，不得再以自己名义单独或加入其他联合体同时参加本项目资格预审活动；</w:t>
      </w:r>
    </w:p>
    <w:p>
      <w:pPr>
        <w:pStyle w:val="2"/>
        <w:shd w:val="clear"/>
        <w:adjustRightInd w:val="0"/>
        <w:snapToGrid w:val="0"/>
        <w:spacing w:before="120"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联合体各成员单位均需持股出资项目公司，每家出资比例不应低于1%并承担融资责任，且要有其中一家单位出资比例高于20%，各成员单位占股比例通过联合体协议约定，一旦中标，联合体各成员需向采购人承诺承担连带责任。</w:t>
      </w:r>
    </w:p>
    <w:p>
      <w:pPr>
        <w:pStyle w:val="2"/>
        <w:shd w:val="clear"/>
        <w:adjustRightInd w:val="0"/>
        <w:snapToGrid w:val="0"/>
        <w:spacing w:before="120" w:line="360" w:lineRule="auto"/>
        <w:ind w:firstLine="422"/>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lang w:val="zh-CN"/>
        </w:rPr>
        <w:t>）其他要求</w:t>
      </w:r>
      <w:bookmarkStart w:id="36" w:name="_Toc26978"/>
      <w:bookmarkStart w:id="37" w:name="_Toc24441"/>
    </w:p>
    <w:p>
      <w:pPr>
        <w:pStyle w:val="2"/>
        <w:shd w:val="clear"/>
        <w:adjustRightInd w:val="0"/>
        <w:snapToGrid w:val="0"/>
        <w:spacing w:before="120" w:line="360" w:lineRule="auto"/>
        <w:ind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为能够通过资格评审，申请人应按照本资格预审文件提供的要求和格式，向采购人提交资格预审申请文件，以证明其具有符合本文件要求的申请合格条件和履行合同能力。为此，提交的资格预审申请文件中必须完整包括申请人基本条件要求所规定的内容。</w:t>
      </w:r>
      <w:bookmarkEnd w:id="36"/>
      <w:bookmarkEnd w:id="37"/>
    </w:p>
    <w:p>
      <w:pPr>
        <w:pStyle w:val="5"/>
        <w:spacing w:line="360" w:lineRule="auto"/>
        <w:rPr>
          <w:rFonts w:hint="eastAsia" w:asciiTheme="minorEastAsia" w:hAnsiTheme="minorEastAsia" w:eastAsiaTheme="minorEastAsia" w:cstheme="minorEastAsia"/>
          <w:b/>
          <w:bCs w:val="0"/>
          <w:sz w:val="21"/>
          <w:szCs w:val="21"/>
          <w:highlight w:val="none"/>
        </w:rPr>
      </w:pPr>
      <w:bookmarkStart w:id="38" w:name="_Toc27710"/>
      <w:bookmarkStart w:id="39" w:name="_Toc22329"/>
      <w:r>
        <w:rPr>
          <w:rFonts w:hint="eastAsia" w:asciiTheme="minorEastAsia" w:hAnsiTheme="minorEastAsia" w:eastAsiaTheme="minorEastAsia" w:cstheme="minorEastAsia"/>
          <w:b/>
          <w:bCs w:val="0"/>
          <w:sz w:val="21"/>
          <w:szCs w:val="21"/>
          <w:highlight w:val="none"/>
        </w:rPr>
        <w:t>三、领取资格预审文件</w:t>
      </w:r>
      <w:bookmarkEnd w:id="24"/>
      <w:bookmarkEnd w:id="25"/>
      <w:bookmarkEnd w:id="26"/>
      <w:bookmarkEnd w:id="27"/>
      <w:bookmarkEnd w:id="28"/>
      <w:bookmarkEnd w:id="29"/>
      <w:bookmarkEnd w:id="30"/>
      <w:bookmarkEnd w:id="31"/>
      <w:bookmarkEnd w:id="32"/>
      <w:bookmarkEnd w:id="38"/>
      <w:bookmarkEnd w:id="39"/>
    </w:p>
    <w:p>
      <w:pPr>
        <w:spacing w:line="360" w:lineRule="auto"/>
        <w:ind w:firstLine="54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日至</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27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（提供期限自本公告发布之日起不得少于5个工作日），每天上午</w:t>
      </w:r>
      <w:r>
        <w:rPr>
          <w:rFonts w:hint="eastAsia" w:asciiTheme="minorEastAsia" w:hAnsiTheme="minorEastAsia" w:eastAsiaTheme="minorEastAsia" w:cstheme="minorEastAsia"/>
          <w:sz w:val="21"/>
          <w:szCs w:val="21"/>
          <w:highlight w:val="none"/>
          <w:lang w:val="en-US" w:eastAsia="zh-CN"/>
        </w:rPr>
        <w:t>00:00</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lang w:val="en-US" w:eastAsia="zh-CN"/>
        </w:rPr>
        <w:t>12:00</w:t>
      </w:r>
      <w:r>
        <w:rPr>
          <w:rFonts w:hint="eastAsia" w:asciiTheme="minorEastAsia" w:hAnsiTheme="minorEastAsia" w:eastAsiaTheme="minorEastAsia" w:cstheme="minorEastAsia"/>
          <w:sz w:val="21"/>
          <w:szCs w:val="21"/>
          <w:highlight w:val="none"/>
        </w:rPr>
        <w:t>，下午</w:t>
      </w:r>
      <w:r>
        <w:rPr>
          <w:rFonts w:hint="eastAsia" w:asciiTheme="minorEastAsia" w:hAnsiTheme="minorEastAsia" w:eastAsiaTheme="minorEastAsia" w:cstheme="minorEastAsia"/>
          <w:sz w:val="21"/>
          <w:szCs w:val="21"/>
          <w:highlight w:val="none"/>
          <w:lang w:val="en-US" w:eastAsia="zh-CN"/>
        </w:rPr>
        <w:t>12:00</w:t>
      </w:r>
      <w:r>
        <w:rPr>
          <w:rFonts w:hint="eastAsia" w:asciiTheme="minorEastAsia" w:hAnsiTheme="minorEastAsia" w:eastAsiaTheme="minorEastAsia" w:cstheme="minorEastAsia"/>
          <w:sz w:val="21"/>
          <w:szCs w:val="21"/>
          <w:highlight w:val="none"/>
        </w:rPr>
        <w:t xml:space="preserve"> 至</w:t>
      </w:r>
      <w:r>
        <w:rPr>
          <w:rFonts w:hint="eastAsia" w:asciiTheme="minorEastAsia" w:hAnsiTheme="minorEastAsia" w:eastAsiaTheme="minorEastAsia" w:cstheme="minorEastAsia"/>
          <w:sz w:val="21"/>
          <w:szCs w:val="21"/>
          <w:highlight w:val="none"/>
          <w:lang w:val="en-US" w:eastAsia="zh-CN"/>
        </w:rPr>
        <w:t>24:00</w:t>
      </w:r>
      <w:r>
        <w:rPr>
          <w:rFonts w:hint="eastAsia" w:asciiTheme="minorEastAsia" w:hAnsiTheme="minorEastAsia" w:eastAsiaTheme="minorEastAsia" w:cstheme="minorEastAsia"/>
          <w:sz w:val="21"/>
          <w:szCs w:val="21"/>
          <w:highlight w:val="none"/>
        </w:rPr>
        <w:t>（北京时间，法定节假日除外 ）</w:t>
      </w:r>
    </w:p>
    <w:p>
      <w:pPr>
        <w:spacing w:line="360" w:lineRule="auto"/>
        <w:ind w:firstLine="54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地点：南宁市公共资源交易中心（</w:t>
      </w:r>
      <w:r>
        <w:rPr>
          <w:rFonts w:hint="eastAsia" w:asciiTheme="minorEastAsia" w:hAnsiTheme="minorEastAsia" w:eastAsiaTheme="minorEastAsia" w:cstheme="minorEastAsia"/>
          <w:sz w:val="21"/>
          <w:szCs w:val="21"/>
          <w:highlight w:val="none"/>
          <w:lang w:eastAsia="zh-CN"/>
        </w:rPr>
        <w:t>https://ggzy.nanning.gov.cn/gxnnzbw/</w:t>
      </w:r>
      <w:r>
        <w:rPr>
          <w:rFonts w:hint="eastAsia" w:asciiTheme="minorEastAsia" w:hAnsiTheme="minorEastAsia" w:eastAsiaTheme="minorEastAsia" w:cstheme="minorEastAsia"/>
          <w:sz w:val="21"/>
          <w:szCs w:val="21"/>
          <w:highlight w:val="none"/>
        </w:rPr>
        <w:t>）的信息公告处</w:t>
      </w:r>
      <w:r>
        <w:rPr>
          <w:rFonts w:hint="eastAsia" w:asciiTheme="minorEastAsia" w:hAnsiTheme="minorEastAsia" w:eastAsiaTheme="minorEastAsia" w:cstheme="minorEastAsia"/>
          <w:sz w:val="21"/>
          <w:szCs w:val="21"/>
          <w:highlight w:val="none"/>
          <w:lang w:eastAsia="zh-CN"/>
        </w:rPr>
        <w:t>。</w:t>
      </w:r>
    </w:p>
    <w:p>
      <w:pPr>
        <w:spacing w:line="360" w:lineRule="auto"/>
        <w:ind w:firstLine="540"/>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方式：</w:t>
      </w:r>
      <w:r>
        <w:rPr>
          <w:rFonts w:hint="eastAsia" w:asciiTheme="minorEastAsia" w:hAnsiTheme="minorEastAsia" w:eastAsiaTheme="minorEastAsia" w:cstheme="minorEastAsia"/>
          <w:sz w:val="21"/>
          <w:szCs w:val="21"/>
          <w:highlight w:val="none"/>
          <w:lang w:val="en-US" w:eastAsia="zh-CN"/>
        </w:rPr>
        <w:t>网上获取</w:t>
      </w:r>
    </w:p>
    <w:p>
      <w:pPr>
        <w:pStyle w:val="5"/>
        <w:spacing w:line="360" w:lineRule="auto"/>
        <w:rPr>
          <w:rFonts w:hint="eastAsia" w:asciiTheme="minorEastAsia" w:hAnsiTheme="minorEastAsia" w:eastAsiaTheme="minorEastAsia" w:cstheme="minorEastAsia"/>
          <w:b/>
          <w:bCs w:val="0"/>
          <w:sz w:val="21"/>
          <w:szCs w:val="21"/>
          <w:highlight w:val="none"/>
        </w:rPr>
      </w:pPr>
      <w:bookmarkStart w:id="40" w:name="_Toc35393778"/>
      <w:bookmarkStart w:id="41" w:name="_Toc26178"/>
      <w:bookmarkStart w:id="42" w:name="_Toc35393609"/>
      <w:bookmarkStart w:id="43" w:name="_Toc18436"/>
      <w:r>
        <w:rPr>
          <w:rFonts w:hint="eastAsia" w:asciiTheme="minorEastAsia" w:hAnsiTheme="minorEastAsia" w:eastAsiaTheme="minorEastAsia" w:cstheme="minorEastAsia"/>
          <w:b/>
          <w:bCs w:val="0"/>
          <w:sz w:val="21"/>
          <w:szCs w:val="21"/>
          <w:highlight w:val="none"/>
        </w:rPr>
        <w:t>四、资格预审申请文件的组成及格式</w:t>
      </w:r>
      <w:bookmarkEnd w:id="40"/>
      <w:bookmarkEnd w:id="41"/>
      <w:bookmarkEnd w:id="42"/>
      <w:bookmarkEnd w:id="43"/>
    </w:p>
    <w:p>
      <w:pPr>
        <w:pStyle w:val="38"/>
        <w:spacing w:line="360" w:lineRule="auto"/>
        <w:ind w:left="495"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（详见资格预审文件）</w:t>
      </w:r>
    </w:p>
    <w:p>
      <w:pPr>
        <w:pStyle w:val="5"/>
        <w:spacing w:line="360" w:lineRule="auto"/>
        <w:rPr>
          <w:rFonts w:hint="eastAsia" w:asciiTheme="minorEastAsia" w:hAnsiTheme="minorEastAsia" w:eastAsiaTheme="minorEastAsia" w:cstheme="minorEastAsia"/>
          <w:b w:val="0"/>
          <w:sz w:val="21"/>
          <w:szCs w:val="21"/>
          <w:highlight w:val="none"/>
        </w:rPr>
      </w:pPr>
      <w:bookmarkStart w:id="44" w:name="_Toc17946"/>
      <w:bookmarkStart w:id="45" w:name="_Toc35393610"/>
      <w:bookmarkStart w:id="46" w:name="_Toc28359069"/>
      <w:bookmarkStart w:id="47" w:name="_Toc35393779"/>
      <w:bookmarkStart w:id="48" w:name="_Toc22899"/>
      <w:bookmarkStart w:id="49" w:name="_Toc28358992"/>
      <w:bookmarkStart w:id="50" w:name="_Toc14034"/>
      <w:bookmarkStart w:id="51" w:name="_Toc2583681"/>
      <w:bookmarkStart w:id="52" w:name="_Toc24621"/>
      <w:bookmarkStart w:id="53" w:name="_Toc18041"/>
      <w:r>
        <w:rPr>
          <w:rFonts w:hint="eastAsia" w:asciiTheme="minorEastAsia" w:hAnsiTheme="minorEastAsia" w:eastAsiaTheme="minorEastAsia" w:cstheme="minorEastAsia"/>
          <w:b w:val="0"/>
          <w:sz w:val="21"/>
          <w:szCs w:val="21"/>
          <w:highlight w:val="none"/>
        </w:rPr>
        <w:t>五、资格预审的审查标准及方法</w:t>
      </w:r>
      <w:bookmarkEnd w:id="44"/>
      <w:bookmarkEnd w:id="45"/>
      <w:bookmarkEnd w:id="46"/>
      <w:bookmarkEnd w:id="47"/>
      <w:bookmarkEnd w:id="48"/>
      <w:bookmarkEnd w:id="49"/>
    </w:p>
    <w:p>
      <w:pP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auto"/>
          <w:sz w:val="21"/>
          <w:szCs w:val="21"/>
          <w:highlight w:val="none"/>
        </w:rPr>
        <w:t>本次资格预审采用</w:t>
      </w:r>
      <w:r>
        <w:rPr>
          <w:rFonts w:hint="eastAsia" w:asciiTheme="minorEastAsia" w:hAnsiTheme="minorEastAsia" w:eastAsiaTheme="minorEastAsia" w:cstheme="minorEastAsia"/>
          <w:color w:val="auto"/>
          <w:sz w:val="21"/>
          <w:szCs w:val="21"/>
          <w:highlight w:val="none"/>
          <w:u w:val="single"/>
        </w:rPr>
        <w:t>合格制</w:t>
      </w:r>
      <w:r>
        <w:rPr>
          <w:rFonts w:hint="eastAsia" w:asciiTheme="minorEastAsia" w:hAnsiTheme="minorEastAsia" w:eastAsiaTheme="minorEastAsia" w:cstheme="minorEastAsia"/>
          <w:color w:val="auto"/>
          <w:sz w:val="21"/>
          <w:szCs w:val="21"/>
          <w:highlight w:val="none"/>
        </w:rPr>
        <w:t>。凡符合资格条件的申请人均通过资格预审。本项目有3家以上（含3家）申请人通过资格预审的，项目实施机构可以继续开展采购文件准备工作；项目通过资格预审的申请人不足3家的，项目实施机构应当在调整资格预审公告内容后重新组织资格预审；项目经重新资格预审后合格申请人仍不够3家的，可以依法变更采购方式。</w:t>
      </w:r>
    </w:p>
    <w:p>
      <w:pPr>
        <w:pStyle w:val="5"/>
        <w:spacing w:line="360" w:lineRule="auto"/>
        <w:rPr>
          <w:rFonts w:hint="eastAsia" w:asciiTheme="minorEastAsia" w:hAnsiTheme="minorEastAsia" w:eastAsiaTheme="minorEastAsia" w:cstheme="minorEastAsia"/>
          <w:sz w:val="21"/>
          <w:szCs w:val="21"/>
          <w:highlight w:val="none"/>
        </w:rPr>
      </w:pPr>
      <w:bookmarkStart w:id="54" w:name="_Toc30177"/>
      <w:bookmarkStart w:id="55" w:name="_Toc28359070"/>
      <w:bookmarkStart w:id="56" w:name="_Toc31706"/>
      <w:bookmarkStart w:id="57" w:name="_Toc35393611"/>
      <w:bookmarkStart w:id="58" w:name="_Toc28358993"/>
      <w:bookmarkStart w:id="59" w:name="_Toc35393780"/>
      <w:r>
        <w:rPr>
          <w:rFonts w:hint="eastAsia" w:asciiTheme="minorEastAsia" w:hAnsiTheme="minorEastAsia" w:eastAsiaTheme="minorEastAsia" w:cstheme="minorEastAsia"/>
          <w:b w:val="0"/>
          <w:sz w:val="21"/>
          <w:szCs w:val="21"/>
          <w:highlight w:val="none"/>
        </w:rPr>
        <w:t>六、拟邀请参加投标的供应商数量</w:t>
      </w:r>
      <w:bookmarkEnd w:id="50"/>
      <w:bookmarkEnd w:id="51"/>
      <w:bookmarkEnd w:id="52"/>
      <w:bookmarkEnd w:id="53"/>
      <w:bookmarkEnd w:id="54"/>
      <w:bookmarkEnd w:id="55"/>
      <w:bookmarkEnd w:id="56"/>
      <w:bookmarkEnd w:id="57"/>
      <w:bookmarkEnd w:id="58"/>
      <w:bookmarkEnd w:id="59"/>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邀请全部通过资格预审供应商参加投标。</w:t>
      </w:r>
    </w:p>
    <w:p>
      <w:pPr>
        <w:pStyle w:val="5"/>
        <w:spacing w:line="360" w:lineRule="auto"/>
        <w:rPr>
          <w:rFonts w:hint="eastAsia" w:asciiTheme="minorEastAsia" w:hAnsiTheme="minorEastAsia" w:eastAsiaTheme="minorEastAsia" w:cstheme="minorEastAsia"/>
          <w:b w:val="0"/>
          <w:sz w:val="21"/>
          <w:szCs w:val="21"/>
          <w:highlight w:val="none"/>
        </w:rPr>
      </w:pPr>
      <w:bookmarkStart w:id="60" w:name="_Toc213"/>
      <w:bookmarkStart w:id="61" w:name="_Toc515744793"/>
      <w:bookmarkStart w:id="62" w:name="_Toc2583682"/>
      <w:bookmarkStart w:id="63" w:name="_Toc20522"/>
      <w:bookmarkStart w:id="64" w:name="_Toc22873"/>
      <w:bookmarkStart w:id="65" w:name="_Toc35393781"/>
      <w:bookmarkStart w:id="66" w:name="_Toc28359071"/>
      <w:bookmarkStart w:id="67" w:name="_Toc24053"/>
      <w:bookmarkStart w:id="68" w:name="_Toc28358994"/>
      <w:bookmarkStart w:id="69" w:name="_Toc35393612"/>
      <w:bookmarkStart w:id="70" w:name="_Toc31187"/>
      <w:r>
        <w:rPr>
          <w:rFonts w:hint="eastAsia" w:asciiTheme="minorEastAsia" w:hAnsiTheme="minorEastAsia" w:eastAsiaTheme="minorEastAsia" w:cstheme="minorEastAsia"/>
          <w:b w:val="0"/>
          <w:sz w:val="21"/>
          <w:szCs w:val="21"/>
          <w:highlight w:val="none"/>
        </w:rPr>
        <w:t>七、申请文件</w:t>
      </w:r>
      <w:bookmarkEnd w:id="60"/>
      <w:bookmarkEnd w:id="61"/>
      <w:bookmarkEnd w:id="62"/>
      <w:bookmarkEnd w:id="63"/>
      <w:bookmarkEnd w:id="64"/>
      <w:r>
        <w:rPr>
          <w:rFonts w:hint="eastAsia" w:asciiTheme="minorEastAsia" w:hAnsiTheme="minorEastAsia" w:eastAsiaTheme="minorEastAsia" w:cstheme="minorEastAsia"/>
          <w:b w:val="0"/>
          <w:sz w:val="21"/>
          <w:szCs w:val="21"/>
          <w:highlight w:val="none"/>
        </w:rPr>
        <w:t>提交</w:t>
      </w:r>
      <w:bookmarkEnd w:id="65"/>
      <w:bookmarkEnd w:id="66"/>
      <w:bookmarkEnd w:id="67"/>
      <w:bookmarkEnd w:id="68"/>
      <w:bookmarkEnd w:id="69"/>
      <w:bookmarkEnd w:id="70"/>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应在</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（北京时间）前，将申请文件提交至</w:t>
      </w:r>
      <w:r>
        <w:rPr>
          <w:rFonts w:hint="eastAsia" w:asciiTheme="minorEastAsia" w:hAnsiTheme="minorEastAsia" w:eastAsiaTheme="minorEastAsia" w:cstheme="minorEastAsia"/>
          <w:bCs/>
          <w:i w:val="0"/>
          <w:iCs w:val="0"/>
          <w:sz w:val="21"/>
          <w:szCs w:val="21"/>
          <w:highlight w:val="none"/>
          <w:u w:val="single"/>
        </w:rPr>
        <w:t>南宁市良庆区玉洞大道33号（青少年活动中心旁）南宁市民中心9楼南宁市公共资源交易中心交易厅（详见9楼电子显示屏场地安排）</w:t>
      </w:r>
      <w:r>
        <w:rPr>
          <w:rFonts w:hint="eastAsia" w:asciiTheme="minorEastAsia" w:hAnsiTheme="minorEastAsia" w:eastAsiaTheme="minorEastAsia" w:cstheme="minorEastAsia"/>
          <w:i w:val="0"/>
          <w:iCs w:val="0"/>
          <w:sz w:val="21"/>
          <w:szCs w:val="21"/>
          <w:highlight w:val="none"/>
          <w:u w:val="single"/>
        </w:rPr>
        <w:t>。</w:t>
      </w:r>
    </w:p>
    <w:p>
      <w:pPr>
        <w:pStyle w:val="5"/>
        <w:spacing w:line="360" w:lineRule="auto"/>
        <w:rPr>
          <w:rFonts w:hint="eastAsia" w:asciiTheme="minorEastAsia" w:hAnsiTheme="minorEastAsia" w:eastAsiaTheme="minorEastAsia" w:cstheme="minorEastAsia"/>
          <w:b w:val="0"/>
          <w:sz w:val="21"/>
          <w:szCs w:val="21"/>
          <w:highlight w:val="none"/>
        </w:rPr>
      </w:pPr>
      <w:bookmarkStart w:id="71" w:name="_Toc28359072"/>
      <w:bookmarkStart w:id="72" w:name="_Toc515744794"/>
      <w:bookmarkStart w:id="73" w:name="_Toc2583683"/>
      <w:bookmarkStart w:id="74" w:name="_Toc35393613"/>
      <w:bookmarkStart w:id="75" w:name="_Toc1833"/>
      <w:bookmarkStart w:id="76" w:name="_Toc25604"/>
      <w:bookmarkStart w:id="77" w:name="_Toc7602"/>
      <w:bookmarkStart w:id="78" w:name="_Toc25982"/>
      <w:bookmarkStart w:id="79" w:name="_Toc35393782"/>
      <w:bookmarkStart w:id="80" w:name="_Toc16378"/>
      <w:bookmarkStart w:id="81" w:name="_Toc28358995"/>
      <w:r>
        <w:rPr>
          <w:rFonts w:hint="eastAsia" w:asciiTheme="minorEastAsia" w:hAnsiTheme="minorEastAsia" w:eastAsiaTheme="minorEastAsia" w:cstheme="minorEastAsia"/>
          <w:b w:val="0"/>
          <w:sz w:val="21"/>
          <w:szCs w:val="21"/>
          <w:highlight w:val="none"/>
        </w:rPr>
        <w:t>八、资格预审日期</w:t>
      </w:r>
      <w:bookmarkEnd w:id="71"/>
      <w:bookmarkEnd w:id="72"/>
      <w:bookmarkEnd w:id="73"/>
      <w:bookmarkEnd w:id="74"/>
      <w:bookmarkEnd w:id="75"/>
      <w:bookmarkEnd w:id="76"/>
      <w:bookmarkEnd w:id="77"/>
      <w:bookmarkEnd w:id="78"/>
      <w:bookmarkEnd w:id="79"/>
      <w:bookmarkEnd w:id="80"/>
      <w:bookmarkEnd w:id="81"/>
    </w:p>
    <w:p>
      <w:pPr>
        <w:spacing w:line="360" w:lineRule="auto"/>
        <w:ind w:firstLine="420" w:firstLineChars="200"/>
        <w:rPr>
          <w:rFonts w:hint="eastAsia" w:asciiTheme="minorEastAsia" w:hAnsiTheme="minorEastAsia" w:eastAsiaTheme="minorEastAsia" w:cstheme="minorEastAsia"/>
          <w:b/>
          <w:kern w:val="0"/>
          <w:sz w:val="21"/>
          <w:szCs w:val="21"/>
          <w:highlight w:val="none"/>
          <w:u w:val="single"/>
          <w:lang w:eastAsia="zh-CN"/>
        </w:rPr>
      </w:pPr>
      <w:r>
        <w:rPr>
          <w:rFonts w:hint="eastAsia" w:asciiTheme="minorEastAsia" w:hAnsiTheme="minorEastAsia" w:eastAsiaTheme="minorEastAsia" w:cstheme="minorEastAsia"/>
          <w:kern w:val="0"/>
          <w:sz w:val="21"/>
          <w:szCs w:val="21"/>
          <w:highlight w:val="none"/>
        </w:rPr>
        <w:t>资格预审日期为申请文件提交截止时间至</w:t>
      </w:r>
      <w:r>
        <w:rPr>
          <w:rFonts w:hint="eastAsia" w:asciiTheme="minorEastAsia" w:hAnsiTheme="minorEastAsia" w:eastAsiaTheme="minorEastAsia" w:cstheme="minorEastAsia"/>
          <w:sz w:val="21"/>
          <w:szCs w:val="21"/>
          <w:highlight w:val="none"/>
          <w:u w:val="single"/>
          <w:lang w:val="en-US" w:eastAsia="zh-CN"/>
        </w:rPr>
        <w:t>2022</w:t>
      </w:r>
      <w:r>
        <w:rPr>
          <w:rFonts w:hint="eastAsia" w:asciiTheme="minorEastAsia" w:hAnsiTheme="minorEastAsia" w:eastAsiaTheme="minorEastAsia" w:cstheme="minorEastAsia"/>
          <w:bCs/>
          <w:sz w:val="21"/>
          <w:szCs w:val="21"/>
          <w:highlight w:val="none"/>
          <w:u w:val="single"/>
        </w:rPr>
        <w:t>年</w:t>
      </w:r>
      <w:r>
        <w:rPr>
          <w:rFonts w:hint="eastAsia" w:asciiTheme="minorEastAsia" w:hAnsiTheme="minorEastAsia" w:eastAsiaTheme="minorEastAsia" w:cstheme="minorEastAsia"/>
          <w:bCs/>
          <w:sz w:val="21"/>
          <w:szCs w:val="21"/>
          <w:highlight w:val="none"/>
          <w:u w:val="single"/>
          <w:lang w:val="en-US" w:eastAsia="zh-CN"/>
        </w:rPr>
        <w:t>9</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09</w:t>
      </w:r>
      <w:r>
        <w:rPr>
          <w:rFonts w:hint="eastAsia" w:asciiTheme="minorEastAsia" w:hAnsiTheme="minorEastAsia" w:eastAsiaTheme="minorEastAsia" w:cstheme="minorEastAsia"/>
          <w:bCs/>
          <w:sz w:val="21"/>
          <w:szCs w:val="21"/>
          <w:highlight w:val="none"/>
          <w:u w:val="single"/>
        </w:rPr>
        <w:t>点</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kern w:val="0"/>
          <w:sz w:val="21"/>
          <w:szCs w:val="21"/>
          <w:highlight w:val="none"/>
        </w:rPr>
        <w:t>前</w:t>
      </w:r>
    </w:p>
    <w:p>
      <w:pPr>
        <w:pStyle w:val="5"/>
        <w:spacing w:line="360" w:lineRule="auto"/>
        <w:rPr>
          <w:rFonts w:hint="eastAsia" w:asciiTheme="minorEastAsia" w:hAnsiTheme="minorEastAsia" w:eastAsiaTheme="minorEastAsia" w:cstheme="minorEastAsia"/>
          <w:b w:val="0"/>
          <w:sz w:val="21"/>
          <w:szCs w:val="21"/>
          <w:highlight w:val="none"/>
        </w:rPr>
      </w:pPr>
      <w:bookmarkStart w:id="82" w:name="_Toc35393614"/>
      <w:bookmarkStart w:id="83" w:name="_Toc28359073"/>
      <w:bookmarkStart w:id="84" w:name="_Toc28358996"/>
      <w:bookmarkStart w:id="85" w:name="_Toc35393783"/>
      <w:bookmarkStart w:id="86" w:name="_Toc7806"/>
      <w:bookmarkStart w:id="87" w:name="_Toc26985"/>
      <w:r>
        <w:rPr>
          <w:rFonts w:hint="eastAsia" w:asciiTheme="minorEastAsia" w:hAnsiTheme="minorEastAsia" w:eastAsiaTheme="minorEastAsia" w:cstheme="minorEastAsia"/>
          <w:b w:val="0"/>
          <w:sz w:val="21"/>
          <w:szCs w:val="21"/>
          <w:highlight w:val="none"/>
        </w:rPr>
        <w:t>九、公告期限</w:t>
      </w:r>
      <w:bookmarkEnd w:id="82"/>
      <w:bookmarkEnd w:id="83"/>
      <w:bookmarkEnd w:id="84"/>
      <w:bookmarkEnd w:id="85"/>
      <w:bookmarkEnd w:id="86"/>
      <w:bookmarkEnd w:id="87"/>
    </w:p>
    <w:p>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自本公告发布之日起5个工作日。</w:t>
      </w:r>
    </w:p>
    <w:p>
      <w:pPr>
        <w:pStyle w:val="5"/>
        <w:spacing w:line="360" w:lineRule="auto"/>
        <w:rPr>
          <w:rFonts w:hint="eastAsia" w:asciiTheme="minorEastAsia" w:hAnsiTheme="minorEastAsia" w:eastAsiaTheme="minorEastAsia" w:cstheme="minorEastAsia"/>
          <w:b w:val="0"/>
          <w:sz w:val="21"/>
          <w:szCs w:val="21"/>
          <w:highlight w:val="none"/>
        </w:rPr>
      </w:pPr>
      <w:bookmarkStart w:id="88" w:name="_Toc35393615"/>
      <w:bookmarkStart w:id="89" w:name="_Toc31860"/>
      <w:bookmarkStart w:id="90" w:name="_Toc35393784"/>
      <w:bookmarkStart w:id="91" w:name="_Toc15159"/>
      <w:r>
        <w:rPr>
          <w:rFonts w:hint="eastAsia" w:asciiTheme="minorEastAsia" w:hAnsiTheme="minorEastAsia" w:eastAsiaTheme="minorEastAsia" w:cstheme="minorEastAsia"/>
          <w:b w:val="0"/>
          <w:sz w:val="21"/>
          <w:szCs w:val="21"/>
          <w:highlight w:val="none"/>
        </w:rPr>
        <w:t>十、其他补充事宜</w:t>
      </w:r>
      <w:bookmarkEnd w:id="88"/>
      <w:bookmarkEnd w:id="89"/>
      <w:bookmarkEnd w:id="90"/>
      <w:bookmarkEnd w:id="91"/>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1、本次资格预审公告在以下媒体发布：</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（1）中国政府采购网: http://www.ccgp.gov.cn/</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广西政府采购网</w:t>
      </w:r>
      <w:r>
        <w:rPr>
          <w:rFonts w:hint="eastAsia" w:asciiTheme="minorEastAsia" w:hAnsiTheme="minorEastAsia" w:eastAsiaTheme="minorEastAsia" w:cstheme="minorEastAsia"/>
          <w:color w:val="auto"/>
          <w:sz w:val="21"/>
          <w:szCs w:val="21"/>
          <w:highlight w:val="none"/>
        </w:rPr>
        <w:t>：http://zfcg.gxzf.gov.cn/</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（3）南宁市公共资源交易中心网：</w:t>
      </w:r>
      <w:r>
        <w:rPr>
          <w:rFonts w:hint="eastAsia" w:asciiTheme="minorEastAsia" w:hAnsiTheme="minorEastAsia" w:eastAsiaTheme="minorEastAsia" w:cstheme="minorEastAsia"/>
          <w:color w:val="auto"/>
          <w:sz w:val="21"/>
          <w:szCs w:val="21"/>
          <w:highlight w:val="none"/>
          <w:lang w:eastAsia="zh-CN"/>
        </w:rPr>
        <w:t>https://ggzy.nanning.gov.cn/gxnnzbw/</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2、采购人可能对本资格预审公告进行修改，若有修改，采购人将发布澄清公告，与本项目相关的一切信息将以重新发布的公告为准，在公告</w:t>
      </w:r>
      <w:r>
        <w:rPr>
          <w:rFonts w:hint="eastAsia" w:asciiTheme="minorEastAsia" w:hAnsiTheme="minorEastAsia" w:eastAsiaTheme="minorEastAsia" w:cstheme="minorEastAsia"/>
          <w:color w:val="auto"/>
          <w:kern w:val="0"/>
          <w:sz w:val="21"/>
          <w:szCs w:val="21"/>
          <w:highlight w:val="none"/>
          <w:lang w:val="zh-CN"/>
        </w:rPr>
        <w:t>公示</w:t>
      </w:r>
      <w:r>
        <w:rPr>
          <w:rFonts w:hint="eastAsia" w:asciiTheme="minorEastAsia" w:hAnsiTheme="minorEastAsia" w:eastAsiaTheme="minorEastAsia" w:cstheme="minorEastAsia"/>
          <w:color w:val="auto"/>
          <w:sz w:val="21"/>
          <w:szCs w:val="21"/>
          <w:highlight w:val="none"/>
        </w:rPr>
        <w:t>期间内受理意见。</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资格预审文件递交结束后，采购人组织资格预审委员会对所有递交资格预审申请文件的申请人进行资格预审，并按规定将资格预审结果进行公示。公示中未能入选成为本项目的申请人，采购人和采购代理机构对此不承担解释的责任。</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4、采购人定于资格预审结束后通知参加资格预审的社会资本方，具体将以公告的方式通知。</w:t>
      </w:r>
    </w:p>
    <w:p>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根据《南宁市机关事务管理局关于恢复非全流程电子招标采购项目现场递交投标（响应）文件模式的通知》南机事函【2021】71号文规定，自2021年4月1日起，凡进入南宁市公共资源统一交易平台（含各县区分支机构）招标采购的非全流程电子化（纸质标）项目，申请人可自行选择到现场递交投标（响应）文件或通过邮寄方式寄送，自行决定是否安排授权代表（限1人）现场参加项目的开标活动，并对投标（响应）文件作出澄清、说明或补正（如评标评审过程中需要）。</w:t>
      </w:r>
    </w:p>
    <w:p>
      <w:pPr>
        <w:pStyle w:val="8"/>
        <w:numPr>
          <w:ilvl w:val="0"/>
          <w:numId w:val="0"/>
        </w:numPr>
        <w:kinsoku/>
        <w:overflowPunct/>
        <w:bidi w:val="0"/>
        <w:adjustRightInd/>
        <w:snapToGrid/>
        <w:spacing w:before="157" w:beforeLines="50" w:line="360" w:lineRule="auto"/>
        <w:ind w:firstLine="420" w:firstLineChars="20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现场递交资格预审申请文件的，申请人应于资格审查截止时间前，将资格预审申请文件密封提交到南宁市良庆区玉洞大道33号（青少年活动中心旁）南宁市民中心9楼南宁市公共资源交易中心交易厅（详见9楼电子显示屏场地安排），逾期送达的将予以拒收。(注：现场递交资格预审申请文件的每家申请人代表仅限1人参加，并严格按照交易中心现场疫情防控各项要求，各自做好相关防护工作，若因申请人代表不符合交易中心现场疫情防控各项要求而无法就进入交易中心，导致无法按时投标的，后果由申请人自行负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具体防控事项请详见http://ggzy.nanning.gov.cn/zwdt/gzdt/t5321557.html。</w:t>
      </w:r>
    </w:p>
    <w:p>
      <w:pP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（2）资格预审申请文件通过邮寄快递的方式送达的按以下要求：①资格预审申请文件邮寄地址：南宁市良庆区盘歌路6号富雅·国际生活广场A座五层509号房；收件人：</w:t>
      </w:r>
      <w:r>
        <w:rPr>
          <w:rFonts w:hint="eastAsia" w:asciiTheme="minorEastAsia" w:hAnsiTheme="minorEastAsia" w:eastAsiaTheme="minorEastAsia" w:cstheme="minorEastAsia"/>
          <w:color w:val="auto"/>
          <w:sz w:val="21"/>
          <w:szCs w:val="21"/>
          <w:highlight w:val="none"/>
          <w:lang w:eastAsia="zh-CN"/>
        </w:rPr>
        <w:t>黄国明</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0771-2833331。</w:t>
      </w:r>
      <w:r>
        <w:rPr>
          <w:rFonts w:hint="eastAsia" w:asciiTheme="minorEastAsia" w:hAnsiTheme="minorEastAsia" w:eastAsiaTheme="minorEastAsia" w:cstheme="minorEastAsia"/>
          <w:color w:val="auto"/>
          <w:sz w:val="21"/>
          <w:szCs w:val="21"/>
          <w:highlight w:val="none"/>
        </w:rPr>
        <w:t>②接收邮寄包裹的时间为工作日9：00～17：00。资格预审申请文件必须在资格审查截止时间前送达，且须交由采购代理机构当面签收。采购代理机构签收邮寄包裹的时间即为申请人资格预审申请文件的送达时间，逾期送达的资格预审申请文件无效，后果由申请人自行承担。③采购代理机构将在资格预审申请文件递交截止时间前一个半小时（即8时00分）统一将收到的资格预审申请文件运送至南宁市公共资源交易中心，以确保本项目能在资格预审申请文件递交截止（开标）时间准时截标。申请人应充分预留资格预审申请文件邮寄、送达所需要的时间。为确保疫情防控期间邮寄包裹能及时送达，应选择邮寄运送时间有保障的快递公司寄送资格预审申请文件，并确保在资格审查截止日期1日前送达。 ④申请人在按照采购文件的要求装订、密封好资格预审申请文件后，应使用不透明、防水的邮寄袋或箱子再次包裹已密封好的资格预审申请文件，并在邮寄袋或箱子上粘牢注明项目名称、项目编号、项目开标日期、有效的电子邮箱、申请人名称、联系人及联系方式等内容的纸质表格。如招标人或采购代理机构收到的邮寄包裹未按上述要求进行标识，造成无法将资格预审申请文件提交至该项目截标评审环节的，由此产生的后果由申请人自行承担。</w:t>
      </w:r>
    </w:p>
    <w:p>
      <w:pPr>
        <w:pStyle w:val="5"/>
        <w:spacing w:line="360" w:lineRule="auto"/>
        <w:rPr>
          <w:rFonts w:hint="eastAsia" w:asciiTheme="minorEastAsia" w:hAnsiTheme="minorEastAsia" w:eastAsiaTheme="minorEastAsia" w:cstheme="minorEastAsia"/>
          <w:b w:val="0"/>
          <w:sz w:val="21"/>
          <w:szCs w:val="21"/>
          <w:highlight w:val="none"/>
        </w:rPr>
      </w:pPr>
      <w:bookmarkStart w:id="92" w:name="_Toc28358997"/>
      <w:bookmarkStart w:id="93" w:name="_Toc35393785"/>
      <w:bookmarkStart w:id="94" w:name="_Toc23505"/>
      <w:bookmarkStart w:id="95" w:name="_Toc6831"/>
      <w:bookmarkStart w:id="96" w:name="_Toc28359074"/>
      <w:bookmarkStart w:id="97" w:name="_Toc35393616"/>
      <w:r>
        <w:rPr>
          <w:rFonts w:hint="eastAsia" w:asciiTheme="minorEastAsia" w:hAnsiTheme="minorEastAsia" w:eastAsiaTheme="minorEastAsia" w:cstheme="minorEastAsia"/>
          <w:b w:val="0"/>
          <w:sz w:val="21"/>
          <w:szCs w:val="21"/>
          <w:highlight w:val="none"/>
        </w:rPr>
        <w:t>十一、凡对本次资格预审提出询问，请按以下方式联系</w:t>
      </w:r>
      <w:bookmarkEnd w:id="92"/>
      <w:bookmarkEnd w:id="93"/>
      <w:bookmarkEnd w:id="94"/>
      <w:bookmarkEnd w:id="95"/>
      <w:bookmarkEnd w:id="96"/>
      <w:bookmarkEnd w:id="97"/>
    </w:p>
    <w:p>
      <w:pPr>
        <w:pStyle w:val="5"/>
        <w:spacing w:line="360" w:lineRule="auto"/>
        <w:rPr>
          <w:rFonts w:hint="eastAsia" w:asciiTheme="minorEastAsia" w:hAnsiTheme="minorEastAsia" w:eastAsiaTheme="minorEastAsia" w:cstheme="minorEastAsia"/>
          <w:b w:val="0"/>
          <w:sz w:val="21"/>
          <w:szCs w:val="21"/>
          <w:highlight w:val="none"/>
        </w:rPr>
      </w:pPr>
      <w:bookmarkStart w:id="98" w:name="_Toc17"/>
      <w:bookmarkStart w:id="99" w:name="_Toc35393786"/>
      <w:bookmarkStart w:id="100" w:name="_Toc35393617"/>
      <w:bookmarkStart w:id="101" w:name="_Toc28358998"/>
      <w:bookmarkStart w:id="102" w:name="_Toc11691"/>
      <w:bookmarkStart w:id="103" w:name="_Toc28359075"/>
      <w:r>
        <w:rPr>
          <w:rFonts w:hint="eastAsia" w:asciiTheme="minorEastAsia" w:hAnsiTheme="minorEastAsia" w:eastAsiaTheme="minorEastAsia" w:cstheme="minorEastAsia"/>
          <w:b w:val="0"/>
          <w:sz w:val="21"/>
          <w:szCs w:val="21"/>
          <w:highlight w:val="none"/>
        </w:rPr>
        <w:t>1.采购人信息</w:t>
      </w:r>
      <w:bookmarkEnd w:id="98"/>
      <w:bookmarkEnd w:id="99"/>
      <w:bookmarkEnd w:id="100"/>
      <w:bookmarkEnd w:id="101"/>
      <w:bookmarkEnd w:id="102"/>
      <w:bookmarkEnd w:id="103"/>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r>
        <w:rPr>
          <w:rFonts w:hint="eastAsia" w:asciiTheme="minorEastAsia" w:hAnsiTheme="minorEastAsia" w:eastAsiaTheme="minorEastAsia" w:cstheme="minorEastAsia"/>
          <w:color w:val="auto"/>
          <w:sz w:val="21"/>
          <w:szCs w:val="21"/>
          <w:highlight w:val="none"/>
          <w:u w:val="single"/>
          <w:lang w:val="en-US" w:eastAsia="zh-CN"/>
        </w:rPr>
        <w:t>南宁市城市更新和物业管理指导中心</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color w:val="auto"/>
          <w:sz w:val="21"/>
          <w:szCs w:val="21"/>
          <w:highlight w:val="none"/>
          <w:u w:val="single"/>
        </w:rPr>
        <w:t>南宁市园湖北路3</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u w:val="single"/>
        </w:rPr>
        <w:t>号</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联系方式：</w:t>
      </w:r>
      <w:r>
        <w:rPr>
          <w:rFonts w:hint="eastAsia" w:asciiTheme="minorEastAsia" w:hAnsiTheme="minorEastAsia" w:eastAsiaTheme="minorEastAsia" w:cstheme="minorEastAsia"/>
          <w:color w:val="auto"/>
          <w:sz w:val="21"/>
          <w:szCs w:val="21"/>
          <w:highlight w:val="none"/>
          <w:u w:val="single"/>
        </w:rPr>
        <w:t>0771</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2817503</w:t>
      </w:r>
    </w:p>
    <w:p>
      <w:pPr>
        <w:pStyle w:val="5"/>
        <w:spacing w:line="360" w:lineRule="auto"/>
        <w:rPr>
          <w:rFonts w:hint="eastAsia" w:asciiTheme="minorEastAsia" w:hAnsiTheme="minorEastAsia" w:eastAsiaTheme="minorEastAsia" w:cstheme="minorEastAsia"/>
          <w:b w:val="0"/>
          <w:sz w:val="21"/>
          <w:szCs w:val="21"/>
          <w:highlight w:val="none"/>
        </w:rPr>
      </w:pPr>
      <w:bookmarkStart w:id="104" w:name="_Toc5752"/>
      <w:bookmarkStart w:id="105" w:name="_Toc28359076"/>
      <w:bookmarkStart w:id="106" w:name="_Toc31738"/>
      <w:bookmarkStart w:id="107" w:name="_Toc35393787"/>
      <w:bookmarkStart w:id="108" w:name="_Toc35393618"/>
      <w:bookmarkStart w:id="109" w:name="_Toc28358999"/>
      <w:r>
        <w:rPr>
          <w:rFonts w:hint="eastAsia" w:asciiTheme="minorEastAsia" w:hAnsiTheme="minorEastAsia" w:eastAsiaTheme="minorEastAsia" w:cstheme="minorEastAsia"/>
          <w:b w:val="0"/>
          <w:sz w:val="21"/>
          <w:szCs w:val="21"/>
          <w:highlight w:val="none"/>
        </w:rPr>
        <w:t>2.采购代理机构信息</w:t>
      </w:r>
      <w:bookmarkEnd w:id="104"/>
      <w:bookmarkEnd w:id="105"/>
      <w:bookmarkEnd w:id="106"/>
      <w:bookmarkEnd w:id="107"/>
      <w:bookmarkEnd w:id="108"/>
      <w:bookmarkEnd w:id="109"/>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r>
        <w:rPr>
          <w:rFonts w:hint="eastAsia" w:asciiTheme="minorEastAsia" w:hAnsiTheme="minorEastAsia" w:eastAsiaTheme="minorEastAsia" w:cstheme="minorEastAsia"/>
          <w:sz w:val="21"/>
          <w:szCs w:val="21"/>
          <w:highlight w:val="none"/>
          <w:u w:val="single"/>
        </w:rPr>
        <w:t>广西景钲工程咨询有限公司</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r>
        <w:rPr>
          <w:rFonts w:hint="eastAsia" w:ascii="宋体" w:hAnsi="宋体"/>
          <w:color w:val="auto"/>
          <w:szCs w:val="21"/>
          <w:highlight w:val="none"/>
          <w:u w:val="single"/>
        </w:rPr>
        <w:t>南宁市良庆区盘歌路6号富雅·国际生活广场A座五层509号房</w:t>
      </w:r>
    </w:p>
    <w:p>
      <w:pPr>
        <w:spacing w:line="360" w:lineRule="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联系方式：</w:t>
      </w:r>
      <w:r>
        <w:rPr>
          <w:rFonts w:hint="eastAsia" w:ascii="宋体" w:hAnsi="宋体" w:cs="宋体"/>
          <w:color w:val="auto"/>
          <w:highlight w:val="none"/>
          <w:u w:val="single"/>
          <w:lang w:eastAsia="zh-CN"/>
        </w:rPr>
        <w:t>0771-2833331</w:t>
      </w:r>
    </w:p>
    <w:p>
      <w:pPr>
        <w:pStyle w:val="5"/>
        <w:spacing w:line="360" w:lineRule="auto"/>
        <w:rPr>
          <w:rFonts w:hint="eastAsia" w:asciiTheme="minorEastAsia" w:hAnsiTheme="minorEastAsia" w:eastAsiaTheme="minorEastAsia" w:cstheme="minorEastAsia"/>
          <w:b w:val="0"/>
          <w:sz w:val="21"/>
          <w:szCs w:val="21"/>
          <w:highlight w:val="none"/>
        </w:rPr>
      </w:pPr>
      <w:bookmarkStart w:id="110" w:name="_Toc19048"/>
      <w:bookmarkStart w:id="111" w:name="_Toc18892"/>
      <w:bookmarkStart w:id="112" w:name="_Toc35393788"/>
      <w:bookmarkStart w:id="113" w:name="_Toc28359000"/>
      <w:bookmarkStart w:id="114" w:name="_Toc28359077"/>
      <w:bookmarkStart w:id="115" w:name="_Toc35393619"/>
      <w:r>
        <w:rPr>
          <w:rFonts w:hint="eastAsia" w:asciiTheme="minorEastAsia" w:hAnsiTheme="minorEastAsia" w:eastAsiaTheme="minorEastAsia" w:cstheme="minorEastAsia"/>
          <w:b w:val="0"/>
          <w:sz w:val="21"/>
          <w:szCs w:val="21"/>
          <w:highlight w:val="none"/>
        </w:rPr>
        <w:t>3.项目联系方式</w:t>
      </w:r>
      <w:bookmarkEnd w:id="110"/>
      <w:bookmarkEnd w:id="111"/>
      <w:bookmarkEnd w:id="112"/>
      <w:bookmarkEnd w:id="113"/>
      <w:bookmarkEnd w:id="114"/>
      <w:bookmarkEnd w:id="115"/>
    </w:p>
    <w:p>
      <w:pPr>
        <w:pStyle w:val="12"/>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项目联系人：</w:t>
      </w:r>
      <w:r>
        <w:rPr>
          <w:rFonts w:hint="eastAsia" w:ascii="宋体" w:hAnsi="宋体"/>
          <w:color w:val="auto"/>
          <w:szCs w:val="21"/>
          <w:highlight w:val="none"/>
          <w:u w:val="single"/>
        </w:rPr>
        <w:t>黄工</w:t>
      </w:r>
      <w:r>
        <w:rPr>
          <w:rFonts w:hint="eastAsia" w:asciiTheme="minorEastAsia" w:hAnsiTheme="minorEastAsia" w:eastAsiaTheme="minorEastAsia" w:cstheme="minorEastAsia"/>
          <w:sz w:val="21"/>
          <w:szCs w:val="21"/>
          <w:highlight w:val="none"/>
          <w:lang w:val="en-US" w:eastAsia="zh-CN"/>
        </w:rPr>
        <w:t xml:space="preserve">    </w:t>
      </w:r>
    </w:p>
    <w:p>
      <w:pPr>
        <w:pStyle w:val="2"/>
        <w:shd w:val="clear"/>
        <w:spacing w:line="360" w:lineRule="auto"/>
        <w:ind w:left="0" w:leftChars="0" w:firstLine="0" w:firstLineChars="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sz w:val="21"/>
          <w:szCs w:val="21"/>
          <w:highlight w:val="none"/>
        </w:rPr>
        <w:t>电　话：</w:t>
      </w:r>
      <w:r>
        <w:rPr>
          <w:rFonts w:hint="eastAsia" w:ascii="宋体" w:hAnsi="宋体" w:cs="宋体"/>
          <w:color w:val="auto"/>
          <w:highlight w:val="none"/>
          <w:u w:val="single"/>
          <w:lang w:eastAsia="zh-CN"/>
        </w:rPr>
        <w:t>0771-2833331</w:t>
      </w:r>
      <w:r>
        <w:rPr>
          <w:rFonts w:hint="eastAsia" w:asciiTheme="minorEastAsia" w:hAnsiTheme="minorEastAsia" w:eastAsiaTheme="minorEastAsia" w:cstheme="minorEastAsia"/>
          <w:b/>
          <w:bCs/>
          <w:color w:val="auto"/>
          <w:sz w:val="21"/>
          <w:szCs w:val="21"/>
          <w:highlight w:val="none"/>
        </w:rPr>
        <w:br w:type="page"/>
      </w:r>
      <w:bookmarkStart w:id="116" w:name="_Toc28566"/>
      <w:bookmarkStart w:id="117" w:name="_Toc4697"/>
    </w:p>
    <w:p>
      <w:pPr>
        <w:pStyle w:val="4"/>
        <w:shd w:val="clear"/>
        <w:jc w:val="center"/>
        <w:rPr>
          <w:rFonts w:ascii="宋体" w:hAnsi="宋体" w:cs="宋体"/>
          <w:color w:val="auto"/>
          <w:highlight w:val="none"/>
        </w:rPr>
      </w:pPr>
      <w:bookmarkStart w:id="118" w:name="_Toc21020"/>
      <w:bookmarkStart w:id="119" w:name="_Toc32163"/>
      <w:bookmarkStart w:id="120" w:name="_Toc13662"/>
      <w:bookmarkStart w:id="121" w:name="_Toc11685"/>
      <w:bookmarkStart w:id="122" w:name="_Toc22648"/>
      <w:r>
        <w:rPr>
          <w:rFonts w:hint="eastAsia" w:ascii="宋体" w:hAnsi="宋体" w:cs="宋体"/>
          <w:color w:val="auto"/>
          <w:highlight w:val="none"/>
        </w:rPr>
        <w:t>第二章 资格预审申请人须知</w:t>
      </w:r>
      <w:bookmarkEnd w:id="116"/>
      <w:bookmarkEnd w:id="117"/>
      <w:bookmarkEnd w:id="118"/>
      <w:bookmarkEnd w:id="119"/>
      <w:bookmarkEnd w:id="120"/>
      <w:bookmarkEnd w:id="121"/>
      <w:bookmarkEnd w:id="122"/>
    </w:p>
    <w:p>
      <w:pPr>
        <w:shd w:val="clear"/>
        <w:rPr>
          <w:rFonts w:ascii="宋体" w:hAnsi="宋体" w:cs="宋体"/>
          <w:color w:val="auto"/>
          <w:highlight w:val="none"/>
        </w:rPr>
      </w:pPr>
    </w:p>
    <w:p>
      <w:pPr>
        <w:pStyle w:val="5"/>
        <w:shd w:val="clear"/>
        <w:spacing w:before="0" w:after="0" w:line="240" w:lineRule="auto"/>
        <w:jc w:val="center"/>
        <w:rPr>
          <w:rFonts w:ascii="宋体" w:hAnsi="宋体" w:cs="宋体"/>
          <w:color w:val="auto"/>
          <w:highlight w:val="none"/>
        </w:rPr>
      </w:pPr>
      <w:bookmarkStart w:id="123" w:name="_Toc26622"/>
      <w:bookmarkStart w:id="124" w:name="_Toc20873"/>
      <w:bookmarkStart w:id="125" w:name="_Toc13263"/>
      <w:bookmarkStart w:id="126" w:name="_Toc9118"/>
      <w:bookmarkStart w:id="127" w:name="_Toc2736"/>
      <w:bookmarkStart w:id="128" w:name="_Toc9295"/>
      <w:bookmarkStart w:id="129" w:name="_Toc2765"/>
      <w:bookmarkStart w:id="130" w:name="_Toc2439"/>
      <w:bookmarkStart w:id="131" w:name="_Toc482173666"/>
      <w:bookmarkStart w:id="132" w:name="_Toc2437"/>
      <w:bookmarkStart w:id="133" w:name="_Toc27046"/>
      <w:bookmarkStart w:id="134" w:name="_Toc11912"/>
      <w:bookmarkStart w:id="135" w:name="_Toc10971"/>
      <w:r>
        <w:rPr>
          <w:rFonts w:hint="eastAsia" w:ascii="宋体" w:hAnsi="宋体" w:cs="宋体"/>
          <w:color w:val="auto"/>
          <w:highlight w:val="none"/>
        </w:rPr>
        <w:t>申请人须知前附表</w:t>
      </w:r>
      <w:bookmarkEnd w:id="123"/>
      <w:bookmarkEnd w:id="124"/>
      <w:bookmarkEnd w:id="125"/>
      <w:bookmarkEnd w:id="126"/>
      <w:bookmarkEnd w:id="127"/>
      <w:bookmarkEnd w:id="128"/>
      <w:bookmarkEnd w:id="129"/>
      <w:bookmarkEnd w:id="130"/>
      <w:bookmarkEnd w:id="131"/>
      <w:bookmarkEnd w:id="132"/>
    </w:p>
    <w:tbl>
      <w:tblPr>
        <w:tblStyle w:val="22"/>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6"/>
        <w:gridCol w:w="288"/>
        <w:gridCol w:w="1429"/>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927"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927" w:type="dxa"/>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lang w:eastAsia="zh-CN"/>
              </w:rPr>
              <w:t>南宁市城市更新和物业管理指导中心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927" w:type="dxa"/>
            <w:shd w:val="clear" w:color="auto" w:fill="auto"/>
            <w:vAlign w:val="center"/>
          </w:tcPr>
          <w:p>
            <w:pPr>
              <w:shd w:val="clea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广西景钲工程咨询有限公司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927" w:type="dxa"/>
            <w:shd w:val="clear" w:color="auto" w:fill="auto"/>
            <w:vAlign w:val="center"/>
          </w:tcPr>
          <w:p>
            <w:pPr>
              <w:shd w:val="clea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南宁市2022年第二批城镇老旧小区改造PPP项目社会资本方采购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建设内容及规模</w:t>
            </w:r>
          </w:p>
        </w:tc>
        <w:tc>
          <w:tcPr>
            <w:tcW w:w="6927" w:type="dxa"/>
            <w:shd w:val="clear" w:color="auto" w:fill="auto"/>
            <w:vAlign w:val="center"/>
          </w:tcPr>
          <w:p>
            <w:pPr>
              <w:pStyle w:val="2"/>
              <w:shd w:val="clear"/>
              <w:ind w:firstLine="420" w:firstLineChars="20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本项目</w:t>
            </w:r>
            <w:r>
              <w:rPr>
                <w:rFonts w:hint="eastAsia" w:ascii="宋体" w:cs="宋体"/>
                <w:color w:val="auto"/>
                <w:sz w:val="21"/>
                <w:szCs w:val="21"/>
                <w:highlight w:val="none"/>
                <w:lang w:eastAsia="zh-CN"/>
              </w:rPr>
              <w:t>包含202</w:t>
            </w:r>
            <w:r>
              <w:rPr>
                <w:rFonts w:hint="eastAsia" w:ascii="宋体" w:cs="宋体"/>
                <w:color w:val="auto"/>
                <w:sz w:val="21"/>
                <w:szCs w:val="21"/>
                <w:highlight w:val="none"/>
                <w:lang w:val="en-US" w:eastAsia="zh-CN"/>
              </w:rPr>
              <w:t>2</w:t>
            </w:r>
            <w:r>
              <w:rPr>
                <w:rFonts w:hint="eastAsia" w:ascii="宋体" w:cs="宋体"/>
                <w:color w:val="auto"/>
                <w:sz w:val="21"/>
                <w:szCs w:val="21"/>
                <w:highlight w:val="none"/>
                <w:lang w:eastAsia="zh-CN"/>
              </w:rPr>
              <w:t>年南宁市城镇老旧小区改造工程兴宁区第</w:t>
            </w:r>
            <w:r>
              <w:rPr>
                <w:rFonts w:hint="eastAsia" w:ascii="宋体" w:cs="宋体"/>
                <w:color w:val="auto"/>
                <w:sz w:val="21"/>
                <w:szCs w:val="21"/>
                <w:highlight w:val="none"/>
                <w:lang w:val="en-US" w:eastAsia="zh-CN"/>
              </w:rPr>
              <w:t>二</w:t>
            </w:r>
            <w:r>
              <w:rPr>
                <w:rFonts w:hint="eastAsia" w:ascii="宋体" w:cs="宋体"/>
                <w:color w:val="auto"/>
                <w:sz w:val="21"/>
                <w:szCs w:val="21"/>
                <w:highlight w:val="none"/>
                <w:lang w:eastAsia="zh-CN"/>
              </w:rPr>
              <w:t>片区、</w:t>
            </w:r>
            <w:r>
              <w:rPr>
                <w:rFonts w:hint="eastAsia" w:ascii="宋体" w:cs="宋体"/>
                <w:color w:val="auto"/>
                <w:sz w:val="21"/>
                <w:szCs w:val="21"/>
                <w:highlight w:val="none"/>
                <w:lang w:val="en-US" w:eastAsia="zh-CN"/>
              </w:rPr>
              <w:t>青秀</w:t>
            </w:r>
            <w:r>
              <w:rPr>
                <w:rFonts w:hint="eastAsia" w:ascii="宋体" w:cs="宋体"/>
                <w:color w:val="auto"/>
                <w:sz w:val="21"/>
                <w:szCs w:val="21"/>
                <w:highlight w:val="none"/>
                <w:lang w:eastAsia="zh-CN"/>
              </w:rPr>
              <w:t>区第</w:t>
            </w:r>
            <w:r>
              <w:rPr>
                <w:rFonts w:hint="eastAsia" w:ascii="宋体" w:cs="宋体"/>
                <w:color w:val="auto"/>
                <w:sz w:val="21"/>
                <w:szCs w:val="21"/>
                <w:highlight w:val="none"/>
                <w:lang w:val="en-US" w:eastAsia="zh-CN"/>
              </w:rPr>
              <w:t>二</w:t>
            </w:r>
            <w:r>
              <w:rPr>
                <w:rFonts w:hint="eastAsia" w:ascii="宋体" w:cs="宋体"/>
                <w:color w:val="auto"/>
                <w:sz w:val="21"/>
                <w:szCs w:val="21"/>
                <w:highlight w:val="none"/>
                <w:lang w:eastAsia="zh-CN"/>
              </w:rPr>
              <w:t>片区、青秀区第</w:t>
            </w:r>
            <w:r>
              <w:rPr>
                <w:rFonts w:hint="eastAsia" w:ascii="宋体" w:cs="宋体"/>
                <w:color w:val="auto"/>
                <w:sz w:val="21"/>
                <w:szCs w:val="21"/>
                <w:highlight w:val="none"/>
                <w:lang w:val="en-US" w:eastAsia="zh-CN"/>
              </w:rPr>
              <w:t>三</w:t>
            </w:r>
            <w:r>
              <w:rPr>
                <w:rFonts w:hint="eastAsia" w:ascii="宋体" w:cs="宋体"/>
                <w:color w:val="auto"/>
                <w:sz w:val="21"/>
                <w:szCs w:val="21"/>
                <w:highlight w:val="none"/>
                <w:lang w:eastAsia="zh-CN"/>
              </w:rPr>
              <w:t>片区、</w:t>
            </w:r>
            <w:r>
              <w:rPr>
                <w:rFonts w:hint="eastAsia" w:ascii="宋体" w:cs="宋体"/>
                <w:color w:val="auto"/>
                <w:sz w:val="21"/>
                <w:szCs w:val="21"/>
                <w:highlight w:val="none"/>
                <w:lang w:val="en-US" w:eastAsia="zh-CN"/>
              </w:rPr>
              <w:t>青秀区第四片区</w:t>
            </w:r>
            <w:r>
              <w:rPr>
                <w:rFonts w:hint="eastAsia" w:ascii="宋体" w:cs="宋体"/>
                <w:color w:val="auto"/>
                <w:sz w:val="21"/>
                <w:szCs w:val="21"/>
                <w:highlight w:val="none"/>
                <w:lang w:eastAsia="zh-CN"/>
              </w:rPr>
              <w:t>共</w:t>
            </w:r>
            <w:r>
              <w:rPr>
                <w:rFonts w:hint="eastAsia" w:ascii="宋体" w:cs="宋体"/>
                <w:color w:val="auto"/>
                <w:sz w:val="21"/>
                <w:szCs w:val="21"/>
                <w:highlight w:val="none"/>
                <w:lang w:val="en-US" w:eastAsia="zh-CN"/>
              </w:rPr>
              <w:t>4个子项。</w:t>
            </w:r>
          </w:p>
          <w:p>
            <w:pPr>
              <w:pStyle w:val="2"/>
              <w:shd w:val="clear"/>
              <w:ind w:firstLine="420" w:firstLineChars="200"/>
              <w:rPr>
                <w:rFonts w:ascii="宋体" w:cs="宋体"/>
                <w:color w:val="auto"/>
                <w:sz w:val="21"/>
                <w:szCs w:val="21"/>
                <w:highlight w:val="none"/>
              </w:rPr>
            </w:pPr>
            <w:r>
              <w:rPr>
                <w:rFonts w:hint="eastAsia" w:ascii="宋体" w:cs="宋体"/>
                <w:color w:val="auto"/>
                <w:sz w:val="21"/>
                <w:szCs w:val="21"/>
                <w:highlight w:val="none"/>
              </w:rPr>
              <w:t>根据已批复的改造方案，本项目涉及改造小区</w:t>
            </w:r>
            <w:r>
              <w:rPr>
                <w:rFonts w:hint="eastAsia" w:ascii="宋体" w:cs="宋体"/>
                <w:color w:val="auto"/>
                <w:sz w:val="21"/>
                <w:szCs w:val="21"/>
                <w:highlight w:val="none"/>
                <w:lang w:val="en-US" w:eastAsia="zh-CN"/>
              </w:rPr>
              <w:t>76</w:t>
            </w:r>
            <w:r>
              <w:rPr>
                <w:rFonts w:hint="eastAsia" w:ascii="宋体" w:cs="宋体"/>
                <w:color w:val="auto"/>
                <w:sz w:val="21"/>
                <w:szCs w:val="21"/>
                <w:highlight w:val="none"/>
              </w:rPr>
              <w:t>个，总户数</w:t>
            </w:r>
            <w:r>
              <w:rPr>
                <w:rFonts w:hint="eastAsia" w:ascii="宋体" w:cs="宋体"/>
                <w:color w:val="auto"/>
                <w:sz w:val="21"/>
                <w:szCs w:val="21"/>
                <w:highlight w:val="none"/>
                <w:lang w:val="en-US" w:eastAsia="zh-CN"/>
              </w:rPr>
              <w:t>8072</w:t>
            </w:r>
            <w:r>
              <w:rPr>
                <w:rFonts w:hint="eastAsia" w:ascii="宋体" w:cs="宋体"/>
                <w:color w:val="auto"/>
                <w:sz w:val="21"/>
                <w:szCs w:val="21"/>
                <w:highlight w:val="none"/>
              </w:rPr>
              <w:t>户，楼栋数</w:t>
            </w:r>
            <w:r>
              <w:rPr>
                <w:rFonts w:hint="eastAsia" w:ascii="宋体" w:cs="宋体"/>
                <w:color w:val="auto"/>
                <w:sz w:val="21"/>
                <w:szCs w:val="21"/>
                <w:highlight w:val="none"/>
                <w:lang w:val="en-US" w:eastAsia="zh-CN"/>
              </w:rPr>
              <w:t>291</w:t>
            </w:r>
            <w:r>
              <w:rPr>
                <w:rFonts w:hint="eastAsia" w:ascii="宋体" w:cs="宋体"/>
                <w:color w:val="auto"/>
                <w:sz w:val="21"/>
                <w:szCs w:val="21"/>
                <w:highlight w:val="none"/>
              </w:rPr>
              <w:t>栋，</w:t>
            </w:r>
            <w:r>
              <w:rPr>
                <w:rFonts w:hint="eastAsia" w:ascii="宋体" w:cs="宋体"/>
                <w:color w:val="auto"/>
                <w:sz w:val="21"/>
                <w:szCs w:val="21"/>
                <w:highlight w:val="none"/>
                <w:lang w:eastAsia="zh-CN"/>
              </w:rPr>
              <w:t>楼栋主体改造建筑面积</w:t>
            </w:r>
            <w:r>
              <w:rPr>
                <w:rFonts w:hint="eastAsia" w:ascii="宋体" w:cs="宋体"/>
                <w:color w:val="auto"/>
                <w:sz w:val="21"/>
                <w:szCs w:val="21"/>
                <w:highlight w:val="none"/>
                <w:lang w:val="en-US" w:eastAsia="zh-CN"/>
              </w:rPr>
              <w:t>991497.23</w:t>
            </w:r>
            <w:r>
              <w:rPr>
                <w:rFonts w:hint="eastAsia" w:ascii="宋体" w:cs="宋体"/>
                <w:color w:val="auto"/>
                <w:sz w:val="21"/>
                <w:szCs w:val="21"/>
                <w:highlight w:val="none"/>
              </w:rPr>
              <w:t>平方米</w:t>
            </w:r>
            <w:r>
              <w:rPr>
                <w:rFonts w:hint="eastAsia" w:ascii="宋体" w:cs="宋体"/>
                <w:color w:val="auto"/>
                <w:sz w:val="21"/>
                <w:szCs w:val="21"/>
                <w:highlight w:val="none"/>
                <w:lang w:eastAsia="zh-CN"/>
              </w:rPr>
              <w:t>；</w:t>
            </w:r>
            <w:r>
              <w:rPr>
                <w:rFonts w:hint="eastAsia" w:ascii="宋体" w:cs="宋体"/>
                <w:color w:val="auto"/>
                <w:sz w:val="21"/>
                <w:szCs w:val="21"/>
                <w:highlight w:val="none"/>
              </w:rPr>
              <w:t>公共基础设施改造面积343977.19平方米</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燃气供排水改造面积</w:t>
            </w:r>
            <w:r>
              <w:rPr>
                <w:rFonts w:hint="eastAsia" w:ascii="宋体" w:cs="宋体"/>
                <w:color w:val="auto"/>
                <w:sz w:val="21"/>
                <w:szCs w:val="21"/>
                <w:highlight w:val="none"/>
              </w:rPr>
              <w:t>316150.48</w:t>
            </w:r>
            <w:r>
              <w:rPr>
                <w:rFonts w:hint="eastAsia" w:ascii="宋体" w:cs="宋体"/>
                <w:color w:val="auto"/>
                <w:sz w:val="21"/>
                <w:szCs w:val="21"/>
                <w:highlight w:val="none"/>
                <w:lang w:val="en-US" w:eastAsia="zh-CN"/>
              </w:rPr>
              <w:t>平方米</w:t>
            </w:r>
            <w:r>
              <w:rPr>
                <w:rFonts w:hint="eastAsia" w:ascii="宋体" w:cs="宋体"/>
                <w:color w:val="auto"/>
                <w:sz w:val="21"/>
                <w:szCs w:val="21"/>
                <w:highlight w:val="none"/>
              </w:rPr>
              <w:t>。建设内容包括楼栋主体改造、小区内配套基础设施改造</w:t>
            </w:r>
            <w:r>
              <w:rPr>
                <w:rFonts w:hint="eastAsia" w:ascii="宋体" w:cs="宋体"/>
                <w:color w:val="auto"/>
                <w:sz w:val="21"/>
                <w:szCs w:val="21"/>
                <w:highlight w:val="none"/>
                <w:lang w:val="en-US" w:eastAsia="zh-CN"/>
              </w:rPr>
              <w:t>和燃气供排水改造</w:t>
            </w:r>
            <w:r>
              <w:rPr>
                <w:rFonts w:hint="eastAsia" w:ascii="宋体" w:cs="宋体"/>
                <w:color w:val="auto"/>
                <w:sz w:val="21"/>
                <w:szCs w:val="21"/>
                <w:highlight w:val="none"/>
              </w:rPr>
              <w:t>。其中楼栋主体改造包括小区内的楼栋设施、建筑修缮、房屋建筑提升等；小区内配套基础设施改造包括服务设施、小区道路、市政设施、公共环境、公共空间、公共设施提升等</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燃气供排水改造包括小区红线内燃气、供水、排水、小区红线外配套燃气管道改造等。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927" w:type="dxa"/>
            <w:shd w:val="clear" w:color="auto" w:fill="auto"/>
            <w:vAlign w:val="center"/>
          </w:tcPr>
          <w:p>
            <w:pPr>
              <w:widowControl/>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lang w:eastAsia="zh-CN"/>
              </w:rPr>
              <w:t>资金来源为</w:t>
            </w:r>
            <w:r>
              <w:rPr>
                <w:rFonts w:hint="eastAsia" w:ascii="宋体" w:hAnsi="宋体" w:cs="宋体"/>
                <w:color w:val="auto"/>
                <w:szCs w:val="21"/>
                <w:highlight w:val="none"/>
                <w:lang w:val="en-US" w:eastAsia="zh-CN"/>
              </w:rPr>
              <w:t>政府方投资</w:t>
            </w:r>
            <w:r>
              <w:rPr>
                <w:rFonts w:hint="eastAsia" w:ascii="宋体" w:hAnsi="宋体" w:cs="宋体"/>
                <w:color w:val="auto"/>
                <w:szCs w:val="21"/>
                <w:highlight w:val="none"/>
                <w:lang w:eastAsia="zh-CN"/>
              </w:rPr>
              <w:t>及项目公司筹措。</w:t>
            </w:r>
            <w:r>
              <w:rPr>
                <w:rFonts w:hint="eastAsia" w:ascii="宋体" w:hAnsi="宋体" w:cs="宋体"/>
                <w:color w:val="auto"/>
                <w:szCs w:val="21"/>
                <w:highlight w:val="none"/>
                <w:lang w:val="en-US" w:eastAsia="zh-CN"/>
              </w:rPr>
              <w:t>PPP建设工程投资</w:t>
            </w:r>
            <w:r>
              <w:rPr>
                <w:rFonts w:hint="eastAsia" w:ascii="宋体" w:hAnsi="宋体" w:cs="宋体"/>
                <w:color w:val="auto"/>
                <w:szCs w:val="21"/>
                <w:highlight w:val="none"/>
                <w:lang w:eastAsia="zh-CN"/>
              </w:rPr>
              <w:t>中，政府方投资</w:t>
            </w:r>
            <w:r>
              <w:rPr>
                <w:rFonts w:hint="eastAsia" w:ascii="宋体" w:hAnsi="宋体" w:cs="宋体"/>
                <w:color w:val="auto"/>
                <w:szCs w:val="21"/>
                <w:highlight w:val="none"/>
                <w:lang w:val="en-US" w:eastAsia="zh-CN"/>
              </w:rPr>
              <w:t>以外的</w:t>
            </w:r>
            <w:r>
              <w:rPr>
                <w:rFonts w:hint="eastAsia" w:ascii="宋体" w:hAnsi="宋体" w:cs="宋体"/>
                <w:color w:val="auto"/>
                <w:szCs w:val="21"/>
                <w:highlight w:val="none"/>
                <w:lang w:eastAsia="zh-CN"/>
              </w:rPr>
              <w:t>部分由社会资本方筹措。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资本金出资比例</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注册资本不低于人民币</w:t>
            </w:r>
            <w:r>
              <w:rPr>
                <w:rFonts w:hint="eastAsia" w:ascii="宋体" w:hAnsi="宋体" w:cs="宋体"/>
                <w:color w:val="auto"/>
                <w:szCs w:val="21"/>
                <w:highlight w:val="none"/>
                <w:shd w:val="clear" w:color="auto"/>
                <w:lang w:val="en-US" w:eastAsia="zh-CN"/>
              </w:rPr>
              <w:t>1500</w:t>
            </w:r>
            <w:r>
              <w:rPr>
                <w:rFonts w:hint="eastAsia" w:ascii="宋体" w:hAnsi="宋体" w:cs="宋体"/>
                <w:color w:val="auto"/>
                <w:szCs w:val="21"/>
                <w:highlight w:val="none"/>
              </w:rPr>
              <w:t>万元，社会资本方出资占股100%。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本项目总投资</w:t>
            </w:r>
            <w:r>
              <w:rPr>
                <w:rFonts w:hint="eastAsia" w:ascii="宋体" w:hAnsi="宋体" w:cs="宋体"/>
                <w:color w:val="auto"/>
                <w:szCs w:val="21"/>
                <w:highlight w:val="none"/>
                <w:lang w:val="en-US" w:eastAsia="zh-CN"/>
              </w:rPr>
              <w:t>估算</w:t>
            </w:r>
            <w:r>
              <w:rPr>
                <w:rFonts w:hint="eastAsia" w:ascii="宋体" w:hAnsi="宋体" w:cs="宋体"/>
                <w:color w:val="auto"/>
                <w:szCs w:val="21"/>
                <w:highlight w:val="none"/>
                <w:lang w:eastAsia="zh-CN"/>
              </w:rPr>
              <w:t>为</w:t>
            </w:r>
            <w:r>
              <w:rPr>
                <w:rFonts w:hint="eastAsia" w:ascii="宋体" w:hAnsi="宋体" w:cs="宋体"/>
                <w:color w:val="auto"/>
                <w:szCs w:val="21"/>
                <w:highlight w:val="none"/>
                <w:lang w:val="en-US" w:eastAsia="zh-CN"/>
              </w:rPr>
              <w:t>36508.36</w:t>
            </w:r>
            <w:r>
              <w:rPr>
                <w:rFonts w:hint="eastAsia" w:ascii="宋体" w:hAnsi="宋体" w:cs="宋体"/>
                <w:color w:val="auto"/>
                <w:szCs w:val="21"/>
                <w:highlight w:val="none"/>
                <w:lang w:eastAsia="zh-CN"/>
              </w:rPr>
              <w:t>万元，</w:t>
            </w:r>
            <w:r>
              <w:rPr>
                <w:rFonts w:hint="eastAsia" w:ascii="宋体" w:hAnsi="宋体" w:cs="宋体"/>
                <w:color w:val="auto"/>
                <w:szCs w:val="21"/>
                <w:highlight w:val="none"/>
              </w:rPr>
              <w:t>PPP建设工程投资额为</w:t>
            </w:r>
            <w:r>
              <w:rPr>
                <w:rFonts w:hint="eastAsia" w:ascii="宋体" w:hAnsi="宋体" w:cs="宋体"/>
                <w:color w:val="auto"/>
                <w:szCs w:val="21"/>
                <w:highlight w:val="none"/>
                <w:lang w:val="en-US" w:eastAsia="zh-CN"/>
              </w:rPr>
              <w:t>33520.78</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lang w:eastAsia="zh-CN"/>
              </w:rPr>
              <w:t>资金来源为</w:t>
            </w:r>
            <w:r>
              <w:rPr>
                <w:rFonts w:hint="eastAsia" w:ascii="宋体" w:hAnsi="宋体" w:cs="宋体"/>
                <w:color w:val="auto"/>
                <w:szCs w:val="21"/>
                <w:highlight w:val="none"/>
                <w:lang w:val="en-US" w:eastAsia="zh-CN"/>
              </w:rPr>
              <w:t>政府方投资</w:t>
            </w:r>
            <w:r>
              <w:rPr>
                <w:rFonts w:hint="eastAsia" w:ascii="宋体" w:hAnsi="宋体" w:cs="宋体"/>
                <w:color w:val="auto"/>
                <w:szCs w:val="21"/>
                <w:highlight w:val="none"/>
                <w:lang w:eastAsia="zh-CN"/>
              </w:rPr>
              <w:t>及项目公司筹措。</w:t>
            </w:r>
            <w:r>
              <w:rPr>
                <w:rFonts w:hint="eastAsia" w:ascii="宋体" w:hAnsi="宋体" w:cs="宋体"/>
                <w:color w:val="auto"/>
                <w:szCs w:val="21"/>
                <w:highlight w:val="none"/>
                <w:lang w:val="en-US" w:eastAsia="zh-CN"/>
              </w:rPr>
              <w:t>PPP建设工程投资</w:t>
            </w:r>
            <w:r>
              <w:rPr>
                <w:rFonts w:hint="eastAsia" w:ascii="宋体" w:hAnsi="宋体" w:cs="宋体"/>
                <w:color w:val="auto"/>
                <w:szCs w:val="21"/>
                <w:highlight w:val="none"/>
                <w:lang w:eastAsia="zh-CN"/>
              </w:rPr>
              <w:t>中，政府方投资</w:t>
            </w:r>
            <w:r>
              <w:rPr>
                <w:rFonts w:hint="eastAsia" w:ascii="宋体" w:hAnsi="宋体" w:cs="宋体"/>
                <w:color w:val="auto"/>
                <w:szCs w:val="21"/>
                <w:highlight w:val="none"/>
                <w:lang w:val="en-US" w:eastAsia="zh-CN"/>
              </w:rPr>
              <w:t>以外的</w:t>
            </w:r>
            <w:r>
              <w:rPr>
                <w:rFonts w:hint="eastAsia" w:ascii="宋体" w:hAnsi="宋体" w:cs="宋体"/>
                <w:color w:val="auto"/>
                <w:szCs w:val="21"/>
                <w:highlight w:val="none"/>
                <w:lang w:eastAsia="zh-CN"/>
              </w:rPr>
              <w:t>部分由社会资本方筹措。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采购范围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由社会资本方在南宁市全额出资成立项目公司，由项目公司在授权范围内承担</w:t>
            </w:r>
            <w:r>
              <w:rPr>
                <w:rFonts w:hint="eastAsia" w:ascii="宋体" w:hAnsi="宋体" w:cs="宋体"/>
                <w:color w:val="auto"/>
                <w:szCs w:val="21"/>
                <w:highlight w:val="none"/>
                <w:lang w:eastAsia="zh-CN"/>
              </w:rPr>
              <w:t>南宁市2022年第二批城镇老旧小区改造PPP项目</w:t>
            </w:r>
            <w:r>
              <w:rPr>
                <w:rFonts w:hint="eastAsia" w:ascii="宋体" w:hAnsi="宋体" w:cs="宋体"/>
                <w:color w:val="auto"/>
                <w:szCs w:val="21"/>
                <w:highlight w:val="none"/>
              </w:rPr>
              <w:t>的投（融）资、建设、运营和移交等工作。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合作期限</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Theme="minorEastAsia" w:hAnsiTheme="minorEastAsia" w:eastAsiaTheme="minorEastAsia" w:cstheme="minorEastAsia"/>
                <w:sz w:val="21"/>
                <w:szCs w:val="21"/>
                <w:highlight w:val="none"/>
                <w:lang w:val="en-US" w:eastAsia="zh-CN"/>
              </w:rPr>
              <w:t>本项目合作期为20年9个月，自PPP项目合同生效之日起算。其中，建设期计划为9个月，运营期为20年。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717"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927" w:type="dxa"/>
            <w:shd w:val="clear" w:color="auto" w:fill="auto"/>
            <w:vAlign w:val="center"/>
          </w:tcPr>
          <w:p>
            <w:pPr>
              <w:shd w:val="clear"/>
              <w:topLinePunct/>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符合国家有关验收规范的合格标准。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申请人资格要求 </w:t>
            </w:r>
          </w:p>
        </w:tc>
        <w:tc>
          <w:tcPr>
            <w:tcW w:w="6927" w:type="dxa"/>
            <w:shd w:val="clear" w:color="auto" w:fill="auto"/>
            <w:vAlign w:val="center"/>
          </w:tcPr>
          <w:p>
            <w:pPr>
              <w:shd w:val="clear"/>
              <w:spacing w:line="400" w:lineRule="exact"/>
              <w:rPr>
                <w:rFonts w:ascii="宋体" w:hAnsi="宋体" w:cs="宋体"/>
                <w:color w:val="auto"/>
                <w:highlight w:val="none"/>
              </w:rPr>
            </w:pPr>
            <w:r>
              <w:rPr>
                <w:rFonts w:hint="eastAsia" w:ascii="宋体" w:hAnsi="宋体" w:cs="宋体"/>
                <w:color w:val="auto"/>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1.4.5</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是否接受联合体预审申请</w:t>
            </w:r>
          </w:p>
        </w:tc>
        <w:tc>
          <w:tcPr>
            <w:tcW w:w="6927" w:type="dxa"/>
            <w:shd w:val="clear" w:color="auto" w:fill="auto"/>
            <w:vAlign w:val="center"/>
          </w:tcPr>
          <w:p>
            <w:pPr>
              <w:shd w:val="clear"/>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□不接受</w:t>
            </w:r>
          </w:p>
          <w:p>
            <w:pPr>
              <w:shd w:val="clear"/>
              <w:snapToGrid w:val="0"/>
              <w:jc w:val="left"/>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eq \o\ac(□,√)</w:instrText>
            </w:r>
            <w:r>
              <w:rPr>
                <w:rFonts w:hint="eastAsia" w:ascii="宋体" w:hAnsi="宋体" w:cs="宋体"/>
                <w:b/>
                <w:color w:val="auto"/>
                <w:szCs w:val="21"/>
                <w:highlight w:val="none"/>
              </w:rPr>
              <w:fldChar w:fldCharType="end"/>
            </w:r>
            <w:r>
              <w:rPr>
                <w:rFonts w:hint="eastAsia" w:ascii="宋体" w:hAnsi="宋体" w:cs="宋体"/>
                <w:b/>
                <w:color w:val="auto"/>
                <w:szCs w:val="21"/>
                <w:highlight w:val="none"/>
              </w:rPr>
              <w:t>接受，应满足下列要求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shd w:val="clear"/>
              <w:spacing w:line="400" w:lineRule="exact"/>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）成员可包括财务投资人或其他符合项目，的主体原则上应体现投融资能力和运营优势；</w:t>
            </w:r>
          </w:p>
          <w:p>
            <w:pPr>
              <w:shd w:val="clear"/>
              <w:spacing w:line="400" w:lineRule="exact"/>
              <w:rPr>
                <w:rFonts w:ascii="宋体" w:hAnsi="宋体" w:cs="宋体"/>
                <w:color w:val="auto"/>
                <w:highlight w:val="none"/>
              </w:rPr>
            </w:pPr>
            <w:r>
              <w:rPr>
                <w:rFonts w:hint="eastAsia" w:ascii="宋体" w:hAnsi="宋体" w:cs="宋体"/>
                <w:color w:val="auto"/>
                <w:highlight w:val="none"/>
              </w:rPr>
              <w:t>2）联合体各成员间必须签订联合体协议，明确各成员的权利和义务，联合体各成员均应满足资格预审公告</w:t>
            </w:r>
            <w:r>
              <w:rPr>
                <w:rFonts w:hint="eastAsia" w:ascii="宋体" w:hAnsi="宋体" w:cs="宋体"/>
                <w:color w:val="auto"/>
                <w:highlight w:val="none"/>
                <w:lang w:val="en-US" w:eastAsia="zh-CN"/>
              </w:rPr>
              <w:t>中对联合体资格</w:t>
            </w:r>
            <w:r>
              <w:rPr>
                <w:rFonts w:hint="eastAsia" w:ascii="宋体" w:hAnsi="宋体" w:cs="宋体"/>
                <w:color w:val="auto"/>
                <w:highlight w:val="none"/>
              </w:rPr>
              <w:t>的要求；</w:t>
            </w:r>
          </w:p>
          <w:p>
            <w:pPr>
              <w:shd w:val="clear"/>
              <w:spacing w:line="400" w:lineRule="exact"/>
              <w:rPr>
                <w:rFonts w:ascii="宋体" w:hAnsi="宋体" w:cs="宋体"/>
                <w:color w:val="auto"/>
                <w:highlight w:val="none"/>
              </w:rPr>
            </w:pPr>
            <w:r>
              <w:rPr>
                <w:rFonts w:hint="eastAsia" w:ascii="宋体" w:hAnsi="宋体" w:cs="宋体"/>
                <w:color w:val="auto"/>
                <w:highlight w:val="none"/>
              </w:rPr>
              <w:t>3）联合体各成员签订联合体协议后，不得再以自己名义单独或加入其他联合体同时参加本项目资格预审活动；</w:t>
            </w:r>
          </w:p>
          <w:p>
            <w:pPr>
              <w:shd w:val="clear"/>
              <w:spacing w:line="400" w:lineRule="exact"/>
              <w:rPr>
                <w:rFonts w:ascii="宋体" w:hAnsi="宋体" w:cs="宋体"/>
                <w:color w:val="auto"/>
                <w:szCs w:val="21"/>
                <w:highlight w:val="none"/>
              </w:rPr>
            </w:pPr>
            <w:r>
              <w:rPr>
                <w:rFonts w:hint="eastAsia" w:ascii="宋体" w:hAnsi="宋体" w:cs="宋体"/>
                <w:color w:val="auto"/>
                <w:highlight w:val="none"/>
              </w:rPr>
              <w:t>4）联合体各成员单位均需持股出资项目公司，每家出资比例不应低于</w:t>
            </w:r>
            <w:r>
              <w:rPr>
                <w:rFonts w:ascii="宋体" w:hAnsi="宋体" w:cs="宋体"/>
                <w:color w:val="auto"/>
                <w:highlight w:val="none"/>
              </w:rPr>
              <w:t>1</w:t>
            </w:r>
            <w:r>
              <w:rPr>
                <w:rFonts w:hint="eastAsia" w:ascii="宋体" w:hAnsi="宋体" w:cs="宋体"/>
                <w:color w:val="auto"/>
                <w:highlight w:val="none"/>
              </w:rPr>
              <w:t>%并承担融资责任，且要有其中一家单位出资比例高于20%，各成员单位占股比例通过联合体协议约定，一旦中标，联合体各成员需向采购人承诺承担连带责任。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restart"/>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w:t>
            </w:r>
          </w:p>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申请人要求澄清或修改资格预审文件的截止时间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递交资格预审申请文件截止之日5日前。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采购人澄清或修改资格预审文件的截止时间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递交资格预审申请文件截止之日3日前。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0" w:hRule="atLeast"/>
        </w:trPr>
        <w:tc>
          <w:tcPr>
            <w:tcW w:w="1056" w:type="dxa"/>
            <w:vMerge w:val="continue"/>
            <w:shd w:val="clear" w:color="auto" w:fill="auto"/>
            <w:vAlign w:val="center"/>
          </w:tcPr>
          <w:p>
            <w:pPr>
              <w:shd w:val="clear"/>
              <w:spacing w:line="360" w:lineRule="exact"/>
              <w:jc w:val="center"/>
              <w:rPr>
                <w:rFonts w:ascii="宋体" w:hAnsi="宋体" w:cs="宋体"/>
                <w:color w:val="auto"/>
                <w:szCs w:val="21"/>
                <w:highlight w:val="none"/>
              </w:rPr>
            </w:pP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申请人确认收到资格预审文件澄清或修改的时间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申请人无需确认，由申请人自行在发布资格预审公告的网上查阅，申请人未及时查阅造成申请人损失的，采购人不承担责任。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17" w:type="dxa"/>
            <w:gridSpan w:val="2"/>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rPr>
              <w:t>资格预审申请文件的组成</w:t>
            </w:r>
          </w:p>
        </w:tc>
        <w:tc>
          <w:tcPr>
            <w:tcW w:w="6927" w:type="dxa"/>
            <w:shd w:val="clear" w:color="auto" w:fill="auto"/>
            <w:vAlign w:val="center"/>
          </w:tcPr>
          <w:p>
            <w:pPr>
              <w:shd w:val="clear"/>
              <w:topLinePunct/>
              <w:jc w:val="left"/>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详见</w:t>
            </w:r>
            <w:r>
              <w:rPr>
                <w:rFonts w:hint="eastAsia" w:ascii="宋体" w:hAnsi="宋体" w:cs="宋体"/>
                <w:color w:val="auto"/>
                <w:highlight w:val="none"/>
              </w:rPr>
              <w:t>资格预审申请人须知</w:t>
            </w:r>
            <w:r>
              <w:rPr>
                <w:rFonts w:hint="eastAsia" w:ascii="宋体" w:hAnsi="宋体" w:cs="宋体"/>
                <w:color w:val="auto"/>
                <w:highlight w:val="none"/>
                <w:lang w:val="en-US" w:eastAsia="zh-CN"/>
              </w:rPr>
              <w:t>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3.2.4</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rPr>
              <w:t>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3.2.6</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近年发生的诉讼及仲裁情况的年份要求</w:t>
            </w:r>
          </w:p>
        </w:tc>
        <w:tc>
          <w:tcPr>
            <w:tcW w:w="6927" w:type="dxa"/>
            <w:shd w:val="clear" w:color="auto" w:fill="auto"/>
            <w:vAlign w:val="center"/>
          </w:tcPr>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近三年内（201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年1月1日至资格预审申请文件递交截止时间）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927" w:type="dxa"/>
            <w:shd w:val="clear" w:color="auto" w:fill="auto"/>
            <w:vAlign w:val="center"/>
          </w:tcPr>
          <w:p>
            <w:pPr>
              <w:shd w:val="clear"/>
              <w:spacing w:line="360" w:lineRule="exact"/>
              <w:rPr>
                <w:rFonts w:ascii="宋体" w:hAnsi="宋体" w:cs="宋体"/>
                <w:color w:val="auto"/>
                <w:highlight w:val="none"/>
              </w:rPr>
            </w:pPr>
            <w:r>
              <w:rPr>
                <w:rFonts w:hint="eastAsia" w:ascii="宋体" w:hAnsi="宋体" w:cs="宋体"/>
                <w:color w:val="auto"/>
                <w:highlight w:val="none"/>
              </w:rPr>
              <w:t>1、资格预审申请文件格式中表明“签字或盖章”的部位，按要求由申请人法定代表人或授权委托代理人签字或盖章；</w:t>
            </w:r>
          </w:p>
          <w:p>
            <w:pPr>
              <w:shd w:val="clear"/>
              <w:spacing w:line="360" w:lineRule="exact"/>
              <w:rPr>
                <w:rFonts w:ascii="宋体" w:hAnsi="宋体" w:cs="宋体"/>
                <w:color w:val="auto"/>
                <w:highlight w:val="none"/>
              </w:rPr>
            </w:pPr>
            <w:r>
              <w:rPr>
                <w:rFonts w:hint="eastAsia" w:ascii="宋体" w:hAnsi="宋体" w:cs="宋体"/>
                <w:color w:val="auto"/>
                <w:highlight w:val="none"/>
              </w:rPr>
              <w:t>2、资格预审申请文件格式中标明“盖单位公章”的部位，盖申请人单位公章；</w:t>
            </w:r>
          </w:p>
          <w:p>
            <w:pPr>
              <w:shd w:val="clear"/>
              <w:spacing w:line="360" w:lineRule="exact"/>
              <w:rPr>
                <w:rFonts w:ascii="宋体" w:hAnsi="宋体" w:cs="宋体"/>
                <w:color w:val="auto"/>
                <w:highlight w:val="none"/>
              </w:rPr>
            </w:pPr>
            <w:r>
              <w:rPr>
                <w:rFonts w:hint="eastAsia" w:ascii="宋体" w:hAnsi="宋体" w:cs="宋体"/>
                <w:color w:val="auto"/>
                <w:highlight w:val="none"/>
              </w:rPr>
              <w:t>3、资格预审申请文件附的有关证件、证明材料复印件、申请文件正本、副本的所有内容均需加盖申请人单位公章。</w:t>
            </w:r>
          </w:p>
          <w:p>
            <w:pPr>
              <w:shd w:val="clear"/>
              <w:spacing w:line="360" w:lineRule="exact"/>
              <w:rPr>
                <w:rFonts w:ascii="宋体" w:hAnsi="宋体" w:cs="宋体"/>
                <w:color w:val="auto"/>
                <w:highlight w:val="none"/>
              </w:rPr>
            </w:pPr>
            <w:r>
              <w:rPr>
                <w:rFonts w:hint="eastAsia" w:ascii="宋体" w:hAnsi="宋体" w:cs="宋体"/>
                <w:color w:val="auto"/>
                <w:highlight w:val="none"/>
              </w:rPr>
              <w:t>按给定格式，需要签字和（或）盖章必须签字和（或）盖章。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资格预审申请文件份数</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纸质版资格预审申请文件正本壹份和副本肆份，电子版壹份。正本和副本的封面上应清楚地标记“正本”或“副本”字样。当正本和副本不一致时，以正本为准。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资格预审申请文件的装订要求</w:t>
            </w:r>
          </w:p>
        </w:tc>
        <w:tc>
          <w:tcPr>
            <w:tcW w:w="6927" w:type="dxa"/>
            <w:shd w:val="clear" w:color="auto" w:fill="auto"/>
            <w:vAlign w:val="center"/>
          </w:tcPr>
          <w:p>
            <w:pPr>
              <w:shd w:val="clea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资格预审申请文件的正本与副本应分别装订成册，并编制目录和页码，采用胶粘方式装订，装订应牢固、不易拆散和换页，不得采用活页装订。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6927" w:type="dxa"/>
            <w:shd w:val="clear" w:color="auto" w:fill="auto"/>
            <w:vAlign w:val="center"/>
          </w:tcPr>
          <w:p>
            <w:pPr>
              <w:shd w:val="clear"/>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采购人地址：</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采购人全称：</w:t>
            </w:r>
          </w:p>
          <w:p>
            <w:pPr>
              <w:shd w:val="clear"/>
              <w:topLinePunct/>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申请人名称及地址如为联合体，则需填写每个成员的名称及地址）：</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资格预审申请文件</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分前不得开启，并加盖申请人单位公章，联合体则加盖牵头人单位公章。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递交资格预审申请文件时间及资格预审时间</w:t>
            </w:r>
          </w:p>
        </w:tc>
        <w:tc>
          <w:tcPr>
            <w:tcW w:w="6927" w:type="dxa"/>
            <w:shd w:val="clear" w:color="auto" w:fill="auto"/>
            <w:vAlign w:val="center"/>
          </w:tcPr>
          <w:p>
            <w:pPr>
              <w:shd w:val="clear"/>
              <w:spacing w:line="360" w:lineRule="exact"/>
              <w:rPr>
                <w:rFonts w:ascii="宋体" w:hAnsi="宋体" w:cs="宋体"/>
                <w:b/>
                <w:color w:val="auto"/>
                <w:szCs w:val="21"/>
                <w:highlight w:val="none"/>
              </w:rPr>
            </w:pP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27</w:t>
            </w:r>
            <w:r>
              <w:rPr>
                <w:rFonts w:hint="eastAsia" w:ascii="宋体" w:hAnsi="宋体" w:cs="宋体"/>
                <w:b/>
                <w:bCs/>
                <w:color w:val="auto"/>
                <w:szCs w:val="21"/>
                <w:highlight w:val="none"/>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递交资格预审申请文件的地点</w:t>
            </w:r>
          </w:p>
        </w:tc>
        <w:tc>
          <w:tcPr>
            <w:tcW w:w="6927" w:type="dxa"/>
            <w:shd w:val="clear" w:color="auto" w:fill="auto"/>
            <w:vAlign w:val="center"/>
          </w:tcPr>
          <w:p>
            <w:pPr>
              <w:pStyle w:val="29"/>
              <w:shd w:val="clear"/>
              <w:rPr>
                <w:rFonts w:ascii="宋体" w:hAnsi="宋体" w:cs="宋体"/>
                <w:color w:val="auto"/>
                <w:highlight w:val="none"/>
              </w:rPr>
            </w:pPr>
            <w:r>
              <w:rPr>
                <w:rFonts w:hint="eastAsia" w:ascii="宋体" w:hAnsi="宋体" w:cs="宋体"/>
                <w:b/>
                <w:color w:val="auto"/>
                <w:sz w:val="21"/>
                <w:szCs w:val="21"/>
                <w:highlight w:val="none"/>
              </w:rPr>
              <w:t>南宁市公共资源交易中心9楼（南宁市玉洞大道33号南宁市民中心（具体详见9楼电子显示屏场地安排）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是否退还资格预审申请文件</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审查委员会人数</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评审小组参照本次资格预审文件、《中华人民共和国政府采购法》、财政部关于印发《政府和社会资本合作项目政府采购管理办法》的通知等相关法规、政策的规定组建。</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总数5人，其中评审专家4人，业主代表1人；评审专家包含1名技术专家，1名金融专家，1名财务专家和1名法律专家。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资格审查方法</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本次资格预审采用合格制。</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资格预审由项目采购人组织专家成立资格预审评审小组，资格预审评审小组审查申请人提交的申请文件，申请人如能满足本项目社会资本方资格要求，原则上视为通过资格预审。通过资格预审的申请人达到三家或三家以上，方可进入本次采购活动的下一环节；项目通过资格预审的社会资本不足3家的，项目采购人调整资格预审公告内容后重新组织资格预审；项目经重新资格预审后合格社会资本仍不够3家的，依法变更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资格预审结果的通知时间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具体资格预审结果详见发布预审公告的媒体。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056" w:type="dxa"/>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1717"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资格预审结果的确认时间</w:t>
            </w:r>
          </w:p>
        </w:tc>
        <w:tc>
          <w:tcPr>
            <w:tcW w:w="6927" w:type="dxa"/>
            <w:shd w:val="clear" w:color="auto" w:fill="auto"/>
            <w:vAlign w:val="center"/>
          </w:tcPr>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申请人收到资格预审通过通知书后 48 小时内（以发出时间为准）予以确认。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9700" w:type="dxa"/>
            <w:gridSpan w:val="4"/>
            <w:shd w:val="clear" w:color="auto" w:fill="auto"/>
            <w:vAlign w:val="center"/>
          </w:tcPr>
          <w:p>
            <w:pPr>
              <w:shd w:val="clear"/>
              <w:spacing w:line="360" w:lineRule="exact"/>
              <w:ind w:firstLine="420" w:firstLineChars="20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356"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8356" w:type="dxa"/>
            <w:gridSpan w:val="2"/>
            <w:shd w:val="clear" w:color="auto" w:fill="auto"/>
            <w:vAlign w:val="center"/>
          </w:tcPr>
          <w:p>
            <w:pPr>
              <w:shd w:val="clear"/>
              <w:spacing w:line="360" w:lineRule="exact"/>
              <w:jc w:val="left"/>
              <w:rPr>
                <w:rFonts w:ascii="宋体" w:hAnsi="宋体" w:cs="宋体"/>
                <w:color w:val="auto"/>
                <w:szCs w:val="21"/>
                <w:highlight w:val="none"/>
              </w:rPr>
            </w:pPr>
            <w:r>
              <w:rPr>
                <w:rFonts w:hint="eastAsia" w:ascii="宋体" w:hAnsi="宋体" w:cs="宋体"/>
                <w:color w:val="auto"/>
                <w:szCs w:val="21"/>
                <w:highlight w:val="none"/>
              </w:rPr>
              <w:t>在规定的截止时间前，按规定的地点送达。如未按要求密封及未按规定时间送达的，均被视为无效文件，不予接收。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jc w:val="center"/>
              <w:rPr>
                <w:rFonts w:ascii="宋体" w:hAnsi="宋体" w:cs="宋体"/>
                <w:color w:val="auto"/>
                <w:szCs w:val="21"/>
                <w:highlight w:val="none"/>
              </w:rPr>
            </w:pPr>
            <w:r>
              <w:rPr>
                <w:rFonts w:hint="eastAsia" w:ascii="宋体" w:hAnsi="宋体" w:cs="宋体"/>
                <w:color w:val="auto"/>
                <w:szCs w:val="21"/>
                <w:highlight w:val="none"/>
              </w:rPr>
              <w:t>9.2</w:t>
            </w:r>
          </w:p>
        </w:tc>
        <w:tc>
          <w:tcPr>
            <w:tcW w:w="8356" w:type="dxa"/>
            <w:gridSpan w:val="2"/>
            <w:shd w:val="clear" w:color="auto" w:fill="auto"/>
            <w:vAlign w:val="center"/>
          </w:tcPr>
          <w:p>
            <w:pPr>
              <w:shd w:val="clear"/>
              <w:topLinePunct/>
              <w:jc w:val="left"/>
              <w:rPr>
                <w:rFonts w:ascii="宋体" w:hAnsi="宋体" w:cs="宋体"/>
                <w:color w:val="auto"/>
                <w:szCs w:val="21"/>
                <w:highlight w:val="none"/>
              </w:rPr>
            </w:pPr>
            <w:r>
              <w:rPr>
                <w:rFonts w:hint="eastAsia" w:ascii="宋体" w:hAnsi="宋体" w:cs="宋体"/>
                <w:color w:val="auto"/>
                <w:szCs w:val="21"/>
                <w:highlight w:val="none"/>
              </w:rPr>
              <w:t>采购人有对资格预审申请文件进行核实的权利，若采购人在资格审查时或必要的调查过程中发现申请人有弄虚作假行为，将取消其资格预审资格，并承担相应的法律责任。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44"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9.3</w:t>
            </w:r>
          </w:p>
        </w:tc>
        <w:tc>
          <w:tcPr>
            <w:tcW w:w="8356" w:type="dxa"/>
            <w:gridSpan w:val="2"/>
            <w:shd w:val="clear" w:color="auto" w:fill="auto"/>
            <w:vAlign w:val="center"/>
          </w:tcPr>
          <w:p>
            <w:pPr>
              <w:widowControl/>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评审小组将通过评审的形式选择资格预审合格的申请人作为本项目的投标人。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9.4</w:t>
            </w:r>
          </w:p>
        </w:tc>
        <w:tc>
          <w:tcPr>
            <w:tcW w:w="8356" w:type="dxa"/>
            <w:gridSpan w:val="2"/>
            <w:shd w:val="clear" w:color="auto" w:fill="auto"/>
            <w:vAlign w:val="center"/>
          </w:tcPr>
          <w:p>
            <w:pPr>
              <w:widowControl/>
              <w:shd w:val="clear"/>
              <w:adjustRightInd w:val="0"/>
              <w:snapToGrid w:val="0"/>
              <w:rPr>
                <w:rFonts w:ascii="宋体" w:hAnsi="宋体" w:cs="宋体"/>
                <w:color w:val="auto"/>
                <w:szCs w:val="21"/>
                <w:highlight w:val="none"/>
              </w:rPr>
            </w:pPr>
            <w:r>
              <w:rPr>
                <w:rFonts w:hint="eastAsia" w:ascii="宋体" w:hAnsi="宋体" w:cs="宋体"/>
                <w:color w:val="auto"/>
                <w:kern w:val="0"/>
                <w:highlight w:val="none"/>
              </w:rPr>
              <w:t>有需要本项目实施方案等有关资料的投标人可以与实施机构</w:t>
            </w:r>
            <w:r>
              <w:rPr>
                <w:rFonts w:hint="eastAsia" w:ascii="宋体" w:hAnsi="宋体" w:cs="宋体"/>
                <w:color w:val="auto"/>
                <w:kern w:val="0"/>
                <w:highlight w:val="none"/>
                <w:lang w:val="en-US" w:eastAsia="zh-CN"/>
              </w:rPr>
              <w:t>方棋祥</w:t>
            </w:r>
            <w:r>
              <w:rPr>
                <w:rFonts w:hint="eastAsia" w:ascii="宋体" w:hAnsi="宋体" w:cs="宋体"/>
                <w:color w:val="auto"/>
                <w:kern w:val="0"/>
                <w:highlight w:val="none"/>
              </w:rPr>
              <w:t>同志联系，电话：0771</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2817503</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4" w:type="dxa"/>
            <w:gridSpan w:val="2"/>
            <w:shd w:val="clear" w:color="auto" w:fill="auto"/>
            <w:vAlign w:val="center"/>
          </w:tcPr>
          <w:p>
            <w:pPr>
              <w:shd w:val="clear"/>
              <w:topLinePunct/>
              <w:jc w:val="center"/>
              <w:rPr>
                <w:rFonts w:ascii="宋体" w:hAnsi="宋体" w:cs="宋体"/>
                <w:color w:val="auto"/>
                <w:szCs w:val="21"/>
                <w:highlight w:val="none"/>
              </w:rPr>
            </w:pPr>
            <w:r>
              <w:rPr>
                <w:rFonts w:hint="eastAsia" w:ascii="宋体" w:hAnsi="宋体" w:cs="宋体"/>
                <w:color w:val="auto"/>
                <w:szCs w:val="21"/>
                <w:highlight w:val="none"/>
              </w:rPr>
              <w:t>9.5</w:t>
            </w:r>
          </w:p>
        </w:tc>
        <w:tc>
          <w:tcPr>
            <w:tcW w:w="8356" w:type="dxa"/>
            <w:gridSpan w:val="2"/>
            <w:shd w:val="clear" w:color="auto" w:fill="auto"/>
            <w:vAlign w:val="center"/>
          </w:tcPr>
          <w:p>
            <w:pPr>
              <w:pStyle w:val="9"/>
              <w:rPr>
                <w:rFonts w:ascii="宋体" w:hAnsi="宋体" w:cs="宋体"/>
                <w:color w:val="auto"/>
                <w:szCs w:val="21"/>
                <w:highlight w:val="none"/>
              </w:rPr>
            </w:pPr>
            <w:r>
              <w:rPr>
                <w:rFonts w:hint="eastAsia" w:ascii="宋体" w:hAnsi="宋体" w:cs="宋体"/>
                <w:color w:val="auto"/>
                <w:szCs w:val="21"/>
                <w:highlight w:val="none"/>
                <w:lang w:val="en-US" w:eastAsia="zh-CN"/>
              </w:rPr>
              <w:t>本项目招标</w:t>
            </w:r>
            <w:r>
              <w:rPr>
                <w:rFonts w:hint="eastAsia" w:ascii="宋体" w:hAnsi="宋体" w:cs="宋体"/>
                <w:color w:val="auto"/>
                <w:szCs w:val="21"/>
                <w:highlight w:val="none"/>
              </w:rPr>
              <w:t>代理服务费</w:t>
            </w:r>
            <w:r>
              <w:rPr>
                <w:rFonts w:hint="eastAsia" w:ascii="宋体" w:hAnsi="宋体" w:cs="宋体"/>
                <w:color w:val="auto"/>
                <w:szCs w:val="21"/>
                <w:highlight w:val="none"/>
                <w:lang w:val="en-US" w:eastAsia="zh-CN"/>
              </w:rPr>
              <w:t>以项目总投资36508.36万元为计算基数，</w:t>
            </w:r>
            <w:r>
              <w:rPr>
                <w:rFonts w:hint="eastAsia" w:ascii="宋体" w:hAnsi="宋体" w:cs="宋体"/>
                <w:color w:val="auto"/>
                <w:szCs w:val="21"/>
                <w:highlight w:val="none"/>
              </w:rPr>
              <w:t>参照《广西壮族自治区物价局转发国家发展改革委关于降低部分建设项目收费标准规范收费行为等有关问题的通知》（桂价费〔2011〕55号）</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w:t>
            </w:r>
            <w:r>
              <w:rPr>
                <w:rFonts w:hint="eastAsia" w:ascii="宋体" w:hAnsi="宋体" w:cs="宋体"/>
                <w:color w:val="auto"/>
                <w:szCs w:val="21"/>
                <w:highlight w:val="none"/>
                <w:lang w:val="en-US" w:eastAsia="zh-CN"/>
              </w:rPr>
              <w:t>下浮20%计取</w:t>
            </w:r>
            <w:r>
              <w:rPr>
                <w:rFonts w:ascii="宋体" w:hAnsi="宋体" w:cs="宋体"/>
                <w:color w:val="auto"/>
                <w:szCs w:val="21"/>
                <w:highlight w:val="none"/>
              </w:rPr>
              <w:t>，由采购代理机构向中标人收取。</w:t>
            </w:r>
            <w:r>
              <w:rPr>
                <w:rFonts w:hint="eastAsia" w:ascii="宋体" w:hAnsi="宋体" w:cs="宋体"/>
                <w:b/>
                <w:bCs/>
                <w:color w:val="auto"/>
                <w:szCs w:val="21"/>
                <w:highlight w:val="none"/>
                <w:lang w:val="en-US" w:eastAsia="zh-CN"/>
              </w:rPr>
              <w:t>注：本项目资格预审阶段不收取招标代理服务费。</w:t>
            </w:r>
          </w:p>
        </w:tc>
      </w:tr>
    </w:tbl>
    <w:p>
      <w:pPr>
        <w:shd w:val="clear"/>
        <w:rPr>
          <w:rFonts w:ascii="宋体" w:hAnsi="宋体" w:cs="宋体"/>
          <w:color w:val="auto"/>
          <w:highlight w:val="none"/>
        </w:rPr>
      </w:pPr>
    </w:p>
    <w:p>
      <w:pPr>
        <w:keepNext/>
        <w:keepLines/>
        <w:shd w:val="clear"/>
        <w:spacing w:before="156" w:beforeLines="50" w:after="156" w:afterLines="50" w:line="360" w:lineRule="auto"/>
        <w:ind w:firstLine="280" w:firstLineChars="100"/>
        <w:outlineLvl w:val="1"/>
        <w:rPr>
          <w:rFonts w:ascii="宋体" w:hAnsi="宋体" w:cs="宋体"/>
          <w:b/>
          <w:bCs/>
          <w:color w:val="auto"/>
          <w:szCs w:val="21"/>
          <w:highlight w:val="none"/>
        </w:rPr>
      </w:pPr>
      <w:r>
        <w:rPr>
          <w:rFonts w:hint="eastAsia" w:ascii="宋体" w:hAnsi="宋体" w:cs="宋体"/>
          <w:color w:val="auto"/>
          <w:sz w:val="28"/>
          <w:szCs w:val="28"/>
          <w:highlight w:val="none"/>
          <w:lang w:val="zh-CN"/>
        </w:rPr>
        <w:br w:type="page"/>
      </w:r>
      <w:bookmarkStart w:id="136" w:name="_Toc144974404"/>
      <w:bookmarkStart w:id="137" w:name="_Toc10396"/>
      <w:bookmarkStart w:id="138" w:name="_Toc152047200"/>
      <w:bookmarkStart w:id="139" w:name="_Toc19670"/>
      <w:bookmarkStart w:id="140" w:name="_Toc11341"/>
      <w:bookmarkStart w:id="141" w:name="_Toc16932"/>
      <w:bookmarkStart w:id="142" w:name="_Toc54174946"/>
      <w:bookmarkStart w:id="143" w:name="_Toc18080"/>
      <w:bookmarkStart w:id="144" w:name="_Toc23749"/>
      <w:bookmarkStart w:id="145" w:name="_Toc4325"/>
      <w:bookmarkStart w:id="146" w:name="_Toc4213"/>
      <w:bookmarkStart w:id="147" w:name="_Toc482173678"/>
      <w:bookmarkStart w:id="148" w:name="_Toc21003"/>
      <w:r>
        <w:rPr>
          <w:rFonts w:ascii="宋体" w:hAnsi="宋体" w:cs="宋体"/>
          <w:b/>
          <w:bCs/>
          <w:color w:val="auto"/>
          <w:szCs w:val="21"/>
          <w:highlight w:val="none"/>
        </w:rPr>
        <w:t>1.总则</w:t>
      </w:r>
      <w:bookmarkEnd w:id="136"/>
      <w:bookmarkEnd w:id="137"/>
      <w:bookmarkEnd w:id="138"/>
      <w:bookmarkEnd w:id="139"/>
      <w:bookmarkEnd w:id="140"/>
      <w:bookmarkEnd w:id="141"/>
      <w:bookmarkEnd w:id="142"/>
      <w:bookmarkEnd w:id="143"/>
      <w:bookmarkEnd w:id="144"/>
      <w:bookmarkEnd w:id="145"/>
    </w:p>
    <w:p>
      <w:pPr>
        <w:shd w:val="clear"/>
        <w:spacing w:line="360" w:lineRule="auto"/>
        <w:jc w:val="left"/>
        <w:rPr>
          <w:rFonts w:ascii="宋体" w:hAnsi="宋体" w:cs="宋体"/>
          <w:b/>
          <w:color w:val="auto"/>
          <w:szCs w:val="21"/>
          <w:highlight w:val="none"/>
        </w:rPr>
      </w:pPr>
      <w:bookmarkStart w:id="149" w:name="_Toc450568096"/>
      <w:bookmarkStart w:id="150" w:name="_Toc152047201"/>
      <w:bookmarkStart w:id="151" w:name="_Toc450567732"/>
      <w:bookmarkStart w:id="152" w:name="_Toc144974405"/>
      <w:r>
        <w:rPr>
          <w:rFonts w:ascii="宋体" w:hAnsi="宋体" w:cs="宋体"/>
          <w:b/>
          <w:color w:val="auto"/>
          <w:szCs w:val="21"/>
          <w:highlight w:val="none"/>
        </w:rPr>
        <w:t xml:space="preserve">1.1 </w:t>
      </w:r>
      <w:r>
        <w:rPr>
          <w:rFonts w:hint="eastAsia" w:ascii="宋体" w:hAnsi="宋体" w:cs="宋体"/>
          <w:b/>
          <w:color w:val="auto"/>
          <w:szCs w:val="21"/>
          <w:highlight w:val="none"/>
        </w:rPr>
        <w:t>项目概况</w:t>
      </w:r>
      <w:bookmarkEnd w:id="149"/>
      <w:bookmarkEnd w:id="150"/>
      <w:bookmarkEnd w:id="151"/>
      <w:bookmarkEnd w:id="15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1.1.1根据《中华人民共和国政府采购法》和《中华人民共和国招标投标法》等有关法律、法规和规章的规定，本招标项目已具备招标条件，现进行公开招标，特邀请有兴趣承担本项目的申请人提出资格预审申请。</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1.1.2本采购项目采购人：见申请人须知前附表。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1.1.3本项目采购代理机构：见申请人须知前附表。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1.1.4本采购项目名称：见申请人须知前附表。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1.1.5本项目建设地点及内容：见申请人须知前附表。</w:t>
      </w:r>
    </w:p>
    <w:p>
      <w:pPr>
        <w:shd w:val="clear"/>
        <w:spacing w:line="360" w:lineRule="auto"/>
        <w:jc w:val="left"/>
        <w:rPr>
          <w:rFonts w:ascii="宋体" w:hAnsi="宋体" w:cs="宋体"/>
          <w:b/>
          <w:color w:val="auto"/>
          <w:szCs w:val="21"/>
          <w:highlight w:val="none"/>
        </w:rPr>
      </w:pPr>
      <w:bookmarkStart w:id="153" w:name="_Toc144974406"/>
      <w:bookmarkStart w:id="154" w:name="_Toc152047202"/>
      <w:bookmarkStart w:id="155" w:name="_Toc450567733"/>
      <w:bookmarkStart w:id="156" w:name="_Toc450568097"/>
      <w:r>
        <w:rPr>
          <w:rFonts w:ascii="宋体" w:hAnsi="宋体" w:cs="宋体"/>
          <w:b/>
          <w:color w:val="auto"/>
          <w:szCs w:val="21"/>
          <w:highlight w:val="none"/>
        </w:rPr>
        <w:t xml:space="preserve">1.2 </w:t>
      </w:r>
      <w:r>
        <w:rPr>
          <w:rFonts w:hint="eastAsia" w:ascii="宋体" w:hAnsi="宋体" w:cs="宋体"/>
          <w:b/>
          <w:color w:val="auto"/>
          <w:szCs w:val="21"/>
          <w:highlight w:val="none"/>
        </w:rPr>
        <w:t>资金来源和落实情况</w:t>
      </w:r>
      <w:bookmarkEnd w:id="153"/>
      <w:bookmarkEnd w:id="154"/>
      <w:bookmarkEnd w:id="155"/>
      <w:bookmarkEnd w:id="156"/>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1.2.1本采购项目的资金来源：见申请人须知前附表。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1.2.2本采购项目的出资比例：见申请人须知前附表。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1.2.3本采购项目的资金落实情况：见申请人须知前附表。</w:t>
      </w:r>
    </w:p>
    <w:p>
      <w:pPr>
        <w:shd w:val="clear"/>
        <w:spacing w:line="360" w:lineRule="auto"/>
        <w:jc w:val="left"/>
        <w:rPr>
          <w:rFonts w:ascii="宋体" w:hAnsi="宋体" w:cs="宋体"/>
          <w:b/>
          <w:color w:val="auto"/>
          <w:szCs w:val="21"/>
          <w:highlight w:val="none"/>
        </w:rPr>
      </w:pPr>
      <w:bookmarkStart w:id="157" w:name="_Toc450567734"/>
      <w:bookmarkStart w:id="158" w:name="_Toc152047203"/>
      <w:bookmarkStart w:id="159" w:name="_Toc450568098"/>
      <w:bookmarkStart w:id="160" w:name="_Toc144974407"/>
      <w:r>
        <w:rPr>
          <w:rFonts w:ascii="宋体" w:hAnsi="宋体" w:cs="宋体"/>
          <w:b/>
          <w:color w:val="auto"/>
          <w:szCs w:val="21"/>
          <w:highlight w:val="none"/>
        </w:rPr>
        <w:t>1.3采购范围、计划工期和质量要求</w:t>
      </w:r>
      <w:bookmarkEnd w:id="157"/>
      <w:bookmarkEnd w:id="158"/>
      <w:bookmarkEnd w:id="159"/>
      <w:bookmarkEnd w:id="160"/>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13.1本次采购范围：见申请人须知前附表。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1.3.2本项目的合作期限：见申请人须知前附表。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1.3.3本项目的质量要求：见申请人须知前附表。</w:t>
      </w:r>
    </w:p>
    <w:p>
      <w:pPr>
        <w:shd w:val="clear"/>
        <w:spacing w:line="360" w:lineRule="auto"/>
        <w:jc w:val="left"/>
        <w:rPr>
          <w:rFonts w:ascii="宋体" w:hAnsi="宋体" w:cs="宋体"/>
          <w:b/>
          <w:color w:val="auto"/>
          <w:szCs w:val="21"/>
          <w:highlight w:val="none"/>
        </w:rPr>
      </w:pPr>
      <w:bookmarkStart w:id="161" w:name="_Toc144974408"/>
      <w:bookmarkStart w:id="162" w:name="_Toc450567735"/>
      <w:bookmarkStart w:id="163" w:name="_Toc450568099"/>
      <w:bookmarkStart w:id="164" w:name="_Toc152047204"/>
      <w:r>
        <w:rPr>
          <w:rFonts w:ascii="宋体" w:hAnsi="宋体" w:cs="宋体"/>
          <w:b/>
          <w:color w:val="auto"/>
          <w:szCs w:val="21"/>
          <w:highlight w:val="none"/>
        </w:rPr>
        <w:t>1.4申请人资格要求</w:t>
      </w:r>
      <w:bookmarkEnd w:id="161"/>
      <w:bookmarkEnd w:id="162"/>
      <w:bookmarkEnd w:id="163"/>
      <w:bookmarkEnd w:id="16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申请人应具备承担本项目建设的资质条件、能力和信誉。</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基本主体要求：见申请人须知前附表；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1.4.2信誉要求：见申请人须知前附表；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1.4.3财务要求:见申请人须知前附表;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其他要求: </w:t>
      </w:r>
      <w:r>
        <w:rPr>
          <w:rFonts w:hint="eastAsia" w:ascii="宋体" w:hAnsi="宋体" w:cs="宋体"/>
          <w:color w:val="auto"/>
          <w:szCs w:val="21"/>
          <w:highlight w:val="none"/>
        </w:rPr>
        <w:t>见申请人须知前附表</w:t>
      </w:r>
      <w:r>
        <w:rPr>
          <w:rFonts w:ascii="宋体" w:hAnsi="宋体" w:cs="宋体"/>
          <w:color w:val="auto"/>
          <w:szCs w:val="21"/>
          <w:highlight w:val="none"/>
        </w:rPr>
        <w:t>.</w:t>
      </w:r>
    </w:p>
    <w:p>
      <w:pPr>
        <w:shd w:val="clear"/>
        <w:spacing w:line="360" w:lineRule="auto"/>
        <w:ind w:left="479" w:leftChars="228"/>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5</w:t>
      </w:r>
      <w:r>
        <w:rPr>
          <w:rFonts w:ascii="宋体" w:hAnsi="宋体" w:cs="宋体"/>
          <w:color w:val="auto"/>
          <w:szCs w:val="21"/>
          <w:highlight w:val="none"/>
        </w:rPr>
        <w:t>申请人须知前附表规定接受联合体申请资格预审的，联合体申请人除应符合本章第1.4.1项和申请人须知前附表的要求外，还应遵守以下规定：</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联合体各方必须按资格预审文件提供的格式签订联合体协议书，明确联合体牵头人和各方的权利义务及应承担的责任,载明联合体各成员单位的具体工作分工和出资股权比例,并明确联合体所有成员间互相承担连带责任；</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2）由同一专业的单位组成的联合体，按照资质等级较低的单位确定资质等级；</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3）通过资格预审的联合体，其各方组成结构或职责，以及财务能力、信誉情况等资格条件不得改变；</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6</w:t>
      </w:r>
      <w:r>
        <w:rPr>
          <w:rFonts w:ascii="宋体" w:hAnsi="宋体" w:cs="宋体"/>
          <w:color w:val="auto"/>
          <w:szCs w:val="21"/>
          <w:highlight w:val="none"/>
        </w:rPr>
        <w:t>申请人不得存在下列情形之一：</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1）为采购人不具有独立法人资格的附属机构（单位）</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2）为本项目前期准备提供设计或咨询服务的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3）为本项目提供采购代理服务的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(4) 与本项目的采购代理机构为一个法人代表的、相互控股或参股的、相互任职或工作的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5）被责令停业的、财产被接管或冻结的、破产的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6）因发生重大安全、质量事故处于被停止投标的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7）经评审小组认定会对承担本项目造成重大影响的正在诉讼的案件</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8）201</w:t>
      </w:r>
      <w:r>
        <w:rPr>
          <w:rFonts w:hint="eastAsia" w:ascii="宋体" w:hAnsi="宋体" w:cs="宋体"/>
          <w:color w:val="auto"/>
          <w:szCs w:val="21"/>
          <w:highlight w:val="none"/>
          <w:lang w:val="en-US" w:eastAsia="zh-CN"/>
        </w:rPr>
        <w:t>9</w:t>
      </w:r>
      <w:r>
        <w:rPr>
          <w:rFonts w:ascii="宋体" w:hAnsi="宋体" w:cs="宋体"/>
          <w:color w:val="auto"/>
          <w:szCs w:val="21"/>
          <w:highlight w:val="none"/>
        </w:rPr>
        <w:t>年以来有骗取中标或在南宁市工程建设中严重违约的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9）201</w:t>
      </w:r>
      <w:r>
        <w:rPr>
          <w:rFonts w:hint="eastAsia" w:ascii="宋体" w:hAnsi="宋体" w:cs="宋体"/>
          <w:color w:val="auto"/>
          <w:szCs w:val="21"/>
          <w:highlight w:val="none"/>
          <w:lang w:val="en-US" w:eastAsia="zh-CN"/>
        </w:rPr>
        <w:t>9</w:t>
      </w:r>
      <w:r>
        <w:rPr>
          <w:rFonts w:ascii="宋体" w:hAnsi="宋体" w:cs="宋体"/>
          <w:color w:val="auto"/>
          <w:szCs w:val="21"/>
          <w:highlight w:val="none"/>
        </w:rPr>
        <w:t>年以来有违反廉政协议的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10）被通报处于暂停投标期间的</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11）提供弄虚作假的证件、文件</w:t>
      </w:r>
      <w:r>
        <w:rPr>
          <w:rFonts w:hint="eastAsia" w:ascii="宋体" w:hAnsi="宋体" w:cs="宋体"/>
          <w:color w:val="auto"/>
          <w:szCs w:val="21"/>
          <w:highlight w:val="none"/>
          <w:lang w:eastAsia="zh-CN"/>
        </w:rPr>
        <w:t>；</w:t>
      </w:r>
    </w:p>
    <w:p>
      <w:pPr>
        <w:widowControl/>
        <w:shd w:val="clear"/>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12）有关法律、行政法规以及自治区、南宁市规范性文件规定的其他情形。</w:t>
      </w:r>
    </w:p>
    <w:p>
      <w:pPr>
        <w:widowControl/>
        <w:shd w:val="clear"/>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7</w:t>
      </w:r>
      <w:r>
        <w:rPr>
          <w:rFonts w:ascii="宋体" w:hAnsi="宋体" w:cs="宋体"/>
          <w:color w:val="auto"/>
          <w:szCs w:val="21"/>
          <w:highlight w:val="none"/>
        </w:rPr>
        <w:t>申请人还应符合资格预审文件的其他规定和要求。</w:t>
      </w:r>
    </w:p>
    <w:p>
      <w:pPr>
        <w:shd w:val="clear"/>
        <w:spacing w:line="360" w:lineRule="auto"/>
        <w:jc w:val="left"/>
        <w:rPr>
          <w:rFonts w:ascii="宋体" w:hAnsi="宋体" w:cs="宋体"/>
          <w:b/>
          <w:color w:val="auto"/>
          <w:szCs w:val="21"/>
          <w:highlight w:val="none"/>
        </w:rPr>
      </w:pPr>
      <w:bookmarkStart w:id="165" w:name="_Toc450568100"/>
      <w:bookmarkStart w:id="166" w:name="_Toc144974409"/>
      <w:bookmarkStart w:id="167" w:name="_Toc152047205"/>
      <w:bookmarkStart w:id="168" w:name="_Toc450567736"/>
      <w:r>
        <w:rPr>
          <w:rFonts w:ascii="宋体" w:hAnsi="宋体" w:cs="宋体"/>
          <w:b/>
          <w:color w:val="auto"/>
          <w:szCs w:val="21"/>
          <w:highlight w:val="none"/>
        </w:rPr>
        <w:t>1.5语言文字</w:t>
      </w:r>
      <w:bookmarkEnd w:id="165"/>
      <w:bookmarkEnd w:id="166"/>
      <w:bookmarkEnd w:id="167"/>
      <w:bookmarkEnd w:id="16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除专用术语外，来往文件均使用中文。必要时专用术语应附有中文注释。</w:t>
      </w:r>
    </w:p>
    <w:p>
      <w:pPr>
        <w:shd w:val="clear"/>
        <w:spacing w:line="360" w:lineRule="auto"/>
        <w:jc w:val="left"/>
        <w:rPr>
          <w:rFonts w:ascii="宋体" w:hAnsi="宋体" w:cs="宋体"/>
          <w:b/>
          <w:color w:val="auto"/>
          <w:szCs w:val="21"/>
          <w:highlight w:val="none"/>
        </w:rPr>
      </w:pPr>
      <w:bookmarkStart w:id="169" w:name="_Toc144974410"/>
      <w:bookmarkStart w:id="170" w:name="_Toc450568101"/>
      <w:bookmarkStart w:id="171" w:name="_Toc450567737"/>
      <w:bookmarkStart w:id="172" w:name="_Toc152047206"/>
      <w:r>
        <w:rPr>
          <w:rFonts w:ascii="宋体" w:hAnsi="宋体" w:cs="宋体"/>
          <w:b/>
          <w:color w:val="auto"/>
          <w:szCs w:val="21"/>
          <w:highlight w:val="none"/>
        </w:rPr>
        <w:t xml:space="preserve">1.6 </w:t>
      </w:r>
      <w:r>
        <w:rPr>
          <w:rFonts w:hint="eastAsia" w:ascii="宋体" w:hAnsi="宋体" w:cs="宋体"/>
          <w:b/>
          <w:color w:val="auto"/>
          <w:szCs w:val="21"/>
          <w:highlight w:val="none"/>
        </w:rPr>
        <w:t>费用承担</w:t>
      </w:r>
      <w:bookmarkEnd w:id="169"/>
      <w:bookmarkEnd w:id="170"/>
      <w:bookmarkEnd w:id="171"/>
      <w:bookmarkEnd w:id="17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申请人准备和参加资格预审发生的费用自理。</w:t>
      </w:r>
    </w:p>
    <w:p>
      <w:pPr>
        <w:shd w:val="clear"/>
        <w:spacing w:line="360" w:lineRule="auto"/>
        <w:jc w:val="left"/>
        <w:rPr>
          <w:rFonts w:ascii="宋体" w:hAnsi="宋体" w:cs="宋体"/>
          <w:b/>
          <w:color w:val="auto"/>
          <w:szCs w:val="21"/>
          <w:highlight w:val="none"/>
        </w:rPr>
      </w:pPr>
      <w:r>
        <w:rPr>
          <w:rFonts w:ascii="宋体" w:hAnsi="宋体" w:cs="宋体"/>
          <w:b/>
          <w:color w:val="auto"/>
          <w:szCs w:val="21"/>
          <w:highlight w:val="none"/>
        </w:rPr>
        <w:t xml:space="preserve">1.7 </w:t>
      </w:r>
      <w:r>
        <w:rPr>
          <w:rFonts w:hint="eastAsia" w:ascii="宋体" w:hAnsi="宋体" w:cs="宋体"/>
          <w:b/>
          <w:color w:val="auto"/>
          <w:szCs w:val="21"/>
          <w:highlight w:val="none"/>
        </w:rPr>
        <w:t>时间单位</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除资格预审文件另有规定外，资格预审文件所使用的时间单位“天”、“日”均指日历天，时、分均为北京时间。</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173" w:name="_Toc29830"/>
      <w:bookmarkStart w:id="174" w:name="_Toc20768"/>
      <w:bookmarkStart w:id="175" w:name="_Toc152047207"/>
      <w:bookmarkStart w:id="176" w:name="_Toc144974411"/>
      <w:bookmarkStart w:id="177" w:name="_Toc17911"/>
      <w:bookmarkStart w:id="178" w:name="_Toc12188"/>
      <w:bookmarkStart w:id="179" w:name="_Toc19834"/>
      <w:bookmarkStart w:id="180" w:name="_Toc30126"/>
      <w:bookmarkStart w:id="181" w:name="_Toc54174947"/>
      <w:bookmarkStart w:id="182" w:name="_Toc19414"/>
      <w:bookmarkStart w:id="183" w:name="_Toc144974415"/>
      <w:bookmarkStart w:id="184" w:name="_Toc152047211"/>
      <w:r>
        <w:rPr>
          <w:rFonts w:ascii="宋体" w:hAnsi="宋体" w:cs="宋体"/>
          <w:b/>
          <w:bCs/>
          <w:color w:val="auto"/>
          <w:szCs w:val="21"/>
          <w:highlight w:val="none"/>
        </w:rPr>
        <w:t xml:space="preserve">2. </w:t>
      </w:r>
      <w:r>
        <w:rPr>
          <w:rFonts w:hint="eastAsia" w:ascii="宋体" w:hAnsi="宋体" w:cs="宋体"/>
          <w:b/>
          <w:bCs/>
          <w:color w:val="auto"/>
          <w:szCs w:val="21"/>
          <w:highlight w:val="none"/>
        </w:rPr>
        <w:t>资格预审文件</w:t>
      </w:r>
      <w:bookmarkEnd w:id="173"/>
      <w:bookmarkEnd w:id="174"/>
      <w:bookmarkEnd w:id="175"/>
      <w:bookmarkEnd w:id="176"/>
      <w:bookmarkEnd w:id="177"/>
      <w:bookmarkEnd w:id="178"/>
      <w:bookmarkEnd w:id="179"/>
      <w:bookmarkEnd w:id="180"/>
      <w:bookmarkEnd w:id="181"/>
      <w:bookmarkEnd w:id="182"/>
    </w:p>
    <w:p>
      <w:pPr>
        <w:shd w:val="clear"/>
        <w:spacing w:line="360" w:lineRule="auto"/>
        <w:jc w:val="left"/>
        <w:rPr>
          <w:rFonts w:ascii="宋体" w:hAnsi="宋体" w:cs="宋体"/>
          <w:b/>
          <w:color w:val="auto"/>
          <w:szCs w:val="21"/>
          <w:highlight w:val="none"/>
        </w:rPr>
      </w:pPr>
      <w:bookmarkStart w:id="185" w:name="_Toc144974412"/>
      <w:bookmarkStart w:id="186" w:name="_Toc450568103"/>
      <w:bookmarkStart w:id="187" w:name="_Toc152047208"/>
      <w:bookmarkStart w:id="188" w:name="_Toc450567739"/>
      <w:r>
        <w:rPr>
          <w:rFonts w:ascii="宋体" w:hAnsi="宋体" w:cs="宋体"/>
          <w:b/>
          <w:color w:val="auto"/>
          <w:szCs w:val="21"/>
          <w:highlight w:val="none"/>
        </w:rPr>
        <w:t>2.1资格预审文件的组成</w:t>
      </w:r>
      <w:bookmarkEnd w:id="185"/>
      <w:bookmarkEnd w:id="186"/>
      <w:bookmarkEnd w:id="187"/>
      <w:bookmarkEnd w:id="188"/>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2.1.1本次资格预审文件包括资格预审公告、申请人须知、资格审查办法、资格预审申请文件格式，以及对资格预审文件的澄清和修改。</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2.1.2当资格预审文件、资格预审文件的澄清或修改等在同一内容的表述上不一致时，以最后发出的书面文件为准。</w:t>
      </w:r>
    </w:p>
    <w:p>
      <w:pPr>
        <w:shd w:val="clear"/>
        <w:spacing w:line="360" w:lineRule="auto"/>
        <w:jc w:val="left"/>
        <w:rPr>
          <w:rFonts w:ascii="宋体" w:hAnsi="宋体" w:cs="宋体"/>
          <w:b/>
          <w:color w:val="auto"/>
          <w:szCs w:val="21"/>
          <w:highlight w:val="none"/>
        </w:rPr>
      </w:pPr>
      <w:bookmarkStart w:id="189" w:name="_Toc450568104"/>
      <w:bookmarkStart w:id="190" w:name="_Toc144974413"/>
      <w:bookmarkStart w:id="191" w:name="_Toc450567740"/>
      <w:bookmarkStart w:id="192" w:name="_Toc152047209"/>
      <w:r>
        <w:rPr>
          <w:rFonts w:ascii="宋体" w:hAnsi="宋体" w:cs="宋体"/>
          <w:b/>
          <w:color w:val="auto"/>
          <w:szCs w:val="21"/>
          <w:highlight w:val="none"/>
        </w:rPr>
        <w:t xml:space="preserve">2.2 </w:t>
      </w:r>
      <w:r>
        <w:rPr>
          <w:rFonts w:hint="eastAsia" w:ascii="宋体" w:hAnsi="宋体" w:cs="宋体"/>
          <w:b/>
          <w:color w:val="auto"/>
          <w:szCs w:val="21"/>
          <w:highlight w:val="none"/>
        </w:rPr>
        <w:t>资格预审文件的澄清</w:t>
      </w:r>
      <w:bookmarkEnd w:id="189"/>
      <w:bookmarkEnd w:id="190"/>
      <w:bookmarkEnd w:id="191"/>
      <w:bookmarkEnd w:id="19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2.2.1申请人应仔细阅读和检查资格预审文件的全部内容。如有疑问，应在申请人须知前附表规定的时间前以书面形式（包括信函、电报、传真等可以有形表现所载内容的形式，下同），要求采购人对资格预审文件进行澄清。</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2.2.2采购人应在申请人须知前附表规定的时间前，以书面形式将澄清、答复、修改、补充内容都应该通过本代理机构在财政部门指定的政府采购信息发布媒体上发布更正公告，申请人应自行查阅，无须确认，对未及时查阅造成损失的，采购人及采购代理机构不承担责任。采购人非通过本机构，不得擅自澄清、答复、修改、补充资格预审文件。</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193" w:name="_Toc23077"/>
      <w:bookmarkStart w:id="194" w:name="_Toc20660"/>
      <w:bookmarkStart w:id="195" w:name="_Toc21121"/>
      <w:bookmarkStart w:id="196" w:name="_Toc31384"/>
      <w:bookmarkStart w:id="197" w:name="_Toc5649"/>
      <w:bookmarkStart w:id="198" w:name="_Toc8964"/>
      <w:bookmarkStart w:id="199" w:name="_Toc54174948"/>
      <w:bookmarkStart w:id="200" w:name="_Toc27010"/>
      <w:r>
        <w:rPr>
          <w:rFonts w:ascii="宋体" w:hAnsi="宋体" w:cs="宋体"/>
          <w:b/>
          <w:bCs/>
          <w:color w:val="auto"/>
          <w:szCs w:val="21"/>
          <w:highlight w:val="none"/>
        </w:rPr>
        <w:t>3.资格预审申请文件的编制</w:t>
      </w:r>
      <w:bookmarkEnd w:id="183"/>
      <w:bookmarkEnd w:id="184"/>
      <w:bookmarkEnd w:id="193"/>
      <w:bookmarkEnd w:id="194"/>
      <w:bookmarkEnd w:id="195"/>
      <w:bookmarkEnd w:id="196"/>
      <w:bookmarkEnd w:id="197"/>
      <w:bookmarkEnd w:id="198"/>
      <w:bookmarkEnd w:id="199"/>
      <w:bookmarkEnd w:id="200"/>
    </w:p>
    <w:p>
      <w:pPr>
        <w:shd w:val="clear"/>
        <w:spacing w:line="360" w:lineRule="auto"/>
        <w:jc w:val="left"/>
        <w:rPr>
          <w:rFonts w:ascii="宋体" w:hAnsi="宋体" w:cs="宋体"/>
          <w:b/>
          <w:color w:val="auto"/>
          <w:szCs w:val="21"/>
          <w:highlight w:val="none"/>
        </w:rPr>
      </w:pPr>
      <w:bookmarkStart w:id="201" w:name="_Toc450567743"/>
      <w:bookmarkStart w:id="202" w:name="_Toc450568107"/>
      <w:bookmarkStart w:id="203" w:name="_Toc144974416"/>
      <w:bookmarkStart w:id="204" w:name="_Toc152047212"/>
      <w:r>
        <w:rPr>
          <w:rFonts w:ascii="宋体" w:hAnsi="宋体" w:cs="宋体"/>
          <w:b/>
          <w:color w:val="auto"/>
          <w:szCs w:val="21"/>
          <w:highlight w:val="none"/>
        </w:rPr>
        <w:t xml:space="preserve">3.1 </w:t>
      </w:r>
      <w:r>
        <w:rPr>
          <w:rFonts w:hint="eastAsia" w:ascii="宋体" w:hAnsi="宋体" w:cs="宋体"/>
          <w:b/>
          <w:color w:val="auto"/>
          <w:szCs w:val="21"/>
          <w:highlight w:val="none"/>
        </w:rPr>
        <w:t>资格预审申请文件的组成</w:t>
      </w:r>
      <w:bookmarkEnd w:id="201"/>
      <w:bookmarkEnd w:id="202"/>
      <w:bookmarkEnd w:id="203"/>
      <w:bookmarkEnd w:id="204"/>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3.1.1资格预审申请文件应包括下列内容：</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1）资格预审文件评审索引表；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2）资格预审申请函；</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kern w:val="1"/>
          <w:szCs w:val="21"/>
          <w:highlight w:val="none"/>
        </w:rPr>
        <w:t>法定代表人身份证明或附有法定代表人身份证明的授权委托书；</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4）联合体协议书（非联合体不需提交）；</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5）申请人基本情况表；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6）近年财务状况表；</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）近年发生的诉讼及仲裁情况</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）成立项目公司承诺函</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ascii="宋体" w:hAnsi="宋体" w:cs="宋体"/>
          <w:color w:val="auto"/>
          <w:szCs w:val="21"/>
          <w:highlight w:val="none"/>
        </w:rPr>
        <w:t>）申请人信用信息记录；</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ascii="宋体" w:hAnsi="宋体" w:cs="宋体"/>
          <w:color w:val="auto"/>
          <w:szCs w:val="21"/>
          <w:highlight w:val="none"/>
        </w:rPr>
        <w:t>）无违法和不良记录的承诺书；</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）其他材料。</w:t>
      </w:r>
    </w:p>
    <w:p>
      <w:pPr>
        <w:shd w:val="clear"/>
        <w:spacing w:line="360" w:lineRule="auto"/>
        <w:jc w:val="left"/>
        <w:rPr>
          <w:rFonts w:ascii="宋体" w:hAnsi="宋体" w:cs="宋体"/>
          <w:b/>
          <w:color w:val="auto"/>
          <w:szCs w:val="21"/>
          <w:highlight w:val="none"/>
        </w:rPr>
      </w:pPr>
      <w:bookmarkStart w:id="205" w:name="_Toc144974417"/>
      <w:bookmarkStart w:id="206" w:name="_Toc450567744"/>
      <w:bookmarkStart w:id="207" w:name="_Toc450568108"/>
      <w:bookmarkStart w:id="208" w:name="_Toc152047213"/>
      <w:r>
        <w:rPr>
          <w:rFonts w:ascii="宋体" w:hAnsi="宋体" w:cs="宋体"/>
          <w:b/>
          <w:color w:val="auto"/>
          <w:szCs w:val="21"/>
          <w:highlight w:val="none"/>
        </w:rPr>
        <w:t xml:space="preserve">3.2 </w:t>
      </w:r>
      <w:r>
        <w:rPr>
          <w:rFonts w:hint="eastAsia" w:ascii="宋体" w:hAnsi="宋体" w:cs="宋体"/>
          <w:b/>
          <w:color w:val="auto"/>
          <w:szCs w:val="21"/>
          <w:highlight w:val="none"/>
        </w:rPr>
        <w:t>资格预审申请文件的编制要求</w:t>
      </w:r>
      <w:bookmarkEnd w:id="205"/>
      <w:bookmarkEnd w:id="206"/>
      <w:bookmarkEnd w:id="207"/>
      <w:bookmarkEnd w:id="208"/>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3.2.1资格预审申请文件应按第</w:t>
      </w:r>
      <w:r>
        <w:rPr>
          <w:rFonts w:hint="eastAsia" w:ascii="宋体" w:hAnsi="宋体" w:cs="宋体"/>
          <w:color w:val="auto"/>
          <w:szCs w:val="21"/>
          <w:highlight w:val="none"/>
          <w:lang w:val="en-US" w:eastAsia="zh-CN"/>
        </w:rPr>
        <w:t>五</w:t>
      </w:r>
      <w:r>
        <w:rPr>
          <w:rFonts w:ascii="宋体" w:hAnsi="宋体" w:cs="宋体"/>
          <w:color w:val="auto"/>
          <w:szCs w:val="21"/>
          <w:highlight w:val="none"/>
        </w:rPr>
        <w:t>章“资格预审申请文件格式”进行编写，如有必要，可以增加附页，并作为资格预审申请文件的组成部分。</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3.2.2法定代表人授权委托书必须由法定代表人签署。</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3.2.3“申请人基本情况表”应附申请人营业执照副本等材料的复印件。</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3.2.4“近年财务状况表”包括资产负债表、现金流量表、利润表和财务情况说明书的复印件，具体年份要求见申请人须知前附表。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val="en-US" w:eastAsia="zh-CN"/>
        </w:rPr>
        <w:t>5</w:t>
      </w:r>
      <w:r>
        <w:rPr>
          <w:rFonts w:ascii="宋体" w:hAnsi="宋体" w:cs="宋体"/>
          <w:color w:val="auto"/>
          <w:szCs w:val="21"/>
          <w:highlight w:val="none"/>
        </w:rPr>
        <w:t xml:space="preserve"> </w:t>
      </w:r>
      <w:r>
        <w:rPr>
          <w:rFonts w:hint="eastAsia" w:ascii="宋体" w:hAnsi="宋体" w:cs="宋体"/>
          <w:color w:val="auto"/>
          <w:szCs w:val="21"/>
          <w:highlight w:val="none"/>
        </w:rPr>
        <w:t>“近年发生的诉讼及仲裁情况”应说明相关情况，并附法院或仲裁机构作出的判决、裁决等有关法律文书复印件，具体年份要求见申请人须知前附表。</w:t>
      </w:r>
    </w:p>
    <w:p>
      <w:pPr>
        <w:widowControl/>
        <w:shd w:val="clear"/>
        <w:ind w:firstLine="422" w:firstLineChars="200"/>
        <w:jc w:val="left"/>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lang w:val="en-US" w:eastAsia="zh-CN"/>
        </w:rPr>
        <w:t>6</w:t>
      </w:r>
      <w:r>
        <w:rPr>
          <w:rFonts w:ascii="宋体" w:hAnsi="宋体" w:cs="宋体"/>
          <w:b/>
          <w:color w:val="auto"/>
          <w:szCs w:val="21"/>
          <w:highlight w:val="none"/>
        </w:rPr>
        <w:t>信用记录要求：</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申请人应当通过“信用中国”（</w:t>
      </w:r>
      <w:r>
        <w:rPr>
          <w:rFonts w:ascii="宋体" w:hAnsi="宋体" w:cs="宋体"/>
          <w:color w:val="auto"/>
          <w:szCs w:val="21"/>
          <w:highlight w:val="none"/>
        </w:rPr>
        <w:t>www.creditchina.gov.cn）和“中国政府采购网”网站（www.ccgp.gov.cn）查询申请人的信用记录。</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“信用中国”查询内容包括：基础信息（优良记录、负面记录、受惩黑名单）、失信被执行人、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、政府采购严重违法失信行为记录名单共四个网页截图，网页截图须显示申请人名称以及查询结果。其中基础信息页面显示的查询时间为本项目投标截止时间前</w:t>
      </w:r>
      <w:r>
        <w:rPr>
          <w:rFonts w:ascii="宋体" w:hAnsi="宋体" w:cs="宋体"/>
          <w:color w:val="auto"/>
          <w:szCs w:val="21"/>
          <w:highlight w:val="none"/>
        </w:rPr>
        <w:t>10日至投标截止时间中任意一天。</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中国政府采购网”的查询内容包括：政府采购严重违法失信行为信息记录网页截图，网页截图须显示申请人名称以及查询结果。页面中的处罚日期不允许设置起始时间，只能设置截止时间，截止时间为本项目投标截止时间前</w:t>
      </w:r>
      <w:r>
        <w:rPr>
          <w:rFonts w:ascii="宋体" w:hAnsi="宋体" w:cs="宋体"/>
          <w:color w:val="auto"/>
          <w:szCs w:val="21"/>
          <w:highlight w:val="none"/>
        </w:rPr>
        <w:t>10日至投标截止时间中任意一天。申请人应按上述查询时间的要求打印出相应的查询页面，并加盖投标人公章。</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、政府采购严重违法失信行为记录名单的申请人，以及未按查询时间要求提供查询页面的申请人，将被拒绝参与本次资格预审。</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申请人为联合体，应当对所有联合体成员进行信用记录查询，联合体成员存在不良信用记录的，视同联合体存在不良信用记录。</w:t>
      </w:r>
    </w:p>
    <w:p>
      <w:pPr>
        <w:shd w:val="clear"/>
        <w:spacing w:line="360" w:lineRule="auto"/>
        <w:jc w:val="left"/>
        <w:rPr>
          <w:rFonts w:ascii="宋体" w:hAnsi="宋体" w:cs="宋体"/>
          <w:b/>
          <w:color w:val="auto"/>
          <w:szCs w:val="21"/>
          <w:highlight w:val="none"/>
        </w:rPr>
      </w:pPr>
      <w:bookmarkStart w:id="209" w:name="_Toc152047214"/>
      <w:bookmarkStart w:id="210" w:name="_Toc450567745"/>
      <w:bookmarkStart w:id="211" w:name="_Toc450568109"/>
      <w:bookmarkStart w:id="212" w:name="_Toc144974418"/>
      <w:r>
        <w:rPr>
          <w:rFonts w:ascii="宋体" w:hAnsi="宋体" w:cs="宋体"/>
          <w:b/>
          <w:color w:val="auto"/>
          <w:szCs w:val="21"/>
          <w:highlight w:val="none"/>
        </w:rPr>
        <w:t xml:space="preserve">3.3 </w:t>
      </w:r>
      <w:r>
        <w:rPr>
          <w:rFonts w:hint="eastAsia" w:ascii="宋体" w:hAnsi="宋体" w:cs="宋体"/>
          <w:b/>
          <w:color w:val="auto"/>
          <w:szCs w:val="21"/>
          <w:highlight w:val="none"/>
        </w:rPr>
        <w:t>资格预审申请文件的装订、签字</w:t>
      </w:r>
      <w:bookmarkEnd w:id="209"/>
      <w:bookmarkEnd w:id="210"/>
      <w:bookmarkEnd w:id="211"/>
      <w:bookmarkEnd w:id="212"/>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3.3.1申请人应按本章第3.1款和第3.2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签字或盖章的具体要求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3.3.2资格预审申请文件</w:t>
      </w:r>
      <w:r>
        <w:rPr>
          <w:rFonts w:hint="eastAsia" w:ascii="宋体" w:hAnsi="宋体" w:cs="宋体"/>
          <w:b/>
          <w:color w:val="auto"/>
          <w:szCs w:val="21"/>
          <w:highlight w:val="none"/>
        </w:rPr>
        <w:t>正本一份，副本四份</w:t>
      </w:r>
      <w:r>
        <w:rPr>
          <w:rFonts w:hint="eastAsia" w:ascii="宋体" w:hAnsi="宋体" w:cs="宋体"/>
          <w:color w:val="auto"/>
          <w:szCs w:val="21"/>
          <w:highlight w:val="none"/>
        </w:rPr>
        <w:t>。正本和副本的封面上应清楚地标记“正本”或“副本”字样。当正本和副本不一致时，以正本为准。</w:t>
      </w:r>
    </w:p>
    <w:p>
      <w:pPr>
        <w:shd w:val="clear"/>
        <w:spacing w:line="360" w:lineRule="auto"/>
        <w:ind w:firstLine="422" w:firstLineChars="200"/>
        <w:jc w:val="left"/>
        <w:rPr>
          <w:rFonts w:ascii="宋体" w:hAnsi="宋体" w:cs="宋体"/>
          <w:color w:val="auto"/>
          <w:szCs w:val="21"/>
          <w:highlight w:val="none"/>
        </w:rPr>
      </w:pPr>
      <w:r>
        <w:rPr>
          <w:rFonts w:ascii="宋体" w:hAnsi="宋体" w:cs="宋体"/>
          <w:b/>
          <w:color w:val="auto"/>
          <w:szCs w:val="21"/>
          <w:highlight w:val="none"/>
        </w:rPr>
        <w:t>3.3.3资格预审申请文件正本与副本应分别装订成册，</w:t>
      </w:r>
      <w:r>
        <w:rPr>
          <w:rFonts w:hint="eastAsia" w:ascii="宋体" w:hAnsi="宋体" w:cs="宋体"/>
          <w:color w:val="auto"/>
          <w:szCs w:val="21"/>
          <w:highlight w:val="none"/>
        </w:rPr>
        <w:t>并编制目录，具体装订要求见申请人须知前附表。</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13" w:name="_Toc13122"/>
      <w:bookmarkStart w:id="214" w:name="_Toc13978"/>
      <w:bookmarkStart w:id="215" w:name="_Toc6939"/>
      <w:bookmarkStart w:id="216" w:name="_Toc18383"/>
      <w:bookmarkStart w:id="217" w:name="_Toc2332"/>
      <w:bookmarkStart w:id="218" w:name="_Toc23775"/>
      <w:bookmarkStart w:id="219" w:name="_Toc144974419"/>
      <w:bookmarkStart w:id="220" w:name="_Toc54174949"/>
      <w:bookmarkStart w:id="221" w:name="_Toc152047215"/>
      <w:bookmarkStart w:id="222" w:name="_Toc19014"/>
      <w:r>
        <w:rPr>
          <w:rFonts w:ascii="宋体" w:hAnsi="宋体" w:cs="宋体"/>
          <w:b/>
          <w:bCs/>
          <w:color w:val="auto"/>
          <w:szCs w:val="21"/>
          <w:highlight w:val="none"/>
        </w:rPr>
        <w:t>4.资格预审申请文件的递交</w:t>
      </w:r>
      <w:bookmarkEnd w:id="213"/>
      <w:bookmarkEnd w:id="214"/>
      <w:bookmarkEnd w:id="215"/>
      <w:bookmarkEnd w:id="216"/>
      <w:bookmarkEnd w:id="217"/>
      <w:bookmarkEnd w:id="218"/>
      <w:bookmarkEnd w:id="219"/>
      <w:bookmarkEnd w:id="220"/>
      <w:bookmarkEnd w:id="221"/>
      <w:bookmarkEnd w:id="222"/>
    </w:p>
    <w:p>
      <w:pPr>
        <w:shd w:val="clear"/>
        <w:spacing w:line="360" w:lineRule="auto"/>
        <w:jc w:val="left"/>
        <w:rPr>
          <w:rFonts w:ascii="宋体" w:hAnsi="宋体" w:cs="宋体"/>
          <w:b/>
          <w:color w:val="auto"/>
          <w:szCs w:val="21"/>
          <w:highlight w:val="none"/>
        </w:rPr>
      </w:pPr>
      <w:bookmarkStart w:id="223" w:name="_Toc450568111"/>
      <w:bookmarkStart w:id="224" w:name="_Toc450567747"/>
      <w:bookmarkStart w:id="225" w:name="_Toc144974420"/>
      <w:bookmarkStart w:id="226" w:name="_Toc152047216"/>
      <w:r>
        <w:rPr>
          <w:rFonts w:ascii="宋体" w:hAnsi="宋体" w:cs="宋体"/>
          <w:b/>
          <w:color w:val="auto"/>
          <w:szCs w:val="21"/>
          <w:highlight w:val="none"/>
        </w:rPr>
        <w:t xml:space="preserve">4.1 </w:t>
      </w:r>
      <w:r>
        <w:rPr>
          <w:rFonts w:hint="eastAsia" w:ascii="宋体" w:hAnsi="宋体" w:cs="宋体"/>
          <w:b/>
          <w:color w:val="auto"/>
          <w:szCs w:val="21"/>
          <w:highlight w:val="none"/>
        </w:rPr>
        <w:t>资格预审申请文件的密封和标识</w:t>
      </w:r>
      <w:bookmarkEnd w:id="223"/>
      <w:bookmarkEnd w:id="224"/>
      <w:bookmarkEnd w:id="225"/>
      <w:bookmarkEnd w:id="226"/>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4.1.1资格预审申请文件的正本与副本应分别进行密封包装（正副本文件单独封装为密封包，共两个包），包括一份电子版（以光盘或U盘形式，放入正本密封包中），在包封上正确标明资格预审文件正本或副本字样，加贴封条，并在封套的封口处由法定代表人（联合体则为牵头方法定代表人）或授权代表人（联合体则为牵头方授权代表人）签名或用印以及加盖申请人（联合体则为牵头方）单位公章。</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4.1.2在资格预审申请文件的封套上应写明的其他内容见申请人须知前附表。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4.1.3未按本章第4.1.1项或第4.1.2项要求密封和加写标记的资格预审申请文件，采购人不予受理。</w:t>
      </w:r>
    </w:p>
    <w:p>
      <w:pPr>
        <w:shd w:val="clear"/>
        <w:spacing w:line="360" w:lineRule="auto"/>
        <w:jc w:val="left"/>
        <w:rPr>
          <w:rFonts w:ascii="宋体" w:hAnsi="宋体" w:cs="宋体"/>
          <w:b/>
          <w:color w:val="auto"/>
          <w:szCs w:val="21"/>
          <w:highlight w:val="none"/>
        </w:rPr>
      </w:pPr>
      <w:bookmarkStart w:id="227" w:name="_Toc450567748"/>
      <w:bookmarkStart w:id="228" w:name="_Toc152047217"/>
      <w:bookmarkStart w:id="229" w:name="_Toc450568112"/>
      <w:bookmarkStart w:id="230" w:name="_Toc144974421"/>
      <w:r>
        <w:rPr>
          <w:rFonts w:ascii="宋体" w:hAnsi="宋体" w:cs="宋体"/>
          <w:b/>
          <w:color w:val="auto"/>
          <w:szCs w:val="21"/>
          <w:highlight w:val="none"/>
        </w:rPr>
        <w:t>4.2资格预审申请文件的递交</w:t>
      </w:r>
      <w:bookmarkEnd w:id="227"/>
      <w:bookmarkEnd w:id="228"/>
      <w:bookmarkEnd w:id="229"/>
      <w:bookmarkEnd w:id="230"/>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4.2.1申请人提交资格预审申请文件时间及申请文件提交截止时间：见申请人须知前附表。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4.2.2申请人递交资格预审申请文件的地点：见申请人须知前附表。</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4.2.3除申请人须知前附表另有规定的外，申请人所递交的资格预审申请文件不予退还。</w:t>
      </w:r>
    </w:p>
    <w:p>
      <w:pPr>
        <w:shd w:val="clea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4.2.4逾期送达或者未送达指定地点的资格预审申请文件和未按要求密封的资格预审申请文件，采购人、采购代理机构不予受理。</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31" w:name="_Toc24766"/>
      <w:bookmarkStart w:id="232" w:name="_Toc54174950"/>
      <w:bookmarkStart w:id="233" w:name="_Toc20136"/>
      <w:bookmarkStart w:id="234" w:name="_Toc8407"/>
      <w:bookmarkStart w:id="235" w:name="_Toc3259"/>
      <w:bookmarkStart w:id="236" w:name="_Toc23978"/>
      <w:bookmarkStart w:id="237" w:name="_Toc13472"/>
      <w:bookmarkStart w:id="238" w:name="_Toc144974422"/>
      <w:bookmarkStart w:id="239" w:name="_Toc152047218"/>
      <w:bookmarkStart w:id="240" w:name="_Toc6009"/>
      <w:r>
        <w:rPr>
          <w:rFonts w:ascii="宋体" w:hAnsi="宋体" w:cs="宋体"/>
          <w:b/>
          <w:bCs/>
          <w:color w:val="auto"/>
          <w:szCs w:val="21"/>
          <w:highlight w:val="none"/>
        </w:rPr>
        <w:t>5.资格预审申请文件的审查</w:t>
      </w:r>
      <w:bookmarkEnd w:id="231"/>
      <w:bookmarkEnd w:id="232"/>
      <w:bookmarkEnd w:id="233"/>
      <w:bookmarkEnd w:id="234"/>
      <w:bookmarkEnd w:id="235"/>
      <w:bookmarkEnd w:id="236"/>
      <w:bookmarkEnd w:id="237"/>
      <w:bookmarkEnd w:id="238"/>
      <w:bookmarkEnd w:id="239"/>
      <w:bookmarkEnd w:id="240"/>
    </w:p>
    <w:p>
      <w:pPr>
        <w:shd w:val="clear"/>
        <w:adjustRightInd w:val="0"/>
        <w:snapToGrid w:val="0"/>
        <w:spacing w:line="360" w:lineRule="auto"/>
        <w:ind w:firstLine="422" w:firstLineChars="200"/>
        <w:jc w:val="left"/>
        <w:rPr>
          <w:rFonts w:ascii="宋体" w:hAnsi="宋体" w:cs="宋体"/>
          <w:b/>
          <w:bCs/>
          <w:color w:val="auto"/>
          <w:szCs w:val="21"/>
          <w:highlight w:val="none"/>
        </w:rPr>
      </w:pPr>
      <w:r>
        <w:rPr>
          <w:rFonts w:ascii="宋体" w:hAnsi="宋体" w:cs="宋体"/>
          <w:b/>
          <w:bCs/>
          <w:color w:val="auto"/>
          <w:szCs w:val="21"/>
          <w:highlight w:val="none"/>
        </w:rPr>
        <w:t>5.1评审小组</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1）资格预审申请文件由采购人组建的评审小组负责审查。评审小组参照《中华人民共和国政府采购法》、《政府和社会资本合作项目政府采购管理办法》（财库〔2014〕215号）第七条规定组建。</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2） </w:t>
      </w:r>
      <w:r>
        <w:rPr>
          <w:rFonts w:hint="eastAsia" w:ascii="宋体" w:hAnsi="宋体" w:cs="宋体"/>
          <w:color w:val="auto"/>
          <w:szCs w:val="21"/>
          <w:highlight w:val="none"/>
        </w:rPr>
        <w:t>评审小组的构成和确定方式：见申请人须知前附表。</w:t>
      </w:r>
    </w:p>
    <w:p>
      <w:pPr>
        <w:shd w:val="clear"/>
        <w:adjustRightInd w:val="0"/>
        <w:snapToGrid w:val="0"/>
        <w:spacing w:line="360" w:lineRule="auto"/>
        <w:ind w:firstLine="422" w:firstLineChars="200"/>
        <w:jc w:val="left"/>
        <w:rPr>
          <w:rFonts w:ascii="宋体" w:hAnsi="宋体" w:cs="宋体"/>
          <w:b/>
          <w:bCs/>
          <w:color w:val="auto"/>
          <w:szCs w:val="21"/>
          <w:highlight w:val="none"/>
        </w:rPr>
      </w:pPr>
      <w:r>
        <w:rPr>
          <w:rFonts w:ascii="宋体" w:hAnsi="宋体" w:cs="宋体"/>
          <w:b/>
          <w:bCs/>
          <w:color w:val="auto"/>
          <w:szCs w:val="21"/>
          <w:highlight w:val="none"/>
        </w:rPr>
        <w:t xml:space="preserve">5.2 </w:t>
      </w:r>
      <w:r>
        <w:rPr>
          <w:rFonts w:hint="eastAsia" w:ascii="宋体" w:hAnsi="宋体" w:cs="宋体"/>
          <w:b/>
          <w:bCs/>
          <w:color w:val="auto"/>
          <w:szCs w:val="21"/>
          <w:highlight w:val="none"/>
        </w:rPr>
        <w:t>资格审查</w:t>
      </w:r>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评审小组根据申请人须知前附表规定的方法和第三章“资格审查办法”中规定的审查标准，对所有已受理的资格预审申请文件进行审查。没有规定的方法和标准不得作为审查依据。</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41" w:name="_Toc54174951"/>
      <w:bookmarkStart w:id="242" w:name="_Toc2699"/>
      <w:bookmarkStart w:id="243" w:name="_Toc152047221"/>
      <w:bookmarkStart w:id="244" w:name="_Toc144974425"/>
      <w:bookmarkStart w:id="245" w:name="_Toc26905"/>
      <w:bookmarkStart w:id="246" w:name="_Toc10164"/>
      <w:bookmarkStart w:id="247" w:name="_Toc6853"/>
      <w:bookmarkStart w:id="248" w:name="_Toc4968"/>
      <w:bookmarkStart w:id="249" w:name="_Toc32075"/>
      <w:bookmarkStart w:id="250" w:name="_Toc19602"/>
      <w:r>
        <w:rPr>
          <w:rFonts w:ascii="宋体" w:hAnsi="宋体" w:cs="宋体"/>
          <w:b/>
          <w:bCs/>
          <w:color w:val="auto"/>
          <w:szCs w:val="21"/>
          <w:highlight w:val="none"/>
        </w:rPr>
        <w:t>6.通知和确认</w:t>
      </w:r>
      <w:bookmarkEnd w:id="241"/>
      <w:bookmarkEnd w:id="242"/>
      <w:bookmarkEnd w:id="243"/>
      <w:bookmarkEnd w:id="244"/>
      <w:bookmarkEnd w:id="245"/>
      <w:bookmarkEnd w:id="246"/>
      <w:bookmarkEnd w:id="247"/>
      <w:bookmarkEnd w:id="248"/>
      <w:bookmarkEnd w:id="249"/>
      <w:bookmarkEnd w:id="250"/>
    </w:p>
    <w:p>
      <w:pPr>
        <w:shd w:val="clear"/>
        <w:spacing w:line="360" w:lineRule="auto"/>
        <w:jc w:val="left"/>
        <w:rPr>
          <w:rFonts w:ascii="宋体" w:hAnsi="宋体" w:cs="宋体"/>
          <w:b/>
          <w:color w:val="auto"/>
          <w:szCs w:val="21"/>
          <w:highlight w:val="none"/>
        </w:rPr>
      </w:pPr>
      <w:bookmarkStart w:id="251" w:name="_Toc144974426"/>
      <w:bookmarkStart w:id="252" w:name="_Toc152047222"/>
      <w:bookmarkStart w:id="253" w:name="_Toc450568117"/>
      <w:bookmarkStart w:id="254" w:name="_Toc450567753"/>
      <w:r>
        <w:rPr>
          <w:rFonts w:ascii="宋体" w:hAnsi="宋体" w:cs="宋体"/>
          <w:b/>
          <w:color w:val="auto"/>
          <w:szCs w:val="21"/>
          <w:highlight w:val="none"/>
        </w:rPr>
        <w:t xml:space="preserve">6.1 </w:t>
      </w:r>
      <w:r>
        <w:rPr>
          <w:rFonts w:hint="eastAsia" w:ascii="宋体" w:hAnsi="宋体" w:cs="宋体"/>
          <w:b/>
          <w:color w:val="auto"/>
          <w:szCs w:val="21"/>
          <w:highlight w:val="none"/>
        </w:rPr>
        <w:t>通知</w:t>
      </w:r>
      <w:bookmarkEnd w:id="251"/>
      <w:bookmarkEnd w:id="252"/>
      <w:bookmarkEnd w:id="253"/>
      <w:bookmarkEnd w:id="25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资格预审工作结束后，资格预审通过的申请人名单将在发布预审公告的媒体上公示，并向通过资格预审的申请人发出资格预审通过通知书。未通过的申请人或没有参加资格预审人不得进行下一轮投标。</w:t>
      </w:r>
    </w:p>
    <w:p>
      <w:pPr>
        <w:shd w:val="clear"/>
        <w:spacing w:line="360" w:lineRule="auto"/>
        <w:jc w:val="left"/>
        <w:rPr>
          <w:rFonts w:ascii="宋体" w:hAnsi="宋体" w:cs="宋体"/>
          <w:b/>
          <w:color w:val="auto"/>
          <w:szCs w:val="21"/>
          <w:highlight w:val="none"/>
        </w:rPr>
      </w:pPr>
      <w:bookmarkStart w:id="255" w:name="_Toc450567754"/>
      <w:bookmarkStart w:id="256" w:name="_Toc450568118"/>
      <w:bookmarkStart w:id="257" w:name="_Toc144974427"/>
      <w:bookmarkStart w:id="258" w:name="_Toc152047223"/>
      <w:r>
        <w:rPr>
          <w:rFonts w:ascii="宋体" w:hAnsi="宋体" w:cs="宋体"/>
          <w:b/>
          <w:color w:val="auto"/>
          <w:szCs w:val="21"/>
          <w:highlight w:val="none"/>
        </w:rPr>
        <w:t xml:space="preserve">6.2 </w:t>
      </w:r>
      <w:r>
        <w:rPr>
          <w:rFonts w:hint="eastAsia" w:ascii="宋体" w:hAnsi="宋体" w:cs="宋体"/>
          <w:b/>
          <w:color w:val="auto"/>
          <w:szCs w:val="21"/>
          <w:highlight w:val="none"/>
        </w:rPr>
        <w:t>解释</w:t>
      </w:r>
      <w:bookmarkEnd w:id="255"/>
      <w:bookmarkEnd w:id="256"/>
      <w:bookmarkEnd w:id="257"/>
      <w:bookmarkEnd w:id="25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应申请人书面要求，采购人应对资格预审结果作出解释，但不保证申请人对解释内容满意。</w:t>
      </w:r>
    </w:p>
    <w:p>
      <w:pPr>
        <w:shd w:val="clear"/>
        <w:spacing w:line="360" w:lineRule="auto"/>
        <w:jc w:val="left"/>
        <w:rPr>
          <w:rFonts w:ascii="宋体" w:hAnsi="宋体" w:cs="宋体"/>
          <w:b/>
          <w:color w:val="auto"/>
          <w:szCs w:val="21"/>
          <w:highlight w:val="none"/>
        </w:rPr>
      </w:pPr>
      <w:bookmarkStart w:id="259" w:name="_Toc450568119"/>
      <w:bookmarkStart w:id="260" w:name="_Toc450567755"/>
      <w:bookmarkStart w:id="261" w:name="_Toc152047224"/>
      <w:bookmarkStart w:id="262" w:name="_Toc144974428"/>
      <w:r>
        <w:rPr>
          <w:rFonts w:ascii="宋体" w:hAnsi="宋体" w:cs="宋体"/>
          <w:b/>
          <w:color w:val="auto"/>
          <w:szCs w:val="21"/>
          <w:highlight w:val="none"/>
        </w:rPr>
        <w:t xml:space="preserve">6.3 </w:t>
      </w:r>
      <w:r>
        <w:rPr>
          <w:rFonts w:hint="eastAsia" w:ascii="宋体" w:hAnsi="宋体" w:cs="宋体"/>
          <w:b/>
          <w:color w:val="auto"/>
          <w:szCs w:val="21"/>
          <w:highlight w:val="none"/>
        </w:rPr>
        <w:t>确认</w:t>
      </w:r>
      <w:bookmarkEnd w:id="259"/>
      <w:bookmarkEnd w:id="260"/>
      <w:bookmarkEnd w:id="261"/>
      <w:bookmarkEnd w:id="26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资格预审的申请人收到资格预审通过通知书后，应在申请人须知前附表规定的时间内以书面形式明确表示是否参加投标。在申请人须知前附表规定时间内未表示是否参加投标或明确表示不参加投标的，不得再参加投标。因此造成潜在投标人数量不足</w:t>
      </w:r>
      <w:r>
        <w:rPr>
          <w:rFonts w:ascii="宋体" w:hAnsi="宋体" w:cs="宋体"/>
          <w:color w:val="auto"/>
          <w:szCs w:val="21"/>
          <w:highlight w:val="none"/>
        </w:rPr>
        <w:t>3个的，采购人重新组织资格预审或不再组织资格预审而直接招标。</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63" w:name="_Toc7217"/>
      <w:bookmarkStart w:id="264" w:name="_Toc22182"/>
      <w:bookmarkStart w:id="265" w:name="_Toc7636"/>
      <w:bookmarkStart w:id="266" w:name="_Toc54174952"/>
      <w:bookmarkStart w:id="267" w:name="_Toc144974429"/>
      <w:bookmarkStart w:id="268" w:name="_Toc30727"/>
      <w:bookmarkStart w:id="269" w:name="_Toc21147"/>
      <w:bookmarkStart w:id="270" w:name="_Toc2257"/>
      <w:bookmarkStart w:id="271" w:name="_Toc23104"/>
      <w:bookmarkStart w:id="272" w:name="_Toc152047225"/>
      <w:r>
        <w:rPr>
          <w:rFonts w:ascii="宋体" w:hAnsi="宋体" w:cs="宋体"/>
          <w:b/>
          <w:bCs/>
          <w:color w:val="auto"/>
          <w:szCs w:val="21"/>
          <w:highlight w:val="none"/>
        </w:rPr>
        <w:t xml:space="preserve">7. </w:t>
      </w:r>
      <w:r>
        <w:rPr>
          <w:rFonts w:hint="eastAsia" w:ascii="宋体" w:hAnsi="宋体" w:cs="宋体"/>
          <w:b/>
          <w:bCs/>
          <w:color w:val="auto"/>
          <w:szCs w:val="21"/>
          <w:highlight w:val="none"/>
        </w:rPr>
        <w:t>申请人的资格改变</w:t>
      </w:r>
      <w:bookmarkEnd w:id="263"/>
      <w:bookmarkEnd w:id="264"/>
      <w:bookmarkEnd w:id="265"/>
      <w:bookmarkEnd w:id="266"/>
      <w:bookmarkEnd w:id="267"/>
      <w:bookmarkEnd w:id="268"/>
      <w:bookmarkEnd w:id="269"/>
      <w:bookmarkEnd w:id="270"/>
      <w:bookmarkEnd w:id="271"/>
      <w:bookmarkEnd w:id="272"/>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确定中标（成交）社会资本前，通过资格预审的申请人组织机构、财务能力、信誉情况等资格条件发生变化的，应当通知采购人；该变化使其不再实质上满足第三章“资格审查办法”规定标准的，其投标不被接受。</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73" w:name="_Toc24183"/>
      <w:bookmarkStart w:id="274" w:name="_Toc15207"/>
      <w:bookmarkStart w:id="275" w:name="_Toc144974430"/>
      <w:bookmarkStart w:id="276" w:name="_Toc152047226"/>
      <w:bookmarkStart w:id="277" w:name="_Toc18668"/>
      <w:bookmarkStart w:id="278" w:name="_Toc3483"/>
      <w:bookmarkStart w:id="279" w:name="_Toc12126"/>
      <w:bookmarkStart w:id="280" w:name="_Toc1445"/>
      <w:bookmarkStart w:id="281" w:name="_Toc54174953"/>
      <w:bookmarkStart w:id="282" w:name="_Toc28169"/>
      <w:r>
        <w:rPr>
          <w:rFonts w:ascii="宋体" w:hAnsi="宋体" w:cs="宋体"/>
          <w:b/>
          <w:bCs/>
          <w:color w:val="auto"/>
          <w:szCs w:val="21"/>
          <w:highlight w:val="none"/>
        </w:rPr>
        <w:t>8.纪律与监督</w:t>
      </w:r>
      <w:bookmarkEnd w:id="273"/>
      <w:bookmarkEnd w:id="274"/>
      <w:bookmarkEnd w:id="275"/>
      <w:bookmarkEnd w:id="276"/>
      <w:bookmarkEnd w:id="277"/>
      <w:bookmarkEnd w:id="278"/>
      <w:bookmarkEnd w:id="279"/>
      <w:bookmarkEnd w:id="280"/>
      <w:bookmarkEnd w:id="281"/>
      <w:bookmarkEnd w:id="282"/>
    </w:p>
    <w:p>
      <w:pPr>
        <w:shd w:val="clear"/>
        <w:spacing w:line="360" w:lineRule="auto"/>
        <w:jc w:val="left"/>
        <w:rPr>
          <w:rFonts w:ascii="宋体" w:hAnsi="宋体" w:cs="宋体"/>
          <w:b/>
          <w:color w:val="auto"/>
          <w:szCs w:val="21"/>
          <w:highlight w:val="none"/>
        </w:rPr>
      </w:pPr>
      <w:bookmarkStart w:id="283" w:name="_Toc152047227"/>
      <w:bookmarkStart w:id="284" w:name="_Toc144974431"/>
      <w:bookmarkStart w:id="285" w:name="_Toc450567758"/>
      <w:bookmarkStart w:id="286" w:name="_Toc450568122"/>
      <w:r>
        <w:rPr>
          <w:rFonts w:ascii="宋体" w:hAnsi="宋体" w:cs="宋体"/>
          <w:b/>
          <w:color w:val="auto"/>
          <w:szCs w:val="21"/>
          <w:highlight w:val="none"/>
        </w:rPr>
        <w:t>8.1严禁贿赂</w:t>
      </w:r>
      <w:bookmarkEnd w:id="283"/>
      <w:bookmarkEnd w:id="284"/>
      <w:bookmarkEnd w:id="285"/>
      <w:bookmarkEnd w:id="286"/>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pPr>
        <w:shd w:val="clear"/>
        <w:spacing w:line="360" w:lineRule="auto"/>
        <w:jc w:val="left"/>
        <w:rPr>
          <w:rFonts w:ascii="宋体" w:hAnsi="宋体" w:cs="宋体"/>
          <w:b/>
          <w:color w:val="auto"/>
          <w:szCs w:val="21"/>
          <w:highlight w:val="none"/>
        </w:rPr>
      </w:pPr>
      <w:bookmarkStart w:id="287" w:name="_Toc450567759"/>
      <w:bookmarkStart w:id="288" w:name="_Toc450568123"/>
      <w:bookmarkStart w:id="289" w:name="_Toc144974432"/>
      <w:bookmarkStart w:id="290" w:name="_Toc152047228"/>
      <w:r>
        <w:rPr>
          <w:rFonts w:ascii="宋体" w:hAnsi="宋体" w:cs="宋体"/>
          <w:b/>
          <w:color w:val="auto"/>
          <w:szCs w:val="21"/>
          <w:highlight w:val="none"/>
        </w:rPr>
        <w:t xml:space="preserve">8.2 </w:t>
      </w:r>
      <w:r>
        <w:rPr>
          <w:rFonts w:hint="eastAsia" w:ascii="宋体" w:hAnsi="宋体" w:cs="宋体"/>
          <w:b/>
          <w:color w:val="auto"/>
          <w:szCs w:val="21"/>
          <w:highlight w:val="none"/>
        </w:rPr>
        <w:t>不得干扰资格审查工作</w:t>
      </w:r>
      <w:bookmarkEnd w:id="287"/>
      <w:bookmarkEnd w:id="288"/>
      <w:bookmarkEnd w:id="289"/>
      <w:bookmarkEnd w:id="290"/>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申请人不得以任何方式干扰、影响资格预审的审查工作，否则将导致其不能通过资格预审。</w:t>
      </w:r>
    </w:p>
    <w:p>
      <w:pPr>
        <w:shd w:val="clear"/>
        <w:spacing w:line="360" w:lineRule="auto"/>
        <w:jc w:val="left"/>
        <w:rPr>
          <w:rFonts w:ascii="宋体" w:hAnsi="宋体" w:cs="宋体"/>
          <w:b/>
          <w:color w:val="auto"/>
          <w:szCs w:val="21"/>
          <w:highlight w:val="none"/>
        </w:rPr>
      </w:pPr>
      <w:bookmarkStart w:id="291" w:name="_Toc152047229"/>
      <w:bookmarkStart w:id="292" w:name="_Toc144974433"/>
      <w:bookmarkStart w:id="293" w:name="_Toc450568124"/>
      <w:bookmarkStart w:id="294" w:name="_Toc450567760"/>
      <w:r>
        <w:rPr>
          <w:rFonts w:ascii="宋体" w:hAnsi="宋体" w:cs="宋体"/>
          <w:b/>
          <w:color w:val="auto"/>
          <w:szCs w:val="21"/>
          <w:highlight w:val="none"/>
        </w:rPr>
        <w:t xml:space="preserve">8.3 </w:t>
      </w:r>
      <w:r>
        <w:rPr>
          <w:rFonts w:hint="eastAsia" w:ascii="宋体" w:hAnsi="宋体" w:cs="宋体"/>
          <w:b/>
          <w:color w:val="auto"/>
          <w:szCs w:val="21"/>
          <w:highlight w:val="none"/>
        </w:rPr>
        <w:t>保密</w:t>
      </w:r>
      <w:bookmarkEnd w:id="291"/>
      <w:bookmarkEnd w:id="292"/>
      <w:bookmarkEnd w:id="293"/>
      <w:bookmarkEnd w:id="294"/>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招标人、评审小组成员，以及与审查活动有关的其他工作人员应对资格预审申请文件的审查、比较进行保密，不得在资格预审结果公布前透露资格预审结果，不得向他人透露可能影响公平竞争的有关情况。</w:t>
      </w:r>
    </w:p>
    <w:p>
      <w:pPr>
        <w:shd w:val="clear"/>
        <w:spacing w:line="360" w:lineRule="auto"/>
        <w:jc w:val="left"/>
        <w:rPr>
          <w:rFonts w:ascii="宋体" w:hAnsi="宋体" w:cs="宋体"/>
          <w:b/>
          <w:color w:val="auto"/>
          <w:szCs w:val="21"/>
          <w:highlight w:val="none"/>
        </w:rPr>
      </w:pPr>
      <w:bookmarkStart w:id="295" w:name="_Toc450567761"/>
      <w:bookmarkStart w:id="296" w:name="_Toc152047230"/>
      <w:bookmarkStart w:id="297" w:name="_Toc450568125"/>
      <w:bookmarkStart w:id="298" w:name="_Toc144974434"/>
      <w:r>
        <w:rPr>
          <w:rFonts w:ascii="宋体" w:hAnsi="宋体" w:cs="宋体"/>
          <w:b/>
          <w:color w:val="auto"/>
          <w:szCs w:val="21"/>
          <w:highlight w:val="none"/>
        </w:rPr>
        <w:t xml:space="preserve">8.4 </w:t>
      </w:r>
      <w:r>
        <w:rPr>
          <w:rFonts w:hint="eastAsia" w:ascii="宋体" w:hAnsi="宋体" w:cs="宋体"/>
          <w:b/>
          <w:color w:val="auto"/>
          <w:szCs w:val="21"/>
          <w:highlight w:val="none"/>
        </w:rPr>
        <w:t>质疑</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8.4.1 </w:t>
      </w:r>
      <w:r>
        <w:rPr>
          <w:rFonts w:hint="eastAsia" w:ascii="宋体" w:hAnsi="宋体" w:cs="宋体"/>
          <w:color w:val="auto"/>
          <w:szCs w:val="21"/>
          <w:highlight w:val="none"/>
        </w:rPr>
        <w:t>资格预审申请人认为资格预审申请文件、资格审查过程或资格预审结果使自己的权益受到损害的，可以在知道或者应知其权益受到损害之日起七个工作日内，提出质疑。质疑有效期结束后，采购人或采购代理机构不再受理该项目质疑。质疑材料统一提交至采购代理机构，质疑提交地点和联系方式详见投标人须知前附表。采购代理机构应根据采购文件的规定将属于采购人受理和答复的质疑材料及时移交给采购人，采购人应将质疑处理情况及时函告采购代理机构。</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8.4.1.1资格预审申请人依法获取资格预审文件后，认为资格预审文件使自己的权益受到损害的，应当在资格预审文件公告期限届满之日起7个工作日内提出质疑。对资格预审文件中采购需求（含资格要求）的质疑由采购人受理并负责答复；对资格预审文件中的采购执行程序的质疑由采购代理机构受理并负责答复。</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8.4.1.2资格预审申请人认为资格预审过程使自己的权益受到损害的，应当在各资格预审程序环节结束之日起7个工作日内提出质疑。对资格预审过程中资格审查的质疑应向采购人提出，由采购人受理并负责答复；对资格预审过程中资格预审执行程序的质疑由采购代理机构受理并负责答复。</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8.4.1.3资格预审申请人认为资格预审结果使自己的权益受到损害的，应当在资格预审结果公告期限届满之日起7个工作日内提出质疑，由采购人受理并负责答复</w:t>
      </w:r>
      <w:r>
        <w:rPr>
          <w:rFonts w:hint="eastAsia" w:ascii="宋体" w:hAnsi="宋体" w:cs="宋体"/>
          <w:color w:val="auto"/>
          <w:szCs w:val="21"/>
          <w:highlight w:val="none"/>
        </w:rPr>
        <w:t>。</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8.4.2 </w:t>
      </w:r>
      <w:r>
        <w:rPr>
          <w:rFonts w:hint="eastAsia" w:ascii="宋体" w:hAnsi="宋体" w:cs="宋体"/>
          <w:color w:val="auto"/>
          <w:szCs w:val="21"/>
          <w:highlight w:val="none"/>
        </w:rPr>
        <w:t>代理机构应当依照有关法律的规定就采购人委托授权范围内的事项在收到申请人的书面质疑后七个工作日内做出答复，但答复的内容不得涉及商业秘密。</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8.4.3 </w:t>
      </w:r>
      <w:r>
        <w:rPr>
          <w:rFonts w:hint="eastAsia" w:ascii="宋体" w:hAnsi="宋体" w:cs="宋体"/>
          <w:color w:val="auto"/>
          <w:szCs w:val="21"/>
          <w:highlight w:val="none"/>
        </w:rPr>
        <w:t>质疑、投诉应当采用书面形式，质疑书、投诉书均应明确阐述资格预审申请文件、资格审查过程或资格预审结果中使自己合法权益受到损害的实质性内容，提供相关事实、依据和证据及其来源或线索，便于有关单位调查、答复和处理。</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8.4.4 </w:t>
      </w:r>
      <w:r>
        <w:rPr>
          <w:rFonts w:hint="eastAsia" w:ascii="宋体" w:hAnsi="宋体" w:cs="宋体"/>
          <w:color w:val="auto"/>
          <w:szCs w:val="21"/>
          <w:highlight w:val="none"/>
        </w:rPr>
        <w:t>质疑人提供的书面材料（如材料中有外文资料应同时附上中文译本）应当包括以下内容：</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1）质疑人的单位名称或姓名、详细地址、邮政编码、联系电话等；</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2）被质疑人的单位名称或姓名等；</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3）权益受到损害的事实及理由；</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4）有关违纪违规的情况和有效证明材料；</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5）质疑人的签章及质疑时间；</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6）质疑书应当署名，质疑供应商为自然人的，应当由本人签字；质疑供应商为法人或者其他组织的，应当由法定代表人或者主要负责人签字并加盖公章；</w:t>
      </w:r>
    </w:p>
    <w:p>
      <w:pPr>
        <w:shd w:val="clea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7）质疑供应商可以委托代理人办理质疑事务，代理人办理质疑事务时，除提交质疑书外，还应当提交质疑供应商的授权委托书，授权委托书应当载明委托代理的具体权限和事项。</w:t>
      </w:r>
    </w:p>
    <w:p>
      <w:pPr>
        <w:shd w:val="clear"/>
        <w:adjustRightInd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如不按上述规定质疑的，不予受理。</w:t>
      </w:r>
    </w:p>
    <w:p>
      <w:pPr>
        <w:shd w:val="clear"/>
        <w:spacing w:line="360" w:lineRule="auto"/>
        <w:jc w:val="left"/>
        <w:rPr>
          <w:rFonts w:ascii="宋体" w:hAnsi="宋体" w:cs="宋体"/>
          <w:b/>
          <w:color w:val="auto"/>
          <w:szCs w:val="21"/>
          <w:highlight w:val="none"/>
        </w:rPr>
      </w:pPr>
      <w:r>
        <w:rPr>
          <w:rFonts w:ascii="宋体" w:hAnsi="宋体" w:cs="宋体"/>
          <w:b/>
          <w:color w:val="auto"/>
          <w:szCs w:val="21"/>
          <w:highlight w:val="none"/>
        </w:rPr>
        <w:t>8.5投诉</w:t>
      </w:r>
      <w:bookmarkEnd w:id="295"/>
      <w:bookmarkEnd w:id="296"/>
      <w:bookmarkEnd w:id="297"/>
      <w:bookmarkEnd w:id="298"/>
    </w:p>
    <w:p>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申请人和其他利害关系人认为本次资格预审活动违反法律、法规和规章规定的，有权向有关行政监督部门投诉。</w:t>
      </w:r>
    </w:p>
    <w:p>
      <w:pPr>
        <w:keepNext/>
        <w:keepLines/>
        <w:shd w:val="clear"/>
        <w:spacing w:before="156" w:beforeLines="50" w:after="156" w:afterLines="50" w:line="360" w:lineRule="auto"/>
        <w:outlineLvl w:val="1"/>
        <w:rPr>
          <w:rFonts w:ascii="宋体" w:hAnsi="宋体" w:cs="宋体"/>
          <w:b/>
          <w:bCs/>
          <w:color w:val="auto"/>
          <w:szCs w:val="21"/>
          <w:highlight w:val="none"/>
        </w:rPr>
      </w:pPr>
      <w:bookmarkStart w:id="299" w:name="_Toc1971"/>
      <w:bookmarkStart w:id="300" w:name="_Toc144974435"/>
      <w:bookmarkStart w:id="301" w:name="_Toc28651"/>
      <w:bookmarkStart w:id="302" w:name="_Toc11042"/>
      <w:bookmarkStart w:id="303" w:name="_Toc4640"/>
      <w:bookmarkStart w:id="304" w:name="_Toc4946"/>
      <w:bookmarkStart w:id="305" w:name="_Toc6362"/>
      <w:bookmarkStart w:id="306" w:name="_Toc54174954"/>
      <w:bookmarkStart w:id="307" w:name="_Toc16551"/>
      <w:bookmarkStart w:id="308" w:name="_Toc152047231"/>
      <w:r>
        <w:rPr>
          <w:rFonts w:ascii="宋体" w:hAnsi="宋体" w:cs="宋体"/>
          <w:b/>
          <w:bCs/>
          <w:color w:val="auto"/>
          <w:szCs w:val="21"/>
          <w:highlight w:val="none"/>
        </w:rPr>
        <w:t xml:space="preserve">9. </w:t>
      </w:r>
      <w:r>
        <w:rPr>
          <w:rFonts w:hint="eastAsia" w:ascii="宋体" w:hAnsi="宋体" w:cs="宋体"/>
          <w:b/>
          <w:bCs/>
          <w:color w:val="auto"/>
          <w:szCs w:val="21"/>
          <w:highlight w:val="none"/>
        </w:rPr>
        <w:t>需要补充的其他内容</w:t>
      </w:r>
      <w:bookmarkEnd w:id="299"/>
      <w:bookmarkEnd w:id="300"/>
      <w:bookmarkEnd w:id="301"/>
      <w:bookmarkEnd w:id="302"/>
      <w:bookmarkEnd w:id="303"/>
      <w:bookmarkEnd w:id="304"/>
      <w:bookmarkEnd w:id="305"/>
      <w:bookmarkEnd w:id="306"/>
      <w:bookmarkEnd w:id="307"/>
      <w:bookmarkEnd w:id="308"/>
    </w:p>
    <w:p>
      <w:pPr>
        <w:shd w:val="clear"/>
        <w:spacing w:line="360" w:lineRule="auto"/>
        <w:ind w:firstLine="420" w:firstLineChars="200"/>
        <w:jc w:val="left"/>
        <w:rPr>
          <w:rFonts w:ascii="宋体" w:hAnsi="宋体" w:cs="宋体"/>
          <w:color w:val="auto"/>
          <w:sz w:val="28"/>
          <w:szCs w:val="28"/>
          <w:highlight w:val="none"/>
          <w:lang w:val="zh-CN"/>
        </w:rPr>
      </w:pPr>
      <w:r>
        <w:rPr>
          <w:rFonts w:hint="eastAsia" w:ascii="宋体" w:hAnsi="宋体" w:cs="宋体"/>
          <w:color w:val="auto"/>
          <w:szCs w:val="21"/>
          <w:highlight w:val="none"/>
        </w:rPr>
        <w:t>见申请人须知前附表。</w:t>
      </w:r>
      <w:bookmarkEnd w:id="146"/>
      <w:bookmarkEnd w:id="147"/>
      <w:bookmarkEnd w:id="148"/>
      <w:r>
        <w:rPr>
          <w:rFonts w:hint="eastAsia" w:ascii="宋体" w:hAnsi="宋体" w:cs="宋体"/>
          <w:color w:val="auto"/>
          <w:sz w:val="28"/>
          <w:szCs w:val="28"/>
          <w:highlight w:val="none"/>
          <w:lang w:val="zh-CN"/>
        </w:rPr>
        <w:br w:type="page"/>
      </w:r>
    </w:p>
    <w:bookmarkEnd w:id="133"/>
    <w:bookmarkEnd w:id="134"/>
    <w:bookmarkEnd w:id="135"/>
    <w:p>
      <w:pPr>
        <w:keepNext/>
        <w:keepLines/>
        <w:pageBreakBefore/>
        <w:shd w:val="clear"/>
        <w:spacing w:before="156" w:beforeLines="50" w:after="312" w:afterLines="100" w:line="360" w:lineRule="auto"/>
        <w:ind w:firstLine="560"/>
        <w:jc w:val="center"/>
        <w:outlineLvl w:val="0"/>
        <w:rPr>
          <w:rFonts w:ascii="宋体" w:hAnsi="宋体" w:cs="宋体"/>
          <w:b/>
          <w:bCs/>
          <w:color w:val="auto"/>
          <w:kern w:val="44"/>
          <w:sz w:val="36"/>
          <w:szCs w:val="36"/>
          <w:highlight w:val="none"/>
        </w:rPr>
      </w:pPr>
      <w:bookmarkStart w:id="309" w:name="_Toc144974449"/>
      <w:bookmarkStart w:id="310" w:name="_Toc152047245"/>
      <w:bookmarkStart w:id="311" w:name="_Toc437"/>
      <w:bookmarkStart w:id="312" w:name="_Toc18974"/>
      <w:bookmarkStart w:id="313" w:name="_Toc26142"/>
      <w:bookmarkStart w:id="314" w:name="_Toc54174955"/>
      <w:bookmarkStart w:id="315" w:name="_Toc24395"/>
      <w:bookmarkStart w:id="316" w:name="_Toc29881"/>
      <w:bookmarkStart w:id="317" w:name="_Toc144974451"/>
      <w:bookmarkStart w:id="318" w:name="_Toc152047247"/>
      <w:bookmarkStart w:id="319" w:name="_Toc490475707"/>
      <w:r>
        <w:rPr>
          <w:rFonts w:hint="eastAsia" w:ascii="宋体" w:hAnsi="宋体" w:cs="宋体"/>
          <w:b/>
          <w:bCs/>
          <w:color w:val="auto"/>
          <w:kern w:val="44"/>
          <w:sz w:val="36"/>
          <w:szCs w:val="36"/>
          <w:highlight w:val="none"/>
        </w:rPr>
        <w:t>第三章资格审查办法</w:t>
      </w:r>
      <w:bookmarkEnd w:id="309"/>
      <w:bookmarkEnd w:id="310"/>
      <w:r>
        <w:rPr>
          <w:rFonts w:hint="eastAsia" w:ascii="宋体" w:hAnsi="宋体" w:cs="宋体"/>
          <w:b/>
          <w:bCs/>
          <w:color w:val="auto"/>
          <w:kern w:val="44"/>
          <w:sz w:val="36"/>
          <w:szCs w:val="36"/>
          <w:highlight w:val="none"/>
        </w:rPr>
        <w:t>(合格制)</w:t>
      </w:r>
      <w:bookmarkEnd w:id="311"/>
      <w:bookmarkEnd w:id="312"/>
      <w:bookmarkEnd w:id="313"/>
      <w:bookmarkEnd w:id="314"/>
      <w:bookmarkEnd w:id="315"/>
      <w:bookmarkEnd w:id="316"/>
    </w:p>
    <w:p>
      <w:pPr>
        <w:shd w:val="clear"/>
        <w:adjustRightInd w:val="0"/>
        <w:snapToGrid w:val="0"/>
        <w:spacing w:line="360" w:lineRule="auto"/>
        <w:jc w:val="center"/>
        <w:outlineLvl w:val="0"/>
        <w:rPr>
          <w:rFonts w:ascii="宋体" w:hAnsi="宋体" w:cs="宋体"/>
          <w:color w:val="auto"/>
          <w:highlight w:val="none"/>
        </w:rPr>
      </w:pPr>
      <w:bookmarkStart w:id="320" w:name="_Toc54857637"/>
      <w:bookmarkStart w:id="321" w:name="_Toc9336"/>
      <w:bookmarkStart w:id="322" w:name="_Toc10702"/>
      <w:bookmarkStart w:id="323" w:name="_Toc19844"/>
      <w:bookmarkStart w:id="324" w:name="_Toc26420"/>
      <w:bookmarkStart w:id="325" w:name="_Toc32564"/>
      <w:bookmarkStart w:id="326" w:name="_Toc2613"/>
      <w:bookmarkStart w:id="327" w:name="_Toc2230"/>
      <w:r>
        <w:rPr>
          <w:rFonts w:hint="eastAsia" w:ascii="宋体" w:hAnsi="宋体" w:cs="宋体"/>
          <w:b/>
          <w:bCs/>
          <w:color w:val="auto"/>
          <w:kern w:val="0"/>
          <w:sz w:val="28"/>
          <w:szCs w:val="32"/>
          <w:highlight w:val="none"/>
          <w:lang w:val="zh-CN"/>
        </w:rPr>
        <w:t>资格审查办法前附表</w:t>
      </w:r>
      <w:bookmarkEnd w:id="320"/>
      <w:bookmarkEnd w:id="321"/>
      <w:bookmarkEnd w:id="322"/>
      <w:bookmarkEnd w:id="323"/>
      <w:bookmarkEnd w:id="324"/>
      <w:bookmarkEnd w:id="325"/>
      <w:bookmarkEnd w:id="326"/>
      <w:bookmarkEnd w:id="327"/>
    </w:p>
    <w:tbl>
      <w:tblPr>
        <w:tblStyle w:val="2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34"/>
        <w:gridCol w:w="2343"/>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gridSpan w:val="2"/>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43" w:type="dxa"/>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224" w:type="dxa"/>
            <w:vAlign w:val="center"/>
          </w:tcPr>
          <w:p>
            <w:pPr>
              <w:shd w:val="clear"/>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31" w:type="dxa"/>
            <w:gridSpan w:val="2"/>
            <w:vAlign w:val="center"/>
          </w:tcPr>
          <w:p>
            <w:pPr>
              <w:shd w:val="clear"/>
              <w:jc w:val="center"/>
              <w:rPr>
                <w:rFonts w:ascii="宋体" w:hAnsi="宋体" w:cs="宋体"/>
                <w:b/>
                <w:bCs/>
                <w:color w:val="auto"/>
                <w:szCs w:val="21"/>
                <w:highlight w:val="none"/>
              </w:rPr>
            </w:pPr>
            <w:r>
              <w:rPr>
                <w:rFonts w:ascii="宋体" w:hAnsi="宋体" w:cs="宋体"/>
                <w:b/>
                <w:bCs/>
                <w:color w:val="auto"/>
                <w:szCs w:val="21"/>
                <w:highlight w:val="none"/>
              </w:rPr>
              <w:t>1</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通过资格预审的人数</w:t>
            </w:r>
          </w:p>
        </w:tc>
        <w:tc>
          <w:tcPr>
            <w:tcW w:w="6224" w:type="dxa"/>
            <w:vAlign w:val="center"/>
          </w:tcPr>
          <w:p>
            <w:pPr>
              <w:shd w:val="clear"/>
              <w:spacing w:line="276" w:lineRule="auto"/>
              <w:jc w:val="left"/>
              <w:rPr>
                <w:rFonts w:ascii="宋体" w:hAnsi="宋体" w:cs="宋体"/>
                <w:color w:val="auto"/>
                <w:szCs w:val="21"/>
                <w:highlight w:val="none"/>
              </w:rPr>
            </w:pPr>
            <w:r>
              <w:rPr>
                <w:rFonts w:hint="eastAsia" w:ascii="宋体" w:hAnsi="宋体" w:cs="宋体"/>
                <w:color w:val="auto"/>
                <w:szCs w:val="21"/>
                <w:highlight w:val="none"/>
              </w:rPr>
              <w:t>通过审查均为合格的申请人。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31" w:type="dxa"/>
            <w:gridSpan w:val="2"/>
            <w:vAlign w:val="center"/>
          </w:tcPr>
          <w:p>
            <w:pPr>
              <w:shd w:val="clear"/>
              <w:jc w:val="center"/>
              <w:rPr>
                <w:rFonts w:ascii="宋体" w:hAnsi="宋体" w:cs="宋体"/>
                <w:b/>
                <w:bCs/>
                <w:color w:val="auto"/>
                <w:szCs w:val="21"/>
                <w:highlight w:val="none"/>
              </w:rPr>
            </w:pPr>
            <w:r>
              <w:rPr>
                <w:rFonts w:ascii="宋体" w:hAnsi="宋体" w:cs="宋体"/>
                <w:b/>
                <w:bCs/>
                <w:color w:val="auto"/>
                <w:szCs w:val="21"/>
                <w:highlight w:val="none"/>
              </w:rPr>
              <w:t>2</w:t>
            </w:r>
          </w:p>
        </w:tc>
        <w:tc>
          <w:tcPr>
            <w:tcW w:w="2343" w:type="dxa"/>
            <w:vAlign w:val="center"/>
          </w:tcPr>
          <w:p>
            <w:pPr>
              <w:shd w:val="clear"/>
              <w:jc w:val="center"/>
              <w:rPr>
                <w:rFonts w:ascii="宋体" w:hAnsi="宋体" w:cs="宋体"/>
                <w:b/>
                <w:bCs/>
                <w:color w:val="auto"/>
                <w:szCs w:val="21"/>
                <w:highlight w:val="none"/>
              </w:rPr>
            </w:pPr>
            <w:r>
              <w:rPr>
                <w:rFonts w:hint="eastAsia" w:ascii="宋体" w:hAnsi="宋体" w:cs="宋体"/>
                <w:b/>
                <w:bCs/>
                <w:color w:val="auto"/>
                <w:szCs w:val="21"/>
                <w:highlight w:val="none"/>
              </w:rPr>
              <w:t>审查因素</w:t>
            </w:r>
          </w:p>
        </w:tc>
        <w:tc>
          <w:tcPr>
            <w:tcW w:w="6224" w:type="dxa"/>
            <w:vAlign w:val="center"/>
          </w:tcPr>
          <w:p>
            <w:pPr>
              <w:shd w:val="clear"/>
              <w:jc w:val="center"/>
              <w:rPr>
                <w:rFonts w:ascii="宋体" w:hAnsi="宋体" w:cs="宋体"/>
                <w:b/>
                <w:bCs/>
                <w:color w:val="auto"/>
                <w:szCs w:val="21"/>
                <w:highlight w:val="none"/>
              </w:rPr>
            </w:pPr>
            <w:r>
              <w:rPr>
                <w:rFonts w:hint="eastAsia" w:ascii="宋体" w:hAnsi="宋体" w:cs="宋体"/>
                <w:b/>
                <w:bCs/>
                <w:color w:val="auto"/>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697" w:type="dxa"/>
            <w:vMerge w:val="restart"/>
            <w:vAlign w:val="center"/>
          </w:tcPr>
          <w:p>
            <w:pPr>
              <w:shd w:val="clear"/>
              <w:jc w:val="center"/>
              <w:rPr>
                <w:rFonts w:ascii="宋体" w:hAnsi="宋体" w:cs="宋体"/>
                <w:color w:val="auto"/>
                <w:szCs w:val="21"/>
                <w:highlight w:val="none"/>
              </w:rPr>
            </w:pPr>
            <w:r>
              <w:rPr>
                <w:rFonts w:ascii="宋体" w:hAnsi="宋体" w:cs="宋体"/>
                <w:color w:val="auto"/>
                <w:szCs w:val="21"/>
                <w:highlight w:val="none"/>
              </w:rPr>
              <w:t>2.1</w:t>
            </w:r>
          </w:p>
        </w:tc>
        <w:tc>
          <w:tcPr>
            <w:tcW w:w="634" w:type="dxa"/>
            <w:vMerge w:val="restart"/>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初</w:t>
            </w:r>
          </w:p>
          <w:p>
            <w:pPr>
              <w:shd w:val="clear"/>
              <w:jc w:val="center"/>
              <w:rPr>
                <w:rFonts w:ascii="宋体" w:hAnsi="宋体" w:cs="宋体"/>
                <w:color w:val="auto"/>
                <w:szCs w:val="21"/>
                <w:highlight w:val="none"/>
              </w:rPr>
            </w:pPr>
            <w:r>
              <w:rPr>
                <w:rFonts w:hint="eastAsia" w:ascii="宋体" w:hAnsi="宋体" w:cs="宋体"/>
                <w:color w:val="auto"/>
                <w:szCs w:val="21"/>
                <w:highlight w:val="none"/>
              </w:rPr>
              <w:t>步</w:t>
            </w:r>
          </w:p>
          <w:p>
            <w:pPr>
              <w:shd w:val="clear"/>
              <w:jc w:val="center"/>
              <w:rPr>
                <w:rFonts w:ascii="宋体" w:hAnsi="宋体" w:cs="宋体"/>
                <w:color w:val="auto"/>
                <w:szCs w:val="21"/>
                <w:highlight w:val="none"/>
              </w:rPr>
            </w:pPr>
            <w:r>
              <w:rPr>
                <w:rFonts w:hint="eastAsia" w:ascii="宋体" w:hAnsi="宋体" w:cs="宋体"/>
                <w:color w:val="auto"/>
                <w:szCs w:val="21"/>
                <w:highlight w:val="none"/>
              </w:rPr>
              <w:t>审</w:t>
            </w:r>
          </w:p>
          <w:p>
            <w:pPr>
              <w:shd w:val="clear"/>
              <w:jc w:val="center"/>
              <w:rPr>
                <w:rFonts w:ascii="宋体" w:hAnsi="宋体" w:cs="宋体"/>
                <w:color w:val="auto"/>
                <w:szCs w:val="21"/>
                <w:highlight w:val="none"/>
              </w:rPr>
            </w:pPr>
            <w:r>
              <w:rPr>
                <w:rFonts w:hint="eastAsia" w:ascii="宋体" w:hAnsi="宋体" w:cs="宋体"/>
                <w:color w:val="auto"/>
                <w:szCs w:val="21"/>
                <w:highlight w:val="none"/>
              </w:rPr>
              <w:t>查</w:t>
            </w:r>
          </w:p>
          <w:p>
            <w:pPr>
              <w:shd w:val="clear"/>
              <w:jc w:val="center"/>
              <w:rPr>
                <w:rFonts w:ascii="宋体" w:hAnsi="宋体" w:cs="宋体"/>
                <w:color w:val="auto"/>
                <w:szCs w:val="21"/>
                <w:highlight w:val="none"/>
              </w:rPr>
            </w:pPr>
            <w:r>
              <w:rPr>
                <w:rFonts w:hint="eastAsia" w:ascii="宋体" w:hAnsi="宋体" w:cs="宋体"/>
                <w:color w:val="auto"/>
                <w:szCs w:val="21"/>
                <w:highlight w:val="none"/>
              </w:rPr>
              <w:t>标</w:t>
            </w:r>
          </w:p>
          <w:p>
            <w:pPr>
              <w:shd w:val="clear"/>
              <w:jc w:val="center"/>
              <w:rPr>
                <w:rFonts w:ascii="宋体" w:hAnsi="宋体" w:cs="宋体"/>
                <w:color w:val="auto"/>
                <w:szCs w:val="21"/>
                <w:highlight w:val="none"/>
              </w:rPr>
            </w:pPr>
            <w:r>
              <w:rPr>
                <w:rFonts w:hint="eastAsia" w:ascii="宋体" w:hAnsi="宋体" w:cs="宋体"/>
                <w:color w:val="auto"/>
                <w:szCs w:val="21"/>
                <w:highlight w:val="none"/>
              </w:rPr>
              <w:t>准</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申请人名称</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申请文件的签字盖章</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申请文件格式</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申请文件正本、副本数量</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联合体申请人</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提交联合体协议书，并明确联合体牵头人</w:t>
            </w:r>
            <w:r>
              <w:rPr>
                <w:rFonts w:ascii="宋体" w:hAnsi="宋体" w:cs="宋体"/>
                <w:color w:val="auto"/>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文件的印刷与装订</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3.3.1款和第3.3.3款规定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97" w:type="dxa"/>
            <w:vMerge w:val="restart"/>
            <w:vAlign w:val="center"/>
          </w:tcPr>
          <w:p>
            <w:pPr>
              <w:shd w:val="clear"/>
              <w:jc w:val="center"/>
              <w:rPr>
                <w:rFonts w:ascii="宋体" w:hAnsi="宋体" w:cs="宋体"/>
                <w:color w:val="auto"/>
                <w:szCs w:val="21"/>
                <w:highlight w:val="none"/>
              </w:rPr>
            </w:pPr>
            <w:r>
              <w:rPr>
                <w:rFonts w:ascii="宋体" w:hAnsi="宋体" w:cs="宋体"/>
                <w:color w:val="auto"/>
                <w:szCs w:val="21"/>
                <w:highlight w:val="none"/>
              </w:rPr>
              <w:t>2.2</w:t>
            </w:r>
          </w:p>
        </w:tc>
        <w:tc>
          <w:tcPr>
            <w:tcW w:w="634" w:type="dxa"/>
            <w:vMerge w:val="restart"/>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详</w:t>
            </w:r>
          </w:p>
          <w:p>
            <w:pPr>
              <w:shd w:val="clear"/>
              <w:jc w:val="center"/>
              <w:rPr>
                <w:rFonts w:ascii="宋体" w:hAnsi="宋体" w:cs="宋体"/>
                <w:color w:val="auto"/>
                <w:szCs w:val="21"/>
                <w:highlight w:val="none"/>
              </w:rPr>
            </w:pPr>
            <w:r>
              <w:rPr>
                <w:rFonts w:hint="eastAsia" w:ascii="宋体" w:hAnsi="宋体" w:cs="宋体"/>
                <w:color w:val="auto"/>
                <w:szCs w:val="21"/>
                <w:highlight w:val="none"/>
              </w:rPr>
              <w:t>细</w:t>
            </w:r>
          </w:p>
          <w:p>
            <w:pPr>
              <w:shd w:val="clear"/>
              <w:jc w:val="center"/>
              <w:rPr>
                <w:rFonts w:ascii="宋体" w:hAnsi="宋体" w:cs="宋体"/>
                <w:color w:val="auto"/>
                <w:szCs w:val="21"/>
                <w:highlight w:val="none"/>
              </w:rPr>
            </w:pPr>
            <w:r>
              <w:rPr>
                <w:rFonts w:hint="eastAsia" w:ascii="宋体" w:hAnsi="宋体" w:cs="宋体"/>
                <w:color w:val="auto"/>
                <w:szCs w:val="21"/>
                <w:highlight w:val="none"/>
              </w:rPr>
              <w:t>审</w:t>
            </w:r>
          </w:p>
          <w:p>
            <w:pPr>
              <w:shd w:val="clear"/>
              <w:jc w:val="center"/>
              <w:rPr>
                <w:rFonts w:ascii="宋体" w:hAnsi="宋体" w:cs="宋体"/>
                <w:color w:val="auto"/>
                <w:szCs w:val="21"/>
                <w:highlight w:val="none"/>
              </w:rPr>
            </w:pPr>
            <w:r>
              <w:rPr>
                <w:rFonts w:hint="eastAsia" w:ascii="宋体" w:hAnsi="宋体" w:cs="宋体"/>
                <w:color w:val="auto"/>
                <w:szCs w:val="21"/>
                <w:highlight w:val="none"/>
              </w:rPr>
              <w:t>查</w:t>
            </w:r>
          </w:p>
          <w:p>
            <w:pPr>
              <w:shd w:val="clear"/>
              <w:jc w:val="center"/>
              <w:rPr>
                <w:rFonts w:ascii="宋体" w:hAnsi="宋体" w:cs="宋体"/>
                <w:color w:val="auto"/>
                <w:szCs w:val="21"/>
                <w:highlight w:val="none"/>
              </w:rPr>
            </w:pPr>
            <w:r>
              <w:rPr>
                <w:rFonts w:hint="eastAsia" w:ascii="宋体" w:hAnsi="宋体" w:cs="宋体"/>
                <w:color w:val="auto"/>
                <w:szCs w:val="21"/>
                <w:highlight w:val="none"/>
              </w:rPr>
              <w:t>标</w:t>
            </w:r>
          </w:p>
          <w:p>
            <w:pPr>
              <w:shd w:val="clear"/>
              <w:jc w:val="center"/>
              <w:rPr>
                <w:rFonts w:ascii="宋体" w:hAnsi="宋体" w:cs="宋体"/>
                <w:color w:val="auto"/>
                <w:szCs w:val="21"/>
                <w:highlight w:val="none"/>
              </w:rPr>
            </w:pPr>
            <w:r>
              <w:rPr>
                <w:rFonts w:hint="eastAsia" w:ascii="宋体" w:hAnsi="宋体" w:cs="宋体"/>
                <w:color w:val="auto"/>
                <w:szCs w:val="21"/>
                <w:highlight w:val="none"/>
              </w:rPr>
              <w:t>准</w:t>
            </w: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kern w:val="0"/>
                <w:szCs w:val="21"/>
                <w:highlight w:val="none"/>
              </w:rPr>
              <w:t>营业执照、税务登记证、组织机构代码证</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kern w:val="0"/>
                <w:szCs w:val="21"/>
                <w:highlight w:val="none"/>
              </w:rPr>
              <w:t>具备有效的营业执照、税务登记证、组织机构代码证</w:t>
            </w:r>
            <w:r>
              <w:rPr>
                <w:rFonts w:hint="eastAsia" w:ascii="宋体" w:hAnsi="宋体" w:cs="宋体"/>
                <w:b/>
                <w:color w:val="auto"/>
                <w:kern w:val="0"/>
                <w:szCs w:val="21"/>
                <w:highlight w:val="none"/>
              </w:rPr>
              <w:t>（备注：税务登记证和组织机构代码证已实施三证合一的不需提供）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财务状况</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信誉</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224" w:type="dxa"/>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w:t>
            </w:r>
            <w:r>
              <w:rPr>
                <w:rFonts w:hint="eastAsia" w:ascii="宋体" w:hAnsi="宋体" w:cs="宋体"/>
                <w:color w:val="auto"/>
                <w:szCs w:val="21"/>
                <w:highlight w:val="none"/>
                <w:lang w:val="en-US" w:eastAsia="zh-CN"/>
              </w:rPr>
              <w:t>4</w:t>
            </w:r>
            <w:r>
              <w:rPr>
                <w:rFonts w:ascii="宋体" w:hAnsi="宋体" w:cs="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jc w:val="center"/>
        </w:trPr>
        <w:tc>
          <w:tcPr>
            <w:tcW w:w="697" w:type="dxa"/>
            <w:vMerge w:val="continue"/>
            <w:vAlign w:val="center"/>
          </w:tcPr>
          <w:p>
            <w:pPr>
              <w:shd w:val="clear"/>
              <w:jc w:val="center"/>
              <w:rPr>
                <w:rFonts w:ascii="宋体" w:hAnsi="宋体" w:cs="宋体"/>
                <w:color w:val="auto"/>
                <w:szCs w:val="21"/>
                <w:highlight w:val="none"/>
              </w:rPr>
            </w:pPr>
          </w:p>
        </w:tc>
        <w:tc>
          <w:tcPr>
            <w:tcW w:w="634" w:type="dxa"/>
            <w:vMerge w:val="continue"/>
            <w:vAlign w:val="center"/>
          </w:tcPr>
          <w:p>
            <w:pPr>
              <w:shd w:val="clear"/>
              <w:jc w:val="center"/>
              <w:rPr>
                <w:rFonts w:ascii="宋体" w:hAnsi="宋体" w:cs="宋体"/>
                <w:color w:val="auto"/>
                <w:szCs w:val="21"/>
                <w:highlight w:val="none"/>
              </w:rPr>
            </w:pPr>
          </w:p>
        </w:tc>
        <w:tc>
          <w:tcPr>
            <w:tcW w:w="2343"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联合体申请人</w:t>
            </w:r>
            <w:r>
              <w:rPr>
                <w:rFonts w:hint="eastAsia" w:ascii="宋体" w:hAnsi="宋体" w:cs="宋体"/>
                <w:color w:val="auto"/>
                <w:kern w:val="0"/>
                <w:szCs w:val="21"/>
                <w:highlight w:val="none"/>
              </w:rPr>
              <w:t>（如有）</w:t>
            </w:r>
          </w:p>
        </w:tc>
        <w:tc>
          <w:tcPr>
            <w:tcW w:w="6224" w:type="dxa"/>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符合第二章“申请人须知”第</w:t>
            </w:r>
            <w:r>
              <w:rPr>
                <w:rFonts w:ascii="宋体" w:hAnsi="宋体" w:cs="宋体"/>
                <w:color w:val="auto"/>
                <w:szCs w:val="21"/>
                <w:highlight w:val="none"/>
              </w:rPr>
              <w:t>1.4.</w:t>
            </w:r>
            <w:r>
              <w:rPr>
                <w:rFonts w:hint="eastAsia" w:ascii="宋体" w:hAnsi="宋体" w:cs="宋体"/>
                <w:color w:val="auto"/>
                <w:szCs w:val="21"/>
                <w:highlight w:val="none"/>
                <w:lang w:val="en-US" w:eastAsia="zh-CN"/>
              </w:rPr>
              <w:t>5</w:t>
            </w:r>
            <w:r>
              <w:rPr>
                <w:rFonts w:ascii="宋体" w:hAnsi="宋体" w:cs="宋体"/>
                <w:color w:val="auto"/>
                <w:szCs w:val="21"/>
                <w:highlight w:val="none"/>
              </w:rPr>
              <w:t>项规定</w:t>
            </w:r>
          </w:p>
        </w:tc>
      </w:tr>
    </w:tbl>
    <w:p>
      <w:pPr>
        <w:shd w:val="clear"/>
        <w:rPr>
          <w:rFonts w:ascii="宋体" w:hAnsi="宋体" w:cs="宋体"/>
          <w:b/>
          <w:bCs/>
          <w:color w:val="auto"/>
          <w:sz w:val="30"/>
          <w:szCs w:val="30"/>
          <w:highlight w:val="none"/>
        </w:rPr>
      </w:pPr>
    </w:p>
    <w:p>
      <w:pPr>
        <w:shd w:val="clear"/>
        <w:rPr>
          <w:rFonts w:ascii="宋体" w:hAnsi="宋体" w:cs="宋体"/>
          <w:b/>
          <w:bCs/>
          <w:color w:val="auto"/>
          <w:sz w:val="30"/>
          <w:szCs w:val="30"/>
          <w:highlight w:val="none"/>
        </w:rPr>
      </w:pPr>
    </w:p>
    <w:p>
      <w:pPr>
        <w:shd w:val="clear"/>
        <w:rPr>
          <w:rFonts w:ascii="宋体" w:hAnsi="宋体" w:cs="宋体"/>
          <w:b/>
          <w:bCs/>
          <w:color w:val="auto"/>
          <w:sz w:val="30"/>
          <w:szCs w:val="30"/>
          <w:highlight w:val="none"/>
        </w:rPr>
      </w:pP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28" w:name="_Toc29991"/>
      <w:bookmarkStart w:id="329" w:name="_Toc24370"/>
      <w:bookmarkStart w:id="330" w:name="_Toc27746"/>
      <w:bookmarkStart w:id="331" w:name="_Toc15908"/>
      <w:bookmarkStart w:id="332" w:name="_Toc20104"/>
      <w:bookmarkStart w:id="333" w:name="_Toc564"/>
      <w:bookmarkStart w:id="334" w:name="_Toc7197"/>
      <w:bookmarkStart w:id="335" w:name="_Toc54174956"/>
      <w:r>
        <w:rPr>
          <w:rFonts w:hint="eastAsia" w:ascii="宋体" w:hAnsi="宋体" w:cs="宋体"/>
          <w:b/>
          <w:bCs/>
          <w:color w:val="auto"/>
          <w:sz w:val="21"/>
          <w:szCs w:val="21"/>
          <w:highlight w:val="none"/>
        </w:rPr>
        <w:t>1. 审查方法</w:t>
      </w:r>
      <w:bookmarkEnd w:id="317"/>
      <w:bookmarkEnd w:id="318"/>
      <w:bookmarkEnd w:id="328"/>
      <w:bookmarkEnd w:id="329"/>
      <w:bookmarkEnd w:id="330"/>
      <w:bookmarkEnd w:id="331"/>
      <w:bookmarkEnd w:id="332"/>
      <w:bookmarkEnd w:id="333"/>
      <w:bookmarkEnd w:id="334"/>
      <w:bookmarkEnd w:id="335"/>
    </w:p>
    <w:p>
      <w:pPr>
        <w:shd w:val="clea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本次资格预审采用合格制。评审小组依据本章规定的审查标准和程序，对申请人提交的申请文件进行符合性审查，并根据审查标准确定合格名单，通过初步审查和详细审查的申请人均通过资格预审。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通过资格预审的申请人达到三家或三家以上，方可进入本次采购活动下一环节</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不足3家的，由项目采购人调整资格预审公告内容后重新组织资格预审；项目经重新资格预审后合格社会资本仍不够3家的，依法变更采购方式。资格预审结果将及时告知申请人，对通过资格预审的申请人发出投标邀请书。</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36" w:name="_Toc9450"/>
      <w:bookmarkStart w:id="337" w:name="_Toc7822"/>
      <w:bookmarkStart w:id="338" w:name="_Toc19351"/>
      <w:bookmarkStart w:id="339" w:name="_Toc17661"/>
      <w:bookmarkStart w:id="340" w:name="_Toc25033"/>
      <w:bookmarkStart w:id="341" w:name="_Toc24918"/>
      <w:bookmarkStart w:id="342" w:name="_Toc144974452"/>
      <w:bookmarkStart w:id="343" w:name="_Toc23780"/>
      <w:bookmarkStart w:id="344" w:name="_Toc54174957"/>
      <w:bookmarkStart w:id="345" w:name="_Toc152047248"/>
      <w:r>
        <w:rPr>
          <w:rFonts w:hint="eastAsia" w:ascii="宋体" w:hAnsi="宋体" w:cs="宋体"/>
          <w:b/>
          <w:bCs/>
          <w:color w:val="auto"/>
          <w:sz w:val="21"/>
          <w:szCs w:val="21"/>
          <w:highlight w:val="none"/>
        </w:rPr>
        <w:t>2. 审查标准</w:t>
      </w:r>
      <w:bookmarkEnd w:id="336"/>
      <w:bookmarkEnd w:id="337"/>
      <w:bookmarkEnd w:id="338"/>
      <w:bookmarkEnd w:id="339"/>
      <w:bookmarkEnd w:id="340"/>
      <w:bookmarkEnd w:id="341"/>
      <w:bookmarkEnd w:id="342"/>
      <w:bookmarkEnd w:id="343"/>
      <w:bookmarkEnd w:id="344"/>
      <w:bookmarkEnd w:id="345"/>
    </w:p>
    <w:p>
      <w:pPr>
        <w:shd w:val="clear"/>
        <w:spacing w:line="360" w:lineRule="auto"/>
        <w:jc w:val="left"/>
        <w:rPr>
          <w:rFonts w:ascii="宋体" w:hAnsi="宋体" w:cs="宋体"/>
          <w:b/>
          <w:color w:val="auto"/>
          <w:sz w:val="21"/>
          <w:szCs w:val="21"/>
          <w:highlight w:val="none"/>
        </w:rPr>
      </w:pPr>
      <w:bookmarkStart w:id="346" w:name="_Toc152047249"/>
      <w:bookmarkStart w:id="347" w:name="_Toc144974453"/>
      <w:r>
        <w:rPr>
          <w:rFonts w:hint="eastAsia" w:ascii="宋体" w:hAnsi="宋体" w:cs="宋体"/>
          <w:b/>
          <w:color w:val="auto"/>
          <w:sz w:val="21"/>
          <w:szCs w:val="21"/>
          <w:highlight w:val="none"/>
        </w:rPr>
        <w:t>2.1 初步审查标准</w:t>
      </w:r>
      <w:bookmarkEnd w:id="346"/>
      <w:bookmarkEnd w:id="347"/>
    </w:p>
    <w:p>
      <w:pPr>
        <w:shd w:val="clea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初步审查标准：见资格审查办法前附表。</w:t>
      </w:r>
    </w:p>
    <w:p>
      <w:pPr>
        <w:shd w:val="clear"/>
        <w:spacing w:line="360" w:lineRule="auto"/>
        <w:jc w:val="left"/>
        <w:rPr>
          <w:rFonts w:ascii="宋体" w:hAnsi="宋体" w:cs="宋体"/>
          <w:b/>
          <w:color w:val="auto"/>
          <w:sz w:val="21"/>
          <w:szCs w:val="21"/>
          <w:highlight w:val="none"/>
        </w:rPr>
      </w:pPr>
      <w:bookmarkStart w:id="348" w:name="_Toc152047250"/>
      <w:bookmarkStart w:id="349" w:name="_Toc144974454"/>
      <w:r>
        <w:rPr>
          <w:rFonts w:hint="eastAsia" w:ascii="宋体" w:hAnsi="宋体" w:cs="宋体"/>
          <w:b/>
          <w:color w:val="auto"/>
          <w:sz w:val="21"/>
          <w:szCs w:val="21"/>
          <w:highlight w:val="none"/>
        </w:rPr>
        <w:t>2.2 详细审查标准</w:t>
      </w:r>
      <w:bookmarkEnd w:id="348"/>
      <w:bookmarkEnd w:id="349"/>
    </w:p>
    <w:p>
      <w:pPr>
        <w:shd w:val="clea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详细审查标准：见资格审查办法前附表。</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50" w:name="_Toc23118"/>
      <w:bookmarkStart w:id="351" w:name="_Toc54174958"/>
      <w:bookmarkStart w:id="352" w:name="_Toc30644"/>
      <w:bookmarkStart w:id="353" w:name="_Toc17293"/>
      <w:bookmarkStart w:id="354" w:name="_Toc32433"/>
      <w:bookmarkStart w:id="355" w:name="_Toc15901"/>
      <w:bookmarkStart w:id="356" w:name="_Toc18758"/>
      <w:bookmarkStart w:id="357" w:name="_Toc144974456"/>
      <w:bookmarkStart w:id="358" w:name="_Toc17789"/>
      <w:bookmarkStart w:id="359" w:name="_Toc152047252"/>
      <w:r>
        <w:rPr>
          <w:rFonts w:hint="eastAsia" w:ascii="宋体" w:hAnsi="宋体" w:cs="宋体"/>
          <w:b/>
          <w:bCs/>
          <w:color w:val="auto"/>
          <w:sz w:val="21"/>
          <w:szCs w:val="21"/>
          <w:highlight w:val="none"/>
        </w:rPr>
        <w:t>3. 审查程序</w:t>
      </w:r>
      <w:bookmarkEnd w:id="350"/>
      <w:bookmarkEnd w:id="351"/>
      <w:bookmarkEnd w:id="352"/>
      <w:bookmarkEnd w:id="353"/>
      <w:bookmarkEnd w:id="354"/>
      <w:bookmarkEnd w:id="355"/>
      <w:bookmarkEnd w:id="356"/>
      <w:bookmarkEnd w:id="357"/>
      <w:bookmarkEnd w:id="358"/>
      <w:bookmarkEnd w:id="359"/>
    </w:p>
    <w:p>
      <w:pPr>
        <w:shd w:val="clear"/>
        <w:spacing w:line="360" w:lineRule="auto"/>
        <w:jc w:val="left"/>
        <w:rPr>
          <w:rFonts w:ascii="宋体" w:hAnsi="宋体" w:cs="宋体"/>
          <w:b/>
          <w:color w:val="auto"/>
          <w:sz w:val="21"/>
          <w:szCs w:val="21"/>
          <w:highlight w:val="none"/>
        </w:rPr>
      </w:pPr>
      <w:bookmarkStart w:id="360" w:name="_Toc144974457"/>
      <w:bookmarkStart w:id="361" w:name="_Toc152047253"/>
      <w:r>
        <w:rPr>
          <w:rFonts w:hint="eastAsia" w:ascii="宋体" w:hAnsi="宋体" w:cs="宋体"/>
          <w:b/>
          <w:color w:val="auto"/>
          <w:sz w:val="21"/>
          <w:szCs w:val="21"/>
          <w:highlight w:val="none"/>
        </w:rPr>
        <w:t>3.1 初步审查</w:t>
      </w:r>
      <w:bookmarkEnd w:id="360"/>
      <w:bookmarkEnd w:id="361"/>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3.1.1评审小组依据本章第2.1款规定的标准，对资格预审申请文件进行初步审查。有一项因素不符合审查标准的，不能通过资格预审。</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3.1.2评审小组会可以要求申请人提交第二章“申请人须知”第3.2.3项至第3.2.</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项规定的有关证明和证件的原件，以便核验。</w:t>
      </w:r>
    </w:p>
    <w:p>
      <w:pPr>
        <w:shd w:val="clear"/>
        <w:spacing w:line="360" w:lineRule="auto"/>
        <w:jc w:val="left"/>
        <w:rPr>
          <w:rFonts w:ascii="宋体" w:hAnsi="宋体" w:cs="宋体"/>
          <w:b/>
          <w:color w:val="auto"/>
          <w:sz w:val="21"/>
          <w:szCs w:val="21"/>
          <w:highlight w:val="none"/>
        </w:rPr>
      </w:pPr>
      <w:bookmarkStart w:id="362" w:name="_Toc152047254"/>
      <w:bookmarkStart w:id="363" w:name="_Toc144974458"/>
      <w:r>
        <w:rPr>
          <w:rFonts w:hint="eastAsia" w:ascii="宋体" w:hAnsi="宋体" w:cs="宋体"/>
          <w:b/>
          <w:color w:val="auto"/>
          <w:sz w:val="21"/>
          <w:szCs w:val="21"/>
          <w:highlight w:val="none"/>
        </w:rPr>
        <w:t>3.2 详细审查</w:t>
      </w:r>
      <w:bookmarkEnd w:id="362"/>
      <w:bookmarkEnd w:id="363"/>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3.2.1评审小组依据本章第2.2款规定的标准，对通过初步审查的资格预审申请文件进行详细审查。有一项因素不符合审查标准的，不能通过资格预审。</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3.2.2通过详细审查的申请人，除应满足本章第2.1款、第2.2款规定的审查标准外，还不得存在下列任何一种情形：</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（1）不按评审小组要求澄清或说明的；</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（2）有第二章“申请人须知”第1.4.</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项规定的任何一种情形的；</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（3）在资格预审过程中弄虚作假、行贿或有其他违法违规行为的。</w:t>
      </w:r>
    </w:p>
    <w:p>
      <w:pPr>
        <w:shd w:val="clear"/>
        <w:spacing w:line="360" w:lineRule="auto"/>
        <w:jc w:val="left"/>
        <w:rPr>
          <w:rFonts w:ascii="宋体" w:hAnsi="宋体" w:cs="宋体"/>
          <w:b/>
          <w:color w:val="auto"/>
          <w:sz w:val="21"/>
          <w:szCs w:val="21"/>
          <w:highlight w:val="none"/>
        </w:rPr>
      </w:pPr>
      <w:bookmarkStart w:id="364" w:name="_Toc152047255"/>
      <w:bookmarkStart w:id="365" w:name="_Toc144974459"/>
      <w:r>
        <w:rPr>
          <w:rFonts w:hint="eastAsia" w:ascii="宋体" w:hAnsi="宋体" w:cs="宋体"/>
          <w:b/>
          <w:color w:val="auto"/>
          <w:sz w:val="21"/>
          <w:szCs w:val="21"/>
          <w:highlight w:val="none"/>
        </w:rPr>
        <w:t>3.3 资格预审申请文件的澄清</w:t>
      </w:r>
      <w:bookmarkEnd w:id="364"/>
      <w:bookmarkEnd w:id="365"/>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在审查过程中，评审小组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采购人和评审小组不接受申请人主动提出的澄清或说明。</w:t>
      </w:r>
    </w:p>
    <w:p>
      <w:pPr>
        <w:keepNext/>
        <w:keepLines/>
        <w:shd w:val="clear"/>
        <w:spacing w:before="156" w:beforeLines="50" w:after="156" w:afterLines="50" w:line="360" w:lineRule="auto"/>
        <w:outlineLvl w:val="1"/>
        <w:rPr>
          <w:rFonts w:ascii="宋体" w:hAnsi="宋体" w:cs="宋体"/>
          <w:b/>
          <w:bCs/>
          <w:color w:val="auto"/>
          <w:sz w:val="21"/>
          <w:szCs w:val="21"/>
          <w:highlight w:val="none"/>
        </w:rPr>
      </w:pPr>
      <w:bookmarkStart w:id="366" w:name="_Toc22092"/>
      <w:bookmarkStart w:id="367" w:name="_Toc16326"/>
      <w:bookmarkStart w:id="368" w:name="_Toc9859"/>
      <w:bookmarkStart w:id="369" w:name="_Toc12232"/>
      <w:bookmarkStart w:id="370" w:name="_Toc152047257"/>
      <w:bookmarkStart w:id="371" w:name="_Toc7564"/>
      <w:bookmarkStart w:id="372" w:name="_Toc54174959"/>
      <w:bookmarkStart w:id="373" w:name="_Toc7429"/>
      <w:bookmarkStart w:id="374" w:name="_Toc8470"/>
      <w:bookmarkStart w:id="375" w:name="_Toc144974461"/>
      <w:r>
        <w:rPr>
          <w:rFonts w:hint="eastAsia" w:ascii="宋体" w:hAnsi="宋体" w:cs="宋体"/>
          <w:b/>
          <w:bCs/>
          <w:color w:val="auto"/>
          <w:sz w:val="21"/>
          <w:szCs w:val="21"/>
          <w:highlight w:val="none"/>
        </w:rPr>
        <w:t>4. 审查结果</w:t>
      </w:r>
      <w:bookmarkEnd w:id="366"/>
      <w:bookmarkEnd w:id="367"/>
      <w:bookmarkEnd w:id="368"/>
      <w:bookmarkEnd w:id="369"/>
      <w:bookmarkEnd w:id="370"/>
      <w:bookmarkEnd w:id="371"/>
      <w:bookmarkEnd w:id="372"/>
      <w:bookmarkEnd w:id="373"/>
      <w:bookmarkEnd w:id="374"/>
      <w:bookmarkEnd w:id="375"/>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4.1提交审查报告</w:t>
      </w:r>
    </w:p>
    <w:p>
      <w:pPr>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评审小组按照本章第3条规定的程序对资格预审申请文件完成审查后，确定通过资格预审的申请人名单，并向采购人提交书面审查报告。</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评审小组成员应当在资格预审报告上签字，对自己的评审意见承担法律责任。对资格预审报告有异议的，应当在报告上签署不同意见，并说明理由，否则视为同意资格预审报告。</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4.2停止评审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评审小组发现资格预审文件内容违反国家有关强制性规定的，应当停滞评审并向采购人说明情况。</w:t>
      </w:r>
    </w:p>
    <w:p>
      <w:pPr>
        <w:shd w:val="clear"/>
        <w:adjustRightInd w:val="0"/>
        <w:snapToGrid w:val="0"/>
        <w:spacing w:line="360"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4.3 重新进行资格预审</w:t>
      </w:r>
    </w:p>
    <w:p>
      <w:pPr>
        <w:shd w:val="clea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通过资格预审的申请人的数量不足3个的，采购人重新组织资格预审。</w:t>
      </w:r>
    </w:p>
    <w:p>
      <w:pPr>
        <w:shd w:val="clear"/>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4.4变更采购方式</w:t>
      </w:r>
    </w:p>
    <w:p>
      <w:pPr>
        <w:shd w:val="clear"/>
        <w:spacing w:line="360" w:lineRule="auto"/>
        <w:ind w:firstLine="420" w:firstLineChars="200"/>
        <w:jc w:val="left"/>
        <w:rPr>
          <w:rFonts w:ascii="宋体" w:hAnsi="宋体" w:cs="宋体"/>
          <w:color w:val="auto"/>
          <w:sz w:val="24"/>
          <w:szCs w:val="24"/>
          <w:highlight w:val="none"/>
        </w:rPr>
      </w:pPr>
      <w:r>
        <w:rPr>
          <w:rFonts w:hint="eastAsia" w:ascii="宋体" w:hAnsi="宋体" w:cs="宋体"/>
          <w:color w:val="auto"/>
          <w:sz w:val="21"/>
          <w:szCs w:val="21"/>
          <w:highlight w:val="none"/>
        </w:rPr>
        <w:t>项目经重新资格预审后合格申请人仍不够3家的，可以依法变更采购方式。</w:t>
      </w:r>
    </w:p>
    <w:p>
      <w:pPr>
        <w:shd w:val="clear"/>
        <w:spacing w:before="540" w:after="530" w:line="360" w:lineRule="auto"/>
        <w:jc w:val="center"/>
        <w:outlineLvl w:val="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bookmarkStart w:id="376" w:name="_Toc591"/>
      <w:bookmarkStart w:id="377" w:name="_Toc18848"/>
      <w:bookmarkStart w:id="378" w:name="_Toc7989"/>
      <w:bookmarkStart w:id="379" w:name="_Toc18503"/>
      <w:bookmarkStart w:id="380" w:name="_Toc9765"/>
      <w:bookmarkStart w:id="381" w:name="_Toc30984"/>
    </w:p>
    <w:p>
      <w:pPr>
        <w:pStyle w:val="4"/>
        <w:bidi w:val="0"/>
        <w:jc w:val="center"/>
        <w:rPr>
          <w:rFonts w:hint="default" w:ascii="宋体" w:hAnsi="宋体" w:eastAsia="宋体" w:cs="宋体"/>
          <w:b/>
          <w:bCs/>
          <w:color w:val="auto"/>
          <w:kern w:val="0"/>
          <w:szCs w:val="32"/>
          <w:highlight w:val="none"/>
          <w:lang w:val="en-US" w:eastAsia="zh-CN"/>
        </w:rPr>
      </w:pPr>
      <w:bookmarkStart w:id="382" w:name="_Toc2368"/>
      <w:r>
        <w:rPr>
          <w:rFonts w:hint="eastAsia"/>
          <w:highlight w:val="none"/>
          <w:lang w:val="en-US" w:eastAsia="zh-CN"/>
        </w:rPr>
        <w:t>第四章  采购需求</w:t>
      </w:r>
      <w:bookmarkEnd w:id="382"/>
    </w:p>
    <w:p>
      <w:pPr>
        <w:pStyle w:val="2"/>
        <w:shd w:val="clear"/>
        <w:ind w:firstLine="42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一、</w:t>
      </w:r>
      <w:r>
        <w:rPr>
          <w:rFonts w:hint="eastAsia" w:asciiTheme="minorEastAsia" w:hAnsiTheme="minorEastAsia" w:eastAsiaTheme="minorEastAsia" w:cstheme="minorEastAsia"/>
          <w:b/>
          <w:bCs/>
          <w:color w:val="auto"/>
          <w:sz w:val="21"/>
          <w:szCs w:val="21"/>
          <w:highlight w:val="none"/>
        </w:rPr>
        <w:t>项目概况与采购范围</w:t>
      </w:r>
    </w:p>
    <w:p>
      <w:pPr>
        <w:pStyle w:val="2"/>
        <w:shd w:val="clear"/>
        <w:spacing w:line="360" w:lineRule="auto"/>
        <w:ind w:firstLine="422"/>
        <w:rPr>
          <w:rFonts w:asciiTheme="minorEastAsia" w:hAnsiTheme="minorEastAsia" w:eastAsiaTheme="minorEastAsia" w:cstheme="minorEastAsia"/>
          <w:color w:val="auto"/>
          <w:sz w:val="21"/>
          <w:szCs w:val="21"/>
          <w:highlight w:val="none"/>
          <w:lang w:val="zh-CN"/>
        </w:rPr>
      </w:pPr>
      <w:r>
        <w:rPr>
          <w:rFonts w:asciiTheme="minorEastAsia" w:hAnsiTheme="minorEastAsia" w:eastAsiaTheme="minorEastAsia" w:cstheme="minorEastAsia"/>
          <w:b/>
          <w:bCs/>
          <w:color w:val="auto"/>
          <w:sz w:val="21"/>
          <w:szCs w:val="21"/>
          <w:highlight w:val="none"/>
        </w:rPr>
        <w:t>1.</w:t>
      </w:r>
      <w:r>
        <w:rPr>
          <w:rFonts w:asciiTheme="minorEastAsia" w:hAnsiTheme="minorEastAsia" w:eastAsiaTheme="minorEastAsia" w:cstheme="minorEastAsia"/>
          <w:b/>
          <w:bCs/>
          <w:color w:val="auto"/>
          <w:sz w:val="21"/>
          <w:szCs w:val="21"/>
          <w:highlight w:val="none"/>
          <w:lang w:val="zh-CN"/>
        </w:rPr>
        <w:t>1</w:t>
      </w:r>
      <w:r>
        <w:rPr>
          <w:rFonts w:hint="eastAsia" w:asciiTheme="minorEastAsia" w:hAnsiTheme="minorEastAsia" w:eastAsiaTheme="minorEastAsia" w:cstheme="minorEastAsia"/>
          <w:b/>
          <w:bCs/>
          <w:color w:val="auto"/>
          <w:sz w:val="21"/>
          <w:szCs w:val="21"/>
          <w:highlight w:val="none"/>
        </w:rPr>
        <w:t>项目授权主体</w:t>
      </w:r>
      <w:r>
        <w:rPr>
          <w:rFonts w:hint="eastAsia" w:asciiTheme="minorEastAsia" w:hAnsiTheme="minorEastAsia" w:eastAsiaTheme="minorEastAsia" w:cstheme="minorEastAsia"/>
          <w:color w:val="auto"/>
          <w:sz w:val="21"/>
          <w:szCs w:val="21"/>
          <w:highlight w:val="none"/>
        </w:rPr>
        <w:t>：南宁市人民政府</w:t>
      </w:r>
    </w:p>
    <w:p>
      <w:pPr>
        <w:pStyle w:val="2"/>
        <w:shd w:val="clear"/>
        <w:spacing w:line="360" w:lineRule="auto"/>
        <w:ind w:firstLine="422"/>
        <w:rPr>
          <w:rFonts w:asciiTheme="minorEastAsia" w:hAnsiTheme="minorEastAsia" w:eastAsiaTheme="minorEastAsia" w:cstheme="minorEastAsia"/>
          <w:color w:val="auto"/>
          <w:sz w:val="21"/>
          <w:szCs w:val="21"/>
          <w:highlight w:val="none"/>
          <w:lang w:val="zh-CN"/>
        </w:rPr>
      </w:pPr>
      <w:r>
        <w:rPr>
          <w:rFonts w:asciiTheme="minorEastAsia" w:hAnsiTheme="minorEastAsia" w:eastAsiaTheme="minorEastAsia" w:cstheme="minorEastAsia"/>
          <w:b/>
          <w:bCs/>
          <w:color w:val="auto"/>
          <w:sz w:val="21"/>
          <w:szCs w:val="21"/>
          <w:highlight w:val="none"/>
        </w:rPr>
        <w:t>1.2</w:t>
      </w:r>
      <w:r>
        <w:rPr>
          <w:rFonts w:hint="eastAsia" w:asciiTheme="minorEastAsia" w:hAnsiTheme="minorEastAsia" w:eastAsiaTheme="minorEastAsia" w:cstheme="minorEastAsia"/>
          <w:b/>
          <w:bCs/>
          <w:color w:val="auto"/>
          <w:sz w:val="21"/>
          <w:szCs w:val="21"/>
          <w:highlight w:val="none"/>
          <w:lang w:val="zh-CN"/>
        </w:rPr>
        <w:t>项目实施机构：</w:t>
      </w:r>
      <w:r>
        <w:rPr>
          <w:rFonts w:hint="eastAsia" w:asciiTheme="minorEastAsia" w:hAnsiTheme="minorEastAsia" w:eastAsiaTheme="minorEastAsia" w:cstheme="minorEastAsia"/>
          <w:color w:val="auto"/>
          <w:sz w:val="21"/>
          <w:szCs w:val="21"/>
          <w:highlight w:val="none"/>
          <w:lang w:val="zh-CN"/>
        </w:rPr>
        <w:t>南宁市城市更新和物业管理指导中心</w:t>
      </w:r>
    </w:p>
    <w:p>
      <w:pPr>
        <w:pStyle w:val="2"/>
        <w:shd w:val="clear"/>
        <w:spacing w:line="360" w:lineRule="auto"/>
        <w:ind w:firstLine="422"/>
        <w:rPr>
          <w:rFonts w:asciiTheme="minorEastAsia" w:hAnsiTheme="minorEastAsia" w:eastAsiaTheme="minorEastAsia" w:cstheme="minorEastAsia"/>
          <w:color w:val="auto"/>
          <w:spacing w:val="-16"/>
          <w:sz w:val="21"/>
          <w:szCs w:val="21"/>
          <w:highlight w:val="none"/>
          <w:lang w:val="zh-CN"/>
        </w:rPr>
      </w:pPr>
      <w:r>
        <w:rPr>
          <w:rFonts w:asciiTheme="minorEastAsia" w:hAnsiTheme="minorEastAsia" w:eastAsiaTheme="minorEastAsia" w:cstheme="minorEastAsia"/>
          <w:b/>
          <w:bCs/>
          <w:color w:val="auto"/>
          <w:sz w:val="21"/>
          <w:szCs w:val="21"/>
          <w:highlight w:val="none"/>
        </w:rPr>
        <w:t>1.3</w:t>
      </w:r>
      <w:r>
        <w:rPr>
          <w:rFonts w:hint="eastAsia" w:asciiTheme="minorEastAsia" w:hAnsiTheme="minorEastAsia" w:eastAsiaTheme="minorEastAsia" w:cstheme="minorEastAsia"/>
          <w:b/>
          <w:bCs/>
          <w:color w:val="auto"/>
          <w:sz w:val="21"/>
          <w:szCs w:val="21"/>
          <w:highlight w:val="none"/>
          <w:lang w:val="zh-CN"/>
        </w:rPr>
        <w:t>项目名称：</w:t>
      </w:r>
      <w:r>
        <w:rPr>
          <w:rFonts w:hint="eastAsia" w:asciiTheme="minorEastAsia" w:hAnsiTheme="minorEastAsia" w:eastAsiaTheme="minorEastAsia" w:cstheme="minorEastAsia"/>
          <w:b w:val="0"/>
          <w:bCs w:val="0"/>
          <w:color w:val="auto"/>
          <w:sz w:val="21"/>
          <w:szCs w:val="21"/>
          <w:highlight w:val="none"/>
          <w:lang w:val="zh-CN" w:eastAsia="zh-CN"/>
        </w:rPr>
        <w:t>南宁市2022年第二批城镇老旧小区改造PPP项目社会资本方采购</w:t>
      </w:r>
    </w:p>
    <w:p>
      <w:pPr>
        <w:pStyle w:val="2"/>
        <w:shd w:val="clear"/>
        <w:spacing w:line="360" w:lineRule="auto"/>
        <w:ind w:firstLine="422"/>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1.4</w:t>
      </w:r>
      <w:r>
        <w:rPr>
          <w:rFonts w:hint="eastAsia" w:asciiTheme="minorEastAsia" w:hAnsiTheme="minorEastAsia" w:eastAsiaTheme="minorEastAsia" w:cstheme="minorEastAsia"/>
          <w:b/>
          <w:bCs/>
          <w:color w:val="auto"/>
          <w:sz w:val="21"/>
          <w:szCs w:val="21"/>
          <w:highlight w:val="none"/>
          <w:lang w:val="zh-CN"/>
        </w:rPr>
        <w:t>项目编号：</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asciiTheme="minorEastAsia" w:hAnsiTheme="minorEastAsia" w:eastAsiaTheme="minorEastAsia" w:cstheme="minorEastAsia"/>
          <w:color w:val="auto"/>
          <w:sz w:val="21"/>
          <w:szCs w:val="21"/>
          <w:highlight w:val="none"/>
        </w:rPr>
        <w:t xml:space="preserve"> </w:t>
      </w:r>
    </w:p>
    <w:p>
      <w:pPr>
        <w:pStyle w:val="2"/>
        <w:shd w:val="clear"/>
        <w:spacing w:line="360" w:lineRule="auto"/>
        <w:ind w:firstLine="422"/>
        <w:rPr>
          <w:rFonts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 xml:space="preserve">1.5 </w:t>
      </w:r>
      <w:r>
        <w:rPr>
          <w:rFonts w:hint="eastAsia" w:asciiTheme="minorEastAsia" w:hAnsiTheme="minorEastAsia" w:eastAsiaTheme="minorEastAsia" w:cstheme="minorEastAsia"/>
          <w:b/>
          <w:bCs/>
          <w:color w:val="auto"/>
          <w:sz w:val="21"/>
          <w:szCs w:val="21"/>
          <w:highlight w:val="none"/>
        </w:rPr>
        <w:t>采购需求：</w:t>
      </w:r>
    </w:p>
    <w:p>
      <w:pPr>
        <w:pStyle w:val="2"/>
        <w:shd w:val="clear"/>
        <w:spacing w:line="360" w:lineRule="auto"/>
        <w:ind w:firstLine="420"/>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拟采购本项目社会资本，社会资本方全额出资成立项目公司，项目公司在授权范围内负责项目的设计优化、投融资、建设、运营和维护；政府方授权实施机构对本项目进行监督和绩效考核，合同期满后，项目公司将项目资产及相关权利等无偿移交给政府。</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lang w:val="zh-CN"/>
        </w:rPr>
        <w:t>1.</w:t>
      </w:r>
      <w:r>
        <w:rPr>
          <w:rFonts w:asciiTheme="minorEastAsia" w:hAnsiTheme="minorEastAsia" w:eastAsiaTheme="minorEastAsia" w:cstheme="minorEastAsia"/>
          <w:b/>
          <w:bCs/>
          <w:color w:val="auto"/>
          <w:szCs w:val="21"/>
          <w:highlight w:val="none"/>
        </w:rPr>
        <w:t>6建设内容及规模</w:t>
      </w:r>
      <w:r>
        <w:rPr>
          <w:rFonts w:hint="eastAsia" w:asciiTheme="minorEastAsia" w:hAnsiTheme="minorEastAsia" w:eastAsiaTheme="minorEastAsia" w:cstheme="minorEastAsia"/>
          <w:b/>
          <w:bCs/>
          <w:color w:val="auto"/>
          <w:szCs w:val="21"/>
          <w:highlight w:val="none"/>
          <w:lang w:val="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本项目包含2022年南宁市城镇老旧小区改造工程兴宁区第二片区、青秀区第二片区、青秀区第三片区、青秀区第四片区共4个子项。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根据已批复的改造方案，本项目涉及改造小区76个，总户数8072户，楼栋数291栋，楼栋主体改造建筑面积991497.23平方米；公共基础设施改造面积343977.19平方米；燃气供排水改造面积316150.48平方米。建设内容包括楼栋主体改造、小区内配套基础设施改造和燃气供排水改造。其中楼栋主体改造包括小区内的楼栋设施、建筑修缮、房屋建筑提升等；小区内配套基础设施改造包括服务设施、小区道路、市政设施、公共环境、公共空间、公共设施提升等；燃气供排水改造包括小区红线内燃气、供水、排水、小区红线外配套燃气管道改造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color w:val="auto"/>
          <w:kern w:val="0"/>
          <w:sz w:val="21"/>
          <w:szCs w:val="21"/>
          <w:highlight w:val="none"/>
          <w:lang w:val="zh-CN" w:eastAsia="zh-CN" w:bidi="ar-SA"/>
        </w:rPr>
        <w:t>项目主要建设内容及规模如下：</w:t>
      </w:r>
    </w:p>
    <w:p>
      <w:pPr>
        <w:pStyle w:val="21"/>
        <w:keepNext w:val="0"/>
        <w:keepLines w:val="0"/>
        <w:pageBreakBefore w:val="0"/>
        <w:numPr>
          <w:ilvl w:val="0"/>
          <w:numId w:val="0"/>
        </w:numPr>
        <w:kinsoku/>
        <w:wordWrap/>
        <w:overflowPunct/>
        <w:topLinePunct w:val="0"/>
        <w:bidi w:val="0"/>
        <w:adjustRightInd/>
        <w:snapToGrid/>
        <w:spacing w:line="360" w:lineRule="auto"/>
        <w:jc w:val="center"/>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本项目建设内容一览表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466"/>
        <w:gridCol w:w="554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片区</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建设内容及规模</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846"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兴宁区第二片区</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1.建设规模：</w:t>
            </w:r>
            <w:r>
              <w:rPr>
                <w:rFonts w:hint="eastAsia" w:ascii="宋体" w:hAnsi="宋体" w:eastAsia="宋体" w:cs="宋体"/>
                <w:i w:val="0"/>
                <w:iCs w:val="0"/>
                <w:color w:val="auto"/>
                <w:kern w:val="0"/>
                <w:sz w:val="21"/>
                <w:szCs w:val="21"/>
                <w:highlight w:val="none"/>
                <w:u w:val="none"/>
                <w:lang w:val="en-US" w:eastAsia="zh-CN" w:bidi="ar"/>
              </w:rPr>
              <w:t>对宁阳大厦、工行宿舍区</w:t>
            </w:r>
          </w:p>
          <w:p>
            <w:pPr>
              <w:keepNext w:val="0"/>
              <w:keepLines w:val="0"/>
              <w:widowControl/>
              <w:suppressLineNumbers w:val="0"/>
              <w:jc w:val="left"/>
              <w:textAlignment w:val="center"/>
              <w:rPr>
                <w:rFonts w:hint="eastAsia" w:ascii="宋体" w:hAnsi="宋体" w:eastAsia="宋体" w:cs="宋体"/>
                <w:b/>
                <w:bCs/>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厅三区、路桥生活区、环境卫生管理处住宅小区、南宁市市建科院宿舍、朝阳路78号、天兴商住楼、南宁市邮政宿舍望州路生活区、望州路北四里5号小区、南宁市康迈公司宿舍等11个老旧小区进行改造，涉及总户数1306户，楼栋数40栋，总建筑面积约94231.50平方米。</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53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846"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2"/>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2.改造内容：</w:t>
            </w:r>
            <w:r>
              <w:rPr>
                <w:rFonts w:hint="eastAsia" w:ascii="宋体" w:hAnsi="宋体" w:eastAsia="宋体" w:cs="宋体"/>
                <w:i w:val="0"/>
                <w:iCs w:val="0"/>
                <w:color w:val="auto"/>
                <w:kern w:val="0"/>
                <w:sz w:val="21"/>
                <w:szCs w:val="21"/>
                <w:highlight w:val="none"/>
                <w:u w:val="none"/>
                <w:lang w:val="en-US" w:eastAsia="zh-CN" w:bidi="ar"/>
              </w:rPr>
              <w:t>主要为楼栋主体改造、小区内配套基础设施改造。（一）楼栋主体改造建筑面积94231.50平方米，包括小区内的楼栋设施、建筑修缮、房屋建筑提升等；（二）小区内配套基础设施改造面积</w:t>
            </w:r>
            <w:r>
              <w:rPr>
                <w:rFonts w:hint="eastAsia" w:ascii="宋体" w:hAnsi="宋体" w:eastAsia="宋体" w:cs="宋体"/>
                <w:color w:val="auto"/>
                <w:kern w:val="0"/>
                <w:highlight w:val="none"/>
              </w:rPr>
              <w:t>29736.68</w:t>
            </w:r>
            <w:r>
              <w:rPr>
                <w:rFonts w:hint="eastAsia" w:ascii="宋体" w:hAnsi="宋体" w:eastAsia="宋体" w:cs="宋体"/>
                <w:color w:val="auto"/>
                <w:kern w:val="0"/>
                <w:highlight w:val="none"/>
                <w:lang w:val="en-US" w:eastAsia="zh-CN"/>
              </w:rPr>
              <w:t>平方米</w:t>
            </w:r>
            <w:r>
              <w:rPr>
                <w:rFonts w:hint="eastAsia" w:ascii="宋体" w:hAnsi="宋体" w:eastAsia="宋体" w:cs="宋体"/>
                <w:i w:val="0"/>
                <w:iCs w:val="0"/>
                <w:color w:val="auto"/>
                <w:kern w:val="0"/>
                <w:sz w:val="21"/>
                <w:szCs w:val="21"/>
                <w:highlight w:val="none"/>
                <w:u w:val="none"/>
                <w:lang w:val="en-US" w:eastAsia="zh-CN" w:bidi="ar"/>
              </w:rPr>
              <w:t>，包括服务设施、小区道路、市政设施、公共环境、公共空间、公共设施提升等；（3）燃气供排水改造</w:t>
            </w:r>
            <w:r>
              <w:rPr>
                <w:rFonts w:hint="eastAsia" w:ascii="宋体" w:hAnsi="宋体" w:eastAsia="宋体" w:cs="宋体"/>
                <w:color w:val="auto"/>
                <w:kern w:val="0"/>
                <w:highlight w:val="none"/>
                <w:u w:val="none"/>
              </w:rPr>
              <w:t>29736.</w:t>
            </w:r>
            <w:r>
              <w:rPr>
                <w:rFonts w:hint="eastAsia" w:ascii="宋体" w:hAnsi="宋体" w:eastAsia="宋体" w:cs="宋体"/>
                <w:color w:val="auto"/>
                <w:kern w:val="0"/>
                <w:highlight w:val="none"/>
                <w:u w:val="none"/>
                <w:lang w:val="en-US" w:eastAsia="zh-CN"/>
              </w:rPr>
              <w:t>00平方米，包括</w:t>
            </w:r>
            <w:r>
              <w:rPr>
                <w:rFonts w:hint="eastAsia" w:ascii="宋体" w:hAnsi="宋体" w:eastAsia="宋体" w:cs="宋体"/>
                <w:color w:val="auto"/>
                <w:kern w:val="0"/>
                <w:highlight w:val="none"/>
                <w:u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8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青秀区第二片区</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1.建设规模：</w:t>
            </w:r>
            <w:r>
              <w:rPr>
                <w:rFonts w:hint="eastAsia" w:ascii="宋体" w:hAnsi="宋体" w:eastAsia="宋体" w:cs="宋体"/>
                <w:i w:val="0"/>
                <w:iCs w:val="0"/>
                <w:color w:val="auto"/>
                <w:kern w:val="0"/>
                <w:sz w:val="21"/>
                <w:szCs w:val="21"/>
                <w:highlight w:val="none"/>
                <w:u w:val="none"/>
                <w:lang w:val="en-US" w:eastAsia="zh-CN" w:bidi="ar"/>
              </w:rPr>
              <w:t>拟对市中级法院小区、南宁日报社住宅区、碧云苑、工行宿舍、南宁市滨湖庄园、南湖公寓、广西国际信托投资公司宿舍、建银花园二区</w:t>
            </w:r>
          </w:p>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新城区建安第一工程处宿舍、西大方洲公寓小区、津头乡财政所住宅楼、安泰园小区、南宁市第五幼儿园、燃气公司桃源路宿舍、南宁市公安局兴宁分局竹溪宿舍、南国街27-13号、南宁市教育局、原康乐小学教师宿舍、南湖聚宝苑、金州花园、金地世家北区、广西科学技术协会仙葫住宅区等21个老旧小区进行改造，涉及总户数1848户，楼栋数76栋，总建筑面积约</w:t>
            </w:r>
            <w:r>
              <w:rPr>
                <w:rFonts w:hint="eastAsia" w:ascii="宋体" w:hAnsi="宋体" w:eastAsia="宋体" w:cs="宋体"/>
                <w:color w:val="auto"/>
                <w:kern w:val="0"/>
                <w:highlight w:val="none"/>
              </w:rPr>
              <w:t>292118.98</w:t>
            </w:r>
            <w:r>
              <w:rPr>
                <w:rFonts w:hint="eastAsia" w:ascii="宋体" w:hAnsi="宋体" w:eastAsia="宋体" w:cs="宋体"/>
                <w:i w:val="0"/>
                <w:iCs w:val="0"/>
                <w:color w:val="auto"/>
                <w:kern w:val="0"/>
                <w:sz w:val="21"/>
                <w:szCs w:val="21"/>
                <w:highlight w:val="none"/>
                <w:u w:val="none"/>
                <w:lang w:val="en-US" w:eastAsia="zh-CN" w:bidi="ar"/>
              </w:rPr>
              <w:t>平方米。</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84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2.改造内容：</w:t>
            </w:r>
            <w:r>
              <w:rPr>
                <w:rFonts w:hint="eastAsia" w:ascii="宋体" w:hAnsi="宋体" w:eastAsia="宋体" w:cs="宋体"/>
                <w:i w:val="0"/>
                <w:iCs w:val="0"/>
                <w:color w:val="auto"/>
                <w:kern w:val="0"/>
                <w:sz w:val="21"/>
                <w:szCs w:val="21"/>
                <w:highlight w:val="none"/>
                <w:u w:val="none"/>
                <w:lang w:val="en-US" w:eastAsia="zh-CN" w:bidi="ar"/>
              </w:rPr>
              <w:t>主要为楼栋主体改造、小区内配套基础设施改造。（一）楼栋主体改造建筑面积</w:t>
            </w:r>
            <w:r>
              <w:rPr>
                <w:rFonts w:hint="eastAsia" w:ascii="宋体" w:hAnsi="宋体" w:eastAsia="宋体" w:cs="宋体"/>
                <w:color w:val="auto"/>
                <w:kern w:val="0"/>
                <w:highlight w:val="none"/>
                <w:u w:val="none"/>
              </w:rPr>
              <w:t>292118.98</w:t>
            </w:r>
            <w:r>
              <w:rPr>
                <w:rFonts w:hint="eastAsia" w:ascii="宋体" w:hAnsi="宋体" w:eastAsia="宋体" w:cs="宋体"/>
                <w:i w:val="0"/>
                <w:iCs w:val="0"/>
                <w:color w:val="auto"/>
                <w:kern w:val="0"/>
                <w:sz w:val="21"/>
                <w:szCs w:val="21"/>
                <w:highlight w:val="none"/>
                <w:u w:val="none"/>
                <w:lang w:val="en-US" w:eastAsia="zh-CN" w:bidi="ar"/>
              </w:rPr>
              <w:t>平方米，包括小区内的楼栋设施、建筑修缮、房屋建筑提升等；（二）小区内配套基础设施改造面积</w:t>
            </w:r>
            <w:r>
              <w:rPr>
                <w:rFonts w:hint="eastAsia" w:ascii="宋体" w:hAnsi="宋体" w:eastAsia="宋体" w:cs="宋体"/>
                <w:color w:val="auto"/>
                <w:kern w:val="0"/>
                <w:highlight w:val="none"/>
              </w:rPr>
              <w:t>93787.31</w:t>
            </w:r>
            <w:r>
              <w:rPr>
                <w:rFonts w:hint="eastAsia" w:ascii="宋体" w:hAnsi="宋体" w:eastAsia="宋体" w:cs="宋体"/>
                <w:color w:val="auto"/>
                <w:kern w:val="0"/>
                <w:highlight w:val="none"/>
                <w:lang w:val="en-US" w:eastAsia="zh-CN"/>
              </w:rPr>
              <w:t>平方米</w:t>
            </w:r>
            <w:r>
              <w:rPr>
                <w:rFonts w:hint="eastAsia" w:ascii="宋体" w:hAnsi="宋体" w:eastAsia="宋体" w:cs="宋体"/>
                <w:i w:val="0"/>
                <w:iCs w:val="0"/>
                <w:color w:val="auto"/>
                <w:kern w:val="0"/>
                <w:sz w:val="21"/>
                <w:szCs w:val="21"/>
                <w:highlight w:val="none"/>
                <w:u w:val="none"/>
                <w:lang w:val="en-US" w:eastAsia="zh-CN" w:bidi="ar"/>
              </w:rPr>
              <w:t>，包括服务设施、小区道路、市政设施、公共环境、公共空间、公共设施提升等；（3）燃气供排水改造</w:t>
            </w:r>
            <w:r>
              <w:rPr>
                <w:rFonts w:hint="eastAsia" w:ascii="宋体" w:hAnsi="宋体" w:eastAsia="宋体" w:cs="宋体"/>
                <w:color w:val="auto"/>
                <w:kern w:val="0"/>
                <w:highlight w:val="none"/>
                <w:u w:val="none"/>
              </w:rPr>
              <w:t>93787.</w:t>
            </w:r>
            <w:r>
              <w:rPr>
                <w:rFonts w:hint="eastAsia" w:ascii="宋体" w:hAnsi="宋体" w:eastAsia="宋体" w:cs="宋体"/>
                <w:color w:val="auto"/>
                <w:kern w:val="0"/>
                <w:highlight w:val="none"/>
                <w:u w:val="none"/>
                <w:lang w:val="en-US" w:eastAsia="zh-CN"/>
              </w:rPr>
              <w:t>00平方米，包括</w:t>
            </w:r>
            <w:r>
              <w:rPr>
                <w:rFonts w:hint="eastAsia" w:ascii="宋体" w:hAnsi="宋体" w:eastAsia="宋体" w:cs="宋体"/>
                <w:color w:val="auto"/>
                <w:kern w:val="0"/>
                <w:highlight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青秀区第三片区</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1.建设规模：</w:t>
            </w:r>
            <w:r>
              <w:rPr>
                <w:rFonts w:hint="eastAsia" w:ascii="宋体" w:hAnsi="宋体" w:eastAsia="宋体" w:cs="宋体"/>
                <w:i w:val="0"/>
                <w:iCs w:val="0"/>
                <w:color w:val="auto"/>
                <w:kern w:val="0"/>
                <w:sz w:val="21"/>
                <w:szCs w:val="21"/>
                <w:highlight w:val="none"/>
                <w:u w:val="none"/>
                <w:lang w:val="en-US" w:eastAsia="zh-CN" w:bidi="ar"/>
              </w:rPr>
              <w:t>拟对元亨陶陶居、定德翻胎厂</w:t>
            </w:r>
          </w:p>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政小区、林业局宿舍、广西出入境检验检疫局第二宿舍区、南宁航运公司宿舍、南宁市东宇运输公司宿舍、晖华花园、区劳动厅广园路宿舍、竹塘路11号、南宁市房产业开发总公司宿舍、建政南路59号等12个老旧小区进行改造，涉及总户数864户，楼栋数32栋，总建筑面积约99320.12平方米。</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2.改造内容：</w:t>
            </w:r>
            <w:r>
              <w:rPr>
                <w:rFonts w:hint="eastAsia" w:ascii="宋体" w:hAnsi="宋体" w:eastAsia="宋体" w:cs="宋体"/>
                <w:i w:val="0"/>
                <w:iCs w:val="0"/>
                <w:color w:val="auto"/>
                <w:kern w:val="0"/>
                <w:sz w:val="21"/>
                <w:szCs w:val="21"/>
                <w:highlight w:val="none"/>
                <w:u w:val="none"/>
                <w:lang w:val="en-US" w:eastAsia="zh-CN" w:bidi="ar"/>
              </w:rPr>
              <w:t>主要为楼栋主体改造、小区内配套基础设施改造。（一）楼栋主体改造建筑面积99320.12平方米，包括小区内的楼栋设施、建筑修缮、房屋建筑提升等；（二）小区内配套基础设施改造面积</w:t>
            </w:r>
            <w:r>
              <w:rPr>
                <w:rFonts w:hint="eastAsia" w:ascii="宋体" w:hAnsi="宋体" w:eastAsia="宋体" w:cs="宋体"/>
                <w:color w:val="auto"/>
                <w:kern w:val="0"/>
                <w:highlight w:val="none"/>
              </w:rPr>
              <w:t>44234.04</w:t>
            </w:r>
            <w:r>
              <w:rPr>
                <w:rFonts w:hint="eastAsia" w:ascii="宋体" w:hAnsi="宋体" w:eastAsia="宋体" w:cs="宋体"/>
                <w:color w:val="auto"/>
                <w:kern w:val="0"/>
                <w:highlight w:val="none"/>
                <w:lang w:val="en-US" w:eastAsia="zh-CN"/>
              </w:rPr>
              <w:t>平方米</w:t>
            </w:r>
            <w:r>
              <w:rPr>
                <w:rFonts w:hint="eastAsia" w:ascii="宋体" w:hAnsi="宋体" w:eastAsia="宋体" w:cs="宋体"/>
                <w:i w:val="0"/>
                <w:iCs w:val="0"/>
                <w:color w:val="auto"/>
                <w:kern w:val="0"/>
                <w:sz w:val="21"/>
                <w:szCs w:val="21"/>
                <w:highlight w:val="none"/>
                <w:u w:val="none"/>
                <w:lang w:val="en-US" w:eastAsia="zh-CN" w:bidi="ar"/>
              </w:rPr>
              <w:t>，包括服务设施、小区道路、市政设施、公共环境、公共空间、公共设施提升等；（3）燃气供排水改造</w:t>
            </w:r>
            <w:r>
              <w:rPr>
                <w:rFonts w:hint="eastAsia" w:ascii="宋体" w:hAnsi="宋体" w:eastAsia="宋体" w:cs="宋体"/>
                <w:color w:val="auto"/>
                <w:kern w:val="0"/>
                <w:highlight w:val="none"/>
              </w:rPr>
              <w:t>30365.</w:t>
            </w:r>
            <w:r>
              <w:rPr>
                <w:rFonts w:hint="eastAsia" w:ascii="宋体" w:hAnsi="宋体" w:eastAsia="宋体" w:cs="宋体"/>
                <w:color w:val="auto"/>
                <w:kern w:val="0"/>
                <w:highlight w:val="none"/>
                <w:lang w:val="en-US" w:eastAsia="zh-CN"/>
              </w:rPr>
              <w:t>62</w:t>
            </w:r>
            <w:r>
              <w:rPr>
                <w:rFonts w:hint="eastAsia" w:ascii="宋体" w:hAnsi="宋体" w:eastAsia="宋体" w:cs="宋体"/>
                <w:color w:val="auto"/>
                <w:kern w:val="0"/>
                <w:highlight w:val="none"/>
                <w:u w:val="none"/>
                <w:lang w:val="en-US" w:eastAsia="zh-CN"/>
              </w:rPr>
              <w:t>平方米，包括</w:t>
            </w:r>
            <w:r>
              <w:rPr>
                <w:rFonts w:hint="eastAsia" w:ascii="宋体" w:hAnsi="宋体" w:eastAsia="宋体" w:cs="宋体"/>
                <w:color w:val="auto"/>
                <w:kern w:val="0"/>
                <w:highlight w:val="none"/>
                <w:u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青秀区第四片区</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1.建设规模：</w:t>
            </w:r>
            <w:r>
              <w:rPr>
                <w:rFonts w:hint="eastAsia" w:ascii="宋体" w:hAnsi="宋体" w:eastAsia="宋体" w:cs="宋体"/>
                <w:i w:val="0"/>
                <w:iCs w:val="0"/>
                <w:color w:val="auto"/>
                <w:kern w:val="0"/>
                <w:sz w:val="21"/>
                <w:szCs w:val="21"/>
                <w:highlight w:val="none"/>
                <w:u w:val="none"/>
                <w:lang w:val="en-US" w:eastAsia="zh-CN" w:bidi="ar"/>
              </w:rPr>
              <w:t>对清风雅苑、广西地矿局建政路34号宿舍、广厦银庄、星湖路59号3楼独单元（原区药物所宿舍）、泰安大厦（银座住宅）、百果王小区、广西航务工程处柳沙生活区、教育局宿舍、南国街33号商品房、桃源路49号区工行宿舍、佳和大厦、区工商局宿舍、广建小区、嘉宾小区、区高级人民法院宿舍、南宁第一离职干部休养所古城站、竹塘路3号（原南宁市林业局集资房）、国托宿舍、恒龙花园、</w:t>
            </w:r>
            <w:r>
              <w:rPr>
                <w:rFonts w:hint="eastAsia" w:ascii="宋体" w:hAnsi="宋体" w:eastAsia="宋体" w:cs="宋体"/>
                <w:color w:val="auto"/>
                <w:kern w:val="0"/>
                <w:highlight w:val="none"/>
              </w:rPr>
              <w:t>南宁市规划局、工商银行宿舍三元苑</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供销社、糖烟、食品、医药、银河、饮食六个公司联合宿舍</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水榭花都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天广和小区</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南宁市第十七中学</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新康监狱职工生活区</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南宁市住房公积金管理中心房改办宿舍</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米兰大厦</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移动公司宿舍</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南宁市劳动局就业服务中心</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金花茶花苑</w:t>
            </w:r>
            <w:r>
              <w:rPr>
                <w:rFonts w:hint="eastAsia" w:ascii="宋体" w:hAnsi="宋体" w:eastAsia="宋体" w:cs="宋体"/>
                <w:color w:val="auto"/>
                <w:kern w:val="0"/>
                <w:highlight w:val="none"/>
                <w:lang w:eastAsia="zh-CN"/>
              </w:rPr>
              <w:t>、中行麻村住宅小区</w:t>
            </w:r>
            <w:r>
              <w:rPr>
                <w:rFonts w:hint="eastAsia" w:ascii="宋体" w:hAnsi="宋体" w:eastAsia="宋体" w:cs="宋体"/>
                <w:i w:val="0"/>
                <w:iCs w:val="0"/>
                <w:color w:val="auto"/>
                <w:kern w:val="0"/>
                <w:sz w:val="21"/>
                <w:szCs w:val="21"/>
                <w:highlight w:val="none"/>
                <w:u w:val="none"/>
                <w:lang w:val="en-US" w:eastAsia="zh-CN" w:bidi="ar"/>
              </w:rPr>
              <w:t>等32个老旧小区进行改造，涉及总户数3954户，楼栋数143栋，总建筑面积约505826.63平方米。</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2.改造内容：</w:t>
            </w:r>
            <w:r>
              <w:rPr>
                <w:rFonts w:hint="eastAsia" w:ascii="宋体" w:hAnsi="宋体" w:eastAsia="宋体" w:cs="宋体"/>
                <w:i w:val="0"/>
                <w:iCs w:val="0"/>
                <w:color w:val="auto"/>
                <w:kern w:val="0"/>
                <w:sz w:val="21"/>
                <w:szCs w:val="21"/>
                <w:highlight w:val="none"/>
                <w:u w:val="none"/>
                <w:lang w:val="en-US" w:eastAsia="zh-CN" w:bidi="ar"/>
              </w:rPr>
              <w:t>主要为楼栋主体改造、小区内配套基础设施改造。（一）楼栋主体改造建筑面积505826.63平方米，包括小区内的楼栋设施、建筑修缮、房屋建筑提升等；（二）小区内配套基础设施改造面积</w:t>
            </w:r>
            <w:r>
              <w:rPr>
                <w:rFonts w:hint="eastAsia" w:ascii="宋体" w:hAnsi="宋体" w:eastAsia="宋体" w:cs="宋体"/>
                <w:color w:val="auto"/>
                <w:kern w:val="0"/>
                <w:highlight w:val="none"/>
              </w:rPr>
              <w:t>176219.16</w:t>
            </w:r>
            <w:r>
              <w:rPr>
                <w:rFonts w:hint="eastAsia" w:ascii="宋体" w:hAnsi="宋体" w:eastAsia="宋体" w:cs="宋体"/>
                <w:color w:val="auto"/>
                <w:kern w:val="0"/>
                <w:highlight w:val="none"/>
                <w:lang w:val="en-US" w:eastAsia="zh-CN"/>
              </w:rPr>
              <w:t>平方米</w:t>
            </w:r>
            <w:r>
              <w:rPr>
                <w:rFonts w:hint="eastAsia" w:ascii="宋体" w:hAnsi="宋体" w:eastAsia="宋体" w:cs="宋体"/>
                <w:i w:val="0"/>
                <w:iCs w:val="0"/>
                <w:color w:val="auto"/>
                <w:kern w:val="0"/>
                <w:sz w:val="21"/>
                <w:szCs w:val="21"/>
                <w:highlight w:val="none"/>
                <w:u w:val="none"/>
                <w:lang w:val="en-US" w:eastAsia="zh-CN" w:bidi="ar"/>
              </w:rPr>
              <w:t>，包括服务设施、小区道路、市政设施、公共环境、公共空间、公共设施提升等；（3）燃气供排水改造</w:t>
            </w:r>
            <w:r>
              <w:rPr>
                <w:rFonts w:hint="eastAsia" w:ascii="宋体" w:hAnsi="宋体" w:eastAsia="宋体" w:cs="宋体"/>
                <w:color w:val="auto"/>
                <w:kern w:val="0"/>
                <w:highlight w:val="none"/>
                <w:u w:val="none"/>
              </w:rPr>
              <w:t>162261.55</w:t>
            </w:r>
            <w:r>
              <w:rPr>
                <w:rFonts w:hint="eastAsia" w:ascii="宋体" w:hAnsi="宋体" w:eastAsia="宋体" w:cs="宋体"/>
                <w:color w:val="auto"/>
                <w:kern w:val="0"/>
                <w:highlight w:val="none"/>
                <w:u w:val="none"/>
                <w:lang w:val="en-US" w:eastAsia="zh-CN"/>
              </w:rPr>
              <w:t>平方米，包括</w:t>
            </w:r>
            <w:r>
              <w:rPr>
                <w:rFonts w:hint="eastAsia" w:ascii="宋体" w:hAnsi="宋体" w:eastAsia="宋体" w:cs="宋体"/>
                <w:color w:val="auto"/>
                <w:kern w:val="0"/>
                <w:highlight w:val="none"/>
                <w:u w:val="none"/>
              </w:rPr>
              <w:t>小区红线内燃气、供水、排水、小区红线外配套燃气管道改造等</w:t>
            </w:r>
            <w:r>
              <w:rPr>
                <w:rFonts w:hint="eastAsia" w:ascii="宋体" w:hAnsi="宋体" w:eastAsia="宋体" w:cs="宋体"/>
                <w:i w:val="0"/>
                <w:iCs w:val="0"/>
                <w:color w:val="auto"/>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3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eastAsia="zh-CN"/>
              </w:rPr>
              <w:t>改造小区</w:t>
            </w:r>
            <w:r>
              <w:rPr>
                <w:rFonts w:hint="eastAsia" w:ascii="宋体" w:hAnsi="宋体" w:eastAsia="宋体" w:cs="宋体"/>
                <w:color w:val="000000"/>
                <w:kern w:val="0"/>
                <w:sz w:val="21"/>
                <w:szCs w:val="21"/>
                <w:highlight w:val="none"/>
                <w:lang w:val="en-US" w:eastAsia="zh-CN"/>
              </w:rPr>
              <w:t>76个，总户数8072户，楼栋数286栋，楼栋本体改造面积991497.23平方米，公共基础设施改造面积343977.19平方米；燃气供排水改造</w:t>
            </w:r>
            <w:r>
              <w:rPr>
                <w:rFonts w:hint="eastAsia" w:ascii="宋体" w:hAnsi="宋体" w:eastAsia="宋体" w:cs="宋体"/>
                <w:color w:val="000000"/>
                <w:kern w:val="0"/>
                <w:highlight w:val="none"/>
              </w:rPr>
              <w:t>316150.48</w:t>
            </w:r>
            <w:r>
              <w:rPr>
                <w:rFonts w:hint="eastAsia" w:ascii="宋体" w:hAnsi="宋体" w:eastAsia="宋体" w:cs="宋体"/>
                <w:color w:val="000000"/>
                <w:kern w:val="0"/>
                <w:highlight w:val="none"/>
                <w:lang w:val="en-US" w:eastAsia="zh-CN"/>
              </w:rPr>
              <w:t>平方米</w:t>
            </w:r>
            <w:r>
              <w:rPr>
                <w:rFonts w:hint="eastAsia" w:ascii="宋体" w:hAnsi="宋体" w:eastAsia="宋体" w:cs="宋体"/>
                <w:color w:val="000000"/>
                <w:kern w:val="0"/>
                <w:sz w:val="21"/>
                <w:szCs w:val="21"/>
                <w:highlight w:val="none"/>
                <w:lang w:val="en-US" w:eastAsia="zh-CN"/>
              </w:rPr>
              <w:t>。</w:t>
            </w:r>
          </w:p>
        </w:tc>
        <w:tc>
          <w:tcPr>
            <w:tcW w:w="42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highlight w:val="none"/>
                <w:u w:val="none"/>
              </w:rPr>
            </w:pPr>
          </w:p>
        </w:tc>
      </w:tr>
    </w:tbl>
    <w:p>
      <w:pPr>
        <w:rPr>
          <w:rFonts w:hint="eastAsia"/>
          <w:b/>
          <w:bCs/>
          <w:highlight w:val="none"/>
          <w:lang w:val="en-US" w:eastAsia="zh-CN"/>
        </w:rPr>
      </w:pPr>
      <w:r>
        <w:rPr>
          <w:rFonts w:hint="default"/>
          <w:b/>
          <w:bCs/>
          <w:highlight w:val="none"/>
        </w:rPr>
        <w:t>注：</w:t>
      </w:r>
      <w:r>
        <w:rPr>
          <w:rFonts w:hint="eastAsia" w:ascii="宋体" w:hAnsi="宋体" w:cs="宋体"/>
          <w:b/>
          <w:bCs/>
          <w:sz w:val="21"/>
          <w:szCs w:val="21"/>
          <w:highlight w:val="none"/>
          <w:lang w:val="en-US" w:eastAsia="zh-CN"/>
        </w:rPr>
        <w:t>在项目推进过程中，小区名单、项目规模等均有可能发生调整，如有调整，以后续初步设计及施工图成果为准。</w:t>
      </w:r>
    </w:p>
    <w:p>
      <w:pPr>
        <w:pStyle w:val="21"/>
        <w:keepNext w:val="0"/>
        <w:keepLines w:val="0"/>
        <w:pageBreakBefore w:val="0"/>
        <w:numPr>
          <w:ilvl w:val="0"/>
          <w:numId w:val="0"/>
        </w:numPr>
        <w:kinsoku/>
        <w:wordWrap/>
        <w:overflowPunct/>
        <w:topLinePunct w:val="0"/>
        <w:bidi w:val="0"/>
        <w:adjustRightInd/>
        <w:snapToGrid/>
        <w:spacing w:after="0" w:line="360" w:lineRule="auto"/>
        <w:jc w:val="both"/>
        <w:textAlignment w:val="auto"/>
        <w:rPr>
          <w:rFonts w:hint="eastAsia" w:ascii="宋体" w:hAnsi="宋体" w:eastAsia="宋体" w:cs="宋体"/>
          <w:b/>
          <w:bCs/>
          <w:sz w:val="21"/>
          <w:szCs w:val="21"/>
          <w:highlight w:val="none"/>
          <w:lang w:val="en-US" w:eastAsia="zh-CN"/>
        </w:rPr>
      </w:pPr>
    </w:p>
    <w:p>
      <w:pPr>
        <w:pStyle w:val="21"/>
        <w:keepNext w:val="0"/>
        <w:keepLines w:val="0"/>
        <w:pageBreakBefore w:val="0"/>
        <w:numPr>
          <w:ilvl w:val="0"/>
          <w:numId w:val="0"/>
        </w:numPr>
        <w:kinsoku/>
        <w:wordWrap/>
        <w:overflowPunct/>
        <w:topLinePunct w:val="0"/>
        <w:bidi w:val="0"/>
        <w:adjustRightInd/>
        <w:snapToGrid/>
        <w:spacing w:after="0" w:line="360" w:lineRule="auto"/>
        <w:jc w:val="center"/>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cs="宋体"/>
          <w:b/>
          <w:bCs/>
          <w:sz w:val="21"/>
          <w:szCs w:val="21"/>
          <w:highlight w:val="none"/>
          <w:lang w:val="en-US" w:eastAsia="zh-CN"/>
        </w:rPr>
        <w:t>本项目建设规模汇总表</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1620"/>
        <w:gridCol w:w="818"/>
        <w:gridCol w:w="818"/>
        <w:gridCol w:w="818"/>
        <w:gridCol w:w="1119"/>
        <w:gridCol w:w="1119"/>
        <w:gridCol w:w="1119"/>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片区</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小区数量（个）</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总户数（户）</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楼栋数（栋）</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楼栋主体改造建筑面积</w:t>
            </w:r>
            <w:r>
              <w:rPr>
                <w:rFonts w:hint="eastAsia" w:ascii="宋体" w:hAnsi="宋体" w:eastAsia="宋体" w:cs="宋体"/>
                <w:i w:val="0"/>
                <w:iCs w:val="0"/>
                <w:color w:val="000000"/>
                <w:kern w:val="0"/>
                <w:sz w:val="21"/>
                <w:szCs w:val="21"/>
                <w:highlight w:val="none"/>
                <w:u w:val="none"/>
                <w:lang w:val="en-US" w:eastAsia="zh-CN" w:bidi="ar"/>
              </w:rPr>
              <w:t>(平方米）</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配套基础设施改造面积（平方米）</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燃气供排水改造面积（平方米）</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兴宁区第二片区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1306</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94231.50 </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29736.68 </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29736.00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青秀区第二片区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1848</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292118.98 </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93787.31 </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93787.31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青秀区第三片区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964</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99320.12 </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44234.04 </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30365.62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青秀区第四片区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3954</w:t>
            </w:r>
          </w:p>
        </w:tc>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505826.63 </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176219.16 </w:t>
            </w:r>
          </w:p>
        </w:tc>
        <w:tc>
          <w:tcPr>
            <w:tcW w:w="6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162261.55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8072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291</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991497.23 </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343977.19 </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316150.48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pStyle w:val="21"/>
        <w:keepNext w:val="0"/>
        <w:keepLines w:val="0"/>
        <w:pageBreakBefore w:val="0"/>
        <w:numPr>
          <w:ilvl w:val="0"/>
          <w:numId w:val="0"/>
        </w:numPr>
        <w:kinsoku/>
        <w:wordWrap/>
        <w:overflowPunct/>
        <w:topLinePunct w:val="0"/>
        <w:bidi w:val="0"/>
        <w:adjustRightInd/>
        <w:snapToGrid/>
        <w:spacing w:after="0" w:line="360" w:lineRule="auto"/>
        <w:jc w:val="left"/>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注：</w:t>
      </w:r>
      <w:r>
        <w:rPr>
          <w:rFonts w:hint="eastAsia" w:ascii="宋体" w:hAnsi="宋体" w:eastAsia="宋体" w:cs="宋体"/>
          <w:b/>
          <w:bCs/>
          <w:sz w:val="21"/>
          <w:szCs w:val="21"/>
          <w:highlight w:val="none"/>
          <w:lang w:val="en-US" w:eastAsia="zh-CN"/>
        </w:rPr>
        <w:t>本表格中的改造小区数量、户数、规模等为改造方案阶段数据，在项目推进过程中，小区名单、项目规模等均有可能发生调整，如有调整，以后续初步设计及施工图成果为准。</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en-GB"/>
        </w:rPr>
      </w:pPr>
      <w:r>
        <w:rPr>
          <w:rFonts w:asciiTheme="minorEastAsia" w:hAnsiTheme="minorEastAsia" w:eastAsiaTheme="minorEastAsia" w:cstheme="minorEastAsia"/>
          <w:b/>
          <w:bCs/>
          <w:color w:val="auto"/>
          <w:szCs w:val="21"/>
          <w:highlight w:val="none"/>
          <w:lang w:val="en-GB"/>
        </w:rPr>
        <w:t>1.</w:t>
      </w:r>
      <w:r>
        <w:rPr>
          <w:rFonts w:asciiTheme="minorEastAsia" w:hAnsiTheme="minorEastAsia" w:eastAsiaTheme="minorEastAsia" w:cstheme="minorEastAsia"/>
          <w:b/>
          <w:bCs/>
          <w:color w:val="auto"/>
          <w:szCs w:val="21"/>
          <w:highlight w:val="none"/>
        </w:rPr>
        <w:t>7</w:t>
      </w:r>
      <w:r>
        <w:rPr>
          <w:rFonts w:asciiTheme="minorEastAsia" w:hAnsiTheme="minorEastAsia" w:eastAsiaTheme="minorEastAsia" w:cstheme="minorEastAsia"/>
          <w:b/>
          <w:bCs/>
          <w:color w:val="auto"/>
          <w:szCs w:val="21"/>
          <w:highlight w:val="none"/>
          <w:lang w:val="en-GB"/>
        </w:rPr>
        <w:t xml:space="preserve"> 运营内容：</w:t>
      </w:r>
    </w:p>
    <w:p>
      <w:pPr>
        <w:widowControl/>
        <w:shd w:val="clear"/>
        <w:spacing w:line="360" w:lineRule="auto"/>
        <w:ind w:firstLine="420" w:firstLineChars="200"/>
        <w:rPr>
          <w:rFonts w:hint="eastAsia" w:ascii="宋体" w:hAnsi="宋体" w:eastAsia="宋体" w:cs="宋体"/>
          <w:b w:val="0"/>
          <w:bCs w:val="0"/>
          <w:color w:val="auto"/>
          <w:szCs w:val="21"/>
          <w:highlight w:val="none"/>
          <w:lang w:val="en-GB" w:eastAsia="zh-CN"/>
        </w:rPr>
      </w:pPr>
      <w:r>
        <w:rPr>
          <w:rFonts w:hint="eastAsia" w:ascii="宋体" w:hAnsi="宋体" w:eastAsia="宋体" w:cs="宋体"/>
          <w:b w:val="0"/>
          <w:bCs w:val="0"/>
          <w:color w:val="auto"/>
          <w:szCs w:val="21"/>
          <w:highlight w:val="none"/>
          <w:lang w:val="en-GB" w:eastAsia="zh-CN"/>
        </w:rPr>
        <w:t>根据本项目经批复的改造方案，本项目可经营内容包括广告牌、电动自行车及汽车充电设施、物流快递设施、车辆和行人出入口道闸（门禁）广告栏等公共基础配套设施。</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en-GB"/>
        </w:rPr>
      </w:pP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en-GB"/>
        </w:rPr>
      </w:pPr>
      <w:r>
        <w:rPr>
          <w:rFonts w:asciiTheme="minorEastAsia" w:hAnsiTheme="minorEastAsia" w:eastAsiaTheme="minorEastAsia" w:cstheme="minorEastAsia"/>
          <w:b/>
          <w:bCs/>
          <w:color w:val="auto"/>
          <w:szCs w:val="21"/>
          <w:highlight w:val="none"/>
          <w:lang w:val="en-GB"/>
        </w:rPr>
        <w:t>1.</w:t>
      </w:r>
      <w:r>
        <w:rPr>
          <w:rFonts w:asciiTheme="minorEastAsia" w:hAnsiTheme="minorEastAsia" w:eastAsiaTheme="minorEastAsia" w:cstheme="minorEastAsia"/>
          <w:b/>
          <w:bCs/>
          <w:color w:val="auto"/>
          <w:szCs w:val="21"/>
          <w:highlight w:val="none"/>
        </w:rPr>
        <w:t xml:space="preserve">8 </w:t>
      </w:r>
      <w:r>
        <w:rPr>
          <w:rFonts w:hint="eastAsia" w:asciiTheme="minorEastAsia" w:hAnsiTheme="minorEastAsia" w:eastAsiaTheme="minorEastAsia" w:cstheme="minorEastAsia"/>
          <w:b/>
          <w:bCs/>
          <w:color w:val="auto"/>
          <w:szCs w:val="21"/>
          <w:highlight w:val="none"/>
          <w:lang w:val="en-GB"/>
        </w:rPr>
        <w:t>项目总投资：</w:t>
      </w:r>
    </w:p>
    <w:p>
      <w:pPr>
        <w:widowControl/>
        <w:shd w:val="clear"/>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rPr>
        <w:t>1.8.</w:t>
      </w:r>
      <w:r>
        <w:rPr>
          <w:rFonts w:asciiTheme="minorEastAsia" w:hAnsiTheme="minorEastAsia" w:eastAsiaTheme="minorEastAsia" w:cstheme="minorEastAsia"/>
          <w:b/>
          <w:bCs/>
          <w:color w:val="auto"/>
          <w:szCs w:val="21"/>
          <w:highlight w:val="none"/>
          <w:lang w:val="zh-CN"/>
        </w:rPr>
        <w:t>1</w:t>
      </w:r>
      <w:r>
        <w:rPr>
          <w:rFonts w:hint="eastAsia" w:asciiTheme="minorEastAsia" w:hAnsiTheme="minorEastAsia" w:eastAsiaTheme="minorEastAsia" w:cstheme="minorEastAsia"/>
          <w:b/>
          <w:bCs/>
          <w:color w:val="auto"/>
          <w:szCs w:val="21"/>
          <w:highlight w:val="none"/>
          <w:lang w:val="zh-CN"/>
        </w:rPr>
        <w:t>建设项目总投资</w:t>
      </w:r>
    </w:p>
    <w:p>
      <w:pPr>
        <w:widowControl/>
        <w:shd w:val="clear" w:color="auto" w:fill="auto"/>
        <w:spacing w:line="360" w:lineRule="auto"/>
        <w:ind w:firstLine="420" w:firstLineChars="20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（1）改造方案批复的建设项目总投资</w:t>
      </w:r>
    </w:p>
    <w:p>
      <w:pPr>
        <w:widowControl/>
        <w:shd w:val="clear" w:color="auto" w:fill="auto"/>
        <w:spacing w:line="360" w:lineRule="auto"/>
        <w:ind w:firstLine="420" w:firstLineChars="200"/>
        <w:rPr>
          <w:rFonts w:hint="eastAsia" w:ascii="宋体" w:hAnsi="宋体" w:cs="宋体"/>
          <w:b/>
          <w:bCs/>
          <w:sz w:val="21"/>
          <w:szCs w:val="21"/>
          <w:highlight w:val="none"/>
          <w:lang w:val="en-US" w:eastAsia="zh-CN"/>
        </w:rPr>
      </w:pPr>
      <w:r>
        <w:rPr>
          <w:rFonts w:hint="eastAsia" w:ascii="宋体" w:hAnsi="宋体" w:cs="宋体"/>
          <w:b w:val="0"/>
          <w:bCs w:val="0"/>
          <w:sz w:val="21"/>
          <w:szCs w:val="21"/>
          <w:highlight w:val="none"/>
          <w:lang w:val="en-US" w:eastAsia="zh-CN"/>
        </w:rPr>
        <w:t>根据已批复的改造方案，本项目总投资为36508.36万元，其中，工程费30543.62万元，工程建设其他费3260.60万元，预备费2704.14万元。各部分费用详见下表：</w:t>
      </w:r>
      <w:r>
        <w:rPr>
          <w:rFonts w:hint="eastAsia" w:ascii="宋体" w:hAnsi="宋体" w:cs="宋体"/>
          <w:b/>
          <w:bCs/>
          <w:sz w:val="21"/>
          <w:szCs w:val="21"/>
          <w:highlight w:val="none"/>
          <w:lang w:val="en-US" w:eastAsia="zh-CN"/>
        </w:rPr>
        <w:t xml:space="preserve">  </w:t>
      </w:r>
    </w:p>
    <w:p>
      <w:pPr>
        <w:pStyle w:val="21"/>
        <w:ind w:left="0" w:leftChars="0" w:firstLine="0" w:firstLineChars="0"/>
        <w:jc w:val="center"/>
        <w:rPr>
          <w:rFonts w:hint="default"/>
          <w:b/>
          <w:bCs/>
          <w:sz w:val="21"/>
          <w:szCs w:val="21"/>
          <w:highlight w:val="none"/>
          <w:lang w:val="en-US"/>
        </w:rPr>
      </w:pPr>
      <w:r>
        <w:rPr>
          <w:rFonts w:hint="eastAsia" w:ascii="宋体" w:hAnsi="宋体" w:cs="宋体"/>
          <w:b/>
          <w:bCs/>
          <w:sz w:val="21"/>
          <w:szCs w:val="21"/>
          <w:highlight w:val="none"/>
          <w:lang w:val="en-US" w:eastAsia="zh-CN"/>
        </w:rPr>
        <w:t>本项目投资汇总表</w:t>
      </w:r>
    </w:p>
    <w:p>
      <w:pPr>
        <w:pStyle w:val="21"/>
        <w:ind w:left="0" w:leftChars="0" w:firstLine="0" w:firstLineChars="0"/>
        <w:jc w:val="righ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单位：万元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913"/>
        <w:gridCol w:w="2120"/>
        <w:gridCol w:w="1095"/>
        <w:gridCol w:w="986"/>
        <w:gridCol w:w="986"/>
        <w:gridCol w:w="1095"/>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片区</w:t>
            </w:r>
          </w:p>
        </w:tc>
        <w:tc>
          <w:tcPr>
            <w:tcW w:w="12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工程费</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工程建设其他费</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预备费</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总投资</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兴宁区第二片区</w:t>
            </w: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南宁市城镇老旧小区改造工程兴宁区第二片区项目-楼栋主体改造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1181.89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128.68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104.85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1415.42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南宁市城镇老旧小区改造工程兴宁区第二片区-配套基础设施改造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1374.50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150.19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121.98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1646.67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南宁市城镇老旧小区改造工程兴宁区第二片区-燃气供排水改造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967.00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117.00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87.00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1171.00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青秀区第二片区</w:t>
            </w: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南宁市城镇老旧小区改造工程青秀区第二片区项目-楼栋主体改造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1206.54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118.26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105.98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1430.78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南宁市城镇老旧小区改造工程青秀区第二片区-配套基础设施改造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3123.53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309.57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274.65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3707.75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南宁市城镇老旧小区改造工程青秀区第二片区-燃气供排水改造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3078.00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323.00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272.00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3673.00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青秀区第三片区</w:t>
            </w: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南宁市城镇老旧小区改造工程青秀区第三片区项目-楼栋主体改造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1647.37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180.51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146.23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1974.11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南宁市城镇老旧小区改造工程青秀区第三片区-配套基础设施改造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2201.82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245.41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195.77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2643.00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南宁市城镇老旧小区改造工程青秀区第三片区-燃气供排水改造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1416.00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165.00 </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126.00 </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1707.00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青秀区第四片区</w:t>
            </w: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南宁市城镇老旧小区改造工程青秀区第四片区项目-楼栋主体改造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4959.59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533.04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439.41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5932.04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南宁市城镇老旧小区改造工程青秀区第四片区-配套基础设施改造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6172.38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630.94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544.27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7347.59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南宁市城镇老旧小区改造工程青秀区第四片区-燃气供排水改造</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3215.00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359.00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286.00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3860.00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2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30543.62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3260.60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2704.14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36508.36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bl>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（2）燃气工程费</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根据已批复的改造方案，本项目4个子项中包含燃气改造总户数为3543户。依据《广西壮族自治区物价局关于西二线广西支线南宁中燃城市燃气发展有限公司管道天然气销售价格问题的批复》（桂价格函〔2013〕154 号）和南宁市物价局《转发自治区物价局关于管道燃气小区工程安装费管理问题的通知》（南物价〔2018〕58号），南宁市管道燃气的工程安装费为2300元/户，其中按照政府、居民、企业各承担一点的“三个一点”原则来筹集老旧小区改造配套管道燃气入户工程改造资金：即老旧小区专项改造资金承担安装小区红线内户外管道燃气设施费用1500 元/户；居民个人承担安装户内管道燃气设施费用600元/户；南宁中燃减免200元/户。</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本项目改造方案中的管道燃气改造单价按2300元/户计算，燃气工程费用合计814.89万元；居民承担部分按600元/户计算，共212.58万元；管道燃气公司减免部分按200元/户计算，共计70.86万元。</w:t>
      </w:r>
    </w:p>
    <w:p>
      <w:pPr>
        <w:widowControl/>
        <w:spacing w:line="240" w:lineRule="auto"/>
        <w:jc w:val="center"/>
        <w:rPr>
          <w:rFonts w:hint="eastAsia" w:ascii="宋体" w:hAnsi="宋体" w:eastAsia="宋体" w:cs="宋体"/>
          <w:b/>
          <w:bCs/>
          <w:sz w:val="21"/>
          <w:szCs w:val="21"/>
          <w:highlight w:val="none"/>
          <w:lang w:val="en-US" w:eastAsia="zh-CN"/>
        </w:rPr>
      </w:pPr>
      <w:r>
        <w:rPr>
          <w:rFonts w:hint="eastAsia" w:ascii="宋体" w:hAnsi="宋体" w:cs="宋体"/>
          <w:b/>
          <w:bCs/>
          <w:color w:val="000000"/>
          <w:sz w:val="21"/>
          <w:szCs w:val="21"/>
          <w:highlight w:val="none"/>
          <w:lang w:val="en-US" w:eastAsia="zh-CN"/>
        </w:rPr>
        <w:t xml:space="preserve"> </w:t>
      </w:r>
      <w:r>
        <w:rPr>
          <w:rFonts w:hint="eastAsia" w:ascii="宋体" w:hAnsi="宋体" w:eastAsia="宋体" w:cs="宋体"/>
          <w:b/>
          <w:bCs/>
          <w:sz w:val="21"/>
          <w:szCs w:val="21"/>
          <w:highlight w:val="none"/>
          <w:lang w:val="en-US" w:eastAsia="zh-CN"/>
        </w:rPr>
        <w:t>燃气工程费用明细表</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1082"/>
        <w:gridCol w:w="676"/>
        <w:gridCol w:w="754"/>
        <w:gridCol w:w="876"/>
        <w:gridCol w:w="754"/>
        <w:gridCol w:w="876"/>
        <w:gridCol w:w="754"/>
        <w:gridCol w:w="766"/>
        <w:gridCol w:w="744"/>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片区</w:t>
            </w:r>
          </w:p>
        </w:tc>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户数</w:t>
            </w:r>
            <w:r>
              <w:rPr>
                <w:rFonts w:hint="eastAsia" w:ascii="宋体" w:hAnsi="宋体" w:cs="宋体"/>
                <w:b/>
                <w:bCs/>
                <w:i w:val="0"/>
                <w:iCs w:val="0"/>
                <w:color w:val="000000"/>
                <w:kern w:val="0"/>
                <w:sz w:val="21"/>
                <w:szCs w:val="21"/>
                <w:highlight w:val="none"/>
                <w:u w:val="none"/>
                <w:lang w:val="en-US" w:eastAsia="zh-CN" w:bidi="ar"/>
              </w:rPr>
              <w:t>（户）</w:t>
            </w:r>
          </w:p>
        </w:tc>
        <w:tc>
          <w:tcPr>
            <w:tcW w:w="16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老旧小区专项改造资金补助</w:t>
            </w:r>
          </w:p>
        </w:tc>
        <w:tc>
          <w:tcPr>
            <w:tcW w:w="163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居民承担</w:t>
            </w:r>
          </w:p>
        </w:tc>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南宁中燃减免</w:t>
            </w:r>
          </w:p>
        </w:tc>
        <w:tc>
          <w:tcPr>
            <w:tcW w:w="16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单价（元/户）</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兴宁区第二片区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943</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141.45 </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56.58</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18.86 </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2300</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216.89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青秀区第二片区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360</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54.00 </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21.6</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7.20 </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2300</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82.80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青秀区第三片区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559</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83.85 </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33.54</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11.18 </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2300</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128.57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青秀区第四片区</w:t>
            </w:r>
          </w:p>
        </w:tc>
        <w:tc>
          <w:tcPr>
            <w:tcW w:w="6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1681</w:t>
            </w:r>
          </w:p>
        </w:tc>
        <w:tc>
          <w:tcPr>
            <w:tcW w:w="75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1500</w:t>
            </w:r>
          </w:p>
        </w:tc>
        <w:tc>
          <w:tcPr>
            <w:tcW w:w="87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252.15 </w:t>
            </w:r>
          </w:p>
        </w:tc>
        <w:tc>
          <w:tcPr>
            <w:tcW w:w="75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600</w:t>
            </w:r>
          </w:p>
        </w:tc>
        <w:tc>
          <w:tcPr>
            <w:tcW w:w="87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100.86</w:t>
            </w:r>
          </w:p>
        </w:tc>
        <w:tc>
          <w:tcPr>
            <w:tcW w:w="75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w:t>
            </w:r>
          </w:p>
        </w:tc>
        <w:tc>
          <w:tcPr>
            <w:tcW w:w="76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33.62 </w:t>
            </w:r>
          </w:p>
        </w:tc>
        <w:tc>
          <w:tcPr>
            <w:tcW w:w="74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2300</w:t>
            </w:r>
          </w:p>
        </w:tc>
        <w:tc>
          <w:tcPr>
            <w:tcW w:w="88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386.63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合计</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3543</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531.45 </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212.58</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70.86 </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1"/>
                <w:szCs w:val="21"/>
                <w:highlight w:val="none"/>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814.89 </w:t>
            </w:r>
          </w:p>
        </w:tc>
      </w:tr>
    </w:tbl>
    <w:p>
      <w:pPr>
        <w:shd w:val="clear" w:color="auto" w:fill="auto"/>
        <w:adjustRightInd w:val="0"/>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本项目中的燃气工程由社会资本方按南宁市管道燃气有关规定委托管道燃气安装公司建设。燃气工程费中，老旧小区专项改造资金补助部分纳入PPP建设工程投资额，由社会资本方向管道燃气安装公司支付。</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采用PPP模式推进，工程建设、融资、运营维护风险主要由项目公司承担。改造方案批复的建设项目总投资扣除预备费、建设期利息、居民承担的燃气费及管道燃气公司减免的燃气费后的结果为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PPP建设工程投资额</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=改造方案批复的总投资-预备费-建设期利息-居民承担的燃气费-管道燃气公司减免的燃气费</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=36508.36-2704.14-0-212.58-70.86</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=33520.78万元</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政府方投资</w:t>
      </w:r>
    </w:p>
    <w:p>
      <w:pPr>
        <w:shd w:val="clear" w:color="auto" w:fill="auto"/>
        <w:adjustRightInd w:val="0"/>
        <w:snapToGrid w:val="0"/>
        <w:spacing w:line="360" w:lineRule="auto"/>
        <w:ind w:firstLine="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本项目政府方投资由政府方统筹中央和自治区补助资金支付，根据目前中央和自治区补助资金下达文件，本项目中的4个子项获得中央和自治区补助资金15174.02万元，资金类别及金额详见下表：</w:t>
      </w:r>
    </w:p>
    <w:p>
      <w:pPr>
        <w:pStyle w:val="2"/>
        <w:ind w:left="0" w:leftChars="0" w:firstLine="0" w:firstLineChars="0"/>
        <w:rPr>
          <w:rFonts w:hint="eastAsia"/>
          <w:highlight w:val="none"/>
          <w:lang w:eastAsia="zh-CN"/>
        </w:rPr>
        <w:sectPr>
          <w:headerReference r:id="rId5" w:type="default"/>
          <w:footerReference r:id="rId6" w:type="default"/>
          <w:pgSz w:w="11850" w:h="16783"/>
          <w:pgMar w:top="1587" w:right="1701" w:bottom="1587" w:left="1701" w:header="851" w:footer="992" w:gutter="0"/>
          <w:pgBorders>
            <w:top w:val="none" w:sz="0" w:space="0"/>
            <w:left w:val="none" w:sz="0" w:space="0"/>
            <w:bottom w:val="none" w:sz="0" w:space="0"/>
            <w:right w:val="none" w:sz="0" w:space="0"/>
          </w:pgBorders>
          <w:pgNumType w:fmt="decimal" w:start="1"/>
          <w:cols w:space="720" w:num="1"/>
          <w:docGrid w:linePitch="317"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bCs/>
          <w:sz w:val="21"/>
          <w:szCs w:val="21"/>
          <w:highlight w:val="none"/>
          <w:lang w:val="en-US" w:eastAsia="zh-CN"/>
        </w:rPr>
      </w:pPr>
      <w:r>
        <w:rPr>
          <w:rFonts w:hint="eastAsia" w:ascii="宋体" w:hAnsi="宋体" w:cs="宋体"/>
          <w:b/>
          <w:bCs/>
          <w:i w:val="0"/>
          <w:color w:val="000000"/>
          <w:kern w:val="0"/>
          <w:sz w:val="21"/>
          <w:szCs w:val="21"/>
          <w:highlight w:val="none"/>
          <w:u w:val="none"/>
          <w:lang w:val="en-US" w:eastAsia="zh-CN" w:bidi="ar"/>
        </w:rPr>
        <w:t>政府方投资统计表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
        <w:gridCol w:w="1136"/>
        <w:gridCol w:w="1164"/>
        <w:gridCol w:w="1164"/>
        <w:gridCol w:w="1175"/>
        <w:gridCol w:w="1164"/>
        <w:gridCol w:w="1164"/>
        <w:gridCol w:w="1175"/>
        <w:gridCol w:w="1164"/>
        <w:gridCol w:w="1164"/>
        <w:gridCol w:w="1175"/>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26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中央预算内投资补助资金</w:t>
            </w:r>
          </w:p>
        </w:tc>
        <w:tc>
          <w:tcPr>
            <w:tcW w:w="126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中央财政城镇保障性安居工程老旧小区改造资金</w:t>
            </w:r>
          </w:p>
        </w:tc>
        <w:tc>
          <w:tcPr>
            <w:tcW w:w="126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自治区财政城镇保障性安居工程补助资金</w:t>
            </w:r>
          </w:p>
        </w:tc>
        <w:tc>
          <w:tcPr>
            <w:tcW w:w="5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上级资金文号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本级资金文号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（万元）</w:t>
            </w:r>
          </w:p>
        </w:tc>
        <w:tc>
          <w:tcPr>
            <w:tcW w:w="5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1"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兴宁区第二片区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桂发改投资〔2022〕784号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南发改投资〔2022〕104号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606</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600.05 </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427.18 </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1633.23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1"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青秀区第二片区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桂发改投资〔2022〕732号、桂发改投资〔2022〕784号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南发改投资〔2022〕100号、南发改投资〔2022〕104号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5113</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849.07 </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604.47 </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6566.54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1"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青秀区第三片区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桂发改投资〔2022〕784号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南发改投资〔2022〕104号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442.92 </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315.32 </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1548.23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1"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青秀区第四片区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桂发改投资〔2022〕784号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南发改投资〔2022〕104号</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2316</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en-US" w:bidi="ar"/>
              </w:rPr>
              <w:t>桂财综〔2021〕61号、桂财综〔2022〕28号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南财资环〔2022〕34号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1816.69 </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桂财综〔2022〕12号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南财资环〔2022〕168号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1293.33 </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5426.01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8825.00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3708.73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2640.30 </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15174.02 </w:t>
            </w:r>
          </w:p>
        </w:tc>
      </w:tr>
    </w:tbl>
    <w:p>
      <w:pPr>
        <w:spacing w:line="24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根据《广西壮族自治区财政厅关于提前下达2022年部分中央财政城镇保障性安居工程补助资金的通知》（桂财综〔2021〕61号）、《广西壮族自治区财政厅关于下达2022年中央财政城镇保障性安居工程补助资金的通知》（桂财综〔2022〕28号），2022年中央财政城镇保障性安居工程老旧小区改造资金累计下达南宁市市本级项目为9360.99万元，本年度改造项目分三批推进，第一批获得补助资金为3090.34万元，第二、第三批改造户数共计13648户，其中本项目含8072户，按平均分配原则，本项目可获中央财政城镇保障性安居工程老旧小区改造资金3708.73万元；</w:t>
      </w:r>
    </w:p>
    <w:p>
      <w:pPr>
        <w:spacing w:line="240" w:lineRule="auto"/>
        <w:ind w:firstLine="0" w:firstLineChars="0"/>
        <w:rPr>
          <w:rFonts w:hint="eastAsia"/>
          <w:highlight w:val="none"/>
          <w:lang w:eastAsia="zh-CN"/>
        </w:rPr>
        <w:sectPr>
          <w:headerReference r:id="rId7" w:type="default"/>
          <w:pgSz w:w="16783" w:h="11850" w:orient="landscape"/>
          <w:pgMar w:top="1701" w:right="1587" w:bottom="1701" w:left="1587" w:header="851" w:footer="992" w:gutter="0"/>
          <w:pgBorders>
            <w:top w:val="none" w:sz="0" w:space="0"/>
            <w:left w:val="none" w:sz="0" w:space="0"/>
            <w:bottom w:val="none" w:sz="0" w:space="0"/>
            <w:right w:val="none" w:sz="0" w:space="0"/>
          </w:pgBorders>
          <w:pgNumType w:fmt="decimal"/>
          <w:cols w:space="720" w:num="1"/>
          <w:docGrid w:linePitch="317" w:charSpace="0"/>
        </w:sectPr>
      </w:pPr>
      <w:r>
        <w:rPr>
          <w:rFonts w:hint="eastAsia" w:ascii="宋体" w:hAnsi="宋体" w:cs="宋体"/>
          <w:color w:val="auto"/>
          <w:sz w:val="21"/>
          <w:szCs w:val="21"/>
          <w:highlight w:val="none"/>
          <w:lang w:val="en-US" w:eastAsia="zh-CN"/>
        </w:rPr>
        <w:t>2.根据《广西壮族自治区财政厅关于下达2022年新增政府一般债务限额支持城镇保障性安居工程项目的通知》（桂财综〔2022〕12号），2022年自治区财政城镇保障性安居工程补助资金下达南宁市市本级项目共7029.02万元，本年度改造项目分三批推进，第一批获得补助资金2564.85万元，第二、第三批改造户数共计13648户，其中本项目含8072户，按平均分配原则，本项目获得自治区财政保障性安居工程补助资金2640.30万元。</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如政府方原因导致本项目实际获得的中央和自治区补助资金增加或减少，则调整可行性缺口补助。</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（5）社会资本方建设投资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本项目PPP建设工程投资额中，政府方投资以外的部分由社会资本方筹措。</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社会资本方建设投资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=PPP建设工程投资额-政府方投资</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=33520.78-15174.02 </w:t>
      </w:r>
    </w:p>
    <w:p>
      <w:pPr>
        <w:widowControl/>
        <w:shd w:val="clea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=18346.76万元</w:t>
      </w:r>
    </w:p>
    <w:p>
      <w:pPr>
        <w:widowControl/>
        <w:shd w:val="clear"/>
        <w:spacing w:line="360" w:lineRule="auto"/>
        <w:ind w:firstLine="422" w:firstLineChars="200"/>
        <w:rPr>
          <w:rFonts w:ascii="宋体" w:hAnsi="宋体" w:cs="宋体"/>
          <w:b/>
          <w:bCs/>
          <w:color w:val="auto"/>
          <w:szCs w:val="21"/>
          <w:highlight w:val="none"/>
          <w:lang w:val="zh-CN"/>
        </w:rPr>
      </w:pPr>
      <w:r>
        <w:rPr>
          <w:rFonts w:ascii="宋体" w:hAnsi="宋体" w:cs="宋体"/>
          <w:b/>
          <w:bCs/>
          <w:color w:val="auto"/>
          <w:szCs w:val="21"/>
          <w:highlight w:val="none"/>
        </w:rPr>
        <w:t>1.8.2</w:t>
      </w:r>
      <w:r>
        <w:rPr>
          <w:rFonts w:hint="eastAsia" w:ascii="宋体" w:hAnsi="宋体" w:cs="宋体"/>
          <w:b/>
          <w:bCs/>
          <w:color w:val="auto"/>
          <w:szCs w:val="21"/>
          <w:highlight w:val="none"/>
          <w:lang w:val="zh-CN"/>
        </w:rPr>
        <w:t>运营成本</w:t>
      </w:r>
      <w:r>
        <w:rPr>
          <w:rFonts w:ascii="宋体" w:hAnsi="宋体" w:cs="宋体"/>
          <w:b/>
          <w:bCs/>
          <w:color w:val="auto"/>
          <w:szCs w:val="21"/>
          <w:highlight w:val="none"/>
          <w:lang w:val="zh-CN"/>
        </w:rPr>
        <w:t xml:space="preserve">                                                          </w:t>
      </w:r>
    </w:p>
    <w:p>
      <w:pPr>
        <w:widowControl/>
        <w:shd w:val="clear"/>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本项目运营成本包括人工成本、行政管理费、水电费、设施维护费。</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1）人工成本</w:t>
      </w:r>
    </w:p>
    <w:p>
      <w:pPr>
        <w:ind w:firstLine="420" w:firstLineChars="200"/>
        <w:jc w:val="left"/>
        <w:rPr>
          <w:rFonts w:hint="eastAsia" w:ascii="宋体" w:cs="宋体"/>
          <w:b w:val="0"/>
          <w:bCs w:val="0"/>
          <w:color w:val="auto"/>
          <w:sz w:val="21"/>
          <w:szCs w:val="21"/>
          <w:highlight w:val="none"/>
          <w:lang w:val="en-US" w:eastAsia="zh-CN"/>
        </w:rPr>
      </w:pPr>
      <w:r>
        <w:rPr>
          <w:rFonts w:hint="eastAsia" w:ascii="宋体" w:cs="宋体"/>
          <w:b w:val="0"/>
          <w:bCs w:val="0"/>
          <w:color w:val="auto"/>
          <w:sz w:val="21"/>
          <w:szCs w:val="21"/>
          <w:highlight w:val="none"/>
          <w:lang w:val="en-US" w:eastAsia="zh-CN"/>
        </w:rPr>
        <w:t>本项目人工成本是指项目公司员工的职工工资总额、社会保险费用。根据实际运营需要，本项目按项目公司16名员工估算，其中管理人员5名，职工11名。员工岗位设置如下：</w:t>
      </w:r>
    </w:p>
    <w:p>
      <w:pPr>
        <w:jc w:val="center"/>
        <w:rPr>
          <w:rFonts w:hint="default"/>
          <w:highlight w:val="none"/>
          <w:lang w:val="en-US" w:eastAsia="zh-CN"/>
        </w:rPr>
      </w:pPr>
      <w:r>
        <w:rPr>
          <w:rFonts w:hint="eastAsia" w:ascii="宋体" w:eastAsia="宋体" w:cs="宋体"/>
          <w:b/>
          <w:bCs/>
          <w:color w:val="auto"/>
          <w:kern w:val="0"/>
          <w:sz w:val="21"/>
          <w:szCs w:val="21"/>
          <w:highlight w:val="none"/>
          <w:lang w:val="en-US" w:eastAsia="zh-CN"/>
        </w:rPr>
        <w:t>项目公司人员配置</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9"/>
        <w:gridCol w:w="2148"/>
        <w:gridCol w:w="2152"/>
        <w:gridCol w:w="3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blHeader/>
        </w:trPr>
        <w:tc>
          <w:tcPr>
            <w:tcW w:w="11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分类</w:t>
            </w: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人员配置</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人员数量（人）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1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管理人员</w:t>
            </w: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董事长</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总经理</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副总经理</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21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财务总监</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职工</w:t>
            </w:r>
          </w:p>
        </w:tc>
        <w:tc>
          <w:tcPr>
            <w:tcW w:w="10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财务部</w:t>
            </w:r>
          </w:p>
        </w:tc>
        <w:tc>
          <w:tcPr>
            <w:tcW w:w="10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会计</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出纳</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工程管理部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经营部</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经理</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工作人员</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88"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7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16</w:t>
            </w:r>
          </w:p>
        </w:tc>
      </w:tr>
    </w:tbl>
    <w:p>
      <w:pPr>
        <w:pStyle w:val="2"/>
        <w:shd w:val="clear"/>
        <w:snapToGrid w:val="0"/>
        <w:spacing w:line="360" w:lineRule="auto"/>
        <w:ind w:firstLine="420"/>
        <w:rPr>
          <w:rFonts w:ascii="宋体" w:cs="宋体"/>
          <w:b w:val="0"/>
          <w:bCs w:val="0"/>
          <w:color w:val="auto"/>
          <w:sz w:val="21"/>
          <w:szCs w:val="21"/>
          <w:highlight w:val="none"/>
        </w:rPr>
      </w:pPr>
      <w:r>
        <w:rPr>
          <w:rFonts w:hint="default" w:ascii="宋体" w:cs="宋体"/>
          <w:b w:val="0"/>
          <w:bCs w:val="0"/>
          <w:color w:val="auto"/>
          <w:sz w:val="21"/>
          <w:szCs w:val="21"/>
          <w:highlight w:val="none"/>
        </w:rPr>
        <w:t>参照《2021年广西人才网薪酬报告》，南宁市2021年平均工资为5625元/月。本项目职工拟按平均月薪5700元/月、管理人员</w:t>
      </w:r>
      <w:r>
        <w:rPr>
          <w:rFonts w:hint="eastAsia" w:ascii="宋体" w:cs="宋体"/>
          <w:b w:val="0"/>
          <w:bCs w:val="0"/>
          <w:color w:val="auto"/>
          <w:sz w:val="21"/>
          <w:szCs w:val="21"/>
          <w:highlight w:val="none"/>
          <w:lang w:val="en-US" w:eastAsia="zh-CN"/>
        </w:rPr>
        <w:t>拟按工程项目主管</w:t>
      </w:r>
      <w:r>
        <w:rPr>
          <w:rFonts w:hint="default" w:ascii="宋体" w:cs="宋体"/>
          <w:b w:val="0"/>
          <w:bCs w:val="0"/>
          <w:color w:val="auto"/>
          <w:sz w:val="21"/>
          <w:szCs w:val="21"/>
          <w:highlight w:val="none"/>
        </w:rPr>
        <w:t>平均</w:t>
      </w:r>
      <w:r>
        <w:rPr>
          <w:rFonts w:hint="eastAsia" w:ascii="宋体" w:cs="宋体"/>
          <w:b w:val="0"/>
          <w:bCs w:val="0"/>
          <w:color w:val="auto"/>
          <w:sz w:val="21"/>
          <w:szCs w:val="21"/>
          <w:highlight w:val="none"/>
          <w:lang w:val="en-US" w:eastAsia="zh-CN"/>
        </w:rPr>
        <w:t>月薪8113</w:t>
      </w:r>
      <w:r>
        <w:rPr>
          <w:rFonts w:hint="default" w:ascii="宋体" w:cs="宋体"/>
          <w:b w:val="0"/>
          <w:bCs w:val="0"/>
          <w:color w:val="auto"/>
          <w:sz w:val="21"/>
          <w:szCs w:val="21"/>
          <w:highlight w:val="none"/>
        </w:rPr>
        <w:t>元/</w:t>
      </w:r>
      <w:r>
        <w:rPr>
          <w:rFonts w:hint="eastAsia" w:ascii="宋体" w:cs="宋体"/>
          <w:b w:val="0"/>
          <w:bCs w:val="0"/>
          <w:color w:val="auto"/>
          <w:sz w:val="21"/>
          <w:szCs w:val="21"/>
          <w:highlight w:val="none"/>
          <w:lang w:val="en-US" w:eastAsia="zh-CN"/>
        </w:rPr>
        <w:t>月</w:t>
      </w:r>
      <w:r>
        <w:rPr>
          <w:rFonts w:hint="default" w:ascii="宋体" w:cs="宋体"/>
          <w:b w:val="0"/>
          <w:bCs w:val="0"/>
          <w:color w:val="auto"/>
          <w:sz w:val="21"/>
          <w:szCs w:val="21"/>
          <w:highlight w:val="none"/>
        </w:rPr>
        <w:t>估算人工平均成本。</w:t>
      </w:r>
      <w:r>
        <w:rPr>
          <w:rFonts w:hint="eastAsia" w:ascii="宋体" w:cs="宋体"/>
          <w:b w:val="0"/>
          <w:bCs w:val="0"/>
          <w:color w:val="auto"/>
          <w:sz w:val="21"/>
          <w:szCs w:val="21"/>
          <w:highlight w:val="none"/>
          <w:lang w:val="en-US" w:eastAsia="zh-CN"/>
        </w:rPr>
        <w:t>另，企业承担的</w:t>
      </w:r>
      <w:r>
        <w:rPr>
          <w:rFonts w:hint="eastAsia" w:ascii="宋体" w:cs="宋体"/>
          <w:b w:val="0"/>
          <w:bCs w:val="0"/>
          <w:color w:val="auto"/>
          <w:sz w:val="21"/>
          <w:szCs w:val="21"/>
          <w:highlight w:val="none"/>
        </w:rPr>
        <w:t>社会保险费</w:t>
      </w:r>
      <w:r>
        <w:rPr>
          <w:rFonts w:hint="eastAsia" w:ascii="宋体" w:cs="宋体"/>
          <w:b w:val="0"/>
          <w:bCs w:val="0"/>
          <w:color w:val="auto"/>
          <w:sz w:val="21"/>
          <w:szCs w:val="21"/>
          <w:highlight w:val="none"/>
          <w:lang w:val="en-US" w:eastAsia="zh-CN"/>
        </w:rPr>
        <w:t>比例</w:t>
      </w:r>
      <w:r>
        <w:rPr>
          <w:rFonts w:hint="eastAsia" w:ascii="宋体" w:cs="宋体"/>
          <w:b w:val="0"/>
          <w:bCs w:val="0"/>
          <w:color w:val="auto"/>
          <w:sz w:val="21"/>
          <w:szCs w:val="21"/>
          <w:highlight w:val="none"/>
        </w:rPr>
        <w:t>为</w:t>
      </w:r>
      <w:r>
        <w:rPr>
          <w:rFonts w:hint="eastAsia" w:ascii="宋体" w:cs="宋体"/>
          <w:b w:val="0"/>
          <w:bCs w:val="0"/>
          <w:color w:val="auto"/>
          <w:sz w:val="21"/>
          <w:szCs w:val="21"/>
          <w:highlight w:val="none"/>
          <w:lang w:val="en-US" w:eastAsia="zh-CN"/>
        </w:rPr>
        <w:t>23.65%。</w:t>
      </w:r>
      <w:r>
        <w:rPr>
          <w:rFonts w:hint="default" w:ascii="宋体" w:cs="宋体"/>
          <w:b w:val="0"/>
          <w:bCs w:val="0"/>
          <w:color w:val="auto"/>
          <w:sz w:val="21"/>
          <w:szCs w:val="21"/>
          <w:highlight w:val="none"/>
        </w:rPr>
        <w:t>经估算，本项目人工成本支出为</w:t>
      </w:r>
      <w:r>
        <w:rPr>
          <w:rFonts w:hint="eastAsia" w:ascii="宋体" w:cs="宋体"/>
          <w:b w:val="0"/>
          <w:bCs w:val="0"/>
          <w:color w:val="auto"/>
          <w:sz w:val="21"/>
          <w:szCs w:val="21"/>
          <w:highlight w:val="none"/>
          <w:lang w:val="en-US" w:eastAsia="zh-CN"/>
        </w:rPr>
        <w:t>153.22</w:t>
      </w:r>
      <w:r>
        <w:rPr>
          <w:rFonts w:hint="default" w:ascii="宋体" w:cs="宋体"/>
          <w:b w:val="0"/>
          <w:bCs w:val="0"/>
          <w:color w:val="auto"/>
          <w:sz w:val="21"/>
          <w:szCs w:val="21"/>
          <w:highlight w:val="none"/>
        </w:rPr>
        <w:t>万元/年</w:t>
      </w:r>
      <w:r>
        <w:rPr>
          <w:rFonts w:hint="eastAsia" w:ascii="宋体" w:cs="宋体"/>
          <w:b w:val="0"/>
          <w:bCs w:val="0"/>
          <w:color w:val="auto"/>
          <w:sz w:val="21"/>
          <w:szCs w:val="21"/>
          <w:highlight w:val="none"/>
          <w:lang w:val="en-US" w:eastAsia="zh-CN"/>
        </w:rPr>
        <w:t>[5×5700×（1+23.65%）×12÷10000+11×8113×（1+23.65%）×12÷10000=153.22万元]</w:t>
      </w:r>
      <w:r>
        <w:rPr>
          <w:rFonts w:hint="default" w:ascii="宋体" w:cs="宋体"/>
          <w:b w:val="0"/>
          <w:bCs w:val="0"/>
          <w:color w:val="auto"/>
          <w:sz w:val="21"/>
          <w:szCs w:val="21"/>
          <w:highlight w:val="none"/>
        </w:rPr>
        <w:t>。</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）行政管理费</w:t>
      </w:r>
    </w:p>
    <w:p>
      <w:pPr>
        <w:pStyle w:val="2"/>
        <w:shd w:val="clear"/>
        <w:snapToGrid w:val="0"/>
        <w:spacing w:line="360" w:lineRule="auto"/>
        <w:ind w:firstLine="420"/>
        <w:rPr>
          <w:rFonts w:ascii="宋体" w:cs="宋体"/>
          <w:color w:val="auto"/>
          <w:sz w:val="21"/>
          <w:szCs w:val="21"/>
          <w:highlight w:val="none"/>
        </w:rPr>
      </w:pPr>
      <w:r>
        <w:rPr>
          <w:rFonts w:hint="eastAsia" w:ascii="宋体" w:cs="宋体"/>
          <w:color w:val="auto"/>
          <w:sz w:val="21"/>
          <w:szCs w:val="21"/>
          <w:highlight w:val="none"/>
          <w:lang w:val="en-US" w:eastAsia="zh-CN"/>
        </w:rPr>
        <w:t>本项目行政管理费包括差旅费、打印费、招待费、购买办公用品、低值易耗品摊销等。参照同规模公司的行政管理费水平，拟按每个员工0.2万元/年估算（不含税）。经估算，本项目行政管理费支出为3.20万元/年。</w:t>
      </w:r>
    </w:p>
    <w:p>
      <w:pPr>
        <w:pStyle w:val="6"/>
        <w:shd w:val="clear"/>
        <w:spacing w:before="260" w:after="260" w:line="413" w:lineRule="auto"/>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rPr>
        <w:t>水电费</w:t>
      </w:r>
    </w:p>
    <w:p>
      <w:pPr>
        <w:pStyle w:val="2"/>
        <w:shd w:val="clear"/>
        <w:snapToGrid w:val="0"/>
        <w:spacing w:line="360" w:lineRule="auto"/>
        <w:ind w:firstLine="42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1）水费</w:t>
      </w:r>
    </w:p>
    <w:p>
      <w:pPr>
        <w:pStyle w:val="2"/>
        <w:shd w:val="clear"/>
        <w:snapToGrid w:val="0"/>
        <w:spacing w:line="360" w:lineRule="auto"/>
        <w:ind w:firstLine="42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本项目水费主要是项目公司的员工办公使用水费，按365天计算，最高日生活定额为50L，则年用水量0.03万m³/年。水费单价参照《2020年南宁市重要价格公示》，按“非居民生活用水”收费标准2.99元/m³计算，则项目年用水总费用为0.08万元[2.99÷（1+9%）×0.03=0.08（万元），其中增值税率按9%计]。</w:t>
      </w:r>
    </w:p>
    <w:p>
      <w:pPr>
        <w:spacing w:beforeLines="0" w:afterLines="0"/>
        <w:jc w:val="center"/>
        <w:rPr>
          <w:rFonts w:hint="default" w:ascii="宋体" w:hAnsi="宋体" w:eastAsia="宋体" w:cs="宋体"/>
          <w:b/>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  </w:t>
      </w:r>
      <w:r>
        <w:rPr>
          <w:rFonts w:hint="default" w:ascii="宋体" w:hAnsi="宋体" w:eastAsia="宋体" w:cs="宋体"/>
          <w:b/>
          <w:color w:val="auto"/>
          <w:kern w:val="0"/>
          <w:sz w:val="21"/>
          <w:szCs w:val="21"/>
          <w:highlight w:val="none"/>
        </w:rPr>
        <w:t>项目用水量估算表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828"/>
        <w:gridCol w:w="2065"/>
        <w:gridCol w:w="1650"/>
        <w:gridCol w:w="1519"/>
        <w:gridCol w:w="158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用水单位</w:t>
            </w:r>
          </w:p>
        </w:tc>
        <w:tc>
          <w:tcPr>
            <w:tcW w:w="1468"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用水定额</w:t>
            </w:r>
          </w:p>
        </w:tc>
        <w:tc>
          <w:tcPr>
            <w:tcW w:w="83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用水单位数</w:t>
            </w:r>
          </w:p>
        </w:tc>
        <w:tc>
          <w:tcPr>
            <w:tcW w:w="77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日数（d）</w:t>
            </w:r>
          </w:p>
        </w:tc>
        <w:tc>
          <w:tcPr>
            <w:tcW w:w="8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rPr>
              <w:t>年用水量</w:t>
            </w:r>
          </w:p>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(万m³/年)</w:t>
            </w:r>
          </w:p>
        </w:tc>
        <w:tc>
          <w:tcPr>
            <w:tcW w:w="42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单位</w:t>
            </w:r>
          </w:p>
        </w:tc>
        <w:tc>
          <w:tcPr>
            <w:tcW w:w="104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rPr>
              <w:t>最高日</w:t>
            </w:r>
          </w:p>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用水定额（L）</w:t>
            </w:r>
          </w:p>
        </w:tc>
        <w:tc>
          <w:tcPr>
            <w:tcW w:w="83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77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8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c>
          <w:tcPr>
            <w:tcW w:w="42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办公用水</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p/d</w:t>
            </w:r>
          </w:p>
        </w:tc>
        <w:tc>
          <w:tcPr>
            <w:tcW w:w="104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50</w:t>
            </w:r>
          </w:p>
        </w:tc>
        <w:tc>
          <w:tcPr>
            <w:tcW w:w="83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c>
          <w:tcPr>
            <w:tcW w:w="77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365</w:t>
            </w:r>
          </w:p>
        </w:tc>
        <w:tc>
          <w:tcPr>
            <w:tcW w:w="80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rPr>
              <w:t>0.03</w:t>
            </w:r>
            <w:r>
              <w:rPr>
                <w:rFonts w:hint="default" w:ascii="宋体" w:hAnsi="宋体" w:eastAsia="宋体" w:cs="宋体"/>
                <w:color w:val="000000"/>
                <w:kern w:val="0"/>
                <w:sz w:val="21"/>
                <w:szCs w:val="21"/>
                <w:highlight w:val="none"/>
              </w:rPr>
              <w:t xml:space="preserve"> </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合计</w:t>
            </w:r>
          </w:p>
        </w:tc>
        <w:tc>
          <w:tcPr>
            <w:tcW w:w="3076"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w:t>
            </w:r>
          </w:p>
        </w:tc>
        <w:tc>
          <w:tcPr>
            <w:tcW w:w="80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rPr>
              <w:t>0.03</w:t>
            </w:r>
            <w:r>
              <w:rPr>
                <w:rFonts w:hint="default" w:ascii="宋体" w:hAnsi="宋体" w:eastAsia="宋体" w:cs="宋体"/>
                <w:color w:val="000000"/>
                <w:kern w:val="0"/>
                <w:sz w:val="21"/>
                <w:szCs w:val="21"/>
                <w:highlight w:val="none"/>
              </w:rPr>
              <w:t xml:space="preserve"> </w:t>
            </w: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default" w:ascii="宋体" w:hAnsi="宋体" w:eastAsia="宋体" w:cs="宋体"/>
                <w:color w:val="000000"/>
                <w:sz w:val="21"/>
                <w:szCs w:val="21"/>
                <w:highlight w:val="none"/>
              </w:rPr>
            </w:pPr>
          </w:p>
        </w:tc>
      </w:tr>
    </w:tbl>
    <w:p>
      <w:pPr>
        <w:rPr>
          <w:rFonts w:hint="eastAsia" w:ascii="宋体" w:hAnsi="宋体" w:eastAsia="宋体" w:cs="宋体"/>
          <w:color w:val="auto"/>
          <w:kern w:val="0"/>
          <w:sz w:val="21"/>
          <w:szCs w:val="21"/>
          <w:highlight w:val="none"/>
          <w:lang w:val="en-US" w:eastAsia="zh-CN" w:bidi="ar-SA"/>
        </w:rPr>
      </w:pPr>
    </w:p>
    <w:p>
      <w:pPr>
        <w:pStyle w:val="2"/>
        <w:shd w:val="clear"/>
        <w:snapToGrid w:val="0"/>
        <w:spacing w:line="360" w:lineRule="auto"/>
        <w:ind w:firstLine="420"/>
        <w:rPr>
          <w:rFonts w:hint="default" w:ascii="宋体" w:cs="宋体"/>
          <w:b w:val="0"/>
          <w:bCs w:val="0"/>
          <w:color w:val="auto"/>
          <w:sz w:val="21"/>
          <w:szCs w:val="21"/>
          <w:highlight w:val="none"/>
          <w:lang w:val="en-US" w:eastAsia="zh-CN"/>
        </w:rPr>
      </w:pPr>
      <w:r>
        <w:rPr>
          <w:rFonts w:hint="eastAsia" w:ascii="宋体" w:cs="宋体"/>
          <w:b w:val="0"/>
          <w:bCs w:val="0"/>
          <w:color w:val="auto"/>
          <w:sz w:val="21"/>
          <w:szCs w:val="21"/>
          <w:highlight w:val="none"/>
          <w:lang w:val="en-US" w:eastAsia="zh-CN"/>
        </w:rPr>
        <w:t>2）电费</w:t>
      </w:r>
    </w:p>
    <w:p>
      <w:pPr>
        <w:pStyle w:val="2"/>
        <w:shd w:val="clear"/>
        <w:snapToGrid w:val="0"/>
        <w:spacing w:line="360" w:lineRule="auto"/>
        <w:ind w:firstLine="420"/>
        <w:rPr>
          <w:rFonts w:hint="eastAsia"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本项目电能消耗包括充电设施、智能快递柜设备用电、行政办公用电等，照明时间按照季节昼夜时长来确定。项目年用电量共计225.22万kW·h。参照《广西电网目录销售电价表（2021年1月1日起执行）》：“工商业及其他用电单一制不满1千伏收费标准为0.6620元/kW·h”，本项目为商业用电，拟按电费单价0.6620元/kW·h计算，本项目每年需支付电费131.94万元[0.6620÷（1+13%）×225.22=131.94（万元），其中增值税率按13%计]。</w:t>
      </w:r>
    </w:p>
    <w:p>
      <w:pPr>
        <w:spacing w:beforeLines="0" w:afterLines="0"/>
        <w:jc w:val="center"/>
        <w:rPr>
          <w:rFonts w:hint="default" w:ascii="宋体" w:hAnsi="宋体" w:eastAsia="宋体" w:cs="宋体"/>
          <w:b/>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 </w:t>
      </w:r>
      <w:r>
        <w:rPr>
          <w:rFonts w:hint="default" w:ascii="宋体" w:hAnsi="宋体" w:eastAsia="宋体" w:cs="宋体"/>
          <w:b/>
          <w:color w:val="auto"/>
          <w:kern w:val="0"/>
          <w:sz w:val="21"/>
          <w:szCs w:val="21"/>
          <w:highlight w:val="none"/>
        </w:rPr>
        <w:t>项目用电量估算表</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722"/>
        <w:gridCol w:w="1009"/>
        <w:gridCol w:w="1076"/>
        <w:gridCol w:w="1269"/>
        <w:gridCol w:w="837"/>
        <w:gridCol w:w="1021"/>
        <w:gridCol w:w="1123"/>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数量（个）</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用电指标（W/个）</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用电设备总容量（kW）</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需要系数Kx</w:t>
            </w:r>
          </w:p>
        </w:tc>
        <w:tc>
          <w:tcPr>
            <w:tcW w:w="5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计算负荷</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（kW）</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年最大使</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用小时数（h)</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年耗电量</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汽车充电设施</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7000</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385.00 </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0.60 </w:t>
            </w:r>
          </w:p>
        </w:tc>
        <w:tc>
          <w:tcPr>
            <w:tcW w:w="5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231.00 </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电动自行车充电设施</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0.67 </w:t>
            </w:r>
          </w:p>
        </w:tc>
        <w:tc>
          <w:tcPr>
            <w:tcW w:w="5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2.01 </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智能快递柜</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0.72 </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5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0.72 </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8760</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w:t>
            </w:r>
          </w:p>
        </w:tc>
        <w:tc>
          <w:tcPr>
            <w:tcW w:w="321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按10%计算</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321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225.22 </w:t>
            </w:r>
          </w:p>
        </w:tc>
      </w:tr>
    </w:tbl>
    <w:p>
      <w:pPr>
        <w:bidi w:val="0"/>
        <w:rPr>
          <w:rFonts w:hint="eastAsia" w:ascii="宋体" w:hAnsi="宋体" w:eastAsia="宋体" w:cs="宋体"/>
          <w:color w:val="auto"/>
          <w:szCs w:val="21"/>
          <w:highlight w:val="none"/>
          <w:lang w:eastAsia="zh-CN"/>
        </w:rPr>
      </w:pPr>
      <w:r>
        <w:rPr>
          <w:rFonts w:hint="eastAsia"/>
          <w:highlight w:val="none"/>
          <w:lang w:val="en-US" w:eastAsia="zh-CN"/>
        </w:rPr>
        <w:t>注</w:t>
      </w:r>
      <w:r>
        <w:rPr>
          <w:rFonts w:hint="eastAsia"/>
          <w:highlight w:val="none"/>
          <w:lang w:eastAsia="zh-CN"/>
        </w:rPr>
        <w:t>：电动自行车充电设施按每组为10个充电口估算，则</w:t>
      </w:r>
      <w:r>
        <w:rPr>
          <w:rFonts w:hint="eastAsia"/>
          <w:highlight w:val="none"/>
          <w:lang w:val="en-US" w:eastAsia="zh-CN"/>
        </w:rPr>
        <w:t>1</w:t>
      </w:r>
      <w:r>
        <w:rPr>
          <w:rFonts w:hint="eastAsia"/>
          <w:highlight w:val="none"/>
          <w:lang w:eastAsia="zh-CN"/>
        </w:rPr>
        <w:t>组电动自行车充电设施的充电口为</w:t>
      </w:r>
      <w:r>
        <w:rPr>
          <w:rFonts w:hint="eastAsia"/>
          <w:highlight w:val="none"/>
          <w:lang w:val="en-US" w:eastAsia="zh-CN"/>
        </w:rPr>
        <w:t>10</w:t>
      </w:r>
      <w:r>
        <w:rPr>
          <w:rFonts w:hint="eastAsia"/>
          <w:highlight w:val="none"/>
          <w:lang w:eastAsia="zh-CN"/>
        </w:rPr>
        <w:t>个。</w:t>
      </w:r>
    </w:p>
    <w:p>
      <w:pPr>
        <w:pStyle w:val="6"/>
        <w:shd w:val="clear"/>
        <w:spacing w:before="260" w:after="260" w:line="48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设施维护费</w:t>
      </w:r>
    </w:p>
    <w:p>
      <w:pPr>
        <w:adjustRightInd/>
        <w:snapToGrid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设施维护费包括日常设施维护费和全面修理维护费。</w:t>
      </w:r>
    </w:p>
    <w:p>
      <w:pPr>
        <w:adjustRightInd/>
        <w:snapToGrid/>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日常设施维护费</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施维护费主要是指对老旧小区配套基础设施改造后的运营设备的维护、对损坏的设备进行更新等。运营设备的维护包括对充电桩、广告位、快递物流设施设备的维护等。每年设施维护费用按运营设备投资额的2%计算。</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根据改造方案数据，本项目运营设备投资为325.46万元，本项目项目公司运营比例设为50%，则本项目每年需支付日常设施维护费2.99万元[325.46÷（1+9%）×2%×50%=2.99（万元），其中增值税率按9%计]。</w:t>
      </w:r>
    </w:p>
    <w:p>
      <w:pPr>
        <w:pStyle w:val="2"/>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项目运营设备投资如下表所示：</w:t>
      </w:r>
    </w:p>
    <w:p>
      <w:pPr>
        <w:spacing w:beforeLines="0" w:afterLines="0"/>
        <w:jc w:val="center"/>
        <w:rPr>
          <w:rFonts w:hint="default" w:asci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  </w:t>
      </w:r>
      <w:r>
        <w:rPr>
          <w:rFonts w:hint="default" w:ascii="宋体" w:eastAsia="宋体" w:cs="宋体"/>
          <w:b/>
          <w:color w:val="auto"/>
          <w:kern w:val="0"/>
          <w:sz w:val="21"/>
          <w:szCs w:val="21"/>
          <w:highlight w:val="none"/>
        </w:rPr>
        <w:t>本项目运营设备投资</w:t>
      </w:r>
    </w:p>
    <w:p>
      <w:pPr>
        <w:pStyle w:val="2"/>
        <w:spacing w:beforeLines="0" w:afterLines="0"/>
        <w:jc w:val="right"/>
        <w:rPr>
          <w:rFonts w:hint="eastAsia"/>
          <w:sz w:val="24"/>
          <w:szCs w:val="24"/>
          <w:highlight w:val="none"/>
        </w:rPr>
      </w:pPr>
      <w:r>
        <w:rPr>
          <w:rFonts w:hint="default" w:ascii="宋体" w:eastAsia="宋体" w:cs="宋体"/>
          <w:color w:val="auto"/>
          <w:kern w:val="0"/>
          <w:sz w:val="21"/>
          <w:szCs w:val="21"/>
          <w:highlight w:val="none"/>
        </w:rPr>
        <w:t>单位：万元</w:t>
      </w:r>
    </w:p>
    <w:tbl>
      <w:tblPr>
        <w:tblStyle w:val="2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5"/>
        <w:gridCol w:w="1131"/>
        <w:gridCol w:w="1102"/>
        <w:gridCol w:w="1163"/>
        <w:gridCol w:w="995"/>
        <w:gridCol w:w="1518"/>
        <w:gridCol w:w="123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blHeader/>
        </w:trPr>
        <w:tc>
          <w:tcPr>
            <w:tcW w:w="8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5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广告栏（万元）</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电动自行车充电设施（万元）</w:t>
            </w:r>
          </w:p>
        </w:tc>
        <w:tc>
          <w:tcPr>
            <w:tcW w:w="5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汽车充电设施（万元）</w:t>
            </w:r>
          </w:p>
        </w:tc>
        <w:tc>
          <w:tcPr>
            <w:tcW w:w="5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物流快递设施（万元）</w:t>
            </w:r>
          </w:p>
        </w:tc>
        <w:tc>
          <w:tcPr>
            <w:tcW w:w="7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车辆出入口道闸（门禁）广告栏（项）</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行人出入口道闸（门禁）广告栏（项）</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blHeader/>
        </w:trPr>
        <w:tc>
          <w:tcPr>
            <w:tcW w:w="8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57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5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5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兴宁区第二片区</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10.80 </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17.50 </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 </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青秀区第二片区</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26.40 </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24.60 </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24.50 </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77.00 </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 </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青秀区第三片区</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 </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0.30 </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10.80 </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 </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青秀区第四片区</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 </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20.80 </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5.76 </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45.50 </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50.20 </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0.30 </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71.20 </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47.76 </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122.50 </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33.50 </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325.46 </w:t>
            </w:r>
          </w:p>
        </w:tc>
      </w:tr>
    </w:tbl>
    <w:p>
      <w:pPr>
        <w:pStyle w:val="2"/>
        <w:snapToGrid/>
        <w:spacing w:line="360" w:lineRule="auto"/>
        <w:ind w:firstLine="420" w:firstLineChars="200"/>
        <w:rPr>
          <w:rFonts w:hint="eastAsia" w:ascii="宋体" w:eastAsia="宋体" w:cs="宋体"/>
          <w:sz w:val="21"/>
          <w:szCs w:val="21"/>
          <w:highlight w:val="none"/>
          <w:lang w:val="en-US" w:eastAsia="zh-CN"/>
        </w:rPr>
      </w:pPr>
      <w:r>
        <w:rPr>
          <w:rFonts w:hint="default" w:ascii="宋体" w:hAnsi="宋体" w:eastAsia="宋体" w:cs="宋体"/>
          <w:color w:val="auto"/>
          <w:kern w:val="0"/>
          <w:sz w:val="21"/>
          <w:szCs w:val="21"/>
          <w:highlight w:val="none"/>
        </w:rPr>
        <w:t>注：以上运营设施投资来源为</w:t>
      </w:r>
      <w:r>
        <w:rPr>
          <w:rFonts w:hint="default" w:ascii="宋体" w:hAnsi="宋体" w:eastAsia="宋体" w:cs="宋体"/>
          <w:color w:val="auto"/>
          <w:kern w:val="0"/>
          <w:sz w:val="21"/>
          <w:szCs w:val="21"/>
          <w:highlight w:val="none"/>
          <w:lang w:val="en-US" w:eastAsia="zh-CN"/>
        </w:rPr>
        <w:t>改造方案</w:t>
      </w:r>
      <w:r>
        <w:rPr>
          <w:rFonts w:hint="eastAsia" w:ascii="宋体" w:cs="宋体"/>
          <w:sz w:val="21"/>
          <w:szCs w:val="21"/>
          <w:highlight w:val="none"/>
          <w:lang w:eastAsia="zh-CN"/>
        </w:rPr>
        <w:t>。</w:t>
      </w:r>
    </w:p>
    <w:p>
      <w:pPr>
        <w:snapToGrid/>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全面修理维护费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本项目运行周期为20年，应进行至少2次全面修理维护。维修内容包括运营设备的全面维护、老旧资产全面更新换代等，以确保项目设施始终能够安全、连续、平稳地处于良好营运状态。</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根据《企业会计准则—固定资产》规定，与固定资产有关的后续支出，可能会使得流入企业的经济利益超过产品预估价值，如固定资产的使用寿命被延长，或者产品质量被实质性提高，或者产品成本被实质性降低，则应当计入固定资产账面价值，其增计后的金额不应超过该固定资产的可回收金额。此后的后续支出，应当确认为当期费用，不再通过预提或待摊的方式核算。</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本项目全面修理维护费按照运营设备投资额的5%计算。全面修理维护于运营期的第10年、第20年进行。</w:t>
      </w:r>
    </w:p>
    <w:p>
      <w:pPr>
        <w:pStyle w:val="6"/>
        <w:shd w:val="clear"/>
        <w:spacing w:before="260" w:after="260" w:line="413" w:lineRule="auto"/>
        <w:ind w:firstLine="422"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运营成本汇总</w:t>
      </w:r>
    </w:p>
    <w:p>
      <w:pPr>
        <w:widowControl/>
        <w:shd w:val="clear" w:color="auto" w:fill="auto"/>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项目运营成本估算结果详见下表：</w:t>
      </w:r>
    </w:p>
    <w:p>
      <w:pPr>
        <w:adjustRightInd w:val="0"/>
        <w:snapToGrid w:val="0"/>
        <w:spacing w:line="360" w:lineRule="auto"/>
        <w:jc w:val="center"/>
        <w:rPr>
          <w:rFonts w:hint="eastAsia"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 xml:space="preserve"> </w:t>
      </w:r>
      <w:r>
        <w:rPr>
          <w:rFonts w:hint="eastAsia" w:cs="宋体"/>
          <w:b/>
          <w:bCs/>
          <w:color w:val="auto"/>
          <w:kern w:val="0"/>
          <w:sz w:val="21"/>
          <w:szCs w:val="21"/>
          <w:highlight w:val="none"/>
          <w:lang w:val="en-US" w:eastAsia="zh-CN" w:bidi="ar"/>
        </w:rPr>
        <w:t xml:space="preserve"> </w:t>
      </w:r>
    </w:p>
    <w:p>
      <w:pPr>
        <w:adjustRightInd w:val="0"/>
        <w:snapToGrid w:val="0"/>
        <w:spacing w:line="360" w:lineRule="auto"/>
        <w:jc w:val="center"/>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bidi="ar"/>
        </w:rPr>
        <w:t>项目运营成本估算表</w:t>
      </w:r>
      <w:r>
        <w:rPr>
          <w:rFonts w:hint="eastAsia" w:ascii="宋体" w:hAnsi="宋体" w:cs="宋体"/>
          <w:b/>
          <w:bCs/>
          <w:color w:val="auto"/>
          <w:kern w:val="0"/>
          <w:sz w:val="21"/>
          <w:szCs w:val="21"/>
          <w:highlight w:val="none"/>
          <w:lang w:val="en-US" w:eastAsia="zh-CN" w:bidi="ar"/>
        </w:rPr>
        <w:t>(不含增值税）</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3"/>
        <w:gridCol w:w="3180"/>
        <w:gridCol w:w="2440"/>
        <w:gridCol w:w="2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序号</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类目</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估算成本（</w:t>
            </w:r>
            <w:r>
              <w:rPr>
                <w:rFonts w:hint="default" w:ascii="宋体" w:eastAsia="宋体" w:cs="宋体"/>
                <w:color w:val="auto"/>
                <w:kern w:val="0"/>
                <w:sz w:val="21"/>
                <w:szCs w:val="21"/>
                <w:highlight w:val="none"/>
              </w:rPr>
              <w:t>万元</w:t>
            </w:r>
            <w:r>
              <w:rPr>
                <w:rFonts w:hint="default" w:ascii="宋体" w:hAnsi="宋体" w:eastAsia="宋体" w:cs="宋体"/>
                <w:color w:val="000000"/>
                <w:kern w:val="0"/>
                <w:sz w:val="21"/>
                <w:szCs w:val="21"/>
                <w:highlight w:val="none"/>
              </w:rPr>
              <w:t>）</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日常运营成本</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295.17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人员工资福利</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153.22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管理人员</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60.19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职工</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93.03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行政管理费</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3.20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水费</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0.08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电费</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131.94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日常设施维护费</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2.99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全面修理维护费</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3.73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全面修理维护分别在运营期第10年和20年进行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社会资本建设投资摊销</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917.34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总成本费用</w:t>
            </w:r>
          </w:p>
        </w:tc>
        <w:tc>
          <w:tcPr>
            <w:tcW w:w="12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1212.51 </w:t>
            </w:r>
          </w:p>
        </w:tc>
        <w:tc>
          <w:tcPr>
            <w:tcW w:w="14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highlight w:val="none"/>
              </w:rPr>
            </w:pPr>
          </w:p>
        </w:tc>
      </w:tr>
    </w:tbl>
    <w:p>
      <w:pPr>
        <w:widowControl/>
        <w:shd w:val="clear"/>
        <w:spacing w:line="360" w:lineRule="auto"/>
        <w:ind w:firstLine="211" w:firstLineChars="100"/>
        <w:rPr>
          <w:rFonts w:asciiTheme="minorEastAsia" w:hAnsiTheme="minorEastAsia" w:eastAsiaTheme="minorEastAsia" w:cstheme="minorEastAsia"/>
          <w:b/>
          <w:bCs/>
          <w:color w:val="auto"/>
          <w:szCs w:val="21"/>
          <w:highlight w:val="none"/>
        </w:rPr>
      </w:pPr>
    </w:p>
    <w:p>
      <w:pPr>
        <w:widowControl/>
        <w:shd w:val="clear"/>
        <w:spacing w:line="360" w:lineRule="auto"/>
        <w:ind w:firstLine="211" w:firstLineChars="100"/>
        <w:rPr>
          <w:rFonts w:asciiTheme="minorEastAsia" w:hAnsiTheme="minorEastAsia" w:eastAsiaTheme="minorEastAsia" w:cstheme="minorEastAsia"/>
          <w:b/>
          <w:bCs/>
          <w:color w:val="auto"/>
          <w:szCs w:val="21"/>
          <w:highlight w:val="none"/>
          <w:lang w:val="zh-CN"/>
        </w:rPr>
      </w:pPr>
      <w:r>
        <w:rPr>
          <w:rFonts w:asciiTheme="minorEastAsia" w:hAnsiTheme="minorEastAsia" w:eastAsiaTheme="minorEastAsia" w:cstheme="minorEastAsia"/>
          <w:b/>
          <w:bCs/>
          <w:color w:val="auto"/>
          <w:szCs w:val="21"/>
          <w:highlight w:val="none"/>
        </w:rPr>
        <w:t>1.9</w:t>
      </w:r>
      <w:r>
        <w:rPr>
          <w:rFonts w:hint="eastAsia" w:asciiTheme="minorEastAsia" w:hAnsiTheme="minorEastAsia" w:eastAsiaTheme="minorEastAsia" w:cstheme="minorEastAsia"/>
          <w:b/>
          <w:bCs/>
          <w:color w:val="auto"/>
          <w:szCs w:val="21"/>
          <w:highlight w:val="none"/>
          <w:lang w:val="zh-CN"/>
        </w:rPr>
        <w:t>资金来源</w:t>
      </w:r>
    </w:p>
    <w:p>
      <w:pPr>
        <w:widowControl/>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lang w:eastAsia="zh-CN"/>
        </w:rPr>
        <w:t>资金来源为</w:t>
      </w:r>
      <w:r>
        <w:rPr>
          <w:rFonts w:hint="eastAsia" w:asciiTheme="minorEastAsia" w:hAnsiTheme="minorEastAsia" w:eastAsiaTheme="minorEastAsia" w:cstheme="minorEastAsia"/>
          <w:color w:val="auto"/>
          <w:szCs w:val="21"/>
          <w:highlight w:val="none"/>
          <w:lang w:val="en-US" w:eastAsia="zh-CN"/>
        </w:rPr>
        <w:t>政府方投资</w:t>
      </w:r>
      <w:r>
        <w:rPr>
          <w:rFonts w:hint="eastAsia" w:asciiTheme="minorEastAsia" w:hAnsiTheme="minorEastAsia" w:eastAsiaTheme="minorEastAsia" w:cstheme="minorEastAsia"/>
          <w:color w:val="auto"/>
          <w:szCs w:val="21"/>
          <w:highlight w:val="none"/>
          <w:lang w:eastAsia="zh-CN"/>
        </w:rPr>
        <w:t>及项目公司筹措。</w:t>
      </w:r>
      <w:r>
        <w:rPr>
          <w:rFonts w:hint="eastAsia" w:asciiTheme="minorEastAsia" w:hAnsiTheme="minorEastAsia" w:eastAsiaTheme="minorEastAsia" w:cstheme="minorEastAsia"/>
          <w:color w:val="auto"/>
          <w:szCs w:val="21"/>
          <w:highlight w:val="none"/>
          <w:lang w:val="en-US" w:eastAsia="zh-CN"/>
        </w:rPr>
        <w:t>PPP建设工程投资</w:t>
      </w:r>
      <w:r>
        <w:rPr>
          <w:rFonts w:hint="eastAsia" w:asciiTheme="minorEastAsia" w:hAnsiTheme="minorEastAsia" w:eastAsiaTheme="minorEastAsia" w:cstheme="minorEastAsia"/>
          <w:color w:val="auto"/>
          <w:szCs w:val="21"/>
          <w:highlight w:val="none"/>
          <w:lang w:eastAsia="zh-CN"/>
        </w:rPr>
        <w:t>中，政府方投资</w:t>
      </w:r>
      <w:r>
        <w:rPr>
          <w:rFonts w:hint="eastAsia" w:asciiTheme="minorEastAsia" w:hAnsiTheme="minorEastAsia" w:eastAsiaTheme="minorEastAsia" w:cstheme="minorEastAsia"/>
          <w:color w:val="auto"/>
          <w:szCs w:val="21"/>
          <w:highlight w:val="none"/>
          <w:lang w:val="en-US" w:eastAsia="zh-CN"/>
        </w:rPr>
        <w:t>以外的</w:t>
      </w:r>
      <w:r>
        <w:rPr>
          <w:rFonts w:hint="eastAsia" w:asciiTheme="minorEastAsia" w:hAnsiTheme="minorEastAsia" w:eastAsiaTheme="minorEastAsia" w:cstheme="minorEastAsia"/>
          <w:color w:val="auto"/>
          <w:szCs w:val="21"/>
          <w:highlight w:val="none"/>
          <w:lang w:eastAsia="zh-CN"/>
        </w:rPr>
        <w:t>部分由社会资本方筹措。</w:t>
      </w:r>
    </w:p>
    <w:p>
      <w:pPr>
        <w:pStyle w:val="29"/>
        <w:shd w:val="clear"/>
        <w:spacing w:line="360" w:lineRule="auto"/>
        <w:rPr>
          <w:rFonts w:asciiTheme="minorEastAsia" w:hAnsiTheme="minorEastAsia" w:eastAsiaTheme="minorEastAsia" w:cstheme="minorEastAsia"/>
          <w:b w:val="0"/>
          <w:bCs w:val="0"/>
          <w:color w:val="auto"/>
          <w:sz w:val="21"/>
          <w:szCs w:val="21"/>
          <w:highlight w:val="none"/>
          <w:lang w:val="en-GB"/>
        </w:rPr>
      </w:pPr>
      <w:r>
        <w:rPr>
          <w:rFonts w:asciiTheme="minorEastAsia" w:hAnsiTheme="minorEastAsia" w:eastAsiaTheme="minorEastAsia" w:cstheme="minorEastAsia"/>
          <w:b/>
          <w:bCs w:val="0"/>
          <w:color w:val="auto"/>
          <w:sz w:val="21"/>
          <w:szCs w:val="21"/>
          <w:highlight w:val="none"/>
          <w:lang w:val="en-GB"/>
        </w:rPr>
        <w:t>1.10项目运</w:t>
      </w:r>
      <w:r>
        <w:rPr>
          <w:rFonts w:hint="eastAsia" w:asciiTheme="minorEastAsia" w:hAnsiTheme="minorEastAsia" w:eastAsiaTheme="minorEastAsia" w:cstheme="minorEastAsia"/>
          <w:b/>
          <w:color w:val="auto"/>
          <w:sz w:val="21"/>
          <w:szCs w:val="21"/>
          <w:highlight w:val="none"/>
          <w:lang w:val="en-GB"/>
        </w:rPr>
        <w:t>作方式：</w:t>
      </w:r>
      <w:r>
        <w:rPr>
          <w:rFonts w:hint="eastAsia" w:asciiTheme="minorEastAsia" w:hAnsiTheme="minorEastAsia" w:eastAsiaTheme="minorEastAsia" w:cstheme="minorEastAsia"/>
          <w:b w:val="0"/>
          <w:bCs w:val="0"/>
          <w:color w:val="auto"/>
          <w:sz w:val="21"/>
          <w:szCs w:val="21"/>
          <w:highlight w:val="none"/>
          <w:lang w:val="en-GB"/>
        </w:rPr>
        <w:t>本项目拟采用</w:t>
      </w:r>
      <w:r>
        <w:rPr>
          <w:rFonts w:hint="eastAsia" w:asciiTheme="minorEastAsia" w:hAnsiTheme="minorEastAsia" w:eastAsiaTheme="minorEastAsia" w:cstheme="minorEastAsia"/>
          <w:b w:val="0"/>
          <w:bCs w:val="0"/>
          <w:color w:val="auto"/>
          <w:sz w:val="21"/>
          <w:szCs w:val="21"/>
          <w:highlight w:val="none"/>
          <w:lang w:val="en-GB" w:eastAsia="zh-CN"/>
        </w:rPr>
        <w:t>建设</w:t>
      </w:r>
      <w:r>
        <w:rPr>
          <w:rFonts w:hint="eastAsia" w:asciiTheme="minorEastAsia" w:hAnsiTheme="minorEastAsia" w:eastAsiaTheme="minorEastAsia" w:cstheme="minorEastAsia"/>
          <w:b w:val="0"/>
          <w:bCs w:val="0"/>
          <w:color w:val="auto"/>
          <w:sz w:val="21"/>
          <w:szCs w:val="21"/>
          <w:highlight w:val="none"/>
          <w:lang w:val="en-GB"/>
        </w:rPr>
        <w:t>—运营—移交（</w:t>
      </w:r>
      <w:r>
        <w:rPr>
          <w:rFonts w:hint="eastAsia" w:asciiTheme="minorEastAsia" w:hAnsiTheme="minorEastAsia" w:eastAsiaTheme="minorEastAsia" w:cstheme="minorEastAsia"/>
          <w:b w:val="0"/>
          <w:bCs w:val="0"/>
          <w:color w:val="auto"/>
          <w:sz w:val="21"/>
          <w:szCs w:val="21"/>
          <w:highlight w:val="none"/>
          <w:lang w:val="en-GB" w:eastAsia="zh-CN"/>
        </w:rPr>
        <w:t>B</w:t>
      </w:r>
      <w:r>
        <w:rPr>
          <w:rFonts w:hint="eastAsia" w:asciiTheme="minorEastAsia" w:hAnsiTheme="minorEastAsia" w:eastAsiaTheme="minorEastAsia" w:cstheme="minorEastAsia"/>
          <w:b w:val="0"/>
          <w:bCs w:val="0"/>
          <w:color w:val="auto"/>
          <w:sz w:val="21"/>
          <w:szCs w:val="21"/>
          <w:highlight w:val="none"/>
          <w:lang w:val="en-GB"/>
        </w:rPr>
        <w:t>OT）的模式推进，</w:t>
      </w:r>
      <w:r>
        <w:rPr>
          <w:rFonts w:hint="eastAsia" w:asciiTheme="minorEastAsia" w:hAnsiTheme="minorEastAsia" w:eastAsiaTheme="minorEastAsia" w:cstheme="minorEastAsia"/>
          <w:b w:val="0"/>
          <w:bCs w:val="0"/>
          <w:color w:val="auto"/>
          <w:sz w:val="21"/>
          <w:szCs w:val="21"/>
          <w:highlight w:val="none"/>
          <w:lang w:val="en-GB" w:eastAsia="zh-CN"/>
        </w:rPr>
        <w:t>社会资本成立项目公司，</w:t>
      </w:r>
      <w:r>
        <w:rPr>
          <w:rFonts w:hint="eastAsia" w:asciiTheme="minorEastAsia" w:hAnsiTheme="minorEastAsia" w:eastAsiaTheme="minorEastAsia" w:cstheme="minorEastAsia"/>
          <w:b w:val="0"/>
          <w:bCs w:val="0"/>
          <w:color w:val="auto"/>
          <w:sz w:val="21"/>
          <w:szCs w:val="21"/>
          <w:highlight w:val="none"/>
          <w:lang w:val="en-GB"/>
        </w:rPr>
        <w:t>政府授予</w:t>
      </w:r>
      <w:r>
        <w:rPr>
          <w:rFonts w:hint="eastAsia" w:asciiTheme="minorEastAsia" w:hAnsiTheme="minorEastAsia" w:eastAsiaTheme="minorEastAsia" w:cstheme="minorEastAsia"/>
          <w:b w:val="0"/>
          <w:bCs w:val="0"/>
          <w:color w:val="auto"/>
          <w:sz w:val="21"/>
          <w:szCs w:val="21"/>
          <w:highlight w:val="none"/>
          <w:lang w:val="en-GB" w:eastAsia="zh-CN"/>
        </w:rPr>
        <w:t>项目公司</w:t>
      </w:r>
      <w:r>
        <w:rPr>
          <w:rFonts w:hint="eastAsia" w:asciiTheme="minorEastAsia" w:hAnsiTheme="minorEastAsia" w:eastAsiaTheme="minorEastAsia" w:cstheme="minorEastAsia"/>
          <w:b w:val="0"/>
          <w:bCs w:val="0"/>
          <w:color w:val="auto"/>
          <w:sz w:val="21"/>
          <w:szCs w:val="21"/>
          <w:highlight w:val="none"/>
          <w:lang w:val="en-GB"/>
        </w:rPr>
        <w:t>特许经营权，项目投</w:t>
      </w:r>
      <w:r>
        <w:rPr>
          <w:rFonts w:hint="eastAsia" w:asciiTheme="minorEastAsia" w:hAnsiTheme="minorEastAsia" w:eastAsiaTheme="minorEastAsia" w:cstheme="minorEastAsia"/>
          <w:b w:val="0"/>
          <w:bCs w:val="0"/>
          <w:color w:val="auto"/>
          <w:sz w:val="21"/>
          <w:szCs w:val="21"/>
          <w:highlight w:val="none"/>
          <w:lang w:val="en-GB" w:eastAsia="zh-CN"/>
        </w:rPr>
        <w:t>融</w:t>
      </w:r>
      <w:r>
        <w:rPr>
          <w:rFonts w:hint="eastAsia" w:asciiTheme="minorEastAsia" w:hAnsiTheme="minorEastAsia" w:eastAsiaTheme="minorEastAsia" w:cstheme="minorEastAsia"/>
          <w:b w:val="0"/>
          <w:bCs w:val="0"/>
          <w:color w:val="auto"/>
          <w:sz w:val="21"/>
          <w:szCs w:val="21"/>
          <w:highlight w:val="none"/>
          <w:lang w:val="en-GB"/>
        </w:rPr>
        <w:t>资、建设、运营</w:t>
      </w:r>
      <w:r>
        <w:rPr>
          <w:rFonts w:hint="eastAsia" w:asciiTheme="minorEastAsia" w:hAnsiTheme="minorEastAsia" w:eastAsiaTheme="minorEastAsia" w:cstheme="minorEastAsia"/>
          <w:b w:val="0"/>
          <w:bCs w:val="0"/>
          <w:color w:val="auto"/>
          <w:sz w:val="21"/>
          <w:szCs w:val="21"/>
          <w:highlight w:val="none"/>
          <w:lang w:val="en-GB" w:eastAsia="zh-CN"/>
        </w:rPr>
        <w:t>、维护、</w:t>
      </w:r>
      <w:r>
        <w:rPr>
          <w:rFonts w:hint="eastAsia" w:asciiTheme="minorEastAsia" w:hAnsiTheme="minorEastAsia" w:eastAsiaTheme="minorEastAsia" w:cstheme="minorEastAsia"/>
          <w:b w:val="0"/>
          <w:bCs w:val="0"/>
          <w:color w:val="auto"/>
          <w:sz w:val="21"/>
          <w:szCs w:val="21"/>
          <w:highlight w:val="none"/>
          <w:lang w:val="en-GB"/>
        </w:rPr>
        <w:t>移交等工作由</w:t>
      </w:r>
      <w:r>
        <w:rPr>
          <w:rFonts w:hint="eastAsia" w:asciiTheme="minorEastAsia" w:hAnsiTheme="minorEastAsia" w:eastAsiaTheme="minorEastAsia" w:cstheme="minorEastAsia"/>
          <w:b w:val="0"/>
          <w:bCs w:val="0"/>
          <w:color w:val="auto"/>
          <w:sz w:val="21"/>
          <w:szCs w:val="21"/>
          <w:highlight w:val="none"/>
          <w:lang w:val="en-GB" w:eastAsia="zh-CN"/>
        </w:rPr>
        <w:t>社会资本、项目公司</w:t>
      </w:r>
      <w:r>
        <w:rPr>
          <w:rFonts w:hint="eastAsia" w:asciiTheme="minorEastAsia" w:hAnsiTheme="minorEastAsia" w:eastAsiaTheme="minorEastAsia" w:cstheme="minorEastAsia"/>
          <w:b w:val="0"/>
          <w:bCs w:val="0"/>
          <w:color w:val="auto"/>
          <w:sz w:val="21"/>
          <w:szCs w:val="21"/>
          <w:highlight w:val="none"/>
          <w:lang w:val="en-GB"/>
        </w:rPr>
        <w:t>负责</w:t>
      </w:r>
      <w:r>
        <w:rPr>
          <w:rFonts w:hint="eastAsia" w:asciiTheme="minorEastAsia" w:hAnsiTheme="minorEastAsia" w:eastAsiaTheme="minorEastAsia" w:cstheme="minorEastAsia"/>
          <w:b w:val="0"/>
          <w:bCs w:val="0"/>
          <w:color w:val="auto"/>
          <w:spacing w:val="0"/>
          <w:kern w:val="2"/>
          <w:sz w:val="21"/>
          <w:szCs w:val="21"/>
          <w:highlight w:val="none"/>
          <w:lang w:val="en-GB" w:eastAsia="zh-CN" w:bidi="ar-SA"/>
        </w:rPr>
        <w:t>。</w:t>
      </w:r>
    </w:p>
    <w:p>
      <w:pPr>
        <w:spacing w:line="360" w:lineRule="auto"/>
        <w:rPr>
          <w:rFonts w:hint="eastAsia" w:ascii="宋体" w:hAnsi="宋体" w:cs="宋体"/>
          <w:color w:val="auto"/>
          <w:sz w:val="21"/>
          <w:szCs w:val="21"/>
          <w:highlight w:val="none"/>
        </w:rPr>
      </w:pPr>
      <w:r>
        <w:rPr>
          <w:rFonts w:asciiTheme="minorEastAsia" w:hAnsiTheme="minorEastAsia" w:eastAsiaTheme="minorEastAsia" w:cstheme="minorEastAsia"/>
          <w:b/>
          <w:bCs w:val="0"/>
          <w:color w:val="auto"/>
          <w:sz w:val="21"/>
          <w:szCs w:val="21"/>
          <w:highlight w:val="none"/>
        </w:rPr>
        <w:t>1.11项</w:t>
      </w:r>
      <w:r>
        <w:rPr>
          <w:rFonts w:hint="eastAsia" w:asciiTheme="minorEastAsia" w:hAnsiTheme="minorEastAsia" w:eastAsiaTheme="minorEastAsia" w:cstheme="minorEastAsia"/>
          <w:b/>
          <w:color w:val="auto"/>
          <w:sz w:val="21"/>
          <w:szCs w:val="21"/>
          <w:highlight w:val="none"/>
        </w:rPr>
        <w:t>目回报机制：</w:t>
      </w:r>
      <w:r>
        <w:rPr>
          <w:rFonts w:hint="eastAsia" w:asciiTheme="minorEastAsia" w:hAnsiTheme="minorEastAsia" w:eastAsiaTheme="minorEastAsia" w:cstheme="minorEastAsia"/>
          <w:b w:val="0"/>
          <w:bCs/>
          <w:color w:val="auto"/>
          <w:sz w:val="21"/>
          <w:szCs w:val="21"/>
          <w:highlight w:val="none"/>
          <w:lang w:val="en-US" w:eastAsia="zh-CN"/>
        </w:rPr>
        <w:t>根据已批复的改造方案，</w:t>
      </w:r>
      <w:r>
        <w:rPr>
          <w:rFonts w:hint="eastAsia" w:asciiTheme="minorEastAsia" w:hAnsiTheme="minorEastAsia" w:eastAsiaTheme="minorEastAsia" w:cstheme="minorEastAsia"/>
          <w:b w:val="0"/>
          <w:bCs/>
          <w:color w:val="auto"/>
          <w:sz w:val="21"/>
          <w:szCs w:val="21"/>
          <w:highlight w:val="none"/>
          <w:lang w:eastAsia="zh-CN"/>
        </w:rPr>
        <w:t>南宁市2022年第二批城镇老旧小区改造PPP项目</w:t>
      </w:r>
      <w:r>
        <w:rPr>
          <w:rFonts w:hint="eastAsia" w:asciiTheme="minorEastAsia" w:hAnsiTheme="minorEastAsia" w:eastAsiaTheme="minorEastAsia" w:cstheme="minorEastAsia"/>
          <w:b w:val="0"/>
          <w:bCs/>
          <w:color w:val="auto"/>
          <w:sz w:val="21"/>
          <w:szCs w:val="21"/>
          <w:highlight w:val="none"/>
          <w:lang w:val="en-US" w:eastAsia="zh-CN"/>
        </w:rPr>
        <w:t>可运营内容包括</w:t>
      </w:r>
      <w:r>
        <w:rPr>
          <w:rFonts w:hint="eastAsia" w:asciiTheme="minorEastAsia" w:hAnsiTheme="minorEastAsia" w:eastAsiaTheme="minorEastAsia" w:cstheme="minorEastAsia"/>
          <w:b w:val="0"/>
          <w:bCs/>
          <w:color w:val="auto"/>
          <w:sz w:val="21"/>
          <w:szCs w:val="21"/>
          <w:highlight w:val="none"/>
        </w:rPr>
        <w:t>广车辆和行人出入口道闸（门禁）广告栏告牌、</w:t>
      </w:r>
      <w:r>
        <w:rPr>
          <w:rFonts w:hint="eastAsia" w:asciiTheme="minorEastAsia" w:hAnsiTheme="minorEastAsia" w:eastAsiaTheme="minorEastAsia" w:cstheme="minorEastAsia"/>
          <w:b w:val="0"/>
          <w:bCs/>
          <w:color w:val="auto"/>
          <w:sz w:val="21"/>
          <w:szCs w:val="21"/>
          <w:highlight w:val="none"/>
          <w:lang w:val="en-US" w:eastAsia="zh-CN"/>
        </w:rPr>
        <w:t>电动自行车及</w:t>
      </w:r>
      <w:r>
        <w:rPr>
          <w:rFonts w:hint="eastAsia" w:asciiTheme="minorEastAsia" w:hAnsiTheme="minorEastAsia" w:eastAsiaTheme="minorEastAsia" w:cstheme="minorEastAsia"/>
          <w:b w:val="0"/>
          <w:bCs/>
          <w:color w:val="auto"/>
          <w:sz w:val="21"/>
          <w:szCs w:val="21"/>
          <w:highlight w:val="none"/>
        </w:rPr>
        <w:t>汽车充电设施、物流快递设施</w:t>
      </w:r>
      <w:r>
        <w:rPr>
          <w:rFonts w:hint="eastAsia" w:asciiTheme="minorEastAsia" w:hAnsiTheme="minorEastAsia" w:eastAsiaTheme="minorEastAsia" w:cstheme="minorEastAsia"/>
          <w:b w:val="0"/>
          <w:bCs/>
          <w:color w:val="auto"/>
          <w:sz w:val="21"/>
          <w:szCs w:val="21"/>
          <w:highlight w:val="none"/>
          <w:lang w:val="en-US" w:eastAsia="zh-CN"/>
        </w:rPr>
        <w:t>等公共基础配套设施，项目</w:t>
      </w:r>
      <w:r>
        <w:rPr>
          <w:rFonts w:hint="eastAsia" w:asciiTheme="minorEastAsia" w:hAnsiTheme="minorEastAsia" w:eastAsiaTheme="minorEastAsia" w:cstheme="minorEastAsia"/>
          <w:b w:val="0"/>
          <w:bCs/>
          <w:color w:val="auto"/>
          <w:sz w:val="21"/>
          <w:szCs w:val="21"/>
          <w:highlight w:val="none"/>
        </w:rPr>
        <w:t>具有收费基础</w:t>
      </w:r>
      <w:r>
        <w:rPr>
          <w:rFonts w:hint="eastAsia" w:asciiTheme="minorEastAsia" w:hAnsiTheme="minorEastAsia" w:eastAsiaTheme="minorEastAsia" w:cstheme="minorEastAsia"/>
          <w:b w:val="0"/>
          <w:bCs/>
          <w:color w:val="auto"/>
          <w:sz w:val="21"/>
          <w:szCs w:val="21"/>
          <w:highlight w:val="none"/>
          <w:lang w:eastAsia="zh-CN"/>
        </w:rPr>
        <w:t>，但经营收费不足以覆盖投资成本，需政府支付可行性缺口补助。</w:t>
      </w:r>
    </w:p>
    <w:p>
      <w:pPr>
        <w:pStyle w:val="7"/>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使用者付费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）使用者付费收入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经营范围为社会资本、项目公司参与投资建设的项目，运营内容包括本项目各片区范围内需后续运营、维护、管理的公共基础配套设施，包括广告牌、电动自行车及汽车充电设施、物流快递设施、车辆和行人出入口道闸（门禁）广告栏公共基础配套设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运营期内，南宁市人民政府有新增其他经营项目开发需求的，项目公司应协助南宁市人民政府开发经营。同时，项目公司也可以向南宁市人民政府提议开发新增经营项目，但未经南宁市人民政府审批同意不得实施。项目公司擅自新增运营项目的，政府方有权没收该新增项目的全部收入且有权提取10%的运营履约担保之下款项。实施方案未预计的收入纳入超额利润审核范围中。</w:t>
      </w:r>
    </w:p>
    <w:p>
      <w:pPr>
        <w:spacing w:line="360" w:lineRule="auto"/>
        <w:ind w:firstLine="420" w:firstLineChars="200"/>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eastAsia="zh-CN" w:bidi="ar"/>
        </w:rPr>
        <w:t>）超额利润分配</w:t>
      </w:r>
    </w:p>
    <w:p>
      <w:pPr>
        <w:spacing w:line="360" w:lineRule="auto"/>
        <w:ind w:firstLine="420" w:firstLineChars="200"/>
        <w:jc w:val="left"/>
        <w:rPr>
          <w:rFonts w:hint="eastAsia"/>
          <w:highlight w:val="none"/>
          <w:lang w:val="en-US" w:eastAsia="zh-CN"/>
        </w:rPr>
      </w:pPr>
      <w:r>
        <w:rPr>
          <w:rFonts w:hint="eastAsia"/>
          <w:highlight w:val="none"/>
          <w:lang w:val="en-US" w:eastAsia="zh-CN"/>
        </w:rPr>
        <w:t>本项目运营期间，由实施机构组织相关部门及第三方机构对项目公司已发生的各项现金流进行审核，每三年进行一次审核。</w:t>
      </w:r>
    </w:p>
    <w:p>
      <w:pPr>
        <w:spacing w:line="360" w:lineRule="auto"/>
        <w:ind w:firstLine="420" w:firstLineChars="200"/>
        <w:jc w:val="left"/>
        <w:rPr>
          <w:rFonts w:hint="eastAsia"/>
          <w:highlight w:val="none"/>
          <w:lang w:val="en-US" w:eastAsia="zh-CN"/>
        </w:rPr>
      </w:pPr>
      <w:r>
        <w:rPr>
          <w:rFonts w:hint="eastAsia"/>
          <w:highlight w:val="none"/>
          <w:lang w:val="en-US" w:eastAsia="zh-CN"/>
        </w:rPr>
        <w:t>当实际全投资所得税前内部收益率大于社会资本方的全投资所得税前内部收益率参数中标报价时，此时的实际利润（所得税后）与社会资本方投标时测算的利润（所得税后）之间的差值为超额利润。</w:t>
      </w:r>
    </w:p>
    <w:p>
      <w:pPr>
        <w:spacing w:line="360" w:lineRule="auto"/>
        <w:ind w:firstLine="420" w:firstLineChars="200"/>
        <w:jc w:val="left"/>
        <w:rPr>
          <w:rFonts w:hint="eastAsia"/>
          <w:highlight w:val="none"/>
          <w:lang w:val="en-US" w:eastAsia="zh-CN"/>
        </w:rPr>
      </w:pPr>
      <w:r>
        <w:rPr>
          <w:rFonts w:hint="eastAsia"/>
          <w:highlight w:val="none"/>
          <w:lang w:val="en-US" w:eastAsia="zh-CN"/>
        </w:rPr>
        <w:t>当实际全投资所得税前内部收益率大于社会资本方的全投资所得税前内部收益率中标报价且小于8%时，超额利润（所得税后）由政府方和项目公司按3：7分配。当实际全投资所得税前内部收益率大于8%时，超额利润（所得税后）由政府方和项目公司按5：5分配。</w:t>
      </w:r>
    </w:p>
    <w:p>
      <w:pPr>
        <w:spacing w:line="360" w:lineRule="auto"/>
        <w:ind w:firstLine="420" w:firstLineChars="200"/>
        <w:jc w:val="left"/>
        <w:rPr>
          <w:rFonts w:hint="eastAsia"/>
          <w:highlight w:val="none"/>
          <w:lang w:val="en-US" w:eastAsia="zh-CN"/>
        </w:rPr>
      </w:pPr>
      <w:r>
        <w:rPr>
          <w:rFonts w:hint="eastAsia"/>
          <w:highlight w:val="none"/>
          <w:lang w:val="en-US" w:eastAsia="zh-CN"/>
        </w:rPr>
        <w:t>超额利润分配产生的全部费用及税费由项目公司承担。</w:t>
      </w:r>
    </w:p>
    <w:p>
      <w:pPr>
        <w:spacing w:line="360" w:lineRule="auto"/>
        <w:ind w:firstLine="420" w:firstLineChars="200"/>
        <w:jc w:val="left"/>
        <w:rPr>
          <w:rFonts w:hint="eastAsia"/>
          <w:sz w:val="21"/>
          <w:szCs w:val="21"/>
          <w:highlight w:val="none"/>
          <w:lang w:eastAsia="zh-CN"/>
        </w:rPr>
      </w:pPr>
      <w:r>
        <w:rPr>
          <w:rFonts w:hint="eastAsia"/>
          <w:highlight w:val="none"/>
          <w:lang w:val="en-US" w:eastAsia="zh-CN"/>
        </w:rPr>
        <w:t>上述分配后归属于政府方的利润，政府方不支取，用于冲抵政府方应支付的可行性缺口补助。</w:t>
      </w:r>
      <w:r>
        <w:rPr>
          <w:rFonts w:hint="eastAsia"/>
          <w:highlight w:val="none"/>
          <w:lang w:val="en-US" w:eastAsia="zh-CN"/>
        </w:rPr>
        <w:object>
          <v:shape id="_x0000_i1025" o:spt="75" type="#_x0000_t75" style="height:434.8pt;width:400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spacing w:before="160" w:beforeLines="50" w:line="360" w:lineRule="auto"/>
        <w:jc w:val="center"/>
        <w:rPr>
          <w:rFonts w:hint="eastAsia" w:ascii="宋体" w:hAnsi="宋体" w:cs="宋体"/>
          <w:b/>
          <w:bCs/>
          <w:highlight w:val="none"/>
          <w:lang w:val="en-US" w:eastAsia="zh-CN"/>
        </w:rPr>
      </w:pPr>
      <w:r>
        <w:rPr>
          <w:rFonts w:hint="eastAsia" w:ascii="宋体" w:hAnsi="宋体" w:cs="宋体"/>
          <w:b/>
          <w:bCs/>
          <w:highlight w:val="none"/>
          <w:lang w:val="en-US" w:eastAsia="zh-CN"/>
        </w:rPr>
        <w:t>超额利润分配机制</w:t>
      </w:r>
    </w:p>
    <w:p>
      <w:pPr>
        <w:pStyle w:val="29"/>
        <w:shd w:val="clear"/>
        <w:spacing w:line="360" w:lineRule="auto"/>
        <w:ind w:firstLine="462" w:firstLineChars="200"/>
        <w:rPr>
          <w:rFonts w:hint="eastAsia" w:asciiTheme="minorEastAsia" w:hAnsiTheme="minorEastAsia" w:eastAsiaTheme="minorEastAsia" w:cstheme="minorEastAsia"/>
          <w:b/>
          <w:bCs/>
          <w:color w:val="auto"/>
          <w:sz w:val="21"/>
          <w:szCs w:val="21"/>
          <w:highlight w:val="none"/>
          <w:lang w:val="en-US" w:eastAsia="zh-CN"/>
        </w:rPr>
      </w:pPr>
    </w:p>
    <w:p>
      <w:pPr>
        <w:pStyle w:val="29"/>
        <w:shd w:val="clear"/>
        <w:spacing w:line="360" w:lineRule="auto"/>
        <w:ind w:firstLine="462"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项目建立绩效考核机制，政府方根据绩效考核结果和PPP项目合同约定对政府付费进行动态调整。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1</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支付时间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本项目可行性缺口补助每半年支付一次，占当年可行性缺口补助的50%。政府方在运营期常规绩效考核后30个日历天内根据绩效考核结果向项目公司支付可行性缺口补助。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运营期内第一次和最后一次常规绩效考核存在不足半年的情形的，按实际运营天数占当期所属半年总天数的比例计算当期应支付的可行性缺口补助。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2）支付程序</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①运营期</w:t>
      </w:r>
      <w:r>
        <w:rPr>
          <w:rFonts w:hint="eastAsia" w:asciiTheme="minorEastAsia" w:hAnsiTheme="minorEastAsia" w:eastAsiaTheme="minorEastAsia" w:cstheme="minorEastAsia"/>
          <w:bCs w:val="0"/>
          <w:color w:val="auto"/>
          <w:sz w:val="21"/>
          <w:szCs w:val="21"/>
          <w:highlight w:val="none"/>
          <w:lang w:val="en-US" w:eastAsia="zh-CN"/>
        </w:rPr>
        <w:t>每次常规</w:t>
      </w:r>
      <w:r>
        <w:rPr>
          <w:rFonts w:hint="eastAsia" w:asciiTheme="minorEastAsia" w:hAnsiTheme="minorEastAsia" w:eastAsiaTheme="minorEastAsia" w:cstheme="minorEastAsia"/>
          <w:bCs w:val="0"/>
          <w:color w:val="auto"/>
          <w:sz w:val="21"/>
          <w:szCs w:val="21"/>
          <w:highlight w:val="none"/>
          <w:lang w:eastAsia="zh-CN"/>
        </w:rPr>
        <w:t>绩效考核结束后，项目公司测算当期可行性缺口补助应支付数额，向实施机构申请支付可行性缺口补助；</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②实施机构根据绩效考核结果向南宁市</w:t>
      </w:r>
      <w:r>
        <w:rPr>
          <w:rFonts w:hint="eastAsia" w:asciiTheme="minorEastAsia" w:hAnsiTheme="minorEastAsia" w:eastAsiaTheme="minorEastAsia" w:cstheme="minorEastAsia"/>
          <w:bCs w:val="0"/>
          <w:color w:val="auto"/>
          <w:sz w:val="21"/>
          <w:szCs w:val="21"/>
          <w:highlight w:val="none"/>
          <w:lang w:val="en-US" w:eastAsia="zh-CN"/>
        </w:rPr>
        <w:t>各城区</w:t>
      </w:r>
      <w:r>
        <w:rPr>
          <w:rFonts w:hint="eastAsia" w:asciiTheme="minorEastAsia" w:hAnsiTheme="minorEastAsia" w:eastAsiaTheme="minorEastAsia" w:cstheme="minorEastAsia"/>
          <w:bCs w:val="0"/>
          <w:color w:val="auto"/>
          <w:sz w:val="21"/>
          <w:szCs w:val="21"/>
          <w:highlight w:val="none"/>
          <w:lang w:eastAsia="zh-CN"/>
        </w:rPr>
        <w:t>财政局申请可行性缺口补助资金；</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③南宁市</w:t>
      </w:r>
      <w:r>
        <w:rPr>
          <w:rFonts w:hint="eastAsia" w:asciiTheme="minorEastAsia" w:hAnsiTheme="minorEastAsia" w:eastAsiaTheme="minorEastAsia" w:cstheme="minorEastAsia"/>
          <w:bCs w:val="0"/>
          <w:color w:val="auto"/>
          <w:sz w:val="21"/>
          <w:szCs w:val="21"/>
          <w:highlight w:val="none"/>
          <w:lang w:val="en-US" w:eastAsia="zh-CN"/>
        </w:rPr>
        <w:t>各城区</w:t>
      </w:r>
      <w:r>
        <w:rPr>
          <w:rFonts w:hint="eastAsia" w:asciiTheme="minorEastAsia" w:hAnsiTheme="minorEastAsia" w:eastAsiaTheme="minorEastAsia" w:cstheme="minorEastAsia"/>
          <w:bCs w:val="0"/>
          <w:color w:val="auto"/>
          <w:sz w:val="21"/>
          <w:szCs w:val="21"/>
          <w:highlight w:val="none"/>
          <w:lang w:eastAsia="zh-CN"/>
        </w:rPr>
        <w:t>财政局审核批准后将可行性缺口补助资金拨付至实施机构；</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④实施机构将可行性缺口补助支付给项目公司。</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（3）</w:t>
      </w:r>
      <w:r>
        <w:rPr>
          <w:rFonts w:hint="eastAsia" w:asciiTheme="minorEastAsia" w:hAnsiTheme="minorEastAsia" w:eastAsiaTheme="minorEastAsia" w:cstheme="minorEastAsia"/>
          <w:bCs w:val="0"/>
          <w:color w:val="auto"/>
          <w:sz w:val="21"/>
          <w:szCs w:val="21"/>
          <w:highlight w:val="none"/>
          <w:lang w:val="en-US" w:eastAsia="zh-CN"/>
        </w:rPr>
        <w:t>可行性缺口补助</w:t>
      </w:r>
      <w:r>
        <w:rPr>
          <w:rFonts w:hint="eastAsia" w:asciiTheme="minorEastAsia" w:hAnsiTheme="minorEastAsia" w:eastAsiaTheme="minorEastAsia" w:cstheme="minorEastAsia"/>
          <w:bCs w:val="0"/>
          <w:color w:val="auto"/>
          <w:sz w:val="21"/>
          <w:szCs w:val="21"/>
          <w:highlight w:val="none"/>
          <w:lang w:eastAsia="zh-CN"/>
        </w:rPr>
        <w:t>计</w:t>
      </w:r>
      <w:r>
        <w:rPr>
          <w:rFonts w:hint="eastAsia" w:asciiTheme="minorEastAsia" w:hAnsiTheme="minorEastAsia" w:eastAsiaTheme="minorEastAsia" w:cstheme="minorEastAsia"/>
          <w:bCs w:val="0"/>
          <w:color w:val="auto"/>
          <w:sz w:val="21"/>
          <w:szCs w:val="21"/>
          <w:highlight w:val="none"/>
          <w:lang w:val="en-US" w:eastAsia="zh-CN"/>
        </w:rPr>
        <w:t>算</w:t>
      </w:r>
      <w:r>
        <w:rPr>
          <w:rFonts w:hint="eastAsia" w:asciiTheme="minorEastAsia" w:hAnsiTheme="minorEastAsia" w:eastAsiaTheme="minorEastAsia" w:cstheme="minorEastAsia"/>
          <w:bCs w:val="0"/>
          <w:color w:val="auto"/>
          <w:sz w:val="21"/>
          <w:szCs w:val="21"/>
          <w:highlight w:val="none"/>
          <w:lang w:eastAsia="zh-CN"/>
        </w:rPr>
        <w:t>机制</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本项目基于社会资本方建设投资、使用者付费收入、运营成本、社会资本全投资内部收益率、税费、折现率等数据，采用全投资所得税前内部收益率（IRR）倒推法对项目进行财务测算[计算原理是现值法（P值）]，对建设期和运营期内各年度净现金流量按一定比例（IRR）和年份进行折现后计算运营期年平均可行性缺口补助额。</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合作期间，可行性缺口补助计算涉及的因素确定方式如下：</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①社会资本方建设投资：</w:t>
      </w:r>
      <w:r>
        <w:rPr>
          <w:rFonts w:hint="eastAsia" w:asciiTheme="minorEastAsia" w:hAnsiTheme="minorEastAsia" w:eastAsiaTheme="minorEastAsia" w:cstheme="minorEastAsia"/>
          <w:bCs w:val="0"/>
          <w:color w:val="auto"/>
          <w:sz w:val="21"/>
          <w:szCs w:val="21"/>
          <w:highlight w:val="none"/>
          <w:lang w:val="en-US" w:eastAsia="zh-CN"/>
        </w:rPr>
        <w:t>等于</w:t>
      </w:r>
      <w:r>
        <w:rPr>
          <w:rFonts w:hint="eastAsia" w:asciiTheme="minorEastAsia" w:hAnsiTheme="minorEastAsia" w:eastAsiaTheme="minorEastAsia" w:cstheme="minorEastAsia"/>
          <w:bCs w:val="0"/>
          <w:color w:val="auto"/>
          <w:sz w:val="21"/>
          <w:szCs w:val="21"/>
          <w:highlight w:val="none"/>
          <w:lang w:eastAsia="zh-CN"/>
        </w:rPr>
        <w:t>PPP建设工程投资额</w:t>
      </w:r>
      <w:r>
        <w:rPr>
          <w:rFonts w:hint="eastAsia" w:asciiTheme="minorEastAsia" w:hAnsiTheme="minorEastAsia" w:eastAsiaTheme="minorEastAsia" w:cstheme="minorEastAsia"/>
          <w:bCs w:val="0"/>
          <w:color w:val="auto"/>
          <w:sz w:val="21"/>
          <w:szCs w:val="21"/>
          <w:highlight w:val="none"/>
          <w:lang w:val="en-US" w:eastAsia="zh-CN"/>
        </w:rPr>
        <w:t>扣除政府方投资后剩余的部分。各阶段的PPP建设工程投资额根据以下原则进行调整：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社会资本方采购阶段PPP建设工程投资额以依据改造方案批复的建设项目总投资计算的PPP建设工程投资额为采购限价基础。</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项目施工图完成备案后，报市财政投资评审中心审核控制价，社会资本方应无条件接受市财政评审中心审核的控制价。以经政府方财政投资评审中心审核的控制价和建安工程费投标下浮系数[下浮系数=(改造方案批复的建安工程费-投标时的建安工程费报价)÷改造方案批复的建安工程费]作为项目结算依据；如项目以经政府方财政投资评审中心审核的控制价开展施工二次招标的，以二次招标的中标价作为结算依据；工程量以实际发生工程量据实结算，经责任认定属社会资本方承担的变更金额不纳入本项目的结算评审范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val="en-US" w:eastAsia="zh-CN"/>
        </w:rPr>
        <w:t>本项目竣工验收后，</w:t>
      </w:r>
      <w:r>
        <w:rPr>
          <w:rFonts w:hint="eastAsia" w:asciiTheme="minorEastAsia" w:hAnsiTheme="minorEastAsia" w:eastAsiaTheme="minorEastAsia" w:cstheme="minorEastAsia"/>
          <w:bCs w:val="0"/>
          <w:color w:val="auto"/>
          <w:sz w:val="21"/>
          <w:szCs w:val="21"/>
          <w:highlight w:val="none"/>
          <w:lang w:eastAsia="zh-CN"/>
        </w:rPr>
        <w:t>PPP建设工程投资额以财政部门审定的决算价与社会资本中标报价中的较低值为</w:t>
      </w:r>
      <w:r>
        <w:rPr>
          <w:rFonts w:hint="eastAsia" w:asciiTheme="minorEastAsia" w:hAnsiTheme="minorEastAsia" w:eastAsiaTheme="minorEastAsia" w:cstheme="minorEastAsia"/>
          <w:bCs w:val="0"/>
          <w:color w:val="auto"/>
          <w:sz w:val="21"/>
          <w:szCs w:val="21"/>
          <w:highlight w:val="none"/>
          <w:lang w:val="en-US" w:eastAsia="zh-CN"/>
        </w:rPr>
        <w:t>最终决算价</w:t>
      </w:r>
      <w:r>
        <w:rPr>
          <w:rFonts w:hint="eastAsia" w:asciiTheme="minorEastAsia" w:hAnsiTheme="minorEastAsia" w:eastAsiaTheme="minorEastAsia" w:cstheme="minorEastAsia"/>
          <w:bCs w:val="0"/>
          <w:color w:val="auto"/>
          <w:sz w:val="21"/>
          <w:szCs w:val="21"/>
          <w:highlight w:val="none"/>
          <w:lang w:eastAsia="zh-CN"/>
        </w:rPr>
        <w:t>。竣工决算价超过社会资本中标价，且超过的部分</w:t>
      </w:r>
      <w:r>
        <w:rPr>
          <w:rFonts w:hint="eastAsia" w:asciiTheme="minorEastAsia" w:hAnsiTheme="minorEastAsia" w:eastAsiaTheme="minorEastAsia" w:cstheme="minorEastAsia"/>
          <w:bCs w:val="0"/>
          <w:color w:val="auto"/>
          <w:sz w:val="21"/>
          <w:szCs w:val="21"/>
          <w:highlight w:val="none"/>
          <w:lang w:val="en-US" w:eastAsia="zh-CN"/>
        </w:rPr>
        <w:t>是</w:t>
      </w:r>
      <w:r>
        <w:rPr>
          <w:rFonts w:hint="eastAsia" w:asciiTheme="minorEastAsia" w:hAnsiTheme="minorEastAsia" w:eastAsiaTheme="minorEastAsia" w:cstheme="minorEastAsia"/>
          <w:bCs w:val="0"/>
          <w:color w:val="auto"/>
          <w:sz w:val="21"/>
          <w:szCs w:val="21"/>
          <w:highlight w:val="none"/>
          <w:lang w:eastAsia="zh-CN"/>
        </w:rPr>
        <w:t>社会资本方原因造成的，则超过部分由社会资本方自行承担，不纳入</w:t>
      </w:r>
      <w:r>
        <w:rPr>
          <w:rFonts w:hint="eastAsia" w:asciiTheme="minorEastAsia" w:hAnsiTheme="minorEastAsia" w:eastAsiaTheme="minorEastAsia" w:cstheme="minorEastAsia"/>
          <w:bCs w:val="0"/>
          <w:color w:val="auto"/>
          <w:sz w:val="21"/>
          <w:szCs w:val="21"/>
          <w:highlight w:val="none"/>
          <w:lang w:val="en-US" w:eastAsia="zh-CN"/>
        </w:rPr>
        <w:t>可行性缺口补助计算范围和超额利润审核范围</w:t>
      </w:r>
      <w:r>
        <w:rPr>
          <w:rFonts w:hint="eastAsia" w:asciiTheme="minorEastAsia" w:hAnsiTheme="minorEastAsia" w:eastAsiaTheme="minorEastAsia" w:cstheme="minorEastAsia"/>
          <w:bCs w:val="0"/>
          <w:color w:val="auto"/>
          <w:sz w:val="21"/>
          <w:szCs w:val="21"/>
          <w:highlight w:val="none"/>
          <w:lang w:eastAsia="zh-CN"/>
        </w:rPr>
        <w:t>；政府方原因造成的，纳入</w:t>
      </w:r>
      <w:r>
        <w:rPr>
          <w:rFonts w:hint="eastAsia" w:asciiTheme="minorEastAsia" w:hAnsiTheme="minorEastAsia" w:eastAsiaTheme="minorEastAsia" w:cstheme="minorEastAsia"/>
          <w:bCs w:val="0"/>
          <w:color w:val="auto"/>
          <w:sz w:val="21"/>
          <w:szCs w:val="21"/>
          <w:highlight w:val="none"/>
          <w:lang w:val="en-US" w:eastAsia="zh-CN"/>
        </w:rPr>
        <w:t>可行性缺口补助计算范围和超额利润审核范围</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其他</w:t>
      </w:r>
      <w:r>
        <w:rPr>
          <w:rFonts w:hint="eastAsia" w:asciiTheme="minorEastAsia" w:hAnsiTheme="minorEastAsia" w:eastAsiaTheme="minorEastAsia" w:cstheme="minorEastAsia"/>
          <w:bCs w:val="0"/>
          <w:color w:val="auto"/>
          <w:sz w:val="21"/>
          <w:szCs w:val="21"/>
          <w:highlight w:val="none"/>
          <w:lang w:eastAsia="zh-CN"/>
        </w:rPr>
        <w:t>原因造成的，</w:t>
      </w:r>
      <w:r>
        <w:rPr>
          <w:rFonts w:hint="eastAsia" w:asciiTheme="minorEastAsia" w:hAnsiTheme="minorEastAsia" w:eastAsiaTheme="minorEastAsia" w:cstheme="minorEastAsia"/>
          <w:bCs w:val="0"/>
          <w:color w:val="auto"/>
          <w:sz w:val="21"/>
          <w:szCs w:val="21"/>
          <w:highlight w:val="none"/>
          <w:lang w:val="en-US" w:eastAsia="zh-CN"/>
        </w:rPr>
        <w:t>双方各承担一半。</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②使用者付费收入：按社会资本投标阶段</w:t>
      </w:r>
      <w:r>
        <w:rPr>
          <w:rFonts w:hint="eastAsia" w:asciiTheme="minorEastAsia" w:hAnsiTheme="minorEastAsia" w:eastAsiaTheme="minorEastAsia" w:cstheme="minorEastAsia"/>
          <w:bCs w:val="0"/>
          <w:color w:val="auto"/>
          <w:sz w:val="21"/>
          <w:szCs w:val="21"/>
          <w:highlight w:val="none"/>
          <w:lang w:val="en-US" w:eastAsia="zh-CN"/>
        </w:rPr>
        <w:t>计算的使用者付费收入</w:t>
      </w:r>
      <w:r>
        <w:rPr>
          <w:rFonts w:hint="eastAsia" w:asciiTheme="minorEastAsia" w:hAnsiTheme="minorEastAsia" w:eastAsiaTheme="minorEastAsia" w:cstheme="minorEastAsia"/>
          <w:bCs w:val="0"/>
          <w:color w:val="auto"/>
          <w:sz w:val="21"/>
          <w:szCs w:val="21"/>
          <w:highlight w:val="none"/>
          <w:lang w:eastAsia="zh-CN"/>
        </w:rPr>
        <w:t>总额分年包干。</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③</w:t>
      </w:r>
      <w:r>
        <w:rPr>
          <w:rFonts w:hint="eastAsia" w:asciiTheme="minorEastAsia" w:hAnsiTheme="minorEastAsia" w:eastAsiaTheme="minorEastAsia" w:cstheme="minorEastAsia"/>
          <w:bCs w:val="0"/>
          <w:color w:val="auto"/>
          <w:sz w:val="21"/>
          <w:szCs w:val="21"/>
          <w:highlight w:val="none"/>
          <w:lang w:val="en-US" w:eastAsia="zh-CN"/>
        </w:rPr>
        <w:t>运营成本：按社会资本投标阶段响应的运营成本包干。无论项目公司当年运营成本超过或低于社会资本的报价，均以社会资本的年度运营成本报价进行结算（除非项目满足调价条件，进行运营成本调整）。</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④</w:t>
      </w:r>
      <w:r>
        <w:rPr>
          <w:rFonts w:hint="eastAsia" w:asciiTheme="minorEastAsia" w:hAnsiTheme="minorEastAsia" w:eastAsiaTheme="minorEastAsia" w:cstheme="minorEastAsia"/>
          <w:bCs w:val="0"/>
          <w:color w:val="auto"/>
          <w:sz w:val="21"/>
          <w:szCs w:val="21"/>
          <w:highlight w:val="none"/>
          <w:lang w:val="en-US" w:eastAsia="zh-CN"/>
        </w:rPr>
        <w:t>社会资本全投资内部收益率（所得税前）：采用社会资本中标报价。</w:t>
      </w:r>
    </w:p>
    <w:p>
      <w:pPr>
        <w:pStyle w:val="29"/>
        <w:shd w:val="clear"/>
        <w:spacing w:line="360" w:lineRule="auto"/>
        <w:ind w:firstLine="460" w:firstLineChars="200"/>
        <w:rPr>
          <w:rFonts w:hint="eastAsia"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⑤税费：实施方案测算税费与实际发生税费不同或税收政策调整的，按实际发生的税费和社会资本投标阶段计算的税费两者的最低值计算，因项目公司违反法律、法规或规章而缴纳的惩罚性税费、滞纳金等不纳入可行性缺口补助计算范围。</w:t>
      </w:r>
    </w:p>
    <w:p>
      <w:pPr>
        <w:pStyle w:val="29"/>
        <w:shd w:val="clear"/>
        <w:spacing w:line="360" w:lineRule="auto"/>
        <w:ind w:firstLine="460" w:firstLineChars="200"/>
        <w:rPr>
          <w:rFonts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lang w:val="en-US" w:eastAsia="zh-CN"/>
        </w:rPr>
        <w:t>⑥折现率：按本实施方案测算采用的折现率。</w:t>
      </w:r>
    </w:p>
    <w:p>
      <w:pPr>
        <w:pStyle w:val="2"/>
        <w:shd w:val="clear"/>
        <w:ind w:firstLine="480"/>
        <w:rPr>
          <w:rFonts w:hint="eastAsia" w:asciiTheme="minorEastAsia" w:hAnsiTheme="minorEastAsia" w:eastAsiaTheme="minorEastAsia" w:cstheme="minorEastAsia"/>
          <w:b w:val="0"/>
          <w:bCs/>
          <w:color w:val="auto"/>
          <w:spacing w:val="10"/>
          <w:kern w:val="2"/>
          <w:sz w:val="21"/>
          <w:szCs w:val="21"/>
          <w:highlight w:val="none"/>
          <w:lang w:val="zh-CN" w:eastAsia="zh-CN" w:bidi="ar-SA"/>
        </w:rPr>
      </w:pPr>
      <w:r>
        <w:rPr>
          <w:rFonts w:asciiTheme="minorEastAsia" w:hAnsiTheme="minorEastAsia" w:eastAsiaTheme="minorEastAsia" w:cstheme="minorEastAsia"/>
          <w:b/>
          <w:bCs/>
          <w:color w:val="auto"/>
          <w:sz w:val="21"/>
          <w:szCs w:val="21"/>
          <w:highlight w:val="none"/>
        </w:rPr>
        <w:t>1.12项</w:t>
      </w:r>
      <w:r>
        <w:rPr>
          <w:rFonts w:hint="eastAsia" w:asciiTheme="minorEastAsia" w:hAnsiTheme="minorEastAsia" w:eastAsiaTheme="minorEastAsia" w:cstheme="minorEastAsia"/>
          <w:b/>
          <w:color w:val="auto"/>
          <w:sz w:val="21"/>
          <w:szCs w:val="21"/>
          <w:highlight w:val="none"/>
        </w:rPr>
        <w:t>目合作期：</w:t>
      </w:r>
      <w:r>
        <w:rPr>
          <w:rFonts w:hint="eastAsia" w:asciiTheme="minorEastAsia" w:hAnsiTheme="minorEastAsia" w:eastAsiaTheme="minorEastAsia" w:cstheme="minorEastAsia"/>
          <w:bCs w:val="0"/>
          <w:color w:val="auto"/>
          <w:spacing w:val="10"/>
          <w:kern w:val="2"/>
          <w:sz w:val="21"/>
          <w:szCs w:val="21"/>
          <w:highlight w:val="none"/>
          <w:lang w:val="en-US" w:eastAsia="zh-CN" w:bidi="ar-SA"/>
        </w:rPr>
        <w:t>本项目合作期为20年9个月，自PPP项目合同生效之日起算。其中，建设期计划为9个月，运营期为20年。</w:t>
      </w:r>
    </w:p>
    <w:p>
      <w:pPr>
        <w:shd w:val="clear"/>
        <w:spacing w:before="540" w:after="530" w:line="360" w:lineRule="auto"/>
        <w:jc w:val="center"/>
        <w:outlineLvl w:val="0"/>
        <w:rPr>
          <w:rFonts w:hint="eastAsia" w:ascii="宋体" w:hAnsi="宋体" w:cs="宋体"/>
          <w:b/>
          <w:bCs/>
          <w:color w:val="auto"/>
          <w:kern w:val="0"/>
          <w:sz w:val="32"/>
          <w:szCs w:val="32"/>
          <w:highlight w:val="none"/>
        </w:rPr>
      </w:pPr>
      <w:bookmarkStart w:id="383" w:name="_Toc24276"/>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hint="eastAsia" w:ascii="宋体" w:hAnsi="宋体" w:cs="宋体"/>
          <w:b/>
          <w:bCs/>
          <w:color w:val="auto"/>
          <w:kern w:val="0"/>
          <w:sz w:val="32"/>
          <w:szCs w:val="32"/>
          <w:highlight w:val="none"/>
        </w:rPr>
      </w:pPr>
    </w:p>
    <w:p>
      <w:pPr>
        <w:shd w:val="clear"/>
        <w:spacing w:before="540" w:after="530" w:line="360" w:lineRule="auto"/>
        <w:jc w:val="both"/>
        <w:outlineLvl w:val="0"/>
        <w:rPr>
          <w:rFonts w:hint="eastAsia" w:ascii="宋体" w:hAnsi="宋体" w:cs="宋体"/>
          <w:b/>
          <w:bCs/>
          <w:color w:val="auto"/>
          <w:kern w:val="0"/>
          <w:sz w:val="32"/>
          <w:szCs w:val="32"/>
          <w:highlight w:val="none"/>
        </w:rPr>
      </w:pPr>
    </w:p>
    <w:p>
      <w:pPr>
        <w:shd w:val="clear"/>
        <w:spacing w:before="540" w:after="530" w:line="360" w:lineRule="auto"/>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w:t>
      </w:r>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章 资格预审申请文件格式</w:t>
      </w:r>
      <w:bookmarkEnd w:id="319"/>
      <w:bookmarkEnd w:id="376"/>
      <w:bookmarkEnd w:id="377"/>
      <w:bookmarkEnd w:id="378"/>
      <w:bookmarkEnd w:id="379"/>
      <w:bookmarkEnd w:id="380"/>
      <w:bookmarkEnd w:id="381"/>
      <w:bookmarkEnd w:id="383"/>
    </w:p>
    <w:p>
      <w:pPr>
        <w:shd w:val="clear"/>
        <w:spacing w:line="360" w:lineRule="auto"/>
        <w:jc w:val="center"/>
        <w:rPr>
          <w:rFonts w:ascii="宋体" w:hAnsi="宋体" w:cs="宋体"/>
          <w:b/>
          <w:bCs/>
          <w:color w:val="auto"/>
          <w:kern w:val="0"/>
          <w:sz w:val="28"/>
          <w:szCs w:val="28"/>
          <w:highlight w:val="none"/>
          <w:lang w:val="zh-CN"/>
        </w:rPr>
      </w:pPr>
      <w:r>
        <w:rPr>
          <w:rFonts w:hint="eastAsia" w:ascii="宋体" w:hAnsi="宋体" w:cs="宋体"/>
          <w:b/>
          <w:bCs/>
          <w:color w:val="auto"/>
          <w:sz w:val="44"/>
          <w:szCs w:val="44"/>
          <w:highlight w:val="none"/>
          <w:lang w:val="zh-CN" w:eastAsia="zh-CN"/>
        </w:rPr>
        <w:t>南宁市2022年第二批城镇老旧小区改造PPP项目社会资本方采购</w:t>
      </w:r>
    </w:p>
    <w:p>
      <w:pPr>
        <w:shd w:val="clear"/>
        <w:spacing w:line="360" w:lineRule="auto"/>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36"/>
          <w:szCs w:val="36"/>
          <w:highlight w:val="none"/>
          <w:lang w:val="zh-CN"/>
        </w:rPr>
        <w:t>项目编号：</w:t>
      </w:r>
      <w:r>
        <w:rPr>
          <w:rFonts w:hint="eastAsia" w:ascii="宋体" w:hAnsi="宋体" w:cs="宋体"/>
          <w:b/>
          <w:bCs/>
          <w:color w:val="auto"/>
          <w:kern w:val="0"/>
          <w:sz w:val="28"/>
          <w:szCs w:val="28"/>
          <w:highlight w:val="none"/>
          <w:lang w:val="zh-CN"/>
        </w:rPr>
        <w:t xml:space="preserve"> </w:t>
      </w:r>
    </w:p>
    <w:p>
      <w:pPr>
        <w:shd w:val="clear"/>
        <w:spacing w:line="360" w:lineRule="auto"/>
        <w:jc w:val="center"/>
        <w:rPr>
          <w:rFonts w:ascii="宋体" w:hAnsi="宋体" w:cs="宋体"/>
          <w:color w:val="auto"/>
          <w:sz w:val="44"/>
          <w:szCs w:val="44"/>
          <w:highlight w:val="none"/>
        </w:rPr>
      </w:pPr>
    </w:p>
    <w:p>
      <w:pPr>
        <w:shd w:val="clea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资格预审申请文件</w:t>
      </w:r>
    </w:p>
    <w:p>
      <w:pPr>
        <w:shd w:val="clea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hd w:val="clea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（正/副本）</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pStyle w:val="10"/>
        <w:shd w:val="clear"/>
        <w:rPr>
          <w:rFonts w:ascii="宋体" w:hAnsi="宋体" w:cs="宋体"/>
          <w:b/>
          <w:bCs/>
          <w:color w:val="auto"/>
          <w:sz w:val="28"/>
          <w:szCs w:val="28"/>
          <w:highlight w:val="none"/>
        </w:rPr>
      </w:pPr>
    </w:p>
    <w:p>
      <w:pPr>
        <w:pStyle w:val="11"/>
        <w:shd w:val="clear"/>
        <w:rPr>
          <w:rFonts w:ascii="宋体" w:hAnsi="宋体" w:cs="宋体"/>
          <w:color w:val="auto"/>
          <w:highlight w:val="none"/>
        </w:rPr>
      </w:pP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hd w:val="clea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u w:val="single"/>
        </w:rPr>
      </w:pPr>
      <w:r>
        <w:rPr>
          <w:rFonts w:hint="eastAsia" w:ascii="宋体" w:hAnsi="宋体" w:cs="宋体"/>
          <w:color w:val="auto"/>
          <w:sz w:val="28"/>
          <w:szCs w:val="28"/>
          <w:highlight w:val="none"/>
        </w:rPr>
        <w:t>申请人（盖单位公章）：</w:t>
      </w:r>
      <w:r>
        <w:rPr>
          <w:rFonts w:hint="eastAsia" w:ascii="宋体" w:hAnsi="宋体" w:cs="宋体"/>
          <w:color w:val="auto"/>
          <w:sz w:val="28"/>
          <w:szCs w:val="28"/>
          <w:highlight w:val="none"/>
          <w:u w:val="singl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法定代表人或其委托代理人（签字或盖章）：</w:t>
      </w:r>
      <w:r>
        <w:rPr>
          <w:rFonts w:hint="eastAsia" w:ascii="宋体" w:hAnsi="宋体" w:cs="宋体"/>
          <w:color w:val="auto"/>
          <w:sz w:val="28"/>
          <w:szCs w:val="28"/>
          <w:highlight w:val="none"/>
          <w:u w:val="single"/>
        </w:rPr>
        <w:t xml:space="preserve">          </w:t>
      </w:r>
    </w:p>
    <w:p>
      <w:pPr>
        <w:shd w:val="clear"/>
        <w:adjustRightInd w:val="0"/>
        <w:snapToGrid w:val="0"/>
        <w:spacing w:line="480"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日  </w:t>
      </w:r>
    </w:p>
    <w:p>
      <w:pPr>
        <w:shd w:val="clea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pStyle w:val="29"/>
        <w:rPr>
          <w:rFonts w:hint="eastAsia" w:ascii="宋体" w:hAnsi="宋体" w:cs="宋体"/>
          <w:color w:val="auto"/>
          <w:sz w:val="28"/>
          <w:szCs w:val="28"/>
          <w:highlight w:val="none"/>
        </w:rPr>
      </w:pPr>
    </w:p>
    <w:p>
      <w:pPr>
        <w:pStyle w:val="29"/>
        <w:rPr>
          <w:rFonts w:hint="eastAsia" w:ascii="宋体" w:hAnsi="宋体" w:cs="宋体"/>
          <w:color w:val="auto"/>
          <w:sz w:val="28"/>
          <w:szCs w:val="28"/>
          <w:highlight w:val="none"/>
        </w:rPr>
      </w:pPr>
    </w:p>
    <w:p>
      <w:pPr>
        <w:shd w:val="clear"/>
        <w:spacing w:line="360" w:lineRule="auto"/>
        <w:ind w:firstLine="560" w:firstLineChars="200"/>
        <w:jc w:val="center"/>
        <w:rPr>
          <w:rFonts w:ascii="宋体" w:hAnsi="宋体" w:cs="宋体"/>
          <w:color w:val="auto"/>
          <w:sz w:val="28"/>
          <w:szCs w:val="24"/>
          <w:highlight w:val="none"/>
        </w:rPr>
      </w:pPr>
      <w:bookmarkStart w:id="384" w:name="_Toc152047261"/>
      <w:bookmarkStart w:id="385" w:name="_Toc144974465"/>
      <w:r>
        <w:rPr>
          <w:rFonts w:hint="eastAsia" w:ascii="宋体" w:hAnsi="宋体" w:cs="宋体"/>
          <w:color w:val="auto"/>
          <w:sz w:val="28"/>
          <w:szCs w:val="24"/>
          <w:highlight w:val="none"/>
        </w:rPr>
        <w:t>目录</w:t>
      </w:r>
      <w:bookmarkEnd w:id="384"/>
      <w:bookmarkEnd w:id="385"/>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（1）资格预审文件评审索引表；</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（2）资格预审申请函；</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4"/>
          <w:highlight w:val="none"/>
        </w:rPr>
        <w:t>（3）</w:t>
      </w:r>
      <w:r>
        <w:rPr>
          <w:rFonts w:hint="eastAsia" w:ascii="宋体" w:hAnsi="宋体" w:cs="宋体"/>
          <w:color w:val="auto"/>
          <w:kern w:val="1"/>
          <w:sz w:val="28"/>
          <w:szCs w:val="24"/>
          <w:highlight w:val="none"/>
        </w:rPr>
        <w:t>法定代表人身份证明或附有法定代表人身份证明的授权委托书；</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（4）</w:t>
      </w:r>
      <w:r>
        <w:rPr>
          <w:rFonts w:hint="eastAsia" w:ascii="宋体" w:hAnsi="宋体" w:cs="宋体"/>
          <w:color w:val="auto"/>
          <w:sz w:val="28"/>
          <w:szCs w:val="28"/>
          <w:highlight w:val="none"/>
        </w:rPr>
        <w:t>联合体协议书（非联合体不需请提交）；</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w:t>
      </w:r>
      <w:r>
        <w:rPr>
          <w:rFonts w:hint="eastAsia" w:ascii="宋体" w:hAnsi="宋体" w:cs="宋体"/>
          <w:color w:val="auto"/>
          <w:sz w:val="28"/>
          <w:szCs w:val="24"/>
          <w:highlight w:val="none"/>
        </w:rPr>
        <w:t>申请人基本情况表</w:t>
      </w:r>
      <w:r>
        <w:rPr>
          <w:rFonts w:hint="eastAsia" w:ascii="宋体" w:hAnsi="宋体" w:cs="宋体"/>
          <w:color w:val="auto"/>
          <w:sz w:val="28"/>
          <w:szCs w:val="28"/>
          <w:highlight w:val="none"/>
        </w:rPr>
        <w:t>；</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w:t>
      </w:r>
      <w:r>
        <w:rPr>
          <w:rFonts w:hint="eastAsia" w:ascii="宋体" w:hAnsi="宋体" w:cs="宋体"/>
          <w:color w:val="auto"/>
          <w:sz w:val="28"/>
          <w:szCs w:val="24"/>
          <w:highlight w:val="none"/>
        </w:rPr>
        <w:t>近年财务状况表；</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）近年发生的诉讼及仲裁情况；</w:t>
      </w:r>
    </w:p>
    <w:p>
      <w:pPr>
        <w:shd w:val="clea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）成立项目公司承诺函；</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w:t>
      </w:r>
      <w:r>
        <w:rPr>
          <w:rFonts w:hint="eastAsia" w:ascii="宋体" w:hAnsi="宋体" w:cs="宋体"/>
          <w:color w:val="auto"/>
          <w:sz w:val="28"/>
          <w:szCs w:val="24"/>
          <w:highlight w:val="none"/>
          <w:lang w:val="en-US" w:eastAsia="zh-CN"/>
        </w:rPr>
        <w:t>9</w:t>
      </w:r>
      <w:r>
        <w:rPr>
          <w:rFonts w:hint="eastAsia" w:ascii="宋体" w:hAnsi="宋体" w:cs="宋体"/>
          <w:color w:val="auto"/>
          <w:sz w:val="28"/>
          <w:szCs w:val="24"/>
          <w:highlight w:val="none"/>
        </w:rPr>
        <w:t>）申请人信用信息记录；</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w:t>
      </w:r>
      <w:r>
        <w:rPr>
          <w:rFonts w:hint="eastAsia" w:ascii="宋体" w:hAnsi="宋体" w:cs="宋体"/>
          <w:color w:val="auto"/>
          <w:sz w:val="28"/>
          <w:szCs w:val="24"/>
          <w:highlight w:val="none"/>
          <w:lang w:val="en-US" w:eastAsia="zh-CN"/>
        </w:rPr>
        <w:t>0</w:t>
      </w:r>
      <w:r>
        <w:rPr>
          <w:rFonts w:hint="eastAsia" w:ascii="宋体" w:hAnsi="宋体" w:cs="宋体"/>
          <w:color w:val="auto"/>
          <w:sz w:val="28"/>
          <w:szCs w:val="24"/>
          <w:highlight w:val="none"/>
        </w:rPr>
        <w:t>）无违法和不良记录的承诺书；</w:t>
      </w:r>
    </w:p>
    <w:p>
      <w:pPr>
        <w:shd w:val="clear"/>
        <w:spacing w:line="360" w:lineRule="auto"/>
        <w:ind w:firstLine="560" w:firstLineChars="200"/>
        <w:jc w:val="left"/>
        <w:rPr>
          <w:rFonts w:ascii="宋体" w:hAnsi="宋体" w:cs="宋体"/>
          <w:color w:val="auto"/>
          <w:sz w:val="28"/>
          <w:szCs w:val="24"/>
          <w:highlight w:val="none"/>
        </w:rPr>
      </w:pPr>
      <w:r>
        <w:rPr>
          <w:rFonts w:hint="eastAsia" w:ascii="宋体" w:hAnsi="宋体" w:cs="宋体"/>
          <w:color w:val="auto"/>
          <w:sz w:val="28"/>
          <w:szCs w:val="24"/>
          <w:highlight w:val="none"/>
        </w:rPr>
        <w:t>（1</w:t>
      </w:r>
      <w:r>
        <w:rPr>
          <w:rFonts w:hint="eastAsia" w:ascii="宋体" w:hAnsi="宋体" w:cs="宋体"/>
          <w:color w:val="auto"/>
          <w:sz w:val="28"/>
          <w:szCs w:val="24"/>
          <w:highlight w:val="none"/>
          <w:lang w:val="en-US" w:eastAsia="zh-CN"/>
        </w:rPr>
        <w:t>1</w:t>
      </w:r>
      <w:r>
        <w:rPr>
          <w:rFonts w:hint="eastAsia" w:ascii="宋体" w:hAnsi="宋体" w:cs="宋体"/>
          <w:color w:val="auto"/>
          <w:sz w:val="28"/>
          <w:szCs w:val="24"/>
          <w:highlight w:val="none"/>
        </w:rPr>
        <w:t>）其他材料。</w:t>
      </w: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rPr>
          <w:rFonts w:ascii="宋体" w:hAnsi="宋体" w:cs="宋体"/>
          <w:b/>
          <w:bCs/>
          <w:color w:val="auto"/>
          <w:sz w:val="30"/>
          <w:szCs w:val="30"/>
          <w:highlight w:val="none"/>
        </w:rPr>
      </w:pPr>
      <w:bookmarkStart w:id="386" w:name="_Toc482687743"/>
      <w:bookmarkStart w:id="387" w:name="_Toc54174961"/>
      <w:r>
        <w:rPr>
          <w:rFonts w:hint="eastAsia" w:ascii="宋体" w:hAnsi="宋体" w:cs="宋体"/>
          <w:b/>
          <w:bCs/>
          <w:color w:val="auto"/>
          <w:sz w:val="30"/>
          <w:szCs w:val="30"/>
          <w:highlight w:val="none"/>
        </w:rPr>
        <w:br w:type="page"/>
      </w:r>
    </w:p>
    <w:p>
      <w:pPr>
        <w:keepNext/>
        <w:keepLines/>
        <w:shd w:val="clear"/>
        <w:snapToGrid w:val="0"/>
        <w:spacing w:before="156" w:beforeLines="50" w:after="156" w:afterLines="50" w:line="360" w:lineRule="auto"/>
        <w:jc w:val="center"/>
        <w:outlineLvl w:val="1"/>
        <w:rPr>
          <w:rFonts w:ascii="宋体" w:hAnsi="宋体" w:cs="宋体"/>
          <w:color w:val="auto"/>
          <w:highlight w:val="none"/>
        </w:rPr>
      </w:pPr>
      <w:bookmarkStart w:id="388" w:name="_Toc16689"/>
      <w:bookmarkStart w:id="389" w:name="_Toc23871"/>
      <w:bookmarkStart w:id="390" w:name="_Toc23380"/>
      <w:bookmarkStart w:id="391" w:name="_Toc2927"/>
      <w:bookmarkStart w:id="392" w:name="_Toc10909"/>
      <w:bookmarkStart w:id="393" w:name="_Toc27725"/>
      <w:bookmarkStart w:id="394" w:name="_Toc13910"/>
      <w:r>
        <w:rPr>
          <w:rFonts w:hint="eastAsia" w:ascii="宋体" w:hAnsi="宋体" w:cs="宋体"/>
          <w:b/>
          <w:bCs/>
          <w:color w:val="auto"/>
          <w:sz w:val="30"/>
          <w:szCs w:val="30"/>
          <w:highlight w:val="none"/>
        </w:rPr>
        <w:t>一、 资格预审文件</w:t>
      </w:r>
      <w:bookmarkStart w:id="395" w:name="_Hlk482098493"/>
      <w:r>
        <w:rPr>
          <w:rFonts w:hint="eastAsia" w:ascii="宋体" w:hAnsi="宋体" w:cs="宋体"/>
          <w:b/>
          <w:bCs/>
          <w:color w:val="auto"/>
          <w:sz w:val="30"/>
          <w:szCs w:val="30"/>
          <w:highlight w:val="none"/>
        </w:rPr>
        <w:t>评审索引表</w:t>
      </w:r>
      <w:bookmarkEnd w:id="386"/>
      <w:bookmarkEnd w:id="387"/>
      <w:bookmarkEnd w:id="388"/>
      <w:bookmarkEnd w:id="389"/>
      <w:bookmarkEnd w:id="390"/>
      <w:bookmarkEnd w:id="391"/>
      <w:bookmarkEnd w:id="392"/>
      <w:bookmarkEnd w:id="393"/>
      <w:bookmarkEnd w:id="394"/>
    </w:p>
    <w:bookmarkEnd w:id="395"/>
    <w:p>
      <w:pPr>
        <w:shd w:val="clear"/>
        <w:snapToGrid w:val="0"/>
        <w:spacing w:before="156" w:beforeLines="50" w:after="156" w:afterLines="50"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申请人需对本项目资格审查办法前附表“详细审查标准”、以及其他所有评审逐条对应填写，详细列明在申请文件中的章节、页码等位置，填写该表并放置在申请文件第一页。</w:t>
      </w:r>
    </w:p>
    <w:p>
      <w:pPr>
        <w:shd w:val="clear"/>
        <w:snapToGrid w:val="0"/>
        <w:rPr>
          <w:rFonts w:ascii="宋体" w:hAnsi="宋体" w:cs="宋体"/>
          <w:color w:val="auto"/>
          <w:highlight w:val="none"/>
        </w:rPr>
      </w:pPr>
    </w:p>
    <w:p>
      <w:pPr>
        <w:shd w:val="clear"/>
        <w:snapToGrid w:val="0"/>
        <w:spacing w:before="156" w:beforeLines="50" w:after="156" w:afterLines="50" w:line="276"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r>
        <w:rPr>
          <w:rFonts w:hint="eastAsia" w:ascii="宋体" w:hAnsi="宋体" w:cs="宋体"/>
          <w:color w:val="auto"/>
          <w:kern w:val="0"/>
          <w:sz w:val="28"/>
          <w:szCs w:val="28"/>
          <w:highlight w:val="none"/>
          <w:u w:val="single"/>
        </w:rPr>
        <w:t xml:space="preserve">：             </w:t>
      </w:r>
    </w:p>
    <w:tbl>
      <w:tblPr>
        <w:tblStyle w:val="2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56"/>
        <w:gridCol w:w="1954"/>
        <w:gridCol w:w="1822"/>
        <w:gridCol w:w="199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vMerge w:val="restart"/>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序号</w:t>
            </w:r>
          </w:p>
          <w:p>
            <w:pPr>
              <w:shd w:val="clear"/>
              <w:snapToGrid w:val="0"/>
              <w:jc w:val="center"/>
              <w:rPr>
                <w:rFonts w:ascii="宋体" w:hAnsi="宋体" w:cs="宋体"/>
                <w:color w:val="auto"/>
                <w:spacing w:val="-20"/>
                <w:sz w:val="24"/>
                <w:szCs w:val="24"/>
                <w:highlight w:val="none"/>
              </w:rPr>
            </w:pPr>
          </w:p>
        </w:tc>
        <w:tc>
          <w:tcPr>
            <w:tcW w:w="3410"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资格预审文件需求</w:t>
            </w:r>
          </w:p>
        </w:tc>
        <w:tc>
          <w:tcPr>
            <w:tcW w:w="3820"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资格预审申请文件响应</w:t>
            </w:r>
          </w:p>
        </w:tc>
        <w:tc>
          <w:tcPr>
            <w:tcW w:w="1704" w:type="dxa"/>
            <w:vMerge w:val="restart"/>
            <w:tcBorders>
              <w:top w:val="single" w:color="auto" w:sz="4" w:space="0"/>
              <w:left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审查因素</w:t>
            </w: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审查标准</w:t>
            </w: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审查因素</w:t>
            </w: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704" w:type="dxa"/>
            <w:vMerge w:val="continue"/>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1</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2</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3</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4</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5</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4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color w:val="auto"/>
                <w:sz w:val="18"/>
                <w:szCs w:val="18"/>
                <w:highlight w:val="none"/>
              </w:rPr>
            </w:pPr>
          </w:p>
        </w:tc>
      </w:tr>
    </w:tbl>
    <w:p>
      <w:pPr>
        <w:shd w:val="clear"/>
        <w:snapToGrid w:val="0"/>
        <w:rPr>
          <w:rFonts w:ascii="宋体" w:hAnsi="宋体" w:cs="宋体"/>
          <w:color w:val="auto"/>
          <w:highlight w:val="none"/>
        </w:rPr>
      </w:pPr>
    </w:p>
    <w:p>
      <w:pPr>
        <w:shd w:val="clear"/>
        <w:snapToGrid w:val="0"/>
        <w:spacing w:before="156" w:beforeLines="50" w:after="156" w:afterLines="50" w:line="276" w:lineRule="auto"/>
        <w:ind w:firstLine="480" w:firstLineChars="200"/>
        <w:rPr>
          <w:rFonts w:ascii="宋体" w:hAnsi="宋体" w:cs="宋体"/>
          <w:color w:val="auto"/>
          <w:kern w:val="0"/>
          <w:sz w:val="24"/>
          <w:szCs w:val="24"/>
          <w:highlight w:val="none"/>
        </w:rPr>
        <w:sectPr>
          <w:headerReference r:id="rId8" w:type="default"/>
          <w:footerReference r:id="rId9" w:type="default"/>
          <w:pgSz w:w="11906" w:h="16838"/>
          <w:pgMar w:top="1134" w:right="1134" w:bottom="1134" w:left="1134" w:header="851" w:footer="992" w:gutter="0"/>
          <w:pgNumType w:fmt="decimal"/>
          <w:cols w:space="425" w:num="1"/>
          <w:docGrid w:type="lines" w:linePitch="312" w:charSpace="0"/>
        </w:sectPr>
      </w:pPr>
      <w:r>
        <w:rPr>
          <w:rFonts w:hint="eastAsia" w:ascii="宋体" w:hAnsi="宋体" w:cs="宋体"/>
          <w:color w:val="auto"/>
          <w:kern w:val="0"/>
          <w:sz w:val="24"/>
          <w:szCs w:val="24"/>
          <w:highlight w:val="none"/>
        </w:rPr>
        <w:t>注：申请人可根据实际情况变更上述表格形式，但需要详细反映“详细审查标准”以及其他所有评审所要求的评审内容所在申请文件中的具体位置。</w:t>
      </w:r>
    </w:p>
    <w:p>
      <w:pPr>
        <w:keepNext/>
        <w:keepLines/>
        <w:shd w:val="clear"/>
        <w:spacing w:before="120" w:beforeLines="50" w:after="120" w:afterLines="50" w:line="360" w:lineRule="auto"/>
        <w:jc w:val="center"/>
        <w:outlineLvl w:val="1"/>
        <w:rPr>
          <w:rFonts w:ascii="宋体" w:hAnsi="宋体" w:cs="宋体"/>
          <w:b/>
          <w:bCs/>
          <w:color w:val="auto"/>
          <w:sz w:val="32"/>
          <w:szCs w:val="32"/>
          <w:highlight w:val="none"/>
        </w:rPr>
      </w:pPr>
      <w:bookmarkStart w:id="396" w:name="_Toc26764"/>
      <w:bookmarkStart w:id="397" w:name="_Toc22601"/>
      <w:bookmarkStart w:id="398" w:name="_Toc17718"/>
      <w:bookmarkStart w:id="399" w:name="_Toc26791"/>
      <w:bookmarkStart w:id="400" w:name="_Toc54174962"/>
      <w:bookmarkStart w:id="401" w:name="_Toc144974466"/>
      <w:bookmarkStart w:id="402" w:name="_Toc152047262"/>
      <w:bookmarkStart w:id="403" w:name="_Toc25854"/>
      <w:bookmarkStart w:id="404" w:name="_Toc15389"/>
      <w:bookmarkStart w:id="405" w:name="_Toc32695"/>
      <w:r>
        <w:rPr>
          <w:rFonts w:hint="eastAsia" w:ascii="宋体" w:hAnsi="宋体" w:cs="宋体"/>
          <w:b/>
          <w:bCs/>
          <w:color w:val="auto"/>
          <w:sz w:val="32"/>
          <w:szCs w:val="32"/>
          <w:highlight w:val="none"/>
        </w:rPr>
        <w:t>二、资格预审申请函</w:t>
      </w:r>
      <w:bookmarkEnd w:id="396"/>
      <w:bookmarkEnd w:id="397"/>
      <w:bookmarkEnd w:id="398"/>
      <w:bookmarkEnd w:id="399"/>
      <w:bookmarkEnd w:id="400"/>
      <w:bookmarkEnd w:id="401"/>
      <w:bookmarkEnd w:id="402"/>
      <w:bookmarkEnd w:id="403"/>
      <w:bookmarkEnd w:id="404"/>
      <w:bookmarkEnd w:id="405"/>
    </w:p>
    <w:p>
      <w:pPr>
        <w:shd w:val="clear"/>
        <w:spacing w:line="400" w:lineRule="exact"/>
        <w:ind w:firstLine="560" w:firstLineChars="200"/>
        <w:jc w:val="left"/>
        <w:rPr>
          <w:rFonts w:ascii="宋体" w:hAnsi="宋体" w:cs="宋体"/>
          <w:color w:val="auto"/>
          <w:sz w:val="28"/>
          <w:szCs w:val="24"/>
          <w:highlight w:val="none"/>
        </w:rPr>
      </w:pP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致：（采购人）      </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1、按照资格预审文件的要求，我方 </w:t>
      </w:r>
      <w:r>
        <w:rPr>
          <w:rFonts w:hint="eastAsia" w:ascii="宋体" w:hAnsi="宋体" w:cs="宋体"/>
          <w:color w:val="auto"/>
          <w:sz w:val="24"/>
          <w:szCs w:val="24"/>
          <w:highlight w:val="none"/>
          <w:u w:val="single"/>
        </w:rPr>
        <w:t xml:space="preserve">     （申请人）</w:t>
      </w:r>
      <w:r>
        <w:rPr>
          <w:rFonts w:hint="eastAsia" w:ascii="宋体" w:hAnsi="宋体" w:cs="宋体"/>
          <w:color w:val="auto"/>
          <w:sz w:val="24"/>
          <w:szCs w:val="24"/>
          <w:highlight w:val="none"/>
        </w:rPr>
        <w:t>递交的资格预审申请文件及有关资料，用于你方</w:t>
      </w:r>
      <w:r>
        <w:rPr>
          <w:rFonts w:hint="eastAsia" w:ascii="宋体" w:hAnsi="宋体" w:cs="宋体"/>
          <w:color w:val="auto"/>
          <w:sz w:val="24"/>
          <w:szCs w:val="24"/>
          <w:highlight w:val="none"/>
          <w:u w:val="single"/>
        </w:rPr>
        <w:t xml:space="preserve">      （采购人）</w:t>
      </w:r>
      <w:r>
        <w:rPr>
          <w:rFonts w:hint="eastAsia" w:ascii="宋体" w:hAnsi="宋体" w:cs="宋体"/>
          <w:color w:val="auto"/>
          <w:sz w:val="24"/>
          <w:szCs w:val="24"/>
          <w:highlight w:val="none"/>
        </w:rPr>
        <w:t>审查我方参加</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的资格预审。</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2、我方的资格预审申请文件包含第二章“申请人须知”第3.1.1项规定的全部内容。</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3、我方接受你方的授权代表进行调查，以审核我方提交的文件和资料，并通过我方的客户，澄清资格预审申请文件中有关财务和技术方面的情况。</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4、你方授权代表可通过</w:t>
      </w:r>
      <w:r>
        <w:rPr>
          <w:rFonts w:hint="eastAsia" w:ascii="宋体" w:hAnsi="宋体" w:cs="宋体"/>
          <w:color w:val="auto"/>
          <w:sz w:val="24"/>
          <w:szCs w:val="24"/>
          <w:highlight w:val="none"/>
          <w:u w:val="single"/>
        </w:rPr>
        <w:t xml:space="preserve">          （联系人及联系方式）</w:t>
      </w:r>
      <w:r>
        <w:rPr>
          <w:rFonts w:hint="eastAsia" w:ascii="宋体" w:hAnsi="宋体" w:cs="宋体"/>
          <w:color w:val="auto"/>
          <w:sz w:val="24"/>
          <w:szCs w:val="24"/>
          <w:highlight w:val="none"/>
        </w:rPr>
        <w:t>得到进一步的资料。</w:t>
      </w:r>
    </w:p>
    <w:p>
      <w:pPr>
        <w:shd w:val="clear"/>
        <w:spacing w:line="48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5、我方在此声明，所递交的资格预审申请文件及有关资料内容完整、真实和准确，且不存在第二章“申请人须知”第1.4.6项规定的任何一种情形。</w:t>
      </w:r>
      <w:r>
        <w:rPr>
          <w:rFonts w:hint="eastAsia" w:ascii="宋体" w:hAnsi="宋体" w:cs="宋体"/>
          <w:bCs/>
          <w:color w:val="auto"/>
          <w:sz w:val="24"/>
          <w:szCs w:val="24"/>
          <w:highlight w:val="none"/>
        </w:rPr>
        <w:t>如通过资格评审且获准参加竞标，我将按以上填写的项目参加竞标。</w:t>
      </w:r>
    </w:p>
    <w:p>
      <w:pPr>
        <w:shd w:val="clear"/>
        <w:spacing w:line="400" w:lineRule="exact"/>
        <w:ind w:firstLine="480" w:firstLineChars="200"/>
        <w:jc w:val="left"/>
        <w:rPr>
          <w:rFonts w:ascii="宋体" w:hAnsi="宋体" w:cs="宋体"/>
          <w:color w:val="auto"/>
          <w:sz w:val="24"/>
          <w:szCs w:val="24"/>
          <w:highlight w:val="none"/>
        </w:rPr>
      </w:pPr>
    </w:p>
    <w:p>
      <w:pPr>
        <w:shd w:val="clear"/>
        <w:spacing w:line="400" w:lineRule="exact"/>
        <w:ind w:firstLine="480" w:firstLineChars="200"/>
        <w:jc w:val="left"/>
        <w:rPr>
          <w:rFonts w:ascii="宋体" w:hAnsi="宋体" w:cs="宋体"/>
          <w:color w:val="auto"/>
          <w:sz w:val="24"/>
          <w:szCs w:val="24"/>
          <w:highlight w:val="none"/>
        </w:rPr>
      </w:pPr>
    </w:p>
    <w:p>
      <w:pPr>
        <w:shd w:val="clear"/>
        <w:spacing w:line="400" w:lineRule="exact"/>
        <w:ind w:firstLine="480" w:firstLineChars="200"/>
        <w:jc w:val="left"/>
        <w:rPr>
          <w:rFonts w:ascii="宋体" w:hAnsi="宋体" w:cs="宋体"/>
          <w:color w:val="auto"/>
          <w:sz w:val="24"/>
          <w:szCs w:val="24"/>
          <w:highlight w:val="none"/>
        </w:rPr>
      </w:pPr>
    </w:p>
    <w:p>
      <w:pPr>
        <w:shd w:val="clea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申请人或联合体牵头人：</w:t>
      </w:r>
      <w:r>
        <w:rPr>
          <w:rFonts w:hint="eastAsia" w:ascii="宋体" w:hAnsi="宋体" w:cs="宋体"/>
          <w:color w:val="auto"/>
          <w:sz w:val="24"/>
          <w:szCs w:val="24"/>
          <w:highlight w:val="none"/>
          <w:u w:val="single"/>
        </w:rPr>
        <w:t xml:space="preserve">                    （盖单位章）</w:t>
      </w:r>
    </w:p>
    <w:p>
      <w:pPr>
        <w:shd w:val="clear"/>
        <w:spacing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（签字）</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申请人或联合体牵头人地址：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hd w:val="clear"/>
        <w:spacing w:line="48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邮政编码： </w:t>
      </w:r>
      <w:r>
        <w:rPr>
          <w:rFonts w:hint="eastAsia" w:ascii="宋体" w:hAnsi="宋体" w:cs="宋体"/>
          <w:color w:val="auto"/>
          <w:sz w:val="24"/>
          <w:szCs w:val="24"/>
          <w:highlight w:val="none"/>
          <w:u w:val="single"/>
        </w:rPr>
        <w:t xml:space="preserve">                                         </w:t>
      </w:r>
    </w:p>
    <w:p>
      <w:pPr>
        <w:shd w:val="clear"/>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keepNext/>
        <w:keepLines/>
        <w:shd w:val="clear"/>
        <w:spacing w:before="120" w:beforeLines="50" w:after="120" w:afterLines="50" w:line="360" w:lineRule="auto"/>
        <w:jc w:val="center"/>
        <w:outlineLvl w:val="1"/>
        <w:rPr>
          <w:rFonts w:ascii="宋体" w:hAnsi="宋体" w:cs="宋体"/>
          <w:b/>
          <w:bCs/>
          <w:color w:val="auto"/>
          <w:kern w:val="1"/>
          <w:sz w:val="30"/>
          <w:szCs w:val="30"/>
          <w:highlight w:val="none"/>
        </w:rPr>
      </w:pPr>
      <w:bookmarkStart w:id="406" w:name="_Toc32385"/>
      <w:bookmarkStart w:id="407" w:name="_Toc12998"/>
      <w:bookmarkStart w:id="408" w:name="_Toc18129"/>
      <w:bookmarkStart w:id="409" w:name="_Toc881"/>
      <w:bookmarkStart w:id="410" w:name="_Toc28110"/>
      <w:bookmarkStart w:id="411" w:name="_Toc54174963"/>
      <w:bookmarkStart w:id="412" w:name="_Toc13587"/>
      <w:bookmarkStart w:id="413" w:name="_Toc3746"/>
      <w:bookmarkStart w:id="414" w:name="_Toc144974467"/>
      <w:bookmarkStart w:id="415" w:name="_Toc152047263"/>
      <w:r>
        <w:rPr>
          <w:rFonts w:hint="eastAsia" w:ascii="宋体" w:hAnsi="宋体" w:cs="宋体"/>
          <w:b/>
          <w:bCs/>
          <w:color w:val="auto"/>
          <w:sz w:val="30"/>
          <w:szCs w:val="30"/>
          <w:highlight w:val="none"/>
        </w:rPr>
        <w:t>三、</w:t>
      </w:r>
      <w:r>
        <w:rPr>
          <w:rFonts w:hint="eastAsia" w:ascii="宋体" w:hAnsi="宋体" w:cs="宋体"/>
          <w:b/>
          <w:bCs/>
          <w:color w:val="auto"/>
          <w:kern w:val="1"/>
          <w:sz w:val="30"/>
          <w:szCs w:val="30"/>
          <w:highlight w:val="none"/>
        </w:rPr>
        <w:t>法定代表人身份证明或附有法定代表人身份证明的授权委托书</w:t>
      </w:r>
      <w:bookmarkEnd w:id="406"/>
      <w:bookmarkEnd w:id="407"/>
      <w:bookmarkEnd w:id="408"/>
      <w:bookmarkEnd w:id="409"/>
      <w:bookmarkEnd w:id="410"/>
      <w:bookmarkEnd w:id="411"/>
      <w:bookmarkEnd w:id="412"/>
      <w:bookmarkEnd w:id="413"/>
    </w:p>
    <w:p>
      <w:pPr>
        <w:keepNext/>
        <w:keepLines/>
        <w:shd w:val="clear"/>
        <w:spacing w:before="120" w:beforeLines="50" w:after="120" w:afterLines="50" w:line="360" w:lineRule="auto"/>
        <w:jc w:val="center"/>
        <w:outlineLvl w:val="1"/>
        <w:rPr>
          <w:rFonts w:ascii="宋体" w:hAnsi="宋体" w:cs="宋体"/>
          <w:b/>
          <w:bCs/>
          <w:color w:val="auto"/>
          <w:sz w:val="28"/>
          <w:szCs w:val="28"/>
          <w:highlight w:val="none"/>
        </w:rPr>
      </w:pPr>
      <w:bookmarkStart w:id="416" w:name="_Toc577"/>
      <w:bookmarkStart w:id="417" w:name="_Toc20589"/>
      <w:bookmarkStart w:id="418" w:name="_Toc5945"/>
      <w:bookmarkStart w:id="419" w:name="_Toc6305"/>
      <w:bookmarkStart w:id="420" w:name="_Toc32114"/>
      <w:bookmarkStart w:id="421" w:name="_Toc54174964"/>
      <w:bookmarkStart w:id="422" w:name="_Toc5852"/>
      <w:bookmarkStart w:id="423" w:name="_Toc2805"/>
      <w:r>
        <w:rPr>
          <w:rFonts w:hint="eastAsia" w:ascii="宋体" w:hAnsi="宋体" w:cs="宋体"/>
          <w:b/>
          <w:bCs/>
          <w:color w:val="auto"/>
          <w:sz w:val="28"/>
          <w:szCs w:val="28"/>
          <w:highlight w:val="none"/>
        </w:rPr>
        <w:t>（1）法定代表人身份证明</w:t>
      </w:r>
      <w:bookmarkEnd w:id="414"/>
      <w:bookmarkEnd w:id="415"/>
      <w:bookmarkEnd w:id="416"/>
      <w:bookmarkEnd w:id="417"/>
      <w:bookmarkEnd w:id="418"/>
      <w:bookmarkEnd w:id="419"/>
      <w:bookmarkEnd w:id="420"/>
      <w:bookmarkEnd w:id="421"/>
      <w:bookmarkEnd w:id="422"/>
      <w:bookmarkEnd w:id="423"/>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申请人名称：</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单位性质：</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单位地址：</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成立时间：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月</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日</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经营期限：</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u w:val="single"/>
        </w:rPr>
      </w:pPr>
      <w:r>
        <w:rPr>
          <w:rFonts w:hint="eastAsia" w:ascii="宋体" w:hAnsi="宋体" w:cs="宋体"/>
          <w:bCs/>
          <w:color w:val="auto"/>
          <w:sz w:val="24"/>
          <w:szCs w:val="30"/>
          <w:highlight w:val="none"/>
        </w:rPr>
        <w:t>姓名：</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性别：</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年龄：</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职务：</w:t>
      </w:r>
      <w:r>
        <w:rPr>
          <w:rFonts w:hint="eastAsia" w:ascii="宋体" w:hAnsi="宋体" w:cs="宋体"/>
          <w:bCs/>
          <w:color w:val="auto"/>
          <w:sz w:val="24"/>
          <w:szCs w:val="30"/>
          <w:highlight w:val="none"/>
          <w:u w:val="single"/>
        </w:rPr>
        <w:t xml:space="preserve">         </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系</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（申请人名称）的法定代表人。</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特此证明。</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附：法定代表人身份证复印件</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 xml:space="preserve">                          申请人：</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（盖单位公章）</w:t>
      </w:r>
    </w:p>
    <w:p>
      <w:pPr>
        <w:shd w:val="clear"/>
        <w:adjustRightInd w:val="0"/>
        <w:snapToGrid w:val="0"/>
        <w:spacing w:line="360" w:lineRule="auto"/>
        <w:ind w:firstLine="480" w:firstLineChars="200"/>
        <w:jc w:val="left"/>
        <w:rPr>
          <w:rFonts w:ascii="宋体" w:hAnsi="宋体" w:cs="宋体"/>
          <w:bCs/>
          <w:color w:val="auto"/>
          <w:sz w:val="24"/>
          <w:szCs w:val="30"/>
          <w:highlight w:val="none"/>
        </w:rPr>
      </w:pPr>
      <w:r>
        <w:rPr>
          <w:rFonts w:hint="eastAsia" w:ascii="宋体" w:hAnsi="宋体" w:cs="宋体"/>
          <w:bCs/>
          <w:color w:val="auto"/>
          <w:sz w:val="24"/>
          <w:szCs w:val="30"/>
          <w:highlight w:val="none"/>
        </w:rPr>
        <w:t xml:space="preserve">                          </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年</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月</w:t>
      </w:r>
      <w:r>
        <w:rPr>
          <w:rFonts w:hint="eastAsia" w:ascii="宋体" w:hAnsi="宋体" w:cs="宋体"/>
          <w:bCs/>
          <w:color w:val="auto"/>
          <w:sz w:val="24"/>
          <w:szCs w:val="30"/>
          <w:highlight w:val="none"/>
          <w:u w:val="single"/>
        </w:rPr>
        <w:t xml:space="preserve">        </w:t>
      </w:r>
      <w:r>
        <w:rPr>
          <w:rFonts w:hint="eastAsia" w:ascii="宋体" w:hAnsi="宋体" w:cs="宋体"/>
          <w:bCs/>
          <w:color w:val="auto"/>
          <w:sz w:val="24"/>
          <w:szCs w:val="30"/>
          <w:highlight w:val="none"/>
        </w:rPr>
        <w:t>日</w:t>
      </w:r>
    </w:p>
    <w:p>
      <w:pPr>
        <w:shd w:val="clea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kern w:val="0"/>
          <w:sz w:val="24"/>
          <w:highlight w:val="none"/>
        </w:rPr>
        <w:t>注：申请人如为联合体，该项资料由联合体各成员单位均须提供</w:t>
      </w:r>
      <w:r>
        <w:rPr>
          <w:rFonts w:hint="eastAsia" w:ascii="宋体" w:hAnsi="宋体" w:cs="宋体"/>
          <w:color w:val="auto"/>
          <w:sz w:val="24"/>
          <w:highlight w:val="none"/>
        </w:rPr>
        <w:t>。</w:t>
      </w:r>
    </w:p>
    <w:p>
      <w:pPr>
        <w:pStyle w:val="2"/>
        <w:shd w:val="clear"/>
        <w:ind w:firstLine="480"/>
        <w:rPr>
          <w:rFonts w:ascii="宋体" w:cs="宋体"/>
          <w:color w:val="auto"/>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400" w:lineRule="exact"/>
        <w:jc w:val="left"/>
        <w:rPr>
          <w:rFonts w:ascii="宋体" w:hAnsi="宋体" w:cs="宋体"/>
          <w:color w:val="auto"/>
          <w:sz w:val="28"/>
          <w:szCs w:val="24"/>
          <w:highlight w:val="none"/>
        </w:rPr>
      </w:pPr>
    </w:p>
    <w:p>
      <w:pPr>
        <w:shd w:val="clear"/>
        <w:rPr>
          <w:rFonts w:ascii="宋体" w:hAnsi="宋体" w:cs="宋体"/>
          <w:b/>
          <w:bCs/>
          <w:color w:val="auto"/>
          <w:sz w:val="28"/>
          <w:szCs w:val="28"/>
          <w:highlight w:val="none"/>
        </w:rPr>
      </w:pPr>
      <w:bookmarkStart w:id="424" w:name="_Toc54174965"/>
      <w:bookmarkStart w:id="425" w:name="_Toc144974468"/>
      <w:bookmarkStart w:id="426" w:name="_Toc152047264"/>
    </w:p>
    <w:p>
      <w:pPr>
        <w:keepNext/>
        <w:keepLines/>
        <w:shd w:val="clear"/>
        <w:spacing w:before="120" w:beforeLines="50" w:after="120" w:afterLines="50" w:line="360" w:lineRule="auto"/>
        <w:jc w:val="center"/>
        <w:outlineLvl w:val="1"/>
        <w:rPr>
          <w:rFonts w:ascii="宋体" w:hAnsi="宋体" w:cs="宋体"/>
          <w:b/>
          <w:bCs/>
          <w:color w:val="auto"/>
          <w:sz w:val="28"/>
          <w:szCs w:val="28"/>
          <w:highlight w:val="none"/>
        </w:rPr>
      </w:pPr>
      <w:bookmarkStart w:id="427" w:name="_Toc8718"/>
      <w:bookmarkStart w:id="428" w:name="_Toc6052"/>
      <w:bookmarkStart w:id="429" w:name="_Toc14807"/>
      <w:bookmarkStart w:id="430" w:name="_Toc13950"/>
      <w:bookmarkStart w:id="431" w:name="_Toc27317"/>
      <w:bookmarkStart w:id="432" w:name="_Toc9243"/>
      <w:bookmarkStart w:id="433" w:name="_Toc32763"/>
      <w:r>
        <w:rPr>
          <w:rFonts w:hint="eastAsia" w:ascii="宋体" w:hAnsi="宋体" w:cs="宋体"/>
          <w:b/>
          <w:bCs/>
          <w:color w:val="auto"/>
          <w:sz w:val="28"/>
          <w:szCs w:val="28"/>
          <w:highlight w:val="none"/>
        </w:rPr>
        <w:t>（2）授权委托书</w:t>
      </w:r>
      <w:bookmarkEnd w:id="424"/>
      <w:bookmarkEnd w:id="425"/>
      <w:bookmarkEnd w:id="426"/>
      <w:bookmarkEnd w:id="427"/>
      <w:bookmarkEnd w:id="428"/>
      <w:bookmarkEnd w:id="429"/>
      <w:bookmarkEnd w:id="430"/>
      <w:bookmarkEnd w:id="431"/>
      <w:bookmarkEnd w:id="432"/>
      <w:bookmarkEnd w:id="433"/>
    </w:p>
    <w:p>
      <w:pPr>
        <w:shd w:val="clear"/>
        <w:spacing w:line="400" w:lineRule="exact"/>
        <w:ind w:firstLine="560" w:firstLineChars="200"/>
        <w:jc w:val="left"/>
        <w:rPr>
          <w:rFonts w:ascii="宋体" w:hAnsi="宋体" w:cs="宋体"/>
          <w:color w:val="auto"/>
          <w:sz w:val="28"/>
          <w:szCs w:val="21"/>
          <w:highlight w:val="none"/>
        </w:rPr>
      </w:pPr>
    </w:p>
    <w:p>
      <w:pPr>
        <w:shd w:val="clear"/>
        <w:adjustRightInd w:val="0"/>
        <w:snapToGrid w:val="0"/>
        <w:spacing w:line="360" w:lineRule="auto"/>
        <w:ind w:firstLine="480" w:firstLineChars="200"/>
        <w:rPr>
          <w:rFonts w:ascii="宋体" w:hAnsi="宋体" w:cs="宋体"/>
          <w:color w:val="auto"/>
          <w:sz w:val="24"/>
          <w:szCs w:val="28"/>
          <w:highlight w:val="none"/>
        </w:rPr>
      </w:pPr>
    </w:p>
    <w:p>
      <w:pPr>
        <w:shd w:val="clear"/>
        <w:adjustRightInd w:val="0"/>
        <w:snapToGrid w:val="0"/>
        <w:spacing w:line="360" w:lineRule="auto"/>
        <w:rPr>
          <w:rFonts w:ascii="宋体" w:hAnsi="宋体" w:cs="宋体"/>
          <w:color w:val="auto"/>
          <w:kern w:val="0"/>
          <w:sz w:val="24"/>
          <w:szCs w:val="28"/>
          <w:highlight w:val="none"/>
        </w:rPr>
      </w:pPr>
      <w:r>
        <w:rPr>
          <w:rFonts w:hint="eastAsia" w:ascii="宋体" w:hAnsi="宋体" w:cs="宋体"/>
          <w:color w:val="auto"/>
          <w:kern w:val="0"/>
          <w:sz w:val="24"/>
          <w:szCs w:val="28"/>
          <w:highlight w:val="none"/>
        </w:rPr>
        <w:t>致：（采购代理机构名称）</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本人</w:t>
      </w:r>
      <w:r>
        <w:rPr>
          <w:rFonts w:hint="eastAsia" w:ascii="宋体" w:hAnsi="宋体" w:cs="宋体"/>
          <w:color w:val="auto"/>
          <w:kern w:val="0"/>
          <w:sz w:val="24"/>
          <w:szCs w:val="28"/>
          <w:highlight w:val="none"/>
          <w:u w:val="single"/>
        </w:rPr>
        <w:t>（姓名）</w:t>
      </w:r>
      <w:r>
        <w:rPr>
          <w:rFonts w:hint="eastAsia" w:ascii="宋体" w:hAnsi="宋体" w:cs="宋体"/>
          <w:color w:val="auto"/>
          <w:kern w:val="0"/>
          <w:sz w:val="24"/>
          <w:szCs w:val="28"/>
          <w:highlight w:val="none"/>
        </w:rPr>
        <w:t>系</w:t>
      </w:r>
      <w:r>
        <w:rPr>
          <w:rFonts w:hint="eastAsia" w:ascii="宋体" w:hAnsi="宋体" w:cs="宋体"/>
          <w:color w:val="auto"/>
          <w:kern w:val="0"/>
          <w:sz w:val="24"/>
          <w:szCs w:val="28"/>
          <w:highlight w:val="none"/>
          <w:u w:val="single"/>
        </w:rPr>
        <w:t>（申请人名称）</w:t>
      </w:r>
      <w:r>
        <w:rPr>
          <w:rFonts w:hint="eastAsia" w:ascii="宋体" w:hAnsi="宋体" w:cs="宋体"/>
          <w:color w:val="auto"/>
          <w:kern w:val="0"/>
          <w:sz w:val="24"/>
          <w:szCs w:val="28"/>
          <w:highlight w:val="none"/>
        </w:rPr>
        <w:t>的法定代表人，现授权我单位在职正式员工</w:t>
      </w:r>
      <w:r>
        <w:rPr>
          <w:rFonts w:hint="eastAsia" w:ascii="宋体" w:hAnsi="宋体" w:cs="宋体"/>
          <w:color w:val="auto"/>
          <w:kern w:val="0"/>
          <w:sz w:val="24"/>
          <w:szCs w:val="28"/>
          <w:highlight w:val="none"/>
          <w:u w:val="single"/>
        </w:rPr>
        <w:t>（姓名和职务）</w:t>
      </w:r>
      <w:r>
        <w:rPr>
          <w:rFonts w:hint="eastAsia" w:ascii="宋体" w:hAnsi="宋体" w:cs="宋体"/>
          <w:color w:val="auto"/>
          <w:kern w:val="0"/>
          <w:sz w:val="24"/>
          <w:szCs w:val="28"/>
          <w:highlight w:val="none"/>
        </w:rPr>
        <w:t>为我方代理人。代理人根据授权，以我方名义签署、澄清、说明、补正、递交、撤回、修改贵方组织的</w:t>
      </w:r>
      <w:r>
        <w:rPr>
          <w:rFonts w:hint="eastAsia" w:ascii="宋体" w:hAnsi="宋体" w:cs="宋体"/>
          <w:color w:val="auto"/>
          <w:kern w:val="0"/>
          <w:sz w:val="24"/>
          <w:szCs w:val="28"/>
          <w:highlight w:val="none"/>
          <w:u w:val="single"/>
        </w:rPr>
        <w:t>（项目名称）</w:t>
      </w:r>
      <w:r>
        <w:rPr>
          <w:rFonts w:hint="eastAsia" w:ascii="宋体" w:hAnsi="宋体" w:cs="宋体"/>
          <w:color w:val="auto"/>
          <w:kern w:val="0"/>
          <w:sz w:val="24"/>
          <w:szCs w:val="28"/>
          <w:highlight w:val="none"/>
        </w:rPr>
        <w:t>（项目编号：）项目的资格预审活动和处理一切有关事宜，其法律后果由我方承担。</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本授权书于</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年</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月</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rPr>
        <w:t>日</w:t>
      </w:r>
      <w:r>
        <w:rPr>
          <w:rFonts w:hint="eastAsia" w:ascii="宋体" w:hAnsi="宋体" w:cs="宋体"/>
          <w:color w:val="auto"/>
          <w:kern w:val="0"/>
          <w:sz w:val="24"/>
          <w:szCs w:val="28"/>
          <w:highlight w:val="none"/>
        </w:rPr>
        <w:t>签字生效，委托期限：</w:t>
      </w:r>
      <w:r>
        <w:rPr>
          <w:rFonts w:hint="eastAsia" w:ascii="宋体" w:hAnsi="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rPr>
        <w:t>。</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代理人无转委托权。</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牵头人名称：</w:t>
      </w:r>
      <w:r>
        <w:rPr>
          <w:rFonts w:hint="eastAsia" w:ascii="宋体" w:hAnsi="宋体" w:cs="宋体"/>
          <w:color w:val="auto"/>
          <w:kern w:val="0"/>
          <w:sz w:val="24"/>
          <w:szCs w:val="28"/>
          <w:highlight w:val="none"/>
          <w:u w:val="single"/>
        </w:rPr>
        <w:t>　　　　　　　　　　(盖单位公章)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w:t>
      </w:r>
      <w:r>
        <w:rPr>
          <w:rFonts w:hint="eastAsia" w:ascii="宋体" w:hAnsi="宋体" w:cs="宋体"/>
          <w:color w:val="auto"/>
          <w:kern w:val="0"/>
          <w:sz w:val="24"/>
          <w:szCs w:val="28"/>
          <w:highlight w:val="none"/>
          <w:u w:val="single"/>
        </w:rPr>
        <w:t>　　　　　(签字或盖章)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法定代表人身份证号码：</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成员单位一名称：</w:t>
      </w:r>
      <w:r>
        <w:rPr>
          <w:rFonts w:hint="eastAsia" w:ascii="宋体" w:hAnsi="宋体" w:cs="宋体"/>
          <w:color w:val="auto"/>
          <w:kern w:val="0"/>
          <w:sz w:val="24"/>
          <w:szCs w:val="28"/>
          <w:highlight w:val="none"/>
          <w:u w:val="single"/>
        </w:rPr>
        <w:t>　　　　　　　　(盖单位公章)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w:t>
      </w:r>
      <w:r>
        <w:rPr>
          <w:rFonts w:hint="eastAsia" w:ascii="宋体" w:hAnsi="宋体" w:cs="宋体"/>
          <w:color w:val="auto"/>
          <w:kern w:val="0"/>
          <w:sz w:val="24"/>
          <w:szCs w:val="28"/>
          <w:highlight w:val="none"/>
          <w:u w:val="single"/>
        </w:rPr>
        <w:t>　　　　　(签字或盖章)</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法定代表人身份证号码：</w:t>
      </w:r>
      <w:r>
        <w:rPr>
          <w:rFonts w:hint="eastAsia" w:ascii="宋体" w:hAnsi="宋体" w:cs="宋体"/>
          <w:color w:val="auto"/>
          <w:kern w:val="0"/>
          <w:sz w:val="24"/>
          <w:szCs w:val="28"/>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w:t>
      </w:r>
    </w:p>
    <w:p>
      <w:pPr>
        <w:shd w:val="clear"/>
        <w:adjustRightInd w:val="0"/>
        <w:snapToGrid w:val="0"/>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委托代理人（签字或盖章）：</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u w:val="single"/>
        </w:rPr>
      </w:pPr>
      <w:r>
        <w:rPr>
          <w:rFonts w:hint="eastAsia" w:ascii="宋体" w:hAnsi="宋体" w:cs="宋体"/>
          <w:color w:val="auto"/>
          <w:kern w:val="0"/>
          <w:sz w:val="24"/>
          <w:szCs w:val="28"/>
          <w:highlight w:val="none"/>
        </w:rPr>
        <w:t>委托代理人身份证号码：</w:t>
      </w:r>
      <w:r>
        <w:rPr>
          <w:rFonts w:hint="eastAsia" w:ascii="宋体" w:hAnsi="宋体" w:cs="宋体"/>
          <w:color w:val="auto"/>
          <w:sz w:val="24"/>
          <w:highlight w:val="none"/>
          <w:u w:val="single"/>
        </w:rPr>
        <w:t xml:space="preserve">                         </w:t>
      </w:r>
    </w:p>
    <w:p>
      <w:pPr>
        <w:shd w:val="clear"/>
        <w:adjustRightInd w:val="0"/>
        <w:snapToGrid w:val="0"/>
        <w:spacing w:line="360" w:lineRule="auto"/>
        <w:ind w:firstLine="480" w:firstLineChars="200"/>
        <w:rPr>
          <w:rFonts w:ascii="宋体" w:hAnsi="宋体" w:cs="宋体"/>
          <w:color w:val="auto"/>
          <w:kern w:val="0"/>
          <w:sz w:val="24"/>
          <w:szCs w:val="28"/>
          <w:highlight w:val="none"/>
          <w:u w:val="single"/>
        </w:rPr>
      </w:pPr>
      <w:r>
        <w:rPr>
          <w:rFonts w:hint="eastAsia" w:ascii="宋体" w:hAnsi="宋体" w:cs="宋体"/>
          <w:color w:val="auto"/>
          <w:sz w:val="24"/>
          <w:szCs w:val="28"/>
          <w:highlight w:val="none"/>
          <w:u w:val="single"/>
        </w:rPr>
        <w:t xml:space="preserve">    年    月   日</w:t>
      </w:r>
    </w:p>
    <w:p>
      <w:pPr>
        <w:shd w:val="clear"/>
        <w:adjustRightInd w:val="0"/>
        <w:snapToGrid w:val="0"/>
        <w:spacing w:line="360" w:lineRule="auto"/>
        <w:ind w:firstLine="480" w:firstLineChars="200"/>
        <w:jc w:val="left"/>
        <w:rPr>
          <w:rFonts w:ascii="宋体" w:hAnsi="宋体" w:cs="宋体"/>
          <w:color w:val="auto"/>
          <w:sz w:val="24"/>
          <w:szCs w:val="28"/>
          <w:highlight w:val="none"/>
        </w:rPr>
      </w:pPr>
    </w:p>
    <w:p>
      <w:pPr>
        <w:shd w:val="clear"/>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附：委托代理人身份证正反面复印件，申请人为企业法人的由县级及以上（含县级）社会养老保险经办机构出具的申请人为委托代理人近3个月社保缴纳证明复印件，申请人为事业法人的须出具委托代理人为单位在编人员的相关证明。</w:t>
      </w:r>
    </w:p>
    <w:p>
      <w:pPr>
        <w:shd w:val="clear"/>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kern w:val="0"/>
          <w:sz w:val="24"/>
          <w:highlight w:val="none"/>
        </w:rPr>
        <w:t>注：申请人如为联合体，该项资料由联合体各成员单位均须盖章。</w:t>
      </w:r>
    </w:p>
    <w:p>
      <w:pPr>
        <w:widowControl/>
        <w:shd w:val="clear"/>
        <w:spacing w:beforeAutospacing="1" w:afterAutospacing="1" w:line="360" w:lineRule="auto"/>
        <w:jc w:val="left"/>
        <w:rPr>
          <w:rFonts w:ascii="宋体" w:hAnsi="宋体" w:cs="宋体"/>
          <w:color w:val="auto"/>
          <w:sz w:val="24"/>
          <w:szCs w:val="28"/>
          <w:highlight w:val="none"/>
        </w:rPr>
        <w:sectPr>
          <w:pgSz w:w="12240" w:h="15840"/>
          <w:pgMar w:top="1134" w:right="1134" w:bottom="1134" w:left="1418" w:header="720" w:footer="720" w:gutter="0"/>
          <w:pgNumType w:fmt="decimal"/>
          <w:cols w:space="720" w:num="1"/>
        </w:sectPr>
      </w:pPr>
    </w:p>
    <w:p>
      <w:pPr>
        <w:shd w:val="clear"/>
        <w:spacing w:line="400" w:lineRule="exact"/>
        <w:jc w:val="left"/>
        <w:rPr>
          <w:rFonts w:ascii="宋体" w:hAnsi="宋体" w:cs="宋体"/>
          <w:color w:val="auto"/>
          <w:sz w:val="28"/>
          <w:szCs w:val="28"/>
          <w:highlight w:val="none"/>
        </w:rPr>
      </w:pP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34" w:name="_Toc152047265"/>
      <w:bookmarkStart w:id="435" w:name="_Toc54174966"/>
      <w:bookmarkStart w:id="436" w:name="_Toc144974469"/>
      <w:bookmarkStart w:id="437" w:name="_Toc8612"/>
      <w:bookmarkStart w:id="438" w:name="_Toc18324"/>
      <w:bookmarkStart w:id="439" w:name="_Toc22028"/>
      <w:bookmarkStart w:id="440" w:name="_Toc32139"/>
      <w:bookmarkStart w:id="441" w:name="_Toc4459"/>
      <w:bookmarkStart w:id="442" w:name="_Toc28026"/>
      <w:bookmarkStart w:id="443" w:name="_Toc61"/>
      <w:r>
        <w:rPr>
          <w:rFonts w:hint="eastAsia" w:ascii="宋体" w:hAnsi="宋体" w:cs="宋体"/>
          <w:b/>
          <w:bCs/>
          <w:color w:val="auto"/>
          <w:sz w:val="30"/>
          <w:szCs w:val="30"/>
          <w:highlight w:val="none"/>
        </w:rPr>
        <w:t>四、联合体协议书</w:t>
      </w:r>
      <w:bookmarkEnd w:id="434"/>
      <w:bookmarkEnd w:id="435"/>
      <w:bookmarkEnd w:id="436"/>
      <w:r>
        <w:rPr>
          <w:rFonts w:hint="eastAsia" w:ascii="宋体" w:hAnsi="宋体" w:cs="宋体"/>
          <w:color w:val="auto"/>
          <w:sz w:val="24"/>
          <w:szCs w:val="24"/>
          <w:highlight w:val="none"/>
        </w:rPr>
        <w:t>（非联合体不需提交）</w:t>
      </w:r>
      <w:bookmarkEnd w:id="437"/>
      <w:bookmarkEnd w:id="438"/>
      <w:bookmarkEnd w:id="439"/>
      <w:bookmarkEnd w:id="440"/>
      <w:bookmarkEnd w:id="441"/>
      <w:bookmarkEnd w:id="442"/>
      <w:bookmarkEnd w:id="443"/>
    </w:p>
    <w:p>
      <w:pPr>
        <w:shd w:val="clear"/>
        <w:topLinePunct/>
        <w:adjustRightInd w:val="0"/>
        <w:snapToGrid w:val="0"/>
        <w:spacing w:line="360" w:lineRule="auto"/>
        <w:ind w:firstLine="560" w:firstLineChars="200"/>
        <w:rPr>
          <w:rFonts w:ascii="宋体" w:hAnsi="宋体" w:cs="宋体"/>
          <w:color w:val="auto"/>
          <w:sz w:val="24"/>
          <w:szCs w:val="28"/>
          <w:highlight w:val="none"/>
        </w:rPr>
      </w:pPr>
      <w:r>
        <w:rPr>
          <w:rFonts w:hint="eastAsia" w:ascii="宋体" w:hAnsi="宋体" w:cs="宋体"/>
          <w:color w:val="auto"/>
          <w:sz w:val="28"/>
          <w:szCs w:val="21"/>
          <w:highlight w:val="none"/>
        </w:rPr>
        <w:t xml:space="preserve">      </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(所有成员单位名称)自愿组成</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(联合体名称)联合体，共同参加</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(项目名称)资格预审和投标。现就联合体投标事宜订立如下协议：</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(某成员单位名称)为</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(联合体名称)牵头人。</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联合体牵头人合法代表联合体各成员负责本项目资格预审申请文件、投标文件递交和合同谈判活动，代表联合体提交和接收相关的资料、信息及指示，处理与之有关的一切事务，并负责合同实施阶段的主办、组织和协调工作。</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3、联合体将严格按照资格预审文件和招标文件的各项要求，编制资格预审申请文件和投标文件，履行合同，并对外承担连带责任。</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4、联合体内部各成员单位的职责分工如下：</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5、联合体内部各成员在项目公司出资占股如下：</w:t>
      </w:r>
      <w:r>
        <w:rPr>
          <w:rFonts w:hint="eastAsia" w:ascii="宋体" w:hAnsi="宋体" w:cs="宋体"/>
          <w:color w:val="auto"/>
          <w:sz w:val="24"/>
          <w:highlight w:val="none"/>
        </w:rPr>
        <w:t>（根据内部职责分配填写）</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6、本协议书自签署之日起生效，合同履行完毕后自动失效。</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7、本协议书一式</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份，联合体成员和采购人各执一份。</w:t>
      </w:r>
    </w:p>
    <w:p>
      <w:pPr>
        <w:shd w:val="clear"/>
        <w:topLinePunct/>
        <w:adjustRightInd w:val="0"/>
        <w:snapToGrid w:val="0"/>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牵头人名称：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成员单位一名称：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xml:space="preserve">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成员单位二名称：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成员单位三名称：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成员单位四名称：</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(盖单位公章)</w:t>
      </w:r>
    </w:p>
    <w:p>
      <w:pPr>
        <w:shd w:val="clear"/>
        <w:topLinePunct/>
        <w:adjustRightInd w:val="0"/>
        <w:snapToGrid w:val="0"/>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8"/>
          <w:highlight w:val="none"/>
          <w:u w:val="single"/>
        </w:rPr>
        <w:t xml:space="preserve">　　　                     　　 </w:t>
      </w:r>
      <w:r>
        <w:rPr>
          <w:rFonts w:hint="eastAsia" w:ascii="宋体" w:hAnsi="宋体" w:cs="宋体"/>
          <w:color w:val="auto"/>
          <w:kern w:val="0"/>
          <w:sz w:val="24"/>
          <w:szCs w:val="28"/>
          <w:highlight w:val="none"/>
        </w:rPr>
        <w:t>(签字或盖章)</w:t>
      </w:r>
    </w:p>
    <w:p>
      <w:pPr>
        <w:shd w:val="clear"/>
        <w:topLinePunct/>
        <w:adjustRightInd w:val="0"/>
        <w:snapToGrid w:val="0"/>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年</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月</w:t>
      </w:r>
      <w:r>
        <w:rPr>
          <w:rFonts w:hint="eastAsia" w:ascii="宋体" w:hAnsi="宋体" w:cs="宋体"/>
          <w:color w:val="auto"/>
          <w:sz w:val="24"/>
          <w:szCs w:val="28"/>
          <w:highlight w:val="none"/>
          <w:u w:val="single"/>
        </w:rPr>
        <w:t>　　</w:t>
      </w:r>
      <w:r>
        <w:rPr>
          <w:rFonts w:hint="eastAsia" w:ascii="宋体" w:hAnsi="宋体" w:cs="宋体"/>
          <w:color w:val="auto"/>
          <w:sz w:val="24"/>
          <w:szCs w:val="28"/>
          <w:highlight w:val="none"/>
        </w:rPr>
        <w:t>日</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1.本协议书由委托代理人签字时，应附法定代表人签字的授权委托书。</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2.有授权委托时，需要此文件。</w:t>
      </w:r>
    </w:p>
    <w:p>
      <w:pPr>
        <w:shd w:val="clea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3.如联合体成员方总数不足四家的，则删除此处多余成员的相关信息表述。</w:t>
      </w:r>
    </w:p>
    <w:p>
      <w:pPr>
        <w:shd w:val="clear"/>
        <w:topLinePunct/>
        <w:spacing w:line="440" w:lineRule="exact"/>
        <w:jc w:val="left"/>
        <w:rPr>
          <w:rFonts w:ascii="宋体" w:hAnsi="宋体" w:cs="宋体"/>
          <w:color w:val="auto"/>
          <w:sz w:val="28"/>
          <w:szCs w:val="21"/>
          <w:highlight w:val="none"/>
        </w:rPr>
      </w:pPr>
    </w:p>
    <w:p>
      <w:pPr>
        <w:keepNext/>
        <w:keepLines/>
        <w:shd w:val="clear"/>
        <w:spacing w:before="156" w:beforeLines="50" w:after="156" w:afterLines="50" w:line="360" w:lineRule="auto"/>
        <w:jc w:val="center"/>
        <w:outlineLvl w:val="1"/>
        <w:rPr>
          <w:rFonts w:ascii="宋体" w:hAnsi="宋体" w:cs="宋体"/>
          <w:color w:val="auto"/>
          <w:sz w:val="28"/>
          <w:szCs w:val="24"/>
          <w:highlight w:val="none"/>
        </w:rPr>
      </w:pPr>
      <w:bookmarkStart w:id="444" w:name="_Toc54174967"/>
      <w:bookmarkStart w:id="445" w:name="_Toc144974470"/>
      <w:bookmarkStart w:id="446" w:name="_Toc152047266"/>
      <w:bookmarkStart w:id="447" w:name="_Toc2951"/>
      <w:bookmarkStart w:id="448" w:name="_Toc4912"/>
      <w:bookmarkStart w:id="449" w:name="_Toc4141"/>
      <w:bookmarkStart w:id="450" w:name="_Toc17167"/>
      <w:bookmarkStart w:id="451" w:name="_Toc9512"/>
      <w:bookmarkStart w:id="452" w:name="_Toc20780"/>
      <w:bookmarkStart w:id="453" w:name="_Toc14735"/>
      <w:r>
        <w:rPr>
          <w:rFonts w:hint="eastAsia" w:ascii="宋体" w:hAnsi="宋体" w:cs="宋体"/>
          <w:b/>
          <w:bCs/>
          <w:color w:val="auto"/>
          <w:sz w:val="30"/>
          <w:szCs w:val="30"/>
          <w:highlight w:val="none"/>
        </w:rPr>
        <w:t>五、申请人基本情况表</w:t>
      </w:r>
      <w:bookmarkEnd w:id="444"/>
      <w:bookmarkEnd w:id="445"/>
      <w:bookmarkEnd w:id="446"/>
      <w:r>
        <w:rPr>
          <w:rFonts w:hint="eastAsia" w:ascii="宋体" w:hAnsi="宋体" w:cs="宋体"/>
          <w:b/>
          <w:color w:val="auto"/>
          <w:sz w:val="24"/>
          <w:szCs w:val="32"/>
          <w:highlight w:val="none"/>
        </w:rPr>
        <w:t>（联合体各方均需填写）</w:t>
      </w:r>
      <w:bookmarkEnd w:id="447"/>
      <w:bookmarkEnd w:id="448"/>
      <w:bookmarkEnd w:id="449"/>
      <w:bookmarkEnd w:id="450"/>
      <w:bookmarkEnd w:id="451"/>
      <w:bookmarkEnd w:id="452"/>
      <w:bookmarkEnd w:id="453"/>
    </w:p>
    <w:tbl>
      <w:tblPr>
        <w:tblStyle w:val="22"/>
        <w:tblW w:w="91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093"/>
        <w:gridCol w:w="744"/>
        <w:gridCol w:w="840"/>
        <w:gridCol w:w="420"/>
        <w:gridCol w:w="311"/>
        <w:gridCol w:w="1306"/>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申请人名称</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408"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057"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057"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组织机构代码或统一社会信用代码</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44"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093"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44"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5219" w:type="dxa"/>
            <w:gridSpan w:val="7"/>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总资产</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净资产</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基本帐户开户银行</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基本帐户号</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057" w:type="dxa"/>
            <w:tcBorders>
              <w:top w:val="single" w:color="auto" w:sz="4" w:space="0"/>
              <w:left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56" w:type="dxa"/>
            <w:gridSpan w:val="9"/>
            <w:tcBorders>
              <w:top w:val="single" w:color="auto" w:sz="4" w:space="0"/>
              <w:left w:val="single" w:color="auto" w:sz="4" w:space="0"/>
              <w:right w:val="single" w:color="auto" w:sz="4" w:space="0"/>
            </w:tcBorders>
            <w:vAlign w:val="center"/>
          </w:tcPr>
          <w:p>
            <w:pPr>
              <w:shd w:val="clea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5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056"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 w:val="24"/>
                <w:szCs w:val="24"/>
                <w:highlight w:val="none"/>
              </w:rPr>
            </w:pPr>
          </w:p>
        </w:tc>
      </w:tr>
    </w:tbl>
    <w:p>
      <w:pPr>
        <w:shd w:val="clear"/>
        <w:ind w:firstLine="482" w:firstLineChars="200"/>
        <w:jc w:val="left"/>
        <w:rPr>
          <w:rFonts w:ascii="宋体" w:hAnsi="宋体" w:cs="宋体"/>
          <w:bCs/>
          <w:color w:val="auto"/>
          <w:szCs w:val="21"/>
          <w:highlight w:val="none"/>
        </w:rPr>
      </w:pPr>
      <w:r>
        <w:rPr>
          <w:rFonts w:hint="eastAsia" w:ascii="宋体" w:hAnsi="宋体" w:cs="宋体"/>
          <w:b/>
          <w:color w:val="auto"/>
          <w:sz w:val="24"/>
          <w:szCs w:val="24"/>
          <w:highlight w:val="none"/>
        </w:rPr>
        <w:t>附：</w:t>
      </w:r>
      <w:r>
        <w:rPr>
          <w:rFonts w:hint="eastAsia" w:ascii="宋体" w:hAnsi="宋体" w:cs="宋体"/>
          <w:bCs/>
          <w:color w:val="auto"/>
          <w:szCs w:val="21"/>
          <w:highlight w:val="none"/>
        </w:rPr>
        <w:t>（1）提供申请人</w:t>
      </w:r>
      <w:r>
        <w:rPr>
          <w:rFonts w:hint="eastAsia" w:ascii="宋体" w:hAnsi="宋体" w:cs="宋体"/>
          <w:color w:val="auto"/>
          <w:szCs w:val="21"/>
          <w:highlight w:val="none"/>
        </w:rPr>
        <w:t>有关</w:t>
      </w:r>
      <w:r>
        <w:rPr>
          <w:rFonts w:hint="eastAsia" w:ascii="宋体" w:hAnsi="宋体" w:cs="宋体"/>
          <w:bCs/>
          <w:color w:val="auto"/>
          <w:szCs w:val="21"/>
          <w:highlight w:val="none"/>
        </w:rPr>
        <w:t>法定代表人资格证明书</w:t>
      </w:r>
      <w:r>
        <w:rPr>
          <w:rFonts w:hint="eastAsia" w:ascii="宋体" w:hAnsi="宋体" w:cs="宋体"/>
          <w:bCs/>
          <w:color w:val="auto"/>
          <w:szCs w:val="21"/>
          <w:highlight w:val="none"/>
          <w:lang w:val="en-US" w:eastAsia="zh-CN"/>
        </w:rPr>
        <w:t>原件</w:t>
      </w:r>
      <w:r>
        <w:rPr>
          <w:rFonts w:hint="eastAsia" w:ascii="宋体" w:hAnsi="宋体" w:cs="宋体"/>
          <w:bCs/>
          <w:color w:val="auto"/>
          <w:szCs w:val="21"/>
          <w:highlight w:val="none"/>
        </w:rPr>
        <w:t>、</w:t>
      </w:r>
      <w:r>
        <w:rPr>
          <w:rFonts w:hint="eastAsia" w:ascii="宋体" w:hAnsi="宋体" w:cs="宋体"/>
          <w:color w:val="auto"/>
          <w:szCs w:val="21"/>
          <w:highlight w:val="none"/>
        </w:rPr>
        <w:t>确立法律地位原始文件的副本复印件（</w:t>
      </w:r>
      <w:r>
        <w:rPr>
          <w:rFonts w:hint="eastAsia" w:ascii="宋体" w:hAnsi="宋体" w:cs="宋体"/>
          <w:bCs/>
          <w:color w:val="auto"/>
          <w:szCs w:val="21"/>
          <w:highlight w:val="none"/>
        </w:rPr>
        <w:t>三证合一的营业执照副本</w:t>
      </w:r>
      <w:r>
        <w:rPr>
          <w:rFonts w:hint="eastAsia" w:ascii="宋体" w:hAnsi="宋体" w:cs="宋体"/>
          <w:color w:val="auto"/>
          <w:szCs w:val="21"/>
          <w:highlight w:val="none"/>
        </w:rPr>
        <w:t>复印件），</w:t>
      </w:r>
      <w:r>
        <w:rPr>
          <w:rFonts w:hint="eastAsia" w:ascii="宋体" w:hAnsi="宋体" w:cs="宋体"/>
          <w:bCs/>
          <w:color w:val="auto"/>
          <w:szCs w:val="21"/>
          <w:highlight w:val="none"/>
        </w:rPr>
        <w:t>若以联合体投标，联合体各方均须提供；</w:t>
      </w:r>
    </w:p>
    <w:p>
      <w:pPr>
        <w:shd w:val="clear"/>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（2）提供近3年内（201</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年1月1日至资格预审申请文件递交截止日）财务会计资料无虚假记载、税务信用评价系统或企业信用系统中无不良记录的承诺书，（</w:t>
      </w:r>
      <w:r>
        <w:rPr>
          <w:rFonts w:hint="eastAsia" w:ascii="宋体" w:hAnsi="宋体" w:cs="宋体"/>
          <w:color w:val="auto"/>
          <w:szCs w:val="21"/>
          <w:highlight w:val="none"/>
        </w:rPr>
        <w:t>具体格式自拟，承诺函须加盖法人公章、法定代表人或授权代理人签字或盖章</w:t>
      </w:r>
      <w:r>
        <w:rPr>
          <w:rFonts w:hint="eastAsia" w:ascii="宋体" w:hAnsi="宋体" w:cs="宋体"/>
          <w:bCs/>
          <w:color w:val="auto"/>
          <w:szCs w:val="21"/>
          <w:highlight w:val="none"/>
        </w:rPr>
        <w:t>）。</w:t>
      </w:r>
      <w:r>
        <w:rPr>
          <w:rFonts w:hint="eastAsia" w:ascii="宋体" w:hAnsi="宋体" w:cs="宋体"/>
          <w:color w:val="auto"/>
          <w:szCs w:val="21"/>
          <w:highlight w:val="none"/>
        </w:rPr>
        <w:t>申请人为联合体，本项资料联合体各成员单位均须提供。</w:t>
      </w:r>
    </w:p>
    <w:p>
      <w:pPr>
        <w:widowControl/>
        <w:shd w:val="clear"/>
        <w:spacing w:before="60" w:after="6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（3）提供近3个月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2022年6月至8月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企业完税证明复印件。</w:t>
      </w:r>
      <w:r>
        <w:rPr>
          <w:rFonts w:hint="eastAsia" w:ascii="宋体" w:hAnsi="宋体" w:cs="宋体"/>
          <w:color w:val="auto"/>
          <w:szCs w:val="21"/>
          <w:highlight w:val="none"/>
        </w:rPr>
        <w:t>申请人为联合体，本项资料联合体各成员单位均须提供。</w:t>
      </w:r>
    </w:p>
    <w:p>
      <w:pPr>
        <w:widowControl/>
        <w:shd w:val="clear"/>
        <w:spacing w:before="60" w:after="6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以上复印件需加盖法人公章，否则其资格预审申请被拒绝。</w:t>
      </w:r>
      <w:bookmarkStart w:id="507" w:name="_GoBack"/>
      <w:bookmarkEnd w:id="507"/>
    </w:p>
    <w:p>
      <w:pPr>
        <w:widowControl/>
        <w:shd w:val="clear"/>
        <w:spacing w:before="60" w:after="60"/>
        <w:ind w:right="480" w:firstLine="6090" w:firstLineChars="2900"/>
        <w:rPr>
          <w:rFonts w:ascii="宋体" w:hAnsi="宋体" w:cs="宋体"/>
          <w:bCs/>
          <w:color w:val="auto"/>
          <w:szCs w:val="21"/>
          <w:highlight w:val="none"/>
        </w:rPr>
      </w:pPr>
      <w:r>
        <w:rPr>
          <w:rFonts w:hint="eastAsia" w:ascii="宋体" w:hAnsi="宋体" w:cs="宋体"/>
          <w:bCs/>
          <w:color w:val="auto"/>
          <w:szCs w:val="21"/>
          <w:highlight w:val="none"/>
        </w:rPr>
        <w:t xml:space="preserve">申请人（盖章）：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widowControl/>
        <w:shd w:val="clear"/>
        <w:spacing w:before="60" w:after="60"/>
        <w:ind w:firstLine="420" w:firstLineChars="200"/>
        <w:jc w:val="center"/>
        <w:rPr>
          <w:rFonts w:ascii="宋体" w:hAnsi="宋体" w:cs="宋体"/>
          <w:bCs/>
          <w:color w:val="auto"/>
          <w:kern w:val="0"/>
          <w:sz w:val="24"/>
          <w:szCs w:val="21"/>
          <w:highlight w:val="none"/>
        </w:rPr>
      </w:pPr>
      <w:r>
        <w:rPr>
          <w:rFonts w:hint="eastAsia" w:ascii="宋体" w:hAnsi="宋体" w:cs="宋体"/>
          <w:bCs/>
          <w:color w:val="auto"/>
          <w:szCs w:val="21"/>
          <w:highlight w:val="none"/>
        </w:rPr>
        <w:t xml:space="preserve">                                             日期：</w:t>
      </w:r>
      <w:r>
        <w:rPr>
          <w:rFonts w:hint="eastAsia" w:ascii="宋体" w:hAnsi="宋体" w:cs="宋体"/>
          <w:bCs/>
          <w:color w:val="auto"/>
          <w:szCs w:val="21"/>
          <w:highlight w:val="none"/>
          <w:u w:val="single"/>
        </w:rPr>
        <w:t xml:space="preserve">     年    月    日</w:t>
      </w:r>
      <w:r>
        <w:rPr>
          <w:rFonts w:hint="eastAsia" w:ascii="宋体" w:hAnsi="宋体" w:cs="宋体"/>
          <w:bCs/>
          <w:color w:val="auto"/>
          <w:kern w:val="0"/>
          <w:sz w:val="24"/>
          <w:szCs w:val="21"/>
          <w:highlight w:val="none"/>
          <w:u w:val="single"/>
        </w:rPr>
        <w:br w:type="page"/>
      </w: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54" w:name="_Toc144974471"/>
      <w:bookmarkStart w:id="455" w:name="_Toc11739"/>
      <w:bookmarkStart w:id="456" w:name="_Toc32043"/>
      <w:bookmarkStart w:id="457" w:name="_Toc54174968"/>
      <w:bookmarkStart w:id="458" w:name="_Toc2297"/>
      <w:bookmarkStart w:id="459" w:name="_Toc21590"/>
      <w:bookmarkStart w:id="460" w:name="_Toc3788"/>
      <w:bookmarkStart w:id="461" w:name="_Toc26410"/>
      <w:bookmarkStart w:id="462" w:name="_Toc152047267"/>
      <w:bookmarkStart w:id="463" w:name="_Toc3240"/>
      <w:r>
        <w:rPr>
          <w:rFonts w:hint="eastAsia" w:ascii="宋体" w:hAnsi="宋体" w:cs="宋体"/>
          <w:b/>
          <w:bCs/>
          <w:color w:val="auto"/>
          <w:sz w:val="30"/>
          <w:szCs w:val="30"/>
          <w:highlight w:val="none"/>
        </w:rPr>
        <w:t>六、近年财务状况表</w:t>
      </w:r>
      <w:bookmarkEnd w:id="454"/>
      <w:bookmarkEnd w:id="455"/>
      <w:bookmarkEnd w:id="456"/>
      <w:bookmarkEnd w:id="457"/>
      <w:bookmarkEnd w:id="458"/>
      <w:bookmarkEnd w:id="459"/>
      <w:bookmarkEnd w:id="460"/>
      <w:bookmarkEnd w:id="461"/>
      <w:bookmarkEnd w:id="462"/>
      <w:bookmarkEnd w:id="463"/>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385"/>
        <w:gridCol w:w="2554"/>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201</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一、注册资金</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二、净资产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三、总资产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四、固定资产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五、流动资产</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六、流动负债</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七、负债合计</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八、营业收入</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九、净利润</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十、资产负债率</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38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s="宋体"/>
                <w:color w:val="auto"/>
                <w:szCs w:val="21"/>
                <w:highlight w:val="none"/>
              </w:rPr>
            </w:pPr>
          </w:p>
        </w:tc>
      </w:tr>
    </w:tbl>
    <w:p>
      <w:pPr>
        <w:widowControl/>
        <w:shd w:val="clear"/>
        <w:spacing w:before="60" w:after="60"/>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并提供申请人201</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年度</w:t>
      </w:r>
      <w:r>
        <w:rPr>
          <w:rFonts w:hint="eastAsia" w:ascii="宋体" w:hAnsi="宋体" w:cs="宋体"/>
          <w:bCs/>
          <w:color w:val="auto"/>
          <w:sz w:val="24"/>
          <w:szCs w:val="24"/>
          <w:highlight w:val="none"/>
          <w:lang w:val="en-US" w:eastAsia="zh-CN"/>
        </w:rPr>
        <w:t>审计报告</w:t>
      </w:r>
      <w:r>
        <w:rPr>
          <w:rFonts w:hint="eastAsia" w:ascii="宋体" w:hAnsi="宋体" w:cs="宋体"/>
          <w:bCs/>
          <w:color w:val="auto"/>
          <w:sz w:val="24"/>
          <w:szCs w:val="24"/>
          <w:highlight w:val="none"/>
        </w:rPr>
        <w:t>复印件</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包括：（1）资产负债表（2）现金流量表（3）利润表。</w:t>
      </w:r>
    </w:p>
    <w:p>
      <w:pPr>
        <w:widowControl/>
        <w:shd w:val="clear"/>
        <w:spacing w:before="60" w:after="60"/>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申请人如为联合体，本项资料联合体各成员单位均须提供。</w:t>
      </w:r>
    </w:p>
    <w:p>
      <w:pPr>
        <w:shd w:val="clear"/>
        <w:spacing w:line="400" w:lineRule="exact"/>
        <w:ind w:firstLine="560" w:firstLineChars="200"/>
        <w:jc w:val="left"/>
        <w:rPr>
          <w:rFonts w:ascii="宋体" w:hAnsi="宋体" w:cs="宋体"/>
          <w:bCs/>
          <w:color w:val="auto"/>
          <w:sz w:val="28"/>
          <w:szCs w:val="21"/>
          <w:highlight w:val="none"/>
        </w:rPr>
      </w:pPr>
    </w:p>
    <w:p>
      <w:pPr>
        <w:shd w:val="clear"/>
        <w:spacing w:line="400" w:lineRule="exact"/>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rPr>
          <w:rFonts w:ascii="宋体" w:hAnsi="宋体" w:cs="宋体"/>
          <w:color w:val="auto"/>
          <w:kern w:val="0"/>
          <w:szCs w:val="21"/>
          <w:highlight w:val="none"/>
        </w:rPr>
      </w:pPr>
      <w:bookmarkStart w:id="464" w:name="_Toc144974473"/>
      <w:bookmarkStart w:id="465" w:name="_Toc152047269"/>
      <w:bookmarkStart w:id="466" w:name="_Toc54174969"/>
      <w:r>
        <w:rPr>
          <w:rFonts w:hint="eastAsia" w:ascii="宋体" w:hAnsi="宋体" w:cs="宋体"/>
          <w:b/>
          <w:bCs/>
          <w:color w:val="auto"/>
          <w:sz w:val="30"/>
          <w:szCs w:val="30"/>
          <w:highlight w:val="none"/>
        </w:rPr>
        <w:br w:type="page"/>
      </w:r>
      <w:bookmarkEnd w:id="464"/>
      <w:bookmarkEnd w:id="465"/>
      <w:bookmarkEnd w:id="466"/>
      <w:bookmarkStart w:id="467" w:name="_Toc152047271"/>
      <w:bookmarkStart w:id="468" w:name="_Toc144974475"/>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69" w:name="_Toc4864"/>
      <w:bookmarkStart w:id="470" w:name="_Toc27644"/>
      <w:bookmarkStart w:id="471" w:name="_Toc5979"/>
      <w:bookmarkStart w:id="472" w:name="_Toc54174970"/>
      <w:bookmarkStart w:id="473" w:name="_Toc28869"/>
      <w:bookmarkStart w:id="474" w:name="_Toc14715"/>
      <w:bookmarkStart w:id="475" w:name="_Toc1612"/>
      <w:bookmarkStart w:id="476" w:name="_Toc23109"/>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、近年发生的诉讼及仲裁情况</w:t>
      </w:r>
      <w:bookmarkEnd w:id="469"/>
      <w:bookmarkEnd w:id="470"/>
      <w:bookmarkEnd w:id="471"/>
      <w:bookmarkEnd w:id="472"/>
      <w:bookmarkEnd w:id="473"/>
      <w:bookmarkEnd w:id="474"/>
      <w:bookmarkEnd w:id="475"/>
      <w:bookmarkEnd w:id="476"/>
    </w:p>
    <w:tbl>
      <w:tblPr>
        <w:tblStyle w:val="22"/>
        <w:tblpPr w:leftFromText="180" w:rightFromText="180" w:vertAnchor="text" w:horzAnchor="margin" w:tblpY="18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328"/>
        <w:gridCol w:w="1476"/>
        <w:gridCol w:w="1624"/>
        <w:gridCol w:w="1328"/>
        <w:gridCol w:w="162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年度</w:t>
            </w:r>
          </w:p>
        </w:tc>
        <w:tc>
          <w:tcPr>
            <w:tcW w:w="1328"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是否被停业</w:t>
            </w:r>
          </w:p>
        </w:tc>
        <w:tc>
          <w:tcPr>
            <w:tcW w:w="1476"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财产是否被接管、冻结</w:t>
            </w:r>
          </w:p>
        </w:tc>
        <w:tc>
          <w:tcPr>
            <w:tcW w:w="1624"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是否有重大安全、质量事故</w:t>
            </w:r>
          </w:p>
        </w:tc>
        <w:tc>
          <w:tcPr>
            <w:tcW w:w="1328"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是否骗取中标</w:t>
            </w:r>
          </w:p>
        </w:tc>
        <w:tc>
          <w:tcPr>
            <w:tcW w:w="1624"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在南宁市工程建设中是否严重违约</w:t>
            </w:r>
          </w:p>
        </w:tc>
        <w:tc>
          <w:tcPr>
            <w:tcW w:w="1475" w:type="dxa"/>
            <w:vAlign w:val="center"/>
          </w:tcPr>
          <w:p>
            <w:pPr>
              <w:shd w:val="clear"/>
              <w:snapToGrid w:val="0"/>
              <w:rPr>
                <w:rFonts w:ascii="宋体" w:hAnsi="宋体" w:cs="宋体"/>
                <w:color w:val="auto"/>
                <w:sz w:val="24"/>
                <w:szCs w:val="24"/>
                <w:highlight w:val="none"/>
              </w:rPr>
            </w:pPr>
            <w:r>
              <w:rPr>
                <w:rFonts w:hint="eastAsia" w:ascii="宋体" w:hAnsi="宋体" w:cs="宋体"/>
                <w:color w:val="auto"/>
                <w:sz w:val="24"/>
                <w:szCs w:val="24"/>
                <w:highlight w:val="none"/>
              </w:rPr>
              <w:t>涉及的诉讼及仲裁情况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20</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pPr>
              <w:shd w:val="clea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p>
        </w:tc>
        <w:tc>
          <w:tcPr>
            <w:tcW w:w="1328" w:type="dxa"/>
            <w:vAlign w:val="center"/>
          </w:tcPr>
          <w:p>
            <w:pPr>
              <w:shd w:val="clear"/>
              <w:snapToGrid w:val="0"/>
              <w:jc w:val="center"/>
              <w:rPr>
                <w:rFonts w:ascii="宋体" w:hAnsi="宋体" w:cs="宋体"/>
                <w:color w:val="auto"/>
                <w:sz w:val="24"/>
                <w:szCs w:val="24"/>
                <w:highlight w:val="none"/>
              </w:rPr>
            </w:pPr>
          </w:p>
        </w:tc>
        <w:tc>
          <w:tcPr>
            <w:tcW w:w="1476" w:type="dxa"/>
            <w:vAlign w:val="center"/>
          </w:tcPr>
          <w:p>
            <w:pPr>
              <w:shd w:val="clear"/>
              <w:snapToGrid w:val="0"/>
              <w:jc w:val="center"/>
              <w:rPr>
                <w:rFonts w:ascii="宋体" w:hAnsi="宋体" w:cs="宋体"/>
                <w:color w:val="auto"/>
                <w:sz w:val="24"/>
                <w:szCs w:val="24"/>
                <w:highlight w:val="none"/>
              </w:rPr>
            </w:pPr>
          </w:p>
        </w:tc>
        <w:tc>
          <w:tcPr>
            <w:tcW w:w="1624" w:type="dxa"/>
            <w:vAlign w:val="center"/>
          </w:tcPr>
          <w:p>
            <w:pPr>
              <w:shd w:val="clear"/>
              <w:snapToGrid w:val="0"/>
              <w:jc w:val="center"/>
              <w:rPr>
                <w:rFonts w:ascii="宋体" w:hAnsi="宋体" w:cs="宋体"/>
                <w:color w:val="auto"/>
                <w:sz w:val="24"/>
                <w:szCs w:val="24"/>
                <w:highlight w:val="none"/>
              </w:rPr>
            </w:pPr>
          </w:p>
        </w:tc>
        <w:tc>
          <w:tcPr>
            <w:tcW w:w="1328" w:type="dxa"/>
          </w:tcPr>
          <w:p>
            <w:pPr>
              <w:shd w:val="clear"/>
              <w:snapToGrid w:val="0"/>
              <w:jc w:val="center"/>
              <w:rPr>
                <w:rFonts w:ascii="宋体" w:hAnsi="宋体" w:cs="宋体"/>
                <w:color w:val="auto"/>
                <w:sz w:val="24"/>
                <w:szCs w:val="24"/>
                <w:highlight w:val="none"/>
              </w:rPr>
            </w:pPr>
          </w:p>
        </w:tc>
        <w:tc>
          <w:tcPr>
            <w:tcW w:w="1624" w:type="dxa"/>
          </w:tcPr>
          <w:p>
            <w:pPr>
              <w:shd w:val="clear"/>
              <w:snapToGrid w:val="0"/>
              <w:jc w:val="center"/>
              <w:rPr>
                <w:rFonts w:ascii="宋体" w:hAnsi="宋体" w:cs="宋体"/>
                <w:color w:val="auto"/>
                <w:sz w:val="24"/>
                <w:szCs w:val="24"/>
                <w:highlight w:val="none"/>
              </w:rPr>
            </w:pPr>
          </w:p>
        </w:tc>
        <w:tc>
          <w:tcPr>
            <w:tcW w:w="1475" w:type="dxa"/>
            <w:vAlign w:val="center"/>
          </w:tcPr>
          <w:p>
            <w:pPr>
              <w:shd w:val="clear"/>
              <w:snapToGrid w:val="0"/>
              <w:jc w:val="center"/>
              <w:rPr>
                <w:rFonts w:ascii="宋体" w:hAnsi="宋体" w:cs="宋体"/>
                <w:color w:val="auto"/>
                <w:sz w:val="24"/>
                <w:szCs w:val="24"/>
                <w:highlight w:val="none"/>
              </w:rPr>
            </w:pPr>
          </w:p>
        </w:tc>
      </w:tr>
    </w:tbl>
    <w:p>
      <w:pPr>
        <w:shd w:val="clear"/>
        <w:snapToGrid w:val="0"/>
        <w:spacing w:line="360" w:lineRule="auto"/>
        <w:ind w:firstLine="560" w:firstLineChars="200"/>
        <w:jc w:val="left"/>
        <w:rPr>
          <w:rFonts w:ascii="宋体" w:hAnsi="宋体" w:cs="宋体"/>
          <w:color w:val="auto"/>
          <w:sz w:val="28"/>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p>
    <w:p>
      <w:pPr>
        <w:widowControl/>
        <w:shd w:val="clear"/>
        <w:snapToGrid w:val="0"/>
        <w:spacing w:before="60" w:after="60"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注：</w:t>
      </w:r>
      <w:r>
        <w:rPr>
          <w:rFonts w:hint="eastAsia" w:ascii="宋体" w:hAnsi="宋体" w:cs="宋体"/>
          <w:b/>
          <w:color w:val="auto"/>
          <w:kern w:val="0"/>
          <w:sz w:val="24"/>
          <w:szCs w:val="24"/>
          <w:highlight w:val="none"/>
        </w:rPr>
        <w:t>申请人近三年以来涉及的诉讼及仲裁等情况说明，</w:t>
      </w:r>
      <w:r>
        <w:rPr>
          <w:rFonts w:hint="eastAsia" w:ascii="宋体" w:hAnsi="宋体" w:cs="宋体"/>
          <w:b/>
          <w:bCs/>
          <w:color w:val="auto"/>
          <w:kern w:val="0"/>
          <w:sz w:val="24"/>
          <w:szCs w:val="24"/>
          <w:highlight w:val="none"/>
        </w:rPr>
        <w:t>有无均填写</w:t>
      </w:r>
      <w:r>
        <w:rPr>
          <w:rFonts w:hint="eastAsia" w:ascii="宋体" w:hAnsi="宋体" w:cs="宋体"/>
          <w:b/>
          <w:color w:val="auto"/>
          <w:kern w:val="0"/>
          <w:sz w:val="24"/>
          <w:szCs w:val="24"/>
          <w:highlight w:val="none"/>
        </w:rPr>
        <w:t>并加盖单位公章</w:t>
      </w:r>
      <w:r>
        <w:rPr>
          <w:rFonts w:hint="eastAsia" w:ascii="宋体" w:hAnsi="宋体" w:cs="宋体"/>
          <w:b/>
          <w:bCs/>
          <w:color w:val="auto"/>
          <w:kern w:val="0"/>
          <w:sz w:val="24"/>
          <w:szCs w:val="24"/>
          <w:highlight w:val="none"/>
        </w:rPr>
        <w:t>。</w:t>
      </w:r>
      <w:r>
        <w:rPr>
          <w:rFonts w:hint="eastAsia" w:ascii="宋体" w:hAnsi="宋体" w:cs="宋体"/>
          <w:bCs/>
          <w:color w:val="auto"/>
          <w:sz w:val="24"/>
          <w:szCs w:val="24"/>
          <w:highlight w:val="none"/>
          <w:u w:val="single"/>
        </w:rPr>
        <w:t>若联合体投标，联合体牵头人和各成员方均需提供。</w:t>
      </w:r>
      <w:r>
        <w:rPr>
          <w:rFonts w:hint="eastAsia" w:ascii="宋体" w:hAnsi="宋体" w:cs="宋体"/>
          <w:b/>
          <w:color w:val="auto"/>
          <w:kern w:val="0"/>
          <w:sz w:val="24"/>
          <w:szCs w:val="24"/>
          <w:highlight w:val="none"/>
        </w:rPr>
        <w:t>（如有请附法院或仲裁机构作出的判决、裁决等有关法律文书复印件</w:t>
      </w:r>
      <w:r>
        <w:rPr>
          <w:rFonts w:hint="eastAsia" w:ascii="宋体" w:hAnsi="宋体" w:cs="宋体"/>
          <w:b/>
          <w:bCs/>
          <w:color w:val="auto"/>
          <w:kern w:val="0"/>
          <w:sz w:val="24"/>
          <w:szCs w:val="24"/>
          <w:highlight w:val="none"/>
        </w:rPr>
        <w:t>）</w:t>
      </w:r>
    </w:p>
    <w:p>
      <w:pPr>
        <w:widowControl/>
        <w:shd w:val="clear"/>
        <w:snapToGrid w:val="0"/>
        <w:spacing w:before="60" w:after="60" w:line="360" w:lineRule="auto"/>
        <w:ind w:firstLine="560" w:firstLineChars="200"/>
        <w:rPr>
          <w:rFonts w:ascii="宋体" w:hAnsi="宋体" w:cs="宋体"/>
          <w:color w:val="auto"/>
          <w:kern w:val="0"/>
          <w:sz w:val="28"/>
          <w:szCs w:val="28"/>
          <w:highlight w:val="none"/>
        </w:rPr>
      </w:pPr>
    </w:p>
    <w:p>
      <w:pPr>
        <w:widowControl/>
        <w:shd w:val="clear"/>
        <w:snapToGrid w:val="0"/>
        <w:spacing w:before="60" w:after="60" w:line="360" w:lineRule="auto"/>
        <w:ind w:firstLine="560" w:firstLineChars="200"/>
        <w:rPr>
          <w:rFonts w:ascii="宋体" w:hAnsi="宋体" w:cs="宋体"/>
          <w:color w:val="auto"/>
          <w:kern w:val="0"/>
          <w:sz w:val="28"/>
          <w:szCs w:val="28"/>
          <w:highlight w:val="none"/>
        </w:rPr>
      </w:pPr>
    </w:p>
    <w:p>
      <w:pPr>
        <w:shd w:val="clear"/>
        <w:snapToGrid w:val="0"/>
        <w:spacing w:before="156" w:beforeLines="50" w:after="156" w:afterLines="50" w:line="276" w:lineRule="auto"/>
        <w:ind w:left="3118" w:leftChars="1485"/>
        <w:jc w:val="center"/>
        <w:rPr>
          <w:rFonts w:ascii="宋体" w:hAnsi="宋体" w:cs="宋体"/>
          <w:bCs/>
          <w:color w:val="auto"/>
          <w:sz w:val="28"/>
          <w:szCs w:val="21"/>
          <w:highlight w:val="none"/>
        </w:rPr>
      </w:pPr>
      <w:r>
        <w:rPr>
          <w:rFonts w:hint="eastAsia" w:ascii="宋体" w:hAnsi="宋体" w:cs="宋体"/>
          <w:color w:val="auto"/>
          <w:sz w:val="28"/>
          <w:szCs w:val="21"/>
          <w:highlight w:val="none"/>
        </w:rPr>
        <w:t>申请人</w:t>
      </w:r>
      <w:r>
        <w:rPr>
          <w:rFonts w:hint="eastAsia" w:ascii="宋体" w:hAnsi="宋体" w:cs="宋体"/>
          <w:bCs/>
          <w:color w:val="auto"/>
          <w:sz w:val="28"/>
          <w:szCs w:val="21"/>
          <w:highlight w:val="none"/>
          <w:u w:val="single"/>
        </w:rPr>
        <w:t xml:space="preserve">：（盖单位公章）    </w:t>
      </w:r>
    </w:p>
    <w:p>
      <w:pPr>
        <w:widowControl/>
        <w:shd w:val="clear"/>
        <w:snapToGrid w:val="0"/>
        <w:spacing w:before="60" w:after="60" w:line="360" w:lineRule="auto"/>
        <w:ind w:right="480" w:firstLine="6300" w:firstLineChars="2250"/>
        <w:jc w:val="left"/>
        <w:rPr>
          <w:rFonts w:ascii="宋体" w:hAnsi="宋体" w:cs="宋体"/>
          <w:bCs/>
          <w:color w:val="auto"/>
          <w:kern w:val="0"/>
          <w:sz w:val="28"/>
          <w:szCs w:val="28"/>
          <w:highlight w:val="none"/>
          <w:u w:val="single"/>
        </w:rPr>
      </w:pPr>
      <w:r>
        <w:rPr>
          <w:rFonts w:hint="eastAsia" w:ascii="宋体" w:hAnsi="宋体" w:cs="宋体"/>
          <w:bCs/>
          <w:color w:val="auto"/>
          <w:sz w:val="28"/>
          <w:szCs w:val="21"/>
          <w:highlight w:val="none"/>
          <w:u w:val="single"/>
        </w:rPr>
        <w:t xml:space="preserve">    年   月    日</w:t>
      </w:r>
    </w:p>
    <w:p>
      <w:pPr>
        <w:shd w:val="clear"/>
        <w:spacing w:line="400" w:lineRule="exact"/>
        <w:ind w:firstLine="480" w:firstLineChars="200"/>
        <w:jc w:val="left"/>
        <w:rPr>
          <w:rFonts w:ascii="宋体" w:hAnsi="宋体" w:cs="宋体"/>
          <w:color w:val="auto"/>
          <w:sz w:val="24"/>
          <w:szCs w:val="24"/>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widowControl/>
        <w:shd w:val="clear"/>
        <w:spacing w:before="60" w:after="60" w:line="360" w:lineRule="auto"/>
        <w:ind w:right="480"/>
        <w:jc w:val="left"/>
        <w:rPr>
          <w:rFonts w:ascii="宋体" w:hAnsi="宋体" w:cs="宋体"/>
          <w:bCs/>
          <w:color w:val="auto"/>
          <w:kern w:val="0"/>
          <w:sz w:val="28"/>
          <w:szCs w:val="28"/>
          <w:highlight w:val="none"/>
        </w:rPr>
      </w:pPr>
    </w:p>
    <w:p>
      <w:pPr>
        <w:keepNext/>
        <w:keepLines/>
        <w:shd w:val="clear"/>
        <w:spacing w:before="156" w:beforeLines="50" w:after="156" w:afterLines="50" w:line="360" w:lineRule="auto"/>
        <w:jc w:val="center"/>
        <w:outlineLvl w:val="1"/>
        <w:rPr>
          <w:rFonts w:ascii="宋体" w:hAnsi="宋体" w:cs="宋体"/>
          <w:b/>
          <w:bCs/>
          <w:color w:val="auto"/>
          <w:sz w:val="30"/>
          <w:szCs w:val="30"/>
          <w:highlight w:val="none"/>
        </w:rPr>
      </w:pPr>
      <w:bookmarkStart w:id="477" w:name="_Toc22079"/>
      <w:bookmarkStart w:id="478" w:name="_Toc10739"/>
      <w:bookmarkStart w:id="479" w:name="_Toc17229"/>
      <w:bookmarkStart w:id="480" w:name="_Toc54174971"/>
      <w:bookmarkStart w:id="481" w:name="_Toc16939"/>
      <w:bookmarkStart w:id="482" w:name="_Toc9481"/>
      <w:bookmarkStart w:id="483" w:name="_Toc27150"/>
      <w:bookmarkStart w:id="484" w:name="_Toc20552"/>
      <w:r>
        <w:rPr>
          <w:rFonts w:hint="eastAsia" w:ascii="宋体" w:hAnsi="宋体" w:cs="宋体"/>
          <w:b/>
          <w:bCs/>
          <w:color w:val="auto"/>
          <w:sz w:val="30"/>
          <w:szCs w:val="30"/>
          <w:highlight w:val="none"/>
          <w:lang w:val="en-US" w:eastAsia="zh-CN"/>
        </w:rPr>
        <w:t>八</w:t>
      </w:r>
      <w:r>
        <w:rPr>
          <w:rFonts w:hint="eastAsia" w:ascii="宋体" w:hAnsi="宋体" w:cs="宋体"/>
          <w:b/>
          <w:bCs/>
          <w:color w:val="auto"/>
          <w:sz w:val="30"/>
          <w:szCs w:val="30"/>
          <w:highlight w:val="none"/>
        </w:rPr>
        <w:t>、成立项目公司承诺函</w:t>
      </w:r>
      <w:bookmarkEnd w:id="477"/>
      <w:bookmarkEnd w:id="478"/>
      <w:bookmarkEnd w:id="479"/>
      <w:bookmarkEnd w:id="480"/>
      <w:bookmarkEnd w:id="481"/>
      <w:bookmarkEnd w:id="482"/>
      <w:bookmarkEnd w:id="483"/>
      <w:bookmarkEnd w:id="484"/>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社会资本须承诺签订PPP项目合作协议后5个工作日内依法注册成立项目公司，注册资本</w:t>
      </w:r>
      <w:r>
        <w:rPr>
          <w:rFonts w:hint="eastAsia" w:ascii="宋体" w:hAnsi="宋体" w:cs="宋体"/>
          <w:color w:val="auto"/>
          <w:sz w:val="24"/>
          <w:szCs w:val="24"/>
          <w:highlight w:val="none"/>
          <w:lang w:val="en-US" w:eastAsia="zh-CN"/>
        </w:rPr>
        <w:t>为人民币1500万元，</w:t>
      </w:r>
      <w:r>
        <w:rPr>
          <w:rFonts w:hint="eastAsia" w:ascii="宋体" w:hAnsi="宋体" w:cs="宋体"/>
          <w:color w:val="auto"/>
          <w:sz w:val="24"/>
          <w:szCs w:val="24"/>
          <w:highlight w:val="none"/>
        </w:rPr>
        <w:t>社会资本全额出资。项目公司成立后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日历天</w:t>
      </w:r>
      <w:r>
        <w:rPr>
          <w:rFonts w:hint="eastAsia" w:ascii="宋体" w:hAnsi="宋体" w:cs="宋体"/>
          <w:color w:val="auto"/>
          <w:sz w:val="24"/>
          <w:szCs w:val="24"/>
          <w:highlight w:val="none"/>
        </w:rPr>
        <w:t>内，社会资本须以自有货币资金</w:t>
      </w:r>
      <w:r>
        <w:rPr>
          <w:rFonts w:hint="eastAsia" w:ascii="宋体" w:hAnsi="宋体" w:cs="宋体"/>
          <w:color w:val="auto"/>
          <w:sz w:val="24"/>
          <w:szCs w:val="24"/>
          <w:highlight w:val="none"/>
          <w:lang w:val="en-US" w:eastAsia="zh-CN"/>
        </w:rPr>
        <w:t>按时足额缴纳</w:t>
      </w:r>
      <w:r>
        <w:rPr>
          <w:rFonts w:hint="eastAsia" w:ascii="宋体" w:hAnsi="宋体" w:cs="宋体"/>
          <w:color w:val="auto"/>
          <w:sz w:val="24"/>
          <w:szCs w:val="24"/>
          <w:highlight w:val="none"/>
        </w:rPr>
        <w:t>注册资本，且不得以任何方式抽回。</w:t>
      </w:r>
    </w:p>
    <w:p>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本项目的运营、维护和管理工作由项目公司负责，项目公司承担运营维护所需资金和风险。</w:t>
      </w:r>
    </w:p>
    <w:p>
      <w:pPr>
        <w:shd w:val="clear"/>
        <w:spacing w:line="360" w:lineRule="auto"/>
        <w:ind w:firstLine="482" w:firstLineChars="200"/>
        <w:jc w:val="left"/>
        <w:rPr>
          <w:rFonts w:ascii="宋体" w:hAnsi="宋体" w:cs="宋体"/>
          <w:b/>
          <w:color w:val="auto"/>
          <w:sz w:val="28"/>
          <w:szCs w:val="24"/>
          <w:highlight w:val="none"/>
        </w:rPr>
      </w:pPr>
      <w:r>
        <w:rPr>
          <w:rFonts w:hint="eastAsia" w:ascii="宋体" w:hAnsi="宋体" w:cs="宋体"/>
          <w:b/>
          <w:color w:val="auto"/>
          <w:sz w:val="24"/>
          <w:szCs w:val="24"/>
          <w:highlight w:val="none"/>
        </w:rPr>
        <w:t>具体格式自拟，承诺函须加盖法人公章、法定代表人或授权代理人签字或盖章。</w:t>
      </w: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napToGrid w:val="0"/>
        <w:spacing w:before="50" w:after="50" w:line="276" w:lineRule="auto"/>
        <w:rPr>
          <w:rFonts w:ascii="宋体" w:hAnsi="宋体" w:cs="宋体"/>
          <w:color w:val="auto"/>
          <w:sz w:val="28"/>
          <w:szCs w:val="24"/>
          <w:highlight w:val="none"/>
        </w:rPr>
        <w:sectPr>
          <w:pgSz w:w="11906" w:h="16838"/>
          <w:pgMar w:top="1134" w:right="1134" w:bottom="1134" w:left="1134" w:header="851" w:footer="992" w:gutter="0"/>
          <w:pgNumType w:fmt="decimal"/>
          <w:cols w:space="425" w:num="1"/>
          <w:docGrid w:type="lines" w:linePitch="312" w:charSpace="0"/>
        </w:sectPr>
      </w:pPr>
    </w:p>
    <w:p>
      <w:pPr>
        <w:keepNext/>
        <w:keepLines/>
        <w:shd w:val="clear"/>
        <w:snapToGrid w:val="0"/>
        <w:spacing w:before="156" w:beforeLines="50" w:after="156" w:afterLines="50" w:line="360" w:lineRule="auto"/>
        <w:jc w:val="center"/>
        <w:outlineLvl w:val="1"/>
        <w:rPr>
          <w:rFonts w:ascii="宋体" w:hAnsi="宋体" w:cs="宋体"/>
          <w:b/>
          <w:bCs/>
          <w:color w:val="auto"/>
          <w:sz w:val="30"/>
          <w:szCs w:val="30"/>
          <w:highlight w:val="none"/>
        </w:rPr>
      </w:pPr>
      <w:bookmarkStart w:id="485" w:name="_Toc54174972"/>
      <w:bookmarkStart w:id="486" w:name="_Toc18708"/>
      <w:bookmarkStart w:id="487" w:name="_Toc16045"/>
      <w:bookmarkStart w:id="488" w:name="_Toc31495"/>
      <w:bookmarkStart w:id="489" w:name="_Toc482687757"/>
      <w:bookmarkStart w:id="490" w:name="_Toc478553783"/>
      <w:bookmarkStart w:id="491" w:name="_Toc20101"/>
      <w:bookmarkStart w:id="492" w:name="_Toc9830"/>
      <w:bookmarkStart w:id="493" w:name="_Toc22695"/>
      <w:bookmarkStart w:id="494" w:name="_Toc6722"/>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、申请人信用信息记录</w:t>
      </w:r>
      <w:bookmarkEnd w:id="485"/>
      <w:bookmarkEnd w:id="486"/>
      <w:bookmarkEnd w:id="487"/>
      <w:bookmarkEnd w:id="488"/>
      <w:bookmarkEnd w:id="489"/>
      <w:bookmarkEnd w:id="490"/>
      <w:bookmarkEnd w:id="491"/>
      <w:bookmarkEnd w:id="492"/>
      <w:bookmarkEnd w:id="493"/>
      <w:bookmarkEnd w:id="494"/>
    </w:p>
    <w:p>
      <w:pPr>
        <w:shd w:val="clear"/>
        <w:snapToGrid w:val="0"/>
        <w:spacing w:before="156" w:beforeLines="50" w:after="156" w:afterLines="50" w:line="276"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pPr>
        <w:shd w:val="clear"/>
        <w:snapToGrid w:val="0"/>
        <w:spacing w:before="156" w:beforeLines="50" w:after="156" w:afterLines="50" w:line="276" w:lineRule="auto"/>
        <w:rPr>
          <w:rFonts w:ascii="宋体" w:hAnsi="宋体" w:cs="宋体"/>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信用记录要求详见“第二章 资格预审申请人须知”“1.总则”“1.4 申请人的资格要求”第“1.4.2.信誉要求”；</w:t>
      </w:r>
    </w:p>
    <w:p>
      <w:pPr>
        <w:shd w:val="clear"/>
        <w:snapToGrid w:val="0"/>
        <w:spacing w:before="156" w:beforeLines="50" w:after="156" w:afterLines="50" w:line="276" w:lineRule="auto"/>
        <w:rPr>
          <w:rFonts w:ascii="宋体" w:hAnsi="宋体" w:cs="宋体"/>
          <w:color w:val="auto"/>
          <w:sz w:val="24"/>
          <w:szCs w:val="24"/>
          <w:highlight w:val="none"/>
        </w:rPr>
      </w:pPr>
      <w:r>
        <w:rPr>
          <w:rFonts w:hint="eastAsia" w:ascii="宋体" w:hAnsi="宋体" w:cs="宋体"/>
          <w:color w:val="auto"/>
          <w:sz w:val="24"/>
          <w:szCs w:val="24"/>
          <w:highlight w:val="none"/>
        </w:rPr>
        <w:t>（2）信用信息记录提供主体：</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1）若为独立申请人，则由独立申请人提供；</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2）若为联合体，则联合体所有组成成员均须提供。</w:t>
      </w:r>
    </w:p>
    <w:p>
      <w:pPr>
        <w:shd w:val="clear"/>
        <w:snapToGrid w:val="0"/>
        <w:spacing w:before="156" w:beforeLines="50" w:after="156" w:afterLines="50" w:line="276" w:lineRule="auto"/>
        <w:ind w:firstLine="700" w:firstLineChars="250"/>
        <w:rPr>
          <w:rFonts w:ascii="宋体" w:hAnsi="宋体" w:cs="宋体"/>
          <w:color w:val="auto"/>
          <w:sz w:val="28"/>
          <w:szCs w:val="21"/>
          <w:highlight w:val="none"/>
        </w:rPr>
      </w:pPr>
    </w:p>
    <w:p>
      <w:pPr>
        <w:shd w:val="clear"/>
        <w:adjustRightInd w:val="0"/>
        <w:snapToGrid w:val="0"/>
        <w:spacing w:line="360" w:lineRule="auto"/>
        <w:ind w:firstLine="3259" w:firstLineChars="1358"/>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申请人：</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（盖单位公章）</w:t>
      </w:r>
    </w:p>
    <w:p>
      <w:pPr>
        <w:shd w:val="clear"/>
        <w:adjustRightInd w:val="0"/>
        <w:snapToGrid w:val="0"/>
        <w:spacing w:line="360" w:lineRule="auto"/>
        <w:ind w:firstLine="3259" w:firstLineChars="1358"/>
        <w:jc w:val="right"/>
        <w:rPr>
          <w:rFonts w:ascii="宋体" w:hAnsi="宋体" w:cs="宋体"/>
          <w:bCs/>
          <w:color w:val="auto"/>
          <w:sz w:val="28"/>
          <w:szCs w:val="21"/>
          <w:highlight w:val="none"/>
          <w:u w:val="singl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日</w:t>
      </w:r>
    </w:p>
    <w:p>
      <w:pPr>
        <w:widowControl/>
        <w:shd w:val="clear"/>
        <w:spacing w:line="276" w:lineRule="auto"/>
        <w:jc w:val="left"/>
        <w:rPr>
          <w:rFonts w:ascii="宋体" w:hAnsi="宋体" w:cs="宋体"/>
          <w:bCs/>
          <w:color w:val="auto"/>
          <w:sz w:val="28"/>
          <w:szCs w:val="21"/>
          <w:highlight w:val="none"/>
        </w:rPr>
        <w:sectPr>
          <w:pgSz w:w="11906" w:h="16838"/>
          <w:pgMar w:top="1440" w:right="1800" w:bottom="1440" w:left="1800" w:header="851" w:footer="992" w:gutter="0"/>
          <w:pgNumType w:fmt="decimal"/>
          <w:cols w:space="720" w:num="1"/>
          <w:docGrid w:type="lines" w:linePitch="312" w:charSpace="0"/>
        </w:sectPr>
      </w:pPr>
    </w:p>
    <w:p>
      <w:pPr>
        <w:keepNext/>
        <w:keepLines/>
        <w:shd w:val="clear"/>
        <w:snapToGrid w:val="0"/>
        <w:spacing w:before="156" w:beforeLines="50" w:after="156" w:afterLines="50" w:line="360" w:lineRule="auto"/>
        <w:jc w:val="center"/>
        <w:outlineLvl w:val="1"/>
        <w:rPr>
          <w:rFonts w:ascii="宋体" w:hAnsi="宋体" w:cs="宋体"/>
          <w:b/>
          <w:bCs/>
          <w:color w:val="auto"/>
          <w:sz w:val="30"/>
          <w:szCs w:val="30"/>
          <w:highlight w:val="none"/>
        </w:rPr>
      </w:pPr>
      <w:bookmarkStart w:id="495" w:name="_Toc23571"/>
      <w:bookmarkStart w:id="496" w:name="_Toc54174973"/>
      <w:bookmarkStart w:id="497" w:name="_Toc31363"/>
      <w:bookmarkStart w:id="498" w:name="_Toc4256"/>
      <w:bookmarkStart w:id="499" w:name="_Toc8868"/>
      <w:bookmarkStart w:id="500" w:name="_Toc482211958"/>
      <w:bookmarkStart w:id="501" w:name="_Toc13859"/>
      <w:bookmarkStart w:id="502" w:name="_Toc30469"/>
      <w:bookmarkStart w:id="503" w:name="_Toc482687758"/>
      <w:bookmarkStart w:id="504" w:name="_Hlk482211192"/>
      <w:bookmarkStart w:id="505" w:name="_Toc11915"/>
      <w:r>
        <w:rPr>
          <w:rFonts w:hint="eastAsia" w:ascii="宋体" w:hAnsi="宋体" w:cs="宋体"/>
          <w:b/>
          <w:bCs/>
          <w:color w:val="auto"/>
          <w:sz w:val="30"/>
          <w:szCs w:val="30"/>
          <w:highlight w:val="none"/>
        </w:rPr>
        <w:t>十、无违法和不良记录的承诺书</w:t>
      </w:r>
      <w:bookmarkEnd w:id="495"/>
      <w:bookmarkEnd w:id="496"/>
      <w:bookmarkEnd w:id="497"/>
      <w:bookmarkEnd w:id="498"/>
      <w:bookmarkEnd w:id="499"/>
      <w:bookmarkEnd w:id="500"/>
      <w:bookmarkEnd w:id="501"/>
      <w:bookmarkEnd w:id="502"/>
      <w:bookmarkEnd w:id="503"/>
      <w:bookmarkEnd w:id="504"/>
      <w:bookmarkEnd w:id="505"/>
    </w:p>
    <w:p>
      <w:pPr>
        <w:shd w:val="clear"/>
        <w:spacing w:before="156" w:beforeLines="50" w:after="156" w:afterLines="5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申请人需提供近三年内在经营活动中无违法和不良记录的承诺书，格式自拟，有法定代表人或其授权代表人签字或签章并加盖公章。</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1）若为独立申请人，则由独立申请人提供；</w:t>
      </w:r>
    </w:p>
    <w:p>
      <w:pPr>
        <w:shd w:val="clear"/>
        <w:snapToGrid w:val="0"/>
        <w:spacing w:before="156" w:beforeLines="50" w:after="156" w:afterLines="50" w:line="276"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2）若为联合体，则联合体所有组成成员均须提供。</w:t>
      </w:r>
    </w:p>
    <w:p>
      <w:pPr>
        <w:shd w:val="clear"/>
        <w:spacing w:before="156" w:beforeLines="50" w:after="156" w:afterLines="50" w:line="360" w:lineRule="auto"/>
        <w:ind w:firstLine="560" w:firstLineChars="200"/>
        <w:rPr>
          <w:rFonts w:ascii="宋体" w:hAnsi="宋体" w:cs="宋体"/>
          <w:color w:val="auto"/>
          <w:kern w:val="0"/>
          <w:sz w:val="28"/>
          <w:szCs w:val="28"/>
          <w:highlight w:val="none"/>
        </w:rPr>
      </w:pPr>
    </w:p>
    <w:p>
      <w:pPr>
        <w:shd w:val="clear"/>
        <w:adjustRightInd w:val="0"/>
        <w:snapToGrid w:val="0"/>
        <w:spacing w:line="360" w:lineRule="auto"/>
        <w:ind w:firstLine="3259" w:firstLineChars="1358"/>
        <w:jc w:val="right"/>
        <w:rPr>
          <w:rFonts w:ascii="宋体" w:hAnsi="宋体" w:cs="宋体"/>
          <w:color w:val="auto"/>
          <w:sz w:val="24"/>
          <w:szCs w:val="28"/>
          <w:highlight w:val="none"/>
        </w:rPr>
      </w:pPr>
      <w:r>
        <w:rPr>
          <w:rFonts w:hint="eastAsia" w:ascii="宋体" w:hAnsi="宋体" w:cs="宋体"/>
          <w:color w:val="auto"/>
          <w:sz w:val="24"/>
          <w:szCs w:val="28"/>
          <w:highlight w:val="none"/>
        </w:rPr>
        <w:t>申请人：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（盖单位公章）</w:t>
      </w:r>
    </w:p>
    <w:p>
      <w:pPr>
        <w:shd w:val="clear"/>
        <w:adjustRightInd w:val="0"/>
        <w:snapToGrid w:val="0"/>
        <w:spacing w:line="360" w:lineRule="auto"/>
        <w:ind w:firstLine="480" w:firstLineChars="200"/>
        <w:jc w:val="right"/>
        <w:rPr>
          <w:rFonts w:ascii="宋体" w:hAnsi="宋体" w:cs="宋体"/>
          <w:color w:val="auto"/>
          <w:sz w:val="24"/>
          <w:szCs w:val="28"/>
          <w:highlight w:val="none"/>
        </w:rPr>
      </w:pP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年</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月</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日</w:t>
      </w: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shd w:val="clear"/>
        <w:spacing w:line="360" w:lineRule="auto"/>
        <w:ind w:firstLine="560" w:firstLineChars="200"/>
        <w:jc w:val="left"/>
        <w:rPr>
          <w:rFonts w:ascii="宋体" w:hAnsi="宋体" w:cs="宋体"/>
          <w:color w:val="auto"/>
          <w:sz w:val="28"/>
          <w:szCs w:val="24"/>
          <w:highlight w:val="none"/>
        </w:rPr>
      </w:pPr>
    </w:p>
    <w:p>
      <w:pPr>
        <w:widowControl/>
        <w:shd w:val="clear"/>
        <w:spacing w:line="360" w:lineRule="auto"/>
        <w:jc w:val="left"/>
        <w:rPr>
          <w:rFonts w:ascii="宋体" w:hAnsi="宋体" w:cs="宋体"/>
          <w:color w:val="auto"/>
          <w:sz w:val="24"/>
          <w:szCs w:val="24"/>
          <w:highlight w:val="none"/>
        </w:rPr>
      </w:pPr>
      <w:bookmarkStart w:id="506" w:name="_Toc54174974"/>
      <w:r>
        <w:rPr>
          <w:rFonts w:hint="eastAsia" w:ascii="宋体" w:hAnsi="宋体" w:cs="宋体"/>
          <w:b/>
          <w:bCs/>
          <w:color w:val="auto"/>
          <w:sz w:val="30"/>
          <w:szCs w:val="30"/>
          <w:highlight w:val="none"/>
        </w:rPr>
        <w:t>十</w:t>
      </w:r>
      <w:r>
        <w:rPr>
          <w:rFonts w:hint="eastAsia" w:ascii="宋体" w:hAnsi="宋体" w:cs="宋体"/>
          <w:b/>
          <w:bCs/>
          <w:color w:val="auto"/>
          <w:sz w:val="30"/>
          <w:szCs w:val="30"/>
          <w:highlight w:val="none"/>
          <w:lang w:val="en-US" w:eastAsia="zh-CN"/>
        </w:rPr>
        <w:t>一</w:t>
      </w:r>
      <w:r>
        <w:rPr>
          <w:rFonts w:hint="eastAsia" w:ascii="宋体" w:hAnsi="宋体" w:cs="宋体"/>
          <w:b/>
          <w:bCs/>
          <w:color w:val="auto"/>
          <w:sz w:val="30"/>
          <w:szCs w:val="30"/>
          <w:highlight w:val="none"/>
        </w:rPr>
        <w:t>、其他证明材料</w:t>
      </w:r>
      <w:bookmarkEnd w:id="467"/>
      <w:bookmarkEnd w:id="468"/>
      <w:bookmarkEnd w:id="506"/>
    </w:p>
    <w:p>
      <w:pPr>
        <w:pStyle w:val="2"/>
        <w:shd w:val="clear"/>
        <w:rPr>
          <w:rFonts w:ascii="宋体" w:cs="宋体"/>
          <w:color w:val="auto"/>
          <w:sz w:val="28"/>
          <w:szCs w:val="28"/>
          <w:highlight w:val="none"/>
        </w:rPr>
      </w:pPr>
    </w:p>
    <w:p>
      <w:pPr>
        <w:shd w:val="clear"/>
        <w:rPr>
          <w:rFonts w:ascii="宋体" w:hAnsi="宋体" w:cs="宋体"/>
          <w:color w:val="auto"/>
          <w:highlight w:val="none"/>
        </w:rPr>
      </w:pPr>
    </w:p>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akuyoxingshu7000">
    <w:altName w:val="宋体"/>
    <w:panose1 w:val="02000600000000000000"/>
    <w:charset w:val="86"/>
    <w:family w:val="auto"/>
    <w:pitch w:val="default"/>
    <w:sig w:usb0="00000000" w:usb1="00000000" w:usb2="0000003F" w:usb3="00000000" w:csb0="603F00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2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i</w:t>
                          </w:r>
                          <w:r>
                            <w:rPr>
                              <w:rFonts w:hint="eastAsia" w:ascii="宋体" w:hAnsi="宋体" w:cs="宋体"/>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ind w:firstLine="42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i</w:t>
                    </w:r>
                    <w:r>
                      <w:rPr>
                        <w:rFonts w:hint="eastAsia" w:ascii="宋体" w:hAnsi="宋体" w:cs="宋体"/>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p>
  <w:p>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ind w:firstLine="360"/>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84856"/>
    <w:multiLevelType w:val="singleLevel"/>
    <w:tmpl w:val="7DB84856"/>
    <w:lvl w:ilvl="0" w:tentative="0">
      <w:start w:val="1"/>
      <w:numFmt w:val="chineseCounting"/>
      <w:suff w:val="space"/>
      <w:lvlText w:val="第%1章"/>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Y2QxZDBhNzc0Y2MzZGIzZTJlMTlhMjVkOTgxMDEifQ=="/>
  </w:docVars>
  <w:rsids>
    <w:rsidRoot w:val="173E3842"/>
    <w:rsid w:val="00083845"/>
    <w:rsid w:val="000D3187"/>
    <w:rsid w:val="001B78BE"/>
    <w:rsid w:val="002542C7"/>
    <w:rsid w:val="003D2C83"/>
    <w:rsid w:val="0065718C"/>
    <w:rsid w:val="00663CF5"/>
    <w:rsid w:val="00767282"/>
    <w:rsid w:val="00774856"/>
    <w:rsid w:val="00831E0A"/>
    <w:rsid w:val="00852031"/>
    <w:rsid w:val="0086758C"/>
    <w:rsid w:val="008B2162"/>
    <w:rsid w:val="0090058A"/>
    <w:rsid w:val="00914B79"/>
    <w:rsid w:val="009F0644"/>
    <w:rsid w:val="00A25A29"/>
    <w:rsid w:val="00AB24BD"/>
    <w:rsid w:val="00B26659"/>
    <w:rsid w:val="00B87093"/>
    <w:rsid w:val="00C745FE"/>
    <w:rsid w:val="00D20F04"/>
    <w:rsid w:val="00D21F27"/>
    <w:rsid w:val="00D40003"/>
    <w:rsid w:val="00E152EF"/>
    <w:rsid w:val="00EB3C81"/>
    <w:rsid w:val="00ED7A5D"/>
    <w:rsid w:val="00F04BD1"/>
    <w:rsid w:val="00F1073A"/>
    <w:rsid w:val="02F57FA9"/>
    <w:rsid w:val="032F672A"/>
    <w:rsid w:val="034D65E7"/>
    <w:rsid w:val="052F2352"/>
    <w:rsid w:val="05E95718"/>
    <w:rsid w:val="06CC3B0D"/>
    <w:rsid w:val="078C558A"/>
    <w:rsid w:val="081F61E3"/>
    <w:rsid w:val="09866978"/>
    <w:rsid w:val="0A101E53"/>
    <w:rsid w:val="0BC1013B"/>
    <w:rsid w:val="0BC678A5"/>
    <w:rsid w:val="0DBC24EA"/>
    <w:rsid w:val="0EAD7549"/>
    <w:rsid w:val="0F476BAA"/>
    <w:rsid w:val="103255DC"/>
    <w:rsid w:val="10825D2B"/>
    <w:rsid w:val="10A3401B"/>
    <w:rsid w:val="11900548"/>
    <w:rsid w:val="11D5476E"/>
    <w:rsid w:val="122737EC"/>
    <w:rsid w:val="12630843"/>
    <w:rsid w:val="139B3968"/>
    <w:rsid w:val="1690198E"/>
    <w:rsid w:val="173E3842"/>
    <w:rsid w:val="17743F61"/>
    <w:rsid w:val="17FD53B7"/>
    <w:rsid w:val="18356139"/>
    <w:rsid w:val="1863694D"/>
    <w:rsid w:val="18BC4164"/>
    <w:rsid w:val="18BD3791"/>
    <w:rsid w:val="1B3C0F66"/>
    <w:rsid w:val="1C953205"/>
    <w:rsid w:val="1CEF277C"/>
    <w:rsid w:val="1D4A7487"/>
    <w:rsid w:val="2133507B"/>
    <w:rsid w:val="2140768F"/>
    <w:rsid w:val="21BA4B92"/>
    <w:rsid w:val="21EE4C8D"/>
    <w:rsid w:val="24A35AE0"/>
    <w:rsid w:val="2658363E"/>
    <w:rsid w:val="267726F6"/>
    <w:rsid w:val="27403EC3"/>
    <w:rsid w:val="2944334C"/>
    <w:rsid w:val="298B7BCE"/>
    <w:rsid w:val="2A79507E"/>
    <w:rsid w:val="2B0F7C26"/>
    <w:rsid w:val="2B5E14BE"/>
    <w:rsid w:val="2BB313F7"/>
    <w:rsid w:val="2C0B0F4F"/>
    <w:rsid w:val="2C363DD6"/>
    <w:rsid w:val="2C5A7BC2"/>
    <w:rsid w:val="2C731B96"/>
    <w:rsid w:val="2CBA67B5"/>
    <w:rsid w:val="2CDE706F"/>
    <w:rsid w:val="2D3E1194"/>
    <w:rsid w:val="2D755079"/>
    <w:rsid w:val="2E374FF6"/>
    <w:rsid w:val="2EBC4F7F"/>
    <w:rsid w:val="2F3A2284"/>
    <w:rsid w:val="2FDC6A42"/>
    <w:rsid w:val="309F63EE"/>
    <w:rsid w:val="31023391"/>
    <w:rsid w:val="315E1C03"/>
    <w:rsid w:val="31FA7F4F"/>
    <w:rsid w:val="331A7A08"/>
    <w:rsid w:val="33A51F6D"/>
    <w:rsid w:val="35913E12"/>
    <w:rsid w:val="35DA3390"/>
    <w:rsid w:val="35E054DE"/>
    <w:rsid w:val="37AC0A7F"/>
    <w:rsid w:val="37B409D1"/>
    <w:rsid w:val="384D274C"/>
    <w:rsid w:val="38A915EB"/>
    <w:rsid w:val="392576AC"/>
    <w:rsid w:val="3982065B"/>
    <w:rsid w:val="39A92BEB"/>
    <w:rsid w:val="3BFF480F"/>
    <w:rsid w:val="3C05166C"/>
    <w:rsid w:val="3C2E6878"/>
    <w:rsid w:val="3CCD6091"/>
    <w:rsid w:val="3D94095C"/>
    <w:rsid w:val="3E57662C"/>
    <w:rsid w:val="415E3838"/>
    <w:rsid w:val="419B050B"/>
    <w:rsid w:val="423050F8"/>
    <w:rsid w:val="42F936F2"/>
    <w:rsid w:val="43A336D7"/>
    <w:rsid w:val="444309B9"/>
    <w:rsid w:val="44EB2FA9"/>
    <w:rsid w:val="452D3B70"/>
    <w:rsid w:val="45965063"/>
    <w:rsid w:val="46B5371A"/>
    <w:rsid w:val="46C140A0"/>
    <w:rsid w:val="479E2900"/>
    <w:rsid w:val="47AF2F63"/>
    <w:rsid w:val="47EB2664"/>
    <w:rsid w:val="48A64A38"/>
    <w:rsid w:val="495B7D80"/>
    <w:rsid w:val="4B201A81"/>
    <w:rsid w:val="4E637482"/>
    <w:rsid w:val="4E830CA5"/>
    <w:rsid w:val="4F12493C"/>
    <w:rsid w:val="50AA71AB"/>
    <w:rsid w:val="52591EE0"/>
    <w:rsid w:val="52F263F9"/>
    <w:rsid w:val="534C5C26"/>
    <w:rsid w:val="5426490F"/>
    <w:rsid w:val="5465662C"/>
    <w:rsid w:val="55FD0305"/>
    <w:rsid w:val="56C63E25"/>
    <w:rsid w:val="57A850BF"/>
    <w:rsid w:val="57E417E0"/>
    <w:rsid w:val="59A52913"/>
    <w:rsid w:val="5A776550"/>
    <w:rsid w:val="5AE32C25"/>
    <w:rsid w:val="5BE4569E"/>
    <w:rsid w:val="5C0F1DCA"/>
    <w:rsid w:val="5C4453C7"/>
    <w:rsid w:val="5CFF1E3E"/>
    <w:rsid w:val="5D44133E"/>
    <w:rsid w:val="5F3A0128"/>
    <w:rsid w:val="61F02C78"/>
    <w:rsid w:val="63442040"/>
    <w:rsid w:val="63FD1BF9"/>
    <w:rsid w:val="64806FAE"/>
    <w:rsid w:val="66CC1534"/>
    <w:rsid w:val="67214DD8"/>
    <w:rsid w:val="67461B88"/>
    <w:rsid w:val="69D3488A"/>
    <w:rsid w:val="6AAC48EC"/>
    <w:rsid w:val="6CF8010B"/>
    <w:rsid w:val="6DB02C62"/>
    <w:rsid w:val="6F5204E9"/>
    <w:rsid w:val="70AD3864"/>
    <w:rsid w:val="72127C83"/>
    <w:rsid w:val="724F6957"/>
    <w:rsid w:val="734722AF"/>
    <w:rsid w:val="73F12C4B"/>
    <w:rsid w:val="74094E8A"/>
    <w:rsid w:val="74582108"/>
    <w:rsid w:val="74FE5695"/>
    <w:rsid w:val="7703443B"/>
    <w:rsid w:val="77EF5456"/>
    <w:rsid w:val="79454069"/>
    <w:rsid w:val="79D61383"/>
    <w:rsid w:val="7A5E1AFB"/>
    <w:rsid w:val="7A80692C"/>
    <w:rsid w:val="7B3C3845"/>
    <w:rsid w:val="7B936C61"/>
    <w:rsid w:val="7C3A584A"/>
    <w:rsid w:val="7C3B258F"/>
    <w:rsid w:val="7CD24A22"/>
    <w:rsid w:val="7D762349"/>
    <w:rsid w:val="7D991AAB"/>
    <w:rsid w:val="7EB20667"/>
    <w:rsid w:val="7F132B82"/>
    <w:rsid w:val="7FD12D6F"/>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eastAsia="黑体"/>
      <w:b/>
      <w:bCs/>
      <w:kern w:val="0"/>
      <w:sz w:val="20"/>
      <w:szCs w:val="20"/>
    </w:rPr>
  </w:style>
  <w:style w:type="paragraph" w:styleId="7">
    <w:name w:val="heading 4"/>
    <w:basedOn w:val="1"/>
    <w:next w:val="1"/>
    <w:qFormat/>
    <w:uiPriority w:val="0"/>
    <w:pPr>
      <w:keepNext/>
      <w:keepLines/>
      <w:spacing w:line="360" w:lineRule="auto"/>
      <w:outlineLvl w:val="3"/>
    </w:pPr>
    <w:rPr>
      <w:rFonts w:ascii="宋体" w:hAnsi="宋体" w:cs="黑体"/>
      <w:b/>
      <w:bCs/>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99"/>
    <w:pPr>
      <w:spacing w:line="440" w:lineRule="exact"/>
    </w:pPr>
    <w:rPr>
      <w:rFonts w:ascii="仿宋_GB2312" w:hAnsi="宋体"/>
      <w:sz w:val="24"/>
      <w:szCs w:val="24"/>
    </w:rPr>
  </w:style>
  <w:style w:type="paragraph" w:customStyle="1" w:styleId="3">
    <w:name w:val="正文1234"/>
    <w:basedOn w:val="1"/>
    <w:qFormat/>
    <w:uiPriority w:val="0"/>
    <w:pPr>
      <w:spacing w:line="360" w:lineRule="auto"/>
      <w:ind w:firstLine="560" w:firstLineChars="200"/>
    </w:pPr>
    <w:rPr>
      <w:kern w:val="0"/>
      <w:sz w:val="28"/>
      <w:szCs w:val="28"/>
    </w:rPr>
  </w:style>
  <w:style w:type="paragraph" w:styleId="8">
    <w:name w:val="Normal Indent"/>
    <w:basedOn w:val="1"/>
    <w:next w:val="1"/>
    <w:qFormat/>
    <w:uiPriority w:val="99"/>
    <w:pPr>
      <w:spacing w:line="360" w:lineRule="auto"/>
      <w:ind w:firstLine="420"/>
      <w:jc w:val="left"/>
    </w:pPr>
    <w:rPr>
      <w:rFonts w:ascii="Times New Roman" w:hAnsi="Times New Roman"/>
      <w:sz w:val="28"/>
      <w:szCs w:val="24"/>
    </w:rPr>
  </w:style>
  <w:style w:type="paragraph" w:styleId="9">
    <w:name w:val="annotation text"/>
    <w:basedOn w:val="1"/>
    <w:link w:val="31"/>
    <w:qFormat/>
    <w:uiPriority w:val="0"/>
    <w:pPr>
      <w:jc w:val="left"/>
    </w:pPr>
  </w:style>
  <w:style w:type="paragraph" w:styleId="10">
    <w:name w:val="Body Text"/>
    <w:basedOn w:val="1"/>
    <w:next w:val="11"/>
    <w:qFormat/>
    <w:uiPriority w:val="99"/>
    <w:pPr>
      <w:spacing w:after="120"/>
    </w:pPr>
  </w:style>
  <w:style w:type="paragraph" w:styleId="11">
    <w:name w:val="Body Text 2"/>
    <w:basedOn w:val="1"/>
    <w:qFormat/>
    <w:uiPriority w:val="0"/>
    <w:pPr>
      <w:spacing w:after="120" w:line="480" w:lineRule="auto"/>
    </w:pPr>
    <w:rPr>
      <w:kern w:val="0"/>
      <w:sz w:val="20"/>
    </w:rPr>
  </w:style>
  <w:style w:type="paragraph" w:styleId="12">
    <w:name w:val="Plain Text"/>
    <w:basedOn w:val="1"/>
    <w:next w:val="1"/>
    <w:qFormat/>
    <w:uiPriority w:val="0"/>
    <w:rPr>
      <w:rFonts w:ascii="宋体" w:hAnsi="Courier New" w:cs="Courier New"/>
      <w:szCs w:val="21"/>
    </w:rPr>
  </w:style>
  <w:style w:type="paragraph" w:styleId="13">
    <w:name w:val="Balloon Text"/>
    <w:basedOn w:val="1"/>
    <w:link w:val="30"/>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0"/>
    <w:pPr>
      <w:tabs>
        <w:tab w:val="right" w:leader="dot" w:pos="8296"/>
      </w:tabs>
      <w:spacing w:before="120" w:after="120"/>
      <w:jc w:val="left"/>
    </w:pPr>
    <w:rPr>
      <w:rFonts w:ascii="Times New Roman" w:hAnsi="Times New Roman"/>
      <w:b/>
      <w:bCs/>
      <w:caps/>
      <w:sz w:val="28"/>
      <w:szCs w:val="20"/>
    </w:r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9"/>
    <w:next w:val="9"/>
    <w:link w:val="32"/>
    <w:qFormat/>
    <w:uiPriority w:val="0"/>
    <w:rPr>
      <w:b/>
      <w:bCs/>
    </w:rPr>
  </w:style>
  <w:style w:type="paragraph" w:styleId="21">
    <w:name w:val="Body Text First Indent"/>
    <w:basedOn w:val="10"/>
    <w:qFormat/>
    <w:uiPriority w:val="99"/>
    <w:pPr>
      <w:ind w:firstLine="420" w:firstLineChars="100"/>
      <w:jc w:val="left"/>
    </w:pPr>
    <w:rPr>
      <w:rFonts w:ascii="Times New Roman" w:hAnsi="Times New Roman"/>
    </w:rPr>
  </w:style>
  <w:style w:type="character" w:styleId="24">
    <w:name w:val="FollowedHyperlink"/>
    <w:basedOn w:val="23"/>
    <w:qFormat/>
    <w:uiPriority w:val="0"/>
    <w:rPr>
      <w:color w:val="000000"/>
      <w:u w:val="none"/>
    </w:rPr>
  </w:style>
  <w:style w:type="character" w:styleId="25">
    <w:name w:val="Emphasis"/>
    <w:basedOn w:val="23"/>
    <w:qFormat/>
    <w:uiPriority w:val="0"/>
    <w:rPr>
      <w:i/>
    </w:rPr>
  </w:style>
  <w:style w:type="character" w:styleId="26">
    <w:name w:val="Hyperlink"/>
    <w:basedOn w:val="23"/>
    <w:qFormat/>
    <w:uiPriority w:val="0"/>
    <w:rPr>
      <w:color w:val="000000"/>
      <w:u w:val="none"/>
    </w:rPr>
  </w:style>
  <w:style w:type="character" w:styleId="27">
    <w:name w:val="annotation reference"/>
    <w:basedOn w:val="23"/>
    <w:qFormat/>
    <w:uiPriority w:val="0"/>
    <w:rPr>
      <w:sz w:val="21"/>
      <w:szCs w:val="21"/>
    </w:rPr>
  </w:style>
  <w:style w:type="character" w:styleId="28">
    <w:name w:val="footnote reference"/>
    <w:basedOn w:val="23"/>
    <w:qFormat/>
    <w:uiPriority w:val="0"/>
    <w:rPr>
      <w:vertAlign w:val="superscript"/>
    </w:rPr>
  </w:style>
  <w:style w:type="paragraph" w:customStyle="1" w:styleId="29">
    <w:name w:val="表格文字"/>
    <w:basedOn w:val="1"/>
    <w:next w:val="10"/>
    <w:qFormat/>
    <w:uiPriority w:val="99"/>
    <w:pPr>
      <w:spacing w:before="25" w:after="25"/>
    </w:pPr>
    <w:rPr>
      <w:bCs/>
      <w:spacing w:val="10"/>
      <w:sz w:val="24"/>
    </w:rPr>
  </w:style>
  <w:style w:type="character" w:customStyle="1" w:styleId="30">
    <w:name w:val="批注框文本 Char"/>
    <w:basedOn w:val="23"/>
    <w:link w:val="13"/>
    <w:qFormat/>
    <w:uiPriority w:val="0"/>
    <w:rPr>
      <w:rFonts w:ascii="Calibri" w:hAnsi="Calibri" w:eastAsia="宋体" w:cs="Times New Roman"/>
      <w:kern w:val="2"/>
      <w:sz w:val="18"/>
      <w:szCs w:val="18"/>
    </w:rPr>
  </w:style>
  <w:style w:type="character" w:customStyle="1" w:styleId="31">
    <w:name w:val="批注文字 Char"/>
    <w:basedOn w:val="23"/>
    <w:link w:val="9"/>
    <w:qFormat/>
    <w:uiPriority w:val="0"/>
    <w:rPr>
      <w:rFonts w:ascii="Calibri" w:hAnsi="Calibri" w:eastAsia="宋体" w:cs="Times New Roman"/>
      <w:kern w:val="2"/>
      <w:sz w:val="21"/>
      <w:szCs w:val="22"/>
    </w:rPr>
  </w:style>
  <w:style w:type="character" w:customStyle="1" w:styleId="32">
    <w:name w:val="批注主题 Char"/>
    <w:basedOn w:val="31"/>
    <w:link w:val="20"/>
    <w:qFormat/>
    <w:uiPriority w:val="0"/>
    <w:rPr>
      <w:rFonts w:ascii="Calibri" w:hAnsi="Calibri" w:eastAsia="宋体" w:cs="Times New Roman"/>
      <w:b/>
      <w:bCs/>
      <w:kern w:val="2"/>
      <w:sz w:val="21"/>
      <w:szCs w:val="22"/>
    </w:rPr>
  </w:style>
  <w:style w:type="character" w:customStyle="1" w:styleId="33">
    <w:name w:val="标题 1 Char"/>
    <w:link w:val="4"/>
    <w:qFormat/>
    <w:uiPriority w:val="0"/>
    <w:rPr>
      <w:b/>
      <w:kern w:val="44"/>
      <w:sz w:val="44"/>
    </w:rPr>
  </w:style>
  <w:style w:type="paragraph" w:customStyle="1" w:styleId="34">
    <w:name w:val="Char Char Char Char Char Char Char"/>
    <w:basedOn w:val="1"/>
    <w:qFormat/>
    <w:uiPriority w:val="0"/>
    <w:pPr>
      <w:spacing w:line="288" w:lineRule="auto"/>
    </w:pPr>
    <w:rPr>
      <w:rFonts w:ascii="Tahoma" w:hAnsi="Tahoma" w:eastAsia="hakuyoxingshu7000"/>
      <w:sz w:val="24"/>
      <w:szCs w:val="20"/>
    </w:rPr>
  </w:style>
  <w:style w:type="character" w:customStyle="1" w:styleId="35">
    <w:name w:val="fa"/>
    <w:basedOn w:val="23"/>
    <w:qFormat/>
    <w:uiPriority w:val="0"/>
    <w:rPr>
      <w:color w:val="333333"/>
      <w:sz w:val="19"/>
      <w:szCs w:val="19"/>
    </w:rPr>
  </w:style>
  <w:style w:type="character" w:customStyle="1" w:styleId="36">
    <w:name w:val="font51"/>
    <w:basedOn w:val="23"/>
    <w:qFormat/>
    <w:uiPriority w:val="0"/>
    <w:rPr>
      <w:rFonts w:hint="eastAsia" w:ascii="宋体" w:hAnsi="宋体" w:eastAsia="宋体" w:cs="宋体"/>
      <w:color w:val="000000"/>
      <w:sz w:val="22"/>
      <w:szCs w:val="22"/>
      <w:u w:val="none"/>
      <w:vertAlign w:val="superscript"/>
    </w:rPr>
  </w:style>
  <w:style w:type="character" w:customStyle="1" w:styleId="37">
    <w:name w:val="NormalCharacter"/>
    <w:qFormat/>
    <w:uiPriority w:val="0"/>
  </w:style>
  <w:style w:type="paragraph" w:styleId="38">
    <w:name w:val="List Paragraph"/>
    <w:basedOn w:val="1"/>
    <w:qFormat/>
    <w:uiPriority w:val="34"/>
    <w:pPr>
      <w:ind w:firstLine="420" w:firstLineChars="200"/>
    </w:pPr>
  </w:style>
  <w:style w:type="character" w:customStyle="1" w:styleId="39">
    <w:name w:val="font21"/>
    <w:basedOn w:val="23"/>
    <w:qFormat/>
    <w:uiPriority w:val="0"/>
    <w:rPr>
      <w:rFonts w:hint="eastAsia" w:ascii="宋体" w:hAnsi="宋体" w:eastAsia="宋体" w:cs="宋体"/>
      <w:color w:val="000000"/>
      <w:sz w:val="20"/>
      <w:szCs w:val="20"/>
      <w:u w:val="none"/>
    </w:rPr>
  </w:style>
  <w:style w:type="paragraph" w:customStyle="1" w:styleId="40">
    <w:name w:val="Char Char Char Char Char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24878</Words>
  <Characters>27510</Characters>
  <Lines>49</Lines>
  <Paragraphs>58</Paragraphs>
  <TotalTime>33</TotalTime>
  <ScaleCrop>false</ScaleCrop>
  <LinksUpToDate>false</LinksUpToDate>
  <CharactersWithSpaces>29770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2021-06-19T15:59:00Z</dcterms:created>
  <dc:creator>胆小鬼</dc:creator>
  <cp:lastModifiedBy>审核</cp:lastModifiedBy>
  <dcterms:modified xsi:type="dcterms:W3CDTF">2022-09-05T08:55:06Z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163D72FF5161423282A54C76A3EDF783</vt:lpwstr>
  </property>
</Properties>
</file>