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广西泰鑫项目管理有限公司</w:t>
      </w:r>
      <w:r>
        <w:rPr>
          <w:b/>
          <w:bCs/>
          <w:sz w:val="32"/>
          <w:szCs w:val="32"/>
        </w:rPr>
        <w:t>关于</w:t>
      </w:r>
      <w:r>
        <w:rPr>
          <w:rFonts w:hint="eastAsia"/>
          <w:b/>
          <w:bCs/>
          <w:sz w:val="32"/>
          <w:szCs w:val="32"/>
          <w:lang w:eastAsia="zh-CN"/>
        </w:rPr>
        <w:t>贵港市西江新城P-30-1地块建设用地线路迁改工程</w:t>
      </w:r>
      <w:r>
        <w:rPr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  <w:lang w:eastAsia="zh-CN"/>
        </w:rPr>
        <w:t>GGZC2022-C2-40112-GXTX</w:t>
      </w:r>
      <w:r>
        <w:rPr>
          <w:b/>
          <w:bCs/>
          <w:sz w:val="32"/>
          <w:szCs w:val="32"/>
        </w:rPr>
        <w:t>）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更正公告</w:t>
      </w:r>
    </w:p>
    <w:p/>
    <w:p>
      <w:pPr>
        <w:spacing w:line="360" w:lineRule="auto"/>
      </w:pPr>
      <w:r>
        <w:t>一、项目基本情况            </w:t>
      </w:r>
    </w:p>
    <w:p>
      <w:pPr>
        <w:spacing w:line="360" w:lineRule="auto"/>
      </w:pPr>
      <w:r>
        <w:rPr>
          <w:rFonts w:hint="eastAsia"/>
        </w:rPr>
        <w:t>原公告的采购项目编号：</w:t>
      </w:r>
      <w:r>
        <w:rPr>
          <w:rFonts w:hint="eastAsia"/>
          <w:lang w:eastAsia="zh-CN"/>
        </w:rPr>
        <w:t>GGZC2022-C2-40112-GXTX　　</w:t>
      </w:r>
      <w:r>
        <w:rPr>
          <w:rFonts w:hint="eastAsia"/>
        </w:rPr>
        <w:t>　　　　　　　　　                </w:t>
      </w:r>
    </w:p>
    <w:p>
      <w:pPr>
        <w:spacing w:line="360" w:lineRule="auto"/>
      </w:pPr>
      <w:r>
        <w:rPr>
          <w:rFonts w:hint="eastAsia"/>
        </w:rPr>
        <w:t>原公告的采购项目名称：</w:t>
      </w:r>
      <w:r>
        <w:rPr>
          <w:rFonts w:hint="eastAsia"/>
          <w:lang w:eastAsia="zh-CN"/>
        </w:rPr>
        <w:t>贵港市西江新城P-30-1地块建设用地线路迁改工程</w:t>
      </w:r>
    </w:p>
    <w:p>
      <w:pPr>
        <w:spacing w:line="360" w:lineRule="auto"/>
      </w:pPr>
      <w:r>
        <w:rPr>
          <w:rFonts w:hint="eastAsia"/>
        </w:rPr>
        <w:t>首次公告日期：</w:t>
      </w:r>
      <w:r>
        <w:rPr>
          <w:rFonts w:hint="eastAsia"/>
          <w:lang w:val="en-US" w:eastAsia="zh-CN"/>
        </w:rPr>
        <w:t>2022-10-26</w:t>
      </w:r>
      <w:r>
        <w:rPr>
          <w:rFonts w:hint="eastAsia"/>
        </w:rPr>
        <w:t>　　　　　　　　　　　                </w:t>
      </w:r>
    </w:p>
    <w:p>
      <w:pPr>
        <w:spacing w:line="360" w:lineRule="auto"/>
      </w:pPr>
      <w:r>
        <w:rPr>
          <w:rFonts w:hint="eastAsia"/>
        </w:rPr>
        <w:t>二、更正信息</w:t>
      </w:r>
      <w:r>
        <w:t xml:space="preserve">            </w:t>
      </w:r>
    </w:p>
    <w:p>
      <w:pPr>
        <w:spacing w:line="360" w:lineRule="auto"/>
      </w:pPr>
      <w:r>
        <w:rPr>
          <w:rFonts w:hint="eastAsia"/>
        </w:rPr>
        <w:t>更正事项：采购公告                  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更正内容：      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82"/>
        <w:gridCol w:w="1282"/>
        <w:gridCol w:w="2337"/>
        <w:gridCol w:w="2337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360" w:lineRule="auto"/>
              <w:rPr>
                <w:rFonts w:hint="eastAsia"/>
                <w:vertAlign w:val="baseline"/>
              </w:rPr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rPr>
                <w:rFonts w:hint="eastAsia"/>
                <w:vertAlign w:val="baseline"/>
              </w:rPr>
            </w:pPr>
            <w:r>
              <w:rPr>
                <w:rFonts w:hint="default"/>
                <w:lang w:val="en-US" w:eastAsia="zh-CN"/>
              </w:rPr>
              <w:t>更正项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rPr>
                <w:rFonts w:hint="eastAsia"/>
                <w:vertAlign w:val="baseline"/>
              </w:rPr>
            </w:pPr>
            <w:r>
              <w:rPr>
                <w:rFonts w:hint="default"/>
                <w:lang w:val="en-US" w:eastAsia="zh-CN"/>
              </w:rPr>
              <w:t>更正前内容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rPr>
                <w:rFonts w:hint="eastAsia"/>
                <w:vertAlign w:val="baseline"/>
              </w:rPr>
            </w:pPr>
            <w:r>
              <w:rPr>
                <w:rFonts w:hint="default"/>
                <w:lang w:val="en-US" w:eastAsia="zh-CN"/>
              </w:rPr>
              <w:t>更正后内容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rPr>
                <w:rFonts w:hint="eastAsia"/>
                <w:vertAlign w:val="baseline"/>
              </w:rPr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240" w:lineRule="auto"/>
              <w:rPr>
                <w:rFonts w:hint="eastAsia"/>
                <w:vertAlign w:val="baseline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spacing w:line="240" w:lineRule="auto"/>
              <w:rPr>
                <w:rFonts w:hint="eastAsia"/>
                <w:vertAlign w:val="baseline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原公告信息</w:t>
            </w:r>
          </w:p>
        </w:tc>
        <w:tc>
          <w:tcPr>
            <w:tcW w:w="1704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default"/>
                <w:sz w:val="18"/>
                <w:szCs w:val="18"/>
              </w:rPr>
              <w:t>3.1单位负责人为同一人或者存在直接控股、管理关系的不同供应商，不得参加同一合同项下的政府采购活动。为本项目提供过整体设计、规范编制或者项目管理、监理、检测等服务的供应商，不得再参加本项目上述服务以外的其他采购活动。</w:t>
            </w:r>
            <w:r>
              <w:rPr>
                <w:rFonts w:hint="default"/>
                <w:sz w:val="18"/>
                <w:szCs w:val="18"/>
              </w:rPr>
              <w:br w:type="textWrapping"/>
            </w:r>
            <w:r>
              <w:rPr>
                <w:rFonts w:hint="default"/>
                <w:sz w:val="18"/>
                <w:szCs w:val="18"/>
              </w:rPr>
              <w:t>3.2对在“信用中国”网站(www.creditchina.gov.cn) 、中国政府采购网(www.ccgp.gov.cn)被列入失信被执行人、重大税收违法案件当事人名单、政府采购严重违法失信行为记录名单及其他不符合《中华人民共和国政府采购法》第二十二条规定条件的供应商，不得参与政府采购活动。</w:t>
            </w:r>
            <w:r>
              <w:rPr>
                <w:rFonts w:hint="default"/>
                <w:sz w:val="18"/>
                <w:szCs w:val="18"/>
              </w:rPr>
              <w:br w:type="textWrapping"/>
            </w:r>
            <w:r>
              <w:rPr>
                <w:rFonts w:hint="default"/>
                <w:sz w:val="18"/>
                <w:szCs w:val="18"/>
              </w:rPr>
              <w:t>3.3 具备市政公用工程（或水利水电工程）施工总承包叁级以上（含叁级）资质的施工企业。具有省级及以上建设行政主管部门颁发的安全生产许可证；在人员、设备、资金等方面具备相应的施工能力。</w:t>
            </w:r>
            <w:r>
              <w:rPr>
                <w:rFonts w:hint="default"/>
                <w:sz w:val="18"/>
                <w:szCs w:val="18"/>
              </w:rPr>
              <w:br w:type="textWrapping"/>
            </w:r>
            <w:r>
              <w:rPr>
                <w:rFonts w:hint="default"/>
                <w:sz w:val="18"/>
                <w:szCs w:val="18"/>
              </w:rPr>
              <w:t>3.4拟投入本工程的项目经理持有二级或二级以上建造师注册证书，专业是市政工程专业或水利工程专业，（以建造师注册证书中“专业类别”栏所填写的专业为准）；持有省级或省级以上行政主管部门颁发的B类安全生产考核合格证。</w:t>
            </w:r>
            <w:r>
              <w:rPr>
                <w:rFonts w:hint="default"/>
                <w:sz w:val="18"/>
                <w:szCs w:val="18"/>
              </w:rPr>
              <w:br w:type="textWrapping"/>
            </w:r>
            <w:r>
              <w:rPr>
                <w:rFonts w:hint="default"/>
                <w:sz w:val="18"/>
                <w:szCs w:val="18"/>
              </w:rPr>
              <w:t>3.5本项目不接受未通过政府采购云平台实名制获取本项目《竞争性磋商文件》的供应商参加竞标 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/>
                <w:vertAlign w:val="baseline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240" w:lineRule="auto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3.1单位负责人为同一人或者存在直接控股、管理关系的不同供应商，不得参加同一合同项下的政府采购活动。为本项目提供过整体设计、规范编制或者项目管理、监理、检测等服务的供应商，不得再参加本项目上述服务以外的其他采购活动。</w:t>
            </w:r>
          </w:p>
          <w:p>
            <w:pPr>
              <w:spacing w:line="240" w:lineRule="auto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3.2对在“信用中国”网站(www.creditchina.gov.cn) 、中国政府采购网(www.ccgp.gov.cn)被列入失信被执行人、重大税收违法案件当事人名单、政府采购严重违法失信行为记录名单及其他不符合《中华人民共和国政府采购法》第二十二条规定条件的供应商，不得参与政府采购活动。</w:t>
            </w:r>
          </w:p>
          <w:p>
            <w:pPr>
              <w:spacing w:line="240" w:lineRule="auto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 xml:space="preserve">3.3 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具备输变电工程专业承包叁级(含叁级)及以上资质或电力工程施工总承包叁级(含叁级)及以上资质，同时具备国家电力监管委员会颁发的承装（修、试）电力设施许可证承装类四级（含四级）及以上、承修类四级（含四级）及以上、承试类四级（含四级）及以上</w:t>
            </w:r>
            <w:r>
              <w:rPr>
                <w:rFonts w:hint="default"/>
                <w:sz w:val="18"/>
                <w:szCs w:val="18"/>
              </w:rPr>
              <w:t>的施工企业。具有省级及以上建设行政主管部门颁发的安全生产许可证；在人员、设备、资金等方面具备相应的施工能力。</w:t>
            </w:r>
          </w:p>
          <w:p>
            <w:pPr>
              <w:spacing w:line="240" w:lineRule="auto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3.4拟投入本工程的项目经理持有</w:t>
            </w:r>
            <w:r>
              <w:rPr>
                <w:rFonts w:hint="default"/>
                <w:sz w:val="18"/>
                <w:szCs w:val="18"/>
                <w:lang w:eastAsia="zh-CN"/>
              </w:rPr>
              <w:t>机电工程专业</w:t>
            </w:r>
            <w:r>
              <w:rPr>
                <w:rFonts w:hint="default"/>
                <w:sz w:val="18"/>
                <w:szCs w:val="18"/>
              </w:rPr>
              <w:t>二级或二级以上建造师注册证书；持有省级或省级以上行政主管部门颁发的B类安全生产考核合格证。</w:t>
            </w:r>
          </w:p>
          <w:p>
            <w:pPr>
              <w:spacing w:line="240" w:lineRule="auto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3.5本项目不接受未通过政府采购云平台实名制获取本项目《竞争性磋商文件》的供应商参加竞标。</w:t>
            </w:r>
          </w:p>
          <w:p>
            <w:pPr>
              <w:spacing w:line="240" w:lineRule="auto"/>
              <w:rPr>
                <w:rFonts w:hint="eastAsia"/>
                <w:vertAlign w:val="baseline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240" w:lineRule="auto"/>
              <w:rPr>
                <w:rFonts w:hint="eastAsia"/>
                <w:vertAlign w:val="baseline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1</w:t>
            </w:r>
          </w:p>
        </w:tc>
      </w:tr>
    </w:tbl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        </w:t>
      </w:r>
      <w:r>
        <w:rPr>
          <w:rFonts w:hint="eastAsia"/>
          <w:lang w:val="en-US" w:eastAsia="zh-CN"/>
        </w:rPr>
        <w:t>              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/>
        </w:rPr>
        <w:t>更正日期：2022年10月</w:t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>日　　　　　　　　　　             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/>
        </w:rPr>
        <w:t>三、其他补充事宜</w:t>
      </w:r>
      <w:r>
        <w:rPr>
          <w:rFonts w:hint="eastAsia"/>
          <w:lang w:eastAsia="zh-CN"/>
        </w:rPr>
        <w:t>：以招标文件为准</w:t>
      </w:r>
      <w:r>
        <w:rPr>
          <w:rFonts w:hint="default"/>
        </w:rPr>
        <w:t>     </w:t>
      </w:r>
      <w:r>
        <w:t>      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</w:rPr>
      </w:pPr>
      <w:r>
        <w:rPr>
          <w:rFonts w:hint="eastAsia"/>
        </w:rPr>
        <w:t>四、对本次采购提出询问，请按以下方式联系。　　　           </w:t>
      </w:r>
      <w:r>
        <w:rPr>
          <w:rFonts w:hint="default"/>
        </w:rPr>
        <w:t xml:space="preserve">         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1.采购人信息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名 称：</w:t>
      </w:r>
      <w:r>
        <w:rPr>
          <w:rFonts w:hint="eastAsia"/>
          <w:lang w:val="en-US" w:eastAsia="zh-CN"/>
        </w:rPr>
        <w:t>贵港市覃塘区土地和房屋征收服务中心</w:t>
      </w:r>
      <w:r>
        <w:rPr>
          <w:rFonts w:hint="eastAsia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地址：覃塘区覃塘街道六务村委旁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/>
        </w:rPr>
        <w:t>联系方式：</w:t>
      </w:r>
      <w:r>
        <w:rPr>
          <w:rFonts w:hint="eastAsia"/>
          <w:lang w:val="en-US" w:eastAsia="zh-CN"/>
        </w:rPr>
        <w:t>0775-4650600</w:t>
      </w:r>
      <w:r>
        <w:rPr>
          <w:rFonts w:hint="eastAsia"/>
        </w:rPr>
        <w:t xml:space="preserve">                                   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2.代理</w:t>
      </w:r>
      <w:r>
        <w:rPr>
          <w:rFonts w:hint="eastAsia"/>
        </w:rPr>
        <w:t>名称：广西泰鑫项目管理有限公司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地　址：贵港市港北区（广西贵港.上亿国际汽贸博览城）38栋26号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联系方式：0775-4328663                                </w:t>
      </w:r>
      <w:r>
        <w:rPr>
          <w:rFonts w:hint="eastAsia"/>
          <w:lang w:val="en-US" w:eastAsia="zh-CN"/>
        </w:rPr>
        <w:t>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/>
        </w:rPr>
        <w:t>3.项目联系方式</w:t>
      </w:r>
      <w:r>
        <w:t xml:space="preserve">         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/>
        </w:rPr>
        <w:t>项目联系人：</w:t>
      </w:r>
      <w:r>
        <w:rPr>
          <w:rFonts w:hint="eastAsia"/>
          <w:lang w:eastAsia="zh-CN"/>
        </w:rPr>
        <w:t>梁</w:t>
      </w:r>
      <w:r>
        <w:rPr>
          <w:rFonts w:hint="eastAsia"/>
        </w:rPr>
        <w:t>工</w:t>
      </w:r>
      <w:r>
        <w:t xml:space="preserve">            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/>
        </w:rPr>
        <w:t>电    话：0775-4328663</w:t>
      </w:r>
      <w:r>
        <w:t xml:space="preserve">           </w:t>
      </w:r>
    </w:p>
    <w:p>
      <w:pPr>
        <w:spacing w:line="360" w:lineRule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1OTMxMmYyNWI3NzFkNjBiODkxZDNlMmM1N2IwMTkifQ=="/>
  </w:docVars>
  <w:rsids>
    <w:rsidRoot w:val="1C926641"/>
    <w:rsid w:val="1C926641"/>
    <w:rsid w:val="2742617D"/>
    <w:rsid w:val="291463CF"/>
    <w:rsid w:val="2C8903AA"/>
    <w:rsid w:val="2CDA29B3"/>
    <w:rsid w:val="3F8B405A"/>
    <w:rsid w:val="400B111C"/>
    <w:rsid w:val="494F67AB"/>
    <w:rsid w:val="521F6EDB"/>
    <w:rsid w:val="64E060B2"/>
    <w:rsid w:val="6BCF6E80"/>
    <w:rsid w:val="765C4F9C"/>
    <w:rsid w:val="7C6F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60" w:beforeAutospacing="0" w:after="6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TML Sample"/>
    <w:basedOn w:val="8"/>
    <w:qFormat/>
    <w:uiPriority w:val="0"/>
    <w:rPr>
      <w:rFonts w:ascii="Courier New" w:hAnsi="Courier New"/>
    </w:rPr>
  </w:style>
  <w:style w:type="character" w:customStyle="1" w:styleId="11">
    <w:name w:val="NormalCharacter"/>
    <w:qFormat/>
    <w:uiPriority w:val="0"/>
  </w:style>
  <w:style w:type="paragraph" w:customStyle="1" w:styleId="12">
    <w:name w:val="detail-info"/>
    <w:basedOn w:val="1"/>
    <w:uiPriority w:val="0"/>
    <w:pPr>
      <w:pBdr>
        <w:top w:val="none" w:color="auto" w:sz="0" w:space="0"/>
        <w:left w:val="none" w:color="auto" w:sz="0" w:space="0"/>
        <w:bottom w:val="dotted" w:color="999999" w:sz="4" w:space="6"/>
        <w:right w:val="none" w:color="auto" w:sz="0" w:space="0"/>
      </w:pBdr>
      <w:spacing w:after="240" w:afterAutospacing="0"/>
      <w:jc w:val="left"/>
    </w:pPr>
    <w:rPr>
      <w:color w:val="666666"/>
      <w:kern w:val="0"/>
      <w:sz w:val="16"/>
      <w:szCs w:val="1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1248</Words>
  <Characters>1450</Characters>
  <Lines>0</Lines>
  <Paragraphs>0</Paragraphs>
  <TotalTime>14</TotalTime>
  <ScaleCrop>false</ScaleCrop>
  <LinksUpToDate>false</LinksUpToDate>
  <CharactersWithSpaces>1766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2022-10-31T10:36:00Z</dcterms:created>
  <dc:creator>WPS_1663467191</dc:creator>
  <cp:lastModifiedBy>WPS_1663467191</cp:lastModifiedBy>
  <dcterms:modified xsi:type="dcterms:W3CDTF">2022-10-31T11:08:40Z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98A036A546A34E55872F00CAE51015D8</vt:lpwstr>
  </property>
</Properties>
</file>