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广西品格招标有限公司</w:t>
      </w:r>
    </w:p>
    <w:p>
      <w:pPr>
        <w:pStyle w:val="3"/>
        <w:spacing w:before="0" w:after="0" w:line="340" w:lineRule="exact"/>
        <w:jc w:val="center"/>
        <w:rPr>
          <w:rFonts w:hint="eastAsia" w:ascii="宋体" w:hAnsi="宋体" w:eastAsia="宋体" w:cs="宋体"/>
          <w:color w:val="auto"/>
          <w:sz w:val="28"/>
          <w:szCs w:val="28"/>
          <w:highlight w:val="none"/>
        </w:rPr>
      </w:pPr>
      <w:r>
        <w:rPr>
          <w:rFonts w:hint="eastAsia" w:ascii="宋体" w:hAnsi="宋体" w:cs="宋体"/>
          <w:b/>
          <w:bCs/>
          <w:color w:val="auto"/>
          <w:spacing w:val="40"/>
          <w:sz w:val="28"/>
          <w:szCs w:val="28"/>
          <w:highlight w:val="none"/>
          <w:lang w:eastAsia="zh-CN"/>
        </w:rPr>
        <w:t>宁明县粤桂扶贫专项资金支持我县乡镇学校教学设备采购项目</w:t>
      </w:r>
      <w:r>
        <w:rPr>
          <w:rFonts w:hint="eastAsia" w:ascii="宋体" w:hAnsi="宋体" w:eastAsia="宋体" w:cs="宋体"/>
          <w:color w:val="auto"/>
          <w:sz w:val="28"/>
          <w:szCs w:val="28"/>
          <w:highlight w:val="none"/>
        </w:rPr>
        <w:t>（</w:t>
      </w:r>
      <w:r>
        <w:rPr>
          <w:rFonts w:hint="eastAsia" w:ascii="宋体" w:hAnsi="宋体" w:eastAsia="宋体" w:cs="宋体"/>
          <w:b/>
          <w:bCs/>
          <w:color w:val="auto"/>
          <w:spacing w:val="40"/>
          <w:sz w:val="28"/>
          <w:szCs w:val="28"/>
          <w:highlight w:val="none"/>
          <w:lang w:eastAsia="zh-CN"/>
        </w:rPr>
        <w:t>CZZC2020-G1-50014-GXPG</w:t>
      </w:r>
      <w:r>
        <w:rPr>
          <w:rFonts w:hint="eastAsia" w:ascii="宋体" w:hAnsi="宋体" w:eastAsia="宋体" w:cs="宋体"/>
          <w:color w:val="auto"/>
          <w:sz w:val="28"/>
          <w:szCs w:val="28"/>
          <w:highlight w:val="none"/>
        </w:rPr>
        <w:t>）</w:t>
      </w:r>
    </w:p>
    <w:p>
      <w:pPr>
        <w:pStyle w:val="3"/>
        <w:spacing w:before="0" w:after="0"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8"/>
          <w:szCs w:val="28"/>
          <w:highlight w:val="none"/>
        </w:rPr>
        <w:t>公开招标公告</w:t>
      </w:r>
      <w:bookmarkStart w:id="0" w:name="_GoBack"/>
      <w:bookmarkEnd w:id="0"/>
    </w:p>
    <w:p>
      <w:pPr>
        <w:pStyle w:val="14"/>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广西品格招标有限公司受</w:t>
      </w:r>
      <w:r>
        <w:rPr>
          <w:rFonts w:hint="eastAsia" w:ascii="宋体" w:hAnsi="宋体" w:eastAsia="宋体" w:cs="宋体"/>
          <w:color w:val="auto"/>
          <w:sz w:val="21"/>
          <w:szCs w:val="21"/>
          <w:highlight w:val="none"/>
          <w:lang w:val="en-US" w:eastAsia="zh-CN"/>
        </w:rPr>
        <w:t>宁明县教育局</w:t>
      </w:r>
      <w:r>
        <w:rPr>
          <w:rFonts w:hint="eastAsia" w:ascii="宋体" w:hAnsi="宋体" w:eastAsia="宋体" w:cs="宋体"/>
          <w:color w:val="auto"/>
          <w:sz w:val="21"/>
          <w:szCs w:val="21"/>
          <w:highlight w:val="none"/>
        </w:rPr>
        <w:t>委托，根据《中华人民共和国政府采购法》等有关规定，现对</w:t>
      </w:r>
      <w:r>
        <w:rPr>
          <w:rFonts w:hint="eastAsia" w:ascii="宋体" w:hAnsi="宋体" w:eastAsia="宋体" w:cs="宋体"/>
          <w:color w:val="auto"/>
          <w:sz w:val="21"/>
          <w:szCs w:val="21"/>
          <w:highlight w:val="none"/>
          <w:lang w:eastAsia="zh-CN"/>
        </w:rPr>
        <w:t>宁明县粤桂扶贫专项资金支持我县乡镇学校教学设备采购项目</w:t>
      </w:r>
      <w:r>
        <w:rPr>
          <w:rFonts w:hint="eastAsia" w:ascii="宋体" w:hAnsi="宋体" w:eastAsia="宋体" w:cs="宋体"/>
          <w:color w:val="auto"/>
          <w:sz w:val="21"/>
          <w:szCs w:val="21"/>
          <w:highlight w:val="none"/>
        </w:rPr>
        <w:t>项目进行公开招标，现将本次公开招标有关事项公告如下：</w:t>
      </w:r>
    </w:p>
    <w:p>
      <w:pPr>
        <w:spacing w:line="30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一、采购项目名称：</w:t>
      </w:r>
      <w:r>
        <w:rPr>
          <w:rFonts w:hint="eastAsia" w:ascii="宋体" w:hAnsi="宋体" w:cs="宋体"/>
          <w:color w:val="auto"/>
          <w:sz w:val="21"/>
          <w:szCs w:val="21"/>
          <w:highlight w:val="none"/>
          <w:lang w:eastAsia="zh-CN"/>
        </w:rPr>
        <w:t>宁明县粤桂扶贫专项资金支持我县乡镇学校教学设备采购项目</w:t>
      </w:r>
    </w:p>
    <w:p>
      <w:pPr>
        <w:spacing w:line="300" w:lineRule="auto"/>
        <w:ind w:firstLine="422" w:firstLineChars="200"/>
        <w:rPr>
          <w:rFonts w:hint="eastAsia" w:ascii="宋体" w:hAnsi="宋体" w:eastAsia="宋体" w:cs="宋体"/>
          <w:color w:val="auto"/>
          <w:sz w:val="21"/>
          <w:szCs w:val="21"/>
          <w:highlight w:val="none"/>
          <w:lang w:eastAsia="zh-CN"/>
        </w:rPr>
      </w:pPr>
      <w:r>
        <w:rPr>
          <w:rFonts w:hint="eastAsia" w:ascii="宋体" w:hAnsi="宋体" w:eastAsia="宋体" w:cs="宋体"/>
          <w:b/>
          <w:color w:val="auto"/>
          <w:szCs w:val="21"/>
          <w:highlight w:val="none"/>
        </w:rPr>
        <w:t>二、采购项目编号：</w:t>
      </w:r>
      <w:r>
        <w:rPr>
          <w:rFonts w:hint="eastAsia" w:ascii="宋体" w:hAnsi="宋体" w:eastAsia="宋体" w:cs="宋体"/>
          <w:color w:val="auto"/>
          <w:sz w:val="21"/>
          <w:szCs w:val="21"/>
          <w:highlight w:val="none"/>
          <w:lang w:eastAsia="zh-CN"/>
        </w:rPr>
        <w:t>CZZC2020-G1-50014-GXPG</w:t>
      </w:r>
    </w:p>
    <w:p>
      <w:pPr>
        <w:widowControl/>
        <w:adjustRightInd w:val="0"/>
        <w:snapToGri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w:t>
      </w:r>
      <w:r>
        <w:rPr>
          <w:rFonts w:hint="eastAsia" w:ascii="宋体" w:hAnsi="宋体" w:eastAsia="宋体" w:cs="宋体"/>
          <w:b/>
          <w:color w:val="auto"/>
          <w:szCs w:val="21"/>
          <w:highlight w:val="none"/>
        </w:rPr>
        <w:t>采购项目的名称、数量、简要规格描述或项目基本概况介绍</w:t>
      </w:r>
      <w:r>
        <w:rPr>
          <w:rFonts w:hint="eastAsia" w:ascii="宋体" w:hAnsi="宋体" w:eastAsia="宋体" w:cs="宋体"/>
          <w:color w:val="auto"/>
          <w:szCs w:val="21"/>
          <w:highlight w:val="none"/>
        </w:rPr>
        <w:t>：</w:t>
      </w:r>
    </w:p>
    <w:tbl>
      <w:tblPr>
        <w:tblStyle w:val="10"/>
        <w:tblW w:w="0" w:type="auto"/>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3533"/>
        <w:gridCol w:w="1648"/>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9200" w:type="dxa"/>
            <w:gridSpan w:val="4"/>
            <w:noWrap w:val="0"/>
            <w:vAlign w:val="center"/>
          </w:tcPr>
          <w:p>
            <w:pPr>
              <w:pStyle w:val="6"/>
              <w:jc w:val="both"/>
              <w:rPr>
                <w:rFonts w:hint="eastAsia" w:eastAsia="宋体"/>
                <w:color w:val="auto"/>
                <w:highlight w:val="none"/>
                <w:vertAlign w:val="baseline"/>
                <w:lang w:val="en-US" w:eastAsia="zh-CN"/>
              </w:rPr>
            </w:pPr>
            <w:r>
              <w:rPr>
                <w:rFonts w:hint="eastAsia"/>
                <w:b/>
                <w:bCs/>
                <w:color w:val="auto"/>
                <w:sz w:val="21"/>
                <w:szCs w:val="21"/>
                <w:highlight w:val="none"/>
                <w:vertAlign w:val="baseline"/>
                <w:lang w:val="en-US" w:eastAsia="zh-CN"/>
              </w:rPr>
              <w:t>1、</w:t>
            </w:r>
            <w:r>
              <w:rPr>
                <w:rFonts w:hint="eastAsia" w:hAnsi="宋体" w:cs="宋体"/>
                <w:b/>
                <w:bCs/>
                <w:color w:val="auto"/>
                <w:sz w:val="21"/>
                <w:szCs w:val="21"/>
                <w:highlight w:val="none"/>
                <w:lang w:eastAsia="zh-CN"/>
              </w:rPr>
              <w:t>宁明县粤桂扶贫专项资金支持我县乡镇学校教学设备采购项目</w:t>
            </w:r>
            <w:r>
              <w:rPr>
                <w:rFonts w:hint="eastAsia" w:hAnsi="宋体" w:eastAsia="宋体" w:cs="宋体"/>
                <w:b/>
                <w:bCs/>
                <w:color w:val="auto"/>
                <w:sz w:val="21"/>
                <w:szCs w:val="21"/>
                <w:highlight w:val="none"/>
                <w:lang w:eastAsia="zh-CN"/>
              </w:rPr>
              <w:t>（</w:t>
            </w:r>
            <w:r>
              <w:rPr>
                <w:rFonts w:hint="eastAsia"/>
                <w:b/>
                <w:bCs/>
                <w:color w:val="auto"/>
                <w:sz w:val="21"/>
                <w:szCs w:val="21"/>
                <w:highlight w:val="none"/>
                <w:vertAlign w:val="baseline"/>
                <w:lang w:val="en-US" w:eastAsia="zh-CN"/>
              </w:rPr>
              <w:t>智慧黑板）-</w:t>
            </w:r>
            <w:r>
              <w:rPr>
                <w:rFonts w:hint="eastAsia"/>
                <w:b w:val="0"/>
                <w:bCs w:val="0"/>
                <w:color w:val="auto"/>
                <w:sz w:val="21"/>
                <w:szCs w:val="21"/>
                <w:highlight w:val="none"/>
                <w:vertAlign w:val="baseline"/>
                <w:lang w:val="en-US" w:eastAsia="zh-CN"/>
              </w:rPr>
              <w:t>所属初中学校和中心小学分别为：宁明县海渊中学（17套）/宁明县那堪中学（15套）/宁明县寨安乡中学（10套）/宁明县明江中学（12套）/宁明县亭亮初级中学（12套）/宁明县峙浪初级中学（8套）/宁明县桐棉中学（9套）/宁明县海渊镇中心小学（13套）/宁明县亭亮镇中心小学（8套）/宁明县那堪镇中心小学（18套）/宁明县桐棉镇中心小学（11套）/宁明县峙浪乡中心小学（10套）/宁明县板棍乡中心小学（5套）/宁明县那楠乡中心小学（8套）/宁明县爱店镇中心小学（9套）/宁明县东安乡中心小学（8套）/宁明县北江乡中心小学（8套）/宁明县明江镇中心小学（8套）/宁明县寨安乡中心小学（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96" w:type="dxa"/>
            <w:noWrap w:val="0"/>
            <w:vAlign w:val="center"/>
          </w:tcPr>
          <w:p>
            <w:pPr>
              <w:pStyle w:val="6"/>
              <w:jc w:val="center"/>
              <w:rPr>
                <w:rFonts w:hint="eastAsia" w:eastAsia="宋体"/>
                <w:b/>
                <w:bCs/>
                <w:color w:val="auto"/>
                <w:sz w:val="24"/>
                <w:szCs w:val="24"/>
                <w:highlight w:val="none"/>
                <w:vertAlign w:val="baseline"/>
                <w:lang w:val="en-US" w:eastAsia="zh-CN"/>
              </w:rPr>
            </w:pPr>
            <w:r>
              <w:rPr>
                <w:rFonts w:hint="eastAsia"/>
                <w:b/>
                <w:bCs/>
                <w:color w:val="auto"/>
                <w:sz w:val="24"/>
                <w:szCs w:val="24"/>
                <w:highlight w:val="none"/>
                <w:vertAlign w:val="baseline"/>
                <w:lang w:val="en-US" w:eastAsia="zh-CN"/>
              </w:rPr>
              <w:t>序号</w:t>
            </w:r>
          </w:p>
        </w:tc>
        <w:tc>
          <w:tcPr>
            <w:tcW w:w="4063" w:type="dxa"/>
            <w:noWrap w:val="0"/>
            <w:vAlign w:val="center"/>
          </w:tcPr>
          <w:p>
            <w:pPr>
              <w:pStyle w:val="6"/>
              <w:jc w:val="center"/>
              <w:rPr>
                <w:rFonts w:hint="eastAsia" w:eastAsia="宋体"/>
                <w:b/>
                <w:bCs/>
                <w:color w:val="auto"/>
                <w:sz w:val="24"/>
                <w:szCs w:val="24"/>
                <w:highlight w:val="none"/>
                <w:vertAlign w:val="baseline"/>
                <w:lang w:eastAsia="zh-CN"/>
              </w:rPr>
            </w:pPr>
            <w:r>
              <w:rPr>
                <w:rFonts w:hint="eastAsia"/>
                <w:b/>
                <w:bCs/>
                <w:color w:val="auto"/>
                <w:sz w:val="24"/>
                <w:szCs w:val="24"/>
                <w:highlight w:val="none"/>
                <w:vertAlign w:val="baseline"/>
                <w:lang w:eastAsia="zh-CN"/>
              </w:rPr>
              <w:t>名称</w:t>
            </w:r>
          </w:p>
        </w:tc>
        <w:tc>
          <w:tcPr>
            <w:tcW w:w="1840" w:type="dxa"/>
            <w:noWrap w:val="0"/>
            <w:vAlign w:val="center"/>
          </w:tcPr>
          <w:p>
            <w:pPr>
              <w:pStyle w:val="6"/>
              <w:jc w:val="center"/>
              <w:rPr>
                <w:rFonts w:hint="eastAsia" w:eastAsia="宋体"/>
                <w:b/>
                <w:bCs/>
                <w:color w:val="auto"/>
                <w:sz w:val="24"/>
                <w:szCs w:val="24"/>
                <w:highlight w:val="none"/>
                <w:vertAlign w:val="baseline"/>
                <w:lang w:eastAsia="zh-CN"/>
              </w:rPr>
            </w:pPr>
            <w:r>
              <w:rPr>
                <w:rFonts w:hint="eastAsia"/>
                <w:b/>
                <w:bCs/>
                <w:color w:val="auto"/>
                <w:sz w:val="24"/>
                <w:szCs w:val="24"/>
                <w:highlight w:val="none"/>
                <w:vertAlign w:val="baseline"/>
                <w:lang w:eastAsia="zh-CN"/>
              </w:rPr>
              <w:t>数量</w:t>
            </w:r>
          </w:p>
        </w:tc>
        <w:tc>
          <w:tcPr>
            <w:tcW w:w="2401" w:type="dxa"/>
            <w:noWrap w:val="0"/>
            <w:vAlign w:val="center"/>
          </w:tcPr>
          <w:p>
            <w:pPr>
              <w:pStyle w:val="6"/>
              <w:jc w:val="center"/>
              <w:rPr>
                <w:rFonts w:hint="eastAsia" w:eastAsia="宋体"/>
                <w:b/>
                <w:bCs/>
                <w:color w:val="auto"/>
                <w:sz w:val="24"/>
                <w:szCs w:val="24"/>
                <w:highlight w:val="none"/>
                <w:vertAlign w:val="baseline"/>
                <w:lang w:eastAsia="zh-CN"/>
              </w:rPr>
            </w:pPr>
            <w:r>
              <w:rPr>
                <w:rFonts w:hint="eastAsia"/>
                <w:b/>
                <w:bCs/>
                <w:color w:val="auto"/>
                <w:sz w:val="24"/>
                <w:szCs w:val="24"/>
                <w:highlight w:val="none"/>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智慧黑板</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197</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集中控制软件</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197</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壁挂式展台</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197</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音箱</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197</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麦克风</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197</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rPr>
              <w:t>教师授课平板</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197</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黑板</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197</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教务信息综合管理系统</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197</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教师信息化技能培训平台</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197</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杂项</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197</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trPr>
        <w:tc>
          <w:tcPr>
            <w:tcW w:w="9200" w:type="dxa"/>
            <w:gridSpan w:val="4"/>
            <w:noWrap w:val="0"/>
            <w:vAlign w:val="center"/>
          </w:tcPr>
          <w:p>
            <w:pPr>
              <w:keepNext w:val="0"/>
              <w:keepLines w:val="0"/>
              <w:widowControl/>
              <w:suppressLineNumbers w:val="0"/>
              <w:jc w:val="both"/>
              <w:textAlignment w:val="center"/>
              <w:rPr>
                <w:rFonts w:hint="default"/>
                <w:color w:val="auto"/>
                <w:highlight w:val="none"/>
                <w:vertAlign w:val="baseline"/>
                <w:lang w:val="en-US"/>
              </w:rPr>
            </w:pPr>
            <w:r>
              <w:rPr>
                <w:rFonts w:hint="eastAsia" w:ascii="宋体" w:hAnsi="宋体" w:eastAsia="宋体" w:cs="宋体"/>
                <w:b/>
                <w:bCs/>
                <w:color w:val="auto"/>
                <w:highlight w:val="none"/>
                <w:vertAlign w:val="baseline"/>
                <w:lang w:val="en-US" w:eastAsia="zh-CN"/>
              </w:rPr>
              <w:t>2、</w:t>
            </w:r>
            <w:r>
              <w:rPr>
                <w:rFonts w:hint="eastAsia" w:ascii="宋体" w:hAnsi="宋体" w:cs="宋体"/>
                <w:b/>
                <w:bCs/>
                <w:color w:val="auto"/>
                <w:sz w:val="21"/>
                <w:szCs w:val="21"/>
                <w:highlight w:val="none"/>
                <w:lang w:eastAsia="zh-CN"/>
              </w:rPr>
              <w:t>宁明县粤桂扶贫专项资金支持我县乡镇学校教学设备采购项目</w:t>
            </w:r>
            <w:r>
              <w:rPr>
                <w:rFonts w:hint="eastAsia" w:hAnsi="宋体" w:eastAsia="宋体" w:cs="宋体"/>
                <w:b/>
                <w:bCs/>
                <w:color w:val="auto"/>
                <w:sz w:val="21"/>
                <w:szCs w:val="21"/>
                <w:highlight w:val="none"/>
                <w:lang w:eastAsia="zh-CN"/>
              </w:rPr>
              <w:t>（</w:t>
            </w:r>
            <w:r>
              <w:rPr>
                <w:rFonts w:hint="eastAsia" w:ascii="宋体" w:hAnsi="宋体" w:eastAsia="宋体" w:cs="宋体"/>
                <w:b/>
                <w:bCs/>
                <w:color w:val="auto"/>
                <w:highlight w:val="none"/>
                <w:vertAlign w:val="baseline"/>
                <w:lang w:val="en-US" w:eastAsia="zh-CN"/>
              </w:rPr>
              <w:t>交互智能平板）</w:t>
            </w:r>
            <w:r>
              <w:rPr>
                <w:rFonts w:hint="eastAsia" w:ascii="宋体" w:hAnsi="宋体" w:eastAsia="宋体" w:cs="宋体"/>
                <w:b w:val="0"/>
                <w:bCs w:val="0"/>
                <w:color w:val="auto"/>
                <w:highlight w:val="none"/>
                <w:vertAlign w:val="baseline"/>
                <w:lang w:val="en-US" w:eastAsia="zh-CN"/>
              </w:rPr>
              <w:t>-所属小学分别为：宁明县那堪镇迁隆小学（4套）/宁明县那堪镇垌中小学（5套）/宁明县寨安乡那练小学（3套）/宁明县寨安乡板亮小学（3套）/宁明县明江镇安马小学（3套）/宁明县明江镇峙利小学（3套）/宁明县明江镇琴力小学（4套）/宁明县明江镇西靖小学（3套）/宁明县亭亮镇天侨小学（5套）/宁明县峙浪乡长桥小学（3套）/宁明县峙浪乡思陵小学（2套）/宁明县桐棉镇板烂小学（5套）/宁明县桐棉镇那梨小学（6套）/宁明县亭亮镇龙旺小学（4套）/宁明县那楠乡小平小学（5套）/宁明县北江乡良安小学（2套）/宁明县东安乡双棒希望小学（4套）/宁明县东安乡百合小学（3套）/宁明县海渊镇第一小学（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1</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交互智能平板</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76</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2</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集中控制软件</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76</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3</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壁挂式展台</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76</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4</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音箱</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76</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5</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麦克风</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76</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6</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kern w:val="0"/>
                <w:sz w:val="21"/>
                <w:szCs w:val="21"/>
                <w:highlight w:val="none"/>
                <w:lang w:val="en-US" w:eastAsia="zh-CN"/>
              </w:rPr>
              <w:t>教师授课平板</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76</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7</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黑板</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76</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8</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教务信息综合管理系统</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76</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9</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教师信息化技能培训平台</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76</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9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i w:val="0"/>
                <w:color w:val="auto"/>
                <w:kern w:val="0"/>
                <w:sz w:val="21"/>
                <w:szCs w:val="21"/>
                <w:highlight w:val="none"/>
                <w:u w:val="none"/>
                <w:lang w:val="en-US" w:eastAsia="zh-CN" w:bidi="ar"/>
              </w:rPr>
              <w:t>10</w:t>
            </w:r>
          </w:p>
        </w:tc>
        <w:tc>
          <w:tcPr>
            <w:tcW w:w="4063"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杂项</w:t>
            </w:r>
          </w:p>
        </w:tc>
        <w:tc>
          <w:tcPr>
            <w:tcW w:w="1840"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76</w:t>
            </w:r>
          </w:p>
        </w:tc>
        <w:tc>
          <w:tcPr>
            <w:tcW w:w="24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项</w:t>
            </w:r>
          </w:p>
        </w:tc>
      </w:tr>
    </w:tbl>
    <w:p>
      <w:pPr>
        <w:widowControl/>
        <w:adjustRightInd w:val="0"/>
        <w:snapToGrid w:val="0"/>
        <w:ind w:firstLine="420" w:firstLineChars="200"/>
        <w:rPr>
          <w:rFonts w:hint="eastAsia" w:ascii="宋体" w:hAnsi="宋体" w:eastAsia="宋体" w:cs="宋体"/>
          <w:color w:val="auto"/>
          <w:szCs w:val="21"/>
          <w:highlight w:val="none"/>
          <w:lang w:eastAsia="zh-CN"/>
        </w:rPr>
      </w:pPr>
    </w:p>
    <w:p>
      <w:pPr>
        <w:widowControl/>
        <w:adjustRightInd w:val="0"/>
        <w:snapToGrid w:val="0"/>
        <w:ind w:firstLine="420" w:firstLineChars="200"/>
        <w:rPr>
          <w:rFonts w:hint="eastAsia" w:ascii="宋体" w:hAnsi="宋体" w:eastAsia="宋体" w:cs="宋体"/>
          <w:color w:val="auto"/>
          <w:kern w:val="0"/>
          <w:sz w:val="20"/>
          <w:szCs w:val="20"/>
          <w:highlight w:val="none"/>
        </w:rPr>
      </w:pPr>
      <w:r>
        <w:rPr>
          <w:rFonts w:hint="eastAsia" w:ascii="宋体" w:hAnsi="宋体" w:eastAsia="宋体" w:cs="宋体"/>
          <w:color w:val="auto"/>
          <w:szCs w:val="21"/>
          <w:highlight w:val="none"/>
        </w:rPr>
        <w:t>如需进一步了解详细内容，详见招标文件。</w:t>
      </w:r>
    </w:p>
    <w:p>
      <w:pPr>
        <w:spacing w:line="30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 xml:space="preserve">   四、采购项目预算金额（人民币）：</w:t>
      </w:r>
      <w:r>
        <w:rPr>
          <w:rFonts w:hint="eastAsia" w:ascii="宋体" w:hAnsi="宋体" w:eastAsia="宋体" w:cs="宋体"/>
          <w:color w:val="auto"/>
          <w:szCs w:val="21"/>
          <w:highlight w:val="none"/>
          <w:lang w:eastAsia="zh-CN"/>
        </w:rPr>
        <w:t>壹仟贰佰肆拾玖万零壹佰元整(¥12490100</w:t>
      </w:r>
      <w:r>
        <w:rPr>
          <w:rFonts w:hint="eastAsia" w:ascii="宋体" w:hAnsi="宋体" w:eastAsia="宋体" w:cs="宋体"/>
          <w:color w:val="auto"/>
          <w:szCs w:val="21"/>
          <w:highlight w:val="none"/>
          <w:lang w:val="en-US" w:eastAsia="zh-CN"/>
        </w:rPr>
        <w:t>.00</w:t>
      </w:r>
      <w:r>
        <w:rPr>
          <w:rFonts w:hint="eastAsia" w:ascii="宋体" w:hAnsi="宋体" w:eastAsia="宋体" w:cs="宋体"/>
          <w:color w:val="auto"/>
          <w:szCs w:val="21"/>
          <w:highlight w:val="none"/>
          <w:lang w:eastAsia="zh-CN"/>
        </w:rPr>
        <w:t>)</w:t>
      </w:r>
    </w:p>
    <w:p>
      <w:pPr>
        <w:spacing w:line="300" w:lineRule="auto"/>
        <w:ind w:firstLine="308" w:firstLineChars="147"/>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五、本项目需要落实的政府采购政策：</w:t>
      </w:r>
    </w:p>
    <w:p>
      <w:pPr>
        <w:pStyle w:val="4"/>
        <w:spacing w:line="300" w:lineRule="auto"/>
        <w:ind w:firstLine="401"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1.政府采购促进中小企业发展。</w:t>
      </w:r>
    </w:p>
    <w:p>
      <w:pPr>
        <w:pStyle w:val="4"/>
        <w:spacing w:line="300" w:lineRule="auto"/>
        <w:ind w:firstLine="401"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2.政府采购支持采用本国产品的政策。</w:t>
      </w:r>
    </w:p>
    <w:p>
      <w:pPr>
        <w:pStyle w:val="4"/>
        <w:spacing w:line="300" w:lineRule="auto"/>
        <w:ind w:firstLine="401"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3.强制采购、优先采购环境标志产品、节能产品。</w:t>
      </w:r>
    </w:p>
    <w:p>
      <w:pPr>
        <w:pStyle w:val="4"/>
        <w:spacing w:line="300" w:lineRule="auto"/>
        <w:ind w:firstLine="401" w:firstLineChars="199"/>
        <w:rPr>
          <w:rFonts w:hint="eastAsia" w:ascii="宋体" w:hAnsi="宋体" w:eastAsia="宋体" w:cs="宋体"/>
          <w:b/>
          <w:color w:val="auto"/>
          <w:spacing w:val="0"/>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
          <w:color w:val="auto"/>
          <w:spacing w:val="0"/>
          <w:sz w:val="21"/>
          <w:szCs w:val="21"/>
          <w:highlight w:val="none"/>
        </w:rPr>
        <w:t>六、供应商资格要求：</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1．符合《中华人民共和国政府采购法》第二十二条规定的供应商资格条件。</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2．国内注册（指按国家有关规定要求注册的），具有提供本次招标采购货物及服务能力，具备法人资格的供应商；</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本项目不接受联合体投标。</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本项目不接受未购买本招标文件的供应商投标。</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0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6. </w:t>
      </w:r>
      <w:r>
        <w:rPr>
          <w:rFonts w:hint="eastAsia" w:ascii="宋体" w:hAnsi="宋体" w:eastAsia="宋体" w:cs="宋体"/>
          <w:color w:val="auto"/>
          <w:szCs w:val="21"/>
          <w:highlight w:val="none"/>
          <w:lang w:eastAsia="zh-CN"/>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加本次政府采购活动</w:t>
      </w:r>
      <w:r>
        <w:rPr>
          <w:rFonts w:hint="eastAsia" w:ascii="宋体" w:hAnsi="宋体" w:eastAsia="宋体" w:cs="宋体"/>
          <w:color w:val="auto"/>
          <w:szCs w:val="21"/>
          <w:highlight w:val="none"/>
        </w:rPr>
        <w:t>。</w:t>
      </w:r>
    </w:p>
    <w:p>
      <w:pPr>
        <w:spacing w:line="30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七、招标文件的获取：</w:t>
      </w:r>
    </w:p>
    <w:p>
      <w:pPr>
        <w:pStyle w:val="14"/>
        <w:keepNext w:val="0"/>
        <w:keepLines w:val="0"/>
        <w:pageBreakBefore w:val="0"/>
        <w:widowControl/>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1.获取时间：</w:t>
      </w:r>
      <w:r>
        <w:rPr>
          <w:rFonts w:hint="eastAsia" w:ascii="宋体" w:hAnsi="宋体" w:eastAsia="宋体" w:cs="宋体"/>
          <w:color w:val="auto"/>
          <w:sz w:val="21"/>
          <w:szCs w:val="21"/>
          <w:highlight w:val="none"/>
          <w:lang w:eastAsia="zh-CN"/>
        </w:rPr>
        <w:t>2020年</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日自本公告发布之时起至</w:t>
      </w:r>
      <w:r>
        <w:rPr>
          <w:rFonts w:hint="eastAsia" w:ascii="宋体" w:hAnsi="宋体" w:eastAsia="宋体" w:cs="宋体"/>
          <w:color w:val="auto"/>
          <w:sz w:val="21"/>
          <w:szCs w:val="21"/>
          <w:highlight w:val="none"/>
          <w:lang w:eastAsia="zh-CN"/>
        </w:rPr>
        <w:t>2020年</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日止的正常工作时间，正常工作时间是指每天上午9时00分到12时00分，下午3时00分到5时30分，双休日和法定节假日不办理业务。</w:t>
      </w:r>
    </w:p>
    <w:p>
      <w:pPr>
        <w:pStyle w:val="14"/>
        <w:keepNext w:val="0"/>
        <w:keepLines w:val="0"/>
        <w:pageBreakBefore w:val="0"/>
        <w:widowControl/>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2.获取地点：崇左市公共资源交易中心（崇左市城南新区石景林路东段政务服务中心综合楼三楼）</w:t>
      </w:r>
    </w:p>
    <w:p>
      <w:pPr>
        <w:pStyle w:val="14"/>
        <w:keepNext w:val="0"/>
        <w:keepLines w:val="0"/>
        <w:pageBreakBefore w:val="0"/>
        <w:widowControl/>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3.招标文件售价每本</w:t>
      </w: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0元，售后不退，不提供电子版，不代办邮寄。</w:t>
      </w:r>
    </w:p>
    <w:p>
      <w:pPr>
        <w:pStyle w:val="8"/>
        <w:keepNext w:val="0"/>
        <w:keepLines w:val="0"/>
        <w:pageBreakBefore w:val="0"/>
        <w:widowControl/>
        <w:kinsoku/>
        <w:wordWrap/>
        <w:overflowPunct/>
        <w:topLinePunct w:val="0"/>
        <w:autoSpaceDE/>
        <w:autoSpaceDN/>
        <w:bidi w:val="0"/>
        <w:spacing w:before="0" w:beforeAutospacing="0" w:after="0" w:afterAutospacing="0"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获取招标文件的方式：法定代表人或授权代理人携带以下材料到报名处接受报名：（1）营业执照副本复印件；（2）法定代表人资格证明书及法定代表人身份证复印件（委托代理时还需提供授权委托书原件和代理人身份证复印件，代理人必须为本单位职工，并提供其最近三个月（</w:t>
      </w:r>
      <w:r>
        <w:rPr>
          <w:rFonts w:hint="eastAsia" w:ascii="宋体" w:hAnsi="宋体" w:eastAsia="宋体" w:cs="宋体"/>
          <w:color w:val="auto"/>
          <w:sz w:val="21"/>
          <w:szCs w:val="21"/>
          <w:highlight w:val="none"/>
          <w:lang w:eastAsia="zh-CN"/>
        </w:rPr>
        <w:t>2020年</w:t>
      </w:r>
      <w:r>
        <w:rPr>
          <w:rFonts w:hint="eastAsia"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月至</w:t>
      </w:r>
      <w:r>
        <w:rPr>
          <w:rFonts w:hint="eastAsia" w:ascii="宋体" w:hAnsi="宋体" w:eastAsia="宋体" w:cs="宋体"/>
          <w:color w:val="auto"/>
          <w:sz w:val="21"/>
          <w:szCs w:val="21"/>
          <w:highlight w:val="none"/>
          <w:lang w:eastAsia="zh-CN"/>
        </w:rPr>
        <w:t>2020年</w:t>
      </w:r>
      <w:r>
        <w:rPr>
          <w:rFonts w:hint="eastAsia"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月的社保证明）。上述资料必须真实有效，并提供原件核查，所有复印件必须加盖公章，否则将被拒绝。已购买招标文件的潜在投标人不等于符合本项目的投标人资格。</w:t>
      </w:r>
    </w:p>
    <w:p>
      <w:pPr>
        <w:pStyle w:val="8"/>
        <w:keepNext w:val="0"/>
        <w:keepLines w:val="0"/>
        <w:pageBreakBefore w:val="0"/>
        <w:widowControl/>
        <w:kinsoku/>
        <w:wordWrap/>
        <w:overflowPunct/>
        <w:topLinePunct w:val="0"/>
        <w:autoSpaceDE/>
        <w:autoSpaceDN/>
        <w:bidi w:val="0"/>
        <w:spacing w:before="0" w:beforeAutospacing="0" w:after="0" w:afterAutospacing="0" w:line="360" w:lineRule="auto"/>
        <w:ind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5.公告期限：自公告发布之日起5个工作日。</w:t>
      </w:r>
    </w:p>
    <w:p>
      <w:pPr>
        <w:pStyle w:val="14"/>
        <w:spacing w:line="30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八、投标保证金：</w:t>
      </w:r>
      <w:r>
        <w:rPr>
          <w:rFonts w:hint="eastAsia" w:ascii="宋体" w:hAnsi="宋体" w:eastAsia="宋体" w:cs="宋体"/>
          <w:b/>
          <w:bCs/>
          <w:color w:val="auto"/>
          <w:highlight w:val="none"/>
        </w:rPr>
        <w:t>人民币壹拾万元整（¥100000.00元）</w:t>
      </w:r>
      <w:r>
        <w:rPr>
          <w:rFonts w:hint="eastAsia" w:ascii="宋体" w:hAnsi="宋体" w:eastAsia="宋体" w:cs="宋体"/>
          <w:b/>
          <w:bCs/>
          <w:color w:val="auto"/>
          <w:sz w:val="21"/>
          <w:szCs w:val="21"/>
          <w:highlight w:val="none"/>
        </w:rPr>
        <w:t>。</w:t>
      </w:r>
    </w:p>
    <w:p>
      <w:pPr>
        <w:pStyle w:val="14"/>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供应商应于投标截止时间前将投标保证金以电汇、转账、汇票等非现金形式从供应商的基本账户交至指定账户。 </w:t>
      </w:r>
    </w:p>
    <w:p>
      <w:pPr>
        <w:pStyle w:val="14"/>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基本账户转账或电汇到以下指定的投标保证金专用账户，缴纳时必须在银行转帐单上注明所缴保证金对应的项目名称或项目编号及(标段)号。【备注：在投标截止时间前于开标现场查验银行转账底单原件，复印件加盖投标人单位公章装入投标文件】，否则做否决投标处理。</w:t>
      </w:r>
    </w:p>
    <w:p>
      <w:pPr>
        <w:pStyle w:val="14"/>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开户名称：崇左市公共资源交易中心</w:t>
      </w:r>
    </w:p>
    <w:p>
      <w:pPr>
        <w:pStyle w:val="14"/>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开户行：中国建设银行股份有限公司崇左友谊大道支行 </w:t>
      </w:r>
    </w:p>
    <w:p>
      <w:pPr>
        <w:pStyle w:val="14"/>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开户账号：45001598054059556677</w:t>
      </w:r>
    </w:p>
    <w:p>
      <w:pPr>
        <w:pStyle w:val="14"/>
        <w:spacing w:line="30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九、</w:t>
      </w:r>
      <w:r>
        <w:rPr>
          <w:rFonts w:hint="eastAsia" w:ascii="宋体" w:hAnsi="宋体" w:eastAsia="宋体" w:cs="宋体"/>
          <w:b/>
          <w:color w:val="auto"/>
          <w:sz w:val="21"/>
          <w:szCs w:val="21"/>
          <w:highlight w:val="none"/>
        </w:rPr>
        <w:t>投标截止时间和地点：</w:t>
      </w:r>
    </w:p>
    <w:p>
      <w:pPr>
        <w:pStyle w:val="14"/>
        <w:spacing w:line="300" w:lineRule="auto"/>
        <w:ind w:firstLine="4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投标人应于</w:t>
      </w:r>
      <w:r>
        <w:rPr>
          <w:rFonts w:hint="eastAsia" w:ascii="宋体" w:hAnsi="宋体" w:eastAsia="宋体" w:cs="宋体"/>
          <w:color w:val="auto"/>
          <w:szCs w:val="21"/>
          <w:highlight w:val="none"/>
          <w:lang w:eastAsia="zh-CN"/>
        </w:rPr>
        <w:t>2020年</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lang w:val="en-US" w:eastAsia="zh-CN"/>
        </w:rPr>
        <w:t>00</w:t>
      </w:r>
      <w:r>
        <w:rPr>
          <w:rFonts w:hint="eastAsia" w:ascii="宋体" w:hAnsi="宋体" w:eastAsia="宋体" w:cs="宋体"/>
          <w:color w:val="auto"/>
          <w:szCs w:val="21"/>
          <w:highlight w:val="none"/>
        </w:rPr>
        <w:t>分</w:t>
      </w:r>
      <w:r>
        <w:rPr>
          <w:rFonts w:hint="eastAsia" w:ascii="宋体" w:hAnsi="宋体" w:eastAsia="宋体" w:cs="宋体"/>
          <w:color w:val="auto"/>
          <w:sz w:val="21"/>
          <w:szCs w:val="21"/>
          <w:highlight w:val="none"/>
        </w:rPr>
        <w:t>前将投标文件由法定代表人或委托代理人（携带本人身份证原件，委托代理人出席应携带单位授权委托书原件）密封递交到崇左市公共资源交易中心(崇左市城南新区石景林路政务服务中心综合楼五楼开标室)，逾期送达的将予以拒收。</w:t>
      </w:r>
    </w:p>
    <w:p>
      <w:pPr>
        <w:spacing w:line="30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b/>
          <w:bCs/>
          <w:color w:val="auto"/>
          <w:kern w:val="0"/>
          <w:szCs w:val="21"/>
          <w:highlight w:val="none"/>
        </w:rPr>
        <w:t xml:space="preserve">  十、</w:t>
      </w:r>
      <w:r>
        <w:rPr>
          <w:rFonts w:hint="eastAsia" w:ascii="宋体" w:hAnsi="宋体" w:eastAsia="宋体" w:cs="宋体"/>
          <w:b/>
          <w:color w:val="auto"/>
          <w:kern w:val="0"/>
          <w:szCs w:val="21"/>
          <w:highlight w:val="none"/>
        </w:rPr>
        <w:t>开标时间及地点:</w:t>
      </w:r>
    </w:p>
    <w:p>
      <w:pPr>
        <w:spacing w:line="30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本次招标将于</w:t>
      </w:r>
      <w:r>
        <w:rPr>
          <w:rFonts w:hint="eastAsia" w:ascii="宋体" w:hAnsi="宋体" w:eastAsia="宋体" w:cs="宋体"/>
          <w:color w:val="auto"/>
          <w:szCs w:val="21"/>
          <w:highlight w:val="none"/>
          <w:lang w:eastAsia="zh-CN"/>
        </w:rPr>
        <w:t>2020年</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lang w:val="en-US" w:eastAsia="zh-CN"/>
        </w:rPr>
        <w:t>00</w:t>
      </w:r>
      <w:r>
        <w:rPr>
          <w:rFonts w:hint="eastAsia" w:ascii="宋体" w:hAnsi="宋体" w:eastAsia="宋体" w:cs="宋体"/>
          <w:color w:val="auto"/>
          <w:szCs w:val="21"/>
          <w:highlight w:val="none"/>
        </w:rPr>
        <w:t>分</w:t>
      </w:r>
      <w:r>
        <w:rPr>
          <w:rFonts w:hint="eastAsia" w:ascii="宋体" w:hAnsi="宋体" w:eastAsia="宋体" w:cs="宋体"/>
          <w:color w:val="auto"/>
          <w:kern w:val="0"/>
          <w:szCs w:val="21"/>
          <w:highlight w:val="none"/>
        </w:rPr>
        <w:t>在崇左市公共资源交易中心开标厅（崇左市城南新区石景林路东段崇左市政务服务中心综合楼5楼，具体详见5楼电子显示屏安排）开标，投标人可以由法定代表人或委托代理人出席开标会议（携带本人身份证原件，委托代理人出席应携带单位授权委托书原件）。</w:t>
      </w:r>
    </w:p>
    <w:p>
      <w:pPr>
        <w:spacing w:line="300" w:lineRule="auto"/>
        <w:ind w:firstLine="422" w:firstLineChars="200"/>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十一、联系事项：</w:t>
      </w:r>
    </w:p>
    <w:p>
      <w:pPr>
        <w:spacing w:line="300" w:lineRule="auto"/>
        <w:ind w:firstLine="527" w:firstLineChars="250"/>
        <w:rPr>
          <w:rFonts w:hint="default" w:ascii="宋体" w:hAnsi="宋体" w:eastAsia="宋体" w:cs="宋体"/>
          <w:color w:val="auto"/>
          <w:kern w:val="0"/>
          <w:szCs w:val="21"/>
          <w:highlight w:val="none"/>
          <w:lang w:val="en-US" w:eastAsia="zh-CN"/>
        </w:rPr>
      </w:pPr>
      <w:r>
        <w:rPr>
          <w:rFonts w:hint="eastAsia" w:ascii="宋体" w:hAnsi="宋体" w:eastAsia="宋体" w:cs="宋体"/>
          <w:b/>
          <w:color w:val="auto"/>
          <w:kern w:val="0"/>
          <w:szCs w:val="21"/>
          <w:highlight w:val="none"/>
        </w:rPr>
        <w:t>1.采购人名称：</w:t>
      </w:r>
      <w:r>
        <w:rPr>
          <w:rFonts w:hint="eastAsia" w:ascii="宋体" w:hAnsi="宋体" w:eastAsia="宋体" w:cs="宋体"/>
          <w:color w:val="auto"/>
          <w:sz w:val="21"/>
          <w:szCs w:val="21"/>
          <w:highlight w:val="none"/>
          <w:lang w:val="en-US" w:eastAsia="zh-CN"/>
        </w:rPr>
        <w:t>宁明县教育局</w:t>
      </w:r>
      <w:r>
        <w:rPr>
          <w:rFonts w:hint="eastAsia" w:ascii="宋体" w:hAnsi="宋体" w:eastAsia="宋体" w:cs="宋体"/>
          <w:color w:val="auto"/>
          <w:kern w:val="0"/>
          <w:szCs w:val="21"/>
          <w:highlight w:val="none"/>
          <w:lang w:val="en-US" w:eastAsia="zh-CN"/>
        </w:rPr>
        <w:t xml:space="preserve">           </w:t>
      </w:r>
    </w:p>
    <w:p>
      <w:pPr>
        <w:pStyle w:val="5"/>
        <w:tabs>
          <w:tab w:val="right" w:pos="8051"/>
        </w:tabs>
        <w:spacing w:line="400" w:lineRule="exact"/>
        <w:ind w:firstLine="619" w:firstLineChars="29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地址：宁明县城中镇新明路2号</w:t>
      </w:r>
      <w:r>
        <w:rPr>
          <w:rFonts w:hint="eastAsia" w:ascii="宋体" w:hAnsi="宋体" w:eastAsia="宋体" w:cs="宋体"/>
          <w:bCs/>
          <w:color w:val="auto"/>
          <w:szCs w:val="21"/>
          <w:highlight w:val="none"/>
          <w:lang w:eastAsia="zh-CN"/>
        </w:rPr>
        <w:t xml:space="preserve"> </w:t>
      </w:r>
      <w:r>
        <w:rPr>
          <w:rFonts w:hint="eastAsia" w:ascii="宋体" w:hAnsi="宋体" w:eastAsia="宋体" w:cs="宋体"/>
          <w:bCs/>
          <w:color w:val="auto"/>
          <w:szCs w:val="21"/>
          <w:highlight w:val="none"/>
        </w:rPr>
        <w:t xml:space="preserve">      </w:t>
      </w:r>
    </w:p>
    <w:p>
      <w:pPr>
        <w:pStyle w:val="5"/>
        <w:tabs>
          <w:tab w:val="right" w:pos="8051"/>
        </w:tabs>
        <w:spacing w:line="400" w:lineRule="exact"/>
        <w:ind w:firstLine="619" w:firstLineChars="295"/>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联系人:黄主任            联系电话：0771-8620242</w:t>
      </w:r>
    </w:p>
    <w:p>
      <w:pPr>
        <w:pStyle w:val="5"/>
        <w:tabs>
          <w:tab w:val="right" w:pos="8051"/>
        </w:tabs>
        <w:spacing w:line="340" w:lineRule="exact"/>
        <w:ind w:firstLine="622" w:firstLineChars="295"/>
        <w:rPr>
          <w:rFonts w:hint="eastAsia" w:ascii="宋体" w:hAnsi="宋体" w:eastAsia="宋体" w:cs="宋体"/>
          <w:color w:val="auto"/>
          <w:szCs w:val="21"/>
          <w:highlight w:val="none"/>
        </w:rPr>
      </w:pPr>
      <w:r>
        <w:rPr>
          <w:rFonts w:hint="eastAsia" w:ascii="宋体" w:hAnsi="宋体" w:eastAsia="宋体" w:cs="宋体"/>
          <w:b/>
          <w:bCs/>
          <w:color w:val="auto"/>
          <w:kern w:val="0"/>
          <w:szCs w:val="21"/>
          <w:highlight w:val="none"/>
        </w:rPr>
        <w:t>2.采购代理机构</w:t>
      </w:r>
      <w:r>
        <w:rPr>
          <w:rFonts w:hint="eastAsia" w:ascii="宋体" w:hAnsi="宋体" w:eastAsia="宋体" w:cs="宋体"/>
          <w:b/>
          <w:bCs/>
          <w:color w:val="auto"/>
          <w:szCs w:val="21"/>
          <w:highlight w:val="none"/>
        </w:rPr>
        <w:t>：</w:t>
      </w:r>
      <w:r>
        <w:rPr>
          <w:rFonts w:hint="eastAsia" w:ascii="宋体" w:hAnsi="宋体" w:eastAsia="宋体" w:cs="宋体"/>
          <w:color w:val="auto"/>
          <w:szCs w:val="21"/>
          <w:highlight w:val="none"/>
        </w:rPr>
        <w:t>广西品格招标有限公司</w:t>
      </w:r>
    </w:p>
    <w:p>
      <w:pPr>
        <w:pStyle w:val="5"/>
        <w:tabs>
          <w:tab w:val="right" w:pos="8051"/>
        </w:tabs>
        <w:spacing w:line="340" w:lineRule="exact"/>
        <w:ind w:firstLine="619" w:firstLineChars="295"/>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地址：南宁市江南区五一中路111-9号15楼</w:t>
      </w:r>
    </w:p>
    <w:p>
      <w:pPr>
        <w:pStyle w:val="5"/>
        <w:tabs>
          <w:tab w:val="right" w:pos="8051"/>
        </w:tabs>
        <w:spacing w:line="340" w:lineRule="exact"/>
        <w:ind w:firstLine="619" w:firstLineChars="295"/>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r>
        <w:rPr>
          <w:rFonts w:hint="eastAsia" w:hAnsi="宋体" w:eastAsia="宋体" w:cs="宋体"/>
          <w:color w:val="auto"/>
          <w:szCs w:val="21"/>
          <w:highlight w:val="none"/>
          <w:lang w:eastAsia="zh-CN"/>
        </w:rPr>
        <w:t>韦</w:t>
      </w:r>
      <w:r>
        <w:rPr>
          <w:rFonts w:hint="eastAsia" w:ascii="宋体" w:hAnsi="宋体" w:eastAsia="宋体" w:cs="宋体"/>
          <w:color w:val="auto"/>
          <w:szCs w:val="21"/>
          <w:highlight w:val="none"/>
          <w:lang w:eastAsia="zh-CN"/>
        </w:rPr>
        <w:t>工</w:t>
      </w:r>
      <w:r>
        <w:rPr>
          <w:rFonts w:hint="eastAsia" w:ascii="宋体" w:hAnsi="宋体" w:eastAsia="宋体" w:cs="宋体"/>
          <w:color w:val="auto"/>
          <w:szCs w:val="21"/>
          <w:highlight w:val="none"/>
        </w:rPr>
        <w:t xml:space="preserve">            联系电话：0771-2298386</w:t>
      </w:r>
    </w:p>
    <w:p>
      <w:pPr>
        <w:spacing w:line="300" w:lineRule="auto"/>
        <w:ind w:firstLine="316" w:firstLineChars="150"/>
        <w:rPr>
          <w:rFonts w:hint="eastAsia" w:ascii="宋体" w:hAnsi="宋体" w:eastAsia="宋体" w:cs="宋体"/>
          <w:bCs/>
          <w:color w:val="auto"/>
          <w:szCs w:val="21"/>
          <w:highlight w:val="none"/>
        </w:rPr>
      </w:pPr>
      <w:r>
        <w:rPr>
          <w:rFonts w:hint="eastAsia" w:ascii="宋体" w:hAnsi="宋体" w:eastAsia="宋体" w:cs="宋体"/>
          <w:b/>
          <w:color w:val="auto"/>
          <w:szCs w:val="21"/>
          <w:highlight w:val="none"/>
        </w:rPr>
        <w:t xml:space="preserve">   3.监督单位：</w:t>
      </w:r>
      <w:r>
        <w:rPr>
          <w:rFonts w:hint="eastAsia" w:ascii="宋体" w:hAnsi="宋体" w:eastAsia="宋体" w:cs="宋体"/>
          <w:bCs/>
          <w:color w:val="auto"/>
          <w:szCs w:val="21"/>
          <w:highlight w:val="none"/>
          <w:lang w:eastAsia="zh-CN"/>
        </w:rPr>
        <w:t>宁明县财政局政府采购监督股     电话:0771-8636488</w:t>
      </w:r>
    </w:p>
    <w:p>
      <w:pPr>
        <w:spacing w:line="300" w:lineRule="auto"/>
        <w:ind w:firstLine="316" w:firstLineChars="15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十二、网上公告媒体查询：</w:t>
      </w:r>
    </w:p>
    <w:p>
      <w:pPr>
        <w:spacing w:line="30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"http://www.ccgp.gov.cn"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中国政府采购网 、 广西壮族自治区政府采购网  、崇左市公共资源交易中心网 。</w:t>
      </w:r>
      <w:r>
        <w:rPr>
          <w:rFonts w:hint="eastAsia" w:ascii="宋体" w:hAnsi="宋体" w:eastAsia="宋体" w:cs="宋体"/>
          <w:color w:val="auto"/>
          <w:szCs w:val="21"/>
          <w:highlight w:val="none"/>
        </w:rPr>
        <w:fldChar w:fldCharType="end"/>
      </w:r>
    </w:p>
    <w:p>
      <w:pPr>
        <w:spacing w:line="300" w:lineRule="auto"/>
        <w:jc w:val="right"/>
        <w:rPr>
          <w:rFonts w:hint="eastAsia" w:ascii="宋体" w:hAnsi="宋体" w:eastAsia="宋体" w:cs="宋体"/>
          <w:color w:val="auto"/>
          <w:kern w:val="0"/>
          <w:szCs w:val="21"/>
          <w:highlight w:val="none"/>
          <w:lang w:eastAsia="zh-CN"/>
        </w:rPr>
      </w:pP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宁明县教育局</w:t>
      </w:r>
      <w:r>
        <w:rPr>
          <w:rFonts w:hint="eastAsia" w:ascii="宋体" w:hAnsi="宋体" w:eastAsia="宋体" w:cs="宋体"/>
          <w:color w:val="auto"/>
          <w:kern w:val="0"/>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6615" w:firstLineChars="3150"/>
        <w:jc w:val="right"/>
        <w:textAlignment w:val="auto"/>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6090" w:firstLineChars="29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广西品格招标有限公司</w:t>
      </w:r>
    </w:p>
    <w:p>
      <w:pPr>
        <w:pStyle w:val="5"/>
        <w:keepNext w:val="0"/>
        <w:keepLines w:val="0"/>
        <w:pageBreakBefore w:val="0"/>
        <w:widowControl w:val="0"/>
        <w:tabs>
          <w:tab w:val="left" w:pos="455"/>
        </w:tabs>
        <w:kinsoku/>
        <w:wordWrap/>
        <w:overflowPunct/>
        <w:topLinePunct w:val="0"/>
        <w:autoSpaceDE/>
        <w:autoSpaceDN/>
        <w:bidi w:val="0"/>
        <w:adjustRightInd w:val="0"/>
        <w:snapToGrid w:val="0"/>
        <w:spacing w:line="240" w:lineRule="auto"/>
        <w:ind w:left="2310" w:leftChars="900" w:hanging="420" w:hangingChars="200"/>
        <w:jc w:val="righ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pStyle w:val="5"/>
        <w:keepNext w:val="0"/>
        <w:keepLines w:val="0"/>
        <w:pageBreakBefore w:val="0"/>
        <w:widowControl w:val="0"/>
        <w:tabs>
          <w:tab w:val="left" w:pos="455"/>
        </w:tabs>
        <w:kinsoku/>
        <w:wordWrap/>
        <w:overflowPunct/>
        <w:topLinePunct w:val="0"/>
        <w:autoSpaceDE/>
        <w:autoSpaceDN/>
        <w:bidi w:val="0"/>
        <w:adjustRightInd w:val="0"/>
        <w:snapToGrid w:val="0"/>
        <w:spacing w:line="240" w:lineRule="auto"/>
        <w:ind w:left="2310" w:leftChars="900" w:hanging="420" w:hangingChars="200"/>
        <w:jc w:val="center"/>
        <w:textAlignment w:val="auto"/>
        <w:rPr>
          <w:rFonts w:hint="eastAsia" w:ascii="宋体" w:hAnsi="宋体" w:eastAsia="宋体" w:cs="宋体"/>
          <w:color w:val="auto"/>
          <w:szCs w:val="21"/>
          <w:highlight w:val="none"/>
        </w:rPr>
      </w:pPr>
      <w:r>
        <w:rPr>
          <w:rFonts w:hint="eastAsia" w:hAnsi="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2020年</w:t>
      </w:r>
      <w:r>
        <w:rPr>
          <w:rFonts w:hint="eastAsia" w:hAnsi="宋体" w:eastAsia="宋体" w:cs="宋体"/>
          <w:color w:val="auto"/>
          <w:szCs w:val="21"/>
          <w:highlight w:val="none"/>
          <w:lang w:val="en-US" w:eastAsia="zh-CN"/>
        </w:rPr>
        <w:t>5</w:t>
      </w:r>
      <w:r>
        <w:rPr>
          <w:rFonts w:hint="eastAsia" w:ascii="宋体" w:hAnsi="宋体" w:eastAsia="宋体" w:cs="宋体"/>
          <w:color w:val="auto"/>
          <w:szCs w:val="21"/>
          <w:highlight w:val="none"/>
        </w:rPr>
        <w:t>月</w:t>
      </w:r>
      <w:r>
        <w:rPr>
          <w:rFonts w:hint="eastAsia" w:hAnsi="宋体" w:eastAsia="宋体" w:cs="宋体"/>
          <w:color w:val="auto"/>
          <w:szCs w:val="21"/>
          <w:highlight w:val="none"/>
          <w:lang w:val="en-US" w:eastAsia="zh-CN"/>
        </w:rPr>
        <w:t>1</w:t>
      </w:r>
      <w:r>
        <w:rPr>
          <w:rFonts w:hint="eastAsia" w:hAnsi="宋体" w:cs="宋体"/>
          <w:color w:val="auto"/>
          <w:szCs w:val="21"/>
          <w:highlight w:val="none"/>
          <w:lang w:val="en-US" w:eastAsia="zh-CN"/>
        </w:rPr>
        <w:t>8</w:t>
      </w:r>
      <w:r>
        <w:rPr>
          <w:rFonts w:hint="eastAsia" w:ascii="宋体" w:hAnsi="宋体" w:eastAsia="宋体" w:cs="宋体"/>
          <w:color w:val="auto"/>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0773E"/>
    <w:rsid w:val="05582BAD"/>
    <w:rsid w:val="0D382423"/>
    <w:rsid w:val="0D4C2274"/>
    <w:rsid w:val="16F77ACF"/>
    <w:rsid w:val="18912916"/>
    <w:rsid w:val="216F7663"/>
    <w:rsid w:val="42CE582B"/>
    <w:rsid w:val="43BA0555"/>
    <w:rsid w:val="4A80773E"/>
    <w:rsid w:val="4ECF348A"/>
    <w:rsid w:val="548D10AB"/>
    <w:rsid w:val="72697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4">
    <w:name w:val="Body Text Indent"/>
    <w:basedOn w:val="1"/>
    <w:qFormat/>
    <w:uiPriority w:val="0"/>
    <w:pPr>
      <w:spacing w:line="200" w:lineRule="exact"/>
      <w:ind w:firstLine="301"/>
    </w:pPr>
    <w:rPr>
      <w:rFonts w:ascii="宋体" w:hAnsi="Courier New"/>
      <w:spacing w:val="-4"/>
      <w:sz w:val="18"/>
      <w:szCs w:val="20"/>
    </w:rPr>
  </w:style>
  <w:style w:type="paragraph" w:styleId="5">
    <w:name w:val="Plain Text"/>
    <w:basedOn w:val="1"/>
    <w:next w:val="1"/>
    <w:qFormat/>
    <w:uiPriority w:val="0"/>
    <w:rPr>
      <w:rFonts w:ascii="宋体" w:hAnsi="Courier New"/>
      <w:szCs w:val="20"/>
    </w:rPr>
  </w:style>
  <w:style w:type="paragraph" w:styleId="6">
    <w:name w:val="footer"/>
    <w:basedOn w:val="1"/>
    <w:qFormat/>
    <w:uiPriority w:val="99"/>
    <w:pPr>
      <w:tabs>
        <w:tab w:val="center" w:pos="4153"/>
        <w:tab w:val="right" w:pos="8306"/>
      </w:tabs>
      <w:snapToGrid w:val="0"/>
      <w:jc w:val="left"/>
    </w:pPr>
    <w:rPr>
      <w:rFonts w:ascii="宋体" w:hAnsi="Courier New"/>
      <w:sz w:val="18"/>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8">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qFormat/>
    <w:uiPriority w:val="99"/>
    <w:rPr>
      <w:color w:val="333333"/>
      <w:u w:val="none"/>
    </w:rPr>
  </w:style>
  <w:style w:type="paragraph" w:styleId="14">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2020-04-13T09:27:00Z</dcterms:created>
  <dc:creator>小嗝嗝Miller</dc:creator>
  <cp:lastModifiedBy>NTKO</cp:lastModifiedBy>
  <dcterms:modified xsi:type="dcterms:W3CDTF">2020-05-15T01:48:36Z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