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overflowPunct/>
        <w:topLinePunct w:val="0"/>
        <w:bidi w:val="0"/>
        <w:spacing w:line="320" w:lineRule="exact"/>
        <w:ind w:left="1285" w:hanging="1285" w:hangingChars="400"/>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lang w:eastAsia="zh-CN"/>
          <w14:textFill>
            <w14:solidFill>
              <w14:schemeClr w14:val="tx1"/>
            </w14:solidFill>
          </w14:textFill>
        </w:rPr>
        <w:t>广西众联工程项目管理有限公司网络多媒体教室设备</w:t>
      </w:r>
      <w:r>
        <w:rPr>
          <w:rFonts w:hint="eastAsia" w:hAnsi="宋体" w:cs="宋体"/>
          <w:b/>
          <w:color w:val="000000" w:themeColor="text1"/>
          <w:sz w:val="32"/>
          <w:szCs w:val="32"/>
          <w:highlight w:val="none"/>
          <w14:textFill>
            <w14:solidFill>
              <w14:schemeClr w14:val="tx1"/>
            </w14:solidFill>
          </w14:textFill>
        </w:rPr>
        <w:t>（</w:t>
      </w:r>
      <w:r>
        <w:rPr>
          <w:rFonts w:hint="eastAsia" w:hAnsi="宋体" w:cs="宋体"/>
          <w:b/>
          <w:color w:val="000000" w:themeColor="text1"/>
          <w:sz w:val="32"/>
          <w:szCs w:val="32"/>
          <w:highlight w:val="none"/>
          <w:lang w:eastAsia="zh-CN"/>
          <w14:textFill>
            <w14:solidFill>
              <w14:schemeClr w14:val="tx1"/>
            </w14:solidFill>
          </w14:textFill>
        </w:rPr>
        <w:t>WXZC2020-G1-00075-ZLZB</w:t>
      </w:r>
      <w:r>
        <w:rPr>
          <w:rFonts w:hint="eastAsia" w:hAnsi="宋体" w:cs="宋体"/>
          <w:b/>
          <w:color w:val="000000" w:themeColor="text1"/>
          <w:sz w:val="32"/>
          <w:szCs w:val="32"/>
          <w:highlight w:val="none"/>
          <w14:textFill>
            <w14:solidFill>
              <w14:schemeClr w14:val="tx1"/>
            </w14:solidFill>
          </w14:textFill>
        </w:rPr>
        <w:t>）招标公告</w:t>
      </w:r>
    </w:p>
    <w:p>
      <w:pPr>
        <w:pStyle w:val="4"/>
        <w:keepNext w:val="0"/>
        <w:keepLines w:val="0"/>
        <w:pageBreakBefore w:val="0"/>
        <w:kinsoku/>
        <w:overflowPunct/>
        <w:topLinePunct w:val="0"/>
        <w:bidi w:val="0"/>
        <w:spacing w:line="320" w:lineRule="exact"/>
        <w:ind w:firstLine="525"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受采购人梧州市万秀区教育局委托，根据《中华人民共和国政府采购法》、《政府采购货物和服务招标投标管理办法》等有关规定，广西众联工程项目管理有限公司拟对网络多媒体教室设备</w:t>
      </w:r>
      <w:r>
        <w:rPr>
          <w:rFonts w:hint="eastAsia" w:hAnsi="宋体" w:cs="宋体"/>
          <w:color w:val="000000" w:themeColor="text1"/>
          <w:szCs w:val="24"/>
          <w:highlight w:val="none"/>
          <w:lang w:eastAsia="zh-CN"/>
          <w14:textFill>
            <w14:solidFill>
              <w14:schemeClr w14:val="tx1"/>
            </w14:solidFill>
          </w14:textFill>
        </w:rPr>
        <w:t>采购</w:t>
      </w:r>
      <w:r>
        <w:rPr>
          <w:rFonts w:hint="eastAsia" w:hAnsi="宋体" w:cs="宋体"/>
          <w:color w:val="000000" w:themeColor="text1"/>
          <w:szCs w:val="24"/>
          <w:highlight w:val="none"/>
          <w14:textFill>
            <w14:solidFill>
              <w14:schemeClr w14:val="tx1"/>
            </w14:solidFill>
          </w14:textFill>
        </w:rPr>
        <w:t>项目进行公开招标，诚邀符合资格要求的单位参加投标，现将有关事项公告如下：</w:t>
      </w:r>
    </w:p>
    <w:p>
      <w:pPr>
        <w:pStyle w:val="4"/>
        <w:keepNext w:val="0"/>
        <w:keepLines w:val="0"/>
        <w:pageBreakBefore w:val="0"/>
        <w:kinsoku/>
        <w:overflowPunct/>
        <w:topLinePunct w:val="0"/>
        <w:bidi w:val="0"/>
        <w:spacing w:before="66" w:beforeLines="20" w:line="320" w:lineRule="exact"/>
        <w:ind w:firstLine="316" w:firstLineChars="150"/>
        <w:outlineLvl w:val="1"/>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一、采购项目</w:t>
      </w:r>
      <w:r>
        <w:rPr>
          <w:rFonts w:hint="eastAsia" w:hAnsi="宋体" w:cs="宋体"/>
          <w:b/>
          <w:bCs/>
          <w:color w:val="000000" w:themeColor="text1"/>
          <w:szCs w:val="21"/>
          <w:highlight w:val="none"/>
          <w14:textFill>
            <w14:solidFill>
              <w14:schemeClr w14:val="tx1"/>
            </w14:solidFill>
          </w14:textFill>
        </w:rPr>
        <w:t>及内容</w:t>
      </w:r>
    </w:p>
    <w:p>
      <w:pPr>
        <w:keepNext w:val="0"/>
        <w:keepLines w:val="0"/>
        <w:pageBreakBefore w:val="0"/>
        <w:kinsoku/>
        <w:overflowPunct/>
        <w:topLinePunct w:val="0"/>
        <w:bidi w:val="0"/>
        <w:spacing w:line="320" w:lineRule="exact"/>
        <w:ind w:left="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hAnsi="宋体" w:cs="宋体"/>
          <w:color w:val="000000" w:themeColor="text1"/>
          <w:szCs w:val="21"/>
          <w:highlight w:val="none"/>
          <w14:textFill>
            <w14:solidFill>
              <w14:schemeClr w14:val="tx1"/>
            </w14:solidFill>
          </w14:textFill>
        </w:rPr>
        <w:t>项目编号：WXZC2020-G1-00075-ZLZB</w:t>
      </w:r>
      <w:r>
        <w:rPr>
          <w:rFonts w:hint="eastAsia" w:ascii="宋体" w:hAnsi="宋体" w:cs="宋体"/>
          <w:color w:val="000000" w:themeColor="text1"/>
          <w:szCs w:val="21"/>
          <w:highlight w:val="none"/>
          <w14:textFill>
            <w14:solidFill>
              <w14:schemeClr w14:val="tx1"/>
            </w14:solidFill>
          </w14:textFill>
        </w:rPr>
        <w:t>（采购计划文号：WXZC2020-G1-00075-001）</w:t>
      </w:r>
    </w:p>
    <w:p>
      <w:pPr>
        <w:pStyle w:val="4"/>
        <w:keepNext w:val="0"/>
        <w:keepLines w:val="0"/>
        <w:pageBreakBefore w:val="0"/>
        <w:kinsoku/>
        <w:overflowPunct/>
        <w:topLinePunct w:val="0"/>
        <w:bidi w:val="0"/>
        <w:spacing w:line="32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2．项目名称：网络多媒体教室设备</w:t>
      </w:r>
    </w:p>
    <w:p>
      <w:pPr>
        <w:pStyle w:val="4"/>
        <w:keepNext w:val="0"/>
        <w:keepLines w:val="0"/>
        <w:pageBreakBefore w:val="0"/>
        <w:kinsoku/>
        <w:overflowPunct/>
        <w:topLinePunct w:val="0"/>
        <w:bidi w:val="0"/>
        <w:spacing w:line="32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3.预算金额：伍佰叁拾肆万元整</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￥5,340,000.00</w:t>
      </w:r>
      <w:r>
        <w:rPr>
          <w:rFonts w:hAnsi="宋体"/>
          <w:color w:val="000000" w:themeColor="text1"/>
          <w:highlight w:val="none"/>
          <w14:textFill>
            <w14:solidFill>
              <w14:schemeClr w14:val="tx1"/>
            </w14:solidFill>
          </w14:textFill>
        </w:rPr>
        <w:t>）</w:t>
      </w:r>
    </w:p>
    <w:p>
      <w:pPr>
        <w:pStyle w:val="4"/>
        <w:keepNext w:val="0"/>
        <w:keepLines w:val="0"/>
        <w:pageBreakBefore w:val="0"/>
        <w:kinsoku/>
        <w:overflowPunct/>
        <w:topLinePunct w:val="0"/>
        <w:bidi w:val="0"/>
        <w:spacing w:line="32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4.最高限价：不设定</w:t>
      </w:r>
    </w:p>
    <w:p>
      <w:pPr>
        <w:pStyle w:val="4"/>
        <w:keepNext w:val="0"/>
        <w:keepLines w:val="0"/>
        <w:pageBreakBefore w:val="0"/>
        <w:kinsoku/>
        <w:overflowPunct/>
        <w:topLinePunct w:val="0"/>
        <w:bidi w:val="0"/>
        <w:spacing w:line="32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5．采购项目的名称、数量、简要规格描述或项目基本概况介绍：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4577"/>
        <w:gridCol w:w="1455"/>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vAlign w:val="center"/>
          </w:tcPr>
          <w:p>
            <w:pPr>
              <w:pStyle w:val="4"/>
              <w:keepNext w:val="0"/>
              <w:keepLines w:val="0"/>
              <w:pageBreakBefore w:val="0"/>
              <w:kinsoku/>
              <w:overflowPunct/>
              <w:topLinePunct w:val="0"/>
              <w:bidi w:val="0"/>
              <w:spacing w:line="3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序号</w:t>
            </w:r>
          </w:p>
        </w:tc>
        <w:tc>
          <w:tcPr>
            <w:tcW w:w="4577" w:type="dxa"/>
            <w:vAlign w:val="center"/>
          </w:tcPr>
          <w:p>
            <w:pPr>
              <w:pStyle w:val="4"/>
              <w:keepNext w:val="0"/>
              <w:keepLines w:val="0"/>
              <w:pageBreakBefore w:val="0"/>
              <w:kinsoku/>
              <w:overflowPunct/>
              <w:topLinePunct w:val="0"/>
              <w:bidi w:val="0"/>
              <w:spacing w:line="3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货物名称</w:t>
            </w:r>
          </w:p>
        </w:tc>
        <w:tc>
          <w:tcPr>
            <w:tcW w:w="1455" w:type="dxa"/>
            <w:vAlign w:val="center"/>
          </w:tcPr>
          <w:p>
            <w:pPr>
              <w:pStyle w:val="4"/>
              <w:keepNext w:val="0"/>
              <w:keepLines w:val="0"/>
              <w:pageBreakBefore w:val="0"/>
              <w:kinsoku/>
              <w:overflowPunct/>
              <w:topLinePunct w:val="0"/>
              <w:bidi w:val="0"/>
              <w:spacing w:line="3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单位</w:t>
            </w:r>
          </w:p>
        </w:tc>
        <w:tc>
          <w:tcPr>
            <w:tcW w:w="1456" w:type="dxa"/>
            <w:vAlign w:val="center"/>
          </w:tcPr>
          <w:p>
            <w:pPr>
              <w:pStyle w:val="4"/>
              <w:keepNext w:val="0"/>
              <w:keepLines w:val="0"/>
              <w:pageBreakBefore w:val="0"/>
              <w:kinsoku/>
              <w:overflowPunct/>
              <w:topLinePunct w:val="0"/>
              <w:bidi w:val="0"/>
              <w:spacing w:line="3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92" w:type="dxa"/>
            <w:vAlign w:val="center"/>
          </w:tcPr>
          <w:p>
            <w:pPr>
              <w:pStyle w:val="4"/>
              <w:keepNext w:val="0"/>
              <w:keepLines w:val="0"/>
              <w:pageBreakBefore w:val="0"/>
              <w:kinsoku/>
              <w:overflowPunct/>
              <w:topLinePunct w:val="0"/>
              <w:bidi w:val="0"/>
              <w:spacing w:line="3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p>
        </w:tc>
        <w:tc>
          <w:tcPr>
            <w:tcW w:w="4577"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交互智能平板</w:t>
            </w:r>
          </w:p>
        </w:tc>
        <w:tc>
          <w:tcPr>
            <w:tcW w:w="1455"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c>
          <w:tcPr>
            <w:tcW w:w="1456"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92" w:type="dxa"/>
            <w:vAlign w:val="center"/>
          </w:tcPr>
          <w:p>
            <w:pPr>
              <w:pStyle w:val="4"/>
              <w:keepNext w:val="0"/>
              <w:keepLines w:val="0"/>
              <w:pageBreakBefore w:val="0"/>
              <w:kinsoku/>
              <w:overflowPunct/>
              <w:topLinePunct w:val="0"/>
              <w:bidi w:val="0"/>
              <w:spacing w:line="3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p>
        </w:tc>
        <w:tc>
          <w:tcPr>
            <w:tcW w:w="4577"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多媒体设备集中管理控制系统</w:t>
            </w:r>
          </w:p>
        </w:tc>
        <w:tc>
          <w:tcPr>
            <w:tcW w:w="1455"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套</w:t>
            </w:r>
          </w:p>
        </w:tc>
        <w:tc>
          <w:tcPr>
            <w:tcW w:w="1456"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292" w:type="dxa"/>
            <w:vAlign w:val="center"/>
          </w:tcPr>
          <w:p>
            <w:pPr>
              <w:pStyle w:val="4"/>
              <w:keepNext w:val="0"/>
              <w:keepLines w:val="0"/>
              <w:pageBreakBefore w:val="0"/>
              <w:kinsoku/>
              <w:overflowPunct/>
              <w:topLinePunct w:val="0"/>
              <w:bidi w:val="0"/>
              <w:spacing w:line="3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w:t>
            </w:r>
          </w:p>
        </w:tc>
        <w:tc>
          <w:tcPr>
            <w:tcW w:w="4577"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智能翻页笔</w:t>
            </w:r>
          </w:p>
        </w:tc>
        <w:tc>
          <w:tcPr>
            <w:tcW w:w="1455"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支</w:t>
            </w:r>
          </w:p>
        </w:tc>
        <w:tc>
          <w:tcPr>
            <w:tcW w:w="1456"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92" w:type="dxa"/>
            <w:vAlign w:val="center"/>
          </w:tcPr>
          <w:p>
            <w:pPr>
              <w:pStyle w:val="4"/>
              <w:keepNext w:val="0"/>
              <w:keepLines w:val="0"/>
              <w:pageBreakBefore w:val="0"/>
              <w:kinsoku/>
              <w:overflowPunct/>
              <w:topLinePunct w:val="0"/>
              <w:bidi w:val="0"/>
              <w:spacing w:line="3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w:t>
            </w:r>
          </w:p>
        </w:tc>
        <w:tc>
          <w:tcPr>
            <w:tcW w:w="4577"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壁挂式展台</w:t>
            </w:r>
          </w:p>
        </w:tc>
        <w:tc>
          <w:tcPr>
            <w:tcW w:w="1455"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c>
          <w:tcPr>
            <w:tcW w:w="1456"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292" w:type="dxa"/>
            <w:vAlign w:val="center"/>
          </w:tcPr>
          <w:p>
            <w:pPr>
              <w:pStyle w:val="4"/>
              <w:keepNext w:val="0"/>
              <w:keepLines w:val="0"/>
              <w:pageBreakBefore w:val="0"/>
              <w:kinsoku/>
              <w:overflowPunct/>
              <w:topLinePunct w:val="0"/>
              <w:bidi w:val="0"/>
              <w:spacing w:line="3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w:t>
            </w:r>
          </w:p>
        </w:tc>
        <w:tc>
          <w:tcPr>
            <w:tcW w:w="4577" w:type="dxa"/>
            <w:vAlign w:val="center"/>
          </w:tcPr>
          <w:p>
            <w:pPr>
              <w:keepNext w:val="0"/>
              <w:keepLines w:val="0"/>
              <w:pageBreakBefore w:val="0"/>
              <w:widowControl/>
              <w:kinsoku/>
              <w:overflowPunct/>
              <w:topLinePunct w:val="0"/>
              <w:bidi w:val="0"/>
              <w:spacing w:line="320" w:lineRule="exact"/>
              <w:jc w:val="center"/>
              <w:textAlignment w:val="center"/>
              <w:rPr>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推拉黑板</w:t>
            </w:r>
          </w:p>
        </w:tc>
        <w:tc>
          <w:tcPr>
            <w:tcW w:w="1455"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套</w:t>
            </w:r>
          </w:p>
        </w:tc>
        <w:tc>
          <w:tcPr>
            <w:tcW w:w="1456"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292" w:type="dxa"/>
            <w:vAlign w:val="center"/>
          </w:tcPr>
          <w:p>
            <w:pPr>
              <w:pStyle w:val="4"/>
              <w:keepNext w:val="0"/>
              <w:keepLines w:val="0"/>
              <w:pageBreakBefore w:val="0"/>
              <w:kinsoku/>
              <w:overflowPunct/>
              <w:topLinePunct w:val="0"/>
              <w:bidi w:val="0"/>
              <w:spacing w:line="3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w:t>
            </w:r>
          </w:p>
        </w:tc>
        <w:tc>
          <w:tcPr>
            <w:tcW w:w="4577" w:type="dxa"/>
            <w:vAlign w:val="center"/>
          </w:tcPr>
          <w:p>
            <w:pPr>
              <w:keepNext w:val="0"/>
              <w:keepLines w:val="0"/>
              <w:pageBreakBefore w:val="0"/>
              <w:widowControl/>
              <w:kinsoku/>
              <w:overflowPunct/>
              <w:topLinePunct w:val="0"/>
              <w:bidi w:val="0"/>
              <w:spacing w:line="320" w:lineRule="exact"/>
              <w:jc w:val="center"/>
              <w:textAlignment w:val="center"/>
              <w:rPr>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讲桌</w:t>
            </w:r>
          </w:p>
        </w:tc>
        <w:tc>
          <w:tcPr>
            <w:tcW w:w="1455"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张</w:t>
            </w:r>
          </w:p>
        </w:tc>
        <w:tc>
          <w:tcPr>
            <w:tcW w:w="1456"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292" w:type="dxa"/>
            <w:vAlign w:val="center"/>
          </w:tcPr>
          <w:p>
            <w:pPr>
              <w:pStyle w:val="4"/>
              <w:keepNext w:val="0"/>
              <w:keepLines w:val="0"/>
              <w:pageBreakBefore w:val="0"/>
              <w:kinsoku/>
              <w:overflowPunct/>
              <w:topLinePunct w:val="0"/>
              <w:bidi w:val="0"/>
              <w:spacing w:line="3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w:t>
            </w:r>
          </w:p>
        </w:tc>
        <w:tc>
          <w:tcPr>
            <w:tcW w:w="4577"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音箱</w:t>
            </w:r>
          </w:p>
        </w:tc>
        <w:tc>
          <w:tcPr>
            <w:tcW w:w="1455"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套</w:t>
            </w:r>
          </w:p>
        </w:tc>
        <w:tc>
          <w:tcPr>
            <w:tcW w:w="1456"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2" w:type="dxa"/>
            <w:vAlign w:val="center"/>
          </w:tcPr>
          <w:p>
            <w:pPr>
              <w:pStyle w:val="4"/>
              <w:keepNext w:val="0"/>
              <w:keepLines w:val="0"/>
              <w:pageBreakBefore w:val="0"/>
              <w:kinsoku/>
              <w:overflowPunct/>
              <w:topLinePunct w:val="0"/>
              <w:bidi w:val="0"/>
              <w:spacing w:line="3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w:t>
            </w:r>
          </w:p>
        </w:tc>
        <w:tc>
          <w:tcPr>
            <w:tcW w:w="4577"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麦克风</w:t>
            </w:r>
          </w:p>
        </w:tc>
        <w:tc>
          <w:tcPr>
            <w:tcW w:w="1455"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套</w:t>
            </w:r>
          </w:p>
        </w:tc>
        <w:tc>
          <w:tcPr>
            <w:tcW w:w="1456"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92" w:type="dxa"/>
            <w:vAlign w:val="center"/>
          </w:tcPr>
          <w:p>
            <w:pPr>
              <w:pStyle w:val="4"/>
              <w:keepNext w:val="0"/>
              <w:keepLines w:val="0"/>
              <w:pageBreakBefore w:val="0"/>
              <w:kinsoku/>
              <w:overflowPunct/>
              <w:topLinePunct w:val="0"/>
              <w:bidi w:val="0"/>
              <w:spacing w:line="3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w:t>
            </w:r>
          </w:p>
        </w:tc>
        <w:tc>
          <w:tcPr>
            <w:tcW w:w="4577" w:type="dxa"/>
            <w:vAlign w:val="center"/>
          </w:tcPr>
          <w:p>
            <w:pPr>
              <w:keepNext w:val="0"/>
              <w:keepLines w:val="0"/>
              <w:pageBreakBefore w:val="0"/>
              <w:widowControl/>
              <w:kinsoku/>
              <w:overflowPunct/>
              <w:topLinePunct w:val="0"/>
              <w:bidi w:val="0"/>
              <w:spacing w:line="320" w:lineRule="exact"/>
              <w:jc w:val="cente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超短焦激光投影机</w:t>
            </w:r>
          </w:p>
        </w:tc>
        <w:tc>
          <w:tcPr>
            <w:tcW w:w="1455" w:type="dxa"/>
            <w:vAlign w:val="center"/>
          </w:tcPr>
          <w:p>
            <w:pPr>
              <w:keepNext w:val="0"/>
              <w:keepLines w:val="0"/>
              <w:pageBreakBefore w:val="0"/>
              <w:widowControl/>
              <w:kinsoku/>
              <w:overflowPunct/>
              <w:topLinePunct w:val="0"/>
              <w:bidi w:val="0"/>
              <w:spacing w:line="320" w:lineRule="exact"/>
              <w:jc w:val="cente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c>
          <w:tcPr>
            <w:tcW w:w="1456" w:type="dxa"/>
            <w:vAlign w:val="center"/>
          </w:tcPr>
          <w:p>
            <w:pPr>
              <w:keepNext w:val="0"/>
              <w:keepLines w:val="0"/>
              <w:pageBreakBefore w:val="0"/>
              <w:widowControl/>
              <w:kinsoku/>
              <w:overflowPunct/>
              <w:topLinePunct w:val="0"/>
              <w:bidi w:val="0"/>
              <w:spacing w:line="320" w:lineRule="exact"/>
              <w:jc w:val="cente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92" w:type="dxa"/>
            <w:vAlign w:val="center"/>
          </w:tcPr>
          <w:p>
            <w:pPr>
              <w:pStyle w:val="4"/>
              <w:keepNext w:val="0"/>
              <w:keepLines w:val="0"/>
              <w:pageBreakBefore w:val="0"/>
              <w:kinsoku/>
              <w:overflowPunct/>
              <w:topLinePunct w:val="0"/>
              <w:bidi w:val="0"/>
              <w:spacing w:line="3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w:t>
            </w:r>
          </w:p>
        </w:tc>
        <w:tc>
          <w:tcPr>
            <w:tcW w:w="4577"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线材辅材</w:t>
            </w:r>
          </w:p>
        </w:tc>
        <w:tc>
          <w:tcPr>
            <w:tcW w:w="1455"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kern w:val="0"/>
                <w:szCs w:val="21"/>
                <w:highlight w:val="none"/>
                <w14:textFill>
                  <w14:solidFill>
                    <w14:schemeClr w14:val="tx1"/>
                  </w14:solidFill>
                </w14:textFill>
              </w:rPr>
            </w:pPr>
            <w:r>
              <w:rPr>
                <w:rFonts w:hint="eastAsia" w:hAnsi="宋体" w:cs="宋体"/>
                <w:kern w:val="0"/>
                <w:szCs w:val="21"/>
                <w:highlight w:val="none"/>
              </w:rPr>
              <w:t>项</w:t>
            </w:r>
          </w:p>
        </w:tc>
        <w:tc>
          <w:tcPr>
            <w:tcW w:w="1456" w:type="dxa"/>
            <w:vAlign w:val="center"/>
          </w:tcPr>
          <w:p>
            <w:pPr>
              <w:keepNext w:val="0"/>
              <w:keepLines w:val="0"/>
              <w:pageBreakBefore w:val="0"/>
              <w:widowControl/>
              <w:kinsoku/>
              <w:overflowPunct/>
              <w:topLinePunct w:val="0"/>
              <w:bidi w:val="0"/>
              <w:spacing w:line="320" w:lineRule="exact"/>
              <w:jc w:val="center"/>
              <w:textAlignment w:val="center"/>
              <w:rPr>
                <w:rFonts w:hint="eastAsia"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92" w:type="dxa"/>
            <w:vAlign w:val="center"/>
          </w:tcPr>
          <w:p>
            <w:pPr>
              <w:pStyle w:val="4"/>
              <w:keepNext w:val="0"/>
              <w:keepLines w:val="0"/>
              <w:pageBreakBefore w:val="0"/>
              <w:kinsoku/>
              <w:overflowPunct/>
              <w:topLinePunct w:val="0"/>
              <w:bidi w:val="0"/>
              <w:spacing w:line="320" w:lineRule="exact"/>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w:t>
            </w:r>
          </w:p>
        </w:tc>
        <w:tc>
          <w:tcPr>
            <w:tcW w:w="4577"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安装调试</w:t>
            </w:r>
          </w:p>
        </w:tc>
        <w:tc>
          <w:tcPr>
            <w:tcW w:w="1455" w:type="dxa"/>
            <w:vAlign w:val="center"/>
          </w:tcPr>
          <w:p>
            <w:pPr>
              <w:keepNext w:val="0"/>
              <w:keepLines w:val="0"/>
              <w:pageBreakBefore w:val="0"/>
              <w:widowControl/>
              <w:kinsoku/>
              <w:overflowPunct/>
              <w:topLinePunct w:val="0"/>
              <w:bidi w:val="0"/>
              <w:spacing w:line="320" w:lineRule="exact"/>
              <w:jc w:val="center"/>
              <w:textAlignment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项</w:t>
            </w:r>
          </w:p>
        </w:tc>
        <w:tc>
          <w:tcPr>
            <w:tcW w:w="1456" w:type="dxa"/>
            <w:vAlign w:val="center"/>
          </w:tcPr>
          <w:p>
            <w:pPr>
              <w:keepNext w:val="0"/>
              <w:keepLines w:val="0"/>
              <w:pageBreakBefore w:val="0"/>
              <w:widowControl/>
              <w:kinsoku/>
              <w:overflowPunct/>
              <w:topLinePunct w:val="0"/>
              <w:bidi w:val="0"/>
              <w:spacing w:line="320" w:lineRule="exact"/>
              <w:jc w:val="center"/>
              <w:textAlignment w:val="center"/>
              <w:rPr>
                <w:rFonts w:hint="eastAsia"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1</w:t>
            </w:r>
          </w:p>
        </w:tc>
      </w:tr>
    </w:tbl>
    <w:p>
      <w:pPr>
        <w:pStyle w:val="4"/>
        <w:keepNext w:val="0"/>
        <w:keepLines w:val="0"/>
        <w:pageBreakBefore w:val="0"/>
        <w:kinsoku/>
        <w:overflowPunct/>
        <w:topLinePunct w:val="0"/>
        <w:bidi w:val="0"/>
        <w:spacing w:before="66" w:beforeLines="20" w:line="32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如需进一步了解详细内容，详见招标文件。</w:t>
      </w:r>
    </w:p>
    <w:p>
      <w:pPr>
        <w:pStyle w:val="4"/>
        <w:keepNext w:val="0"/>
        <w:keepLines w:val="0"/>
        <w:pageBreakBefore w:val="0"/>
        <w:numPr>
          <w:ilvl w:val="0"/>
          <w:numId w:val="2"/>
        </w:numPr>
        <w:kinsoku/>
        <w:overflowPunct/>
        <w:topLinePunct w:val="0"/>
        <w:bidi w:val="0"/>
        <w:spacing w:before="66" w:beforeLines="20" w:line="32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本项目不接受联合体投标。</w:t>
      </w:r>
    </w:p>
    <w:p>
      <w:pPr>
        <w:keepNext w:val="0"/>
        <w:keepLines w:val="0"/>
        <w:pageBreakBefore w:val="0"/>
        <w:kinsoku/>
        <w:overflowPunct/>
        <w:topLinePunct w:val="0"/>
        <w:bidi w:val="0"/>
        <w:spacing w:line="320" w:lineRule="exact"/>
        <w:ind w:firstLine="420" w:firstLineChars="200"/>
        <w:rPr>
          <w:rFonts w:hint="eastAsia" w:ascii="宋体" w:hAnsi="宋体" w:cs="宋体"/>
          <w:b w:val="0"/>
          <w:color w:val="000000" w:themeColor="text1"/>
          <w:szCs w:val="24"/>
          <w:highlight w:val="none"/>
          <w14:textFill>
            <w14:solidFill>
              <w14:schemeClr w14:val="tx1"/>
            </w14:solidFill>
          </w14:textFill>
        </w:rPr>
      </w:pPr>
      <w:r>
        <w:rPr>
          <w:rFonts w:hint="eastAsia" w:ascii="宋体" w:hAnsi="宋体" w:cs="宋体"/>
          <w:b w:val="0"/>
          <w:color w:val="000000" w:themeColor="text1"/>
          <w:szCs w:val="24"/>
          <w:highlight w:val="none"/>
          <w:u w:val="none"/>
          <w14:textFill>
            <w14:solidFill>
              <w14:schemeClr w14:val="tx1"/>
            </w14:solidFill>
          </w14:textFill>
        </w:rPr>
        <w:t>二</w:t>
      </w:r>
      <w:r>
        <w:rPr>
          <w:rFonts w:hint="eastAsia" w:ascii="宋体" w:hAnsi="宋体" w:cs="宋体"/>
          <w:b w:val="0"/>
          <w:color w:val="000000" w:themeColor="text1"/>
          <w:szCs w:val="24"/>
          <w:highlight w:val="none"/>
          <w14:textFill>
            <w14:solidFill>
              <w14:schemeClr w14:val="tx1"/>
            </w14:solidFill>
          </w14:textFill>
        </w:rPr>
        <w:t>、合格的</w:t>
      </w:r>
      <w:r>
        <w:rPr>
          <w:rFonts w:hint="eastAsia" w:ascii="宋体" w:hAnsi="宋体" w:cs="宋体"/>
          <w:b w:val="0"/>
          <w:bCs w:val="0"/>
          <w:color w:val="000000" w:themeColor="text1"/>
          <w:szCs w:val="24"/>
          <w:highlight w:val="none"/>
          <w14:textFill>
            <w14:solidFill>
              <w14:schemeClr w14:val="tx1"/>
            </w14:solidFill>
          </w14:textFill>
        </w:rPr>
        <w:t>投标人资格及要求</w:t>
      </w:r>
    </w:p>
    <w:p>
      <w:pPr>
        <w:keepNext w:val="0"/>
        <w:keepLines w:val="0"/>
        <w:pageBreakBefore w:val="0"/>
        <w:kinsoku/>
        <w:overflowPunct/>
        <w:topLinePunct w:val="0"/>
        <w:bidi w:val="0"/>
        <w:spacing w:line="32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1．基本资格条件：符合《中华人民共和国政府采购法》第二十二条规定的条件；</w:t>
      </w:r>
      <w:r>
        <w:rPr>
          <w:rFonts w:hint="eastAsia" w:ascii="宋体" w:hAnsi="宋体" w:cs="宋体"/>
          <w:bCs w:val="0"/>
          <w:color w:val="000000" w:themeColor="text1"/>
          <w:szCs w:val="24"/>
          <w:highlight w:val="none"/>
          <w14:textFill>
            <w14:solidFill>
              <w14:schemeClr w14:val="tx1"/>
            </w14:solidFill>
          </w14:textFill>
        </w:rPr>
        <w:t>在中华人民共和国境内注册的</w:t>
      </w:r>
      <w:r>
        <w:rPr>
          <w:rFonts w:hint="eastAsia" w:ascii="宋体" w:hAnsi="宋体" w:cs="宋体"/>
          <w:color w:val="000000" w:themeColor="text1"/>
          <w:highlight w:val="none"/>
          <w14:textFill>
            <w14:solidFill>
              <w14:schemeClr w14:val="tx1"/>
            </w14:solidFill>
          </w14:textFill>
        </w:rPr>
        <w:t>生产或经营本次采购货物及服务的供应商；2016年起未被列入失信被执行人、重大税收违法案件当事人名单、政府采购严重违法失信行为记录名单；</w:t>
      </w:r>
    </w:p>
    <w:p>
      <w:pPr>
        <w:keepNext w:val="0"/>
        <w:keepLines w:val="0"/>
        <w:pageBreakBefore w:val="0"/>
        <w:kinsoku/>
        <w:overflowPunct/>
        <w:topLinePunct w:val="0"/>
        <w:bidi w:val="0"/>
        <w:spacing w:line="32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2.落实政府采购政策需满足的资格要求：节约能源、保护环境、扶持不发达地区和少数民族地区、促进中小企业发展、促进监狱企业发展、促进残疾人就业、广西工业产品产销等政府采购政策；</w:t>
      </w:r>
    </w:p>
    <w:p>
      <w:pPr>
        <w:keepNext w:val="0"/>
        <w:keepLines w:val="0"/>
        <w:pageBreakBefore w:val="0"/>
        <w:kinsoku/>
        <w:overflowPunct/>
        <w:topLinePunct w:val="0"/>
        <w:bidi w:val="0"/>
        <w:spacing w:line="32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3.本项目的特定资格要求：无。</w:t>
      </w:r>
    </w:p>
    <w:p>
      <w:pPr>
        <w:keepNext w:val="0"/>
        <w:keepLines w:val="0"/>
        <w:pageBreakBefore w:val="0"/>
        <w:kinsoku/>
        <w:overflowPunct/>
        <w:topLinePunct w:val="0"/>
        <w:bidi w:val="0"/>
        <w:spacing w:line="320" w:lineRule="exact"/>
        <w:ind w:firstLine="420" w:firstLineChars="200"/>
        <w:rPr>
          <w:rFonts w:hint="eastAsia" w:ascii="宋体" w:hAnsi="宋体" w:eastAsia="宋体" w:cs="宋体"/>
          <w:b w:val="0"/>
          <w:color w:val="000000" w:themeColor="text1"/>
          <w:sz w:val="21"/>
          <w:highlight w:val="none"/>
          <w:lang w:val="en-US" w:eastAsia="zh-CN"/>
          <w14:textFill>
            <w14:solidFill>
              <w14:schemeClr w14:val="tx1"/>
            </w14:solidFill>
          </w14:textFill>
        </w:rPr>
      </w:pPr>
      <w:r>
        <w:rPr>
          <w:rFonts w:hint="eastAsia" w:ascii="宋体" w:hAnsi="宋体" w:eastAsia="宋体" w:cs="宋体"/>
          <w:b w:val="0"/>
          <w:color w:val="000000" w:themeColor="text1"/>
          <w:sz w:val="21"/>
          <w:highlight w:val="none"/>
          <w:lang w:val="en-US" w:eastAsia="zh-CN"/>
          <w14:textFill>
            <w14:solidFill>
              <w14:schemeClr w14:val="tx1"/>
            </w14:solidFill>
          </w14:textFill>
        </w:rPr>
        <w:t>4.本项目不接受未按招标文件规定的方式获取招标文件的投标人参与投标。</w:t>
      </w:r>
    </w:p>
    <w:p>
      <w:pPr>
        <w:keepNext w:val="0"/>
        <w:keepLines w:val="0"/>
        <w:pageBreakBefore w:val="0"/>
        <w:kinsoku/>
        <w:overflowPunct/>
        <w:topLinePunct w:val="0"/>
        <w:bidi w:val="0"/>
        <w:spacing w:line="320" w:lineRule="exact"/>
        <w:ind w:firstLine="420" w:firstLineChars="20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eastAsia="宋体" w:cs="宋体"/>
          <w:b w:val="0"/>
          <w:color w:val="000000" w:themeColor="text1"/>
          <w:sz w:val="21"/>
          <w:highlight w:val="none"/>
          <w:lang w:val="en-US" w:eastAsia="zh-CN"/>
          <w14:textFill>
            <w14:solidFill>
              <w14:schemeClr w14:val="tx1"/>
            </w14:solidFill>
          </w14:textFill>
        </w:rPr>
        <w:t>5.本项目不接受联合体投标。</w:t>
      </w:r>
    </w:p>
    <w:p>
      <w:pPr>
        <w:pStyle w:val="4"/>
        <w:keepNext w:val="0"/>
        <w:keepLines w:val="0"/>
        <w:pageBreakBefore w:val="0"/>
        <w:kinsoku/>
        <w:overflowPunct/>
        <w:topLinePunct w:val="0"/>
        <w:bidi w:val="0"/>
        <w:spacing w:before="66" w:beforeLines="20" w:line="320" w:lineRule="exact"/>
        <w:ind w:firstLine="422" w:firstLineChars="200"/>
        <w:outlineLvl w:val="1"/>
        <w:rPr>
          <w:rFonts w:hAnsi="宋体" w:cs="宋体"/>
          <w:b/>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三、</w:t>
      </w:r>
      <w:r>
        <w:rPr>
          <w:rFonts w:hint="eastAsia" w:hAnsi="宋体" w:cs="宋体"/>
          <w:b/>
          <w:color w:val="000000" w:themeColor="text1"/>
          <w:szCs w:val="21"/>
          <w:highlight w:val="none"/>
          <w14:textFill>
            <w14:solidFill>
              <w14:schemeClr w14:val="tx1"/>
            </w14:solidFill>
          </w14:textFill>
        </w:rPr>
        <w:t>获取招标文件</w:t>
      </w:r>
    </w:p>
    <w:p>
      <w:pPr>
        <w:pStyle w:val="5"/>
        <w:keepNext w:val="0"/>
        <w:keepLines w:val="0"/>
        <w:pageBreakBefore w:val="0"/>
        <w:shd w:val="clear" w:color="auto" w:fill="FFFFFF"/>
        <w:kinsoku/>
        <w:overflowPunct/>
        <w:topLinePunct w:val="0"/>
        <w:bidi w:val="0"/>
        <w:spacing w:before="0" w:beforeAutospacing="0" w:after="0" w:afterAutospacing="0" w:line="320" w:lineRule="exact"/>
        <w:ind w:firstLine="420"/>
        <w:jc w:val="both"/>
        <w:rPr>
          <w:rFonts w:hint="default" w:ascii="Times New Roman" w:hAnsi="Times New Roman" w:eastAsia="宋体" w:cs="Times New Roman"/>
          <w:color w:val="000000"/>
          <w:sz w:val="21"/>
          <w:szCs w:val="21"/>
          <w:highlight w:val="none"/>
          <w:lang w:val="en-US" w:eastAsia="zh-CN"/>
        </w:rPr>
      </w:pPr>
      <w:r>
        <w:rPr>
          <w:rFonts w:hint="eastAsia"/>
          <w:color w:val="000000"/>
          <w:sz w:val="21"/>
          <w:szCs w:val="21"/>
          <w:highlight w:val="none"/>
          <w:shd w:val="clear" w:color="auto" w:fill="FFFFFF"/>
        </w:rPr>
        <w:t>1．招标公告期限：</w:t>
      </w:r>
      <w:r>
        <w:rPr>
          <w:rFonts w:hint="eastAsia"/>
          <w:color w:val="000000"/>
          <w:sz w:val="21"/>
          <w:szCs w:val="21"/>
          <w:highlight w:val="none"/>
          <w:shd w:val="clear" w:color="auto" w:fill="FFFFFF"/>
          <w:lang w:eastAsia="zh-CN"/>
        </w:rPr>
        <w:t>自本公告发布之日起</w:t>
      </w:r>
      <w:r>
        <w:rPr>
          <w:rFonts w:hint="eastAsia"/>
          <w:color w:val="000000"/>
          <w:sz w:val="21"/>
          <w:szCs w:val="21"/>
          <w:highlight w:val="none"/>
          <w:shd w:val="clear" w:color="auto" w:fill="FFFFFF"/>
          <w:lang w:val="en-US" w:eastAsia="zh-CN"/>
        </w:rPr>
        <w:t>5个工作日。</w:t>
      </w:r>
    </w:p>
    <w:p>
      <w:pPr>
        <w:keepNext w:val="0"/>
        <w:keepLines w:val="0"/>
        <w:pageBreakBefore w:val="0"/>
        <w:kinsoku/>
        <w:overflowPunct/>
        <w:topLinePunct w:val="0"/>
        <w:bidi w:val="0"/>
        <w:spacing w:line="320" w:lineRule="exact"/>
        <w:ind w:firstLine="420" w:firstLineChars="200"/>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2．获取招标文件时间：</w:t>
      </w:r>
      <w:r>
        <w:rPr>
          <w:rFonts w:hint="eastAsia" w:ascii="宋体" w:hAnsi="宋体" w:cs="宋体"/>
          <w:color w:val="000000" w:themeColor="text1"/>
          <w:highlight w:val="none"/>
          <w:lang w:val="en-US" w:eastAsia="zh-CN"/>
          <w14:textFill>
            <w14:solidFill>
              <w14:schemeClr w14:val="tx1"/>
            </w14:solidFill>
          </w14:textFill>
        </w:rPr>
        <w:t>自本公告发布之时起至 2020年7 月 28日 18 时 00 分止</w:t>
      </w:r>
      <w:r>
        <w:rPr>
          <w:rFonts w:hint="eastAsia" w:ascii="宋体" w:hAnsi="宋体" w:cs="宋体"/>
          <w:color w:val="000000" w:themeColor="text1"/>
          <w:highlight w:val="none"/>
          <w:lang w:eastAsia="zh-CN"/>
          <w14:textFill>
            <w14:solidFill>
              <w14:schemeClr w14:val="tx1"/>
            </w14:solidFill>
          </w14:textFill>
        </w:rPr>
        <w:t>。</w:t>
      </w:r>
    </w:p>
    <w:p>
      <w:pPr>
        <w:keepNext w:val="0"/>
        <w:keepLines w:val="0"/>
        <w:pageBreakBefore w:val="0"/>
        <w:kinsoku/>
        <w:overflowPunct/>
        <w:topLinePunct w:val="0"/>
        <w:bidi w:val="0"/>
        <w:spacing w:line="32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3.获取方式：①</w:t>
      </w:r>
      <w:r>
        <w:rPr>
          <w:rFonts w:hint="eastAsia" w:ascii="宋体" w:hAnsi="宋体" w:cs="宋体"/>
          <w:color w:val="000000" w:themeColor="text1"/>
          <w:highlight w:val="none"/>
          <w:lang w:val="en-US" w:eastAsia="zh-CN"/>
          <w14:textFill>
            <w14:solidFill>
              <w14:schemeClr w14:val="tx1"/>
            </w14:solidFill>
          </w14:textFill>
        </w:rPr>
        <w:t>登陆政采云平台（www.zcygov.cn）获取本项目招标文件</w:t>
      </w:r>
      <w:r>
        <w:rPr>
          <w:rFonts w:hint="eastAsia" w:ascii="宋体" w:hAnsi="宋体" w:cs="宋体"/>
          <w:color w:val="000000" w:themeColor="text1"/>
          <w:highlight w:val="none"/>
          <w14:textFill>
            <w14:solidFill>
              <w14:schemeClr w14:val="tx1"/>
            </w14:solidFill>
          </w14:textFill>
        </w:rPr>
        <w:t>；②成功下载招标文件后，将采购文件工本费250元（售后不退）以转账或电汇等非现金形式交到以下账户。（请务必在银行单据用途或空白栏上注明事由“项目编号+文件工本费”字样。）开户名称：广西众联工程项目管理有限公司</w:t>
      </w:r>
    </w:p>
    <w:p>
      <w:pPr>
        <w:keepNext w:val="0"/>
        <w:keepLines w:val="0"/>
        <w:pageBreakBefore w:val="0"/>
        <w:kinsoku/>
        <w:overflowPunct/>
        <w:topLinePunct w:val="0"/>
        <w:bidi w:val="0"/>
        <w:spacing w:line="3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开户银行：中国光大银行股份有限公司南宁民主支行</w:t>
      </w:r>
    </w:p>
    <w:p>
      <w:pPr>
        <w:keepNext w:val="0"/>
        <w:keepLines w:val="0"/>
        <w:pageBreakBefore w:val="0"/>
        <w:kinsoku/>
        <w:overflowPunct/>
        <w:topLinePunct w:val="0"/>
        <w:bidi w:val="0"/>
        <w:spacing w:line="3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银行账号：78900188000167866</w:t>
      </w:r>
    </w:p>
    <w:p>
      <w:pPr>
        <w:keepNext w:val="0"/>
        <w:keepLines w:val="0"/>
        <w:pageBreakBefore w:val="0"/>
        <w:widowControl/>
        <w:shd w:val="clear" w:color="auto" w:fill="FFFFFF"/>
        <w:kinsoku/>
        <w:overflowPunct/>
        <w:topLinePunct w:val="0"/>
        <w:bidi w:val="0"/>
        <w:spacing w:line="320" w:lineRule="exact"/>
        <w:ind w:firstLine="420"/>
        <w:jc w:val="left"/>
        <w:rPr>
          <w:rFonts w:ascii="Arial" w:hAnsi="Arial" w:eastAsia="Arial" w:cs="Arial"/>
          <w:color w:val="000000"/>
          <w:sz w:val="18"/>
          <w:szCs w:val="18"/>
          <w:highlight w:val="none"/>
        </w:rPr>
      </w:pPr>
      <w:r>
        <w:rPr>
          <w:rFonts w:hint="eastAsia" w:ascii="宋体" w:hAnsi="宋体" w:cs="宋体"/>
          <w:color w:val="000000"/>
          <w:kern w:val="0"/>
          <w:szCs w:val="21"/>
          <w:highlight w:val="none"/>
          <w:shd w:val="clear" w:color="auto" w:fill="FFFFFF"/>
          <w:lang w:bidi="ar"/>
        </w:rPr>
        <w:t>4.供应商应在采购文件规定的获取时间内获取采购文件并将采购文件工本费以转账或电汇等非现金形式交到指定账户的方为报名成功，不接受逾期转入工本费或没有转入工本费的供应商。</w:t>
      </w:r>
    </w:p>
    <w:p>
      <w:pPr>
        <w:pStyle w:val="5"/>
        <w:keepNext w:val="0"/>
        <w:keepLines w:val="0"/>
        <w:pageBreakBefore w:val="0"/>
        <w:shd w:val="clear" w:color="auto" w:fill="FFFFFF"/>
        <w:kinsoku/>
        <w:overflowPunct/>
        <w:topLinePunct w:val="0"/>
        <w:bidi w:val="0"/>
        <w:spacing w:before="62" w:beforeAutospacing="0" w:after="0" w:afterAutospacing="0" w:line="320" w:lineRule="exact"/>
        <w:ind w:firstLine="422"/>
        <w:jc w:val="both"/>
        <w:outlineLvl w:val="1"/>
        <w:rPr>
          <w:color w:val="000000"/>
          <w:sz w:val="21"/>
          <w:szCs w:val="21"/>
          <w:highlight w:val="none"/>
        </w:rPr>
      </w:pPr>
      <w:r>
        <w:rPr>
          <w:rFonts w:hint="eastAsia"/>
          <w:b/>
          <w:color w:val="000000"/>
          <w:sz w:val="21"/>
          <w:szCs w:val="21"/>
          <w:highlight w:val="none"/>
          <w:shd w:val="clear" w:color="auto" w:fill="FFFFFF"/>
        </w:rPr>
        <w:t>四、投标截止时间和地点</w:t>
      </w:r>
    </w:p>
    <w:p>
      <w:pPr>
        <w:pStyle w:val="5"/>
        <w:keepNext w:val="0"/>
        <w:keepLines w:val="0"/>
        <w:pageBreakBefore w:val="0"/>
        <w:shd w:val="clear" w:color="auto" w:fill="FFFFFF"/>
        <w:kinsoku/>
        <w:overflowPunct/>
        <w:topLinePunct w:val="0"/>
        <w:bidi w:val="0"/>
        <w:spacing w:before="0" w:beforeAutospacing="0" w:after="0" w:afterAutospacing="0" w:line="320" w:lineRule="exact"/>
        <w:ind w:firstLine="420"/>
        <w:jc w:val="both"/>
        <w:rPr>
          <w:rFonts w:ascii="Times New Roman" w:hAnsi="Times New Roman" w:cs="Times New Roman"/>
          <w:color w:val="000000"/>
          <w:sz w:val="21"/>
          <w:szCs w:val="21"/>
          <w:highlight w:val="none"/>
        </w:rPr>
      </w:pPr>
      <w:r>
        <w:rPr>
          <w:rFonts w:hint="eastAsia"/>
          <w:color w:val="000000"/>
          <w:sz w:val="21"/>
          <w:szCs w:val="21"/>
          <w:highlight w:val="none"/>
          <w:shd w:val="clear" w:color="auto" w:fill="FFFFFF"/>
        </w:rPr>
        <w:t>投标人应于投标截止时间2020年</w:t>
      </w:r>
      <w:r>
        <w:rPr>
          <w:rFonts w:hint="eastAsia"/>
          <w:color w:val="000000"/>
          <w:sz w:val="21"/>
          <w:szCs w:val="21"/>
          <w:highlight w:val="none"/>
          <w:shd w:val="clear" w:color="auto" w:fill="FFFFFF"/>
          <w:lang w:val="en-US" w:eastAsia="zh-CN"/>
        </w:rPr>
        <w:t xml:space="preserve"> 8 </w:t>
      </w:r>
      <w:r>
        <w:rPr>
          <w:rFonts w:hint="eastAsia"/>
          <w:color w:val="000000"/>
          <w:sz w:val="21"/>
          <w:szCs w:val="21"/>
          <w:highlight w:val="none"/>
          <w:shd w:val="clear" w:color="auto" w:fill="FFFFFF"/>
        </w:rPr>
        <w:t>月</w:t>
      </w:r>
      <w:r>
        <w:rPr>
          <w:rFonts w:hint="eastAsia"/>
          <w:color w:val="000000"/>
          <w:sz w:val="21"/>
          <w:szCs w:val="21"/>
          <w:highlight w:val="none"/>
          <w:shd w:val="clear" w:color="auto" w:fill="FFFFFF"/>
          <w:lang w:val="en-US" w:eastAsia="zh-CN"/>
        </w:rPr>
        <w:t xml:space="preserve">12 </w:t>
      </w:r>
      <w:r>
        <w:rPr>
          <w:rFonts w:hint="eastAsia"/>
          <w:color w:val="000000"/>
          <w:sz w:val="21"/>
          <w:szCs w:val="21"/>
          <w:highlight w:val="none"/>
          <w:shd w:val="clear" w:color="auto" w:fill="FFFFFF"/>
        </w:rPr>
        <w:t>日上午</w:t>
      </w:r>
      <w:r>
        <w:rPr>
          <w:rFonts w:hint="eastAsia"/>
          <w:color w:val="000000"/>
          <w:sz w:val="21"/>
          <w:szCs w:val="21"/>
          <w:highlight w:val="none"/>
          <w:shd w:val="clear" w:color="auto" w:fill="FFFFFF"/>
          <w:lang w:val="en-US" w:eastAsia="zh-CN"/>
        </w:rPr>
        <w:t xml:space="preserve"> 10 </w:t>
      </w:r>
      <w:r>
        <w:rPr>
          <w:rFonts w:hint="eastAsia"/>
          <w:color w:val="000000"/>
          <w:sz w:val="21"/>
          <w:szCs w:val="21"/>
          <w:highlight w:val="none"/>
          <w:shd w:val="clear" w:color="auto" w:fill="FFFFFF"/>
        </w:rPr>
        <w:t>时</w:t>
      </w:r>
      <w:r>
        <w:rPr>
          <w:rFonts w:hint="eastAsia"/>
          <w:color w:val="000000"/>
          <w:sz w:val="21"/>
          <w:szCs w:val="21"/>
          <w:highlight w:val="none"/>
          <w:shd w:val="clear" w:color="auto" w:fill="FFFFFF"/>
          <w:lang w:val="en-US" w:eastAsia="zh-CN"/>
        </w:rPr>
        <w:t xml:space="preserve"> 00 </w:t>
      </w:r>
      <w:r>
        <w:rPr>
          <w:rFonts w:hint="eastAsia"/>
          <w:color w:val="000000"/>
          <w:sz w:val="21"/>
          <w:szCs w:val="21"/>
          <w:highlight w:val="none"/>
          <w:shd w:val="clear" w:color="auto" w:fill="FFFFFF"/>
        </w:rPr>
        <w:t>分整前，将投标文件密封提交到梧州市公共资源交易中心开标厅（地址：梧州市长洲区三龙大道72号红岭大厦8楼，具体开标室见现场LED指引），逾期送达或未按要求密封标记的投标文件，将予以拒收。</w:t>
      </w:r>
    </w:p>
    <w:p>
      <w:pPr>
        <w:pStyle w:val="5"/>
        <w:keepNext w:val="0"/>
        <w:keepLines w:val="0"/>
        <w:pageBreakBefore w:val="0"/>
        <w:shd w:val="clear" w:color="auto" w:fill="FFFFFF"/>
        <w:kinsoku/>
        <w:overflowPunct/>
        <w:topLinePunct w:val="0"/>
        <w:bidi w:val="0"/>
        <w:spacing w:before="62" w:beforeAutospacing="0" w:after="0" w:afterAutospacing="0" w:line="320" w:lineRule="exact"/>
        <w:ind w:firstLine="422"/>
        <w:jc w:val="both"/>
        <w:outlineLvl w:val="1"/>
        <w:rPr>
          <w:color w:val="000000"/>
          <w:sz w:val="21"/>
          <w:szCs w:val="21"/>
          <w:highlight w:val="none"/>
        </w:rPr>
      </w:pPr>
      <w:r>
        <w:rPr>
          <w:rFonts w:hint="eastAsia"/>
          <w:b/>
          <w:color w:val="000000"/>
          <w:sz w:val="21"/>
          <w:szCs w:val="21"/>
          <w:highlight w:val="none"/>
          <w:shd w:val="clear" w:color="auto" w:fill="FFFFFF"/>
        </w:rPr>
        <w:t>五、开标时间和地点</w:t>
      </w:r>
    </w:p>
    <w:p>
      <w:pPr>
        <w:pStyle w:val="5"/>
        <w:keepNext w:val="0"/>
        <w:keepLines w:val="0"/>
        <w:pageBreakBefore w:val="0"/>
        <w:shd w:val="clear" w:color="auto" w:fill="FFFFFF"/>
        <w:kinsoku/>
        <w:overflowPunct/>
        <w:topLinePunct w:val="0"/>
        <w:bidi w:val="0"/>
        <w:spacing w:before="0" w:beforeAutospacing="0" w:after="0" w:afterAutospacing="0" w:line="320" w:lineRule="exact"/>
        <w:ind w:firstLine="420"/>
        <w:jc w:val="both"/>
        <w:rPr>
          <w:color w:val="000000"/>
          <w:sz w:val="21"/>
          <w:szCs w:val="21"/>
          <w:highlight w:val="none"/>
        </w:rPr>
      </w:pPr>
      <w:r>
        <w:rPr>
          <w:rFonts w:hint="eastAsia"/>
          <w:color w:val="000000"/>
          <w:sz w:val="21"/>
          <w:szCs w:val="21"/>
          <w:highlight w:val="none"/>
          <w:shd w:val="clear" w:color="auto" w:fill="FFFFFF"/>
        </w:rPr>
        <w:t>本次招标将于2020年</w:t>
      </w:r>
      <w:r>
        <w:rPr>
          <w:rFonts w:hint="eastAsia"/>
          <w:color w:val="000000"/>
          <w:sz w:val="21"/>
          <w:szCs w:val="21"/>
          <w:highlight w:val="none"/>
          <w:shd w:val="clear" w:color="auto" w:fill="FFFFFF"/>
          <w:lang w:val="en-US" w:eastAsia="zh-CN"/>
        </w:rPr>
        <w:t xml:space="preserve"> 8 </w:t>
      </w:r>
      <w:r>
        <w:rPr>
          <w:rFonts w:hint="eastAsia"/>
          <w:color w:val="000000"/>
          <w:sz w:val="21"/>
          <w:szCs w:val="21"/>
          <w:highlight w:val="none"/>
          <w:shd w:val="clear" w:color="auto" w:fill="FFFFFF"/>
        </w:rPr>
        <w:t>月</w:t>
      </w:r>
      <w:r>
        <w:rPr>
          <w:rFonts w:hint="eastAsia"/>
          <w:color w:val="000000"/>
          <w:sz w:val="21"/>
          <w:szCs w:val="21"/>
          <w:highlight w:val="none"/>
          <w:shd w:val="clear" w:color="auto" w:fill="FFFFFF"/>
          <w:lang w:val="en-US" w:eastAsia="zh-CN"/>
        </w:rPr>
        <w:t xml:space="preserve">12 </w:t>
      </w:r>
      <w:r>
        <w:rPr>
          <w:rFonts w:hint="eastAsia"/>
          <w:color w:val="000000"/>
          <w:sz w:val="21"/>
          <w:szCs w:val="21"/>
          <w:highlight w:val="none"/>
          <w:shd w:val="clear" w:color="auto" w:fill="FFFFFF"/>
        </w:rPr>
        <w:t>日上午</w:t>
      </w:r>
      <w:r>
        <w:rPr>
          <w:rFonts w:hint="eastAsia"/>
          <w:color w:val="000000"/>
          <w:sz w:val="21"/>
          <w:szCs w:val="21"/>
          <w:highlight w:val="none"/>
          <w:shd w:val="clear" w:color="auto" w:fill="FFFFFF"/>
          <w:lang w:val="en-US" w:eastAsia="zh-CN"/>
        </w:rPr>
        <w:t xml:space="preserve"> 10 </w:t>
      </w:r>
      <w:r>
        <w:rPr>
          <w:rFonts w:hint="eastAsia"/>
          <w:color w:val="000000"/>
          <w:sz w:val="21"/>
          <w:szCs w:val="21"/>
          <w:highlight w:val="none"/>
          <w:shd w:val="clear" w:color="auto" w:fill="FFFFFF"/>
        </w:rPr>
        <w:t>时</w:t>
      </w:r>
      <w:r>
        <w:rPr>
          <w:rFonts w:hint="eastAsia"/>
          <w:color w:val="000000"/>
          <w:sz w:val="21"/>
          <w:szCs w:val="21"/>
          <w:highlight w:val="none"/>
          <w:shd w:val="clear" w:color="auto" w:fill="FFFFFF"/>
          <w:lang w:val="en-US" w:eastAsia="zh-CN"/>
        </w:rPr>
        <w:t xml:space="preserve"> 00 </w:t>
      </w:r>
      <w:r>
        <w:rPr>
          <w:rFonts w:hint="eastAsia"/>
          <w:color w:val="000000"/>
          <w:sz w:val="21"/>
          <w:szCs w:val="21"/>
          <w:highlight w:val="none"/>
          <w:shd w:val="clear" w:color="auto" w:fill="FFFFFF"/>
        </w:rPr>
        <w:t>分整，在梧州市公共资源交易中心开标厅开标（地址：梧州市长洲区三龙大道72号红岭大厦8楼，具体开标室见现场LED指引），如投标人派代表参加开标会的，须按招标文件要求携带相关证明文件以证明其出席开标会。</w:t>
      </w:r>
    </w:p>
    <w:p>
      <w:pPr>
        <w:pStyle w:val="4"/>
        <w:keepNext w:val="0"/>
        <w:keepLines w:val="0"/>
        <w:pageBreakBefore w:val="0"/>
        <w:kinsoku/>
        <w:overflowPunct/>
        <w:topLinePunct w:val="0"/>
        <w:bidi w:val="0"/>
        <w:spacing w:before="66" w:beforeLines="20" w:line="320" w:lineRule="exact"/>
        <w:ind w:firstLine="422" w:firstLineChars="200"/>
        <w:outlineLvl w:val="1"/>
        <w:rPr>
          <w:rFonts w:hAnsi="宋体" w:cs="宋体"/>
          <w:bCs/>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六、投标保证金</w:t>
      </w:r>
    </w:p>
    <w:p>
      <w:pPr>
        <w:pStyle w:val="4"/>
        <w:keepNext w:val="0"/>
        <w:keepLines w:val="0"/>
        <w:pageBreakBefore w:val="0"/>
        <w:kinsoku/>
        <w:overflowPunct/>
        <w:topLinePunct w:val="0"/>
        <w:bidi w:val="0"/>
        <w:spacing w:before="66" w:beforeLines="20" w:line="32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1. </w:t>
      </w:r>
      <w:r>
        <w:rPr>
          <w:rFonts w:hint="eastAsia" w:hAnsi="宋体" w:cs="宋体"/>
          <w:color w:val="000000" w:themeColor="text1"/>
          <w:highlight w:val="none"/>
          <w14:textFill>
            <w14:solidFill>
              <w14:schemeClr w14:val="tx1"/>
            </w14:solidFill>
          </w14:textFill>
        </w:rPr>
        <w:t>投标保证金金额</w:t>
      </w:r>
      <w:r>
        <w:rPr>
          <w:rFonts w:hint="eastAsia" w:hAnsi="宋体" w:cs="宋体"/>
          <w:color w:val="000000" w:themeColor="text1"/>
          <w:szCs w:val="21"/>
          <w:highlight w:val="none"/>
          <w14:textFill>
            <w14:solidFill>
              <w14:schemeClr w14:val="tx1"/>
            </w14:solidFill>
          </w14:textFill>
        </w:rPr>
        <w:t>(人民币)：</w:t>
      </w:r>
      <w:r>
        <w:rPr>
          <w:rFonts w:hint="eastAsia" w:hAnsi="宋体" w:cs="宋体"/>
          <w:color w:val="000000" w:themeColor="text1"/>
          <w:szCs w:val="21"/>
          <w:highlight w:val="none"/>
          <w:lang w:eastAsia="zh-CN"/>
          <w14:textFill>
            <w14:solidFill>
              <w14:schemeClr w14:val="tx1"/>
            </w14:solidFill>
          </w14:textFill>
        </w:rPr>
        <w:t>壹</w:t>
      </w:r>
      <w:r>
        <w:rPr>
          <w:rFonts w:hint="eastAsia" w:hAnsi="宋体" w:cs="宋体"/>
          <w:color w:val="000000" w:themeColor="text1"/>
          <w:szCs w:val="21"/>
          <w:highlight w:val="none"/>
          <w14:textFill>
            <w14:solidFill>
              <w14:schemeClr w14:val="tx1"/>
            </w14:solidFill>
          </w14:textFill>
        </w:rPr>
        <w:t>拾万元整（￥100,000.00）。</w:t>
      </w:r>
    </w:p>
    <w:p>
      <w:pPr>
        <w:keepNext w:val="0"/>
        <w:keepLines w:val="0"/>
        <w:pageBreakBefore w:val="0"/>
        <w:kinsoku/>
        <w:overflowPunct/>
        <w:topLinePunct w:val="0"/>
        <w:bidi w:val="0"/>
        <w:spacing w:line="32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2．递交方式：从投标人对公账户转账到以下专用账户或以支票、汇票、本票、保函非现金形式缴纳投标保证金。</w:t>
      </w:r>
    </w:p>
    <w:p>
      <w:pPr>
        <w:keepNext w:val="0"/>
        <w:keepLines w:val="0"/>
        <w:pageBreakBefore w:val="0"/>
        <w:kinsoku/>
        <w:overflowPunct/>
        <w:topLinePunct w:val="0"/>
        <w:bidi w:val="0"/>
        <w:spacing w:line="32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开户名称：广西众联工程项目管理有限公司</w:t>
      </w:r>
    </w:p>
    <w:p>
      <w:pPr>
        <w:keepNext w:val="0"/>
        <w:keepLines w:val="0"/>
        <w:pageBreakBefore w:val="0"/>
        <w:kinsoku/>
        <w:overflowPunct/>
        <w:topLinePunct w:val="0"/>
        <w:bidi w:val="0"/>
        <w:spacing w:line="3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开户银行：中国光大银行股份有限公司南宁民主支行</w:t>
      </w:r>
    </w:p>
    <w:p>
      <w:pPr>
        <w:keepNext w:val="0"/>
        <w:keepLines w:val="0"/>
        <w:pageBreakBefore w:val="0"/>
        <w:kinsoku/>
        <w:overflowPunct/>
        <w:topLinePunct w:val="0"/>
        <w:bidi w:val="0"/>
        <w:spacing w:line="32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银行账号：78900188000167866</w:t>
      </w:r>
    </w:p>
    <w:p>
      <w:pPr>
        <w:pStyle w:val="4"/>
        <w:keepNext w:val="0"/>
        <w:keepLines w:val="0"/>
        <w:pageBreakBefore w:val="0"/>
        <w:kinsoku/>
        <w:overflowPunct/>
        <w:topLinePunct w:val="0"/>
        <w:bidi w:val="0"/>
        <w:spacing w:before="66" w:beforeLines="20" w:line="320" w:lineRule="exact"/>
        <w:ind w:firstLine="420" w:firstLineChars="200"/>
        <w:outlineLvl w:val="1"/>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3．交纳截止时间：①以转帐方式缴纳投标保证金的必须在投标截止时间之前到达专用帐户。②</w:t>
      </w:r>
      <w:r>
        <w:rPr>
          <w:rFonts w:hint="eastAsia" w:ascii="宋体" w:hAnsi="宋体" w:cs="宋体"/>
          <w:bCs/>
          <w:color w:val="000000" w:themeColor="text1"/>
          <w:szCs w:val="21"/>
          <w:highlight w:val="none"/>
          <w:lang w:val="en-US" w:eastAsia="zh-CN"/>
          <w14:textFill>
            <w14:solidFill>
              <w14:schemeClr w14:val="tx1"/>
            </w14:solidFill>
          </w14:textFill>
        </w:rPr>
        <w:t xml:space="preserve">采用支票、汇票、本票或 者保函等方式的，在投标截止时间前，投标人应当递交单独密封的支票、汇票、本票或者保函原件。否则视为无效投标保证金。 </w:t>
      </w:r>
    </w:p>
    <w:p>
      <w:pPr>
        <w:pStyle w:val="4"/>
        <w:keepNext w:val="0"/>
        <w:keepLines w:val="0"/>
        <w:pageBreakBefore w:val="0"/>
        <w:kinsoku/>
        <w:overflowPunct/>
        <w:topLinePunct w:val="0"/>
        <w:bidi w:val="0"/>
        <w:spacing w:before="66" w:beforeLines="20" w:line="320" w:lineRule="exact"/>
        <w:ind w:firstLine="422" w:firstLineChars="200"/>
        <w:outlineLvl w:val="1"/>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七、对本次招标提出询问，请按以下方式联系。</w:t>
      </w:r>
    </w:p>
    <w:p>
      <w:pPr>
        <w:pStyle w:val="4"/>
        <w:keepNext w:val="0"/>
        <w:keepLines w:val="0"/>
        <w:pageBreakBefore w:val="0"/>
        <w:kinsoku/>
        <w:overflowPunct/>
        <w:topLinePunct w:val="0"/>
        <w:bidi w:val="0"/>
        <w:spacing w:line="320" w:lineRule="exact"/>
        <w:ind w:firstLine="420" w:firstLineChars="200"/>
        <w:outlineLvl w:val="2"/>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1．采购人：梧州市万秀区教育局</w:t>
      </w:r>
    </w:p>
    <w:p>
      <w:pPr>
        <w:pStyle w:val="4"/>
        <w:keepNext w:val="0"/>
        <w:keepLines w:val="0"/>
        <w:pageBreakBefore w:val="0"/>
        <w:kinsoku/>
        <w:overflowPunct/>
        <w:topLinePunct w:val="0"/>
        <w:bidi w:val="0"/>
        <w:snapToGrid w:val="0"/>
        <w:spacing w:line="320" w:lineRule="exact"/>
        <w:ind w:firstLine="420" w:firstLineChars="200"/>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地址：</w:t>
      </w:r>
      <w:r>
        <w:rPr>
          <w:color w:val="000000" w:themeColor="text1"/>
          <w:highlight w:val="none"/>
          <w14:textFill>
            <w14:solidFill>
              <w14:schemeClr w14:val="tx1"/>
            </w14:solidFill>
          </w14:textFill>
        </w:rPr>
        <w:t>梧州市</w:t>
      </w:r>
      <w:r>
        <w:rPr>
          <w:rFonts w:hint="eastAsia"/>
          <w:color w:val="000000" w:themeColor="text1"/>
          <w:highlight w:val="none"/>
          <w14:textFill>
            <w14:solidFill>
              <w14:schemeClr w14:val="tx1"/>
            </w14:solidFill>
          </w14:textFill>
        </w:rPr>
        <w:t>新兴一</w:t>
      </w:r>
      <w:r>
        <w:rPr>
          <w:color w:val="000000" w:themeColor="text1"/>
          <w:highlight w:val="none"/>
          <w14:textFill>
            <w14:solidFill>
              <w14:schemeClr w14:val="tx1"/>
            </w14:solidFill>
          </w14:textFill>
        </w:rPr>
        <w:t>路</w:t>
      </w:r>
      <w:r>
        <w:rPr>
          <w:rFonts w:hint="eastAsia"/>
          <w:color w:val="000000" w:themeColor="text1"/>
          <w:highlight w:val="none"/>
          <w14:textFill>
            <w14:solidFill>
              <w14:schemeClr w14:val="tx1"/>
            </w14:solidFill>
          </w14:textFill>
        </w:rPr>
        <w:t>60</w:t>
      </w:r>
      <w:r>
        <w:rPr>
          <w:color w:val="000000" w:themeColor="text1"/>
          <w:highlight w:val="none"/>
          <w14:textFill>
            <w14:solidFill>
              <w14:schemeClr w14:val="tx1"/>
            </w14:solidFill>
          </w14:textFill>
        </w:rPr>
        <w:t>号</w:t>
      </w:r>
    </w:p>
    <w:p>
      <w:pPr>
        <w:pStyle w:val="4"/>
        <w:keepNext w:val="0"/>
        <w:keepLines w:val="0"/>
        <w:pageBreakBefore w:val="0"/>
        <w:kinsoku/>
        <w:overflowPunct/>
        <w:topLinePunct w:val="0"/>
        <w:bidi w:val="0"/>
        <w:spacing w:line="320" w:lineRule="exact"/>
        <w:ind w:firstLine="420" w:firstLineChars="200"/>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联系人：林先生   联系电话：0774-3953050</w:t>
      </w:r>
    </w:p>
    <w:p>
      <w:pPr>
        <w:pStyle w:val="4"/>
        <w:keepNext w:val="0"/>
        <w:keepLines w:val="0"/>
        <w:pageBreakBefore w:val="0"/>
        <w:kinsoku/>
        <w:overflowPunct/>
        <w:topLinePunct w:val="0"/>
        <w:bidi w:val="0"/>
        <w:spacing w:line="320" w:lineRule="exact"/>
        <w:ind w:firstLine="420" w:firstLineChars="200"/>
        <w:outlineLvl w:val="2"/>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2．采购代理机构：广西众联工程项目管理有限公司</w:t>
      </w:r>
    </w:p>
    <w:p>
      <w:pPr>
        <w:pStyle w:val="4"/>
        <w:keepNext w:val="0"/>
        <w:keepLines w:val="0"/>
        <w:pageBreakBefore w:val="0"/>
        <w:kinsoku/>
        <w:overflowPunct/>
        <w:topLinePunct w:val="0"/>
        <w:bidi w:val="0"/>
        <w:spacing w:line="32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联系地址：梧州市新兴三路30号神冠豪都B栋1单元22层</w:t>
      </w:r>
    </w:p>
    <w:p>
      <w:pPr>
        <w:pStyle w:val="4"/>
        <w:keepNext w:val="0"/>
        <w:keepLines w:val="0"/>
        <w:pageBreakBefore w:val="0"/>
        <w:kinsoku/>
        <w:overflowPunct/>
        <w:topLinePunct w:val="0"/>
        <w:bidi w:val="0"/>
        <w:spacing w:line="32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联系人及电话：孟琳富 ，18176880255</w:t>
      </w:r>
    </w:p>
    <w:p>
      <w:pPr>
        <w:keepNext w:val="0"/>
        <w:keepLines w:val="0"/>
        <w:pageBreakBefore w:val="0"/>
        <w:kinsoku/>
        <w:overflowPunct/>
        <w:topLinePunct w:val="0"/>
        <w:bidi w:val="0"/>
        <w:spacing w:line="320" w:lineRule="exact"/>
        <w:ind w:firstLine="420" w:firstLineChars="200"/>
        <w:outlineLvl w:val="2"/>
        <w:rPr>
          <w:rFonts w:hAnsi="宋体"/>
          <w:b/>
          <w:szCs w:val="21"/>
          <w:highlight w:val="none"/>
        </w:rPr>
      </w:pPr>
      <w:r>
        <w:rPr>
          <w:rFonts w:hint="eastAsia" w:ascii="宋体" w:hAnsi="宋体" w:cs="宋体"/>
          <w:color w:val="000000"/>
          <w:szCs w:val="21"/>
          <w:highlight w:val="none"/>
          <w:shd w:val="clear" w:color="auto" w:fill="FFFFFF"/>
        </w:rPr>
        <w:t>3．监督部门：</w:t>
      </w:r>
      <w:r>
        <w:rPr>
          <w:rFonts w:hint="eastAsia" w:hAnsi="宋体" w:cs="宋体"/>
          <w:color w:val="000000" w:themeColor="text1"/>
          <w:szCs w:val="21"/>
          <w:highlight w:val="none"/>
          <w14:textFill>
            <w14:solidFill>
              <w14:schemeClr w14:val="tx1"/>
            </w14:solidFill>
          </w14:textFill>
        </w:rPr>
        <w:t>梧州市万秀区政府采购工作领导小组办公室</w:t>
      </w:r>
      <w:r>
        <w:rPr>
          <w:rFonts w:hint="eastAsia" w:ascii="宋体" w:hAnsi="宋体" w:cs="宋体"/>
          <w:color w:val="000000"/>
          <w:szCs w:val="21"/>
          <w:highlight w:val="none"/>
          <w:shd w:val="clear" w:color="auto" w:fill="FFFFFF"/>
        </w:rPr>
        <w:t>（电话</w:t>
      </w:r>
      <w:r>
        <w:rPr>
          <w:rFonts w:hint="eastAsia" w:hAnsi="宋体" w:cs="宋体"/>
          <w:color w:val="000000" w:themeColor="text1"/>
          <w:kern w:val="0"/>
          <w:szCs w:val="21"/>
          <w:highlight w:val="none"/>
          <w14:textFill>
            <w14:solidFill>
              <w14:schemeClr w14:val="tx1"/>
            </w14:solidFill>
          </w14:textFill>
        </w:rPr>
        <w:t>0774-2826908</w:t>
      </w:r>
      <w:r>
        <w:rPr>
          <w:rFonts w:hint="eastAsia" w:ascii="宋体" w:hAnsi="宋体" w:cs="宋体"/>
          <w:color w:val="000000"/>
          <w:szCs w:val="21"/>
          <w:highlight w:val="none"/>
          <w:shd w:val="clear" w:color="auto" w:fill="FFFFFF"/>
        </w:rPr>
        <w:t>）</w:t>
      </w:r>
    </w:p>
    <w:p>
      <w:pPr>
        <w:keepNext w:val="0"/>
        <w:keepLines w:val="0"/>
        <w:pageBreakBefore w:val="0"/>
        <w:kinsoku/>
        <w:overflowPunct/>
        <w:topLinePunct w:val="0"/>
        <w:bidi w:val="0"/>
        <w:spacing w:line="320" w:lineRule="exact"/>
        <w:ind w:firstLine="422" w:firstLineChars="200"/>
        <w:outlineLvl w:val="1"/>
        <w:rPr>
          <w:rFonts w:hAnsi="宋体"/>
          <w:b/>
          <w:szCs w:val="21"/>
          <w:highlight w:val="none"/>
        </w:rPr>
      </w:pPr>
      <w:r>
        <w:rPr>
          <w:rFonts w:hint="eastAsia" w:hAnsi="宋体"/>
          <w:b/>
          <w:szCs w:val="21"/>
          <w:highlight w:val="none"/>
        </w:rPr>
        <w:t>八、网上公告媒体查询：</w:t>
      </w:r>
    </w:p>
    <w:p>
      <w:pPr>
        <w:keepNext w:val="0"/>
        <w:keepLines w:val="0"/>
        <w:pageBreakBefore w:val="0"/>
        <w:kinsoku/>
        <w:wordWrap w:val="0"/>
        <w:overflowPunct/>
        <w:topLinePunct w:val="0"/>
        <w:autoSpaceDE w:val="0"/>
        <w:autoSpaceDN w:val="0"/>
        <w:bidi w:val="0"/>
        <w:adjustRightInd w:val="0"/>
        <w:snapToGrid w:val="0"/>
        <w:spacing w:line="320" w:lineRule="exact"/>
        <w:ind w:firstLine="420" w:firstLineChars="200"/>
        <w:rPr>
          <w:highlight w:val="none"/>
        </w:rPr>
      </w:pPr>
      <w:r>
        <w:rPr>
          <w:rFonts w:hint="eastAsia" w:hAnsi="宋体"/>
          <w:szCs w:val="21"/>
          <w:highlight w:val="none"/>
        </w:rPr>
        <w:t>中国政府采购网、广西壮族自治区政府采购网、梧州市政府采购网、</w:t>
      </w:r>
      <w:r>
        <w:rPr>
          <w:rFonts w:hint="eastAsia" w:ascii="宋体" w:hAnsi="宋体" w:cs="宋体"/>
          <w:szCs w:val="21"/>
          <w:highlight w:val="none"/>
        </w:rPr>
        <w:t>梧州市公共资源交易中心网。</w:t>
      </w:r>
    </w:p>
    <w:p>
      <w:pPr>
        <w:keepNext w:val="0"/>
        <w:keepLines w:val="0"/>
        <w:pageBreakBefore w:val="0"/>
        <w:kinsoku/>
        <w:overflowPunct/>
        <w:topLinePunct w:val="0"/>
        <w:bidi w:val="0"/>
        <w:spacing w:line="320" w:lineRule="exact"/>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梧州市万秀区教育局</w:t>
      </w:r>
    </w:p>
    <w:p>
      <w:pPr>
        <w:keepNext w:val="0"/>
        <w:keepLines w:val="0"/>
        <w:pageBreakBefore w:val="0"/>
        <w:kinsoku/>
        <w:overflowPunct/>
        <w:topLinePunct w:val="0"/>
        <w:bidi w:val="0"/>
        <w:spacing w:line="320" w:lineRule="exact"/>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广西众联工程项目管理有限公司</w:t>
      </w:r>
    </w:p>
    <w:p>
      <w:pPr>
        <w:keepNext w:val="0"/>
        <w:keepLines w:val="0"/>
        <w:pageBreakBefore w:val="0"/>
        <w:kinsoku/>
        <w:overflowPunct/>
        <w:topLinePunct w:val="0"/>
        <w:bidi w:val="0"/>
        <w:spacing w:line="320" w:lineRule="exact"/>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2020年</w:t>
      </w:r>
      <w:r>
        <w:rPr>
          <w:rFonts w:hint="eastAsia" w:ascii="宋体" w:hAnsi="宋体" w:cs="宋体"/>
          <w:color w:val="000000" w:themeColor="text1"/>
          <w:szCs w:val="21"/>
          <w:highlight w:val="none"/>
          <w:lang w:val="en-US" w:eastAsia="zh-CN"/>
          <w14:textFill>
            <w14:solidFill>
              <w14:schemeClr w14:val="tx1"/>
            </w14:solidFill>
          </w14:textFill>
        </w:rPr>
        <w:t xml:space="preserve"> 7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 xml:space="preserve"> 21</w:t>
      </w:r>
      <w:bookmarkStart w:id="0" w:name="_GoBack"/>
      <w:bookmarkEnd w:id="0"/>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pStyle w:val="4"/>
        <w:keepNext w:val="0"/>
        <w:keepLines w:val="0"/>
        <w:pageBreakBefore w:val="0"/>
        <w:kinsoku/>
        <w:overflowPunct/>
        <w:topLinePunct w:val="0"/>
        <w:bidi w:val="0"/>
        <w:spacing w:line="3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7194"/>
    <w:multiLevelType w:val="multilevel"/>
    <w:tmpl w:val="09DC7194"/>
    <w:lvl w:ilvl="0" w:tentative="0">
      <w:start w:val="1"/>
      <w:numFmt w:val="decimal"/>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pStyle w:val="2"/>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5B624B4C"/>
    <w:multiLevelType w:val="singleLevel"/>
    <w:tmpl w:val="5B624B4C"/>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40B13"/>
    <w:rsid w:val="065D6451"/>
    <w:rsid w:val="1CC229A1"/>
    <w:rsid w:val="1F0A7E27"/>
    <w:rsid w:val="27182FC4"/>
    <w:rsid w:val="2744751A"/>
    <w:rsid w:val="43B9597D"/>
    <w:rsid w:val="4E283D69"/>
    <w:rsid w:val="522C0663"/>
    <w:rsid w:val="79A62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0"/>
    <w:pPr>
      <w:keepNext/>
      <w:keepLines/>
      <w:numPr>
        <w:ilvl w:val="5"/>
        <w:numId w:val="1"/>
      </w:numPr>
      <w:spacing w:before="240" w:after="64" w:line="320" w:lineRule="auto"/>
      <w:outlineLvl w:val="5"/>
    </w:pPr>
    <w:rPr>
      <w:rFonts w:ascii="Arial" w:hAnsi="Arial" w:eastAsia="黑体"/>
      <w:b/>
      <w:sz w:val="24"/>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szCs w:val="20"/>
    </w:rPr>
  </w:style>
  <w:style w:type="paragraph" w:styleId="4">
    <w:name w:val="Plain Text"/>
    <w:basedOn w:val="1"/>
    <w:qFormat/>
    <w:uiPriority w:val="0"/>
    <w:rPr>
      <w:rFonts w:ascii="宋体" w:hAnsi="Courier New"/>
      <w:szCs w:val="2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2020-07-01T03:32:00Z</dcterms:created>
  <dc:creator>Administrator</dc:creator>
  <cp:lastModifiedBy>meng灯，照明</cp:lastModifiedBy>
  <dcterms:modified xsi:type="dcterms:W3CDTF">2020-07-20T10:38:09Z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