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000000" w:themeColor="text1"/>
          <w:highlight w:val="none"/>
          <w14:textFill>
            <w14:solidFill>
              <w14:schemeClr w14:val="tx1"/>
            </w14:solidFill>
          </w14:textFill>
        </w:rPr>
      </w:pPr>
    </w:p>
    <w:p>
      <w:pPr>
        <w:jc w:val="center"/>
        <w:rPr>
          <w:rFonts w:ascii="宋体" w:hAnsi="宋体" w:cs="宋体"/>
          <w:color w:val="000000" w:themeColor="text1"/>
          <w:highlight w:val="none"/>
          <w14:textFill>
            <w14:solidFill>
              <w14:schemeClr w14:val="tx1"/>
            </w14:solidFill>
          </w14:textFill>
        </w:rPr>
      </w:pPr>
    </w:p>
    <w:p>
      <w:pPr>
        <w:jc w:val="center"/>
        <w:rPr>
          <w:rFonts w:ascii="宋体" w:hAnsi="宋体" w:cs="宋体"/>
          <w:color w:val="000000" w:themeColor="text1"/>
          <w:highlight w:val="none"/>
          <w14:textFill>
            <w14:solidFill>
              <w14:schemeClr w14:val="tx1"/>
            </w14:solidFill>
          </w14:textFill>
        </w:rPr>
      </w:pPr>
    </w:p>
    <w:p>
      <w:pPr>
        <w:jc w:val="center"/>
        <w:rPr>
          <w:rFonts w:ascii="宋体" w:hAnsi="宋体" w:cs="宋体"/>
          <w:b/>
          <w:color w:val="000000" w:themeColor="text1"/>
          <w:sz w:val="66"/>
          <w:szCs w:val="66"/>
          <w:highlight w:val="none"/>
          <w14:textFill>
            <w14:solidFill>
              <w14:schemeClr w14:val="tx1"/>
            </w14:solidFill>
          </w14:textFill>
        </w:rPr>
      </w:pPr>
      <w:r>
        <w:rPr>
          <w:rFonts w:hint="eastAsia" w:ascii="宋体" w:hAnsi="宋体" w:cs="宋体"/>
          <w:b/>
          <w:color w:val="000000" w:themeColor="text1"/>
          <w:sz w:val="66"/>
          <w:szCs w:val="66"/>
          <w:highlight w:val="none"/>
          <w14:textFill>
            <w14:solidFill>
              <w14:schemeClr w14:val="tx1"/>
            </w14:solidFill>
          </w14:textFill>
        </w:rPr>
        <w:t>广西众联工程项目管理有限公司</w:t>
      </w:r>
    </w:p>
    <w:p>
      <w:pPr>
        <w:jc w:val="center"/>
        <w:rPr>
          <w:rFonts w:ascii="宋体" w:hAnsi="宋体" w:cs="宋体"/>
          <w:color w:val="000000" w:themeColor="text1"/>
          <w:highlight w:val="none"/>
          <w14:textFill>
            <w14:solidFill>
              <w14:schemeClr w14:val="tx1"/>
            </w14:solidFill>
          </w14:textFill>
        </w:rPr>
      </w:pPr>
    </w:p>
    <w:p>
      <w:pPr>
        <w:jc w:val="center"/>
        <w:rPr>
          <w:rFonts w:ascii="宋体" w:hAnsi="宋体" w:cs="宋体"/>
          <w:color w:val="000000" w:themeColor="text1"/>
          <w:highlight w:val="none"/>
          <w14:textFill>
            <w14:solidFill>
              <w14:schemeClr w14:val="tx1"/>
            </w14:solidFill>
          </w14:textFill>
        </w:rPr>
      </w:pPr>
    </w:p>
    <w:p>
      <w:pPr>
        <w:jc w:val="center"/>
        <w:rPr>
          <w:rFonts w:ascii="宋体" w:hAnsi="宋体" w:cs="宋体"/>
          <w:color w:val="000000" w:themeColor="text1"/>
          <w:highlight w:val="none"/>
          <w14:textFill>
            <w14:solidFill>
              <w14:schemeClr w14:val="tx1"/>
            </w14:solidFill>
          </w14:textFill>
        </w:rPr>
      </w:pPr>
      <w:r>
        <w:rPr>
          <w:rFonts w:hint="eastAsia" w:ascii="宋体" w:hAnsi="宋体" w:cs="宋体"/>
          <w:highlight w:val="none"/>
        </w:rPr>
        <w:cr/>
      </w:r>
      <w:r>
        <w:rPr>
          <w:rFonts w:hint="eastAsia" w:ascii="宋体" w:hAnsi="宋体" w:cs="宋体"/>
          <w:b/>
          <w:bCs/>
          <w:color w:val="000000" w:themeColor="text1"/>
          <w:sz w:val="84"/>
          <w:highlight w:val="none"/>
          <w14:shadow w14:blurRad="50800" w14:dist="38100" w14:dir="2700000" w14:sx="100000" w14:sy="100000" w14:kx="0" w14:ky="0" w14:algn="tl">
            <w14:srgbClr w14:val="000000">
              <w14:alpha w14:val="60000"/>
            </w14:srgbClr>
          </w14:shadow>
          <w14:textFill>
            <w14:solidFill>
              <w14:schemeClr w14:val="tx1"/>
            </w14:solidFill>
          </w14:textFill>
        </w:rPr>
        <w:t>招 标 文 件</w:t>
      </w:r>
      <w:r>
        <w:rPr>
          <w:rFonts w:hint="eastAsia" w:ascii="宋体" w:hAnsi="宋体" w:cs="宋体"/>
          <w:color w:val="000000" w:themeColor="text1"/>
          <w:sz w:val="72"/>
          <w:highlight w:val="none"/>
          <w14:textFill>
            <w14:solidFill>
              <w14:schemeClr w14:val="tx1"/>
            </w14:solidFill>
          </w14:textFill>
        </w:rPr>
        <w:cr/>
      </w:r>
    </w:p>
    <w:p>
      <w:pPr>
        <w:jc w:val="center"/>
        <w:rPr>
          <w:rFonts w:ascii="宋体" w:hAnsi="宋体" w:cs="宋体"/>
          <w:color w:val="000000" w:themeColor="text1"/>
          <w:highlight w:val="none"/>
          <w14:textFill>
            <w14:solidFill>
              <w14:schemeClr w14:val="tx1"/>
            </w14:solidFill>
          </w14:textFill>
        </w:rPr>
      </w:pPr>
    </w:p>
    <w:p>
      <w:pPr>
        <w:jc w:val="center"/>
        <w:rPr>
          <w:rFonts w:ascii="宋体" w:hAnsi="宋体" w:cs="宋体"/>
          <w:color w:val="000000" w:themeColor="text1"/>
          <w:highlight w:val="none"/>
          <w14:textFill>
            <w14:solidFill>
              <w14:schemeClr w14:val="tx1"/>
            </w14:solidFill>
          </w14:textFill>
        </w:rPr>
      </w:pPr>
    </w:p>
    <w:p>
      <w:pPr>
        <w:spacing w:line="800" w:lineRule="exact"/>
        <w:ind w:left="3419" w:leftChars="771" w:right="590" w:rightChars="281" w:hanging="1800" w:hangingChars="498"/>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项目名称：网络多媒体教室设备</w:t>
      </w:r>
    </w:p>
    <w:p>
      <w:pPr>
        <w:spacing w:line="800" w:lineRule="exact"/>
        <w:ind w:firstLine="1619" w:firstLineChars="448"/>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项目编号：WXZC2020-G1-00075-ZLZB</w:t>
      </w:r>
    </w:p>
    <w:p>
      <w:pPr>
        <w:ind w:left="-2" w:leftChars="-1" w:firstLine="1365" w:firstLineChars="650"/>
        <w:rPr>
          <w:rFonts w:ascii="宋体" w:hAnsi="宋体" w:cs="宋体"/>
          <w:color w:val="000000" w:themeColor="text1"/>
          <w:highlight w:val="none"/>
          <w14:textFill>
            <w14:solidFill>
              <w14:schemeClr w14:val="tx1"/>
            </w14:solidFill>
          </w14:textFill>
        </w:rPr>
      </w:pPr>
    </w:p>
    <w:p>
      <w:pPr>
        <w:ind w:left="-2" w:leftChars="-1" w:firstLine="1365" w:firstLineChars="650"/>
        <w:rPr>
          <w:rFonts w:ascii="宋体" w:hAnsi="宋体" w:cs="宋体"/>
          <w:color w:val="000000" w:themeColor="text1"/>
          <w:highlight w:val="none"/>
          <w14:textFill>
            <w14:solidFill>
              <w14:schemeClr w14:val="tx1"/>
            </w14:solidFill>
          </w14:textFill>
        </w:rPr>
      </w:pPr>
    </w:p>
    <w:p>
      <w:pPr>
        <w:ind w:left="-2" w:leftChars="-1" w:firstLine="1365" w:firstLineChars="650"/>
        <w:rPr>
          <w:rFonts w:ascii="宋体" w:hAnsi="宋体" w:cs="宋体"/>
          <w:color w:val="000000" w:themeColor="text1"/>
          <w:highlight w:val="none"/>
          <w14:textFill>
            <w14:solidFill>
              <w14:schemeClr w14:val="tx1"/>
            </w14:solidFill>
          </w14:textFill>
        </w:rPr>
      </w:pPr>
    </w:p>
    <w:p>
      <w:pPr>
        <w:ind w:left="-2" w:leftChars="-1" w:firstLine="1365" w:firstLineChars="650"/>
        <w:rPr>
          <w:rFonts w:ascii="宋体" w:hAnsi="宋体" w:cs="宋体"/>
          <w:color w:val="000000" w:themeColor="text1"/>
          <w:highlight w:val="none"/>
          <w14:textFill>
            <w14:solidFill>
              <w14:schemeClr w14:val="tx1"/>
            </w14:solidFill>
          </w14:textFill>
        </w:rPr>
      </w:pPr>
    </w:p>
    <w:p>
      <w:pPr>
        <w:ind w:left="-2" w:leftChars="-1" w:firstLine="1365" w:firstLineChars="650"/>
        <w:rPr>
          <w:rFonts w:ascii="宋体" w:hAnsi="宋体" w:cs="宋体"/>
          <w:color w:val="000000" w:themeColor="text1"/>
          <w:highlight w:val="none"/>
          <w14:textFill>
            <w14:solidFill>
              <w14:schemeClr w14:val="tx1"/>
            </w14:solidFill>
          </w14:textFill>
        </w:rPr>
      </w:pPr>
    </w:p>
    <w:p>
      <w:pPr>
        <w:ind w:left="-2" w:leftChars="-1" w:firstLine="1365" w:firstLineChars="650"/>
        <w:rPr>
          <w:rFonts w:ascii="宋体" w:hAnsi="宋体" w:cs="宋体"/>
          <w:color w:val="000000" w:themeColor="text1"/>
          <w:highlight w:val="none"/>
          <w14:textFill>
            <w14:solidFill>
              <w14:schemeClr w14:val="tx1"/>
            </w14:solidFill>
          </w14:textFill>
        </w:rPr>
      </w:pPr>
    </w:p>
    <w:p>
      <w:pPr>
        <w:ind w:left="-2" w:leftChars="-1" w:firstLine="1365" w:firstLineChars="650"/>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pacing w:line="400" w:lineRule="exact"/>
        <w:ind w:left="-2" w:leftChars="-1" w:firstLine="1365" w:firstLineChars="650"/>
        <w:rPr>
          <w:rFonts w:ascii="宋体" w:hAnsi="宋体" w:cs="宋体"/>
          <w:color w:val="000000" w:themeColor="text1"/>
          <w:highlight w:val="none"/>
          <w14:textFill>
            <w14:solidFill>
              <w14:schemeClr w14:val="tx1"/>
            </w14:solidFill>
          </w14:textFill>
        </w:rPr>
      </w:pPr>
    </w:p>
    <w:p>
      <w:pPr>
        <w:spacing w:line="400" w:lineRule="exact"/>
        <w:ind w:firstLine="1439" w:firstLineChars="448"/>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采购人：梧州市万秀区教育局</w:t>
      </w:r>
    </w:p>
    <w:p>
      <w:pPr>
        <w:spacing w:line="400" w:lineRule="exact"/>
        <w:ind w:left="-2" w:leftChars="-1" w:firstLine="1365" w:firstLineChars="650"/>
        <w:rPr>
          <w:rFonts w:ascii="宋体" w:hAnsi="宋体" w:cs="宋体"/>
          <w:color w:val="000000" w:themeColor="text1"/>
          <w:highlight w:val="none"/>
          <w14:textFill>
            <w14:solidFill>
              <w14:schemeClr w14:val="tx1"/>
            </w14:solidFill>
          </w14:textFill>
        </w:rPr>
      </w:pPr>
    </w:p>
    <w:p>
      <w:pPr>
        <w:spacing w:line="400" w:lineRule="exact"/>
        <w:ind w:firstLine="1439" w:firstLineChars="448"/>
        <w:rPr>
          <w:rFonts w:ascii="宋体" w:hAnsi="宋体" w:cs="宋体"/>
          <w:b/>
          <w:color w:val="000000" w:themeColor="text1"/>
          <w:spacing w:val="-8"/>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采购代理机构：广西众联工程项目管理有限公司</w:t>
      </w:r>
    </w:p>
    <w:p>
      <w:pPr>
        <w:spacing w:line="400" w:lineRule="exact"/>
        <w:ind w:firstLine="1526" w:firstLineChars="500"/>
        <w:rPr>
          <w:rFonts w:ascii="宋体" w:hAnsi="宋体" w:cs="宋体"/>
          <w:b/>
          <w:color w:val="000000" w:themeColor="text1"/>
          <w:spacing w:val="-8"/>
          <w:sz w:val="32"/>
          <w:szCs w:val="32"/>
          <w:highlight w:val="none"/>
          <w14:textFill>
            <w14:solidFill>
              <w14:schemeClr w14:val="tx1"/>
            </w14:solidFill>
          </w14:textFill>
        </w:rPr>
      </w:pPr>
    </w:p>
    <w:p>
      <w:pPr>
        <w:spacing w:line="400" w:lineRule="exact"/>
        <w:ind w:firstLine="1526" w:firstLineChars="50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8"/>
          <w:sz w:val="32"/>
          <w:szCs w:val="32"/>
          <w:highlight w:val="none"/>
          <w14:textFill>
            <w14:solidFill>
              <w14:schemeClr w14:val="tx1"/>
            </w14:solidFill>
          </w14:textFill>
        </w:rPr>
        <w:t>发布日期：</w:t>
      </w:r>
      <w:r>
        <w:rPr>
          <w:rFonts w:hint="eastAsia" w:ascii="宋体" w:hAnsi="宋体" w:cs="宋体"/>
          <w:b/>
          <w:color w:val="000000" w:themeColor="text1"/>
          <w:spacing w:val="-8"/>
          <w:sz w:val="32"/>
          <w:szCs w:val="32"/>
          <w:highlight w:val="none"/>
          <w:lang w:val="en-US" w:eastAsia="zh-CN"/>
          <w14:textFill>
            <w14:solidFill>
              <w14:schemeClr w14:val="tx1"/>
            </w14:solidFill>
          </w14:textFill>
        </w:rPr>
        <w:t xml:space="preserve">2020 </w:t>
      </w:r>
      <w:r>
        <w:rPr>
          <w:rFonts w:hint="eastAsia" w:ascii="宋体" w:hAnsi="宋体" w:cs="宋体"/>
          <w:b/>
          <w:color w:val="000000" w:themeColor="text1"/>
          <w:spacing w:val="-8"/>
          <w:sz w:val="32"/>
          <w:szCs w:val="32"/>
          <w:highlight w:val="none"/>
          <w14:textFill>
            <w14:solidFill>
              <w14:schemeClr w14:val="tx1"/>
            </w14:solidFill>
          </w14:textFill>
        </w:rPr>
        <w:t>年</w:t>
      </w:r>
      <w:r>
        <w:rPr>
          <w:rFonts w:hint="eastAsia" w:ascii="宋体" w:hAnsi="宋体" w:cs="宋体"/>
          <w:b/>
          <w:color w:val="000000" w:themeColor="text1"/>
          <w:spacing w:val="-8"/>
          <w:sz w:val="32"/>
          <w:szCs w:val="32"/>
          <w:highlight w:val="none"/>
          <w:lang w:val="en-US" w:eastAsia="zh-CN"/>
          <w14:textFill>
            <w14:solidFill>
              <w14:schemeClr w14:val="tx1"/>
            </w14:solidFill>
          </w14:textFill>
        </w:rPr>
        <w:t xml:space="preserve"> 7 </w:t>
      </w:r>
      <w:r>
        <w:rPr>
          <w:rFonts w:hint="eastAsia" w:ascii="宋体" w:hAnsi="宋体" w:cs="宋体"/>
          <w:b/>
          <w:color w:val="000000" w:themeColor="text1"/>
          <w:spacing w:val="-8"/>
          <w:sz w:val="32"/>
          <w:szCs w:val="32"/>
          <w:highlight w:val="none"/>
          <w14:textFill>
            <w14:solidFill>
              <w14:schemeClr w14:val="tx1"/>
            </w14:solidFill>
          </w14:textFill>
        </w:rPr>
        <w:t xml:space="preserve">月 </w:t>
      </w:r>
      <w:r>
        <w:rPr>
          <w:rFonts w:hint="eastAsia" w:ascii="宋体" w:hAnsi="宋体" w:cs="宋体"/>
          <w:b/>
          <w:color w:val="000000" w:themeColor="text1"/>
          <w:spacing w:val="-8"/>
          <w:sz w:val="32"/>
          <w:szCs w:val="32"/>
          <w:highlight w:val="none"/>
          <w:lang w:val="en-US" w:eastAsia="zh-CN"/>
          <w14:textFill>
            <w14:solidFill>
              <w14:schemeClr w14:val="tx1"/>
            </w14:solidFill>
          </w14:textFill>
        </w:rPr>
        <w:t xml:space="preserve">21 </w:t>
      </w:r>
      <w:r>
        <w:rPr>
          <w:rFonts w:hint="eastAsia" w:ascii="宋体" w:hAnsi="宋体" w:cs="宋体"/>
          <w:b/>
          <w:color w:val="000000" w:themeColor="text1"/>
          <w:spacing w:val="-8"/>
          <w:sz w:val="32"/>
          <w:szCs w:val="32"/>
          <w:highlight w:val="none"/>
          <w14:textFill>
            <w14:solidFill>
              <w14:schemeClr w14:val="tx1"/>
            </w14:solidFill>
          </w14:textFill>
        </w:rPr>
        <w:t>日</w:t>
      </w:r>
    </w:p>
    <w:p>
      <w:pPr>
        <w:spacing w:line="400" w:lineRule="exact"/>
        <w:ind w:left="-2" w:leftChars="-1"/>
        <w:rPr>
          <w:rFonts w:ascii="宋体" w:hAnsi="宋体" w:cs="宋体"/>
          <w:color w:val="000000" w:themeColor="text1"/>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247" w:right="1247" w:bottom="1418" w:left="1247" w:header="680" w:footer="851" w:gutter="0"/>
          <w:pgNumType w:start="0"/>
          <w:cols w:space="720" w:num="1"/>
          <w:titlePg/>
          <w:docGrid w:type="lines" w:linePitch="331" w:charSpace="0"/>
        </w:sectPr>
      </w:pPr>
      <w:r>
        <w:rPr>
          <w:rFonts w:hint="eastAsia" w:ascii="宋体" w:hAnsi="宋体" w:cs="宋体"/>
          <w:color w:val="000000" w:themeColor="text1"/>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p>
    <w:p>
      <w:pPr>
        <w:ind w:left="-2" w:leftChars="-1"/>
        <w:jc w:val="center"/>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目  录</w:t>
      </w:r>
    </w:p>
    <w:p>
      <w:pPr>
        <w:pStyle w:val="26"/>
        <w:tabs>
          <w:tab w:val="right" w:leader="dot" w:pos="9412"/>
          <w:tab w:val="clear" w:pos="8820"/>
        </w:tabs>
        <w:ind w:firstLine="42"/>
        <w:rPr>
          <w:color w:val="auto"/>
          <w:highlight w:val="none"/>
        </w:rPr>
      </w:pPr>
      <w:r>
        <w:rPr>
          <w:rFonts w:hint="eastAsia" w:cs="宋体"/>
          <w:color w:val="auto"/>
          <w:sz w:val="30"/>
          <w:szCs w:val="30"/>
          <w:highlight w:val="none"/>
        </w:rPr>
        <w:fldChar w:fldCharType="begin"/>
      </w:r>
      <w:r>
        <w:rPr>
          <w:rStyle w:val="47"/>
          <w:rFonts w:hint="eastAsia" w:cs="宋体"/>
          <w:color w:val="auto"/>
          <w:sz w:val="30"/>
          <w:szCs w:val="30"/>
          <w:highlight w:val="none"/>
        </w:rPr>
        <w:instrText xml:space="preserve"> TOC \o "1-1" \h \z \u </w:instrText>
      </w:r>
      <w:r>
        <w:rPr>
          <w:rFonts w:hint="eastAsia" w:cs="宋体"/>
          <w:color w:val="auto"/>
          <w:sz w:val="30"/>
          <w:szCs w:val="30"/>
          <w:highlight w:val="none"/>
        </w:rPr>
        <w:fldChar w:fldCharType="separate"/>
      </w:r>
      <w:r>
        <w:rPr>
          <w:color w:val="auto"/>
          <w:highlight w:val="none"/>
        </w:rPr>
        <w:fldChar w:fldCharType="begin"/>
      </w:r>
      <w:r>
        <w:rPr>
          <w:color w:val="auto"/>
          <w:highlight w:val="none"/>
        </w:rPr>
        <w:instrText xml:space="preserve"> HYPERLINK \l "_Toc15692" </w:instrText>
      </w:r>
      <w:r>
        <w:rPr>
          <w:color w:val="auto"/>
          <w:highlight w:val="none"/>
        </w:rPr>
        <w:fldChar w:fldCharType="separate"/>
      </w:r>
      <w:r>
        <w:rPr>
          <w:rFonts w:hint="eastAsia"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_Toc15692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6"/>
        <w:tabs>
          <w:tab w:val="right" w:leader="dot" w:pos="9412"/>
          <w:tab w:val="clear" w:pos="8820"/>
        </w:tabs>
        <w:ind w:firstLine="30"/>
        <w:rPr>
          <w:color w:val="auto"/>
          <w:highlight w:val="none"/>
        </w:rPr>
      </w:pPr>
      <w:r>
        <w:rPr>
          <w:color w:val="auto"/>
          <w:highlight w:val="none"/>
        </w:rPr>
        <w:fldChar w:fldCharType="begin"/>
      </w:r>
      <w:r>
        <w:rPr>
          <w:color w:val="auto"/>
          <w:highlight w:val="none"/>
        </w:rPr>
        <w:instrText xml:space="preserve"> HYPERLINK \l "_Toc21199" </w:instrText>
      </w:r>
      <w:r>
        <w:rPr>
          <w:color w:val="auto"/>
          <w:highlight w:val="none"/>
        </w:rPr>
        <w:fldChar w:fldCharType="separate"/>
      </w:r>
      <w:r>
        <w:rPr>
          <w:rFonts w:hint="eastAsia" w:cs="宋体"/>
          <w:color w:val="auto"/>
          <w:highlight w:val="none"/>
        </w:rPr>
        <w:t>第二章  采购内容及要求</w:t>
      </w:r>
      <w:r>
        <w:rPr>
          <w:color w:val="auto"/>
          <w:highlight w:val="none"/>
        </w:rPr>
        <w:tab/>
      </w:r>
      <w:r>
        <w:rPr>
          <w:color w:val="auto"/>
          <w:highlight w:val="none"/>
        </w:rPr>
        <w:fldChar w:fldCharType="begin"/>
      </w:r>
      <w:r>
        <w:rPr>
          <w:color w:val="auto"/>
          <w:highlight w:val="none"/>
        </w:rPr>
        <w:instrText xml:space="preserve"> PAGEREF _Toc21199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6"/>
        <w:tabs>
          <w:tab w:val="right" w:leader="dot" w:pos="9412"/>
          <w:tab w:val="clear" w:pos="8820"/>
        </w:tabs>
        <w:ind w:firstLine="30"/>
        <w:rPr>
          <w:color w:val="auto"/>
          <w:highlight w:val="none"/>
        </w:rPr>
      </w:pPr>
      <w:r>
        <w:rPr>
          <w:color w:val="auto"/>
          <w:highlight w:val="none"/>
        </w:rPr>
        <w:fldChar w:fldCharType="begin"/>
      </w:r>
      <w:r>
        <w:rPr>
          <w:color w:val="auto"/>
          <w:highlight w:val="none"/>
        </w:rPr>
        <w:instrText xml:space="preserve"> HYPERLINK \l "_Toc18101" </w:instrText>
      </w:r>
      <w:r>
        <w:rPr>
          <w:color w:val="auto"/>
          <w:highlight w:val="none"/>
        </w:rPr>
        <w:fldChar w:fldCharType="separate"/>
      </w:r>
      <w:r>
        <w:rPr>
          <w:rFonts w:hint="eastAsia" w:cs="宋体"/>
          <w:color w:val="auto"/>
          <w:highlight w:val="none"/>
        </w:rPr>
        <w:t>第三章   投标人须知及前附表</w:t>
      </w:r>
      <w:r>
        <w:rPr>
          <w:color w:val="auto"/>
          <w:highlight w:val="none"/>
        </w:rPr>
        <w:tab/>
      </w:r>
      <w:r>
        <w:rPr>
          <w:color w:val="auto"/>
          <w:highlight w:val="none"/>
        </w:rPr>
        <w:fldChar w:fldCharType="begin"/>
      </w:r>
      <w:r>
        <w:rPr>
          <w:color w:val="auto"/>
          <w:highlight w:val="none"/>
        </w:rPr>
        <w:instrText xml:space="preserve"> PAGEREF _Toc18101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6"/>
        <w:tabs>
          <w:tab w:val="right" w:leader="dot" w:pos="9412"/>
          <w:tab w:val="clear" w:pos="8820"/>
        </w:tabs>
        <w:ind w:firstLine="30"/>
        <w:rPr>
          <w:color w:val="auto"/>
          <w:highlight w:val="none"/>
        </w:rPr>
      </w:pPr>
      <w:r>
        <w:rPr>
          <w:color w:val="auto"/>
          <w:highlight w:val="none"/>
        </w:rPr>
        <w:fldChar w:fldCharType="begin"/>
      </w:r>
      <w:r>
        <w:rPr>
          <w:color w:val="auto"/>
          <w:highlight w:val="none"/>
        </w:rPr>
        <w:instrText xml:space="preserve"> HYPERLINK \l "_Toc10224" </w:instrText>
      </w:r>
      <w:r>
        <w:rPr>
          <w:color w:val="auto"/>
          <w:highlight w:val="none"/>
        </w:rPr>
        <w:fldChar w:fldCharType="separate"/>
      </w:r>
      <w:r>
        <w:rPr>
          <w:rFonts w:hint="eastAsia" w:cs="宋体"/>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_Toc10224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6"/>
        <w:tabs>
          <w:tab w:val="right" w:leader="dot" w:pos="9412"/>
          <w:tab w:val="clear" w:pos="8820"/>
        </w:tabs>
        <w:ind w:firstLine="30"/>
        <w:rPr>
          <w:color w:val="auto"/>
          <w:highlight w:val="none"/>
        </w:rPr>
      </w:pPr>
      <w:r>
        <w:rPr>
          <w:color w:val="auto"/>
          <w:highlight w:val="none"/>
        </w:rPr>
        <w:fldChar w:fldCharType="begin"/>
      </w:r>
      <w:r>
        <w:rPr>
          <w:color w:val="auto"/>
          <w:highlight w:val="none"/>
        </w:rPr>
        <w:instrText xml:space="preserve"> HYPERLINK \l "_Toc17304" </w:instrText>
      </w:r>
      <w:r>
        <w:rPr>
          <w:color w:val="auto"/>
          <w:highlight w:val="none"/>
        </w:rPr>
        <w:fldChar w:fldCharType="separate"/>
      </w:r>
      <w:r>
        <w:rPr>
          <w:rFonts w:hint="eastAsia" w:cs="宋体"/>
          <w:color w:val="auto"/>
          <w:highlight w:val="none"/>
        </w:rPr>
        <w:t>一、总  则</w:t>
      </w:r>
      <w:r>
        <w:rPr>
          <w:color w:val="auto"/>
          <w:highlight w:val="none"/>
        </w:rPr>
        <w:tab/>
      </w:r>
      <w:r>
        <w:rPr>
          <w:color w:val="auto"/>
          <w:highlight w:val="none"/>
        </w:rPr>
        <w:fldChar w:fldCharType="begin"/>
      </w:r>
      <w:r>
        <w:rPr>
          <w:color w:val="auto"/>
          <w:highlight w:val="none"/>
        </w:rPr>
        <w:instrText xml:space="preserve"> PAGEREF _Toc17304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6"/>
        <w:tabs>
          <w:tab w:val="right" w:leader="dot" w:pos="9412"/>
          <w:tab w:val="clear" w:pos="8820"/>
        </w:tabs>
        <w:ind w:firstLine="30"/>
        <w:rPr>
          <w:color w:val="auto"/>
          <w:highlight w:val="none"/>
        </w:rPr>
      </w:pPr>
      <w:r>
        <w:rPr>
          <w:color w:val="auto"/>
          <w:highlight w:val="none"/>
        </w:rPr>
        <w:fldChar w:fldCharType="begin"/>
      </w:r>
      <w:r>
        <w:rPr>
          <w:color w:val="auto"/>
          <w:highlight w:val="none"/>
        </w:rPr>
        <w:instrText xml:space="preserve"> HYPERLINK \l "_Toc6789" </w:instrText>
      </w:r>
      <w:r>
        <w:rPr>
          <w:color w:val="auto"/>
          <w:highlight w:val="none"/>
        </w:rPr>
        <w:fldChar w:fldCharType="separate"/>
      </w:r>
      <w:r>
        <w:rPr>
          <w:rFonts w:hint="eastAsia" w:cs="宋体"/>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_Toc6789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26"/>
        <w:tabs>
          <w:tab w:val="right" w:leader="dot" w:pos="9412"/>
          <w:tab w:val="clear" w:pos="8820"/>
        </w:tabs>
        <w:ind w:firstLine="30"/>
        <w:rPr>
          <w:color w:val="auto"/>
          <w:highlight w:val="none"/>
        </w:rPr>
      </w:pPr>
      <w:r>
        <w:rPr>
          <w:color w:val="auto"/>
          <w:highlight w:val="none"/>
        </w:rPr>
        <w:fldChar w:fldCharType="begin"/>
      </w:r>
      <w:r>
        <w:rPr>
          <w:color w:val="auto"/>
          <w:highlight w:val="none"/>
        </w:rPr>
        <w:instrText xml:space="preserve"> HYPERLINK \l "_Toc8257" </w:instrText>
      </w:r>
      <w:r>
        <w:rPr>
          <w:color w:val="auto"/>
          <w:highlight w:val="none"/>
        </w:rPr>
        <w:fldChar w:fldCharType="separate"/>
      </w:r>
      <w:r>
        <w:rPr>
          <w:rFonts w:hint="eastAsia" w:cs="宋体"/>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_Toc8257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6"/>
        <w:tabs>
          <w:tab w:val="right" w:leader="dot" w:pos="9412"/>
          <w:tab w:val="clear" w:pos="8820"/>
        </w:tabs>
        <w:ind w:firstLine="30"/>
        <w:rPr>
          <w:color w:val="auto"/>
          <w:highlight w:val="none"/>
        </w:rPr>
      </w:pPr>
      <w:r>
        <w:rPr>
          <w:color w:val="auto"/>
          <w:highlight w:val="none"/>
        </w:rPr>
        <w:fldChar w:fldCharType="begin"/>
      </w:r>
      <w:r>
        <w:rPr>
          <w:color w:val="auto"/>
          <w:highlight w:val="none"/>
        </w:rPr>
        <w:instrText xml:space="preserve"> HYPERLINK \l "_Toc5877" </w:instrText>
      </w:r>
      <w:r>
        <w:rPr>
          <w:color w:val="auto"/>
          <w:highlight w:val="none"/>
        </w:rPr>
        <w:fldChar w:fldCharType="separate"/>
      </w:r>
      <w:r>
        <w:rPr>
          <w:rFonts w:hint="eastAsia" w:cs="宋体"/>
          <w:color w:val="auto"/>
          <w:highlight w:val="none"/>
        </w:rPr>
        <w:t>四、投标文件的递交</w:t>
      </w:r>
      <w:r>
        <w:rPr>
          <w:color w:val="auto"/>
          <w:highlight w:val="none"/>
        </w:rPr>
        <w:tab/>
      </w:r>
      <w:r>
        <w:rPr>
          <w:color w:val="auto"/>
          <w:highlight w:val="none"/>
        </w:rPr>
        <w:fldChar w:fldCharType="begin"/>
      </w:r>
      <w:r>
        <w:rPr>
          <w:color w:val="auto"/>
          <w:highlight w:val="none"/>
        </w:rPr>
        <w:instrText xml:space="preserve"> PAGEREF _Toc5877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26"/>
        <w:tabs>
          <w:tab w:val="right" w:leader="dot" w:pos="9412"/>
          <w:tab w:val="clear" w:pos="8820"/>
        </w:tabs>
        <w:ind w:firstLine="30"/>
        <w:rPr>
          <w:color w:val="auto"/>
          <w:highlight w:val="none"/>
        </w:rPr>
      </w:pPr>
      <w:r>
        <w:rPr>
          <w:color w:val="auto"/>
          <w:highlight w:val="none"/>
        </w:rPr>
        <w:fldChar w:fldCharType="begin"/>
      </w:r>
      <w:r>
        <w:rPr>
          <w:color w:val="auto"/>
          <w:highlight w:val="none"/>
        </w:rPr>
        <w:instrText xml:space="preserve"> HYPERLINK \l "_Toc25813" </w:instrText>
      </w:r>
      <w:r>
        <w:rPr>
          <w:color w:val="auto"/>
          <w:highlight w:val="none"/>
        </w:rPr>
        <w:fldChar w:fldCharType="separate"/>
      </w:r>
      <w:r>
        <w:rPr>
          <w:rFonts w:hint="eastAsia" w:cs="宋体"/>
          <w:color w:val="auto"/>
          <w:highlight w:val="none"/>
        </w:rPr>
        <w:t>五、开标、评标</w:t>
      </w:r>
      <w:r>
        <w:rPr>
          <w:color w:val="auto"/>
          <w:highlight w:val="none"/>
        </w:rPr>
        <w:tab/>
      </w:r>
      <w:r>
        <w:rPr>
          <w:color w:val="auto"/>
          <w:highlight w:val="none"/>
        </w:rPr>
        <w:fldChar w:fldCharType="begin"/>
      </w:r>
      <w:r>
        <w:rPr>
          <w:color w:val="auto"/>
          <w:highlight w:val="none"/>
        </w:rPr>
        <w:instrText xml:space="preserve"> PAGEREF _Toc25813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26"/>
        <w:tabs>
          <w:tab w:val="right" w:leader="dot" w:pos="9412"/>
          <w:tab w:val="clear" w:pos="8820"/>
        </w:tabs>
        <w:ind w:firstLine="30"/>
        <w:rPr>
          <w:color w:val="auto"/>
          <w:highlight w:val="none"/>
        </w:rPr>
      </w:pPr>
      <w:r>
        <w:rPr>
          <w:color w:val="auto"/>
          <w:highlight w:val="none"/>
        </w:rPr>
        <w:fldChar w:fldCharType="begin"/>
      </w:r>
      <w:r>
        <w:rPr>
          <w:color w:val="auto"/>
          <w:highlight w:val="none"/>
        </w:rPr>
        <w:instrText xml:space="preserve"> HYPERLINK \l "_Toc18481" </w:instrText>
      </w:r>
      <w:r>
        <w:rPr>
          <w:color w:val="auto"/>
          <w:highlight w:val="none"/>
        </w:rPr>
        <w:fldChar w:fldCharType="separate"/>
      </w:r>
      <w:r>
        <w:rPr>
          <w:rFonts w:hint="eastAsia" w:cs="宋体"/>
          <w:color w:val="auto"/>
          <w:highlight w:val="none"/>
        </w:rPr>
        <w:t>六、结果公示</w:t>
      </w:r>
      <w:r>
        <w:rPr>
          <w:color w:val="auto"/>
          <w:highlight w:val="none"/>
        </w:rPr>
        <w:tab/>
      </w:r>
      <w:r>
        <w:rPr>
          <w:color w:val="auto"/>
          <w:highlight w:val="none"/>
        </w:rPr>
        <w:fldChar w:fldCharType="begin"/>
      </w:r>
      <w:r>
        <w:rPr>
          <w:color w:val="auto"/>
          <w:highlight w:val="none"/>
        </w:rPr>
        <w:instrText xml:space="preserve"> PAGEREF _Toc18481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26"/>
        <w:tabs>
          <w:tab w:val="right" w:leader="dot" w:pos="9412"/>
          <w:tab w:val="clear" w:pos="8820"/>
        </w:tabs>
        <w:ind w:firstLine="30"/>
        <w:rPr>
          <w:color w:val="auto"/>
          <w:highlight w:val="none"/>
        </w:rPr>
      </w:pPr>
      <w:r>
        <w:rPr>
          <w:color w:val="auto"/>
          <w:highlight w:val="none"/>
        </w:rPr>
        <w:fldChar w:fldCharType="begin"/>
      </w:r>
      <w:r>
        <w:rPr>
          <w:color w:val="auto"/>
          <w:highlight w:val="none"/>
        </w:rPr>
        <w:instrText xml:space="preserve"> HYPERLINK \l "_Toc20057" </w:instrText>
      </w:r>
      <w:r>
        <w:rPr>
          <w:color w:val="auto"/>
          <w:highlight w:val="none"/>
        </w:rPr>
        <w:fldChar w:fldCharType="separate"/>
      </w:r>
      <w:r>
        <w:rPr>
          <w:rFonts w:hint="eastAsia" w:cs="宋体"/>
          <w:color w:val="auto"/>
          <w:highlight w:val="none"/>
        </w:rPr>
        <w:t>七、签订合同</w:t>
      </w:r>
      <w:r>
        <w:rPr>
          <w:color w:val="auto"/>
          <w:highlight w:val="none"/>
        </w:rPr>
        <w:tab/>
      </w:r>
      <w:r>
        <w:rPr>
          <w:color w:val="auto"/>
          <w:highlight w:val="none"/>
        </w:rPr>
        <w:fldChar w:fldCharType="begin"/>
      </w:r>
      <w:r>
        <w:rPr>
          <w:color w:val="auto"/>
          <w:highlight w:val="none"/>
        </w:rPr>
        <w:instrText xml:space="preserve"> PAGEREF _Toc20057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26"/>
        <w:tabs>
          <w:tab w:val="right" w:leader="dot" w:pos="9412"/>
          <w:tab w:val="clear" w:pos="8820"/>
        </w:tabs>
        <w:ind w:firstLine="30"/>
        <w:rPr>
          <w:color w:val="auto"/>
          <w:highlight w:val="none"/>
        </w:rPr>
      </w:pPr>
      <w:r>
        <w:rPr>
          <w:color w:val="auto"/>
          <w:highlight w:val="none"/>
        </w:rPr>
        <w:fldChar w:fldCharType="begin"/>
      </w:r>
      <w:r>
        <w:rPr>
          <w:color w:val="auto"/>
          <w:highlight w:val="none"/>
        </w:rPr>
        <w:instrText xml:space="preserve"> HYPERLINK \l "_Toc9628" </w:instrText>
      </w:r>
      <w:r>
        <w:rPr>
          <w:color w:val="auto"/>
          <w:highlight w:val="none"/>
        </w:rPr>
        <w:fldChar w:fldCharType="separate"/>
      </w:r>
      <w:r>
        <w:rPr>
          <w:rFonts w:hint="eastAsia" w:cs="宋体"/>
          <w:color w:val="auto"/>
          <w:highlight w:val="none"/>
        </w:rPr>
        <w:t>八、其他事项</w:t>
      </w:r>
      <w:r>
        <w:rPr>
          <w:color w:val="auto"/>
          <w:highlight w:val="none"/>
        </w:rPr>
        <w:tab/>
      </w:r>
      <w:r>
        <w:rPr>
          <w:color w:val="auto"/>
          <w:highlight w:val="none"/>
        </w:rPr>
        <w:fldChar w:fldCharType="begin"/>
      </w:r>
      <w:r>
        <w:rPr>
          <w:color w:val="auto"/>
          <w:highlight w:val="none"/>
        </w:rPr>
        <w:instrText xml:space="preserve"> PAGEREF _Toc9628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26"/>
        <w:tabs>
          <w:tab w:val="right" w:leader="dot" w:pos="9412"/>
          <w:tab w:val="clear" w:pos="8820"/>
        </w:tabs>
        <w:ind w:firstLine="30"/>
        <w:rPr>
          <w:color w:val="auto"/>
          <w:highlight w:val="none"/>
        </w:rPr>
      </w:pPr>
      <w:r>
        <w:rPr>
          <w:color w:val="auto"/>
          <w:highlight w:val="none"/>
        </w:rPr>
        <w:fldChar w:fldCharType="begin"/>
      </w:r>
      <w:r>
        <w:rPr>
          <w:color w:val="auto"/>
          <w:highlight w:val="none"/>
        </w:rPr>
        <w:instrText xml:space="preserve"> HYPERLINK \l "_Toc13134" </w:instrText>
      </w:r>
      <w:r>
        <w:rPr>
          <w:color w:val="auto"/>
          <w:highlight w:val="none"/>
        </w:rPr>
        <w:fldChar w:fldCharType="separate"/>
      </w:r>
      <w:r>
        <w:rPr>
          <w:rFonts w:hint="eastAsia" w:cs="宋体"/>
          <w:color w:val="auto"/>
          <w:highlight w:val="none"/>
        </w:rPr>
        <w:t>第四章  评标方法</w:t>
      </w:r>
      <w:r>
        <w:rPr>
          <w:color w:val="auto"/>
          <w:highlight w:val="none"/>
        </w:rPr>
        <w:tab/>
      </w:r>
      <w:r>
        <w:rPr>
          <w:color w:val="auto"/>
          <w:highlight w:val="none"/>
        </w:rPr>
        <w:fldChar w:fldCharType="begin"/>
      </w:r>
      <w:r>
        <w:rPr>
          <w:color w:val="auto"/>
          <w:highlight w:val="none"/>
        </w:rPr>
        <w:instrText xml:space="preserve"> PAGEREF _Toc13134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26"/>
        <w:tabs>
          <w:tab w:val="right" w:leader="dot" w:pos="9412"/>
          <w:tab w:val="clear" w:pos="8820"/>
        </w:tabs>
        <w:ind w:firstLine="30"/>
        <w:rPr>
          <w:color w:val="auto"/>
          <w:highlight w:val="none"/>
        </w:rPr>
      </w:pPr>
      <w:r>
        <w:rPr>
          <w:color w:val="auto"/>
          <w:highlight w:val="none"/>
        </w:rPr>
        <w:fldChar w:fldCharType="begin"/>
      </w:r>
      <w:r>
        <w:rPr>
          <w:color w:val="auto"/>
          <w:highlight w:val="none"/>
        </w:rPr>
        <w:instrText xml:space="preserve"> HYPERLINK \l "_Toc7607" </w:instrText>
      </w:r>
      <w:r>
        <w:rPr>
          <w:color w:val="auto"/>
          <w:highlight w:val="none"/>
        </w:rPr>
        <w:fldChar w:fldCharType="separate"/>
      </w:r>
      <w:r>
        <w:rPr>
          <w:rFonts w:hint="eastAsia" w:cs="宋体"/>
          <w:color w:val="auto"/>
          <w:highlight w:val="none"/>
        </w:rPr>
        <w:t>第五章  政府采购合同（格式）</w:t>
      </w:r>
      <w:r>
        <w:rPr>
          <w:color w:val="auto"/>
          <w:highlight w:val="none"/>
        </w:rPr>
        <w:tab/>
      </w:r>
      <w:r>
        <w:rPr>
          <w:color w:val="auto"/>
          <w:highlight w:val="none"/>
        </w:rPr>
        <w:fldChar w:fldCharType="begin"/>
      </w:r>
      <w:r>
        <w:rPr>
          <w:color w:val="auto"/>
          <w:highlight w:val="none"/>
        </w:rPr>
        <w:instrText xml:space="preserve"> PAGEREF _Toc7607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26"/>
        <w:tabs>
          <w:tab w:val="right" w:leader="dot" w:pos="9412"/>
          <w:tab w:val="clear" w:pos="8820"/>
        </w:tabs>
        <w:ind w:firstLine="30"/>
        <w:rPr>
          <w:color w:val="auto"/>
          <w:highlight w:val="none"/>
        </w:rPr>
      </w:pPr>
      <w:r>
        <w:rPr>
          <w:color w:val="auto"/>
          <w:highlight w:val="none"/>
        </w:rPr>
        <w:fldChar w:fldCharType="begin"/>
      </w:r>
      <w:r>
        <w:rPr>
          <w:color w:val="auto"/>
          <w:highlight w:val="none"/>
        </w:rPr>
        <w:instrText xml:space="preserve"> HYPERLINK \l "_Toc6352" </w:instrText>
      </w:r>
      <w:r>
        <w:rPr>
          <w:color w:val="auto"/>
          <w:highlight w:val="none"/>
        </w:rPr>
        <w:fldChar w:fldCharType="separate"/>
      </w:r>
      <w:r>
        <w:rPr>
          <w:rFonts w:hint="eastAsia" w:cs="宋体"/>
          <w:color w:val="auto"/>
          <w:szCs w:val="32"/>
          <w:highlight w:val="none"/>
        </w:rPr>
        <w:t>合同主要条款格式</w:t>
      </w:r>
      <w:r>
        <w:rPr>
          <w:color w:val="auto"/>
          <w:highlight w:val="none"/>
        </w:rPr>
        <w:tab/>
      </w:r>
      <w:r>
        <w:rPr>
          <w:color w:val="auto"/>
          <w:highlight w:val="none"/>
        </w:rPr>
        <w:fldChar w:fldCharType="begin"/>
      </w:r>
      <w:r>
        <w:rPr>
          <w:color w:val="auto"/>
          <w:highlight w:val="none"/>
        </w:rPr>
        <w:instrText xml:space="preserve"> PAGEREF _Toc6352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26"/>
        <w:tabs>
          <w:tab w:val="right" w:leader="dot" w:pos="9412"/>
          <w:tab w:val="clear" w:pos="8820"/>
        </w:tabs>
        <w:ind w:firstLine="30"/>
        <w:rPr>
          <w:color w:val="auto"/>
          <w:highlight w:val="none"/>
        </w:rPr>
      </w:pPr>
      <w:r>
        <w:rPr>
          <w:color w:val="auto"/>
          <w:highlight w:val="none"/>
        </w:rPr>
        <w:fldChar w:fldCharType="begin"/>
      </w:r>
      <w:r>
        <w:rPr>
          <w:color w:val="auto"/>
          <w:highlight w:val="none"/>
        </w:rPr>
        <w:instrText xml:space="preserve"> HYPERLINK \l "_Toc2823" </w:instrText>
      </w:r>
      <w:r>
        <w:rPr>
          <w:color w:val="auto"/>
          <w:highlight w:val="none"/>
        </w:rPr>
        <w:fldChar w:fldCharType="separate"/>
      </w:r>
      <w:r>
        <w:rPr>
          <w:rFonts w:hint="eastAsia"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_Toc2823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26"/>
        <w:tabs>
          <w:tab w:val="right" w:leader="dot" w:pos="9412"/>
          <w:tab w:val="clear" w:pos="8820"/>
        </w:tabs>
        <w:ind w:firstLine="30"/>
        <w:rPr>
          <w:color w:val="auto"/>
          <w:highlight w:val="none"/>
        </w:rPr>
      </w:pPr>
      <w:r>
        <w:rPr>
          <w:color w:val="auto"/>
          <w:highlight w:val="none"/>
        </w:rPr>
        <w:fldChar w:fldCharType="begin"/>
      </w:r>
      <w:r>
        <w:rPr>
          <w:color w:val="auto"/>
          <w:highlight w:val="none"/>
        </w:rPr>
        <w:instrText xml:space="preserve"> HYPERLINK \l "_Toc3074" </w:instrText>
      </w:r>
      <w:r>
        <w:rPr>
          <w:color w:val="auto"/>
          <w:highlight w:val="none"/>
        </w:rPr>
        <w:fldChar w:fldCharType="separate"/>
      </w:r>
      <w:r>
        <w:rPr>
          <w:rFonts w:hint="eastAsia" w:cs="宋体"/>
          <w:color w:val="auto"/>
          <w:highlight w:val="none"/>
        </w:rPr>
        <w:t>第七章  附件</w:t>
      </w:r>
      <w:r>
        <w:rPr>
          <w:color w:val="auto"/>
          <w:highlight w:val="none"/>
        </w:rPr>
        <w:tab/>
      </w:r>
      <w:r>
        <w:rPr>
          <w:color w:val="auto"/>
          <w:highlight w:val="none"/>
        </w:rPr>
        <w:fldChar w:fldCharType="begin"/>
      </w:r>
      <w:r>
        <w:rPr>
          <w:color w:val="auto"/>
          <w:highlight w:val="none"/>
        </w:rPr>
        <w:instrText xml:space="preserve"> PAGEREF _Toc3074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pPr>
        <w:pStyle w:val="26"/>
        <w:tabs>
          <w:tab w:val="right" w:leader="hyphen" w:pos="8280"/>
          <w:tab w:val="clear" w:pos="8820"/>
        </w:tabs>
        <w:spacing w:line="360" w:lineRule="auto"/>
        <w:ind w:left="1079" w:leftChars="514" w:right="0" w:firstLine="0" w:firstLineChars="0"/>
        <w:rPr>
          <w:rStyle w:val="47"/>
          <w:rFonts w:cs="宋体"/>
          <w:color w:val="auto"/>
          <w:sz w:val="36"/>
          <w:szCs w:val="36"/>
          <w:highlight w:val="none"/>
        </w:rPr>
      </w:pPr>
      <w:r>
        <w:rPr>
          <w:rFonts w:hint="eastAsia" w:cs="宋体"/>
          <w:color w:val="auto"/>
          <w:szCs w:val="30"/>
          <w:highlight w:val="none"/>
        </w:rPr>
        <w:fldChar w:fldCharType="end"/>
      </w:r>
    </w:p>
    <w:p>
      <w:pPr>
        <w:rPr>
          <w:rFonts w:ascii="宋体" w:hAnsi="宋体" w:cs="宋体"/>
          <w:color w:val="000000" w:themeColor="text1"/>
          <w:highlight w:val="none"/>
          <w14:textFill>
            <w14:solidFill>
              <w14:schemeClr w14:val="tx1"/>
            </w14:solidFill>
          </w14:textFill>
        </w:rPr>
      </w:pPr>
    </w:p>
    <w:p>
      <w:pPr>
        <w:pStyle w:val="3"/>
        <w:spacing w:line="560" w:lineRule="exact"/>
        <w:jc w:val="center"/>
        <w:rPr>
          <w:rFonts w:ascii="宋体" w:hAnsi="宋体" w:cs="宋体"/>
          <w:bCs/>
          <w:color w:val="000000" w:themeColor="text1"/>
          <w:sz w:val="44"/>
          <w:highlight w:val="none"/>
          <w14:textFill>
            <w14:solidFill>
              <w14:schemeClr w14:val="tx1"/>
            </w14:solidFill>
          </w14:textFill>
        </w:rPr>
        <w:sectPr>
          <w:footerReference r:id="rId10" w:type="first"/>
          <w:footerReference r:id="rId9" w:type="default"/>
          <w:pgSz w:w="11906" w:h="16838"/>
          <w:pgMar w:top="1247" w:right="1247" w:bottom="1418" w:left="1247" w:header="680" w:footer="851" w:gutter="0"/>
          <w:pgNumType w:start="1"/>
          <w:cols w:space="720" w:num="1"/>
          <w:docGrid w:type="lines" w:linePitch="331" w:charSpace="0"/>
        </w:sectPr>
      </w:pPr>
      <w:bookmarkStart w:id="0" w:name="_Toc156106928"/>
      <w:bookmarkStart w:id="1" w:name="_Toc200308925"/>
      <w:bookmarkStart w:id="2" w:name="_Toc405942971"/>
      <w:bookmarkStart w:id="3" w:name="_Toc185702967"/>
      <w:bookmarkStart w:id="4" w:name="_Toc230929093"/>
      <w:bookmarkStart w:id="5" w:name="_Toc200268323"/>
      <w:bookmarkStart w:id="6" w:name="_Toc147248395"/>
      <w:bookmarkStart w:id="7" w:name="_Toc469842065"/>
      <w:bookmarkStart w:id="8" w:name="_Toc185702545"/>
      <w:bookmarkStart w:id="9" w:name="_Toc469874160"/>
      <w:bookmarkStart w:id="10" w:name="_Toc230949332"/>
      <w:bookmarkStart w:id="11" w:name="_Toc199780445"/>
      <w:bookmarkStart w:id="12" w:name="_Toc395066513"/>
    </w:p>
    <w:p>
      <w:pPr>
        <w:pStyle w:val="3"/>
        <w:spacing w:line="560" w:lineRule="exact"/>
        <w:jc w:val="center"/>
        <w:rPr>
          <w:rFonts w:ascii="宋体" w:hAnsi="宋体" w:cs="宋体"/>
          <w:bCs/>
          <w:color w:val="000000" w:themeColor="text1"/>
          <w:sz w:val="44"/>
          <w:highlight w:val="none"/>
          <w14:textFill>
            <w14:solidFill>
              <w14:schemeClr w14:val="tx1"/>
            </w14:solidFill>
          </w14:textFill>
        </w:rPr>
      </w:pPr>
      <w:bookmarkStart w:id="13" w:name="_Toc15692"/>
      <w:r>
        <w:rPr>
          <w:rFonts w:hint="eastAsia" w:ascii="宋体" w:hAnsi="宋体" w:cs="宋体"/>
          <w:bCs/>
          <w:color w:val="000000" w:themeColor="text1"/>
          <w:sz w:val="44"/>
          <w:highlight w:val="none"/>
          <w14:textFill>
            <w14:solidFill>
              <w14:schemeClr w14:val="tx1"/>
            </w14:solidFill>
          </w14:textFill>
        </w:rPr>
        <w:t>第一章  招标公告</w:t>
      </w:r>
      <w:bookmarkEnd w:id="0"/>
      <w:bookmarkEnd w:id="1"/>
      <w:bookmarkEnd w:id="2"/>
      <w:bookmarkEnd w:id="3"/>
      <w:bookmarkEnd w:id="4"/>
      <w:bookmarkEnd w:id="5"/>
      <w:bookmarkEnd w:id="6"/>
      <w:bookmarkEnd w:id="7"/>
      <w:bookmarkEnd w:id="8"/>
      <w:bookmarkEnd w:id="9"/>
      <w:bookmarkEnd w:id="10"/>
      <w:bookmarkEnd w:id="11"/>
      <w:bookmarkEnd w:id="12"/>
      <w:bookmarkEnd w:id="13"/>
    </w:p>
    <w:p>
      <w:pPr>
        <w:pStyle w:val="20"/>
        <w:spacing w:line="240" w:lineRule="exact"/>
        <w:rPr>
          <w:rFonts w:hAnsi="宋体" w:cs="宋体"/>
          <w:b/>
          <w:color w:val="000000" w:themeColor="text1"/>
          <w:sz w:val="32"/>
          <w:szCs w:val="32"/>
          <w:highlight w:val="none"/>
          <w14:textFill>
            <w14:solidFill>
              <w14:schemeClr w14:val="tx1"/>
            </w14:solidFill>
          </w14:textFill>
        </w:rPr>
      </w:pPr>
    </w:p>
    <w:p>
      <w:pPr>
        <w:pStyle w:val="20"/>
        <w:spacing w:line="360" w:lineRule="exact"/>
        <w:outlineLvl w:val="1"/>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 xml:space="preserve">     网络多媒体教室设备（WXZC2020-G1-00075-ZLZB）招标公告</w:t>
      </w:r>
    </w:p>
    <w:p>
      <w:pPr>
        <w:pStyle w:val="20"/>
        <w:spacing w:line="350" w:lineRule="exact"/>
        <w:ind w:firstLine="525"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受采购人梧州市万秀区教育局委托，根据《中华人民共和国政府采购法》、《政府采购货物和服务招标投标管理办法》等有关规定，广西众联工程项目管理有限公司拟对网络多媒体教室设备</w:t>
      </w:r>
      <w:r>
        <w:rPr>
          <w:rFonts w:hint="eastAsia" w:hAnsi="宋体" w:cs="宋体"/>
          <w:color w:val="000000" w:themeColor="text1"/>
          <w:szCs w:val="24"/>
          <w:highlight w:val="none"/>
          <w:lang w:eastAsia="zh-CN"/>
          <w14:textFill>
            <w14:solidFill>
              <w14:schemeClr w14:val="tx1"/>
            </w14:solidFill>
          </w14:textFill>
        </w:rPr>
        <w:t>采购</w:t>
      </w:r>
      <w:r>
        <w:rPr>
          <w:rFonts w:hint="eastAsia" w:hAnsi="宋体" w:cs="宋体"/>
          <w:color w:val="000000" w:themeColor="text1"/>
          <w:szCs w:val="24"/>
          <w:highlight w:val="none"/>
          <w14:textFill>
            <w14:solidFill>
              <w14:schemeClr w14:val="tx1"/>
            </w14:solidFill>
          </w14:textFill>
        </w:rPr>
        <w:t>项目进行公开招标，诚邀符合资格要求的单位参加投标，现将有关事项公告如下：</w:t>
      </w:r>
    </w:p>
    <w:p>
      <w:pPr>
        <w:pStyle w:val="20"/>
        <w:spacing w:before="66" w:beforeLines="20" w:line="350" w:lineRule="exact"/>
        <w:ind w:firstLine="316" w:firstLineChars="150"/>
        <w:outlineLvl w:val="1"/>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一、采购项目</w:t>
      </w:r>
      <w:r>
        <w:rPr>
          <w:rFonts w:hint="eastAsia" w:hAnsi="宋体" w:cs="宋体"/>
          <w:b/>
          <w:bCs/>
          <w:color w:val="000000" w:themeColor="text1"/>
          <w:szCs w:val="21"/>
          <w:highlight w:val="none"/>
          <w14:textFill>
            <w14:solidFill>
              <w14:schemeClr w14:val="tx1"/>
            </w14:solidFill>
          </w14:textFill>
        </w:rPr>
        <w:t>及内容</w:t>
      </w:r>
    </w:p>
    <w:p>
      <w:pPr>
        <w:spacing w:line="350" w:lineRule="exact"/>
        <w:ind w:left="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hAnsi="宋体" w:cs="宋体"/>
          <w:color w:val="000000" w:themeColor="text1"/>
          <w:szCs w:val="21"/>
          <w:highlight w:val="none"/>
          <w14:textFill>
            <w14:solidFill>
              <w14:schemeClr w14:val="tx1"/>
            </w14:solidFill>
          </w14:textFill>
        </w:rPr>
        <w:t>项目编号：WXZC2020-G1-00075-ZLZB</w:t>
      </w:r>
      <w:r>
        <w:rPr>
          <w:rFonts w:hint="eastAsia" w:ascii="宋体" w:hAnsi="宋体" w:cs="宋体"/>
          <w:color w:val="000000" w:themeColor="text1"/>
          <w:szCs w:val="21"/>
          <w:highlight w:val="none"/>
          <w14:textFill>
            <w14:solidFill>
              <w14:schemeClr w14:val="tx1"/>
            </w14:solidFill>
          </w14:textFill>
        </w:rPr>
        <w:t>（采购计划文号：WXZC2020-G1-00075-001）</w:t>
      </w:r>
    </w:p>
    <w:p>
      <w:pPr>
        <w:pStyle w:val="20"/>
        <w:spacing w:line="35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2．项目名称：网络多媒体教室设备</w:t>
      </w:r>
    </w:p>
    <w:p>
      <w:pPr>
        <w:pStyle w:val="20"/>
        <w:spacing w:line="35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3.预算金额：伍佰叁拾肆万元整</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￥5,340,000.00</w:t>
      </w:r>
      <w:r>
        <w:rPr>
          <w:rFonts w:hAnsi="宋体"/>
          <w:color w:val="000000" w:themeColor="text1"/>
          <w:highlight w:val="none"/>
          <w14:textFill>
            <w14:solidFill>
              <w14:schemeClr w14:val="tx1"/>
            </w14:solidFill>
          </w14:textFill>
        </w:rPr>
        <w:t>）</w:t>
      </w:r>
    </w:p>
    <w:p>
      <w:pPr>
        <w:pStyle w:val="20"/>
        <w:spacing w:line="35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4.最高限价：不设定</w:t>
      </w:r>
    </w:p>
    <w:p>
      <w:pPr>
        <w:pStyle w:val="20"/>
        <w:spacing w:line="35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5．采购项目的名称、数量、简要规格描述或项目基本概况介绍：</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4577"/>
        <w:gridCol w:w="1455"/>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序号</w:t>
            </w:r>
          </w:p>
        </w:tc>
        <w:tc>
          <w:tcPr>
            <w:tcW w:w="4577"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货物名称</w:t>
            </w:r>
          </w:p>
        </w:tc>
        <w:tc>
          <w:tcPr>
            <w:tcW w:w="1455"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单位</w:t>
            </w:r>
          </w:p>
        </w:tc>
        <w:tc>
          <w:tcPr>
            <w:tcW w:w="1456"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w:t>
            </w:r>
          </w:p>
        </w:tc>
        <w:tc>
          <w:tcPr>
            <w:tcW w:w="4577"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交互智能平板</w:t>
            </w:r>
          </w:p>
        </w:tc>
        <w:tc>
          <w:tcPr>
            <w:tcW w:w="1455"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台</w:t>
            </w:r>
          </w:p>
        </w:tc>
        <w:tc>
          <w:tcPr>
            <w:tcW w:w="1456"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p>
        </w:tc>
        <w:tc>
          <w:tcPr>
            <w:tcW w:w="4577"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多媒体设备集中管理控制系统</w:t>
            </w:r>
          </w:p>
        </w:tc>
        <w:tc>
          <w:tcPr>
            <w:tcW w:w="1455"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套</w:t>
            </w:r>
          </w:p>
        </w:tc>
        <w:tc>
          <w:tcPr>
            <w:tcW w:w="1456"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w:t>
            </w:r>
          </w:p>
        </w:tc>
        <w:tc>
          <w:tcPr>
            <w:tcW w:w="4577" w:type="dxa"/>
            <w:vAlign w:val="center"/>
          </w:tcPr>
          <w:p>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智能翻页笔</w:t>
            </w:r>
          </w:p>
        </w:tc>
        <w:tc>
          <w:tcPr>
            <w:tcW w:w="1455"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支</w:t>
            </w:r>
          </w:p>
        </w:tc>
        <w:tc>
          <w:tcPr>
            <w:tcW w:w="1456"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w:t>
            </w:r>
          </w:p>
        </w:tc>
        <w:tc>
          <w:tcPr>
            <w:tcW w:w="4577" w:type="dxa"/>
            <w:vAlign w:val="center"/>
          </w:tcPr>
          <w:p>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壁挂式展台</w:t>
            </w:r>
          </w:p>
        </w:tc>
        <w:tc>
          <w:tcPr>
            <w:tcW w:w="1455"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台</w:t>
            </w:r>
          </w:p>
        </w:tc>
        <w:tc>
          <w:tcPr>
            <w:tcW w:w="1456"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w:t>
            </w:r>
          </w:p>
        </w:tc>
        <w:tc>
          <w:tcPr>
            <w:tcW w:w="4577" w:type="dxa"/>
            <w:vAlign w:val="center"/>
          </w:tcPr>
          <w:p>
            <w:pPr>
              <w:widowControl/>
              <w:jc w:val="center"/>
              <w:textAlignment w:val="center"/>
              <w:rPr>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推拉黑板</w:t>
            </w:r>
          </w:p>
        </w:tc>
        <w:tc>
          <w:tcPr>
            <w:tcW w:w="1455" w:type="dxa"/>
            <w:vAlign w:val="center"/>
          </w:tcPr>
          <w:p>
            <w:pPr>
              <w:widowControl/>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套</w:t>
            </w:r>
          </w:p>
        </w:tc>
        <w:tc>
          <w:tcPr>
            <w:tcW w:w="1456"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w:t>
            </w:r>
          </w:p>
        </w:tc>
        <w:tc>
          <w:tcPr>
            <w:tcW w:w="4577" w:type="dxa"/>
            <w:vAlign w:val="center"/>
          </w:tcPr>
          <w:p>
            <w:pPr>
              <w:widowControl/>
              <w:jc w:val="center"/>
              <w:textAlignment w:val="center"/>
              <w:rPr>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讲桌</w:t>
            </w:r>
          </w:p>
        </w:tc>
        <w:tc>
          <w:tcPr>
            <w:tcW w:w="1455" w:type="dxa"/>
            <w:vAlign w:val="center"/>
          </w:tcPr>
          <w:p>
            <w:pPr>
              <w:widowControl/>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张</w:t>
            </w:r>
          </w:p>
        </w:tc>
        <w:tc>
          <w:tcPr>
            <w:tcW w:w="1456"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w:t>
            </w:r>
          </w:p>
        </w:tc>
        <w:tc>
          <w:tcPr>
            <w:tcW w:w="4577" w:type="dxa"/>
            <w:vAlign w:val="center"/>
          </w:tcPr>
          <w:p>
            <w:pPr>
              <w:widowControl/>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音箱</w:t>
            </w:r>
          </w:p>
        </w:tc>
        <w:tc>
          <w:tcPr>
            <w:tcW w:w="1455" w:type="dxa"/>
            <w:vAlign w:val="center"/>
          </w:tcPr>
          <w:p>
            <w:pPr>
              <w:widowControl/>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套</w:t>
            </w:r>
          </w:p>
        </w:tc>
        <w:tc>
          <w:tcPr>
            <w:tcW w:w="1456" w:type="dxa"/>
            <w:vAlign w:val="center"/>
          </w:tcPr>
          <w:p>
            <w:pPr>
              <w:widowControl/>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w:t>
            </w:r>
          </w:p>
        </w:tc>
        <w:tc>
          <w:tcPr>
            <w:tcW w:w="4577" w:type="dxa"/>
            <w:vAlign w:val="center"/>
          </w:tcPr>
          <w:p>
            <w:pPr>
              <w:widowControl/>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麦克风</w:t>
            </w:r>
          </w:p>
        </w:tc>
        <w:tc>
          <w:tcPr>
            <w:tcW w:w="1455" w:type="dxa"/>
            <w:vAlign w:val="center"/>
          </w:tcPr>
          <w:p>
            <w:pPr>
              <w:widowControl/>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套</w:t>
            </w:r>
          </w:p>
        </w:tc>
        <w:tc>
          <w:tcPr>
            <w:tcW w:w="1456" w:type="dxa"/>
            <w:vAlign w:val="center"/>
          </w:tcPr>
          <w:p>
            <w:pPr>
              <w:widowControl/>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w:t>
            </w:r>
          </w:p>
        </w:tc>
        <w:tc>
          <w:tcPr>
            <w:tcW w:w="4577" w:type="dxa"/>
            <w:vAlign w:val="center"/>
          </w:tcPr>
          <w:p>
            <w:pPr>
              <w:widowControl/>
              <w:jc w:val="cente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超短焦激光投影机</w:t>
            </w:r>
          </w:p>
        </w:tc>
        <w:tc>
          <w:tcPr>
            <w:tcW w:w="1455" w:type="dxa"/>
            <w:vAlign w:val="center"/>
          </w:tcPr>
          <w:p>
            <w:pPr>
              <w:widowControl/>
              <w:jc w:val="cente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台</w:t>
            </w:r>
          </w:p>
        </w:tc>
        <w:tc>
          <w:tcPr>
            <w:tcW w:w="1456" w:type="dxa"/>
            <w:vAlign w:val="center"/>
          </w:tcPr>
          <w:p>
            <w:pPr>
              <w:widowControl/>
              <w:jc w:val="cente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w:t>
            </w:r>
          </w:p>
        </w:tc>
        <w:tc>
          <w:tcPr>
            <w:tcW w:w="4577" w:type="dxa"/>
            <w:vAlign w:val="center"/>
          </w:tcPr>
          <w:p>
            <w:pPr>
              <w:widowControl/>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线材辅材</w:t>
            </w:r>
          </w:p>
        </w:tc>
        <w:tc>
          <w:tcPr>
            <w:tcW w:w="1455" w:type="dxa"/>
            <w:vAlign w:val="center"/>
          </w:tcPr>
          <w:p>
            <w:pPr>
              <w:widowControl/>
              <w:jc w:val="center"/>
              <w:textAlignment w:val="center"/>
              <w:rPr>
                <w:rFonts w:hAnsi="宋体" w:cs="宋体"/>
                <w:color w:val="000000" w:themeColor="text1"/>
                <w:kern w:val="0"/>
                <w:szCs w:val="21"/>
                <w:highlight w:val="none"/>
                <w14:textFill>
                  <w14:solidFill>
                    <w14:schemeClr w14:val="tx1"/>
                  </w14:solidFill>
                </w14:textFill>
              </w:rPr>
            </w:pPr>
            <w:r>
              <w:rPr>
                <w:rFonts w:hint="eastAsia" w:hAnsi="宋体" w:cs="宋体"/>
                <w:kern w:val="0"/>
                <w:szCs w:val="21"/>
                <w:highlight w:val="none"/>
              </w:rPr>
              <w:t>项</w:t>
            </w:r>
          </w:p>
        </w:tc>
        <w:tc>
          <w:tcPr>
            <w:tcW w:w="1456" w:type="dxa"/>
            <w:vAlign w:val="center"/>
          </w:tcPr>
          <w:p>
            <w:pPr>
              <w:widowControl/>
              <w:jc w:val="center"/>
              <w:textAlignment w:val="center"/>
              <w:rPr>
                <w:rFonts w:hint="eastAsia"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w:t>
            </w:r>
          </w:p>
        </w:tc>
        <w:tc>
          <w:tcPr>
            <w:tcW w:w="4577" w:type="dxa"/>
            <w:vAlign w:val="center"/>
          </w:tcPr>
          <w:p>
            <w:pPr>
              <w:widowControl/>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安装调试</w:t>
            </w:r>
          </w:p>
        </w:tc>
        <w:tc>
          <w:tcPr>
            <w:tcW w:w="1455" w:type="dxa"/>
            <w:vAlign w:val="center"/>
          </w:tcPr>
          <w:p>
            <w:pPr>
              <w:widowControl/>
              <w:jc w:val="center"/>
              <w:textAlignment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项</w:t>
            </w:r>
          </w:p>
        </w:tc>
        <w:tc>
          <w:tcPr>
            <w:tcW w:w="1456" w:type="dxa"/>
            <w:vAlign w:val="center"/>
          </w:tcPr>
          <w:p>
            <w:pPr>
              <w:widowControl/>
              <w:jc w:val="center"/>
              <w:textAlignment w:val="center"/>
              <w:rPr>
                <w:rFonts w:hint="eastAsia"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1</w:t>
            </w:r>
          </w:p>
        </w:tc>
      </w:tr>
    </w:tbl>
    <w:p>
      <w:pPr>
        <w:pStyle w:val="20"/>
        <w:spacing w:before="66" w:beforeLines="20" w:line="32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如需进一步了解详细内容，详见招标文件。</w:t>
      </w:r>
    </w:p>
    <w:p>
      <w:pPr>
        <w:pStyle w:val="20"/>
        <w:numPr>
          <w:ilvl w:val="0"/>
          <w:numId w:val="3"/>
        </w:numPr>
        <w:spacing w:before="66" w:beforeLines="20" w:line="32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本项目不接受联合体投标。</w:t>
      </w:r>
    </w:p>
    <w:p>
      <w:pPr>
        <w:spacing w:line="350" w:lineRule="exact"/>
        <w:ind w:firstLine="420" w:firstLineChars="200"/>
        <w:rPr>
          <w:rFonts w:hint="eastAsia" w:ascii="宋体" w:hAnsi="宋体" w:cs="宋体"/>
          <w:b w:val="0"/>
          <w:color w:val="000000" w:themeColor="text1"/>
          <w:szCs w:val="24"/>
          <w:highlight w:val="none"/>
          <w14:textFill>
            <w14:solidFill>
              <w14:schemeClr w14:val="tx1"/>
            </w14:solidFill>
          </w14:textFill>
        </w:rPr>
      </w:pPr>
      <w:r>
        <w:rPr>
          <w:rFonts w:hint="eastAsia" w:ascii="宋体" w:hAnsi="宋体" w:cs="宋体"/>
          <w:b w:val="0"/>
          <w:color w:val="000000" w:themeColor="text1"/>
          <w:szCs w:val="24"/>
          <w:highlight w:val="none"/>
          <w:u w:val="none"/>
          <w14:textFill>
            <w14:solidFill>
              <w14:schemeClr w14:val="tx1"/>
            </w14:solidFill>
          </w14:textFill>
        </w:rPr>
        <w:t>二</w:t>
      </w:r>
      <w:r>
        <w:rPr>
          <w:rFonts w:hint="eastAsia" w:ascii="宋体" w:hAnsi="宋体" w:cs="宋体"/>
          <w:b w:val="0"/>
          <w:color w:val="000000" w:themeColor="text1"/>
          <w:szCs w:val="24"/>
          <w:highlight w:val="none"/>
          <w14:textFill>
            <w14:solidFill>
              <w14:schemeClr w14:val="tx1"/>
            </w14:solidFill>
          </w14:textFill>
        </w:rPr>
        <w:t>、合格的</w:t>
      </w:r>
      <w:r>
        <w:rPr>
          <w:rFonts w:hint="eastAsia" w:ascii="宋体" w:hAnsi="宋体" w:cs="宋体"/>
          <w:b w:val="0"/>
          <w:bCs w:val="0"/>
          <w:color w:val="000000" w:themeColor="text1"/>
          <w:szCs w:val="24"/>
          <w:highlight w:val="none"/>
          <w14:textFill>
            <w14:solidFill>
              <w14:schemeClr w14:val="tx1"/>
            </w14:solidFill>
          </w14:textFill>
        </w:rPr>
        <w:t>投标人资格及要求</w:t>
      </w:r>
    </w:p>
    <w:p>
      <w:pPr>
        <w:spacing w:line="35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1．基本资格条件：符合《中华人民共和国政府采购法》第二十二条规定的条件；</w:t>
      </w:r>
      <w:r>
        <w:rPr>
          <w:rFonts w:hint="eastAsia" w:ascii="宋体" w:hAnsi="宋体" w:cs="宋体"/>
          <w:bCs w:val="0"/>
          <w:color w:val="000000" w:themeColor="text1"/>
          <w:szCs w:val="24"/>
          <w:highlight w:val="none"/>
          <w14:textFill>
            <w14:solidFill>
              <w14:schemeClr w14:val="tx1"/>
            </w14:solidFill>
          </w14:textFill>
        </w:rPr>
        <w:t>在中华人民共和国境内注册的</w:t>
      </w:r>
      <w:r>
        <w:rPr>
          <w:rFonts w:hint="eastAsia" w:ascii="宋体" w:hAnsi="宋体" w:cs="宋体"/>
          <w:color w:val="000000" w:themeColor="text1"/>
          <w:highlight w:val="none"/>
          <w14:textFill>
            <w14:solidFill>
              <w14:schemeClr w14:val="tx1"/>
            </w14:solidFill>
          </w14:textFill>
        </w:rPr>
        <w:t>生产或经营本次采购货物及服务的供应商；2016年起未被列入失信被执行人、重大税收违法案件当事人名单、政府采购严重违法失信行为记录名单；</w:t>
      </w:r>
    </w:p>
    <w:p>
      <w:pPr>
        <w:spacing w:line="35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2.落实政府采购政策需满足的资格要求：节约能源、保护环境、扶持不发达地区和少数民族地区、促进中小企业发展、促进监狱企业发展、促进残疾人就业、广西工业产品产销等政府采购政策；</w:t>
      </w:r>
    </w:p>
    <w:p>
      <w:pPr>
        <w:spacing w:line="35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3.本项目的特定资格要求：无。</w:t>
      </w:r>
    </w:p>
    <w:p>
      <w:pPr>
        <w:spacing w:line="350" w:lineRule="exact"/>
        <w:ind w:firstLine="420" w:firstLineChars="200"/>
        <w:rPr>
          <w:rFonts w:hint="eastAsia" w:ascii="宋体" w:hAnsi="宋体" w:eastAsia="宋体" w:cs="宋体"/>
          <w:b w:val="0"/>
          <w:color w:val="000000" w:themeColor="text1"/>
          <w:sz w:val="21"/>
          <w:highlight w:val="none"/>
          <w:lang w:val="en-US" w:eastAsia="zh-CN"/>
          <w14:textFill>
            <w14:solidFill>
              <w14:schemeClr w14:val="tx1"/>
            </w14:solidFill>
          </w14:textFill>
        </w:rPr>
      </w:pPr>
      <w:r>
        <w:rPr>
          <w:rFonts w:hint="eastAsia" w:ascii="宋体" w:hAnsi="宋体" w:eastAsia="宋体" w:cs="宋体"/>
          <w:b w:val="0"/>
          <w:color w:val="000000" w:themeColor="text1"/>
          <w:sz w:val="21"/>
          <w:highlight w:val="none"/>
          <w:lang w:val="en-US" w:eastAsia="zh-CN"/>
          <w14:textFill>
            <w14:solidFill>
              <w14:schemeClr w14:val="tx1"/>
            </w14:solidFill>
          </w14:textFill>
        </w:rPr>
        <w:t>4.本项目不接受未按招标文件规定的方式获取招标文件的投标人参与投标。</w:t>
      </w:r>
    </w:p>
    <w:p>
      <w:pPr>
        <w:spacing w:line="350" w:lineRule="exact"/>
        <w:ind w:firstLine="420" w:firstLineChars="20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eastAsia="宋体" w:cs="宋体"/>
          <w:b w:val="0"/>
          <w:color w:val="000000" w:themeColor="text1"/>
          <w:sz w:val="21"/>
          <w:highlight w:val="none"/>
          <w:lang w:val="en-US" w:eastAsia="zh-CN"/>
          <w14:textFill>
            <w14:solidFill>
              <w14:schemeClr w14:val="tx1"/>
            </w14:solidFill>
          </w14:textFill>
        </w:rPr>
        <w:t>5.本项目不接受联合体投标。</w:t>
      </w:r>
    </w:p>
    <w:p>
      <w:pPr>
        <w:pStyle w:val="20"/>
        <w:spacing w:before="66" w:beforeLines="20" w:line="360" w:lineRule="exact"/>
        <w:ind w:firstLine="422" w:firstLineChars="200"/>
        <w:outlineLvl w:val="1"/>
        <w:rPr>
          <w:rFonts w:hAnsi="宋体" w:cs="宋体"/>
          <w:b/>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三、</w:t>
      </w:r>
      <w:r>
        <w:rPr>
          <w:rFonts w:hint="eastAsia" w:hAnsi="宋体" w:cs="宋体"/>
          <w:b/>
          <w:color w:val="000000" w:themeColor="text1"/>
          <w:szCs w:val="21"/>
          <w:highlight w:val="none"/>
          <w14:textFill>
            <w14:solidFill>
              <w14:schemeClr w14:val="tx1"/>
            </w14:solidFill>
          </w14:textFill>
        </w:rPr>
        <w:t>获取招标文件</w:t>
      </w:r>
    </w:p>
    <w:p>
      <w:pPr>
        <w:pStyle w:val="35"/>
        <w:shd w:val="clear" w:color="auto" w:fill="FFFFFF"/>
        <w:spacing w:before="0" w:beforeAutospacing="0" w:after="0" w:afterAutospacing="0" w:line="350" w:lineRule="atLeast"/>
        <w:ind w:firstLine="420"/>
        <w:jc w:val="both"/>
        <w:rPr>
          <w:rFonts w:hint="default" w:ascii="Times New Roman" w:hAnsi="Times New Roman" w:eastAsia="宋体" w:cs="Times New Roman"/>
          <w:color w:val="000000"/>
          <w:sz w:val="21"/>
          <w:szCs w:val="21"/>
          <w:highlight w:val="none"/>
          <w:lang w:val="en-US" w:eastAsia="zh-CN"/>
        </w:rPr>
      </w:pPr>
      <w:r>
        <w:rPr>
          <w:rFonts w:hint="eastAsia"/>
          <w:color w:val="000000"/>
          <w:sz w:val="21"/>
          <w:szCs w:val="21"/>
          <w:highlight w:val="none"/>
          <w:shd w:val="clear" w:color="auto" w:fill="FFFFFF"/>
        </w:rPr>
        <w:t>1．招标公告期限：</w:t>
      </w:r>
      <w:r>
        <w:rPr>
          <w:rFonts w:hint="eastAsia"/>
          <w:color w:val="000000"/>
          <w:sz w:val="21"/>
          <w:szCs w:val="21"/>
          <w:highlight w:val="none"/>
          <w:shd w:val="clear" w:color="auto" w:fill="FFFFFF"/>
          <w:lang w:eastAsia="zh-CN"/>
        </w:rPr>
        <w:t>自本公告发布之日起</w:t>
      </w:r>
      <w:r>
        <w:rPr>
          <w:rFonts w:hint="eastAsia"/>
          <w:color w:val="000000"/>
          <w:sz w:val="21"/>
          <w:szCs w:val="21"/>
          <w:highlight w:val="none"/>
          <w:shd w:val="clear" w:color="auto" w:fill="FFFFFF"/>
          <w:lang w:val="en-US" w:eastAsia="zh-CN"/>
        </w:rPr>
        <w:t>5个工作日。</w:t>
      </w:r>
    </w:p>
    <w:p>
      <w:pPr>
        <w:spacing w:line="350" w:lineRule="exact"/>
        <w:ind w:firstLine="420" w:firstLineChars="200"/>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2．获取招标文件时间：</w:t>
      </w:r>
      <w:r>
        <w:rPr>
          <w:rFonts w:hint="eastAsia" w:ascii="宋体" w:hAnsi="宋体" w:cs="宋体"/>
          <w:color w:val="000000" w:themeColor="text1"/>
          <w:highlight w:val="none"/>
          <w:lang w:val="en-US" w:eastAsia="zh-CN"/>
          <w14:textFill>
            <w14:solidFill>
              <w14:schemeClr w14:val="tx1"/>
            </w14:solidFill>
          </w14:textFill>
        </w:rPr>
        <w:t>自本公告发布之时起至 2020年7 月 28日 18 时 00 分止</w:t>
      </w:r>
      <w:r>
        <w:rPr>
          <w:rFonts w:hint="eastAsia" w:ascii="宋体" w:hAnsi="宋体" w:cs="宋体"/>
          <w:color w:val="000000" w:themeColor="text1"/>
          <w:highlight w:val="none"/>
          <w:lang w:eastAsia="zh-CN"/>
          <w14:textFill>
            <w14:solidFill>
              <w14:schemeClr w14:val="tx1"/>
            </w14:solidFill>
          </w14:textFill>
        </w:rPr>
        <w:t>。</w:t>
      </w:r>
    </w:p>
    <w:p>
      <w:pPr>
        <w:spacing w:line="35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3.获取方式：</w:t>
      </w:r>
      <w:r>
        <w:rPr>
          <w:rFonts w:hint="default" w:ascii="宋体" w:hAnsi="宋体" w:cs="宋体"/>
          <w:color w:val="000000" w:themeColor="text1"/>
          <w:highlight w:val="none"/>
          <w14:textFill>
            <w14:solidFill>
              <w14:schemeClr w14:val="tx1"/>
            </w14:solidFill>
          </w14:textFill>
        </w:rPr>
        <w:t>①</w:t>
      </w:r>
      <w:r>
        <w:rPr>
          <w:rFonts w:hint="eastAsia" w:ascii="宋体" w:hAnsi="宋体" w:cs="宋体"/>
          <w:color w:val="000000" w:themeColor="text1"/>
          <w:highlight w:val="none"/>
          <w:lang w:val="en-US" w:eastAsia="zh-CN"/>
          <w14:textFill>
            <w14:solidFill>
              <w14:schemeClr w14:val="tx1"/>
            </w14:solidFill>
          </w14:textFill>
        </w:rPr>
        <w:t>登陆政采云平台（www.zcygov.cn）获取本项目招标文件</w:t>
      </w:r>
      <w:r>
        <w:rPr>
          <w:rFonts w:hint="eastAsia" w:ascii="宋体" w:hAnsi="宋体" w:cs="宋体"/>
          <w:color w:val="000000" w:themeColor="text1"/>
          <w:highlight w:val="none"/>
          <w14:textFill>
            <w14:solidFill>
              <w14:schemeClr w14:val="tx1"/>
            </w14:solidFill>
          </w14:textFill>
        </w:rPr>
        <w:t>；②成功下载招标文件后，将采购文件工本费250元（售后不退）以转账或电汇等非现金形式交到以下账户。（请务必在银行单据用途或空白栏上注明事由“项目编号+文件工本费”字样。）</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开户名称：广西众联工程项目管理有限公司</w:t>
      </w:r>
    </w:p>
    <w:p>
      <w:pPr>
        <w:spacing w:line="4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开户银行：中国光大银行股份有限公司南宁民主支行</w:t>
      </w:r>
    </w:p>
    <w:p>
      <w:pPr>
        <w:spacing w:line="4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银行账号：78900188000167866</w:t>
      </w:r>
    </w:p>
    <w:p>
      <w:pPr>
        <w:widowControl/>
        <w:shd w:val="clear" w:color="auto" w:fill="FFFFFF"/>
        <w:spacing w:line="320" w:lineRule="exact"/>
        <w:ind w:firstLine="420"/>
        <w:jc w:val="left"/>
        <w:rPr>
          <w:rFonts w:ascii="Arial" w:hAnsi="Arial" w:eastAsia="Arial" w:cs="Arial"/>
          <w:color w:val="000000"/>
          <w:sz w:val="18"/>
          <w:szCs w:val="18"/>
          <w:highlight w:val="none"/>
        </w:rPr>
      </w:pPr>
      <w:r>
        <w:rPr>
          <w:rFonts w:hint="eastAsia" w:ascii="宋体" w:hAnsi="宋体" w:cs="宋体"/>
          <w:color w:val="000000"/>
          <w:kern w:val="0"/>
          <w:szCs w:val="21"/>
          <w:highlight w:val="none"/>
          <w:shd w:val="clear" w:color="auto" w:fill="FFFFFF"/>
          <w:lang w:bidi="ar"/>
        </w:rPr>
        <w:t>4.供应商应在采购文件规定的获取时间内获取采购文件并将采购文件工本费以转账或电汇等非现金形式交到指定账户的方为报名成功，不接受逾期转入工本费或没有转入工本费的供应商。</w:t>
      </w:r>
    </w:p>
    <w:p>
      <w:pPr>
        <w:pStyle w:val="35"/>
        <w:shd w:val="clear" w:color="auto" w:fill="FFFFFF"/>
        <w:spacing w:before="62" w:beforeAutospacing="0" w:after="0" w:afterAutospacing="0" w:line="320" w:lineRule="exact"/>
        <w:ind w:firstLine="422"/>
        <w:jc w:val="both"/>
        <w:outlineLvl w:val="1"/>
        <w:rPr>
          <w:color w:val="000000"/>
          <w:sz w:val="21"/>
          <w:szCs w:val="21"/>
          <w:highlight w:val="none"/>
        </w:rPr>
      </w:pPr>
      <w:r>
        <w:rPr>
          <w:rFonts w:hint="eastAsia"/>
          <w:b/>
          <w:color w:val="000000"/>
          <w:sz w:val="21"/>
          <w:szCs w:val="21"/>
          <w:highlight w:val="none"/>
          <w:shd w:val="clear" w:color="auto" w:fill="FFFFFF"/>
        </w:rPr>
        <w:t>四、投标截止时间和地点</w:t>
      </w:r>
    </w:p>
    <w:p>
      <w:pPr>
        <w:pStyle w:val="35"/>
        <w:shd w:val="clear" w:color="auto" w:fill="FFFFFF"/>
        <w:spacing w:before="0" w:beforeAutospacing="0" w:after="0" w:afterAutospacing="0" w:line="320" w:lineRule="exact"/>
        <w:ind w:firstLine="420"/>
        <w:jc w:val="both"/>
        <w:rPr>
          <w:rFonts w:ascii="Times New Roman" w:hAnsi="Times New Roman" w:cs="Times New Roman"/>
          <w:color w:val="000000"/>
          <w:sz w:val="21"/>
          <w:szCs w:val="21"/>
          <w:highlight w:val="none"/>
        </w:rPr>
      </w:pPr>
      <w:r>
        <w:rPr>
          <w:rFonts w:hint="eastAsia"/>
          <w:color w:val="000000"/>
          <w:sz w:val="21"/>
          <w:szCs w:val="21"/>
          <w:highlight w:val="none"/>
          <w:shd w:val="clear" w:color="auto" w:fill="FFFFFF"/>
        </w:rPr>
        <w:t>投标人应于投标截止时间2020年</w:t>
      </w:r>
      <w:r>
        <w:rPr>
          <w:rFonts w:hint="eastAsia"/>
          <w:color w:val="000000"/>
          <w:sz w:val="21"/>
          <w:szCs w:val="21"/>
          <w:highlight w:val="none"/>
          <w:shd w:val="clear" w:color="auto" w:fill="FFFFFF"/>
          <w:lang w:val="en-US" w:eastAsia="zh-CN"/>
        </w:rPr>
        <w:t xml:space="preserve"> 8 </w:t>
      </w:r>
      <w:r>
        <w:rPr>
          <w:rFonts w:hint="eastAsia"/>
          <w:color w:val="000000"/>
          <w:sz w:val="21"/>
          <w:szCs w:val="21"/>
          <w:highlight w:val="none"/>
          <w:shd w:val="clear" w:color="auto" w:fill="FFFFFF"/>
        </w:rPr>
        <w:t>月</w:t>
      </w:r>
      <w:r>
        <w:rPr>
          <w:rFonts w:hint="eastAsia"/>
          <w:color w:val="000000"/>
          <w:sz w:val="21"/>
          <w:szCs w:val="21"/>
          <w:highlight w:val="none"/>
          <w:shd w:val="clear" w:color="auto" w:fill="FFFFFF"/>
          <w:lang w:val="en-US" w:eastAsia="zh-CN"/>
        </w:rPr>
        <w:t xml:space="preserve"> 12 </w:t>
      </w:r>
      <w:r>
        <w:rPr>
          <w:rFonts w:hint="eastAsia"/>
          <w:color w:val="000000"/>
          <w:sz w:val="21"/>
          <w:szCs w:val="21"/>
          <w:highlight w:val="none"/>
          <w:shd w:val="clear" w:color="auto" w:fill="FFFFFF"/>
        </w:rPr>
        <w:t>日上午</w:t>
      </w:r>
      <w:r>
        <w:rPr>
          <w:rFonts w:hint="eastAsia"/>
          <w:color w:val="000000"/>
          <w:sz w:val="21"/>
          <w:szCs w:val="21"/>
          <w:highlight w:val="none"/>
          <w:shd w:val="clear" w:color="auto" w:fill="FFFFFF"/>
          <w:lang w:val="en-US" w:eastAsia="zh-CN"/>
        </w:rPr>
        <w:t xml:space="preserve">10 </w:t>
      </w:r>
      <w:r>
        <w:rPr>
          <w:rFonts w:hint="eastAsia"/>
          <w:color w:val="000000"/>
          <w:sz w:val="21"/>
          <w:szCs w:val="21"/>
          <w:highlight w:val="none"/>
          <w:shd w:val="clear" w:color="auto" w:fill="FFFFFF"/>
        </w:rPr>
        <w:t>时</w:t>
      </w:r>
      <w:r>
        <w:rPr>
          <w:rFonts w:hint="eastAsia"/>
          <w:color w:val="000000"/>
          <w:sz w:val="21"/>
          <w:szCs w:val="21"/>
          <w:highlight w:val="none"/>
          <w:shd w:val="clear" w:color="auto" w:fill="FFFFFF"/>
          <w:lang w:val="en-US" w:eastAsia="zh-CN"/>
        </w:rPr>
        <w:t xml:space="preserve"> 00 </w:t>
      </w:r>
      <w:r>
        <w:rPr>
          <w:rFonts w:hint="eastAsia"/>
          <w:color w:val="000000"/>
          <w:sz w:val="21"/>
          <w:szCs w:val="21"/>
          <w:highlight w:val="none"/>
          <w:shd w:val="clear" w:color="auto" w:fill="FFFFFF"/>
        </w:rPr>
        <w:t>分整前，将投标文件密封提交到梧州市公共资源交易中心开标厅（地址：梧州市长洲区三龙大道72号红岭大厦8楼，具体开标室见现场LED指引），逾期送达或未按要求密封标记的投标文件，将予以拒收。</w:t>
      </w:r>
    </w:p>
    <w:p>
      <w:pPr>
        <w:pStyle w:val="35"/>
        <w:shd w:val="clear" w:color="auto" w:fill="FFFFFF"/>
        <w:spacing w:before="62" w:beforeAutospacing="0" w:after="0" w:afterAutospacing="0" w:line="320" w:lineRule="exact"/>
        <w:ind w:firstLine="422"/>
        <w:jc w:val="both"/>
        <w:outlineLvl w:val="1"/>
        <w:rPr>
          <w:color w:val="000000"/>
          <w:sz w:val="21"/>
          <w:szCs w:val="21"/>
          <w:highlight w:val="none"/>
        </w:rPr>
      </w:pPr>
      <w:r>
        <w:rPr>
          <w:rFonts w:hint="eastAsia"/>
          <w:b/>
          <w:color w:val="000000"/>
          <w:sz w:val="21"/>
          <w:szCs w:val="21"/>
          <w:highlight w:val="none"/>
          <w:shd w:val="clear" w:color="auto" w:fill="FFFFFF"/>
        </w:rPr>
        <w:t>五、开标时间和地点</w:t>
      </w:r>
    </w:p>
    <w:p>
      <w:pPr>
        <w:pStyle w:val="35"/>
        <w:shd w:val="clear" w:color="auto" w:fill="FFFFFF"/>
        <w:spacing w:before="0" w:beforeAutospacing="0" w:after="0" w:afterAutospacing="0" w:line="320" w:lineRule="exact"/>
        <w:ind w:firstLine="420"/>
        <w:jc w:val="both"/>
        <w:rPr>
          <w:color w:val="000000"/>
          <w:sz w:val="21"/>
          <w:szCs w:val="21"/>
          <w:highlight w:val="none"/>
        </w:rPr>
      </w:pPr>
      <w:r>
        <w:rPr>
          <w:rFonts w:hint="eastAsia"/>
          <w:color w:val="000000"/>
          <w:sz w:val="21"/>
          <w:szCs w:val="21"/>
          <w:highlight w:val="none"/>
          <w:shd w:val="clear" w:color="auto" w:fill="FFFFFF"/>
        </w:rPr>
        <w:t>本次招标将于2020年</w:t>
      </w:r>
      <w:r>
        <w:rPr>
          <w:rFonts w:hint="eastAsia"/>
          <w:color w:val="000000"/>
          <w:sz w:val="21"/>
          <w:szCs w:val="21"/>
          <w:highlight w:val="none"/>
          <w:shd w:val="clear" w:color="auto" w:fill="FFFFFF"/>
          <w:lang w:val="en-US" w:eastAsia="zh-CN"/>
        </w:rPr>
        <w:t xml:space="preserve"> 8 </w:t>
      </w:r>
      <w:r>
        <w:rPr>
          <w:rFonts w:hint="eastAsia"/>
          <w:color w:val="000000"/>
          <w:sz w:val="21"/>
          <w:szCs w:val="21"/>
          <w:highlight w:val="none"/>
          <w:shd w:val="clear" w:color="auto" w:fill="FFFFFF"/>
        </w:rPr>
        <w:t>月</w:t>
      </w:r>
      <w:r>
        <w:rPr>
          <w:rFonts w:hint="eastAsia"/>
          <w:color w:val="000000"/>
          <w:sz w:val="21"/>
          <w:szCs w:val="21"/>
          <w:highlight w:val="none"/>
          <w:shd w:val="clear" w:color="auto" w:fill="FFFFFF"/>
          <w:lang w:val="en-US" w:eastAsia="zh-CN"/>
        </w:rPr>
        <w:t xml:space="preserve"> 12 </w:t>
      </w:r>
      <w:r>
        <w:rPr>
          <w:rFonts w:hint="eastAsia"/>
          <w:color w:val="000000"/>
          <w:sz w:val="21"/>
          <w:szCs w:val="21"/>
          <w:highlight w:val="none"/>
          <w:shd w:val="clear" w:color="auto" w:fill="FFFFFF"/>
        </w:rPr>
        <w:t>日上午</w:t>
      </w:r>
      <w:r>
        <w:rPr>
          <w:rFonts w:hint="eastAsia"/>
          <w:color w:val="000000"/>
          <w:sz w:val="21"/>
          <w:szCs w:val="21"/>
          <w:highlight w:val="none"/>
          <w:shd w:val="clear" w:color="auto" w:fill="FFFFFF"/>
          <w:lang w:val="en-US" w:eastAsia="zh-CN"/>
        </w:rPr>
        <w:t xml:space="preserve"> 10</w:t>
      </w:r>
      <w:r>
        <w:rPr>
          <w:rFonts w:hint="eastAsia"/>
          <w:color w:val="000000"/>
          <w:sz w:val="21"/>
          <w:szCs w:val="21"/>
          <w:highlight w:val="none"/>
          <w:shd w:val="clear" w:color="auto" w:fill="FFFFFF"/>
        </w:rPr>
        <w:t>时</w:t>
      </w:r>
      <w:r>
        <w:rPr>
          <w:rFonts w:hint="eastAsia"/>
          <w:color w:val="000000"/>
          <w:sz w:val="21"/>
          <w:szCs w:val="21"/>
          <w:highlight w:val="none"/>
          <w:shd w:val="clear" w:color="auto" w:fill="FFFFFF"/>
          <w:lang w:val="en-US" w:eastAsia="zh-CN"/>
        </w:rPr>
        <w:t xml:space="preserve"> 00 </w:t>
      </w:r>
      <w:r>
        <w:rPr>
          <w:rFonts w:hint="eastAsia"/>
          <w:color w:val="000000"/>
          <w:sz w:val="21"/>
          <w:szCs w:val="21"/>
          <w:highlight w:val="none"/>
          <w:shd w:val="clear" w:color="auto" w:fill="FFFFFF"/>
        </w:rPr>
        <w:t>分整，在梧州市公共资源交易中心开标厅开标（地址：梧州市长洲区三龙大道72号红岭大厦8楼，具体开标室见现场LED指引），如投标人派代表参加开标会的，须按招标文件要求携带相关证明文件以证明其出席开标会。</w:t>
      </w:r>
    </w:p>
    <w:p>
      <w:pPr>
        <w:pStyle w:val="20"/>
        <w:spacing w:before="66" w:beforeLines="20" w:line="320" w:lineRule="exact"/>
        <w:ind w:firstLine="422" w:firstLineChars="200"/>
        <w:outlineLvl w:val="1"/>
        <w:rPr>
          <w:rFonts w:hAnsi="宋体" w:cs="宋体"/>
          <w:bCs/>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六、投标保证金</w:t>
      </w:r>
    </w:p>
    <w:p>
      <w:pPr>
        <w:pStyle w:val="20"/>
        <w:spacing w:before="66" w:beforeLines="20" w:line="32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1. </w:t>
      </w:r>
      <w:r>
        <w:rPr>
          <w:rFonts w:hint="eastAsia" w:hAnsi="宋体" w:cs="宋体"/>
          <w:color w:val="000000" w:themeColor="text1"/>
          <w:highlight w:val="none"/>
          <w14:textFill>
            <w14:solidFill>
              <w14:schemeClr w14:val="tx1"/>
            </w14:solidFill>
          </w14:textFill>
        </w:rPr>
        <w:t>投标保证金金额</w:t>
      </w:r>
      <w:r>
        <w:rPr>
          <w:rFonts w:hint="eastAsia" w:hAnsi="宋体" w:cs="宋体"/>
          <w:color w:val="000000" w:themeColor="text1"/>
          <w:szCs w:val="21"/>
          <w:highlight w:val="none"/>
          <w14:textFill>
            <w14:solidFill>
              <w14:schemeClr w14:val="tx1"/>
            </w14:solidFill>
          </w14:textFill>
        </w:rPr>
        <w:t>(人民币)：</w:t>
      </w:r>
      <w:r>
        <w:rPr>
          <w:rFonts w:hint="eastAsia" w:hAnsi="宋体" w:cs="宋体"/>
          <w:color w:val="000000" w:themeColor="text1"/>
          <w:szCs w:val="21"/>
          <w:highlight w:val="none"/>
          <w:lang w:eastAsia="zh-CN"/>
          <w14:textFill>
            <w14:solidFill>
              <w14:schemeClr w14:val="tx1"/>
            </w14:solidFill>
          </w14:textFill>
        </w:rPr>
        <w:t>壹</w:t>
      </w:r>
      <w:r>
        <w:rPr>
          <w:rFonts w:hint="eastAsia" w:hAnsi="宋体" w:cs="宋体"/>
          <w:color w:val="000000" w:themeColor="text1"/>
          <w:szCs w:val="21"/>
          <w:highlight w:val="none"/>
          <w14:textFill>
            <w14:solidFill>
              <w14:schemeClr w14:val="tx1"/>
            </w14:solidFill>
          </w14:textFill>
        </w:rPr>
        <w:t>拾万元整（￥100,000.00）。</w:t>
      </w:r>
    </w:p>
    <w:p>
      <w:pPr>
        <w:spacing w:line="32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2．递交方式：从投标人对公账户转账到以下专用账户或以支票、汇票、本票、保函非现金形式缴纳投标保证金。</w:t>
      </w:r>
    </w:p>
    <w:p>
      <w:pPr>
        <w:spacing w:line="32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开户名称：广西众联工程项目管理有限公司</w:t>
      </w:r>
    </w:p>
    <w:p>
      <w:pPr>
        <w:spacing w:line="32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开户银行：中国光大银行股份有限公司南宁民主支行</w:t>
      </w:r>
    </w:p>
    <w:p>
      <w:pPr>
        <w:spacing w:line="32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银行账号：78900188000167866</w:t>
      </w:r>
    </w:p>
    <w:p>
      <w:pPr>
        <w:pStyle w:val="20"/>
        <w:spacing w:before="66" w:beforeLines="20" w:line="320" w:lineRule="exact"/>
        <w:ind w:firstLine="420" w:firstLineChars="200"/>
        <w:outlineLvl w:val="1"/>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3．交纳截止时间：①以转帐方式缴纳投标保证金的必须在投标截止时间之前到达专用帐户。②</w:t>
      </w:r>
      <w:r>
        <w:rPr>
          <w:rFonts w:hint="eastAsia" w:ascii="宋体" w:hAnsi="宋体" w:cs="宋体"/>
          <w:bCs/>
          <w:color w:val="000000" w:themeColor="text1"/>
          <w:szCs w:val="21"/>
          <w:highlight w:val="none"/>
          <w:lang w:val="en-US" w:eastAsia="zh-CN"/>
          <w14:textFill>
            <w14:solidFill>
              <w14:schemeClr w14:val="tx1"/>
            </w14:solidFill>
          </w14:textFill>
        </w:rPr>
        <w:t xml:space="preserve">采用支票、汇票、本票或 者保函等方式的，在投标截止时间前，投标人应当递交单独密封的支票、汇票、本票或者保函原件。否则视为无效投标保证金。 </w:t>
      </w:r>
    </w:p>
    <w:p>
      <w:pPr>
        <w:pStyle w:val="20"/>
        <w:spacing w:before="66" w:beforeLines="20" w:line="320" w:lineRule="exact"/>
        <w:ind w:firstLine="422" w:firstLineChars="200"/>
        <w:outlineLvl w:val="1"/>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七、对本次招标提出询问，请按以下方式联系。</w:t>
      </w:r>
    </w:p>
    <w:p>
      <w:pPr>
        <w:pStyle w:val="20"/>
        <w:spacing w:line="350" w:lineRule="exact"/>
        <w:ind w:firstLine="420" w:firstLineChars="200"/>
        <w:outlineLvl w:val="2"/>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1．采购人：梧州市万秀区教育局</w:t>
      </w:r>
    </w:p>
    <w:p>
      <w:pPr>
        <w:pStyle w:val="20"/>
        <w:snapToGrid w:val="0"/>
        <w:spacing w:line="350" w:lineRule="exact"/>
        <w:ind w:firstLine="420" w:firstLineChars="200"/>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地址：</w:t>
      </w:r>
      <w:r>
        <w:rPr>
          <w:color w:val="000000" w:themeColor="text1"/>
          <w:highlight w:val="none"/>
          <w14:textFill>
            <w14:solidFill>
              <w14:schemeClr w14:val="tx1"/>
            </w14:solidFill>
          </w14:textFill>
        </w:rPr>
        <w:t>梧州市</w:t>
      </w:r>
      <w:r>
        <w:rPr>
          <w:rFonts w:hint="eastAsia"/>
          <w:color w:val="000000" w:themeColor="text1"/>
          <w:highlight w:val="none"/>
          <w14:textFill>
            <w14:solidFill>
              <w14:schemeClr w14:val="tx1"/>
            </w14:solidFill>
          </w14:textFill>
        </w:rPr>
        <w:t>新兴一</w:t>
      </w:r>
      <w:r>
        <w:rPr>
          <w:color w:val="000000" w:themeColor="text1"/>
          <w:highlight w:val="none"/>
          <w14:textFill>
            <w14:solidFill>
              <w14:schemeClr w14:val="tx1"/>
            </w14:solidFill>
          </w14:textFill>
        </w:rPr>
        <w:t>路</w:t>
      </w:r>
      <w:r>
        <w:rPr>
          <w:rFonts w:hint="eastAsia"/>
          <w:color w:val="000000" w:themeColor="text1"/>
          <w:highlight w:val="none"/>
          <w14:textFill>
            <w14:solidFill>
              <w14:schemeClr w14:val="tx1"/>
            </w14:solidFill>
          </w14:textFill>
        </w:rPr>
        <w:t>60</w:t>
      </w:r>
      <w:r>
        <w:rPr>
          <w:color w:val="000000" w:themeColor="text1"/>
          <w:highlight w:val="none"/>
          <w14:textFill>
            <w14:solidFill>
              <w14:schemeClr w14:val="tx1"/>
            </w14:solidFill>
          </w14:textFill>
        </w:rPr>
        <w:t>号</w:t>
      </w:r>
    </w:p>
    <w:p>
      <w:pPr>
        <w:pStyle w:val="20"/>
        <w:spacing w:line="350" w:lineRule="exact"/>
        <w:ind w:firstLine="420" w:firstLineChars="200"/>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联系人：林先生   联系电话：0774-3953050</w:t>
      </w:r>
    </w:p>
    <w:p>
      <w:pPr>
        <w:pStyle w:val="20"/>
        <w:spacing w:line="350" w:lineRule="exact"/>
        <w:ind w:firstLine="420" w:firstLineChars="200"/>
        <w:outlineLvl w:val="2"/>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2．采购代理机构：广西众联工程项目管理有限公司</w:t>
      </w:r>
    </w:p>
    <w:p>
      <w:pPr>
        <w:pStyle w:val="20"/>
        <w:spacing w:line="35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联系地址：梧州市新兴三路30号神冠豪都B栋1单元22层</w:t>
      </w:r>
    </w:p>
    <w:p>
      <w:pPr>
        <w:pStyle w:val="20"/>
        <w:spacing w:line="35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联系人及电话：孟琳富 ，18176880255</w:t>
      </w:r>
    </w:p>
    <w:p>
      <w:pPr>
        <w:spacing w:line="360" w:lineRule="exact"/>
        <w:ind w:firstLine="420" w:firstLineChars="200"/>
        <w:outlineLvl w:val="2"/>
        <w:rPr>
          <w:rFonts w:hAnsi="宋体"/>
          <w:b/>
          <w:szCs w:val="21"/>
          <w:highlight w:val="none"/>
        </w:rPr>
      </w:pPr>
      <w:r>
        <w:rPr>
          <w:rFonts w:hint="eastAsia" w:ascii="宋体" w:hAnsi="宋体" w:cs="宋体"/>
          <w:color w:val="000000"/>
          <w:szCs w:val="21"/>
          <w:highlight w:val="none"/>
          <w:shd w:val="clear" w:color="auto" w:fill="FFFFFF"/>
        </w:rPr>
        <w:t>3．监督部门：</w:t>
      </w:r>
      <w:r>
        <w:rPr>
          <w:rFonts w:hint="eastAsia" w:hAnsi="宋体" w:cs="宋体"/>
          <w:color w:val="000000" w:themeColor="text1"/>
          <w:szCs w:val="21"/>
          <w:highlight w:val="none"/>
          <w14:textFill>
            <w14:solidFill>
              <w14:schemeClr w14:val="tx1"/>
            </w14:solidFill>
          </w14:textFill>
        </w:rPr>
        <w:t>梧州市万秀区政府采购工作领导小组办公室</w:t>
      </w:r>
      <w:r>
        <w:rPr>
          <w:rFonts w:hint="eastAsia" w:ascii="宋体" w:hAnsi="宋体" w:cs="宋体"/>
          <w:color w:val="000000"/>
          <w:szCs w:val="21"/>
          <w:highlight w:val="none"/>
          <w:shd w:val="clear" w:color="auto" w:fill="FFFFFF"/>
        </w:rPr>
        <w:t>（电话</w:t>
      </w:r>
      <w:r>
        <w:rPr>
          <w:rFonts w:hint="eastAsia" w:hAnsi="宋体" w:cs="宋体"/>
          <w:color w:val="000000" w:themeColor="text1"/>
          <w:kern w:val="0"/>
          <w:szCs w:val="21"/>
          <w:highlight w:val="none"/>
          <w14:textFill>
            <w14:solidFill>
              <w14:schemeClr w14:val="tx1"/>
            </w14:solidFill>
          </w14:textFill>
        </w:rPr>
        <w:t>0774-2826908</w:t>
      </w:r>
      <w:r>
        <w:rPr>
          <w:rFonts w:hint="eastAsia" w:ascii="宋体" w:hAnsi="宋体" w:cs="宋体"/>
          <w:color w:val="000000"/>
          <w:szCs w:val="21"/>
          <w:highlight w:val="none"/>
          <w:shd w:val="clear" w:color="auto" w:fill="FFFFFF"/>
        </w:rPr>
        <w:t>）</w:t>
      </w:r>
    </w:p>
    <w:p>
      <w:pPr>
        <w:spacing w:line="360" w:lineRule="exact"/>
        <w:ind w:firstLine="422" w:firstLineChars="200"/>
        <w:outlineLvl w:val="1"/>
        <w:rPr>
          <w:rFonts w:hAnsi="宋体"/>
          <w:b/>
          <w:szCs w:val="21"/>
          <w:highlight w:val="none"/>
        </w:rPr>
      </w:pPr>
      <w:r>
        <w:rPr>
          <w:rFonts w:hint="eastAsia" w:hAnsi="宋体"/>
          <w:b/>
          <w:szCs w:val="21"/>
          <w:highlight w:val="none"/>
        </w:rPr>
        <w:t>八、网上公告媒体查询：</w:t>
      </w:r>
    </w:p>
    <w:p>
      <w:pPr>
        <w:wordWrap w:val="0"/>
        <w:autoSpaceDE w:val="0"/>
        <w:autoSpaceDN w:val="0"/>
        <w:adjustRightInd w:val="0"/>
        <w:snapToGrid w:val="0"/>
        <w:spacing w:line="360" w:lineRule="exact"/>
        <w:ind w:firstLine="420" w:firstLineChars="200"/>
        <w:rPr>
          <w:highlight w:val="none"/>
        </w:rPr>
      </w:pPr>
      <w:r>
        <w:rPr>
          <w:rFonts w:hint="eastAsia" w:hAnsi="宋体"/>
          <w:szCs w:val="21"/>
          <w:highlight w:val="none"/>
        </w:rPr>
        <w:t>中国政府采购网、广西壮族自治区政府采购网、梧州市政府采购网、</w:t>
      </w:r>
      <w:r>
        <w:rPr>
          <w:rFonts w:hint="eastAsia" w:ascii="宋体" w:hAnsi="宋体" w:cs="宋体"/>
          <w:szCs w:val="21"/>
          <w:highlight w:val="none"/>
        </w:rPr>
        <w:t>梧州市公共资源交易中心网。</w:t>
      </w:r>
    </w:p>
    <w:p>
      <w:pPr>
        <w:spacing w:line="350" w:lineRule="exact"/>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梧州市万秀区教育局</w:t>
      </w:r>
    </w:p>
    <w:p>
      <w:pPr>
        <w:spacing w:line="350" w:lineRule="exact"/>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广西众联工程项目管理有限公司</w:t>
      </w:r>
    </w:p>
    <w:p>
      <w:pPr>
        <w:spacing w:line="350" w:lineRule="exact"/>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2020年</w:t>
      </w:r>
      <w:r>
        <w:rPr>
          <w:rFonts w:hint="eastAsia" w:ascii="宋体" w:hAnsi="宋体" w:cs="宋体"/>
          <w:color w:val="000000" w:themeColor="text1"/>
          <w:szCs w:val="21"/>
          <w:highlight w:val="none"/>
          <w:lang w:val="en-US" w:eastAsia="zh-CN"/>
          <w14:textFill>
            <w14:solidFill>
              <w14:schemeClr w14:val="tx1"/>
            </w14:solidFill>
          </w14:textFill>
        </w:rPr>
        <w:t xml:space="preserve"> 7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 xml:space="preserve"> 21 </w:t>
      </w:r>
      <w:r>
        <w:rPr>
          <w:rFonts w:hint="eastAsia" w:ascii="宋体" w:hAnsi="宋体" w:cs="宋体"/>
          <w:color w:val="000000" w:themeColor="text1"/>
          <w:szCs w:val="21"/>
          <w:highlight w:val="none"/>
          <w14:textFill>
            <w14:solidFill>
              <w14:schemeClr w14:val="tx1"/>
            </w14:solidFill>
          </w14:textFill>
        </w:rPr>
        <w:t>日</w:t>
      </w:r>
    </w:p>
    <w:p>
      <w:pPr>
        <w:pStyle w:val="20"/>
        <w:spacing w:line="400" w:lineRule="exact"/>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br w:type="page"/>
      </w:r>
    </w:p>
    <w:p>
      <w:pPr>
        <w:pStyle w:val="20"/>
        <w:spacing w:line="400" w:lineRule="exact"/>
        <w:rPr>
          <w:rFonts w:hAnsi="宋体" w:cs="宋体"/>
          <w:color w:val="000000" w:themeColor="text1"/>
          <w:highlight w:val="none"/>
          <w14:textFill>
            <w14:solidFill>
              <w14:schemeClr w14:val="tx1"/>
            </w14:solidFill>
          </w14:textFill>
        </w:rPr>
      </w:pPr>
    </w:p>
    <w:p>
      <w:pPr>
        <w:pStyle w:val="20"/>
        <w:spacing w:line="400" w:lineRule="exact"/>
        <w:rPr>
          <w:rFonts w:hAnsi="宋体" w:cs="宋体"/>
          <w:color w:val="000000" w:themeColor="text1"/>
          <w:highlight w:val="none"/>
          <w14:textFill>
            <w14:solidFill>
              <w14:schemeClr w14:val="tx1"/>
            </w14:solidFill>
          </w14:textFill>
        </w:rPr>
      </w:pPr>
    </w:p>
    <w:p>
      <w:pPr>
        <w:pStyle w:val="3"/>
        <w:spacing w:line="560" w:lineRule="exact"/>
        <w:jc w:val="center"/>
        <w:rPr>
          <w:rFonts w:ascii="宋体" w:hAnsi="宋体" w:cs="宋体"/>
          <w:bCs/>
          <w:color w:val="000000" w:themeColor="text1"/>
          <w:sz w:val="44"/>
          <w:highlight w:val="none"/>
          <w14:textFill>
            <w14:solidFill>
              <w14:schemeClr w14:val="tx1"/>
            </w14:solidFill>
          </w14:textFill>
        </w:rPr>
      </w:pPr>
      <w:bookmarkStart w:id="14" w:name="_Toc230949373"/>
      <w:bookmarkStart w:id="15" w:name="_Toc469842111"/>
      <w:bookmarkStart w:id="16" w:name="_Toc185703008"/>
      <w:bookmarkStart w:id="17" w:name="_Toc199780485"/>
      <w:bookmarkStart w:id="18" w:name="_Toc185702586"/>
      <w:bookmarkStart w:id="19" w:name="_Toc147248434"/>
      <w:bookmarkStart w:id="20" w:name="_Toc156106969"/>
      <w:bookmarkStart w:id="21" w:name="_Toc200308966"/>
      <w:bookmarkStart w:id="22" w:name="_Toc469874203"/>
      <w:bookmarkStart w:id="23" w:name="_Toc200268363"/>
      <w:bookmarkStart w:id="24" w:name="_Toc230929134"/>
      <w:bookmarkStart w:id="25" w:name="_Toc395066555"/>
      <w:bookmarkStart w:id="26" w:name="_Toc405943013"/>
      <w:bookmarkStart w:id="27" w:name="_Toc21199"/>
      <w:r>
        <w:rPr>
          <w:rFonts w:hint="eastAsia" w:ascii="宋体" w:hAnsi="宋体" w:cs="宋体"/>
          <w:bCs/>
          <w:color w:val="000000" w:themeColor="text1"/>
          <w:sz w:val="44"/>
          <w:highlight w:val="none"/>
          <w14:textFill>
            <w14:solidFill>
              <w14:schemeClr w14:val="tx1"/>
            </w14:solidFill>
          </w14:textFill>
        </w:rPr>
        <w:t xml:space="preserve">第二章  </w:t>
      </w:r>
      <w:bookmarkEnd w:id="14"/>
      <w:bookmarkEnd w:id="15"/>
      <w:bookmarkEnd w:id="16"/>
      <w:bookmarkEnd w:id="17"/>
      <w:bookmarkEnd w:id="18"/>
      <w:bookmarkEnd w:id="19"/>
      <w:bookmarkEnd w:id="20"/>
      <w:bookmarkEnd w:id="21"/>
      <w:bookmarkEnd w:id="22"/>
      <w:bookmarkEnd w:id="23"/>
      <w:bookmarkEnd w:id="24"/>
      <w:bookmarkEnd w:id="25"/>
      <w:bookmarkEnd w:id="26"/>
      <w:r>
        <w:rPr>
          <w:rFonts w:hint="eastAsia" w:ascii="宋体" w:hAnsi="宋体" w:cs="宋体"/>
          <w:bCs/>
          <w:color w:val="000000" w:themeColor="text1"/>
          <w:sz w:val="44"/>
          <w:highlight w:val="none"/>
          <w14:textFill>
            <w14:solidFill>
              <w14:schemeClr w14:val="tx1"/>
            </w14:solidFill>
          </w14:textFill>
        </w:rPr>
        <w:t>采购内容及要求</w:t>
      </w:r>
      <w:bookmarkEnd w:id="27"/>
    </w:p>
    <w:p>
      <w:pPr>
        <w:pStyle w:val="20"/>
        <w:spacing w:line="400" w:lineRule="exact"/>
        <w:rPr>
          <w:rFonts w:hAnsi="宋体" w:cs="宋体"/>
          <w:color w:val="000000" w:themeColor="text1"/>
          <w:highlight w:val="none"/>
          <w14:textFill>
            <w14:solidFill>
              <w14:schemeClr w14:val="tx1"/>
            </w14:solidFill>
          </w14:textFill>
        </w:rPr>
      </w:pPr>
    </w:p>
    <w:p>
      <w:pPr>
        <w:spacing w:line="300" w:lineRule="exact"/>
        <w:ind w:left="629" w:hanging="629"/>
        <w:rPr>
          <w:rFonts w:ascii="宋体" w:hAnsi="宋体" w:cs="宋体"/>
          <w:color w:val="000000" w:themeColor="text1"/>
          <w:highlight w:val="none"/>
          <w14:textFill>
            <w14:solidFill>
              <w14:schemeClr w14:val="tx1"/>
            </w14:solidFill>
          </w14:textFill>
        </w:rPr>
      </w:pPr>
    </w:p>
    <w:p>
      <w:pPr>
        <w:spacing w:line="340" w:lineRule="exact"/>
        <w:ind w:right="97" w:rightChars="46"/>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说明：</w:t>
      </w:r>
    </w:p>
    <w:p>
      <w:pPr>
        <w:spacing w:line="400" w:lineRule="exact"/>
        <w:ind w:right="97" w:rightChars="46" w:firstLine="315" w:firstLineChars="15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采购清单中的品牌型号如注明为参考品牌型号的，则仅起参考作用，投标人可选用其他品牌型号替代。标明的专有技术、专利产品、特定品牌的字样只起说明作用，任何与其同等的技术均应被认为符合招标文件要求，但这些替代的品牌型号要实质上相当于或优于参考品牌型号及其技术参数性能（配置）要求。</w:t>
      </w:r>
    </w:p>
    <w:p>
      <w:pPr>
        <w:spacing w:line="400" w:lineRule="exact"/>
        <w:ind w:right="97" w:rightChars="46" w:firstLine="210" w:firstLineChars="1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采购清单中已注明为参考品牌型号的货物及技术参数性能（配置）不明确或有误的，或投标人选用其他品牌型号替代的，请以详细、正确的品牌型号、技术参数性能（配置）同时填写报价表和技术要求响应表。</w:t>
      </w:r>
    </w:p>
    <w:p>
      <w:pPr>
        <w:spacing w:line="400" w:lineRule="exact"/>
        <w:ind w:right="97" w:rightChars="46" w:firstLine="210" w:firstLineChars="1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3、凡在“技术参数及性能（配置）要求”中表述为“标配”或“标准配置”的设备，投标人应在报价表中将其标配参数详细列明，否则该报价无效。</w:t>
      </w:r>
    </w:p>
    <w:p>
      <w:pPr>
        <w:spacing w:line="400" w:lineRule="exact"/>
        <w:ind w:right="97" w:rightChars="46" w:firstLine="210" w:firstLineChars="1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投标人必须自行为其提供的产品侵犯其他投标人或专利人的专利成果承担相应法律责任；同时，具有产品专利的投标人应在其投标文件中提供与其自有产品专利相关的有效证明材料，否则，不能就其产品的专利在本项目采购过程中被侵权问题提出异议。</w:t>
      </w:r>
    </w:p>
    <w:p>
      <w:pPr>
        <w:spacing w:line="400" w:lineRule="exact"/>
        <w:ind w:right="97" w:rightChars="46" w:firstLine="210" w:firstLineChars="1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5、拟采购的产品属于《节能产品政府采购品目清单》范围内以“★”标注产品的，应当依据国家确定的认证机构出具的、处于有效期之内的节能产品认证证书，对获得证书的产品实施政府强制采购。拟采购的产品属于《节能产品政府采购品目清单》范围内非“★”标注的和《环境标志产品政府采购品目清单》范围内产品的，应当依据国家确定的认证机构出具的、处于有效期之内的节能产品、环境标志产品认证证书，对获得证书的产品实施政府优先采购。投标人须提供产品认证证书复印件并加盖投标人公章。截标后，采购代理机构在中国政府采购网（www.ccgp.gov.cn）认证结果信息发布平台对投标产品的证书信息进行查询，如查询结果为无效，将不享受相关政府采购政策。</w:t>
      </w:r>
    </w:p>
    <w:p>
      <w:pPr>
        <w:pStyle w:val="17"/>
        <w:ind w:firstLine="420" w:firstLineChars="200"/>
        <w:rPr>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6、本项目核</w:t>
      </w:r>
      <w:r>
        <w:rPr>
          <w:rFonts w:hint="eastAsia" w:ascii="宋体" w:hAnsi="宋体" w:cs="宋体"/>
          <w:bCs/>
          <w:color w:val="000000" w:themeColor="text1"/>
          <w:szCs w:val="21"/>
          <w:highlight w:val="none"/>
          <w14:textFill>
            <w14:solidFill>
              <w14:schemeClr w14:val="tx1"/>
            </w14:solidFill>
          </w14:textFill>
        </w:rPr>
        <w:t>心产品为“</w:t>
      </w:r>
      <w:r>
        <w:rPr>
          <w:rFonts w:hint="eastAsia" w:ascii="宋体" w:hAnsi="宋体" w:cs="宋体"/>
          <w:color w:val="000000" w:themeColor="text1"/>
          <w:kern w:val="0"/>
          <w:szCs w:val="21"/>
          <w:highlight w:val="none"/>
          <w:lang w:bidi="ar"/>
          <w14:textFill>
            <w14:solidFill>
              <w14:schemeClr w14:val="tx1"/>
            </w14:solidFill>
          </w14:textFill>
        </w:rPr>
        <w:t>交互智能平板”。</w:t>
      </w: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spacing w:line="340" w:lineRule="exact"/>
        <w:ind w:right="97" w:rightChars="46" w:firstLine="413" w:firstLineChars="197"/>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br w:type="page"/>
      </w:r>
    </w:p>
    <w:p>
      <w:pPr>
        <w:ind w:right="97" w:rightChars="46"/>
        <w:jc w:val="center"/>
        <w:rPr>
          <w:rFonts w:ascii="宋体" w:hAnsi="宋体" w:cs="宋体"/>
          <w:bCs/>
          <w:color w:val="000000" w:themeColor="text1"/>
          <w:sz w:val="44"/>
          <w:highlight w:val="none"/>
          <w14:textFill>
            <w14:solidFill>
              <w14:schemeClr w14:val="tx1"/>
            </w14:solidFill>
          </w14:textFill>
        </w:rPr>
      </w:pPr>
      <w:r>
        <w:rPr>
          <w:rFonts w:hint="eastAsia" w:ascii="宋体" w:hAnsi="宋体" w:cs="宋体"/>
          <w:bCs/>
          <w:color w:val="000000" w:themeColor="text1"/>
          <w:sz w:val="44"/>
          <w:highlight w:val="none"/>
          <w14:textFill>
            <w14:solidFill>
              <w14:schemeClr w14:val="tx1"/>
            </w14:solidFill>
          </w14:textFill>
        </w:rPr>
        <w:t>采购内容及要求</w:t>
      </w:r>
    </w:p>
    <w:p>
      <w:pPr>
        <w:numPr>
          <w:ilvl w:val="0"/>
          <w:numId w:val="4"/>
        </w:numPr>
        <w:spacing w:before="165" w:beforeLines="50" w:line="400" w:lineRule="exact"/>
        <w:rPr>
          <w:rFonts w:ascii="宋体" w:hAnsi="宋体" w:cs="宋体"/>
          <w:b/>
          <w:bCs/>
          <w:color w:val="000000" w:themeColor="text1"/>
          <w:sz w:val="30"/>
          <w:szCs w:val="30"/>
          <w:highlight w:val="none"/>
          <w14:textFill>
            <w14:solidFill>
              <w14:schemeClr w14:val="tx1"/>
            </w14:solidFill>
          </w14:textFill>
        </w:rPr>
      </w:pPr>
      <w:bookmarkStart w:id="28" w:name="OLE_LINK3"/>
      <w:bookmarkStart w:id="29" w:name="OLE_LINK2"/>
      <w:r>
        <w:rPr>
          <w:rFonts w:hint="eastAsia" w:ascii="宋体" w:hAnsi="宋体" w:cs="宋体"/>
          <w:b/>
          <w:bCs/>
          <w:color w:val="000000" w:themeColor="text1"/>
          <w:sz w:val="30"/>
          <w:szCs w:val="30"/>
          <w:highlight w:val="none"/>
          <w14:textFill>
            <w14:solidFill>
              <w14:schemeClr w14:val="tx1"/>
            </w14:solidFill>
          </w14:textFill>
        </w:rPr>
        <w:t>采购内容清单及技术要求</w:t>
      </w:r>
    </w:p>
    <w:tbl>
      <w:tblPr>
        <w:tblStyle w:val="41"/>
        <w:tblW w:w="49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1157"/>
        <w:gridCol w:w="209"/>
        <w:gridCol w:w="811"/>
        <w:gridCol w:w="811"/>
        <w:gridCol w:w="5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rPr>
                <w:rFonts w:ascii="宋体" w:hAnsi="宋体"/>
                <w:color w:val="auto"/>
                <w:szCs w:val="21"/>
                <w:highlight w:val="none"/>
              </w:rPr>
            </w:pPr>
            <w:r>
              <w:rPr>
                <w:rFonts w:hint="eastAsia" w:ascii="宋体" w:hAnsi="宋体"/>
                <w:color w:val="auto"/>
                <w:szCs w:val="21"/>
                <w:highlight w:val="none"/>
              </w:rPr>
              <w:t>序号</w:t>
            </w:r>
          </w:p>
        </w:tc>
        <w:tc>
          <w:tcPr>
            <w:tcW w:w="718" w:type="pct"/>
            <w:gridSpan w:val="2"/>
            <w:vAlign w:val="center"/>
          </w:tcPr>
          <w:p>
            <w:pPr>
              <w:rPr>
                <w:rFonts w:ascii="宋体" w:hAnsi="宋体"/>
                <w:color w:val="auto"/>
                <w:szCs w:val="21"/>
                <w:highlight w:val="none"/>
              </w:rPr>
            </w:pPr>
            <w:r>
              <w:rPr>
                <w:rFonts w:hint="eastAsia" w:ascii="宋体" w:hAnsi="宋体"/>
                <w:color w:val="auto"/>
                <w:szCs w:val="21"/>
                <w:highlight w:val="none"/>
              </w:rPr>
              <w:t>货物名称</w:t>
            </w:r>
          </w:p>
        </w:tc>
        <w:tc>
          <w:tcPr>
            <w:tcW w:w="426" w:type="pct"/>
            <w:vAlign w:val="center"/>
          </w:tcPr>
          <w:p>
            <w:pPr>
              <w:rPr>
                <w:rFonts w:ascii="宋体" w:hAnsi="宋体"/>
                <w:color w:val="auto"/>
                <w:szCs w:val="21"/>
                <w:highlight w:val="none"/>
              </w:rPr>
            </w:pPr>
            <w:r>
              <w:rPr>
                <w:rFonts w:hint="eastAsia" w:ascii="宋体" w:hAnsi="宋体"/>
                <w:color w:val="auto"/>
                <w:szCs w:val="21"/>
                <w:highlight w:val="none"/>
              </w:rPr>
              <w:t>数量</w:t>
            </w:r>
          </w:p>
        </w:tc>
        <w:tc>
          <w:tcPr>
            <w:tcW w:w="426" w:type="pct"/>
            <w:vAlign w:val="center"/>
          </w:tcPr>
          <w:p>
            <w:pPr>
              <w:rPr>
                <w:rFonts w:ascii="宋体" w:hAnsi="宋体"/>
                <w:color w:val="auto"/>
                <w:szCs w:val="21"/>
                <w:highlight w:val="none"/>
              </w:rPr>
            </w:pPr>
            <w:r>
              <w:rPr>
                <w:rFonts w:hint="eastAsia" w:ascii="宋体" w:hAnsi="宋体"/>
                <w:color w:val="auto"/>
                <w:szCs w:val="21"/>
                <w:highlight w:val="none"/>
              </w:rPr>
              <w:t>单位</w:t>
            </w:r>
          </w:p>
        </w:tc>
        <w:tc>
          <w:tcPr>
            <w:tcW w:w="3126" w:type="pct"/>
            <w:vAlign w:val="center"/>
          </w:tcPr>
          <w:p>
            <w:pPr>
              <w:rPr>
                <w:rFonts w:ascii="宋体" w:hAnsi="宋体"/>
                <w:color w:val="auto"/>
                <w:szCs w:val="21"/>
                <w:highlight w:val="none"/>
              </w:rPr>
            </w:pPr>
            <w:r>
              <w:rPr>
                <w:rFonts w:hint="eastAsia" w:ascii="宋体" w:hAnsi="宋体"/>
                <w:color w:val="auto"/>
                <w:szCs w:val="21"/>
                <w:highlight w:val="none"/>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rPr>
                <w:rFonts w:ascii="宋体" w:hAnsi="宋体"/>
                <w:color w:val="auto"/>
                <w:szCs w:val="21"/>
                <w:highlight w:val="none"/>
              </w:rPr>
            </w:pPr>
            <w:r>
              <w:rPr>
                <w:rFonts w:hint="eastAsia" w:ascii="宋体" w:hAnsi="宋体"/>
                <w:color w:val="auto"/>
                <w:szCs w:val="21"/>
                <w:highlight w:val="none"/>
              </w:rPr>
              <w:t>1</w:t>
            </w:r>
          </w:p>
        </w:tc>
        <w:tc>
          <w:tcPr>
            <w:tcW w:w="718" w:type="pct"/>
            <w:gridSpan w:val="2"/>
            <w:vAlign w:val="center"/>
          </w:tcPr>
          <w:p>
            <w:pPr>
              <w:rPr>
                <w:color w:val="auto"/>
                <w:highlight w:val="none"/>
              </w:rPr>
            </w:pPr>
            <w:r>
              <w:rPr>
                <w:rFonts w:hint="eastAsia"/>
                <w:color w:val="auto"/>
                <w:highlight w:val="none"/>
              </w:rPr>
              <w:t>交互智能平板</w:t>
            </w:r>
          </w:p>
        </w:tc>
        <w:tc>
          <w:tcPr>
            <w:tcW w:w="426" w:type="pct"/>
            <w:vAlign w:val="center"/>
          </w:tcPr>
          <w:p>
            <w:pPr>
              <w:rPr>
                <w:color w:val="auto"/>
                <w:highlight w:val="none"/>
              </w:rPr>
            </w:pPr>
            <w:r>
              <w:rPr>
                <w:color w:val="auto"/>
                <w:highlight w:val="none"/>
              </w:rPr>
              <w:t>8</w:t>
            </w:r>
            <w:r>
              <w:rPr>
                <w:rFonts w:hint="eastAsia"/>
                <w:color w:val="auto"/>
                <w:highlight w:val="none"/>
              </w:rPr>
              <w:t>0</w:t>
            </w:r>
          </w:p>
        </w:tc>
        <w:tc>
          <w:tcPr>
            <w:tcW w:w="426" w:type="pct"/>
            <w:vAlign w:val="center"/>
          </w:tcPr>
          <w:p>
            <w:pPr>
              <w:rPr>
                <w:color w:val="auto"/>
                <w:highlight w:val="none"/>
              </w:rPr>
            </w:pPr>
            <w:r>
              <w:rPr>
                <w:color w:val="auto"/>
                <w:highlight w:val="none"/>
              </w:rPr>
              <w:t>台</w:t>
            </w:r>
          </w:p>
        </w:tc>
        <w:tc>
          <w:tcPr>
            <w:tcW w:w="3126" w:type="pct"/>
            <w:vAlign w:val="center"/>
          </w:tcPr>
          <w:p>
            <w:pPr>
              <w:rPr>
                <w:rFonts w:ascii="宋体" w:hAnsi="宋体"/>
                <w:color w:val="auto"/>
                <w:szCs w:val="21"/>
                <w:highlight w:val="none"/>
              </w:rPr>
            </w:pPr>
            <w:r>
              <w:rPr>
                <w:rFonts w:hint="eastAsia" w:ascii="宋体" w:hAnsi="宋体"/>
                <w:color w:val="auto"/>
                <w:szCs w:val="21"/>
                <w:highlight w:val="none"/>
              </w:rPr>
              <w:t>一、智能护眼设计</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1、整机</w:t>
            </w:r>
            <w:r>
              <w:rPr>
                <w:rFonts w:hint="eastAsia" w:ascii="宋体" w:hAnsi="宋体"/>
                <w:color w:val="auto"/>
                <w:szCs w:val="21"/>
                <w:highlight w:val="none"/>
              </w:rPr>
              <w:t>具有减滤蓝光功能，可通过前置物理功能按键一键启用减滤蓝光模式。</w:t>
            </w:r>
          </w:p>
          <w:p>
            <w:pPr>
              <w:rPr>
                <w:rFonts w:ascii="宋体" w:hAnsi="宋体"/>
                <w:color w:val="auto"/>
                <w:szCs w:val="21"/>
                <w:highlight w:val="none"/>
              </w:rPr>
            </w:pPr>
            <w:r>
              <w:rPr>
                <w:rFonts w:ascii="宋体" w:hAnsi="宋体"/>
                <w:color w:val="auto"/>
                <w:szCs w:val="21"/>
                <w:highlight w:val="none"/>
              </w:rPr>
              <w:t>2、智能护眼系统：在嵌入式系统上使用白板软件时，整机可根据用户书写操作智能调节屏幕亮度。</w:t>
            </w:r>
          </w:p>
          <w:p>
            <w:pPr>
              <w:rPr>
                <w:rFonts w:ascii="宋体" w:hAnsi="宋体"/>
                <w:color w:val="auto"/>
                <w:szCs w:val="21"/>
                <w:highlight w:val="none"/>
              </w:rPr>
            </w:pPr>
            <w:r>
              <w:rPr>
                <w:rFonts w:hint="eastAsia" w:ascii="宋体" w:hAnsi="宋体"/>
                <w:color w:val="auto"/>
                <w:szCs w:val="21"/>
                <w:highlight w:val="none"/>
              </w:rPr>
              <w:t>二、显示及端口要求</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1、整机屏幕采用≥86英寸 UHD超高清LED </w:t>
            </w:r>
            <w:r>
              <w:rPr>
                <w:rFonts w:hint="eastAsia" w:ascii="宋体" w:hAnsi="宋体"/>
                <w:color w:val="auto"/>
                <w:szCs w:val="21"/>
                <w:highlight w:val="none"/>
              </w:rPr>
              <w:t>液晶屏，显示比例</w:t>
            </w:r>
            <w:r>
              <w:rPr>
                <w:rFonts w:ascii="宋体" w:hAnsi="宋体"/>
                <w:color w:val="auto"/>
                <w:szCs w:val="21"/>
                <w:highlight w:val="none"/>
              </w:rPr>
              <w:t>16:9，具备防眩光效果。液晶屏类型：节能型LED A</w:t>
            </w:r>
            <w:r>
              <w:rPr>
                <w:rFonts w:hint="eastAsia" w:ascii="宋体" w:hAnsi="宋体"/>
                <w:color w:val="auto"/>
                <w:szCs w:val="21"/>
                <w:highlight w:val="none"/>
              </w:rPr>
              <w:t>规液晶屏，中标供应商在正式供货时须提供</w:t>
            </w:r>
            <w:r>
              <w:rPr>
                <w:rFonts w:ascii="宋体" w:hAnsi="宋体"/>
                <w:color w:val="auto"/>
                <w:szCs w:val="21"/>
                <w:highlight w:val="none"/>
              </w:rPr>
              <w:t>A</w:t>
            </w:r>
            <w:r>
              <w:rPr>
                <w:rFonts w:hint="eastAsia" w:ascii="宋体" w:hAnsi="宋体"/>
                <w:color w:val="auto"/>
                <w:szCs w:val="21"/>
                <w:highlight w:val="none"/>
              </w:rPr>
              <w:t>规屏证明材料并加盖品牌厂家公章，否则不予验收。</w:t>
            </w:r>
          </w:p>
          <w:p>
            <w:pPr>
              <w:rPr>
                <w:rFonts w:ascii="宋体" w:hAnsi="宋体"/>
                <w:color w:val="auto"/>
                <w:szCs w:val="21"/>
                <w:highlight w:val="none"/>
              </w:rPr>
            </w:pPr>
            <w:r>
              <w:rPr>
                <w:rFonts w:ascii="宋体" w:hAnsi="宋体"/>
                <w:color w:val="auto"/>
                <w:szCs w:val="21"/>
                <w:highlight w:val="none"/>
              </w:rPr>
              <w:t>2、屏幕图像分辨率达3840*2160，且屏幕显示灰度分辨等级达到128</w:t>
            </w:r>
            <w:r>
              <w:rPr>
                <w:rFonts w:hint="eastAsia" w:ascii="宋体" w:hAnsi="宋体"/>
                <w:color w:val="auto"/>
                <w:szCs w:val="21"/>
                <w:highlight w:val="none"/>
              </w:rPr>
              <w:t>灰阶及以上。（投标时须提供国家认可的第三方检测机构出具关于灰阶等级的检测报告复印件）</w:t>
            </w:r>
          </w:p>
          <w:p>
            <w:pPr>
              <w:rPr>
                <w:rFonts w:ascii="宋体" w:hAnsi="宋体"/>
                <w:color w:val="auto"/>
                <w:szCs w:val="21"/>
                <w:highlight w:val="none"/>
              </w:rPr>
            </w:pPr>
            <w:r>
              <w:rPr>
                <w:rFonts w:ascii="宋体" w:hAnsi="宋体"/>
                <w:color w:val="auto"/>
                <w:szCs w:val="21"/>
                <w:highlight w:val="none"/>
              </w:rPr>
              <w:t>3、图像制式支持：PAL/SECAM。</w:t>
            </w:r>
          </w:p>
          <w:p>
            <w:pPr>
              <w:rPr>
                <w:rFonts w:ascii="宋体" w:hAnsi="宋体"/>
                <w:color w:val="auto"/>
                <w:szCs w:val="21"/>
                <w:highlight w:val="none"/>
              </w:rPr>
            </w:pPr>
            <w:r>
              <w:rPr>
                <w:rFonts w:ascii="宋体" w:hAnsi="宋体"/>
                <w:color w:val="auto"/>
                <w:szCs w:val="21"/>
                <w:highlight w:val="none"/>
              </w:rPr>
              <w:t>4、整机内置</w:t>
            </w:r>
            <w:r>
              <w:rPr>
                <w:rFonts w:hint="eastAsia" w:ascii="宋体" w:hAnsi="宋体"/>
                <w:color w:val="auto"/>
                <w:szCs w:val="21"/>
                <w:highlight w:val="none"/>
              </w:rPr>
              <w:t>前朝向</w:t>
            </w:r>
            <w:r>
              <w:rPr>
                <w:rFonts w:ascii="宋体" w:hAnsi="宋体"/>
                <w:color w:val="auto"/>
                <w:szCs w:val="21"/>
                <w:highlight w:val="none"/>
              </w:rPr>
              <w:t>2*15w功放，确保声音播放效果。</w:t>
            </w:r>
          </w:p>
          <w:p>
            <w:pPr>
              <w:rPr>
                <w:rFonts w:ascii="宋体" w:hAnsi="宋体"/>
                <w:color w:val="auto"/>
                <w:szCs w:val="21"/>
                <w:highlight w:val="none"/>
              </w:rPr>
            </w:pPr>
            <w:r>
              <w:rPr>
                <w:rFonts w:ascii="宋体" w:hAnsi="宋体"/>
                <w:color w:val="auto"/>
                <w:szCs w:val="21"/>
                <w:highlight w:val="none"/>
              </w:rPr>
              <w:t>5、整机具备DTMB数字接收功能，可接收地面波数字信号。</w:t>
            </w:r>
          </w:p>
          <w:p>
            <w:pPr>
              <w:rPr>
                <w:rFonts w:ascii="宋体" w:hAnsi="宋体"/>
                <w:color w:val="auto"/>
                <w:szCs w:val="21"/>
                <w:highlight w:val="none"/>
              </w:rPr>
            </w:pPr>
            <w:r>
              <w:rPr>
                <w:rFonts w:ascii="宋体" w:hAnsi="宋体"/>
                <w:color w:val="auto"/>
                <w:szCs w:val="21"/>
                <w:highlight w:val="none"/>
              </w:rPr>
              <w:t>6、端口设计：</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1）输入端子: </w:t>
            </w:r>
            <w:r>
              <w:rPr>
                <w:rFonts w:hint="eastAsia" w:ascii="宋体" w:hAnsi="宋体"/>
                <w:color w:val="auto"/>
                <w:szCs w:val="21"/>
                <w:highlight w:val="none"/>
              </w:rPr>
              <w:t>≥</w:t>
            </w:r>
            <w:r>
              <w:rPr>
                <w:rFonts w:ascii="宋体" w:hAnsi="宋体"/>
                <w:color w:val="auto"/>
                <w:szCs w:val="21"/>
                <w:highlight w:val="none"/>
              </w:rPr>
              <w:t>1路VGA；≥1路Audio；≥1路AV；≥1路YPbPr</w:t>
            </w:r>
            <w:r>
              <w:rPr>
                <w:rFonts w:hint="eastAsia" w:ascii="宋体" w:hAnsi="宋体"/>
                <w:color w:val="auto"/>
                <w:szCs w:val="21"/>
                <w:highlight w:val="none"/>
              </w:rPr>
              <w:t>；≥</w:t>
            </w:r>
            <w:r>
              <w:rPr>
                <w:rFonts w:ascii="宋体" w:hAnsi="宋体"/>
                <w:color w:val="auto"/>
                <w:szCs w:val="21"/>
                <w:highlight w:val="none"/>
              </w:rPr>
              <w:t>1路HDMI；≥1路TV RF；≥1路USB，可随通道自动切换；≥1路Line in；≥1路RS232接口；≥1路RJ45。</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2）输出端子：≥1路耳机；≥1路同轴输出；≥1路Touch USB out。</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三、整机功能设计</w:t>
            </w:r>
          </w:p>
          <w:p>
            <w:pPr>
              <w:rPr>
                <w:rFonts w:ascii="宋体" w:hAnsi="宋体"/>
                <w:color w:val="auto"/>
                <w:szCs w:val="21"/>
                <w:highlight w:val="none"/>
              </w:rPr>
            </w:pPr>
            <w:r>
              <w:rPr>
                <w:rFonts w:hint="eastAsia" w:ascii="宋体" w:hAnsi="宋体"/>
                <w:color w:val="auto"/>
                <w:szCs w:val="21"/>
                <w:highlight w:val="none"/>
              </w:rPr>
              <w:t>（一）教学安全设计</w:t>
            </w:r>
          </w:p>
          <w:p>
            <w:pPr>
              <w:rPr>
                <w:rFonts w:ascii="宋体" w:hAnsi="宋体"/>
                <w:color w:val="auto"/>
                <w:szCs w:val="21"/>
                <w:highlight w:val="none"/>
              </w:rPr>
            </w:pPr>
            <w:r>
              <w:rPr>
                <w:rFonts w:ascii="宋体" w:hAnsi="宋体"/>
                <w:color w:val="auto"/>
                <w:szCs w:val="21"/>
                <w:highlight w:val="none"/>
              </w:rPr>
              <w:t>1、整机采用全金属外壳一体设计，外部无任何可见内部功能模块连接线。</w:t>
            </w:r>
          </w:p>
          <w:p>
            <w:pPr>
              <w:rPr>
                <w:rFonts w:ascii="宋体" w:hAnsi="宋体"/>
                <w:color w:val="auto"/>
                <w:szCs w:val="21"/>
                <w:highlight w:val="none"/>
              </w:rPr>
            </w:pPr>
            <w:r>
              <w:rPr>
                <w:rFonts w:ascii="宋体" w:hAnsi="宋体"/>
                <w:color w:val="auto"/>
                <w:szCs w:val="21"/>
                <w:highlight w:val="none"/>
              </w:rPr>
              <w:t>2、整机在0℃—40℃环境下可正常工作，在-20℃—60℃的环境下可正常贮存且贮存后功能无损。</w:t>
            </w:r>
          </w:p>
          <w:p>
            <w:pPr>
              <w:rPr>
                <w:rFonts w:ascii="宋体" w:hAnsi="宋体"/>
                <w:color w:val="auto"/>
                <w:szCs w:val="21"/>
                <w:highlight w:val="none"/>
              </w:rPr>
            </w:pPr>
            <w:r>
              <w:rPr>
                <w:rFonts w:ascii="宋体" w:hAnsi="宋体"/>
                <w:color w:val="auto"/>
                <w:szCs w:val="21"/>
                <w:highlight w:val="none"/>
              </w:rPr>
              <w:t>3、机身具备防盐雾锈蚀特性，且满足GB4943.1-2011标准中的防火要求。</w:t>
            </w:r>
          </w:p>
          <w:p>
            <w:pPr>
              <w:rPr>
                <w:rFonts w:ascii="宋体" w:hAnsi="宋体"/>
                <w:color w:val="auto"/>
                <w:szCs w:val="21"/>
                <w:highlight w:val="none"/>
              </w:rPr>
            </w:pPr>
            <w:r>
              <w:rPr>
                <w:rFonts w:ascii="宋体" w:hAnsi="宋体"/>
                <w:color w:val="auto"/>
                <w:szCs w:val="21"/>
                <w:highlight w:val="none"/>
              </w:rPr>
              <w:t>4、整机符合浪涌（冲击）抗扰度、静电放电抗扰度、射频电磁场辐射抗扰度、电快速瞬变脉冲群抗扰度、</w:t>
            </w:r>
            <w:r>
              <w:rPr>
                <w:rFonts w:hint="eastAsia" w:ascii="宋体" w:hAnsi="宋体"/>
                <w:color w:val="auto"/>
                <w:szCs w:val="21"/>
                <w:highlight w:val="none"/>
              </w:rPr>
              <w:t>射频场感应的传导抗扰度等要求，确保整机使用安全。</w:t>
            </w:r>
          </w:p>
          <w:p>
            <w:pPr>
              <w:rPr>
                <w:rFonts w:ascii="宋体" w:hAnsi="宋体"/>
                <w:color w:val="auto"/>
                <w:szCs w:val="21"/>
                <w:highlight w:val="none"/>
              </w:rPr>
            </w:pPr>
            <w:r>
              <w:rPr>
                <w:rFonts w:hint="eastAsia" w:ascii="宋体" w:hAnsi="宋体"/>
                <w:color w:val="auto"/>
                <w:szCs w:val="21"/>
                <w:highlight w:val="none"/>
              </w:rPr>
              <w:t>（二）教学音效及互动功能设计</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1、教学dbx-tv音效：支持用户在菜单中开启/关闭dbx-tv</w:t>
            </w:r>
            <w:r>
              <w:rPr>
                <w:rFonts w:hint="eastAsia" w:ascii="宋体" w:hAnsi="宋体"/>
                <w:color w:val="auto"/>
                <w:szCs w:val="21"/>
                <w:highlight w:val="none"/>
              </w:rPr>
              <w:t>中总恒音、总绚音的功能。（投标时须提供国家认可的第三方检测机构出具关于</w:t>
            </w:r>
            <w:r>
              <w:rPr>
                <w:rFonts w:ascii="宋体" w:hAnsi="宋体"/>
                <w:color w:val="auto"/>
                <w:szCs w:val="21"/>
                <w:highlight w:val="none"/>
              </w:rPr>
              <w:t>dbx-tv音效功能的检测报告复印件）</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2、互动课堂答题软件：（投标时须提供国家认可的第三方检测机构出具关于互动课堂功能的检测报告复印件）</w:t>
            </w:r>
          </w:p>
          <w:p>
            <w:pPr>
              <w:rPr>
                <w:rFonts w:ascii="宋体" w:hAnsi="宋体"/>
                <w:color w:val="auto"/>
                <w:szCs w:val="21"/>
                <w:highlight w:val="none"/>
              </w:rPr>
            </w:pPr>
            <w:r>
              <w:rPr>
                <w:rFonts w:ascii="宋体" w:hAnsi="宋体"/>
                <w:color w:val="auto"/>
                <w:szCs w:val="21"/>
                <w:highlight w:val="none"/>
              </w:rPr>
              <w:t>a.无需借助任何驱动，整机处于任意通道下，可调用互动课堂功能。</w:t>
            </w:r>
          </w:p>
          <w:p>
            <w:pPr>
              <w:rPr>
                <w:rFonts w:ascii="宋体" w:hAnsi="宋体"/>
                <w:color w:val="auto"/>
                <w:szCs w:val="21"/>
                <w:highlight w:val="none"/>
              </w:rPr>
            </w:pPr>
            <w:r>
              <w:rPr>
                <w:rFonts w:ascii="宋体" w:hAnsi="宋体"/>
                <w:color w:val="auto"/>
                <w:szCs w:val="21"/>
                <w:highlight w:val="none"/>
              </w:rPr>
              <w:t>b.支持手持终端扫描二维码，实现互动答题功能。</w:t>
            </w:r>
          </w:p>
          <w:p>
            <w:pPr>
              <w:rPr>
                <w:rFonts w:ascii="宋体" w:hAnsi="宋体"/>
                <w:color w:val="auto"/>
                <w:szCs w:val="21"/>
                <w:highlight w:val="none"/>
              </w:rPr>
            </w:pPr>
            <w:r>
              <w:rPr>
                <w:rFonts w:ascii="宋体" w:hAnsi="宋体"/>
                <w:color w:val="auto"/>
                <w:szCs w:val="21"/>
                <w:highlight w:val="none"/>
              </w:rPr>
              <w:t>c.支持用户发起单选题、多选题、抢答题等，其中单选题答题结束可在交互智能平板上查看答题结果，帮助用户了解课堂学习情况。</w:t>
            </w:r>
          </w:p>
          <w:p>
            <w:pPr>
              <w:rPr>
                <w:rFonts w:ascii="宋体" w:hAnsi="宋体"/>
                <w:color w:val="auto"/>
                <w:szCs w:val="21"/>
                <w:highlight w:val="none"/>
              </w:rPr>
            </w:pPr>
            <w:r>
              <w:rPr>
                <w:rFonts w:hint="eastAsia" w:ascii="宋体" w:hAnsi="宋体"/>
                <w:color w:val="auto"/>
                <w:szCs w:val="21"/>
                <w:highlight w:val="none"/>
              </w:rPr>
              <w:t>（三）教学节能系统</w:t>
            </w:r>
          </w:p>
          <w:p>
            <w:pPr>
              <w:rPr>
                <w:rFonts w:ascii="宋体" w:hAnsi="宋体"/>
                <w:color w:val="auto"/>
                <w:szCs w:val="21"/>
                <w:highlight w:val="none"/>
              </w:rPr>
            </w:pPr>
            <w:r>
              <w:rPr>
                <w:rFonts w:ascii="宋体" w:hAnsi="宋体"/>
                <w:color w:val="auto"/>
                <w:szCs w:val="21"/>
                <w:highlight w:val="none"/>
              </w:rPr>
              <w:t>1、自动节能功能：当设备在五分钟内处于无信号接收状态且无人操作时，将会自动关机。</w:t>
            </w:r>
          </w:p>
          <w:p>
            <w:pPr>
              <w:rPr>
                <w:rFonts w:ascii="宋体" w:hAnsi="宋体"/>
                <w:color w:val="auto"/>
                <w:szCs w:val="21"/>
                <w:highlight w:val="none"/>
              </w:rPr>
            </w:pPr>
            <w:r>
              <w:rPr>
                <w:rFonts w:ascii="宋体" w:hAnsi="宋体"/>
                <w:color w:val="auto"/>
                <w:szCs w:val="21"/>
                <w:highlight w:val="none"/>
              </w:rPr>
              <w:t>2、黑板关闭自动节能：当整机安装到推拉黑板中时，关闭推拉黑板，整机将可以自动进入黑屏模式。</w:t>
            </w:r>
          </w:p>
          <w:p>
            <w:pPr>
              <w:rPr>
                <w:rFonts w:ascii="宋体" w:hAnsi="宋体"/>
                <w:color w:val="auto"/>
                <w:szCs w:val="21"/>
                <w:highlight w:val="none"/>
              </w:rPr>
            </w:pPr>
            <w:r>
              <w:rPr>
                <w:rFonts w:hint="eastAsia" w:ascii="宋体" w:hAnsi="宋体"/>
                <w:color w:val="auto"/>
                <w:szCs w:val="21"/>
                <w:highlight w:val="none"/>
              </w:rPr>
              <w:t>（四）前置按键及接口</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整机具备不少于3路前置双系统USB3.0接口，双系统USB3.0接口支持Android系统、Windows系统读取外接移动存储设备，即插即用无需区分接口对应系统。（投标时须提供国家认可的第三方检测机构出具关于3路USB3.0接口功能的检测报告复印件）</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2、一键录屏功能：设备支持通过前置物理按键一键启动录屏功能，可将屏幕中显示的课件、音频内容与老师人声同时录制。（投标时须提供国家认可的第三方检测机构出具关于一键</w:t>
            </w:r>
            <w:r>
              <w:rPr>
                <w:rFonts w:hint="eastAsia" w:ascii="宋体" w:hAnsi="宋体"/>
                <w:color w:val="auto"/>
                <w:szCs w:val="21"/>
                <w:highlight w:val="none"/>
              </w:rPr>
              <w:t>录屏原功能的检测报告复印件）</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3、智能电子产品一键式设计：同一物理按键完成Android系统和Windows系统的节能熄屏操作，通过轻按按键实现节能熄屏/唤醒，</w:t>
            </w:r>
            <w:r>
              <w:rPr>
                <w:rFonts w:hint="eastAsia" w:ascii="宋体" w:hAnsi="宋体"/>
                <w:color w:val="auto"/>
                <w:szCs w:val="21"/>
                <w:highlight w:val="none"/>
              </w:rPr>
              <w:t>长按按键实现关机。</w:t>
            </w:r>
          </w:p>
          <w:p>
            <w:pPr>
              <w:rPr>
                <w:rFonts w:ascii="宋体" w:hAnsi="宋体"/>
                <w:color w:val="auto"/>
                <w:szCs w:val="21"/>
                <w:highlight w:val="none"/>
              </w:rPr>
            </w:pPr>
            <w:r>
              <w:rPr>
                <w:rFonts w:hint="eastAsia" w:ascii="宋体" w:hAnsi="宋体"/>
                <w:color w:val="auto"/>
                <w:szCs w:val="21"/>
                <w:highlight w:val="none"/>
              </w:rPr>
              <w:t>（五）教学小功能应用：</w:t>
            </w:r>
          </w:p>
          <w:p>
            <w:pPr>
              <w:rPr>
                <w:rFonts w:ascii="宋体" w:hAnsi="宋体"/>
                <w:color w:val="auto"/>
                <w:szCs w:val="21"/>
                <w:highlight w:val="none"/>
              </w:rPr>
            </w:pPr>
            <w:r>
              <w:rPr>
                <w:rFonts w:ascii="宋体" w:hAnsi="宋体"/>
                <w:color w:val="auto"/>
                <w:szCs w:val="21"/>
                <w:highlight w:val="none"/>
              </w:rPr>
              <w:t>1、手势板擦：整机在任意通道下通过手势识别调</w:t>
            </w:r>
            <w:r>
              <w:rPr>
                <w:rFonts w:hint="eastAsia" w:ascii="宋体" w:hAnsi="宋体"/>
                <w:color w:val="auto"/>
                <w:szCs w:val="21"/>
                <w:highlight w:val="none"/>
              </w:rPr>
              <w:t>出板擦工具擦除批注内容，可根据手与屏幕的接触面积自动调整板擦工具的大小。</w:t>
            </w:r>
          </w:p>
          <w:p>
            <w:pPr>
              <w:rPr>
                <w:rFonts w:ascii="宋体" w:hAnsi="宋体"/>
                <w:color w:val="auto"/>
                <w:szCs w:val="21"/>
                <w:highlight w:val="none"/>
              </w:rPr>
            </w:pPr>
            <w:r>
              <w:rPr>
                <w:rFonts w:ascii="宋体" w:hAnsi="宋体"/>
                <w:color w:val="auto"/>
                <w:szCs w:val="21"/>
                <w:highlight w:val="none"/>
              </w:rPr>
              <w:t>2、快速切换Android/PC通道：用户可自定义在任意通道下通过侧边菜单中的主页键功能，快速进入Android或PC通道的系统桌面。</w:t>
            </w:r>
          </w:p>
          <w:p>
            <w:pPr>
              <w:rPr>
                <w:rFonts w:ascii="宋体" w:hAnsi="宋体"/>
                <w:color w:val="auto"/>
                <w:szCs w:val="21"/>
                <w:highlight w:val="none"/>
              </w:rPr>
            </w:pPr>
            <w:r>
              <w:rPr>
                <w:rFonts w:ascii="宋体" w:hAnsi="宋体"/>
                <w:color w:val="auto"/>
                <w:szCs w:val="21"/>
                <w:highlight w:val="none"/>
              </w:rPr>
              <w:t>3、侧边菜单栏：支持自定义侧边菜单的显示位置与有效通道；用户可根据不同教学场景，设置侧边菜单中显示的功能应用及其有效通道，在Android、PC或其他通道下快捷调取快捷白板、批注、截图、冻屏等功能，并支持根据用户习惯任意调整显示顺序。</w:t>
            </w:r>
          </w:p>
          <w:p>
            <w:pPr>
              <w:rPr>
                <w:rFonts w:ascii="宋体" w:hAnsi="宋体"/>
                <w:color w:val="auto"/>
                <w:szCs w:val="21"/>
                <w:highlight w:val="none"/>
              </w:rPr>
            </w:pPr>
            <w:r>
              <w:rPr>
                <w:rFonts w:ascii="宋体" w:hAnsi="宋体"/>
                <w:color w:val="auto"/>
                <w:szCs w:val="21"/>
                <w:highlight w:val="none"/>
              </w:rPr>
              <w:t>4、无PC状态下，</w:t>
            </w:r>
            <w:r>
              <w:rPr>
                <w:rFonts w:hint="eastAsia" w:ascii="宋体" w:hAnsi="宋体"/>
                <w:color w:val="auto"/>
                <w:szCs w:val="21"/>
                <w:highlight w:val="none"/>
              </w:rPr>
              <w:t>嵌入式安卓操作系统支持超级计算器功能，可进行初级计算、方程（组）智能求解的操作，可根据用户输入的函数智能绘制函数图像。（投标时须提供国家认可的第三方检测机构出具关于超级计算器功能的检测报告复印件）</w:t>
            </w:r>
          </w:p>
          <w:p>
            <w:pPr>
              <w:rPr>
                <w:rFonts w:ascii="宋体" w:hAnsi="宋体"/>
                <w:color w:val="auto"/>
                <w:szCs w:val="21"/>
                <w:highlight w:val="none"/>
              </w:rPr>
            </w:pPr>
            <w:r>
              <w:rPr>
                <w:rFonts w:hint="eastAsia" w:ascii="宋体" w:hAnsi="宋体"/>
                <w:color w:val="auto"/>
                <w:szCs w:val="21"/>
                <w:highlight w:val="none"/>
              </w:rPr>
              <w:t>（六）在线资源获取系统</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1、整机</w:t>
            </w:r>
            <w:r>
              <w:rPr>
                <w:rFonts w:hint="eastAsia" w:ascii="宋体" w:hAnsi="宋体"/>
                <w:color w:val="auto"/>
                <w:szCs w:val="21"/>
                <w:highlight w:val="none"/>
              </w:rPr>
              <w:t>内置非独立外扩展的麦克风，可用于一键录屏对音频进行采集。（投标时须提供国家认可的第三方检测机构出具关于内置麦克风的检测报告复印件）</w:t>
            </w:r>
          </w:p>
          <w:p>
            <w:pPr>
              <w:rPr>
                <w:rFonts w:ascii="宋体" w:hAnsi="宋体"/>
                <w:color w:val="auto"/>
                <w:szCs w:val="21"/>
                <w:highlight w:val="none"/>
              </w:rPr>
            </w:pPr>
            <w:r>
              <w:rPr>
                <w:rFonts w:ascii="宋体" w:hAnsi="宋体"/>
                <w:color w:val="auto"/>
                <w:szCs w:val="21"/>
                <w:highlight w:val="none"/>
              </w:rPr>
              <w:t>2、内置摄像头、麦克风无需外接线材连接，无任何可见外接线材，以确保音视频传输稳定且不占用整机设备端口。</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扫码获取在线资源：整机内置非独立外扩展的摄像头，支持二维码扫码识别，可拍摄≥</w:t>
            </w:r>
            <w:r>
              <w:rPr>
                <w:rFonts w:ascii="宋体" w:hAnsi="宋体"/>
                <w:color w:val="auto"/>
                <w:szCs w:val="21"/>
                <w:highlight w:val="none"/>
              </w:rPr>
              <w:t>500</w:t>
            </w:r>
            <w:r>
              <w:rPr>
                <w:rFonts w:hint="eastAsia" w:ascii="宋体" w:hAnsi="宋体"/>
                <w:color w:val="auto"/>
                <w:szCs w:val="21"/>
                <w:highlight w:val="none"/>
              </w:rPr>
              <w:t>万像素的照片。（投标时须提供国家认可的第三方检测机构出具关于内置摄像头的检测报告复印件）</w:t>
            </w:r>
          </w:p>
          <w:p>
            <w:pPr>
              <w:rPr>
                <w:rFonts w:ascii="宋体" w:hAnsi="宋体"/>
                <w:color w:val="auto"/>
                <w:szCs w:val="21"/>
                <w:highlight w:val="none"/>
              </w:rPr>
            </w:pPr>
            <w:r>
              <w:rPr>
                <w:rFonts w:hint="eastAsia" w:ascii="宋体" w:hAnsi="宋体"/>
                <w:color w:val="auto"/>
                <w:szCs w:val="21"/>
                <w:highlight w:val="none"/>
              </w:rPr>
              <w:t>（七）教学书写设计</w:t>
            </w:r>
          </w:p>
          <w:p>
            <w:pPr>
              <w:rPr>
                <w:rFonts w:ascii="宋体" w:hAnsi="宋体"/>
                <w:color w:val="auto"/>
                <w:szCs w:val="21"/>
                <w:highlight w:val="none"/>
              </w:rPr>
            </w:pPr>
            <w:r>
              <w:rPr>
                <w:rFonts w:ascii="宋体" w:hAnsi="宋体"/>
                <w:color w:val="auto"/>
                <w:szCs w:val="21"/>
                <w:highlight w:val="none"/>
              </w:rPr>
              <w:t>1、书写方式：手指或笔触摸，定位分辨率：32767*32767。</w:t>
            </w:r>
          </w:p>
          <w:p>
            <w:pPr>
              <w:rPr>
                <w:rFonts w:ascii="宋体" w:hAnsi="宋体"/>
                <w:color w:val="auto"/>
                <w:szCs w:val="21"/>
                <w:highlight w:val="none"/>
              </w:rPr>
            </w:pPr>
            <w:r>
              <w:rPr>
                <w:rFonts w:ascii="宋体" w:hAnsi="宋体"/>
                <w:color w:val="auto"/>
                <w:szCs w:val="21"/>
                <w:highlight w:val="none"/>
              </w:rPr>
              <w:t>2、触摸精准性：整机屏幕触摸有效识别高度不超过3mm,，即触摸物体距离玻璃外表面高度不超过3mm时，触摸屏识别为点击操作。</w:t>
            </w:r>
          </w:p>
          <w:p>
            <w:pPr>
              <w:rPr>
                <w:rFonts w:ascii="宋体" w:hAnsi="宋体"/>
                <w:color w:val="auto"/>
                <w:szCs w:val="21"/>
                <w:highlight w:val="none"/>
              </w:rPr>
            </w:pPr>
            <w:r>
              <w:rPr>
                <w:rFonts w:ascii="宋体" w:hAnsi="宋体"/>
                <w:color w:val="auto"/>
                <w:szCs w:val="21"/>
                <w:highlight w:val="none"/>
              </w:rPr>
              <w:t>3、触摸框切换到内部通道后再1s内达到可触摸状态，触摸框切换到外部通道后在4s内达到可触摸状态。</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触摸框免驱：</w:t>
            </w:r>
            <w:r>
              <w:rPr>
                <w:rFonts w:ascii="宋体" w:hAnsi="宋体"/>
                <w:color w:val="auto"/>
                <w:szCs w:val="21"/>
                <w:highlight w:val="none"/>
              </w:rPr>
              <w:t>Windows XP、Windows 7、Windows 8、 Linux、Mac OS系统外置电脑操作系统接入时，无需安装触摸框驱动。（投标时须提供国家认可的第三方检测机构出具关于触摸</w:t>
            </w:r>
            <w:r>
              <w:rPr>
                <w:rFonts w:hint="eastAsia" w:ascii="宋体" w:hAnsi="宋体"/>
                <w:color w:val="auto"/>
                <w:szCs w:val="21"/>
                <w:highlight w:val="none"/>
              </w:rPr>
              <w:t>框免驱功能的检测报告复印件）</w:t>
            </w:r>
          </w:p>
          <w:p>
            <w:pPr>
              <w:rPr>
                <w:rFonts w:ascii="宋体" w:hAnsi="宋体"/>
                <w:color w:val="auto"/>
                <w:szCs w:val="21"/>
                <w:highlight w:val="none"/>
              </w:rPr>
            </w:pPr>
            <w:r>
              <w:rPr>
                <w:rFonts w:ascii="宋体" w:hAnsi="宋体"/>
                <w:color w:val="auto"/>
                <w:szCs w:val="21"/>
                <w:highlight w:val="none"/>
              </w:rPr>
              <w:t>5、触摸屏具有防光干扰功能，在照度80K lux环境下可以正常工作。（投标时须提供国家认可的第三方检测机构出具关于防光干扰功能的检测报告复印件）</w:t>
            </w:r>
          </w:p>
          <w:p>
            <w:pPr>
              <w:rPr>
                <w:rFonts w:ascii="宋体" w:hAnsi="宋体"/>
                <w:color w:val="auto"/>
                <w:szCs w:val="21"/>
                <w:highlight w:val="none"/>
              </w:rPr>
            </w:pPr>
            <w:r>
              <w:rPr>
                <w:rFonts w:hint="eastAsia" w:ascii="宋体" w:hAnsi="宋体"/>
                <w:color w:val="auto"/>
                <w:szCs w:val="21"/>
                <w:highlight w:val="none"/>
              </w:rPr>
              <w:t>（八）便捷教学功能应用</w:t>
            </w:r>
          </w:p>
          <w:p>
            <w:pPr>
              <w:rPr>
                <w:rFonts w:ascii="宋体" w:hAnsi="宋体"/>
                <w:color w:val="auto"/>
                <w:szCs w:val="21"/>
                <w:highlight w:val="none"/>
              </w:rPr>
            </w:pPr>
            <w:r>
              <w:rPr>
                <w:rFonts w:ascii="宋体" w:hAnsi="宋体"/>
                <w:color w:val="auto"/>
                <w:szCs w:val="21"/>
                <w:highlight w:val="none"/>
              </w:rPr>
              <w:t>1、外接电脑连接整机且触摸信号联通时，外接电脑可直接读取整机前置USB接口的移动存储设备数据，连接整机前置USB接口的翻页笔和无线键</w:t>
            </w:r>
          </w:p>
          <w:p>
            <w:pPr>
              <w:rPr>
                <w:rFonts w:ascii="宋体" w:hAnsi="宋体"/>
                <w:color w:val="auto"/>
                <w:szCs w:val="21"/>
                <w:highlight w:val="none"/>
              </w:rPr>
            </w:pPr>
            <w:r>
              <w:rPr>
                <w:rFonts w:ascii="宋体" w:hAnsi="宋体"/>
                <w:color w:val="auto"/>
                <w:szCs w:val="21"/>
                <w:highlight w:val="none"/>
              </w:rPr>
              <w:t>2、一键还原设计：在PC系统出现异常或需要清除PC数据时，可插入带激活文件的U盘,在嵌入式系统的设置界面中启动PC一键还原功能，将PC系统恢复至出厂状态。（投标时须提供国家认可的第三方检测机构出具关于一键还原功能的检测报告复印件）</w:t>
            </w:r>
          </w:p>
          <w:p>
            <w:pPr>
              <w:rPr>
                <w:rFonts w:ascii="宋体" w:hAnsi="宋体"/>
                <w:color w:val="auto"/>
                <w:szCs w:val="21"/>
                <w:highlight w:val="none"/>
              </w:rPr>
            </w:pPr>
            <w:r>
              <w:rPr>
                <w:rFonts w:ascii="宋体" w:hAnsi="宋体"/>
                <w:color w:val="auto"/>
                <w:szCs w:val="21"/>
                <w:highlight w:val="none"/>
              </w:rPr>
              <w:t>3、触摸中控菜单上的通道信号</w:t>
            </w:r>
            <w:r>
              <w:rPr>
                <w:rFonts w:hint="eastAsia" w:ascii="宋体" w:hAnsi="宋体"/>
                <w:color w:val="auto"/>
                <w:szCs w:val="21"/>
                <w:highlight w:val="none"/>
              </w:rPr>
              <w:t>源支持自定义，方便老师教学日常使用。</w:t>
            </w:r>
          </w:p>
          <w:p>
            <w:pPr>
              <w:rPr>
                <w:rFonts w:ascii="宋体" w:hAnsi="宋体"/>
                <w:color w:val="auto"/>
                <w:szCs w:val="21"/>
                <w:highlight w:val="none"/>
              </w:rPr>
            </w:pPr>
            <w:r>
              <w:rPr>
                <w:rFonts w:ascii="宋体" w:hAnsi="宋体"/>
                <w:color w:val="auto"/>
                <w:szCs w:val="21"/>
                <w:highlight w:val="none"/>
              </w:rPr>
              <w:t>4、一键自检功能：整机内置专业硬件自</w:t>
            </w:r>
            <w:r>
              <w:rPr>
                <w:rFonts w:hint="eastAsia" w:ascii="宋体" w:hAnsi="宋体"/>
                <w:color w:val="auto"/>
                <w:szCs w:val="21"/>
                <w:highlight w:val="none"/>
              </w:rPr>
              <w:t>检维护工具（不接受第三方工具），支持对触摸框、</w:t>
            </w:r>
            <w:r>
              <w:rPr>
                <w:rFonts w:ascii="宋体" w:hAnsi="宋体"/>
                <w:color w:val="auto"/>
                <w:szCs w:val="21"/>
                <w:highlight w:val="none"/>
              </w:rPr>
              <w:t>PC模块、光感系统等模块进行检测，针对不同模块给出问题原因提示，可对嵌入式系统运行内存、垃圾文件进行清理。（投标时须提供国家认可的第三方检测机构出具关于一键自检功能的检测报告复印件）</w:t>
            </w:r>
          </w:p>
          <w:p>
            <w:pPr>
              <w:rPr>
                <w:rFonts w:ascii="宋体" w:hAnsi="宋体"/>
                <w:color w:val="auto"/>
                <w:szCs w:val="21"/>
                <w:highlight w:val="none"/>
              </w:rPr>
            </w:pPr>
            <w:r>
              <w:rPr>
                <w:rFonts w:ascii="宋体" w:hAnsi="宋体"/>
                <w:color w:val="auto"/>
                <w:szCs w:val="21"/>
                <w:highlight w:val="none"/>
              </w:rPr>
              <w:t>5、具备电视遥控功能和电脑键盘常用的F1至F12功能键及Alt+F4、Alt+Tab</w:t>
            </w:r>
            <w:r>
              <w:rPr>
                <w:rFonts w:hint="eastAsia" w:ascii="宋体" w:hAnsi="宋体"/>
                <w:color w:val="auto"/>
                <w:szCs w:val="21"/>
                <w:highlight w:val="none"/>
              </w:rPr>
              <w:t>、</w:t>
            </w:r>
            <w:r>
              <w:rPr>
                <w:rFonts w:ascii="宋体" w:hAnsi="宋体"/>
                <w:color w:val="auto"/>
                <w:szCs w:val="21"/>
                <w:highlight w:val="none"/>
              </w:rPr>
              <w:t>Space、Enter、windows等快捷按键，可实现一键开启交互白板软件、PPT上下翻页、一键锁定/解锁触摸及整机实体按键、一键冻结屏幕、一键查看整机温度的功能。</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四、内置电脑配置设计</w:t>
            </w:r>
          </w:p>
          <w:p>
            <w:pPr>
              <w:rPr>
                <w:rFonts w:ascii="宋体" w:hAnsi="宋体"/>
                <w:color w:val="auto"/>
                <w:szCs w:val="21"/>
                <w:highlight w:val="none"/>
              </w:rPr>
            </w:pPr>
            <w:r>
              <w:rPr>
                <w:rFonts w:ascii="宋体" w:hAnsi="宋体"/>
                <w:color w:val="auto"/>
                <w:szCs w:val="21"/>
                <w:highlight w:val="none"/>
              </w:rPr>
              <w:t>1、CPU: i5 CPU或以上配置。</w:t>
            </w:r>
          </w:p>
          <w:p>
            <w:pPr>
              <w:rPr>
                <w:rFonts w:ascii="宋体" w:hAnsi="宋体"/>
                <w:color w:val="auto"/>
                <w:szCs w:val="21"/>
                <w:highlight w:val="none"/>
              </w:rPr>
            </w:pPr>
            <w:r>
              <w:rPr>
                <w:rFonts w:ascii="宋体" w:hAnsi="宋体"/>
                <w:color w:val="auto"/>
                <w:szCs w:val="21"/>
                <w:highlight w:val="none"/>
              </w:rPr>
              <w:t xml:space="preserve">2、内存：4G </w:t>
            </w:r>
            <w:r>
              <w:rPr>
                <w:rFonts w:hint="eastAsia" w:ascii="宋体" w:hAnsi="宋体"/>
                <w:color w:val="auto"/>
                <w:szCs w:val="21"/>
                <w:highlight w:val="none"/>
              </w:rPr>
              <w:t>笔记本内存或以上配置。</w:t>
            </w:r>
          </w:p>
          <w:p>
            <w:pPr>
              <w:rPr>
                <w:rFonts w:ascii="宋体" w:hAnsi="宋体"/>
                <w:color w:val="auto"/>
                <w:szCs w:val="21"/>
                <w:highlight w:val="none"/>
              </w:rPr>
            </w:pPr>
            <w:r>
              <w:rPr>
                <w:rFonts w:ascii="宋体" w:hAnsi="宋体"/>
                <w:color w:val="auto"/>
                <w:szCs w:val="21"/>
                <w:highlight w:val="none"/>
              </w:rPr>
              <w:t>3、硬盘：256G或以上SSD固态硬盘。</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4、采用抽拉内置式模块化电脑，抽拉内置式，PC模块可插入整机，可实现无单独接线的插拔。采用110pin或以上接口。采用</w:t>
            </w:r>
            <w:r>
              <w:rPr>
                <w:rFonts w:hint="eastAsia" w:ascii="宋体" w:hAnsi="宋体"/>
                <w:color w:val="auto"/>
                <w:szCs w:val="21"/>
                <w:highlight w:val="none"/>
              </w:rPr>
              <w:t>按压式卡扣方式，无需工具即可快速拆卸电脑模块。（投标时须提供国家认可的第三方检测机构出具关于电脑模块接口数量功能的检测报告复印件）</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5、具有独立非外扩展的电脑USB接口：电脑上至少具备3个USB3.0 TypeA</w:t>
            </w:r>
            <w:r>
              <w:rPr>
                <w:rFonts w:hint="eastAsia" w:ascii="宋体" w:hAnsi="宋体"/>
                <w:color w:val="auto"/>
                <w:szCs w:val="21"/>
                <w:highlight w:val="none"/>
              </w:rPr>
              <w:t>接口，</w:t>
            </w:r>
            <w:r>
              <w:rPr>
                <w:rFonts w:ascii="宋体" w:hAnsi="宋体"/>
                <w:color w:val="auto"/>
                <w:szCs w:val="21"/>
                <w:highlight w:val="none"/>
              </w:rPr>
              <w:t>1个USB TypeC</w:t>
            </w:r>
            <w:r>
              <w:rPr>
                <w:rFonts w:hint="eastAsia" w:ascii="宋体" w:hAnsi="宋体"/>
                <w:color w:val="auto"/>
                <w:szCs w:val="21"/>
                <w:highlight w:val="none"/>
              </w:rPr>
              <w:t>接口。</w:t>
            </w:r>
          </w:p>
          <w:p>
            <w:pPr>
              <w:rPr>
                <w:rFonts w:ascii="宋体" w:hAnsi="宋体"/>
                <w:color w:val="auto"/>
                <w:szCs w:val="21"/>
                <w:highlight w:val="none"/>
              </w:rPr>
            </w:pPr>
            <w:r>
              <w:rPr>
                <w:rFonts w:ascii="宋体" w:hAnsi="宋体"/>
                <w:color w:val="auto"/>
                <w:szCs w:val="21"/>
                <w:highlight w:val="none"/>
              </w:rPr>
              <w:t xml:space="preserve">6、具有独立非外扩展的视频输出接口：≥1路VGA </w:t>
            </w:r>
            <w:r>
              <w:rPr>
                <w:rFonts w:hint="eastAsia" w:ascii="宋体" w:hAnsi="宋体"/>
                <w:color w:val="auto"/>
                <w:szCs w:val="21"/>
                <w:highlight w:val="none"/>
              </w:rPr>
              <w:t>；≥</w:t>
            </w:r>
            <w:r>
              <w:rPr>
                <w:rFonts w:ascii="宋体" w:hAnsi="宋体"/>
                <w:color w:val="auto"/>
                <w:szCs w:val="21"/>
                <w:highlight w:val="none"/>
              </w:rPr>
              <w:t xml:space="preserve">1路HDMI </w:t>
            </w:r>
            <w:r>
              <w:rPr>
                <w:rFonts w:hint="eastAsia" w:ascii="宋体" w:hAnsi="宋体"/>
                <w:color w:val="auto"/>
                <w:szCs w:val="21"/>
                <w:highlight w:val="none"/>
              </w:rPr>
              <w:t>；≥</w:t>
            </w:r>
            <w:r>
              <w:rPr>
                <w:rFonts w:ascii="宋体" w:hAnsi="宋体"/>
                <w:color w:val="auto"/>
                <w:szCs w:val="21"/>
                <w:highlight w:val="none"/>
              </w:rPr>
              <w:t>1路DP。</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五、教学安全锁定密钥</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1、按键锁定功能：支持锁定屏幕触摸和整机前置按键，可通过遥控器、软件菜单（调试菜单）实现该功能，也可通过前置的实体按键以组合按键的形式进行锁定/解锁。</w:t>
            </w:r>
          </w:p>
          <w:p>
            <w:pPr>
              <w:rPr>
                <w:rFonts w:ascii="宋体" w:hAnsi="宋体"/>
                <w:color w:val="auto"/>
                <w:szCs w:val="21"/>
                <w:highlight w:val="none"/>
              </w:rPr>
            </w:pPr>
            <w:r>
              <w:rPr>
                <w:rFonts w:ascii="宋体" w:hAnsi="宋体"/>
                <w:color w:val="auto"/>
                <w:szCs w:val="21"/>
                <w:highlight w:val="none"/>
              </w:rPr>
              <w:t>2、智能U盘锁定：支持智能U</w:t>
            </w:r>
            <w:r>
              <w:rPr>
                <w:rFonts w:hint="eastAsia" w:ascii="宋体" w:hAnsi="宋体"/>
                <w:color w:val="auto"/>
                <w:szCs w:val="21"/>
                <w:highlight w:val="none"/>
              </w:rPr>
              <w:t>盘锁功能，整机可设置触摸及按键锁定，锁定后无法随意自由操作，需要使用时插入</w:t>
            </w:r>
            <w:r>
              <w:rPr>
                <w:rFonts w:ascii="宋体" w:hAnsi="宋体"/>
                <w:color w:val="auto"/>
                <w:szCs w:val="21"/>
                <w:highlight w:val="none"/>
              </w:rPr>
              <w:t>USB key可解锁。（投标时须提供国家认可的第三方检测机构出具关于U</w:t>
            </w:r>
            <w:r>
              <w:rPr>
                <w:rFonts w:hint="eastAsia" w:ascii="宋体" w:hAnsi="宋体"/>
                <w:color w:val="auto"/>
                <w:szCs w:val="21"/>
                <w:highlight w:val="none"/>
              </w:rPr>
              <w:t>盘锁功能的检测报告复印件）</w:t>
            </w:r>
          </w:p>
          <w:p>
            <w:pPr>
              <w:rPr>
                <w:rFonts w:ascii="宋体" w:hAnsi="宋体"/>
                <w:color w:val="auto"/>
                <w:szCs w:val="21"/>
                <w:highlight w:val="none"/>
              </w:rPr>
            </w:pPr>
            <w:r>
              <w:rPr>
                <w:rFonts w:ascii="宋体" w:hAnsi="宋体"/>
                <w:color w:val="auto"/>
                <w:szCs w:val="21"/>
                <w:highlight w:val="none"/>
              </w:rPr>
              <w:t>3、屏幕锁：Android系统下支持屏幕密码锁功能，可自定义解锁密码，开启后可锁定屏幕、整机按键及遥控器。</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六、教学备授课一体化软件</w:t>
            </w:r>
          </w:p>
          <w:p>
            <w:pPr>
              <w:rPr>
                <w:rFonts w:ascii="宋体" w:hAnsi="宋体"/>
                <w:color w:val="auto"/>
                <w:szCs w:val="21"/>
                <w:highlight w:val="none"/>
              </w:rPr>
            </w:pPr>
            <w:r>
              <w:rPr>
                <w:rFonts w:hint="eastAsia" w:ascii="宋体" w:hAnsi="宋体"/>
                <w:color w:val="auto"/>
                <w:szCs w:val="21"/>
                <w:highlight w:val="none"/>
              </w:rPr>
              <w:t>（一）白板教学</w:t>
            </w:r>
            <w:r>
              <w:rPr>
                <w:rFonts w:ascii="宋体" w:hAnsi="宋体"/>
                <w:color w:val="auto"/>
                <w:szCs w:val="21"/>
                <w:highlight w:val="none"/>
              </w:rPr>
              <w:t>PC端应用</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1、教学系统为全校教师提供可扩展，易于学校管理，安全可靠的云存储空间，根据每名教师使用时长与教学资料制作频率提供可扩展升级至不小于200G的个人云空间。</w:t>
            </w:r>
          </w:p>
          <w:p>
            <w:pPr>
              <w:rPr>
                <w:rFonts w:ascii="宋体" w:hAnsi="宋体"/>
                <w:color w:val="auto"/>
                <w:szCs w:val="21"/>
                <w:highlight w:val="none"/>
              </w:rPr>
            </w:pPr>
            <w:r>
              <w:rPr>
                <w:rFonts w:ascii="宋体" w:hAnsi="宋体"/>
                <w:color w:val="auto"/>
                <w:szCs w:val="21"/>
                <w:highlight w:val="none"/>
              </w:rPr>
              <w:t>2、教学系统须为使用</w:t>
            </w:r>
            <w:r>
              <w:rPr>
                <w:rFonts w:hint="eastAsia" w:ascii="宋体" w:hAnsi="宋体"/>
                <w:color w:val="auto"/>
                <w:szCs w:val="21"/>
                <w:highlight w:val="none"/>
              </w:rPr>
              <w:t>方全体教师配备个人账号，形成一体的信息化教学账号体系；根据教师账号信息将教师云空间匹配至对应学校、学科校本资源库。支持通过数字账号、微信二维码、硬件密钥方式登录教师个人账号。</w:t>
            </w:r>
          </w:p>
          <w:p>
            <w:pPr>
              <w:rPr>
                <w:rFonts w:ascii="宋体" w:hAnsi="宋体"/>
                <w:color w:val="auto"/>
                <w:szCs w:val="21"/>
                <w:highlight w:val="none"/>
              </w:rPr>
            </w:pPr>
            <w:r>
              <w:rPr>
                <w:rFonts w:ascii="宋体" w:hAnsi="宋体"/>
                <w:color w:val="auto"/>
                <w:szCs w:val="21"/>
                <w:highlight w:val="none"/>
              </w:rPr>
              <w:t>3、互动教学课件支持定向精准分享：分享者可将互动课件、课件组精准推送至指定接收方账号云空间，接收方可在</w:t>
            </w:r>
            <w:r>
              <w:rPr>
                <w:rFonts w:hint="eastAsia" w:ascii="宋体" w:hAnsi="宋体"/>
                <w:color w:val="auto"/>
                <w:szCs w:val="21"/>
                <w:highlight w:val="none"/>
              </w:rPr>
              <w:t>云空间接收并打开分享课件。</w:t>
            </w:r>
          </w:p>
          <w:p>
            <w:pPr>
              <w:rPr>
                <w:rFonts w:ascii="宋体" w:hAnsi="宋体"/>
                <w:color w:val="auto"/>
                <w:szCs w:val="21"/>
                <w:highlight w:val="none"/>
              </w:rPr>
            </w:pPr>
            <w:r>
              <w:rPr>
                <w:rFonts w:ascii="宋体" w:hAnsi="宋体"/>
                <w:color w:val="auto"/>
                <w:szCs w:val="21"/>
                <w:highlight w:val="none"/>
              </w:rPr>
              <w:t>4、上传下载一体化云存储：备课时支持将</w:t>
            </w:r>
            <w:r>
              <w:rPr>
                <w:rFonts w:hint="eastAsia" w:ascii="宋体" w:hAnsi="宋体"/>
                <w:color w:val="auto"/>
                <w:szCs w:val="21"/>
                <w:highlight w:val="none"/>
              </w:rPr>
              <w:t>云空间中存储图片、音频、视频等素材插入课件，同时支持将课件中的图片、音频、视频等素材右键上传至云空间。互动教学课件支持开放式云分享：分享者可将互动课件、课件组以公开或加密的</w:t>
            </w:r>
            <w:r>
              <w:rPr>
                <w:rFonts w:ascii="宋体" w:hAnsi="宋体"/>
                <w:color w:val="auto"/>
                <w:szCs w:val="21"/>
                <w:highlight w:val="none"/>
              </w:rPr>
              <w:t xml:space="preserve"> web </w:t>
            </w:r>
            <w:r>
              <w:rPr>
                <w:rFonts w:hint="eastAsia" w:ascii="宋体" w:hAnsi="宋体"/>
                <w:color w:val="auto"/>
                <w:szCs w:val="21"/>
                <w:highlight w:val="none"/>
              </w:rPr>
              <w:t>链接和二维码形式进行分享，分享链接可设置访问有效期。</w:t>
            </w:r>
          </w:p>
          <w:p>
            <w:pPr>
              <w:rPr>
                <w:rFonts w:ascii="宋体" w:hAnsi="宋体"/>
                <w:color w:val="auto"/>
                <w:szCs w:val="21"/>
                <w:highlight w:val="none"/>
              </w:rPr>
            </w:pPr>
            <w:r>
              <w:rPr>
                <w:rFonts w:ascii="宋体" w:hAnsi="宋体"/>
                <w:color w:val="auto"/>
                <w:szCs w:val="21"/>
                <w:highlight w:val="none"/>
              </w:rPr>
              <w:t xml:space="preserve">5、语文工具：具备汉字生字卡，直观展示汉字部首、笔画数量，笔画书写支持分步展示和连续展示，教师可一次性生成多个汉字生字卡，同步生成数量不少于 5 </w:t>
            </w:r>
            <w:r>
              <w:rPr>
                <w:rFonts w:hint="eastAsia" w:ascii="宋体" w:hAnsi="宋体"/>
                <w:color w:val="auto"/>
                <w:szCs w:val="21"/>
                <w:highlight w:val="none"/>
              </w:rPr>
              <w:t>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互动分类游戏：支持创建互动分类游戏，可自定义不同类别及相对应的对象，实现将不同对象拖拽到对应的类别容器中可自动辨识分类，分类正确或错误均有相应提示。类别和对象的样式、数量均可以自定义设置。系统须提供不少于10种游戏模板，直接选择并输入相应内容即可轻松生成互动分类游戏，提升课堂趣味性。</w:t>
            </w:r>
          </w:p>
          <w:p>
            <w:pPr>
              <w:rPr>
                <w:rFonts w:ascii="宋体" w:hAnsi="宋体"/>
                <w:color w:val="auto"/>
                <w:szCs w:val="21"/>
                <w:highlight w:val="none"/>
              </w:rPr>
            </w:pPr>
            <w:r>
              <w:rPr>
                <w:rFonts w:ascii="宋体" w:hAnsi="宋体"/>
                <w:color w:val="auto"/>
                <w:szCs w:val="21"/>
                <w:highlight w:val="none"/>
              </w:rPr>
              <w:t>7、智能选词填空：支持创建智能选词填空游戏，教师可随意编辑填空题题</w:t>
            </w:r>
            <w:r>
              <w:rPr>
                <w:rFonts w:hint="eastAsia" w:ascii="宋体" w:hAnsi="宋体"/>
                <w:color w:val="auto"/>
                <w:szCs w:val="21"/>
                <w:highlight w:val="none"/>
              </w:rPr>
              <w:t>干以及相应的答案选项，将选项拖到对应题干空白处，系统将自动判别答案是否正确。系统须提供不少于</w:t>
            </w:r>
            <w:r>
              <w:rPr>
                <w:rFonts w:ascii="宋体" w:hAnsi="宋体"/>
                <w:color w:val="auto"/>
                <w:szCs w:val="21"/>
                <w:highlight w:val="none"/>
              </w:rPr>
              <w:t xml:space="preserve"> 9 </w:t>
            </w:r>
            <w:r>
              <w:rPr>
                <w:rFonts w:hint="eastAsia" w:ascii="宋体" w:hAnsi="宋体"/>
                <w:color w:val="auto"/>
                <w:szCs w:val="21"/>
                <w:highlight w:val="none"/>
              </w:rPr>
              <w:t>种游戏模板供老师选择，且模板样式支持自定义修改。</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8、智能配对游戏：支持创建配对游戏，教师可随意将知识点进行配对。当开始配对游戏时，拖动知识点进行配对，系统将自动判断是否正确。系统至少提供10种游戏模版，</w:t>
            </w:r>
            <w:r>
              <w:rPr>
                <w:rFonts w:hint="eastAsia" w:ascii="宋体" w:hAnsi="宋体"/>
                <w:color w:val="auto"/>
                <w:szCs w:val="21"/>
                <w:highlight w:val="none"/>
              </w:rPr>
              <w:t>且模版样式支持自定义修改。</w:t>
            </w:r>
          </w:p>
          <w:p>
            <w:pPr>
              <w:rPr>
                <w:rFonts w:ascii="宋体" w:hAnsi="宋体"/>
                <w:color w:val="auto"/>
                <w:szCs w:val="21"/>
                <w:highlight w:val="none"/>
              </w:rPr>
            </w:pPr>
            <w:r>
              <w:rPr>
                <w:rFonts w:ascii="宋体" w:hAnsi="宋体"/>
                <w:color w:val="auto"/>
                <w:szCs w:val="21"/>
                <w:highlight w:val="none"/>
              </w:rPr>
              <w:t xml:space="preserve">9、分组竞争游戏：支持创建分组竞争游戏，教师可设置正确项／干扰项，让两组学生开展竞争游戏。系统提供不少于 3 </w:t>
            </w:r>
            <w:r>
              <w:rPr>
                <w:rFonts w:hint="eastAsia" w:ascii="宋体" w:hAnsi="宋体"/>
                <w:color w:val="auto"/>
                <w:szCs w:val="21"/>
                <w:highlight w:val="none"/>
              </w:rPr>
              <w:t>种难度、</w:t>
            </w:r>
            <w:r>
              <w:rPr>
                <w:rFonts w:ascii="宋体" w:hAnsi="宋体"/>
                <w:color w:val="auto"/>
                <w:szCs w:val="21"/>
                <w:highlight w:val="none"/>
              </w:rPr>
              <w:t>9种游戏模版选择，</w:t>
            </w:r>
            <w:r>
              <w:rPr>
                <w:rFonts w:hint="eastAsia" w:ascii="宋体" w:hAnsi="宋体"/>
                <w:color w:val="auto"/>
                <w:szCs w:val="21"/>
                <w:highlight w:val="none"/>
              </w:rPr>
              <w:t>且模版样式支持自定义修改。</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10、数学公式编辑器：支持复杂数学公式输入，提供不少于 20 </w:t>
            </w:r>
            <w:r>
              <w:rPr>
                <w:rFonts w:hint="eastAsia" w:ascii="宋体" w:hAnsi="宋体"/>
                <w:color w:val="auto"/>
                <w:szCs w:val="21"/>
                <w:highlight w:val="none"/>
              </w:rPr>
              <w:t>个数学符号及模板，输出的公式内容支持不同颜色标记及二次编辑。</w:t>
            </w:r>
          </w:p>
          <w:p>
            <w:pPr>
              <w:rPr>
                <w:rFonts w:ascii="宋体" w:hAnsi="宋体"/>
                <w:color w:val="auto"/>
                <w:szCs w:val="21"/>
                <w:highlight w:val="none"/>
              </w:rPr>
            </w:pPr>
            <w:r>
              <w:rPr>
                <w:rFonts w:ascii="宋体" w:hAnsi="宋体"/>
                <w:color w:val="auto"/>
                <w:szCs w:val="21"/>
                <w:highlight w:val="none"/>
              </w:rPr>
              <w:t>11、数学画板功能：</w:t>
            </w:r>
          </w:p>
          <w:p>
            <w:pPr>
              <w:rPr>
                <w:rFonts w:ascii="宋体" w:hAnsi="宋体"/>
                <w:color w:val="auto"/>
                <w:szCs w:val="21"/>
                <w:highlight w:val="none"/>
              </w:rPr>
            </w:pPr>
            <w:r>
              <w:rPr>
                <w:rFonts w:ascii="宋体" w:hAnsi="宋体"/>
                <w:color w:val="auto"/>
                <w:szCs w:val="21"/>
                <w:highlight w:val="none"/>
              </w:rPr>
              <w:t>a)能在白板中插入在线画板，授课时可以一键打开,方便老师配合课件内容进行讲解。</w:t>
            </w:r>
          </w:p>
          <w:p>
            <w:pPr>
              <w:rPr>
                <w:rFonts w:ascii="宋体" w:hAnsi="宋体"/>
                <w:color w:val="auto"/>
                <w:szCs w:val="21"/>
                <w:highlight w:val="none"/>
              </w:rPr>
            </w:pPr>
            <w:r>
              <w:rPr>
                <w:rFonts w:ascii="宋体" w:hAnsi="宋体"/>
                <w:color w:val="auto"/>
                <w:szCs w:val="21"/>
                <w:highlight w:val="none"/>
              </w:rPr>
              <w:t>b)覆盖小学、初中、高中学段数学学科主要知识点，并按照知识点分类，便于老师查找。</w:t>
            </w:r>
          </w:p>
          <w:p>
            <w:pPr>
              <w:rPr>
                <w:rFonts w:ascii="宋体" w:hAnsi="宋体"/>
                <w:color w:val="auto"/>
                <w:szCs w:val="21"/>
                <w:highlight w:val="none"/>
              </w:rPr>
            </w:pPr>
            <w:r>
              <w:rPr>
                <w:rFonts w:ascii="宋体" w:hAnsi="宋体"/>
                <w:color w:val="auto"/>
                <w:szCs w:val="21"/>
                <w:highlight w:val="none"/>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pPr>
              <w:rPr>
                <w:rFonts w:ascii="宋体" w:hAnsi="宋体"/>
                <w:color w:val="auto"/>
                <w:szCs w:val="21"/>
                <w:highlight w:val="none"/>
              </w:rPr>
            </w:pPr>
            <w:r>
              <w:rPr>
                <w:rFonts w:ascii="宋体" w:hAnsi="宋体"/>
                <w:color w:val="auto"/>
                <w:szCs w:val="21"/>
                <w:highlight w:val="none"/>
              </w:rPr>
              <w:t>d)老师创建个人画板，除了点、线、面等基础元素以外，画板</w:t>
            </w:r>
            <w:r>
              <w:rPr>
                <w:rFonts w:hint="eastAsia" w:ascii="宋体" w:hAnsi="宋体"/>
                <w:color w:val="auto"/>
                <w:szCs w:val="21"/>
                <w:highlight w:val="none"/>
              </w:rPr>
              <w:t>还可提供线段中点、椭圆焦点、极坐标方程等数十种数学常用工具，保证老师日常备授课所需。创建完成后，老师可一键将画板插入白板，与课件无缝连接。</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12、思维导图：提供思维导图、鱼骨图及组织结构图编辑功能，可轻松增删或拖拽编辑内容节点，并支持在节点上插入图片、视频、网页链接、课件页面链接。支持思维导图逐级、逐个节点展开，并可任意缩放，满足不同演示需求。</w:t>
            </w:r>
          </w:p>
          <w:p>
            <w:pPr>
              <w:rPr>
                <w:rFonts w:ascii="宋体" w:hAnsi="宋体"/>
                <w:color w:val="auto"/>
                <w:szCs w:val="21"/>
                <w:highlight w:val="none"/>
              </w:rPr>
            </w:pPr>
            <w:r>
              <w:rPr>
                <w:rFonts w:ascii="宋体" w:hAnsi="宋体"/>
                <w:color w:val="auto"/>
                <w:szCs w:val="21"/>
                <w:highlight w:val="none"/>
              </w:rPr>
              <w:t>13、表格：</w:t>
            </w:r>
          </w:p>
          <w:p>
            <w:pPr>
              <w:rPr>
                <w:rFonts w:ascii="宋体" w:hAnsi="宋体"/>
                <w:color w:val="auto"/>
                <w:szCs w:val="21"/>
                <w:highlight w:val="none"/>
              </w:rPr>
            </w:pPr>
            <w:r>
              <w:rPr>
                <w:rFonts w:ascii="宋体" w:hAnsi="宋体"/>
                <w:color w:val="auto"/>
                <w:szCs w:val="21"/>
                <w:highlight w:val="none"/>
              </w:rPr>
              <w:t>a)具有表格插入功能，并提供5种以上表格样式</w:t>
            </w:r>
            <w:r>
              <w:rPr>
                <w:rFonts w:hint="eastAsia" w:ascii="宋体" w:hAnsi="宋体"/>
                <w:color w:val="auto"/>
                <w:szCs w:val="21"/>
                <w:highlight w:val="none"/>
              </w:rPr>
              <w:t>供老师选择。</w:t>
            </w:r>
          </w:p>
          <w:p>
            <w:pPr>
              <w:rPr>
                <w:rFonts w:ascii="宋体" w:hAnsi="宋体"/>
                <w:color w:val="auto"/>
                <w:szCs w:val="21"/>
                <w:highlight w:val="none"/>
              </w:rPr>
            </w:pPr>
            <w:r>
              <w:rPr>
                <w:rFonts w:ascii="宋体" w:hAnsi="宋体"/>
                <w:color w:val="auto"/>
                <w:szCs w:val="21"/>
                <w:highlight w:val="none"/>
              </w:rPr>
              <w:t>b)表格能自适应，可一键将表格的行、列调整到最合适的大小。</w:t>
            </w:r>
          </w:p>
          <w:p>
            <w:pPr>
              <w:rPr>
                <w:rFonts w:ascii="宋体" w:hAnsi="宋体"/>
                <w:color w:val="auto"/>
                <w:szCs w:val="21"/>
                <w:highlight w:val="none"/>
              </w:rPr>
            </w:pPr>
            <w:r>
              <w:rPr>
                <w:rFonts w:ascii="宋体" w:hAnsi="宋体"/>
                <w:color w:val="auto"/>
                <w:szCs w:val="21"/>
                <w:highlight w:val="none"/>
              </w:rPr>
              <w:t>c)具有表格遮罩功能，可对表格中任意一格添加遮罩，在授课模式下通过点击可消除遮罩，方便老师设置互动活动。</w:t>
            </w:r>
          </w:p>
          <w:p>
            <w:pPr>
              <w:rPr>
                <w:rFonts w:ascii="宋体" w:hAnsi="宋体"/>
                <w:color w:val="auto"/>
                <w:szCs w:val="21"/>
                <w:highlight w:val="none"/>
              </w:rPr>
            </w:pPr>
            <w:r>
              <w:rPr>
                <w:rFonts w:ascii="宋体" w:hAnsi="宋体"/>
                <w:color w:val="auto"/>
                <w:szCs w:val="21"/>
                <w:highlight w:val="none"/>
              </w:rPr>
              <w:t>d)在授课模式下，支持表格克隆功能，可克隆出多个相同表格，</w:t>
            </w:r>
          </w:p>
          <w:p>
            <w:pPr>
              <w:rPr>
                <w:rFonts w:ascii="宋体" w:hAnsi="宋体"/>
                <w:color w:val="auto"/>
                <w:szCs w:val="21"/>
                <w:highlight w:val="none"/>
              </w:rPr>
            </w:pPr>
            <w:r>
              <w:rPr>
                <w:rFonts w:hint="eastAsia" w:ascii="宋体" w:hAnsi="宋体"/>
                <w:color w:val="auto"/>
                <w:szCs w:val="21"/>
                <w:highlight w:val="none"/>
              </w:rPr>
              <w:t>方便老师请多位同学进行答题互动。</w:t>
            </w:r>
          </w:p>
          <w:p>
            <w:pPr>
              <w:rPr>
                <w:rFonts w:ascii="宋体" w:hAnsi="宋体"/>
                <w:color w:val="auto"/>
                <w:szCs w:val="21"/>
                <w:highlight w:val="none"/>
              </w:rPr>
            </w:pPr>
            <w:r>
              <w:rPr>
                <w:rFonts w:ascii="宋体" w:hAnsi="宋体"/>
                <w:color w:val="auto"/>
                <w:szCs w:val="21"/>
                <w:highlight w:val="none"/>
              </w:rPr>
              <w:t>14、图表：</w:t>
            </w:r>
          </w:p>
          <w:p>
            <w:pPr>
              <w:rPr>
                <w:rFonts w:ascii="宋体" w:hAnsi="宋体"/>
                <w:color w:val="auto"/>
                <w:szCs w:val="21"/>
                <w:highlight w:val="none"/>
              </w:rPr>
            </w:pPr>
            <w:r>
              <w:rPr>
                <w:rFonts w:ascii="宋体" w:hAnsi="宋体"/>
                <w:color w:val="auto"/>
                <w:szCs w:val="21"/>
                <w:highlight w:val="none"/>
              </w:rPr>
              <w:t xml:space="preserve">a)具有图表插入功能，并提供柱状图、扇形图、折线图 3 </w:t>
            </w:r>
            <w:r>
              <w:rPr>
                <w:rFonts w:hint="eastAsia" w:ascii="宋体" w:hAnsi="宋体"/>
                <w:color w:val="auto"/>
                <w:szCs w:val="21"/>
                <w:highlight w:val="none"/>
              </w:rPr>
              <w:t>种图表形式，且每种形式提供不少于</w:t>
            </w:r>
            <w:r>
              <w:rPr>
                <w:rFonts w:ascii="宋体" w:hAnsi="宋体"/>
                <w:color w:val="auto"/>
                <w:szCs w:val="21"/>
                <w:highlight w:val="none"/>
              </w:rPr>
              <w:t>5种样式供选择。</w:t>
            </w:r>
          </w:p>
          <w:p>
            <w:pPr>
              <w:rPr>
                <w:rFonts w:ascii="宋体" w:hAnsi="宋体"/>
                <w:color w:val="auto"/>
                <w:szCs w:val="21"/>
                <w:highlight w:val="none"/>
              </w:rPr>
            </w:pPr>
            <w:r>
              <w:rPr>
                <w:rFonts w:ascii="宋体" w:hAnsi="宋体"/>
                <w:color w:val="auto"/>
                <w:szCs w:val="21"/>
                <w:highlight w:val="none"/>
              </w:rPr>
              <w:t>b)具有图表二维及三维展示形式任意切换，且三维图表支持旋转，方便多角度展示数据变化。</w:t>
            </w:r>
          </w:p>
          <w:p>
            <w:pPr>
              <w:rPr>
                <w:rFonts w:ascii="宋体" w:hAnsi="宋体"/>
                <w:color w:val="auto"/>
                <w:szCs w:val="21"/>
                <w:highlight w:val="none"/>
              </w:rPr>
            </w:pPr>
            <w:r>
              <w:rPr>
                <w:rFonts w:ascii="宋体" w:hAnsi="宋体"/>
                <w:color w:val="auto"/>
                <w:szCs w:val="21"/>
                <w:highlight w:val="none"/>
              </w:rPr>
              <w:t>c)具有图表添加超链接，可连接至课件其他页面、网页、软件自带小工具等地方。</w:t>
            </w:r>
          </w:p>
          <w:p>
            <w:pPr>
              <w:rPr>
                <w:rFonts w:ascii="宋体" w:hAnsi="宋体"/>
                <w:color w:val="auto"/>
                <w:szCs w:val="21"/>
                <w:highlight w:val="none"/>
              </w:rPr>
            </w:pPr>
            <w:r>
              <w:rPr>
                <w:rFonts w:ascii="宋体" w:hAnsi="宋体"/>
                <w:color w:val="auto"/>
                <w:szCs w:val="21"/>
                <w:highlight w:val="none"/>
              </w:rPr>
              <w:t>d)在授课模式下，支持图表克隆功能，可克隆出多个相同图表，</w:t>
            </w:r>
          </w:p>
          <w:p>
            <w:pPr>
              <w:rPr>
                <w:rFonts w:ascii="宋体" w:hAnsi="宋体"/>
                <w:color w:val="auto"/>
                <w:szCs w:val="21"/>
                <w:highlight w:val="none"/>
              </w:rPr>
            </w:pPr>
            <w:r>
              <w:rPr>
                <w:rFonts w:hint="eastAsia" w:ascii="宋体" w:hAnsi="宋体"/>
                <w:color w:val="auto"/>
                <w:szCs w:val="21"/>
                <w:highlight w:val="none"/>
              </w:rPr>
              <w:t>方便老师进行对比观察。</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15、古诗词资源：</w:t>
            </w:r>
          </w:p>
          <w:p>
            <w:pPr>
              <w:rPr>
                <w:rFonts w:ascii="宋体" w:hAnsi="宋体"/>
                <w:color w:val="auto"/>
                <w:szCs w:val="21"/>
                <w:highlight w:val="none"/>
              </w:rPr>
            </w:pPr>
            <w:r>
              <w:rPr>
                <w:rFonts w:ascii="宋体" w:hAnsi="宋体"/>
                <w:color w:val="auto"/>
                <w:szCs w:val="21"/>
                <w:highlight w:val="none"/>
              </w:rPr>
              <w:t>a)提供覆盖多学段的古诗词、古文资源，包含原文、翻译、背景介绍、作者介绍、朗诵音频等。</w:t>
            </w:r>
          </w:p>
          <w:p>
            <w:pPr>
              <w:rPr>
                <w:rFonts w:ascii="宋体" w:hAnsi="宋体"/>
                <w:color w:val="auto"/>
                <w:szCs w:val="21"/>
                <w:highlight w:val="none"/>
              </w:rPr>
            </w:pPr>
            <w:r>
              <w:rPr>
                <w:rFonts w:ascii="宋体" w:hAnsi="宋体"/>
                <w:color w:val="auto"/>
                <w:szCs w:val="21"/>
                <w:highlight w:val="none"/>
              </w:rPr>
              <w:t>b)支持用户根据年级、朝代、诗人等进行分类查找，也可直接搜索诗词、古文名称或作者名查找。</w:t>
            </w:r>
          </w:p>
          <w:p>
            <w:pPr>
              <w:rPr>
                <w:rFonts w:ascii="宋体" w:hAnsi="宋体"/>
                <w:color w:val="auto"/>
                <w:szCs w:val="21"/>
                <w:highlight w:val="none"/>
              </w:rPr>
            </w:pPr>
            <w:r>
              <w:rPr>
                <w:rFonts w:ascii="宋体" w:hAnsi="宋体"/>
                <w:color w:val="auto"/>
                <w:szCs w:val="21"/>
                <w:highlight w:val="none"/>
              </w:rPr>
              <w:t>c)提供不少于8种古诗词专用背景模板，老师可贴合古诗词意境选择合适背景进行教学。</w:t>
            </w:r>
          </w:p>
          <w:p>
            <w:pPr>
              <w:rPr>
                <w:rFonts w:ascii="宋体" w:hAnsi="宋体"/>
                <w:color w:val="auto"/>
                <w:szCs w:val="21"/>
                <w:highlight w:val="none"/>
              </w:rPr>
            </w:pPr>
            <w:r>
              <w:rPr>
                <w:rFonts w:ascii="宋体" w:hAnsi="宋体"/>
                <w:color w:val="auto"/>
                <w:szCs w:val="21"/>
                <w:highlight w:val="none"/>
              </w:rPr>
              <w:t>d)每篇古诗词、古文均提供原文及翻译、背景介绍、作者介绍等，同时支持一键跳转打开网页，展示对应的背景或作者介绍。</w:t>
            </w:r>
          </w:p>
          <w:p>
            <w:pPr>
              <w:rPr>
                <w:rFonts w:ascii="宋体" w:hAnsi="宋体"/>
                <w:color w:val="auto"/>
                <w:szCs w:val="21"/>
                <w:highlight w:val="none"/>
              </w:rPr>
            </w:pPr>
            <w:r>
              <w:rPr>
                <w:rFonts w:ascii="宋体" w:hAnsi="宋体"/>
                <w:color w:val="auto"/>
                <w:szCs w:val="21"/>
                <w:highlight w:val="none"/>
              </w:rPr>
              <w:t>e)支持老师备课时对原文进行注释、</w:t>
            </w:r>
            <w:r>
              <w:rPr>
                <w:rFonts w:hint="eastAsia" w:ascii="宋体" w:hAnsi="宋体"/>
                <w:color w:val="auto"/>
                <w:szCs w:val="21"/>
                <w:highlight w:val="none"/>
              </w:rPr>
              <w:t>标重点等操作，方便老师讲解重点字词。</w:t>
            </w:r>
          </w:p>
          <w:p>
            <w:pPr>
              <w:rPr>
                <w:rFonts w:ascii="宋体" w:hAnsi="宋体"/>
                <w:color w:val="auto"/>
                <w:szCs w:val="21"/>
                <w:highlight w:val="none"/>
              </w:rPr>
            </w:pPr>
            <w:r>
              <w:rPr>
                <w:rFonts w:ascii="宋体" w:hAnsi="宋体"/>
                <w:color w:val="auto"/>
                <w:szCs w:val="21"/>
                <w:highlight w:val="none"/>
              </w:rPr>
              <w:t>f)提供原文朗读功能，全部诗词、古文均配备专业朗读配音，且支持老师在备课时对朗读音频进行打点操作，上课时可播放提前选择好的片段。</w:t>
            </w:r>
          </w:p>
          <w:p>
            <w:pPr>
              <w:rPr>
                <w:rFonts w:ascii="宋体" w:hAnsi="宋体"/>
                <w:color w:val="auto"/>
                <w:szCs w:val="21"/>
                <w:highlight w:val="none"/>
              </w:rPr>
            </w:pPr>
            <w:r>
              <w:rPr>
                <w:rFonts w:ascii="宋体" w:hAnsi="宋体"/>
                <w:color w:val="auto"/>
                <w:szCs w:val="21"/>
                <w:highlight w:val="none"/>
              </w:rPr>
              <w:t>16、美术画板：具有美术画板工具，提供毛笔、油画笔，</w:t>
            </w:r>
          </w:p>
          <w:p>
            <w:pPr>
              <w:rPr>
                <w:rFonts w:ascii="宋体" w:hAnsi="宋体"/>
                <w:color w:val="auto"/>
                <w:szCs w:val="21"/>
                <w:highlight w:val="none"/>
              </w:rPr>
            </w:pPr>
            <w:r>
              <w:rPr>
                <w:rFonts w:hint="eastAsia" w:ascii="宋体" w:hAnsi="宋体"/>
                <w:color w:val="auto"/>
                <w:szCs w:val="21"/>
                <w:highlight w:val="none"/>
              </w:rPr>
              <w:t>可实现模拟调色盘功能，老师可自由选择不同颜色进行混合调色，搭配出任意色彩。</w:t>
            </w:r>
          </w:p>
          <w:p>
            <w:pPr>
              <w:rPr>
                <w:rFonts w:ascii="宋体" w:hAnsi="宋体"/>
                <w:color w:val="auto"/>
                <w:szCs w:val="21"/>
                <w:highlight w:val="none"/>
              </w:rPr>
            </w:pPr>
            <w:r>
              <w:rPr>
                <w:rFonts w:ascii="宋体" w:hAnsi="宋体"/>
                <w:color w:val="auto"/>
                <w:szCs w:val="21"/>
                <w:highlight w:val="none"/>
              </w:rPr>
              <w:t>17、美术工具：具备图形自由创作工具，教师可自由绘制复杂的任意多边图形及曲边图形；教师自主创作的图形可存储至个</w:t>
            </w:r>
            <w:r>
              <w:rPr>
                <w:rFonts w:hint="eastAsia" w:ascii="宋体" w:hAnsi="宋体"/>
                <w:color w:val="auto"/>
                <w:szCs w:val="21"/>
                <w:highlight w:val="none"/>
              </w:rPr>
              <w:t>人云空间便于后续使用。</w:t>
            </w:r>
          </w:p>
          <w:p>
            <w:pPr>
              <w:rPr>
                <w:rFonts w:ascii="宋体" w:hAnsi="宋体"/>
                <w:color w:val="auto"/>
                <w:szCs w:val="21"/>
                <w:highlight w:val="none"/>
              </w:rPr>
            </w:pPr>
            <w:r>
              <w:rPr>
                <w:rFonts w:hint="eastAsia" w:ascii="宋体" w:hAnsi="宋体"/>
                <w:color w:val="auto"/>
                <w:szCs w:val="21"/>
                <w:highlight w:val="none"/>
              </w:rPr>
              <w:t>（二）白板软件移动端应用</w:t>
            </w:r>
          </w:p>
          <w:p>
            <w:pPr>
              <w:rPr>
                <w:rFonts w:ascii="宋体" w:hAnsi="宋体"/>
                <w:color w:val="auto"/>
                <w:szCs w:val="21"/>
                <w:highlight w:val="none"/>
              </w:rPr>
            </w:pPr>
            <w:r>
              <w:rPr>
                <w:rFonts w:ascii="宋体" w:hAnsi="宋体"/>
                <w:color w:val="auto"/>
                <w:szCs w:val="21"/>
                <w:highlight w:val="none"/>
              </w:rPr>
              <w:t>1、课件预览保留课件对象拖拽移动、克隆复制、置顶、删除等互动功能，并可通过移动端进行思维导图、课堂互动游戏的触控交互操作，并支持显示课件备注内容。</w:t>
            </w:r>
          </w:p>
          <w:p>
            <w:pPr>
              <w:rPr>
                <w:rFonts w:ascii="宋体" w:hAnsi="宋体"/>
                <w:color w:val="auto"/>
                <w:szCs w:val="21"/>
                <w:highlight w:val="none"/>
              </w:rPr>
            </w:pPr>
            <w:r>
              <w:rPr>
                <w:rFonts w:ascii="宋体" w:hAnsi="宋体"/>
                <w:color w:val="auto"/>
                <w:szCs w:val="21"/>
                <w:highlight w:val="none"/>
              </w:rPr>
              <w:t>2、可在移动平台选择是否接收获取的分享课件，接收后课件储存至个人云空间，可在移动平台的互动课件列表预览。</w:t>
            </w:r>
          </w:p>
          <w:p>
            <w:pPr>
              <w:rPr>
                <w:rFonts w:ascii="宋体" w:hAnsi="宋体"/>
                <w:color w:val="auto"/>
                <w:szCs w:val="21"/>
                <w:highlight w:val="none"/>
              </w:rPr>
            </w:pPr>
            <w:r>
              <w:rPr>
                <w:rFonts w:ascii="宋体" w:hAnsi="宋体"/>
                <w:color w:val="auto"/>
                <w:szCs w:val="21"/>
                <w:highlight w:val="none"/>
              </w:rPr>
              <w:t>3、移动平台可对</w:t>
            </w:r>
            <w:r>
              <w:rPr>
                <w:rFonts w:hint="eastAsia" w:ascii="宋体" w:hAnsi="宋体"/>
                <w:color w:val="auto"/>
                <w:szCs w:val="21"/>
                <w:highlight w:val="none"/>
              </w:rPr>
              <w:t>云空间互动课件和课件组移动、删除和重命名，课件及课件组支持批量移动、删除。</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4、移动平台可将课件通过微信、朋友圈、云空间</w:t>
            </w:r>
            <w:r>
              <w:rPr>
                <w:rFonts w:hint="eastAsia" w:ascii="宋体" w:hAnsi="宋体"/>
                <w:color w:val="auto"/>
                <w:szCs w:val="21"/>
                <w:highlight w:val="none"/>
              </w:rPr>
              <w:t>帐号、公开链接、加密链接等方式进行分享，分享有效期支持自定义。</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5、移动平台可查看教师个人</w:t>
            </w:r>
            <w:r>
              <w:rPr>
                <w:rFonts w:hint="eastAsia" w:ascii="宋体" w:hAnsi="宋体"/>
                <w:color w:val="auto"/>
                <w:szCs w:val="21"/>
                <w:highlight w:val="none"/>
              </w:rPr>
              <w:t>云空间里所有互动课件列表，并可打开互动课件进行预览，预览时支持上下翻页、页面缩略图预览、页面跳转。</w:t>
            </w:r>
          </w:p>
          <w:p>
            <w:pPr>
              <w:rPr>
                <w:rFonts w:ascii="宋体" w:hAnsi="宋体"/>
                <w:color w:val="auto"/>
                <w:szCs w:val="21"/>
                <w:highlight w:val="none"/>
              </w:rPr>
            </w:pPr>
            <w:r>
              <w:rPr>
                <w:rFonts w:ascii="宋体" w:hAnsi="宋体"/>
                <w:color w:val="auto"/>
                <w:szCs w:val="21"/>
                <w:highlight w:val="none"/>
              </w:rPr>
              <w:t>6、移动平台可以上传手机相册中的照片和视频到资料夹，且能调用系统相机拍摄照片并直接上传。教师可以在备课</w:t>
            </w:r>
            <w:r>
              <w:rPr>
                <w:rFonts w:hint="eastAsia" w:ascii="宋体" w:hAnsi="宋体"/>
                <w:color w:val="auto"/>
                <w:szCs w:val="21"/>
                <w:highlight w:val="none"/>
              </w:rPr>
              <w:t>端选择资源插入课件。</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七、</w:t>
            </w:r>
            <w:r>
              <w:rPr>
                <w:rFonts w:ascii="宋体" w:hAnsi="宋体"/>
                <w:color w:val="auto"/>
                <w:szCs w:val="21"/>
                <w:highlight w:val="none"/>
              </w:rPr>
              <w:t>PPT教学小工具</w:t>
            </w:r>
          </w:p>
          <w:p>
            <w:pPr>
              <w:rPr>
                <w:rFonts w:ascii="宋体" w:hAnsi="宋体"/>
                <w:color w:val="auto"/>
                <w:szCs w:val="21"/>
                <w:highlight w:val="none"/>
              </w:rPr>
            </w:pPr>
            <w:r>
              <w:rPr>
                <w:rFonts w:ascii="宋体" w:hAnsi="宋体"/>
                <w:color w:val="auto"/>
                <w:szCs w:val="21"/>
                <w:highlight w:val="none"/>
              </w:rPr>
              <w:t>1、无需打开其他任何软件，播放ppt时即可实现书写、擦除功能。</w:t>
            </w:r>
          </w:p>
          <w:p>
            <w:pPr>
              <w:rPr>
                <w:rFonts w:ascii="宋体" w:hAnsi="宋体"/>
                <w:color w:val="auto"/>
                <w:szCs w:val="21"/>
                <w:highlight w:val="none"/>
              </w:rPr>
            </w:pPr>
            <w:r>
              <w:rPr>
                <w:rFonts w:ascii="宋体" w:hAnsi="宋体"/>
                <w:color w:val="auto"/>
                <w:szCs w:val="21"/>
                <w:highlight w:val="none"/>
              </w:rPr>
              <w:t>2、无需打开其他任何软件，播放ppt时即可支持课件页面预览、页面跳转及上下翻页。</w:t>
            </w:r>
          </w:p>
          <w:p>
            <w:pPr>
              <w:rPr>
                <w:rFonts w:ascii="宋体" w:hAnsi="宋体"/>
                <w:color w:val="auto"/>
                <w:szCs w:val="21"/>
                <w:highlight w:val="none"/>
              </w:rPr>
            </w:pPr>
            <w:r>
              <w:rPr>
                <w:rFonts w:ascii="宋体" w:hAnsi="宋体"/>
                <w:color w:val="auto"/>
                <w:szCs w:val="21"/>
                <w:highlight w:val="none"/>
              </w:rPr>
              <w:t>3、无需打开其他任何软件，播放ppt时即可支持板中板功能：支持调用板中板辅助教学，可直接批注及加页，不影响课件主画面。</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4、无需打开其他任何软件，播放ppt时即可支持将课件及板书内容直接生成</w:t>
            </w:r>
            <w:r>
              <w:rPr>
                <w:rFonts w:hint="eastAsia" w:ascii="宋体" w:hAnsi="宋体"/>
                <w:color w:val="auto"/>
                <w:szCs w:val="21"/>
                <w:highlight w:val="none"/>
              </w:rPr>
              <w:t>二维码分享，且扫码后支持在手机端生成二维码进行再次分享，支持点赞，方便教师下载保存课件板书内容。</w:t>
            </w:r>
          </w:p>
          <w:p>
            <w:pPr>
              <w:rPr>
                <w:rFonts w:ascii="宋体" w:hAnsi="宋体"/>
                <w:color w:val="auto"/>
                <w:szCs w:val="21"/>
                <w:highlight w:val="none"/>
              </w:rPr>
            </w:pPr>
            <w:r>
              <w:rPr>
                <w:rFonts w:ascii="宋体" w:hAnsi="宋体"/>
                <w:color w:val="auto"/>
                <w:szCs w:val="21"/>
                <w:highlight w:val="none"/>
              </w:rPr>
              <w:t>5、无需打开其他任何软件，播放ppt时即可在ppt内调用放大镜、聚光灯小工具。</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八、学生评价与家校互通系统</w:t>
            </w:r>
          </w:p>
          <w:p>
            <w:pPr>
              <w:rPr>
                <w:rFonts w:ascii="宋体" w:hAnsi="宋体"/>
                <w:color w:val="auto"/>
                <w:szCs w:val="21"/>
                <w:highlight w:val="none"/>
              </w:rPr>
            </w:pPr>
            <w:r>
              <w:rPr>
                <w:rFonts w:ascii="宋体" w:hAnsi="宋体"/>
                <w:color w:val="auto"/>
                <w:szCs w:val="21"/>
                <w:highlight w:val="none"/>
              </w:rPr>
              <w:t xml:space="preserve">1、支持邀请家长入班，使家长可查看到自己的孩子在学校的各种表现。 软件支持同一账号下，老师/家长双重身份切换，满足既是老师又是学生家长的人群需求。 </w:t>
            </w:r>
          </w:p>
          <w:p>
            <w:pPr>
              <w:rPr>
                <w:rFonts w:ascii="宋体" w:hAnsi="宋体"/>
                <w:color w:val="auto"/>
                <w:szCs w:val="21"/>
                <w:highlight w:val="none"/>
              </w:rPr>
            </w:pPr>
            <w:r>
              <w:rPr>
                <w:rFonts w:ascii="宋体" w:hAnsi="宋体"/>
                <w:color w:val="auto"/>
                <w:szCs w:val="21"/>
                <w:highlight w:val="none"/>
              </w:rPr>
              <w:t xml:space="preserve">2、学生行为评价系统，能实现学校管理中心、教师管理中心、课堂表现评价、家校互联互通等相关功能，功能及操作均在同一软件平台同一账号体系实现。支持多个用户管理同一个班级，从而满足一个班级有班主任和多个任课用户的实际情况。 </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3、支持查看课堂表现评价统计报表，按饼状图形式展现学生课堂表现情况，支持查看班级或学生个人的评价情况，并可具</w:t>
            </w:r>
            <w:r>
              <w:rPr>
                <w:rFonts w:hint="eastAsia" w:ascii="宋体" w:hAnsi="宋体"/>
                <w:color w:val="auto"/>
                <w:szCs w:val="21"/>
                <w:highlight w:val="none"/>
              </w:rPr>
              <w:t>体查看到每一条评价的原因、对象，便于用户做统计分析。</w:t>
            </w:r>
          </w:p>
          <w:p>
            <w:pPr>
              <w:rPr>
                <w:rFonts w:ascii="宋体" w:hAnsi="宋体"/>
                <w:color w:val="auto"/>
                <w:szCs w:val="21"/>
                <w:highlight w:val="none"/>
              </w:rPr>
            </w:pPr>
            <w:r>
              <w:rPr>
                <w:rFonts w:ascii="宋体" w:hAnsi="宋体"/>
                <w:color w:val="auto"/>
                <w:szCs w:val="21"/>
                <w:highlight w:val="none"/>
              </w:rPr>
              <w:t>4、根据评价得分情况，对应小组或学生的头像装饰会升级变化，以游戏化方式激励学生积极参与课堂互动。为提高课堂趣味性，软件支持随机抽选学生进行评价。</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九、教学桌面管理工具</w:t>
            </w:r>
          </w:p>
          <w:p>
            <w:pPr>
              <w:rPr>
                <w:rFonts w:ascii="宋体" w:hAnsi="宋体"/>
                <w:color w:val="auto"/>
                <w:szCs w:val="21"/>
                <w:highlight w:val="none"/>
              </w:rPr>
            </w:pPr>
            <w:r>
              <w:rPr>
                <w:rFonts w:ascii="宋体" w:hAnsi="宋体"/>
                <w:color w:val="auto"/>
                <w:szCs w:val="21"/>
                <w:highlight w:val="none"/>
              </w:rPr>
              <w:t>1、将教师常用的教学应用软件罗列在一个工具栏内，方便教师调用软件。单击即可打开其中的软件，简化老师操作。</w:t>
            </w:r>
          </w:p>
          <w:p>
            <w:pPr>
              <w:rPr>
                <w:rFonts w:ascii="宋体" w:hAnsi="宋体"/>
                <w:color w:val="auto"/>
                <w:szCs w:val="21"/>
                <w:highlight w:val="none"/>
              </w:rPr>
            </w:pPr>
            <w:r>
              <w:rPr>
                <w:rFonts w:ascii="宋体" w:hAnsi="宋体"/>
                <w:color w:val="auto"/>
                <w:szCs w:val="21"/>
                <w:highlight w:val="none"/>
              </w:rPr>
              <w:t>2、在桌面工具栏内具有注销按键，单击即可一键注销Windows。</w:t>
            </w:r>
          </w:p>
          <w:p>
            <w:pPr>
              <w:rPr>
                <w:rFonts w:ascii="宋体" w:hAnsi="宋体"/>
                <w:color w:val="auto"/>
                <w:szCs w:val="21"/>
                <w:highlight w:val="none"/>
              </w:rPr>
            </w:pPr>
            <w:r>
              <w:rPr>
                <w:rFonts w:ascii="宋体" w:hAnsi="宋体"/>
                <w:color w:val="auto"/>
                <w:szCs w:val="21"/>
                <w:highlight w:val="none"/>
              </w:rPr>
              <w:t xml:space="preserve">3、在桌面工具栏内具有设置功能，可对设备进行相关设置： </w:t>
            </w:r>
          </w:p>
          <w:p>
            <w:pPr>
              <w:rPr>
                <w:rFonts w:ascii="宋体" w:hAnsi="宋体"/>
                <w:color w:val="auto"/>
                <w:szCs w:val="21"/>
                <w:highlight w:val="none"/>
              </w:rPr>
            </w:pPr>
            <w:r>
              <w:rPr>
                <w:rFonts w:ascii="宋体" w:hAnsi="宋体"/>
                <w:color w:val="auto"/>
                <w:szCs w:val="21"/>
                <w:highlight w:val="none"/>
              </w:rPr>
              <w:t>4、支持屏蔽第三方窗口功能，防止上课期间的广告弹出。</w:t>
            </w:r>
          </w:p>
          <w:p>
            <w:pPr>
              <w:rPr>
                <w:rFonts w:ascii="宋体" w:hAnsi="宋体"/>
                <w:color w:val="auto"/>
                <w:szCs w:val="21"/>
                <w:highlight w:val="none"/>
              </w:rPr>
            </w:pPr>
            <w:r>
              <w:rPr>
                <w:rFonts w:ascii="宋体" w:hAnsi="宋体"/>
                <w:color w:val="auto"/>
                <w:szCs w:val="21"/>
                <w:highlight w:val="none"/>
              </w:rPr>
              <w:t>5、支持查看设备基本信息，比如：尺寸、分辨率、系统、CPU、内存、硬盘、安卓版本等信息，支持设置对应班级名称。</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十、大小屏幕互动软件</w:t>
            </w:r>
          </w:p>
          <w:p>
            <w:pPr>
              <w:rPr>
                <w:rFonts w:ascii="宋体" w:hAnsi="宋体"/>
                <w:color w:val="auto"/>
                <w:szCs w:val="21"/>
                <w:highlight w:val="none"/>
              </w:rPr>
            </w:pPr>
            <w:r>
              <w:rPr>
                <w:rFonts w:ascii="宋体" w:hAnsi="宋体"/>
                <w:color w:val="auto"/>
                <w:szCs w:val="21"/>
                <w:highlight w:val="none"/>
              </w:rPr>
              <w:t>1、Andriod4.0以上或IOS 6.0以上版本系统的移动终端，可与教学一体机实现无线连接，可对连接的设备进行密码的权限管理，支持</w:t>
            </w:r>
            <w:r>
              <w:rPr>
                <w:rFonts w:hint="eastAsia" w:ascii="宋体" w:hAnsi="宋体"/>
                <w:color w:val="auto"/>
                <w:szCs w:val="21"/>
                <w:highlight w:val="none"/>
              </w:rPr>
              <w:t>二维码拍照自动连接服务器功能，无需手动设置网络，终端界面上主动监控并实时提示网络信号强度。</w:t>
            </w:r>
          </w:p>
          <w:p>
            <w:pPr>
              <w:rPr>
                <w:rFonts w:ascii="宋体" w:hAnsi="宋体"/>
                <w:color w:val="auto"/>
                <w:szCs w:val="21"/>
                <w:highlight w:val="none"/>
              </w:rPr>
            </w:pPr>
            <w:r>
              <w:rPr>
                <w:rFonts w:ascii="宋体" w:hAnsi="宋体"/>
                <w:color w:val="auto"/>
                <w:szCs w:val="21"/>
                <w:highlight w:val="none"/>
              </w:rPr>
              <w:t>2、可实现教学一体机与手持终端屏幕同步显示，且支持双屏同步操作、大小屏双向批注、擦除、截图功能。</w:t>
            </w:r>
          </w:p>
          <w:p>
            <w:pPr>
              <w:rPr>
                <w:rFonts w:ascii="宋体" w:hAnsi="宋体"/>
                <w:color w:val="auto"/>
                <w:szCs w:val="21"/>
                <w:highlight w:val="none"/>
              </w:rPr>
            </w:pPr>
            <w:r>
              <w:rPr>
                <w:rFonts w:ascii="宋体" w:hAnsi="宋体"/>
                <w:color w:val="auto"/>
                <w:szCs w:val="21"/>
                <w:highlight w:val="none"/>
              </w:rPr>
              <w:t>3、支持模拟笔记本电脑触摸板功能，能够对智能平板进行远程控制，并有常用快键按键集成，如一键关闭窗口、一键切换窗口、一键回到桌面、一键打开键盘等。</w:t>
            </w:r>
          </w:p>
          <w:p>
            <w:pPr>
              <w:rPr>
                <w:rFonts w:ascii="宋体" w:hAnsi="宋体"/>
                <w:color w:val="auto"/>
                <w:szCs w:val="21"/>
                <w:highlight w:val="none"/>
              </w:rPr>
            </w:pPr>
            <w:r>
              <w:rPr>
                <w:rFonts w:ascii="宋体" w:hAnsi="宋体"/>
                <w:color w:val="auto"/>
                <w:szCs w:val="21"/>
                <w:highlight w:val="none"/>
              </w:rPr>
              <w:t>4、双屏同步模式下支持多种手持终端的手势识别，包括单指点击、双指缩放、双指滚轮、三指漫游，支持远程聚光灯展示，可对屏幕演示内容进行聚光灯效果重点强调。</w:t>
            </w:r>
          </w:p>
          <w:p>
            <w:pPr>
              <w:rPr>
                <w:rFonts w:ascii="宋体" w:hAnsi="宋体"/>
                <w:color w:val="auto"/>
                <w:szCs w:val="21"/>
                <w:highlight w:val="none"/>
              </w:rPr>
            </w:pPr>
            <w:r>
              <w:rPr>
                <w:rFonts w:ascii="宋体" w:hAnsi="宋体"/>
                <w:color w:val="auto"/>
                <w:szCs w:val="21"/>
                <w:highlight w:val="none"/>
              </w:rPr>
              <w:t>5、后台控制</w:t>
            </w:r>
            <w:r>
              <w:rPr>
                <w:rFonts w:hint="eastAsia" w:ascii="宋体" w:hAnsi="宋体"/>
                <w:color w:val="auto"/>
                <w:szCs w:val="21"/>
                <w:highlight w:val="none"/>
              </w:rPr>
              <w:t>端采用</w:t>
            </w:r>
            <w:r>
              <w:rPr>
                <w:rFonts w:ascii="宋体" w:hAnsi="宋体"/>
                <w:color w:val="auto"/>
                <w:szCs w:val="21"/>
                <w:highlight w:val="none"/>
              </w:rPr>
              <w:t>B/S架构设计，可在Windows、Linux、Android、IOS等多种不同的操作系统上通过网页浏览器登陆进行操作，可控制在局域网或互联网内的一体机终端设备。</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十一、产品售后服务</w:t>
            </w:r>
          </w:p>
          <w:p>
            <w:pPr>
              <w:rPr>
                <w:rFonts w:ascii="宋体" w:hAnsi="宋体"/>
                <w:color w:val="auto"/>
                <w:szCs w:val="21"/>
                <w:highlight w:val="none"/>
              </w:rPr>
            </w:pPr>
            <w:r>
              <w:rPr>
                <w:rFonts w:ascii="宋体" w:hAnsi="宋体"/>
                <w:color w:val="auto"/>
                <w:szCs w:val="21"/>
                <w:highlight w:val="none"/>
              </w:rPr>
              <w:t>1、全国24小时免费400电话保修、</w:t>
            </w:r>
            <w:r>
              <w:rPr>
                <w:rFonts w:hint="eastAsia" w:ascii="宋体" w:hAnsi="宋体"/>
                <w:color w:val="auto"/>
                <w:szCs w:val="21"/>
                <w:highlight w:val="none"/>
              </w:rPr>
              <w:t>二维码扫描保修、区域化驻地技术工程师专线保修。</w:t>
            </w:r>
          </w:p>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微信售后报修服务：快速输入相关问题及所在区域进行在线保修，贴心服务人员实时在线提供客服专线报修，更好更快的解决售后故障问题带来的使用不便。</w:t>
            </w:r>
          </w:p>
          <w:p>
            <w:pP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微信问题查询服务：提供八大模块的问题查询及解决方案，现场完成简单故障的快速修复指导。</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十二、其他要求</w:t>
            </w:r>
          </w:p>
          <w:p>
            <w:pPr>
              <w:rPr>
                <w:rFonts w:ascii="宋体" w:hAnsi="宋体"/>
                <w:color w:val="auto"/>
                <w:szCs w:val="21"/>
                <w:highlight w:val="none"/>
              </w:rPr>
            </w:pPr>
            <w:r>
              <w:rPr>
                <w:rFonts w:ascii="宋体" w:hAnsi="宋体"/>
                <w:color w:val="auto"/>
                <w:szCs w:val="21"/>
                <w:highlight w:val="none"/>
              </w:rPr>
              <w:t>1、为确保货物质量及原厂品质，中标供应商在正式供货时必须</w:t>
            </w:r>
            <w:r>
              <w:rPr>
                <w:rFonts w:hint="eastAsia" w:ascii="宋体" w:hAnsi="宋体"/>
                <w:color w:val="auto"/>
                <w:szCs w:val="21"/>
                <w:highlight w:val="none"/>
              </w:rPr>
              <w:t>提供生产厂家针对此项目的售后服务保证原件、供货证明原件，否则采购方将不予验收通过。</w:t>
            </w:r>
          </w:p>
          <w:p>
            <w:pPr>
              <w:rPr>
                <w:rFonts w:ascii="宋体" w:hAnsi="宋体"/>
                <w:color w:val="auto"/>
                <w:szCs w:val="21"/>
                <w:highlight w:val="none"/>
              </w:rPr>
            </w:pPr>
            <w:r>
              <w:rPr>
                <w:rFonts w:ascii="宋体" w:hAnsi="宋体"/>
                <w:color w:val="auto"/>
                <w:szCs w:val="21"/>
                <w:highlight w:val="none"/>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rPr>
                <w:rFonts w:ascii="宋体" w:hAnsi="宋体"/>
                <w:color w:val="auto"/>
                <w:szCs w:val="21"/>
                <w:highlight w:val="none"/>
              </w:rPr>
            </w:pPr>
            <w:r>
              <w:rPr>
                <w:rFonts w:hint="eastAsia" w:ascii="宋体" w:hAnsi="宋体"/>
                <w:color w:val="auto"/>
                <w:szCs w:val="21"/>
                <w:highlight w:val="none"/>
              </w:rPr>
              <w:t>2</w:t>
            </w:r>
          </w:p>
        </w:tc>
        <w:tc>
          <w:tcPr>
            <w:tcW w:w="718" w:type="pct"/>
            <w:gridSpan w:val="2"/>
            <w:vAlign w:val="center"/>
          </w:tcPr>
          <w:p>
            <w:pPr>
              <w:rPr>
                <w:color w:val="auto"/>
                <w:highlight w:val="none"/>
              </w:rPr>
            </w:pPr>
            <w:r>
              <w:rPr>
                <w:rFonts w:hint="eastAsia"/>
                <w:color w:val="auto"/>
                <w:highlight w:val="none"/>
              </w:rPr>
              <w:t>多媒体设备集中管理控制系统</w:t>
            </w:r>
          </w:p>
        </w:tc>
        <w:tc>
          <w:tcPr>
            <w:tcW w:w="426" w:type="pct"/>
            <w:vAlign w:val="center"/>
          </w:tcPr>
          <w:p>
            <w:pPr>
              <w:rPr>
                <w:color w:val="auto"/>
                <w:highlight w:val="none"/>
              </w:rPr>
            </w:pPr>
            <w:r>
              <w:rPr>
                <w:color w:val="auto"/>
                <w:highlight w:val="none"/>
              </w:rPr>
              <w:t>8</w:t>
            </w:r>
            <w:r>
              <w:rPr>
                <w:rFonts w:hint="eastAsia"/>
                <w:color w:val="auto"/>
                <w:highlight w:val="none"/>
              </w:rPr>
              <w:t>0</w:t>
            </w:r>
          </w:p>
        </w:tc>
        <w:tc>
          <w:tcPr>
            <w:tcW w:w="426" w:type="pct"/>
            <w:vAlign w:val="center"/>
          </w:tcPr>
          <w:p>
            <w:pPr>
              <w:rPr>
                <w:color w:val="auto"/>
                <w:highlight w:val="none"/>
              </w:rPr>
            </w:pPr>
            <w:r>
              <w:rPr>
                <w:color w:val="auto"/>
                <w:highlight w:val="none"/>
              </w:rPr>
              <w:t>套</w:t>
            </w:r>
          </w:p>
        </w:tc>
        <w:tc>
          <w:tcPr>
            <w:tcW w:w="3126" w:type="pct"/>
            <w:vAlign w:val="center"/>
          </w:tcPr>
          <w:p>
            <w:pPr>
              <w:rPr>
                <w:rFonts w:ascii="宋体" w:hAnsi="宋体"/>
                <w:color w:val="auto"/>
                <w:szCs w:val="21"/>
                <w:highlight w:val="none"/>
              </w:rPr>
            </w:pPr>
            <w:r>
              <w:rPr>
                <w:rFonts w:ascii="宋体" w:hAnsi="宋体"/>
                <w:color w:val="auto"/>
                <w:szCs w:val="21"/>
                <w:highlight w:val="none"/>
              </w:rPr>
              <w:t>1、管理平台采用B/S混合云架构设计，无需本地额外部署服务器等设备即可实现对教学信息化设备运行数据的监测</w:t>
            </w:r>
          </w:p>
          <w:p>
            <w:pPr>
              <w:rPr>
                <w:rFonts w:ascii="宋体" w:hAnsi="宋体"/>
                <w:color w:val="auto"/>
                <w:szCs w:val="21"/>
                <w:highlight w:val="none"/>
              </w:rPr>
            </w:pPr>
            <w:r>
              <w:rPr>
                <w:rFonts w:ascii="宋体" w:hAnsi="宋体"/>
                <w:color w:val="auto"/>
                <w:szCs w:val="21"/>
                <w:highlight w:val="none"/>
              </w:rPr>
              <w:t>2、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p>
          <w:p>
            <w:pPr>
              <w:rPr>
                <w:rFonts w:ascii="宋体" w:hAnsi="宋体"/>
                <w:color w:val="auto"/>
                <w:szCs w:val="21"/>
                <w:highlight w:val="none"/>
              </w:rPr>
            </w:pPr>
            <w:r>
              <w:rPr>
                <w:rFonts w:ascii="宋体" w:hAnsi="宋体"/>
                <w:color w:val="auto"/>
                <w:szCs w:val="21"/>
                <w:highlight w:val="none"/>
              </w:rPr>
              <w:t>3、平台支持对全校智慧教室的教学信息化设备进行集中运维管理和策略部署，支持与交互智能教学设备、学生智能终端等教学设备的底层系统无缝对接。</w:t>
            </w:r>
          </w:p>
          <w:p>
            <w:pPr>
              <w:rPr>
                <w:rFonts w:ascii="宋体" w:hAnsi="宋体"/>
                <w:color w:val="auto"/>
                <w:szCs w:val="21"/>
                <w:highlight w:val="none"/>
              </w:rPr>
            </w:pPr>
            <w:r>
              <w:rPr>
                <w:rFonts w:ascii="宋体" w:hAnsi="宋体"/>
                <w:color w:val="auto"/>
                <w:szCs w:val="21"/>
                <w:highlight w:val="none"/>
              </w:rPr>
              <w:t>4、管理平台实时监测已连接的交互智能设备状态，支持不少于10台设备的略缩预览以及单设备全屏查看；可远程监测交互智能设备开关机状态、CPU温度、CPU使用率、硬盘空间、硬盘使用状况、内存容量、内存使用率、受控端系统版本、设备ID等设备数据。</w:t>
            </w:r>
          </w:p>
          <w:p>
            <w:pPr>
              <w:rPr>
                <w:rFonts w:ascii="宋体" w:hAnsi="宋体"/>
                <w:color w:val="auto"/>
                <w:szCs w:val="21"/>
                <w:highlight w:val="none"/>
              </w:rPr>
            </w:pPr>
            <w:r>
              <w:rPr>
                <w:rFonts w:ascii="宋体" w:hAnsi="宋体"/>
                <w:color w:val="auto"/>
                <w:szCs w:val="21"/>
                <w:highlight w:val="none"/>
              </w:rPr>
              <w:t>5、管理平台可对局域网内的交互智能终端进行远程实时控制，能够监测设备当前运行界面，并远程对设备操作界面进行控制。</w:t>
            </w:r>
          </w:p>
          <w:p>
            <w:pPr>
              <w:rPr>
                <w:rFonts w:ascii="宋体" w:hAnsi="宋体"/>
                <w:color w:val="auto"/>
                <w:szCs w:val="21"/>
                <w:highlight w:val="none"/>
              </w:rPr>
            </w:pPr>
            <w:r>
              <w:rPr>
                <w:rFonts w:ascii="宋体" w:hAnsi="宋体"/>
                <w:color w:val="auto"/>
                <w:szCs w:val="21"/>
                <w:highlight w:val="none"/>
              </w:rPr>
              <w:t>6、管理平台可控制连接广域网的交互智能设备整机关机、开机和重启；可批量设定智能设备开关机的执行时间，并支持自定义日循环执行，预约定时执行。</w:t>
            </w:r>
          </w:p>
          <w:p>
            <w:pPr>
              <w:rPr>
                <w:rFonts w:ascii="宋体" w:hAnsi="宋体"/>
                <w:color w:val="auto"/>
                <w:szCs w:val="21"/>
                <w:highlight w:val="none"/>
              </w:rPr>
            </w:pPr>
            <w:r>
              <w:rPr>
                <w:rFonts w:ascii="宋体" w:hAnsi="宋体"/>
                <w:color w:val="auto"/>
                <w:szCs w:val="21"/>
                <w:highlight w:val="none"/>
              </w:rPr>
              <w:t>7、管理平台可远程对选定的交互智能设备推送动态文字滚动公告，可对公告文字的颜色、粗体以及播放次数、推送时间进行设置。</w:t>
            </w:r>
          </w:p>
          <w:p>
            <w:pPr>
              <w:rPr>
                <w:rFonts w:ascii="宋体" w:hAnsi="宋体"/>
                <w:color w:val="auto"/>
                <w:szCs w:val="21"/>
                <w:highlight w:val="none"/>
              </w:rPr>
            </w:pPr>
            <w:r>
              <w:rPr>
                <w:rFonts w:ascii="宋体" w:hAnsi="宋体"/>
                <w:color w:val="auto"/>
                <w:szCs w:val="21"/>
                <w:highlight w:val="none"/>
              </w:rPr>
              <w:t>8、管理平台可远程开启指定交互智能设备倒计日功能并设定倒计日截止日期，便于重大教学安排的提醒提示。</w:t>
            </w:r>
          </w:p>
          <w:p>
            <w:pPr>
              <w:rPr>
                <w:rFonts w:ascii="宋体" w:hAnsi="宋体"/>
                <w:color w:val="auto"/>
                <w:szCs w:val="21"/>
                <w:highlight w:val="none"/>
              </w:rPr>
            </w:pPr>
            <w:r>
              <w:rPr>
                <w:rFonts w:ascii="宋体" w:hAnsi="宋体"/>
                <w:color w:val="auto"/>
                <w:szCs w:val="21"/>
                <w:highlight w:val="none"/>
              </w:rPr>
              <w:t>9、管理平台支持批量对交互智能设备进行软件远程部署，配套专用教学软件批量部署支持静默安装。</w:t>
            </w:r>
          </w:p>
          <w:p>
            <w:pPr>
              <w:rPr>
                <w:rFonts w:ascii="宋体" w:hAnsi="宋体"/>
                <w:color w:val="auto"/>
                <w:szCs w:val="21"/>
                <w:highlight w:val="none"/>
              </w:rPr>
            </w:pPr>
            <w:r>
              <w:rPr>
                <w:rFonts w:ascii="宋体" w:hAnsi="宋体"/>
                <w:color w:val="auto"/>
                <w:szCs w:val="21"/>
                <w:highlight w:val="none"/>
              </w:rPr>
              <w:t>10、管理平台提供巡课值守模式，自动轮循显示处于运行状态的交互智能设备使用界面。</w:t>
            </w:r>
          </w:p>
          <w:p>
            <w:pPr>
              <w:rPr>
                <w:rFonts w:ascii="宋体" w:hAnsi="宋体"/>
                <w:color w:val="auto"/>
                <w:szCs w:val="21"/>
                <w:highlight w:val="none"/>
              </w:rPr>
            </w:pPr>
            <w:r>
              <w:rPr>
                <w:rFonts w:ascii="宋体" w:hAnsi="宋体"/>
                <w:color w:val="auto"/>
                <w:szCs w:val="21"/>
                <w:highlight w:val="none"/>
              </w:rPr>
              <w:t>11、管理平台实时显示交互智能设备异常的告警提示，并同步将异常信息推送至管理员移动端工作平台。</w:t>
            </w:r>
          </w:p>
          <w:p>
            <w:pPr>
              <w:rPr>
                <w:rFonts w:ascii="宋体" w:hAnsi="宋体"/>
                <w:color w:val="auto"/>
                <w:szCs w:val="21"/>
                <w:highlight w:val="none"/>
              </w:rPr>
            </w:pPr>
            <w:r>
              <w:rPr>
                <w:rFonts w:ascii="宋体" w:hAnsi="宋体"/>
                <w:color w:val="auto"/>
                <w:szCs w:val="21"/>
                <w:highlight w:val="none"/>
              </w:rPr>
              <w:t>12、管理平台根据设备日常运行状况综合生成设备健康值，可查看设备健康值排名并进行正序、反序排列。</w:t>
            </w:r>
          </w:p>
          <w:p>
            <w:pPr>
              <w:rPr>
                <w:rFonts w:ascii="宋体" w:hAnsi="宋体"/>
                <w:color w:val="auto"/>
                <w:szCs w:val="21"/>
                <w:highlight w:val="none"/>
              </w:rPr>
            </w:pPr>
            <w:r>
              <w:rPr>
                <w:rFonts w:hint="eastAsia" w:ascii="宋体" w:hAnsi="宋体"/>
                <w:color w:val="auto"/>
                <w:szCs w:val="21"/>
                <w:highlight w:val="none"/>
              </w:rPr>
              <w:t>智能学生终端管理</w:t>
            </w:r>
          </w:p>
          <w:p>
            <w:pPr>
              <w:rPr>
                <w:rFonts w:ascii="宋体" w:hAnsi="宋体"/>
                <w:color w:val="auto"/>
                <w:szCs w:val="21"/>
                <w:highlight w:val="none"/>
              </w:rPr>
            </w:pPr>
            <w:r>
              <w:rPr>
                <w:rFonts w:ascii="宋体" w:hAnsi="宋体"/>
                <w:color w:val="auto"/>
                <w:szCs w:val="21"/>
                <w:highlight w:val="none"/>
              </w:rPr>
              <w:t>13、管理平台支持创建多种管理策略，满足不同使用场景教学管理需求，可对已有管理策略进行编辑删除。</w:t>
            </w:r>
          </w:p>
          <w:p>
            <w:pPr>
              <w:rPr>
                <w:rFonts w:ascii="宋体" w:hAnsi="宋体"/>
                <w:color w:val="auto"/>
                <w:szCs w:val="21"/>
                <w:highlight w:val="none"/>
              </w:rPr>
            </w:pPr>
            <w:r>
              <w:rPr>
                <w:rFonts w:ascii="宋体" w:hAnsi="宋体"/>
                <w:color w:val="auto"/>
                <w:szCs w:val="21"/>
                <w:highlight w:val="none"/>
              </w:rPr>
              <w:t>14、平台可设置智能学生终端网络访问白名单，学生通过学生终端仅能访问白名单列表授权网址，规范学生上网行为。</w:t>
            </w:r>
          </w:p>
          <w:p>
            <w:pPr>
              <w:rPr>
                <w:rFonts w:ascii="宋体" w:hAnsi="宋体"/>
                <w:color w:val="auto"/>
                <w:szCs w:val="21"/>
                <w:highlight w:val="none"/>
              </w:rPr>
            </w:pPr>
            <w:r>
              <w:rPr>
                <w:rFonts w:ascii="宋体" w:hAnsi="宋体"/>
                <w:color w:val="auto"/>
                <w:szCs w:val="21"/>
                <w:highlight w:val="none"/>
              </w:rPr>
              <w:t>15、平台可对应用使用进行管理，管理员可管理学生在非教学时段可以启用的应用，规范学生非教学时段使用行为。</w:t>
            </w:r>
          </w:p>
          <w:p>
            <w:pPr>
              <w:rPr>
                <w:rFonts w:ascii="宋体" w:hAnsi="宋体"/>
                <w:color w:val="auto"/>
                <w:szCs w:val="21"/>
                <w:highlight w:val="none"/>
              </w:rPr>
            </w:pPr>
            <w:r>
              <w:rPr>
                <w:rFonts w:ascii="宋体" w:hAnsi="宋体"/>
                <w:color w:val="auto"/>
                <w:szCs w:val="21"/>
                <w:highlight w:val="none"/>
              </w:rPr>
              <w:t>16、平台可对智能学生终端教学界面模式和桌面壁纸进行自定义设置，便于学校进行校园整体视觉形象规划及塑造班级个性化教学环境。</w:t>
            </w:r>
          </w:p>
          <w:p>
            <w:pPr>
              <w:rPr>
                <w:rFonts w:ascii="宋体" w:hAnsi="宋体"/>
                <w:color w:val="auto"/>
                <w:szCs w:val="21"/>
                <w:highlight w:val="none"/>
              </w:rPr>
            </w:pPr>
            <w:r>
              <w:rPr>
                <w:rFonts w:ascii="宋体" w:hAnsi="宋体"/>
                <w:color w:val="auto"/>
                <w:szCs w:val="21"/>
                <w:highlight w:val="none"/>
              </w:rPr>
              <w:t>17、平台可管理智能学生终端外接数据接口的通信权限、蓝牙功能、音频外设接口使用权限，规范学生终端使用。</w:t>
            </w:r>
          </w:p>
          <w:p>
            <w:pPr>
              <w:rPr>
                <w:rFonts w:ascii="宋体" w:hAnsi="宋体"/>
                <w:color w:val="auto"/>
                <w:szCs w:val="21"/>
                <w:highlight w:val="none"/>
              </w:rPr>
            </w:pPr>
            <w:r>
              <w:rPr>
                <w:rFonts w:ascii="宋体" w:hAnsi="宋体"/>
                <w:color w:val="auto"/>
                <w:szCs w:val="21"/>
                <w:highlight w:val="none"/>
              </w:rPr>
              <w:t>18、平台可设定开启学生终端护眼模式的时间计划，支持全校部署时间计划。</w:t>
            </w:r>
          </w:p>
          <w:p>
            <w:pPr>
              <w:rPr>
                <w:rFonts w:ascii="宋体" w:hAnsi="宋体"/>
                <w:color w:val="auto"/>
                <w:szCs w:val="21"/>
                <w:highlight w:val="none"/>
              </w:rPr>
            </w:pPr>
            <w:r>
              <w:rPr>
                <w:rFonts w:ascii="宋体" w:hAnsi="宋体"/>
                <w:color w:val="auto"/>
                <w:szCs w:val="21"/>
                <w:highlight w:val="none"/>
              </w:rPr>
              <w:t>19、运行数据模块显示当前学生终端在线率以及终端管理有效率，同时包含在线终端数量、接入系统平台的终端数量和学校所有终端数量，展现全校使用情况。</w:t>
            </w:r>
          </w:p>
          <w:p>
            <w:pPr>
              <w:rPr>
                <w:rFonts w:ascii="宋体" w:hAnsi="宋体"/>
                <w:color w:val="auto"/>
                <w:szCs w:val="21"/>
                <w:highlight w:val="none"/>
              </w:rPr>
            </w:pPr>
            <w:r>
              <w:rPr>
                <w:rFonts w:ascii="宋体" w:hAnsi="宋体"/>
                <w:color w:val="auto"/>
                <w:szCs w:val="21"/>
                <w:highlight w:val="none"/>
              </w:rPr>
              <w:t>20、终端列表可查看终端信息，包含终端型号、系统版本号、Mac地址、SN号、在线状态、所属学生、所在班级、应用管理策略、配置生效状态、剩余电量等基本信息。管理员可增删终端并依据基础信息快速筛选搜索设备，提高管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rPr>
                <w:rFonts w:ascii="宋体" w:hAnsi="宋体"/>
                <w:color w:val="auto"/>
                <w:szCs w:val="21"/>
                <w:highlight w:val="none"/>
              </w:rPr>
            </w:pPr>
            <w:r>
              <w:rPr>
                <w:rFonts w:hint="eastAsia" w:ascii="宋体" w:hAnsi="宋体"/>
                <w:color w:val="auto"/>
                <w:szCs w:val="21"/>
                <w:highlight w:val="none"/>
              </w:rPr>
              <w:t>3</w:t>
            </w:r>
          </w:p>
        </w:tc>
        <w:tc>
          <w:tcPr>
            <w:tcW w:w="718" w:type="pct"/>
            <w:gridSpan w:val="2"/>
            <w:vAlign w:val="center"/>
          </w:tcPr>
          <w:p>
            <w:pPr>
              <w:rPr>
                <w:color w:val="auto"/>
                <w:highlight w:val="none"/>
              </w:rPr>
            </w:pPr>
            <w:r>
              <w:rPr>
                <w:rFonts w:hint="eastAsia"/>
                <w:color w:val="auto"/>
                <w:highlight w:val="none"/>
              </w:rPr>
              <w:t>智能翻页笔</w:t>
            </w:r>
          </w:p>
        </w:tc>
        <w:tc>
          <w:tcPr>
            <w:tcW w:w="426" w:type="pct"/>
            <w:vAlign w:val="center"/>
          </w:tcPr>
          <w:p>
            <w:pPr>
              <w:rPr>
                <w:color w:val="auto"/>
                <w:highlight w:val="none"/>
              </w:rPr>
            </w:pPr>
            <w:r>
              <w:rPr>
                <w:color w:val="auto"/>
                <w:highlight w:val="none"/>
              </w:rPr>
              <w:t>8</w:t>
            </w:r>
            <w:r>
              <w:rPr>
                <w:rFonts w:hint="eastAsia"/>
                <w:color w:val="auto"/>
                <w:highlight w:val="none"/>
              </w:rPr>
              <w:t>0</w:t>
            </w:r>
          </w:p>
        </w:tc>
        <w:tc>
          <w:tcPr>
            <w:tcW w:w="426" w:type="pct"/>
            <w:vAlign w:val="center"/>
          </w:tcPr>
          <w:p>
            <w:pPr>
              <w:rPr>
                <w:color w:val="auto"/>
                <w:highlight w:val="none"/>
              </w:rPr>
            </w:pPr>
            <w:r>
              <w:rPr>
                <w:color w:val="auto"/>
                <w:highlight w:val="none"/>
              </w:rPr>
              <w:t>支</w:t>
            </w:r>
          </w:p>
        </w:tc>
        <w:tc>
          <w:tcPr>
            <w:tcW w:w="3126" w:type="pct"/>
          </w:tcPr>
          <w:p>
            <w:pPr>
              <w:rPr>
                <w:rFonts w:ascii="宋体" w:hAnsi="宋体"/>
                <w:color w:val="auto"/>
                <w:szCs w:val="21"/>
                <w:highlight w:val="none"/>
              </w:rPr>
            </w:pPr>
            <w:r>
              <w:rPr>
                <w:rFonts w:ascii="宋体" w:hAnsi="宋体"/>
                <w:color w:val="auto"/>
                <w:szCs w:val="21"/>
                <w:highlight w:val="none"/>
              </w:rPr>
              <w:t>1、采用笔型设计，具有三个遥控按键（上下翻页和功能键），既可用于触摸书写，也可用于远程操控。</w:t>
            </w:r>
          </w:p>
          <w:p>
            <w:pPr>
              <w:rPr>
                <w:rFonts w:ascii="宋体" w:hAnsi="宋体"/>
                <w:color w:val="auto"/>
                <w:szCs w:val="21"/>
                <w:highlight w:val="none"/>
              </w:rPr>
            </w:pPr>
            <w:r>
              <w:rPr>
                <w:rFonts w:ascii="宋体" w:hAnsi="宋体"/>
                <w:color w:val="auto"/>
                <w:szCs w:val="21"/>
                <w:highlight w:val="none"/>
              </w:rPr>
              <w:t>2、采用2.4G无线连接技术，无线接收距离最大可达15米。</w:t>
            </w:r>
          </w:p>
          <w:p>
            <w:pPr>
              <w:rPr>
                <w:rFonts w:ascii="宋体" w:hAnsi="宋体"/>
                <w:color w:val="auto"/>
                <w:szCs w:val="21"/>
                <w:highlight w:val="none"/>
              </w:rPr>
            </w:pPr>
            <w:r>
              <w:rPr>
                <w:rFonts w:ascii="宋体" w:hAnsi="宋体"/>
                <w:color w:val="auto"/>
                <w:szCs w:val="21"/>
                <w:highlight w:val="none"/>
              </w:rPr>
              <w:t>3、无线接收器采用微型nano设计。</w:t>
            </w:r>
          </w:p>
          <w:p>
            <w:pPr>
              <w:rPr>
                <w:rFonts w:ascii="宋体" w:hAnsi="宋体"/>
                <w:color w:val="auto"/>
                <w:szCs w:val="21"/>
                <w:highlight w:val="none"/>
              </w:rPr>
            </w:pPr>
            <w:r>
              <w:rPr>
                <w:rFonts w:ascii="宋体" w:hAnsi="宋体"/>
                <w:color w:val="auto"/>
                <w:szCs w:val="21"/>
                <w:highlight w:val="none"/>
              </w:rPr>
              <w:t>4、使用单节7号电池驱动，并带自动休眠节电设计。</w:t>
            </w:r>
          </w:p>
          <w:p>
            <w:pPr>
              <w:rPr>
                <w:rFonts w:ascii="宋体" w:hAnsi="宋体"/>
                <w:color w:val="auto"/>
                <w:szCs w:val="21"/>
                <w:highlight w:val="none"/>
              </w:rPr>
            </w:pPr>
            <w:r>
              <w:rPr>
                <w:rFonts w:ascii="宋体" w:hAnsi="宋体"/>
                <w:color w:val="auto"/>
                <w:szCs w:val="21"/>
                <w:highlight w:val="none"/>
              </w:rPr>
              <w:t>5、单接收器设计，android、windows双系统同时响应。只需安装一个接收器，双系统都能响应智能笔的操作指令。</w:t>
            </w:r>
          </w:p>
          <w:p>
            <w:pPr>
              <w:rPr>
                <w:rFonts w:ascii="宋体" w:hAnsi="宋体"/>
                <w:color w:val="auto"/>
                <w:szCs w:val="21"/>
                <w:highlight w:val="none"/>
              </w:rPr>
            </w:pPr>
            <w:r>
              <w:rPr>
                <w:rFonts w:ascii="宋体" w:hAnsi="宋体"/>
                <w:color w:val="auto"/>
                <w:szCs w:val="21"/>
                <w:highlight w:val="none"/>
              </w:rPr>
              <w:t>6、支持白板课件、PPT、PDF等多种格式的课件进行远程无线翻页。</w:t>
            </w:r>
          </w:p>
          <w:p>
            <w:pPr>
              <w:rPr>
                <w:rFonts w:ascii="宋体" w:hAnsi="宋体"/>
                <w:color w:val="auto"/>
                <w:szCs w:val="21"/>
                <w:highlight w:val="none"/>
              </w:rPr>
            </w:pPr>
            <w:r>
              <w:rPr>
                <w:rFonts w:ascii="宋体" w:hAnsi="宋体"/>
                <w:color w:val="auto"/>
                <w:szCs w:val="21"/>
                <w:highlight w:val="none"/>
              </w:rPr>
              <w:t>7、功能按键可通过长按/短按实现两种快捷功能，方便教师操作。</w:t>
            </w:r>
          </w:p>
          <w:p>
            <w:pPr>
              <w:rPr>
                <w:rFonts w:ascii="宋体" w:hAnsi="宋体"/>
                <w:color w:val="auto"/>
                <w:szCs w:val="21"/>
                <w:highlight w:val="none"/>
              </w:rPr>
            </w:pPr>
            <w:r>
              <w:rPr>
                <w:rFonts w:ascii="宋体" w:hAnsi="宋体"/>
                <w:color w:val="auto"/>
                <w:szCs w:val="21"/>
                <w:highlight w:val="none"/>
              </w:rPr>
              <w:t>8、支持自定义按键功能，可选功能包括：一键启动任意通道批注、一键启动/退出PPT播放、一键启动PPT批注、一键启动任意通道冻结与放大屏幕内容。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rPr>
                <w:rFonts w:ascii="宋体" w:hAnsi="宋体"/>
                <w:color w:val="auto"/>
                <w:szCs w:val="21"/>
                <w:highlight w:val="none"/>
              </w:rPr>
            </w:pPr>
            <w:r>
              <w:rPr>
                <w:rFonts w:hint="eastAsia" w:ascii="宋体" w:hAnsi="宋体"/>
                <w:color w:val="auto"/>
                <w:szCs w:val="21"/>
                <w:highlight w:val="none"/>
              </w:rPr>
              <w:t>4</w:t>
            </w:r>
          </w:p>
        </w:tc>
        <w:tc>
          <w:tcPr>
            <w:tcW w:w="718" w:type="pct"/>
            <w:gridSpan w:val="2"/>
            <w:vAlign w:val="center"/>
          </w:tcPr>
          <w:p>
            <w:pPr>
              <w:rPr>
                <w:color w:val="auto"/>
                <w:highlight w:val="none"/>
              </w:rPr>
            </w:pPr>
            <w:r>
              <w:rPr>
                <w:rFonts w:hint="eastAsia"/>
                <w:color w:val="auto"/>
                <w:highlight w:val="none"/>
              </w:rPr>
              <w:t>壁挂式展台</w:t>
            </w:r>
          </w:p>
        </w:tc>
        <w:tc>
          <w:tcPr>
            <w:tcW w:w="426" w:type="pct"/>
            <w:vAlign w:val="center"/>
          </w:tcPr>
          <w:p>
            <w:pPr>
              <w:rPr>
                <w:color w:val="auto"/>
                <w:highlight w:val="none"/>
              </w:rPr>
            </w:pPr>
            <w:r>
              <w:rPr>
                <w:color w:val="auto"/>
                <w:highlight w:val="none"/>
              </w:rPr>
              <w:t>8</w:t>
            </w:r>
            <w:r>
              <w:rPr>
                <w:rFonts w:hint="eastAsia"/>
                <w:color w:val="auto"/>
                <w:highlight w:val="none"/>
              </w:rPr>
              <w:t>0</w:t>
            </w:r>
          </w:p>
        </w:tc>
        <w:tc>
          <w:tcPr>
            <w:tcW w:w="426" w:type="pct"/>
            <w:vAlign w:val="center"/>
          </w:tcPr>
          <w:p>
            <w:pPr>
              <w:rPr>
                <w:color w:val="auto"/>
                <w:highlight w:val="none"/>
              </w:rPr>
            </w:pPr>
            <w:r>
              <w:rPr>
                <w:color w:val="auto"/>
                <w:highlight w:val="none"/>
              </w:rPr>
              <w:t>台</w:t>
            </w:r>
          </w:p>
        </w:tc>
        <w:tc>
          <w:tcPr>
            <w:tcW w:w="3126" w:type="pct"/>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1、采用≥800万像素摄像头；采用 USB五伏电源直接供电，无需额外配置电源适配器，环保无辐射；箱内USB连线采用隐藏式设计，箱内无可见连线且USB口下出，有效防止积尘，且方便布线和返修。</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2、A4大小拍摄幅面，1080P动态视频预览达到30帧/秒；托板及挂墙部分采用金属加强，托板可承重3kg，整机壁挂式安装。</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3、支持展台成像画面实时批注，预设多种笔划粗细及颜色供选择，且支持对展台成像画面联同批注内容进行同步缩放、移动。</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4、具有故障自动检测功能：在调用展台却无法出现镜头采集画面信号时，可自动出现检测链接，并给出导致性原因（如硬件连接、摄像头占用、配套软件版本等问题）。</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5、展示托板正上方具备LED补光灯，保证展示区域的亮度及展示效果，补光灯开关采用触摸按键设计，同时可通过交互智能平板中的软件直接控制开关；带自动对焦摄像头。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rPr>
                <w:rFonts w:ascii="宋体" w:hAnsi="宋体"/>
                <w:color w:val="auto"/>
                <w:szCs w:val="21"/>
                <w:highlight w:val="none"/>
              </w:rPr>
            </w:pPr>
            <w:r>
              <w:rPr>
                <w:rFonts w:hint="eastAsia" w:ascii="宋体" w:hAnsi="宋体"/>
                <w:color w:val="auto"/>
                <w:szCs w:val="21"/>
                <w:highlight w:val="none"/>
              </w:rPr>
              <w:t>5</w:t>
            </w:r>
          </w:p>
        </w:tc>
        <w:tc>
          <w:tcPr>
            <w:tcW w:w="718" w:type="pct"/>
            <w:gridSpan w:val="2"/>
            <w:vAlign w:val="center"/>
          </w:tcPr>
          <w:p>
            <w:pPr>
              <w:rPr>
                <w:color w:val="auto"/>
                <w:highlight w:val="none"/>
              </w:rPr>
            </w:pPr>
            <w:r>
              <w:rPr>
                <w:rFonts w:hint="eastAsia"/>
                <w:color w:val="auto"/>
                <w:highlight w:val="none"/>
              </w:rPr>
              <w:t>推拉黑板</w:t>
            </w:r>
          </w:p>
        </w:tc>
        <w:tc>
          <w:tcPr>
            <w:tcW w:w="426" w:type="pct"/>
            <w:vAlign w:val="center"/>
          </w:tcPr>
          <w:p>
            <w:pPr>
              <w:rPr>
                <w:color w:val="auto"/>
                <w:highlight w:val="none"/>
              </w:rPr>
            </w:pPr>
            <w:r>
              <w:rPr>
                <w:color w:val="auto"/>
                <w:highlight w:val="none"/>
              </w:rPr>
              <w:t>8</w:t>
            </w:r>
            <w:r>
              <w:rPr>
                <w:rFonts w:hint="eastAsia"/>
                <w:color w:val="auto"/>
                <w:highlight w:val="none"/>
              </w:rPr>
              <w:t>0</w:t>
            </w:r>
          </w:p>
        </w:tc>
        <w:tc>
          <w:tcPr>
            <w:tcW w:w="426" w:type="pct"/>
            <w:vAlign w:val="center"/>
          </w:tcPr>
          <w:p>
            <w:pPr>
              <w:rPr>
                <w:color w:val="auto"/>
                <w:highlight w:val="none"/>
              </w:rPr>
            </w:pPr>
            <w:r>
              <w:rPr>
                <w:color w:val="auto"/>
                <w:highlight w:val="none"/>
              </w:rPr>
              <w:t>套</w:t>
            </w:r>
          </w:p>
        </w:tc>
        <w:tc>
          <w:tcPr>
            <w:tcW w:w="3126" w:type="pct"/>
            <w:vAlign w:val="center"/>
          </w:tcPr>
          <w:p>
            <w:pPr>
              <w:rPr>
                <w:rFonts w:ascii="宋体" w:hAnsi="宋体"/>
                <w:color w:val="auto"/>
                <w:szCs w:val="21"/>
                <w:highlight w:val="none"/>
              </w:rPr>
            </w:pPr>
            <w:r>
              <w:rPr>
                <w:rFonts w:ascii="宋体" w:hAnsi="宋体"/>
                <w:color w:val="auto"/>
                <w:szCs w:val="21"/>
                <w:highlight w:val="none"/>
              </w:rPr>
              <w:t>1、双层结构四块装与边框组合，电子产品居中放置。内层为固定书写板与电子产品正面平齐，外层为滑动书写板，滑动板配装刻有黑板品牌LOGO标识的挂锁，开闭自如确保电子产品的安全管理。基本尺寸：≥4000mm×1305mm，根据实际尺寸确保与电子产品的有效配套。</w:t>
            </w:r>
          </w:p>
          <w:p>
            <w:pPr>
              <w:rPr>
                <w:rFonts w:ascii="宋体" w:hAnsi="宋体"/>
                <w:color w:val="auto"/>
                <w:szCs w:val="21"/>
                <w:highlight w:val="none"/>
              </w:rPr>
            </w:pPr>
            <w:r>
              <w:rPr>
                <w:rFonts w:ascii="宋体" w:hAnsi="宋体"/>
                <w:color w:val="auto"/>
                <w:szCs w:val="21"/>
                <w:highlight w:val="none"/>
              </w:rPr>
              <w:t>2、板面：采用优质烤漆板面，墨绿色、亚光，厚度≥0.3mm，粗糙度为Ra1.6-3.2 um，光泽度≤6光泽单位，没有因黑板本身原因产生的眩光，书写流畅字迹清晰、板面表面附有一层透明保护膜。板面支持磁性材料吸附，方便教师展示教学素材。边框：工业用高强度铝合金</w:t>
            </w:r>
            <w:r>
              <w:rPr>
                <w:rFonts w:hint="eastAsia" w:ascii="宋体" w:hAnsi="宋体"/>
                <w:color w:val="auto"/>
                <w:szCs w:val="21"/>
                <w:highlight w:val="none"/>
              </w:rPr>
              <w:t>型材，电泳香槟色，模具挤压一次成型，上框规格</w:t>
            </w:r>
            <w:r>
              <w:rPr>
                <w:rFonts w:ascii="宋体" w:hAnsi="宋体"/>
                <w:color w:val="auto"/>
                <w:szCs w:val="21"/>
                <w:highlight w:val="none"/>
              </w:rPr>
              <w:t>57mm×100mm，左右框规格29mm×100mm。，板托宽度≥30mm，板托与滑动系统分离，结构性解决滑轮受灰尘影响的滑动情况，与边框一次模具成形，可放置书写笔，方便实用。滑轮：上轨采用减震消音双组吊轮，滑轮使用高精度轴承，下轨采用双组滑块，数目各4组，上下均匀安装，推拉顺畅自如稳定性好。</w:t>
            </w:r>
          </w:p>
          <w:p>
            <w:pP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、背板：采用优质防锈热镀锌钢板，厚度≥0.25mm，流水线一次成型，间隔80mm压有20mm凹槽加强筋凹槽增加强度，更加耐用。</w:t>
            </w:r>
          </w:p>
          <w:p>
            <w:pP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、包角：采用抗老化高强度ABS工程塑料注塑成</w:t>
            </w:r>
            <w:r>
              <w:rPr>
                <w:rFonts w:hint="eastAsia" w:ascii="宋体" w:hAnsi="宋体"/>
                <w:color w:val="auto"/>
                <w:szCs w:val="21"/>
                <w:highlight w:val="none"/>
              </w:rPr>
              <w:t>型。采用双壁成腔流线型设计，≥</w:t>
            </w:r>
            <w:r>
              <w:rPr>
                <w:rFonts w:ascii="宋体" w:hAnsi="宋体"/>
                <w:color w:val="auto"/>
                <w:szCs w:val="21"/>
                <w:highlight w:val="none"/>
              </w:rPr>
              <w:t>R25mm的圆角，正面带黑板品牌LOGO标识，无尖角毛刺。</w:t>
            </w:r>
          </w:p>
          <w:p>
            <w:pPr>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、安装：配装自制钢制安装件，规格95*50*60mm，隐形安装、没有外露的挂接件，符合GB 21027-2007《学生用品的安全通用要求》。</w:t>
            </w:r>
          </w:p>
          <w:p>
            <w:pPr>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、包装：采用环保型材料，符合国家产品包装要求，单套或双套纸箱独立包装，箱体印有制造商名称、LOGO标识、地址、服务热线等信息。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rPr>
                <w:rFonts w:ascii="宋体" w:hAnsi="宋体"/>
                <w:color w:val="auto"/>
                <w:szCs w:val="21"/>
                <w:highlight w:val="none"/>
              </w:rPr>
            </w:pPr>
            <w:r>
              <w:rPr>
                <w:rFonts w:hint="eastAsia" w:ascii="宋体" w:hAnsi="宋体"/>
                <w:color w:val="auto"/>
                <w:szCs w:val="21"/>
                <w:highlight w:val="none"/>
              </w:rPr>
              <w:t>6</w:t>
            </w:r>
          </w:p>
        </w:tc>
        <w:tc>
          <w:tcPr>
            <w:tcW w:w="718" w:type="pct"/>
            <w:gridSpan w:val="2"/>
            <w:vAlign w:val="center"/>
          </w:tcPr>
          <w:p>
            <w:pPr>
              <w:rPr>
                <w:color w:val="auto"/>
                <w:highlight w:val="none"/>
              </w:rPr>
            </w:pPr>
            <w:r>
              <w:rPr>
                <w:rFonts w:hint="eastAsia"/>
                <w:color w:val="auto"/>
                <w:highlight w:val="none"/>
              </w:rPr>
              <w:t>讲桌</w:t>
            </w:r>
          </w:p>
        </w:tc>
        <w:tc>
          <w:tcPr>
            <w:tcW w:w="426" w:type="pct"/>
            <w:vAlign w:val="center"/>
          </w:tcPr>
          <w:p>
            <w:pPr>
              <w:rPr>
                <w:color w:val="auto"/>
                <w:highlight w:val="none"/>
              </w:rPr>
            </w:pPr>
            <w:r>
              <w:rPr>
                <w:color w:val="auto"/>
                <w:highlight w:val="none"/>
              </w:rPr>
              <w:t>8</w:t>
            </w:r>
            <w:r>
              <w:rPr>
                <w:rFonts w:hint="eastAsia"/>
                <w:color w:val="auto"/>
                <w:highlight w:val="none"/>
              </w:rPr>
              <w:t>0</w:t>
            </w:r>
          </w:p>
        </w:tc>
        <w:tc>
          <w:tcPr>
            <w:tcW w:w="426" w:type="pct"/>
            <w:vAlign w:val="center"/>
          </w:tcPr>
          <w:p>
            <w:pPr>
              <w:rPr>
                <w:color w:val="auto"/>
                <w:highlight w:val="none"/>
              </w:rPr>
            </w:pPr>
            <w:r>
              <w:rPr>
                <w:color w:val="auto"/>
                <w:highlight w:val="none"/>
              </w:rPr>
              <w:t>张</w:t>
            </w:r>
          </w:p>
        </w:tc>
        <w:tc>
          <w:tcPr>
            <w:tcW w:w="3126" w:type="pct"/>
            <w:vAlign w:val="center"/>
          </w:tcPr>
          <w:p>
            <w:pPr>
              <w:rPr>
                <w:rFonts w:ascii="宋体" w:hAnsi="宋体"/>
                <w:color w:val="auto"/>
                <w:szCs w:val="21"/>
                <w:highlight w:val="none"/>
              </w:rPr>
            </w:pPr>
            <w:r>
              <w:rPr>
                <w:rFonts w:ascii="宋体" w:hAnsi="宋体"/>
                <w:color w:val="auto"/>
                <w:szCs w:val="21"/>
                <w:highlight w:val="none"/>
              </w:rPr>
              <w:t>1.多媒体讲台型号：小致钢木讲台；</w:t>
            </w:r>
          </w:p>
          <w:p>
            <w:pPr>
              <w:rPr>
                <w:rFonts w:ascii="宋体" w:hAnsi="宋体"/>
                <w:color w:val="auto"/>
                <w:szCs w:val="21"/>
                <w:highlight w:val="none"/>
              </w:rPr>
            </w:pPr>
            <w:r>
              <w:rPr>
                <w:rFonts w:ascii="宋体" w:hAnsi="宋体"/>
                <w:color w:val="auto"/>
                <w:szCs w:val="21"/>
                <w:highlight w:val="none"/>
              </w:rPr>
              <w:t>2.整体设计符合人机工程学，讲台整体小巧精致美观；</w:t>
            </w:r>
          </w:p>
          <w:p>
            <w:pPr>
              <w:rPr>
                <w:rFonts w:ascii="宋体" w:hAnsi="宋体"/>
                <w:color w:val="auto"/>
                <w:szCs w:val="21"/>
                <w:highlight w:val="none"/>
              </w:rPr>
            </w:pPr>
            <w:r>
              <w:rPr>
                <w:rFonts w:ascii="宋体" w:hAnsi="宋体"/>
                <w:color w:val="auto"/>
                <w:szCs w:val="21"/>
                <w:highlight w:val="none"/>
              </w:rPr>
              <w:t>3.整体采用分体式结构，规格为长800mm、宽515mm、高900mm；</w:t>
            </w:r>
          </w:p>
          <w:p>
            <w:pPr>
              <w:rPr>
                <w:rFonts w:ascii="宋体" w:hAnsi="宋体"/>
                <w:color w:val="auto"/>
                <w:szCs w:val="21"/>
                <w:highlight w:val="none"/>
              </w:rPr>
            </w:pPr>
            <w:r>
              <w:rPr>
                <w:rFonts w:ascii="宋体" w:hAnsi="宋体"/>
                <w:color w:val="auto"/>
                <w:szCs w:val="21"/>
                <w:highlight w:val="none"/>
              </w:rPr>
              <w:t>4.多媒体讲台整体采用1.0mm优质冷轧钢板，无接缝，边缘及拐角均采用圆弧设计，确保学生安全，耐冲击性强，防盗性能优越；</w:t>
            </w:r>
          </w:p>
          <w:p>
            <w:pPr>
              <w:rPr>
                <w:rFonts w:ascii="宋体" w:hAnsi="宋体"/>
                <w:color w:val="auto"/>
                <w:szCs w:val="21"/>
                <w:highlight w:val="none"/>
              </w:rPr>
            </w:pPr>
            <w:r>
              <w:rPr>
                <w:rFonts w:ascii="宋体" w:hAnsi="宋体"/>
                <w:color w:val="auto"/>
                <w:szCs w:val="21"/>
                <w:highlight w:val="none"/>
              </w:rPr>
              <w:t>5.颜色选用哑光灰白色，桌面板及木扶手采用优质木板加工成型，表面进行低温物理工艺处理；下体前门采用木纹色，表面经脱脂磷化工艺处理后选用优质塑粉静电喷涂而成，耐腐蚀性强，色彩搭配靓丽，美观耐用；</w:t>
            </w:r>
          </w:p>
          <w:p>
            <w:pPr>
              <w:rPr>
                <w:rFonts w:ascii="宋体" w:hAnsi="宋体"/>
                <w:color w:val="auto"/>
                <w:szCs w:val="21"/>
                <w:highlight w:val="none"/>
              </w:rPr>
            </w:pPr>
            <w:r>
              <w:rPr>
                <w:rFonts w:ascii="宋体" w:hAnsi="宋体"/>
                <w:color w:val="auto"/>
                <w:szCs w:val="21"/>
                <w:highlight w:val="none"/>
              </w:rPr>
              <w:t>6、讲桌桌体上部分留有储物抽屉，抽拉式开关方式，可放置教学工具；桌体下部分大空间放置教学教具；一把钥匙通开；桌面预留接线走线孔；</w:t>
            </w:r>
          </w:p>
          <w:p>
            <w:pPr>
              <w:rPr>
                <w:rFonts w:ascii="宋体" w:hAnsi="宋体"/>
                <w:color w:val="auto"/>
                <w:szCs w:val="21"/>
                <w:highlight w:val="none"/>
              </w:rPr>
            </w:pPr>
            <w:r>
              <w:rPr>
                <w:rFonts w:ascii="宋体" w:hAnsi="宋体"/>
                <w:color w:val="auto"/>
                <w:szCs w:val="21"/>
                <w:highlight w:val="none"/>
              </w:rPr>
              <w:t>7、全部的加工件均采用模具成型，先进的工装夹具、配合全自动焊接工艺，保障尺寸精度及各部件一致性。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rPr>
                <w:rFonts w:ascii="宋体" w:hAnsi="宋体"/>
                <w:color w:val="auto"/>
                <w:szCs w:val="21"/>
                <w:highlight w:val="none"/>
              </w:rPr>
            </w:pPr>
            <w:r>
              <w:rPr>
                <w:rFonts w:hint="eastAsia" w:ascii="宋体" w:hAnsi="宋体"/>
                <w:color w:val="auto"/>
                <w:szCs w:val="21"/>
                <w:highlight w:val="none"/>
              </w:rPr>
              <w:t>7</w:t>
            </w:r>
          </w:p>
        </w:tc>
        <w:tc>
          <w:tcPr>
            <w:tcW w:w="718" w:type="pct"/>
            <w:gridSpan w:val="2"/>
            <w:vAlign w:val="center"/>
          </w:tcPr>
          <w:p>
            <w:pPr>
              <w:rPr>
                <w:color w:val="auto"/>
                <w:highlight w:val="none"/>
              </w:rPr>
            </w:pPr>
            <w:r>
              <w:rPr>
                <w:rFonts w:hint="eastAsia"/>
                <w:color w:val="auto"/>
                <w:highlight w:val="none"/>
              </w:rPr>
              <w:t>音箱</w:t>
            </w:r>
          </w:p>
        </w:tc>
        <w:tc>
          <w:tcPr>
            <w:tcW w:w="426" w:type="pct"/>
            <w:vAlign w:val="center"/>
          </w:tcPr>
          <w:p>
            <w:pPr>
              <w:rPr>
                <w:color w:val="auto"/>
                <w:highlight w:val="none"/>
              </w:rPr>
            </w:pPr>
            <w:r>
              <w:rPr>
                <w:color w:val="auto"/>
                <w:highlight w:val="none"/>
              </w:rPr>
              <w:t>8</w:t>
            </w:r>
            <w:r>
              <w:rPr>
                <w:rFonts w:hint="eastAsia"/>
                <w:color w:val="auto"/>
                <w:highlight w:val="none"/>
              </w:rPr>
              <w:t>0</w:t>
            </w:r>
          </w:p>
        </w:tc>
        <w:tc>
          <w:tcPr>
            <w:tcW w:w="426" w:type="pct"/>
            <w:vAlign w:val="center"/>
          </w:tcPr>
          <w:p>
            <w:pPr>
              <w:rPr>
                <w:color w:val="auto"/>
                <w:highlight w:val="none"/>
              </w:rPr>
            </w:pPr>
            <w:r>
              <w:rPr>
                <w:color w:val="auto"/>
                <w:highlight w:val="none"/>
              </w:rPr>
              <w:t>套</w:t>
            </w:r>
          </w:p>
        </w:tc>
        <w:tc>
          <w:tcPr>
            <w:tcW w:w="3126" w:type="pct"/>
          </w:tcPr>
          <w:p>
            <w:pPr>
              <w:rPr>
                <w:rFonts w:ascii="宋体" w:hAnsi="宋体"/>
                <w:color w:val="auto"/>
                <w:szCs w:val="21"/>
                <w:highlight w:val="none"/>
              </w:rPr>
            </w:pPr>
            <w:r>
              <w:rPr>
                <w:rFonts w:ascii="宋体" w:hAnsi="宋体"/>
                <w:color w:val="auto"/>
                <w:szCs w:val="21"/>
                <w:highlight w:val="none"/>
              </w:rPr>
              <w:t>1、采用功放及有源音箱一体化设计。</w:t>
            </w:r>
          </w:p>
          <w:p>
            <w:pPr>
              <w:rPr>
                <w:rFonts w:ascii="宋体" w:hAnsi="宋体"/>
                <w:color w:val="auto"/>
                <w:szCs w:val="21"/>
                <w:highlight w:val="none"/>
              </w:rPr>
            </w:pPr>
            <w:r>
              <w:rPr>
                <w:rFonts w:ascii="宋体" w:hAnsi="宋体"/>
                <w:color w:val="auto"/>
                <w:szCs w:val="21"/>
                <w:highlight w:val="none"/>
              </w:rPr>
              <w:t>2、双音箱配对，保证声音还原度。支持扩音和输入音源叠加输出，方便与录播系统结合，或者通过串联功放支持更大环境扩音。</w:t>
            </w:r>
          </w:p>
          <w:p>
            <w:pPr>
              <w:rPr>
                <w:rFonts w:ascii="宋体" w:hAnsi="宋体"/>
                <w:color w:val="auto"/>
                <w:szCs w:val="21"/>
                <w:highlight w:val="none"/>
              </w:rPr>
            </w:pPr>
            <w:r>
              <w:rPr>
                <w:rFonts w:ascii="宋体" w:hAnsi="宋体"/>
                <w:color w:val="auto"/>
                <w:szCs w:val="21"/>
                <w:highlight w:val="none"/>
              </w:rPr>
              <w:t>3、输出额定功率。支持专业无线麦克风接收技术数字U段无线麦克风扩音接收，有效避开wifi干扰。</w:t>
            </w:r>
          </w:p>
          <w:p>
            <w:pPr>
              <w:rPr>
                <w:rFonts w:ascii="宋体" w:hAnsi="宋体"/>
                <w:color w:val="auto"/>
                <w:szCs w:val="21"/>
                <w:highlight w:val="none"/>
              </w:rPr>
            </w:pPr>
            <w:r>
              <w:rPr>
                <w:rFonts w:ascii="宋体" w:hAnsi="宋体"/>
                <w:color w:val="auto"/>
                <w:szCs w:val="21"/>
                <w:highlight w:val="none"/>
              </w:rPr>
              <w:t>4、配置独立音频数字信号处理芯片，支持啸叫抑制功能。</w:t>
            </w:r>
          </w:p>
          <w:p>
            <w:pPr>
              <w:rPr>
                <w:rFonts w:ascii="宋体" w:hAnsi="宋体"/>
                <w:color w:val="auto"/>
                <w:szCs w:val="21"/>
                <w:highlight w:val="none"/>
              </w:rPr>
            </w:pPr>
            <w:r>
              <w:rPr>
                <w:rFonts w:ascii="宋体" w:hAnsi="宋体"/>
                <w:color w:val="auto"/>
                <w:szCs w:val="21"/>
                <w:highlight w:val="none"/>
              </w:rPr>
              <w:t>5、支持蓝牙无线接收，方便老师分享移动设备上的音频。蓝牙支持密码模式，防止学生连接。</w:t>
            </w:r>
          </w:p>
          <w:p>
            <w:pPr>
              <w:rPr>
                <w:rFonts w:ascii="宋体" w:hAnsi="宋体"/>
                <w:color w:val="auto"/>
                <w:szCs w:val="21"/>
                <w:highlight w:val="none"/>
              </w:rPr>
            </w:pPr>
            <w:r>
              <w:rPr>
                <w:rFonts w:ascii="宋体" w:hAnsi="宋体"/>
                <w:color w:val="auto"/>
                <w:szCs w:val="21"/>
                <w:highlight w:val="none"/>
              </w:rPr>
              <w:t>6、支持安卓手机通过蓝牙无线连接音箱，实现控制有源音箱的音量、设置蓝牙名称、设置蓝牙密码等功能，方便教师对音箱的管控。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rPr>
                <w:rFonts w:ascii="宋体" w:hAnsi="宋体"/>
                <w:color w:val="auto"/>
                <w:szCs w:val="21"/>
                <w:highlight w:val="none"/>
              </w:rPr>
            </w:pPr>
            <w:r>
              <w:rPr>
                <w:rFonts w:hint="eastAsia" w:ascii="宋体" w:hAnsi="宋体"/>
                <w:color w:val="auto"/>
                <w:szCs w:val="21"/>
                <w:highlight w:val="none"/>
              </w:rPr>
              <w:t>8</w:t>
            </w:r>
          </w:p>
        </w:tc>
        <w:tc>
          <w:tcPr>
            <w:tcW w:w="718" w:type="pct"/>
            <w:gridSpan w:val="2"/>
            <w:vAlign w:val="center"/>
          </w:tcPr>
          <w:p>
            <w:pPr>
              <w:rPr>
                <w:color w:val="auto"/>
                <w:highlight w:val="none"/>
              </w:rPr>
            </w:pPr>
            <w:r>
              <w:rPr>
                <w:rFonts w:hint="eastAsia"/>
                <w:color w:val="auto"/>
                <w:highlight w:val="none"/>
              </w:rPr>
              <w:t>麦克风</w:t>
            </w:r>
          </w:p>
        </w:tc>
        <w:tc>
          <w:tcPr>
            <w:tcW w:w="426" w:type="pct"/>
            <w:vAlign w:val="center"/>
          </w:tcPr>
          <w:p>
            <w:pPr>
              <w:rPr>
                <w:color w:val="auto"/>
                <w:highlight w:val="none"/>
              </w:rPr>
            </w:pPr>
            <w:r>
              <w:rPr>
                <w:color w:val="auto"/>
                <w:highlight w:val="none"/>
              </w:rPr>
              <w:t>8</w:t>
            </w:r>
            <w:r>
              <w:rPr>
                <w:rFonts w:hint="eastAsia"/>
                <w:color w:val="auto"/>
                <w:highlight w:val="none"/>
              </w:rPr>
              <w:t>0</w:t>
            </w:r>
          </w:p>
        </w:tc>
        <w:tc>
          <w:tcPr>
            <w:tcW w:w="426" w:type="pct"/>
            <w:vAlign w:val="center"/>
          </w:tcPr>
          <w:p>
            <w:pPr>
              <w:rPr>
                <w:color w:val="auto"/>
                <w:highlight w:val="none"/>
              </w:rPr>
            </w:pPr>
            <w:r>
              <w:rPr>
                <w:color w:val="auto"/>
                <w:highlight w:val="none"/>
              </w:rPr>
              <w:t>套</w:t>
            </w:r>
          </w:p>
        </w:tc>
        <w:tc>
          <w:tcPr>
            <w:tcW w:w="3126" w:type="pct"/>
          </w:tcPr>
          <w:p>
            <w:pPr>
              <w:rPr>
                <w:rFonts w:ascii="宋体" w:hAnsi="宋体"/>
                <w:color w:val="auto"/>
                <w:szCs w:val="21"/>
                <w:highlight w:val="none"/>
              </w:rPr>
            </w:pPr>
            <w:r>
              <w:rPr>
                <w:rFonts w:ascii="宋体" w:hAnsi="宋体"/>
                <w:color w:val="auto"/>
                <w:szCs w:val="21"/>
                <w:highlight w:val="none"/>
              </w:rPr>
              <w:t>1、无线麦克风集音频发射处理器、天线、电池、拾音麦克风于一体，配合一体化有源音箱，无需任何外接辅助设备即可实现本地扩声功能。</w:t>
            </w:r>
          </w:p>
          <w:p>
            <w:pPr>
              <w:rPr>
                <w:rFonts w:ascii="宋体" w:hAnsi="宋体"/>
                <w:color w:val="auto"/>
                <w:szCs w:val="21"/>
                <w:highlight w:val="none"/>
              </w:rPr>
            </w:pPr>
            <w:r>
              <w:rPr>
                <w:rFonts w:ascii="宋体" w:hAnsi="宋体"/>
                <w:color w:val="auto"/>
                <w:szCs w:val="21"/>
                <w:highlight w:val="none"/>
              </w:rPr>
              <w:t>2、麦克风和功放音箱之间采用数字U段传输技3术，有效避免环境中2.4G信号干扰，例如蓝牙及WIFI设备。</w:t>
            </w:r>
          </w:p>
          <w:p>
            <w:pPr>
              <w:rPr>
                <w:rFonts w:ascii="宋体" w:hAnsi="宋体"/>
                <w:color w:val="auto"/>
                <w:szCs w:val="21"/>
                <w:highlight w:val="none"/>
              </w:rPr>
            </w:pPr>
            <w:r>
              <w:rPr>
                <w:rFonts w:ascii="宋体" w:hAnsi="宋体"/>
                <w:color w:val="auto"/>
                <w:szCs w:val="21"/>
                <w:highlight w:val="none"/>
              </w:rPr>
              <w:t>3、支持智能红外对码及UHF对码，可在2s内快速完成与教学扩声音箱对码，无需繁琐操作。可与移动音箱或录播主机对码连接。</w:t>
            </w:r>
          </w:p>
          <w:p>
            <w:pPr>
              <w:rPr>
                <w:rFonts w:ascii="宋体" w:hAnsi="宋体"/>
                <w:color w:val="auto"/>
                <w:szCs w:val="21"/>
                <w:highlight w:val="none"/>
              </w:rPr>
            </w:pPr>
            <w:r>
              <w:rPr>
                <w:rFonts w:ascii="宋体" w:hAnsi="宋体"/>
                <w:color w:val="auto"/>
                <w:szCs w:val="21"/>
                <w:highlight w:val="none"/>
              </w:rPr>
              <w:t>4、采用触点磁吸式充电方式，支持快速充电与超低功耗工作模式，课间充电10分钟，实现80分钟续航。</w:t>
            </w:r>
          </w:p>
          <w:p>
            <w:pPr>
              <w:rPr>
                <w:rFonts w:ascii="宋体" w:hAnsi="宋体"/>
                <w:color w:val="auto"/>
                <w:szCs w:val="21"/>
                <w:highlight w:val="none"/>
              </w:rPr>
            </w:pPr>
            <w:r>
              <w:rPr>
                <w:rFonts w:ascii="宋体" w:hAnsi="宋体"/>
                <w:color w:val="auto"/>
                <w:szCs w:val="21"/>
                <w:highlight w:val="none"/>
              </w:rPr>
              <w:t>5、麦克风距离音箱最大有效工作距离≥9米，保证全教室覆盖。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rPr>
                <w:rFonts w:ascii="宋体" w:hAnsi="宋体"/>
                <w:color w:val="auto"/>
                <w:szCs w:val="21"/>
                <w:highlight w:val="none"/>
              </w:rPr>
            </w:pPr>
            <w:r>
              <w:rPr>
                <w:rFonts w:hint="eastAsia" w:ascii="宋体" w:hAnsi="宋体"/>
                <w:color w:val="auto"/>
                <w:szCs w:val="21"/>
                <w:highlight w:val="none"/>
              </w:rPr>
              <w:t>9</w:t>
            </w:r>
          </w:p>
        </w:tc>
        <w:tc>
          <w:tcPr>
            <w:tcW w:w="718" w:type="pct"/>
            <w:gridSpan w:val="2"/>
            <w:vAlign w:val="center"/>
          </w:tcPr>
          <w:p>
            <w:pPr>
              <w:rPr>
                <w:color w:val="auto"/>
                <w:highlight w:val="none"/>
              </w:rPr>
            </w:pPr>
            <w:r>
              <w:rPr>
                <w:rFonts w:hint="eastAsia"/>
                <w:color w:val="auto"/>
                <w:highlight w:val="none"/>
              </w:rPr>
              <w:t>超短焦激光投影机</w:t>
            </w:r>
          </w:p>
        </w:tc>
        <w:tc>
          <w:tcPr>
            <w:tcW w:w="426" w:type="pct"/>
            <w:vAlign w:val="center"/>
          </w:tcPr>
          <w:p>
            <w:pPr>
              <w:rPr>
                <w:color w:val="auto"/>
                <w:highlight w:val="none"/>
              </w:rPr>
            </w:pPr>
            <w:r>
              <w:rPr>
                <w:color w:val="auto"/>
                <w:highlight w:val="none"/>
              </w:rPr>
              <w:t>15</w:t>
            </w:r>
            <w:r>
              <w:rPr>
                <w:rFonts w:hint="eastAsia"/>
                <w:color w:val="auto"/>
                <w:highlight w:val="none"/>
              </w:rPr>
              <w:t>0</w:t>
            </w:r>
          </w:p>
        </w:tc>
        <w:tc>
          <w:tcPr>
            <w:tcW w:w="426" w:type="pct"/>
            <w:vAlign w:val="center"/>
          </w:tcPr>
          <w:p>
            <w:pPr>
              <w:rPr>
                <w:color w:val="auto"/>
                <w:highlight w:val="none"/>
              </w:rPr>
            </w:pPr>
            <w:r>
              <w:rPr>
                <w:color w:val="auto"/>
                <w:highlight w:val="none"/>
              </w:rPr>
              <w:t>台</w:t>
            </w:r>
          </w:p>
        </w:tc>
        <w:tc>
          <w:tcPr>
            <w:tcW w:w="3126" w:type="pct"/>
            <w:vAlign w:val="center"/>
          </w:tcPr>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1、采用 DLP投影技术，DMD芯片≥ 0.55”</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2、采用纯laser光源技术，光源使用寿命≥20000小时</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3、亮度≥ 3400 ISO 21118 流明，真实分辨率:1024*768,对比度≥100,000:1；</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4、镜头投射比0.33 :1/ 投80寸仅需28.7厘米的投影距离（距机尾）</w:t>
            </w:r>
          </w:p>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5、具有USB Type A接口（可供电5V/0.5A），支持U盘直读功能,</w:t>
            </w:r>
          </w:p>
          <w:p>
            <w:pPr>
              <w:rPr>
                <w:rFonts w:ascii="宋体" w:hAnsi="宋体"/>
                <w:color w:val="auto"/>
                <w:szCs w:val="21"/>
                <w:highlight w:val="none"/>
              </w:rPr>
            </w:pPr>
            <w:r>
              <w:rPr>
                <w:rFonts w:ascii="宋体" w:hAnsi="宋体"/>
                <w:color w:val="auto"/>
                <w:szCs w:val="21"/>
                <w:highlight w:val="none"/>
              </w:rPr>
              <w:t>6、支持USB无线投影功能（需搭配USB WIFI模块）</w:t>
            </w:r>
          </w:p>
          <w:p>
            <w:pPr>
              <w:rPr>
                <w:rFonts w:ascii="宋体" w:hAnsi="宋体"/>
                <w:color w:val="auto"/>
                <w:szCs w:val="21"/>
                <w:highlight w:val="none"/>
              </w:rPr>
            </w:pPr>
            <w:r>
              <w:rPr>
                <w:rFonts w:ascii="宋体" w:hAnsi="宋体"/>
                <w:color w:val="auto"/>
                <w:szCs w:val="21"/>
                <w:highlight w:val="none"/>
              </w:rPr>
              <w:t>7、支持Logo Capture功能，可自定义设置开机画面 。</w:t>
            </w:r>
          </w:p>
          <w:p>
            <w:pPr>
              <w:rPr>
                <w:rFonts w:ascii="宋体" w:hAnsi="宋体"/>
                <w:color w:val="auto"/>
                <w:szCs w:val="21"/>
                <w:highlight w:val="none"/>
              </w:rPr>
            </w:pPr>
            <w:r>
              <w:rPr>
                <w:rFonts w:ascii="宋体" w:hAnsi="宋体"/>
                <w:color w:val="auto"/>
                <w:szCs w:val="21"/>
                <w:highlight w:val="none"/>
              </w:rPr>
              <w:t>8、±40阶的垂直数位梯形校正功能</w:t>
            </w:r>
          </w:p>
          <w:p>
            <w:pPr>
              <w:rPr>
                <w:rFonts w:ascii="宋体" w:hAnsi="宋体"/>
                <w:color w:val="auto"/>
                <w:szCs w:val="21"/>
                <w:highlight w:val="none"/>
              </w:rPr>
            </w:pPr>
            <w:r>
              <w:rPr>
                <w:rFonts w:ascii="宋体" w:hAnsi="宋体"/>
                <w:color w:val="auto"/>
                <w:szCs w:val="21"/>
                <w:highlight w:val="none"/>
              </w:rPr>
              <w:t>9、内建10W扬声器，具有立体声输入输出接口，支持声音同步输出,自带麦克风接口</w:t>
            </w:r>
          </w:p>
          <w:p>
            <w:pPr>
              <w:rPr>
                <w:rFonts w:ascii="宋体" w:hAnsi="宋体"/>
                <w:color w:val="auto"/>
                <w:szCs w:val="21"/>
                <w:highlight w:val="none"/>
              </w:rPr>
            </w:pPr>
            <w:r>
              <w:rPr>
                <w:rFonts w:ascii="宋体" w:hAnsi="宋体"/>
                <w:color w:val="auto"/>
                <w:szCs w:val="21"/>
                <w:highlight w:val="none"/>
              </w:rPr>
              <w:t>10、具有滤网更换提醒功能</w:t>
            </w:r>
          </w:p>
          <w:p>
            <w:pPr>
              <w:rPr>
                <w:rFonts w:ascii="宋体" w:hAnsi="宋体"/>
                <w:color w:val="auto"/>
                <w:szCs w:val="21"/>
                <w:highlight w:val="none"/>
              </w:rPr>
            </w:pPr>
            <w:r>
              <w:rPr>
                <w:rFonts w:ascii="宋体" w:hAnsi="宋体"/>
                <w:color w:val="auto"/>
                <w:szCs w:val="21"/>
                <w:highlight w:val="none"/>
              </w:rPr>
              <w:t>11、零秒快速开关机设计</w:t>
            </w:r>
          </w:p>
          <w:p>
            <w:pPr>
              <w:rPr>
                <w:rFonts w:ascii="宋体" w:hAnsi="宋体"/>
                <w:color w:val="auto"/>
                <w:szCs w:val="21"/>
                <w:highlight w:val="none"/>
              </w:rPr>
            </w:pPr>
            <w:r>
              <w:rPr>
                <w:rFonts w:ascii="宋体" w:hAnsi="宋体"/>
                <w:color w:val="auto"/>
                <w:szCs w:val="21"/>
                <w:highlight w:val="none"/>
              </w:rPr>
              <w:t>12、可支持无信号自动关机功能，等待时间可自由设定（0~120min）</w:t>
            </w:r>
          </w:p>
          <w:p>
            <w:pPr>
              <w:rPr>
                <w:rFonts w:ascii="宋体" w:hAnsi="宋体"/>
                <w:color w:val="auto"/>
                <w:szCs w:val="21"/>
                <w:highlight w:val="none"/>
              </w:rPr>
            </w:pPr>
            <w:r>
              <w:rPr>
                <w:rFonts w:ascii="宋体" w:hAnsi="宋体"/>
                <w:color w:val="auto"/>
                <w:szCs w:val="21"/>
                <w:highlight w:val="none"/>
              </w:rPr>
              <w:t>13、具有外部的Kensington防盗锁，有效保护投影机安全。</w:t>
            </w:r>
          </w:p>
          <w:p>
            <w:pPr>
              <w:rPr>
                <w:rFonts w:ascii="宋体" w:hAnsi="宋体"/>
                <w:color w:val="auto"/>
                <w:szCs w:val="21"/>
                <w:highlight w:val="none"/>
              </w:rPr>
            </w:pPr>
            <w:r>
              <w:rPr>
                <w:rFonts w:ascii="宋体" w:hAnsi="宋体"/>
                <w:color w:val="auto"/>
                <w:szCs w:val="21"/>
                <w:highlight w:val="none"/>
              </w:rPr>
              <w:t>14、遥控器内建屏幕冻结功能，及一键黑屏功能</w:t>
            </w:r>
          </w:p>
          <w:p>
            <w:pPr>
              <w:rPr>
                <w:rFonts w:ascii="宋体" w:hAnsi="宋体"/>
                <w:color w:val="auto"/>
                <w:szCs w:val="21"/>
                <w:highlight w:val="none"/>
              </w:rPr>
            </w:pPr>
            <w:r>
              <w:rPr>
                <w:rFonts w:ascii="宋体" w:hAnsi="宋体"/>
                <w:color w:val="auto"/>
                <w:szCs w:val="21"/>
                <w:highlight w:val="none"/>
              </w:rPr>
              <w:t>15、支持360度投影和7X24小时长时间运作</w:t>
            </w:r>
          </w:p>
          <w:p>
            <w:pPr>
              <w:rPr>
                <w:rFonts w:ascii="宋体" w:hAnsi="宋体"/>
                <w:color w:val="auto"/>
                <w:szCs w:val="21"/>
                <w:highlight w:val="none"/>
              </w:rPr>
            </w:pPr>
            <w:r>
              <w:rPr>
                <w:rFonts w:ascii="宋体" w:hAnsi="宋体"/>
                <w:color w:val="auto"/>
                <w:szCs w:val="21"/>
                <w:highlight w:val="none"/>
              </w:rPr>
              <w:t>16、具有RJ-45接口，支持网络控制。</w:t>
            </w:r>
          </w:p>
          <w:p>
            <w:pPr>
              <w:rPr>
                <w:rFonts w:ascii="宋体" w:hAnsi="宋体"/>
                <w:color w:val="auto"/>
                <w:szCs w:val="21"/>
                <w:highlight w:val="none"/>
              </w:rPr>
            </w:pPr>
            <w:r>
              <w:rPr>
                <w:rFonts w:ascii="宋体" w:hAnsi="宋体"/>
                <w:color w:val="auto"/>
                <w:szCs w:val="21"/>
                <w:highlight w:val="none"/>
              </w:rPr>
              <w:t>17、内置网格测试图案</w:t>
            </w:r>
          </w:p>
          <w:p>
            <w:pPr>
              <w:rPr>
                <w:rFonts w:ascii="宋体" w:hAnsi="宋体"/>
                <w:color w:val="auto"/>
                <w:szCs w:val="21"/>
                <w:highlight w:val="none"/>
              </w:rPr>
            </w:pPr>
            <w:r>
              <w:rPr>
                <w:rFonts w:ascii="宋体" w:hAnsi="宋体"/>
                <w:color w:val="auto"/>
                <w:szCs w:val="21"/>
                <w:highlight w:val="none"/>
              </w:rPr>
              <w:t>18、具有信号源锁定功能。</w:t>
            </w:r>
          </w:p>
          <w:p>
            <w:pPr>
              <w:rPr>
                <w:rFonts w:ascii="宋体" w:hAnsi="宋体"/>
                <w:color w:val="auto"/>
                <w:szCs w:val="21"/>
                <w:highlight w:val="none"/>
              </w:rPr>
            </w:pPr>
            <w:r>
              <w:rPr>
                <w:rFonts w:ascii="宋体" w:hAnsi="宋体"/>
                <w:color w:val="auto"/>
                <w:szCs w:val="21"/>
                <w:highlight w:val="none"/>
              </w:rPr>
              <w:t>19、整机保修3年，含光源。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rPr>
                <w:rFonts w:ascii="宋体" w:hAnsi="宋体"/>
                <w:color w:val="auto"/>
                <w:szCs w:val="21"/>
                <w:highlight w:val="none"/>
              </w:rPr>
            </w:pPr>
            <w:r>
              <w:rPr>
                <w:rFonts w:hint="eastAsia" w:ascii="宋体" w:hAnsi="宋体"/>
                <w:color w:val="auto"/>
                <w:szCs w:val="21"/>
                <w:highlight w:val="none"/>
              </w:rPr>
              <w:t>10</w:t>
            </w:r>
          </w:p>
        </w:tc>
        <w:tc>
          <w:tcPr>
            <w:tcW w:w="718" w:type="pct"/>
            <w:gridSpan w:val="2"/>
            <w:vAlign w:val="center"/>
          </w:tcPr>
          <w:p>
            <w:pPr>
              <w:rPr>
                <w:color w:val="auto"/>
                <w:highlight w:val="none"/>
              </w:rPr>
            </w:pPr>
            <w:r>
              <w:rPr>
                <w:rFonts w:hint="eastAsia"/>
                <w:color w:val="auto"/>
                <w:highlight w:val="none"/>
              </w:rPr>
              <w:t>线材辅材</w:t>
            </w:r>
          </w:p>
        </w:tc>
        <w:tc>
          <w:tcPr>
            <w:tcW w:w="426" w:type="pct"/>
            <w:vAlign w:val="center"/>
          </w:tcPr>
          <w:p>
            <w:pPr>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val="en-US" w:eastAsia="zh-CN"/>
              </w:rPr>
              <w:t>1</w:t>
            </w:r>
          </w:p>
        </w:tc>
        <w:tc>
          <w:tcPr>
            <w:tcW w:w="426" w:type="pct"/>
            <w:vAlign w:val="center"/>
          </w:tcPr>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w:t>
            </w:r>
          </w:p>
        </w:tc>
        <w:tc>
          <w:tcPr>
            <w:tcW w:w="3126" w:type="pct"/>
            <w:vAlign w:val="center"/>
          </w:tcPr>
          <w:p>
            <w:pPr>
              <w:rPr>
                <w:rFonts w:ascii="宋体" w:hAnsi="宋体"/>
                <w:color w:val="auto"/>
                <w:szCs w:val="21"/>
                <w:highlight w:val="none"/>
              </w:rPr>
            </w:pPr>
            <w:r>
              <w:rPr>
                <w:rFonts w:hint="eastAsia"/>
                <w:color w:val="auto"/>
                <w:highlight w:val="none"/>
              </w:rPr>
              <w:t>线材辅材（含超短焦投影吊架及配件、网线、音箱线、电源线、空气开关等）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rPr>
                <w:rFonts w:ascii="宋体" w:hAnsi="宋体"/>
                <w:color w:val="auto"/>
                <w:szCs w:val="21"/>
                <w:highlight w:val="none"/>
              </w:rPr>
            </w:pPr>
            <w:r>
              <w:rPr>
                <w:rFonts w:hint="eastAsia" w:ascii="宋体" w:hAnsi="宋体"/>
                <w:color w:val="auto"/>
                <w:szCs w:val="21"/>
                <w:highlight w:val="none"/>
              </w:rPr>
              <w:t>11</w:t>
            </w:r>
          </w:p>
        </w:tc>
        <w:tc>
          <w:tcPr>
            <w:tcW w:w="718" w:type="pct"/>
            <w:gridSpan w:val="2"/>
            <w:vAlign w:val="center"/>
          </w:tcPr>
          <w:p>
            <w:pPr>
              <w:rPr>
                <w:color w:val="auto"/>
                <w:highlight w:val="none"/>
              </w:rPr>
            </w:pPr>
            <w:r>
              <w:rPr>
                <w:rFonts w:hint="eastAsia"/>
                <w:color w:val="auto"/>
                <w:highlight w:val="none"/>
              </w:rPr>
              <w:t>安装调试</w:t>
            </w:r>
          </w:p>
        </w:tc>
        <w:tc>
          <w:tcPr>
            <w:tcW w:w="426" w:type="pct"/>
            <w:vAlign w:val="center"/>
          </w:tcPr>
          <w:p>
            <w:pPr>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val="en-US" w:eastAsia="zh-CN"/>
              </w:rPr>
              <w:t>1</w:t>
            </w:r>
          </w:p>
        </w:tc>
        <w:tc>
          <w:tcPr>
            <w:tcW w:w="426" w:type="pct"/>
            <w:vAlign w:val="center"/>
          </w:tcPr>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w:t>
            </w:r>
          </w:p>
        </w:tc>
        <w:tc>
          <w:tcPr>
            <w:tcW w:w="3126" w:type="pct"/>
            <w:vAlign w:val="center"/>
          </w:tcPr>
          <w:p>
            <w:pPr>
              <w:rPr>
                <w:rFonts w:ascii="宋体" w:hAnsi="宋体"/>
                <w:color w:val="auto"/>
                <w:szCs w:val="21"/>
                <w:highlight w:val="none"/>
              </w:rPr>
            </w:pPr>
            <w:r>
              <w:rPr>
                <w:rFonts w:hint="eastAsia" w:ascii="宋体" w:hAnsi="宋体"/>
                <w:color w:val="auto"/>
                <w:szCs w:val="21"/>
                <w:highlight w:val="none"/>
              </w:rPr>
              <w:t>安装调试（含原有投影机和吊架拆除、投影机安装调试及视频线更换）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rPr>
                <w:rFonts w:ascii="宋体" w:hAnsi="宋体"/>
                <w:color w:val="auto"/>
                <w:szCs w:val="21"/>
                <w:highlight w:val="none"/>
              </w:rPr>
            </w:pPr>
            <w:r>
              <w:rPr>
                <w:rFonts w:hint="eastAsia" w:ascii="宋体" w:hAnsi="宋体"/>
                <w:color w:val="auto"/>
                <w:szCs w:val="21"/>
                <w:highlight w:val="none"/>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pct"/>
            <w:gridSpan w:val="2"/>
            <w:vAlign w:val="center"/>
          </w:tcPr>
          <w:p>
            <w:pPr>
              <w:rPr>
                <w:color w:val="auto"/>
                <w:highlight w:val="none"/>
              </w:rPr>
            </w:pPr>
            <w:r>
              <w:rPr>
                <w:rFonts w:hint="eastAsia"/>
                <w:color w:val="auto"/>
                <w:highlight w:val="none"/>
              </w:rPr>
              <w:t>采购预算价</w:t>
            </w:r>
          </w:p>
        </w:tc>
        <w:tc>
          <w:tcPr>
            <w:tcW w:w="4089" w:type="pct"/>
            <w:gridSpan w:val="4"/>
            <w:vAlign w:val="center"/>
          </w:tcPr>
          <w:p>
            <w:pPr>
              <w:rPr>
                <w:rFonts w:ascii="宋体" w:hAnsi="宋体"/>
                <w:color w:val="auto"/>
                <w:szCs w:val="21"/>
                <w:highlight w:val="none"/>
              </w:rPr>
            </w:pPr>
            <w:r>
              <w:rPr>
                <w:rFonts w:hint="eastAsia" w:ascii="宋体" w:hAnsi="宋体"/>
                <w:color w:val="auto"/>
                <w:szCs w:val="21"/>
                <w:highlight w:val="none"/>
              </w:rPr>
              <w:t>伍佰叁拾肆万元整（￥5,340,000.00）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10" w:type="pct"/>
            <w:gridSpan w:val="2"/>
            <w:vAlign w:val="center"/>
          </w:tcPr>
          <w:p>
            <w:pPr>
              <w:rPr>
                <w:color w:val="auto"/>
                <w:highlight w:val="none"/>
              </w:rPr>
            </w:pPr>
            <w:r>
              <w:rPr>
                <w:rFonts w:hint="eastAsia"/>
                <w:color w:val="auto"/>
                <w:highlight w:val="none"/>
              </w:rPr>
              <w:t>规范标准</w:t>
            </w:r>
          </w:p>
        </w:tc>
        <w:tc>
          <w:tcPr>
            <w:tcW w:w="4089" w:type="pct"/>
            <w:gridSpan w:val="4"/>
            <w:vAlign w:val="center"/>
          </w:tcPr>
          <w:p>
            <w:pPr>
              <w:rPr>
                <w:color w:val="auto"/>
                <w:highlight w:val="none"/>
              </w:rPr>
            </w:pPr>
            <w:r>
              <w:rPr>
                <w:rFonts w:hint="eastAsia"/>
                <w:color w:val="auto"/>
                <w:highlight w:val="none"/>
              </w:rPr>
              <w:t>采购标的需执行的国家标准、行业标准、地方标准或者其他标准、规范。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pct"/>
            <w:gridSpan w:val="2"/>
            <w:vAlign w:val="center"/>
          </w:tcPr>
          <w:p>
            <w:pPr>
              <w:rPr>
                <w:color w:val="auto"/>
                <w:highlight w:val="none"/>
              </w:rPr>
            </w:pPr>
            <w:r>
              <w:rPr>
                <w:rFonts w:hint="eastAsia"/>
                <w:color w:val="auto"/>
                <w:highlight w:val="none"/>
              </w:rPr>
              <w:t>交付使用时间及地点</w:t>
            </w:r>
          </w:p>
        </w:tc>
        <w:tc>
          <w:tcPr>
            <w:tcW w:w="4089" w:type="pct"/>
            <w:gridSpan w:val="4"/>
            <w:vAlign w:val="center"/>
          </w:tcPr>
          <w:p>
            <w:pPr>
              <w:rPr>
                <w:color w:val="auto"/>
                <w:highlight w:val="none"/>
              </w:rPr>
            </w:pPr>
            <w:r>
              <w:rPr>
                <w:rFonts w:hint="eastAsia"/>
                <w:color w:val="auto"/>
                <w:highlight w:val="none"/>
              </w:rPr>
              <w:t>交付使用时间：自签订合同之日起</w:t>
            </w:r>
            <w:r>
              <w:rPr>
                <w:color w:val="auto"/>
                <w:highlight w:val="none"/>
                <w:u w:val="single"/>
              </w:rPr>
              <w:t xml:space="preserve"> </w:t>
            </w:r>
            <w:r>
              <w:rPr>
                <w:rFonts w:hint="eastAsia"/>
                <w:color w:val="auto"/>
                <w:highlight w:val="none"/>
                <w:u w:val="single"/>
              </w:rPr>
              <w:t>45</w:t>
            </w:r>
            <w:r>
              <w:rPr>
                <w:color w:val="auto"/>
                <w:highlight w:val="none"/>
                <w:u w:val="single"/>
              </w:rPr>
              <w:t xml:space="preserve">  </w:t>
            </w:r>
            <w:r>
              <w:rPr>
                <w:color w:val="auto"/>
                <w:highlight w:val="none"/>
              </w:rPr>
              <w:t>天（日历日）内。</w:t>
            </w:r>
          </w:p>
          <w:p>
            <w:pPr>
              <w:rPr>
                <w:color w:val="auto"/>
                <w:highlight w:val="none"/>
              </w:rPr>
            </w:pPr>
            <w:r>
              <w:rPr>
                <w:rFonts w:hint="eastAsia"/>
                <w:color w:val="auto"/>
                <w:highlight w:val="none"/>
              </w:rPr>
              <w:t>交货地点：</w:t>
            </w:r>
            <w:r>
              <w:rPr>
                <w:rFonts w:hint="eastAsia"/>
                <w:color w:val="auto"/>
                <w:highlight w:val="none"/>
                <w:u w:val="single"/>
              </w:rPr>
              <w:t xml:space="preserve">    广西梧州市采购人指定地点          </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pct"/>
            <w:gridSpan w:val="2"/>
            <w:vAlign w:val="center"/>
          </w:tcPr>
          <w:p>
            <w:pPr>
              <w:rPr>
                <w:color w:val="auto"/>
                <w:highlight w:val="none"/>
              </w:rPr>
            </w:pPr>
            <w:r>
              <w:rPr>
                <w:rFonts w:hint="eastAsia"/>
                <w:color w:val="auto"/>
                <w:highlight w:val="none"/>
              </w:rPr>
              <w:t>质量保证期</w:t>
            </w:r>
          </w:p>
        </w:tc>
        <w:tc>
          <w:tcPr>
            <w:tcW w:w="4089" w:type="pct"/>
            <w:gridSpan w:val="4"/>
            <w:vAlign w:val="center"/>
          </w:tcPr>
          <w:p>
            <w:pPr>
              <w:rPr>
                <w:color w:val="auto"/>
                <w:highlight w:val="none"/>
              </w:rPr>
            </w:pPr>
            <w:r>
              <w:rPr>
                <w:rFonts w:hint="eastAsia"/>
                <w:color w:val="auto"/>
                <w:highlight w:val="none"/>
              </w:rPr>
              <w:t>货物质量保证期</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壹</w:t>
            </w:r>
            <w:r>
              <w:rPr>
                <w:color w:val="auto"/>
                <w:highlight w:val="none"/>
                <w:u w:val="single"/>
              </w:rPr>
              <w:t xml:space="preserve">  </w:t>
            </w:r>
            <w:r>
              <w:rPr>
                <w:color w:val="auto"/>
                <w:highlight w:val="none"/>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pct"/>
            <w:gridSpan w:val="2"/>
            <w:vAlign w:val="center"/>
          </w:tcPr>
          <w:p>
            <w:pPr>
              <w:rPr>
                <w:color w:val="auto"/>
                <w:highlight w:val="none"/>
              </w:rPr>
            </w:pPr>
            <w:r>
              <w:rPr>
                <w:rFonts w:hint="eastAsia"/>
                <w:color w:val="auto"/>
                <w:highlight w:val="none"/>
              </w:rPr>
              <w:t>付款条件</w:t>
            </w:r>
          </w:p>
        </w:tc>
        <w:tc>
          <w:tcPr>
            <w:tcW w:w="4089" w:type="pct"/>
            <w:gridSpan w:val="4"/>
            <w:vAlign w:val="center"/>
          </w:tcPr>
          <w:p>
            <w:pPr>
              <w:rPr>
                <w:rFonts w:ascii="宋体" w:hAnsi="宋体"/>
                <w:color w:val="auto"/>
                <w:szCs w:val="21"/>
                <w:highlight w:val="none"/>
              </w:rPr>
            </w:pPr>
            <w:r>
              <w:rPr>
                <w:rFonts w:hint="eastAsia" w:ascii="宋体" w:hAnsi="宋体" w:cs="宋体"/>
                <w:color w:val="000000" w:themeColor="text1"/>
                <w:szCs w:val="21"/>
                <w:highlight w:val="none"/>
                <w14:textFill>
                  <w14:solidFill>
                    <w14:schemeClr w14:val="tx1"/>
                  </w14:solidFill>
                </w14:textFill>
              </w:rPr>
              <w:t>乙方交货给甲方经验收合格后，乙方向</w:t>
            </w:r>
            <w:r>
              <w:rPr>
                <w:rFonts w:hint="eastAsia" w:ascii="宋体" w:hAnsi="宋体" w:cs="宋体"/>
                <w:color w:val="000000" w:themeColor="text1"/>
                <w:szCs w:val="21"/>
                <w:highlight w:val="none"/>
                <w:lang w:val="en-US"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开</w:t>
            </w:r>
            <w:r>
              <w:rPr>
                <w:rFonts w:hint="eastAsia" w:ascii="宋体" w:hAnsi="宋体" w:cs="宋体"/>
                <w:color w:val="000000" w:themeColor="text1"/>
                <w:szCs w:val="21"/>
                <w:highlight w:val="none"/>
                <w:lang w:eastAsia="zh-CN"/>
                <w14:textFill>
                  <w14:solidFill>
                    <w14:schemeClr w14:val="tx1"/>
                  </w14:solidFill>
                </w14:textFill>
              </w:rPr>
              <w:t>具</w:t>
            </w:r>
            <w:r>
              <w:rPr>
                <w:rFonts w:hint="eastAsia" w:ascii="宋体" w:hAnsi="宋体" w:cs="宋体"/>
                <w:color w:val="000000" w:themeColor="text1"/>
                <w:szCs w:val="21"/>
                <w:highlight w:val="none"/>
                <w14:textFill>
                  <w14:solidFill>
                    <w14:schemeClr w14:val="tx1"/>
                  </w14:solidFill>
                </w14:textFill>
              </w:rPr>
              <w:t>合同总额合法发票。甲方收到发票，</w:t>
            </w:r>
            <w:r>
              <w:rPr>
                <w:rFonts w:hint="eastAsia" w:ascii="宋体" w:hAnsi="宋体" w:cs="宋体"/>
                <w:color w:val="000000" w:themeColor="text1"/>
                <w:szCs w:val="21"/>
                <w:highlight w:val="none"/>
                <w:lang w:eastAsia="zh-CN"/>
                <w14:textFill>
                  <w14:solidFill>
                    <w14:schemeClr w14:val="tx1"/>
                  </w14:solidFill>
                </w14:textFill>
              </w:rPr>
              <w:t>向财政部门申请资金，待财政资金划拨到甲方账户后（具体资金额度以财政划拨为准），七个工作日内将到账资金支付给乙方，合同总额的</w:t>
            </w:r>
            <w:r>
              <w:rPr>
                <w:rFonts w:hint="eastAsia" w:ascii="宋体" w:hAnsi="宋体" w:cs="宋体"/>
                <w:color w:val="000000" w:themeColor="text1"/>
                <w:szCs w:val="21"/>
                <w:highlight w:val="none"/>
                <w14:textFill>
                  <w14:solidFill>
                    <w14:schemeClr w14:val="tx1"/>
                  </w14:solidFill>
                </w14:textFill>
              </w:rPr>
              <w:t>5%作为质保金在验收合格一年后付清（无息）。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pct"/>
            <w:gridSpan w:val="2"/>
            <w:vAlign w:val="center"/>
          </w:tcPr>
          <w:p>
            <w:pPr>
              <w:rPr>
                <w:color w:val="auto"/>
                <w:highlight w:val="none"/>
              </w:rPr>
            </w:pPr>
            <w:r>
              <w:rPr>
                <w:rFonts w:hint="eastAsia"/>
                <w:color w:val="auto"/>
                <w:highlight w:val="none"/>
              </w:rPr>
              <w:t>商务及其他要求</w:t>
            </w:r>
          </w:p>
        </w:tc>
        <w:tc>
          <w:tcPr>
            <w:tcW w:w="4089" w:type="pct"/>
            <w:gridSpan w:val="4"/>
            <w:vAlign w:val="center"/>
          </w:tcPr>
          <w:p>
            <w:pPr>
              <w:rPr>
                <w:rFonts w:ascii="宋体" w:hAnsi="宋体"/>
                <w:color w:val="auto"/>
                <w:szCs w:val="21"/>
                <w:highlight w:val="none"/>
              </w:rPr>
            </w:pPr>
            <w:r>
              <w:rPr>
                <w:rFonts w:hint="eastAsia" w:ascii="宋体" w:hAnsi="宋体"/>
                <w:color w:val="auto"/>
                <w:szCs w:val="21"/>
                <w:highlight w:val="none"/>
              </w:rPr>
              <w:t>一、总体要求</w:t>
            </w:r>
          </w:p>
          <w:p>
            <w:pPr>
              <w:rPr>
                <w:rFonts w:ascii="宋体" w:hAnsi="宋体"/>
                <w:color w:val="auto"/>
                <w:szCs w:val="21"/>
                <w:highlight w:val="none"/>
              </w:rPr>
            </w:pPr>
            <w:r>
              <w:rPr>
                <w:rFonts w:ascii="宋体" w:hAnsi="宋体"/>
                <w:color w:val="auto"/>
                <w:szCs w:val="21"/>
                <w:highlight w:val="none"/>
              </w:rPr>
              <w:t>1、投标报价包括货款、随配附件、备品备件、专用工具、包装、运输、装卸、保险、运抵指定交货地点、送货上门服务、现场安装调试、保修等各种费用和售后服务、培训、税金及其他所有成本费用的总和。</w:t>
            </w:r>
          </w:p>
          <w:p>
            <w:pPr>
              <w:rPr>
                <w:rFonts w:ascii="宋体" w:hAnsi="宋体"/>
                <w:color w:val="auto"/>
                <w:szCs w:val="21"/>
                <w:highlight w:val="none"/>
              </w:rPr>
            </w:pPr>
            <w:r>
              <w:rPr>
                <w:rFonts w:ascii="宋体" w:hAnsi="宋体"/>
                <w:color w:val="auto"/>
                <w:szCs w:val="21"/>
                <w:highlight w:val="none"/>
              </w:rPr>
              <w:t>2、中标人向采购人提供的货物必须是全新的原装产品。</w:t>
            </w:r>
          </w:p>
          <w:p>
            <w:pPr>
              <w:rPr>
                <w:rFonts w:ascii="宋体" w:hAnsi="宋体"/>
                <w:color w:val="auto"/>
                <w:szCs w:val="21"/>
                <w:highlight w:val="none"/>
              </w:rPr>
            </w:pPr>
            <w:r>
              <w:rPr>
                <w:rFonts w:hint="eastAsia" w:ascii="宋体" w:hAnsi="宋体"/>
                <w:color w:val="auto"/>
                <w:szCs w:val="21"/>
                <w:highlight w:val="none"/>
              </w:rPr>
              <w:t>二、售后及其它要求</w:t>
            </w:r>
          </w:p>
          <w:p>
            <w:pPr>
              <w:rPr>
                <w:rFonts w:ascii="宋体" w:hAnsi="宋体"/>
                <w:color w:val="auto"/>
                <w:szCs w:val="21"/>
                <w:highlight w:val="none"/>
              </w:rPr>
            </w:pPr>
            <w:r>
              <w:rPr>
                <w:rFonts w:ascii="宋体" w:hAnsi="宋体"/>
                <w:color w:val="auto"/>
                <w:szCs w:val="21"/>
                <w:highlight w:val="none"/>
              </w:rPr>
              <w:t>1、免费送货上门，免费安装调试合格，按国家有关规定实行“三包”，免费定期回访及维护。</w:t>
            </w:r>
          </w:p>
          <w:p>
            <w:pPr>
              <w:rPr>
                <w:rFonts w:ascii="宋体" w:hAnsi="宋体"/>
                <w:color w:val="auto"/>
                <w:szCs w:val="21"/>
                <w:highlight w:val="none"/>
              </w:rPr>
            </w:pPr>
            <w:r>
              <w:rPr>
                <w:rFonts w:ascii="宋体" w:hAnsi="宋体"/>
                <w:color w:val="auto"/>
                <w:szCs w:val="21"/>
                <w:highlight w:val="none"/>
              </w:rPr>
              <w:t>2、免费保修期内维修响应及故障解决时间：在</w:t>
            </w:r>
            <w:r>
              <w:rPr>
                <w:rFonts w:hint="eastAsia" w:ascii="宋体" w:hAnsi="宋体"/>
                <w:color w:val="auto"/>
                <w:szCs w:val="21"/>
                <w:highlight w:val="none"/>
              </w:rPr>
              <w:t>质量保证期</w:t>
            </w:r>
            <w:r>
              <w:rPr>
                <w:rFonts w:ascii="宋体" w:hAnsi="宋体"/>
                <w:color w:val="auto"/>
                <w:szCs w:val="21"/>
                <w:highlight w:val="none"/>
              </w:rPr>
              <w:t>内，</w:t>
            </w:r>
            <w:r>
              <w:rPr>
                <w:rFonts w:hint="eastAsia" w:ascii="宋体" w:hAnsi="宋体"/>
                <w:color w:val="auto"/>
                <w:szCs w:val="21"/>
                <w:highlight w:val="none"/>
              </w:rPr>
              <w:t>如果设备出现故障，在接到维修服务的请求后，投标人应在2小时内作出响应，进行电话指导、网上诊断协助排除故障。必要时，在8小时内到达现场，重大问题或其它无法迅速解决的问题应在48小时内解决或提出明确解决方案。</w:t>
            </w:r>
            <w:r>
              <w:rPr>
                <w:rFonts w:ascii="宋体" w:hAnsi="宋体"/>
                <w:color w:val="auto"/>
                <w:szCs w:val="21"/>
                <w:highlight w:val="none"/>
              </w:rPr>
              <w:t>。</w:t>
            </w:r>
          </w:p>
          <w:p>
            <w:pPr>
              <w:rPr>
                <w:rFonts w:ascii="宋体" w:hAnsi="宋体"/>
                <w:color w:val="auto"/>
                <w:szCs w:val="21"/>
                <w:highlight w:val="none"/>
              </w:rPr>
            </w:pPr>
            <w:r>
              <w:rPr>
                <w:rFonts w:ascii="宋体" w:hAnsi="宋体"/>
                <w:color w:val="auto"/>
                <w:szCs w:val="21"/>
                <w:highlight w:val="none"/>
              </w:rPr>
              <w:t>3、设备安装调试及技术培训：</w:t>
            </w:r>
            <w:r>
              <w:rPr>
                <w:rFonts w:hint="eastAsia" w:ascii="宋体" w:hAnsi="宋体"/>
                <w:color w:val="auto"/>
                <w:szCs w:val="21"/>
                <w:highlight w:val="none"/>
              </w:rPr>
              <w:t>中标人</w:t>
            </w:r>
            <w:r>
              <w:rPr>
                <w:rFonts w:ascii="宋体" w:hAnsi="宋体"/>
                <w:color w:val="auto"/>
                <w:szCs w:val="21"/>
                <w:highlight w:val="none"/>
              </w:rPr>
              <w:t>协助进行安装前的准备工作。到货后，</w:t>
            </w:r>
            <w:r>
              <w:rPr>
                <w:rFonts w:hint="eastAsia" w:ascii="宋体" w:hAnsi="宋体"/>
                <w:color w:val="auto"/>
                <w:szCs w:val="21"/>
                <w:highlight w:val="none"/>
              </w:rPr>
              <w:t>中标人</w:t>
            </w:r>
            <w:r>
              <w:rPr>
                <w:rFonts w:ascii="宋体" w:hAnsi="宋体"/>
                <w:color w:val="auto"/>
                <w:szCs w:val="21"/>
                <w:highlight w:val="none"/>
              </w:rPr>
              <w:t>安排工程师免费安装。设备安装后，</w:t>
            </w:r>
            <w:r>
              <w:rPr>
                <w:rFonts w:hint="eastAsia" w:ascii="宋体" w:hAnsi="宋体"/>
                <w:color w:val="auto"/>
                <w:szCs w:val="21"/>
                <w:highlight w:val="none"/>
              </w:rPr>
              <w:t>中标人</w:t>
            </w:r>
            <w:r>
              <w:rPr>
                <w:rFonts w:ascii="宋体" w:hAnsi="宋体"/>
                <w:color w:val="auto"/>
                <w:szCs w:val="21"/>
                <w:highlight w:val="none"/>
              </w:rPr>
              <w:t>安装工程师为用户提供为期</w:t>
            </w:r>
            <w:r>
              <w:rPr>
                <w:rFonts w:hint="eastAsia" w:ascii="宋体" w:hAnsi="宋体"/>
                <w:color w:val="auto"/>
                <w:szCs w:val="21"/>
                <w:highlight w:val="none"/>
              </w:rPr>
              <w:t>5</w:t>
            </w:r>
            <w:r>
              <w:rPr>
                <w:rFonts w:ascii="宋体" w:hAnsi="宋体"/>
                <w:color w:val="auto"/>
                <w:szCs w:val="21"/>
                <w:highlight w:val="none"/>
              </w:rPr>
              <w:t>天现场培训，培训内容包括：基本原理、结构、操作、软件使用、数据处理、维护保养及简单故障排除</w:t>
            </w:r>
            <w:r>
              <w:rPr>
                <w:rFonts w:hint="eastAsia" w:ascii="宋体" w:hAnsi="宋体"/>
                <w:color w:val="auto"/>
                <w:szCs w:val="21"/>
                <w:highlight w:val="none"/>
              </w:rPr>
              <w:t>。</w:t>
            </w:r>
          </w:p>
          <w:p>
            <w:pPr>
              <w:rPr>
                <w:rFonts w:ascii="宋体" w:hAnsi="宋体"/>
                <w:color w:val="auto"/>
                <w:szCs w:val="21"/>
                <w:highlight w:val="none"/>
              </w:rPr>
            </w:pPr>
            <w:r>
              <w:rPr>
                <w:rFonts w:ascii="宋体" w:hAnsi="宋体"/>
                <w:color w:val="auto"/>
                <w:szCs w:val="21"/>
                <w:highlight w:val="none"/>
              </w:rPr>
              <w:t>4、在正常安装、使用过程中，凡是因产品质量问题所造成采购人损失的，中标人负责赔偿采购人的一切经济损失。</w:t>
            </w:r>
          </w:p>
          <w:p>
            <w:pPr>
              <w:rPr>
                <w:rFonts w:ascii="宋体" w:hAnsi="宋体"/>
                <w:color w:val="auto"/>
                <w:szCs w:val="21"/>
                <w:highlight w:val="none"/>
              </w:rPr>
            </w:pPr>
            <w:r>
              <w:rPr>
                <w:rFonts w:ascii="宋体" w:hAnsi="宋体"/>
                <w:color w:val="auto"/>
                <w:szCs w:val="21"/>
                <w:highlight w:val="none"/>
              </w:rPr>
              <w:t>5、投标人投标时请在投标文件中提供具体的售后服务方案。</w:t>
            </w:r>
          </w:p>
          <w:p>
            <w:pPr>
              <w:rPr>
                <w:rFonts w:ascii="宋体" w:hAnsi="宋体"/>
                <w:color w:val="auto"/>
                <w:szCs w:val="21"/>
                <w:highlight w:val="none"/>
              </w:rPr>
            </w:pPr>
            <w:r>
              <w:rPr>
                <w:rFonts w:ascii="宋体" w:hAnsi="宋体"/>
                <w:color w:val="auto"/>
                <w:szCs w:val="21"/>
                <w:highlight w:val="none"/>
              </w:rPr>
              <w:t>6、免费保修期外维修响应时间：</w:t>
            </w:r>
            <w:r>
              <w:rPr>
                <w:rFonts w:hint="eastAsia" w:ascii="宋体" w:hAnsi="宋体"/>
                <w:color w:val="auto"/>
                <w:szCs w:val="21"/>
                <w:highlight w:val="none"/>
              </w:rPr>
              <w:t>在质量保证期外，</w:t>
            </w:r>
            <w:r>
              <w:rPr>
                <w:rFonts w:ascii="宋体" w:hAnsi="宋体"/>
                <w:color w:val="auto"/>
                <w:szCs w:val="21"/>
                <w:highlight w:val="none"/>
              </w:rPr>
              <w:t>如果设备出现故障，在接到维修服务的请求后，</w:t>
            </w:r>
            <w:r>
              <w:rPr>
                <w:rFonts w:hint="eastAsia" w:ascii="宋体" w:hAnsi="宋体"/>
                <w:color w:val="auto"/>
                <w:szCs w:val="21"/>
                <w:highlight w:val="none"/>
              </w:rPr>
              <w:t>投标人</w:t>
            </w:r>
            <w:r>
              <w:rPr>
                <w:rFonts w:ascii="宋体" w:hAnsi="宋体"/>
                <w:color w:val="auto"/>
                <w:szCs w:val="21"/>
                <w:highlight w:val="none"/>
              </w:rPr>
              <w:t>应在4小时内作出响应，进行电话指导、网上诊断协助排除故障，其余按厂家承诺进行。</w:t>
            </w:r>
          </w:p>
          <w:p>
            <w:pPr>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、核心产品：</w:t>
            </w:r>
            <w:r>
              <w:rPr>
                <w:rFonts w:hint="eastAsia" w:ascii="宋体" w:hAnsi="宋体"/>
                <w:color w:val="auto"/>
                <w:szCs w:val="21"/>
                <w:highlight w:val="none"/>
              </w:rPr>
              <w:t>本项目核心产品为“交互智能平板”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pct"/>
            <w:gridSpan w:val="2"/>
            <w:vAlign w:val="center"/>
          </w:tcPr>
          <w:p>
            <w:pPr>
              <w:rPr>
                <w:color w:val="auto"/>
                <w:highlight w:val="none"/>
              </w:rPr>
            </w:pPr>
            <w:r>
              <w:rPr>
                <w:rFonts w:hint="eastAsia"/>
                <w:color w:val="auto"/>
                <w:highlight w:val="none"/>
              </w:rPr>
              <w:t>采购标的验收标准</w:t>
            </w:r>
          </w:p>
        </w:tc>
        <w:tc>
          <w:tcPr>
            <w:tcW w:w="4089" w:type="pct"/>
            <w:gridSpan w:val="4"/>
            <w:vAlign w:val="center"/>
          </w:tcPr>
          <w:p>
            <w:pPr>
              <w:rPr>
                <w:rFonts w:ascii="宋体" w:hAnsi="宋体"/>
                <w:color w:val="auto"/>
                <w:szCs w:val="21"/>
                <w:highlight w:val="none"/>
              </w:rPr>
            </w:pPr>
            <w:r>
              <w:rPr>
                <w:rFonts w:ascii="宋体" w:hAnsi="宋体"/>
                <w:color w:val="auto"/>
                <w:szCs w:val="21"/>
                <w:highlight w:val="none"/>
              </w:rPr>
              <w:t>1、货物数量、外观由中标人、原厂商与采购人共同开箱验收。采购人监视、协助货物的安装、调试。</w:t>
            </w:r>
          </w:p>
          <w:p>
            <w:pPr>
              <w:rPr>
                <w:rFonts w:ascii="宋体" w:hAnsi="宋体"/>
                <w:color w:val="auto"/>
                <w:szCs w:val="21"/>
                <w:highlight w:val="none"/>
              </w:rPr>
            </w:pPr>
            <w:r>
              <w:rPr>
                <w:rFonts w:ascii="宋体" w:hAnsi="宋体"/>
                <w:color w:val="auto"/>
                <w:szCs w:val="21"/>
                <w:highlight w:val="none"/>
              </w:rPr>
              <w:t>2、技术指标按招标文件要求</w:t>
            </w:r>
            <w:r>
              <w:rPr>
                <w:rFonts w:hint="eastAsia" w:ascii="宋体" w:hAnsi="宋体"/>
                <w:color w:val="auto"/>
                <w:szCs w:val="21"/>
                <w:highlight w:val="none"/>
              </w:rPr>
              <w:t>或投标文件承诺</w:t>
            </w:r>
            <w:r>
              <w:rPr>
                <w:rFonts w:ascii="宋体" w:hAnsi="宋体"/>
                <w:color w:val="auto"/>
                <w:szCs w:val="21"/>
                <w:highlight w:val="none"/>
              </w:rPr>
              <w:t>验收。验收方法以中华人民共和国计量检定规程为准。对没有检定规程的，按制造商提供的验收方法验收，该验收应溯源到标准物质。</w:t>
            </w:r>
          </w:p>
          <w:p>
            <w:pPr>
              <w:rPr>
                <w:rFonts w:ascii="宋体" w:hAnsi="宋体"/>
                <w:color w:val="auto"/>
                <w:szCs w:val="21"/>
                <w:highlight w:val="none"/>
              </w:rPr>
            </w:pPr>
            <w:r>
              <w:rPr>
                <w:rFonts w:ascii="宋体" w:hAnsi="宋体"/>
                <w:color w:val="auto"/>
                <w:szCs w:val="21"/>
                <w:highlight w:val="none"/>
              </w:rPr>
              <w:t>3、对无法在用户场地验收的技术指标，投标人提供该参数的出厂验收报告及验收方法文本（国外产品须有中文版本1份）。</w:t>
            </w:r>
          </w:p>
          <w:p>
            <w:pPr>
              <w:rPr>
                <w:rFonts w:ascii="宋体" w:hAnsi="宋体"/>
                <w:color w:val="auto"/>
                <w:szCs w:val="21"/>
                <w:highlight w:val="none"/>
              </w:rPr>
            </w:pPr>
            <w:r>
              <w:rPr>
                <w:rFonts w:ascii="宋体" w:hAnsi="宋体"/>
                <w:color w:val="auto"/>
                <w:szCs w:val="21"/>
                <w:highlight w:val="none"/>
              </w:rPr>
              <w:t>4、采用分析标准物质的方式验收的，标准物质由投标人负责提供，其费用包括在投标报价内。</w:t>
            </w:r>
          </w:p>
          <w:p>
            <w:pPr>
              <w:rPr>
                <w:rFonts w:ascii="宋体" w:hAnsi="宋体"/>
                <w:color w:val="auto"/>
                <w:szCs w:val="21"/>
                <w:highlight w:val="none"/>
              </w:rPr>
            </w:pPr>
            <w:r>
              <w:rPr>
                <w:rFonts w:ascii="宋体" w:hAnsi="宋体"/>
                <w:color w:val="auto"/>
                <w:szCs w:val="21"/>
                <w:highlight w:val="none"/>
              </w:rPr>
              <w:t>5、设备验收时间：货到后15</w:t>
            </w:r>
            <w:r>
              <w:rPr>
                <w:rFonts w:hint="eastAsia" w:ascii="宋体" w:hAnsi="宋体"/>
                <w:color w:val="auto"/>
                <w:szCs w:val="21"/>
                <w:highlight w:val="none"/>
              </w:rPr>
              <w:t>个日历日</w:t>
            </w:r>
            <w:r>
              <w:rPr>
                <w:rFonts w:ascii="宋体" w:hAnsi="宋体"/>
                <w:color w:val="auto"/>
                <w:szCs w:val="21"/>
                <w:highlight w:val="none"/>
              </w:rPr>
              <w:t>内完成安装调试验收；附验收报告，特殊原因不能在15</w:t>
            </w:r>
            <w:r>
              <w:rPr>
                <w:rFonts w:hint="eastAsia" w:ascii="宋体" w:hAnsi="宋体"/>
                <w:color w:val="auto"/>
                <w:szCs w:val="21"/>
                <w:highlight w:val="none"/>
              </w:rPr>
              <w:t>个日历日</w:t>
            </w:r>
            <w:r>
              <w:rPr>
                <w:rFonts w:ascii="宋体" w:hAnsi="宋体"/>
                <w:color w:val="auto"/>
                <w:szCs w:val="21"/>
                <w:highlight w:val="none"/>
              </w:rPr>
              <w:t>内供货或验收，采购人有权解除合同并追究中标人的法律责任。</w:t>
            </w:r>
          </w:p>
          <w:p>
            <w:pPr>
              <w:rPr>
                <w:rFonts w:ascii="宋体" w:hAnsi="宋体"/>
                <w:color w:val="auto"/>
                <w:szCs w:val="21"/>
                <w:highlight w:val="none"/>
              </w:rPr>
            </w:pPr>
            <w:r>
              <w:rPr>
                <w:rFonts w:ascii="宋体" w:hAnsi="宋体"/>
                <w:color w:val="auto"/>
                <w:szCs w:val="21"/>
                <w:highlight w:val="none"/>
              </w:rPr>
              <w:t>6、设备不满足招标文件要求</w:t>
            </w:r>
            <w:r>
              <w:rPr>
                <w:rFonts w:hint="eastAsia" w:ascii="宋体" w:hAnsi="宋体"/>
                <w:color w:val="auto"/>
                <w:szCs w:val="21"/>
                <w:highlight w:val="none"/>
              </w:rPr>
              <w:t>或投标文件承诺</w:t>
            </w:r>
            <w:r>
              <w:rPr>
                <w:rFonts w:ascii="宋体" w:hAnsi="宋体"/>
                <w:color w:val="auto"/>
                <w:szCs w:val="21"/>
                <w:highlight w:val="none"/>
              </w:rPr>
              <w:t>验收不合格的，采购人有权解除合同并追究中标人的法律责任。</w:t>
            </w:r>
          </w:p>
          <w:p>
            <w:pPr>
              <w:rPr>
                <w:rFonts w:ascii="宋体" w:hAnsi="宋体"/>
                <w:color w:val="auto"/>
                <w:szCs w:val="21"/>
                <w:highlight w:val="none"/>
              </w:rPr>
            </w:pPr>
            <w:r>
              <w:rPr>
                <w:rFonts w:ascii="宋体" w:hAnsi="宋体"/>
                <w:color w:val="auto"/>
                <w:szCs w:val="21"/>
                <w:highlight w:val="none"/>
              </w:rPr>
              <w:t>7、关于验收：</w:t>
            </w:r>
          </w:p>
          <w:p>
            <w:pPr>
              <w:rPr>
                <w:rFonts w:ascii="宋体" w:hAnsi="宋体"/>
                <w:color w:val="auto"/>
                <w:szCs w:val="21"/>
                <w:highlight w:val="none"/>
              </w:rPr>
            </w:pPr>
            <w:r>
              <w:rPr>
                <w:rFonts w:ascii="宋体" w:hAnsi="宋体"/>
                <w:color w:val="auto"/>
                <w:szCs w:val="21"/>
                <w:highlight w:val="none"/>
              </w:rPr>
              <w:t>7.1投标人货物经过</w:t>
            </w:r>
            <w:r>
              <w:rPr>
                <w:rFonts w:hint="eastAsia" w:ascii="宋体" w:hAnsi="宋体"/>
                <w:color w:val="auto"/>
                <w:szCs w:val="21"/>
                <w:highlight w:val="none"/>
              </w:rPr>
              <w:t>双</w:t>
            </w:r>
            <w:r>
              <w:rPr>
                <w:rFonts w:ascii="宋体" w:hAnsi="宋体"/>
                <w:color w:val="auto"/>
                <w:szCs w:val="21"/>
                <w:highlight w:val="none"/>
              </w:rPr>
              <w:t>方检验认可后，签署验收报告，产品保修期自验收合格之日起算，由投标人提供产品保修文件。</w:t>
            </w:r>
          </w:p>
          <w:p>
            <w:pPr>
              <w:rPr>
                <w:rFonts w:ascii="宋体" w:hAnsi="宋体"/>
                <w:color w:val="auto"/>
                <w:szCs w:val="21"/>
                <w:highlight w:val="none"/>
              </w:rPr>
            </w:pPr>
            <w:r>
              <w:rPr>
                <w:rFonts w:ascii="宋体" w:hAnsi="宋体"/>
                <w:color w:val="auto"/>
                <w:szCs w:val="21"/>
                <w:highlight w:val="none"/>
              </w:rPr>
              <w:t>7.2当满足以下条件时，采购人才向中标人签发货物验收报告：</w:t>
            </w:r>
          </w:p>
          <w:p>
            <w:pPr>
              <w:rPr>
                <w:rFonts w:ascii="宋体" w:hAnsi="宋体"/>
                <w:color w:val="auto"/>
                <w:szCs w:val="21"/>
                <w:highlight w:val="none"/>
              </w:rPr>
            </w:pPr>
            <w:r>
              <w:rPr>
                <w:rFonts w:ascii="宋体" w:hAnsi="宋体"/>
                <w:color w:val="auto"/>
                <w:szCs w:val="21"/>
                <w:highlight w:val="none"/>
              </w:rPr>
              <w:t>a、中标人已按照合同规定提供了全部产品及完整的技术资料。</w:t>
            </w:r>
          </w:p>
          <w:p>
            <w:pPr>
              <w:rPr>
                <w:rFonts w:ascii="宋体" w:hAnsi="宋体"/>
                <w:color w:val="auto"/>
                <w:szCs w:val="21"/>
                <w:highlight w:val="none"/>
              </w:rPr>
            </w:pPr>
            <w:r>
              <w:rPr>
                <w:rFonts w:ascii="宋体" w:hAnsi="宋体"/>
                <w:color w:val="auto"/>
                <w:szCs w:val="21"/>
                <w:highlight w:val="none"/>
              </w:rPr>
              <w:t>b、货物符合招标文件技术规格书的要求，性能满足要求。</w:t>
            </w:r>
          </w:p>
          <w:p>
            <w:pPr>
              <w:rPr>
                <w:rFonts w:ascii="宋体" w:hAnsi="宋体"/>
                <w:color w:val="auto"/>
                <w:szCs w:val="21"/>
                <w:highlight w:val="none"/>
              </w:rPr>
            </w:pPr>
          </w:p>
        </w:tc>
      </w:tr>
    </w:tbl>
    <w:p>
      <w:pPr>
        <w:widowControl/>
        <w:rPr>
          <w:rFonts w:ascii="宋体" w:hAnsi="宋体" w:cs="宋体"/>
          <w:color w:val="000000" w:themeColor="text1"/>
          <w:kern w:val="0"/>
          <w:szCs w:val="21"/>
          <w:highlight w:val="none"/>
          <w14:textFill>
            <w14:solidFill>
              <w14:schemeClr w14:val="tx1"/>
            </w14:solidFill>
          </w14:textFill>
        </w:rPr>
      </w:pPr>
    </w:p>
    <w:bookmarkEnd w:id="28"/>
    <w:bookmarkEnd w:id="29"/>
    <w:p>
      <w:pPr>
        <w:pStyle w:val="3"/>
        <w:spacing w:line="560" w:lineRule="exact"/>
        <w:rPr>
          <w:rFonts w:ascii="宋体" w:hAnsi="宋体" w:cs="宋体"/>
          <w:bCs/>
          <w:color w:val="000000" w:themeColor="text1"/>
          <w:sz w:val="44"/>
          <w:highlight w:val="none"/>
          <w14:textFill>
            <w14:solidFill>
              <w14:schemeClr w14:val="tx1"/>
            </w14:solidFill>
          </w14:textFill>
        </w:rPr>
      </w:pPr>
      <w:bookmarkStart w:id="30" w:name="_Toc14015"/>
      <w:bookmarkStart w:id="31" w:name="_Toc20631"/>
      <w:bookmarkStart w:id="32" w:name="_Toc156106929"/>
      <w:bookmarkStart w:id="33" w:name="_Toc469842066"/>
      <w:bookmarkStart w:id="34" w:name="_Toc230949333"/>
      <w:bookmarkStart w:id="35" w:name="_Toc469874161"/>
      <w:bookmarkStart w:id="36" w:name="_Toc147248396"/>
      <w:bookmarkStart w:id="37" w:name="_Toc405942972"/>
      <w:bookmarkStart w:id="38" w:name="_Toc200308926"/>
      <w:bookmarkStart w:id="39" w:name="_Toc230929094"/>
      <w:bookmarkStart w:id="40" w:name="_Toc199780446"/>
      <w:bookmarkStart w:id="41" w:name="_Toc185702546"/>
      <w:bookmarkStart w:id="42" w:name="_Toc395066514"/>
      <w:bookmarkStart w:id="43" w:name="_Toc200268324"/>
      <w:bookmarkStart w:id="44" w:name="_Toc185702968"/>
      <w:r>
        <w:rPr>
          <w:rFonts w:hint="eastAsia" w:ascii="宋体" w:hAnsi="宋体" w:cs="宋体"/>
          <w:bCs/>
          <w:color w:val="000000" w:themeColor="text1"/>
          <w:sz w:val="44"/>
          <w:highlight w:val="none"/>
          <w14:textFill>
            <w14:solidFill>
              <w14:schemeClr w14:val="tx1"/>
            </w14:solidFill>
          </w14:textFill>
        </w:rPr>
        <w:br w:type="page"/>
      </w:r>
      <w:bookmarkEnd w:id="30"/>
      <w:bookmarkEnd w:id="31"/>
    </w:p>
    <w:p>
      <w:pPr>
        <w:pStyle w:val="3"/>
        <w:spacing w:line="560" w:lineRule="exact"/>
        <w:jc w:val="center"/>
        <w:rPr>
          <w:rFonts w:ascii="宋体" w:hAnsi="宋体" w:cs="宋体"/>
          <w:bCs/>
          <w:color w:val="000000" w:themeColor="text1"/>
          <w:sz w:val="44"/>
          <w:highlight w:val="none"/>
          <w14:textFill>
            <w14:solidFill>
              <w14:schemeClr w14:val="tx1"/>
            </w14:solidFill>
          </w14:textFill>
        </w:rPr>
      </w:pPr>
      <w:bookmarkStart w:id="45" w:name="_Toc18101"/>
      <w:r>
        <w:rPr>
          <w:rFonts w:hint="eastAsia" w:ascii="宋体" w:hAnsi="宋体" w:cs="宋体"/>
          <w:bCs/>
          <w:color w:val="000000" w:themeColor="text1"/>
          <w:sz w:val="44"/>
          <w:highlight w:val="none"/>
          <w14:textFill>
            <w14:solidFill>
              <w14:schemeClr w14:val="tx1"/>
            </w14:solidFill>
          </w14:textFill>
        </w:rPr>
        <w:t>第三章   投标人须知及前附表</w:t>
      </w:r>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31"/>
        <w:ind w:left="0"/>
        <w:rPr>
          <w:rFonts w:cs="宋体"/>
          <w:color w:val="000000" w:themeColor="text1"/>
          <w:highlight w:val="none"/>
          <w14:textFill>
            <w14:solidFill>
              <w14:schemeClr w14:val="tx1"/>
            </w14:solidFill>
          </w14:textFill>
        </w:rPr>
      </w:pPr>
    </w:p>
    <w:p>
      <w:pPr>
        <w:pStyle w:val="3"/>
        <w:spacing w:line="400" w:lineRule="exact"/>
        <w:jc w:val="center"/>
        <w:rPr>
          <w:rFonts w:ascii="宋体" w:hAnsi="宋体" w:cs="宋体"/>
          <w:bCs/>
          <w:color w:val="000000" w:themeColor="text1"/>
          <w:sz w:val="32"/>
          <w:highlight w:val="none"/>
          <w14:textFill>
            <w14:solidFill>
              <w14:schemeClr w14:val="tx1"/>
            </w14:solidFill>
          </w14:textFill>
        </w:rPr>
      </w:pPr>
      <w:bookmarkStart w:id="46" w:name="_Toc200268237"/>
      <w:bookmarkStart w:id="47" w:name="_Toc469874162"/>
      <w:bookmarkStart w:id="48" w:name="_Toc395066515"/>
      <w:bookmarkStart w:id="49" w:name="_Toc469909314"/>
      <w:bookmarkStart w:id="50" w:name="_Toc405942973"/>
      <w:bookmarkStart w:id="51" w:name="_Toc185702547"/>
      <w:bookmarkStart w:id="52" w:name="_Toc10224"/>
      <w:r>
        <w:rPr>
          <w:rFonts w:hint="eastAsia" w:ascii="宋体" w:hAnsi="宋体" w:cs="宋体"/>
          <w:bCs/>
          <w:color w:val="000000" w:themeColor="text1"/>
          <w:sz w:val="32"/>
          <w:highlight w:val="none"/>
          <w14:textFill>
            <w14:solidFill>
              <w14:schemeClr w14:val="tx1"/>
            </w14:solidFill>
          </w14:textFill>
        </w:rPr>
        <w:t>投标人须知前附表</w:t>
      </w:r>
      <w:bookmarkEnd w:id="46"/>
      <w:bookmarkEnd w:id="47"/>
      <w:bookmarkEnd w:id="48"/>
      <w:bookmarkEnd w:id="49"/>
      <w:bookmarkEnd w:id="50"/>
      <w:bookmarkEnd w:id="51"/>
      <w:bookmarkEnd w:id="52"/>
    </w:p>
    <w:p>
      <w:pPr>
        <w:pStyle w:val="20"/>
        <w:spacing w:line="200" w:lineRule="exact"/>
        <w:rPr>
          <w:rFonts w:hAnsi="宋体" w:cs="宋体"/>
          <w:color w:val="000000" w:themeColor="text1"/>
          <w:highlight w:val="none"/>
          <w14:textFill>
            <w14:solidFill>
              <w14:schemeClr w14:val="tx1"/>
            </w14:solidFill>
          </w14:textFill>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716"/>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81" w:type="dxa"/>
            <w:vAlign w:val="center"/>
          </w:tcPr>
          <w:p>
            <w:pPr>
              <w:pStyle w:val="152"/>
              <w:snapToGrid w:val="0"/>
              <w:ind w:left="-105" w:leftChars="-50" w:right="-105" w:rightChars="-50"/>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序号</w:t>
            </w:r>
          </w:p>
        </w:tc>
        <w:tc>
          <w:tcPr>
            <w:tcW w:w="716" w:type="dxa"/>
            <w:vAlign w:val="center"/>
          </w:tcPr>
          <w:p>
            <w:pPr>
              <w:pStyle w:val="152"/>
              <w:snapToGrid w:val="0"/>
              <w:ind w:left="-105" w:leftChars="-50" w:right="-105" w:rightChars="-50"/>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条款号</w:t>
            </w:r>
          </w:p>
        </w:tc>
        <w:tc>
          <w:tcPr>
            <w:tcW w:w="8120" w:type="dxa"/>
            <w:vAlign w:val="center"/>
          </w:tcPr>
          <w:p>
            <w:pPr>
              <w:pStyle w:val="152"/>
              <w:snapToGrid w:val="0"/>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716"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8120" w:type="dxa"/>
            <w:vAlign w:val="center"/>
          </w:tcPr>
          <w:p>
            <w:pPr>
              <w:pStyle w:val="152"/>
              <w:snapToGrid w:val="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1.项目名称：网络多媒体教室设备</w:t>
            </w:r>
          </w:p>
          <w:p>
            <w:pPr>
              <w:pStyle w:val="152"/>
              <w:snapToGrid w:val="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2.项目编号：WXZC2020-G1-00075-ZLZB</w:t>
            </w:r>
          </w:p>
          <w:p>
            <w:pPr>
              <w:pStyle w:val="20"/>
              <w:snapToGrid w:val="0"/>
              <w:spacing w:line="240" w:lineRule="exact"/>
              <w:ind w:left="1050" w:hanging="1050" w:hangingChars="5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3.采购内容：</w:t>
            </w:r>
          </w:p>
          <w:tbl>
            <w:tblPr>
              <w:tblStyle w:val="40"/>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4577"/>
              <w:gridCol w:w="1455"/>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序号</w:t>
                  </w:r>
                </w:p>
              </w:tc>
              <w:tc>
                <w:tcPr>
                  <w:tcW w:w="4577"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货物名称</w:t>
                  </w:r>
                </w:p>
              </w:tc>
              <w:tc>
                <w:tcPr>
                  <w:tcW w:w="1455"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单位</w:t>
                  </w:r>
                </w:p>
              </w:tc>
              <w:tc>
                <w:tcPr>
                  <w:tcW w:w="1456"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w:t>
                  </w:r>
                </w:p>
              </w:tc>
              <w:tc>
                <w:tcPr>
                  <w:tcW w:w="4577"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交互智能平板</w:t>
                  </w:r>
                </w:p>
              </w:tc>
              <w:tc>
                <w:tcPr>
                  <w:tcW w:w="1455"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台</w:t>
                  </w:r>
                </w:p>
              </w:tc>
              <w:tc>
                <w:tcPr>
                  <w:tcW w:w="1456"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p>
              </w:tc>
              <w:tc>
                <w:tcPr>
                  <w:tcW w:w="4577"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多媒体设备集中管理控制系统</w:t>
                  </w:r>
                </w:p>
              </w:tc>
              <w:tc>
                <w:tcPr>
                  <w:tcW w:w="1455"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套</w:t>
                  </w:r>
                </w:p>
              </w:tc>
              <w:tc>
                <w:tcPr>
                  <w:tcW w:w="1456"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w:t>
                  </w:r>
                </w:p>
              </w:tc>
              <w:tc>
                <w:tcPr>
                  <w:tcW w:w="4577" w:type="dxa"/>
                  <w:vAlign w:val="center"/>
                </w:tcPr>
                <w:p>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智能翻页笔</w:t>
                  </w:r>
                </w:p>
              </w:tc>
              <w:tc>
                <w:tcPr>
                  <w:tcW w:w="1455"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支</w:t>
                  </w:r>
                </w:p>
              </w:tc>
              <w:tc>
                <w:tcPr>
                  <w:tcW w:w="1456"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w:t>
                  </w:r>
                </w:p>
              </w:tc>
              <w:tc>
                <w:tcPr>
                  <w:tcW w:w="4577" w:type="dxa"/>
                  <w:vAlign w:val="center"/>
                </w:tcPr>
                <w:p>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壁挂式展台</w:t>
                  </w:r>
                </w:p>
              </w:tc>
              <w:tc>
                <w:tcPr>
                  <w:tcW w:w="1455"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台</w:t>
                  </w:r>
                </w:p>
              </w:tc>
              <w:tc>
                <w:tcPr>
                  <w:tcW w:w="1456"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w:t>
                  </w:r>
                </w:p>
              </w:tc>
              <w:tc>
                <w:tcPr>
                  <w:tcW w:w="4577" w:type="dxa"/>
                  <w:vAlign w:val="center"/>
                </w:tcPr>
                <w:p>
                  <w:pPr>
                    <w:widowControl/>
                    <w:jc w:val="center"/>
                    <w:textAlignment w:val="center"/>
                    <w:rPr>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推拉黑板</w:t>
                  </w:r>
                </w:p>
              </w:tc>
              <w:tc>
                <w:tcPr>
                  <w:tcW w:w="1455" w:type="dxa"/>
                  <w:vAlign w:val="center"/>
                </w:tcPr>
                <w:p>
                  <w:pPr>
                    <w:widowControl/>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套</w:t>
                  </w:r>
                </w:p>
              </w:tc>
              <w:tc>
                <w:tcPr>
                  <w:tcW w:w="1456"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w:t>
                  </w:r>
                </w:p>
              </w:tc>
              <w:tc>
                <w:tcPr>
                  <w:tcW w:w="4577" w:type="dxa"/>
                  <w:vAlign w:val="center"/>
                </w:tcPr>
                <w:p>
                  <w:pPr>
                    <w:widowControl/>
                    <w:jc w:val="center"/>
                    <w:textAlignment w:val="center"/>
                    <w:rPr>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讲桌</w:t>
                  </w:r>
                </w:p>
              </w:tc>
              <w:tc>
                <w:tcPr>
                  <w:tcW w:w="1455" w:type="dxa"/>
                  <w:vAlign w:val="center"/>
                </w:tcPr>
                <w:p>
                  <w:pPr>
                    <w:widowControl/>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张</w:t>
                  </w:r>
                </w:p>
              </w:tc>
              <w:tc>
                <w:tcPr>
                  <w:tcW w:w="1456" w:type="dxa"/>
                  <w:vAlign w:val="center"/>
                </w:tcPr>
                <w:p>
                  <w:pPr>
                    <w:widowControl/>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w:t>
                  </w:r>
                </w:p>
              </w:tc>
              <w:tc>
                <w:tcPr>
                  <w:tcW w:w="4577" w:type="dxa"/>
                  <w:vAlign w:val="center"/>
                </w:tcPr>
                <w:p>
                  <w:pPr>
                    <w:widowControl/>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音箱</w:t>
                  </w:r>
                </w:p>
              </w:tc>
              <w:tc>
                <w:tcPr>
                  <w:tcW w:w="1455" w:type="dxa"/>
                  <w:vAlign w:val="center"/>
                </w:tcPr>
                <w:p>
                  <w:pPr>
                    <w:widowControl/>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套</w:t>
                  </w:r>
                </w:p>
              </w:tc>
              <w:tc>
                <w:tcPr>
                  <w:tcW w:w="1456" w:type="dxa"/>
                  <w:vAlign w:val="center"/>
                </w:tcPr>
                <w:p>
                  <w:pPr>
                    <w:widowControl/>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w:t>
                  </w:r>
                </w:p>
              </w:tc>
              <w:tc>
                <w:tcPr>
                  <w:tcW w:w="4577" w:type="dxa"/>
                  <w:vAlign w:val="center"/>
                </w:tcPr>
                <w:p>
                  <w:pPr>
                    <w:widowControl/>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麦克风</w:t>
                  </w:r>
                </w:p>
              </w:tc>
              <w:tc>
                <w:tcPr>
                  <w:tcW w:w="1455" w:type="dxa"/>
                  <w:vAlign w:val="center"/>
                </w:tcPr>
                <w:p>
                  <w:pPr>
                    <w:widowControl/>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套</w:t>
                  </w:r>
                </w:p>
              </w:tc>
              <w:tc>
                <w:tcPr>
                  <w:tcW w:w="1456" w:type="dxa"/>
                  <w:vAlign w:val="center"/>
                </w:tcPr>
                <w:p>
                  <w:pPr>
                    <w:widowControl/>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w:t>
                  </w:r>
                </w:p>
              </w:tc>
              <w:tc>
                <w:tcPr>
                  <w:tcW w:w="4577" w:type="dxa"/>
                  <w:vAlign w:val="center"/>
                </w:tcPr>
                <w:p>
                  <w:pPr>
                    <w:widowControl/>
                    <w:jc w:val="cente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超短焦激光投影机</w:t>
                  </w:r>
                </w:p>
              </w:tc>
              <w:tc>
                <w:tcPr>
                  <w:tcW w:w="1455" w:type="dxa"/>
                  <w:vAlign w:val="center"/>
                </w:tcPr>
                <w:p>
                  <w:pPr>
                    <w:widowControl/>
                    <w:jc w:val="cente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台</w:t>
                  </w:r>
                </w:p>
              </w:tc>
              <w:tc>
                <w:tcPr>
                  <w:tcW w:w="1456" w:type="dxa"/>
                  <w:vAlign w:val="center"/>
                </w:tcPr>
                <w:p>
                  <w:pPr>
                    <w:widowControl/>
                    <w:jc w:val="cente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w:t>
                  </w:r>
                </w:p>
              </w:tc>
              <w:tc>
                <w:tcPr>
                  <w:tcW w:w="4577" w:type="dxa"/>
                  <w:vAlign w:val="center"/>
                </w:tcPr>
                <w:p>
                  <w:pPr>
                    <w:widowControl/>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线材辅材</w:t>
                  </w:r>
                </w:p>
              </w:tc>
              <w:tc>
                <w:tcPr>
                  <w:tcW w:w="1455" w:type="dxa"/>
                  <w:vAlign w:val="center"/>
                </w:tcPr>
                <w:p>
                  <w:pPr>
                    <w:widowControl/>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项</w:t>
                  </w:r>
                </w:p>
              </w:tc>
              <w:tc>
                <w:tcPr>
                  <w:tcW w:w="1456" w:type="dxa"/>
                  <w:vAlign w:val="center"/>
                </w:tcPr>
                <w:p>
                  <w:pPr>
                    <w:widowControl/>
                    <w:jc w:val="center"/>
                    <w:textAlignment w:val="center"/>
                    <w:rPr>
                      <w:rFonts w:hint="eastAsia" w:hAnsi="宋体" w:eastAsia="宋体" w:cs="宋体"/>
                      <w:color w:val="auto"/>
                      <w:kern w:val="0"/>
                      <w:szCs w:val="21"/>
                      <w:highlight w:val="none"/>
                      <w:lang w:eastAsia="zh-CN"/>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92" w:type="dxa"/>
                  <w:vAlign w:val="center"/>
                </w:tcPr>
                <w:p>
                  <w:pPr>
                    <w:pStyle w:val="2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w:t>
                  </w:r>
                </w:p>
              </w:tc>
              <w:tc>
                <w:tcPr>
                  <w:tcW w:w="4577" w:type="dxa"/>
                  <w:vAlign w:val="center"/>
                </w:tcPr>
                <w:p>
                  <w:pPr>
                    <w:widowControl/>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安装调试</w:t>
                  </w:r>
                </w:p>
              </w:tc>
              <w:tc>
                <w:tcPr>
                  <w:tcW w:w="1455" w:type="dxa"/>
                  <w:vAlign w:val="center"/>
                </w:tcPr>
                <w:p>
                  <w:pPr>
                    <w:widowControl/>
                    <w:jc w:val="cente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项</w:t>
                  </w:r>
                </w:p>
              </w:tc>
              <w:tc>
                <w:tcPr>
                  <w:tcW w:w="1456" w:type="dxa"/>
                  <w:vAlign w:val="center"/>
                </w:tcPr>
                <w:p>
                  <w:pPr>
                    <w:widowControl/>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1</w:t>
                  </w:r>
                </w:p>
              </w:tc>
            </w:tr>
          </w:tbl>
          <w:p>
            <w:pPr>
              <w:pStyle w:val="20"/>
              <w:spacing w:before="66" w:beforeLines="20" w:line="28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如需进一步了解详细内容，详见招标文件。</w:t>
            </w:r>
          </w:p>
          <w:p>
            <w:pPr>
              <w:pStyle w:val="20"/>
              <w:spacing w:before="66" w:beforeLines="20" w:line="24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采购预算金额：伍佰叁拾肆万元整（￥5,340,000.00）。</w:t>
            </w:r>
          </w:p>
          <w:p>
            <w:pPr>
              <w:pStyle w:val="20"/>
              <w:spacing w:before="66" w:beforeLines="20" w:line="24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最高限价：不设定；</w:t>
            </w:r>
          </w:p>
          <w:p>
            <w:pPr>
              <w:pStyle w:val="20"/>
              <w:spacing w:before="66" w:beforeLines="20" w:line="24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716"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8120" w:type="dxa"/>
            <w:vAlign w:val="center"/>
          </w:tcPr>
          <w:p>
            <w:pPr>
              <w:pStyle w:val="2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采购人：梧州市万秀区教育局</w:t>
            </w:r>
          </w:p>
          <w:p>
            <w:pPr>
              <w:pStyle w:val="2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地址：梧州市新兴一路60号</w:t>
            </w:r>
          </w:p>
          <w:p>
            <w:pPr>
              <w:pStyle w:val="20"/>
              <w:snapToGrid w:val="0"/>
              <w:rPr>
                <w:rFonts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联系人：林先生   联系电话：0774-3953050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716"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8120" w:type="dxa"/>
            <w:vAlign w:val="center"/>
          </w:tcPr>
          <w:p>
            <w:pPr>
              <w:pStyle w:val="152"/>
              <w:snapToGrid w:val="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采购代理机构：广西众联工程项目管理有限公司</w:t>
            </w:r>
          </w:p>
          <w:p>
            <w:pPr>
              <w:pStyle w:val="20"/>
              <w:snapToGrid w:val="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地  址：梧州市新兴三路30号神冠豪都B栋1单元22层</w:t>
            </w:r>
          </w:p>
          <w:p>
            <w:pPr>
              <w:pStyle w:val="20"/>
              <w:snapToGrid w:val="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联系人及电话：孟工 ，18176880255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716"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8120" w:type="dxa"/>
            <w:vAlign w:val="center"/>
          </w:tcPr>
          <w:p>
            <w:pPr>
              <w:pStyle w:val="152"/>
              <w:snapToGrid w:val="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监督部门：梧州市万秀区政府采购工作领导小组办公室</w:t>
            </w:r>
          </w:p>
          <w:p>
            <w:pPr>
              <w:pStyle w:val="152"/>
              <w:snapToGrid w:val="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电    话：</w:t>
            </w:r>
            <w:r>
              <w:rPr>
                <w:rFonts w:hint="eastAsia" w:hAnsi="宋体" w:cs="宋体"/>
                <w:color w:val="000000" w:themeColor="text1"/>
                <w:kern w:val="0"/>
                <w:szCs w:val="21"/>
                <w:highlight w:val="none"/>
                <w14:textFill>
                  <w14:solidFill>
                    <w14:schemeClr w14:val="tx1"/>
                  </w14:solidFill>
                </w14:textFill>
              </w:rPr>
              <w:t>0774-2826908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716"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8120" w:type="dxa"/>
            <w:vAlign w:val="center"/>
          </w:tcPr>
          <w:p>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合格的投标人资格及要求：</w:t>
            </w:r>
          </w:p>
          <w:p>
            <w:pPr>
              <w:pStyle w:val="152"/>
              <w:snapToGrid w:val="0"/>
              <w:ind w:left="315" w:hanging="315" w:hangingChars="15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基本资格条件：符合《中华人民共和国政府采购法》第二十二条规定的条件；在中华人民共和国境内注册的生产或经营本次采购货物及服务的供应商；2016年起未被列入失信被执行人、重大税收违法案件当事人名单、政府采购严重违法失信行为记录名单；</w:t>
            </w:r>
          </w:p>
          <w:p>
            <w:pPr>
              <w:pStyle w:val="152"/>
              <w:snapToGrid w:val="0"/>
              <w:ind w:left="315" w:hanging="315" w:hangingChars="150"/>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2.落实政府采购政策需满足的资格要求：节约能源、保护环境、扶持不发达地区和少数民族地区、促进中小企业发展、促进监狱企业发展、促进残疾人就业、广西工业产品产销等政府采购政策；</w:t>
            </w:r>
          </w:p>
          <w:p>
            <w:pPr>
              <w:pStyle w:val="152"/>
              <w:snapToGrid w:val="0"/>
              <w:ind w:left="315" w:hanging="315" w:hangingChars="150"/>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3.本项目的特定资格要求：无。</w:t>
            </w:r>
          </w:p>
          <w:p>
            <w:pPr>
              <w:pStyle w:val="152"/>
              <w:snapToGrid w:val="0"/>
              <w:ind w:left="315" w:hanging="315" w:hangingChars="150"/>
              <w:rPr>
                <w:rFonts w:hint="eastAsia" w:hAnsi="宋体" w:cs="宋体"/>
                <w:bCs/>
                <w:color w:val="000000" w:themeColor="text1"/>
                <w:szCs w:val="21"/>
                <w:highlight w:val="none"/>
                <w:lang w:val="en-US" w:eastAsia="zh-CN"/>
                <w14:textFill>
                  <w14:solidFill>
                    <w14:schemeClr w14:val="tx1"/>
                  </w14:solidFill>
                </w14:textFill>
              </w:rPr>
            </w:pPr>
            <w:r>
              <w:rPr>
                <w:rFonts w:hint="eastAsia" w:hAnsi="宋体" w:cs="宋体"/>
                <w:bCs/>
                <w:color w:val="000000" w:themeColor="text1"/>
                <w:szCs w:val="21"/>
                <w:highlight w:val="none"/>
                <w:lang w:val="en-US" w:eastAsia="zh-CN"/>
                <w14:textFill>
                  <w14:solidFill>
                    <w14:schemeClr w14:val="tx1"/>
                  </w14:solidFill>
                </w14:textFill>
              </w:rPr>
              <w:t>4.本项目不接受未按招标文件规定的方式获取招标文件的投标人参与投标。</w:t>
            </w:r>
          </w:p>
          <w:p>
            <w:pPr>
              <w:pStyle w:val="152"/>
              <w:snapToGrid w:val="0"/>
              <w:ind w:left="315" w:hanging="315" w:hangingChars="15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lang w:val="en-US" w:eastAsia="zh-CN"/>
                <w14:textFill>
                  <w14:solidFill>
                    <w14:schemeClr w14:val="tx1"/>
                  </w14:solidFill>
                </w14:textFill>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716"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10.2</w:t>
            </w:r>
          </w:p>
        </w:tc>
        <w:tc>
          <w:tcPr>
            <w:tcW w:w="8120" w:type="dxa"/>
            <w:vAlign w:val="center"/>
          </w:tcPr>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投标文件的份数：</w:t>
            </w:r>
          </w:p>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1、投标文件：正本1份，副本4份。</w:t>
            </w:r>
          </w:p>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2、投标文件电子版：投标人在递交投标文件时同时递交投标文件电子版。</w:t>
            </w:r>
          </w:p>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①投标文件电子版内容：报价文件、资格资信证明文件、商务文件、技术文件。</w:t>
            </w:r>
          </w:p>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②投标文件电子版份数：1份。</w:t>
            </w:r>
          </w:p>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③投标文件电子版形式：可编辑的word文档格式。</w:t>
            </w:r>
          </w:p>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④投标文件电子版密封形式：投标文件电子版U盘与投标文件纸质版文件一并装入投标文件袋内。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716"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p>
        </w:tc>
        <w:tc>
          <w:tcPr>
            <w:tcW w:w="8120" w:type="dxa"/>
            <w:vAlign w:val="center"/>
          </w:tcPr>
          <w:p>
            <w:pPr>
              <w:pStyle w:val="20"/>
              <w:snapToGrid w:val="0"/>
              <w:ind w:leftChars="-18" w:hanging="37" w:hangingChars="18"/>
              <w:rPr>
                <w:rFonts w:hAnsi="宋体" w:cs="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投标人就第二章“采购内容及要求”中的项目和服务内容可能发生的所有费用作唯一完整报价。（本项目只允许递交一个方案的报价，不接受任何有选择性的报价。）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716"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w:t>
            </w:r>
          </w:p>
        </w:tc>
        <w:tc>
          <w:tcPr>
            <w:tcW w:w="8120" w:type="dxa"/>
            <w:vAlign w:val="center"/>
          </w:tcPr>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投标有效期：投标截止日期后</w:t>
            </w:r>
            <w:r>
              <w:rPr>
                <w:rFonts w:hint="eastAsia" w:hAnsi="宋体" w:cs="宋体"/>
                <w:color w:val="000000" w:themeColor="text1"/>
                <w:szCs w:val="21"/>
                <w:highlight w:val="none"/>
                <w:lang w:val="en-US" w:eastAsia="zh-CN"/>
                <w14:textFill>
                  <w14:solidFill>
                    <w14:schemeClr w14:val="tx1"/>
                  </w14:solidFill>
                </w14:textFill>
              </w:rPr>
              <w:t>90</w:t>
            </w:r>
            <w:r>
              <w:rPr>
                <w:rFonts w:hint="eastAsia" w:hAnsi="宋体" w:cs="宋体"/>
                <w:color w:val="000000" w:themeColor="text1"/>
                <w:szCs w:val="21"/>
                <w:highlight w:val="none"/>
                <w14:textFill>
                  <w14:solidFill>
                    <w14:schemeClr w14:val="tx1"/>
                  </w14:solidFill>
                </w14:textFill>
              </w:rPr>
              <w:t>天。</w:t>
            </w:r>
          </w:p>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[注：投标保证金</w:t>
            </w:r>
            <w:r>
              <w:rPr>
                <w:rFonts w:hint="eastAsia" w:hAnsi="宋体" w:cs="宋体"/>
                <w:color w:val="000000" w:themeColor="text1"/>
                <w:kern w:val="0"/>
                <w:szCs w:val="21"/>
                <w:highlight w:val="none"/>
                <w14:textFill>
                  <w14:solidFill>
                    <w14:schemeClr w14:val="tx1"/>
                  </w14:solidFill>
                </w14:textFill>
              </w:rPr>
              <w:t>有效期应比投标有效期延长25日。</w:t>
            </w:r>
            <w:r>
              <w:rPr>
                <w:rFonts w:hint="eastAsia" w:hAnsi="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716"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14.1</w:t>
            </w:r>
          </w:p>
        </w:tc>
        <w:tc>
          <w:tcPr>
            <w:tcW w:w="8120" w:type="dxa"/>
            <w:vAlign w:val="center"/>
          </w:tcPr>
          <w:p>
            <w:pPr>
              <w:snapToGrid w:val="0"/>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投标保证金金额(人民币)：</w:t>
            </w:r>
            <w:r>
              <w:rPr>
                <w:rFonts w:hint="eastAsia" w:ascii="宋体" w:hAnsi="宋体" w:cs="宋体"/>
                <w:color w:val="000000" w:themeColor="text1"/>
                <w:szCs w:val="21"/>
                <w:highlight w:val="none"/>
                <w:lang w:eastAsia="zh-CN"/>
                <w14:textFill>
                  <w14:solidFill>
                    <w14:schemeClr w14:val="tx1"/>
                  </w14:solidFill>
                </w14:textFill>
              </w:rPr>
              <w:t>壹</w:t>
            </w:r>
            <w:r>
              <w:rPr>
                <w:rFonts w:hint="eastAsia" w:hAnsi="宋体" w:cs="宋体"/>
                <w:color w:val="000000" w:themeColor="text1"/>
                <w:szCs w:val="21"/>
                <w:highlight w:val="none"/>
                <w14:textFill>
                  <w14:solidFill>
                    <w14:schemeClr w14:val="tx1"/>
                  </w14:solidFill>
                </w14:textFill>
              </w:rPr>
              <w:t>拾万元整（￥100,000.00）</w:t>
            </w:r>
            <w:r>
              <w:rPr>
                <w:rFonts w:hint="eastAsia" w:ascii="宋体" w:hAnsi="宋体" w:cs="宋体"/>
                <w:color w:val="000000" w:themeColor="text1"/>
                <w:szCs w:val="21"/>
                <w:highlight w:val="none"/>
                <w14:textFill>
                  <w14:solidFill>
                    <w14:schemeClr w14:val="tx1"/>
                  </w14:solidFill>
                </w14:textFill>
              </w:rPr>
              <w:t>。</w:t>
            </w:r>
          </w:p>
          <w:p>
            <w:pPr>
              <w:snapToGrid w:val="0"/>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2．递交方式：从投标人对公账户转账到以下专用账户或以支票、汇票、本票、保函非现金形式缴纳投标保证金。</w:t>
            </w:r>
          </w:p>
          <w:p>
            <w:pPr>
              <w:snapToGrid w:val="0"/>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开户名称：广西众联工程项目管理有限公司</w:t>
            </w:r>
          </w:p>
          <w:p>
            <w:pPr>
              <w:snapToGrid w:val="0"/>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开户银行：中国光大银行股份有限公司南宁民主支行</w:t>
            </w:r>
          </w:p>
          <w:p>
            <w:pPr>
              <w:snapToGrid w:val="0"/>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银行账号：78900188000167866</w:t>
            </w:r>
          </w:p>
          <w:p>
            <w:pPr>
              <w:snapToGrid w:val="0"/>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3．交纳截止时间：①以转帐方式缴纳投标保证金的必须在投标截止时间之前到达专用帐户。②以其他非现金方式递交投标保证金的应在投标截止时间之前提交。</w:t>
            </w:r>
          </w:p>
          <w:p>
            <w:pPr>
              <w:snapToGrid w:val="0"/>
              <w:ind w:left="315" w:hanging="315" w:hangingChars="1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办理投标保证金手续时，请务必注明事由</w:t>
            </w:r>
            <w:r>
              <w:rPr>
                <w:rFonts w:hint="eastAsia" w:ascii="宋体" w:hAnsi="宋体" w:cs="宋体"/>
                <w:color w:val="000000" w:themeColor="text1"/>
                <w:highlight w:val="none"/>
                <w:u w:val="single"/>
                <w14:textFill>
                  <w14:solidFill>
                    <w14:schemeClr w14:val="tx1"/>
                  </w14:solidFill>
                </w14:textFill>
              </w:rPr>
              <w:t>“项目编号＋投标保证金</w:t>
            </w:r>
            <w:r>
              <w:rPr>
                <w:rFonts w:hint="eastAsia" w:ascii="宋体" w:hAnsi="宋体" w:cs="宋体"/>
                <w:color w:val="000000" w:themeColor="text1"/>
                <w:szCs w:val="21"/>
                <w:highlight w:val="none"/>
                <w:u w:val="single"/>
                <w14:textFill>
                  <w14:solidFill>
                    <w14:schemeClr w14:val="tx1"/>
                  </w14:solidFill>
                </w14:textFill>
              </w:rPr>
              <w:t>（如有分标，须列出分标号）</w:t>
            </w:r>
            <w:r>
              <w:rPr>
                <w:rFonts w:hint="eastAsia" w:ascii="宋体" w:hAnsi="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字样，经查实投标保证金没有在规定时间到账的，其投标无效。</w:t>
            </w:r>
          </w:p>
          <w:p>
            <w:pPr>
              <w:pStyle w:val="20"/>
              <w:snapToGrid w:val="0"/>
              <w:rPr>
                <w:rFonts w:hAnsi="宋体" w:cs="宋体"/>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[注：投标人如需开具收据的，请在开标会议结束后自行到广西众联工程项目管理有限公司财务部开具投标保证金收据。]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716"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w:t>
            </w:r>
          </w:p>
        </w:tc>
        <w:tc>
          <w:tcPr>
            <w:tcW w:w="8120" w:type="dxa"/>
            <w:vAlign w:val="center"/>
          </w:tcPr>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1．投标截止时间：</w:t>
            </w:r>
            <w:r>
              <w:rPr>
                <w:rFonts w:hint="eastAsia" w:hAnsi="宋体" w:cs="宋体"/>
                <w:bCs/>
                <w:color w:val="000000" w:themeColor="text1"/>
                <w:szCs w:val="21"/>
                <w:highlight w:val="none"/>
                <w14:textFill>
                  <w14:solidFill>
                    <w14:schemeClr w14:val="tx1"/>
                  </w14:solidFill>
                </w14:textFill>
              </w:rPr>
              <w:t>20</w:t>
            </w:r>
            <w:r>
              <w:rPr>
                <w:rFonts w:hint="eastAsia" w:hAnsi="宋体" w:cs="宋体"/>
                <w:bCs/>
                <w:color w:val="000000" w:themeColor="text1"/>
                <w:szCs w:val="21"/>
                <w:highlight w:val="none"/>
                <w:lang w:val="en-US" w:eastAsia="zh-CN"/>
                <w14:textFill>
                  <w14:solidFill>
                    <w14:schemeClr w14:val="tx1"/>
                  </w14:solidFill>
                </w14:textFill>
              </w:rPr>
              <w:t>20</w:t>
            </w:r>
            <w:r>
              <w:rPr>
                <w:rFonts w:hint="eastAsia" w:hAnsi="宋体" w:cs="宋体"/>
                <w:bCs/>
                <w:color w:val="000000" w:themeColor="text1"/>
                <w:szCs w:val="21"/>
                <w:highlight w:val="none"/>
                <w14:textFill>
                  <w14:solidFill>
                    <w14:schemeClr w14:val="tx1"/>
                  </w14:solidFill>
                </w14:textFill>
              </w:rPr>
              <w:t xml:space="preserve">年 </w:t>
            </w:r>
            <w:r>
              <w:rPr>
                <w:rFonts w:hint="eastAsia" w:hAnsi="宋体" w:cs="宋体"/>
                <w:bCs/>
                <w:color w:val="000000" w:themeColor="text1"/>
                <w:szCs w:val="21"/>
                <w:highlight w:val="none"/>
                <w:lang w:val="en-US" w:eastAsia="zh-CN"/>
                <w14:textFill>
                  <w14:solidFill>
                    <w14:schemeClr w14:val="tx1"/>
                  </w14:solidFill>
                </w14:textFill>
              </w:rPr>
              <w:t xml:space="preserve">8 </w:t>
            </w:r>
            <w:r>
              <w:rPr>
                <w:rFonts w:hint="eastAsia" w:hAnsi="宋体" w:cs="宋体"/>
                <w:bCs/>
                <w:color w:val="000000" w:themeColor="text1"/>
                <w:szCs w:val="21"/>
                <w:highlight w:val="none"/>
                <w14:textFill>
                  <w14:solidFill>
                    <w14:schemeClr w14:val="tx1"/>
                  </w14:solidFill>
                </w14:textFill>
              </w:rPr>
              <w:t xml:space="preserve">月 </w:t>
            </w:r>
            <w:r>
              <w:rPr>
                <w:rFonts w:hint="eastAsia" w:hAnsi="宋体" w:cs="宋体"/>
                <w:bCs/>
                <w:color w:val="000000" w:themeColor="text1"/>
                <w:szCs w:val="21"/>
                <w:highlight w:val="none"/>
                <w:lang w:val="en-US" w:eastAsia="zh-CN"/>
                <w14:textFill>
                  <w14:solidFill>
                    <w14:schemeClr w14:val="tx1"/>
                  </w14:solidFill>
                </w14:textFill>
              </w:rPr>
              <w:t>12</w:t>
            </w:r>
            <w:r>
              <w:rPr>
                <w:rFonts w:hint="eastAsia" w:hAnsi="宋体" w:cs="宋体"/>
                <w:bCs/>
                <w:color w:val="000000" w:themeColor="text1"/>
                <w:szCs w:val="21"/>
                <w:highlight w:val="none"/>
                <w14:textFill>
                  <w14:solidFill>
                    <w14:schemeClr w14:val="tx1"/>
                  </w14:solidFill>
                </w14:textFill>
              </w:rPr>
              <w:t>日上午</w:t>
            </w:r>
            <w:r>
              <w:rPr>
                <w:rFonts w:hint="eastAsia" w:hAnsi="宋体" w:cs="宋体"/>
                <w:bCs/>
                <w:color w:val="000000" w:themeColor="text1"/>
                <w:szCs w:val="21"/>
                <w:highlight w:val="none"/>
                <w:lang w:val="en-US" w:eastAsia="zh-CN"/>
                <w14:textFill>
                  <w14:solidFill>
                    <w14:schemeClr w14:val="tx1"/>
                  </w14:solidFill>
                </w14:textFill>
              </w:rPr>
              <w:t xml:space="preserve"> 10 </w:t>
            </w:r>
            <w:r>
              <w:rPr>
                <w:rFonts w:hint="eastAsia" w:hAnsi="宋体" w:cs="宋体"/>
                <w:bCs/>
                <w:color w:val="000000" w:themeColor="text1"/>
                <w:szCs w:val="21"/>
                <w:highlight w:val="none"/>
                <w14:textFill>
                  <w14:solidFill>
                    <w14:schemeClr w14:val="tx1"/>
                  </w14:solidFill>
                </w14:textFill>
              </w:rPr>
              <w:t xml:space="preserve">时 </w:t>
            </w:r>
            <w:r>
              <w:rPr>
                <w:rFonts w:hint="eastAsia" w:hAnsi="宋体" w:cs="宋体"/>
                <w:bCs/>
                <w:color w:val="000000" w:themeColor="text1"/>
                <w:szCs w:val="21"/>
                <w:highlight w:val="none"/>
                <w:lang w:val="en-US" w:eastAsia="zh-CN"/>
                <w14:textFill>
                  <w14:solidFill>
                    <w14:schemeClr w14:val="tx1"/>
                  </w14:solidFill>
                </w14:textFill>
              </w:rPr>
              <w:t xml:space="preserve"> 00 </w:t>
            </w:r>
            <w:r>
              <w:rPr>
                <w:rFonts w:hint="eastAsia" w:hAnsi="宋体" w:cs="宋体"/>
                <w:bCs/>
                <w:color w:val="000000" w:themeColor="text1"/>
                <w:szCs w:val="21"/>
                <w:highlight w:val="none"/>
                <w14:textFill>
                  <w14:solidFill>
                    <w14:schemeClr w14:val="tx1"/>
                  </w14:solidFill>
                </w14:textFill>
              </w:rPr>
              <w:t>分</w:t>
            </w:r>
            <w:r>
              <w:rPr>
                <w:rFonts w:hint="eastAsia" w:hAnsi="宋体" w:cs="宋体"/>
                <w:color w:val="000000" w:themeColor="text1"/>
                <w:szCs w:val="21"/>
                <w:highlight w:val="none"/>
                <w14:textFill>
                  <w14:solidFill>
                    <w14:schemeClr w14:val="tx1"/>
                  </w14:solidFill>
                </w14:textFill>
              </w:rPr>
              <w:t>整</w:t>
            </w:r>
          </w:p>
          <w:p>
            <w:pPr>
              <w:pStyle w:val="20"/>
              <w:snapToGrid w:val="0"/>
              <w:ind w:left="315" w:hanging="315" w:hanging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2．投标文件递交地点：</w:t>
            </w:r>
            <w:r>
              <w:rPr>
                <w:rFonts w:hint="eastAsia" w:hAnsi="宋体"/>
                <w:color w:val="000000" w:themeColor="text1"/>
                <w:szCs w:val="21"/>
                <w:highlight w:val="none"/>
                <w14:textFill>
                  <w14:solidFill>
                    <w14:schemeClr w14:val="tx1"/>
                  </w14:solidFill>
                </w14:textFill>
              </w:rPr>
              <w:t>梧州市公共资源交易中心(梧州市政府采购中心)8楼开标厅（地址：梧州市长洲区三龙大道红岭大厦，具体开标室见现场LED指引）</w:t>
            </w:r>
          </w:p>
          <w:p>
            <w:pPr>
              <w:pStyle w:val="20"/>
              <w:snapToGrid w:val="0"/>
              <w:ind w:left="2"/>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3．逾期送达或未按要求密封标记的投标文件，采购人或采购代理机构将予以拒收。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716"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w:t>
            </w:r>
          </w:p>
        </w:tc>
        <w:tc>
          <w:tcPr>
            <w:tcW w:w="8120" w:type="dxa"/>
            <w:vAlign w:val="center"/>
          </w:tcPr>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1．开标时间：</w:t>
            </w:r>
            <w:r>
              <w:rPr>
                <w:rFonts w:hint="eastAsia" w:hAnsi="宋体" w:cs="宋体"/>
                <w:bCs/>
                <w:color w:val="000000" w:themeColor="text1"/>
                <w:szCs w:val="21"/>
                <w:highlight w:val="none"/>
                <w14:textFill>
                  <w14:solidFill>
                    <w14:schemeClr w14:val="tx1"/>
                  </w14:solidFill>
                </w14:textFill>
              </w:rPr>
              <w:t>20</w:t>
            </w:r>
            <w:r>
              <w:rPr>
                <w:rFonts w:hint="eastAsia" w:hAnsi="宋体" w:cs="宋体"/>
                <w:bCs/>
                <w:color w:val="000000" w:themeColor="text1"/>
                <w:szCs w:val="21"/>
                <w:highlight w:val="none"/>
                <w:lang w:val="en-US" w:eastAsia="zh-CN"/>
                <w14:textFill>
                  <w14:solidFill>
                    <w14:schemeClr w14:val="tx1"/>
                  </w14:solidFill>
                </w14:textFill>
              </w:rPr>
              <w:t>20</w:t>
            </w:r>
            <w:bookmarkStart w:id="291" w:name="_GoBack"/>
            <w:bookmarkEnd w:id="291"/>
            <w:r>
              <w:rPr>
                <w:rFonts w:hint="eastAsia" w:hAnsi="宋体" w:cs="宋体"/>
                <w:bCs/>
                <w:color w:val="000000" w:themeColor="text1"/>
                <w:szCs w:val="21"/>
                <w:highlight w:val="none"/>
                <w14:textFill>
                  <w14:solidFill>
                    <w14:schemeClr w14:val="tx1"/>
                  </w14:solidFill>
                </w14:textFill>
              </w:rPr>
              <w:t xml:space="preserve">年 </w:t>
            </w:r>
            <w:r>
              <w:rPr>
                <w:rFonts w:hint="eastAsia" w:hAnsi="宋体" w:cs="宋体"/>
                <w:bCs/>
                <w:color w:val="000000" w:themeColor="text1"/>
                <w:szCs w:val="21"/>
                <w:highlight w:val="none"/>
                <w:lang w:val="en-US" w:eastAsia="zh-CN"/>
                <w14:textFill>
                  <w14:solidFill>
                    <w14:schemeClr w14:val="tx1"/>
                  </w14:solidFill>
                </w14:textFill>
              </w:rPr>
              <w:t xml:space="preserve">8 </w:t>
            </w:r>
            <w:r>
              <w:rPr>
                <w:rFonts w:hint="eastAsia" w:hAnsi="宋体" w:cs="宋体"/>
                <w:bCs/>
                <w:color w:val="000000" w:themeColor="text1"/>
                <w:szCs w:val="21"/>
                <w:highlight w:val="none"/>
                <w14:textFill>
                  <w14:solidFill>
                    <w14:schemeClr w14:val="tx1"/>
                  </w14:solidFill>
                </w14:textFill>
              </w:rPr>
              <w:t xml:space="preserve">月 </w:t>
            </w:r>
            <w:r>
              <w:rPr>
                <w:rFonts w:hint="eastAsia" w:hAnsi="宋体" w:cs="宋体"/>
                <w:bCs/>
                <w:color w:val="000000" w:themeColor="text1"/>
                <w:szCs w:val="21"/>
                <w:highlight w:val="none"/>
                <w:lang w:val="en-US" w:eastAsia="zh-CN"/>
                <w14:textFill>
                  <w14:solidFill>
                    <w14:schemeClr w14:val="tx1"/>
                  </w14:solidFill>
                </w14:textFill>
              </w:rPr>
              <w:t>12</w:t>
            </w:r>
            <w:r>
              <w:rPr>
                <w:rFonts w:hint="eastAsia" w:hAnsi="宋体" w:cs="宋体"/>
                <w:bCs/>
                <w:color w:val="000000" w:themeColor="text1"/>
                <w:szCs w:val="21"/>
                <w:highlight w:val="none"/>
                <w14:textFill>
                  <w14:solidFill>
                    <w14:schemeClr w14:val="tx1"/>
                  </w14:solidFill>
                </w14:textFill>
              </w:rPr>
              <w:t xml:space="preserve">日 上午 </w:t>
            </w:r>
            <w:r>
              <w:rPr>
                <w:rFonts w:hint="eastAsia" w:hAnsi="宋体" w:cs="宋体"/>
                <w:bCs/>
                <w:color w:val="000000" w:themeColor="text1"/>
                <w:szCs w:val="21"/>
                <w:highlight w:val="none"/>
                <w:lang w:val="en-US" w:eastAsia="zh-CN"/>
                <w14:textFill>
                  <w14:solidFill>
                    <w14:schemeClr w14:val="tx1"/>
                  </w14:solidFill>
                </w14:textFill>
              </w:rPr>
              <w:t xml:space="preserve">10 </w:t>
            </w:r>
            <w:r>
              <w:rPr>
                <w:rFonts w:hint="eastAsia" w:hAnsi="宋体" w:cs="宋体"/>
                <w:bCs/>
                <w:color w:val="000000" w:themeColor="text1"/>
                <w:szCs w:val="21"/>
                <w:highlight w:val="none"/>
                <w14:textFill>
                  <w14:solidFill>
                    <w14:schemeClr w14:val="tx1"/>
                  </w14:solidFill>
                </w14:textFill>
              </w:rPr>
              <w:t xml:space="preserve">时 </w:t>
            </w:r>
            <w:r>
              <w:rPr>
                <w:rFonts w:hint="eastAsia" w:hAnsi="宋体" w:cs="宋体"/>
                <w:bCs/>
                <w:color w:val="000000" w:themeColor="text1"/>
                <w:szCs w:val="21"/>
                <w:highlight w:val="none"/>
                <w:lang w:val="en-US" w:eastAsia="zh-CN"/>
                <w14:textFill>
                  <w14:solidFill>
                    <w14:schemeClr w14:val="tx1"/>
                  </w14:solidFill>
                </w14:textFill>
              </w:rPr>
              <w:t xml:space="preserve"> 00 </w:t>
            </w:r>
            <w:r>
              <w:rPr>
                <w:rFonts w:hint="eastAsia" w:hAnsi="宋体" w:cs="宋体"/>
                <w:bCs/>
                <w:color w:val="000000" w:themeColor="text1"/>
                <w:szCs w:val="21"/>
                <w:highlight w:val="none"/>
                <w14:textFill>
                  <w14:solidFill>
                    <w14:schemeClr w14:val="tx1"/>
                  </w14:solidFill>
                </w14:textFill>
              </w:rPr>
              <w:t>分</w:t>
            </w:r>
            <w:r>
              <w:rPr>
                <w:rFonts w:hint="eastAsia" w:hAnsi="宋体" w:cs="宋体"/>
                <w:color w:val="000000" w:themeColor="text1"/>
                <w:szCs w:val="21"/>
                <w:highlight w:val="none"/>
                <w14:textFill>
                  <w14:solidFill>
                    <w14:schemeClr w14:val="tx1"/>
                  </w14:solidFill>
                </w14:textFill>
              </w:rPr>
              <w:t>整</w:t>
            </w:r>
          </w:p>
          <w:p>
            <w:pPr>
              <w:pStyle w:val="152"/>
              <w:snapToGrid w:val="0"/>
              <w:ind w:left="315" w:hanging="315" w:hanging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2．开标地点：</w:t>
            </w:r>
            <w:r>
              <w:rPr>
                <w:rFonts w:hint="eastAsia" w:hAnsi="宋体"/>
                <w:color w:val="000000" w:themeColor="text1"/>
                <w:szCs w:val="21"/>
                <w:highlight w:val="none"/>
                <w14:textFill>
                  <w14:solidFill>
                    <w14:schemeClr w14:val="tx1"/>
                  </w14:solidFill>
                </w14:textFill>
              </w:rPr>
              <w:t>梧州市公共资源交易中心(梧州市政府采购中心)8楼开标厅（地址：梧州市长洲区三龙大道红岭大厦，具体开标室见现场LED指引）</w:t>
            </w:r>
          </w:p>
          <w:p>
            <w:pPr>
              <w:pStyle w:val="20"/>
              <w:snapToGrid w:val="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3．投标人派授权委托代理人或由法定代表人（</w:t>
            </w:r>
            <w:r>
              <w:rPr>
                <w:rFonts w:hint="eastAsia" w:hAnsi="宋体"/>
                <w:color w:val="000000" w:themeColor="text1"/>
                <w:szCs w:val="21"/>
                <w:highlight w:val="none"/>
                <w14:textFill>
                  <w14:solidFill>
                    <w14:schemeClr w14:val="tx1"/>
                  </w14:solidFill>
                </w14:textFill>
              </w:rPr>
              <w:t>或负责人</w:t>
            </w:r>
            <w:r>
              <w:rPr>
                <w:rFonts w:hint="eastAsia" w:hAnsi="宋体" w:cs="宋体"/>
                <w:color w:val="000000" w:themeColor="text1"/>
                <w:szCs w:val="21"/>
                <w:highlight w:val="none"/>
                <w14:textFill>
                  <w14:solidFill>
                    <w14:schemeClr w14:val="tx1"/>
                  </w14:solidFill>
                </w14:textFill>
              </w:rPr>
              <w:t>）参加开标会议的，必须携带以下证件参加。</w:t>
            </w:r>
          </w:p>
          <w:p>
            <w:pPr>
              <w:pStyle w:val="20"/>
              <w:snapToGrid w:val="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(1)如法定代表人（或负责人）参加开标会时出示：法定代表人（或负责人）身份证明书及法定代表人本人第二代身份证原件。</w:t>
            </w:r>
          </w:p>
          <w:p>
            <w:pPr>
              <w:pStyle w:val="20"/>
              <w:snapToGrid w:val="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(2)如委托代理人参加开标会时出示：法定代表人（或负责人）授权委托书及委托代理人本人第二代身份证原件。</w:t>
            </w:r>
          </w:p>
          <w:p>
            <w:pPr>
              <w:pStyle w:val="20"/>
              <w:snapToGrid w:val="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(3)投标保证金声明（原件）；以非转账方式递交磋商保证金的，提供支票或汇票或本票或保函原件由采购代理机构保存。未成交服务商的原件，将在成交通知书发出后5个工作日内退还。成交服务商的原件，</w:t>
            </w:r>
            <w:r>
              <w:rPr>
                <w:rFonts w:hAnsi="宋体" w:cs="宋体"/>
                <w:color w:val="000000" w:themeColor="text1"/>
                <w:highlight w:val="none"/>
                <w14:textFill>
                  <w14:solidFill>
                    <w14:schemeClr w14:val="tx1"/>
                  </w14:solidFill>
                </w14:textFill>
              </w:rPr>
              <w:t>自签订合同并缴纳履约保证金后退还。</w:t>
            </w:r>
          </w:p>
          <w:p>
            <w:pPr>
              <w:pStyle w:val="20"/>
              <w:snapToGrid w:val="0"/>
              <w:ind w:left="315" w:hanging="315" w:hangingChars="1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(4)购买招标文件的证明文件</w:t>
            </w:r>
          </w:p>
          <w:p>
            <w:pPr>
              <w:pStyle w:val="20"/>
              <w:snapToGrid w:val="0"/>
              <w:ind w:left="315" w:hanging="315" w:hangingChars="1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注：以上文件均需加盖公章）。</w:t>
            </w:r>
          </w:p>
          <w:p>
            <w:pPr>
              <w:pStyle w:val="20"/>
              <w:snapToGrid w:val="0"/>
              <w:ind w:left="315" w:hanging="315" w:hanging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4．采购人或代理机构将核对投标人的相关证明文件上的信息是否一致。如信息不一致的或未按要求签字或签字和加盖公章的，将被拒绝接收其投标文件。</w:t>
            </w:r>
          </w:p>
          <w:p>
            <w:pPr>
              <w:pStyle w:val="20"/>
              <w:snapToGrid w:val="0"/>
              <w:ind w:left="315" w:hanging="315" w:hanging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5．若提交投标文件的投标人不参加开标会议的，视同认可开标结果。</w:t>
            </w:r>
          </w:p>
          <w:p>
            <w:pPr>
              <w:pStyle w:val="20"/>
              <w:snapToGrid w:val="0"/>
              <w:spacing w:line="28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（法人授权委托书、法定代表人（</w:t>
            </w:r>
            <w:r>
              <w:rPr>
                <w:rFonts w:hint="eastAsia" w:hAnsi="宋体"/>
                <w:color w:val="000000" w:themeColor="text1"/>
                <w:szCs w:val="21"/>
                <w:highlight w:val="none"/>
                <w14:textFill>
                  <w14:solidFill>
                    <w14:schemeClr w14:val="tx1"/>
                  </w14:solidFill>
                </w14:textFill>
              </w:rPr>
              <w:t>或负责人</w:t>
            </w:r>
            <w:r>
              <w:rPr>
                <w:rFonts w:hint="eastAsia" w:hAnsi="宋体" w:cs="宋体"/>
                <w:color w:val="000000" w:themeColor="text1"/>
                <w:szCs w:val="21"/>
                <w:highlight w:val="none"/>
                <w14:textFill>
                  <w14:solidFill>
                    <w14:schemeClr w14:val="tx1"/>
                  </w14:solidFill>
                </w14:textFill>
              </w:rPr>
              <w:t>）身份证明、投标保证金声明格式见第六章）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716"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8120" w:type="dxa"/>
            <w:vAlign w:val="center"/>
          </w:tcPr>
          <w:p>
            <w:pPr>
              <w:pStyle w:val="20"/>
              <w:snapToGrid w:val="0"/>
              <w:ind w:left="1037" w:hanging="1037" w:hangingChars="4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评标方法：</w:t>
            </w:r>
            <w:r>
              <w:rPr>
                <w:rFonts w:hint="eastAsia" w:hAnsi="宋体" w:cs="宋体"/>
                <w:b/>
                <w:color w:val="000000" w:themeColor="text1"/>
                <w:szCs w:val="21"/>
                <w:highlight w:val="none"/>
                <w14:textFill>
                  <w14:solidFill>
                    <w14:schemeClr w14:val="tx1"/>
                  </w14:solidFill>
                </w14:textFill>
              </w:rPr>
              <w:t>综合评分法</w:t>
            </w:r>
            <w:r>
              <w:rPr>
                <w:rFonts w:hint="eastAsia" w:hAnsi="宋体" w:cs="宋体"/>
                <w:color w:val="000000" w:themeColor="text1"/>
                <w:szCs w:val="21"/>
                <w:highlight w:val="none"/>
                <w14:textFill>
                  <w14:solidFill>
                    <w14:schemeClr w14:val="tx1"/>
                  </w14:solidFill>
                </w14:textFill>
              </w:rPr>
              <w:t>（详见第四章评标方法）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716" w:type="dxa"/>
            <w:vAlign w:val="center"/>
          </w:tcPr>
          <w:p>
            <w:pPr>
              <w:pStyle w:val="20"/>
              <w:snapToGrid w:val="0"/>
              <w:ind w:left="1037" w:hanging="1037" w:hangingChars="494"/>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25</w:t>
            </w:r>
          </w:p>
        </w:tc>
        <w:tc>
          <w:tcPr>
            <w:tcW w:w="8120" w:type="dxa"/>
            <w:vAlign w:val="center"/>
          </w:tcPr>
          <w:p>
            <w:pPr>
              <w:pStyle w:val="20"/>
              <w:snapToGrid w:val="0"/>
              <w:spacing w:line="360" w:lineRule="exact"/>
              <w:ind w:firstLine="5"/>
              <w:rPr>
                <w:rFonts w:hAnsi="宋体" w:cs="宋体"/>
                <w:bCs/>
                <w:color w:val="000000" w:themeColor="text1"/>
                <w:highlight w:val="none"/>
                <w14:textFill>
                  <w14:solidFill>
                    <w14:schemeClr w14:val="tx1"/>
                  </w14:solidFill>
                </w14:textFill>
              </w:rPr>
            </w:pPr>
            <w:r>
              <w:rPr>
                <w:rFonts w:hAnsi="宋体" w:cs="宋体"/>
                <w:bCs/>
                <w:color w:val="000000" w:themeColor="text1"/>
                <w:highlight w:val="none"/>
                <w14:textFill>
                  <w14:solidFill>
                    <w14:schemeClr w14:val="tx1"/>
                  </w14:solidFill>
                </w14:textFill>
              </w:rPr>
              <w:t>履约保证金递交及退还：</w:t>
            </w:r>
          </w:p>
          <w:p>
            <w:pPr>
              <w:pStyle w:val="152"/>
              <w:snapToGrid w:val="0"/>
              <w:spacing w:line="360" w:lineRule="exact"/>
              <w:rPr>
                <w:rFonts w:hAnsi="宋体" w:cs="宋体"/>
                <w:b/>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1、递交金额：</w:t>
            </w:r>
            <w:r>
              <w:rPr>
                <w:rFonts w:hint="eastAsia" w:hAnsi="宋体" w:cs="宋体"/>
                <w:b/>
                <w:bCs/>
                <w:color w:val="000000" w:themeColor="text1"/>
                <w:szCs w:val="21"/>
                <w:highlight w:val="none"/>
                <w:u w:val="single"/>
                <w14:textFill>
                  <w14:solidFill>
                    <w14:schemeClr w14:val="tx1"/>
                  </w14:solidFill>
                </w14:textFill>
              </w:rPr>
              <w:t xml:space="preserve">合同金额的5% </w:t>
            </w:r>
            <w:r>
              <w:rPr>
                <w:rFonts w:hint="eastAsia" w:hAnsi="宋体" w:cs="宋体"/>
                <w:b/>
                <w:bCs/>
                <w:color w:val="000000" w:themeColor="text1"/>
                <w:szCs w:val="21"/>
                <w:highlight w:val="none"/>
                <w14:textFill>
                  <w14:solidFill>
                    <w14:schemeClr w14:val="tx1"/>
                  </w14:solidFill>
                </w14:textFill>
              </w:rPr>
              <w:t>。</w:t>
            </w:r>
          </w:p>
          <w:p>
            <w:pPr>
              <w:pStyle w:val="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①履约保证金的形式：转账。</w:t>
            </w:r>
          </w:p>
          <w:p>
            <w:pPr>
              <w:pStyle w:val="20"/>
              <w:rPr>
                <w:color w:val="000000" w:themeColor="text1"/>
                <w:highlight w:val="none"/>
                <w14:textFill>
                  <w14:solidFill>
                    <w14:schemeClr w14:val="tx1"/>
                  </w14:solidFill>
                </w14:textFill>
              </w:rPr>
            </w:pPr>
            <w:r>
              <w:rPr>
                <w:rFonts w:hAnsi="宋体" w:cs="宋体"/>
                <w:bCs/>
                <w:color w:val="000000" w:themeColor="text1"/>
                <w:highlight w:val="none"/>
                <w14:textFill>
                  <w14:solidFill>
                    <w14:schemeClr w14:val="tx1"/>
                  </w14:solidFill>
                </w14:textFill>
              </w:rPr>
              <w:t>②</w:t>
            </w:r>
            <w:r>
              <w:rPr>
                <w:color w:val="000000" w:themeColor="text1"/>
                <w:highlight w:val="none"/>
                <w14:textFill>
                  <w14:solidFill>
                    <w14:schemeClr w14:val="tx1"/>
                  </w14:solidFill>
                </w14:textFill>
              </w:rPr>
              <w:t>履约保证金的缴纳方式：在收到</w:t>
            </w:r>
            <w:r>
              <w:rPr>
                <w:rFonts w:hint="eastAsia"/>
                <w:color w:val="000000" w:themeColor="text1"/>
                <w:highlight w:val="none"/>
                <w14:textFill>
                  <w14:solidFill>
                    <w14:schemeClr w14:val="tx1"/>
                  </w14:solidFill>
                </w14:textFill>
              </w:rPr>
              <w:t>中标</w:t>
            </w:r>
            <w:r>
              <w:rPr>
                <w:color w:val="000000" w:themeColor="text1"/>
                <w:highlight w:val="none"/>
                <w14:textFill>
                  <w14:solidFill>
                    <w14:schemeClr w14:val="tx1"/>
                  </w14:solidFill>
                </w14:textFill>
              </w:rPr>
              <w:t>通知书后，</w:t>
            </w:r>
            <w:r>
              <w:rPr>
                <w:rFonts w:hint="eastAsia"/>
                <w:color w:val="000000" w:themeColor="text1"/>
                <w:highlight w:val="none"/>
                <w14:textFill>
                  <w14:solidFill>
                    <w14:schemeClr w14:val="tx1"/>
                  </w14:solidFill>
                </w14:textFill>
              </w:rPr>
              <w:t>中标人</w:t>
            </w:r>
            <w:r>
              <w:rPr>
                <w:color w:val="000000" w:themeColor="text1"/>
                <w:highlight w:val="none"/>
                <w14:textFill>
                  <w14:solidFill>
                    <w14:schemeClr w14:val="tx1"/>
                  </w14:solidFill>
                </w14:textFill>
              </w:rPr>
              <w:t>须在 15 个工作日内</w:t>
            </w:r>
            <w:r>
              <w:rPr>
                <w:rFonts w:hint="eastAsia"/>
                <w:color w:val="000000" w:themeColor="text1"/>
                <w:highlight w:val="none"/>
                <w14:textFill>
                  <w14:solidFill>
                    <w14:schemeClr w14:val="tx1"/>
                  </w14:solidFill>
                </w14:textFill>
              </w:rPr>
              <w:t>联系</w:t>
            </w:r>
            <w:r>
              <w:rPr>
                <w:color w:val="000000" w:themeColor="text1"/>
                <w:highlight w:val="none"/>
                <w14:textFill>
                  <w14:solidFill>
                    <w14:schemeClr w14:val="tx1"/>
                  </w14:solidFill>
                </w14:textFill>
              </w:rPr>
              <w:t>采购人提交履约保证金，否则视为其放弃</w:t>
            </w:r>
            <w:r>
              <w:rPr>
                <w:rFonts w:hint="eastAsia"/>
                <w:color w:val="000000" w:themeColor="text1"/>
                <w:highlight w:val="none"/>
                <w14:textFill>
                  <w14:solidFill>
                    <w14:schemeClr w14:val="tx1"/>
                  </w14:solidFill>
                </w14:textFill>
              </w:rPr>
              <w:t>中标</w:t>
            </w:r>
            <w:r>
              <w:rPr>
                <w:color w:val="000000" w:themeColor="text1"/>
                <w:highlight w:val="none"/>
                <w14:textFill>
                  <w14:solidFill>
                    <w14:schemeClr w14:val="tx1"/>
                  </w14:solidFill>
                </w14:textFill>
              </w:rPr>
              <w:t>资格。</w:t>
            </w:r>
          </w:p>
          <w:p>
            <w:pPr>
              <w:pStyle w:val="20"/>
              <w:snapToGrid w:val="0"/>
              <w:ind w:left="312" w:leftChars="2" w:hanging="308" w:hangingChars="147"/>
              <w:rPr>
                <w:rFonts w:hAnsi="宋体" w:cs="宋体"/>
                <w:color w:val="000000" w:themeColor="text1"/>
                <w:szCs w:val="21"/>
                <w:highlight w:val="none"/>
                <w14:textFill>
                  <w14:solidFill>
                    <w14:schemeClr w14:val="tx1"/>
                  </w14:solidFill>
                </w14:textFill>
              </w:rPr>
            </w:pPr>
            <w:r>
              <w:rPr>
                <w:rFonts w:hAnsi="宋体" w:cs="宋体"/>
                <w:bCs/>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退还：自项目验收合格之日起5个工作日内，</w:t>
            </w:r>
            <w:r>
              <w:rPr>
                <w:rFonts w:hint="eastAsia"/>
                <w:color w:val="000000" w:themeColor="text1"/>
                <w:highlight w:val="none"/>
                <w14:textFill>
                  <w14:solidFill>
                    <w14:schemeClr w14:val="tx1"/>
                  </w14:solidFill>
                </w14:textFill>
              </w:rPr>
              <w:t>中标人</w:t>
            </w:r>
            <w:r>
              <w:rPr>
                <w:color w:val="000000" w:themeColor="text1"/>
                <w:highlight w:val="none"/>
                <w14:textFill>
                  <w14:solidFill>
                    <w14:schemeClr w14:val="tx1"/>
                  </w14:solidFill>
                </w14:textFill>
              </w:rPr>
              <w:t>按第七章附件“履约保证金退付意见书”的要求至采购人财务部办理退还履约保证金手续，不付利息。因采购人或采购代理机构原因导致无法及时退还时，每逾期退还一天按履约保证金万分之一支付违约金给</w:t>
            </w:r>
            <w:r>
              <w:rPr>
                <w:rFonts w:hint="eastAsia"/>
                <w:color w:val="000000" w:themeColor="text1"/>
                <w:highlight w:val="none"/>
                <w14:textFill>
                  <w14:solidFill>
                    <w14:schemeClr w14:val="tx1"/>
                  </w14:solidFill>
                </w14:textFill>
              </w:rPr>
              <w:t>中标</w:t>
            </w:r>
            <w:r>
              <w:rPr>
                <w:color w:val="000000" w:themeColor="text1"/>
                <w:highlight w:val="none"/>
                <w14:textFill>
                  <w14:solidFill>
                    <w14:schemeClr w14:val="tx1"/>
                  </w14:solidFill>
                </w14:textFill>
              </w:rPr>
              <w:t>人，但因</w:t>
            </w:r>
            <w:r>
              <w:rPr>
                <w:rFonts w:hint="eastAsia"/>
                <w:color w:val="000000" w:themeColor="text1"/>
                <w:highlight w:val="none"/>
                <w14:textFill>
                  <w14:solidFill>
                    <w14:schemeClr w14:val="tx1"/>
                  </w14:solidFill>
                </w14:textFill>
              </w:rPr>
              <w:t>中标人</w:t>
            </w:r>
            <w:r>
              <w:rPr>
                <w:color w:val="000000" w:themeColor="text1"/>
                <w:highlight w:val="none"/>
                <w14:textFill>
                  <w14:solidFill>
                    <w14:schemeClr w14:val="tx1"/>
                  </w14:solidFill>
                </w14:textFill>
              </w:rPr>
              <w:t>自身原因导致无法及时退还的除外。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716" w:type="dxa"/>
            <w:vAlign w:val="center"/>
          </w:tcPr>
          <w:p>
            <w:pPr>
              <w:pStyle w:val="20"/>
              <w:snapToGrid w:val="0"/>
              <w:ind w:left="1037" w:hanging="1037" w:hangingChars="494"/>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26</w:t>
            </w:r>
          </w:p>
        </w:tc>
        <w:tc>
          <w:tcPr>
            <w:tcW w:w="8120" w:type="dxa"/>
            <w:vAlign w:val="center"/>
          </w:tcPr>
          <w:p>
            <w:pPr>
              <w:pStyle w:val="152"/>
              <w:snapToGrid w:val="0"/>
              <w:ind w:left="1049" w:hanging="1049"/>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签订合同：自中标通知书发出之日起30日内凭中标通知书与采购人签订政府采购合同，延期自误。</w:t>
            </w:r>
          </w:p>
          <w:p>
            <w:pPr>
              <w:pStyle w:val="152"/>
              <w:snapToGrid w:val="0"/>
              <w:ind w:left="398" w:hanging="398"/>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[采购合同必须与本招标文件中的合同书格式(包括内容和结构)相一致，不能改变主要条款。]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716" w:type="dxa"/>
            <w:vAlign w:val="center"/>
          </w:tcPr>
          <w:p>
            <w:pPr>
              <w:pStyle w:val="20"/>
              <w:snapToGrid w:val="0"/>
              <w:ind w:left="1037" w:hanging="1037" w:hangingChars="494"/>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27</w:t>
            </w:r>
          </w:p>
        </w:tc>
        <w:tc>
          <w:tcPr>
            <w:tcW w:w="8120" w:type="dxa"/>
            <w:vAlign w:val="center"/>
          </w:tcPr>
          <w:p>
            <w:pPr>
              <w:pStyle w:val="152"/>
              <w:snapToGrid w:val="0"/>
              <w:ind w:left="306" w:hanging="306"/>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本项目服务费：</w:t>
            </w:r>
            <w:r>
              <w:rPr>
                <w:rFonts w:hint="eastAsia" w:hAnsi="宋体" w:cs="宋体"/>
                <w:color w:val="000000" w:themeColor="text1"/>
                <w:highlight w:val="none"/>
                <w14:textFill>
                  <w14:solidFill>
                    <w14:schemeClr w14:val="tx1"/>
                  </w14:solidFill>
                </w14:textFill>
              </w:rPr>
              <w:t>由中标人在领取中标通知书前向广西众联工程项目管理有限公司一次性付清代理服务费及开标费，否则视为其放弃中标资格。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dxa"/>
            <w:vMerge w:val="restart"/>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716" w:type="dxa"/>
            <w:vMerge w:val="restart"/>
            <w:vAlign w:val="center"/>
          </w:tcPr>
          <w:p>
            <w:pPr>
              <w:pStyle w:val="20"/>
              <w:snapToGrid w:val="0"/>
              <w:ind w:left="1037" w:hanging="1037" w:hangingChars="494"/>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33</w:t>
            </w:r>
          </w:p>
        </w:tc>
        <w:tc>
          <w:tcPr>
            <w:tcW w:w="8120" w:type="dxa"/>
            <w:vAlign w:val="center"/>
          </w:tcPr>
          <w:p>
            <w:pPr>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本项目需要落实的政府采购政策：</w:t>
            </w:r>
            <w:r>
              <w:rPr>
                <w:rFonts w:hint="eastAsia" w:ascii="宋体" w:hAnsi="宋体" w:cs="宋体"/>
                <w:color w:val="000000" w:themeColor="text1"/>
                <w:kern w:val="0"/>
                <w:szCs w:val="21"/>
                <w:highlight w:val="none"/>
                <w14:textFill>
                  <w14:solidFill>
                    <w14:schemeClr w14:val="tx1"/>
                  </w14:solidFill>
                </w14:textFill>
              </w:rPr>
              <w:t>节能环保，促进中小企业发展，促进监狱企业发展，促进残疾人就业，广西工业产品产销等政府采购政策。</w:t>
            </w:r>
          </w:p>
          <w:p>
            <w:pPr>
              <w:pStyle w:val="152"/>
              <w:snapToGrid w:val="0"/>
              <w:ind w:left="315" w:hanging="315" w:hanging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拟采购的产品属于《节能产品政府采购品目清单》范围内以“★”标注产品的，应当依据国家确定的认证机构出具的、处于有效期之内的节能产品认证证书，对获得证书的产品实施政府强制采购。拟采购的产品属于《节能产品政府采购品目清单》范围内非“★”标注的和《环境标志产品政府采购品目清单》范围内产品的，应当依据国家确定的认证机构出具的、处于有效期之内的节能产品、环境标志产品认证证书，对获得证书的产品实施政府优先采购。</w:t>
            </w:r>
            <w:r>
              <w:rPr>
                <w:rFonts w:hint="eastAsia" w:hAnsi="宋体" w:cs="宋体"/>
                <w:bCs/>
                <w:color w:val="000000" w:themeColor="text1"/>
                <w:highlight w:val="none"/>
                <w14:textFill>
                  <w14:solidFill>
                    <w14:schemeClr w14:val="tx1"/>
                  </w14:solidFill>
                </w14:textFill>
              </w:rPr>
              <w:t>投标</w:t>
            </w:r>
            <w:r>
              <w:rPr>
                <w:rFonts w:hint="eastAsia" w:hAnsi="宋体" w:cs="宋体"/>
                <w:color w:val="000000" w:themeColor="text1"/>
                <w:szCs w:val="21"/>
                <w:highlight w:val="none"/>
                <w14:textFill>
                  <w14:solidFill>
                    <w14:schemeClr w14:val="tx1"/>
                  </w14:solidFill>
                </w14:textFill>
              </w:rPr>
              <w:t>人须提供产品认证证书复印件并加盖</w:t>
            </w:r>
            <w:r>
              <w:rPr>
                <w:rFonts w:hint="eastAsia" w:hAnsi="宋体" w:cs="宋体"/>
                <w:bCs/>
                <w:color w:val="000000" w:themeColor="text1"/>
                <w:highlight w:val="none"/>
                <w14:textFill>
                  <w14:solidFill>
                    <w14:schemeClr w14:val="tx1"/>
                  </w14:solidFill>
                </w14:textFill>
              </w:rPr>
              <w:t>投标</w:t>
            </w:r>
            <w:r>
              <w:rPr>
                <w:rFonts w:hint="eastAsia" w:hAnsi="宋体" w:cs="宋体"/>
                <w:color w:val="000000" w:themeColor="text1"/>
                <w:szCs w:val="21"/>
                <w:highlight w:val="none"/>
                <w14:textFill>
                  <w14:solidFill>
                    <w14:schemeClr w14:val="tx1"/>
                  </w14:solidFill>
                </w14:textFill>
              </w:rPr>
              <w:t>人公章。截标后，采购代理机构在中国政府采购网（www.ccgp.gov.cn）认证结果信息发布平台对</w:t>
            </w:r>
            <w:r>
              <w:rPr>
                <w:rFonts w:hint="eastAsia" w:hAnsi="宋体" w:cs="宋体"/>
                <w:bCs/>
                <w:color w:val="000000" w:themeColor="text1"/>
                <w:highlight w:val="none"/>
                <w14:textFill>
                  <w14:solidFill>
                    <w14:schemeClr w14:val="tx1"/>
                  </w14:solidFill>
                </w14:textFill>
              </w:rPr>
              <w:t>投标</w:t>
            </w:r>
            <w:r>
              <w:rPr>
                <w:rFonts w:hint="eastAsia" w:hAnsi="宋体" w:cs="宋体"/>
                <w:color w:val="000000" w:themeColor="text1"/>
                <w:szCs w:val="21"/>
                <w:highlight w:val="none"/>
                <w14:textFill>
                  <w14:solidFill>
                    <w14:schemeClr w14:val="tx1"/>
                  </w14:solidFill>
                </w14:textFill>
              </w:rPr>
              <w:t>产品的证书信息进行查询，如查询结果为无效，将不享受相关政府采购政策。</w:t>
            </w:r>
          </w:p>
          <w:p>
            <w:pPr>
              <w:pStyle w:val="152"/>
              <w:snapToGrid w:val="0"/>
              <w:ind w:left="315" w:hanging="315" w:hanging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2．根据《政府采购促进中小企业发展暂行办法》的通知，本项目</w:t>
            </w:r>
            <w:r>
              <w:rPr>
                <w:rFonts w:hint="eastAsia" w:hAnsi="宋体" w:cs="宋体"/>
                <w:bCs/>
                <w:color w:val="000000" w:themeColor="text1"/>
                <w:szCs w:val="21"/>
                <w:highlight w:val="none"/>
                <w14:textFill>
                  <w14:solidFill>
                    <w14:schemeClr w14:val="tx1"/>
                  </w14:solidFill>
                </w14:textFill>
              </w:rPr>
              <w:t>将对提供</w:t>
            </w:r>
            <w:r>
              <w:rPr>
                <w:rFonts w:hint="eastAsia" w:hAnsi="宋体" w:cs="宋体"/>
                <w:color w:val="000000" w:themeColor="text1"/>
                <w:szCs w:val="21"/>
                <w:highlight w:val="none"/>
                <w14:textFill>
                  <w14:solidFill>
                    <w14:schemeClr w14:val="tx1"/>
                  </w14:solidFill>
                </w14:textFill>
              </w:rPr>
              <w:t>小型或微型企业</w:t>
            </w:r>
            <w:r>
              <w:rPr>
                <w:rFonts w:hint="eastAsia" w:hAnsi="宋体" w:cs="宋体"/>
                <w:bCs/>
                <w:color w:val="000000" w:themeColor="text1"/>
                <w:szCs w:val="21"/>
                <w:highlight w:val="none"/>
                <w14:textFill>
                  <w14:solidFill>
                    <w14:schemeClr w14:val="tx1"/>
                  </w14:solidFill>
                </w14:textFill>
              </w:rPr>
              <w:t>产品或服务的价格</w:t>
            </w:r>
            <w:r>
              <w:rPr>
                <w:rFonts w:hint="eastAsia" w:hAnsi="宋体" w:cs="宋体"/>
                <w:color w:val="000000" w:themeColor="text1"/>
                <w:szCs w:val="21"/>
                <w:highlight w:val="none"/>
                <w14:textFill>
                  <w14:solidFill>
                    <w14:schemeClr w14:val="tx1"/>
                  </w14:solidFill>
                </w14:textFill>
              </w:rPr>
              <w:t>评标时格给予一定的价格扣除。</w:t>
            </w:r>
          </w:p>
          <w:p>
            <w:pPr>
              <w:pStyle w:val="152"/>
              <w:snapToGrid w:val="0"/>
              <w:ind w:left="315" w:hanging="315" w:hanging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3．根据财政部、司法部关于政府采购支持监狱企业发展有关问题的通知（财库[2014]68号），监狱企业视同小型、微型企业，享受小型、微型企业政策，评标时投标价格给予一定的价格扣除。</w:t>
            </w:r>
          </w:p>
          <w:p>
            <w:pPr>
              <w:snapToGrid w:val="0"/>
              <w:ind w:left="315" w:hanging="315" w:hangingChars="15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根据财政部、民政部、中国残疾人联合会三部门发布的关于促进残疾人就业政府采购政策的通知（财库〔2017〕141号），残疾人福利性单位视同小型、微型企业，享受小型、微型企业政策，评标时投标价格给予一定的价格扣除。投标人既属于残疾人福利性单位又属于小型、微型企业的，其只能享受投标价格一次性的扣除，不重复享受政策。</w:t>
            </w:r>
          </w:p>
          <w:p>
            <w:pPr>
              <w:pStyle w:val="152"/>
              <w:snapToGrid w:val="0"/>
              <w:ind w:left="315" w:hanging="315" w:hanging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根据《广西壮族自治区人民政府办公厅关于印发招标采购促进广西工业产品产销对接实施细则的通知》的规定，货物服务招标采购评标方法采用综合评分法的，对使用广西工业产品80％以上（含）的投标人，评标时给予一定的政策功能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81" w:type="dxa"/>
            <w:vMerge w:val="continue"/>
            <w:vAlign w:val="center"/>
          </w:tcPr>
          <w:p>
            <w:pPr>
              <w:snapToGrid w:val="0"/>
              <w:jc w:val="center"/>
              <w:rPr>
                <w:rFonts w:ascii="宋体" w:hAnsi="宋体" w:cs="宋体"/>
                <w:color w:val="000000" w:themeColor="text1"/>
                <w:szCs w:val="21"/>
                <w:highlight w:val="none"/>
                <w14:textFill>
                  <w14:solidFill>
                    <w14:schemeClr w14:val="tx1"/>
                  </w14:solidFill>
                </w14:textFill>
              </w:rPr>
            </w:pPr>
          </w:p>
        </w:tc>
        <w:tc>
          <w:tcPr>
            <w:tcW w:w="716" w:type="dxa"/>
            <w:vMerge w:val="continue"/>
            <w:vAlign w:val="center"/>
          </w:tcPr>
          <w:p>
            <w:pPr>
              <w:pStyle w:val="20"/>
              <w:snapToGrid w:val="0"/>
              <w:ind w:left="1037" w:hanging="1037" w:hangingChars="494"/>
              <w:jc w:val="center"/>
              <w:rPr>
                <w:rFonts w:hAnsi="宋体" w:cs="宋体"/>
                <w:color w:val="000000" w:themeColor="text1"/>
                <w:szCs w:val="21"/>
                <w:highlight w:val="none"/>
                <w14:textFill>
                  <w14:solidFill>
                    <w14:schemeClr w14:val="tx1"/>
                  </w14:solidFill>
                </w14:textFill>
              </w:rPr>
            </w:pPr>
          </w:p>
        </w:tc>
        <w:tc>
          <w:tcPr>
            <w:tcW w:w="8120" w:type="dxa"/>
            <w:vAlign w:val="center"/>
          </w:tcPr>
          <w:p>
            <w:pPr>
              <w:pStyle w:val="15"/>
              <w:snapToGrid w:val="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政府采购合同审核、备案：</w:t>
            </w:r>
          </w:p>
          <w:p>
            <w:pPr>
              <w:pStyle w:val="15"/>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1．政府采购合同自签订之日起7个工作日内，采购单位必须将政府采购合同报送梧州市万秀区政府采购工作领导小组办公室备案。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81" w:type="dxa"/>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8836" w:type="dxa"/>
            <w:gridSpan w:val="2"/>
            <w:vAlign w:val="center"/>
          </w:tcPr>
          <w:p>
            <w:pPr>
              <w:pStyle w:val="15"/>
              <w:snapToGrid w:val="0"/>
              <w:ind w:left="15" w:leftChars="7"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信用信息使用规则：投标截止后，采购代理机构将对各投标人的企业信用进行查询，作为采购人在资格性审查阶段的评审依据。对在中国政府采购网(www.ccgp.gov.cn)列入“政府采购严重违法失信行为记录名单”和在信用中国网（www.creditchina.gov.cn/）列入“失信被执行人”、“重大税收违法案件当事人名单”、“政府采购严重违法失信名单”且在处罚期限内的投标人，视为存在不良信用记录，投标将被否决。</w:t>
            </w:r>
          </w:p>
        </w:tc>
      </w:tr>
    </w:tbl>
    <w:p>
      <w:pPr>
        <w:pStyle w:val="20"/>
        <w:spacing w:line="400" w:lineRule="exac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p>
    <w:p>
      <w:pPr>
        <w:pStyle w:val="20"/>
        <w:spacing w:line="400" w:lineRule="exact"/>
        <w:jc w:val="center"/>
        <w:rPr>
          <w:rFonts w:hAnsi="宋体" w:cs="宋体"/>
          <w:b/>
          <w:color w:val="000000" w:themeColor="text1"/>
          <w:sz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投标人须知</w:t>
      </w:r>
    </w:p>
    <w:p>
      <w:pPr>
        <w:pStyle w:val="20"/>
        <w:spacing w:line="400" w:lineRule="exact"/>
        <w:rPr>
          <w:rFonts w:hAnsi="宋体" w:cs="宋体"/>
          <w:color w:val="000000" w:themeColor="text1"/>
          <w:highlight w:val="none"/>
          <w14:textFill>
            <w14:solidFill>
              <w14:schemeClr w14:val="tx1"/>
            </w14:solidFill>
          </w14:textFill>
        </w:rPr>
      </w:pPr>
    </w:p>
    <w:p>
      <w:pPr>
        <w:pStyle w:val="3"/>
        <w:spacing w:line="400" w:lineRule="exact"/>
        <w:jc w:val="center"/>
        <w:rPr>
          <w:rFonts w:ascii="宋体" w:hAnsi="宋体" w:cs="宋体"/>
          <w:color w:val="000000" w:themeColor="text1"/>
          <w:highlight w:val="none"/>
          <w14:textFill>
            <w14:solidFill>
              <w14:schemeClr w14:val="tx1"/>
            </w14:solidFill>
          </w14:textFill>
        </w:rPr>
      </w:pPr>
      <w:bookmarkStart w:id="53" w:name="_Toc405942974"/>
      <w:bookmarkStart w:id="54" w:name="_Toc469909315"/>
      <w:bookmarkStart w:id="55" w:name="_Toc395066516"/>
      <w:bookmarkStart w:id="56" w:name="_Toc200268238"/>
      <w:bookmarkStart w:id="57" w:name="_Toc17304"/>
      <w:bookmarkStart w:id="58" w:name="_Toc185702548"/>
      <w:bookmarkStart w:id="59" w:name="_Toc469874163"/>
      <w:r>
        <w:rPr>
          <w:rFonts w:hint="eastAsia" w:ascii="宋体" w:hAnsi="宋体" w:cs="宋体"/>
          <w:color w:val="000000" w:themeColor="text1"/>
          <w:highlight w:val="none"/>
          <w14:textFill>
            <w14:solidFill>
              <w14:schemeClr w14:val="tx1"/>
            </w14:solidFill>
          </w14:textFill>
        </w:rPr>
        <w:t>一、总  则</w:t>
      </w:r>
      <w:bookmarkEnd w:id="53"/>
      <w:bookmarkEnd w:id="54"/>
      <w:bookmarkEnd w:id="55"/>
      <w:bookmarkEnd w:id="56"/>
      <w:bookmarkEnd w:id="57"/>
      <w:bookmarkEnd w:id="58"/>
      <w:bookmarkEnd w:id="59"/>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60" w:name="_Toc185702549"/>
      <w:bookmarkStart w:id="61" w:name="_Toc200268239"/>
      <w:bookmarkStart w:id="62" w:name="_Toc469874164"/>
      <w:bookmarkStart w:id="63" w:name="_Toc395066517"/>
      <w:bookmarkStart w:id="64" w:name="_Toc405942975"/>
      <w:r>
        <w:rPr>
          <w:rFonts w:hint="eastAsia" w:ascii="宋体" w:hAnsi="宋体" w:eastAsia="宋体" w:cs="宋体"/>
          <w:color w:val="000000" w:themeColor="text1"/>
          <w:sz w:val="21"/>
          <w:szCs w:val="21"/>
          <w:highlight w:val="none"/>
          <w14:textFill>
            <w14:solidFill>
              <w14:schemeClr w14:val="tx1"/>
            </w14:solidFill>
          </w14:textFill>
        </w:rPr>
        <w:t>1、</w:t>
      </w:r>
      <w:bookmarkEnd w:id="60"/>
      <w:bookmarkEnd w:id="61"/>
      <w:r>
        <w:rPr>
          <w:rFonts w:hint="eastAsia" w:ascii="宋体" w:hAnsi="宋体" w:eastAsia="宋体" w:cs="宋体"/>
          <w:color w:val="000000" w:themeColor="text1"/>
          <w:sz w:val="21"/>
          <w:szCs w:val="21"/>
          <w:highlight w:val="none"/>
          <w14:textFill>
            <w14:solidFill>
              <w14:schemeClr w14:val="tx1"/>
            </w14:solidFill>
          </w14:textFill>
        </w:rPr>
        <w:t>项目基本情况、适用范围及定义</w:t>
      </w:r>
      <w:bookmarkEnd w:id="62"/>
      <w:bookmarkEnd w:id="63"/>
      <w:bookmarkEnd w:id="64"/>
    </w:p>
    <w:p>
      <w:pPr>
        <w:pStyle w:val="20"/>
        <w:spacing w:line="390" w:lineRule="exact"/>
        <w:ind w:left="420" w:hanging="420" w:hangingChars="200"/>
        <w:rPr>
          <w:rFonts w:hAnsi="宋体" w:cs="宋体"/>
          <w:color w:val="000000" w:themeColor="text1"/>
          <w:szCs w:val="21"/>
          <w:highlight w:val="none"/>
          <w14:textFill>
            <w14:solidFill>
              <w14:schemeClr w14:val="tx1"/>
            </w14:solidFill>
          </w14:textFill>
        </w:rPr>
      </w:pPr>
      <w:bookmarkStart w:id="65" w:name="_Toc200268240"/>
      <w:bookmarkStart w:id="66" w:name="_Toc185702550"/>
      <w:r>
        <w:rPr>
          <w:rFonts w:hint="eastAsia" w:hAnsi="宋体" w:cs="宋体"/>
          <w:color w:val="000000" w:themeColor="text1"/>
          <w:szCs w:val="21"/>
          <w:highlight w:val="none"/>
          <w14:textFill>
            <w14:solidFill>
              <w14:schemeClr w14:val="tx1"/>
            </w14:solidFill>
          </w14:textFill>
        </w:rPr>
        <w:t>1.1项目基本情况：见须知前附表。</w:t>
      </w:r>
    </w:p>
    <w:p>
      <w:pPr>
        <w:pStyle w:val="20"/>
        <w:spacing w:line="390" w:lineRule="exact"/>
        <w:ind w:left="420" w:hanging="420" w:hanging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1.2采购人：见须知前附表。</w:t>
      </w:r>
    </w:p>
    <w:p>
      <w:pPr>
        <w:pStyle w:val="20"/>
        <w:spacing w:line="390" w:lineRule="exact"/>
        <w:ind w:left="420" w:hanging="420" w:hanging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1.3采购代理机构：见须知前附表。</w:t>
      </w:r>
    </w:p>
    <w:p>
      <w:pPr>
        <w:pStyle w:val="20"/>
        <w:spacing w:line="390" w:lineRule="exact"/>
        <w:ind w:left="420" w:hanging="420" w:hanging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1.4监督部门：见须知前附表。</w:t>
      </w:r>
    </w:p>
    <w:p>
      <w:pPr>
        <w:pStyle w:val="20"/>
        <w:spacing w:line="390" w:lineRule="exact"/>
        <w:ind w:left="420" w:hanging="420" w:hanging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1.5适用范围：本招标文件仅适用于本次招标中所述项目的货物、服务类政府采购项目的招标、投标、评标、定标、验收、合同履约、付款等行为，法律、法规另有规定的，从其规定。</w:t>
      </w:r>
    </w:p>
    <w:p>
      <w:pPr>
        <w:pStyle w:val="20"/>
        <w:spacing w:line="390" w:lineRule="exact"/>
        <w:ind w:left="420" w:hanging="420" w:hanging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1.6定义：</w:t>
      </w:r>
    </w:p>
    <w:p>
      <w:pPr>
        <w:pStyle w:val="20"/>
        <w:spacing w:line="390" w:lineRule="exact"/>
        <w:ind w:left="630" w:hanging="630" w:hangingChars="3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1.6.1“采购人”系指梧州市万秀区教育局。</w:t>
      </w:r>
    </w:p>
    <w:p>
      <w:pPr>
        <w:pStyle w:val="20"/>
        <w:spacing w:line="390" w:lineRule="exact"/>
        <w:ind w:left="630" w:hanging="630" w:hangingChars="3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1.6.2“采购代理机构”系指广西众联工程项目管理有限公司。</w:t>
      </w:r>
    </w:p>
    <w:p>
      <w:pPr>
        <w:pStyle w:val="20"/>
        <w:spacing w:line="390" w:lineRule="exact"/>
        <w:ind w:left="630" w:hanging="630" w:hangingChars="3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1.6.3“投标人”系指按要求在公告规定的招标文件获取时间内获取文件及缴纳工本费且提交“投标文件”参加政府采购活动的投标人。在投标阶段称为潜在投标人或投标人；在签订和履行合同阶段称为中标</w:t>
      </w:r>
      <w:r>
        <w:rPr>
          <w:rFonts w:hint="eastAsia" w:hAnsi="宋体" w:cs="宋体"/>
          <w:bCs/>
          <w:color w:val="000000" w:themeColor="text1"/>
          <w:highlight w:val="none"/>
          <w14:textFill>
            <w14:solidFill>
              <w14:schemeClr w14:val="tx1"/>
            </w14:solidFill>
          </w14:textFill>
        </w:rPr>
        <w:t>人</w:t>
      </w:r>
      <w:r>
        <w:rPr>
          <w:rFonts w:hint="eastAsia" w:hAnsi="宋体" w:cs="宋体"/>
          <w:color w:val="000000" w:themeColor="text1"/>
          <w:szCs w:val="21"/>
          <w:highlight w:val="none"/>
          <w14:textFill>
            <w14:solidFill>
              <w14:schemeClr w14:val="tx1"/>
            </w14:solidFill>
          </w14:textFill>
        </w:rPr>
        <w:t>。</w:t>
      </w:r>
    </w:p>
    <w:p>
      <w:pPr>
        <w:pStyle w:val="20"/>
        <w:spacing w:line="390" w:lineRule="exact"/>
        <w:ind w:left="630" w:hanging="630" w:hangingChars="3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1.6.4“产品”系指投标人按招标文件规定向采购人提供的一切货物、设备、机械、仪器仪表、备品备件、工具、手册及其它有关技术资料和材料。</w:t>
      </w:r>
    </w:p>
    <w:p>
      <w:pPr>
        <w:pStyle w:val="20"/>
        <w:spacing w:line="390" w:lineRule="exact"/>
        <w:ind w:left="630" w:hanging="630" w:hangingChars="3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1.6.5“服务”系指招标文件规定投标人须承担的安装、调试、技术协助、校准、培训以及其他类似的义务。</w:t>
      </w:r>
    </w:p>
    <w:p>
      <w:pPr>
        <w:pStyle w:val="20"/>
        <w:spacing w:line="390" w:lineRule="exact"/>
        <w:ind w:left="630" w:hanging="630" w:hangingChars="3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1.6.6“投标文件”系指投标人根据本招标文件要求，编制包含报价、技术和服务等所有内容的文件。</w:t>
      </w:r>
    </w:p>
    <w:p>
      <w:pPr>
        <w:pStyle w:val="20"/>
        <w:spacing w:line="390" w:lineRule="exact"/>
        <w:ind w:left="630" w:hanging="630" w:hangingChars="3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1.6.7“公章”系指投标人</w:t>
      </w:r>
      <w:r>
        <w:rPr>
          <w:rFonts w:hint="eastAsia" w:hAnsi="宋体" w:cs="宋体"/>
          <w:color w:val="000000" w:themeColor="text1"/>
          <w:spacing w:val="8"/>
          <w:szCs w:val="21"/>
          <w:highlight w:val="none"/>
          <w14:textFill>
            <w14:solidFill>
              <w14:schemeClr w14:val="tx1"/>
            </w14:solidFill>
          </w14:textFill>
        </w:rPr>
        <w:t>用自己法定主体行为名称制作的签名印章</w:t>
      </w:r>
      <w:r>
        <w:rPr>
          <w:rFonts w:hint="eastAsia" w:hAnsi="宋体" w:cs="宋体"/>
          <w:color w:val="000000" w:themeColor="text1"/>
          <w:szCs w:val="21"/>
          <w:highlight w:val="none"/>
          <w14:textFill>
            <w14:solidFill>
              <w14:schemeClr w14:val="tx1"/>
            </w14:solidFill>
          </w14:textFill>
        </w:rPr>
        <w:t>，不包含</w:t>
      </w:r>
      <w:r>
        <w:rPr>
          <w:rFonts w:hint="eastAsia" w:hAnsi="宋体" w:cs="宋体"/>
          <w:bCs/>
          <w:color w:val="000000" w:themeColor="text1"/>
          <w:szCs w:val="21"/>
          <w:highlight w:val="none"/>
          <w14:textFill>
            <w14:solidFill>
              <w14:schemeClr w14:val="tx1"/>
            </w14:solidFill>
          </w14:textFill>
        </w:rPr>
        <w:t>其他替代章（如业务专用章、合同专用章、报价专用章等）</w:t>
      </w:r>
      <w:r>
        <w:rPr>
          <w:rFonts w:hint="eastAsia" w:hAnsi="宋体" w:cs="宋体"/>
          <w:color w:val="000000" w:themeColor="text1"/>
          <w:szCs w:val="21"/>
          <w:highlight w:val="none"/>
          <w14:textFill>
            <w14:solidFill>
              <w14:schemeClr w14:val="tx1"/>
            </w14:solidFill>
          </w14:textFill>
        </w:rPr>
        <w:t>。</w:t>
      </w:r>
    </w:p>
    <w:p>
      <w:pPr>
        <w:pStyle w:val="20"/>
        <w:spacing w:line="390" w:lineRule="exact"/>
        <w:ind w:left="630" w:hanging="630" w:hangingChars="3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1.6.8本项目在《中国政府采购网》、《广西壮族自治区政府采购网》、《梧州市政府采购网》、《梧州市公共资源交易中心网》网站发布公告。</w:t>
      </w:r>
    </w:p>
    <w:p>
      <w:pPr>
        <w:pStyle w:val="20"/>
        <w:spacing w:line="390" w:lineRule="exact"/>
        <w:ind w:left="630" w:hanging="630" w:hangingChars="3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1.6.9标注“▲”的条款或要求系指实质性条款或实质性要求，必须满足，否则投标将被否决。</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67" w:name="_Toc405942976"/>
      <w:bookmarkStart w:id="68" w:name="_Toc395066518"/>
      <w:bookmarkStart w:id="69" w:name="_Toc469874165"/>
      <w:r>
        <w:rPr>
          <w:rFonts w:hint="eastAsia" w:hAnsi="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w:t>
      </w:r>
      <w:bookmarkEnd w:id="65"/>
      <w:bookmarkEnd w:id="66"/>
      <w:bookmarkEnd w:id="67"/>
      <w:bookmarkEnd w:id="68"/>
      <w:bookmarkEnd w:id="69"/>
      <w:r>
        <w:rPr>
          <w:rFonts w:hint="eastAsia" w:ascii="宋体" w:hAnsi="宋体" w:eastAsia="宋体" w:cs="宋体"/>
          <w:color w:val="000000" w:themeColor="text1"/>
          <w:sz w:val="21"/>
          <w:szCs w:val="21"/>
          <w:highlight w:val="none"/>
          <w14:textFill>
            <w14:solidFill>
              <w14:schemeClr w14:val="tx1"/>
            </w14:solidFill>
          </w14:textFill>
        </w:rPr>
        <w:t>合格的投标人资格及要求</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2.1</w:t>
      </w:r>
      <w:r>
        <w:rPr>
          <w:rFonts w:hint="eastAsia" w:hAnsi="宋体" w:cs="宋体"/>
          <w:color w:val="000000" w:themeColor="text1"/>
          <w:szCs w:val="21"/>
          <w:highlight w:val="none"/>
          <w14:textFill>
            <w14:solidFill>
              <w14:schemeClr w14:val="tx1"/>
            </w14:solidFill>
          </w14:textFill>
        </w:rPr>
        <w:t>投标人</w:t>
      </w:r>
      <w:r>
        <w:rPr>
          <w:rFonts w:hint="eastAsia" w:hAnsi="宋体" w:cs="宋体"/>
          <w:color w:val="000000" w:themeColor="text1"/>
          <w:highlight w:val="none"/>
          <w14:textFill>
            <w14:solidFill>
              <w14:schemeClr w14:val="tx1"/>
            </w14:solidFill>
          </w14:textFill>
        </w:rPr>
        <w:t>应符合须知前附表第5项所规定的要求。</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2.2对在2016年起在中国政府采购网(www.ccgp.gov.cn)列入“政府采购严重违法失信行为记录名单”和在</w:t>
      </w:r>
      <w:r>
        <w:rPr>
          <w:rFonts w:hint="eastAsia" w:hAnsi="宋体" w:cs="宋体"/>
          <w:bCs/>
          <w:color w:val="000000" w:themeColor="text1"/>
          <w:highlight w:val="none"/>
          <w14:textFill>
            <w14:solidFill>
              <w14:schemeClr w14:val="tx1"/>
            </w14:solidFill>
          </w14:textFill>
        </w:rPr>
        <w:t>信用中国网（www.creditchina.gov.cn/）列入“失信被执行人”、</w:t>
      </w:r>
      <w:r>
        <w:rPr>
          <w:rFonts w:hint="eastAsia" w:hAnsi="宋体" w:cs="宋体"/>
          <w:color w:val="000000" w:themeColor="text1"/>
          <w:highlight w:val="none"/>
          <w14:textFill>
            <w14:solidFill>
              <w14:schemeClr w14:val="tx1"/>
            </w14:solidFill>
          </w14:textFill>
        </w:rPr>
        <w:t>“重大税收违法案件当事人名单”、“政府采购严重违法失信名单”</w:t>
      </w:r>
      <w:r>
        <w:rPr>
          <w:rFonts w:hint="eastAsia" w:hAnsi="宋体" w:cs="宋体"/>
          <w:bCs/>
          <w:color w:val="000000" w:themeColor="text1"/>
          <w:highlight w:val="none"/>
          <w14:textFill>
            <w14:solidFill>
              <w14:schemeClr w14:val="tx1"/>
            </w14:solidFill>
          </w14:textFill>
        </w:rPr>
        <w:t>的投标人</w:t>
      </w:r>
      <w:r>
        <w:rPr>
          <w:rFonts w:hint="eastAsia" w:hAnsi="宋体" w:cs="宋体"/>
          <w:color w:val="000000" w:themeColor="text1"/>
          <w:highlight w:val="none"/>
          <w14:textFill>
            <w14:solidFill>
              <w14:schemeClr w14:val="tx1"/>
            </w14:solidFill>
          </w14:textFill>
        </w:rPr>
        <w:t>不得参与本项目政府采购活动。</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2.3投标人不得直接或间接地与为本次采购的项目内容进行设计、编制规范和其他文件的咨询公司、采购代理机构或其附属机构有任何关联。 </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2.4投标人应在投标文件中须主动填报参加政府采购活动前三年内在经营活动中有无重大违法记录（含其授权服务的分公司等）。</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2.5</w:t>
      </w:r>
      <w:r>
        <w:rPr>
          <w:rFonts w:hint="eastAsia" w:hAnsi="宋体" w:cs="宋体"/>
          <w:color w:val="000000" w:themeColor="text1"/>
          <w:szCs w:val="21"/>
          <w:highlight w:val="none"/>
          <w14:textFill>
            <w14:solidFill>
              <w14:schemeClr w14:val="tx1"/>
            </w14:solidFill>
          </w14:textFill>
        </w:rPr>
        <w:t>符合</w:t>
      </w:r>
      <w:r>
        <w:rPr>
          <w:rFonts w:hint="eastAsia" w:hAnsi="宋体" w:cs="宋体"/>
          <w:color w:val="000000" w:themeColor="text1"/>
          <w:highlight w:val="none"/>
          <w14:textFill>
            <w14:solidFill>
              <w14:schemeClr w14:val="tx1"/>
            </w14:solidFill>
          </w14:textFill>
        </w:rPr>
        <w:t>投标人资格的投标人应承担投标及履约中应承担的全部责任与义务。</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2.6凡两家或以上投标人参加同一项目采购，有如下情形的，一经发现，将视为串标处理：</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（1）为同一法人代表的；</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（2）为同一股东控股的；</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（3）其中一家公司为其他公司最大股东的。</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（4）不同投标人的投标文件由同一单位或者个人编制；</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（5）不同投标人委托同一单位或者个人办理投标事宜；</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（6）不同投标人的投标文件载明的项目管理成员（项目经办人）为同一人；</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（7）不同投标人的投标文件异常一致或者投标报价呈规律性差异；</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（8）不同投标人的投标文件相互混装；</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（9）不同投标人的投标保证金从同一单位或者个人的账户转出。</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70" w:name="_Toc395066519"/>
      <w:bookmarkStart w:id="71" w:name="_Toc469874166"/>
      <w:bookmarkStart w:id="72" w:name="_Toc200268241"/>
      <w:bookmarkStart w:id="73" w:name="_Toc405942977"/>
      <w:bookmarkStart w:id="74" w:name="_Toc185702551"/>
      <w:r>
        <w:rPr>
          <w:rFonts w:hint="eastAsia" w:ascii="宋体" w:hAnsi="宋体" w:eastAsia="宋体" w:cs="宋体"/>
          <w:color w:val="000000" w:themeColor="text1"/>
          <w:sz w:val="21"/>
          <w:szCs w:val="21"/>
          <w:highlight w:val="none"/>
          <w14:textFill>
            <w14:solidFill>
              <w14:schemeClr w14:val="tx1"/>
            </w14:solidFill>
          </w14:textFill>
        </w:rPr>
        <w:t>3、投标费用</w:t>
      </w:r>
      <w:bookmarkEnd w:id="70"/>
      <w:bookmarkEnd w:id="71"/>
      <w:bookmarkEnd w:id="72"/>
      <w:bookmarkEnd w:id="73"/>
      <w:bookmarkEnd w:id="74"/>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3.1投标人应自行承担所有与编写和提交投标文件有关的费用，不论投标结果如何，采购人或采购代理机构在</w:t>
      </w:r>
      <w:r>
        <w:rPr>
          <w:rFonts w:hint="eastAsia" w:hAnsi="宋体" w:cs="宋体"/>
          <w:color w:val="000000" w:themeColor="text1"/>
          <w:szCs w:val="21"/>
          <w:highlight w:val="none"/>
          <w14:textFill>
            <w14:solidFill>
              <w14:schemeClr w14:val="tx1"/>
            </w14:solidFill>
          </w14:textFill>
        </w:rPr>
        <w:t>任何</w:t>
      </w:r>
      <w:r>
        <w:rPr>
          <w:rFonts w:hint="eastAsia" w:hAnsi="宋体" w:cs="宋体"/>
          <w:color w:val="000000" w:themeColor="text1"/>
          <w:highlight w:val="none"/>
          <w14:textFill>
            <w14:solidFill>
              <w14:schemeClr w14:val="tx1"/>
            </w14:solidFill>
          </w14:textFill>
        </w:rPr>
        <w:t>情况下无义务和责任承担此类费用。</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75" w:name="_Toc469874167"/>
      <w:r>
        <w:rPr>
          <w:rFonts w:hint="eastAsia" w:ascii="宋体" w:hAnsi="宋体" w:eastAsia="宋体" w:cs="宋体"/>
          <w:color w:val="000000" w:themeColor="text1"/>
          <w:sz w:val="21"/>
          <w:szCs w:val="21"/>
          <w:highlight w:val="none"/>
          <w14:textFill>
            <w14:solidFill>
              <w14:schemeClr w14:val="tx1"/>
            </w14:solidFill>
          </w14:textFill>
        </w:rPr>
        <w:t>4、转包与分包</w:t>
      </w:r>
      <w:bookmarkEnd w:id="75"/>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4.1本项目不允许转包。</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4.2本项目不可以分包。</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4.3如</w:t>
      </w:r>
      <w:r>
        <w:rPr>
          <w:rFonts w:hint="eastAsia" w:hAnsi="宋体" w:cs="宋体"/>
          <w:color w:val="000000" w:themeColor="text1"/>
          <w:szCs w:val="21"/>
          <w:highlight w:val="none"/>
          <w14:textFill>
            <w14:solidFill>
              <w14:schemeClr w14:val="tx1"/>
            </w14:solidFill>
          </w14:textFill>
        </w:rPr>
        <w:t>中标</w:t>
      </w:r>
      <w:r>
        <w:rPr>
          <w:rFonts w:hint="eastAsia" w:hAnsi="宋体" w:cs="宋体"/>
          <w:color w:val="000000" w:themeColor="text1"/>
          <w:highlight w:val="none"/>
          <w14:textFill>
            <w14:solidFill>
              <w14:schemeClr w14:val="tx1"/>
            </w14:solidFill>
          </w14:textFill>
        </w:rPr>
        <w:t>人出现转包或分包情形，按相关规定报送梧州市万秀区政府采购工作领导小组办公室。</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76" w:name="_Toc254970532"/>
      <w:bookmarkStart w:id="77" w:name="_Toc469874168"/>
      <w:bookmarkStart w:id="78" w:name="_Toc254970673"/>
      <w:bookmarkStart w:id="79" w:name="_Toc4726"/>
      <w:r>
        <w:rPr>
          <w:rFonts w:hint="eastAsia" w:ascii="宋体" w:hAnsi="宋体" w:eastAsia="宋体" w:cs="宋体"/>
          <w:color w:val="000000" w:themeColor="text1"/>
          <w:sz w:val="21"/>
          <w:szCs w:val="21"/>
          <w:highlight w:val="none"/>
          <w14:textFill>
            <w14:solidFill>
              <w14:schemeClr w14:val="tx1"/>
            </w14:solidFill>
          </w14:textFill>
        </w:rPr>
        <w:t>5、特别说明：</w:t>
      </w:r>
      <w:bookmarkEnd w:id="76"/>
      <w:bookmarkEnd w:id="77"/>
      <w:bookmarkEnd w:id="78"/>
      <w:bookmarkEnd w:id="79"/>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w:t>
      </w:r>
      <w:r>
        <w:rPr>
          <w:rFonts w:hint="eastAsia" w:hAnsi="宋体" w:cs="宋体"/>
          <w:color w:val="000000" w:themeColor="text1"/>
          <w:szCs w:val="21"/>
          <w:highlight w:val="none"/>
          <w14:textFill>
            <w14:solidFill>
              <w14:schemeClr w14:val="tx1"/>
            </w14:solidFill>
          </w14:textFill>
        </w:rPr>
        <w:t>关联投标人不得参加同一合同项下政府采购活动，否则投标文件将被视为无效。</w:t>
      </w:r>
      <w:r>
        <w:rPr>
          <w:rFonts w:hint="eastAsia" w:hAnsi="宋体" w:cs="宋体"/>
          <w:color w:val="000000" w:themeColor="text1"/>
          <w:highlight w:val="none"/>
          <w14:textFill>
            <w14:solidFill>
              <w14:schemeClr w14:val="tx1"/>
            </w14:solidFill>
          </w14:textFill>
        </w:rPr>
        <w:t>单位负责人为同一人或者存在直接控股、管理关系的不同的投标人，不得参加同一合同项下的政府采购活动；生产厂商授权给投标人后自己不得参加同一合同项下的政府采购活动；生产厂商对同一品牌同一型号的货物，仅能委托一个代理商参加投标。</w:t>
      </w:r>
      <w:r>
        <w:rPr>
          <w:rFonts w:hint="eastAsia" w:hAnsi="宋体" w:cs="宋体"/>
          <w:color w:val="000000" w:themeColor="text1"/>
          <w:szCs w:val="21"/>
          <w:highlight w:val="none"/>
          <w14:textFill>
            <w14:solidFill>
              <w14:schemeClr w14:val="tx1"/>
            </w14:solidFill>
          </w14:textFill>
        </w:rPr>
        <w:t>除单一来源采购项目外，为采购项目提供整体设计、规范编制或者项目管理、监理、检测等服务的投标人，不得再参加该采购项目的其他采购活动</w:t>
      </w:r>
      <w:r>
        <w:rPr>
          <w:rFonts w:hint="eastAsia" w:hAnsi="宋体" w:cs="宋体"/>
          <w:color w:val="000000" w:themeColor="text1"/>
          <w:highlight w:val="none"/>
          <w14:textFill>
            <w14:solidFill>
              <w14:schemeClr w14:val="tx1"/>
            </w14:solidFill>
          </w14:textFill>
        </w:rPr>
        <w:t>。</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5.2投标人投标所使用的资格、信誉、荣誉、业绩与企业认证必须为本法人所拥有。投标人投标所使用的采购</w:t>
      </w:r>
      <w:r>
        <w:rPr>
          <w:rFonts w:hint="eastAsia" w:hAnsi="宋体" w:cs="宋体"/>
          <w:color w:val="000000" w:themeColor="text1"/>
          <w:szCs w:val="21"/>
          <w:highlight w:val="none"/>
          <w14:textFill>
            <w14:solidFill>
              <w14:schemeClr w14:val="tx1"/>
            </w14:solidFill>
          </w14:textFill>
        </w:rPr>
        <w:t>项目</w:t>
      </w:r>
      <w:r>
        <w:rPr>
          <w:rFonts w:hint="eastAsia" w:hAnsi="宋体" w:cs="宋体"/>
          <w:color w:val="000000" w:themeColor="text1"/>
          <w:highlight w:val="none"/>
          <w14:textFill>
            <w14:solidFill>
              <w14:schemeClr w14:val="tx1"/>
            </w14:solidFill>
          </w14:textFill>
        </w:rPr>
        <w:t>实施人员必须为本法人员工（或控股公司正式员工）。</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5.3</w:t>
      </w:r>
      <w:r>
        <w:rPr>
          <w:rFonts w:hint="eastAsia" w:hAnsi="宋体" w:cs="宋体"/>
          <w:color w:val="000000" w:themeColor="text1"/>
          <w:szCs w:val="21"/>
          <w:highlight w:val="none"/>
          <w14:textFill>
            <w14:solidFill>
              <w14:schemeClr w14:val="tx1"/>
            </w14:solidFill>
          </w14:textFill>
        </w:rPr>
        <w:t>投标人</w:t>
      </w:r>
      <w:r>
        <w:rPr>
          <w:rFonts w:hint="eastAsia" w:hAnsi="宋体" w:cs="宋体"/>
          <w:color w:val="000000" w:themeColor="text1"/>
          <w:highlight w:val="none"/>
          <w14:textFill>
            <w14:solidFill>
              <w14:schemeClr w14:val="tx1"/>
            </w14:solidFill>
          </w14:textFill>
        </w:rPr>
        <w:t>应仔细阅读招标文件的所有内容，按照招标文件的要求提交投标文件，并对所提供的全部资料的真实性承担法律责任。</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5.4投标人在投标活动中提供任何虚假材料，其投标无效，并报政府采购监管部门查处；中标后发现的，中标人须依照《中华人民共和国消费者权益保护法》第49条之规定双倍赔偿采购人，且民事赔偿并不免除违法投标人的行政与刑事责任。</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80" w:name="_Toc469874169"/>
      <w:bookmarkStart w:id="81" w:name="_Toc254970674"/>
      <w:bookmarkStart w:id="82" w:name="_Toc27239"/>
      <w:bookmarkStart w:id="83" w:name="_Toc254970533"/>
      <w:r>
        <w:rPr>
          <w:rFonts w:hint="eastAsia" w:ascii="宋体" w:hAnsi="宋体" w:eastAsia="宋体" w:cs="宋体"/>
          <w:color w:val="000000" w:themeColor="text1"/>
          <w:sz w:val="21"/>
          <w:szCs w:val="21"/>
          <w:highlight w:val="none"/>
          <w14:textFill>
            <w14:solidFill>
              <w14:schemeClr w14:val="tx1"/>
            </w14:solidFill>
          </w14:textFill>
        </w:rPr>
        <w:t>6、询问、质疑和投诉</w:t>
      </w:r>
      <w:bookmarkEnd w:id="80"/>
      <w:bookmarkEnd w:id="81"/>
      <w:bookmarkEnd w:id="82"/>
      <w:bookmarkEnd w:id="83"/>
    </w:p>
    <w:p>
      <w:pPr>
        <w:pStyle w:val="20"/>
        <w:spacing w:line="390" w:lineRule="exact"/>
        <w:ind w:left="420" w:hanging="420" w:hangingChars="200"/>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6.1询问。</w:t>
      </w:r>
      <w:r>
        <w:rPr>
          <w:rFonts w:hint="eastAsia" w:hAnsi="宋体" w:cs="宋体"/>
          <w:color w:val="000000" w:themeColor="text1"/>
          <w:szCs w:val="21"/>
          <w:highlight w:val="none"/>
          <w14:textFill>
            <w14:solidFill>
              <w14:schemeClr w14:val="tx1"/>
            </w14:solidFill>
          </w14:textFill>
        </w:rPr>
        <w:t>投标人</w:t>
      </w:r>
      <w:r>
        <w:rPr>
          <w:rFonts w:hint="eastAsia" w:hAnsi="宋体" w:cs="宋体"/>
          <w:color w:val="000000" w:themeColor="text1"/>
          <w:highlight w:val="none"/>
          <w14:textFill>
            <w14:solidFill>
              <w14:schemeClr w14:val="tx1"/>
            </w14:solidFill>
          </w14:textFill>
        </w:rPr>
        <w:t>如发现招标文件内容有误或</w:t>
      </w:r>
      <w:r>
        <w:rPr>
          <w:rFonts w:hint="eastAsia" w:hAnsi="宋体" w:cs="宋体"/>
          <w:color w:val="000000" w:themeColor="text1"/>
          <w:kern w:val="0"/>
          <w:szCs w:val="21"/>
          <w:highlight w:val="none"/>
          <w14:textFill>
            <w14:solidFill>
              <w14:schemeClr w14:val="tx1"/>
            </w14:solidFill>
          </w14:textFill>
        </w:rPr>
        <w:t>对政府采购活动事项有疑问的，</w:t>
      </w:r>
      <w:r>
        <w:rPr>
          <w:rFonts w:hint="eastAsia" w:hAnsi="宋体" w:cs="宋体"/>
          <w:color w:val="000000" w:themeColor="text1"/>
          <w:highlight w:val="none"/>
          <w14:textFill>
            <w14:solidFill>
              <w14:schemeClr w14:val="tx1"/>
            </w14:solidFill>
          </w14:textFill>
        </w:rPr>
        <w:t>应在投标截止日期</w:t>
      </w:r>
      <w:r>
        <w:rPr>
          <w:rFonts w:hint="eastAsia" w:hAnsi="宋体" w:cs="宋体"/>
          <w:color w:val="000000" w:themeColor="text1"/>
          <w:highlight w:val="none"/>
          <w:u w:val="single"/>
          <w14:textFill>
            <w14:solidFill>
              <w14:schemeClr w14:val="tx1"/>
            </w14:solidFill>
          </w14:textFill>
        </w:rPr>
        <w:t>10日前</w:t>
      </w:r>
      <w:r>
        <w:rPr>
          <w:rFonts w:hint="eastAsia" w:hAnsi="宋体" w:cs="宋体"/>
          <w:color w:val="000000" w:themeColor="text1"/>
          <w:highlight w:val="none"/>
          <w14:textFill>
            <w14:solidFill>
              <w14:schemeClr w14:val="tx1"/>
            </w14:solidFill>
          </w14:textFill>
        </w:rPr>
        <w:t>的正常工作时间以书面形式</w:t>
      </w:r>
      <w:r>
        <w:rPr>
          <w:rFonts w:hint="eastAsia" w:hAnsi="宋体" w:cs="宋体"/>
          <w:color w:val="000000" w:themeColor="text1"/>
          <w:kern w:val="0"/>
          <w:szCs w:val="21"/>
          <w:highlight w:val="none"/>
          <w14:textFill>
            <w14:solidFill>
              <w14:schemeClr w14:val="tx1"/>
            </w14:solidFill>
          </w14:textFill>
        </w:rPr>
        <w:t>向采购人或采购代理机构提出询问、澄清。采购人或采购代理机构自收到之日起3个工作日内对投标人依法提出的询问作出答复，但答复的内容不得涉及商业秘密。</w:t>
      </w:r>
    </w:p>
    <w:p>
      <w:pPr>
        <w:pStyle w:val="20"/>
        <w:spacing w:line="400" w:lineRule="exact"/>
        <w:ind w:left="420" w:hanging="420" w:hangingChars="200"/>
        <w:rPr>
          <w:rFonts w:hAnsi="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6.2</w:t>
      </w:r>
      <w:r>
        <w:rPr>
          <w:rFonts w:hint="eastAsia" w:hAnsi="宋体"/>
          <w:color w:val="000000" w:themeColor="text1"/>
          <w:szCs w:val="21"/>
          <w:highlight w:val="none"/>
          <w14:textFill>
            <w14:solidFill>
              <w14:schemeClr w14:val="tx1"/>
            </w14:solidFill>
          </w14:textFill>
        </w:rPr>
        <w:t>质疑。</w:t>
      </w:r>
    </w:p>
    <w:p>
      <w:pPr>
        <w:pStyle w:val="20"/>
        <w:spacing w:line="400" w:lineRule="exact"/>
        <w:ind w:left="630" w:hanging="630" w:hangingChars="3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6.2.1供应商认为招标文件、采购过程、中标或者成交结果使自己的权益受到损害的，可以在知道或者应知其权益受到损害之日起</w:t>
      </w:r>
      <w:r>
        <w:rPr>
          <w:rFonts w:hAnsi="宋体"/>
          <w:color w:val="000000" w:themeColor="text1"/>
          <w:szCs w:val="21"/>
          <w:highlight w:val="none"/>
          <w14:textFill>
            <w14:solidFill>
              <w14:schemeClr w14:val="tx1"/>
            </w14:solidFill>
          </w14:textFill>
        </w:rPr>
        <w:t>7</w:t>
      </w:r>
      <w:r>
        <w:rPr>
          <w:rFonts w:hint="eastAsia" w:hAnsi="宋体"/>
          <w:color w:val="000000" w:themeColor="text1"/>
          <w:szCs w:val="21"/>
          <w:highlight w:val="none"/>
          <w14:textFill>
            <w14:solidFill>
              <w14:schemeClr w14:val="tx1"/>
            </w14:solidFill>
          </w14:textFill>
        </w:rPr>
        <w:t>个工作日内，以书面形式向采购人、采购代理机构提出质疑。供应商必须在法定质疑期内一次性提出针对同一采购程序环节的质疑。</w:t>
      </w:r>
    </w:p>
    <w:p>
      <w:pPr>
        <w:pStyle w:val="20"/>
        <w:spacing w:line="400" w:lineRule="exact"/>
        <w:ind w:left="630" w:hanging="630" w:hangingChars="300"/>
        <w:rPr>
          <w:rFonts w:hAnsi="宋体" w:cs="宋体"/>
          <w:color w:val="000000" w:themeColor="text1"/>
          <w:kern w:val="0"/>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6.2.2提出质疑的供应商应当是参与所质疑项目采购活动的供应商。潜在供应商已依法获取其可质疑的招标文件的，可以对招标文件提出质疑。对招标文件提出质疑的，应当在获取招标</w:t>
      </w:r>
      <w:r>
        <w:rPr>
          <w:rFonts w:hint="eastAsia" w:hAnsi="宋体" w:cs="宋体"/>
          <w:color w:val="000000" w:themeColor="text1"/>
          <w:kern w:val="0"/>
          <w:szCs w:val="21"/>
          <w:highlight w:val="none"/>
          <w14:textFill>
            <w14:solidFill>
              <w14:schemeClr w14:val="tx1"/>
            </w14:solidFill>
          </w14:textFill>
        </w:rPr>
        <w:t>文件或者招标文件公告期限届满之日起</w:t>
      </w:r>
      <w:r>
        <w:rPr>
          <w:rFonts w:hAnsi="宋体" w:cs="宋体"/>
          <w:color w:val="000000" w:themeColor="text1"/>
          <w:kern w:val="0"/>
          <w:szCs w:val="21"/>
          <w:highlight w:val="none"/>
          <w14:textFill>
            <w14:solidFill>
              <w14:schemeClr w14:val="tx1"/>
            </w14:solidFill>
          </w14:textFill>
        </w:rPr>
        <w:t>7</w:t>
      </w:r>
      <w:r>
        <w:rPr>
          <w:rFonts w:hint="eastAsia" w:hAnsi="宋体" w:cs="宋体"/>
          <w:color w:val="000000" w:themeColor="text1"/>
          <w:kern w:val="0"/>
          <w:szCs w:val="21"/>
          <w:highlight w:val="none"/>
          <w14:textFill>
            <w14:solidFill>
              <w14:schemeClr w14:val="tx1"/>
            </w14:solidFill>
          </w14:textFill>
        </w:rPr>
        <w:t>个工作日内提出。</w:t>
      </w:r>
    </w:p>
    <w:p>
      <w:pPr>
        <w:pStyle w:val="20"/>
        <w:spacing w:line="400" w:lineRule="exact"/>
        <w:ind w:left="630" w:hanging="630" w:hangingChars="3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6.2.3供应商提出质疑应当提交质疑函和必要的证明材料。质疑函应按财政部发布的《政府采购供应商质疑函范本》编制。</w:t>
      </w:r>
    </w:p>
    <w:p>
      <w:pPr>
        <w:pStyle w:val="20"/>
        <w:spacing w:line="400" w:lineRule="exact"/>
        <w:ind w:left="630" w:hanging="630" w:hangingChars="3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6.2.4采购人、采购代理机构</w:t>
      </w:r>
      <w:r>
        <w:rPr>
          <w:rFonts w:hAnsi="宋体"/>
          <w:color w:val="000000" w:themeColor="text1"/>
          <w:szCs w:val="21"/>
          <w:highlight w:val="none"/>
          <w14:textFill>
            <w14:solidFill>
              <w14:schemeClr w14:val="tx1"/>
            </w14:solidFill>
          </w14:textFill>
        </w:rPr>
        <w:t>只接受纸质材料形式的质疑，不接受电子送达的质疑材料，即不接受以传真、电子邮件、移动通信等即时收悉的特定系统作为送达媒介的质疑材料。</w:t>
      </w:r>
      <w:r>
        <w:rPr>
          <w:rFonts w:hint="eastAsia" w:hAnsi="宋体"/>
          <w:color w:val="000000" w:themeColor="text1"/>
          <w:szCs w:val="21"/>
          <w:highlight w:val="none"/>
          <w14:textFill>
            <w14:solidFill>
              <w14:schemeClr w14:val="tx1"/>
            </w14:solidFill>
          </w14:textFill>
        </w:rPr>
        <w:t>采购人、采购代理机构接收质疑函的</w:t>
      </w:r>
      <w:r>
        <w:rPr>
          <w:rFonts w:hint="eastAsia" w:hAnsi="宋体" w:cs="宋体"/>
          <w:color w:val="000000" w:themeColor="text1"/>
          <w:kern w:val="0"/>
          <w:szCs w:val="21"/>
          <w:highlight w:val="none"/>
          <w14:textFill>
            <w14:solidFill>
              <w14:schemeClr w14:val="tx1"/>
            </w14:solidFill>
          </w14:textFill>
        </w:rPr>
        <w:t>联系部门、联系电话和通讯地址详见</w:t>
      </w:r>
      <w:r>
        <w:rPr>
          <w:rFonts w:hint="eastAsia" w:hAnsi="宋体" w:cs="宋体"/>
          <w:color w:val="000000" w:themeColor="text1"/>
          <w:highlight w:val="none"/>
          <w14:textFill>
            <w14:solidFill>
              <w14:schemeClr w14:val="tx1"/>
            </w14:solidFill>
          </w14:textFill>
        </w:rPr>
        <w:t>招标</w:t>
      </w:r>
      <w:r>
        <w:rPr>
          <w:rFonts w:hint="eastAsia" w:hAnsi="宋体" w:cs="宋体"/>
          <w:color w:val="000000" w:themeColor="text1"/>
          <w:kern w:val="0"/>
          <w:szCs w:val="21"/>
          <w:highlight w:val="none"/>
          <w14:textFill>
            <w14:solidFill>
              <w14:schemeClr w14:val="tx1"/>
            </w14:solidFill>
          </w14:textFill>
        </w:rPr>
        <w:t>公告。</w:t>
      </w:r>
    </w:p>
    <w:p>
      <w:pPr>
        <w:pStyle w:val="20"/>
        <w:spacing w:line="400" w:lineRule="exact"/>
        <w:ind w:left="630" w:hanging="630" w:hangingChars="3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6.2.5采购人、采购代理机构</w:t>
      </w:r>
      <w:r>
        <w:rPr>
          <w:rFonts w:hAnsi="宋体"/>
          <w:color w:val="000000" w:themeColor="text1"/>
          <w:szCs w:val="21"/>
          <w:highlight w:val="none"/>
          <w14:textFill>
            <w14:solidFill>
              <w14:schemeClr w14:val="tx1"/>
            </w14:solidFill>
          </w14:textFill>
        </w:rPr>
        <w:t>在收到</w:t>
      </w:r>
      <w:r>
        <w:rPr>
          <w:rFonts w:hint="eastAsia" w:hAnsi="宋体"/>
          <w:color w:val="000000" w:themeColor="text1"/>
          <w:szCs w:val="21"/>
          <w:highlight w:val="none"/>
          <w14:textFill>
            <w14:solidFill>
              <w14:schemeClr w14:val="tx1"/>
            </w14:solidFill>
          </w14:textFill>
        </w:rPr>
        <w:t>供应商</w:t>
      </w:r>
      <w:r>
        <w:rPr>
          <w:rFonts w:hAnsi="宋体"/>
          <w:color w:val="000000" w:themeColor="text1"/>
          <w:szCs w:val="21"/>
          <w:highlight w:val="none"/>
          <w14:textFill>
            <w14:solidFill>
              <w14:schemeClr w14:val="tx1"/>
            </w14:solidFill>
          </w14:textFill>
        </w:rPr>
        <w:t>的质疑</w:t>
      </w:r>
      <w:r>
        <w:rPr>
          <w:rFonts w:hint="eastAsia" w:hAnsi="宋体"/>
          <w:color w:val="000000" w:themeColor="text1"/>
          <w:szCs w:val="21"/>
          <w:highlight w:val="none"/>
          <w14:textFill>
            <w14:solidFill>
              <w14:schemeClr w14:val="tx1"/>
            </w14:solidFill>
          </w14:textFill>
        </w:rPr>
        <w:t>函</w:t>
      </w:r>
      <w:r>
        <w:rPr>
          <w:rFonts w:hAnsi="宋体"/>
          <w:color w:val="000000" w:themeColor="text1"/>
          <w:szCs w:val="21"/>
          <w:highlight w:val="none"/>
          <w14:textFill>
            <w14:solidFill>
              <w14:schemeClr w14:val="tx1"/>
            </w14:solidFill>
          </w14:textFill>
        </w:rPr>
        <w:t>后</w:t>
      </w:r>
      <w:r>
        <w:rPr>
          <w:rFonts w:hint="eastAsia" w:hAnsi="宋体"/>
          <w:color w:val="000000" w:themeColor="text1"/>
          <w:szCs w:val="21"/>
          <w:highlight w:val="none"/>
          <w14:textFill>
            <w14:solidFill>
              <w14:schemeClr w14:val="tx1"/>
            </w14:solidFill>
          </w14:textFill>
        </w:rPr>
        <w:t>7</w:t>
      </w:r>
      <w:r>
        <w:rPr>
          <w:rFonts w:hAnsi="宋体"/>
          <w:color w:val="000000" w:themeColor="text1"/>
          <w:szCs w:val="21"/>
          <w:highlight w:val="none"/>
          <w14:textFill>
            <w14:solidFill>
              <w14:schemeClr w14:val="tx1"/>
            </w14:solidFill>
          </w14:textFill>
        </w:rPr>
        <w:t>个工作日内作出答复，并以书面形式通知质疑供应商和其他有关供应商</w:t>
      </w:r>
      <w:r>
        <w:rPr>
          <w:rFonts w:hint="eastAsia" w:hAnsi="宋体"/>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但答复的内容不得涉及商业秘密。</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6.3投诉。</w:t>
      </w:r>
      <w:r>
        <w:rPr>
          <w:rFonts w:hint="eastAsia" w:hAnsi="宋体" w:cs="宋体"/>
          <w:color w:val="000000" w:themeColor="text1"/>
          <w:kern w:val="0"/>
          <w:szCs w:val="21"/>
          <w:highlight w:val="none"/>
          <w14:textFill>
            <w14:solidFill>
              <w14:schemeClr w14:val="tx1"/>
            </w14:solidFill>
          </w14:textFill>
        </w:rPr>
        <w:t>质疑供应商对采购人、采购代理机构的答复不满意，或者采购人、采购代理机构未在规定时间内作出答复的，可以在答复期满后</w:t>
      </w:r>
      <w:r>
        <w:rPr>
          <w:rFonts w:hAnsi="宋体" w:cs="宋体"/>
          <w:color w:val="000000" w:themeColor="text1"/>
          <w:kern w:val="0"/>
          <w:szCs w:val="21"/>
          <w:highlight w:val="none"/>
          <w14:textFill>
            <w14:solidFill>
              <w14:schemeClr w14:val="tx1"/>
            </w14:solidFill>
          </w14:textFill>
        </w:rPr>
        <w:t>15</w:t>
      </w:r>
      <w:r>
        <w:rPr>
          <w:rFonts w:hint="eastAsia" w:hAnsi="宋体" w:cs="宋体"/>
          <w:color w:val="000000" w:themeColor="text1"/>
          <w:kern w:val="0"/>
          <w:szCs w:val="21"/>
          <w:highlight w:val="none"/>
          <w14:textFill>
            <w14:solidFill>
              <w14:schemeClr w14:val="tx1"/>
            </w14:solidFill>
          </w14:textFill>
        </w:rPr>
        <w:t>个工作日内向</w:t>
      </w:r>
      <w:r>
        <w:rPr>
          <w:rFonts w:hint="eastAsia" w:hAnsi="宋体"/>
          <w:color w:val="000000" w:themeColor="text1"/>
          <w:highlight w:val="none"/>
          <w14:textFill>
            <w14:solidFill>
              <w14:schemeClr w14:val="tx1"/>
            </w14:solidFill>
          </w14:textFill>
        </w:rPr>
        <w:t>本级财政部门</w:t>
      </w:r>
      <w:r>
        <w:rPr>
          <w:rFonts w:hint="eastAsia" w:hAnsi="宋体" w:cs="宋体"/>
          <w:color w:val="000000" w:themeColor="text1"/>
          <w:kern w:val="0"/>
          <w:szCs w:val="21"/>
          <w:highlight w:val="none"/>
          <w14:textFill>
            <w14:solidFill>
              <w14:schemeClr w14:val="tx1"/>
            </w14:solidFill>
          </w14:textFill>
        </w:rPr>
        <w:t>提起投诉。</w:t>
      </w:r>
    </w:p>
    <w:p>
      <w:pPr>
        <w:pStyle w:val="3"/>
        <w:spacing w:line="400" w:lineRule="exact"/>
        <w:jc w:val="center"/>
        <w:rPr>
          <w:rFonts w:ascii="宋体" w:hAnsi="宋体" w:cs="宋体"/>
          <w:color w:val="000000" w:themeColor="text1"/>
          <w:highlight w:val="none"/>
          <w14:textFill>
            <w14:solidFill>
              <w14:schemeClr w14:val="tx1"/>
            </w14:solidFill>
          </w14:textFill>
        </w:rPr>
      </w:pPr>
      <w:bookmarkStart w:id="84" w:name="_Toc6789"/>
      <w:bookmarkStart w:id="85" w:name="_Toc405942978"/>
      <w:bookmarkStart w:id="86" w:name="_Toc469909316"/>
      <w:bookmarkStart w:id="87" w:name="_Toc185702552"/>
      <w:bookmarkStart w:id="88" w:name="_Toc200268242"/>
      <w:bookmarkStart w:id="89" w:name="_Toc469874170"/>
      <w:bookmarkStart w:id="90" w:name="_Toc395066520"/>
      <w:r>
        <w:rPr>
          <w:rFonts w:hint="eastAsia" w:ascii="宋体" w:hAnsi="宋体" w:cs="宋体"/>
          <w:color w:val="000000" w:themeColor="text1"/>
          <w:highlight w:val="none"/>
          <w14:textFill>
            <w14:solidFill>
              <w14:schemeClr w14:val="tx1"/>
            </w14:solidFill>
          </w14:textFill>
        </w:rPr>
        <w:t>二、招标文件</w:t>
      </w:r>
      <w:bookmarkEnd w:id="84"/>
      <w:bookmarkEnd w:id="85"/>
      <w:bookmarkEnd w:id="86"/>
      <w:bookmarkEnd w:id="87"/>
      <w:bookmarkEnd w:id="88"/>
      <w:bookmarkEnd w:id="89"/>
      <w:bookmarkEnd w:id="90"/>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91" w:name="_Toc405942979"/>
      <w:bookmarkStart w:id="92" w:name="_Toc469874171"/>
      <w:bookmarkStart w:id="93" w:name="_Toc200268243"/>
      <w:bookmarkStart w:id="94" w:name="_Toc185702553"/>
      <w:bookmarkStart w:id="95" w:name="_Toc395066521"/>
      <w:r>
        <w:rPr>
          <w:rFonts w:hint="eastAsia" w:ascii="宋体" w:hAnsi="宋体" w:eastAsia="宋体" w:cs="宋体"/>
          <w:color w:val="000000" w:themeColor="text1"/>
          <w:sz w:val="21"/>
          <w:szCs w:val="21"/>
          <w:highlight w:val="none"/>
          <w14:textFill>
            <w14:solidFill>
              <w14:schemeClr w14:val="tx1"/>
            </w14:solidFill>
          </w14:textFill>
        </w:rPr>
        <w:t>7、招标文件的构成</w:t>
      </w:r>
      <w:bookmarkEnd w:id="91"/>
      <w:bookmarkEnd w:id="92"/>
      <w:bookmarkEnd w:id="93"/>
      <w:bookmarkEnd w:id="94"/>
      <w:bookmarkEnd w:id="95"/>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7.1</w:t>
      </w:r>
      <w:r>
        <w:rPr>
          <w:rFonts w:hint="eastAsia" w:hAnsi="宋体" w:cs="宋体"/>
          <w:color w:val="000000" w:themeColor="text1"/>
          <w:szCs w:val="21"/>
          <w:highlight w:val="none"/>
          <w14:textFill>
            <w14:solidFill>
              <w14:schemeClr w14:val="tx1"/>
            </w14:solidFill>
          </w14:textFill>
        </w:rPr>
        <w:t>招标文件</w:t>
      </w:r>
      <w:r>
        <w:rPr>
          <w:rFonts w:hint="eastAsia" w:hAnsi="宋体" w:cs="宋体"/>
          <w:color w:val="000000" w:themeColor="text1"/>
          <w:highlight w:val="none"/>
          <w14:textFill>
            <w14:solidFill>
              <w14:schemeClr w14:val="tx1"/>
            </w14:solidFill>
          </w14:textFill>
        </w:rPr>
        <w:t>由下列文件以及在采购过程中发出的更改、修正和补充文件组成：</w:t>
      </w:r>
    </w:p>
    <w:p>
      <w:pPr>
        <w:pStyle w:val="20"/>
        <w:spacing w:line="400" w:lineRule="exact"/>
        <w:ind w:firstLine="426"/>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第一章  招标公告</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第二章  采购内容及要求</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第三章  投标人须知及前附表</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第四章  评标方法</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第五章  政府采购合同（格式）</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第六章  投标文件（格式）</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第七章  附件</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96" w:name="_Toc405942980"/>
      <w:bookmarkStart w:id="97" w:name="_Toc469874172"/>
      <w:bookmarkStart w:id="98" w:name="_Toc395066522"/>
      <w:bookmarkStart w:id="99" w:name="_Toc200268244"/>
      <w:bookmarkStart w:id="100" w:name="_Toc185702554"/>
      <w:r>
        <w:rPr>
          <w:rFonts w:hint="eastAsia" w:ascii="宋体" w:hAnsi="宋体" w:eastAsia="宋体" w:cs="宋体"/>
          <w:color w:val="000000" w:themeColor="text1"/>
          <w:sz w:val="21"/>
          <w:szCs w:val="21"/>
          <w:highlight w:val="none"/>
          <w14:textFill>
            <w14:solidFill>
              <w14:schemeClr w14:val="tx1"/>
            </w14:solidFill>
          </w14:textFill>
        </w:rPr>
        <w:t>8、招标文件的澄清和修改</w:t>
      </w:r>
      <w:bookmarkEnd w:id="96"/>
      <w:bookmarkEnd w:id="97"/>
      <w:bookmarkEnd w:id="98"/>
      <w:bookmarkEnd w:id="99"/>
      <w:bookmarkEnd w:id="100"/>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采购人或者采购代理机构可以对已发出的招标文件进行必要的澄清或者修改，如澄清或者修改的内容可能影响投标文件编制的，在投标截止时间至少15日前，在政府采购信息发布媒体发布更正公告，不足15日的，采购人或者采购代理机构应当顺延提交投标文件的截止时间。</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8.2采购人、采购</w:t>
      </w:r>
      <w:r>
        <w:rPr>
          <w:rFonts w:hint="eastAsia" w:hAnsi="宋体" w:cs="宋体"/>
          <w:color w:val="000000" w:themeColor="text1"/>
          <w:szCs w:val="21"/>
          <w:highlight w:val="none"/>
          <w14:textFill>
            <w14:solidFill>
              <w14:schemeClr w14:val="tx1"/>
            </w14:solidFill>
          </w14:textFill>
        </w:rPr>
        <w:t>代理</w:t>
      </w:r>
      <w:r>
        <w:rPr>
          <w:rFonts w:hint="eastAsia" w:hAnsi="宋体" w:cs="宋体"/>
          <w:color w:val="000000" w:themeColor="text1"/>
          <w:highlight w:val="none"/>
          <w14:textFill>
            <w14:solidFill>
              <w14:schemeClr w14:val="tx1"/>
            </w14:solidFill>
          </w14:textFill>
        </w:rPr>
        <w:t>机构可视具体情况延长投标截止时间和开标时间的，在投标文件截止时间</w:t>
      </w:r>
      <w:r>
        <w:rPr>
          <w:rFonts w:hint="eastAsia" w:hAnsi="宋体" w:cs="宋体"/>
          <w:color w:val="000000" w:themeColor="text1"/>
          <w:highlight w:val="none"/>
          <w:u w:val="single"/>
          <w14:textFill>
            <w14:solidFill>
              <w14:schemeClr w14:val="tx1"/>
            </w14:solidFill>
          </w14:textFill>
        </w:rPr>
        <w:t>3日</w:t>
      </w:r>
      <w:r>
        <w:rPr>
          <w:rFonts w:hint="eastAsia" w:hAnsi="宋体" w:cs="宋体"/>
          <w:color w:val="000000" w:themeColor="text1"/>
          <w:highlight w:val="none"/>
          <w14:textFill>
            <w14:solidFill>
              <w14:schemeClr w14:val="tx1"/>
            </w14:solidFill>
          </w14:textFill>
        </w:rPr>
        <w:t>前，在政府采购信息发布媒体发布变更公告。</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8.3所有与本项目相关的澄清、修改、补遗的内容作为招标文件的组成部分。该所有通知文件在政府采购信息媒体发布之日起，视为投标人已收到该通知。</w:t>
      </w:r>
      <w:r>
        <w:rPr>
          <w:rFonts w:hint="eastAsia" w:hAnsi="宋体" w:cs="宋体"/>
          <w:color w:val="000000" w:themeColor="text1"/>
          <w:szCs w:val="21"/>
          <w:highlight w:val="none"/>
          <w14:textFill>
            <w14:solidFill>
              <w14:schemeClr w14:val="tx1"/>
            </w14:solidFill>
          </w14:textFill>
        </w:rPr>
        <w:t>投标人未及时关注网站上发布的通知文件造成的损失，由投标人负责。</w:t>
      </w:r>
    </w:p>
    <w:p>
      <w:pPr>
        <w:pStyle w:val="20"/>
        <w:spacing w:line="400" w:lineRule="exact"/>
        <w:ind w:firstLine="420"/>
        <w:rPr>
          <w:rFonts w:hAnsi="宋体" w:cs="宋体"/>
          <w:color w:val="000000" w:themeColor="text1"/>
          <w:highlight w:val="none"/>
          <w14:textFill>
            <w14:solidFill>
              <w14:schemeClr w14:val="tx1"/>
            </w14:solidFill>
          </w14:textFill>
        </w:rPr>
      </w:pPr>
    </w:p>
    <w:p>
      <w:pPr>
        <w:pStyle w:val="3"/>
        <w:spacing w:line="400" w:lineRule="exact"/>
        <w:jc w:val="center"/>
        <w:rPr>
          <w:rFonts w:ascii="宋体" w:hAnsi="宋体" w:cs="宋体"/>
          <w:color w:val="000000" w:themeColor="text1"/>
          <w:highlight w:val="none"/>
          <w14:textFill>
            <w14:solidFill>
              <w14:schemeClr w14:val="tx1"/>
            </w14:solidFill>
          </w14:textFill>
        </w:rPr>
      </w:pPr>
      <w:bookmarkStart w:id="101" w:name="_Toc469909317"/>
      <w:bookmarkStart w:id="102" w:name="_Toc405942981"/>
      <w:bookmarkStart w:id="103" w:name="_Toc469874173"/>
      <w:bookmarkStart w:id="104" w:name="_Toc200268245"/>
      <w:bookmarkStart w:id="105" w:name="_Toc395066523"/>
      <w:bookmarkStart w:id="106" w:name="_Toc185702555"/>
      <w:bookmarkStart w:id="107" w:name="_Toc8257"/>
      <w:r>
        <w:rPr>
          <w:rFonts w:hint="eastAsia" w:ascii="宋体" w:hAnsi="宋体" w:cs="宋体"/>
          <w:color w:val="000000" w:themeColor="text1"/>
          <w:highlight w:val="none"/>
          <w14:textFill>
            <w14:solidFill>
              <w14:schemeClr w14:val="tx1"/>
            </w14:solidFill>
          </w14:textFill>
        </w:rPr>
        <w:t>三、投标文件的编制</w:t>
      </w:r>
      <w:bookmarkEnd w:id="101"/>
      <w:bookmarkEnd w:id="102"/>
      <w:bookmarkEnd w:id="103"/>
      <w:bookmarkEnd w:id="104"/>
      <w:bookmarkEnd w:id="105"/>
      <w:bookmarkEnd w:id="106"/>
      <w:bookmarkEnd w:id="107"/>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08" w:name="_Toc405942982"/>
      <w:bookmarkStart w:id="109" w:name="_Toc469874174"/>
      <w:bookmarkStart w:id="110" w:name="_Toc185702556"/>
      <w:bookmarkStart w:id="111" w:name="_Toc200268246"/>
      <w:bookmarkStart w:id="112" w:name="_Toc395066524"/>
      <w:r>
        <w:rPr>
          <w:rFonts w:hint="eastAsia" w:ascii="宋体" w:hAnsi="宋体" w:eastAsia="宋体" w:cs="宋体"/>
          <w:color w:val="000000" w:themeColor="text1"/>
          <w:sz w:val="21"/>
          <w:szCs w:val="21"/>
          <w:highlight w:val="none"/>
          <w14:textFill>
            <w14:solidFill>
              <w14:schemeClr w14:val="tx1"/>
            </w14:solidFill>
          </w14:textFill>
        </w:rPr>
        <w:t>9、</w:t>
      </w:r>
      <w:bookmarkEnd w:id="108"/>
      <w:bookmarkEnd w:id="109"/>
      <w:bookmarkEnd w:id="110"/>
      <w:bookmarkEnd w:id="111"/>
      <w:bookmarkEnd w:id="112"/>
      <w:r>
        <w:rPr>
          <w:rFonts w:hint="eastAsia" w:ascii="宋体" w:hAnsi="宋体" w:eastAsia="宋体" w:cs="宋体"/>
          <w:color w:val="000000" w:themeColor="text1"/>
          <w:sz w:val="21"/>
          <w:szCs w:val="21"/>
          <w:highlight w:val="none"/>
          <w14:textFill>
            <w14:solidFill>
              <w14:schemeClr w14:val="tx1"/>
            </w14:solidFill>
          </w14:textFill>
        </w:rPr>
        <w:t>投标文件的组成</w:t>
      </w:r>
    </w:p>
    <w:p>
      <w:pPr>
        <w:pStyle w:val="20"/>
        <w:spacing w:line="400" w:lineRule="exact"/>
        <w:ind w:left="412" w:hanging="412" w:hangingChars="200"/>
        <w:rPr>
          <w:rFonts w:hAnsi="宋体" w:cs="宋体"/>
          <w:color w:val="000000" w:themeColor="text1"/>
          <w:spacing w:val="-2"/>
          <w:szCs w:val="21"/>
          <w:highlight w:val="none"/>
          <w14:textFill>
            <w14:solidFill>
              <w14:schemeClr w14:val="tx1"/>
            </w14:solidFill>
          </w14:textFill>
        </w:rPr>
      </w:pPr>
      <w:r>
        <w:rPr>
          <w:rFonts w:hint="eastAsia" w:hAnsi="宋体" w:cs="宋体"/>
          <w:color w:val="000000" w:themeColor="text1"/>
          <w:spacing w:val="-2"/>
          <w:szCs w:val="21"/>
          <w:highlight w:val="none"/>
          <w14:textFill>
            <w14:solidFill>
              <w14:schemeClr w14:val="tx1"/>
            </w14:solidFill>
          </w14:textFill>
        </w:rPr>
        <w:t>9.1</w:t>
      </w:r>
      <w:r>
        <w:rPr>
          <w:rFonts w:hint="eastAsia" w:hAnsi="宋体" w:cs="宋体"/>
          <w:color w:val="000000" w:themeColor="text1"/>
          <w:szCs w:val="21"/>
          <w:highlight w:val="none"/>
          <w14:textFill>
            <w14:solidFill>
              <w14:schemeClr w14:val="tx1"/>
            </w14:solidFill>
          </w14:textFill>
        </w:rPr>
        <w:t>投标人应按下列说明及第六章投标文件格式要求编写和提供。应递交的有关文件如未特别注明为复印件的，须提供原件。原件、复印件均须加盖投标人公章</w:t>
      </w:r>
      <w:r>
        <w:rPr>
          <w:rFonts w:hint="eastAsia" w:hAnsi="宋体" w:cs="宋体"/>
          <w:bCs/>
          <w:color w:val="000000" w:themeColor="text1"/>
          <w:szCs w:val="21"/>
          <w:highlight w:val="none"/>
          <w14:textFill>
            <w14:solidFill>
              <w14:schemeClr w14:val="tx1"/>
            </w14:solidFill>
          </w14:textFill>
        </w:rPr>
        <w:t>。</w:t>
      </w:r>
    </w:p>
    <w:p>
      <w:pPr>
        <w:pStyle w:val="20"/>
        <w:spacing w:line="400" w:lineRule="exact"/>
        <w:ind w:firstLine="422" w:firstLineChars="200"/>
        <w:rPr>
          <w:rFonts w:hAnsi="宋体" w:cs="宋体"/>
          <w:color w:val="000000" w:themeColor="text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一、报价文件</w:t>
      </w:r>
      <w:r>
        <w:rPr>
          <w:rFonts w:hint="eastAsia" w:hAnsi="宋体" w:cs="宋体"/>
          <w:color w:val="000000" w:themeColor="text1"/>
          <w:highlight w:val="none"/>
          <w14:textFill>
            <w14:solidFill>
              <w14:schemeClr w14:val="tx1"/>
            </w14:solidFill>
          </w14:textFill>
        </w:rPr>
        <w:t>（第1～3项为必须提供）</w:t>
      </w:r>
    </w:p>
    <w:p>
      <w:pPr>
        <w:snapToGrid w:val="0"/>
        <w:spacing w:line="400" w:lineRule="exact"/>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1、开标一览表</w:t>
      </w:r>
    </w:p>
    <w:p>
      <w:pPr>
        <w:snapToGrid w:val="0"/>
        <w:spacing w:line="400" w:lineRule="exact"/>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投标</w:t>
      </w:r>
      <w:r>
        <w:rPr>
          <w:rFonts w:hint="eastAsia" w:ascii="宋体" w:hAnsi="宋体" w:cs="宋体"/>
          <w:color w:val="000000" w:themeColor="text1"/>
          <w:highlight w:val="none"/>
          <w14:textFill>
            <w14:solidFill>
              <w14:schemeClr w14:val="tx1"/>
            </w14:solidFill>
          </w14:textFill>
        </w:rPr>
        <w:t>函</w:t>
      </w:r>
    </w:p>
    <w:p>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3、投标报价明细表</w:t>
      </w:r>
    </w:p>
    <w:p>
      <w:pPr>
        <w:snapToGrid w:val="0"/>
        <w:spacing w:line="400" w:lineRule="exact"/>
        <w:ind w:firstLine="420"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4、投标人符合政府采购政策价格扣除证明材料（如有，由投标人根据自己实际情况提供）</w:t>
      </w:r>
    </w:p>
    <w:p>
      <w:pPr>
        <w:pStyle w:val="20"/>
        <w:spacing w:line="400" w:lineRule="exact"/>
        <w:ind w:right="-126" w:rightChars="-60" w:firstLine="422" w:firstLineChars="200"/>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二、资格资信证明文件</w:t>
      </w:r>
      <w:r>
        <w:rPr>
          <w:rFonts w:hint="eastAsia" w:hAnsi="宋体" w:cs="宋体"/>
          <w:color w:val="000000" w:themeColor="text1"/>
          <w:highlight w:val="none"/>
          <w14:textFill>
            <w14:solidFill>
              <w14:schemeClr w14:val="tx1"/>
            </w14:solidFill>
          </w14:textFill>
        </w:rPr>
        <w:t>（第1～9项必须提供，其中第5项委托代理时必须提供且按要求签字盖章</w:t>
      </w:r>
      <w:r>
        <w:rPr>
          <w:rFonts w:hint="eastAsia" w:hAnsi="宋体"/>
          <w:bCs/>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w:t>
      </w:r>
    </w:p>
    <w:p>
      <w:pPr>
        <w:pStyle w:val="20"/>
        <w:spacing w:line="400" w:lineRule="exact"/>
        <w:ind w:right="-126" w:rightChars="-60"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1、投标声明书；</w:t>
      </w:r>
    </w:p>
    <w:p>
      <w:pPr>
        <w:pStyle w:val="20"/>
        <w:spacing w:line="400" w:lineRule="exact"/>
        <w:ind w:firstLine="420"/>
        <w:rPr>
          <w:rFonts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2、投标保证金声明或支票、汇票、本票、保函等非转账形式保证金证明复印件；</w:t>
      </w:r>
    </w:p>
    <w:p>
      <w:pPr>
        <w:pStyle w:val="20"/>
        <w:spacing w:line="400" w:lineRule="exact"/>
        <w:ind w:firstLine="420"/>
        <w:rPr>
          <w:rFonts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3、购买招标文件证明复印件（转账底单）；</w:t>
      </w:r>
    </w:p>
    <w:p>
      <w:pPr>
        <w:pStyle w:val="20"/>
        <w:spacing w:line="400" w:lineRule="exact"/>
        <w:ind w:firstLine="420"/>
        <w:rPr>
          <w:rFonts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4、法定代表人（或负责人）身份证明原件；</w:t>
      </w:r>
    </w:p>
    <w:p>
      <w:pPr>
        <w:pStyle w:val="20"/>
        <w:spacing w:line="400" w:lineRule="exact"/>
        <w:ind w:firstLine="42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5、法定代表人（</w:t>
      </w:r>
      <w:r>
        <w:rPr>
          <w:rFonts w:hint="eastAsia" w:hAnsi="宋体"/>
          <w:bCs/>
          <w:color w:val="000000" w:themeColor="text1"/>
          <w:highlight w:val="none"/>
          <w14:textFill>
            <w14:solidFill>
              <w14:schemeClr w14:val="tx1"/>
            </w14:solidFill>
          </w14:textFill>
        </w:rPr>
        <w:t>或负责人</w:t>
      </w:r>
      <w:r>
        <w:rPr>
          <w:rFonts w:hint="eastAsia" w:hAnsi="宋体" w:cs="宋体"/>
          <w:bCs/>
          <w:color w:val="000000" w:themeColor="text1"/>
          <w:highlight w:val="none"/>
          <w14:textFill>
            <w14:solidFill>
              <w14:schemeClr w14:val="tx1"/>
            </w14:solidFill>
          </w14:textFill>
        </w:rPr>
        <w:t>）授权委托书原件（如委托代理人参加投标时）；</w:t>
      </w:r>
    </w:p>
    <w:p>
      <w:pPr>
        <w:pStyle w:val="20"/>
        <w:spacing w:line="400" w:lineRule="exact"/>
        <w:ind w:left="718" w:leftChars="192" w:hanging="315" w:hangingChars="150"/>
        <w:rPr>
          <w:rFonts w:hAnsi="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6、</w:t>
      </w:r>
      <w:r>
        <w:rPr>
          <w:rFonts w:hint="eastAsia" w:hAnsi="宋体"/>
          <w:bCs/>
          <w:color w:val="000000" w:themeColor="text1"/>
          <w:highlight w:val="none"/>
          <w14:textFill>
            <w14:solidFill>
              <w14:schemeClr w14:val="tx1"/>
            </w14:solidFill>
          </w14:textFill>
        </w:rPr>
        <w:t>投标人有效的营业执照正本或副本复印件或事业单位法人证书复印件（如投标人为事业单位）；</w:t>
      </w:r>
    </w:p>
    <w:p>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2020年1月1日以来，投标人连续三个月（如属新成立的公司不足三个月的递交工商注册之月起的纳税证明）投标人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p>
    <w:p>
      <w:pPr>
        <w:pStyle w:val="20"/>
        <w:spacing w:line="400" w:lineRule="exact"/>
        <w:ind w:left="17" w:leftChars="8" w:firstLine="384" w:firstLineChars="183"/>
        <w:rPr>
          <w:rFonts w:hAnsi="宋体"/>
          <w:bCs/>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8、2020年1月1日以来，投标人连续三个月(如属新成立的公司不足三个月的递交工商注册之月起的社保证明)投标人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w:t>
      </w:r>
    </w:p>
    <w:p>
      <w:pPr>
        <w:pStyle w:val="20"/>
        <w:ind w:firstLine="420" w:firstLineChars="200"/>
        <w:rPr>
          <w:rFonts w:hAnsi="宋体" w:cs="宋体"/>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w:t>
      </w:r>
      <w:r>
        <w:rPr>
          <w:rFonts w:hint="eastAsia" w:hAnsi="宋体" w:cs="宋体"/>
          <w:bCs/>
          <w:color w:val="000000" w:themeColor="text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投标人2019年度财务报表（至少包括利润损益表和资产负债表,新成立的公司按实际情况提供一个季度或一个月的财务报表）；</w:t>
      </w:r>
    </w:p>
    <w:p>
      <w:pPr>
        <w:pStyle w:val="20"/>
        <w:spacing w:line="4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三、商务文件</w:t>
      </w:r>
      <w:r>
        <w:rPr>
          <w:rFonts w:hint="eastAsia" w:hAnsi="宋体" w:cs="宋体"/>
          <w:color w:val="000000" w:themeColor="text1"/>
          <w:szCs w:val="21"/>
          <w:highlight w:val="none"/>
          <w14:textFill>
            <w14:solidFill>
              <w14:schemeClr w14:val="tx1"/>
            </w14:solidFill>
          </w14:textFill>
        </w:rPr>
        <w:t>（第1～2项为必须提供）</w:t>
      </w:r>
    </w:p>
    <w:p>
      <w:pPr>
        <w:pStyle w:val="20"/>
        <w:spacing w:line="40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1、商务条款响应表</w:t>
      </w:r>
    </w:p>
    <w:p>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2、售后服务方案（投标人根据本项目要求及自己的实际情况自行编写，内容包括质保期、本地化服务、技术培训及指导、负责售后维修的主管人员情况、解决故障的响应时间等）</w:t>
      </w:r>
    </w:p>
    <w:p>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3、投标人符合政府采购政策加分条件证明材料（如有，请提供）</w:t>
      </w:r>
    </w:p>
    <w:p>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4、投标人</w:t>
      </w:r>
      <w:r>
        <w:rPr>
          <w:rFonts w:hint="eastAsia" w:ascii="宋体" w:hAnsi="宋体" w:cs="宋体"/>
          <w:color w:val="000000" w:themeColor="text1"/>
          <w:highlight w:val="none"/>
          <w14:textFill>
            <w14:solidFill>
              <w14:schemeClr w14:val="tx1"/>
            </w14:solidFill>
          </w14:textFill>
        </w:rPr>
        <w:t>认为需要提供的其它资料</w:t>
      </w:r>
      <w:r>
        <w:rPr>
          <w:rFonts w:hint="eastAsia" w:ascii="宋体" w:hAnsi="宋体" w:cs="宋体"/>
          <w:color w:val="000000" w:themeColor="text1"/>
          <w:szCs w:val="21"/>
          <w:highlight w:val="none"/>
          <w14:textFill>
            <w14:solidFill>
              <w14:schemeClr w14:val="tx1"/>
            </w14:solidFill>
          </w14:textFill>
        </w:rPr>
        <w:t>（如有，由投标人根据自己实际情况提供）</w:t>
      </w:r>
    </w:p>
    <w:p>
      <w:pPr>
        <w:pStyle w:val="20"/>
        <w:spacing w:line="4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四、技术文件</w:t>
      </w:r>
      <w:r>
        <w:rPr>
          <w:rFonts w:hint="eastAsia" w:hAnsi="宋体" w:cs="宋体"/>
          <w:color w:val="000000" w:themeColor="text1"/>
          <w:szCs w:val="21"/>
          <w:highlight w:val="none"/>
          <w14:textFill>
            <w14:solidFill>
              <w14:schemeClr w14:val="tx1"/>
            </w14:solidFill>
          </w14:textFill>
        </w:rPr>
        <w:t>（第1～2项为必须提供，其他根据采购要求提供）</w:t>
      </w:r>
    </w:p>
    <w:p>
      <w:pPr>
        <w:pStyle w:val="20"/>
        <w:spacing w:line="400" w:lineRule="exact"/>
        <w:ind w:left="840" w:leftChars="20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1、技术要求响应表</w:t>
      </w:r>
    </w:p>
    <w:p>
      <w:pPr>
        <w:pStyle w:val="20"/>
        <w:spacing w:line="400" w:lineRule="exact"/>
        <w:ind w:left="840" w:leftChars="200" w:hanging="420" w:hanging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2、产品配置清单（均不含报价）</w:t>
      </w:r>
    </w:p>
    <w:p>
      <w:pPr>
        <w:pStyle w:val="20"/>
        <w:spacing w:line="40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w:t>
      </w:r>
      <w:r>
        <w:rPr>
          <w:rFonts w:hint="eastAsia" w:hAnsi="宋体" w:cs="宋体"/>
          <w:bCs/>
          <w:color w:val="000000" w:themeColor="text1"/>
          <w:kern w:val="0"/>
          <w:szCs w:val="21"/>
          <w:highlight w:val="none"/>
          <w14:textFill>
            <w14:solidFill>
              <w14:schemeClr w14:val="tx1"/>
            </w14:solidFill>
          </w14:textFill>
        </w:rPr>
        <w:t>证明货物和手续合格性的证明文件：</w:t>
      </w:r>
      <w:r>
        <w:rPr>
          <w:rFonts w:hint="eastAsia" w:hAnsi="宋体" w:cs="宋体"/>
          <w:color w:val="000000" w:themeColor="text1"/>
          <w:highlight w:val="none"/>
          <w14:textFill>
            <w14:solidFill>
              <w14:schemeClr w14:val="tx1"/>
            </w14:solidFill>
          </w14:textFill>
        </w:rPr>
        <w:t>生产、销售许可证（如国家实行强制性要求的）；产品样本、使用保养说明书、图纸、货物制造检测标准等技术资料；产品注册证、产品认证、检测报告、鉴定证书、</w:t>
      </w:r>
      <w:r>
        <w:rPr>
          <w:rFonts w:hint="eastAsia" w:hAnsi="宋体" w:cs="宋体"/>
          <w:bCs/>
          <w:color w:val="000000" w:themeColor="text1"/>
          <w:highlight w:val="none"/>
          <w14:textFill>
            <w14:solidFill>
              <w14:schemeClr w14:val="tx1"/>
            </w14:solidFill>
          </w14:textFill>
        </w:rPr>
        <w:t>进口产品合法进口手续证明、</w:t>
      </w:r>
      <w:r>
        <w:rPr>
          <w:rFonts w:hint="eastAsia" w:hAnsi="宋体" w:cs="宋体"/>
          <w:color w:val="000000" w:themeColor="text1"/>
          <w:highlight w:val="none"/>
          <w14:textFill>
            <w14:solidFill>
              <w14:schemeClr w14:val="tx1"/>
            </w14:solidFill>
          </w14:textFill>
        </w:rPr>
        <w:t>产品获奖证书等。</w:t>
      </w:r>
    </w:p>
    <w:p>
      <w:pPr>
        <w:pStyle w:val="20"/>
        <w:spacing w:line="400" w:lineRule="exact"/>
        <w:ind w:left="840" w:leftChars="20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w:t>
      </w:r>
      <w:r>
        <w:rPr>
          <w:rFonts w:hint="eastAsia" w:hAnsi="宋体" w:cs="宋体"/>
          <w:color w:val="000000" w:themeColor="text1"/>
          <w:szCs w:val="21"/>
          <w:highlight w:val="none"/>
          <w14:textFill>
            <w14:solidFill>
              <w14:schemeClr w14:val="tx1"/>
            </w14:solidFill>
          </w14:textFill>
        </w:rPr>
        <w:t>、投标人</w:t>
      </w:r>
      <w:r>
        <w:rPr>
          <w:rFonts w:hint="eastAsia" w:hAnsi="宋体" w:cs="宋体"/>
          <w:color w:val="000000" w:themeColor="text1"/>
          <w:highlight w:val="none"/>
          <w14:textFill>
            <w14:solidFill>
              <w14:schemeClr w14:val="tx1"/>
            </w14:solidFill>
          </w14:textFill>
        </w:rPr>
        <w:t>认为需要提供的其它资料</w:t>
      </w:r>
      <w:r>
        <w:rPr>
          <w:rFonts w:hint="eastAsia" w:hAnsi="宋体" w:cs="宋体"/>
          <w:color w:val="000000" w:themeColor="text1"/>
          <w:szCs w:val="21"/>
          <w:highlight w:val="none"/>
          <w14:textFill>
            <w14:solidFill>
              <w14:schemeClr w14:val="tx1"/>
            </w14:solidFill>
          </w14:textFill>
        </w:rPr>
        <w:t>（如有，由投标人根据自己实际情况提供）</w:t>
      </w:r>
    </w:p>
    <w:p>
      <w:pPr>
        <w:pStyle w:val="20"/>
        <w:spacing w:line="400" w:lineRule="exact"/>
        <w:ind w:hanging="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9.2投标人应完整、真实、准确的填写招标文件中规定的所有内容，对投标文件所提供的全部资料的真实性承担法律责任，并无条件接受招标采购单位及政府采购监督管理部门等对其中任何资料进行核实的要求。</w:t>
      </w:r>
    </w:p>
    <w:p>
      <w:pPr>
        <w:pStyle w:val="20"/>
        <w:spacing w:line="400" w:lineRule="exact"/>
        <w:ind w:hanging="5"/>
        <w:rPr>
          <w:rFonts w:hAnsi="宋体" w:cs="宋体"/>
          <w:b/>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9.3如果因为投标人投标文件填报的内容不详，或没有提供招标文件中所要求的全部资料及数据，由此造成的后果，其责任由投标人承担。</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13" w:name="_Toc469874175"/>
      <w:bookmarkStart w:id="114" w:name="_Toc200268247"/>
      <w:bookmarkStart w:id="115" w:name="_Toc185702557"/>
      <w:bookmarkStart w:id="116" w:name="_Toc405942983"/>
      <w:bookmarkStart w:id="117" w:name="_Toc395066525"/>
      <w:r>
        <w:rPr>
          <w:rFonts w:hint="eastAsia" w:ascii="宋体" w:hAnsi="宋体" w:eastAsia="宋体" w:cs="宋体"/>
          <w:color w:val="000000" w:themeColor="text1"/>
          <w:sz w:val="21"/>
          <w:szCs w:val="21"/>
          <w:highlight w:val="none"/>
          <w14:textFill>
            <w14:solidFill>
              <w14:schemeClr w14:val="tx1"/>
            </w14:solidFill>
          </w14:textFill>
        </w:rPr>
        <w:t>10、</w:t>
      </w:r>
      <w:bookmarkEnd w:id="113"/>
      <w:bookmarkEnd w:id="114"/>
      <w:bookmarkEnd w:id="115"/>
      <w:bookmarkEnd w:id="116"/>
      <w:bookmarkEnd w:id="117"/>
      <w:r>
        <w:rPr>
          <w:rFonts w:hint="eastAsia" w:ascii="宋体" w:hAnsi="宋体" w:eastAsia="宋体" w:cs="宋体"/>
          <w:color w:val="000000" w:themeColor="text1"/>
          <w:sz w:val="21"/>
          <w:szCs w:val="21"/>
          <w:highlight w:val="none"/>
          <w14:textFill>
            <w14:solidFill>
              <w14:schemeClr w14:val="tx1"/>
            </w14:solidFill>
          </w14:textFill>
        </w:rPr>
        <w:t>投标文件编制要求</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bookmarkStart w:id="118" w:name="_Toc185702558"/>
      <w:r>
        <w:rPr>
          <w:rFonts w:hint="eastAsia" w:hAnsi="宋体" w:cs="宋体"/>
          <w:color w:val="000000" w:themeColor="text1"/>
          <w:highlight w:val="none"/>
          <w14:textFill>
            <w14:solidFill>
              <w14:schemeClr w14:val="tx1"/>
            </w14:solidFill>
          </w14:textFill>
        </w:rPr>
        <w:t>10.1投标人应当按照招标文件的要求编制投标文件。投标文件应当对招标文件提出的要求和条件作出明确响应。</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10.2投标</w:t>
      </w:r>
      <w:r>
        <w:rPr>
          <w:rFonts w:hint="eastAsia" w:hAnsi="宋体" w:cs="宋体"/>
          <w:color w:val="000000" w:themeColor="text1"/>
          <w:szCs w:val="21"/>
          <w:highlight w:val="none"/>
          <w14:textFill>
            <w14:solidFill>
              <w14:schemeClr w14:val="tx1"/>
            </w14:solidFill>
          </w14:textFill>
        </w:rPr>
        <w:t>文件</w:t>
      </w:r>
      <w:r>
        <w:rPr>
          <w:rFonts w:hint="eastAsia" w:hAnsi="宋体" w:cs="宋体"/>
          <w:color w:val="000000" w:themeColor="text1"/>
          <w:highlight w:val="none"/>
          <w14:textFill>
            <w14:solidFill>
              <w14:schemeClr w14:val="tx1"/>
            </w14:solidFill>
          </w14:textFill>
        </w:rPr>
        <w:t>的份数：见本章须知前附表第6项规定。投标文件的封面应注明“正本”、“副本”字样。</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投标文件电子版：投标人在递交投标文件时同时递交投标文件电子版。</w:t>
      </w:r>
    </w:p>
    <w:p>
      <w:pPr>
        <w:pStyle w:val="20"/>
        <w:spacing w:line="400" w:lineRule="exact"/>
        <w:ind w:left="525" w:leftChars="200" w:hanging="105" w:hangingChars="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①投标文件电子版内容：报价文件、资格资信证明文件、商务文件、技术文件。</w:t>
      </w:r>
    </w:p>
    <w:p>
      <w:pPr>
        <w:pStyle w:val="20"/>
        <w:spacing w:line="400" w:lineRule="exact"/>
        <w:ind w:left="525" w:leftChars="200" w:hanging="105" w:hangingChars="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②投标文件电子版份数：1份。</w:t>
      </w:r>
    </w:p>
    <w:p>
      <w:pPr>
        <w:pStyle w:val="20"/>
        <w:spacing w:line="400" w:lineRule="exact"/>
        <w:ind w:left="525" w:leftChars="200" w:hanging="105" w:hangingChars="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③投标文件电子版形式：可编辑的word文档格式。</w:t>
      </w:r>
    </w:p>
    <w:p>
      <w:pPr>
        <w:pStyle w:val="20"/>
        <w:spacing w:line="400" w:lineRule="exact"/>
        <w:ind w:left="525" w:leftChars="200" w:hanging="105" w:hangingChars="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④投标文件电子版密封形式：投标文件电子版U盘与投标文件纸质版文件一并装入投标文件袋内。</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10.3投标文件正本、副本以胶装方式装订成册。</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10.4投标人应编制完整的页码、目录。投标文件正本必须打印或用不褪色的墨水填写。副本可以为正本的复印件，正本与副本</w:t>
      </w:r>
      <w:r>
        <w:rPr>
          <w:rFonts w:hint="eastAsia" w:hAnsi="宋体" w:cs="宋体"/>
          <w:color w:val="000000" w:themeColor="text1"/>
          <w:szCs w:val="21"/>
          <w:highlight w:val="none"/>
          <w14:textFill>
            <w14:solidFill>
              <w14:schemeClr w14:val="tx1"/>
            </w14:solidFill>
          </w14:textFill>
        </w:rPr>
        <w:t>不一致时，以正本为准。</w:t>
      </w:r>
    </w:p>
    <w:p>
      <w:pPr>
        <w:pStyle w:val="20"/>
        <w:spacing w:line="400" w:lineRule="exact"/>
        <w:ind w:left="420" w:hanging="420" w:hangingChars="200"/>
        <w:rPr>
          <w:rFonts w:hAnsi="宋体" w:cs="宋体"/>
          <w:color w:val="000000" w:themeColor="text1"/>
          <w:spacing w:val="-4"/>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w:t>
      </w:r>
      <w:r>
        <w:rPr>
          <w:rFonts w:hint="eastAsia" w:hAnsi="宋体" w:cs="宋体"/>
          <w:color w:val="000000" w:themeColor="text1"/>
          <w:spacing w:val="-4"/>
          <w:szCs w:val="21"/>
          <w:highlight w:val="none"/>
          <w14:textFill>
            <w14:solidFill>
              <w14:schemeClr w14:val="tx1"/>
            </w14:solidFill>
          </w14:textFill>
        </w:rPr>
        <w:t>.5</w:t>
      </w:r>
      <w:r>
        <w:rPr>
          <w:rFonts w:hint="eastAsia" w:hAnsi="宋体" w:cs="宋体"/>
          <w:color w:val="000000" w:themeColor="text1"/>
          <w:szCs w:val="21"/>
          <w:highlight w:val="none"/>
          <w14:textFill>
            <w14:solidFill>
              <w14:schemeClr w14:val="tx1"/>
            </w14:solidFill>
          </w14:textFill>
        </w:rPr>
        <w:t>投标文件须由投标人在规定位置盖章并由法定代表人（</w:t>
      </w:r>
      <w:r>
        <w:rPr>
          <w:rFonts w:hint="eastAsia" w:hAnsi="宋体"/>
          <w:bCs/>
          <w:color w:val="000000" w:themeColor="text1"/>
          <w:highlight w:val="none"/>
          <w14:textFill>
            <w14:solidFill>
              <w14:schemeClr w14:val="tx1"/>
            </w14:solidFill>
          </w14:textFill>
        </w:rPr>
        <w:t>或负责人</w:t>
      </w:r>
      <w:r>
        <w:rPr>
          <w:rFonts w:hint="eastAsia" w:hAnsi="宋体" w:cs="宋体"/>
          <w:color w:val="000000" w:themeColor="text1"/>
          <w:szCs w:val="21"/>
          <w:highlight w:val="none"/>
          <w14:textFill>
            <w14:solidFill>
              <w14:schemeClr w14:val="tx1"/>
            </w14:solidFill>
          </w14:textFill>
        </w:rPr>
        <w:t>）或法定代表人（</w:t>
      </w:r>
      <w:r>
        <w:rPr>
          <w:rFonts w:hint="eastAsia" w:hAnsi="宋体"/>
          <w:bCs/>
          <w:color w:val="000000" w:themeColor="text1"/>
          <w:highlight w:val="none"/>
          <w14:textFill>
            <w14:solidFill>
              <w14:schemeClr w14:val="tx1"/>
            </w14:solidFill>
          </w14:textFill>
        </w:rPr>
        <w:t>或负责人</w:t>
      </w:r>
      <w:r>
        <w:rPr>
          <w:rFonts w:hint="eastAsia" w:hAnsi="宋体" w:cs="宋体"/>
          <w:color w:val="000000" w:themeColor="text1"/>
          <w:szCs w:val="21"/>
          <w:highlight w:val="none"/>
          <w14:textFill>
            <w14:solidFill>
              <w14:schemeClr w14:val="tx1"/>
            </w14:solidFill>
          </w14:textFill>
        </w:rPr>
        <w:t>）的授权委托人签署，投标人应写全称。</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10.6</w:t>
      </w:r>
      <w:r>
        <w:rPr>
          <w:rFonts w:hint="eastAsia" w:hAnsi="宋体" w:cs="宋体"/>
          <w:color w:val="000000" w:themeColor="text1"/>
          <w:szCs w:val="21"/>
          <w:highlight w:val="none"/>
          <w14:textFill>
            <w14:solidFill>
              <w14:schemeClr w14:val="tx1"/>
            </w14:solidFill>
          </w14:textFill>
        </w:rPr>
        <w:t>投标文件不得涂改，若有修改错漏处，须加盖投标人公章或者法定代表人（</w:t>
      </w:r>
      <w:r>
        <w:rPr>
          <w:rFonts w:hint="eastAsia" w:hAnsi="宋体"/>
          <w:bCs/>
          <w:color w:val="000000" w:themeColor="text1"/>
          <w:highlight w:val="none"/>
          <w14:textFill>
            <w14:solidFill>
              <w14:schemeClr w14:val="tx1"/>
            </w14:solidFill>
          </w14:textFill>
        </w:rPr>
        <w:t>或负责人</w:t>
      </w:r>
      <w:r>
        <w:rPr>
          <w:rFonts w:hint="eastAsia" w:hAnsi="宋体" w:cs="宋体"/>
          <w:color w:val="000000" w:themeColor="text1"/>
          <w:szCs w:val="21"/>
          <w:highlight w:val="none"/>
          <w14:textFill>
            <w14:solidFill>
              <w14:schemeClr w14:val="tx1"/>
            </w14:solidFill>
          </w14:textFill>
        </w:rPr>
        <w:t>）或授权委托人签字。投标文件未按要求填写所引起的投标无效由投标人负责。</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10.7</w:t>
      </w:r>
      <w:r>
        <w:rPr>
          <w:rFonts w:hint="eastAsia" w:hAnsi="宋体" w:cs="宋体"/>
          <w:color w:val="000000" w:themeColor="text1"/>
          <w:szCs w:val="21"/>
          <w:highlight w:val="none"/>
          <w14:textFill>
            <w14:solidFill>
              <w14:schemeClr w14:val="tx1"/>
            </w14:solidFill>
          </w14:textFill>
        </w:rPr>
        <w:t>投标文件内容不完整、漏读或者查找不到相关内容导致投标文件被视为无效的后果由投标人自行负责。</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19" w:name="_Toc469874176"/>
      <w:bookmarkStart w:id="120" w:name="_Toc405942984"/>
      <w:bookmarkStart w:id="121" w:name="_Toc395066526"/>
      <w:bookmarkStart w:id="122" w:name="_Toc200268248"/>
      <w:r>
        <w:rPr>
          <w:rFonts w:hint="eastAsia" w:ascii="宋体" w:hAnsi="宋体" w:eastAsia="宋体" w:cs="宋体"/>
          <w:color w:val="000000" w:themeColor="text1"/>
          <w:sz w:val="21"/>
          <w:szCs w:val="21"/>
          <w:highlight w:val="none"/>
          <w14:textFill>
            <w14:solidFill>
              <w14:schemeClr w14:val="tx1"/>
            </w14:solidFill>
          </w14:textFill>
        </w:rPr>
        <w:t>11、</w:t>
      </w:r>
      <w:bookmarkEnd w:id="118"/>
      <w:bookmarkEnd w:id="119"/>
      <w:bookmarkEnd w:id="120"/>
      <w:bookmarkEnd w:id="121"/>
      <w:bookmarkEnd w:id="122"/>
      <w:r>
        <w:rPr>
          <w:rFonts w:hint="eastAsia" w:ascii="宋体" w:hAnsi="宋体" w:eastAsia="宋体" w:cs="宋体"/>
          <w:color w:val="000000" w:themeColor="text1"/>
          <w:sz w:val="21"/>
          <w:szCs w:val="21"/>
          <w:highlight w:val="none"/>
          <w14:textFill>
            <w14:solidFill>
              <w14:schemeClr w14:val="tx1"/>
            </w14:solidFill>
          </w14:textFill>
        </w:rPr>
        <w:t>投标文件的语言及计量单位</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bookmarkStart w:id="123" w:name="_Toc200268249"/>
      <w:bookmarkStart w:id="124" w:name="_Toc185702559"/>
      <w:r>
        <w:rPr>
          <w:rFonts w:hint="eastAsia" w:hAnsi="宋体"/>
          <w:color w:val="000000" w:themeColor="text1"/>
          <w:szCs w:val="2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11.1语言。投标人提交的投标文件以及投标人与采购人、采购代理机构就有关投标的所有来往函电，</w:t>
      </w:r>
      <w:r>
        <w:rPr>
          <w:rFonts w:hint="eastAsia" w:hAnsi="宋体" w:cs="宋体"/>
          <w:color w:val="000000" w:themeColor="text1"/>
          <w:szCs w:val="21"/>
          <w:highlight w:val="none"/>
          <w14:textFill>
            <w14:solidFill>
              <w14:schemeClr w14:val="tx1"/>
            </w14:solidFill>
          </w14:textFill>
        </w:rPr>
        <w:t>均应以中文汉语书写。</w:t>
      </w:r>
      <w:r>
        <w:rPr>
          <w:rFonts w:hint="eastAsia" w:hAnsi="宋体" w:cs="宋体"/>
          <w:color w:val="000000" w:themeColor="text1"/>
          <w:highlight w:val="none"/>
          <w14:textFill>
            <w14:solidFill>
              <w14:schemeClr w14:val="tx1"/>
            </w14:solidFill>
          </w14:textFill>
        </w:rPr>
        <w:t>除签名、盖章、专用名称等特殊情形外，以中文汉语以外的文字表述的投标文件视同未提供。</w:t>
      </w:r>
    </w:p>
    <w:p>
      <w:pPr>
        <w:pStyle w:val="20"/>
        <w:spacing w:line="380" w:lineRule="exact"/>
        <w:ind w:left="525" w:hanging="525" w:hangingChars="250"/>
        <w:rPr>
          <w:rFonts w:hAnsi="宋体" w:cs="宋体"/>
          <w:color w:val="000000" w:themeColor="text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11.2</w:t>
      </w:r>
      <w:r>
        <w:rPr>
          <w:rFonts w:hint="eastAsia" w:hAnsi="宋体" w:cs="宋体"/>
          <w:color w:val="000000" w:themeColor="text1"/>
          <w:szCs w:val="21"/>
          <w:highlight w:val="none"/>
          <w14:textFill>
            <w14:solidFill>
              <w14:schemeClr w14:val="tx1"/>
            </w14:solidFill>
          </w14:textFill>
        </w:rPr>
        <w:t>计量单位。招标文件已有明确规定的，投标使用招标文件规定的计量单位；招标文件没有规定的，应采用中华人民共和国法定计量单位，否则视为无效投标。</w:t>
      </w:r>
    </w:p>
    <w:bookmarkEnd w:id="123"/>
    <w:bookmarkEnd w:id="124"/>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25" w:name="_Toc395066528"/>
      <w:bookmarkStart w:id="126" w:name="_Toc405942986"/>
      <w:bookmarkStart w:id="127" w:name="_Toc469874177"/>
      <w:bookmarkStart w:id="128" w:name="_Toc200268250"/>
      <w:bookmarkStart w:id="129" w:name="_Toc185702560"/>
      <w:r>
        <w:rPr>
          <w:rFonts w:hint="eastAsia" w:hAnsi="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12、投标报价</w:t>
      </w:r>
      <w:bookmarkEnd w:id="125"/>
      <w:bookmarkEnd w:id="126"/>
      <w:bookmarkEnd w:id="127"/>
      <w:bookmarkEnd w:id="128"/>
      <w:bookmarkEnd w:id="129"/>
    </w:p>
    <w:p>
      <w:pPr>
        <w:pStyle w:val="20"/>
        <w:spacing w:line="400" w:lineRule="exact"/>
        <w:ind w:left="525" w:hanging="525" w:hangingChars="250"/>
        <w:rPr>
          <w:rFonts w:hAnsi="宋体" w:cs="宋体"/>
          <w:color w:val="000000" w:themeColor="text1"/>
          <w:szCs w:val="21"/>
          <w:highlight w:val="none"/>
          <w14:textFill>
            <w14:solidFill>
              <w14:schemeClr w14:val="tx1"/>
            </w14:solidFill>
          </w14:textFill>
        </w:rPr>
      </w:pPr>
      <w:bookmarkStart w:id="130" w:name="_Toc185702564"/>
      <w:bookmarkStart w:id="131" w:name="_Toc405942990"/>
      <w:bookmarkStart w:id="132" w:name="_Toc200268253"/>
      <w:bookmarkStart w:id="133" w:name="_Toc469874178"/>
      <w:bookmarkStart w:id="134" w:name="_Toc395066532"/>
      <w:r>
        <w:rPr>
          <w:rFonts w:hint="eastAsia" w:hAnsi="宋体" w:cs="宋体"/>
          <w:color w:val="000000" w:themeColor="text1"/>
          <w:highlight w:val="none"/>
          <w14:textFill>
            <w14:solidFill>
              <w14:schemeClr w14:val="tx1"/>
            </w14:solidFill>
          </w14:textFill>
        </w:rPr>
        <w:t>12.1</w:t>
      </w:r>
      <w:r>
        <w:rPr>
          <w:rFonts w:hint="eastAsia" w:hAnsi="宋体" w:cs="宋体"/>
          <w:color w:val="000000" w:themeColor="text1"/>
          <w:szCs w:val="21"/>
          <w:highlight w:val="none"/>
          <w14:textFill>
            <w14:solidFill>
              <w14:schemeClr w14:val="tx1"/>
            </w14:solidFill>
          </w14:textFill>
        </w:rPr>
        <w:t>投标报价：</w:t>
      </w:r>
      <w:r>
        <w:rPr>
          <w:rFonts w:hint="eastAsia" w:hAnsi="宋体" w:cs="宋体"/>
          <w:color w:val="000000" w:themeColor="text1"/>
          <w:highlight w:val="none"/>
          <w14:textFill>
            <w14:solidFill>
              <w14:schemeClr w14:val="tx1"/>
            </w14:solidFill>
          </w14:textFill>
        </w:rPr>
        <w:t>投标人就第二章“采购内容及要求”中的项目和服务内容可能发生的所有费用作唯一完整报价。（本项目只允许递交一个方案的报价，不接受任何有选择性的报价。）</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12.2投标人所提供的货物和服务均应以人民币报价，若同时以人民币及外币报价的，以人民币报价为准。</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12.3投标人的投标报价是履行合同的最终价格。应包括“第二章采购内容及要求”的内容、责任范围以及合同条款规定的价格。</w:t>
      </w:r>
      <w:r>
        <w:rPr>
          <w:rFonts w:hint="eastAsia" w:hAnsi="宋体" w:cs="宋体"/>
          <w:color w:val="000000" w:themeColor="text1"/>
          <w:kern w:val="1"/>
          <w:szCs w:val="21"/>
          <w:highlight w:val="none"/>
          <w14:textFill>
            <w14:solidFill>
              <w14:schemeClr w14:val="tx1"/>
            </w14:solidFill>
          </w14:textFill>
        </w:rPr>
        <w:t>对于招标文件中未列明，而投标人认为必需的费用也需列入总报价。在合同实施时，采购人将不予支付中标人没有列入的项目费用，并认为此项目的费用已包括在总报价中。</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12.4如有《投标报价明细表》，填写时应响应下列要求：</w:t>
      </w:r>
    </w:p>
    <w:p>
      <w:pPr>
        <w:pStyle w:val="20"/>
        <w:spacing w:line="40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（1）对于报价免费的项目必须标明“免费”；</w:t>
      </w:r>
    </w:p>
    <w:p>
      <w:pPr>
        <w:pStyle w:val="20"/>
        <w:spacing w:line="40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r>
        <w:rPr>
          <w:rFonts w:hint="eastAsia" w:hAnsi="宋体" w:cs="宋体"/>
          <w:color w:val="000000" w:themeColor="text1"/>
          <w:kern w:val="0"/>
          <w:szCs w:val="21"/>
          <w:highlight w:val="none"/>
          <w14:textFill>
            <w14:solidFill>
              <w14:schemeClr w14:val="tx1"/>
            </w14:solidFill>
          </w14:textFill>
        </w:rPr>
        <w:t>投标报价</w:t>
      </w:r>
      <w:r>
        <w:rPr>
          <w:rFonts w:hint="eastAsia" w:hAnsi="宋体" w:cs="宋体"/>
          <w:color w:val="000000" w:themeColor="text1"/>
          <w:highlight w:val="none"/>
          <w14:textFill>
            <w14:solidFill>
              <w14:schemeClr w14:val="tx1"/>
            </w14:solidFill>
          </w14:textFill>
        </w:rPr>
        <w:t>包含货物、服务、安装调试、随配附件、备品备件、工具、辅助材料、货物运抵指定交货地点安装的各种费用售后服务、税金及其它所有成本费用的总和（其中：安装附件所涉及的费用应包括完整的安装、调试，各种接口及连接件、施工材料、辅助材料、支架、线材及人工费用），投标人漏项报价的或有选择的或有条件的报价，其投标文件将视为无效。</w:t>
      </w:r>
    </w:p>
    <w:p>
      <w:pPr>
        <w:pStyle w:val="20"/>
        <w:spacing w:line="38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12.5投标人所填报的产品内容如存在有漏项的情况且在评标时被接受，则将被认定为该遗漏项已包含在投标报价中，采购人对其漏报的项目不追加任何货款。</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13、投标的有效期</w:t>
      </w:r>
      <w:bookmarkEnd w:id="130"/>
      <w:bookmarkEnd w:id="131"/>
      <w:bookmarkEnd w:id="132"/>
      <w:bookmarkEnd w:id="133"/>
      <w:bookmarkEnd w:id="134"/>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13.1投标</w:t>
      </w:r>
      <w:r>
        <w:rPr>
          <w:rFonts w:hint="eastAsia" w:hAnsi="宋体" w:cs="宋体"/>
          <w:color w:val="000000" w:themeColor="text1"/>
          <w:szCs w:val="21"/>
          <w:highlight w:val="none"/>
          <w14:textFill>
            <w14:solidFill>
              <w14:schemeClr w14:val="tx1"/>
            </w14:solidFill>
          </w14:textFill>
        </w:rPr>
        <w:t>有效期</w:t>
      </w: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spacing w:val="-2"/>
          <w:szCs w:val="21"/>
          <w:highlight w:val="none"/>
          <w14:textFill>
            <w14:solidFill>
              <w14:schemeClr w14:val="tx1"/>
            </w14:solidFill>
          </w14:textFill>
        </w:rPr>
        <w:t>投标</w:t>
      </w:r>
      <w:r>
        <w:rPr>
          <w:rFonts w:hint="eastAsia" w:hAnsi="宋体" w:cs="宋体"/>
          <w:color w:val="000000" w:themeColor="text1"/>
          <w:highlight w:val="none"/>
          <w14:textFill>
            <w14:solidFill>
              <w14:schemeClr w14:val="tx1"/>
            </w14:solidFill>
          </w14:textFill>
        </w:rPr>
        <w:t>文件从投标截止日起</w:t>
      </w:r>
      <w:r>
        <w:rPr>
          <w:rFonts w:hint="eastAsia" w:hAnsi="宋体" w:cs="宋体"/>
          <w:color w:val="000000" w:themeColor="text1"/>
          <w:highlight w:val="none"/>
          <w:lang w:val="en-US" w:eastAsia="zh-CN"/>
          <w14:textFill>
            <w14:solidFill>
              <w14:schemeClr w14:val="tx1"/>
            </w14:solidFill>
          </w14:textFill>
        </w:rPr>
        <w:t>90</w:t>
      </w:r>
      <w:r>
        <w:rPr>
          <w:rFonts w:hint="eastAsia" w:hAnsi="宋体" w:cs="宋体"/>
          <w:color w:val="000000" w:themeColor="text1"/>
          <w:highlight w:val="none"/>
          <w14:textFill>
            <w14:solidFill>
              <w14:schemeClr w14:val="tx1"/>
            </w14:solidFill>
          </w14:textFill>
        </w:rPr>
        <w:t>天内有效。有效期不足的投标文件视为无效。</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13.2在特殊情况下，采购人、采购代理机构可于投标有效期满之前要求投标人同意延长有效期，要求与答复均应以书面形式。投标人可以拒绝上述要求而其投标保证金不被没收，不同意延期的投标人的投标保证金将在中标通知书发出后5个工作日内无息退还。同意延期的投标人根据原截止期应负之权利及责任相应也延至新的截止期，但不能要求对原投标文件（经评标小组确认有效且没有超出投标文件的范围或改变投标的实质内容的澄清或说明作为投标文件的组成部分）作任何改变，并同意在延长的投标有效期内遵循本投标文件，在延长的投标有效期满之前继续具有约束力。</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35" w:name="_Toc405942991"/>
      <w:bookmarkStart w:id="136" w:name="_Toc469874179"/>
      <w:bookmarkStart w:id="137" w:name="_Toc395066533"/>
      <w:bookmarkStart w:id="138" w:name="_Toc185702565"/>
      <w:bookmarkStart w:id="139" w:name="_Toc200268254"/>
      <w:r>
        <w:rPr>
          <w:rFonts w:hint="eastAsia" w:ascii="宋体" w:hAnsi="宋体" w:eastAsia="宋体" w:cs="宋体"/>
          <w:color w:val="000000" w:themeColor="text1"/>
          <w:sz w:val="21"/>
          <w:szCs w:val="21"/>
          <w:highlight w:val="none"/>
          <w14:textFill>
            <w14:solidFill>
              <w14:schemeClr w14:val="tx1"/>
            </w14:solidFill>
          </w14:textFill>
        </w:rPr>
        <w:t>14、</w:t>
      </w:r>
      <w:bookmarkEnd w:id="135"/>
      <w:bookmarkEnd w:id="136"/>
      <w:bookmarkEnd w:id="137"/>
      <w:bookmarkEnd w:id="138"/>
      <w:bookmarkEnd w:id="139"/>
      <w:r>
        <w:rPr>
          <w:rFonts w:hint="eastAsia" w:ascii="宋体" w:hAnsi="宋体" w:eastAsia="宋体" w:cs="宋体"/>
          <w:color w:val="000000" w:themeColor="text1"/>
          <w:sz w:val="21"/>
          <w:szCs w:val="21"/>
          <w:highlight w:val="none"/>
          <w14:textFill>
            <w14:solidFill>
              <w14:schemeClr w14:val="tx1"/>
            </w14:solidFill>
          </w14:textFill>
        </w:rPr>
        <w:t>投标保证金</w:t>
      </w:r>
    </w:p>
    <w:p>
      <w:pPr>
        <w:pStyle w:val="20"/>
        <w:spacing w:line="400" w:lineRule="exact"/>
        <w:ind w:left="525" w:hanging="525" w:hangingChars="250"/>
        <w:rPr>
          <w:rFonts w:hAnsi="宋体" w:cs="宋体"/>
          <w:color w:val="000000" w:themeColor="text1"/>
          <w:spacing w:val="-4"/>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w:t>
      </w:r>
      <w:r>
        <w:rPr>
          <w:rFonts w:hint="eastAsia" w:hAnsi="宋体" w:cs="宋体"/>
          <w:color w:val="000000" w:themeColor="text1"/>
          <w:spacing w:val="-4"/>
          <w:highlight w:val="none"/>
          <w14:textFill>
            <w14:solidFill>
              <w14:schemeClr w14:val="tx1"/>
            </w14:solidFill>
          </w14:textFill>
        </w:rPr>
        <w:t>14.1</w:t>
      </w:r>
      <w:r>
        <w:rPr>
          <w:rFonts w:hint="eastAsia" w:hAnsi="宋体" w:cs="宋体"/>
          <w:color w:val="000000" w:themeColor="text1"/>
          <w:szCs w:val="21"/>
          <w:highlight w:val="none"/>
          <w14:textFill>
            <w14:solidFill>
              <w14:schemeClr w14:val="tx1"/>
            </w14:solidFill>
          </w14:textFill>
        </w:rPr>
        <w:t>投标人应按本章</w:t>
      </w:r>
      <w:r>
        <w:rPr>
          <w:rFonts w:hint="eastAsia" w:hAnsi="宋体" w:cs="宋体"/>
          <w:color w:val="000000" w:themeColor="text1"/>
          <w:spacing w:val="-4"/>
          <w:highlight w:val="none"/>
          <w14:textFill>
            <w14:solidFill>
              <w14:schemeClr w14:val="tx1"/>
            </w14:solidFill>
          </w14:textFill>
        </w:rPr>
        <w:t>须知前附表第9项规定的金额和期限交纳投标保证金</w:t>
      </w:r>
      <w:r>
        <w:rPr>
          <w:rFonts w:hint="eastAsia" w:hAnsi="宋体" w:cs="宋体"/>
          <w:color w:val="000000" w:themeColor="text1"/>
          <w:szCs w:val="21"/>
          <w:highlight w:val="none"/>
          <w14:textFill>
            <w14:solidFill>
              <w14:schemeClr w14:val="tx1"/>
            </w14:solidFill>
          </w14:textFill>
        </w:rPr>
        <w:t>，投标保证金作为投标文件的组成部分</w:t>
      </w:r>
      <w:r>
        <w:rPr>
          <w:rFonts w:hint="eastAsia" w:hAnsi="宋体" w:cs="宋体"/>
          <w:color w:val="000000" w:themeColor="text1"/>
          <w:highlight w:val="none"/>
          <w14:textFill>
            <w14:solidFill>
              <w14:schemeClr w14:val="tx1"/>
            </w14:solidFill>
          </w14:textFill>
        </w:rPr>
        <w:t>。未按规定交纳投标保证金或未提供相关递交证明的，将视其为不响应投标条件而予以拒绝。</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14.2落标人办理退投标保证金手续时，须向</w:t>
      </w:r>
      <w:r>
        <w:rPr>
          <w:rFonts w:hint="eastAsia" w:hAnsi="宋体" w:cs="宋体"/>
          <w:color w:val="000000" w:themeColor="text1"/>
          <w:highlight w:val="none"/>
          <w:u w:val="single"/>
          <w14:textFill>
            <w14:solidFill>
              <w14:schemeClr w14:val="tx1"/>
            </w14:solidFill>
          </w14:textFill>
        </w:rPr>
        <w:t>采购代理机构财务部</w:t>
      </w:r>
      <w:r>
        <w:rPr>
          <w:rFonts w:hint="eastAsia" w:hAnsi="宋体" w:cs="宋体"/>
          <w:color w:val="000000" w:themeColor="text1"/>
          <w:highlight w:val="none"/>
          <w14:textFill>
            <w14:solidFill>
              <w14:schemeClr w14:val="tx1"/>
            </w14:solidFill>
          </w14:textFill>
        </w:rPr>
        <w:t>递交“投标保证金声明原件”申请</w:t>
      </w:r>
      <w:r>
        <w:rPr>
          <w:rFonts w:hAnsi="宋体" w:cs="宋体"/>
          <w:color w:val="000000" w:themeColor="text1"/>
          <w:highlight w:val="none"/>
          <w14:textFill>
            <w14:solidFill>
              <w14:schemeClr w14:val="tx1"/>
            </w14:solidFill>
          </w14:textFill>
        </w:rPr>
        <w:t>退还。</w:t>
      </w:r>
      <w:r>
        <w:rPr>
          <w:rFonts w:hAnsi="宋体" w:cs="宋体"/>
          <w:color w:val="000000" w:themeColor="text1"/>
          <w:highlight w:val="none"/>
          <w:u w:val="single"/>
          <w14:textFill>
            <w14:solidFill>
              <w14:schemeClr w14:val="tx1"/>
            </w14:solidFill>
          </w14:textFill>
        </w:rPr>
        <w:t>采购代理机构财务部</w:t>
      </w:r>
      <w:r>
        <w:rPr>
          <w:rFonts w:hAnsi="宋体" w:cs="宋体"/>
          <w:color w:val="000000" w:themeColor="text1"/>
          <w:highlight w:val="none"/>
          <w14:textFill>
            <w14:solidFill>
              <w14:schemeClr w14:val="tx1"/>
            </w14:solidFill>
          </w14:textFill>
        </w:rPr>
        <w:t>收到退还申请</w:t>
      </w:r>
      <w:r>
        <w:rPr>
          <w:rFonts w:hint="eastAsia" w:hAnsi="宋体" w:cs="宋体"/>
          <w:color w:val="000000" w:themeColor="text1"/>
          <w:highlight w:val="none"/>
          <w14:textFill>
            <w14:solidFill>
              <w14:schemeClr w14:val="tx1"/>
            </w14:solidFill>
          </w14:textFill>
        </w:rPr>
        <w:t>，将在中标通知书发出后5个工作日内无息原额退还，但因投标人自身原因导致无法及时退还的除外。</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14.3中标人的投标保证金,</w:t>
      </w:r>
      <w:r>
        <w:rPr>
          <w:rFonts w:hAnsi="宋体" w:cs="宋体"/>
          <w:color w:val="000000" w:themeColor="text1"/>
          <w:highlight w:val="none"/>
          <w14:textFill>
            <w14:solidFill>
              <w14:schemeClr w14:val="tx1"/>
            </w14:solidFill>
          </w14:textFill>
        </w:rPr>
        <w:t>自签订合同并缴纳履约保证金后</w:t>
      </w:r>
      <w:r>
        <w:rPr>
          <w:rFonts w:hint="eastAsia" w:hAnsi="宋体" w:cs="宋体"/>
          <w:color w:val="000000" w:themeColor="text1"/>
          <w:highlight w:val="none"/>
          <w14:textFill>
            <w14:solidFill>
              <w14:schemeClr w14:val="tx1"/>
            </w14:solidFill>
          </w14:textFill>
        </w:rPr>
        <w:t>5个工作日内无息原额退还，但因投标人自身原因导致无法及时退还的除外。</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14.4如有质疑或投诉，将在质疑和投诉处理完毕后无息原额退还。</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14.5有下列情形之一的，投标人的投标保证金不予退还：</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（1）在投标有效期内撤销其投标文件的；</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（2）在投标过程中弄虚作假，提供虚假材料的；</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（3）除因不可抗力或招标文件认可的情形以外，中标人无正当理由不与采购人签订合同的；</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（4）将中标项目转让给他人；</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（5）拒绝履行合同义务的；</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（6）其他严重扰乱招投标程序的；</w:t>
      </w:r>
    </w:p>
    <w:p>
      <w:pPr>
        <w:pStyle w:val="20"/>
        <w:spacing w:line="390" w:lineRule="exact"/>
        <w:ind w:left="42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（7）招标文件规定的其他情形。</w:t>
      </w:r>
    </w:p>
    <w:p>
      <w:pPr>
        <w:pStyle w:val="20"/>
        <w:spacing w:line="390" w:lineRule="exact"/>
        <w:ind w:left="420" w:leftChars="200"/>
        <w:rPr>
          <w:rFonts w:hAnsi="宋体" w:cs="宋体"/>
          <w:color w:val="000000" w:themeColor="text1"/>
          <w:highlight w:val="none"/>
          <w14:textFill>
            <w14:solidFill>
              <w14:schemeClr w14:val="tx1"/>
            </w14:solidFill>
          </w14:textFill>
        </w:rPr>
      </w:pPr>
    </w:p>
    <w:p>
      <w:pPr>
        <w:pStyle w:val="3"/>
        <w:spacing w:line="400" w:lineRule="exact"/>
        <w:jc w:val="center"/>
        <w:rPr>
          <w:rFonts w:ascii="宋体" w:hAnsi="宋体" w:cs="宋体"/>
          <w:color w:val="000000" w:themeColor="text1"/>
          <w:highlight w:val="none"/>
          <w14:textFill>
            <w14:solidFill>
              <w14:schemeClr w14:val="tx1"/>
            </w14:solidFill>
          </w14:textFill>
        </w:rPr>
      </w:pPr>
      <w:bookmarkStart w:id="140" w:name="_Toc5877"/>
      <w:r>
        <w:rPr>
          <w:rFonts w:hint="eastAsia" w:ascii="宋体" w:hAnsi="宋体" w:cs="宋体"/>
          <w:color w:val="000000" w:themeColor="text1"/>
          <w:highlight w:val="none"/>
          <w14:textFill>
            <w14:solidFill>
              <w14:schemeClr w14:val="tx1"/>
            </w14:solidFill>
          </w14:textFill>
        </w:rPr>
        <w:t>四、投标文件的递交</w:t>
      </w:r>
      <w:bookmarkEnd w:id="140"/>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41" w:name="_Toc185702566"/>
      <w:bookmarkStart w:id="142" w:name="_Toc395066534"/>
      <w:bookmarkStart w:id="143" w:name="_Toc200268255"/>
      <w:bookmarkStart w:id="144" w:name="_Toc469874180"/>
      <w:bookmarkStart w:id="145" w:name="_Toc405942992"/>
      <w:r>
        <w:rPr>
          <w:rFonts w:hint="eastAsia" w:ascii="宋体" w:hAnsi="宋体" w:eastAsia="宋体" w:cs="宋体"/>
          <w:color w:val="000000" w:themeColor="text1"/>
          <w:sz w:val="21"/>
          <w:szCs w:val="21"/>
          <w:highlight w:val="none"/>
          <w14:textFill>
            <w14:solidFill>
              <w14:schemeClr w14:val="tx1"/>
            </w14:solidFill>
          </w14:textFill>
        </w:rPr>
        <w:t>15、</w:t>
      </w:r>
      <w:bookmarkEnd w:id="141"/>
      <w:bookmarkEnd w:id="142"/>
      <w:bookmarkEnd w:id="143"/>
      <w:bookmarkEnd w:id="144"/>
      <w:bookmarkEnd w:id="145"/>
      <w:r>
        <w:rPr>
          <w:rFonts w:hint="eastAsia" w:ascii="宋体" w:hAnsi="宋体" w:eastAsia="宋体" w:cs="宋体"/>
          <w:color w:val="000000" w:themeColor="text1"/>
          <w:sz w:val="21"/>
          <w:szCs w:val="21"/>
          <w:highlight w:val="none"/>
          <w14:textFill>
            <w14:solidFill>
              <w14:schemeClr w14:val="tx1"/>
            </w14:solidFill>
          </w14:textFill>
        </w:rPr>
        <w:t>投标文件包装、密封与标记</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15.1投标文件所有正本、副本、投标文件电子版一并包装在一个密封袋内加以密封，均</w:t>
      </w:r>
      <w:r>
        <w:rPr>
          <w:rFonts w:hint="eastAsia" w:hAnsi="宋体" w:cs="宋体"/>
          <w:color w:val="000000" w:themeColor="text1"/>
          <w:kern w:val="0"/>
          <w:szCs w:val="21"/>
          <w:highlight w:val="none"/>
          <w14:textFill>
            <w14:solidFill>
              <w14:schemeClr w14:val="tx1"/>
            </w14:solidFill>
          </w14:textFill>
        </w:rPr>
        <w:t>在</w:t>
      </w:r>
      <w:r>
        <w:rPr>
          <w:rFonts w:hint="eastAsia" w:hAnsi="宋体" w:cs="宋体"/>
          <w:color w:val="000000" w:themeColor="text1"/>
          <w:highlight w:val="none"/>
          <w14:textFill>
            <w14:solidFill>
              <w14:schemeClr w14:val="tx1"/>
            </w14:solidFill>
          </w14:textFill>
        </w:rPr>
        <w:t>封贴处密封签章</w:t>
      </w:r>
      <w:r>
        <w:rPr>
          <w:rFonts w:hint="eastAsia" w:hAnsi="宋体" w:cs="宋体"/>
          <w:color w:val="000000" w:themeColor="text1"/>
          <w:spacing w:val="-2"/>
          <w:szCs w:val="21"/>
          <w:highlight w:val="none"/>
          <w14:textFill>
            <w14:solidFill>
              <w14:schemeClr w14:val="tx1"/>
            </w14:solidFill>
          </w14:textFill>
        </w:rPr>
        <w:t>（公章/密封章/法定代表人（</w:t>
      </w:r>
      <w:r>
        <w:rPr>
          <w:rFonts w:hint="eastAsia" w:hAnsi="宋体"/>
          <w:color w:val="000000" w:themeColor="text1"/>
          <w:kern w:val="0"/>
          <w:szCs w:val="21"/>
          <w:highlight w:val="none"/>
          <w14:textFill>
            <w14:solidFill>
              <w14:schemeClr w14:val="tx1"/>
            </w14:solidFill>
          </w14:textFill>
        </w:rPr>
        <w:t>或负责人</w:t>
      </w:r>
      <w:r>
        <w:rPr>
          <w:rFonts w:hint="eastAsia" w:hAnsi="宋体" w:cs="宋体"/>
          <w:color w:val="000000" w:themeColor="text1"/>
          <w:spacing w:val="-2"/>
          <w:szCs w:val="21"/>
          <w:highlight w:val="none"/>
          <w14:textFill>
            <w14:solidFill>
              <w14:schemeClr w14:val="tx1"/>
            </w14:solidFill>
          </w14:textFill>
        </w:rPr>
        <w:t>）</w:t>
      </w:r>
      <w:r>
        <w:rPr>
          <w:rFonts w:hint="eastAsia" w:hAnsi="宋体" w:cs="宋体"/>
          <w:color w:val="000000" w:themeColor="text1"/>
          <w:kern w:val="0"/>
          <w:szCs w:val="21"/>
          <w:highlight w:val="none"/>
          <w14:textFill>
            <w14:solidFill>
              <w14:schemeClr w14:val="tx1"/>
            </w14:solidFill>
          </w14:textFill>
        </w:rPr>
        <w:t>签字</w:t>
      </w:r>
      <w:r>
        <w:rPr>
          <w:rFonts w:hint="eastAsia" w:hAnsi="宋体" w:cs="宋体"/>
          <w:color w:val="000000" w:themeColor="text1"/>
          <w:spacing w:val="-2"/>
          <w:szCs w:val="21"/>
          <w:highlight w:val="none"/>
          <w14:textFill>
            <w14:solidFill>
              <w14:schemeClr w14:val="tx1"/>
            </w14:solidFill>
          </w14:textFill>
        </w:rPr>
        <w:t>/委托代理人签字均可）</w:t>
      </w:r>
      <w:r>
        <w:rPr>
          <w:rFonts w:hint="eastAsia" w:hAnsi="宋体" w:cs="宋体"/>
          <w:color w:val="000000" w:themeColor="text1"/>
          <w:highlight w:val="none"/>
          <w14:textFill>
            <w14:solidFill>
              <w14:schemeClr w14:val="tx1"/>
            </w14:solidFill>
          </w14:textFill>
        </w:rPr>
        <w:t>。</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15.2密封袋（信封）封面应注明：</w:t>
      </w:r>
    </w:p>
    <w:p>
      <w:pPr>
        <w:pStyle w:val="20"/>
        <w:spacing w:line="400" w:lineRule="exact"/>
        <w:ind w:firstLine="126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项目名称：</w:t>
      </w:r>
      <w:r>
        <w:rPr>
          <w:rFonts w:hint="eastAsia" w:hAnsi="宋体" w:cs="宋体"/>
          <w:color w:val="000000" w:themeColor="text1"/>
          <w:highlight w:val="none"/>
          <w:u w:val="single"/>
          <w14:textFill>
            <w14:solidFill>
              <w14:schemeClr w14:val="tx1"/>
            </w14:solidFill>
          </w14:textFill>
        </w:rPr>
        <w:t xml:space="preserve">                                 </w:t>
      </w:r>
    </w:p>
    <w:p>
      <w:pPr>
        <w:pStyle w:val="20"/>
        <w:spacing w:line="400" w:lineRule="exact"/>
        <w:ind w:firstLine="126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项目编号：</w:t>
      </w:r>
      <w:r>
        <w:rPr>
          <w:rFonts w:hint="eastAsia" w:hAnsi="宋体" w:cs="宋体"/>
          <w:color w:val="000000" w:themeColor="text1"/>
          <w:highlight w:val="none"/>
          <w:u w:val="single"/>
          <w14:textFill>
            <w14:solidFill>
              <w14:schemeClr w14:val="tx1"/>
            </w14:solidFill>
          </w14:textFill>
        </w:rPr>
        <w:t xml:space="preserve">                                 </w:t>
      </w:r>
    </w:p>
    <w:p>
      <w:pPr>
        <w:pStyle w:val="20"/>
        <w:spacing w:line="400" w:lineRule="exact"/>
        <w:ind w:firstLine="126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投标人名称（加盖公章）：</w:t>
      </w:r>
      <w:r>
        <w:rPr>
          <w:rFonts w:hint="eastAsia" w:hAnsi="宋体" w:cs="宋体"/>
          <w:color w:val="000000" w:themeColor="text1"/>
          <w:highlight w:val="none"/>
          <w:u w:val="single"/>
          <w14:textFill>
            <w14:solidFill>
              <w14:schemeClr w14:val="tx1"/>
            </w14:solidFill>
          </w14:textFill>
        </w:rPr>
        <w:t xml:space="preserve">                   </w:t>
      </w:r>
    </w:p>
    <w:p>
      <w:pPr>
        <w:pStyle w:val="20"/>
        <w:spacing w:line="400" w:lineRule="exact"/>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投标人地址：</w:t>
      </w:r>
      <w:r>
        <w:rPr>
          <w:rFonts w:hint="eastAsia" w:hAnsi="宋体" w:cs="宋体"/>
          <w:color w:val="000000" w:themeColor="text1"/>
          <w:highlight w:val="none"/>
          <w:u w:val="single"/>
          <w14:textFill>
            <w14:solidFill>
              <w14:schemeClr w14:val="tx1"/>
            </w14:solidFill>
          </w14:textFill>
        </w:rPr>
        <w:t xml:space="preserve">                               </w:t>
      </w:r>
    </w:p>
    <w:p>
      <w:pPr>
        <w:pStyle w:val="20"/>
        <w:spacing w:line="400" w:lineRule="exact"/>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w:t>
      </w:r>
      <w:r>
        <w:rPr>
          <w:rFonts w:hint="eastAsia" w:hAnsi="宋体"/>
          <w:color w:val="000000" w:themeColor="text1"/>
          <w:kern w:val="0"/>
          <w:szCs w:val="21"/>
          <w:highlight w:val="none"/>
          <w14:textFill>
            <w14:solidFill>
              <w14:schemeClr w14:val="tx1"/>
            </w14:solidFill>
          </w14:textFill>
        </w:rPr>
        <w:t>或负责人</w:t>
      </w:r>
      <w:r>
        <w:rPr>
          <w:rFonts w:hint="eastAsia" w:hAnsi="宋体" w:cs="宋体"/>
          <w:color w:val="000000" w:themeColor="text1"/>
          <w:highlight w:val="none"/>
          <w14:textFill>
            <w14:solidFill>
              <w14:schemeClr w14:val="tx1"/>
            </w14:solidFill>
          </w14:textFill>
        </w:rPr>
        <w:t>）或其委托理人（签名）：</w:t>
      </w:r>
      <w:r>
        <w:rPr>
          <w:rFonts w:hint="eastAsia" w:hAnsi="宋体" w:cs="宋体"/>
          <w:color w:val="000000" w:themeColor="text1"/>
          <w:highlight w:val="none"/>
          <w:u w:val="single"/>
          <w14:textFill>
            <w14:solidFill>
              <w14:schemeClr w14:val="tx1"/>
            </w14:solidFill>
          </w14:textFill>
        </w:rPr>
        <w:t xml:space="preserve">            </w:t>
      </w:r>
    </w:p>
    <w:p>
      <w:pPr>
        <w:pStyle w:val="20"/>
        <w:spacing w:line="400" w:lineRule="exact"/>
        <w:ind w:firstLine="126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u w:val="single"/>
          <w14:textFill>
            <w14:solidFill>
              <w14:schemeClr w14:val="tx1"/>
            </w14:solidFill>
          </w14:textFill>
        </w:rPr>
        <w:t>在      年    月    日    时    分开标时启封</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15.3投标人在递交投标文件时，未按本须知要求密封、标记的，采购代理机构有权拒收，拒收所产生的后果由投标人自负。</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46" w:name="_Toc395066536"/>
      <w:bookmarkStart w:id="147" w:name="_Toc405942994"/>
      <w:bookmarkStart w:id="148" w:name="_Toc185702568"/>
      <w:bookmarkStart w:id="149" w:name="_Toc469874182"/>
      <w:bookmarkStart w:id="150" w:name="_Toc200268257"/>
      <w:r>
        <w:rPr>
          <w:rFonts w:hint="eastAsia" w:ascii="宋体" w:hAnsi="宋体" w:eastAsia="宋体" w:cs="宋体"/>
          <w:color w:val="000000" w:themeColor="text1"/>
          <w:sz w:val="21"/>
          <w:szCs w:val="21"/>
          <w:highlight w:val="none"/>
          <w14:textFill>
            <w14:solidFill>
              <w14:schemeClr w14:val="tx1"/>
            </w14:solidFill>
          </w14:textFill>
        </w:rPr>
        <w:t>16、</w:t>
      </w:r>
      <w:bookmarkEnd w:id="146"/>
      <w:bookmarkEnd w:id="147"/>
      <w:bookmarkEnd w:id="148"/>
      <w:bookmarkEnd w:id="149"/>
      <w:bookmarkEnd w:id="150"/>
      <w:r>
        <w:rPr>
          <w:rFonts w:hint="eastAsia" w:ascii="宋体" w:hAnsi="宋体" w:eastAsia="宋体" w:cs="宋体"/>
          <w:color w:val="000000" w:themeColor="text1"/>
          <w:sz w:val="21"/>
          <w:szCs w:val="21"/>
          <w:highlight w:val="none"/>
          <w14:textFill>
            <w14:solidFill>
              <w14:schemeClr w14:val="tx1"/>
            </w14:solidFill>
          </w14:textFill>
        </w:rPr>
        <w:t>投标截止时间、地点</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16.1投标人必须在本章须知前附表第10项规定的投标截止时间及地点递交</w:t>
      </w:r>
      <w:r>
        <w:rPr>
          <w:rFonts w:hint="eastAsia" w:hAnsi="宋体" w:cs="宋体"/>
          <w:color w:val="000000" w:themeColor="text1"/>
          <w:spacing w:val="-4"/>
          <w:highlight w:val="none"/>
          <w14:textFill>
            <w14:solidFill>
              <w14:schemeClr w14:val="tx1"/>
            </w14:solidFill>
          </w14:textFill>
        </w:rPr>
        <w:t>投标文件。</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16.2若遇到参加投标的投标人过多造成部分投标人在截止时间前已抵达开标现场但未能签到的情况，投标人递交投标文件的时间以其进入招标文件规定的开标场所的时间为准。</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16.3属下列情形</w:t>
      </w:r>
      <w:r>
        <w:rPr>
          <w:rFonts w:hint="eastAsia" w:hAnsi="宋体" w:cs="宋体"/>
          <w:color w:val="000000" w:themeColor="text1"/>
          <w:spacing w:val="-4"/>
          <w:highlight w:val="none"/>
          <w14:textFill>
            <w14:solidFill>
              <w14:schemeClr w14:val="tx1"/>
            </w14:solidFill>
          </w14:textFill>
        </w:rPr>
        <w:t>之一</w:t>
      </w:r>
      <w:r>
        <w:rPr>
          <w:rFonts w:hint="eastAsia" w:hAnsi="宋体" w:cs="宋体"/>
          <w:color w:val="000000" w:themeColor="text1"/>
          <w:highlight w:val="none"/>
          <w14:textFill>
            <w14:solidFill>
              <w14:schemeClr w14:val="tx1"/>
            </w14:solidFill>
          </w14:textFill>
        </w:rPr>
        <w:t>的，采购人或采购代理机构应当拒绝接收投标人的投标文件：</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① 投标文件在规定的投标截止时间之后送到达的；</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② 投标文件未送达指定的递交地点的；</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③ 投标文件未按招标文件要求封装标记的；</w:t>
      </w:r>
    </w:p>
    <w:p>
      <w:pPr>
        <w:pStyle w:val="20"/>
        <w:spacing w:line="390" w:lineRule="exact"/>
        <w:ind w:left="42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④ 应标样品未与投标文件一并递交的或未按招标文件要求递交的（若招标文件要求递交样品的）；</w:t>
      </w:r>
    </w:p>
    <w:p>
      <w:pPr>
        <w:pStyle w:val="20"/>
        <w:spacing w:line="390" w:lineRule="exact"/>
        <w:ind w:left="420" w:leftChars="200"/>
        <w:rPr>
          <w:rFonts w:hAnsi="宋体" w:cs="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t xml:space="preserve">⑤ </w:t>
      </w:r>
      <w:r>
        <w:rPr>
          <w:rFonts w:hint="eastAsia" w:hAnsi="宋体" w:cs="宋体"/>
          <w:color w:val="000000" w:themeColor="text1"/>
          <w:highlight w:val="none"/>
          <w14:textFill>
            <w14:solidFill>
              <w14:schemeClr w14:val="tx1"/>
            </w14:solidFill>
          </w14:textFill>
        </w:rPr>
        <w:t>投标人</w:t>
      </w:r>
      <w:r>
        <w:rPr>
          <w:rFonts w:hAnsi="宋体" w:cs="宋体"/>
          <w:color w:val="000000" w:themeColor="text1"/>
          <w:highlight w:val="none"/>
          <w14:textFill>
            <w14:solidFill>
              <w14:schemeClr w14:val="tx1"/>
            </w14:solidFill>
          </w14:textFill>
        </w:rPr>
        <w:t>递交</w:t>
      </w:r>
      <w:r>
        <w:rPr>
          <w:rFonts w:hint="eastAsia" w:hAnsi="宋体" w:cs="宋体"/>
          <w:color w:val="000000" w:themeColor="text1"/>
          <w:highlight w:val="none"/>
          <w14:textFill>
            <w14:solidFill>
              <w14:schemeClr w14:val="tx1"/>
            </w14:solidFill>
          </w14:textFill>
        </w:rPr>
        <w:t>投标文件</w:t>
      </w:r>
      <w:r>
        <w:rPr>
          <w:rFonts w:hAnsi="宋体" w:cs="宋体"/>
          <w:color w:val="000000" w:themeColor="text1"/>
          <w:highlight w:val="none"/>
          <w14:textFill>
            <w14:solidFill>
              <w14:schemeClr w14:val="tx1"/>
            </w14:solidFill>
          </w14:textFill>
        </w:rPr>
        <w:t>时未同时携带</w:t>
      </w:r>
      <w:r>
        <w:rPr>
          <w:rFonts w:hint="eastAsia" w:hAnsi="宋体" w:cs="宋体"/>
          <w:color w:val="000000" w:themeColor="text1"/>
          <w:highlight w:val="none"/>
          <w14:textFill>
            <w14:solidFill>
              <w14:schemeClr w14:val="tx1"/>
            </w14:solidFill>
          </w14:textFill>
        </w:rPr>
        <w:t>投标人</w:t>
      </w:r>
      <w:r>
        <w:rPr>
          <w:rFonts w:hAnsi="宋体" w:cs="宋体"/>
          <w:color w:val="000000" w:themeColor="text1"/>
          <w:highlight w:val="none"/>
          <w14:textFill>
            <w14:solidFill>
              <w14:schemeClr w14:val="tx1"/>
            </w14:solidFill>
          </w14:textFill>
        </w:rPr>
        <w:t>须知前附表第11项规定的证件文件进行核验的。</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51" w:name="_Toc469874183"/>
      <w:bookmarkStart w:id="152" w:name="_Toc395066537"/>
      <w:bookmarkStart w:id="153" w:name="_Toc200268258"/>
      <w:bookmarkStart w:id="154" w:name="_Toc405942995"/>
      <w:bookmarkStart w:id="155" w:name="_Toc185702569"/>
      <w:r>
        <w:rPr>
          <w:rFonts w:hint="eastAsia" w:ascii="宋体" w:hAnsi="宋体" w:eastAsia="宋体" w:cs="宋体"/>
          <w:color w:val="000000" w:themeColor="text1"/>
          <w:sz w:val="21"/>
          <w:szCs w:val="21"/>
          <w:highlight w:val="none"/>
          <w14:textFill>
            <w14:solidFill>
              <w14:schemeClr w14:val="tx1"/>
            </w14:solidFill>
          </w14:textFill>
        </w:rPr>
        <w:t>17、</w:t>
      </w:r>
      <w:bookmarkEnd w:id="151"/>
      <w:bookmarkEnd w:id="152"/>
      <w:bookmarkEnd w:id="153"/>
      <w:bookmarkEnd w:id="154"/>
      <w:bookmarkEnd w:id="155"/>
      <w:r>
        <w:rPr>
          <w:rFonts w:hint="eastAsia" w:ascii="宋体" w:hAnsi="宋体" w:eastAsia="宋体" w:cs="宋体"/>
          <w:color w:val="000000" w:themeColor="text1"/>
          <w:sz w:val="21"/>
          <w:szCs w:val="21"/>
          <w:highlight w:val="none"/>
          <w14:textFill>
            <w14:solidFill>
              <w14:schemeClr w14:val="tx1"/>
            </w14:solidFill>
          </w14:textFill>
        </w:rPr>
        <w:t>投标文件的修改及撤回</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17.1投标人在投标截止时间前，可以对所递交的投标文件进行补充、修改或者撤回，并书面通知采购人或者采购代理机构。</w:t>
      </w:r>
    </w:p>
    <w:p>
      <w:pPr>
        <w:pStyle w:val="20"/>
        <w:spacing w:line="40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17.2</w:t>
      </w:r>
      <w:r>
        <w:rPr>
          <w:rFonts w:hint="eastAsia" w:hAnsi="宋体" w:cs="宋体"/>
          <w:color w:val="000000" w:themeColor="text1"/>
          <w:szCs w:val="21"/>
          <w:highlight w:val="none"/>
          <w14:textFill>
            <w14:solidFill>
              <w14:schemeClr w14:val="tx1"/>
            </w14:solidFill>
          </w14:textFill>
        </w:rPr>
        <w:t>投标人撤回或修改投标文件的书面通知应由投标人法定代表人（或负责人）或其授权代表签字确认；修改后重新递交的投标文件应当在封套上标明“修改（补充）投标文件”字样并密封，在投标截止时间前送达。投标截止时间后，投标人不得撤回、修改投标文件。</w:t>
      </w:r>
    </w:p>
    <w:p>
      <w:pPr>
        <w:pStyle w:val="20"/>
        <w:spacing w:line="400" w:lineRule="exact"/>
        <w:rPr>
          <w:rFonts w:hAnsi="宋体" w:cs="宋体"/>
          <w:color w:val="000000" w:themeColor="text1"/>
          <w:highlight w:val="none"/>
          <w14:textFill>
            <w14:solidFill>
              <w14:schemeClr w14:val="tx1"/>
            </w14:solidFill>
          </w14:textFill>
        </w:rPr>
      </w:pPr>
    </w:p>
    <w:p>
      <w:pPr>
        <w:pStyle w:val="3"/>
        <w:spacing w:line="400" w:lineRule="exact"/>
        <w:jc w:val="center"/>
        <w:rPr>
          <w:rFonts w:ascii="宋体" w:hAnsi="宋体" w:cs="宋体"/>
          <w:color w:val="000000" w:themeColor="text1"/>
          <w:highlight w:val="none"/>
          <w14:textFill>
            <w14:solidFill>
              <w14:schemeClr w14:val="tx1"/>
            </w14:solidFill>
          </w14:textFill>
        </w:rPr>
      </w:pPr>
      <w:bookmarkStart w:id="156" w:name="_Toc395066539"/>
      <w:bookmarkStart w:id="157" w:name="_Toc405942997"/>
      <w:bookmarkStart w:id="158" w:name="_Toc200268260"/>
      <w:bookmarkStart w:id="159" w:name="_Toc469909319"/>
      <w:bookmarkStart w:id="160" w:name="_Toc185702571"/>
      <w:bookmarkStart w:id="161" w:name="_Toc469874185"/>
      <w:bookmarkStart w:id="162" w:name="_Toc25813"/>
      <w:r>
        <w:rPr>
          <w:rFonts w:hint="eastAsia" w:ascii="宋体" w:hAnsi="宋体" w:cs="宋体"/>
          <w:color w:val="000000" w:themeColor="text1"/>
          <w:highlight w:val="none"/>
          <w14:textFill>
            <w14:solidFill>
              <w14:schemeClr w14:val="tx1"/>
            </w14:solidFill>
          </w14:textFill>
        </w:rPr>
        <w:t>五、开标、评</w:t>
      </w:r>
      <w:bookmarkEnd w:id="156"/>
      <w:bookmarkEnd w:id="157"/>
      <w:bookmarkEnd w:id="158"/>
      <w:bookmarkEnd w:id="159"/>
      <w:bookmarkEnd w:id="160"/>
      <w:bookmarkEnd w:id="161"/>
      <w:r>
        <w:rPr>
          <w:rFonts w:hint="eastAsia" w:ascii="宋体" w:hAnsi="宋体" w:cs="宋体"/>
          <w:color w:val="000000" w:themeColor="text1"/>
          <w:highlight w:val="none"/>
          <w14:textFill>
            <w14:solidFill>
              <w14:schemeClr w14:val="tx1"/>
            </w14:solidFill>
          </w14:textFill>
        </w:rPr>
        <w:t>标</w:t>
      </w:r>
      <w:bookmarkEnd w:id="162"/>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18、开标</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bookmarkStart w:id="163" w:name="_Toc185702573"/>
      <w:bookmarkStart w:id="164" w:name="_Toc200268262"/>
      <w:r>
        <w:rPr>
          <w:rFonts w:hint="eastAsia" w:hAnsi="宋体" w:cs="宋体"/>
          <w:color w:val="000000" w:themeColor="text1"/>
          <w:highlight w:val="none"/>
          <w14:textFill>
            <w14:solidFill>
              <w14:schemeClr w14:val="tx1"/>
            </w14:solidFill>
          </w14:textFill>
        </w:rPr>
        <w:t>18.1</w:t>
      </w:r>
      <w:r>
        <w:rPr>
          <w:rFonts w:hint="eastAsia" w:hAnsi="宋体" w:cs="宋体"/>
          <w:color w:val="000000" w:themeColor="text1"/>
          <w:szCs w:val="21"/>
          <w:highlight w:val="none"/>
          <w14:textFill>
            <w14:solidFill>
              <w14:schemeClr w14:val="tx1"/>
            </w14:solidFill>
          </w14:textFill>
        </w:rPr>
        <w:t>本项目</w:t>
      </w:r>
      <w:r>
        <w:rPr>
          <w:rFonts w:hint="eastAsia" w:hAnsi="宋体" w:cs="宋体"/>
          <w:color w:val="000000" w:themeColor="text1"/>
          <w:highlight w:val="none"/>
          <w14:textFill>
            <w14:solidFill>
              <w14:schemeClr w14:val="tx1"/>
            </w14:solidFill>
          </w14:textFill>
        </w:rPr>
        <w:t>将在本章须知前附表第11项规定的时间和地点进行开标。</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18.2投标人的法定代表人（</w:t>
      </w:r>
      <w:r>
        <w:rPr>
          <w:rFonts w:hint="eastAsia" w:hAnsi="宋体" w:cs="宋体"/>
          <w:color w:val="000000" w:themeColor="text1"/>
          <w:szCs w:val="21"/>
          <w:highlight w:val="none"/>
          <w14:textFill>
            <w14:solidFill>
              <w14:schemeClr w14:val="tx1"/>
            </w14:solidFill>
          </w14:textFill>
        </w:rPr>
        <w:t>或负责人</w:t>
      </w:r>
      <w:r>
        <w:rPr>
          <w:rFonts w:hint="eastAsia" w:hAnsi="宋体" w:cs="宋体"/>
          <w:color w:val="000000" w:themeColor="text1"/>
          <w:highlight w:val="none"/>
          <w14:textFill>
            <w14:solidFill>
              <w14:schemeClr w14:val="tx1"/>
            </w14:solidFill>
          </w14:textFill>
        </w:rPr>
        <w:t>）或其委托代理人参加开标会并签到，</w:t>
      </w:r>
      <w:r>
        <w:rPr>
          <w:rFonts w:hint="eastAsia" w:hAnsi="宋体" w:cs="宋体"/>
          <w:color w:val="000000" w:themeColor="text1"/>
          <w:szCs w:val="21"/>
          <w:highlight w:val="none"/>
          <w14:textFill>
            <w14:solidFill>
              <w14:schemeClr w14:val="tx1"/>
            </w14:solidFill>
          </w14:textFill>
        </w:rPr>
        <w:t>未到场或未按时签到的，视同认可开标结果。</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18.3开标程序：</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（1）由采购代理机构主持开标会。</w:t>
      </w:r>
    </w:p>
    <w:p>
      <w:pPr>
        <w:pStyle w:val="20"/>
        <w:spacing w:line="400" w:lineRule="exact"/>
        <w:ind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r>
        <w:rPr>
          <w:rFonts w:hint="eastAsia" w:hAnsi="宋体" w:cs="宋体"/>
          <w:color w:val="000000" w:themeColor="text1"/>
          <w:szCs w:val="21"/>
          <w:highlight w:val="none"/>
          <w14:textFill>
            <w14:solidFill>
              <w14:schemeClr w14:val="tx1"/>
            </w14:solidFill>
          </w14:textFill>
        </w:rPr>
        <w:t>介绍参加开标会的人员名单。</w:t>
      </w:r>
    </w:p>
    <w:p>
      <w:pPr>
        <w:pStyle w:val="20"/>
        <w:spacing w:line="400" w:lineRule="exact"/>
        <w:ind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（3）宣读投标纪律，告知应当回避的情形，提请有关人员回避。</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（4）由全体投标人代表或者其推选的代表检查投标文件的密封情况并签字确认；</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w:t>
      </w:r>
      <w:r>
        <w:rPr>
          <w:rFonts w:hint="eastAsia" w:hAnsi="宋体" w:cs="宋体"/>
          <w:color w:val="000000" w:themeColor="text1"/>
          <w:highlight w:val="none"/>
          <w14:textFill>
            <w14:solidFill>
              <w14:schemeClr w14:val="tx1"/>
            </w14:solidFill>
          </w14:textFill>
        </w:rPr>
        <w:t>经确认密封完好的投标文件，由采购代理机构工作人员当众拆封，宣读“开标一览表”的投标人名称、投标价格和招标文件规定的需要宣布的其他内容。</w:t>
      </w:r>
    </w:p>
    <w:p>
      <w:pPr>
        <w:pStyle w:val="20"/>
        <w:spacing w:line="400" w:lineRule="exact"/>
        <w:ind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（6）开标过程和开标记录由参加开标的各投标人代表和相关工作人员签字确认。投标人代表未到场签字确认或者拒绝签字确认的，视为认可开标过程和结果。</w:t>
      </w:r>
    </w:p>
    <w:p>
      <w:pPr>
        <w:pStyle w:val="20"/>
        <w:spacing w:line="400" w:lineRule="exact"/>
        <w:ind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（7）投标人代表对</w:t>
      </w:r>
      <w:bookmarkStart w:id="165" w:name="OLE_LINK4"/>
      <w:r>
        <w:rPr>
          <w:rFonts w:hint="eastAsia" w:hAnsi="宋体" w:cs="宋体"/>
          <w:color w:val="000000" w:themeColor="text1"/>
          <w:szCs w:val="21"/>
          <w:highlight w:val="none"/>
          <w14:textFill>
            <w14:solidFill>
              <w14:schemeClr w14:val="tx1"/>
            </w14:solidFill>
          </w14:textFill>
        </w:rPr>
        <w:t>开标过程和开标记录</w:t>
      </w:r>
      <w:bookmarkEnd w:id="165"/>
      <w:r>
        <w:rPr>
          <w:rFonts w:hint="eastAsia" w:hAnsi="宋体" w:cs="宋体"/>
          <w:color w:val="000000" w:themeColor="text1"/>
          <w:szCs w:val="21"/>
          <w:highlight w:val="none"/>
          <w14:textFill>
            <w14:solidFill>
              <w14:schemeClr w14:val="tx1"/>
            </w14:solidFill>
          </w14:textFill>
        </w:rPr>
        <w:t>有疑义，以及认为采购人、采购代理机构相关工作人员有需要回避的情形的，应当场提出询问或者回避申请。</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（8）宣布开标会议结束。</w:t>
      </w:r>
    </w:p>
    <w:bookmarkEnd w:id="163"/>
    <w:bookmarkEnd w:id="164"/>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66" w:name="_Toc185702576"/>
      <w:bookmarkStart w:id="167" w:name="_Toc200268265"/>
      <w:r>
        <w:rPr>
          <w:rFonts w:hint="eastAsia" w:ascii="宋体" w:hAnsi="宋体" w:eastAsia="宋体" w:cs="宋体"/>
          <w:color w:val="000000" w:themeColor="text1"/>
          <w:sz w:val="21"/>
          <w:szCs w:val="21"/>
          <w:highlight w:val="none"/>
          <w14:textFill>
            <w14:solidFill>
              <w14:schemeClr w14:val="tx1"/>
            </w14:solidFill>
          </w14:textFill>
        </w:rPr>
        <w:t>19、组建评标委员会</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19.1采购人和采购代理机构依法组建评标委员会（以下简称评审小组），评审小组由采购人代表和评审专家组成，成员人数为5人以上（含5人）单数，其中评审专家不少于成员总数的三分之二。评审专家在政府采购评审专家库内相关专业技术、经济等方面的专家名单中随机抽取。</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19.2</w:t>
      </w:r>
      <w:r>
        <w:rPr>
          <w:rFonts w:hint="eastAsia" w:hAnsi="宋体" w:cs="宋体"/>
          <w:color w:val="000000" w:themeColor="text1"/>
          <w:highlight w:val="none"/>
          <w14:textFill>
            <w14:solidFill>
              <w14:schemeClr w14:val="tx1"/>
            </w14:solidFill>
          </w14:textFill>
        </w:rPr>
        <w:t>评标委员会必须公平、公正、客观，不带任何倾向性和启发性；不得向外界透露任何与评标有关的内容；任何单位和个人不得干扰、影响评标的正常进行；评标委员会及有关工作人员不得私下与投标人接触。评标专家发现本人与参加采购活动的投标人有利害关系的，应当主动提出回避。</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20、评标</w:t>
      </w:r>
    </w:p>
    <w:p>
      <w:pPr>
        <w:pStyle w:val="20"/>
        <w:spacing w:line="400" w:lineRule="exact"/>
        <w:ind w:left="422" w:hanging="422" w:hangingChars="200"/>
        <w:rPr>
          <w:rFonts w:hAnsi="宋体" w:cs="宋体"/>
          <w:b/>
          <w:bCs/>
          <w:color w:val="000000" w:themeColor="text1"/>
          <w:highlight w:val="none"/>
          <w14:textFill>
            <w14:solidFill>
              <w14:schemeClr w14:val="tx1"/>
            </w14:solidFill>
          </w14:textFill>
        </w:rPr>
      </w:pPr>
      <w:bookmarkStart w:id="168" w:name="_Toc395066541"/>
      <w:bookmarkStart w:id="169" w:name="_Toc469874187"/>
      <w:bookmarkStart w:id="170" w:name="_Toc405942999"/>
      <w:r>
        <w:rPr>
          <w:rFonts w:hint="eastAsia" w:hAnsi="宋体" w:cs="宋体"/>
          <w:b/>
          <w:bCs/>
          <w:color w:val="000000" w:themeColor="text1"/>
          <w:highlight w:val="none"/>
          <w14:textFill>
            <w14:solidFill>
              <w14:schemeClr w14:val="tx1"/>
            </w14:solidFill>
          </w14:textFill>
        </w:rPr>
        <w:t>20.1</w:t>
      </w:r>
      <w:bookmarkEnd w:id="168"/>
      <w:bookmarkEnd w:id="169"/>
      <w:bookmarkEnd w:id="170"/>
      <w:r>
        <w:rPr>
          <w:rFonts w:hint="eastAsia" w:hAnsi="宋体" w:cs="宋体"/>
          <w:b/>
          <w:bCs/>
          <w:color w:val="000000" w:themeColor="text1"/>
          <w:highlight w:val="none"/>
          <w14:textFill>
            <w14:solidFill>
              <w14:schemeClr w14:val="tx1"/>
            </w14:solidFill>
          </w14:textFill>
        </w:rPr>
        <w:t>资格性审查</w:t>
      </w:r>
    </w:p>
    <w:p>
      <w:pPr>
        <w:pStyle w:val="20"/>
        <w:spacing w:line="400" w:lineRule="exact"/>
        <w:ind w:left="630" w:hanging="630" w:hangingChars="3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20.1.1开标结束后，由采购人</w:t>
      </w:r>
      <w:r>
        <w:rPr>
          <w:rFonts w:hint="eastAsia" w:hAnsi="宋体" w:cs="宋体"/>
          <w:bCs/>
          <w:color w:val="000000" w:themeColor="text1"/>
          <w:highlight w:val="none"/>
          <w14:textFill>
            <w14:solidFill>
              <w14:schemeClr w14:val="tx1"/>
            </w14:solidFill>
          </w14:textFill>
        </w:rPr>
        <w:t>依据法律法规和招标文件的规定对投标人的资格</w:t>
      </w:r>
      <w:r>
        <w:rPr>
          <w:rFonts w:hint="eastAsia" w:hAnsi="宋体" w:cs="宋体"/>
          <w:color w:val="000000" w:themeColor="text1"/>
          <w:highlight w:val="none"/>
          <w14:textFill>
            <w14:solidFill>
              <w14:schemeClr w14:val="tx1"/>
            </w14:solidFill>
          </w14:textFill>
        </w:rPr>
        <w:t>进行审查，以确定投标人是否具备投标资格。它所涉及到的主要文件和内容为本章投标人须知第9条所述的资格资信证明文件内容。如果投标人不具备投标资格，不满足招标文件所规定的资格条件或缺少任何一项或有任何一项不合格的，视为资格审查不合格，其不再进入评审。</w:t>
      </w:r>
    </w:p>
    <w:p>
      <w:pPr>
        <w:pStyle w:val="20"/>
        <w:spacing w:line="400" w:lineRule="exact"/>
        <w:ind w:left="422" w:hanging="422" w:hangingChars="200"/>
        <w:rPr>
          <w:rFonts w:hAnsi="宋体" w:cs="宋体"/>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20.2投标文件</w:t>
      </w:r>
      <w:r>
        <w:rPr>
          <w:rFonts w:hint="eastAsia" w:hAnsi="宋体" w:cs="宋体"/>
          <w:b/>
          <w:color w:val="000000" w:themeColor="text1"/>
          <w:highlight w:val="none"/>
          <w14:textFill>
            <w14:solidFill>
              <w14:schemeClr w14:val="tx1"/>
            </w14:solidFill>
          </w14:textFill>
        </w:rPr>
        <w:t>符合性检查。</w:t>
      </w:r>
      <w:r>
        <w:rPr>
          <w:rFonts w:hint="eastAsia" w:hAnsi="宋体" w:cs="宋体"/>
          <w:color w:val="000000" w:themeColor="text1"/>
          <w:highlight w:val="none"/>
          <w14:textFill>
            <w14:solidFill>
              <w14:schemeClr w14:val="tx1"/>
            </w14:solidFill>
          </w14:textFill>
        </w:rPr>
        <w:t>评标委员会应当对符合资格的投标人的投标文件进行符合性审查，以确定其是否满足招标文件的实质性要求。依据招标文件的规定，从投标文件的有效性、完整性和对招标文件的响应程度进行审查，以确定是否符合对招标文件的实质性要求作出响应（采购人可根据具体项目的情况对实质性要求作特别的规定）。实质性偏离是指：(1)实质性影响合同的范围、质量和履行；(2)实质性违背招标文件，限制了采购人的权利和中标</w:t>
      </w:r>
      <w:r>
        <w:rPr>
          <w:rFonts w:hint="eastAsia" w:hAnsi="宋体" w:cs="宋体"/>
          <w:bCs/>
          <w:color w:val="000000" w:themeColor="text1"/>
          <w:highlight w:val="none"/>
          <w14:textFill>
            <w14:solidFill>
              <w14:schemeClr w14:val="tx1"/>
            </w14:solidFill>
          </w14:textFill>
        </w:rPr>
        <w:t>人</w:t>
      </w:r>
      <w:r>
        <w:rPr>
          <w:rFonts w:hint="eastAsia" w:hAnsi="宋体" w:cs="宋体"/>
          <w:color w:val="000000" w:themeColor="text1"/>
          <w:highlight w:val="none"/>
          <w14:textFill>
            <w14:solidFill>
              <w14:schemeClr w14:val="tx1"/>
            </w14:solidFill>
          </w14:textFill>
        </w:rPr>
        <w:t>合同项下的义务；(3)不公正地影响了其它作出实质性响应的投标人的竞争地位。没有对招标文件作出实质性响应的投标文件将不进行评审，其投标将被拒绝。</w:t>
      </w:r>
    </w:p>
    <w:p>
      <w:pPr>
        <w:pStyle w:val="20"/>
        <w:spacing w:line="400" w:lineRule="exact"/>
        <w:ind w:left="422" w:hanging="422" w:hanging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20.3</w:t>
      </w:r>
      <w:r>
        <w:rPr>
          <w:rFonts w:hint="eastAsia" w:hAnsi="宋体" w:cs="宋体"/>
          <w:b/>
          <w:bCs/>
          <w:color w:val="000000" w:themeColor="text1"/>
          <w:szCs w:val="21"/>
          <w:highlight w:val="none"/>
          <w14:textFill>
            <w14:solidFill>
              <w14:schemeClr w14:val="tx1"/>
            </w14:solidFill>
          </w14:textFill>
        </w:rPr>
        <w:t>澄清有关问题、算术性修正。</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 对于投标文件中含义不明确、同类问题表述不一致或者有明显文字和计算错误的内容，评标委员会应当以书面形式要求投标人作出必要的澄清、说明或者补正。</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 投标人的澄清、说明或者补正应当采用书面形式，并加盖公章，或者由法定代表人（或负责人）或其授权的代表签字。投标人的澄清、说明或者补正不得超出投标文件的范围或者改变投标文件的实质性内容。</w:t>
      </w:r>
    </w:p>
    <w:p>
      <w:pPr>
        <w:pStyle w:val="20"/>
        <w:spacing w:line="400" w:lineRule="exact"/>
        <w:ind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w:t>
      </w:r>
      <w:r>
        <w:rPr>
          <w:rFonts w:hint="eastAsia" w:hAnsi="宋体" w:cs="宋体"/>
          <w:color w:val="000000" w:themeColor="text1"/>
          <w:kern w:val="0"/>
          <w:szCs w:val="21"/>
          <w:highlight w:val="none"/>
          <w14:textFill>
            <w14:solidFill>
              <w14:schemeClr w14:val="tx1"/>
            </w14:solidFill>
          </w14:textFill>
        </w:rPr>
        <w:t xml:space="preserve"> 投标文件报价出现前后不一致的，除招标文件另有规定外，按照下列规定修正</w:t>
      </w:r>
      <w:r>
        <w:rPr>
          <w:rFonts w:hint="eastAsia" w:hAnsi="宋体" w:cs="宋体"/>
          <w:color w:val="000000" w:themeColor="text1"/>
          <w:szCs w:val="21"/>
          <w:highlight w:val="none"/>
          <w14:textFill>
            <w14:solidFill>
              <w14:schemeClr w14:val="tx1"/>
            </w14:solidFill>
          </w14:textFill>
        </w:rPr>
        <w:t>：</w:t>
      </w:r>
    </w:p>
    <w:p>
      <w:pPr>
        <w:pStyle w:val="20"/>
        <w:spacing w:line="400" w:lineRule="exact"/>
        <w:ind w:left="900" w:hanging="300"/>
        <w:rPr>
          <w:rFonts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 xml:space="preserve">① </w:t>
      </w:r>
      <w:r>
        <w:rPr>
          <w:rFonts w:hint="eastAsia" w:hAnsi="宋体" w:cs="宋体"/>
          <w:color w:val="000000" w:themeColor="text1"/>
          <w:highlight w:val="none"/>
          <w14:textFill>
            <w14:solidFill>
              <w14:schemeClr w14:val="tx1"/>
            </w14:solidFill>
          </w14:textFill>
        </w:rPr>
        <w:t>投标文件中</w:t>
      </w:r>
      <w:r>
        <w:rPr>
          <w:rFonts w:hint="eastAsia" w:hAnsi="宋体" w:cs="宋体"/>
          <w:bCs/>
          <w:color w:val="000000" w:themeColor="text1"/>
          <w:highlight w:val="none"/>
          <w14:textFill>
            <w14:solidFill>
              <w14:schemeClr w14:val="tx1"/>
            </w14:solidFill>
          </w14:textFill>
        </w:rPr>
        <w:t>开标一览表（报价表）内容</w:t>
      </w:r>
      <w:r>
        <w:rPr>
          <w:rFonts w:hint="eastAsia" w:hAnsi="宋体" w:cs="宋体"/>
          <w:color w:val="000000" w:themeColor="text1"/>
          <w:highlight w:val="none"/>
          <w14:textFill>
            <w14:solidFill>
              <w14:schemeClr w14:val="tx1"/>
            </w14:solidFill>
          </w14:textFill>
        </w:rPr>
        <w:t>与投标文件中相应内容不一致的，以开标一览表（报价表）为准。</w:t>
      </w:r>
    </w:p>
    <w:p>
      <w:pPr>
        <w:pStyle w:val="20"/>
        <w:spacing w:line="400" w:lineRule="exact"/>
        <w:ind w:left="900" w:hanging="300"/>
        <w:rPr>
          <w:rFonts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②</w:t>
      </w:r>
      <w:r>
        <w:rPr>
          <w:rFonts w:hint="eastAsia" w:hAnsi="宋体" w:cs="宋体"/>
          <w:color w:val="000000" w:themeColor="text1"/>
          <w:highlight w:val="none"/>
          <w14:textFill>
            <w14:solidFill>
              <w14:schemeClr w14:val="tx1"/>
            </w14:solidFill>
          </w14:textFill>
        </w:rPr>
        <w:t xml:space="preserve"> 大写金额和小写金额不一致时</w:t>
      </w:r>
      <w:r>
        <w:rPr>
          <w:rFonts w:hint="eastAsia" w:hAnsi="宋体" w:cs="宋体"/>
          <w:bCs/>
          <w:color w:val="000000" w:themeColor="text1"/>
          <w:highlight w:val="none"/>
          <w14:textFill>
            <w14:solidFill>
              <w14:schemeClr w14:val="tx1"/>
            </w14:solidFill>
          </w14:textFill>
        </w:rPr>
        <w:t>，以大写金额为准。</w:t>
      </w:r>
    </w:p>
    <w:p>
      <w:pPr>
        <w:pStyle w:val="20"/>
        <w:spacing w:line="400" w:lineRule="exact"/>
        <w:ind w:left="900" w:hanging="300"/>
        <w:rPr>
          <w:rFonts w:hAnsi="宋体" w:cs="宋体"/>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③</w:t>
      </w:r>
      <w:r>
        <w:rPr>
          <w:rFonts w:hint="eastAsia" w:hAnsi="宋体" w:cs="宋体"/>
          <w:color w:val="000000" w:themeColor="text1"/>
          <w:highlight w:val="none"/>
          <w14:textFill>
            <w14:solidFill>
              <w14:schemeClr w14:val="tx1"/>
            </w14:solidFill>
          </w14:textFill>
        </w:rPr>
        <w:t>单价金额小数点或者百分比有明显错位的，以开标一览表的总价为准，并修改单价；</w:t>
      </w:r>
    </w:p>
    <w:p>
      <w:pPr>
        <w:pStyle w:val="20"/>
        <w:spacing w:line="400" w:lineRule="exact"/>
        <w:ind w:left="900" w:hanging="300"/>
        <w:rPr>
          <w:rFonts w:hAnsi="宋体" w:cs="宋体"/>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④</w:t>
      </w:r>
      <w:r>
        <w:rPr>
          <w:rFonts w:hint="eastAsia" w:hAnsi="宋体" w:cs="宋体"/>
          <w:color w:val="000000" w:themeColor="text1"/>
          <w:highlight w:val="none"/>
          <w14:textFill>
            <w14:solidFill>
              <w14:schemeClr w14:val="tx1"/>
            </w14:solidFill>
          </w14:textFill>
        </w:rPr>
        <w:t>总价金额与按单价汇总金额不一致的，以单价金额计算结果为准。</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同时出现两种以上不一致的，按照前款规定的顺序修正。修正后的报价或内容按照第22.2（2）条款的规定经投标人确认后产生约束力，投标人不确认的，其投标无效。</w:t>
      </w:r>
    </w:p>
    <w:p>
      <w:pPr>
        <w:pStyle w:val="20"/>
        <w:spacing w:line="400" w:lineRule="exact"/>
        <w:ind w:left="422" w:hanging="422" w:hangingChars="200"/>
        <w:rPr>
          <w:rFonts w:hAnsi="宋体" w:cs="宋体"/>
          <w:color w:val="000000" w:themeColor="text1"/>
          <w:szCs w:val="2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20.4比较</w:t>
      </w:r>
      <w:r>
        <w:rPr>
          <w:rFonts w:hint="eastAsia" w:hAnsi="宋体" w:cs="宋体"/>
          <w:b/>
          <w:bCs/>
          <w:color w:val="000000" w:themeColor="text1"/>
          <w:szCs w:val="21"/>
          <w:highlight w:val="none"/>
          <w14:textFill>
            <w14:solidFill>
              <w14:schemeClr w14:val="tx1"/>
            </w14:solidFill>
          </w14:textFill>
        </w:rPr>
        <w:t>与评价。</w:t>
      </w:r>
      <w:r>
        <w:rPr>
          <w:rFonts w:hint="eastAsia" w:hAnsi="宋体" w:cs="宋体"/>
          <w:bCs/>
          <w:color w:val="000000" w:themeColor="text1"/>
          <w:szCs w:val="21"/>
          <w:highlight w:val="none"/>
          <w14:textFill>
            <w14:solidFill>
              <w14:schemeClr w14:val="tx1"/>
            </w14:solidFill>
          </w14:textFill>
        </w:rPr>
        <w:t>本项目采用</w:t>
      </w:r>
      <w:r>
        <w:rPr>
          <w:rFonts w:hint="eastAsia" w:hAnsi="宋体" w:cs="宋体"/>
          <w:bCs/>
          <w:color w:val="000000" w:themeColor="text1"/>
          <w:szCs w:val="21"/>
          <w:highlight w:val="none"/>
          <w:u w:val="single"/>
          <w14:textFill>
            <w14:solidFill>
              <w14:schemeClr w14:val="tx1"/>
            </w14:solidFill>
          </w14:textFill>
        </w:rPr>
        <w:t>综合评分法</w:t>
      </w:r>
      <w:r>
        <w:rPr>
          <w:rFonts w:hint="eastAsia" w:hAnsi="宋体" w:cs="宋体"/>
          <w:bCs/>
          <w:color w:val="000000" w:themeColor="text1"/>
          <w:szCs w:val="21"/>
          <w:highlight w:val="none"/>
          <w14:textFill>
            <w14:solidFill>
              <w14:schemeClr w14:val="tx1"/>
            </w14:solidFill>
          </w14:textFill>
        </w:rPr>
        <w:t>（详见第四章）。评审小组按照招标文件中规定的评标方法和标准，对符合性审查合格</w:t>
      </w:r>
      <w:r>
        <w:rPr>
          <w:rFonts w:hint="eastAsia" w:hAnsi="宋体" w:cs="宋体"/>
          <w:color w:val="000000" w:themeColor="text1"/>
          <w:szCs w:val="21"/>
          <w:highlight w:val="none"/>
          <w14:textFill>
            <w14:solidFill>
              <w14:schemeClr w14:val="tx1"/>
            </w14:solidFill>
          </w14:textFill>
        </w:rPr>
        <w:t>的投标文件进行商务和技术评估，综合比较与评价。</w:t>
      </w:r>
    </w:p>
    <w:p>
      <w:pPr>
        <w:pStyle w:val="20"/>
        <w:spacing w:line="400" w:lineRule="exact"/>
        <w:ind w:left="422" w:hanging="422" w:hangingChars="200"/>
        <w:rPr>
          <w:rFonts w:hAnsi="宋体" w:cs="宋体"/>
          <w:bCs/>
          <w:color w:val="000000" w:themeColor="text1"/>
          <w:spacing w:val="-2"/>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20.</w:t>
      </w:r>
      <w:r>
        <w:rPr>
          <w:rFonts w:hint="eastAsia" w:hAnsi="宋体" w:cs="宋体"/>
          <w:b/>
          <w:bCs/>
          <w:color w:val="000000" w:themeColor="text1"/>
          <w:spacing w:val="-2"/>
          <w:szCs w:val="21"/>
          <w:highlight w:val="none"/>
          <w14:textFill>
            <w14:solidFill>
              <w14:schemeClr w14:val="tx1"/>
            </w14:solidFill>
          </w14:textFill>
        </w:rPr>
        <w:t>5推荐</w:t>
      </w:r>
      <w:r>
        <w:rPr>
          <w:rFonts w:hint="eastAsia" w:hAnsi="宋体" w:cs="宋体"/>
          <w:b/>
          <w:bCs/>
          <w:color w:val="000000" w:themeColor="text1"/>
          <w:szCs w:val="21"/>
          <w:highlight w:val="none"/>
          <w14:textFill>
            <w14:solidFill>
              <w14:schemeClr w14:val="tx1"/>
            </w14:solidFill>
          </w14:textFill>
        </w:rPr>
        <w:t>中标</w:t>
      </w:r>
      <w:r>
        <w:rPr>
          <w:rFonts w:hint="eastAsia" w:hAnsi="宋体" w:cs="宋体"/>
          <w:b/>
          <w:bCs/>
          <w:color w:val="000000" w:themeColor="text1"/>
          <w:spacing w:val="-2"/>
          <w:szCs w:val="21"/>
          <w:highlight w:val="none"/>
          <w14:textFill>
            <w14:solidFill>
              <w14:schemeClr w14:val="tx1"/>
            </w14:solidFill>
          </w14:textFill>
        </w:rPr>
        <w:t>候选</w:t>
      </w:r>
      <w:r>
        <w:rPr>
          <w:rFonts w:hint="eastAsia" w:hAnsi="宋体" w:cs="宋体"/>
          <w:b/>
          <w:bCs/>
          <w:color w:val="000000" w:themeColor="text1"/>
          <w:szCs w:val="21"/>
          <w:highlight w:val="none"/>
          <w14:textFill>
            <w14:solidFill>
              <w14:schemeClr w14:val="tx1"/>
            </w14:solidFill>
          </w14:textFill>
        </w:rPr>
        <w:t>人</w:t>
      </w:r>
      <w:r>
        <w:rPr>
          <w:rFonts w:hint="eastAsia" w:hAnsi="宋体" w:cs="宋体"/>
          <w:b/>
          <w:bCs/>
          <w:color w:val="000000" w:themeColor="text1"/>
          <w:spacing w:val="-2"/>
          <w:szCs w:val="21"/>
          <w:highlight w:val="none"/>
          <w14:textFill>
            <w14:solidFill>
              <w14:schemeClr w14:val="tx1"/>
            </w14:solidFill>
          </w14:textFill>
        </w:rPr>
        <w:t>名单并编写评审报告。</w:t>
      </w:r>
      <w:r>
        <w:rPr>
          <w:rFonts w:hint="eastAsia" w:hAnsi="宋体" w:cs="宋体"/>
          <w:color w:val="000000" w:themeColor="text1"/>
          <w:spacing w:val="-2"/>
          <w:szCs w:val="21"/>
          <w:highlight w:val="none"/>
          <w14:textFill>
            <w14:solidFill>
              <w14:schemeClr w14:val="tx1"/>
            </w14:solidFill>
          </w14:textFill>
        </w:rPr>
        <w:t>评标委员会</w:t>
      </w:r>
      <w:r>
        <w:rPr>
          <w:rFonts w:hint="eastAsia" w:hAnsi="宋体" w:cs="宋体"/>
          <w:bCs/>
          <w:color w:val="000000" w:themeColor="text1"/>
          <w:spacing w:val="-2"/>
          <w:szCs w:val="21"/>
          <w:highlight w:val="none"/>
          <w14:textFill>
            <w14:solidFill>
              <w14:schemeClr w14:val="tx1"/>
            </w14:solidFill>
          </w14:textFill>
        </w:rPr>
        <w:t>根据评分办法的中标标准及推荐原则推荐中标候选</w:t>
      </w:r>
      <w:r>
        <w:rPr>
          <w:rFonts w:hint="eastAsia" w:hAnsi="宋体" w:cs="宋体"/>
          <w:bCs/>
          <w:color w:val="000000" w:themeColor="text1"/>
          <w:szCs w:val="21"/>
          <w:highlight w:val="none"/>
          <w14:textFill>
            <w14:solidFill>
              <w14:schemeClr w14:val="tx1"/>
            </w14:solidFill>
          </w14:textFill>
        </w:rPr>
        <w:t>人</w:t>
      </w:r>
      <w:r>
        <w:rPr>
          <w:rFonts w:hint="eastAsia" w:hAnsi="宋体" w:cs="宋体"/>
          <w:bCs/>
          <w:color w:val="000000" w:themeColor="text1"/>
          <w:spacing w:val="-2"/>
          <w:szCs w:val="21"/>
          <w:highlight w:val="none"/>
          <w14:textFill>
            <w14:solidFill>
              <w14:schemeClr w14:val="tx1"/>
            </w14:solidFill>
          </w14:textFill>
        </w:rPr>
        <w:t>名单</w:t>
      </w:r>
      <w:bookmarkStart w:id="171" w:name="_Toc211355145"/>
      <w:r>
        <w:rPr>
          <w:rFonts w:hint="eastAsia" w:hAnsi="宋体" w:cs="宋体"/>
          <w:bCs/>
          <w:color w:val="000000" w:themeColor="text1"/>
          <w:spacing w:val="-2"/>
          <w:szCs w:val="21"/>
          <w:highlight w:val="none"/>
          <w14:textFill>
            <w14:solidFill>
              <w14:schemeClr w14:val="tx1"/>
            </w14:solidFill>
          </w14:textFill>
        </w:rPr>
        <w:t>，在评审工作完</w:t>
      </w:r>
      <w:r>
        <w:rPr>
          <w:rFonts w:hint="eastAsia" w:hAnsi="宋体" w:cs="宋体"/>
          <w:color w:val="000000" w:themeColor="text1"/>
          <w:spacing w:val="-2"/>
          <w:szCs w:val="21"/>
          <w:highlight w:val="none"/>
          <w14:textFill>
            <w14:solidFill>
              <w14:schemeClr w14:val="tx1"/>
            </w14:solidFill>
          </w14:textFill>
        </w:rPr>
        <w:t>成后，向采购人提交书面评审报告。</w:t>
      </w:r>
    </w:p>
    <w:p>
      <w:pPr>
        <w:pStyle w:val="20"/>
        <w:spacing w:line="400" w:lineRule="exact"/>
        <w:ind w:left="420" w:hanging="420" w:hanging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20.6采购代理机构对评审过程和评分、评审结论进行核对和复核，如有错漏，请当事评委进行校正，按校正后的结果</w:t>
      </w:r>
      <w:r>
        <w:rPr>
          <w:rFonts w:hint="eastAsia" w:hAnsi="宋体" w:cs="宋体"/>
          <w:bCs/>
          <w:color w:val="000000" w:themeColor="text1"/>
          <w:spacing w:val="-2"/>
          <w:szCs w:val="21"/>
          <w:highlight w:val="none"/>
          <w14:textFill>
            <w14:solidFill>
              <w14:schemeClr w14:val="tx1"/>
            </w14:solidFill>
          </w14:textFill>
        </w:rPr>
        <w:t>推荐</w:t>
      </w:r>
      <w:r>
        <w:rPr>
          <w:rFonts w:hint="eastAsia" w:hAnsi="宋体" w:cs="宋体"/>
          <w:bCs/>
          <w:color w:val="000000" w:themeColor="text1"/>
          <w:szCs w:val="21"/>
          <w:highlight w:val="none"/>
          <w14:textFill>
            <w14:solidFill>
              <w14:schemeClr w14:val="tx1"/>
            </w14:solidFill>
          </w14:textFill>
        </w:rPr>
        <w:t>中标</w:t>
      </w:r>
      <w:r>
        <w:rPr>
          <w:rFonts w:hint="eastAsia" w:hAnsi="宋体" w:cs="宋体"/>
          <w:bCs/>
          <w:color w:val="000000" w:themeColor="text1"/>
          <w:spacing w:val="-2"/>
          <w:szCs w:val="21"/>
          <w:highlight w:val="none"/>
          <w14:textFill>
            <w14:solidFill>
              <w14:schemeClr w14:val="tx1"/>
            </w14:solidFill>
          </w14:textFill>
        </w:rPr>
        <w:t>候选</w:t>
      </w:r>
      <w:r>
        <w:rPr>
          <w:rFonts w:hint="eastAsia" w:hAnsi="宋体" w:cs="宋体"/>
          <w:bCs/>
          <w:color w:val="000000" w:themeColor="text1"/>
          <w:szCs w:val="21"/>
          <w:highlight w:val="none"/>
          <w14:textFill>
            <w14:solidFill>
              <w14:schemeClr w14:val="tx1"/>
            </w14:solidFill>
          </w14:textFill>
        </w:rPr>
        <w:t>人</w:t>
      </w:r>
      <w:r>
        <w:rPr>
          <w:rFonts w:hint="eastAsia" w:hAnsi="宋体" w:cs="宋体"/>
          <w:bCs/>
          <w:color w:val="000000" w:themeColor="text1"/>
          <w:spacing w:val="-2"/>
          <w:szCs w:val="21"/>
          <w:highlight w:val="none"/>
          <w14:textFill>
            <w14:solidFill>
              <w14:schemeClr w14:val="tx1"/>
            </w14:solidFill>
          </w14:textFill>
        </w:rPr>
        <w:t>名单</w:t>
      </w:r>
      <w:r>
        <w:rPr>
          <w:rFonts w:hint="eastAsia" w:hAnsi="宋体" w:cs="宋体"/>
          <w:color w:val="000000" w:themeColor="text1"/>
          <w:szCs w:val="21"/>
          <w:highlight w:val="none"/>
          <w14:textFill>
            <w14:solidFill>
              <w14:schemeClr w14:val="tx1"/>
            </w14:solidFill>
          </w14:textFill>
        </w:rPr>
        <w:t>。</w:t>
      </w:r>
    </w:p>
    <w:p>
      <w:pPr>
        <w:pStyle w:val="20"/>
        <w:spacing w:line="400" w:lineRule="exact"/>
        <w:ind w:left="525" w:hanging="525" w:hangingChars="250"/>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20.7</w:t>
      </w:r>
      <w:r>
        <w:rPr>
          <w:rFonts w:hint="eastAsia" w:hAnsi="宋体" w:cs="宋体"/>
          <w:color w:val="000000" w:themeColor="text1"/>
          <w:kern w:val="0"/>
          <w:szCs w:val="21"/>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bookmarkEnd w:id="171"/>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72" w:name="_Toc211355146"/>
      <w:bookmarkStart w:id="173" w:name="_Toc200268263"/>
      <w:bookmarkStart w:id="174" w:name="_Toc185702574"/>
      <w:bookmarkStart w:id="175" w:name="_Toc395066543"/>
      <w:bookmarkStart w:id="176" w:name="_Toc405943001"/>
      <w:bookmarkStart w:id="177" w:name="_Toc469874189"/>
      <w:r>
        <w:rPr>
          <w:rFonts w:hint="eastAsia" w:ascii="宋体" w:hAnsi="宋体" w:eastAsia="宋体" w:cs="宋体"/>
          <w:color w:val="000000" w:themeColor="text1"/>
          <w:sz w:val="21"/>
          <w:szCs w:val="21"/>
          <w:highlight w:val="none"/>
          <w14:textFill>
            <w14:solidFill>
              <w14:schemeClr w14:val="tx1"/>
            </w14:solidFill>
          </w14:textFill>
        </w:rPr>
        <w:t>21、无效投标</w:t>
      </w:r>
      <w:bookmarkEnd w:id="172"/>
      <w:bookmarkEnd w:id="173"/>
      <w:bookmarkEnd w:id="174"/>
      <w:bookmarkEnd w:id="175"/>
      <w:bookmarkEnd w:id="176"/>
      <w:r>
        <w:rPr>
          <w:rFonts w:hint="eastAsia" w:ascii="宋体" w:hAnsi="宋体" w:eastAsia="宋体" w:cs="宋体"/>
          <w:color w:val="000000" w:themeColor="text1"/>
          <w:sz w:val="21"/>
          <w:szCs w:val="21"/>
          <w:highlight w:val="none"/>
          <w14:textFill>
            <w14:solidFill>
              <w14:schemeClr w14:val="tx1"/>
            </w14:solidFill>
          </w14:textFill>
        </w:rPr>
        <w:t>的情形</w:t>
      </w:r>
      <w:bookmarkEnd w:id="177"/>
    </w:p>
    <w:p>
      <w:pPr>
        <w:pStyle w:val="20"/>
        <w:spacing w:line="400" w:lineRule="exact"/>
        <w:ind w:left="420" w:hanging="420" w:hanging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21.1</w:t>
      </w:r>
      <w:r>
        <w:rPr>
          <w:rFonts w:hint="eastAsia" w:hAnsi="宋体" w:cs="宋体"/>
          <w:color w:val="000000" w:themeColor="text1"/>
          <w:spacing w:val="-4"/>
          <w:szCs w:val="21"/>
          <w:highlight w:val="none"/>
          <w14:textFill>
            <w14:solidFill>
              <w14:schemeClr w14:val="tx1"/>
            </w14:solidFill>
          </w14:textFill>
        </w:rPr>
        <w:t>实质上</w:t>
      </w:r>
      <w:r>
        <w:rPr>
          <w:rFonts w:hint="eastAsia" w:hAnsi="宋体" w:cs="宋体"/>
          <w:bCs/>
          <w:color w:val="000000" w:themeColor="text1"/>
          <w:szCs w:val="21"/>
          <w:highlight w:val="none"/>
          <w14:textFill>
            <w14:solidFill>
              <w14:schemeClr w14:val="tx1"/>
            </w14:solidFill>
          </w14:textFill>
        </w:rPr>
        <w:t>没有响应招标文件要求的投标将被视为无效投标，投标人不得通过修正或撤销不符合招标文件要求的偏离或保留从而使其投标成为实质上响应的投标。但经评标委员会认定属于投标人疏忽、笔误所造成的差错，该差错未实质性改变招标文件的内容的，应当允许其在评审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pStyle w:val="20"/>
        <w:spacing w:line="400" w:lineRule="exact"/>
        <w:ind w:left="404" w:hanging="404" w:hangingChars="200"/>
        <w:rPr>
          <w:rFonts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pacing w:val="-4"/>
          <w:szCs w:val="21"/>
          <w:highlight w:val="none"/>
          <w14:textFill>
            <w14:solidFill>
              <w14:schemeClr w14:val="tx1"/>
            </w14:solidFill>
          </w14:textFill>
        </w:rPr>
        <w:t>21.2投标人存在下列情况之一的，投标无效：</w:t>
      </w:r>
    </w:p>
    <w:p>
      <w:pPr>
        <w:spacing w:line="40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（1）未按照招标文件的规定提交投标保证金的；</w:t>
      </w:r>
    </w:p>
    <w:p>
      <w:pPr>
        <w:spacing w:line="40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（2）按照招标文件的规定时间获取招标文件并缴纳招标文件工本费的；</w:t>
      </w:r>
    </w:p>
    <w:p>
      <w:pPr>
        <w:spacing w:line="40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（3）投标文件未按招标文件要求签署、盖章或加盖手指印的；</w:t>
      </w:r>
    </w:p>
    <w:p>
      <w:pPr>
        <w:spacing w:line="40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未按</w:t>
      </w:r>
      <w:r>
        <w:rPr>
          <w:rFonts w:hint="eastAsia" w:ascii="宋体" w:hAnsi="宋体" w:cs="宋体"/>
          <w:bCs/>
          <w:color w:val="000000" w:themeColor="text1"/>
          <w:szCs w:val="21"/>
          <w:highlight w:val="none"/>
          <w14:textFill>
            <w14:solidFill>
              <w14:schemeClr w14:val="tx1"/>
            </w14:solidFill>
          </w14:textFill>
        </w:rPr>
        <w:t>招标</w:t>
      </w:r>
      <w:r>
        <w:rPr>
          <w:rFonts w:hint="eastAsia" w:ascii="宋体" w:hAnsi="宋体" w:cs="宋体"/>
          <w:color w:val="000000" w:themeColor="text1"/>
          <w:szCs w:val="21"/>
          <w:highlight w:val="none"/>
          <w14:textFill>
            <w14:solidFill>
              <w14:schemeClr w14:val="tx1"/>
            </w14:solidFill>
          </w14:textFill>
        </w:rPr>
        <w:t>文件规定提交</w:t>
      </w:r>
      <w:r>
        <w:rPr>
          <w:rFonts w:hint="eastAsia" w:ascii="宋体" w:hAnsi="宋体" w:cs="宋体"/>
          <w:bCs/>
          <w:color w:val="000000" w:themeColor="text1"/>
          <w:szCs w:val="21"/>
          <w:highlight w:val="none"/>
          <w14:textFill>
            <w14:solidFill>
              <w14:schemeClr w14:val="tx1"/>
            </w14:solidFill>
          </w14:textFill>
        </w:rPr>
        <w:t>投标</w:t>
      </w:r>
      <w:r>
        <w:rPr>
          <w:rFonts w:hint="eastAsia" w:ascii="宋体" w:hAnsi="宋体" w:cs="宋体"/>
          <w:color w:val="000000" w:themeColor="text1"/>
          <w:szCs w:val="21"/>
          <w:highlight w:val="none"/>
          <w14:textFill>
            <w14:solidFill>
              <w14:schemeClr w14:val="tx1"/>
            </w14:solidFill>
          </w14:textFill>
        </w:rPr>
        <w:t>文件份数及</w:t>
      </w:r>
      <w:r>
        <w:rPr>
          <w:rFonts w:hint="eastAsia" w:ascii="宋体" w:hAnsi="宋体" w:cs="宋体"/>
          <w:bCs/>
          <w:color w:val="000000" w:themeColor="text1"/>
          <w:szCs w:val="21"/>
          <w:highlight w:val="none"/>
          <w14:textFill>
            <w14:solidFill>
              <w14:schemeClr w14:val="tx1"/>
            </w14:solidFill>
          </w14:textFill>
        </w:rPr>
        <w:t>投标</w:t>
      </w:r>
      <w:r>
        <w:rPr>
          <w:rFonts w:hint="eastAsia" w:ascii="宋体" w:hAnsi="宋体" w:cs="宋体"/>
          <w:color w:val="000000" w:themeColor="text1"/>
          <w:szCs w:val="21"/>
          <w:highlight w:val="none"/>
          <w14:textFill>
            <w14:solidFill>
              <w14:schemeClr w14:val="tx1"/>
            </w14:solidFill>
          </w14:textFill>
        </w:rPr>
        <w:t>文件电子版的；</w:t>
      </w:r>
    </w:p>
    <w:p>
      <w:pPr>
        <w:spacing w:line="40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（5）不具备招标文件中规定的资格要求的；</w:t>
      </w:r>
    </w:p>
    <w:p>
      <w:pPr>
        <w:spacing w:line="40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（6）报价超过招标文件中规定的预算金额或者最高限价的；</w:t>
      </w:r>
    </w:p>
    <w:p>
      <w:pPr>
        <w:spacing w:line="40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（7）投标文件含有采购人不能接受的附加条件的；</w:t>
      </w:r>
    </w:p>
    <w:p>
      <w:pPr>
        <w:spacing w:line="40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（8）法律、法规和招标文件规定的其他无效情形。</w:t>
      </w:r>
    </w:p>
    <w:p>
      <w:pPr>
        <w:pStyle w:val="20"/>
        <w:spacing w:line="400" w:lineRule="exact"/>
        <w:ind w:left="404" w:hanging="404" w:hangingChars="200"/>
        <w:rPr>
          <w:rFonts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pacing w:val="-4"/>
          <w:szCs w:val="21"/>
          <w:highlight w:val="none"/>
          <w14:textFill>
            <w14:solidFill>
              <w14:schemeClr w14:val="tx1"/>
            </w14:solidFill>
          </w14:textFill>
        </w:rPr>
        <w:t>21.3在技术评审时，投标人存在下列情形之一的，投标无效：</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（1）未提供或未如实提供投标货物的技术参数（技术规格标准）或参数注册（检测）证明，或者投标文件标明的响应或偏离与事实不符或虚假投标的（含中标后查实的）；</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（2）明显不符合招标文件要求的规格型号、质量标准的；</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（3）允许偏离的技术、性能指标或者辅助功能项目发生负偏离达招标文件规定情形的；</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（4）投标技术方案不明确，存在一个或一个以上备选（替代）投标方案的；</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（5）与其他参加本次投标投标人的投标文件（技术文件）的文字表述内容相同连续20行以上或者差错相同2处以上（含2处）的。</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（6）未按招标采购内容及要求提供证明材料的。</w:t>
      </w:r>
    </w:p>
    <w:p>
      <w:pPr>
        <w:pStyle w:val="20"/>
        <w:spacing w:line="400" w:lineRule="exact"/>
        <w:ind w:left="404" w:hanging="404" w:hangingChars="200"/>
        <w:rPr>
          <w:rFonts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pacing w:val="-4"/>
          <w:szCs w:val="21"/>
          <w:highlight w:val="none"/>
          <w14:textFill>
            <w14:solidFill>
              <w14:schemeClr w14:val="tx1"/>
            </w14:solidFill>
          </w14:textFill>
        </w:rPr>
        <w:t>21.4在报价评审时，投标人存在下列情形之一的，作无效投标处理：</w:t>
      </w:r>
    </w:p>
    <w:p>
      <w:pPr>
        <w:pStyle w:val="18"/>
        <w:snapToGrid w:val="0"/>
        <w:spacing w:line="400" w:lineRule="exact"/>
        <w:ind w:firstLine="395" w:firstLineChars="196"/>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（1）未采用人民币报价或者未按照招标文件标明的币种报价的；</w:t>
      </w:r>
    </w:p>
    <w:p>
      <w:pPr>
        <w:pStyle w:val="18"/>
        <w:snapToGrid w:val="0"/>
        <w:spacing w:line="400" w:lineRule="exact"/>
        <w:ind w:firstLine="395" w:firstLineChars="196"/>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（2）投标报价具有选择性，或者开标价格与投标文件承诺的优惠（折扣）价格不一致的；</w:t>
      </w:r>
    </w:p>
    <w:p>
      <w:pPr>
        <w:pStyle w:val="18"/>
        <w:snapToGrid w:val="0"/>
        <w:spacing w:line="400" w:lineRule="exact"/>
        <w:ind w:firstLine="395" w:firstLineChars="196"/>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（3）投标报价明细表总额与开标一览表总价不一致的；</w:t>
      </w:r>
    </w:p>
    <w:p>
      <w:pPr>
        <w:pStyle w:val="18"/>
        <w:snapToGrid w:val="0"/>
        <w:spacing w:line="400" w:lineRule="exact"/>
        <w:ind w:firstLine="395" w:firstLineChars="196"/>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napToGrid w:val="0"/>
        <w:spacing w:line="400" w:lineRule="exact"/>
        <w:ind w:firstLine="395" w:firstLineChars="196"/>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（5）经评标委员会认定，投标报价出现恶意竞争、不合理或违反实质性条款的属于无效报价。</w:t>
      </w:r>
    </w:p>
    <w:p>
      <w:pPr>
        <w:pStyle w:val="20"/>
        <w:spacing w:line="400" w:lineRule="exact"/>
        <w:ind w:left="404" w:hanging="404" w:hangingChars="200"/>
        <w:rPr>
          <w:rFonts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pacing w:val="-4"/>
          <w:szCs w:val="21"/>
          <w:highlight w:val="none"/>
          <w14:textFill>
            <w14:solidFill>
              <w14:schemeClr w14:val="tx1"/>
            </w14:solidFill>
          </w14:textFill>
        </w:rPr>
        <w:t>21.5投标人有下列情形之一的视为投标人相互串通投标，作无效投标处理：</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(1)不同投标人的投标文件由同一单位或者个人编制；或不同投标人报名的IP地址一致的；</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(2)不同投标人委托同一单位或者个人办理投标事宜；</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(3)不同的投标人的投标文件载明的项目管理员为同一个人；</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(4)不同投标人的投标文件异常一致或投标报价呈规律性差异；</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(5)不同投标人的投标文件相互混装；</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(6)不同投标人的投标保证金从同一单位或者个人账户转出。</w:t>
      </w:r>
    </w:p>
    <w:p>
      <w:pPr>
        <w:pStyle w:val="20"/>
        <w:spacing w:line="400" w:lineRule="exact"/>
        <w:ind w:left="404" w:hanging="404" w:hangingChars="200"/>
        <w:rPr>
          <w:rFonts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pacing w:val="-4"/>
          <w:szCs w:val="21"/>
          <w:highlight w:val="none"/>
          <w14:textFill>
            <w14:solidFill>
              <w14:schemeClr w14:val="tx1"/>
            </w14:solidFill>
          </w14:textFill>
        </w:rPr>
        <w:t>21.6被拒绝的投标文件为无效。</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1）属下列情形之一的，采购人应当拒绝接收投标人的投标文件：</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（1）在本章第16.1条规定的投标截止时间之后送达的；</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（2）未送达至本章第16.1条指定的递交投标文件地点的；</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2）属下列情形之一的，采购人应当拒绝接收投标人的投标样品：</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（1）在本章第16.1条规定的递交投标样品截止时间之后送达的；</w:t>
      </w:r>
    </w:p>
    <w:p>
      <w:pPr>
        <w:pStyle w:val="18"/>
        <w:snapToGrid w:val="0"/>
        <w:spacing w:line="400" w:lineRule="exact"/>
        <w:ind w:firstLine="404"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（2）未送达至本章第16.1条指定的递交投标样品地点的。</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78" w:name="_Toc185702575"/>
      <w:bookmarkStart w:id="179" w:name="_Toc211355147"/>
      <w:bookmarkStart w:id="180" w:name="_Toc405943002"/>
      <w:bookmarkStart w:id="181" w:name="_Toc395066544"/>
      <w:bookmarkStart w:id="182" w:name="_Toc469874190"/>
      <w:bookmarkStart w:id="183" w:name="_Toc200268264"/>
      <w:r>
        <w:rPr>
          <w:rFonts w:hint="eastAsia" w:ascii="宋体" w:hAnsi="宋体" w:eastAsia="宋体" w:cs="宋体"/>
          <w:color w:val="000000" w:themeColor="text1"/>
          <w:sz w:val="21"/>
          <w:szCs w:val="21"/>
          <w:highlight w:val="none"/>
          <w14:textFill>
            <w14:solidFill>
              <w14:schemeClr w14:val="tx1"/>
            </w14:solidFill>
          </w14:textFill>
        </w:rPr>
        <w:t>22、废标</w:t>
      </w:r>
      <w:bookmarkEnd w:id="178"/>
      <w:bookmarkEnd w:id="179"/>
      <w:bookmarkEnd w:id="180"/>
      <w:bookmarkEnd w:id="181"/>
      <w:bookmarkEnd w:id="182"/>
      <w:bookmarkEnd w:id="183"/>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22.1在招标采购中，出现下列情形之一的，应予废标：</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（1）符合专业条件的投标人或者对招标文件作实质响应的投标人不足三家的；</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（2）出现影响采购公正的违法、违规行为的；</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（3）投标人的报价均超过了采购预算，采购人不能支付的；</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（4）因重大变故，采购任务取消的。</w:t>
      </w:r>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废标后，采购人应当将废标理由通知所有投标人。</w:t>
      </w:r>
    </w:p>
    <w:p>
      <w:pPr>
        <w:pStyle w:val="20"/>
        <w:spacing w:line="400" w:lineRule="exact"/>
        <w:ind w:left="435"/>
        <w:rPr>
          <w:rFonts w:hAnsi="宋体" w:cs="宋体"/>
          <w:b/>
          <w:bCs/>
          <w:color w:val="000000" w:themeColor="text1"/>
          <w:highlight w:val="none"/>
          <w14:textFill>
            <w14:solidFill>
              <w14:schemeClr w14:val="tx1"/>
            </w14:solidFill>
          </w14:textFill>
        </w:rPr>
      </w:pPr>
    </w:p>
    <w:p>
      <w:pPr>
        <w:pStyle w:val="3"/>
        <w:spacing w:line="400" w:lineRule="exact"/>
        <w:jc w:val="center"/>
        <w:rPr>
          <w:rFonts w:ascii="宋体" w:hAnsi="宋体" w:cs="宋体"/>
          <w:color w:val="000000" w:themeColor="text1"/>
          <w:highlight w:val="none"/>
          <w14:textFill>
            <w14:solidFill>
              <w14:schemeClr w14:val="tx1"/>
            </w14:solidFill>
          </w14:textFill>
        </w:rPr>
      </w:pPr>
      <w:bookmarkStart w:id="184" w:name="_Toc469874191"/>
      <w:bookmarkStart w:id="185" w:name="_Toc469909320"/>
      <w:bookmarkStart w:id="186" w:name="_Toc405943003"/>
      <w:bookmarkStart w:id="187" w:name="_Toc395066545"/>
      <w:bookmarkStart w:id="188" w:name="_Toc18481"/>
      <w:r>
        <w:rPr>
          <w:rFonts w:hint="eastAsia" w:ascii="宋体" w:hAnsi="宋体" w:cs="宋体"/>
          <w:color w:val="000000" w:themeColor="text1"/>
          <w:highlight w:val="none"/>
          <w14:textFill>
            <w14:solidFill>
              <w14:schemeClr w14:val="tx1"/>
            </w14:solidFill>
          </w14:textFill>
        </w:rPr>
        <w:t>六</w:t>
      </w:r>
      <w:bookmarkEnd w:id="166"/>
      <w:r>
        <w:rPr>
          <w:rFonts w:hint="eastAsia" w:ascii="宋体" w:hAnsi="宋体" w:cs="宋体"/>
          <w:color w:val="000000" w:themeColor="text1"/>
          <w:highlight w:val="none"/>
          <w14:textFill>
            <w14:solidFill>
              <w14:schemeClr w14:val="tx1"/>
            </w14:solidFill>
          </w14:textFill>
        </w:rPr>
        <w:t>、</w:t>
      </w:r>
      <w:bookmarkEnd w:id="167"/>
      <w:bookmarkEnd w:id="184"/>
      <w:bookmarkEnd w:id="185"/>
      <w:bookmarkEnd w:id="186"/>
      <w:bookmarkEnd w:id="187"/>
      <w:r>
        <w:rPr>
          <w:rFonts w:hint="eastAsia" w:ascii="宋体" w:hAnsi="宋体" w:cs="宋体"/>
          <w:color w:val="000000" w:themeColor="text1"/>
          <w:highlight w:val="none"/>
          <w14:textFill>
            <w14:solidFill>
              <w14:schemeClr w14:val="tx1"/>
            </w14:solidFill>
          </w14:textFill>
        </w:rPr>
        <w:t>结果公示</w:t>
      </w:r>
      <w:bookmarkEnd w:id="188"/>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189" w:name="_Toc200268266"/>
      <w:bookmarkStart w:id="190" w:name="_Toc185702577"/>
      <w:bookmarkStart w:id="191" w:name="_Toc405943004"/>
      <w:bookmarkStart w:id="192" w:name="_Toc469874192"/>
      <w:bookmarkStart w:id="193" w:name="_Toc395066546"/>
      <w:r>
        <w:rPr>
          <w:rFonts w:hint="eastAsia" w:ascii="宋体" w:hAnsi="宋体" w:eastAsia="宋体" w:cs="宋体"/>
          <w:color w:val="000000" w:themeColor="text1"/>
          <w:sz w:val="21"/>
          <w:szCs w:val="21"/>
          <w:highlight w:val="none"/>
          <w14:textFill>
            <w14:solidFill>
              <w14:schemeClr w14:val="tx1"/>
            </w14:solidFill>
          </w14:textFill>
        </w:rPr>
        <w:t>23、</w:t>
      </w:r>
      <w:bookmarkEnd w:id="189"/>
      <w:bookmarkEnd w:id="190"/>
      <w:bookmarkEnd w:id="191"/>
      <w:bookmarkEnd w:id="192"/>
      <w:bookmarkEnd w:id="193"/>
      <w:r>
        <w:rPr>
          <w:rFonts w:hint="eastAsia" w:ascii="宋体" w:hAnsi="宋体" w:eastAsia="宋体" w:cs="宋体"/>
          <w:color w:val="000000" w:themeColor="text1"/>
          <w:sz w:val="21"/>
          <w:szCs w:val="21"/>
          <w:highlight w:val="none"/>
          <w14:textFill>
            <w14:solidFill>
              <w14:schemeClr w14:val="tx1"/>
            </w14:solidFill>
          </w14:textFill>
        </w:rPr>
        <w:t>确定中标人</w:t>
      </w:r>
    </w:p>
    <w:p>
      <w:pPr>
        <w:pStyle w:val="20"/>
        <w:spacing w:line="400" w:lineRule="exact"/>
        <w:ind w:left="525" w:hanging="525" w:hangingChars="250"/>
        <w:rPr>
          <w:rFonts w:hAnsi="宋体" w:cs="宋体"/>
          <w:color w:val="000000" w:themeColor="text1"/>
          <w:szCs w:val="21"/>
          <w:highlight w:val="none"/>
          <w14:textFill>
            <w14:solidFill>
              <w14:schemeClr w14:val="tx1"/>
            </w14:solidFill>
          </w14:textFill>
        </w:rPr>
      </w:pPr>
      <w:bookmarkStart w:id="194" w:name="_Toc200268267"/>
      <w:bookmarkStart w:id="195" w:name="_Toc395066547"/>
      <w:bookmarkStart w:id="196" w:name="_Toc405943005"/>
      <w:bookmarkStart w:id="197" w:name="_Toc185702578"/>
      <w:bookmarkStart w:id="198" w:name="_Toc469874193"/>
      <w:r>
        <w:rPr>
          <w:rFonts w:hint="eastAsia" w:hAnsi="宋体" w:cs="宋体"/>
          <w:color w:val="000000" w:themeColor="text1"/>
          <w:szCs w:val="21"/>
          <w:highlight w:val="none"/>
          <w14:textFill>
            <w14:solidFill>
              <w14:schemeClr w14:val="tx1"/>
            </w14:solidFill>
          </w14:textFill>
        </w:rPr>
        <w:t>23.1</w:t>
      </w:r>
      <w:r>
        <w:rPr>
          <w:rFonts w:hint="eastAsia" w:hAnsi="宋体" w:cs="宋体"/>
          <w:color w:val="000000" w:themeColor="text1"/>
          <w:highlight w:val="none"/>
          <w14:textFill>
            <w14:solidFill>
              <w14:schemeClr w14:val="tx1"/>
            </w14:solidFill>
          </w14:textFill>
        </w:rPr>
        <w:t>采购代理机构将在评标结束后2个工作日内将评审报告送采购人。采购人自收到评标报告之日起5个工作日内，在评审报告确定的中标候选人名单中按顺序确定中标人。</w:t>
      </w:r>
      <w:r>
        <w:rPr>
          <w:rFonts w:hint="eastAsia" w:hAnsi="宋体" w:cs="宋体"/>
          <w:color w:val="000000" w:themeColor="text1"/>
          <w:szCs w:val="21"/>
          <w:highlight w:val="none"/>
          <w14:textFill>
            <w14:solidFill>
              <w14:schemeClr w14:val="tx1"/>
            </w14:solidFill>
          </w14:textFill>
        </w:rPr>
        <w:t>中标候选人并列的，由采购人或者采购人委托评标委员会按照招标文件规定的方式确定中标人。</w:t>
      </w:r>
    </w:p>
    <w:p>
      <w:pPr>
        <w:pStyle w:val="20"/>
        <w:spacing w:line="400" w:lineRule="exact"/>
        <w:ind w:left="525" w:hanging="525" w:hangingChars="250"/>
        <w:rPr>
          <w:rFonts w:hAnsi="宋体" w:cs="宋体"/>
          <w:bCs/>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23.2若中标人因不可抗力或者自身原因不能履行采购合同的，</w:t>
      </w:r>
      <w:r>
        <w:rPr>
          <w:rFonts w:hint="eastAsia" w:hAnsi="宋体" w:cs="宋体"/>
          <w:color w:val="000000" w:themeColor="text1"/>
          <w:highlight w:val="none"/>
          <w14:textFill>
            <w14:solidFill>
              <w14:schemeClr w14:val="tx1"/>
            </w14:solidFill>
          </w14:textFill>
        </w:rPr>
        <w:t>采购人可以按照中标候选人推荐原则的候选人名单排序，确定下一个候选人为中标人</w:t>
      </w:r>
      <w:r>
        <w:rPr>
          <w:rFonts w:hint="eastAsia" w:hAnsi="宋体" w:cs="宋体"/>
          <w:bCs/>
          <w:color w:val="000000" w:themeColor="text1"/>
          <w:highlight w:val="none"/>
          <w14:textFill>
            <w14:solidFill>
              <w14:schemeClr w14:val="tx1"/>
            </w14:solidFill>
          </w14:textFill>
        </w:rPr>
        <w:t>，以此类推。</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24、发布中标公告、中标通知</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24.1自中标人确定后2个工作日内，采购代理机构将在</w:t>
      </w:r>
      <w:r>
        <w:rPr>
          <w:rFonts w:hint="eastAsia" w:hAnsi="宋体" w:cs="宋体"/>
          <w:color w:val="000000" w:themeColor="text1"/>
          <w:szCs w:val="21"/>
          <w:highlight w:val="none"/>
          <w14:textFill>
            <w14:solidFill>
              <w14:schemeClr w14:val="tx1"/>
            </w14:solidFill>
          </w14:textFill>
        </w:rPr>
        <w:t>政府采购信息发布媒体上公告</w:t>
      </w:r>
      <w:r>
        <w:rPr>
          <w:rFonts w:hint="eastAsia" w:hAnsi="宋体" w:cs="宋体"/>
          <w:color w:val="000000" w:themeColor="text1"/>
          <w:highlight w:val="none"/>
          <w14:textFill>
            <w14:solidFill>
              <w14:schemeClr w14:val="tx1"/>
            </w14:solidFill>
          </w14:textFill>
        </w:rPr>
        <w:t>中标结果。</w:t>
      </w:r>
    </w:p>
    <w:p>
      <w:pPr>
        <w:pStyle w:val="20"/>
        <w:spacing w:line="400" w:lineRule="exact"/>
        <w:ind w:left="505" w:hanging="505" w:hangingChars="250"/>
        <w:rPr>
          <w:rFonts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pacing w:val="-4"/>
          <w:szCs w:val="21"/>
          <w:highlight w:val="none"/>
          <w14:textFill>
            <w14:solidFill>
              <w14:schemeClr w14:val="tx1"/>
            </w14:solidFill>
          </w14:textFill>
        </w:rPr>
        <w:t>24.2</w:t>
      </w:r>
      <w:r>
        <w:rPr>
          <w:rFonts w:hint="eastAsia" w:hAnsi="宋体" w:cs="宋体"/>
          <w:color w:val="000000" w:themeColor="text1"/>
          <w:highlight w:val="none"/>
          <w14:textFill>
            <w14:solidFill>
              <w14:schemeClr w14:val="tx1"/>
            </w14:solidFill>
          </w14:textFill>
        </w:rPr>
        <w:t>采购人或采购代理机构</w:t>
      </w:r>
      <w:r>
        <w:rPr>
          <w:rFonts w:hint="eastAsia" w:hAnsi="宋体" w:cs="宋体"/>
          <w:color w:val="000000" w:themeColor="text1"/>
          <w:spacing w:val="-4"/>
          <w:szCs w:val="21"/>
          <w:highlight w:val="none"/>
          <w14:textFill>
            <w14:solidFill>
              <w14:schemeClr w14:val="tx1"/>
            </w14:solidFill>
          </w14:textFill>
        </w:rPr>
        <w:t>在发布中标</w:t>
      </w:r>
      <w:r>
        <w:rPr>
          <w:rFonts w:hint="eastAsia" w:hAnsi="宋体" w:cs="宋体"/>
          <w:color w:val="000000" w:themeColor="text1"/>
          <w:highlight w:val="none"/>
          <w14:textFill>
            <w14:solidFill>
              <w14:schemeClr w14:val="tx1"/>
            </w14:solidFill>
          </w14:textFill>
        </w:rPr>
        <w:t>结果</w:t>
      </w:r>
      <w:r>
        <w:rPr>
          <w:rFonts w:hint="eastAsia" w:hAnsi="宋体" w:cs="宋体"/>
          <w:color w:val="000000" w:themeColor="text1"/>
          <w:spacing w:val="-4"/>
          <w:szCs w:val="21"/>
          <w:highlight w:val="none"/>
          <w14:textFill>
            <w14:solidFill>
              <w14:schemeClr w14:val="tx1"/>
            </w14:solidFill>
          </w14:textFill>
        </w:rPr>
        <w:t>的同时向中标人发出中标通知书。中标人应自接到通知之日起5个工作日内办理领取中标通知书手续，延期自误。</w:t>
      </w:r>
    </w:p>
    <w:p>
      <w:pPr>
        <w:pStyle w:val="20"/>
        <w:spacing w:line="400" w:lineRule="exact"/>
        <w:ind w:left="525" w:hanging="525" w:hangingChars="250"/>
        <w:rPr>
          <w:rFonts w:hAnsi="宋体" w:cs="宋体"/>
          <w:bCs/>
          <w:color w:val="000000" w:themeColor="text1"/>
          <w:highlight w:val="none"/>
          <w14:textFill>
            <w14:solidFill>
              <w14:schemeClr w14:val="tx1"/>
            </w14:solidFill>
          </w14:textFill>
        </w:rPr>
      </w:pPr>
    </w:p>
    <w:p>
      <w:pPr>
        <w:pStyle w:val="3"/>
        <w:spacing w:line="400" w:lineRule="exact"/>
        <w:jc w:val="center"/>
        <w:rPr>
          <w:rFonts w:ascii="宋体" w:hAnsi="宋体" w:cs="宋体"/>
          <w:color w:val="000000" w:themeColor="text1"/>
          <w:highlight w:val="none"/>
          <w14:textFill>
            <w14:solidFill>
              <w14:schemeClr w14:val="tx1"/>
            </w14:solidFill>
          </w14:textFill>
        </w:rPr>
      </w:pPr>
      <w:bookmarkStart w:id="199" w:name="_Toc20057"/>
      <w:r>
        <w:rPr>
          <w:rFonts w:hint="eastAsia" w:ascii="宋体" w:hAnsi="宋体" w:cs="宋体"/>
          <w:color w:val="000000" w:themeColor="text1"/>
          <w:highlight w:val="none"/>
          <w14:textFill>
            <w14:solidFill>
              <w14:schemeClr w14:val="tx1"/>
            </w14:solidFill>
          </w14:textFill>
        </w:rPr>
        <w:t>七、签订合同</w:t>
      </w:r>
      <w:bookmarkEnd w:id="199"/>
    </w:p>
    <w:bookmarkEnd w:id="194"/>
    <w:bookmarkEnd w:id="195"/>
    <w:bookmarkEnd w:id="196"/>
    <w:bookmarkEnd w:id="197"/>
    <w:bookmarkEnd w:id="198"/>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200" w:name="_Toc147250388"/>
      <w:bookmarkStart w:id="201" w:name="_Toc185702579"/>
      <w:bookmarkStart w:id="202" w:name="_Toc147250342"/>
      <w:bookmarkStart w:id="203" w:name="_Toc200268268"/>
      <w:bookmarkStart w:id="204" w:name="_Toc147250544"/>
      <w:r>
        <w:rPr>
          <w:rFonts w:hint="eastAsia" w:ascii="宋体" w:hAnsi="宋体" w:eastAsia="宋体" w:cs="宋体"/>
          <w:color w:val="000000" w:themeColor="text1"/>
          <w:sz w:val="21"/>
          <w:szCs w:val="21"/>
          <w:highlight w:val="none"/>
          <w14:textFill>
            <w14:solidFill>
              <w14:schemeClr w14:val="tx1"/>
            </w14:solidFill>
          </w14:textFill>
        </w:rPr>
        <w:t>25、履约保证金</w:t>
      </w:r>
    </w:p>
    <w:p>
      <w:pPr>
        <w:pStyle w:val="20"/>
        <w:spacing w:line="400" w:lineRule="exact"/>
        <w:ind w:left="505" w:hanging="505" w:hangingChars="2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pacing w:val="-4"/>
          <w:highlight w:val="none"/>
          <w14:textFill>
            <w14:solidFill>
              <w14:schemeClr w14:val="tx1"/>
            </w14:solidFill>
          </w14:textFill>
        </w:rPr>
        <w:t xml:space="preserve">25.1 </w:t>
      </w:r>
      <w:r>
        <w:rPr>
          <w:rFonts w:hint="eastAsia" w:hAnsi="宋体" w:cs="宋体"/>
          <w:bCs/>
          <w:color w:val="000000" w:themeColor="text1"/>
          <w:szCs w:val="21"/>
          <w:highlight w:val="none"/>
          <w14:textFill>
            <w14:solidFill>
              <w14:schemeClr w14:val="tx1"/>
            </w14:solidFill>
          </w14:textFill>
        </w:rPr>
        <w:t>履约保证金金额：</w:t>
      </w:r>
      <w:r>
        <w:rPr>
          <w:rFonts w:hint="eastAsia" w:hAnsi="宋体" w:cs="宋体"/>
          <w:b/>
          <w:bCs/>
          <w:color w:val="000000" w:themeColor="text1"/>
          <w:szCs w:val="21"/>
          <w:highlight w:val="none"/>
          <w:u w:val="single"/>
          <w14:textFill>
            <w14:solidFill>
              <w14:schemeClr w14:val="tx1"/>
            </w14:solidFill>
          </w14:textFill>
        </w:rPr>
        <w:t>合同金额的5%</w:t>
      </w:r>
      <w:r>
        <w:rPr>
          <w:rFonts w:hint="eastAsia" w:hAnsi="宋体" w:cs="宋体"/>
          <w:b/>
          <w:bCs/>
          <w:color w:val="000000" w:themeColor="text1"/>
          <w:szCs w:val="21"/>
          <w:highlight w:val="none"/>
          <w14:textFill>
            <w14:solidFill>
              <w14:schemeClr w14:val="tx1"/>
            </w14:solidFill>
          </w14:textFill>
        </w:rPr>
        <w:t xml:space="preserve"> 。</w:t>
      </w:r>
    </w:p>
    <w:p>
      <w:pPr>
        <w:pStyle w:val="20"/>
        <w:spacing w:line="400" w:lineRule="exact"/>
        <w:ind w:left="525" w:hanging="525" w:hangingChars="250"/>
        <w:rPr>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t xml:space="preserve">25.2 </w:t>
      </w:r>
      <w:r>
        <w:rPr>
          <w:color w:val="000000" w:themeColor="text1"/>
          <w:highlight w:val="none"/>
          <w14:textFill>
            <w14:solidFill>
              <w14:schemeClr w14:val="tx1"/>
            </w14:solidFill>
          </w14:textFill>
        </w:rPr>
        <w:t>履约保证金的递交方式：在收到</w:t>
      </w:r>
      <w:r>
        <w:rPr>
          <w:rFonts w:hint="eastAsia"/>
          <w:color w:val="000000" w:themeColor="text1"/>
          <w:highlight w:val="none"/>
          <w14:textFill>
            <w14:solidFill>
              <w14:schemeClr w14:val="tx1"/>
            </w14:solidFill>
          </w14:textFill>
        </w:rPr>
        <w:t>中标</w:t>
      </w:r>
      <w:r>
        <w:rPr>
          <w:color w:val="000000" w:themeColor="text1"/>
          <w:highlight w:val="none"/>
          <w14:textFill>
            <w14:solidFill>
              <w14:schemeClr w14:val="tx1"/>
            </w14:solidFill>
          </w14:textFill>
        </w:rPr>
        <w:t>通知书后，</w:t>
      </w:r>
      <w:r>
        <w:rPr>
          <w:rFonts w:hint="eastAsia"/>
          <w:color w:val="000000" w:themeColor="text1"/>
          <w:highlight w:val="none"/>
          <w14:textFill>
            <w14:solidFill>
              <w14:schemeClr w14:val="tx1"/>
            </w14:solidFill>
          </w14:textFill>
        </w:rPr>
        <w:t>中标人</w:t>
      </w:r>
      <w:r>
        <w:rPr>
          <w:color w:val="000000" w:themeColor="text1"/>
          <w:highlight w:val="none"/>
          <w14:textFill>
            <w14:solidFill>
              <w14:schemeClr w14:val="tx1"/>
            </w14:solidFill>
          </w14:textFill>
        </w:rPr>
        <w:t>须在 15 个工作日内</w:t>
      </w:r>
      <w:r>
        <w:rPr>
          <w:rFonts w:hint="eastAsia"/>
          <w:color w:val="000000" w:themeColor="text1"/>
          <w:highlight w:val="none"/>
          <w14:textFill>
            <w14:solidFill>
              <w14:schemeClr w14:val="tx1"/>
            </w14:solidFill>
          </w14:textFill>
        </w:rPr>
        <w:t>联系</w:t>
      </w:r>
      <w:r>
        <w:rPr>
          <w:color w:val="000000" w:themeColor="text1"/>
          <w:highlight w:val="none"/>
          <w14:textFill>
            <w14:solidFill>
              <w14:schemeClr w14:val="tx1"/>
            </w14:solidFill>
          </w14:textFill>
        </w:rPr>
        <w:t>采购人提交履约保证金，否则视为其放弃</w:t>
      </w:r>
      <w:r>
        <w:rPr>
          <w:rFonts w:hint="eastAsia"/>
          <w:color w:val="000000" w:themeColor="text1"/>
          <w:highlight w:val="none"/>
          <w14:textFill>
            <w14:solidFill>
              <w14:schemeClr w14:val="tx1"/>
            </w14:solidFill>
          </w14:textFill>
        </w:rPr>
        <w:t>中标</w:t>
      </w:r>
      <w:r>
        <w:rPr>
          <w:color w:val="000000" w:themeColor="text1"/>
          <w:highlight w:val="none"/>
          <w14:textFill>
            <w14:solidFill>
              <w14:schemeClr w14:val="tx1"/>
            </w14:solidFill>
          </w14:textFill>
        </w:rPr>
        <w:t>资格。</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25.2</w:t>
      </w:r>
      <w:r>
        <w:rPr>
          <w:rFonts w:hint="eastAsia" w:hAnsi="宋体" w:cs="宋体"/>
          <w:color w:val="000000" w:themeColor="text1"/>
          <w:szCs w:val="21"/>
          <w:highlight w:val="none"/>
          <w14:textFill>
            <w14:solidFill>
              <w14:schemeClr w14:val="tx1"/>
            </w14:solidFill>
          </w14:textFill>
        </w:rPr>
        <w:t>履约保证金作为违约金的一部分及用于补偿采购方因中标人不能完成其合同义务而蒙受的损失。</w:t>
      </w:r>
      <w:r>
        <w:rPr>
          <w:rFonts w:hint="eastAsia" w:hAnsi="宋体" w:cs="宋体"/>
          <w:color w:val="000000" w:themeColor="text1"/>
          <w:highlight w:val="none"/>
          <w14:textFill>
            <w14:solidFill>
              <w14:schemeClr w14:val="tx1"/>
            </w14:solidFill>
          </w14:textFill>
        </w:rPr>
        <w:t>如中标人不按双方签订的合同规定履约，则对其全部履约保证金不予退还，履约保证金不足以赔偿损失的，按实际损失赔偿。</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25.3在履约保证金到期退还日期前，若中标人的开户名称、开户银行、帐号有变动的，请以书面形式通知采购代理机构，否则由此产生的后果由中标人自负。</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25.4</w:t>
      </w:r>
      <w:r>
        <w:rPr>
          <w:color w:val="000000" w:themeColor="text1"/>
          <w:highlight w:val="none"/>
          <w14:textFill>
            <w14:solidFill>
              <w14:schemeClr w14:val="tx1"/>
            </w14:solidFill>
          </w14:textFill>
        </w:rPr>
        <w:t>自项目验收合格之日起5个工作日内，</w:t>
      </w:r>
      <w:r>
        <w:rPr>
          <w:rFonts w:hint="eastAsia"/>
          <w:color w:val="000000" w:themeColor="text1"/>
          <w:highlight w:val="none"/>
          <w14:textFill>
            <w14:solidFill>
              <w14:schemeClr w14:val="tx1"/>
            </w14:solidFill>
          </w14:textFill>
        </w:rPr>
        <w:t>中标人</w:t>
      </w:r>
      <w:r>
        <w:rPr>
          <w:color w:val="000000" w:themeColor="text1"/>
          <w:highlight w:val="none"/>
          <w14:textFill>
            <w14:solidFill>
              <w14:schemeClr w14:val="tx1"/>
            </w14:solidFill>
          </w14:textFill>
        </w:rPr>
        <w:t>按第七章附件“履约保证金退付意见书”的要求至采购人财务部办理退还履约保证金手续，不付利息。因采购人或采购代理机构原因导致无法及时退还时，每逾期退还一天按履约保证金万分之一支付违约金给</w:t>
      </w:r>
      <w:r>
        <w:rPr>
          <w:rFonts w:hint="eastAsia"/>
          <w:color w:val="000000" w:themeColor="text1"/>
          <w:highlight w:val="none"/>
          <w14:textFill>
            <w14:solidFill>
              <w14:schemeClr w14:val="tx1"/>
            </w14:solidFill>
          </w14:textFill>
        </w:rPr>
        <w:t>中标</w:t>
      </w:r>
      <w:r>
        <w:rPr>
          <w:color w:val="000000" w:themeColor="text1"/>
          <w:highlight w:val="none"/>
          <w14:textFill>
            <w14:solidFill>
              <w14:schemeClr w14:val="tx1"/>
            </w14:solidFill>
          </w14:textFill>
        </w:rPr>
        <w:t>人，但因</w:t>
      </w:r>
      <w:r>
        <w:rPr>
          <w:rFonts w:hint="eastAsia"/>
          <w:color w:val="000000" w:themeColor="text1"/>
          <w:highlight w:val="none"/>
          <w14:textFill>
            <w14:solidFill>
              <w14:schemeClr w14:val="tx1"/>
            </w14:solidFill>
          </w14:textFill>
        </w:rPr>
        <w:t>中标人</w:t>
      </w:r>
      <w:r>
        <w:rPr>
          <w:color w:val="000000" w:themeColor="text1"/>
          <w:highlight w:val="none"/>
          <w14:textFill>
            <w14:solidFill>
              <w14:schemeClr w14:val="tx1"/>
            </w14:solidFill>
          </w14:textFill>
        </w:rPr>
        <w:t>自身原因导致无法及时退还的除外。</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26、签订合同</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26.1中标人应当自中标通知书发出之日起30日内，凭中标通知书按照招标文件和中标人投标文件的规定，与采购人签订书面合同。所签订的合同不得对招标文件确定的事项和中标人投标文件作实质性修改。</w:t>
      </w:r>
    </w:p>
    <w:p>
      <w:pPr>
        <w:pStyle w:val="20"/>
        <w:spacing w:line="400" w:lineRule="exact"/>
        <w:ind w:left="525" w:hanging="525" w:hangingChars="250"/>
        <w:rPr>
          <w:rFonts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26.2</w:t>
      </w:r>
      <w:r>
        <w:rPr>
          <w:rFonts w:hint="eastAsia" w:hAnsi="宋体" w:cs="宋体"/>
          <w:color w:val="000000" w:themeColor="text1"/>
          <w:spacing w:val="-4"/>
          <w:szCs w:val="21"/>
          <w:highlight w:val="none"/>
          <w14:textFill>
            <w14:solidFill>
              <w14:schemeClr w14:val="tx1"/>
            </w14:solidFill>
          </w14:textFill>
        </w:rPr>
        <w:t>除不可抗力等因素外，中标通知书发出后，</w:t>
      </w:r>
      <w:r>
        <w:rPr>
          <w:rFonts w:hint="eastAsia" w:hAnsi="宋体" w:cs="宋体"/>
          <w:color w:val="000000" w:themeColor="text1"/>
          <w:highlight w:val="none"/>
          <w14:textFill>
            <w14:solidFill>
              <w14:schemeClr w14:val="tx1"/>
            </w14:solidFill>
          </w14:textFill>
        </w:rPr>
        <w:t>中标人拒绝签订政府采购合同的，应当承担相应的法律责任。中标人拒绝与采购人签订政府采购合同的，采购人可以按照评审报告推荐的候选人名单排序，确定下一候选人为中标人并签订政府采购合同，也可以重新开展采购活动。拒绝签订政府采购合同的中标人不得参加对该项目重新开展的采购活动。采购人有权将违约投标人的不良行为报政府采购监管部门。</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26.3由于中标人放弃中标或未按规定签订合同，造成本项目的合同中标价提高（指采购人选择第二中标候选人导致中标金额高于违约人的中标价），所超出违约人的中标价部分由违约人承担赔偿责任。</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26.4政府采购合同必须与招标文件第五章格式(包括内容和结构)相一致，不能改变主要条款。</w:t>
      </w:r>
    </w:p>
    <w:bookmarkEnd w:id="200"/>
    <w:bookmarkEnd w:id="201"/>
    <w:bookmarkEnd w:id="202"/>
    <w:bookmarkEnd w:id="203"/>
    <w:bookmarkEnd w:id="204"/>
    <w:p>
      <w:pPr>
        <w:pStyle w:val="20"/>
        <w:spacing w:line="400" w:lineRule="exact"/>
        <w:ind w:firstLine="420"/>
        <w:rPr>
          <w:rFonts w:hAnsi="宋体" w:cs="宋体"/>
          <w:color w:val="000000" w:themeColor="text1"/>
          <w:highlight w:val="none"/>
          <w14:textFill>
            <w14:solidFill>
              <w14:schemeClr w14:val="tx1"/>
            </w14:solidFill>
          </w14:textFill>
        </w:rPr>
      </w:pPr>
    </w:p>
    <w:p>
      <w:pPr>
        <w:pStyle w:val="3"/>
        <w:spacing w:line="400" w:lineRule="exact"/>
        <w:jc w:val="center"/>
        <w:rPr>
          <w:rFonts w:ascii="宋体" w:hAnsi="宋体" w:cs="宋体"/>
          <w:color w:val="000000" w:themeColor="text1"/>
          <w:highlight w:val="none"/>
          <w14:textFill>
            <w14:solidFill>
              <w14:schemeClr w14:val="tx1"/>
            </w14:solidFill>
          </w14:textFill>
        </w:rPr>
      </w:pPr>
      <w:bookmarkStart w:id="205" w:name="_Toc200268271"/>
      <w:bookmarkStart w:id="206" w:name="_Toc405943009"/>
      <w:bookmarkStart w:id="207" w:name="_Toc395066551"/>
      <w:bookmarkStart w:id="208" w:name="_Toc469874198"/>
      <w:bookmarkStart w:id="209" w:name="_Toc469909322"/>
      <w:bookmarkStart w:id="210" w:name="_Toc185702582"/>
      <w:bookmarkStart w:id="211" w:name="_Toc9628"/>
      <w:r>
        <w:rPr>
          <w:rFonts w:hint="eastAsia" w:ascii="宋体" w:hAnsi="宋体" w:cs="宋体"/>
          <w:color w:val="000000" w:themeColor="text1"/>
          <w:highlight w:val="none"/>
          <w14:textFill>
            <w14:solidFill>
              <w14:schemeClr w14:val="tx1"/>
            </w14:solidFill>
          </w14:textFill>
        </w:rPr>
        <w:t>八、其他事项</w:t>
      </w:r>
      <w:bookmarkEnd w:id="205"/>
      <w:bookmarkEnd w:id="206"/>
      <w:bookmarkEnd w:id="207"/>
      <w:bookmarkEnd w:id="208"/>
      <w:bookmarkEnd w:id="209"/>
      <w:bookmarkEnd w:id="210"/>
      <w:bookmarkEnd w:id="211"/>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212" w:name="_Toc395066552"/>
      <w:bookmarkStart w:id="213" w:name="_Toc185702583"/>
      <w:bookmarkStart w:id="214" w:name="_Toc200268272"/>
      <w:bookmarkStart w:id="215" w:name="_Toc405943010"/>
      <w:bookmarkStart w:id="216" w:name="_Toc469874199"/>
      <w:r>
        <w:rPr>
          <w:rFonts w:hint="eastAsia" w:ascii="宋体" w:hAnsi="宋体" w:eastAsia="宋体" w:cs="宋体"/>
          <w:color w:val="000000" w:themeColor="text1"/>
          <w:sz w:val="21"/>
          <w:szCs w:val="21"/>
          <w:highlight w:val="none"/>
          <w14:textFill>
            <w14:solidFill>
              <w14:schemeClr w14:val="tx1"/>
            </w14:solidFill>
          </w14:textFill>
        </w:rPr>
        <w:t>27、服务费</w:t>
      </w:r>
      <w:bookmarkEnd w:id="212"/>
      <w:bookmarkEnd w:id="213"/>
      <w:bookmarkEnd w:id="214"/>
      <w:bookmarkEnd w:id="215"/>
      <w:bookmarkEnd w:id="216"/>
    </w:p>
    <w:p>
      <w:pPr>
        <w:pStyle w:val="20"/>
        <w:spacing w:line="400" w:lineRule="exact"/>
        <w:ind w:left="525" w:hanging="525" w:hangingChars="250"/>
        <w:rPr>
          <w:rFonts w:hAnsi="宋体" w:cs="宋体"/>
          <w:bCs/>
          <w:color w:val="000000" w:themeColor="text1"/>
          <w:highlight w:val="none"/>
          <w14:textFill>
            <w14:solidFill>
              <w14:schemeClr w14:val="tx1"/>
            </w14:solidFill>
          </w14:textFill>
        </w:rPr>
      </w:pPr>
      <w:bookmarkStart w:id="217" w:name="_Toc200268273"/>
      <w:bookmarkStart w:id="218" w:name="_Toc469874200"/>
      <w:bookmarkStart w:id="219" w:name="_Toc405943011"/>
      <w:bookmarkStart w:id="220" w:name="_Toc185702584"/>
      <w:bookmarkStart w:id="221" w:name="_Toc395066553"/>
      <w:r>
        <w:rPr>
          <w:rFonts w:hint="eastAsia" w:hAnsi="宋体" w:cs="宋体"/>
          <w:bCs/>
          <w:color w:val="000000" w:themeColor="text1"/>
          <w:highlight w:val="none"/>
          <w14:textFill>
            <w14:solidFill>
              <w14:schemeClr w14:val="tx1"/>
            </w14:solidFill>
          </w14:textFill>
        </w:rPr>
        <w:t>27.1本项目服务费：</w:t>
      </w:r>
      <w:r>
        <w:rPr>
          <w:rFonts w:hint="eastAsia" w:hAnsi="宋体" w:cs="宋体"/>
          <w:color w:val="000000" w:themeColor="text1"/>
          <w:highlight w:val="none"/>
          <w14:textFill>
            <w14:solidFill>
              <w14:schemeClr w14:val="tx1"/>
            </w14:solidFill>
          </w14:textFill>
        </w:rPr>
        <w:t>由中标人在领取中标通知书前向广西众联工程项目管理有限公司一次性付清代理服务费及开标费，否则视为其放弃中标资格。</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27.2代理服务费参考下述标准按差额定率累进法计算，具体标准如下：</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1760"/>
        <w:gridCol w:w="176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260" w:type="dxa"/>
          </w:tcPr>
          <w:p>
            <w:pPr>
              <w:pStyle w:val="20"/>
              <w:snapToGrid w:val="0"/>
              <w:ind w:firstLine="2100" w:firstLineChars="1000"/>
              <w:rPr>
                <w:rFonts w:hAnsi="宋体" w:cs="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mc:AlternateContent>
                <mc:Choice Requires="wpg">
                  <w:drawing>
                    <wp:anchor distT="0" distB="0" distL="114300" distR="114300" simplePos="0" relativeHeight="251658240" behindDoc="0" locked="0" layoutInCell="1" allowOverlap="1">
                      <wp:simplePos x="0" y="0"/>
                      <wp:positionH relativeFrom="column">
                        <wp:posOffset>-73025</wp:posOffset>
                      </wp:positionH>
                      <wp:positionV relativeFrom="paragraph">
                        <wp:posOffset>-1270</wp:posOffset>
                      </wp:positionV>
                      <wp:extent cx="2075180" cy="682625"/>
                      <wp:effectExtent l="6985" t="12700" r="13335" b="9525"/>
                      <wp:wrapNone/>
                      <wp:docPr id="1" name="__TH_G22五号27"/>
                      <wp:cNvGraphicFramePr/>
                      <a:graphic xmlns:a="http://schemas.openxmlformats.org/drawingml/2006/main">
                        <a:graphicData uri="http://schemas.microsoft.com/office/word/2010/wordprocessingGroup">
                          <wpg:wgp>
                            <wpg:cNvGrpSpPr/>
                            <wpg:grpSpPr>
                              <a:xfrm>
                                <a:off x="0" y="0"/>
                                <a:ext cx="2075180" cy="682625"/>
                                <a:chOff x="959" y="1984"/>
                                <a:chExt cx="2534" cy="1072"/>
                              </a:xfrm>
                            </wpg:grpSpPr>
                            <wps:wsp>
                              <wps:cNvPr id="2" name="__TH_L25"/>
                              <wps:cNvCnPr>
                                <a:cxnSpLocks noChangeShapeType="1"/>
                              </wps:cNvCnPr>
                              <wps:spPr bwMode="auto">
                                <a:xfrm>
                                  <a:off x="2226" y="1984"/>
                                  <a:ext cx="1267" cy="1072"/>
                                </a:xfrm>
                                <a:prstGeom prst="line">
                                  <a:avLst/>
                                </a:prstGeom>
                                <a:noFill/>
                                <a:ln w="6350">
                                  <a:solidFill>
                                    <a:srgbClr val="000000"/>
                                  </a:solidFill>
                                  <a:round/>
                                </a:ln>
                              </wps:spPr>
                              <wps:bodyPr/>
                            </wps:wsp>
                            <wps:wsp>
                              <wps:cNvPr id="3" name="__TH_L26"/>
                              <wps:cNvCnPr>
                                <a:cxnSpLocks noChangeShapeType="1"/>
                              </wps:cNvCnPr>
                              <wps:spPr bwMode="auto">
                                <a:xfrm>
                                  <a:off x="959" y="2520"/>
                                  <a:ext cx="2534" cy="536"/>
                                </a:xfrm>
                                <a:prstGeom prst="line">
                                  <a:avLst/>
                                </a:prstGeom>
                                <a:noFill/>
                                <a:ln w="6350">
                                  <a:solidFill>
                                    <a:srgbClr val="000000"/>
                                  </a:solidFill>
                                  <a:round/>
                                </a:ln>
                              </wps:spPr>
                              <wps:bodyPr/>
                            </wps:wsp>
                          </wpg:wgp>
                        </a:graphicData>
                      </a:graphic>
                    </wp:anchor>
                  </w:drawing>
                </mc:Choice>
                <mc:Fallback>
                  <w:pict>
                    <v:group id="__TH_G22五号27" o:spid="_x0000_s1026" o:spt="203" style="position:absolute;left:0pt;margin-left:-5.75pt;margin-top:-0.1pt;height:53.75pt;width:163.4pt;z-index:251658240;mso-width-relative:page;mso-height-relative:page;" coordorigin="959,1984" coordsize="2534,1072" o:gfxdata="UEsDBAoAAAAAAIdO4kAAAAAAAAAAAAAAAAAEAAAAZHJzL1BLAwQUAAAACACHTuJAw+NdKdgAAAAJ&#10;AQAADwAAAGRycy9kb3ducmV2LnhtbE2PwWrDMAyG74O9g9Fgt9Z2Q7aRximjbDuVwdrB6M1N1CQ0&#10;lkPsJu3bTzutN4n/49enfHVxnRhxCK0nA3quQCCVvmqpNvC9e5+9gAjRUmU7T2jgigFWxf1dbrPK&#10;T/SF4zbWgksoZNZAE2OfSRnKBp0Nc98jcXb0g7OR16GW1WAnLnedXCj1JJ1tiS80tsd1g+Vpe3YG&#10;PiY7vSb6bdycjuvrfpd+/mw0GvP4oNUSRMRL/IfhT5/VoWCngz9TFURnYKZ1yigPCxCcJzpNQBwY&#10;VM8JyCKXtx8Uv1BLAwQUAAAACACHTuJAOTUyR1UCAABXBgAADgAAAGRycy9lMm9Eb2MueG1s1VXL&#10;jtowFN1X6j9Y2ZckZhIgIsyC6dAFbZGga2Qc56EmtmUbAl/RTf+lUr+n/Y9eO4QpVN1MNYuyMPi+&#10;fM8512Z6f2xqdGBKV4KnXjgIPMQ4FVnFi9T7tHl8M/aQNoRnpBacpd6Jae9+9vrVtJUJw6IUdcYU&#10;giJcJ61MvdIYmfi+piVriB4IyTg4c6EaYmCrCj9TpIXqTe3jIIj9VqhMKkGZ1mB96JzezNXPc0bN&#10;xzzXzKA69aA341bl1p1d/dmUJIUisqzouQ3yjC4aUnE49FLqgRiC9qr6o1RTUSW0yM2AisYXeV5R&#10;5jAAmjC4QbNQYi8dliJpC3mhCai94enZZemHw0qhKgPtPMRJAxJtt5t32wXGP75//fnlGx5ZjlpZ&#10;JBC6UHItV+psKLqdhX3MVWO/ARA6OnZPF3bZ0SAKRhyMonAMIlDwxWMc46ijn5agkU2bRBMPgTOc&#10;jO9619s+OxredalhMMLW6/fH+ra7SzOthEnST2TpfyNrXRLJnAbaMnAmC1+RteyQ2JMhZM5XynJB&#10;j3wtl4J+1oiLeUl4wVyxzUkCy6GDcJViNxroRbv2vcgghuyNcFN1Qy/GOL4hqic5xPHoLzSRRCpt&#10;Fkw0yP5IvbriFhlJyGGpTcdoH2LNXDxWdQ12ktQctSDaMApcghZ1lVmn9WlV7Oa1Qgdi75j7nOW5&#10;CoNZ5ll3SM1BvR6tHS6d7ER2coPl7KBfZ35xIYc3Qsa29StVXlLIfuBxhM9PUa8jvox7NHQ9Xab9&#10;f5PR3U54vdyFPb+09nn8fe/G4en/YPY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w+NdKdgAAAAJ&#10;AQAADwAAAAAAAAABACAAAAAiAAAAZHJzL2Rvd25yZXYueG1sUEsBAhQAFAAAAAgAh07iQDk1MkdV&#10;AgAAVwYAAA4AAAAAAAAAAQAgAAAAJwEAAGRycy9lMm9Eb2MueG1sUEsFBgAAAAAGAAYAWQEAAO4F&#10;AAAAAA==&#10;">
                      <o:lock v:ext="edit" aspectratio="f"/>
                      <v:line id="__TH_L25" o:spid="_x0000_s1026" o:spt="20" style="position:absolute;left:2226;top:1984;height:1072;width:1267;"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_TH_L26" o:spid="_x0000_s1026" o:spt="20" style="position:absolute;left:959;top:2520;height:536;width:2534;"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rPr>
                <w:rFonts w:hint="eastAsia" w:hAnsi="宋体" w:cs="宋体"/>
                <w:color w:val="000000" w:themeColor="text1"/>
                <w:highlight w:val="none"/>
                <w14:textFill>
                  <w14:solidFill>
                    <w14:schemeClr w14:val="tx1"/>
                  </w14:solidFill>
                </w14:textFill>
              </w:rPr>
              <w:t>服务类型</w:t>
            </w:r>
          </w:p>
          <w:p>
            <w:pPr>
              <w:pStyle w:val="20"/>
              <w:snapToGrid w:val="0"/>
              <w:ind w:firstLine="63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费  率</w:t>
            </w:r>
          </w:p>
          <w:p>
            <w:pPr>
              <w:pStyle w:val="20"/>
              <w:snapToGrid w:val="0"/>
              <w:rPr>
                <w:rFonts w:hAnsi="宋体" w:cs="宋体"/>
                <w:color w:val="000000" w:themeColor="text1"/>
                <w:highlight w:val="none"/>
                <w14:textFill>
                  <w14:solidFill>
                    <w14:schemeClr w14:val="tx1"/>
                  </w14:solidFill>
                </w14:textFill>
              </w:rPr>
            </w:pPr>
          </w:p>
          <w:p>
            <w:pPr>
              <w:pStyle w:val="20"/>
              <w:snapToGrid w:val="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成交金额（万元）</w:t>
            </w:r>
          </w:p>
        </w:tc>
        <w:tc>
          <w:tcPr>
            <w:tcW w:w="1760"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货物招标</w:t>
            </w:r>
          </w:p>
        </w:tc>
        <w:tc>
          <w:tcPr>
            <w:tcW w:w="1760"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服务招标</w:t>
            </w:r>
          </w:p>
        </w:tc>
        <w:tc>
          <w:tcPr>
            <w:tcW w:w="1760"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0"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100以下</w:t>
            </w:r>
          </w:p>
        </w:tc>
        <w:tc>
          <w:tcPr>
            <w:tcW w:w="1760"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w:t>
            </w:r>
          </w:p>
        </w:tc>
        <w:tc>
          <w:tcPr>
            <w:tcW w:w="1760"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w:t>
            </w:r>
          </w:p>
        </w:tc>
        <w:tc>
          <w:tcPr>
            <w:tcW w:w="1760"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0"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100-500</w:t>
            </w:r>
          </w:p>
        </w:tc>
        <w:tc>
          <w:tcPr>
            <w:tcW w:w="1760"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w:t>
            </w:r>
          </w:p>
        </w:tc>
        <w:tc>
          <w:tcPr>
            <w:tcW w:w="1760"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0.8%</w:t>
            </w:r>
          </w:p>
        </w:tc>
        <w:tc>
          <w:tcPr>
            <w:tcW w:w="1760"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0.7%</w:t>
            </w:r>
          </w:p>
        </w:tc>
      </w:tr>
    </w:tbl>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例如：某货物招标代理业务中标金额为200万元，计算招标代理服务收费额如下：</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100万元×1.5%=1.5万元</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（200-100）万元×1.1%=1.1万元</w:t>
      </w:r>
    </w:p>
    <w:p>
      <w:pPr>
        <w:pStyle w:val="20"/>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合计收费 = 1.5 + 1.1 = 2.6（万元）</w:t>
      </w:r>
    </w:p>
    <w:p>
      <w:pPr>
        <w:pStyle w:val="20"/>
        <w:spacing w:line="400" w:lineRule="exact"/>
        <w:ind w:left="525" w:hanging="525" w:hanging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27.3上述款项，请现金现存或转账电汇转入下列银行帐户。</w:t>
      </w:r>
    </w:p>
    <w:p>
      <w:pPr>
        <w:pStyle w:val="20"/>
        <w:spacing w:line="400" w:lineRule="exact"/>
        <w:ind w:firstLine="840" w:firstLineChars="4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开户名称：广西众联工程项目管理有限公司</w:t>
      </w:r>
    </w:p>
    <w:p>
      <w:pPr>
        <w:spacing w:line="350" w:lineRule="exact"/>
        <w:ind w:firstLine="840" w:firstLineChars="4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开户银行：中国光大银行股份有限公司南宁民主支行</w:t>
      </w:r>
    </w:p>
    <w:p>
      <w:pPr>
        <w:spacing w:line="350" w:lineRule="exact"/>
        <w:ind w:firstLine="840" w:firstLineChars="4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银行账号：78900188000167866</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28、解释权</w:t>
      </w:r>
      <w:bookmarkEnd w:id="217"/>
      <w:bookmarkEnd w:id="218"/>
      <w:bookmarkEnd w:id="219"/>
      <w:bookmarkEnd w:id="220"/>
      <w:bookmarkEnd w:id="221"/>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28.1本</w:t>
      </w:r>
      <w:r>
        <w:rPr>
          <w:rFonts w:hint="eastAsia" w:hAnsi="宋体" w:cs="宋体"/>
          <w:color w:val="000000" w:themeColor="text1"/>
          <w:szCs w:val="21"/>
          <w:highlight w:val="none"/>
          <w14:textFill>
            <w14:solidFill>
              <w14:schemeClr w14:val="tx1"/>
            </w14:solidFill>
          </w14:textFill>
        </w:rPr>
        <w:t>招标文件</w:t>
      </w:r>
      <w:r>
        <w:rPr>
          <w:rFonts w:hint="eastAsia" w:hAnsi="宋体" w:cs="宋体"/>
          <w:color w:val="000000" w:themeColor="text1"/>
          <w:highlight w:val="none"/>
          <w14:textFill>
            <w14:solidFill>
              <w14:schemeClr w14:val="tx1"/>
            </w14:solidFill>
          </w14:textFill>
        </w:rPr>
        <w:t>是根据国家有关法律、法规以及政府采购管理有关规定和参照国际惯例编制，解释权属本采购代理机构。</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222" w:name="_Toc469874201"/>
      <w:r>
        <w:rPr>
          <w:rFonts w:hint="eastAsia" w:ascii="宋体" w:hAnsi="宋体" w:eastAsia="宋体" w:cs="宋体"/>
          <w:color w:val="000000" w:themeColor="text1"/>
          <w:sz w:val="21"/>
          <w:szCs w:val="21"/>
          <w:highlight w:val="none"/>
          <w14:textFill>
            <w14:solidFill>
              <w14:schemeClr w14:val="tx1"/>
            </w14:solidFill>
          </w14:textFill>
        </w:rPr>
        <w:t>29、知识产权</w:t>
      </w:r>
      <w:bookmarkEnd w:id="222"/>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29.1所有投标人的投标文件以及在本项目的知识成果（包括知识产权在内的任何权利）均归采购人所有，不予退还。投标人并保证所交付的知识成果不侵犯第三人的任何合法权益。</w:t>
      </w:r>
    </w:p>
    <w:p>
      <w:pPr>
        <w:pStyle w:val="4"/>
        <w:spacing w:before="0" w:after="0" w:line="400" w:lineRule="exact"/>
        <w:rPr>
          <w:rFonts w:ascii="宋体" w:hAnsi="宋体" w:eastAsia="宋体" w:cs="宋体"/>
          <w:color w:val="000000" w:themeColor="text1"/>
          <w:sz w:val="21"/>
          <w:szCs w:val="21"/>
          <w:highlight w:val="none"/>
          <w14:textFill>
            <w14:solidFill>
              <w14:schemeClr w14:val="tx1"/>
            </w14:solidFill>
          </w14:textFill>
        </w:rPr>
      </w:pPr>
      <w:bookmarkStart w:id="223" w:name="_Toc469874202"/>
      <w:r>
        <w:rPr>
          <w:rFonts w:hint="eastAsia" w:ascii="宋体" w:hAnsi="宋体" w:eastAsia="宋体" w:cs="宋体"/>
          <w:color w:val="000000" w:themeColor="text1"/>
          <w:sz w:val="21"/>
          <w:szCs w:val="21"/>
          <w:highlight w:val="none"/>
          <w14:textFill>
            <w14:solidFill>
              <w14:schemeClr w14:val="tx1"/>
            </w14:solidFill>
          </w14:textFill>
        </w:rPr>
        <w:t>30、需要补充的其他内容</w:t>
      </w:r>
      <w:bookmarkEnd w:id="223"/>
    </w:p>
    <w:p>
      <w:pPr>
        <w:pStyle w:val="20"/>
        <w:spacing w:line="400" w:lineRule="exact"/>
        <w:ind w:left="420" w:hanging="420" w:hanging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30.1需要</w:t>
      </w:r>
      <w:r>
        <w:rPr>
          <w:rFonts w:hint="eastAsia" w:hAnsi="宋体" w:cs="宋体"/>
          <w:color w:val="000000" w:themeColor="text1"/>
          <w:szCs w:val="21"/>
          <w:highlight w:val="none"/>
          <w14:textFill>
            <w14:solidFill>
              <w14:schemeClr w14:val="tx1"/>
            </w14:solidFill>
          </w14:textFill>
        </w:rPr>
        <w:t>补充</w:t>
      </w:r>
      <w:r>
        <w:rPr>
          <w:rFonts w:hint="eastAsia" w:hAnsi="宋体" w:cs="宋体"/>
          <w:color w:val="000000" w:themeColor="text1"/>
          <w:highlight w:val="none"/>
          <w14:textFill>
            <w14:solidFill>
              <w14:schemeClr w14:val="tx1"/>
            </w14:solidFill>
          </w14:textFill>
        </w:rPr>
        <w:t>的其他内容：见本章须知前附表。</w:t>
      </w:r>
    </w:p>
    <w:p>
      <w:pPr>
        <w:pStyle w:val="20"/>
        <w:spacing w:line="390" w:lineRule="exact"/>
        <w:ind w:left="420" w:hanging="420" w:hangingChars="200"/>
        <w:rPr>
          <w:rFonts w:hAnsi="宋体" w:cs="宋体"/>
          <w:color w:val="000000" w:themeColor="text1"/>
          <w:highlight w:val="none"/>
          <w14:textFill>
            <w14:solidFill>
              <w14:schemeClr w14:val="tx1"/>
            </w14:solidFill>
          </w14:textFill>
        </w:rPr>
      </w:pPr>
    </w:p>
    <w:p>
      <w:pPr>
        <w:pStyle w:val="20"/>
        <w:tabs>
          <w:tab w:val="left" w:pos="6695"/>
        </w:tabs>
        <w:spacing w:line="34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p>
    <w:p>
      <w:pPr>
        <w:pStyle w:val="3"/>
        <w:spacing w:line="560" w:lineRule="exact"/>
        <w:ind w:firstLine="2209" w:firstLineChars="500"/>
        <w:rPr>
          <w:rFonts w:ascii="宋体" w:hAnsi="宋体" w:cs="宋体"/>
          <w:bCs/>
          <w:color w:val="000000" w:themeColor="text1"/>
          <w:sz w:val="44"/>
          <w:highlight w:val="none"/>
          <w14:textFill>
            <w14:solidFill>
              <w14:schemeClr w14:val="tx1"/>
            </w14:solidFill>
          </w14:textFill>
        </w:rPr>
      </w:pPr>
      <w:bookmarkStart w:id="224" w:name="_Toc147248436"/>
      <w:bookmarkStart w:id="225" w:name="_Toc156106971"/>
      <w:bookmarkStart w:id="226" w:name="_Toc199780487"/>
      <w:bookmarkStart w:id="227" w:name="_Toc230929136"/>
      <w:bookmarkStart w:id="228" w:name="_Toc230949375"/>
      <w:bookmarkStart w:id="229" w:name="_Toc395066557"/>
      <w:bookmarkStart w:id="230" w:name="_Toc200308968"/>
      <w:bookmarkStart w:id="231" w:name="_Toc405943015"/>
      <w:bookmarkStart w:id="232" w:name="_Toc469842113"/>
      <w:bookmarkStart w:id="233" w:name="_Toc200268365"/>
      <w:bookmarkStart w:id="234" w:name="_Toc185702588"/>
      <w:bookmarkStart w:id="235" w:name="_Toc185703010"/>
      <w:bookmarkStart w:id="236" w:name="_Toc469874205"/>
      <w:bookmarkStart w:id="237" w:name="_Toc13134"/>
      <w:r>
        <w:rPr>
          <w:rFonts w:hint="eastAsia" w:ascii="宋体" w:hAnsi="宋体" w:cs="宋体"/>
          <w:bCs/>
          <w:color w:val="000000" w:themeColor="text1"/>
          <w:sz w:val="44"/>
          <w:highlight w:val="none"/>
          <w14:textFill>
            <w14:solidFill>
              <w14:schemeClr w14:val="tx1"/>
            </w14:solidFill>
          </w14:textFill>
        </w:rPr>
        <w:t>第四章  评标</w:t>
      </w:r>
      <w:bookmarkEnd w:id="224"/>
      <w:bookmarkEnd w:id="225"/>
      <w:r>
        <w:rPr>
          <w:rFonts w:hint="eastAsia" w:ascii="宋体" w:hAnsi="宋体" w:cs="宋体"/>
          <w:bCs/>
          <w:color w:val="000000" w:themeColor="text1"/>
          <w:sz w:val="44"/>
          <w:highlight w:val="none"/>
          <w14:textFill>
            <w14:solidFill>
              <w14:schemeClr w14:val="tx1"/>
            </w14:solidFill>
          </w14:textFill>
        </w:rPr>
        <w:t>方法</w:t>
      </w:r>
      <w:bookmarkEnd w:id="226"/>
      <w:bookmarkEnd w:id="227"/>
      <w:bookmarkEnd w:id="228"/>
      <w:bookmarkEnd w:id="229"/>
      <w:bookmarkEnd w:id="230"/>
      <w:bookmarkEnd w:id="231"/>
      <w:bookmarkEnd w:id="232"/>
      <w:bookmarkEnd w:id="233"/>
      <w:bookmarkEnd w:id="234"/>
      <w:bookmarkEnd w:id="235"/>
      <w:bookmarkEnd w:id="236"/>
      <w:bookmarkEnd w:id="237"/>
    </w:p>
    <w:p>
      <w:pPr>
        <w:pStyle w:val="20"/>
        <w:spacing w:line="0" w:lineRule="atLeast"/>
        <w:rPr>
          <w:rFonts w:hAnsi="宋体" w:cs="宋体"/>
          <w:b/>
          <w:bCs/>
          <w:color w:val="000000" w:themeColor="text1"/>
          <w:sz w:val="32"/>
          <w:szCs w:val="32"/>
          <w:highlight w:val="none"/>
          <w14:textFill>
            <w14:solidFill>
              <w14:schemeClr w14:val="tx1"/>
            </w14:solidFill>
          </w14:textFill>
        </w:rPr>
      </w:pPr>
      <w:r>
        <w:rPr>
          <w:rFonts w:hint="eastAsia" w:hAnsi="宋体" w:cs="宋体"/>
          <w:b/>
          <w:bCs/>
          <w:color w:val="000000" w:themeColor="text1"/>
          <w:sz w:val="32"/>
          <w:szCs w:val="32"/>
          <w:highlight w:val="none"/>
          <w14:textFill>
            <w14:solidFill>
              <w14:schemeClr w14:val="tx1"/>
            </w14:solidFill>
          </w14:textFill>
        </w:rPr>
        <w:t>评标方法</w:t>
      </w:r>
    </w:p>
    <w:p>
      <w:pPr>
        <w:pStyle w:val="20"/>
        <w:spacing w:before="66" w:beforeLines="20" w:line="0" w:lineRule="atLeast"/>
        <w:outlineLvl w:val="1"/>
        <w:rPr>
          <w:rFonts w:hAnsi="宋体" w:cs="宋体"/>
          <w:b/>
          <w:bCs/>
          <w:color w:val="000000" w:themeColor="text1"/>
          <w:sz w:val="28"/>
          <w:szCs w:val="28"/>
          <w:highlight w:val="none"/>
          <w14:textFill>
            <w14:solidFill>
              <w14:schemeClr w14:val="tx1"/>
            </w14:solidFill>
          </w14:textFill>
        </w:rPr>
      </w:pPr>
      <w:bookmarkStart w:id="238" w:name="_Toc469842114"/>
      <w:bookmarkStart w:id="239" w:name="_Toc405943016"/>
      <w:bookmarkStart w:id="240" w:name="_Toc469950028"/>
      <w:bookmarkStart w:id="241" w:name="_Toc469874206"/>
      <w:bookmarkStart w:id="242" w:name="_Toc395066558"/>
      <w:bookmarkStart w:id="243" w:name="_Toc469909326"/>
      <w:r>
        <w:rPr>
          <w:rFonts w:hint="eastAsia" w:hAnsi="宋体" w:cs="宋体"/>
          <w:b/>
          <w:bCs/>
          <w:color w:val="000000" w:themeColor="text1"/>
          <w:sz w:val="28"/>
          <w:szCs w:val="28"/>
          <w:highlight w:val="none"/>
          <w14:textFill>
            <w14:solidFill>
              <w14:schemeClr w14:val="tx1"/>
            </w14:solidFill>
          </w14:textFill>
        </w:rPr>
        <w:t>一、评标方法及依据</w:t>
      </w:r>
    </w:p>
    <w:p>
      <w:pPr>
        <w:pStyle w:val="20"/>
        <w:spacing w:before="33" w:beforeLines="10" w:line="0" w:lineRule="atLeast"/>
        <w:ind w:firstLine="431"/>
        <w:rPr>
          <w:rFonts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1、本项目采用评标方法：综合评分法，</w:t>
      </w:r>
      <w:r>
        <w:rPr>
          <w:rFonts w:hint="eastAsia" w:hAnsi="宋体" w:cs="宋体"/>
          <w:color w:val="000000" w:themeColor="text1"/>
          <w:kern w:val="0"/>
          <w:szCs w:val="21"/>
          <w:highlight w:val="none"/>
          <w14:textFill>
            <w14:solidFill>
              <w14:schemeClr w14:val="tx1"/>
            </w14:solidFill>
          </w14:textFill>
        </w:rPr>
        <w:t>是指招标文件满足招标文件全部实质性要求，且按照评审因素的量化指标评审得分最高的投标人作为中标候选人或者中标人的评标方法。</w:t>
      </w:r>
    </w:p>
    <w:p>
      <w:pPr>
        <w:pStyle w:val="20"/>
        <w:spacing w:before="33" w:beforeLines="10" w:line="0" w:lineRule="atLeast"/>
        <w:ind w:firstLine="431"/>
        <w:rPr>
          <w:rFonts w:hAnsi="宋体" w:cs="宋体"/>
          <w:bCs/>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2、本项目采用不公开方式评标，评审依据为</w:t>
      </w:r>
      <w:r>
        <w:rPr>
          <w:rFonts w:hint="eastAsia" w:hAnsi="宋体" w:cs="宋体"/>
          <w:color w:val="000000" w:themeColor="text1"/>
          <w:highlight w:val="none"/>
          <w14:textFill>
            <w14:solidFill>
              <w14:schemeClr w14:val="tx1"/>
            </w14:solidFill>
          </w14:textFill>
        </w:rPr>
        <w:t>招标文件、变更公告或文件（如有）、投标文件、澄清及答复。</w:t>
      </w:r>
    </w:p>
    <w:p>
      <w:pPr>
        <w:pStyle w:val="20"/>
        <w:spacing w:before="66" w:beforeLines="20" w:line="0" w:lineRule="atLeast"/>
        <w:outlineLvl w:val="1"/>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二、评标标准</w:t>
      </w:r>
    </w:p>
    <w:p>
      <w:pPr>
        <w:pStyle w:val="20"/>
        <w:spacing w:line="0" w:lineRule="atLeast"/>
        <w:ind w:firstLine="430"/>
        <w:outlineLvl w:val="2"/>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（一）投标报价政策性扣除</w:t>
      </w:r>
    </w:p>
    <w:p>
      <w:pPr>
        <w:pStyle w:val="20"/>
        <w:spacing w:before="33" w:beforeLines="10" w:line="0" w:lineRule="atLeast"/>
        <w:ind w:firstLine="43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若投标人符合以下情形之一的，对其投标报价将给予相应比例的扣除，用扣除后的价格参与评审。未按要求填写和提供有效证明或相关内容表述不清的，不得享受价格扣除。</w:t>
      </w:r>
    </w:p>
    <w:p>
      <w:pPr>
        <w:pStyle w:val="20"/>
        <w:numPr>
          <w:ilvl w:val="0"/>
          <w:numId w:val="5"/>
        </w:numPr>
        <w:spacing w:before="33" w:beforeLines="10" w:line="0" w:lineRule="atLeast"/>
        <w:ind w:firstLine="430"/>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本项目</w:t>
      </w:r>
      <w:r>
        <w:rPr>
          <w:rFonts w:hint="eastAsia" w:hAnsi="宋体" w:cs="宋体"/>
          <w:bCs/>
          <w:color w:val="000000" w:themeColor="text1"/>
          <w:kern w:val="0"/>
          <w:szCs w:val="21"/>
          <w:highlight w:val="none"/>
          <w14:textFill>
            <w14:solidFill>
              <w14:schemeClr w14:val="tx1"/>
            </w14:solidFill>
          </w14:textFill>
        </w:rPr>
        <w:t>将对提供</w:t>
      </w:r>
      <w:r>
        <w:rPr>
          <w:rFonts w:hint="eastAsia" w:hAnsi="宋体" w:cs="宋体"/>
          <w:color w:val="000000" w:themeColor="text1"/>
          <w:kern w:val="0"/>
          <w:szCs w:val="21"/>
          <w:highlight w:val="none"/>
          <w14:textFill>
            <w14:solidFill>
              <w14:schemeClr w14:val="tx1"/>
            </w14:solidFill>
          </w14:textFill>
        </w:rPr>
        <w:t>小型或微型企业</w:t>
      </w:r>
      <w:r>
        <w:rPr>
          <w:rFonts w:hint="eastAsia" w:hAnsi="宋体" w:cs="宋体"/>
          <w:bCs/>
          <w:color w:val="000000" w:themeColor="text1"/>
          <w:kern w:val="0"/>
          <w:szCs w:val="21"/>
          <w:highlight w:val="none"/>
          <w14:textFill>
            <w14:solidFill>
              <w14:schemeClr w14:val="tx1"/>
            </w14:solidFill>
          </w14:textFill>
        </w:rPr>
        <w:t>产品或服务的价格给予</w:t>
      </w:r>
      <w:r>
        <w:rPr>
          <w:rFonts w:hint="eastAsia" w:hAnsi="宋体" w:cs="宋体"/>
          <w:b/>
          <w:bCs/>
          <w:color w:val="000000" w:themeColor="text1"/>
          <w:kern w:val="0"/>
          <w:szCs w:val="21"/>
          <w:highlight w:val="none"/>
          <w14:textFill>
            <w14:solidFill>
              <w14:schemeClr w14:val="tx1"/>
            </w14:solidFill>
          </w14:textFill>
        </w:rPr>
        <w:t>6</w:t>
      </w:r>
      <w:r>
        <w:rPr>
          <w:rFonts w:hint="eastAsia" w:hAnsi="宋体" w:cs="宋体"/>
          <w:b/>
          <w:color w:val="000000" w:themeColor="text1"/>
          <w:kern w:val="0"/>
          <w:szCs w:val="21"/>
          <w:highlight w:val="none"/>
          <w14:textFill>
            <w14:solidFill>
              <w14:schemeClr w14:val="tx1"/>
            </w14:solidFill>
          </w14:textFill>
        </w:rPr>
        <w:t>％</w:t>
      </w:r>
      <w:r>
        <w:rPr>
          <w:rFonts w:hint="eastAsia" w:hAnsi="宋体" w:cs="宋体"/>
          <w:bCs/>
          <w:color w:val="000000" w:themeColor="text1"/>
          <w:kern w:val="0"/>
          <w:szCs w:val="21"/>
          <w:highlight w:val="none"/>
          <w14:textFill>
            <w14:solidFill>
              <w14:schemeClr w14:val="tx1"/>
            </w14:solidFill>
          </w14:textFill>
        </w:rPr>
        <w:t>的扣除（具体要求详见《中小企业声明函》（格式见第六章）），《中小企业声明函》需提供原件</w:t>
      </w:r>
      <w:r>
        <w:rPr>
          <w:rFonts w:hint="eastAsia" w:hAnsi="宋体" w:cs="宋体"/>
          <w:color w:val="000000" w:themeColor="text1"/>
          <w:kern w:val="0"/>
          <w:szCs w:val="21"/>
          <w:highlight w:val="none"/>
          <w14:textFill>
            <w14:solidFill>
              <w14:schemeClr w14:val="tx1"/>
            </w14:solidFill>
          </w14:textFill>
        </w:rPr>
        <w:t>。</w:t>
      </w:r>
    </w:p>
    <w:p>
      <w:pPr>
        <w:pStyle w:val="20"/>
        <w:spacing w:before="33" w:beforeLines="10" w:line="0" w:lineRule="atLeas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w:t>
      </w:r>
      <w:r>
        <w:rPr>
          <w:rFonts w:hint="eastAsia" w:hAnsi="宋体" w:cs="宋体"/>
          <w:color w:val="000000" w:themeColor="text1"/>
          <w:szCs w:val="21"/>
          <w:highlight w:val="none"/>
          <w14:textFill>
            <w14:solidFill>
              <w14:schemeClr w14:val="tx1"/>
            </w14:solidFill>
          </w14:textFill>
        </w:rPr>
        <w:t>投标人符合《关于政府采购支持监狱企业发展有关问题的通知》(财库[2014]68号)规定被认定为监狱企业的，提供由省级以上监狱管理局、戒毒管理局(含新疆生产建设兵团)出具的属于监狱企业的证明文件（复印件应加盖</w:t>
      </w:r>
      <w:r>
        <w:rPr>
          <w:rFonts w:hint="eastAsia" w:hAnsi="宋体" w:cs="宋体"/>
          <w:color w:val="000000" w:themeColor="text1"/>
          <w:highlight w:val="none"/>
          <w14:textFill>
            <w14:solidFill>
              <w14:schemeClr w14:val="tx1"/>
            </w14:solidFill>
          </w14:textFill>
        </w:rPr>
        <w:t>投标人公章）</w:t>
      </w:r>
      <w:r>
        <w:rPr>
          <w:rFonts w:hint="eastAsia" w:hAnsi="宋体" w:cs="宋体"/>
          <w:color w:val="000000" w:themeColor="text1"/>
          <w:szCs w:val="21"/>
          <w:highlight w:val="none"/>
          <w14:textFill>
            <w14:solidFill>
              <w14:schemeClr w14:val="tx1"/>
            </w14:solidFill>
          </w14:textFill>
        </w:rPr>
        <w:t>，</w:t>
      </w:r>
      <w:r>
        <w:rPr>
          <w:rFonts w:hint="eastAsia" w:hAnsi="宋体" w:cs="宋体"/>
          <w:bCs/>
          <w:color w:val="000000" w:themeColor="text1"/>
          <w:szCs w:val="21"/>
          <w:highlight w:val="none"/>
          <w14:textFill>
            <w14:solidFill>
              <w14:schemeClr w14:val="tx1"/>
            </w14:solidFill>
          </w14:textFill>
        </w:rPr>
        <w:t>将对最终报价给予</w:t>
      </w:r>
      <w:r>
        <w:rPr>
          <w:rFonts w:hint="eastAsia" w:hAnsi="宋体" w:cs="宋体"/>
          <w:b/>
          <w:bCs/>
          <w:color w:val="000000" w:themeColor="text1"/>
          <w:szCs w:val="21"/>
          <w:highlight w:val="none"/>
          <w14:textFill>
            <w14:solidFill>
              <w14:schemeClr w14:val="tx1"/>
            </w14:solidFill>
          </w14:textFill>
        </w:rPr>
        <w:t>6</w:t>
      </w:r>
      <w:r>
        <w:rPr>
          <w:rFonts w:hint="eastAsia" w:hAnsi="宋体" w:cs="宋体"/>
          <w:b/>
          <w:color w:val="000000" w:themeColor="text1"/>
          <w:szCs w:val="21"/>
          <w:highlight w:val="none"/>
          <w14:textFill>
            <w14:solidFill>
              <w14:schemeClr w14:val="tx1"/>
            </w14:solidFill>
          </w14:textFill>
        </w:rPr>
        <w:t>％</w:t>
      </w:r>
      <w:r>
        <w:rPr>
          <w:rFonts w:hint="eastAsia" w:hAnsi="宋体" w:cs="宋体"/>
          <w:bCs/>
          <w:color w:val="000000" w:themeColor="text1"/>
          <w:szCs w:val="21"/>
          <w:highlight w:val="none"/>
          <w14:textFill>
            <w14:solidFill>
              <w14:schemeClr w14:val="tx1"/>
            </w14:solidFill>
          </w14:textFill>
        </w:rPr>
        <w:t>的扣除</w:t>
      </w:r>
      <w:r>
        <w:rPr>
          <w:rFonts w:hint="eastAsia" w:hAnsi="宋体" w:cs="宋体"/>
          <w:color w:val="000000" w:themeColor="text1"/>
          <w:szCs w:val="21"/>
          <w:highlight w:val="none"/>
          <w14:textFill>
            <w14:solidFill>
              <w14:schemeClr w14:val="tx1"/>
            </w14:solidFill>
          </w14:textFill>
        </w:rPr>
        <w:t>。</w:t>
      </w:r>
    </w:p>
    <w:p>
      <w:pPr>
        <w:pStyle w:val="20"/>
        <w:spacing w:before="33" w:beforeLines="10" w:line="0" w:lineRule="atLeast"/>
        <w:ind w:firstLine="430"/>
        <w:rPr>
          <w:rFonts w:hAnsi="宋体" w:cs="宋体"/>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3、</w:t>
      </w:r>
      <w:r>
        <w:rPr>
          <w:rFonts w:hint="eastAsia" w:hAnsi="宋体" w:cs="宋体"/>
          <w:color w:val="000000" w:themeColor="text1"/>
          <w:szCs w:val="21"/>
          <w:highlight w:val="none"/>
          <w14:textFill>
            <w14:solidFill>
              <w14:schemeClr w14:val="tx1"/>
            </w14:solidFill>
          </w14:textFill>
        </w:rPr>
        <w:t>投标人符合《关于促进残疾人就业政府采购政策的通知》（财库〔2017〕141号）规定，提供提供《残疾人福利性单位声明函》（</w:t>
      </w:r>
      <w:r>
        <w:rPr>
          <w:rFonts w:hint="eastAsia" w:hAnsi="宋体" w:cs="宋体"/>
          <w:bCs/>
          <w:color w:val="000000" w:themeColor="text1"/>
          <w:szCs w:val="21"/>
          <w:highlight w:val="none"/>
          <w14:textFill>
            <w14:solidFill>
              <w14:schemeClr w14:val="tx1"/>
            </w14:solidFill>
          </w14:textFill>
        </w:rPr>
        <w:t>格式见第六章</w:t>
      </w:r>
      <w:r>
        <w:rPr>
          <w:rFonts w:hint="eastAsia" w:hAnsi="宋体" w:cs="宋体"/>
          <w:color w:val="000000" w:themeColor="text1"/>
          <w:szCs w:val="21"/>
          <w:highlight w:val="none"/>
          <w14:textFill>
            <w14:solidFill>
              <w14:schemeClr w14:val="tx1"/>
            </w14:solidFill>
          </w14:textFill>
        </w:rPr>
        <w:t>），享受小型、微型企业政策，评标时投标价格给予</w:t>
      </w:r>
      <w:r>
        <w:rPr>
          <w:rFonts w:hint="eastAsia" w:hAnsi="宋体" w:cs="宋体"/>
          <w:b/>
          <w:color w:val="000000" w:themeColor="text1"/>
          <w:szCs w:val="21"/>
          <w:highlight w:val="none"/>
          <w14:textFill>
            <w14:solidFill>
              <w14:schemeClr w14:val="tx1"/>
            </w14:solidFill>
          </w14:textFill>
        </w:rPr>
        <w:t>6％</w:t>
      </w:r>
      <w:r>
        <w:rPr>
          <w:rFonts w:hint="eastAsia" w:hAnsi="宋体" w:cs="宋体"/>
          <w:color w:val="000000" w:themeColor="text1"/>
          <w:szCs w:val="21"/>
          <w:highlight w:val="none"/>
          <w14:textFill>
            <w14:solidFill>
              <w14:schemeClr w14:val="tx1"/>
            </w14:solidFill>
          </w14:textFill>
        </w:rPr>
        <w:t>的扣除。残疾人福利性单位属于小型、微型企业的，不重复享受政策。</w:t>
      </w:r>
    </w:p>
    <w:p>
      <w:pPr>
        <w:pStyle w:val="20"/>
        <w:spacing w:before="33" w:beforeLines="10" w:line="0" w:lineRule="atLeast"/>
        <w:ind w:firstLine="43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投标人属两种情形以上的，其只能享受投标价格一次性6％的扣除，不重复享受政策。</w:t>
      </w:r>
    </w:p>
    <w:p>
      <w:pPr>
        <w:pStyle w:val="20"/>
        <w:spacing w:before="33" w:beforeLines="10" w:line="0" w:lineRule="atLeast"/>
        <w:ind w:firstLine="43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除上述情况外，投标人评审价格 = 投标报价。</w:t>
      </w:r>
      <w:r>
        <w:rPr>
          <w:rFonts w:hint="eastAsia" w:hAnsi="宋体" w:cs="宋体"/>
          <w:color w:val="000000" w:themeColor="text1"/>
          <w:szCs w:val="21"/>
          <w:highlight w:val="none"/>
          <w14:textFill>
            <w14:solidFill>
              <w14:schemeClr w14:val="tx1"/>
            </w14:solidFill>
          </w14:textFill>
        </w:rPr>
        <w:t>扣除后的投标报价将仅作为评审价排序，</w:t>
      </w:r>
      <w:r>
        <w:rPr>
          <w:rFonts w:hint="eastAsia" w:hAnsi="宋体" w:cs="宋体"/>
          <w:bCs/>
          <w:color w:val="000000" w:themeColor="text1"/>
          <w:szCs w:val="21"/>
          <w:highlight w:val="none"/>
          <w14:textFill>
            <w14:solidFill>
              <w14:schemeClr w14:val="tx1"/>
            </w14:solidFill>
          </w14:textFill>
        </w:rPr>
        <w:t>最终中标价为投标人的投标报价。</w:t>
      </w:r>
    </w:p>
    <w:p>
      <w:pPr>
        <w:pStyle w:val="20"/>
        <w:spacing w:before="33" w:beforeLines="10" w:line="0" w:lineRule="atLeast"/>
        <w:ind w:firstLine="430"/>
        <w:rPr>
          <w:rFonts w:hAnsi="宋体" w:cs="宋体"/>
          <w:b/>
          <w:bCs/>
          <w:color w:val="000000" w:themeColor="text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注：小型、微型企业提供中型企业制造的货物的，视同为中型企业。</w:t>
      </w:r>
    </w:p>
    <w:bookmarkEnd w:id="238"/>
    <w:bookmarkEnd w:id="239"/>
    <w:bookmarkEnd w:id="240"/>
    <w:bookmarkEnd w:id="241"/>
    <w:bookmarkEnd w:id="242"/>
    <w:bookmarkEnd w:id="243"/>
    <w:p>
      <w:pPr>
        <w:pStyle w:val="20"/>
        <w:numPr>
          <w:ilvl w:val="0"/>
          <w:numId w:val="6"/>
        </w:numPr>
        <w:spacing w:line="0" w:lineRule="atLeast"/>
        <w:ind w:firstLine="430"/>
        <w:outlineLvl w:val="2"/>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计分办法（按四舍五入取至百分位）：</w:t>
      </w:r>
    </w:p>
    <w:tbl>
      <w:tblPr>
        <w:tblStyle w:val="4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306"/>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464" w:type="dxa"/>
            <w:gridSpan w:val="3"/>
          </w:tcPr>
          <w:p>
            <w:pPr>
              <w:autoSpaceDE w:val="0"/>
              <w:autoSpaceDN w:val="0"/>
              <w:adjustRightInd w:val="0"/>
              <w:spacing w:line="440" w:lineRule="exact"/>
              <w:jc w:val="center"/>
              <w:rPr>
                <w:rFonts w:hAnsi="宋体"/>
                <w:b/>
                <w:color w:val="auto"/>
                <w:szCs w:val="21"/>
                <w:highlight w:val="none"/>
              </w:rPr>
            </w:pPr>
            <w:r>
              <w:rPr>
                <w:rFonts w:hint="eastAsia" w:hAnsi="宋体" w:cs="黑体"/>
                <w:b/>
                <w:color w:val="auto"/>
                <w:kern w:val="0"/>
                <w:szCs w:val="21"/>
                <w:highlight w:val="none"/>
              </w:rPr>
              <w:t>详细评审标准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9" w:type="dxa"/>
            <w:gridSpan w:val="2"/>
            <w:vAlign w:val="center"/>
          </w:tcPr>
          <w:p>
            <w:pPr>
              <w:spacing w:line="440" w:lineRule="exact"/>
              <w:jc w:val="center"/>
              <w:rPr>
                <w:rFonts w:hAnsi="宋体"/>
                <w:b/>
                <w:color w:val="auto"/>
                <w:szCs w:val="21"/>
                <w:highlight w:val="none"/>
              </w:rPr>
            </w:pPr>
            <w:r>
              <w:rPr>
                <w:rFonts w:hint="eastAsia" w:hAnsi="宋体"/>
                <w:b/>
                <w:color w:val="auto"/>
                <w:szCs w:val="21"/>
                <w:highlight w:val="none"/>
              </w:rPr>
              <w:t>价格分</w:t>
            </w:r>
          </w:p>
          <w:p>
            <w:pPr>
              <w:spacing w:line="440" w:lineRule="exact"/>
              <w:jc w:val="center"/>
              <w:rPr>
                <w:rFonts w:hAnsi="宋体"/>
                <w:b/>
                <w:color w:val="auto"/>
                <w:szCs w:val="21"/>
                <w:highlight w:val="none"/>
              </w:rPr>
            </w:pPr>
            <w:r>
              <w:rPr>
                <w:rFonts w:hint="eastAsia" w:hAnsi="宋体"/>
                <w:b/>
                <w:color w:val="auto"/>
                <w:szCs w:val="21"/>
                <w:highlight w:val="none"/>
              </w:rPr>
              <w:t>（</w:t>
            </w:r>
            <w:r>
              <w:rPr>
                <w:rFonts w:hAnsi="宋体"/>
                <w:b/>
                <w:color w:val="auto"/>
                <w:szCs w:val="21"/>
                <w:highlight w:val="none"/>
              </w:rPr>
              <w:t>30</w:t>
            </w:r>
            <w:r>
              <w:rPr>
                <w:rFonts w:hint="eastAsia" w:hAnsi="宋体"/>
                <w:b/>
                <w:color w:val="auto"/>
                <w:szCs w:val="21"/>
                <w:highlight w:val="none"/>
              </w:rPr>
              <w:t>分）</w:t>
            </w:r>
          </w:p>
        </w:tc>
        <w:tc>
          <w:tcPr>
            <w:tcW w:w="6835" w:type="dxa"/>
            <w:vAlign w:val="center"/>
          </w:tcPr>
          <w:p>
            <w:pPr>
              <w:spacing w:line="440" w:lineRule="exact"/>
              <w:rPr>
                <w:rFonts w:hAnsi="宋体"/>
                <w:bCs/>
                <w:color w:val="auto"/>
                <w:szCs w:val="21"/>
                <w:highlight w:val="none"/>
              </w:rPr>
            </w:pPr>
            <w:r>
              <w:rPr>
                <w:rFonts w:hint="eastAsia" w:hAnsi="宋体"/>
                <w:bCs/>
                <w:color w:val="auto"/>
                <w:szCs w:val="21"/>
                <w:highlight w:val="none"/>
              </w:rPr>
              <w:t>按照《政府采购促进中小企业发展暂行办法》（财库[2011]181号）规定：</w:t>
            </w:r>
          </w:p>
          <w:p>
            <w:pPr>
              <w:spacing w:line="440" w:lineRule="exact"/>
              <w:rPr>
                <w:rFonts w:hAnsi="宋体"/>
                <w:bCs/>
                <w:color w:val="auto"/>
                <w:szCs w:val="21"/>
                <w:highlight w:val="none"/>
              </w:rPr>
            </w:pPr>
            <w:r>
              <w:rPr>
                <w:rFonts w:hint="eastAsia" w:hAnsi="宋体"/>
                <w:bCs/>
                <w:color w:val="auto"/>
                <w:szCs w:val="21"/>
                <w:highlight w:val="none"/>
              </w:rPr>
              <w:t xml:space="preserve"> ①对投标人认定为小型和微型企业或所投所有产品为小型、微型企业产品的（以投标文件提供的符合规定的有关证明材料为准），投标价给予6%的扣除，扣除后的价格为评标报价，即评标报价=投标报价×（1-6%）；</w:t>
            </w:r>
          </w:p>
          <w:p>
            <w:pPr>
              <w:spacing w:line="440" w:lineRule="exact"/>
              <w:rPr>
                <w:rFonts w:hAnsi="宋体"/>
                <w:bCs/>
                <w:color w:val="auto"/>
                <w:szCs w:val="21"/>
                <w:highlight w:val="none"/>
              </w:rPr>
            </w:pPr>
            <w:r>
              <w:rPr>
                <w:rFonts w:hint="eastAsia" w:hAnsi="宋体"/>
                <w:bCs/>
                <w:color w:val="auto"/>
                <w:szCs w:val="21"/>
                <w:highlight w:val="none"/>
              </w:rPr>
              <w:t xml:space="preserve"> ②除上述情况外，评标报价=投标报价。</w:t>
            </w:r>
          </w:p>
          <w:p>
            <w:pPr>
              <w:spacing w:line="440" w:lineRule="exact"/>
              <w:rPr>
                <w:rFonts w:hAnsi="宋体"/>
                <w:bCs/>
                <w:color w:val="auto"/>
                <w:szCs w:val="21"/>
                <w:highlight w:val="none"/>
              </w:rPr>
            </w:pPr>
            <w:r>
              <w:rPr>
                <w:rFonts w:hint="eastAsia" w:hAnsi="宋体"/>
                <w:b/>
                <w:bCs/>
                <w:color w:val="auto"/>
                <w:szCs w:val="21"/>
                <w:highlight w:val="none"/>
              </w:rPr>
              <w:t>注：</w:t>
            </w:r>
            <w:r>
              <w:rPr>
                <w:rFonts w:hint="eastAsia" w:hAnsi="宋体"/>
                <w:bCs/>
                <w:color w:val="auto"/>
                <w:szCs w:val="21"/>
                <w:highlight w:val="none"/>
              </w:rPr>
              <w:t>根据财政部、司法部关于政府采购支持监狱企业发展有关问题的通知（财库[2014]68号），监狱企业视同小型、微型企业，享受小型、微型企业评审中价格扣除的政府采购政策。</w:t>
            </w:r>
            <w:r>
              <w:rPr>
                <w:rFonts w:hint="eastAsia" w:hAnsi="宋体"/>
                <w:bCs/>
                <w:color w:val="auto"/>
                <w:highlight w:val="none"/>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r>
              <w:rPr>
                <w:rFonts w:hint="eastAsia" w:hAnsi="宋体"/>
                <w:b/>
                <w:bCs/>
                <w:color w:val="auto"/>
                <w:szCs w:val="21"/>
                <w:highlight w:val="none"/>
              </w:rPr>
              <w:t>如小型、微型企业提供中型企业制造的货物的，视同为中型企业。</w:t>
            </w:r>
          </w:p>
          <w:p>
            <w:pPr>
              <w:spacing w:line="440" w:lineRule="exact"/>
              <w:rPr>
                <w:rFonts w:hAnsi="宋体"/>
                <w:bCs/>
                <w:color w:val="auto"/>
                <w:szCs w:val="21"/>
                <w:highlight w:val="none"/>
              </w:rPr>
            </w:pPr>
            <w:r>
              <w:rPr>
                <w:rFonts w:hint="eastAsia" w:hAnsi="宋体"/>
                <w:bCs/>
                <w:color w:val="auto"/>
                <w:szCs w:val="21"/>
                <w:highlight w:val="none"/>
              </w:rPr>
              <w:t>一、</w:t>
            </w:r>
            <w:r>
              <w:rPr>
                <w:rFonts w:hint="eastAsia" w:hAnsi="宋体"/>
                <w:color w:val="auto"/>
                <w:szCs w:val="21"/>
                <w:highlight w:val="none"/>
              </w:rPr>
              <w:t>以经初步审查后的有效报价的最低价作为评标基准价</w:t>
            </w:r>
            <w:r>
              <w:rPr>
                <w:rFonts w:hint="eastAsia" w:hAnsi="宋体"/>
                <w:bCs/>
                <w:color w:val="auto"/>
                <w:szCs w:val="21"/>
                <w:highlight w:val="none"/>
              </w:rPr>
              <w:t>。</w:t>
            </w:r>
          </w:p>
          <w:p>
            <w:pPr>
              <w:spacing w:line="440" w:lineRule="exact"/>
              <w:rPr>
                <w:rFonts w:hAnsi="宋体"/>
                <w:color w:val="auto"/>
                <w:highlight w:val="none"/>
              </w:rPr>
            </w:pPr>
            <w:r>
              <w:rPr>
                <w:rFonts w:hint="eastAsia" w:hAnsi="宋体"/>
                <w:color w:val="auto"/>
                <w:highlight w:val="none"/>
              </w:rPr>
              <w:t>二、</w:t>
            </w:r>
            <w:r>
              <w:rPr>
                <w:rFonts w:hint="eastAsia" w:hAnsi="宋体"/>
                <w:bCs/>
                <w:color w:val="auto"/>
                <w:szCs w:val="21"/>
                <w:highlight w:val="none"/>
              </w:rPr>
              <w:t>某投标人价格分=（评标基准价/某投标人评标报价）×</w:t>
            </w:r>
            <w:r>
              <w:rPr>
                <w:rFonts w:hAnsi="宋体"/>
                <w:bCs/>
                <w:color w:val="auto"/>
                <w:szCs w:val="21"/>
                <w:highlight w:val="none"/>
              </w:rPr>
              <w:t>30</w:t>
            </w:r>
          </w:p>
          <w:p>
            <w:pPr>
              <w:spacing w:line="440" w:lineRule="exact"/>
              <w:rPr>
                <w:rFonts w:hAnsi="宋体"/>
                <w:bCs/>
                <w:color w:val="auto"/>
                <w:szCs w:val="21"/>
                <w:highlight w:val="none"/>
              </w:rPr>
            </w:pPr>
            <w:r>
              <w:rPr>
                <w:rFonts w:hint="eastAsia" w:hAnsi="宋体"/>
                <w:color w:val="auto"/>
                <w:highlight w:val="none"/>
              </w:rPr>
              <w:t>三、</w:t>
            </w:r>
            <w:r>
              <w:rPr>
                <w:rFonts w:hint="eastAsia" w:hAnsi="宋体"/>
                <w:bCs/>
                <w:color w:val="auto"/>
                <w:szCs w:val="21"/>
                <w:highlight w:val="none"/>
              </w:rPr>
              <w:t>在评标过程中，评标委员会发现投标人的投标报价明显低于其他投标人的投标报价或者明显低于上限控制价（</w:t>
            </w:r>
            <w:r>
              <w:rPr>
                <w:rFonts w:hint="eastAsia" w:hAnsi="宋体"/>
                <w:color w:val="auto"/>
                <w:szCs w:val="21"/>
                <w:highlight w:val="none"/>
              </w:rPr>
              <w:t>与上限</w:t>
            </w:r>
            <w:r>
              <w:rPr>
                <w:rFonts w:hAnsi="宋体"/>
                <w:color w:val="auto"/>
                <w:szCs w:val="21"/>
                <w:highlight w:val="none"/>
              </w:rPr>
              <w:t>控制价</w:t>
            </w:r>
            <w:r>
              <w:rPr>
                <w:rFonts w:hint="eastAsia" w:hAnsi="宋体"/>
                <w:color w:val="auto"/>
                <w:szCs w:val="21"/>
                <w:highlight w:val="none"/>
              </w:rPr>
              <w:t>相比较的让利幅度≥</w:t>
            </w:r>
            <w:r>
              <w:rPr>
                <w:rFonts w:hAnsi="宋体"/>
                <w:color w:val="auto"/>
                <w:szCs w:val="21"/>
                <w:highlight w:val="none"/>
              </w:rPr>
              <w:t>20%</w:t>
            </w:r>
            <w:r>
              <w:rPr>
                <w:rFonts w:hint="eastAsia" w:hAnsi="宋体"/>
                <w:bCs/>
                <w:color w:val="auto"/>
                <w:szCs w:val="21"/>
                <w:highlight w:val="none"/>
              </w:rPr>
              <w:t>）的，有理由怀疑其投标报价可能低于其成本的，应当要求该投标人做出书面说明并提供相关证明材料。投标人不能合理说明或者不能提供相关证明材料的，视作该投标人以低于成本报价投标，报价分做0分处理。</w:t>
            </w:r>
          </w:p>
          <w:p>
            <w:pPr>
              <w:spacing w:line="440" w:lineRule="exact"/>
              <w:rPr>
                <w:rFonts w:hAnsi="宋体"/>
                <w:color w:val="auto"/>
                <w:szCs w:val="21"/>
                <w:highlight w:val="none"/>
              </w:rPr>
            </w:pPr>
            <w:r>
              <w:rPr>
                <w:rFonts w:hint="eastAsia" w:hAnsi="宋体"/>
                <w:bCs/>
                <w:color w:val="auto"/>
                <w:szCs w:val="21"/>
                <w:highlight w:val="none"/>
              </w:rPr>
              <w:t>相关证明材料为：</w:t>
            </w:r>
            <w:r>
              <w:rPr>
                <w:rFonts w:hint="eastAsia" w:hAnsi="宋体"/>
                <w:snapToGrid w:val="0"/>
                <w:color w:val="auto"/>
                <w:kern w:val="0"/>
                <w:szCs w:val="21"/>
                <w:highlight w:val="none"/>
              </w:rPr>
              <w:t>①201</w:t>
            </w:r>
            <w:r>
              <w:rPr>
                <w:rFonts w:hAnsi="宋体"/>
                <w:snapToGrid w:val="0"/>
                <w:color w:val="auto"/>
                <w:kern w:val="0"/>
                <w:szCs w:val="21"/>
                <w:highlight w:val="none"/>
              </w:rPr>
              <w:t>6</w:t>
            </w:r>
            <w:r>
              <w:rPr>
                <w:rFonts w:hint="eastAsia" w:hAnsi="宋体"/>
                <w:snapToGrid w:val="0"/>
                <w:color w:val="auto"/>
                <w:kern w:val="0"/>
                <w:szCs w:val="21"/>
                <w:highlight w:val="none"/>
              </w:rPr>
              <w:t>年度~201</w:t>
            </w:r>
            <w:r>
              <w:rPr>
                <w:rFonts w:hAnsi="宋体"/>
                <w:snapToGrid w:val="0"/>
                <w:color w:val="auto"/>
                <w:kern w:val="0"/>
                <w:szCs w:val="21"/>
                <w:highlight w:val="none"/>
              </w:rPr>
              <w:t>8</w:t>
            </w:r>
            <w:r>
              <w:rPr>
                <w:rFonts w:hint="eastAsia" w:hAnsi="宋体"/>
                <w:snapToGrid w:val="0"/>
                <w:color w:val="auto"/>
                <w:kern w:val="0"/>
                <w:szCs w:val="21"/>
                <w:highlight w:val="none"/>
              </w:rPr>
              <w:t>年度经第三方具备审计资质的机构出具的审计报告（包括其固定资产成本及折旧、管理成本、人工费成本（如人员工资、奖金、福利及差旅等费用）、税收等所有成本及利润）复印件（原件现场核查），②投标人在201</w:t>
            </w:r>
            <w:r>
              <w:rPr>
                <w:rFonts w:hAnsi="宋体"/>
                <w:snapToGrid w:val="0"/>
                <w:color w:val="auto"/>
                <w:kern w:val="0"/>
                <w:szCs w:val="21"/>
                <w:highlight w:val="none"/>
              </w:rPr>
              <w:t>7</w:t>
            </w:r>
            <w:r>
              <w:rPr>
                <w:rFonts w:hint="eastAsia" w:hAnsi="宋体"/>
                <w:snapToGrid w:val="0"/>
                <w:color w:val="auto"/>
                <w:kern w:val="0"/>
                <w:szCs w:val="21"/>
                <w:highlight w:val="none"/>
              </w:rPr>
              <w:t>年</w:t>
            </w:r>
            <w:r>
              <w:rPr>
                <w:rFonts w:hAnsi="宋体"/>
                <w:snapToGrid w:val="0"/>
                <w:color w:val="auto"/>
                <w:kern w:val="0"/>
                <w:szCs w:val="21"/>
                <w:highlight w:val="none"/>
              </w:rPr>
              <w:t>1</w:t>
            </w:r>
            <w:r>
              <w:rPr>
                <w:rFonts w:hint="eastAsia" w:hAnsi="宋体"/>
                <w:snapToGrid w:val="0"/>
                <w:color w:val="auto"/>
                <w:kern w:val="0"/>
                <w:szCs w:val="21"/>
                <w:highlight w:val="none"/>
              </w:rPr>
              <w:t>月1日至本项目招标公告发布之日至少承接过两个类似业绩的费用成本组成明细（并提供该中标通知书及合同原件现场核查），如不提供或评委认定其资料不能详尽合理说明其成本的，则视为低于投标人成本价报价，报价无效。</w:t>
            </w:r>
          </w:p>
          <w:p>
            <w:pPr>
              <w:pStyle w:val="20"/>
              <w:spacing w:line="440" w:lineRule="exact"/>
              <w:jc w:val="left"/>
              <w:rPr>
                <w:rFonts w:hAnsi="宋体"/>
                <w:color w:val="auto"/>
                <w:highlight w:val="none"/>
              </w:rPr>
            </w:pPr>
            <w:r>
              <w:rPr>
                <w:rFonts w:hint="eastAsia" w:hAnsi="宋体"/>
                <w:color w:val="auto"/>
                <w:szCs w:val="21"/>
                <w:highlight w:val="none"/>
              </w:rPr>
              <w:t>注：</w:t>
            </w:r>
            <w:r>
              <w:rPr>
                <w:rFonts w:hint="eastAsia" w:hAnsi="宋体"/>
                <w:bCs/>
                <w:color w:val="auto"/>
                <w:szCs w:val="21"/>
                <w:highlight w:val="none"/>
              </w:rPr>
              <w:t>计算过程均四舍五入取至小数点后两位。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9" w:type="dxa"/>
            <w:gridSpan w:val="2"/>
            <w:vAlign w:val="center"/>
          </w:tcPr>
          <w:p>
            <w:pPr>
              <w:spacing w:line="440" w:lineRule="exact"/>
              <w:jc w:val="center"/>
              <w:rPr>
                <w:rFonts w:hAnsi="宋体"/>
                <w:b/>
                <w:bCs/>
                <w:color w:val="auto"/>
                <w:szCs w:val="21"/>
                <w:highlight w:val="none"/>
              </w:rPr>
            </w:pPr>
            <w:r>
              <w:rPr>
                <w:rFonts w:hint="eastAsia" w:hAnsi="宋体"/>
                <w:b/>
                <w:bCs/>
                <w:color w:val="auto"/>
                <w:szCs w:val="21"/>
                <w:highlight w:val="none"/>
              </w:rPr>
              <w:t>产品信誉</w:t>
            </w:r>
            <w:r>
              <w:rPr>
                <w:rFonts w:hAnsi="宋体"/>
                <w:b/>
                <w:bCs/>
                <w:color w:val="auto"/>
                <w:szCs w:val="21"/>
                <w:highlight w:val="none"/>
              </w:rPr>
              <w:t>分</w:t>
            </w:r>
          </w:p>
          <w:p>
            <w:pPr>
              <w:spacing w:line="440" w:lineRule="exact"/>
              <w:jc w:val="center"/>
              <w:rPr>
                <w:rFonts w:hAnsi="宋体"/>
                <w:b/>
                <w:bCs/>
                <w:color w:val="auto"/>
                <w:szCs w:val="21"/>
                <w:highlight w:val="none"/>
              </w:rPr>
            </w:pPr>
            <w:r>
              <w:rPr>
                <w:rFonts w:hint="eastAsia" w:hAnsi="宋体"/>
                <w:b/>
                <w:bCs/>
                <w:color w:val="auto"/>
                <w:szCs w:val="21"/>
                <w:highlight w:val="none"/>
              </w:rPr>
              <w:t>（</w:t>
            </w:r>
            <w:r>
              <w:rPr>
                <w:rFonts w:hAnsi="宋体"/>
                <w:b/>
                <w:bCs/>
                <w:color w:val="auto"/>
                <w:szCs w:val="21"/>
                <w:highlight w:val="none"/>
              </w:rPr>
              <w:t>8</w:t>
            </w:r>
            <w:r>
              <w:rPr>
                <w:rFonts w:hint="eastAsia" w:hAnsi="宋体"/>
                <w:b/>
                <w:bCs/>
                <w:color w:val="auto"/>
                <w:szCs w:val="21"/>
                <w:highlight w:val="none"/>
              </w:rPr>
              <w:t>分</w:t>
            </w:r>
            <w:r>
              <w:rPr>
                <w:rFonts w:hAnsi="宋体"/>
                <w:b/>
                <w:bCs/>
                <w:color w:val="auto"/>
                <w:szCs w:val="21"/>
                <w:highlight w:val="none"/>
              </w:rPr>
              <w:t>）</w:t>
            </w:r>
          </w:p>
        </w:tc>
        <w:tc>
          <w:tcPr>
            <w:tcW w:w="6835" w:type="dxa"/>
            <w:vAlign w:val="center"/>
          </w:tcPr>
          <w:p>
            <w:pPr>
              <w:spacing w:line="440" w:lineRule="exact"/>
              <w:rPr>
                <w:rFonts w:hAnsi="宋体"/>
                <w:snapToGrid w:val="0"/>
                <w:color w:val="auto"/>
                <w:kern w:val="0"/>
                <w:szCs w:val="21"/>
                <w:highlight w:val="none"/>
              </w:rPr>
            </w:pPr>
            <w:r>
              <w:rPr>
                <w:rFonts w:hint="eastAsia" w:hAnsi="宋体"/>
                <w:snapToGrid w:val="0"/>
                <w:color w:val="auto"/>
                <w:kern w:val="0"/>
                <w:szCs w:val="21"/>
                <w:highlight w:val="none"/>
              </w:rPr>
              <w:t>(1) 所投交互智能平板须通过SRRC国家无线电发射设备型号核准认证，须提供产品整机SRRC强制认证证书复印件并提供官网查验截图，不接受整机元器零部件认证证书，满足得1分。</w:t>
            </w:r>
          </w:p>
          <w:p>
            <w:pPr>
              <w:spacing w:line="440" w:lineRule="exact"/>
              <w:rPr>
                <w:rFonts w:hAnsi="宋体"/>
                <w:snapToGrid w:val="0"/>
                <w:color w:val="auto"/>
                <w:kern w:val="0"/>
                <w:szCs w:val="21"/>
                <w:highlight w:val="none"/>
              </w:rPr>
            </w:pPr>
            <w:r>
              <w:rPr>
                <w:rFonts w:hint="eastAsia" w:hAnsi="宋体"/>
                <w:snapToGrid w:val="0"/>
                <w:color w:val="auto"/>
                <w:kern w:val="0"/>
                <w:szCs w:val="21"/>
                <w:highlight w:val="none"/>
              </w:rPr>
              <w:t>(2) 为确保师生教学数据信息安全，所投交互智能平板制造商需通过ISO27001信息安全管理体系认证，须提供认证证书复印件及官网查询截图，得0.5分；</w:t>
            </w:r>
          </w:p>
          <w:p>
            <w:pPr>
              <w:spacing w:line="440" w:lineRule="exact"/>
              <w:rPr>
                <w:rFonts w:hAnsi="宋体"/>
                <w:snapToGrid w:val="0"/>
                <w:color w:val="auto"/>
                <w:kern w:val="0"/>
                <w:szCs w:val="21"/>
                <w:highlight w:val="none"/>
              </w:rPr>
            </w:pPr>
            <w:r>
              <w:rPr>
                <w:rFonts w:hint="eastAsia" w:hAnsi="宋体"/>
                <w:snapToGrid w:val="0"/>
                <w:color w:val="auto"/>
                <w:kern w:val="0"/>
                <w:szCs w:val="21"/>
                <w:highlight w:val="none"/>
              </w:rPr>
              <w:t>(3) 为确保此次采购的交互智能平板后续的升级开发以及避免知识产权纠纷影响学校使用，所投产品制造商须通过GB/T29490的知识产权管理体系认证，须提供认证证书复印件及官网截图，得0.5分；</w:t>
            </w:r>
          </w:p>
          <w:p>
            <w:pPr>
              <w:spacing w:line="440" w:lineRule="exact"/>
              <w:rPr>
                <w:rFonts w:hAnsi="宋体"/>
                <w:snapToGrid w:val="0"/>
                <w:color w:val="auto"/>
                <w:kern w:val="0"/>
                <w:szCs w:val="21"/>
                <w:highlight w:val="none"/>
              </w:rPr>
            </w:pPr>
            <w:r>
              <w:rPr>
                <w:rFonts w:hint="eastAsia" w:hAnsi="宋体"/>
                <w:snapToGrid w:val="0"/>
                <w:color w:val="auto"/>
                <w:kern w:val="0"/>
                <w:szCs w:val="21"/>
                <w:highlight w:val="none"/>
              </w:rPr>
              <w:t>(4) 所投交互智能平板环绕双声道功能获得由dbx-tv颁布的总音频增强技术许可证的，满足得1分；</w:t>
            </w:r>
          </w:p>
          <w:p>
            <w:pPr>
              <w:spacing w:line="440" w:lineRule="exact"/>
              <w:rPr>
                <w:rFonts w:hAnsi="宋体"/>
                <w:snapToGrid w:val="0"/>
                <w:color w:val="auto"/>
                <w:kern w:val="0"/>
                <w:szCs w:val="21"/>
                <w:highlight w:val="none"/>
              </w:rPr>
            </w:pPr>
            <w:r>
              <w:rPr>
                <w:rFonts w:hint="eastAsia" w:hAnsi="宋体"/>
                <w:snapToGrid w:val="0"/>
                <w:color w:val="auto"/>
                <w:kern w:val="0"/>
                <w:szCs w:val="21"/>
                <w:highlight w:val="none"/>
              </w:rPr>
              <w:t>(5) 为提供用户良好稳定的软件使用体验，投标人所投交互智能平板生产厂家根据市场需求持续进行软件开发、更新、维护，出具CMMI3级及以上证书（须提供证明文件复印件及官网截图），得1分；</w:t>
            </w:r>
          </w:p>
          <w:p>
            <w:pPr>
              <w:spacing w:line="440" w:lineRule="exact"/>
              <w:rPr>
                <w:rFonts w:hAnsi="宋体"/>
                <w:snapToGrid w:val="0"/>
                <w:color w:val="auto"/>
                <w:kern w:val="0"/>
                <w:szCs w:val="21"/>
                <w:highlight w:val="none"/>
              </w:rPr>
            </w:pPr>
            <w:r>
              <w:rPr>
                <w:rFonts w:hint="eastAsia" w:hAnsi="宋体"/>
                <w:snapToGrid w:val="0"/>
                <w:color w:val="auto"/>
                <w:kern w:val="0"/>
                <w:szCs w:val="21"/>
                <w:highlight w:val="none"/>
              </w:rPr>
              <w:t>（6）为确保后期建设的规范对接，保证建设的兼容性、前瞻性，所投交互智能平板制造商应参与制定或产品设计生产符合《多媒体教学环境工程建设规范》（须提供证明文件复印件），满足得0.5分；</w:t>
            </w:r>
          </w:p>
          <w:p>
            <w:pPr>
              <w:spacing w:line="440" w:lineRule="exact"/>
              <w:rPr>
                <w:rFonts w:hAnsi="宋体"/>
                <w:snapToGrid w:val="0"/>
                <w:color w:val="auto"/>
                <w:kern w:val="0"/>
                <w:szCs w:val="21"/>
                <w:highlight w:val="none"/>
              </w:rPr>
            </w:pPr>
            <w:r>
              <w:rPr>
                <w:rFonts w:hint="eastAsia" w:hAnsi="宋体"/>
                <w:snapToGrid w:val="0"/>
                <w:color w:val="auto"/>
                <w:kern w:val="0"/>
                <w:szCs w:val="21"/>
                <w:highlight w:val="none"/>
              </w:rPr>
              <w:t>（7）为响应国家节能减排政策号召，所投交互智能平板制造商须通过ISO14064核准认证证书复印件及官网查询截图，得0.5分；</w:t>
            </w:r>
          </w:p>
          <w:p>
            <w:pPr>
              <w:spacing w:line="440" w:lineRule="exact"/>
              <w:rPr>
                <w:rFonts w:hAnsi="宋体"/>
                <w:snapToGrid w:val="0"/>
                <w:color w:val="auto"/>
                <w:kern w:val="0"/>
                <w:szCs w:val="21"/>
                <w:highlight w:val="none"/>
              </w:rPr>
            </w:pPr>
            <w:r>
              <w:rPr>
                <w:rFonts w:hint="eastAsia" w:hAnsi="宋体"/>
                <w:snapToGrid w:val="0"/>
                <w:color w:val="auto"/>
                <w:kern w:val="0"/>
                <w:szCs w:val="21"/>
                <w:highlight w:val="none"/>
              </w:rPr>
              <w:t>（8）为确保产品可获得本地化、体系化、全天候的及时售后服务，所投交互智能平板制造商须通过GB/T27922售后服务认证，服务体系等级不低于五星级（须提供认证证书复印件及官网截图），得1分</w:t>
            </w:r>
          </w:p>
          <w:p>
            <w:pPr>
              <w:spacing w:line="440" w:lineRule="exact"/>
              <w:rPr>
                <w:rFonts w:hAnsi="宋体"/>
                <w:snapToGrid w:val="0"/>
                <w:color w:val="auto"/>
                <w:kern w:val="0"/>
                <w:szCs w:val="21"/>
                <w:highlight w:val="none"/>
              </w:rPr>
            </w:pPr>
            <w:r>
              <w:rPr>
                <w:rFonts w:hint="eastAsia" w:hAnsi="宋体"/>
                <w:snapToGrid w:val="0"/>
                <w:color w:val="auto"/>
                <w:kern w:val="0"/>
                <w:szCs w:val="21"/>
                <w:highlight w:val="none"/>
              </w:rPr>
              <w:t>（9）为防控学生近视，确保学生用眼健康，所投交互智能平板须通过TIRT显示设备显示性能和视觉安全健康认证技术规范（须提供认证证书复印件），得分1分</w:t>
            </w:r>
          </w:p>
          <w:p>
            <w:pPr>
              <w:spacing w:line="440" w:lineRule="exact"/>
              <w:rPr>
                <w:rFonts w:hAnsi="宋体"/>
                <w:snapToGrid w:val="0"/>
                <w:color w:val="auto"/>
                <w:kern w:val="0"/>
                <w:szCs w:val="21"/>
                <w:highlight w:val="none"/>
              </w:rPr>
            </w:pPr>
            <w:r>
              <w:rPr>
                <w:rFonts w:hint="eastAsia" w:hAnsi="宋体"/>
                <w:snapToGrid w:val="0"/>
                <w:color w:val="auto"/>
                <w:kern w:val="0"/>
                <w:szCs w:val="21"/>
                <w:highlight w:val="none"/>
              </w:rPr>
              <w:t>（10） 为确保教学环境的安全性，所投交互智能平板制造商须通过国际电工委员会电子元器件质量评定体系（IECQ）出具的QC080000危害物质过程管理体系认证（须提供证明文件复印件及官网认证范围查询截图），得分1分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9" w:type="dxa"/>
            <w:gridSpan w:val="2"/>
            <w:vAlign w:val="center"/>
          </w:tcPr>
          <w:p>
            <w:pPr>
              <w:spacing w:line="440" w:lineRule="exact"/>
              <w:jc w:val="center"/>
              <w:rPr>
                <w:rFonts w:hAnsi="宋体"/>
                <w:b/>
                <w:bCs/>
                <w:color w:val="auto"/>
                <w:szCs w:val="21"/>
                <w:highlight w:val="none"/>
              </w:rPr>
            </w:pPr>
            <w:r>
              <w:rPr>
                <w:rFonts w:hint="eastAsia" w:hAnsi="宋体"/>
                <w:b/>
                <w:bCs/>
                <w:color w:val="auto"/>
                <w:szCs w:val="21"/>
                <w:highlight w:val="none"/>
              </w:rPr>
              <w:t>政策功能</w:t>
            </w:r>
            <w:r>
              <w:rPr>
                <w:rFonts w:hAnsi="宋体"/>
                <w:b/>
                <w:bCs/>
                <w:color w:val="auto"/>
                <w:szCs w:val="21"/>
                <w:highlight w:val="none"/>
              </w:rPr>
              <w:t>分</w:t>
            </w:r>
          </w:p>
          <w:p>
            <w:pPr>
              <w:spacing w:line="440" w:lineRule="exact"/>
              <w:jc w:val="center"/>
              <w:rPr>
                <w:rFonts w:hAnsi="宋体"/>
                <w:b/>
                <w:bCs/>
                <w:color w:val="auto"/>
                <w:szCs w:val="21"/>
                <w:highlight w:val="none"/>
              </w:rPr>
            </w:pPr>
            <w:r>
              <w:rPr>
                <w:rFonts w:hint="eastAsia" w:hAnsi="宋体"/>
                <w:b/>
                <w:bCs/>
                <w:color w:val="auto"/>
                <w:szCs w:val="21"/>
                <w:highlight w:val="none"/>
              </w:rPr>
              <w:t>（</w:t>
            </w:r>
            <w:r>
              <w:rPr>
                <w:rFonts w:hAnsi="宋体"/>
                <w:b/>
                <w:bCs/>
                <w:color w:val="auto"/>
                <w:szCs w:val="21"/>
                <w:highlight w:val="none"/>
              </w:rPr>
              <w:t>2</w:t>
            </w:r>
            <w:r>
              <w:rPr>
                <w:rFonts w:hint="eastAsia" w:hAnsi="宋体"/>
                <w:b/>
                <w:bCs/>
                <w:color w:val="auto"/>
                <w:szCs w:val="21"/>
                <w:highlight w:val="none"/>
              </w:rPr>
              <w:t>分</w:t>
            </w:r>
            <w:r>
              <w:rPr>
                <w:rFonts w:hAnsi="宋体"/>
                <w:b/>
                <w:bCs/>
                <w:color w:val="auto"/>
                <w:szCs w:val="21"/>
                <w:highlight w:val="none"/>
              </w:rPr>
              <w:t>）</w:t>
            </w:r>
          </w:p>
        </w:tc>
        <w:tc>
          <w:tcPr>
            <w:tcW w:w="6835" w:type="dxa"/>
            <w:vAlign w:val="center"/>
          </w:tcPr>
          <w:p>
            <w:pPr>
              <w:spacing w:line="440" w:lineRule="exact"/>
              <w:rPr>
                <w:rFonts w:hAnsi="宋体"/>
                <w:bCs/>
                <w:color w:val="auto"/>
                <w:szCs w:val="21"/>
                <w:highlight w:val="none"/>
              </w:rPr>
            </w:pPr>
            <w:r>
              <w:rPr>
                <w:rFonts w:hint="eastAsia" w:hAnsi="宋体"/>
                <w:bCs/>
                <w:color w:val="auto"/>
                <w:szCs w:val="21"/>
                <w:highlight w:val="none"/>
              </w:rPr>
              <w:t>（1）属于财政部《节能产品政府采购品</w:t>
            </w:r>
            <w:r>
              <w:rPr>
                <w:rFonts w:hAnsi="宋体"/>
                <w:bCs/>
                <w:color w:val="auto"/>
                <w:szCs w:val="21"/>
                <w:highlight w:val="none"/>
              </w:rPr>
              <w:t>目</w:t>
            </w:r>
            <w:r>
              <w:rPr>
                <w:rFonts w:hint="eastAsia" w:hAnsi="宋体"/>
                <w:bCs/>
                <w:color w:val="auto"/>
                <w:szCs w:val="21"/>
                <w:highlight w:val="none"/>
              </w:rPr>
              <w:t>清单》内优先采购的产品</w:t>
            </w:r>
            <w:r>
              <w:rPr>
                <w:rFonts w:ascii="ˎ̥" w:hAnsi="ˎ̥" w:cs="宋体"/>
                <w:bCs/>
                <w:color w:val="auto"/>
                <w:szCs w:val="21"/>
                <w:highlight w:val="none"/>
              </w:rPr>
              <w:t>并具有有效的节能产品认证证书的</w:t>
            </w:r>
            <w:r>
              <w:rPr>
                <w:rFonts w:hint="eastAsia" w:hAnsi="宋体"/>
                <w:bCs/>
                <w:color w:val="auto"/>
                <w:szCs w:val="21"/>
                <w:highlight w:val="none"/>
              </w:rPr>
              <w:t>，根据其所占项目比例得0-</w:t>
            </w:r>
            <w:r>
              <w:rPr>
                <w:rFonts w:hAnsi="宋体"/>
                <w:bCs/>
                <w:color w:val="auto"/>
                <w:szCs w:val="21"/>
                <w:highlight w:val="none"/>
              </w:rPr>
              <w:t>0.5</w:t>
            </w:r>
            <w:r>
              <w:rPr>
                <w:rFonts w:hint="eastAsia" w:hAnsi="宋体"/>
                <w:bCs/>
                <w:color w:val="auto"/>
                <w:szCs w:val="21"/>
                <w:highlight w:val="none"/>
              </w:rPr>
              <w:t>分；（</w:t>
            </w:r>
            <w:r>
              <w:rPr>
                <w:rFonts w:hint="eastAsia" w:hAnsi="宋体"/>
                <w:bCs/>
                <w:color w:val="auto"/>
                <w:highlight w:val="none"/>
              </w:rPr>
              <w:t>须提供证明材料复印件）</w:t>
            </w:r>
          </w:p>
          <w:p>
            <w:pPr>
              <w:spacing w:line="440" w:lineRule="exact"/>
              <w:rPr>
                <w:rFonts w:hAnsi="宋体"/>
                <w:bCs/>
                <w:color w:val="auto"/>
                <w:szCs w:val="21"/>
                <w:highlight w:val="none"/>
              </w:rPr>
            </w:pPr>
            <w:r>
              <w:rPr>
                <w:rFonts w:hint="eastAsia" w:hAnsi="宋体"/>
                <w:bCs/>
                <w:color w:val="auto"/>
                <w:szCs w:val="21"/>
                <w:highlight w:val="none"/>
              </w:rPr>
              <w:t>（2）属于财政部《环境标志产品政府采购品</w:t>
            </w:r>
            <w:r>
              <w:rPr>
                <w:rFonts w:hAnsi="宋体"/>
                <w:bCs/>
                <w:color w:val="auto"/>
                <w:szCs w:val="21"/>
                <w:highlight w:val="none"/>
              </w:rPr>
              <w:t>目</w:t>
            </w:r>
            <w:r>
              <w:rPr>
                <w:rFonts w:hint="eastAsia" w:hAnsi="宋体"/>
                <w:bCs/>
                <w:color w:val="auto"/>
                <w:szCs w:val="21"/>
                <w:highlight w:val="none"/>
              </w:rPr>
              <w:t>清单》内优先采购的产品</w:t>
            </w:r>
            <w:r>
              <w:rPr>
                <w:rFonts w:ascii="ˎ̥" w:hAnsi="ˎ̥" w:cs="宋体"/>
                <w:bCs/>
                <w:color w:val="auto"/>
                <w:szCs w:val="21"/>
                <w:highlight w:val="none"/>
              </w:rPr>
              <w:t>并具有有效的</w:t>
            </w:r>
            <w:r>
              <w:rPr>
                <w:rFonts w:hint="eastAsia" w:ascii="ˎ̥" w:hAnsi="ˎ̥" w:cs="宋体"/>
                <w:bCs/>
                <w:color w:val="auto"/>
                <w:szCs w:val="21"/>
                <w:highlight w:val="none"/>
              </w:rPr>
              <w:t>环</w:t>
            </w:r>
            <w:r>
              <w:rPr>
                <w:rFonts w:hint="eastAsia" w:hAnsi="宋体"/>
                <w:bCs/>
                <w:color w:val="auto"/>
                <w:szCs w:val="21"/>
                <w:highlight w:val="none"/>
              </w:rPr>
              <w:t>境</w:t>
            </w:r>
            <w:r>
              <w:rPr>
                <w:rFonts w:hint="eastAsia" w:ascii="ˎ̥" w:hAnsi="ˎ̥" w:cs="宋体"/>
                <w:bCs/>
                <w:color w:val="auto"/>
                <w:szCs w:val="21"/>
                <w:highlight w:val="none"/>
              </w:rPr>
              <w:t>保护</w:t>
            </w:r>
            <w:r>
              <w:rPr>
                <w:rFonts w:ascii="ˎ̥" w:hAnsi="ˎ̥" w:cs="宋体"/>
                <w:bCs/>
                <w:color w:val="auto"/>
                <w:szCs w:val="21"/>
                <w:highlight w:val="none"/>
              </w:rPr>
              <w:t>产品认证证书的</w:t>
            </w:r>
            <w:r>
              <w:rPr>
                <w:rFonts w:hint="eastAsia" w:hAnsi="宋体"/>
                <w:bCs/>
                <w:color w:val="auto"/>
                <w:szCs w:val="21"/>
                <w:highlight w:val="none"/>
              </w:rPr>
              <w:t>，根据其所占项目比例得0-</w:t>
            </w:r>
            <w:r>
              <w:rPr>
                <w:rFonts w:hAnsi="宋体"/>
                <w:bCs/>
                <w:color w:val="auto"/>
                <w:szCs w:val="21"/>
                <w:highlight w:val="none"/>
              </w:rPr>
              <w:t>0.5</w:t>
            </w:r>
            <w:r>
              <w:rPr>
                <w:rFonts w:hint="eastAsia" w:hAnsi="宋体"/>
                <w:bCs/>
                <w:color w:val="auto"/>
                <w:szCs w:val="21"/>
                <w:highlight w:val="none"/>
              </w:rPr>
              <w:t>分；非节能、环保产品的不得分；（</w:t>
            </w:r>
            <w:r>
              <w:rPr>
                <w:rFonts w:hint="eastAsia" w:hAnsi="宋体"/>
                <w:bCs/>
                <w:color w:val="auto"/>
                <w:highlight w:val="none"/>
              </w:rPr>
              <w:t>须提供证明材料复印件）</w:t>
            </w:r>
          </w:p>
          <w:p>
            <w:pPr>
              <w:spacing w:line="440" w:lineRule="exact"/>
              <w:rPr>
                <w:rFonts w:hAnsi="宋体"/>
                <w:bCs/>
                <w:color w:val="auto"/>
                <w:szCs w:val="21"/>
                <w:highlight w:val="none"/>
              </w:rPr>
            </w:pPr>
            <w:r>
              <w:rPr>
                <w:rFonts w:hint="eastAsia" w:hAnsi="宋体"/>
                <w:bCs/>
                <w:color w:val="auto"/>
                <w:szCs w:val="21"/>
                <w:highlight w:val="none"/>
              </w:rPr>
              <w:t>（3）投标</w:t>
            </w:r>
            <w:r>
              <w:rPr>
                <w:rFonts w:hAnsi="宋体"/>
                <w:bCs/>
                <w:color w:val="auto"/>
                <w:szCs w:val="21"/>
                <w:highlight w:val="none"/>
              </w:rPr>
              <w:t>人</w:t>
            </w:r>
            <w:r>
              <w:rPr>
                <w:rFonts w:hint="eastAsia" w:hAnsi="宋体"/>
                <w:bCs/>
                <w:color w:val="auto"/>
                <w:szCs w:val="21"/>
                <w:highlight w:val="none"/>
              </w:rPr>
              <w:t xml:space="preserve">使用广西工业产品在80%及以上的得1分。 </w:t>
            </w:r>
          </w:p>
          <w:p>
            <w:pPr>
              <w:spacing w:line="440" w:lineRule="exact"/>
              <w:rPr>
                <w:rFonts w:hAnsi="宋体"/>
                <w:color w:val="auto"/>
                <w:szCs w:val="21"/>
                <w:highlight w:val="none"/>
              </w:rPr>
            </w:pPr>
            <w:r>
              <w:rPr>
                <w:rFonts w:hint="eastAsia" w:hAnsi="宋体"/>
                <w:bCs/>
                <w:color w:val="auto"/>
                <w:szCs w:val="21"/>
                <w:highlight w:val="none"/>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w:t>
            </w:r>
            <w:r>
              <w:rPr>
                <w:rFonts w:hint="eastAsia" w:hAnsi="宋体"/>
                <w:bCs/>
                <w:color w:val="auto"/>
                <w:highlight w:val="none"/>
              </w:rPr>
              <w:t>投标文件中须提供生产企业的工商营业执照复印件和广西工业产品声明函原件。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23" w:type="dxa"/>
            <w:vMerge w:val="restart"/>
            <w:vAlign w:val="center"/>
          </w:tcPr>
          <w:p>
            <w:pPr>
              <w:spacing w:line="440" w:lineRule="exact"/>
              <w:rPr>
                <w:rFonts w:hAnsi="宋体"/>
                <w:bCs/>
                <w:color w:val="auto"/>
                <w:szCs w:val="21"/>
                <w:highlight w:val="none"/>
              </w:rPr>
            </w:pPr>
            <w:r>
              <w:rPr>
                <w:rFonts w:hint="eastAsia" w:hAnsi="宋体"/>
                <w:bCs/>
                <w:color w:val="auto"/>
                <w:szCs w:val="21"/>
                <w:highlight w:val="none"/>
              </w:rPr>
              <w:t>综合实力分</w:t>
            </w:r>
          </w:p>
        </w:tc>
        <w:tc>
          <w:tcPr>
            <w:tcW w:w="1306" w:type="dxa"/>
            <w:vAlign w:val="center"/>
          </w:tcPr>
          <w:p>
            <w:pPr>
              <w:spacing w:line="380" w:lineRule="exact"/>
              <w:rPr>
                <w:rFonts w:hAnsi="宋体"/>
                <w:color w:val="auto"/>
                <w:szCs w:val="21"/>
                <w:highlight w:val="none"/>
              </w:rPr>
            </w:pPr>
            <w:r>
              <w:rPr>
                <w:rFonts w:hint="eastAsia" w:hAnsi="宋体" w:cs="宋体"/>
                <w:bCs/>
                <w:color w:val="auto"/>
                <w:szCs w:val="21"/>
                <w:highlight w:val="none"/>
              </w:rPr>
              <w:t>设备技术性能分</w:t>
            </w:r>
            <w:r>
              <w:rPr>
                <w:rFonts w:hint="eastAsia" w:hAnsi="宋体"/>
                <w:color w:val="auto"/>
                <w:szCs w:val="21"/>
                <w:highlight w:val="none"/>
              </w:rPr>
              <w:t>（</w:t>
            </w:r>
            <w:r>
              <w:rPr>
                <w:rFonts w:hAnsi="宋体"/>
                <w:color w:val="auto"/>
                <w:szCs w:val="21"/>
                <w:highlight w:val="none"/>
              </w:rPr>
              <w:t>24</w:t>
            </w:r>
            <w:r>
              <w:rPr>
                <w:rFonts w:hint="eastAsia" w:hAnsi="宋体"/>
                <w:color w:val="auto"/>
                <w:szCs w:val="21"/>
                <w:highlight w:val="none"/>
              </w:rPr>
              <w:t>分）</w:t>
            </w:r>
          </w:p>
        </w:tc>
        <w:tc>
          <w:tcPr>
            <w:tcW w:w="6835" w:type="dxa"/>
            <w:vAlign w:val="center"/>
          </w:tcPr>
          <w:p>
            <w:pPr>
              <w:pStyle w:val="20"/>
              <w:spacing w:line="380" w:lineRule="exact"/>
              <w:rPr>
                <w:rFonts w:hAnsi="宋体"/>
                <w:bCs/>
                <w:color w:val="auto"/>
                <w:szCs w:val="21"/>
                <w:highlight w:val="none"/>
              </w:rPr>
            </w:pPr>
            <w:r>
              <w:rPr>
                <w:rFonts w:hint="eastAsia" w:hAnsi="宋体"/>
                <w:bCs/>
                <w:color w:val="auto"/>
                <w:szCs w:val="21"/>
                <w:highlight w:val="none"/>
              </w:rPr>
              <w:t>招标货物中核心产品实质性技术参数（带“★”号参数）对师生使用效果影响大，投标人投标文件中的主要技术参数有一项带“★”号参数不能满足招标文件要求的做无效投标处理。</w:t>
            </w:r>
          </w:p>
          <w:p>
            <w:pPr>
              <w:pStyle w:val="20"/>
              <w:spacing w:line="380" w:lineRule="exact"/>
              <w:rPr>
                <w:rFonts w:hAnsi="宋体"/>
                <w:bCs/>
                <w:color w:val="auto"/>
                <w:szCs w:val="21"/>
                <w:highlight w:val="none"/>
              </w:rPr>
            </w:pPr>
            <w:r>
              <w:rPr>
                <w:rFonts w:hint="eastAsia" w:hAnsi="宋体"/>
                <w:bCs/>
                <w:color w:val="auto"/>
                <w:szCs w:val="21"/>
                <w:highlight w:val="none"/>
              </w:rPr>
              <w:t>一档（0.1</w:t>
            </w:r>
            <w:r>
              <w:rPr>
                <w:rFonts w:hint="eastAsia" w:hAnsi="宋体"/>
                <w:color w:val="auto"/>
                <w:highlight w:val="none"/>
              </w:rPr>
              <w:t>～</w:t>
            </w:r>
            <w:r>
              <w:rPr>
                <w:rFonts w:hAnsi="宋体"/>
                <w:bCs/>
                <w:color w:val="auto"/>
                <w:szCs w:val="21"/>
                <w:highlight w:val="none"/>
              </w:rPr>
              <w:t>8</w:t>
            </w:r>
            <w:r>
              <w:rPr>
                <w:rFonts w:hint="eastAsia" w:hAnsi="宋体"/>
                <w:bCs/>
                <w:color w:val="auto"/>
                <w:szCs w:val="21"/>
                <w:highlight w:val="none"/>
              </w:rPr>
              <w:t>分）：经评标委员会认可的带“★”号实质性参数有1-</w:t>
            </w:r>
            <w:r>
              <w:rPr>
                <w:rFonts w:hAnsi="宋体"/>
                <w:bCs/>
                <w:color w:val="auto"/>
                <w:szCs w:val="21"/>
                <w:highlight w:val="none"/>
              </w:rPr>
              <w:t>6</w:t>
            </w:r>
            <w:r>
              <w:rPr>
                <w:rFonts w:hint="eastAsia" w:hAnsi="宋体"/>
                <w:bCs/>
                <w:color w:val="auto"/>
                <w:szCs w:val="21"/>
                <w:highlight w:val="none"/>
              </w:rPr>
              <w:t>项优于采购文件要求或不带“★”号的非实质性参数有1项（含1项）以上低于采购文件要求；</w:t>
            </w:r>
          </w:p>
          <w:p>
            <w:pPr>
              <w:pStyle w:val="20"/>
              <w:spacing w:line="380" w:lineRule="exact"/>
              <w:rPr>
                <w:rFonts w:hAnsi="宋体"/>
                <w:bCs/>
                <w:color w:val="auto"/>
                <w:szCs w:val="21"/>
                <w:highlight w:val="none"/>
              </w:rPr>
            </w:pPr>
            <w:r>
              <w:rPr>
                <w:rFonts w:hint="eastAsia" w:hAnsi="宋体"/>
                <w:bCs/>
                <w:color w:val="auto"/>
                <w:szCs w:val="21"/>
                <w:highlight w:val="none"/>
              </w:rPr>
              <w:t>二档（</w:t>
            </w:r>
            <w:r>
              <w:rPr>
                <w:rFonts w:hAnsi="宋体"/>
                <w:bCs/>
                <w:color w:val="auto"/>
                <w:szCs w:val="21"/>
                <w:highlight w:val="none"/>
              </w:rPr>
              <w:t>8</w:t>
            </w:r>
            <w:r>
              <w:rPr>
                <w:rFonts w:hint="eastAsia" w:hAnsi="宋体"/>
                <w:bCs/>
                <w:color w:val="auto"/>
                <w:szCs w:val="21"/>
                <w:highlight w:val="none"/>
              </w:rPr>
              <w:t>.1</w:t>
            </w:r>
            <w:r>
              <w:rPr>
                <w:rFonts w:hint="eastAsia" w:hAnsi="宋体"/>
                <w:color w:val="auto"/>
                <w:highlight w:val="none"/>
              </w:rPr>
              <w:t>～</w:t>
            </w:r>
            <w:r>
              <w:rPr>
                <w:rFonts w:hAnsi="宋体"/>
                <w:bCs/>
                <w:color w:val="auto"/>
                <w:szCs w:val="21"/>
                <w:highlight w:val="none"/>
              </w:rPr>
              <w:t>16</w:t>
            </w:r>
            <w:r>
              <w:rPr>
                <w:rFonts w:hint="eastAsia" w:hAnsi="宋体"/>
                <w:bCs/>
                <w:color w:val="auto"/>
                <w:szCs w:val="21"/>
                <w:highlight w:val="none"/>
              </w:rPr>
              <w:t>分）：经评标委员会认可的带“★”号的实质性参数有</w:t>
            </w:r>
            <w:r>
              <w:rPr>
                <w:rFonts w:hAnsi="宋体"/>
                <w:bCs/>
                <w:color w:val="auto"/>
                <w:szCs w:val="21"/>
                <w:highlight w:val="none"/>
              </w:rPr>
              <w:t>7</w:t>
            </w:r>
            <w:r>
              <w:rPr>
                <w:rFonts w:hint="eastAsia" w:hAnsi="宋体"/>
                <w:bCs/>
                <w:color w:val="auto"/>
                <w:szCs w:val="21"/>
                <w:highlight w:val="none"/>
              </w:rPr>
              <w:t>-</w:t>
            </w:r>
            <w:r>
              <w:rPr>
                <w:rFonts w:hAnsi="宋体"/>
                <w:bCs/>
                <w:color w:val="auto"/>
                <w:szCs w:val="21"/>
                <w:highlight w:val="none"/>
              </w:rPr>
              <w:t>9</w:t>
            </w:r>
            <w:r>
              <w:rPr>
                <w:rFonts w:hint="eastAsia" w:hAnsi="宋体"/>
                <w:bCs/>
                <w:color w:val="auto"/>
                <w:szCs w:val="21"/>
                <w:highlight w:val="none"/>
              </w:rPr>
              <w:t>项优于采购文件要求且不带“★”号的非实质性参数有</w:t>
            </w:r>
            <w:r>
              <w:rPr>
                <w:rFonts w:hAnsi="宋体"/>
                <w:bCs/>
                <w:color w:val="auto"/>
                <w:szCs w:val="21"/>
                <w:highlight w:val="none"/>
              </w:rPr>
              <w:t>5</w:t>
            </w:r>
            <w:r>
              <w:rPr>
                <w:rFonts w:hint="eastAsia" w:hAnsi="宋体"/>
                <w:bCs/>
                <w:color w:val="auto"/>
                <w:szCs w:val="21"/>
                <w:highlight w:val="none"/>
              </w:rPr>
              <w:t>项（含</w:t>
            </w:r>
            <w:r>
              <w:rPr>
                <w:rFonts w:hAnsi="宋体"/>
                <w:bCs/>
                <w:color w:val="auto"/>
                <w:szCs w:val="21"/>
                <w:highlight w:val="none"/>
              </w:rPr>
              <w:t>5</w:t>
            </w:r>
            <w:r>
              <w:rPr>
                <w:rFonts w:hint="eastAsia" w:hAnsi="宋体"/>
                <w:bCs/>
                <w:color w:val="auto"/>
                <w:szCs w:val="21"/>
                <w:highlight w:val="none"/>
              </w:rPr>
              <w:t>项）以上优于采购文件要求；</w:t>
            </w:r>
          </w:p>
          <w:p>
            <w:pPr>
              <w:pStyle w:val="20"/>
              <w:spacing w:line="380" w:lineRule="exact"/>
              <w:rPr>
                <w:rFonts w:hAnsi="宋体"/>
                <w:bCs/>
                <w:color w:val="auto"/>
                <w:szCs w:val="21"/>
                <w:highlight w:val="none"/>
              </w:rPr>
            </w:pPr>
            <w:r>
              <w:rPr>
                <w:rFonts w:hint="eastAsia" w:hAnsi="宋体"/>
                <w:bCs/>
                <w:color w:val="auto"/>
                <w:szCs w:val="21"/>
                <w:highlight w:val="none"/>
              </w:rPr>
              <w:t>三档（16.1</w:t>
            </w:r>
            <w:r>
              <w:rPr>
                <w:rFonts w:hint="eastAsia" w:hAnsi="宋体"/>
                <w:color w:val="auto"/>
                <w:highlight w:val="none"/>
              </w:rPr>
              <w:t>～</w:t>
            </w:r>
            <w:r>
              <w:rPr>
                <w:rFonts w:hint="eastAsia" w:hAnsi="宋体"/>
                <w:bCs/>
                <w:color w:val="auto"/>
                <w:szCs w:val="21"/>
                <w:highlight w:val="none"/>
              </w:rPr>
              <w:t>24分）：经评标委员会认可的带“★”号的实质性参数有10项或以上优于采购文件要求，且不带“★”号的非实质性参数有</w:t>
            </w:r>
            <w:r>
              <w:rPr>
                <w:rFonts w:hAnsi="宋体"/>
                <w:bCs/>
                <w:color w:val="auto"/>
                <w:szCs w:val="21"/>
                <w:highlight w:val="none"/>
              </w:rPr>
              <w:t>7</w:t>
            </w:r>
            <w:r>
              <w:rPr>
                <w:rFonts w:hint="eastAsia" w:hAnsi="宋体"/>
                <w:bCs/>
                <w:color w:val="auto"/>
                <w:szCs w:val="21"/>
                <w:highlight w:val="none"/>
              </w:rPr>
              <w:t>项（含</w:t>
            </w:r>
            <w:r>
              <w:rPr>
                <w:rFonts w:hAnsi="宋体"/>
                <w:bCs/>
                <w:color w:val="auto"/>
                <w:szCs w:val="21"/>
                <w:highlight w:val="none"/>
              </w:rPr>
              <w:t>7</w:t>
            </w:r>
            <w:r>
              <w:rPr>
                <w:rFonts w:hint="eastAsia" w:hAnsi="宋体"/>
                <w:bCs/>
                <w:color w:val="auto"/>
                <w:szCs w:val="21"/>
                <w:highlight w:val="none"/>
              </w:rPr>
              <w:t>项）以上优于采购文件要求；</w:t>
            </w:r>
          </w:p>
          <w:p>
            <w:pPr>
              <w:pStyle w:val="20"/>
              <w:spacing w:line="380" w:lineRule="exact"/>
              <w:rPr>
                <w:rFonts w:hAnsi="宋体"/>
                <w:bCs/>
                <w:color w:val="auto"/>
                <w:szCs w:val="21"/>
                <w:highlight w:val="none"/>
              </w:rPr>
            </w:pPr>
            <w:r>
              <w:rPr>
                <w:rFonts w:hint="eastAsia" w:hAnsi="宋体"/>
                <w:bCs/>
                <w:color w:val="auto"/>
                <w:szCs w:val="21"/>
                <w:highlight w:val="none"/>
              </w:rPr>
              <w:t>注：带“★”号的实质性参数优于采购文件要求的，投标人需在投标文件中提供对应的证明材料（如产品检测报告、功能截图等）予以佐证，否则不予认可。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23" w:type="dxa"/>
            <w:vMerge w:val="continue"/>
            <w:vAlign w:val="center"/>
          </w:tcPr>
          <w:p>
            <w:pPr>
              <w:spacing w:line="440" w:lineRule="exact"/>
              <w:rPr>
                <w:rFonts w:hAnsi="宋体"/>
                <w:bCs/>
                <w:color w:val="auto"/>
                <w:szCs w:val="21"/>
                <w:highlight w:val="none"/>
              </w:rPr>
            </w:pPr>
          </w:p>
        </w:tc>
        <w:tc>
          <w:tcPr>
            <w:tcW w:w="1306" w:type="dxa"/>
            <w:vAlign w:val="center"/>
          </w:tcPr>
          <w:p>
            <w:pPr>
              <w:spacing w:line="380" w:lineRule="exact"/>
              <w:jc w:val="center"/>
              <w:rPr>
                <w:rFonts w:hAnsi="宋体"/>
                <w:color w:val="auto"/>
                <w:szCs w:val="21"/>
                <w:highlight w:val="none"/>
              </w:rPr>
            </w:pPr>
            <w:r>
              <w:rPr>
                <w:rFonts w:hint="eastAsia" w:hAnsi="宋体"/>
                <w:bCs/>
                <w:color w:val="auto"/>
                <w:szCs w:val="21"/>
                <w:highlight w:val="none"/>
              </w:rPr>
              <w:t>售后服务分</w:t>
            </w:r>
            <w:r>
              <w:rPr>
                <w:rFonts w:hint="eastAsia" w:hAnsi="宋体"/>
                <w:color w:val="auto"/>
                <w:szCs w:val="21"/>
                <w:highlight w:val="none"/>
              </w:rPr>
              <w:t>（</w:t>
            </w:r>
            <w:r>
              <w:rPr>
                <w:rFonts w:hAnsi="宋体"/>
                <w:color w:val="auto"/>
                <w:szCs w:val="21"/>
                <w:highlight w:val="none"/>
              </w:rPr>
              <w:t>18</w:t>
            </w:r>
            <w:r>
              <w:rPr>
                <w:rFonts w:hint="eastAsia" w:hAnsi="宋体"/>
                <w:color w:val="auto"/>
                <w:szCs w:val="21"/>
                <w:highlight w:val="none"/>
              </w:rPr>
              <w:t>分）</w:t>
            </w:r>
          </w:p>
        </w:tc>
        <w:tc>
          <w:tcPr>
            <w:tcW w:w="6835" w:type="dxa"/>
            <w:vAlign w:val="center"/>
          </w:tcPr>
          <w:p>
            <w:pPr>
              <w:pStyle w:val="164"/>
              <w:spacing w:line="380" w:lineRule="exact"/>
              <w:ind w:firstLine="365" w:firstLineChars="174"/>
              <w:jc w:val="left"/>
              <w:rPr>
                <w:color w:val="auto"/>
                <w:szCs w:val="20"/>
                <w:highlight w:val="none"/>
              </w:rPr>
            </w:pPr>
            <w:r>
              <w:rPr>
                <w:rFonts w:hint="eastAsia"/>
                <w:color w:val="auto"/>
                <w:szCs w:val="20"/>
                <w:highlight w:val="none"/>
              </w:rPr>
              <w:t>由评标委员会在打分前根据投标人提供的以下材料内容描述的完整性、合理性、真实可行性，并能结合现场实际情况及采购人需求等，在相应的分值区间内独立打分。</w:t>
            </w:r>
          </w:p>
          <w:p>
            <w:pPr>
              <w:pStyle w:val="164"/>
              <w:spacing w:line="380" w:lineRule="exact"/>
              <w:jc w:val="left"/>
              <w:rPr>
                <w:color w:val="auto"/>
                <w:szCs w:val="20"/>
                <w:highlight w:val="none"/>
              </w:rPr>
            </w:pPr>
            <w:r>
              <w:rPr>
                <w:rFonts w:hint="eastAsia"/>
                <w:color w:val="auto"/>
                <w:szCs w:val="20"/>
                <w:highlight w:val="none"/>
              </w:rPr>
              <w:t>一档（0.1～6分）：系统维护方案服务方案论述基本准确，但售后保障措施不具体，对系统的维护提供整体维护解决方案，有免费培训计划，方案一般；</w:t>
            </w:r>
          </w:p>
          <w:p>
            <w:pPr>
              <w:pStyle w:val="164"/>
              <w:spacing w:line="380" w:lineRule="exact"/>
              <w:jc w:val="left"/>
              <w:rPr>
                <w:color w:val="auto"/>
                <w:szCs w:val="20"/>
                <w:highlight w:val="none"/>
              </w:rPr>
            </w:pPr>
            <w:r>
              <w:rPr>
                <w:rFonts w:hint="eastAsia"/>
                <w:color w:val="auto"/>
                <w:szCs w:val="20"/>
                <w:highlight w:val="none"/>
              </w:rPr>
              <w:t>二档（6.1～12分）：系统维护方案服务方案论述较准确，售后保障措施表述较清晰、完整，对系统的维护提供整体维护解决方案，有免费培训计划和定期回访计划，方案良好。投标核心产品厂家在项目所在地（梧州市）有厂家授权售后服务网点（提供营业执照复印件、厂家授权售后服务网点的厂家授权证明及网点在生产厂家官网的截图（须与营业执照公司名、地址一致）且售后网点可进行实地核查）；</w:t>
            </w:r>
          </w:p>
          <w:p>
            <w:pPr>
              <w:pStyle w:val="20"/>
              <w:spacing w:line="380" w:lineRule="exact"/>
              <w:rPr>
                <w:rFonts w:hAnsi="宋体" w:cs="宋体"/>
                <w:color w:val="auto"/>
                <w:kern w:val="0"/>
                <w:highlight w:val="none"/>
              </w:rPr>
            </w:pPr>
            <w:r>
              <w:rPr>
                <w:rFonts w:hint="eastAsia"/>
                <w:color w:val="auto"/>
                <w:highlight w:val="none"/>
              </w:rPr>
              <w:t>三档（12.1～18分）：系统维护方案服务方案论述准确，售后保障措施表述清晰、完整、严谨、合理、先进、具体、有效、成熟；对系统的维护提供整体维护解决方案和运行维护应急预案，提供一站式、全面、专业的本地化维护服务，提供系统维护信息档案管理，有良好的免费培训计划和定期回访计划，方案优秀。投标核心产品厂家在项目所在地（梧州市）有厂家授权售后服务网点（提供营业执照复印件、厂家授权售后服务网点的厂家授权证明及网点在生产厂家官网的截图（须与营业执照公司名、地址一致）且售后网点可进行实地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23" w:type="dxa"/>
            <w:vMerge w:val="continue"/>
            <w:vAlign w:val="center"/>
          </w:tcPr>
          <w:p>
            <w:pPr>
              <w:spacing w:line="440" w:lineRule="exact"/>
              <w:rPr>
                <w:rFonts w:hAnsi="宋体"/>
                <w:bCs/>
                <w:color w:val="auto"/>
                <w:szCs w:val="21"/>
                <w:highlight w:val="none"/>
              </w:rPr>
            </w:pPr>
          </w:p>
        </w:tc>
        <w:tc>
          <w:tcPr>
            <w:tcW w:w="1306" w:type="dxa"/>
            <w:vAlign w:val="center"/>
          </w:tcPr>
          <w:p>
            <w:pPr>
              <w:spacing w:line="380" w:lineRule="exact"/>
              <w:jc w:val="center"/>
              <w:rPr>
                <w:rFonts w:hAnsi="宋体"/>
                <w:bCs/>
                <w:color w:val="auto"/>
                <w:szCs w:val="21"/>
                <w:highlight w:val="none"/>
              </w:rPr>
            </w:pPr>
            <w:r>
              <w:rPr>
                <w:rFonts w:hint="eastAsia" w:hAnsi="宋体"/>
                <w:bCs/>
                <w:color w:val="auto"/>
                <w:szCs w:val="21"/>
                <w:highlight w:val="none"/>
              </w:rPr>
              <w:t>项目实施方案分（</w:t>
            </w:r>
            <w:r>
              <w:rPr>
                <w:rFonts w:hAnsi="宋体"/>
                <w:bCs/>
                <w:color w:val="auto"/>
                <w:szCs w:val="21"/>
                <w:highlight w:val="none"/>
              </w:rPr>
              <w:t>18</w:t>
            </w:r>
            <w:r>
              <w:rPr>
                <w:rFonts w:hint="eastAsia" w:hAnsi="宋体"/>
                <w:bCs/>
                <w:color w:val="auto"/>
                <w:szCs w:val="21"/>
                <w:highlight w:val="none"/>
              </w:rPr>
              <w:t>分）</w:t>
            </w:r>
          </w:p>
        </w:tc>
        <w:tc>
          <w:tcPr>
            <w:tcW w:w="6835" w:type="dxa"/>
            <w:vAlign w:val="center"/>
          </w:tcPr>
          <w:p>
            <w:pPr>
              <w:pStyle w:val="20"/>
              <w:spacing w:line="380" w:lineRule="exact"/>
              <w:ind w:firstLine="420" w:firstLineChars="200"/>
              <w:rPr>
                <w:rFonts w:hAnsi="宋体"/>
                <w:color w:val="auto"/>
                <w:highlight w:val="none"/>
              </w:rPr>
            </w:pPr>
            <w:r>
              <w:rPr>
                <w:rFonts w:hint="eastAsia" w:hAnsi="宋体"/>
                <w:color w:val="auto"/>
                <w:highlight w:val="none"/>
              </w:rPr>
              <w:t>由评标委员会横向比较投标人编制的项目实施方案内容，集体讨论确定其所属档次后各在相应档次内评分，某投标人该评审项得分为各为评标委员会给分之和的算术平均值。</w:t>
            </w:r>
          </w:p>
          <w:p>
            <w:pPr>
              <w:pStyle w:val="20"/>
              <w:spacing w:line="380" w:lineRule="exact"/>
              <w:ind w:firstLine="420" w:firstLineChars="200"/>
              <w:rPr>
                <w:rFonts w:hAnsi="宋体"/>
                <w:color w:val="auto"/>
                <w:highlight w:val="none"/>
              </w:rPr>
            </w:pPr>
            <w:r>
              <w:rPr>
                <w:rFonts w:hint="eastAsia" w:hAnsi="宋体"/>
                <w:color w:val="auto"/>
                <w:highlight w:val="none"/>
              </w:rPr>
              <w:t>一档（0.1～6分）：项目实施方案有项目管理文档计划；有项目管理组织机构图；有实施进度计划方案，能说明各个阶段工作安排及实施进度；方案整体性、针对性、可执行性一般的；</w:t>
            </w:r>
          </w:p>
          <w:p>
            <w:pPr>
              <w:pStyle w:val="20"/>
              <w:spacing w:line="380" w:lineRule="exact"/>
              <w:ind w:firstLine="420" w:firstLineChars="200"/>
              <w:rPr>
                <w:rFonts w:hAnsi="宋体"/>
                <w:color w:val="auto"/>
                <w:highlight w:val="none"/>
              </w:rPr>
            </w:pPr>
            <w:r>
              <w:rPr>
                <w:rFonts w:hint="eastAsia" w:hAnsi="宋体"/>
                <w:color w:val="auto"/>
                <w:highlight w:val="none"/>
              </w:rPr>
              <w:t>二档（6.1～12分）：项目实施方案有项目管理组织机构图；有实施进度计划方案，详细说明各个阶段工作安排及实施进度；有工程实施安全保障措施；工程质量保证措施；实施组织机构及人员配备良好，方案整体性、针对性、可执行性良好的；</w:t>
            </w:r>
          </w:p>
          <w:p>
            <w:pPr>
              <w:pStyle w:val="20"/>
              <w:spacing w:line="380" w:lineRule="exact"/>
              <w:ind w:firstLine="420" w:firstLineChars="200"/>
              <w:rPr>
                <w:rFonts w:hAnsi="宋体"/>
                <w:color w:val="auto"/>
                <w:highlight w:val="none"/>
              </w:rPr>
            </w:pPr>
            <w:r>
              <w:rPr>
                <w:rFonts w:hint="eastAsia" w:hAnsi="宋体"/>
                <w:color w:val="auto"/>
                <w:highlight w:val="none"/>
              </w:rPr>
              <w:t>三档（12.1～18分）：项目实施方案有项目管理文档计划；有项目管理组织机构图；有实施进度计划方案，详细说明各个阶段工作安排及实施进度；有工程实施安全保障措施；工程进度图并有赶工措施；工程质量保证措施；项目风险管理措施；文明施工管理措施</w:t>
            </w:r>
            <w:r>
              <w:rPr>
                <w:rFonts w:hint="eastAsia" w:hAnsi="宋体"/>
                <w:color w:val="auto"/>
                <w:highlight w:val="none"/>
                <w:lang w:eastAsia="zh-CN"/>
              </w:rPr>
              <w:t>，</w:t>
            </w:r>
            <w:r>
              <w:rPr>
                <w:rFonts w:hint="eastAsia" w:hAnsi="宋体"/>
                <w:color w:val="auto"/>
                <w:highlight w:val="none"/>
              </w:rPr>
              <w:t>方案整体性、针对性、可执行性优秀的。</w:t>
            </w:r>
          </w:p>
        </w:tc>
      </w:tr>
    </w:tbl>
    <w:p>
      <w:pPr>
        <w:pStyle w:val="20"/>
        <w:spacing w:before="66" w:beforeLines="20" w:line="0" w:lineRule="atLeast"/>
        <w:outlineLvl w:val="1"/>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三、中标标准及中标候选人推荐原则：</w:t>
      </w:r>
    </w:p>
    <w:p>
      <w:pPr>
        <w:spacing w:before="33" w:beforeLines="10" w:line="0" w:lineRule="atLeast"/>
        <w:ind w:left="1050" w:leftChars="200" w:hanging="630" w:hangingChars="30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（一）评标委员会根据评审结果按评审后得分由高到低顺序排列推荐3名中标候选人。得分相同的，按投标报价由低到高顺序排列；得分且投标报价相同的</w:t>
      </w:r>
      <w:r>
        <w:rPr>
          <w:rFonts w:hint="eastAsia" w:ascii="宋体" w:hAnsi="宋体" w:cs="宋体"/>
          <w:color w:val="000000" w:themeColor="text1"/>
          <w:highlight w:val="none"/>
          <w14:textFill>
            <w14:solidFill>
              <w14:schemeClr w14:val="tx1"/>
            </w14:solidFill>
          </w14:textFill>
        </w:rPr>
        <w:t>按技术分高、商务高分顺序排列。投标文件满足招标文件全部实质性要求，且按照评审因素的量化指标评审得分最高的投标人为排名第一的中标候选人。</w:t>
      </w:r>
      <w:r>
        <w:rPr>
          <w:rFonts w:hint="eastAsia" w:ascii="宋体" w:hAnsi="宋体" w:cs="宋体"/>
          <w:color w:val="000000" w:themeColor="text1"/>
          <w:szCs w:val="21"/>
          <w:highlight w:val="none"/>
          <w14:textFill>
            <w14:solidFill>
              <w14:schemeClr w14:val="tx1"/>
            </w14:solidFill>
          </w14:textFill>
        </w:rPr>
        <w:t>中标候选人并列的，由采购人采取随机抽取的方式确定中标人。</w:t>
      </w:r>
    </w:p>
    <w:p>
      <w:pPr>
        <w:spacing w:before="33" w:beforeLines="10" w:line="0" w:lineRule="atLeast"/>
        <w:ind w:left="1050" w:leftChars="200" w:hanging="630" w:hanging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的方式确定，其他同品牌投标人不作为中标候选人。多家投标人提供的核心产品品牌相同的，按以上规定处理。</w:t>
      </w:r>
    </w:p>
    <w:p>
      <w:pPr>
        <w:spacing w:before="33" w:beforeLines="10" w:line="0" w:lineRule="atLeast"/>
        <w:ind w:left="1050" w:leftChars="200" w:hanging="630" w:hanging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采购单位应当确定评标委员会推荐排名第一的中标候选投标人为中标人。排名第一的中标候选投标人放弃中标、因不可抗力提出不能履行合同，或者招标文件规定应当提交履约保证金而在规定的期限内未能提交的，采购单位可以确定排名第二的中标候选投标人为中标人。排名第二的中标候选投标人因前款规定的同样原因不能签订合同的，采购单位可以确定排名第三的中标候选投标人为中标人。</w:t>
      </w:r>
    </w:p>
    <w:p>
      <w:pPr>
        <w:tabs>
          <w:tab w:val="left" w:pos="2512"/>
        </w:tabs>
        <w:spacing w:line="0" w:lineRule="atLeas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pStyle w:val="20"/>
        <w:spacing w:line="400" w:lineRule="exact"/>
        <w:ind w:left="6"/>
        <w:rPr>
          <w:rFonts w:hAnsi="宋体" w:cs="宋体"/>
          <w:b/>
          <w:bCs/>
          <w:color w:val="000000" w:themeColor="text1"/>
          <w:highlight w:val="none"/>
          <w14:textFill>
            <w14:solidFill>
              <w14:schemeClr w14:val="tx1"/>
            </w14:solidFill>
          </w14:textFill>
        </w:rPr>
      </w:pPr>
    </w:p>
    <w:p>
      <w:pPr>
        <w:pStyle w:val="20"/>
        <w:spacing w:line="400" w:lineRule="exact"/>
        <w:ind w:left="6"/>
        <w:rPr>
          <w:rFonts w:hAnsi="宋体" w:cs="宋体"/>
          <w:b/>
          <w:bCs/>
          <w:color w:val="000000" w:themeColor="text1"/>
          <w:highlight w:val="none"/>
          <w14:textFill>
            <w14:solidFill>
              <w14:schemeClr w14:val="tx1"/>
            </w14:solidFill>
          </w14:textFill>
        </w:rPr>
      </w:pPr>
    </w:p>
    <w:p>
      <w:pPr>
        <w:pStyle w:val="3"/>
        <w:spacing w:line="560" w:lineRule="exact"/>
        <w:jc w:val="center"/>
        <w:rPr>
          <w:rFonts w:ascii="宋体" w:hAnsi="宋体" w:cs="宋体"/>
          <w:bCs/>
          <w:color w:val="000000" w:themeColor="text1"/>
          <w:sz w:val="44"/>
          <w:highlight w:val="none"/>
          <w14:textFill>
            <w14:solidFill>
              <w14:schemeClr w14:val="tx1"/>
            </w14:solidFill>
          </w14:textFill>
        </w:rPr>
      </w:pPr>
      <w:bookmarkStart w:id="244" w:name="_Toc156106970"/>
      <w:bookmarkStart w:id="245" w:name="_Toc200268364"/>
      <w:bookmarkStart w:id="246" w:name="_Toc7607"/>
      <w:bookmarkStart w:id="247" w:name="_Toc469874204"/>
      <w:bookmarkStart w:id="248" w:name="_Toc230929135"/>
      <w:bookmarkStart w:id="249" w:name="_Toc469842112"/>
      <w:bookmarkStart w:id="250" w:name="_Toc395066556"/>
      <w:bookmarkStart w:id="251" w:name="_Toc405943014"/>
      <w:bookmarkStart w:id="252" w:name="_Toc147248435"/>
      <w:bookmarkStart w:id="253" w:name="_Toc230949374"/>
      <w:bookmarkStart w:id="254" w:name="_Toc200308967"/>
      <w:bookmarkStart w:id="255" w:name="_Toc185703009"/>
      <w:bookmarkStart w:id="256" w:name="_Toc199780486"/>
      <w:bookmarkStart w:id="257" w:name="_Toc185702587"/>
      <w:r>
        <w:rPr>
          <w:rFonts w:hint="eastAsia" w:ascii="宋体" w:hAnsi="宋体" w:cs="宋体"/>
          <w:bCs/>
          <w:color w:val="000000" w:themeColor="text1"/>
          <w:sz w:val="44"/>
          <w:highlight w:val="none"/>
          <w14:textFill>
            <w14:solidFill>
              <w14:schemeClr w14:val="tx1"/>
            </w14:solidFill>
          </w14:textFill>
        </w:rPr>
        <w:t>第五章  政府采购合同（格式）</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pStyle w:val="20"/>
        <w:spacing w:line="400" w:lineRule="exact"/>
        <w:ind w:firstLine="4" w:firstLineChars="2"/>
        <w:rPr>
          <w:rFonts w:hAnsi="宋体" w:cs="宋体"/>
          <w:b/>
          <w:bCs/>
          <w:color w:val="000000" w:themeColor="text1"/>
          <w:highlight w:val="none"/>
          <w14:textFill>
            <w14:solidFill>
              <w14:schemeClr w14:val="tx1"/>
            </w14:solidFill>
          </w14:textFill>
        </w:rPr>
      </w:pPr>
    </w:p>
    <w:p>
      <w:pPr>
        <w:pStyle w:val="20"/>
        <w:spacing w:line="400" w:lineRule="exact"/>
        <w:ind w:firstLine="4" w:firstLineChars="2"/>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cr/>
      </w:r>
      <w:r>
        <w:rPr>
          <w:rFonts w:hint="eastAsia" w:hAnsi="宋体" w:cs="宋体"/>
          <w:b/>
          <w:bCs/>
          <w:color w:val="000000" w:themeColor="text1"/>
          <w:szCs w:val="21"/>
          <w:highlight w:val="none"/>
          <w14:textFill>
            <w14:solidFill>
              <w14:schemeClr w14:val="tx1"/>
            </w14:solidFill>
          </w14:textFill>
        </w:rPr>
        <w:t>（注：本合同样本仅供参考，具体内容由采购人和中标人协商确定，但补充和修改不得造成与本章格式内容有实质性的违背。）</w:t>
      </w:r>
    </w:p>
    <w:p>
      <w:pPr>
        <w:pStyle w:val="20"/>
        <w:spacing w:line="300" w:lineRule="exact"/>
        <w:ind w:firstLine="420"/>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cr/>
      </w:r>
      <w:r>
        <w:rPr>
          <w:rFonts w:hint="eastAsia" w:hAnsi="宋体" w:cs="宋体"/>
          <w:b/>
          <w:bCs/>
          <w:color w:val="000000" w:themeColor="text1"/>
          <w:highlight w:val="none"/>
          <w14:textFill>
            <w14:solidFill>
              <w14:schemeClr w14:val="tx1"/>
            </w14:solidFill>
          </w14:textFill>
        </w:rPr>
        <w:cr/>
      </w:r>
      <w:r>
        <w:rPr>
          <w:rFonts w:hint="eastAsia" w:hAnsi="宋体" w:cs="宋体"/>
          <w:b/>
          <w:bCs/>
          <w:color w:val="000000" w:themeColor="text1"/>
          <w:highlight w:val="none"/>
          <w14:textFill>
            <w14:solidFill>
              <w14:schemeClr w14:val="tx1"/>
            </w14:solidFill>
          </w14:textFill>
        </w:rPr>
        <w:cr/>
      </w: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ind w:firstLine="420"/>
        <w:rPr>
          <w:rFonts w:hAnsi="宋体" w:cs="宋体"/>
          <w:b/>
          <w:bCs/>
          <w:color w:val="000000" w:themeColor="text1"/>
          <w:highlight w:val="none"/>
          <w14:textFill>
            <w14:solidFill>
              <w14:schemeClr w14:val="tx1"/>
            </w14:solidFill>
          </w14:textFill>
        </w:rPr>
      </w:pPr>
    </w:p>
    <w:p>
      <w:pPr>
        <w:pStyle w:val="20"/>
        <w:spacing w:line="300" w:lineRule="exact"/>
        <w:rPr>
          <w:rFonts w:hAnsi="宋体" w:cs="宋体"/>
          <w:color w:val="000000" w:themeColor="text1"/>
          <w:sz w:val="52"/>
          <w:szCs w:val="52"/>
          <w:highlight w:val="none"/>
          <w14:textFill>
            <w14:solidFill>
              <w14:schemeClr w14:val="tx1"/>
            </w14:solidFill>
          </w14:textFill>
        </w:rPr>
      </w:pPr>
      <w:bookmarkStart w:id="258" w:name="_Toc30093"/>
    </w:p>
    <w:bookmarkEnd w:id="258"/>
    <w:p>
      <w:pPr>
        <w:snapToGrid w:val="0"/>
        <w:spacing w:before="120" w:after="120" w:line="320" w:lineRule="exact"/>
        <w:ind w:firstLine="2880" w:firstLineChars="900"/>
        <w:outlineLvl w:val="0"/>
        <w:rPr>
          <w:rFonts w:ascii="宋体" w:hAnsi="宋体" w:cs="宋体"/>
          <w:color w:val="000000" w:themeColor="text1"/>
          <w:sz w:val="32"/>
          <w:szCs w:val="32"/>
          <w:highlight w:val="none"/>
          <w14:textFill>
            <w14:solidFill>
              <w14:schemeClr w14:val="tx1"/>
            </w14:solidFill>
          </w14:textFill>
        </w:rPr>
      </w:pPr>
      <w:bookmarkStart w:id="259" w:name="_Toc26342"/>
      <w:bookmarkStart w:id="260" w:name="_Toc6352"/>
      <w:r>
        <w:rPr>
          <w:rFonts w:hint="eastAsia" w:ascii="宋体" w:hAnsi="宋体" w:cs="宋体"/>
          <w:color w:val="000000" w:themeColor="text1"/>
          <w:sz w:val="32"/>
          <w:szCs w:val="32"/>
          <w:highlight w:val="none"/>
          <w14:textFill>
            <w14:solidFill>
              <w14:schemeClr w14:val="tx1"/>
            </w14:solidFill>
          </w14:textFill>
        </w:rPr>
        <w:t>合同主要条款格式</w:t>
      </w:r>
      <w:bookmarkEnd w:id="259"/>
      <w:bookmarkEnd w:id="260"/>
    </w:p>
    <w:p>
      <w:pPr>
        <w:spacing w:line="360" w:lineRule="auto"/>
        <w:ind w:right="105"/>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项目编号:</w:t>
      </w:r>
    </w:p>
    <w:p>
      <w:pPr>
        <w:wordWrap w:val="0"/>
        <w:spacing w:line="360" w:lineRule="auto"/>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项目名称：</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合同签订地点： </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合同签订日期：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甲方（采购人）：</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乙方（中标供应商）：</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日广西众联工程项目管理有限公司签发的（</w:t>
      </w:r>
      <w:r>
        <w:rPr>
          <w:rFonts w:hint="eastAsia" w:ascii="宋体" w:hAnsi="宋体" w:cs="宋体"/>
          <w:color w:val="000000" w:themeColor="text1"/>
          <w:szCs w:val="21"/>
          <w:highlight w:val="none"/>
          <w:u w:val="single"/>
          <w14:textFill>
            <w14:solidFill>
              <w14:schemeClr w14:val="tx1"/>
            </w14:solidFill>
          </w14:textFill>
        </w:rPr>
        <w:t>项目编号及项目名称</w:t>
      </w:r>
      <w:r>
        <w:rPr>
          <w:rFonts w:hint="eastAsia" w:ascii="宋体" w:hAnsi="宋体" w:cs="宋体"/>
          <w:color w:val="000000" w:themeColor="text1"/>
          <w:szCs w:val="21"/>
          <w:highlight w:val="none"/>
          <w14:textFill>
            <w14:solidFill>
              <w14:schemeClr w14:val="tx1"/>
            </w14:solidFill>
          </w14:textFill>
        </w:rPr>
        <w:t>）中标通知书，甲方接受乙方对本项目的投标，甲、乙双方同意签署本合同（以下简称合同），中标通知书、招标文件及补充、投标文件及澄清为本合同不可分割的部分并与本合同具有同等效力。</w:t>
      </w:r>
    </w:p>
    <w:p>
      <w:pPr>
        <w:spacing w:line="360" w:lineRule="auto"/>
        <w:outlineLvl w:val="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  采购内容</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718"/>
        <w:gridCol w:w="2686"/>
        <w:gridCol w:w="1869"/>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货物名称</w:t>
            </w:r>
          </w:p>
        </w:tc>
        <w:tc>
          <w:tcPr>
            <w:tcW w:w="1718" w:type="dxa"/>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数量（单位）</w:t>
            </w:r>
          </w:p>
        </w:tc>
        <w:tc>
          <w:tcPr>
            <w:tcW w:w="2686" w:type="dxa"/>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品牌、厂家、型号、规格</w:t>
            </w:r>
          </w:p>
        </w:tc>
        <w:tc>
          <w:tcPr>
            <w:tcW w:w="1869" w:type="dxa"/>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技术参数</w:t>
            </w:r>
          </w:p>
        </w:tc>
        <w:tc>
          <w:tcPr>
            <w:tcW w:w="1636" w:type="dxa"/>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Align w:val="center"/>
          </w:tcPr>
          <w:p>
            <w:pPr>
              <w:spacing w:line="360" w:lineRule="auto"/>
              <w:ind w:firstLine="480"/>
              <w:jc w:val="center"/>
              <w:rPr>
                <w:rFonts w:ascii="宋体" w:hAnsi="宋体" w:cs="宋体"/>
                <w:color w:val="000000" w:themeColor="text1"/>
                <w:szCs w:val="21"/>
                <w:highlight w:val="none"/>
                <w14:textFill>
                  <w14:solidFill>
                    <w14:schemeClr w14:val="tx1"/>
                  </w14:solidFill>
                </w14:textFill>
              </w:rPr>
            </w:pPr>
          </w:p>
        </w:tc>
        <w:tc>
          <w:tcPr>
            <w:tcW w:w="1718" w:type="dxa"/>
          </w:tcPr>
          <w:p>
            <w:pPr>
              <w:spacing w:line="360" w:lineRule="auto"/>
              <w:rPr>
                <w:rFonts w:ascii="宋体" w:hAnsi="宋体" w:cs="宋体"/>
                <w:color w:val="000000" w:themeColor="text1"/>
                <w:szCs w:val="21"/>
                <w:highlight w:val="none"/>
                <w14:textFill>
                  <w14:solidFill>
                    <w14:schemeClr w14:val="tx1"/>
                  </w14:solidFill>
                </w14:textFill>
              </w:rPr>
            </w:pPr>
          </w:p>
        </w:tc>
        <w:tc>
          <w:tcPr>
            <w:tcW w:w="2686" w:type="dxa"/>
          </w:tcPr>
          <w:p>
            <w:pPr>
              <w:spacing w:line="360" w:lineRule="auto"/>
              <w:rPr>
                <w:rFonts w:ascii="宋体" w:hAnsi="宋体" w:cs="宋体"/>
                <w:color w:val="000000" w:themeColor="text1"/>
                <w:szCs w:val="21"/>
                <w:highlight w:val="none"/>
                <w14:textFill>
                  <w14:solidFill>
                    <w14:schemeClr w14:val="tx1"/>
                  </w14:solidFill>
                </w14:textFill>
              </w:rPr>
            </w:pPr>
          </w:p>
        </w:tc>
        <w:tc>
          <w:tcPr>
            <w:tcW w:w="1869" w:type="dxa"/>
          </w:tcPr>
          <w:p>
            <w:pPr>
              <w:spacing w:line="360" w:lineRule="auto"/>
              <w:rPr>
                <w:rFonts w:ascii="宋体" w:hAnsi="宋体" w:cs="宋体"/>
                <w:color w:val="000000" w:themeColor="text1"/>
                <w:szCs w:val="21"/>
                <w:highlight w:val="none"/>
                <w14:textFill>
                  <w14:solidFill>
                    <w14:schemeClr w14:val="tx1"/>
                  </w14:solidFill>
                </w14:textFill>
              </w:rPr>
            </w:pPr>
          </w:p>
        </w:tc>
        <w:tc>
          <w:tcPr>
            <w:tcW w:w="1636" w:type="dxa"/>
          </w:tcPr>
          <w:p>
            <w:pPr>
              <w:spacing w:line="360" w:lineRule="auto"/>
              <w:ind w:firstLine="480"/>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Align w:val="center"/>
          </w:tcPr>
          <w:p>
            <w:pPr>
              <w:spacing w:line="360" w:lineRule="auto"/>
              <w:ind w:firstLine="480"/>
              <w:jc w:val="center"/>
              <w:rPr>
                <w:rFonts w:ascii="宋体" w:hAnsi="宋体" w:cs="宋体"/>
                <w:color w:val="000000" w:themeColor="text1"/>
                <w:szCs w:val="21"/>
                <w:highlight w:val="none"/>
                <w14:textFill>
                  <w14:solidFill>
                    <w14:schemeClr w14:val="tx1"/>
                  </w14:solidFill>
                </w14:textFill>
              </w:rPr>
            </w:pPr>
          </w:p>
        </w:tc>
        <w:tc>
          <w:tcPr>
            <w:tcW w:w="1718" w:type="dxa"/>
          </w:tcPr>
          <w:p>
            <w:pPr>
              <w:spacing w:line="360" w:lineRule="auto"/>
              <w:rPr>
                <w:rFonts w:ascii="宋体" w:hAnsi="宋体" w:cs="宋体"/>
                <w:color w:val="000000" w:themeColor="text1"/>
                <w:szCs w:val="21"/>
                <w:highlight w:val="none"/>
                <w14:textFill>
                  <w14:solidFill>
                    <w14:schemeClr w14:val="tx1"/>
                  </w14:solidFill>
                </w14:textFill>
              </w:rPr>
            </w:pPr>
          </w:p>
        </w:tc>
        <w:tc>
          <w:tcPr>
            <w:tcW w:w="2686" w:type="dxa"/>
          </w:tcPr>
          <w:p>
            <w:pPr>
              <w:spacing w:line="360" w:lineRule="auto"/>
              <w:rPr>
                <w:rFonts w:ascii="宋体" w:hAnsi="宋体" w:cs="宋体"/>
                <w:color w:val="000000" w:themeColor="text1"/>
                <w:szCs w:val="21"/>
                <w:highlight w:val="none"/>
                <w14:textFill>
                  <w14:solidFill>
                    <w14:schemeClr w14:val="tx1"/>
                  </w14:solidFill>
                </w14:textFill>
              </w:rPr>
            </w:pPr>
          </w:p>
        </w:tc>
        <w:tc>
          <w:tcPr>
            <w:tcW w:w="1869" w:type="dxa"/>
          </w:tcPr>
          <w:p>
            <w:pPr>
              <w:spacing w:line="360" w:lineRule="auto"/>
              <w:rPr>
                <w:rFonts w:ascii="宋体" w:hAnsi="宋体" w:cs="宋体"/>
                <w:color w:val="000000" w:themeColor="text1"/>
                <w:szCs w:val="21"/>
                <w:highlight w:val="none"/>
                <w14:textFill>
                  <w14:solidFill>
                    <w14:schemeClr w14:val="tx1"/>
                  </w14:solidFill>
                </w14:textFill>
              </w:rPr>
            </w:pPr>
          </w:p>
        </w:tc>
        <w:tc>
          <w:tcPr>
            <w:tcW w:w="1636" w:type="dxa"/>
          </w:tcPr>
          <w:p>
            <w:pPr>
              <w:spacing w:line="360" w:lineRule="auto"/>
              <w:ind w:firstLine="480"/>
              <w:rPr>
                <w:rFonts w:ascii="宋体" w:hAnsi="宋体" w:cs="宋体"/>
                <w:color w:val="000000" w:themeColor="text1"/>
                <w:szCs w:val="21"/>
                <w:highlight w:val="none"/>
                <w14:textFill>
                  <w14:solidFill>
                    <w14:schemeClr w14:val="tx1"/>
                  </w14:solidFill>
                </w14:textFill>
              </w:rPr>
            </w:pPr>
          </w:p>
        </w:tc>
      </w:tr>
    </w:tbl>
    <w:p>
      <w:pPr>
        <w:spacing w:line="360" w:lineRule="auto"/>
        <w:outlineLvl w:val="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  合同金额</w:t>
      </w:r>
    </w:p>
    <w:p>
      <w:pPr>
        <w:spacing w:line="360" w:lineRule="auto"/>
        <w:ind w:left="2"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 本合同金额为人民币（大写）：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w:t>
      </w:r>
    </w:p>
    <w:p>
      <w:pPr>
        <w:tabs>
          <w:tab w:val="left" w:pos="5940"/>
        </w:tabs>
        <w:spacing w:line="360" w:lineRule="auto"/>
        <w:outlineLvl w:val="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  交货要求</w:t>
      </w:r>
    </w:p>
    <w:p>
      <w:pPr>
        <w:tabs>
          <w:tab w:val="left" w:pos="5220"/>
        </w:tabs>
        <w:spacing w:line="360" w:lineRule="auto"/>
        <w:ind w:firstLine="36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3.1 交货期：</w:t>
      </w:r>
      <w:r>
        <w:rPr>
          <w:rFonts w:hint="eastAsia" w:ascii="宋体" w:hAnsi="宋体" w:cs="宋体"/>
          <w:color w:val="000000" w:themeColor="text1"/>
          <w:szCs w:val="21"/>
          <w:highlight w:val="none"/>
          <w14:textFill>
            <w14:solidFill>
              <w14:schemeClr w14:val="tx1"/>
            </w14:solidFill>
          </w14:textFill>
        </w:rPr>
        <w:t>签订合同即日起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日历日内完成安装、调试、培训工作</w:t>
      </w:r>
    </w:p>
    <w:p>
      <w:pPr>
        <w:spacing w:line="360" w:lineRule="auto"/>
        <w:ind w:firstLine="36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3.2 交货地点：</w:t>
      </w:r>
      <w:r>
        <w:rPr>
          <w:rFonts w:hint="eastAsia" w:ascii="宋体" w:hAnsi="宋体" w:cs="宋体"/>
          <w:color w:val="000000" w:themeColor="text1"/>
          <w:szCs w:val="21"/>
          <w:highlight w:val="none"/>
          <w14:textFill>
            <w14:solidFill>
              <w14:schemeClr w14:val="tx1"/>
            </w14:solidFill>
          </w14:textFill>
        </w:rPr>
        <w:t>采购人指定地点（梧州市区）</w:t>
      </w:r>
    </w:p>
    <w:p>
      <w:pPr>
        <w:tabs>
          <w:tab w:val="left" w:pos="5220"/>
          <w:tab w:val="left" w:pos="6120"/>
        </w:tabs>
        <w:spacing w:line="360" w:lineRule="auto"/>
        <w:ind w:firstLine="36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3.3 交货方式：</w:t>
      </w:r>
      <w:r>
        <w:rPr>
          <w:rFonts w:hint="eastAsia" w:ascii="宋体" w:hAnsi="宋体" w:cs="宋体"/>
          <w:color w:val="000000" w:themeColor="text1"/>
          <w:szCs w:val="21"/>
          <w:highlight w:val="none"/>
          <w14:textFill>
            <w14:solidFill>
              <w14:schemeClr w14:val="tx1"/>
            </w14:solidFill>
          </w14:textFill>
        </w:rPr>
        <w:t>现场安装调试</w:t>
      </w:r>
    </w:p>
    <w:p>
      <w:pPr>
        <w:spacing w:line="360" w:lineRule="auto"/>
        <w:ind w:firstLine="360"/>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3.4 </w:t>
      </w:r>
      <w:r>
        <w:rPr>
          <w:rFonts w:hint="eastAsia" w:ascii="宋体" w:hAnsi="宋体" w:cs="宋体"/>
          <w:color w:val="000000" w:themeColor="text1"/>
          <w:szCs w:val="21"/>
          <w:highlight w:val="none"/>
          <w14:textFill>
            <w14:solidFill>
              <w14:schemeClr w14:val="tx1"/>
            </w14:solidFill>
          </w14:textFill>
        </w:rPr>
        <w:t>乙方必须按投标文件承诺的技术参数、性能要求、质量标准等向甲方提供全新、完整、未经使用的货物。</w:t>
      </w:r>
    </w:p>
    <w:p>
      <w:pPr>
        <w:spacing w:line="360" w:lineRule="auto"/>
        <w:ind w:left="358" w:hanging="358" w:hangingChars="170"/>
        <w:outlineLvl w:val="2"/>
        <w:rPr>
          <w:rFonts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  履约保证金</w:t>
      </w:r>
    </w:p>
    <w:p>
      <w:pPr>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4.1履约保证金的递交：</w:t>
      </w:r>
      <w:r>
        <w:rPr>
          <w:rFonts w:hint="eastAsia" w:ascii="宋体" w:hAnsi="宋体" w:cs="宋体"/>
          <w:color w:val="000000" w:themeColor="text1"/>
          <w:szCs w:val="21"/>
          <w:highlight w:val="none"/>
          <w:u w:val="single"/>
          <w14:textFill>
            <w14:solidFill>
              <w14:schemeClr w14:val="tx1"/>
            </w14:solidFill>
          </w14:textFill>
        </w:rPr>
        <w:t>合同金额的5%</w:t>
      </w:r>
      <w:r>
        <w:rPr>
          <w:rFonts w:hint="eastAsia" w:ascii="宋体" w:hAnsi="宋体" w:cs="宋体"/>
          <w:color w:val="000000" w:themeColor="text1"/>
          <w:szCs w:val="21"/>
          <w:highlight w:val="none"/>
          <w14:textFill>
            <w14:solidFill>
              <w14:schemeClr w14:val="tx1"/>
            </w14:solidFill>
          </w14:textFill>
        </w:rPr>
        <w:t xml:space="preserve"> 。在收到中标通知书后，</w:t>
      </w:r>
      <w:r>
        <w:rPr>
          <w:rFonts w:hint="eastAsia"/>
          <w:color w:val="000000" w:themeColor="text1"/>
          <w:highlight w:val="none"/>
          <w14:textFill>
            <w14:solidFill>
              <w14:schemeClr w14:val="tx1"/>
            </w14:solidFill>
          </w14:textFill>
        </w:rPr>
        <w:t>中标人</w:t>
      </w:r>
      <w:r>
        <w:rPr>
          <w:color w:val="000000" w:themeColor="text1"/>
          <w:highlight w:val="none"/>
          <w14:textFill>
            <w14:solidFill>
              <w14:schemeClr w14:val="tx1"/>
            </w14:solidFill>
          </w14:textFill>
        </w:rPr>
        <w:t>须在 15 个工作日内</w:t>
      </w:r>
      <w:r>
        <w:rPr>
          <w:rFonts w:hint="eastAsia"/>
          <w:color w:val="000000" w:themeColor="text1"/>
          <w:highlight w:val="none"/>
          <w14:textFill>
            <w14:solidFill>
              <w14:schemeClr w14:val="tx1"/>
            </w14:solidFill>
          </w14:textFill>
        </w:rPr>
        <w:t>联系</w:t>
      </w:r>
      <w:r>
        <w:rPr>
          <w:color w:val="000000" w:themeColor="text1"/>
          <w:highlight w:val="none"/>
          <w14:textFill>
            <w14:solidFill>
              <w14:schemeClr w14:val="tx1"/>
            </w14:solidFill>
          </w14:textFill>
        </w:rPr>
        <w:t>采购人提交履约保证金</w:t>
      </w:r>
      <w:r>
        <w:rPr>
          <w:rFonts w:hint="eastAsia" w:ascii="宋体" w:hAnsi="宋体" w:cs="宋体"/>
          <w:color w:val="000000" w:themeColor="text1"/>
          <w:szCs w:val="21"/>
          <w:highlight w:val="none"/>
          <w14:textFill>
            <w14:solidFill>
              <w14:schemeClr w14:val="tx1"/>
            </w14:solidFill>
          </w14:textFill>
        </w:rPr>
        <w:t>，否则视为其放弃中标资格。</w:t>
      </w:r>
    </w:p>
    <w:p>
      <w:pPr>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 履约保证金作为违约金的一部分用于补偿甲方因乙方不能完成其合同义务而蒙受的损失。如中标人不按双方签订的合同规定履约，则对其全部履约保证金不予退还，履约保证金不足以赔偿损失的，按实际损失赔偿。</w:t>
      </w:r>
    </w:p>
    <w:p>
      <w:pPr>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 在履约保证金到期退还日期前，若中标人的开户名称、开户银行、帐号有变动的，请以书面形式通知采购代理机构，否则由此产生的后果由中标人自负。</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4.4 自项目验收合格之日起5个工作日内，中标人按第七章附件“政府采购项目履约保证金退付意见书”的要求至采购人财务部办理退还履约保证金手续。采购人或采购代理机构将在收到退还履约保证金申请后5个工作日内无息原额退还，因采购人或采购代理机构原因导致无法及时退还时，每逾期退还一天按履约保证金万分之一支付违约金给中标人，但因中标人自身原因导致无法及时退还的除外。</w:t>
      </w:r>
    </w:p>
    <w:p>
      <w:pPr>
        <w:spacing w:line="360" w:lineRule="auto"/>
        <w:outlineLvl w:val="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  质量保证及售后服务</w:t>
      </w:r>
    </w:p>
    <w:p>
      <w:pPr>
        <w:spacing w:line="360" w:lineRule="auto"/>
        <w:ind w:left="2"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 质量保证期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年（自交货验收合格之日起计）。</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 如乙方提供的货物在使用过程中发生质量问题，乙方接到甲方故障通知后应在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小时内到达甲方指定现场，按国家及行业标准对故障进行及时处理。</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 乙方提供的货物在质量保证期内因货物本身的质量问题发生故障，乙方应负责免费更换。对达不到技术要求者，根据实际情况，经双方协商，可按以下办法处理：</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（1）更换：由乙方承担所发生的全部费用；</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（2）贬值处理：由甲乙双方合议定价；</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（3）退货处理：乙方应退还甲方支付的合同款，同时应承担与该货物相关的直接费用（运输、保险、检验、合同款利息及银行手续费等）。</w:t>
      </w:r>
    </w:p>
    <w:p>
      <w:pPr>
        <w:spacing w:line="360" w:lineRule="auto"/>
        <w:ind w:left="2"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spacing w:line="360" w:lineRule="auto"/>
        <w:ind w:left="2"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5.5 超过质量保证期的货物，乙方提供终生维修、保养服务，维修时只收部件成本费。</w:t>
      </w:r>
    </w:p>
    <w:p>
      <w:pPr>
        <w:spacing w:line="360" w:lineRule="auto"/>
        <w:ind w:left="2"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5.6 乙方随时优惠提供备品备件，优惠提供产品更新、改造服务。</w:t>
      </w:r>
    </w:p>
    <w:p>
      <w:pPr>
        <w:spacing w:line="360" w:lineRule="auto"/>
        <w:outlineLvl w:val="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6.  合同款支付</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　付款方式：乙方交货给甲方经验收合格后，乙方向</w:t>
      </w:r>
      <w:r>
        <w:rPr>
          <w:rFonts w:hint="eastAsia" w:ascii="宋体" w:hAnsi="宋体" w:cs="宋体"/>
          <w:color w:val="000000" w:themeColor="text1"/>
          <w:szCs w:val="21"/>
          <w:highlight w:val="none"/>
          <w:lang w:val="en-US"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开</w:t>
      </w:r>
      <w:r>
        <w:rPr>
          <w:rFonts w:hint="eastAsia" w:ascii="宋体" w:hAnsi="宋体" w:cs="宋体"/>
          <w:color w:val="000000" w:themeColor="text1"/>
          <w:szCs w:val="21"/>
          <w:highlight w:val="none"/>
          <w:lang w:eastAsia="zh-CN"/>
          <w14:textFill>
            <w14:solidFill>
              <w14:schemeClr w14:val="tx1"/>
            </w14:solidFill>
          </w14:textFill>
        </w:rPr>
        <w:t>具</w:t>
      </w:r>
      <w:r>
        <w:rPr>
          <w:rFonts w:hint="eastAsia" w:ascii="宋体" w:hAnsi="宋体" w:cs="宋体"/>
          <w:color w:val="000000" w:themeColor="text1"/>
          <w:szCs w:val="21"/>
          <w:highlight w:val="none"/>
          <w14:textFill>
            <w14:solidFill>
              <w14:schemeClr w14:val="tx1"/>
            </w14:solidFill>
          </w14:textFill>
        </w:rPr>
        <w:t>合同总额合法发票。甲方收到发票，</w:t>
      </w:r>
      <w:r>
        <w:rPr>
          <w:rFonts w:hint="eastAsia" w:ascii="宋体" w:hAnsi="宋体" w:cs="宋体"/>
          <w:color w:val="000000" w:themeColor="text1"/>
          <w:szCs w:val="21"/>
          <w:highlight w:val="none"/>
          <w:lang w:eastAsia="zh-CN"/>
          <w14:textFill>
            <w14:solidFill>
              <w14:schemeClr w14:val="tx1"/>
            </w14:solidFill>
          </w14:textFill>
        </w:rPr>
        <w:t>向财政部门申请资金，待财政资金划拨到甲方账户后（具体资金额度以财政划拨为准），七个工作日内将到账资金支付给乙方，合同总额的</w:t>
      </w:r>
      <w:r>
        <w:rPr>
          <w:rFonts w:hint="eastAsia" w:ascii="宋体" w:hAnsi="宋体" w:cs="宋体"/>
          <w:color w:val="000000" w:themeColor="text1"/>
          <w:szCs w:val="21"/>
          <w:highlight w:val="none"/>
          <w14:textFill>
            <w14:solidFill>
              <w14:schemeClr w14:val="tx1"/>
            </w14:solidFill>
          </w14:textFill>
        </w:rPr>
        <w:t>5%作为质保金在验收合格一年后付清（无息）。</w:t>
      </w:r>
    </w:p>
    <w:p>
      <w:pPr>
        <w:spacing w:line="360" w:lineRule="auto"/>
        <w:ind w:firstLine="42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  当采购数量与实际使用数量不一致时，乙方可以在报经梧州市万秀区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成交单价进行计算。</w:t>
      </w:r>
    </w:p>
    <w:p>
      <w:pPr>
        <w:spacing w:line="360" w:lineRule="auto"/>
        <w:ind w:firstLine="36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6.3 政府</w:t>
      </w:r>
      <w:r>
        <w:rPr>
          <w:rFonts w:hint="eastAsia" w:ascii="宋体" w:hAnsi="宋体" w:cs="宋体"/>
          <w:color w:val="000000" w:themeColor="text1"/>
          <w:szCs w:val="21"/>
          <w:highlight w:val="none"/>
          <w14:textFill>
            <w14:solidFill>
              <w14:schemeClr w14:val="tx1"/>
            </w14:solidFill>
          </w14:textFill>
        </w:rPr>
        <w:t>采购过程中</w:t>
      </w:r>
      <w:r>
        <w:rPr>
          <w:rFonts w:hint="eastAsia" w:ascii="宋体" w:hAnsi="宋体" w:cs="宋体"/>
          <w:bCs/>
          <w:color w:val="000000" w:themeColor="text1"/>
          <w:szCs w:val="21"/>
          <w:highlight w:val="none"/>
          <w14:textFill>
            <w14:solidFill>
              <w14:schemeClr w14:val="tx1"/>
            </w14:solidFill>
          </w14:textFill>
        </w:rPr>
        <w:t>，如采购人、供应商或集中采购机构存在违法行为，政府采购监督管理部门可视情况书面通知采购人暂停采购活动，并延期支付合同款。</w:t>
      </w:r>
    </w:p>
    <w:p>
      <w:pPr>
        <w:spacing w:line="360" w:lineRule="auto"/>
        <w:ind w:left="360" w:hanging="361" w:hangingChars="171"/>
        <w:outlineLvl w:val="2"/>
        <w:rPr>
          <w:rFonts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7.  产权</w:t>
      </w:r>
    </w:p>
    <w:p>
      <w:pPr>
        <w:spacing w:line="360" w:lineRule="auto"/>
        <w:ind w:left="2" w:firstLine="359" w:firstLineChars="171"/>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 乙方保证所提供的货物或其任何一部分均不会侵犯任何第三方的专利权、商标权或著作权</w:t>
      </w:r>
      <w:r>
        <w:rPr>
          <w:rFonts w:hint="eastAsia" w:ascii="宋体" w:hAnsi="宋体" w:cs="宋体"/>
          <w:bCs/>
          <w:color w:val="000000" w:themeColor="text1"/>
          <w:szCs w:val="21"/>
          <w:highlight w:val="none"/>
          <w14:textFill>
            <w14:solidFill>
              <w14:schemeClr w14:val="tx1"/>
            </w14:solidFill>
          </w14:textFill>
        </w:rPr>
        <w:t>。</w:t>
      </w:r>
    </w:p>
    <w:p>
      <w:pPr>
        <w:spacing w:line="360" w:lineRule="auto"/>
        <w:ind w:left="2" w:firstLine="359" w:firstLineChars="171"/>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spacing w:line="360" w:lineRule="auto"/>
        <w:outlineLvl w:val="2"/>
        <w:rPr>
          <w:rFonts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8.  技术资料</w:t>
      </w:r>
    </w:p>
    <w:p>
      <w:pPr>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8.1 甲方向乙方提供货物的有关技术资料。</w:t>
      </w:r>
    </w:p>
    <w:p>
      <w:pPr>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8.2 乙方应在采购文件规定的时间向甲方提供使用货物的有关技术资料。</w:t>
      </w:r>
    </w:p>
    <w:p>
      <w:pPr>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spacing w:line="360" w:lineRule="auto"/>
        <w:outlineLvl w:val="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9.  货物包装、发运及运输</w:t>
      </w:r>
    </w:p>
    <w:p>
      <w:pPr>
        <w:tabs>
          <w:tab w:val="left" w:pos="0"/>
        </w:tabs>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9.1 乙方应在货物发运前对其进行满足运输距离、防潮、防震、防锈和防破损装卸等要求包装，以保证货物安全运达甲方指定地点。</w:t>
      </w:r>
    </w:p>
    <w:p>
      <w:pPr>
        <w:tabs>
          <w:tab w:val="left" w:pos="0"/>
        </w:tabs>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9.2 使用说明书、质量检验证明书、保修单据、随配附件和工具以及清单一并附于货物内。</w:t>
      </w:r>
    </w:p>
    <w:p>
      <w:pPr>
        <w:tabs>
          <w:tab w:val="left" w:pos="0"/>
        </w:tabs>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9.3 乙方在货物发运手续办理完毕后24小时内或货到甲方48小时前通知甲方，以准备接货。</w:t>
      </w:r>
    </w:p>
    <w:p>
      <w:pPr>
        <w:tabs>
          <w:tab w:val="left" w:pos="0"/>
        </w:tabs>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9.4 货物在交付甲方前发生的风险均由乙方负责。</w:t>
      </w:r>
    </w:p>
    <w:p>
      <w:pPr>
        <w:tabs>
          <w:tab w:val="left" w:pos="0"/>
        </w:tabs>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9.5 货物在规定的交付期限内由乙方送达甲方指定的地点视为交付，乙方同时需通知甲方货物已送达。</w:t>
      </w:r>
    </w:p>
    <w:p>
      <w:pPr>
        <w:spacing w:line="360" w:lineRule="auto"/>
        <w:outlineLvl w:val="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10.  调试和验收</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10.1 乙方将货物运达约定的交货地点后，甲方应在五个工作日内对乙方提交的货物依据招标文件、投标文件要求和国家标准或行业标准进行现场初步验收。对外观、说明书符合要求的，给予签收；对不符合要求或有质量问题的货物不予签收，可立即要求退换，乙方不得拒绝和延误。</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10.2 乙方交货前应对产品作出全面检查和对验收文件进行整理，并列出清单，作为甲方收货验收和使用的技术条件依据，检验的结果应随货物交甲方。</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10.3 甲方对乙方提供的货物在使用前进行调试时，乙方需负责安装并培训甲方的使用操作人员，并协助甲方一起调试，直到符合技术要求，甲方才做最终验收。</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10.4 验收时乙方必须在现场，验收完毕后作出验收结果报告。</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10.5 对技术复杂的货物，甲方可请国家认可的专业检测机构参与验收，并由其出具质量检测报告，相关费用由甲方承担。</w:t>
      </w:r>
    </w:p>
    <w:p>
      <w:pPr>
        <w:spacing w:line="360" w:lineRule="auto"/>
        <w:outlineLvl w:val="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11.  违约责任</w:t>
      </w:r>
    </w:p>
    <w:p>
      <w:pPr>
        <w:spacing w:line="360" w:lineRule="auto"/>
        <w:ind w:left="2"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 甲方无正当理由拒收货物的，甲方向乙方偿付拒收合同款总值的百分之五违约金。</w:t>
      </w:r>
    </w:p>
    <w:p>
      <w:pPr>
        <w:spacing w:line="360" w:lineRule="auto"/>
        <w:ind w:left="2"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 甲方无故逾期验收或办理合同款支付手续的，甲方应按逾期付款总额每日万分之五向乙方支付违约金。</w:t>
      </w:r>
    </w:p>
    <w:p>
      <w:pPr>
        <w:spacing w:line="360" w:lineRule="auto"/>
        <w:ind w:left="2"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 乙方逾期交付货物的，乙方应按逾期交货总额每日万分之五向甲方支付违约金，由甲方从待付合同款中扣除。乙方逾期超过本合同约定交货日期十个工作日以上不能交货的，甲方可解除本合同。乙方因逾期交货十个工作日以上或因其他违约行为导致甲方解除合同的，乙方应向甲方支付合同款总值百分之五的违约金，如造成甲方损失超过违约金的，超出部分由乙方继续承担赔偿责任。</w:t>
      </w:r>
    </w:p>
    <w:p>
      <w:pPr>
        <w:spacing w:line="360" w:lineRule="auto"/>
        <w:ind w:left="2"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spacing w:line="360" w:lineRule="auto"/>
        <w:outlineLvl w:val="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12.  不可抗力事件处理</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 在合同有效期内，任何一方因不可抗力事件导致不能履行合同，则合同履行期可延长，其延长期与不可抗力影响期相同。</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 不可抗力事件发生后，应立即通知对方，并寄送有关权威机构出具的证明。</w:t>
      </w:r>
    </w:p>
    <w:p>
      <w:pPr>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12.3 不可抗力事件延续120天以上，双方应通过友好协商，确定是否继续履行合同。</w:t>
      </w:r>
    </w:p>
    <w:p>
      <w:pPr>
        <w:spacing w:line="360" w:lineRule="auto"/>
        <w:outlineLvl w:val="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13.  诉讼</w:t>
      </w:r>
    </w:p>
    <w:p>
      <w:pPr>
        <w:tabs>
          <w:tab w:val="left" w:pos="0"/>
        </w:tabs>
        <w:spacing w:line="360" w:lineRule="auto"/>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 双方在执行合同中所发生的一切争议，应通过协商解决。如协商不成，可向合同签订地法院起诉，合同签订地在此约定为广西梧州市。</w:t>
      </w:r>
    </w:p>
    <w:p>
      <w:pPr>
        <w:spacing w:line="360" w:lineRule="auto"/>
        <w:outlineLvl w:val="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14.  合同生效及其它</w:t>
      </w:r>
    </w:p>
    <w:p>
      <w:pPr>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14.1 合同经双方法定代表人或授权委托代理人签字并加盖单位公章后生效。</w:t>
      </w:r>
    </w:p>
    <w:p>
      <w:pPr>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14.2 本合同未尽事宜，遵照《中华人民共和国合同法》有关条文执行。</w:t>
      </w:r>
    </w:p>
    <w:p>
      <w:pPr>
        <w:spacing w:line="360" w:lineRule="auto"/>
        <w:ind w:firstLine="3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14.3 本合同正本一式肆份，具有同等法律效力，甲乙双方各执一份；采购代理机构执一份，政府采购监督管理部门一份，采购人自合同签订之日起七个工作日内报政府采购监督管理部门备案。</w:t>
      </w:r>
    </w:p>
    <w:p>
      <w:pPr>
        <w:spacing w:line="44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甲方：</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乙方：</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地址：</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法定代表人：</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委托代理人：</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电话：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传真：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spacing w:line="44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开户银行：</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4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开户名称：</w:t>
      </w:r>
      <w:r>
        <w:rPr>
          <w:rFonts w:hint="eastAsia" w:ascii="宋体" w:hAnsi="宋体" w:cs="宋体"/>
          <w:color w:val="000000" w:themeColor="text1"/>
          <w:szCs w:val="21"/>
          <w:highlight w:val="none"/>
          <w:u w:val="single"/>
          <w14:textFill>
            <w14:solidFill>
              <w14:schemeClr w14:val="tx1"/>
            </w14:solidFill>
          </w14:textFill>
        </w:rPr>
        <w:t xml:space="preserve">                                </w:t>
      </w:r>
    </w:p>
    <w:p>
      <w:pPr>
        <w:snapToGrid w:val="0"/>
        <w:spacing w:line="360" w:lineRule="auto"/>
        <w:jc w:val="center"/>
        <w:outlineLvl w:val="1"/>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银行账号：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合 同 附 件</w:t>
      </w:r>
    </w:p>
    <w:tbl>
      <w:tblPr>
        <w:tblStyle w:val="40"/>
        <w:tblW w:w="0" w:type="auto"/>
        <w:tblInd w:w="0" w:type="dxa"/>
        <w:tblLayout w:type="fixed"/>
        <w:tblCellMar>
          <w:top w:w="0" w:type="dxa"/>
          <w:left w:w="108" w:type="dxa"/>
          <w:bottom w:w="0" w:type="dxa"/>
          <w:right w:w="108" w:type="dxa"/>
        </w:tblCellMar>
      </w:tblPr>
      <w:tblGrid>
        <w:gridCol w:w="4799"/>
        <w:gridCol w:w="4829"/>
      </w:tblGrid>
      <w:tr>
        <w:tblPrEx>
          <w:tblCellMar>
            <w:top w:w="0" w:type="dxa"/>
            <w:left w:w="108" w:type="dxa"/>
            <w:bottom w:w="0" w:type="dxa"/>
            <w:right w:w="108" w:type="dxa"/>
          </w:tblCellMar>
        </w:tblPrEx>
        <w:trPr>
          <w:trHeight w:val="1226" w:hRule="atLeast"/>
        </w:trPr>
        <w:tc>
          <w:tcPr>
            <w:tcW w:w="9628" w:type="dxa"/>
            <w:gridSpan w:val="2"/>
            <w:tcBorders>
              <w:top w:val="single" w:color="auto" w:sz="4" w:space="0"/>
              <w:left w:val="single" w:color="auto" w:sz="4" w:space="0"/>
              <w:right w:val="single" w:color="auto" w:sz="4" w:space="0"/>
            </w:tcBorders>
          </w:tcPr>
          <w:p>
            <w:pPr>
              <w:snapToGrid w:val="0"/>
              <w:spacing w:line="360" w:lineRule="auto"/>
              <w:ind w:firstLine="211" w:firstLineChars="1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1.供应商承诺具体事项：</w:t>
            </w: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360" w:hRule="atLeast"/>
        </w:trPr>
        <w:tc>
          <w:tcPr>
            <w:tcW w:w="9628" w:type="dxa"/>
            <w:gridSpan w:val="2"/>
            <w:tcBorders>
              <w:top w:val="single" w:color="auto" w:sz="4" w:space="0"/>
              <w:left w:val="single" w:color="auto" w:sz="4" w:space="0"/>
              <w:right w:val="single" w:color="auto" w:sz="4" w:space="0"/>
            </w:tcBorders>
          </w:tcPr>
          <w:p>
            <w:pPr>
              <w:snapToGrid w:val="0"/>
              <w:spacing w:line="360" w:lineRule="auto"/>
              <w:ind w:firstLine="211" w:firstLineChars="1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2.其他具体事项：</w:t>
            </w: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703" w:hRule="atLeast"/>
        </w:trPr>
        <w:tc>
          <w:tcPr>
            <w:tcW w:w="47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甲方（公章）</w:t>
            </w: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                 年   月   日 </w:t>
            </w:r>
          </w:p>
        </w:tc>
        <w:tc>
          <w:tcPr>
            <w:tcW w:w="48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乙方（公章）</w:t>
            </w: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p>
          <w:p>
            <w:pPr>
              <w:snapToGrid w:val="0"/>
              <w:spacing w:line="360" w:lineRule="auto"/>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                年   月   日</w:t>
            </w:r>
          </w:p>
        </w:tc>
      </w:tr>
    </w:tbl>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注：售后服务事项填不下时可另加附页</w:t>
      </w:r>
    </w:p>
    <w:p>
      <w:pPr>
        <w:snapToGrid w:val="0"/>
        <w:spacing w:line="400" w:lineRule="exact"/>
        <w:rPr>
          <w:rFonts w:ascii="宋体" w:hAnsi="宋体" w:cs="宋体"/>
          <w:b/>
          <w:bCs/>
          <w:color w:val="000000" w:themeColor="text1"/>
          <w:highlight w:val="none"/>
          <w14:textFill>
            <w14:solidFill>
              <w14:schemeClr w14:val="tx1"/>
            </w14:solidFill>
          </w14:textFill>
        </w:rPr>
      </w:pPr>
    </w:p>
    <w:p>
      <w:pPr>
        <w:snapToGrid w:val="0"/>
        <w:rPr>
          <w:rFonts w:ascii="宋体" w:hAnsi="宋体" w:cs="宋体"/>
          <w:color w:val="000000" w:themeColor="text1"/>
          <w:highlight w:val="none"/>
          <w14:textFill>
            <w14:solidFill>
              <w14:schemeClr w14:val="tx1"/>
            </w14:solidFill>
          </w14:textFill>
        </w:rPr>
      </w:pPr>
    </w:p>
    <w:p>
      <w:pPr>
        <w:pStyle w:val="36"/>
        <w:ind w:firstLine="482"/>
        <w:outlineLvl w:val="9"/>
        <w:rPr>
          <w:rFonts w:ascii="宋体" w:hAnsi="宋体" w:eastAsia="宋体" w:cs="宋体"/>
          <w:color w:val="000000" w:themeColor="text1"/>
          <w:highlight w:val="none"/>
          <w:lang w:eastAsia="zh-CN"/>
          <w14:textFill>
            <w14:solidFill>
              <w14:schemeClr w14:val="tx1"/>
            </w14:solidFill>
          </w14:textFill>
        </w:rPr>
      </w:pPr>
    </w:p>
    <w:p>
      <w:pPr>
        <w:snapToGrid w:val="0"/>
        <w:ind w:left="420" w:hanging="420" w:hangingChars="200"/>
        <w:rPr>
          <w:rFonts w:ascii="宋体" w:hAnsi="宋体" w:cs="宋体"/>
          <w:color w:val="000000" w:themeColor="text1"/>
          <w:szCs w:val="21"/>
          <w:highlight w:val="none"/>
          <w14:textFill>
            <w14:solidFill>
              <w14:schemeClr w14:val="tx1"/>
            </w14:solidFill>
          </w14:textFill>
        </w:rPr>
      </w:pPr>
    </w:p>
    <w:p>
      <w:pPr>
        <w:snapToGrid w:val="0"/>
        <w:spacing w:line="360" w:lineRule="auto"/>
        <w:jc w:val="center"/>
        <w:rPr>
          <w:rFonts w:ascii="宋体" w:hAnsi="宋体" w:cs="宋体"/>
          <w:b/>
          <w:color w:val="000000" w:themeColor="text1"/>
          <w:sz w:val="28"/>
          <w:szCs w:val="28"/>
          <w:highlight w:val="none"/>
          <w14:textFill>
            <w14:solidFill>
              <w14:schemeClr w14:val="tx1"/>
            </w14:solidFill>
          </w14:textFill>
        </w:rPr>
      </w:pPr>
    </w:p>
    <w:p>
      <w:pPr>
        <w:pStyle w:val="20"/>
        <w:spacing w:line="370" w:lineRule="exact"/>
        <w:rPr>
          <w:rFonts w:hAnsi="宋体" w:cs="宋体"/>
          <w:color w:val="000000" w:themeColor="text1"/>
          <w:highlight w:val="none"/>
          <w14:textFill>
            <w14:solidFill>
              <w14:schemeClr w14:val="tx1"/>
            </w14:solidFill>
          </w14:textFill>
        </w:rPr>
      </w:pPr>
    </w:p>
    <w:p>
      <w:pPr>
        <w:spacing w:before="165" w:beforeLines="50" w:after="662" w:afterLines="200" w:line="340" w:lineRule="exact"/>
        <w:jc w:val="center"/>
        <w:rPr>
          <w:rFonts w:ascii="仿宋_GB2312" w:hAnsi="宋体" w:eastAsia="仿宋_GB2312"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仿宋_GB2312" w:hAnsi="宋体" w:eastAsia="仿宋_GB2312" w:cs="宋体"/>
          <w:b/>
          <w:bCs/>
          <w:color w:val="000000" w:themeColor="text1"/>
          <w:kern w:val="0"/>
          <w:sz w:val="32"/>
          <w:szCs w:val="32"/>
          <w:highlight w:val="none"/>
          <w14:textFill>
            <w14:solidFill>
              <w14:schemeClr w14:val="tx1"/>
            </w14:solidFill>
          </w14:textFill>
        </w:rPr>
        <w:t>广西壮族自治区政府采购项目</w:t>
      </w:r>
      <w:r>
        <w:rPr>
          <w:rFonts w:hint="eastAsia" w:ascii="仿宋_GB2312" w:hAnsi="宋体" w:eastAsia="仿宋_GB2312" w:cs="宋体"/>
          <w:b/>
          <w:color w:val="000000" w:themeColor="text1"/>
          <w:kern w:val="0"/>
          <w:sz w:val="32"/>
          <w:szCs w:val="32"/>
          <w:highlight w:val="none"/>
          <w14:textFill>
            <w14:solidFill>
              <w14:schemeClr w14:val="tx1"/>
            </w14:solidFill>
          </w14:textFill>
        </w:rPr>
        <w:t>合同验收书（格式）</w:t>
      </w:r>
    </w:p>
    <w:p>
      <w:pPr>
        <w:spacing w:line="340" w:lineRule="exact"/>
        <w:ind w:firstLine="420" w:firstLineChars="200"/>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 xml:space="preserve">根据政府采购项目（采购合同编号：      </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）的约定，我单位对（ 项目名称 ）政府采购项目中标（或成交）供应商（    公司名称      ）提供的货物（或工程、服务）进行了验收，验收情况如下：</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510" w:type="dxa"/>
            <w:gridSpan w:val="2"/>
            <w:vAlign w:val="center"/>
          </w:tcPr>
          <w:p>
            <w:pPr>
              <w:spacing w:line="340" w:lineRule="exact"/>
              <w:jc w:val="center"/>
              <w:rPr>
                <w:rFonts w:ascii="仿宋_GB2312" w:hAnsi="宋体" w:eastAsia="仿宋_GB2312"/>
                <w:b/>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验收方式：</w:t>
            </w:r>
          </w:p>
        </w:tc>
        <w:tc>
          <w:tcPr>
            <w:tcW w:w="6118" w:type="dxa"/>
            <w:gridSpan w:val="5"/>
            <w:vAlign w:val="center"/>
          </w:tcPr>
          <w:p>
            <w:pPr>
              <w:spacing w:line="340" w:lineRule="exact"/>
              <w:jc w:val="center"/>
              <w:rPr>
                <w:rFonts w:ascii="仿宋_GB2312" w:hAnsi="宋体" w:eastAsia="仿宋_GB2312"/>
                <w:b/>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□自行验收</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序号</w:t>
            </w:r>
          </w:p>
        </w:tc>
        <w:tc>
          <w:tcPr>
            <w:tcW w:w="1984"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名</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称</w:t>
            </w:r>
          </w:p>
        </w:tc>
        <w:tc>
          <w:tcPr>
            <w:tcW w:w="3075" w:type="dxa"/>
            <w:gridSpan w:val="3"/>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货物型号规格、标准及配置等（或服务内容、标准）</w:t>
            </w:r>
          </w:p>
        </w:tc>
        <w:tc>
          <w:tcPr>
            <w:tcW w:w="1556" w:type="dxa"/>
            <w:vAlign w:val="center"/>
          </w:tcPr>
          <w:p>
            <w:pPr>
              <w:widowControl/>
              <w:snapToGrid w:val="0"/>
              <w:spacing w:before="100" w:beforeAutospacing="1" w:after="100" w:afterAutospacing="1" w:line="320" w:lineRule="atLeast"/>
              <w:jc w:val="center"/>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数量</w:t>
            </w:r>
          </w:p>
        </w:tc>
        <w:tc>
          <w:tcPr>
            <w:tcW w:w="1487"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金</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1984"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3075" w:type="dxa"/>
            <w:gridSpan w:val="3"/>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1556" w:type="dxa"/>
            <w:vAlign w:val="center"/>
          </w:tcPr>
          <w:p>
            <w:pPr>
              <w:widowControl/>
              <w:snapToGrid w:val="0"/>
              <w:spacing w:before="100" w:beforeAutospacing="1" w:after="100" w:afterAutospacing="1" w:line="320" w:lineRule="atLeast"/>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1487"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1984"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3075" w:type="dxa"/>
            <w:gridSpan w:val="3"/>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1556" w:type="dxa"/>
            <w:vAlign w:val="center"/>
          </w:tcPr>
          <w:p>
            <w:pPr>
              <w:widowControl/>
              <w:snapToGrid w:val="0"/>
              <w:spacing w:before="100" w:beforeAutospacing="1" w:after="100" w:afterAutospacing="1" w:line="320" w:lineRule="atLeast"/>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1487"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1984"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3075" w:type="dxa"/>
            <w:gridSpan w:val="3"/>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1556" w:type="dxa"/>
            <w:vAlign w:val="center"/>
          </w:tcPr>
          <w:p>
            <w:pPr>
              <w:widowControl/>
              <w:snapToGrid w:val="0"/>
              <w:spacing w:before="100" w:beforeAutospacing="1" w:after="100" w:afterAutospacing="1" w:line="320" w:lineRule="atLeast"/>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1487"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合</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计</w:t>
            </w:r>
          </w:p>
        </w:tc>
        <w:tc>
          <w:tcPr>
            <w:tcW w:w="1556" w:type="dxa"/>
            <w:vAlign w:val="center"/>
          </w:tcPr>
          <w:p>
            <w:pPr>
              <w:widowControl/>
              <w:snapToGrid w:val="0"/>
              <w:spacing w:before="100" w:beforeAutospacing="1" w:after="100" w:afterAutospacing="1" w:line="320" w:lineRule="atLeast"/>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1487"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合计大写金额：</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仟</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佰</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拾</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万</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仟</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佰</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拾</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实际供货日期</w:t>
            </w:r>
          </w:p>
        </w:tc>
        <w:tc>
          <w:tcPr>
            <w:tcW w:w="2410" w:type="dxa"/>
            <w:gridSpan w:val="2"/>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c>
          <w:tcPr>
            <w:tcW w:w="2551"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合同交货验收日期</w:t>
            </w:r>
          </w:p>
        </w:tc>
        <w:tc>
          <w:tcPr>
            <w:tcW w:w="3141" w:type="dxa"/>
            <w:gridSpan w:val="3"/>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000000" w:themeColor="text1"/>
                <w:kern w:val="0"/>
                <w:szCs w:val="21"/>
                <w:highlight w:val="none"/>
                <w14:textFill>
                  <w14:solidFill>
                    <w14:schemeClr w14:val="tx1"/>
                  </w14:solidFill>
                </w14:textFill>
              </w:rPr>
            </w:pPr>
          </w:p>
        </w:tc>
        <w:tc>
          <w:tcPr>
            <w:tcW w:w="2410" w:type="dxa"/>
            <w:gridSpan w:val="2"/>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000000" w:themeColor="text1"/>
                <w:kern w:val="0"/>
                <w:szCs w:val="21"/>
                <w:highlight w:val="none"/>
                <w14:textFill>
                  <w14:solidFill>
                    <w14:schemeClr w14:val="tx1"/>
                  </w14:solidFill>
                </w14:textFill>
              </w:rPr>
            </w:pPr>
          </w:p>
        </w:tc>
        <w:tc>
          <w:tcPr>
            <w:tcW w:w="2551" w:type="dxa"/>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000000" w:themeColor="text1"/>
                <w:kern w:val="0"/>
                <w:szCs w:val="21"/>
                <w:highlight w:val="none"/>
                <w14:textFill>
                  <w14:solidFill>
                    <w14:schemeClr w14:val="tx1"/>
                  </w14:solidFill>
                </w14:textFill>
              </w:rPr>
            </w:pPr>
          </w:p>
        </w:tc>
        <w:tc>
          <w:tcPr>
            <w:tcW w:w="3141" w:type="dxa"/>
            <w:gridSpan w:val="3"/>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526" w:type="dxa"/>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验收具体内容</w:t>
            </w:r>
          </w:p>
        </w:tc>
        <w:tc>
          <w:tcPr>
            <w:tcW w:w="8102" w:type="dxa"/>
            <w:gridSpan w:val="6"/>
            <w:vAlign w:val="center"/>
          </w:tcPr>
          <w:p>
            <w:pPr>
              <w:widowControl/>
              <w:snapToGrid w:val="0"/>
              <w:spacing w:before="100" w:beforeAutospacing="1" w:after="100" w:afterAutospacing="1" w:line="320" w:lineRule="atLeast"/>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验收小组意见</w:t>
            </w:r>
          </w:p>
        </w:tc>
        <w:tc>
          <w:tcPr>
            <w:tcW w:w="8102" w:type="dxa"/>
            <w:gridSpan w:val="6"/>
            <w:vAlign w:val="center"/>
          </w:tcPr>
          <w:p>
            <w:pPr>
              <w:widowControl/>
              <w:snapToGrid w:val="0"/>
              <w:spacing w:before="100" w:beforeAutospacing="1" w:after="100" w:afterAutospacing="1" w:line="320" w:lineRule="atLeast"/>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验收结论性意见：</w:t>
            </w:r>
          </w:p>
          <w:p>
            <w:pPr>
              <w:widowControl/>
              <w:snapToGrid w:val="0"/>
              <w:spacing w:before="100" w:beforeAutospacing="1" w:after="100" w:afterAutospacing="1" w:line="320" w:lineRule="atLeast"/>
              <w:jc w:val="left"/>
              <w:rPr>
                <w:rFonts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000000" w:themeColor="text1"/>
                <w:kern w:val="0"/>
                <w:szCs w:val="21"/>
                <w:highlight w:val="none"/>
                <w14:textFill>
                  <w14:solidFill>
                    <w14:schemeClr w14:val="tx1"/>
                  </w14:solidFill>
                </w14:textFill>
              </w:rPr>
            </w:pPr>
          </w:p>
        </w:tc>
        <w:tc>
          <w:tcPr>
            <w:tcW w:w="8102" w:type="dxa"/>
            <w:gridSpan w:val="6"/>
            <w:vAlign w:val="center"/>
          </w:tcPr>
          <w:p>
            <w:pPr>
              <w:widowControl/>
              <w:spacing w:before="100" w:beforeAutospacing="1" w:after="100" w:afterAutospacing="1" w:line="320" w:lineRule="atLeast"/>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有异议的意见和说明理由：</w:t>
            </w:r>
          </w:p>
          <w:p>
            <w:pPr>
              <w:widowControl/>
              <w:snapToGrid w:val="0"/>
              <w:spacing w:before="100" w:beforeAutospacing="1" w:after="100" w:afterAutospacing="1" w:line="320" w:lineRule="atLeast"/>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vAlign w:val="center"/>
          </w:tcPr>
          <w:p>
            <w:pPr>
              <w:widowControl/>
              <w:snapToGrid w:val="0"/>
              <w:spacing w:before="100" w:beforeAutospacing="1" w:after="100" w:afterAutospacing="1" w:line="320" w:lineRule="atLeast"/>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9628" w:type="dxa"/>
            <w:gridSpan w:val="7"/>
            <w:vAlign w:val="center"/>
          </w:tcPr>
          <w:p>
            <w:pPr>
              <w:widowControl/>
              <w:spacing w:before="100" w:beforeAutospacing="1" w:after="100" w:afterAutospacing="1" w:line="320" w:lineRule="atLeast"/>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监督人员或其他相关人员签字：</w:t>
            </w:r>
          </w:p>
          <w:p>
            <w:pPr>
              <w:widowControl/>
              <w:spacing w:before="100" w:beforeAutospacing="1" w:after="100" w:afterAutospacing="1" w:line="320" w:lineRule="atLeast"/>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9628" w:type="dxa"/>
            <w:gridSpan w:val="7"/>
            <w:vAlign w:val="center"/>
          </w:tcPr>
          <w:p>
            <w:pPr>
              <w:widowControl/>
              <w:spacing w:before="100" w:beforeAutospacing="1" w:after="100" w:afterAutospacing="1" w:line="0" w:lineRule="atLeast"/>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中标或者成交供应商负责人签字或盖章：        采购人或受托机构的意见（盖章）：</w:t>
            </w:r>
          </w:p>
          <w:p>
            <w:pPr>
              <w:widowControl/>
              <w:spacing w:before="100" w:beforeAutospacing="1" w:after="100" w:afterAutospacing="1" w:line="320" w:lineRule="atLeast"/>
              <w:jc w:val="left"/>
              <w:rPr>
                <w:rFonts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 xml:space="preserve">联系电话： </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年</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月</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日               联系电话： </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年</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月</w:t>
            </w:r>
            <w:r>
              <w:rPr>
                <w:rFonts w:hint="eastAsia" w:ascii="宋体" w:hAnsi="宋体" w:eastAsia="仿宋_GB2312" w:cs="宋体"/>
                <w:color w:val="000000" w:themeColor="text1"/>
                <w:kern w:val="0"/>
                <w:szCs w:val="21"/>
                <w:highlight w:val="none"/>
                <w14:textFill>
                  <w14:solidFill>
                    <w14:schemeClr w14:val="tx1"/>
                  </w14:solidFill>
                </w14:textFill>
              </w:rPr>
              <w:t>  </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日</w:t>
            </w:r>
          </w:p>
        </w:tc>
      </w:tr>
    </w:tbl>
    <w:p>
      <w:pPr>
        <w:pStyle w:val="3"/>
        <w:spacing w:line="560" w:lineRule="exact"/>
        <w:rPr>
          <w:rFonts w:ascii="宋体" w:hAnsi="宋体" w:cs="宋体"/>
          <w:bCs/>
          <w:color w:val="000000" w:themeColor="text1"/>
          <w:sz w:val="44"/>
          <w:highlight w:val="none"/>
          <w14:textFill>
            <w14:solidFill>
              <w14:schemeClr w14:val="tx1"/>
            </w14:solidFill>
          </w14:textFill>
        </w:rPr>
      </w:pPr>
      <w:bookmarkStart w:id="261" w:name="_Toc199780488"/>
      <w:bookmarkStart w:id="262" w:name="_Toc200268410"/>
      <w:bookmarkStart w:id="263" w:name="_Toc469842115"/>
      <w:bookmarkStart w:id="264" w:name="_Toc230929190"/>
      <w:bookmarkStart w:id="265" w:name="_Toc405943018"/>
      <w:bookmarkStart w:id="266" w:name="_Toc469874207"/>
      <w:bookmarkStart w:id="267" w:name="_Toc200309017"/>
      <w:bookmarkStart w:id="268" w:name="_Toc147248437"/>
      <w:bookmarkStart w:id="269" w:name="_Toc185702613"/>
      <w:bookmarkStart w:id="270" w:name="_Toc230949429"/>
      <w:bookmarkStart w:id="271" w:name="_Toc156106972"/>
      <w:bookmarkStart w:id="272" w:name="_Toc185703035"/>
      <w:bookmarkStart w:id="273" w:name="_Toc395066560"/>
    </w:p>
    <w:p>
      <w:pPr>
        <w:pStyle w:val="3"/>
        <w:spacing w:line="560" w:lineRule="exact"/>
        <w:ind w:firstLine="2209" w:firstLineChars="500"/>
        <w:rPr>
          <w:rFonts w:ascii="宋体" w:hAnsi="宋体" w:cs="宋体"/>
          <w:bCs/>
          <w:color w:val="000000" w:themeColor="text1"/>
          <w:sz w:val="44"/>
          <w:highlight w:val="none"/>
          <w14:textFill>
            <w14:solidFill>
              <w14:schemeClr w14:val="tx1"/>
            </w14:solidFill>
          </w14:textFill>
        </w:rPr>
      </w:pPr>
      <w:bookmarkStart w:id="274" w:name="_Toc2823"/>
      <w:r>
        <w:rPr>
          <w:rFonts w:hint="eastAsia" w:ascii="宋体" w:hAnsi="宋体" w:cs="宋体"/>
          <w:bCs/>
          <w:color w:val="000000" w:themeColor="text1"/>
          <w:sz w:val="44"/>
          <w:highlight w:val="none"/>
          <w14:textFill>
            <w14:solidFill>
              <w14:schemeClr w14:val="tx1"/>
            </w14:solidFill>
          </w14:textFill>
        </w:rPr>
        <w:t>第六章  投标文件（格式）</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spacing w:line="400" w:lineRule="exact"/>
        <w:rPr>
          <w:rFonts w:ascii="宋体" w:hAnsi="宋体" w:cs="宋体"/>
          <w:color w:val="000000" w:themeColor="text1"/>
          <w:highlight w:val="none"/>
          <w14:textFill>
            <w14:solidFill>
              <w14:schemeClr w14:val="tx1"/>
            </w14:solidFill>
          </w14:textFill>
        </w:rPr>
      </w:pPr>
    </w:p>
    <w:p>
      <w:pPr>
        <w:autoSpaceDE w:val="0"/>
        <w:autoSpaceDN w:val="0"/>
        <w:adjustRightIn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说明：</w:t>
      </w:r>
    </w:p>
    <w:p>
      <w:pPr>
        <w:pStyle w:val="20"/>
        <w:spacing w:line="400" w:lineRule="exact"/>
        <w:ind w:left="315" w:hanging="315" w:hanging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lang w:val="zh-CN"/>
          <w14:textFill>
            <w14:solidFill>
              <w14:schemeClr w14:val="tx1"/>
            </w14:solidFill>
          </w14:textFill>
        </w:rPr>
        <w:t>1、</w:t>
      </w:r>
      <w:r>
        <w:rPr>
          <w:rFonts w:hint="eastAsia" w:hAnsi="宋体" w:cs="宋体"/>
          <w:color w:val="000000" w:themeColor="text1"/>
          <w:szCs w:val="21"/>
          <w:highlight w:val="none"/>
          <w14:textFill>
            <w14:solidFill>
              <w14:schemeClr w14:val="tx1"/>
            </w14:solidFill>
          </w14:textFill>
        </w:rPr>
        <w:t>本章所列的投标文件格式</w:t>
      </w:r>
      <w:r>
        <w:rPr>
          <w:rFonts w:hint="eastAsia" w:hAnsi="宋体" w:cs="宋体"/>
          <w:color w:val="000000" w:themeColor="text1"/>
          <w:szCs w:val="21"/>
          <w:highlight w:val="none"/>
          <w:lang w:val="zh-CN"/>
          <w14:textFill>
            <w14:solidFill>
              <w14:schemeClr w14:val="tx1"/>
            </w14:solidFill>
          </w14:textFill>
        </w:rPr>
        <w:t>，投标人可根据自身情况进行补充和修改、扩展，但补充和修改不得造成与本章格式内容有重大改变。</w:t>
      </w:r>
    </w:p>
    <w:p>
      <w:pPr>
        <w:pStyle w:val="20"/>
        <w:spacing w:line="400" w:lineRule="exact"/>
        <w:ind w:left="315" w:hanging="315" w:hangingChars="150"/>
        <w:rPr>
          <w:rFonts w:hAnsi="宋体" w:cs="宋体"/>
          <w:color w:val="000000" w:themeColor="text1"/>
          <w:szCs w:val="21"/>
          <w:highlight w:val="none"/>
          <w:lang w:val="zh-CN"/>
          <w14:textFill>
            <w14:solidFill>
              <w14:schemeClr w14:val="tx1"/>
            </w14:solidFill>
          </w14:textFill>
        </w:rPr>
      </w:pPr>
      <w:r>
        <w:rPr>
          <w:rFonts w:hint="eastAsia" w:hAnsi="宋体" w:cs="宋体"/>
          <w:color w:val="000000" w:themeColor="text1"/>
          <w:szCs w:val="21"/>
          <w:highlight w:val="none"/>
          <w:lang w:val="zh-CN"/>
          <w14:textFill>
            <w14:solidFill>
              <w14:schemeClr w14:val="tx1"/>
            </w14:solidFill>
          </w14:textFill>
        </w:rPr>
        <w:t>2、</w:t>
      </w:r>
      <w:r>
        <w:rPr>
          <w:rFonts w:hint="eastAsia" w:hAnsi="宋体" w:cs="宋体"/>
          <w:color w:val="000000" w:themeColor="text1"/>
          <w:szCs w:val="21"/>
          <w:highlight w:val="none"/>
          <w14:textFill>
            <w14:solidFill>
              <w14:schemeClr w14:val="tx1"/>
            </w14:solidFill>
          </w14:textFill>
        </w:rPr>
        <w:t>投标</w:t>
      </w:r>
      <w:r>
        <w:rPr>
          <w:rFonts w:hint="eastAsia" w:hAnsi="宋体" w:cs="宋体"/>
          <w:color w:val="000000" w:themeColor="text1"/>
          <w:szCs w:val="21"/>
          <w:highlight w:val="none"/>
          <w:lang w:val="zh-CN"/>
          <w14:textFill>
            <w14:solidFill>
              <w14:schemeClr w14:val="tx1"/>
            </w14:solidFill>
          </w14:textFill>
        </w:rPr>
        <w:t>文件按</w:t>
      </w:r>
      <w:r>
        <w:rPr>
          <w:rFonts w:hint="eastAsia" w:hAnsi="宋体" w:cs="宋体"/>
          <w:color w:val="000000" w:themeColor="text1"/>
          <w:szCs w:val="21"/>
          <w:highlight w:val="none"/>
          <w14:textFill>
            <w14:solidFill>
              <w14:schemeClr w14:val="tx1"/>
            </w14:solidFill>
          </w14:textFill>
        </w:rPr>
        <w:t>投标</w:t>
      </w:r>
      <w:r>
        <w:rPr>
          <w:rFonts w:hint="eastAsia" w:hAnsi="宋体" w:cs="宋体"/>
          <w:color w:val="000000" w:themeColor="text1"/>
          <w:szCs w:val="21"/>
          <w:highlight w:val="none"/>
          <w:lang w:val="zh-CN"/>
          <w14:textFill>
            <w14:solidFill>
              <w14:schemeClr w14:val="tx1"/>
            </w14:solidFill>
          </w14:textFill>
        </w:rPr>
        <w:t>人须知第9条要求提供。</w:t>
      </w:r>
    </w:p>
    <w:p>
      <w:pPr>
        <w:pStyle w:val="20"/>
        <w:spacing w:line="400" w:lineRule="exact"/>
        <w:rPr>
          <w:rFonts w:hAnsi="宋体" w:cs="宋体"/>
          <w:bCs/>
          <w:color w:val="000000" w:themeColor="text1"/>
          <w:szCs w:val="21"/>
          <w:highlight w:val="none"/>
          <w14:textFill>
            <w14:solidFill>
              <w14:schemeClr w14:val="tx1"/>
            </w14:solidFill>
          </w14:textFill>
        </w:rPr>
      </w:pPr>
      <w:r>
        <w:rPr>
          <w:rFonts w:hint="eastAsia" w:hAnsi="宋体" w:cs="宋体"/>
          <w:color w:val="000000" w:themeColor="text1"/>
          <w:szCs w:val="21"/>
          <w:highlight w:val="none"/>
          <w:lang w:val="zh-CN"/>
          <w14:textFill>
            <w14:solidFill>
              <w14:schemeClr w14:val="tx1"/>
            </w14:solidFill>
          </w14:textFill>
        </w:rPr>
        <w:t>3、</w:t>
      </w:r>
      <w:r>
        <w:rPr>
          <w:rFonts w:hint="eastAsia" w:hAnsi="宋体" w:cs="宋体"/>
          <w:color w:val="000000" w:themeColor="text1"/>
          <w:szCs w:val="21"/>
          <w:highlight w:val="none"/>
          <w14:textFill>
            <w14:solidFill>
              <w14:schemeClr w14:val="tx1"/>
            </w14:solidFill>
          </w14:textFill>
        </w:rPr>
        <w:t>目录由投标人自拟</w:t>
      </w:r>
      <w:r>
        <w:rPr>
          <w:rFonts w:hint="eastAsia" w:hAnsi="宋体" w:cs="宋体"/>
          <w:color w:val="000000" w:themeColor="text1"/>
          <w:szCs w:val="21"/>
          <w:highlight w:val="none"/>
          <w:lang w:val="zh-CN"/>
          <w14:textFill>
            <w14:solidFill>
              <w14:schemeClr w14:val="tx1"/>
            </w14:solidFill>
          </w14:textFill>
        </w:rPr>
        <w:t>。</w:t>
      </w:r>
    </w:p>
    <w:p>
      <w:pPr>
        <w:pStyle w:val="20"/>
        <w:spacing w:line="400" w:lineRule="exact"/>
        <w:ind w:left="315" w:hanging="315" w:hangingChars="150"/>
        <w:rPr>
          <w:rFonts w:hAnsi="宋体" w:cs="宋体"/>
          <w:color w:val="000000" w:themeColor="text1"/>
          <w:szCs w:val="21"/>
          <w:highlight w:val="none"/>
          <w14:textFill>
            <w14:solidFill>
              <w14:schemeClr w14:val="tx1"/>
            </w14:solidFill>
          </w14:textFill>
        </w:rPr>
      </w:pPr>
    </w:p>
    <w:p>
      <w:pPr>
        <w:spacing w:line="400" w:lineRule="exact"/>
        <w:rPr>
          <w:rFonts w:ascii="宋体" w:hAnsi="宋体" w:cs="宋体"/>
          <w:color w:val="000000" w:themeColor="text1"/>
          <w:highlight w:val="none"/>
          <w14:textFill>
            <w14:solidFill>
              <w14:schemeClr w14:val="tx1"/>
            </w14:solidFill>
          </w14:textFill>
        </w:rPr>
      </w:pPr>
    </w:p>
    <w:p>
      <w:pPr>
        <w:pStyle w:val="20"/>
        <w:rPr>
          <w:rFonts w:hAnsi="宋体" w:cs="宋体"/>
          <w:color w:val="000000" w:themeColor="text1"/>
          <w:sz w:val="36"/>
          <w:szCs w:val="36"/>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p>
    <w:p>
      <w:pPr>
        <w:pStyle w:val="20"/>
        <w:jc w:val="right"/>
        <w:outlineLvl w:val="1"/>
        <w:rPr>
          <w:rFonts w:hAnsi="宋体" w:cs="宋体"/>
          <w:b/>
          <w:color w:val="000000" w:themeColor="text1"/>
          <w:sz w:val="36"/>
          <w:szCs w:val="36"/>
          <w:highlight w:val="none"/>
          <w14:textFill>
            <w14:solidFill>
              <w14:schemeClr w14:val="tx1"/>
            </w14:solidFill>
          </w14:textFill>
        </w:rPr>
      </w:pPr>
      <w:r>
        <w:rPr>
          <w:rFonts w:hint="eastAsia" w:hAnsi="宋体" w:cs="宋体"/>
          <w:b/>
          <w:color w:val="000000" w:themeColor="text1"/>
          <w:sz w:val="36"/>
          <w:szCs w:val="36"/>
          <w:highlight w:val="none"/>
          <w14:textFill>
            <w14:solidFill>
              <w14:schemeClr w14:val="tx1"/>
            </w14:solidFill>
          </w14:textFill>
        </w:rPr>
        <w:t>正本／副本</w:t>
      </w:r>
    </w:p>
    <w:p>
      <w:pPr>
        <w:pStyle w:val="20"/>
        <w:spacing w:line="400" w:lineRule="exact"/>
        <w:jc w:val="center"/>
        <w:rPr>
          <w:rFonts w:hAnsi="宋体" w:cs="宋体"/>
          <w:b/>
          <w:color w:val="000000" w:themeColor="text1"/>
          <w:sz w:val="36"/>
          <w:szCs w:val="36"/>
          <w:highlight w:val="none"/>
          <w14:textFill>
            <w14:solidFill>
              <w14:schemeClr w14:val="tx1"/>
            </w14:solidFill>
          </w14:textFill>
        </w:rPr>
      </w:pPr>
    </w:p>
    <w:p>
      <w:pPr>
        <w:pStyle w:val="20"/>
        <w:spacing w:line="800" w:lineRule="exact"/>
        <w:jc w:val="center"/>
        <w:outlineLvl w:val="1"/>
        <w:rPr>
          <w:rFonts w:hAnsi="宋体" w:cs="宋体"/>
          <w:b/>
          <w:color w:val="000000" w:themeColor="text1"/>
          <w:sz w:val="48"/>
          <w:szCs w:val="48"/>
          <w:highlight w:val="none"/>
          <w14:textFill>
            <w14:solidFill>
              <w14:schemeClr w14:val="tx1"/>
            </w14:solidFill>
          </w14:textFill>
        </w:rPr>
      </w:pPr>
      <w:r>
        <w:rPr>
          <w:rFonts w:hint="eastAsia" w:hAnsi="宋体" w:cs="宋体"/>
          <w:b/>
          <w:color w:val="000000" w:themeColor="text1"/>
          <w:sz w:val="48"/>
          <w:szCs w:val="48"/>
          <w:highlight w:val="none"/>
          <w14:textFill>
            <w14:solidFill>
              <w14:schemeClr w14:val="tx1"/>
            </w14:solidFill>
          </w14:textFill>
        </w:rPr>
        <w:t>（项目名称）</w:t>
      </w:r>
    </w:p>
    <w:p>
      <w:pPr>
        <w:pStyle w:val="20"/>
        <w:spacing w:line="800" w:lineRule="exact"/>
        <w:jc w:val="center"/>
        <w:outlineLvl w:val="1"/>
        <w:rPr>
          <w:rFonts w:hAnsi="宋体" w:cs="宋体"/>
          <w:b/>
          <w:color w:val="000000" w:themeColor="text1"/>
          <w:sz w:val="48"/>
          <w:szCs w:val="48"/>
          <w:highlight w:val="none"/>
          <w14:textFill>
            <w14:solidFill>
              <w14:schemeClr w14:val="tx1"/>
            </w14:solidFill>
          </w14:textFill>
        </w:rPr>
      </w:pPr>
      <w:r>
        <w:rPr>
          <w:rFonts w:hint="eastAsia" w:hAnsi="宋体" w:cs="宋体"/>
          <w:b/>
          <w:color w:val="000000" w:themeColor="text1"/>
          <w:sz w:val="48"/>
          <w:szCs w:val="48"/>
          <w:highlight w:val="none"/>
          <w14:textFill>
            <w14:solidFill>
              <w14:schemeClr w14:val="tx1"/>
            </w14:solidFill>
          </w14:textFill>
        </w:rPr>
        <w:t>（项目编号）</w:t>
      </w:r>
    </w:p>
    <w:p>
      <w:pPr>
        <w:pStyle w:val="20"/>
        <w:jc w:val="center"/>
        <w:rPr>
          <w:rFonts w:hAnsi="宋体" w:cs="宋体"/>
          <w:b/>
          <w:color w:val="000000" w:themeColor="text1"/>
          <w:sz w:val="36"/>
          <w:szCs w:val="36"/>
          <w:highlight w:val="none"/>
          <w14:textFill>
            <w14:solidFill>
              <w14:schemeClr w14:val="tx1"/>
            </w14:solidFill>
          </w14:textFill>
        </w:rPr>
      </w:pPr>
    </w:p>
    <w:p>
      <w:pPr>
        <w:pStyle w:val="20"/>
        <w:jc w:val="center"/>
        <w:outlineLvl w:val="1"/>
        <w:rPr>
          <w:rFonts w:hAnsi="宋体" w:cs="宋体"/>
          <w:b/>
          <w:color w:val="000000" w:themeColor="text1"/>
          <w:sz w:val="72"/>
          <w:szCs w:val="72"/>
          <w:highlight w:val="none"/>
          <w14:textFill>
            <w14:solidFill>
              <w14:schemeClr w14:val="tx1"/>
            </w14:solidFill>
          </w14:textFill>
        </w:rPr>
      </w:pPr>
      <w:r>
        <w:rPr>
          <w:rFonts w:hint="eastAsia" w:hAnsi="宋体" w:cs="宋体"/>
          <w:b/>
          <w:color w:val="000000" w:themeColor="text1"/>
          <w:sz w:val="72"/>
          <w:szCs w:val="72"/>
          <w:highlight w:val="none"/>
          <w14:textFill>
            <w14:solidFill>
              <w14:schemeClr w14:val="tx1"/>
            </w14:solidFill>
          </w14:textFill>
        </w:rPr>
        <w:t>投 标 文 件</w:t>
      </w:r>
    </w:p>
    <w:p>
      <w:pPr>
        <w:pStyle w:val="20"/>
        <w:jc w:val="center"/>
        <w:outlineLvl w:val="1"/>
        <w:rPr>
          <w:rFonts w:hAnsi="宋体" w:cs="宋体"/>
          <w:b/>
          <w:color w:val="000000" w:themeColor="text1"/>
          <w:sz w:val="36"/>
          <w:szCs w:val="36"/>
          <w:highlight w:val="none"/>
          <w14:textFill>
            <w14:solidFill>
              <w14:schemeClr w14:val="tx1"/>
            </w14:solidFill>
          </w14:textFill>
        </w:rPr>
      </w:pPr>
      <w:r>
        <w:rPr>
          <w:rFonts w:hint="eastAsia" w:hAnsi="宋体"/>
          <w:b/>
          <w:color w:val="000000" w:themeColor="text1"/>
          <w:sz w:val="36"/>
          <w:szCs w:val="36"/>
          <w:highlight w:val="none"/>
          <w14:textFill>
            <w14:solidFill>
              <w14:schemeClr w14:val="tx1"/>
            </w14:solidFill>
          </w14:textFill>
        </w:rPr>
        <w:t>（法人或其他经济组织适用）</w:t>
      </w:r>
    </w:p>
    <w:p>
      <w:pPr>
        <w:pStyle w:val="20"/>
        <w:ind w:firstLine="2570" w:firstLineChars="800"/>
        <w:rPr>
          <w:rFonts w:hAnsi="宋体" w:cs="宋体"/>
          <w:b/>
          <w:color w:val="000000" w:themeColor="text1"/>
          <w:sz w:val="32"/>
          <w:szCs w:val="32"/>
          <w:highlight w:val="none"/>
          <w:u w:val="single"/>
          <w14:textFill>
            <w14:solidFill>
              <w14:schemeClr w14:val="tx1"/>
            </w14:solidFill>
          </w14:textFill>
        </w:rPr>
      </w:pPr>
    </w:p>
    <w:p>
      <w:pPr>
        <w:pStyle w:val="20"/>
        <w:ind w:firstLine="2570" w:firstLineChars="800"/>
        <w:rPr>
          <w:rFonts w:hAnsi="宋体" w:cs="宋体"/>
          <w:b/>
          <w:color w:val="000000" w:themeColor="text1"/>
          <w:sz w:val="32"/>
          <w:szCs w:val="32"/>
          <w:highlight w:val="none"/>
          <w:u w:val="single"/>
          <w14:textFill>
            <w14:solidFill>
              <w14:schemeClr w14:val="tx1"/>
            </w14:solidFill>
          </w14:textFill>
        </w:rPr>
      </w:pPr>
    </w:p>
    <w:p>
      <w:pPr>
        <w:pStyle w:val="20"/>
        <w:ind w:firstLine="2570" w:firstLineChars="800"/>
        <w:rPr>
          <w:rFonts w:hAnsi="宋体" w:cs="宋体"/>
          <w:b/>
          <w:color w:val="000000" w:themeColor="text1"/>
          <w:sz w:val="32"/>
          <w:szCs w:val="32"/>
          <w:highlight w:val="none"/>
          <w:u w:val="single"/>
          <w14:textFill>
            <w14:solidFill>
              <w14:schemeClr w14:val="tx1"/>
            </w14:solidFill>
          </w14:textFill>
        </w:rPr>
      </w:pPr>
    </w:p>
    <w:p>
      <w:pPr>
        <w:pStyle w:val="20"/>
        <w:ind w:firstLine="2570" w:firstLineChars="800"/>
        <w:rPr>
          <w:rFonts w:hAnsi="宋体" w:cs="宋体"/>
          <w:b/>
          <w:color w:val="000000" w:themeColor="text1"/>
          <w:sz w:val="32"/>
          <w:szCs w:val="32"/>
          <w:highlight w:val="none"/>
          <w:u w:val="single"/>
          <w14:textFill>
            <w14:solidFill>
              <w14:schemeClr w14:val="tx1"/>
            </w14:solidFill>
          </w14:textFill>
        </w:rPr>
      </w:pPr>
    </w:p>
    <w:p>
      <w:pPr>
        <w:pStyle w:val="20"/>
        <w:spacing w:line="700" w:lineRule="exact"/>
        <w:ind w:firstLine="720" w:firstLineChars="224"/>
        <w:outlineLvl w:val="1"/>
        <w:rPr>
          <w:rFonts w:hAnsi="宋体" w:cs="宋体"/>
          <w:b/>
          <w:color w:val="000000" w:themeColor="text1"/>
          <w:sz w:val="32"/>
          <w:szCs w:val="32"/>
          <w:highlight w:val="none"/>
          <w:u w:val="singl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投标人（名称加盖公章）：</w:t>
      </w:r>
      <w:r>
        <w:rPr>
          <w:rFonts w:hint="eastAsia" w:hAnsi="宋体" w:cs="宋体"/>
          <w:b/>
          <w:color w:val="000000" w:themeColor="text1"/>
          <w:sz w:val="32"/>
          <w:szCs w:val="32"/>
          <w:highlight w:val="none"/>
          <w:u w:val="single"/>
          <w14:textFill>
            <w14:solidFill>
              <w14:schemeClr w14:val="tx1"/>
            </w14:solidFill>
          </w14:textFill>
        </w:rPr>
        <w:t xml:space="preserve">                               </w:t>
      </w:r>
    </w:p>
    <w:p>
      <w:pPr>
        <w:pStyle w:val="20"/>
        <w:spacing w:line="700" w:lineRule="exact"/>
        <w:ind w:firstLine="720" w:firstLineChars="224"/>
        <w:outlineLvl w:val="1"/>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法定代表人（负责人）或其委托理人（签名）：</w:t>
      </w:r>
      <w:r>
        <w:rPr>
          <w:rFonts w:hint="eastAsia" w:hAnsi="宋体" w:cs="宋体"/>
          <w:b/>
          <w:color w:val="000000" w:themeColor="text1"/>
          <w:sz w:val="32"/>
          <w:szCs w:val="32"/>
          <w:highlight w:val="none"/>
          <w:u w:val="single"/>
          <w14:textFill>
            <w14:solidFill>
              <w14:schemeClr w14:val="tx1"/>
            </w14:solidFill>
          </w14:textFill>
        </w:rPr>
        <w:t xml:space="preserve">                 </w:t>
      </w:r>
    </w:p>
    <w:p>
      <w:pPr>
        <w:pStyle w:val="20"/>
        <w:spacing w:line="700" w:lineRule="exact"/>
        <w:ind w:firstLine="720" w:firstLineChars="224"/>
        <w:outlineLvl w:val="1"/>
        <w:rPr>
          <w:rFonts w:hAnsi="宋体" w:cs="宋体"/>
          <w:b/>
          <w:color w:val="000000" w:themeColor="text1"/>
          <w:sz w:val="32"/>
          <w:szCs w:val="32"/>
          <w:highlight w:val="none"/>
          <w:u w:val="singl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联系电话：</w:t>
      </w:r>
      <w:r>
        <w:rPr>
          <w:rFonts w:hint="eastAsia" w:hAnsi="宋体" w:cs="宋体"/>
          <w:b/>
          <w:color w:val="000000" w:themeColor="text1"/>
          <w:sz w:val="32"/>
          <w:szCs w:val="32"/>
          <w:highlight w:val="none"/>
          <w:u w:val="single"/>
          <w14:textFill>
            <w14:solidFill>
              <w14:schemeClr w14:val="tx1"/>
            </w14:solidFill>
          </w14:textFill>
        </w:rPr>
        <w:t xml:space="preserve">                                            </w:t>
      </w:r>
    </w:p>
    <w:p>
      <w:pPr>
        <w:pStyle w:val="20"/>
        <w:spacing w:line="700" w:lineRule="exact"/>
        <w:ind w:firstLine="720" w:firstLineChars="224"/>
        <w:outlineLvl w:val="1"/>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投标日期：</w:t>
      </w:r>
      <w:r>
        <w:rPr>
          <w:rFonts w:hint="eastAsia" w:hAnsi="宋体" w:cs="宋体"/>
          <w:b/>
          <w:color w:val="000000" w:themeColor="text1"/>
          <w:sz w:val="32"/>
          <w:szCs w:val="32"/>
          <w:highlight w:val="none"/>
          <w:u w:val="single"/>
          <w14:textFill>
            <w14:solidFill>
              <w14:schemeClr w14:val="tx1"/>
            </w14:solidFill>
          </w14:textFill>
        </w:rPr>
        <w:t xml:space="preserve">         </w:t>
      </w:r>
      <w:r>
        <w:rPr>
          <w:rFonts w:hint="eastAsia" w:hAnsi="宋体" w:cs="宋体"/>
          <w:b/>
          <w:color w:val="000000" w:themeColor="text1"/>
          <w:sz w:val="32"/>
          <w:szCs w:val="32"/>
          <w:highlight w:val="none"/>
          <w14:textFill>
            <w14:solidFill>
              <w14:schemeClr w14:val="tx1"/>
            </w14:solidFill>
          </w14:textFill>
        </w:rPr>
        <w:t>年</w:t>
      </w:r>
      <w:r>
        <w:rPr>
          <w:rFonts w:hint="eastAsia" w:hAnsi="宋体" w:cs="宋体"/>
          <w:b/>
          <w:color w:val="000000" w:themeColor="text1"/>
          <w:sz w:val="32"/>
          <w:szCs w:val="32"/>
          <w:highlight w:val="none"/>
          <w:u w:val="single"/>
          <w14:textFill>
            <w14:solidFill>
              <w14:schemeClr w14:val="tx1"/>
            </w14:solidFill>
          </w14:textFill>
        </w:rPr>
        <w:t xml:space="preserve">     </w:t>
      </w:r>
      <w:r>
        <w:rPr>
          <w:rFonts w:hint="eastAsia" w:hAnsi="宋体" w:cs="宋体"/>
          <w:b/>
          <w:color w:val="000000" w:themeColor="text1"/>
          <w:sz w:val="32"/>
          <w:szCs w:val="32"/>
          <w:highlight w:val="none"/>
          <w14:textFill>
            <w14:solidFill>
              <w14:schemeClr w14:val="tx1"/>
            </w14:solidFill>
          </w14:textFill>
        </w:rPr>
        <w:t>月</w:t>
      </w:r>
      <w:r>
        <w:rPr>
          <w:rFonts w:hint="eastAsia" w:hAnsi="宋体" w:cs="宋体"/>
          <w:b/>
          <w:color w:val="000000" w:themeColor="text1"/>
          <w:sz w:val="32"/>
          <w:szCs w:val="32"/>
          <w:highlight w:val="none"/>
          <w:u w:val="single"/>
          <w14:textFill>
            <w14:solidFill>
              <w14:schemeClr w14:val="tx1"/>
            </w14:solidFill>
          </w14:textFill>
        </w:rPr>
        <w:t xml:space="preserve">     </w:t>
      </w:r>
      <w:r>
        <w:rPr>
          <w:rFonts w:hint="eastAsia" w:hAnsi="宋体" w:cs="宋体"/>
          <w:b/>
          <w:color w:val="000000" w:themeColor="text1"/>
          <w:sz w:val="32"/>
          <w:szCs w:val="32"/>
          <w:highlight w:val="none"/>
          <w14:textFill>
            <w14:solidFill>
              <w14:schemeClr w14:val="tx1"/>
            </w14:solidFill>
          </w14:textFill>
        </w:rPr>
        <w:t>日</w:t>
      </w:r>
    </w:p>
    <w:p>
      <w:pPr>
        <w:spacing w:line="400" w:lineRule="exact"/>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spacing w:line="40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开标一览表（格式）</w:t>
      </w:r>
    </w:p>
    <w:p>
      <w:pPr>
        <w:pStyle w:val="20"/>
        <w:rPr>
          <w:rFonts w:hAnsi="宋体" w:cs="宋体"/>
          <w:color w:val="000000" w:themeColor="text1"/>
          <w:highlight w:val="none"/>
          <w:u w:val="single"/>
          <w14:textFill>
            <w14:solidFill>
              <w14:schemeClr w14:val="tx1"/>
            </w14:solidFill>
          </w14:textFill>
        </w:rPr>
      </w:pPr>
    </w:p>
    <w:p>
      <w:pPr>
        <w:spacing w:line="400" w:lineRule="exact"/>
        <w:outlineLvl w:val="2"/>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b/>
          <w:color w:val="000000" w:themeColor="text1"/>
          <w:sz w:val="24"/>
          <w:highlight w:val="none"/>
          <w:u w:val="single"/>
          <w14:textFill>
            <w14:solidFill>
              <w14:schemeClr w14:val="tx1"/>
            </w14:solidFill>
          </w14:textFill>
        </w:rPr>
        <w:t xml:space="preserve">                  </w:t>
      </w:r>
    </w:p>
    <w:p>
      <w:pPr>
        <w:spacing w:line="400" w:lineRule="exact"/>
        <w:outlineLvl w:val="2"/>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color w:val="000000" w:themeColor="text1"/>
          <w:sz w:val="24"/>
          <w:highlight w:val="none"/>
          <w:u w:val="single"/>
          <w14:textFill>
            <w14:solidFill>
              <w14:schemeClr w14:val="tx1"/>
            </w14:solidFill>
          </w14:textFill>
        </w:rPr>
        <w:t xml:space="preserve">                  </w:t>
      </w:r>
    </w:p>
    <w:p>
      <w:pPr>
        <w:spacing w:line="400" w:lineRule="exact"/>
        <w:rPr>
          <w:rFonts w:ascii="宋体" w:hAnsi="宋体" w:cs="宋体"/>
          <w:b/>
          <w:color w:val="000000" w:themeColor="text1"/>
          <w:sz w:val="24"/>
          <w:highlight w:val="none"/>
          <w:u w:val="single"/>
          <w14:textFill>
            <w14:solidFill>
              <w14:schemeClr w14:val="tx1"/>
            </w14:solidFill>
          </w14:textFill>
        </w:rPr>
      </w:pPr>
    </w:p>
    <w:p>
      <w:pPr>
        <w:spacing w:line="400" w:lineRule="exact"/>
        <w:rPr>
          <w:rFonts w:ascii="宋体" w:hAnsi="宋体" w:cs="宋体"/>
          <w:b/>
          <w:color w:val="000000" w:themeColor="text1"/>
          <w:sz w:val="24"/>
          <w:highlight w:val="none"/>
          <w14:textFill>
            <w14:solidFill>
              <w14:schemeClr w14:val="tx1"/>
            </w14:solidFill>
          </w14:textFill>
        </w:rPr>
      </w:pPr>
    </w:p>
    <w:p>
      <w:pPr>
        <w:spacing w:after="165" w:afterLines="50" w:line="400" w:lineRule="exact"/>
        <w:jc w:val="righ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金额单位：人民币（元）</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913"/>
        <w:gridCol w:w="1109"/>
        <w:gridCol w:w="1349"/>
        <w:gridCol w:w="857"/>
        <w:gridCol w:w="836"/>
        <w:gridCol w:w="122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913"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产品或服务名称</w:t>
            </w:r>
          </w:p>
        </w:tc>
        <w:tc>
          <w:tcPr>
            <w:tcW w:w="1109" w:type="dxa"/>
            <w:vAlign w:val="center"/>
          </w:tcPr>
          <w:p>
            <w:pPr>
              <w:pStyle w:val="20"/>
              <w:snapToGrid w:val="0"/>
              <w:ind w:left="-105" w:leftChars="-50" w:right="-105" w:rightChars="-5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制造商或服务商</w:t>
            </w:r>
          </w:p>
        </w:tc>
        <w:tc>
          <w:tcPr>
            <w:tcW w:w="134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品牌、规格型号</w:t>
            </w:r>
          </w:p>
        </w:tc>
        <w:tc>
          <w:tcPr>
            <w:tcW w:w="857"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数量</w:t>
            </w:r>
          </w:p>
        </w:tc>
        <w:tc>
          <w:tcPr>
            <w:tcW w:w="836"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单位</w:t>
            </w:r>
          </w:p>
        </w:tc>
        <w:tc>
          <w:tcPr>
            <w:tcW w:w="122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tc>
        <w:tc>
          <w:tcPr>
            <w:tcW w:w="141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单项合计（元）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p>
        </w:tc>
        <w:tc>
          <w:tcPr>
            <w:tcW w:w="1913"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10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34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57"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36"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22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41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p>
        </w:tc>
        <w:tc>
          <w:tcPr>
            <w:tcW w:w="1913"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10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34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57"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36"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22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41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w:t>
            </w:r>
          </w:p>
        </w:tc>
        <w:tc>
          <w:tcPr>
            <w:tcW w:w="1913"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10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34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57"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36"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22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41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w:t>
            </w:r>
          </w:p>
        </w:tc>
        <w:tc>
          <w:tcPr>
            <w:tcW w:w="1913"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10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34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57"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36"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22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41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2"/>
            <w:vAlign w:val="center"/>
          </w:tcPr>
          <w:p>
            <w:pPr>
              <w:snapToGrid w:val="0"/>
              <w:jc w:val="cente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投标报价总计</w:t>
            </w:r>
          </w:p>
        </w:tc>
        <w:tc>
          <w:tcPr>
            <w:tcW w:w="6783" w:type="dxa"/>
            <w:gridSpan w:val="6"/>
            <w:vAlign w:val="center"/>
          </w:tcPr>
          <w:p>
            <w:pPr>
              <w:snapToGrid w:val="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p>
          <w:p>
            <w:pPr>
              <w:snapToGrid w:val="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2"/>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交货期</w:t>
            </w:r>
          </w:p>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（安装、调试、培训完）</w:t>
            </w:r>
          </w:p>
        </w:tc>
        <w:tc>
          <w:tcPr>
            <w:tcW w:w="6783" w:type="dxa"/>
            <w:gridSpan w:val="6"/>
            <w:vAlign w:val="center"/>
          </w:tcPr>
          <w:p>
            <w:pPr>
              <w:snapToGrid w:val="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2"/>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交货地点</w:t>
            </w:r>
          </w:p>
        </w:tc>
        <w:tc>
          <w:tcPr>
            <w:tcW w:w="6783" w:type="dxa"/>
            <w:gridSpan w:val="6"/>
            <w:vAlign w:val="center"/>
          </w:tcPr>
          <w:p>
            <w:pPr>
              <w:snapToGrid w:val="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2"/>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质保期</w:t>
            </w:r>
          </w:p>
        </w:tc>
        <w:tc>
          <w:tcPr>
            <w:tcW w:w="6783" w:type="dxa"/>
            <w:gridSpan w:val="6"/>
            <w:vAlign w:val="center"/>
          </w:tcPr>
          <w:p>
            <w:pPr>
              <w:snapToGrid w:val="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2"/>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6783" w:type="dxa"/>
            <w:gridSpan w:val="6"/>
            <w:vAlign w:val="center"/>
          </w:tcPr>
          <w:p>
            <w:pPr>
              <w:snapToGrid w:val="0"/>
              <w:rPr>
                <w:rFonts w:ascii="宋体" w:hAnsi="宋体" w:cs="宋体"/>
                <w:color w:val="000000" w:themeColor="text1"/>
                <w:szCs w:val="21"/>
                <w:highlight w:val="none"/>
                <w14:textFill>
                  <w14:solidFill>
                    <w14:schemeClr w14:val="tx1"/>
                  </w14:solidFill>
                </w14:textFill>
              </w:rPr>
            </w:pPr>
          </w:p>
        </w:tc>
      </w:tr>
    </w:tbl>
    <w:p>
      <w:pPr>
        <w:pStyle w:val="20"/>
        <w:rPr>
          <w:rFonts w:hAnsi="宋体" w:cs="宋体"/>
          <w:bCs/>
          <w:color w:val="000000" w:themeColor="text1"/>
          <w:highlight w:val="none"/>
          <w14:textFill>
            <w14:solidFill>
              <w14:schemeClr w14:val="tx1"/>
            </w14:solidFill>
          </w14:textFill>
        </w:rPr>
      </w:pPr>
    </w:p>
    <w:p>
      <w:pPr>
        <w:pStyle w:val="20"/>
        <w:rPr>
          <w:rFonts w:hAnsi="宋体" w:cs="宋体"/>
          <w:bCs/>
          <w:color w:val="000000" w:themeColor="text1"/>
          <w:highlight w:val="none"/>
          <w14:textFill>
            <w14:solidFill>
              <w14:schemeClr w14:val="tx1"/>
            </w14:solidFill>
          </w14:textFill>
        </w:rPr>
      </w:pPr>
    </w:p>
    <w:p>
      <w:pPr>
        <w:pStyle w:val="20"/>
        <w:ind w:firstLine="2520" w:firstLineChars="900"/>
        <w:rPr>
          <w:rFonts w:hAnsi="宋体" w:cs="宋体"/>
          <w:color w:val="000000" w:themeColor="text1"/>
          <w:sz w:val="28"/>
          <w:szCs w:val="28"/>
          <w:highlight w:val="none"/>
          <w:u w:val="singl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投标人名称（加盖公章）：</w:t>
      </w:r>
      <w:r>
        <w:rPr>
          <w:rFonts w:hint="eastAsia" w:hAnsi="宋体" w:cs="宋体"/>
          <w:color w:val="000000" w:themeColor="text1"/>
          <w:sz w:val="28"/>
          <w:szCs w:val="28"/>
          <w:highlight w:val="none"/>
          <w:u w:val="single"/>
          <w14:textFill>
            <w14:solidFill>
              <w14:schemeClr w14:val="tx1"/>
            </w14:solidFill>
          </w14:textFill>
        </w:rPr>
        <w:t xml:space="preserve">                         </w:t>
      </w:r>
    </w:p>
    <w:p>
      <w:pPr>
        <w:pStyle w:val="20"/>
        <w:ind w:firstLine="2520" w:firstLineChars="900"/>
        <w:rPr>
          <w:rFonts w:hAnsi="宋体" w:cs="宋体"/>
          <w:color w:val="000000" w:themeColor="text1"/>
          <w:sz w:val="28"/>
          <w:szCs w:val="28"/>
          <w:highlight w:val="none"/>
          <w:u w:val="singl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法定代表人（负责人）或委托代理人签字：</w:t>
      </w:r>
      <w:r>
        <w:rPr>
          <w:rFonts w:hint="eastAsia" w:hAnsi="宋体" w:cs="宋体"/>
          <w:color w:val="000000" w:themeColor="text1"/>
          <w:sz w:val="28"/>
          <w:szCs w:val="28"/>
          <w:highlight w:val="none"/>
          <w:u w:val="single"/>
          <w14:textFill>
            <w14:solidFill>
              <w14:schemeClr w14:val="tx1"/>
            </w14:solidFill>
          </w14:textFill>
        </w:rPr>
        <w:t xml:space="preserve">                </w:t>
      </w:r>
    </w:p>
    <w:p>
      <w:pPr>
        <w:pStyle w:val="20"/>
        <w:ind w:firstLine="2520" w:firstLineChars="9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投标日期：</w:t>
      </w:r>
      <w:r>
        <w:rPr>
          <w:rFonts w:hint="eastAsia" w:hAnsi="宋体" w:cs="宋体"/>
          <w:color w:val="000000" w:themeColor="text1"/>
          <w:sz w:val="28"/>
          <w:szCs w:val="28"/>
          <w:highlight w:val="none"/>
          <w:u w:val="single"/>
          <w14:textFill>
            <w14:solidFill>
              <w14:schemeClr w14:val="tx1"/>
            </w14:solidFill>
          </w14:textFill>
        </w:rPr>
        <w:t xml:space="preserve">       年    月    日</w:t>
      </w:r>
    </w:p>
    <w:p>
      <w:pPr>
        <w:rPr>
          <w:rFonts w:ascii="宋体" w:hAnsi="宋体" w:cs="宋体"/>
          <w:color w:val="000000" w:themeColor="text1"/>
          <w:sz w:val="24"/>
          <w:highlight w:val="none"/>
          <w14:textFill>
            <w14:solidFill>
              <w14:schemeClr w14:val="tx1"/>
            </w14:solidFill>
          </w14:textFill>
        </w:rPr>
      </w:pPr>
    </w:p>
    <w:p>
      <w:pPr>
        <w:spacing w:line="320" w:lineRule="exact"/>
        <w:ind w:left="944" w:hanging="944" w:hangingChars="448"/>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说明：</w:t>
      </w:r>
    </w:p>
    <w:p>
      <w:pPr>
        <w:spacing w:line="320" w:lineRule="exact"/>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1、所有价格均系用人民币表示，单位为元，精确到小数点后两位。</w:t>
      </w:r>
    </w:p>
    <w:p>
      <w:pPr>
        <w:spacing w:line="320" w:lineRule="exact"/>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本表可扩展，并逐页签字及加盖公章，否则，未按要求填写、无签名盖章的，投标无效。</w:t>
      </w:r>
    </w:p>
    <w:p>
      <w:pPr>
        <w:spacing w:line="50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投标函（格式）</w:t>
      </w:r>
    </w:p>
    <w:p>
      <w:pPr>
        <w:pStyle w:val="20"/>
        <w:spacing w:line="520" w:lineRule="exact"/>
        <w:ind w:firstLine="720" w:firstLineChars="300"/>
        <w:rPr>
          <w:rFonts w:hAnsi="宋体" w:cs="宋体"/>
          <w:color w:val="000000" w:themeColor="text1"/>
          <w:sz w:val="24"/>
          <w:szCs w:val="24"/>
          <w:highlight w:val="none"/>
          <w14:textFill>
            <w14:solidFill>
              <w14:schemeClr w14:val="tx1"/>
            </w14:solidFill>
          </w14:textFill>
        </w:rPr>
      </w:pPr>
    </w:p>
    <w:p>
      <w:pPr>
        <w:pStyle w:val="20"/>
        <w:spacing w:line="52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致：广西众联工程项目管理有限公司</w:t>
      </w:r>
    </w:p>
    <w:p>
      <w:pPr>
        <w:pStyle w:val="20"/>
        <w:spacing w:line="520" w:lineRule="exact"/>
        <w:ind w:firstLine="42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根据贵方</w:t>
      </w:r>
      <w:r>
        <w:rPr>
          <w:rFonts w:hint="eastAsia" w:hAnsi="宋体" w:cs="宋体"/>
          <w:bCs/>
          <w:color w:val="000000" w:themeColor="text1"/>
          <w:sz w:val="24"/>
          <w:szCs w:val="24"/>
          <w:highlight w:val="none"/>
          <w:u w:val="single"/>
          <w14:textFill>
            <w14:solidFill>
              <w14:schemeClr w14:val="tx1"/>
            </w14:solidFill>
          </w14:textFill>
        </w:rPr>
        <w:t>（项目名称及项目编号）</w:t>
      </w:r>
      <w:r>
        <w:rPr>
          <w:rFonts w:hint="eastAsia" w:hAnsi="宋体" w:cs="宋体"/>
          <w:color w:val="000000" w:themeColor="text1"/>
          <w:sz w:val="24"/>
          <w:szCs w:val="24"/>
          <w:highlight w:val="none"/>
          <w14:textFill>
            <w14:solidFill>
              <w14:schemeClr w14:val="tx1"/>
            </w14:solidFill>
          </w14:textFill>
        </w:rPr>
        <w:t>的招标文件全部内容，正式授权下述签字代表</w:t>
      </w:r>
      <w:r>
        <w:rPr>
          <w:rFonts w:hint="eastAsia" w:hAnsi="宋体" w:cs="宋体"/>
          <w:color w:val="000000" w:themeColor="text1"/>
          <w:sz w:val="24"/>
          <w:szCs w:val="24"/>
          <w:highlight w:val="none"/>
          <w:u w:val="single"/>
          <w14:textFill>
            <w14:solidFill>
              <w14:schemeClr w14:val="tx1"/>
            </w14:solidFill>
          </w14:textFill>
        </w:rPr>
        <w:t>（姓名和职务）</w:t>
      </w:r>
      <w:r>
        <w:rPr>
          <w:rFonts w:hint="eastAsia" w:hAnsi="宋体" w:cs="宋体"/>
          <w:color w:val="000000" w:themeColor="text1"/>
          <w:sz w:val="24"/>
          <w:szCs w:val="24"/>
          <w:highlight w:val="none"/>
          <w14:textFill>
            <w14:solidFill>
              <w14:schemeClr w14:val="tx1"/>
            </w14:solidFill>
          </w14:textFill>
        </w:rPr>
        <w:t>经正式授权并代表投标人</w:t>
      </w:r>
      <w:r>
        <w:rPr>
          <w:rFonts w:hint="eastAsia" w:hAnsi="宋体" w:cs="宋体"/>
          <w:color w:val="000000" w:themeColor="text1"/>
          <w:sz w:val="24"/>
          <w:szCs w:val="24"/>
          <w:highlight w:val="none"/>
          <w:u w:val="single"/>
          <w14:textFill>
            <w14:solidFill>
              <w14:schemeClr w14:val="tx1"/>
            </w14:solidFill>
          </w14:textFill>
        </w:rPr>
        <w:t>（投标人名称）</w:t>
      </w:r>
      <w:r>
        <w:rPr>
          <w:rFonts w:hint="eastAsia" w:hAnsi="宋体" w:cs="宋体"/>
          <w:color w:val="000000" w:themeColor="text1"/>
          <w:sz w:val="24"/>
          <w:szCs w:val="24"/>
          <w:highlight w:val="none"/>
          <w14:textFill>
            <w14:solidFill>
              <w14:schemeClr w14:val="tx1"/>
            </w14:solidFill>
          </w14:textFill>
        </w:rPr>
        <w:t>，提交投标文件正本</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份、副本</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份、投标文件电子版</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份。</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据此函，签字代表宣布同意如下：</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1、我方承诺已经具备本项目招标文件规定的基本资格条件和特定资格条件。</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2、我方已详细审查全部招标文件，包括修改文件（如有的话）以及全部参考资料和有关附件，已经了解我方对于招标文件、采购过程、采购结果有依法进行询问、质疑、投诉的权利及相关渠道和要求。</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3、我方在投标之前已经与贵方进行了充分的沟通，完全理解并接受招标文件的各项规定和要求，对招标文件的合理性、合法性不再有异议。</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4、投标文件从投标截止日起</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天内有效。</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5、如中标，本投标文件至本项目合同履行完毕止均保持有效，我方将按谈判文件及政府采购法律、法规的规定履行合同责任和义务。</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6、如果在投标截止时间后的投标有效期内撤销投标文件或者有其他违约行为，贵方可对我方的投标保证金不予退还。</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7、同意向贵方提供贵方可能要求的与本投标有关的任何数据或资料。</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8、我方完全理解贵方不一定要接受最低报价的投标人为中标人。</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9、若贵方需要，我方愿意提供我方作出的一切承诺的证明材料。</w:t>
      </w:r>
    </w:p>
    <w:p>
      <w:pPr>
        <w:pStyle w:val="20"/>
        <w:spacing w:line="5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我方将严格遵守《中华人民共和国政府采购法》第七十七条规定，投标人有下列情形之一的，处以采购金额5‰以上10‰以下的罚款，列入不良行为记录名单，在一到三年内禁止参加政府采购活动，有违法所得的，并处没收违法所得，情节严重的，由工商行政管理机关吊销营业执照；构成犯罪的，依法追究刑事责任：</w:t>
      </w:r>
    </w:p>
    <w:p>
      <w:pPr>
        <w:pStyle w:val="20"/>
        <w:spacing w:line="520" w:lineRule="exact"/>
        <w:ind w:firstLine="480" w:firstLineChars="200"/>
        <w:outlineLvl w:val="2"/>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（1）提供虚假材料谋取中标的；</w:t>
      </w:r>
    </w:p>
    <w:p>
      <w:pPr>
        <w:pStyle w:val="20"/>
        <w:spacing w:line="520" w:lineRule="exact"/>
        <w:ind w:firstLine="480" w:firstLineChars="200"/>
        <w:outlineLvl w:val="2"/>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（2）采取不正当手段诋毁、排挤其他投标人的；</w:t>
      </w:r>
    </w:p>
    <w:p>
      <w:pPr>
        <w:pStyle w:val="20"/>
        <w:spacing w:line="520" w:lineRule="exact"/>
        <w:ind w:firstLine="480" w:firstLineChars="200"/>
        <w:outlineLvl w:val="2"/>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（3）与采购人、其他投标人或者采购代理机构恶意串通的；</w:t>
      </w:r>
    </w:p>
    <w:p>
      <w:pPr>
        <w:pStyle w:val="20"/>
        <w:spacing w:line="520" w:lineRule="exact"/>
        <w:ind w:firstLine="480" w:firstLineChars="200"/>
        <w:outlineLvl w:val="2"/>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（4）向采购人、采购代理机构行贿或者提供其他不正当利益的；</w:t>
      </w:r>
    </w:p>
    <w:p>
      <w:pPr>
        <w:pStyle w:val="20"/>
        <w:spacing w:line="440" w:lineRule="exact"/>
        <w:ind w:firstLine="480" w:firstLineChars="200"/>
        <w:outlineLvl w:val="2"/>
        <w:rPr>
          <w:rFonts w:hAnsi="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w:t>
      </w:r>
      <w:r>
        <w:rPr>
          <w:rFonts w:hint="eastAsia" w:hAnsi="宋体"/>
          <w:color w:val="000000" w:themeColor="text1"/>
          <w:sz w:val="24"/>
          <w:szCs w:val="24"/>
          <w:highlight w:val="none"/>
          <w14:textFill>
            <w14:solidFill>
              <w14:schemeClr w14:val="tx1"/>
            </w14:solidFill>
          </w14:textFill>
        </w:rPr>
        <w:t>在招标采购过程中与采购人进行协商谈判的；</w:t>
      </w:r>
    </w:p>
    <w:p>
      <w:pPr>
        <w:pStyle w:val="20"/>
        <w:spacing w:line="520" w:lineRule="exact"/>
        <w:ind w:firstLine="480" w:firstLineChars="200"/>
        <w:outlineLvl w:val="2"/>
        <w:rPr>
          <w:rFonts w:hAnsi="宋体" w:cs="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w:t>
      </w:r>
      <w:r>
        <w:rPr>
          <w:rFonts w:hint="eastAsia" w:hAnsi="宋体" w:cs="宋体"/>
          <w:color w:val="000000" w:themeColor="text1"/>
          <w:sz w:val="24"/>
          <w:szCs w:val="24"/>
          <w:highlight w:val="none"/>
          <w14:textFill>
            <w14:solidFill>
              <w14:schemeClr w14:val="tx1"/>
            </w14:solidFill>
          </w14:textFill>
        </w:rPr>
        <w:t>拒绝有关部门监督检查或提供虚假情况的。</w:t>
      </w:r>
    </w:p>
    <w:p>
      <w:pPr>
        <w:pStyle w:val="20"/>
        <w:spacing w:line="520" w:lineRule="exact"/>
        <w:rPr>
          <w:rFonts w:hAnsi="宋体" w:cs="宋体"/>
          <w:color w:val="000000" w:themeColor="text1"/>
          <w:sz w:val="24"/>
          <w:szCs w:val="24"/>
          <w:highlight w:val="none"/>
          <w14:textFill>
            <w14:solidFill>
              <w14:schemeClr w14:val="tx1"/>
            </w14:solidFill>
          </w14:textFill>
        </w:rPr>
      </w:pPr>
    </w:p>
    <w:p>
      <w:pPr>
        <w:pStyle w:val="20"/>
        <w:spacing w:line="520" w:lineRule="exact"/>
        <w:ind w:left="101" w:leftChars="48" w:firstLine="595" w:firstLineChars="248"/>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与本投标有关的正式通讯地址为：</w:t>
      </w:r>
    </w:p>
    <w:p>
      <w:pPr>
        <w:pStyle w:val="20"/>
        <w:spacing w:line="520" w:lineRule="exact"/>
        <w:ind w:left="101" w:leftChars="48" w:firstLine="595" w:firstLineChars="248"/>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邮政编码：</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520" w:lineRule="exact"/>
        <w:ind w:firstLine="720" w:firstLineChars="30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电话、传真或电传：</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520" w:lineRule="exact"/>
        <w:ind w:firstLine="720" w:firstLineChars="3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开户名称：</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520" w:lineRule="exact"/>
        <w:ind w:firstLine="720" w:firstLineChars="3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开户银行：</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520" w:lineRule="exact"/>
        <w:ind w:firstLine="720" w:firstLineChars="30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银行帐号：</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520" w:lineRule="exact"/>
        <w:ind w:firstLine="720" w:firstLineChars="300"/>
        <w:rPr>
          <w:rFonts w:hAnsi="宋体" w:cs="宋体"/>
          <w:color w:val="000000" w:themeColor="text1"/>
          <w:sz w:val="24"/>
          <w:szCs w:val="24"/>
          <w:highlight w:val="none"/>
          <w14:textFill>
            <w14:solidFill>
              <w14:schemeClr w14:val="tx1"/>
            </w14:solidFill>
          </w14:textFill>
        </w:rPr>
      </w:pPr>
    </w:p>
    <w:p>
      <w:pPr>
        <w:pStyle w:val="20"/>
        <w:spacing w:line="520" w:lineRule="exact"/>
        <w:ind w:firstLine="306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投标人（加盖公章）：</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520" w:lineRule="exact"/>
        <w:ind w:firstLine="306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法定代表人（负责人）或委托代理人签名：</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520" w:lineRule="exact"/>
        <w:ind w:firstLine="306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投标日期：</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500" w:lineRule="exact"/>
        <w:ind w:left="101" w:leftChars="48" w:firstLine="595" w:firstLineChars="248"/>
        <w:rPr>
          <w:rFonts w:hAnsi="宋体" w:cs="宋体"/>
          <w:color w:val="000000" w:themeColor="text1"/>
          <w:sz w:val="24"/>
          <w:szCs w:val="24"/>
          <w:highlight w:val="none"/>
          <w14:textFill>
            <w14:solidFill>
              <w14:schemeClr w14:val="tx1"/>
            </w14:solidFill>
          </w14:textFill>
        </w:rPr>
      </w:pPr>
    </w:p>
    <w:p>
      <w:pPr>
        <w:pStyle w:val="20"/>
        <w:spacing w:line="500" w:lineRule="exact"/>
        <w:ind w:left="101" w:leftChars="48" w:firstLine="595" w:firstLineChars="248"/>
        <w:rPr>
          <w:rFonts w:hAnsi="宋体" w:cs="宋体"/>
          <w:color w:val="000000" w:themeColor="text1"/>
          <w:sz w:val="24"/>
          <w:szCs w:val="24"/>
          <w:highlight w:val="none"/>
          <w14:textFill>
            <w14:solidFill>
              <w14:schemeClr w14:val="tx1"/>
            </w14:solidFill>
          </w14:textFill>
        </w:rPr>
      </w:pPr>
    </w:p>
    <w:p>
      <w:pPr>
        <w:pStyle w:val="20"/>
        <w:spacing w:line="500" w:lineRule="exact"/>
        <w:ind w:left="101" w:leftChars="48" w:firstLine="595" w:firstLineChars="248"/>
        <w:rPr>
          <w:rFonts w:hAnsi="宋体" w:cs="宋体"/>
          <w:color w:val="000000" w:themeColor="text1"/>
          <w:sz w:val="24"/>
          <w:szCs w:val="24"/>
          <w:highlight w:val="none"/>
          <w14:textFill>
            <w14:solidFill>
              <w14:schemeClr w14:val="tx1"/>
            </w14:solidFill>
          </w14:textFill>
        </w:rPr>
      </w:pPr>
    </w:p>
    <w:p>
      <w:pPr>
        <w:pStyle w:val="20"/>
        <w:spacing w:line="500" w:lineRule="exact"/>
        <w:ind w:left="101" w:leftChars="48" w:firstLine="595" w:firstLineChars="248"/>
        <w:rPr>
          <w:rFonts w:hAnsi="宋体" w:cs="宋体"/>
          <w:color w:val="000000" w:themeColor="text1"/>
          <w:sz w:val="24"/>
          <w:szCs w:val="24"/>
          <w:highlight w:val="none"/>
          <w14:textFill>
            <w14:solidFill>
              <w14:schemeClr w14:val="tx1"/>
            </w14:solidFill>
          </w14:textFill>
        </w:rPr>
      </w:pPr>
    </w:p>
    <w:p>
      <w:pPr>
        <w:pStyle w:val="20"/>
        <w:spacing w:line="500" w:lineRule="exact"/>
        <w:ind w:left="101" w:leftChars="48" w:firstLine="595" w:firstLineChars="248"/>
        <w:rPr>
          <w:rFonts w:hAnsi="宋体" w:cs="宋体"/>
          <w:color w:val="000000" w:themeColor="text1"/>
          <w:sz w:val="24"/>
          <w:szCs w:val="24"/>
          <w:highlight w:val="none"/>
          <w14:textFill>
            <w14:solidFill>
              <w14:schemeClr w14:val="tx1"/>
            </w14:solidFill>
          </w14:textFill>
        </w:rPr>
      </w:pPr>
    </w:p>
    <w:p>
      <w:pPr>
        <w:pStyle w:val="20"/>
        <w:spacing w:line="500" w:lineRule="exact"/>
        <w:ind w:left="101" w:leftChars="48" w:firstLine="595" w:firstLineChars="248"/>
        <w:rPr>
          <w:rFonts w:hAnsi="宋体" w:cs="宋体"/>
          <w:color w:val="000000" w:themeColor="text1"/>
          <w:sz w:val="24"/>
          <w:szCs w:val="24"/>
          <w:highlight w:val="none"/>
          <w14:textFill>
            <w14:solidFill>
              <w14:schemeClr w14:val="tx1"/>
            </w14:solidFill>
          </w14:textFill>
        </w:rPr>
      </w:pPr>
    </w:p>
    <w:p>
      <w:pPr>
        <w:spacing w:line="360" w:lineRule="exact"/>
        <w:ind w:left="316" w:hanging="316" w:hangingChars="15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说明：</w:t>
      </w:r>
      <w:r>
        <w:rPr>
          <w:rFonts w:hint="eastAsia" w:ascii="宋体" w:hAnsi="宋体" w:cs="宋体"/>
          <w:color w:val="000000" w:themeColor="text1"/>
          <w:highlight w:val="none"/>
          <w14:textFill>
            <w14:solidFill>
              <w14:schemeClr w14:val="tx1"/>
            </w14:solidFill>
          </w14:textFill>
        </w:rPr>
        <w:t>投标人必须按以上格式填写，签字并加盖公章，否则，无签名、盖公章的，投标无效。</w:t>
      </w:r>
    </w:p>
    <w:p>
      <w:pPr>
        <w:spacing w:line="300" w:lineRule="exact"/>
        <w:rPr>
          <w:rFonts w:ascii="宋体" w:hAnsi="宋体" w:cs="宋体"/>
          <w:b/>
          <w:color w:val="000000" w:themeColor="text1"/>
          <w:sz w:val="32"/>
          <w:highlight w:val="none"/>
          <w14:textFill>
            <w14:solidFill>
              <w14:schemeClr w14:val="tx1"/>
            </w14:solidFill>
          </w14:textFill>
        </w:rPr>
      </w:pPr>
    </w:p>
    <w:p>
      <w:pPr>
        <w:spacing w:line="30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br w:type="page"/>
      </w:r>
    </w:p>
    <w:p>
      <w:pPr>
        <w:jc w:val="center"/>
        <w:rPr>
          <w:rFonts w:ascii="宋体" w:hAnsi="宋体" w:cs="宋体"/>
          <w:color w:val="000000" w:themeColor="text1"/>
          <w:highlight w:val="none"/>
          <w:u w:val="singl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投标报价明细表（格式）</w:t>
      </w:r>
    </w:p>
    <w:p>
      <w:pPr>
        <w:spacing w:line="400" w:lineRule="exac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b/>
          <w:color w:val="000000" w:themeColor="text1"/>
          <w:sz w:val="24"/>
          <w:highlight w:val="none"/>
          <w:u w:val="single"/>
          <w14:textFill>
            <w14:solidFill>
              <w14:schemeClr w14:val="tx1"/>
            </w14:solidFill>
          </w14:textFill>
        </w:rPr>
        <w:t xml:space="preserve">                  </w:t>
      </w:r>
    </w:p>
    <w:p>
      <w:pPr>
        <w:spacing w:line="400" w:lineRule="exact"/>
        <w:outlineLvl w:val="2"/>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color w:val="000000" w:themeColor="text1"/>
          <w:sz w:val="24"/>
          <w:highlight w:val="none"/>
          <w:u w:val="single"/>
          <w14:textFill>
            <w14:solidFill>
              <w14:schemeClr w14:val="tx1"/>
            </w14:solidFill>
          </w14:textFill>
        </w:rPr>
        <w:t xml:space="preserve">                  </w:t>
      </w:r>
    </w:p>
    <w:p>
      <w:pPr>
        <w:spacing w:line="400" w:lineRule="exact"/>
        <w:rPr>
          <w:rFonts w:ascii="宋体" w:hAnsi="宋体" w:cs="宋体"/>
          <w:b/>
          <w:color w:val="000000" w:themeColor="text1"/>
          <w:sz w:val="24"/>
          <w:highlight w:val="none"/>
          <w:u w:val="single"/>
          <w14:textFill>
            <w14:solidFill>
              <w14:schemeClr w14:val="tx1"/>
            </w14:solidFill>
          </w14:textFill>
        </w:rPr>
      </w:pPr>
    </w:p>
    <w:p>
      <w:pPr>
        <w:spacing w:after="165" w:afterLines="50" w:line="400" w:lineRule="exact"/>
        <w:jc w:val="righ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金额单位：人民币（元）</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913"/>
        <w:gridCol w:w="1109"/>
        <w:gridCol w:w="1349"/>
        <w:gridCol w:w="857"/>
        <w:gridCol w:w="836"/>
        <w:gridCol w:w="1221"/>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913"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产品或服务名称</w:t>
            </w:r>
          </w:p>
        </w:tc>
        <w:tc>
          <w:tcPr>
            <w:tcW w:w="1109" w:type="dxa"/>
            <w:vAlign w:val="center"/>
          </w:tcPr>
          <w:p>
            <w:pPr>
              <w:pStyle w:val="20"/>
              <w:snapToGrid w:val="0"/>
              <w:ind w:left="-105" w:leftChars="-50" w:right="-105" w:rightChars="-5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制造商或服务商</w:t>
            </w:r>
          </w:p>
        </w:tc>
        <w:tc>
          <w:tcPr>
            <w:tcW w:w="134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品牌、规格型号</w:t>
            </w:r>
          </w:p>
        </w:tc>
        <w:tc>
          <w:tcPr>
            <w:tcW w:w="857"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数量①</w:t>
            </w:r>
          </w:p>
        </w:tc>
        <w:tc>
          <w:tcPr>
            <w:tcW w:w="836"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单位</w:t>
            </w:r>
          </w:p>
        </w:tc>
        <w:tc>
          <w:tcPr>
            <w:tcW w:w="122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单价②</w:t>
            </w:r>
          </w:p>
        </w:tc>
        <w:tc>
          <w:tcPr>
            <w:tcW w:w="1582"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单项合计③</w:t>
            </w:r>
          </w:p>
          <w:p>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p>
        </w:tc>
        <w:tc>
          <w:tcPr>
            <w:tcW w:w="1913"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10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34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57"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36"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22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582"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p>
        </w:tc>
        <w:tc>
          <w:tcPr>
            <w:tcW w:w="1913"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10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34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57"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36"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22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582"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w:t>
            </w:r>
          </w:p>
        </w:tc>
        <w:tc>
          <w:tcPr>
            <w:tcW w:w="1913"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10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349"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57"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836"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221"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c>
          <w:tcPr>
            <w:tcW w:w="1582" w:type="dxa"/>
            <w:vAlign w:val="center"/>
          </w:tcPr>
          <w:p>
            <w:pPr>
              <w:pStyle w:val="20"/>
              <w:snapToGrid w:val="0"/>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3" w:type="dxa"/>
            <w:gridSpan w:val="2"/>
            <w:vAlign w:val="center"/>
          </w:tcPr>
          <w:p>
            <w:pPr>
              <w:snapToGrid w:val="0"/>
              <w:jc w:val="cente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投标报价总计</w:t>
            </w:r>
          </w:p>
        </w:tc>
        <w:tc>
          <w:tcPr>
            <w:tcW w:w="6954" w:type="dxa"/>
            <w:gridSpan w:val="6"/>
            <w:vAlign w:val="center"/>
          </w:tcPr>
          <w:p>
            <w:pPr>
              <w:snapToGrid w:val="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p>
          <w:p>
            <w:pPr>
              <w:snapToGrid w:val="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3" w:type="dxa"/>
            <w:gridSpan w:val="2"/>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交货时间</w:t>
            </w:r>
          </w:p>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（安装、调试、培训完）</w:t>
            </w:r>
          </w:p>
        </w:tc>
        <w:tc>
          <w:tcPr>
            <w:tcW w:w="6954" w:type="dxa"/>
            <w:gridSpan w:val="6"/>
            <w:vAlign w:val="center"/>
          </w:tcPr>
          <w:p>
            <w:pPr>
              <w:snapToGrid w:val="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3" w:type="dxa"/>
            <w:gridSpan w:val="2"/>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交货地点</w:t>
            </w:r>
          </w:p>
        </w:tc>
        <w:tc>
          <w:tcPr>
            <w:tcW w:w="6954" w:type="dxa"/>
            <w:gridSpan w:val="6"/>
            <w:vAlign w:val="center"/>
          </w:tcPr>
          <w:p>
            <w:pPr>
              <w:snapToGrid w:val="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3" w:type="dxa"/>
            <w:gridSpan w:val="2"/>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质保期</w:t>
            </w:r>
          </w:p>
        </w:tc>
        <w:tc>
          <w:tcPr>
            <w:tcW w:w="6954" w:type="dxa"/>
            <w:gridSpan w:val="6"/>
            <w:vAlign w:val="center"/>
          </w:tcPr>
          <w:p>
            <w:pPr>
              <w:snapToGrid w:val="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7" w:type="dxa"/>
            <w:gridSpan w:val="8"/>
            <w:vAlign w:val="center"/>
          </w:tcPr>
          <w:p>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其中：</w:t>
            </w:r>
          </w:p>
          <w:p>
            <w:pPr>
              <w:spacing w:line="340" w:lineRule="exac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属于《节能产品政府采购品目清单》目录内产品的总金额为人民币（大写）：         元（￥            ）；</w:t>
            </w:r>
          </w:p>
          <w:p>
            <w:pPr>
              <w:spacing w:line="340" w:lineRule="exac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属于《环境标志产品政府采购品目清单》目录内产品的总金额为人民币（大写）：        元（￥             ）。</w:t>
            </w:r>
          </w:p>
          <w:p>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pacing w:val="-6"/>
                <w:szCs w:val="21"/>
                <w:highlight w:val="none"/>
                <w14:textFill>
                  <w14:solidFill>
                    <w14:schemeClr w14:val="tx1"/>
                  </w14:solidFill>
                </w14:textFill>
              </w:rPr>
              <w:t>备注：若不属于《节能产品政府采购品目清单》及《环境标志产品政府采购品目清单》目录内产品的，则该处填写“无”字样。</w:t>
            </w:r>
          </w:p>
        </w:tc>
      </w:tr>
    </w:tbl>
    <w:p>
      <w:pPr>
        <w:pStyle w:val="20"/>
        <w:rPr>
          <w:rFonts w:hAnsi="宋体" w:cs="宋体"/>
          <w:color w:val="000000" w:themeColor="text1"/>
          <w:highlight w:val="none"/>
          <w14:textFill>
            <w14:solidFill>
              <w14:schemeClr w14:val="tx1"/>
            </w14:solidFill>
          </w14:textFill>
        </w:rPr>
      </w:pPr>
    </w:p>
    <w:p>
      <w:pPr>
        <w:pStyle w:val="20"/>
        <w:spacing w:line="400" w:lineRule="exact"/>
        <w:ind w:firstLine="3780" w:firstLineChars="1575"/>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投标人（加盖公章）：</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400" w:lineRule="exact"/>
        <w:ind w:firstLine="3780" w:firstLineChars="1575"/>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法定代表人（负责人）或委托代理人签字：</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400" w:lineRule="exact"/>
        <w:ind w:firstLine="3780" w:firstLineChars="15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投标日期：</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400" w:lineRule="exact"/>
        <w:rPr>
          <w:rFonts w:hAnsi="宋体" w:cs="宋体"/>
          <w:color w:val="000000" w:themeColor="text1"/>
          <w:highlight w:val="none"/>
          <w14:textFill>
            <w14:solidFill>
              <w14:schemeClr w14:val="tx1"/>
            </w14:solidFill>
          </w14:textFill>
        </w:rPr>
      </w:pPr>
    </w:p>
    <w:p>
      <w:pPr>
        <w:pStyle w:val="20"/>
        <w:spacing w:line="400" w:lineRule="exact"/>
        <w:rPr>
          <w:rFonts w:hAnsi="宋体" w:cs="宋体"/>
          <w:color w:val="000000" w:themeColor="text1"/>
          <w:highlight w:val="none"/>
          <w14:textFill>
            <w14:solidFill>
              <w14:schemeClr w14:val="tx1"/>
            </w14:solidFill>
          </w14:textFill>
        </w:rPr>
      </w:pPr>
    </w:p>
    <w:p>
      <w:pPr>
        <w:spacing w:line="320" w:lineRule="exact"/>
        <w:ind w:left="944" w:hanging="944" w:hangingChars="448"/>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说明：</w:t>
      </w:r>
    </w:p>
    <w:p>
      <w:pPr>
        <w:spacing w:line="320" w:lineRule="exact"/>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1、所有价格均系用人民币表示，单位为元，精确到小数点后两位。</w:t>
      </w:r>
    </w:p>
    <w:p>
      <w:pPr>
        <w:spacing w:line="320" w:lineRule="exact"/>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本表可扩展，并逐页签字及加盖公章，否则，未按要求填写、无签名盖章的，投标无效。</w:t>
      </w:r>
    </w:p>
    <w:p>
      <w:pPr>
        <w:spacing w:line="320" w:lineRule="exact"/>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3、报价指本次采购范围内货物价款、货物随配标准附件、包装、运输、装卸、保险、税金、货到位以及安装、调试、检验、售后服务、保修及其他所有成本费用的总和，投标人应综合考虑在报价中。</w:t>
      </w:r>
    </w:p>
    <w:p>
      <w:pPr>
        <w:spacing w:line="320" w:lineRule="exact"/>
        <w:ind w:left="315"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如全部或部分产品属于《节能产品政府采购品目清单》非“★”标注或《环境标志产品政府采购品目清单》目录范围的，投标人应提供中国政府采购网（www.ccgp.gov.cn）认证结果信息发布平台的证书查询结果和产品认证证书复印件并加盖投标人公章，以便评标委员会作为优先采购或评审的依据。</w:t>
      </w:r>
    </w:p>
    <w:p>
      <w:pPr>
        <w:pStyle w:val="175"/>
        <w:shd w:val="clear" w:color="auto" w:fill="FFFFFF"/>
        <w:spacing w:before="0" w:beforeAutospacing="0" w:after="0" w:afterAutospacing="0"/>
        <w:jc w:val="right"/>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br w:type="page"/>
      </w:r>
    </w:p>
    <w:p>
      <w:pPr>
        <w:spacing w:line="40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投标声明书（格式）</w:t>
      </w:r>
    </w:p>
    <w:p>
      <w:pPr>
        <w:pStyle w:val="165"/>
        <w:spacing w:line="360" w:lineRule="exact"/>
        <w:ind w:firstLine="480"/>
        <w:rPr>
          <w:rFonts w:ascii="宋体" w:hAnsi="宋体" w:cs="宋体"/>
          <w:color w:val="000000" w:themeColor="text1"/>
          <w:szCs w:val="24"/>
          <w:highlight w:val="none"/>
          <w14:textFill>
            <w14:solidFill>
              <w14:schemeClr w14:val="tx1"/>
            </w14:solidFill>
          </w14:textFill>
        </w:rPr>
      </w:pPr>
    </w:p>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（采购代理机构名称）</w:t>
      </w:r>
    </w:p>
    <w:p>
      <w:pPr>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（投标人名称）系中华人民共和国合法企业，经营地址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（投标人名称）的法定代表人（负责人），我方愿意参加贵方组织的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（项目名称及项目编号）项目的政府采购活动，为便于贵方公正、择优地确定中标人及其投标产品和服务，我方就本次投标有关事项郑重声明如下： </w:t>
      </w:r>
    </w:p>
    <w:p>
      <w:pPr>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1、我方向贵方提交的所有投标文件、资料都是准确的和真实的。</w:t>
      </w:r>
    </w:p>
    <w:p>
      <w:pPr>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2、我方不是采购人的附属机构；也不是为本项目提供整体设计、编制规范或者项目管理、监理、检测等服务的投标人或其附属机构。</w:t>
      </w:r>
    </w:p>
    <w:p>
      <w:pPr>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3、我方承诺在参加本政府采购项目活动前，没有被纳入政府部门或银行认定的失信名单，我方具有良好的商业信誉。</w:t>
      </w:r>
    </w:p>
    <w:p>
      <w:pPr>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及由本人承诺在参加本项目的政府采购活动前三年内，在经营活动中没有重大违法记录及不良信用记录。重大违法记录是指投标人因违法经营受到刑事处罚或者责令停产停业、吊销许可证或者执照、较大数额罚款等行政处罚。未被列入失信被执行人、重大税收违法案件当事人名单、政府采购严重违法失信行为记录名单。</w:t>
      </w:r>
    </w:p>
    <w:p>
      <w:pPr>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5、我方承诺具有履行本项目合同所必需的设备和专业技术能力。</w:t>
      </w:r>
    </w:p>
    <w:p>
      <w:pPr>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6、根据《中华人民共和国政府采购法实施条例》第五十条要求对政府采购合同进行公</w:t>
      </w:r>
    </w:p>
    <w:p>
      <w:pPr>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告，但政府采购合同中涉及国家秘密、商业秘密的内容除外。我方就对本次响应文件进行注明如下：（两项内容中必须选择一项）</w:t>
      </w:r>
    </w:p>
    <w:p>
      <w:pPr>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我方本次响应文件内容中未涉及商业秘密；</w:t>
      </w:r>
    </w:p>
    <w:p>
      <w:pPr>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我方本次响应文件涉及商业秘密的内容有：</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exact"/>
        <w:ind w:firstLine="420"/>
        <w:rPr>
          <w:rFonts w:ascii="宋体" w:hAnsi="宋体" w:cs="宋体"/>
          <w:color w:val="000000" w:themeColor="text1"/>
          <w:sz w:val="24"/>
          <w:highlight w:val="none"/>
          <w14:textFill>
            <w14:solidFill>
              <w14:schemeClr w14:val="tx1"/>
            </w14:solidFill>
          </w14:textFill>
        </w:rPr>
      </w:pPr>
    </w:p>
    <w:p>
      <w:pPr>
        <w:spacing w:line="36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我方对以上声明负全部法律责任。以上事项如有虚假或隐瞒，我方愿意承担一切后果，并不再寻求任何旨在减轻或免除法律责任的辩解。</w:t>
      </w:r>
    </w:p>
    <w:p>
      <w:pPr>
        <w:pStyle w:val="165"/>
        <w:spacing w:line="360" w:lineRule="exact"/>
        <w:ind w:firstLine="480"/>
        <w:rPr>
          <w:rFonts w:ascii="宋体" w:hAnsi="宋体" w:cs="宋体"/>
          <w:color w:val="000000" w:themeColor="text1"/>
          <w:szCs w:val="24"/>
          <w:highlight w:val="none"/>
          <w14:textFill>
            <w14:solidFill>
              <w14:schemeClr w14:val="tx1"/>
            </w14:solidFill>
          </w14:textFill>
        </w:rPr>
      </w:pPr>
    </w:p>
    <w:p>
      <w:pPr>
        <w:pStyle w:val="165"/>
        <w:spacing w:line="360" w:lineRule="exact"/>
        <w:ind w:firstLine="480"/>
        <w:rPr>
          <w:rFonts w:ascii="宋体" w:hAnsi="宋体" w:cs="宋体"/>
          <w:color w:val="000000" w:themeColor="text1"/>
          <w:szCs w:val="24"/>
          <w:highlight w:val="none"/>
          <w14:textFill>
            <w14:solidFill>
              <w14:schemeClr w14:val="tx1"/>
            </w14:solidFill>
          </w14:textFill>
        </w:rPr>
      </w:pPr>
    </w:p>
    <w:p>
      <w:pPr>
        <w:pStyle w:val="165"/>
        <w:spacing w:line="360" w:lineRule="exact"/>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 xml:space="preserve"> </w:t>
      </w:r>
    </w:p>
    <w:p>
      <w:pPr>
        <w:spacing w:line="360" w:lineRule="exact"/>
        <w:ind w:firstLine="4320" w:firstLineChars="18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投标人（加盖公章）：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exact"/>
        <w:ind w:firstLine="4320" w:firstLineChars="1800"/>
        <w:rPr>
          <w:rFonts w:ascii="宋体" w:hAnsi="宋体" w:cs="宋体"/>
          <w:color w:val="000000" w:themeColor="text1"/>
          <w:sz w:val="24"/>
          <w:highlight w:val="none"/>
          <w14:textFill>
            <w14:solidFill>
              <w14:schemeClr w14:val="tx1"/>
            </w14:solidFill>
          </w14:textFill>
        </w:rPr>
      </w:pPr>
    </w:p>
    <w:p>
      <w:pPr>
        <w:spacing w:line="360" w:lineRule="exact"/>
        <w:ind w:firstLine="4320" w:firstLineChars="18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法定代表人（负责人）签字或盖章：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exact"/>
        <w:ind w:firstLine="4320" w:firstLineChars="1800"/>
        <w:rPr>
          <w:rFonts w:ascii="宋体" w:hAnsi="宋体" w:cs="宋体"/>
          <w:color w:val="000000" w:themeColor="text1"/>
          <w:sz w:val="24"/>
          <w:highlight w:val="none"/>
          <w14:textFill>
            <w14:solidFill>
              <w14:schemeClr w14:val="tx1"/>
            </w14:solidFill>
          </w14:textFill>
        </w:rPr>
      </w:pPr>
    </w:p>
    <w:p>
      <w:pPr>
        <w:spacing w:line="360" w:lineRule="exact"/>
        <w:ind w:firstLine="4320" w:firstLineChars="18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投标日期：</w:t>
      </w:r>
      <w:r>
        <w:rPr>
          <w:rFonts w:hint="eastAsia" w:ascii="宋体" w:hAnsi="宋体" w:cs="宋体"/>
          <w:color w:val="000000" w:themeColor="text1"/>
          <w:sz w:val="24"/>
          <w:highlight w:val="none"/>
          <w:u w:val="single"/>
          <w14:textFill>
            <w14:solidFill>
              <w14:schemeClr w14:val="tx1"/>
            </w14:solidFill>
          </w14:textFill>
        </w:rPr>
        <w:t xml:space="preserve">                                 </w:t>
      </w:r>
    </w:p>
    <w:p>
      <w:pPr>
        <w:pStyle w:val="20"/>
        <w:spacing w:line="44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highlight w:val="none"/>
          <w:u w:val="single"/>
          <w14:textFill>
            <w14:solidFill>
              <w14:schemeClr w14:val="tx1"/>
            </w14:solidFill>
          </w14:textFill>
        </w:rPr>
        <w:br w:type="page"/>
      </w:r>
    </w:p>
    <w:p>
      <w:pPr>
        <w:spacing w:line="40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投标保证金声明（格式）</w:t>
      </w:r>
    </w:p>
    <w:p>
      <w:pPr>
        <w:pStyle w:val="20"/>
        <w:spacing w:line="4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（如以支票、汇票、本票、保函等非现金形式的，不用填此声明，提供复印件）</w:t>
      </w:r>
    </w:p>
    <w:p>
      <w:pPr>
        <w:pStyle w:val="20"/>
        <w:spacing w:line="46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致：广西众联工程项目管理有限公司</w:t>
      </w:r>
    </w:p>
    <w:p>
      <w:pPr>
        <w:pStyle w:val="2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我方参加</w:t>
      </w:r>
      <w:r>
        <w:rPr>
          <w:rFonts w:hint="eastAsia" w:hAnsi="宋体" w:cs="宋体"/>
          <w:color w:val="000000" w:themeColor="text1"/>
          <w:sz w:val="24"/>
          <w:szCs w:val="24"/>
          <w:highlight w:val="none"/>
          <w:u w:val="single"/>
          <w14:textFill>
            <w14:solidFill>
              <w14:schemeClr w14:val="tx1"/>
            </w14:solidFill>
          </w14:textFill>
        </w:rPr>
        <w:t>（项目名称+编号）</w:t>
      </w:r>
      <w:r>
        <w:rPr>
          <w:rFonts w:hint="eastAsia" w:hAnsi="宋体" w:cs="宋体"/>
          <w:color w:val="000000" w:themeColor="text1"/>
          <w:sz w:val="24"/>
          <w:szCs w:val="24"/>
          <w:highlight w:val="none"/>
          <w14:textFill>
            <w14:solidFill>
              <w14:schemeClr w14:val="tx1"/>
            </w14:solidFill>
          </w14:textFill>
        </w:rPr>
        <w:t>的投标，缴纳投标保证金金额如下：</w:t>
      </w:r>
    </w:p>
    <w:p>
      <w:pPr>
        <w:pStyle w:val="2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投标保证金人民币（大写）</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元整（￥</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元）；</w:t>
      </w:r>
    </w:p>
    <w:p>
      <w:pPr>
        <w:pStyle w:val="2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w:t>
      </w:r>
    </w:p>
    <w:p>
      <w:pPr>
        <w:pStyle w:val="2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若我方中标，同意你方将该投标保证金转为履约保证金，若不中标，请贵方在退付投标保证金时转入以下账户：</w:t>
      </w:r>
    </w:p>
    <w:p>
      <w:pPr>
        <w:pStyle w:val="20"/>
        <w:spacing w:line="460" w:lineRule="exact"/>
        <w:ind w:firstLine="960" w:firstLineChars="40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开户名称：</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460" w:lineRule="exact"/>
        <w:ind w:firstLine="960" w:firstLineChars="40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开户银行：</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460" w:lineRule="exact"/>
        <w:ind w:firstLine="960" w:firstLineChars="40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银行账号：</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460" w:lineRule="exact"/>
        <w:ind w:firstLine="948" w:firstLineChars="395"/>
        <w:rPr>
          <w:rFonts w:hAnsi="宋体" w:cs="宋体"/>
          <w:color w:val="000000" w:themeColor="text1"/>
          <w:sz w:val="24"/>
          <w:szCs w:val="24"/>
          <w:highlight w:val="none"/>
          <w14:textFill>
            <w14:solidFill>
              <w14:schemeClr w14:val="tx1"/>
            </w14:solidFill>
          </w14:textFill>
        </w:rPr>
      </w:pPr>
    </w:p>
    <w:p>
      <w:pPr>
        <w:pStyle w:val="20"/>
        <w:spacing w:line="460" w:lineRule="exact"/>
        <w:ind w:firstLine="948" w:firstLineChars="39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投标单位（盖公章）：</w:t>
      </w:r>
    </w:p>
    <w:p>
      <w:pPr>
        <w:pStyle w:val="20"/>
        <w:spacing w:line="460" w:lineRule="exact"/>
        <w:ind w:firstLine="948" w:firstLineChars="39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联系人：</w:t>
      </w:r>
    </w:p>
    <w:p>
      <w:pPr>
        <w:pStyle w:val="20"/>
        <w:spacing w:line="460" w:lineRule="exact"/>
        <w:ind w:firstLine="948" w:firstLineChars="39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  址：</w:t>
      </w:r>
    </w:p>
    <w:p>
      <w:pPr>
        <w:pStyle w:val="20"/>
        <w:spacing w:line="460" w:lineRule="exact"/>
        <w:ind w:firstLine="948" w:firstLineChars="39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联系电话（手机）：</w:t>
      </w:r>
    </w:p>
    <w:p>
      <w:pPr>
        <w:pStyle w:val="20"/>
        <w:spacing w:line="460" w:lineRule="exact"/>
        <w:ind w:firstLine="420"/>
        <w:rPr>
          <w:rFonts w:hAnsi="宋体" w:cs="宋体"/>
          <w:color w:val="000000" w:themeColor="text1"/>
          <w:sz w:val="24"/>
          <w:szCs w:val="24"/>
          <w:highlight w:val="none"/>
          <w14:textFill>
            <w14:solidFill>
              <w14:schemeClr w14:val="tx1"/>
            </w14:solidFill>
          </w14:textFill>
        </w:rPr>
      </w:pPr>
    </w:p>
    <w:p>
      <w:pPr>
        <w:pStyle w:val="20"/>
        <w:spacing w:line="460" w:lineRule="exact"/>
        <w:jc w:val="center"/>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（①以转帐方式缴纳的投标保证金的，提供由缴纳凭证复印件并盖单位公章；②以非转账方式递交投标保证金的，提供支票或汇票或本票或保函复印件并盖单位公章）</w:t>
      </w:r>
    </w:p>
    <w:p>
      <w:pPr>
        <w:pStyle w:val="20"/>
        <w:spacing w:line="460" w:lineRule="exact"/>
        <w:ind w:firstLine="420"/>
        <w:rPr>
          <w:rFonts w:hAnsi="宋体" w:cs="宋体"/>
          <w:color w:val="000000" w:themeColor="text1"/>
          <w:sz w:val="24"/>
          <w:szCs w:val="24"/>
          <w:highlight w:val="none"/>
          <w:u w:val="single"/>
          <w14:textFill>
            <w14:solidFill>
              <w14:schemeClr w14:val="tx1"/>
            </w14:solidFill>
          </w14:textFill>
        </w:rPr>
      </w:pPr>
    </w:p>
    <w:p>
      <w:pPr>
        <w:pStyle w:val="20"/>
        <w:spacing w:line="300" w:lineRule="exact"/>
        <w:ind w:firstLine="737"/>
        <w:rPr>
          <w:rFonts w:hAnsi="宋体" w:cs="宋体"/>
          <w:color w:val="000000" w:themeColor="text1"/>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br w:type="page"/>
      </w:r>
    </w:p>
    <w:p>
      <w:pPr>
        <w:spacing w:line="40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法定代表人（负责人）身份证明（格式）</w:t>
      </w:r>
    </w:p>
    <w:p>
      <w:pPr>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p>
    <w:p>
      <w:pPr>
        <w:spacing w:line="5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5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单位性质：</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5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5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成立时间：</w:t>
      </w:r>
      <w:r>
        <w:rPr>
          <w:rFonts w:hint="eastAsia" w:ascii="宋体" w:hAnsi="宋体" w:cs="宋体"/>
          <w:color w:val="000000" w:themeColor="text1"/>
          <w:sz w:val="24"/>
          <w:highlight w:val="none"/>
          <w:u w:val="single"/>
          <w14:textFill>
            <w14:solidFill>
              <w14:schemeClr w14:val="tx1"/>
            </w14:solidFill>
          </w14:textFill>
        </w:rPr>
        <w:t xml:space="preserve">          年        月        日</w:t>
      </w:r>
    </w:p>
    <w:p>
      <w:pPr>
        <w:spacing w:line="5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经营期限：</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5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性别：</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年龄：</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5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身份证：</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5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（投标人名称）的法定代表人（负责人）。</w:t>
      </w:r>
    </w:p>
    <w:p>
      <w:pPr>
        <w:spacing w:line="5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pPr>
        <w:tabs>
          <w:tab w:val="left" w:leader="hyphen" w:pos="7088"/>
        </w:tabs>
        <w:snapToGrid w:val="0"/>
        <w:spacing w:line="500" w:lineRule="exact"/>
        <w:ind w:firstLine="504" w:firstLineChars="210"/>
        <w:rPr>
          <w:rFonts w:ascii="宋体" w:hAnsi="宋体" w:cs="宋体"/>
          <w:bCs/>
          <w:color w:val="000000" w:themeColor="text1"/>
          <w:sz w:val="24"/>
          <w:highlight w:val="none"/>
          <w14:textFill>
            <w14:solidFill>
              <w14:schemeClr w14:val="tx1"/>
            </w14:solidFill>
          </w14:textFill>
        </w:rPr>
      </w:pPr>
    </w:p>
    <w:p>
      <w:pPr>
        <w:spacing w:line="50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附：法定代表人（负责人）身份证正背面复印件、营业执照正本或副本复印件（加盖公章）。</w:t>
      </w:r>
    </w:p>
    <w:p>
      <w:pPr>
        <w:pStyle w:val="20"/>
        <w:rPr>
          <w:rFonts w:hAnsi="宋体" w:cs="宋体"/>
          <w:bCs/>
          <w:color w:val="000000" w:themeColor="text1"/>
          <w:sz w:val="24"/>
          <w:szCs w:val="24"/>
          <w:highlight w:val="none"/>
          <w14:textFill>
            <w14:solidFill>
              <w14:schemeClr w14:val="tx1"/>
            </w14:solidFill>
          </w14:textFill>
        </w:rPr>
      </w:pPr>
    </w:p>
    <w:p>
      <w:pPr>
        <w:pStyle w:val="20"/>
        <w:rPr>
          <w:rFonts w:hAnsi="宋体" w:cs="宋体"/>
          <w:bCs/>
          <w:color w:val="000000" w:themeColor="text1"/>
          <w:sz w:val="24"/>
          <w:szCs w:val="24"/>
          <w:highlight w:val="none"/>
          <w14:textFill>
            <w14:solidFill>
              <w14:schemeClr w14:val="tx1"/>
            </w14:solidFill>
          </w14:textFill>
        </w:rPr>
      </w:pPr>
    </w:p>
    <w:p>
      <w:pPr>
        <w:pStyle w:val="20"/>
        <w:rPr>
          <w:rFonts w:hAnsi="宋体" w:cs="宋体"/>
          <w:bCs/>
          <w:color w:val="000000" w:themeColor="text1"/>
          <w:sz w:val="24"/>
          <w:szCs w:val="24"/>
          <w:highlight w:val="none"/>
          <w14:textFill>
            <w14:solidFill>
              <w14:schemeClr w14:val="tx1"/>
            </w14:solidFill>
          </w14:textFill>
        </w:rPr>
      </w:pPr>
    </w:p>
    <w:p>
      <w:pPr>
        <w:pStyle w:val="20"/>
        <w:rPr>
          <w:rFonts w:hAnsi="宋体" w:cs="宋体"/>
          <w:bCs/>
          <w:color w:val="000000" w:themeColor="text1"/>
          <w:sz w:val="24"/>
          <w:szCs w:val="24"/>
          <w:highlight w:val="none"/>
          <w14:textFill>
            <w14:solidFill>
              <w14:schemeClr w14:val="tx1"/>
            </w14:solidFill>
          </w14:textFill>
        </w:rPr>
      </w:pPr>
    </w:p>
    <w:p>
      <w:pPr>
        <w:pStyle w:val="20"/>
        <w:ind w:firstLine="3360" w:firstLineChars="140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投标人（加盖公章）：</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rPr>
          <w:rFonts w:hAnsi="宋体" w:cs="宋体"/>
          <w:color w:val="000000" w:themeColor="text1"/>
          <w:sz w:val="24"/>
          <w:szCs w:val="24"/>
          <w:highlight w:val="none"/>
          <w14:textFill>
            <w14:solidFill>
              <w14:schemeClr w14:val="tx1"/>
            </w14:solidFill>
          </w14:textFill>
        </w:rPr>
      </w:pPr>
    </w:p>
    <w:p>
      <w:pPr>
        <w:pStyle w:val="20"/>
        <w:ind w:firstLine="3360" w:firstLineChars="1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投标日期：</w:t>
      </w:r>
      <w:r>
        <w:rPr>
          <w:rFonts w:hint="eastAsia" w:hAnsi="宋体" w:cs="宋体"/>
          <w:color w:val="000000" w:themeColor="text1"/>
          <w:sz w:val="24"/>
          <w:szCs w:val="24"/>
          <w:highlight w:val="none"/>
          <w:u w:val="single"/>
          <w14:textFill>
            <w14:solidFill>
              <w14:schemeClr w14:val="tx1"/>
            </w14:solidFill>
          </w14:textFill>
        </w:rPr>
        <w:t xml:space="preserve">       年    月    日</w:t>
      </w:r>
    </w:p>
    <w:p>
      <w:pPr>
        <w:rPr>
          <w:rFonts w:ascii="宋体" w:hAnsi="宋体" w:cs="宋体"/>
          <w:color w:val="000000" w:themeColor="text1"/>
          <w:sz w:val="24"/>
          <w:highlight w:val="none"/>
          <w14:textFill>
            <w14:solidFill>
              <w14:schemeClr w14:val="tx1"/>
            </w14:solidFill>
          </w14:textFill>
        </w:rPr>
      </w:pPr>
    </w:p>
    <w:p>
      <w:pPr>
        <w:spacing w:line="500" w:lineRule="exact"/>
        <w:rPr>
          <w:rFonts w:ascii="宋体" w:hAnsi="宋体" w:cs="宋体"/>
          <w:bCs/>
          <w:color w:val="000000" w:themeColor="text1"/>
          <w:sz w:val="24"/>
          <w:highlight w:val="none"/>
          <w14:textFill>
            <w14:solidFill>
              <w14:schemeClr w14:val="tx1"/>
            </w14:solidFill>
          </w14:textFill>
        </w:rPr>
      </w:pPr>
    </w:p>
    <w:p>
      <w:pPr>
        <w:spacing w:line="500" w:lineRule="exact"/>
        <w:rPr>
          <w:rFonts w:ascii="宋体" w:hAnsi="宋体" w:cs="宋体"/>
          <w:bCs/>
          <w:color w:val="000000" w:themeColor="text1"/>
          <w:sz w:val="24"/>
          <w:highlight w:val="none"/>
          <w14:textFill>
            <w14:solidFill>
              <w14:schemeClr w14:val="tx1"/>
            </w14:solidFill>
          </w14:textFill>
        </w:rPr>
      </w:pPr>
    </w:p>
    <w:p>
      <w:pPr>
        <w:spacing w:line="500" w:lineRule="exact"/>
        <w:rPr>
          <w:rFonts w:ascii="宋体" w:hAnsi="宋体" w:cs="宋体"/>
          <w:bCs/>
          <w:color w:val="000000" w:themeColor="text1"/>
          <w:sz w:val="24"/>
          <w:highlight w:val="none"/>
          <w14:textFill>
            <w14:solidFill>
              <w14:schemeClr w14:val="tx1"/>
            </w14:solidFill>
          </w14:textFill>
        </w:rPr>
      </w:pPr>
    </w:p>
    <w:p>
      <w:pPr>
        <w:pStyle w:val="20"/>
        <w:spacing w:line="360" w:lineRule="exact"/>
        <w:ind w:left="620" w:hanging="620" w:hangingChars="294"/>
        <w:rPr>
          <w:rFonts w:hAnsi="宋体" w:cs="宋体"/>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说明：</w:t>
      </w:r>
    </w:p>
    <w:p>
      <w:pPr>
        <w:pStyle w:val="20"/>
        <w:spacing w:line="360" w:lineRule="exact"/>
        <w:ind w:left="617" w:hanging="617" w:hangingChars="2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1、未附法定代表人（负责人）身份证正背面复印件、营业执照正本或副本的复印件（加盖公章）的，证明无效。</w:t>
      </w:r>
    </w:p>
    <w:p>
      <w:pPr>
        <w:pStyle w:val="20"/>
        <w:spacing w:line="360" w:lineRule="exact"/>
        <w:ind w:left="617" w:hanging="617" w:hangingChars="2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2、“法定代表人（负责人）身份证明”除在投标文件须附有，法定代表人（负责人）出席开标会议时，应另外随身携带本“法定代表人（负责人）身份证明”原件一份以及本人身份证原件，以备核查。</w:t>
      </w:r>
    </w:p>
    <w:p>
      <w:pPr>
        <w:pStyle w:val="20"/>
        <w:spacing w:line="300" w:lineRule="exact"/>
        <w:ind w:firstLine="737"/>
        <w:rPr>
          <w:rFonts w:hAnsi="宋体" w:cs="宋体"/>
          <w:color w:val="000000" w:themeColor="text1"/>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page"/>
      </w:r>
    </w:p>
    <w:p>
      <w:pPr>
        <w:spacing w:line="400" w:lineRule="exact"/>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法定代表人（负责人）授权委托书</w:t>
      </w:r>
      <w:r>
        <w:rPr>
          <w:rFonts w:hint="eastAsia" w:ascii="宋体" w:hAnsi="宋体" w:cs="宋体"/>
          <w:b/>
          <w:color w:val="000000" w:themeColor="text1"/>
          <w:sz w:val="32"/>
          <w:szCs w:val="32"/>
          <w:highlight w:val="none"/>
          <w14:textFill>
            <w14:solidFill>
              <w14:schemeClr w14:val="tx1"/>
            </w14:solidFill>
          </w14:textFill>
        </w:rPr>
        <w:t>（格式）</w:t>
      </w:r>
    </w:p>
    <w:p>
      <w:pPr>
        <w:pStyle w:val="20"/>
        <w:spacing w:line="460" w:lineRule="exact"/>
        <w:rPr>
          <w:rFonts w:hAnsi="宋体" w:cs="宋体"/>
          <w:color w:val="000000" w:themeColor="text1"/>
          <w:sz w:val="24"/>
          <w:szCs w:val="24"/>
          <w:highlight w:val="none"/>
          <w14:textFill>
            <w14:solidFill>
              <w14:schemeClr w14:val="tx1"/>
            </w14:solidFill>
          </w14:textFill>
        </w:rPr>
      </w:pPr>
    </w:p>
    <w:p>
      <w:pPr>
        <w:pStyle w:val="20"/>
        <w:spacing w:line="46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致：</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（采购代理机构名称）：</w:t>
      </w:r>
    </w:p>
    <w:p>
      <w:pPr>
        <w:pStyle w:val="2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本授权委托书声明：我</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（姓名）系</w:t>
      </w:r>
      <w:r>
        <w:rPr>
          <w:rFonts w:hint="eastAsia" w:hAnsi="宋体" w:cs="宋体"/>
          <w:color w:val="000000" w:themeColor="text1"/>
          <w:sz w:val="24"/>
          <w:szCs w:val="24"/>
          <w:highlight w:val="none"/>
          <w:u w:val="single"/>
          <w14:textFill>
            <w14:solidFill>
              <w14:schemeClr w14:val="tx1"/>
            </w14:solidFill>
          </w14:textFill>
        </w:rPr>
        <w:t>（投标单位名称）</w:t>
      </w:r>
      <w:r>
        <w:rPr>
          <w:rFonts w:hint="eastAsia" w:hAnsi="宋体" w:cs="宋体"/>
          <w:color w:val="000000" w:themeColor="text1"/>
          <w:sz w:val="24"/>
          <w:szCs w:val="24"/>
          <w:highlight w:val="none"/>
          <w14:textFill>
            <w14:solidFill>
              <w14:schemeClr w14:val="tx1"/>
            </w14:solidFill>
          </w14:textFill>
        </w:rPr>
        <w:t>的法定代表人（负责人），现授权委托本单位在职职工</w:t>
      </w:r>
      <w:r>
        <w:rPr>
          <w:rFonts w:hint="eastAsia" w:hAnsi="宋体" w:cs="宋体"/>
          <w:color w:val="000000" w:themeColor="text1"/>
          <w:sz w:val="24"/>
          <w:szCs w:val="24"/>
          <w:highlight w:val="none"/>
          <w:u w:val="single"/>
          <w14:textFill>
            <w14:solidFill>
              <w14:schemeClr w14:val="tx1"/>
            </w14:solidFill>
          </w14:textFill>
        </w:rPr>
        <w:t>（姓名）</w:t>
      </w:r>
      <w:r>
        <w:rPr>
          <w:rFonts w:hint="eastAsia" w:hAnsi="宋体" w:cs="宋体"/>
          <w:color w:val="000000" w:themeColor="text1"/>
          <w:sz w:val="24"/>
          <w:szCs w:val="24"/>
          <w:highlight w:val="none"/>
          <w14:textFill>
            <w14:solidFill>
              <w14:schemeClr w14:val="tx1"/>
            </w14:solidFill>
          </w14:textFill>
        </w:rPr>
        <w:t>为我公司被授权人，以我方的名义参加</w:t>
      </w:r>
      <w:r>
        <w:rPr>
          <w:rFonts w:hint="eastAsia" w:hAnsi="宋体" w:cs="宋体"/>
          <w:color w:val="000000" w:themeColor="text1"/>
          <w:sz w:val="24"/>
          <w:szCs w:val="24"/>
          <w:highlight w:val="none"/>
          <w:u w:val="single"/>
          <w14:textFill>
            <w14:solidFill>
              <w14:schemeClr w14:val="tx1"/>
            </w14:solidFill>
          </w14:textFill>
        </w:rPr>
        <w:t>（</w:t>
      </w:r>
      <w:r>
        <w:rPr>
          <w:rFonts w:hint="eastAsia" w:hAnsi="宋体" w:cs="宋体"/>
          <w:bCs/>
          <w:color w:val="000000" w:themeColor="text1"/>
          <w:sz w:val="24"/>
          <w:szCs w:val="24"/>
          <w:highlight w:val="none"/>
          <w:u w:val="single"/>
          <w14:textFill>
            <w14:solidFill>
              <w14:schemeClr w14:val="tx1"/>
            </w14:solidFill>
          </w14:textFill>
        </w:rPr>
        <w:t>项目名称+项目编号）</w:t>
      </w:r>
      <w:r>
        <w:rPr>
          <w:rFonts w:hint="eastAsia" w:hAnsi="宋体" w:cs="宋体"/>
          <w:color w:val="000000" w:themeColor="text1"/>
          <w:sz w:val="24"/>
          <w:szCs w:val="24"/>
          <w:highlight w:val="none"/>
          <w14:textFill>
            <w14:solidFill>
              <w14:schemeClr w14:val="tx1"/>
            </w14:solidFill>
          </w14:textFill>
        </w:rPr>
        <w:t>的政府采购活动，并代表我方全权办理上述项目的投标、开标、评标、签约等具体事务和签署相关文件。</w:t>
      </w:r>
    </w:p>
    <w:p>
      <w:pPr>
        <w:pStyle w:val="2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我方对被授权人的签名事项负全部责任。</w:t>
      </w:r>
    </w:p>
    <w:p>
      <w:pPr>
        <w:pStyle w:val="2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被授权人在授权委托书有效期内签署的所有文件不因授权委托的撤销而失效，除非有撤销授权委托的书面通知，本授权委托书自投标开始至合同履行完毕止。</w:t>
      </w:r>
    </w:p>
    <w:p>
      <w:pPr>
        <w:pStyle w:val="20"/>
        <w:spacing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被授权人无转委托权。特此委托。</w:t>
      </w:r>
    </w:p>
    <w:p>
      <w:pPr>
        <w:snapToGrid w:val="0"/>
        <w:spacing w:line="500" w:lineRule="exact"/>
        <w:rPr>
          <w:rFonts w:ascii="宋体" w:hAnsi="宋体" w:cs="宋体"/>
          <w:color w:val="000000" w:themeColor="text1"/>
          <w:sz w:val="24"/>
          <w:highlight w:val="none"/>
          <w14:textFill>
            <w14:solidFill>
              <w14:schemeClr w14:val="tx1"/>
            </w14:solidFill>
          </w14:textFill>
        </w:rPr>
      </w:pPr>
    </w:p>
    <w:p>
      <w:pPr>
        <w:tabs>
          <w:tab w:val="left" w:pos="5040"/>
        </w:tabs>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法定代表人（负责人）签字或盖章：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被授权人签字或盖章：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tabs>
          <w:tab w:val="left" w:pos="5040"/>
        </w:tabs>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14:textFill>
            <w14:solidFill>
              <w14:schemeClr w14:val="tx1"/>
            </w14:solidFill>
          </w14:textFill>
        </w:rPr>
        <w:t xml:space="preserve">                              </w:t>
      </w:r>
    </w:p>
    <w:p>
      <w:pPr>
        <w:tabs>
          <w:tab w:val="left" w:pos="5040"/>
        </w:tabs>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授权人身份证号码：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被授权人身份证号码：</w:t>
      </w:r>
      <w:r>
        <w:rPr>
          <w:rFonts w:hint="eastAsia" w:ascii="宋体" w:hAnsi="宋体" w:cs="宋体"/>
          <w:color w:val="000000" w:themeColor="text1"/>
          <w:sz w:val="24"/>
          <w:highlight w:val="none"/>
          <w:u w:val="single"/>
          <w14:textFill>
            <w14:solidFill>
              <w14:schemeClr w14:val="tx1"/>
            </w14:solidFill>
          </w14:textFill>
        </w:rPr>
        <w:t xml:space="preserve">                </w:t>
      </w:r>
    </w:p>
    <w:p>
      <w:pPr>
        <w:pStyle w:val="20"/>
        <w:spacing w:line="500" w:lineRule="exact"/>
        <w:rPr>
          <w:rFonts w:hAnsi="宋体" w:cs="宋体"/>
          <w:color w:val="000000" w:themeColor="text1"/>
          <w:sz w:val="24"/>
          <w:szCs w:val="24"/>
          <w:highlight w:val="none"/>
          <w14:textFill>
            <w14:solidFill>
              <w14:schemeClr w14:val="tx1"/>
            </w14:solidFill>
          </w14:textFill>
        </w:rPr>
      </w:pPr>
    </w:p>
    <w:p>
      <w:pPr>
        <w:pStyle w:val="20"/>
        <w:spacing w:line="40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附：法定代表人（负责人）身份证正背面复印件、委托代理人身份证正背面复印件（加盖公章）。</w:t>
      </w:r>
    </w:p>
    <w:p>
      <w:pPr>
        <w:pStyle w:val="20"/>
        <w:spacing w:line="400" w:lineRule="exact"/>
        <w:rPr>
          <w:rFonts w:hAnsi="宋体" w:cs="宋体"/>
          <w:color w:val="000000" w:themeColor="text1"/>
          <w:sz w:val="24"/>
          <w:szCs w:val="24"/>
          <w:highlight w:val="none"/>
          <w14:textFill>
            <w14:solidFill>
              <w14:schemeClr w14:val="tx1"/>
            </w14:solidFill>
          </w14:textFill>
        </w:rPr>
      </w:pPr>
    </w:p>
    <w:p>
      <w:pPr>
        <w:pStyle w:val="20"/>
        <w:spacing w:line="400" w:lineRule="exact"/>
        <w:rPr>
          <w:rFonts w:hAnsi="宋体" w:cs="宋体"/>
          <w:color w:val="000000" w:themeColor="text1"/>
          <w:sz w:val="24"/>
          <w:szCs w:val="24"/>
          <w:highlight w:val="none"/>
          <w14:textFill>
            <w14:solidFill>
              <w14:schemeClr w14:val="tx1"/>
            </w14:solidFill>
          </w14:textFill>
        </w:rPr>
      </w:pPr>
    </w:p>
    <w:p>
      <w:pPr>
        <w:pStyle w:val="20"/>
        <w:rPr>
          <w:rFonts w:hAnsi="宋体" w:cs="宋体"/>
          <w:bCs/>
          <w:color w:val="000000" w:themeColor="text1"/>
          <w:sz w:val="24"/>
          <w:szCs w:val="24"/>
          <w:highlight w:val="none"/>
          <w14:textFill>
            <w14:solidFill>
              <w14:schemeClr w14:val="tx1"/>
            </w14:solidFill>
          </w14:textFill>
        </w:rPr>
      </w:pPr>
    </w:p>
    <w:p>
      <w:pPr>
        <w:pStyle w:val="20"/>
        <w:ind w:firstLine="3360" w:firstLineChars="140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投标人（加盖公章）：</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w:t>
      </w:r>
    </w:p>
    <w:p>
      <w:pPr>
        <w:pStyle w:val="20"/>
        <w:ind w:firstLine="3360" w:firstLineChars="1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投标日期：</w:t>
      </w:r>
      <w:r>
        <w:rPr>
          <w:rFonts w:hint="eastAsia" w:hAnsi="宋体" w:cs="宋体"/>
          <w:color w:val="000000" w:themeColor="text1"/>
          <w:sz w:val="24"/>
          <w:szCs w:val="24"/>
          <w:highlight w:val="none"/>
          <w:u w:val="single"/>
          <w14:textFill>
            <w14:solidFill>
              <w14:schemeClr w14:val="tx1"/>
            </w14:solidFill>
          </w14:textFill>
        </w:rPr>
        <w:t xml:space="preserve">                                   </w:t>
      </w:r>
    </w:p>
    <w:p>
      <w:pPr>
        <w:rPr>
          <w:rFonts w:ascii="宋体" w:hAnsi="宋体" w:cs="宋体"/>
          <w:color w:val="000000" w:themeColor="text1"/>
          <w:sz w:val="24"/>
          <w:highlight w:val="none"/>
          <w14:textFill>
            <w14:solidFill>
              <w14:schemeClr w14:val="tx1"/>
            </w14:solidFill>
          </w14:textFill>
        </w:rPr>
      </w:pPr>
    </w:p>
    <w:p>
      <w:pPr>
        <w:pStyle w:val="20"/>
        <w:spacing w:line="400" w:lineRule="exact"/>
        <w:rPr>
          <w:rFonts w:hAnsi="宋体" w:cs="宋体"/>
          <w:color w:val="000000" w:themeColor="text1"/>
          <w:sz w:val="24"/>
          <w:szCs w:val="24"/>
          <w:highlight w:val="none"/>
          <w14:textFill>
            <w14:solidFill>
              <w14:schemeClr w14:val="tx1"/>
            </w14:solidFill>
          </w14:textFill>
        </w:rPr>
      </w:pPr>
    </w:p>
    <w:p>
      <w:pPr>
        <w:pStyle w:val="20"/>
        <w:spacing w:line="400" w:lineRule="exact"/>
        <w:rPr>
          <w:rFonts w:hAnsi="宋体" w:cs="宋体"/>
          <w:color w:val="000000" w:themeColor="text1"/>
          <w:sz w:val="24"/>
          <w:szCs w:val="24"/>
          <w:highlight w:val="none"/>
          <w14:textFill>
            <w14:solidFill>
              <w14:schemeClr w14:val="tx1"/>
            </w14:solidFill>
          </w14:textFill>
        </w:rPr>
      </w:pPr>
    </w:p>
    <w:p>
      <w:pPr>
        <w:pStyle w:val="20"/>
        <w:spacing w:line="400" w:lineRule="exact"/>
        <w:rPr>
          <w:rFonts w:hAnsi="宋体" w:cs="宋体"/>
          <w:color w:val="000000" w:themeColor="text1"/>
          <w:sz w:val="24"/>
          <w:szCs w:val="24"/>
          <w:highlight w:val="none"/>
          <w14:textFill>
            <w14:solidFill>
              <w14:schemeClr w14:val="tx1"/>
            </w14:solidFill>
          </w14:textFill>
        </w:rPr>
      </w:pPr>
    </w:p>
    <w:p>
      <w:pPr>
        <w:pStyle w:val="20"/>
        <w:spacing w:line="360" w:lineRule="exact"/>
        <w:ind w:left="620" w:hanging="620" w:hangingChars="294"/>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说明：</w:t>
      </w:r>
    </w:p>
    <w:p>
      <w:pPr>
        <w:pStyle w:val="20"/>
        <w:spacing w:line="360" w:lineRule="exact"/>
        <w:ind w:left="617" w:hanging="617" w:hangingChars="2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1、未附法定代表人（负责人）身份证正背面复印件、委托代理人身份证正背面复印件（加盖公章）的，授权委托书无效。</w:t>
      </w:r>
    </w:p>
    <w:p>
      <w:pPr>
        <w:pStyle w:val="20"/>
        <w:spacing w:line="360" w:lineRule="exact"/>
        <w:ind w:left="617" w:hanging="617" w:hangingChars="294"/>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2、“法定代表人（负责人）授权委托书”除在投标文件须附有，授权委托代理人出席开标会议时，应另外随身携带本“法定代表人（负责人）授权委托书”原件一份以及本人身份证原件，以备核查。</w:t>
      </w:r>
    </w:p>
    <w:p>
      <w:pPr>
        <w:spacing w:line="300" w:lineRule="exact"/>
        <w:ind w:left="360" w:hanging="360" w:hangingChars="1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spacing w:line="320" w:lineRule="exact"/>
        <w:ind w:left="315" w:hanging="315" w:hangingChars="150"/>
        <w:rPr>
          <w:rFonts w:ascii="宋体" w:hAnsi="宋体" w:cs="宋体"/>
          <w:bCs/>
          <w:color w:val="000000" w:themeColor="text1"/>
          <w:highlight w:val="none"/>
          <w14:textFill>
            <w14:solidFill>
              <w14:schemeClr w14:val="tx1"/>
            </w14:solidFill>
          </w14:textFill>
        </w:rPr>
      </w:pPr>
    </w:p>
    <w:p>
      <w:pPr>
        <w:pStyle w:val="20"/>
        <w:jc w:val="center"/>
        <w:rPr>
          <w:rFonts w:hAnsi="宋体" w:cs="宋体"/>
          <w:b/>
          <w:color w:val="000000" w:themeColor="text1"/>
          <w:sz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商务条款响应表（格式）</w:t>
      </w:r>
    </w:p>
    <w:p>
      <w:pPr>
        <w:pStyle w:val="20"/>
        <w:ind w:firstLine="3373" w:firstLineChars="1200"/>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一般商务条款响应表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5830"/>
        <w:gridCol w:w="1119"/>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5830" w:type="dxa"/>
            <w:vAlign w:val="center"/>
          </w:tcPr>
          <w:p>
            <w:pPr>
              <w:snapToGrid w:val="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商务条款要求</w:t>
            </w:r>
          </w:p>
        </w:tc>
        <w:tc>
          <w:tcPr>
            <w:tcW w:w="1119" w:type="dxa"/>
            <w:vAlign w:val="center"/>
          </w:tcPr>
          <w:p>
            <w:pPr>
              <w:snapToGrid w:val="0"/>
              <w:ind w:left="-105" w:leftChars="-50" w:right="-105" w:rightChars="-5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是否响应</w:t>
            </w:r>
          </w:p>
        </w:tc>
        <w:tc>
          <w:tcPr>
            <w:tcW w:w="1723" w:type="dxa"/>
            <w:vAlign w:val="center"/>
          </w:tcPr>
          <w:p>
            <w:pPr>
              <w:snapToGrid w:val="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583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完全理解并接受合同条款要求</w:t>
            </w:r>
          </w:p>
        </w:tc>
        <w:tc>
          <w:tcPr>
            <w:tcW w:w="1119" w:type="dxa"/>
            <w:vAlign w:val="center"/>
          </w:tcPr>
          <w:p>
            <w:pPr>
              <w:pStyle w:val="186"/>
              <w:keepNext w:val="0"/>
              <w:adjustRightInd/>
              <w:snapToGrid w:val="0"/>
              <w:spacing w:before="0" w:after="0" w:line="240" w:lineRule="auto"/>
              <w:textAlignment w:val="auto"/>
              <w:rPr>
                <w:rFonts w:ascii="宋体" w:hAnsi="宋体" w:cs="宋体"/>
                <w:color w:val="000000" w:themeColor="text1"/>
                <w:spacing w:val="0"/>
                <w:kern w:val="2"/>
                <w:highlight w:val="none"/>
                <w14:textFill>
                  <w14:solidFill>
                    <w14:schemeClr w14:val="tx1"/>
                  </w14:solidFill>
                </w14:textFill>
              </w:rPr>
            </w:pPr>
          </w:p>
        </w:tc>
        <w:tc>
          <w:tcPr>
            <w:tcW w:w="1723"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583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完全理解并接受对合格投标人、合格的货物、工程和服务要求</w:t>
            </w:r>
          </w:p>
        </w:tc>
        <w:tc>
          <w:tcPr>
            <w:tcW w:w="1119" w:type="dxa"/>
            <w:vAlign w:val="center"/>
          </w:tcPr>
          <w:p>
            <w:pPr>
              <w:pStyle w:val="186"/>
              <w:keepNext w:val="0"/>
              <w:adjustRightInd/>
              <w:snapToGrid w:val="0"/>
              <w:spacing w:before="0" w:after="0" w:line="240" w:lineRule="auto"/>
              <w:textAlignment w:val="auto"/>
              <w:rPr>
                <w:rFonts w:ascii="宋体" w:hAnsi="宋体" w:cs="宋体"/>
                <w:color w:val="000000" w:themeColor="text1"/>
                <w:spacing w:val="0"/>
                <w:kern w:val="2"/>
                <w:highlight w:val="none"/>
                <w14:textFill>
                  <w14:solidFill>
                    <w14:schemeClr w14:val="tx1"/>
                  </w14:solidFill>
                </w14:textFill>
              </w:rPr>
            </w:pPr>
          </w:p>
        </w:tc>
        <w:tc>
          <w:tcPr>
            <w:tcW w:w="1723"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583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完全理解并接受对投标人的各项须知、规约要求和责任义务</w:t>
            </w:r>
          </w:p>
        </w:tc>
        <w:tc>
          <w:tcPr>
            <w:tcW w:w="1119"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723"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5830" w:type="dxa"/>
            <w:vAlign w:val="center"/>
          </w:tcPr>
          <w:p>
            <w:pPr>
              <w:pStyle w:val="20"/>
              <w:snapToGrid w:val="0"/>
              <w:ind w:left="2"/>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投标有效期：投标截止日期后</w:t>
            </w:r>
            <w:r>
              <w:rPr>
                <w:rFonts w:hint="eastAsia" w:hAnsi="宋体" w:cs="宋体"/>
                <w:color w:val="000000" w:themeColor="text1"/>
                <w:sz w:val="24"/>
                <w:szCs w:val="24"/>
                <w:highlight w:val="none"/>
                <w:lang w:val="en-US" w:eastAsia="zh-CN"/>
                <w14:textFill>
                  <w14:solidFill>
                    <w14:schemeClr w14:val="tx1"/>
                  </w14:solidFill>
                </w14:textFill>
              </w:rPr>
              <w:t>90</w:t>
            </w:r>
            <w:r>
              <w:rPr>
                <w:rFonts w:hint="eastAsia" w:hAnsi="宋体" w:cs="宋体"/>
                <w:color w:val="000000" w:themeColor="text1"/>
                <w:sz w:val="24"/>
                <w:szCs w:val="24"/>
                <w:highlight w:val="none"/>
                <w14:textFill>
                  <w14:solidFill>
                    <w14:schemeClr w14:val="tx1"/>
                  </w14:solidFill>
                </w14:textFill>
              </w:rPr>
              <w:t>天。</w:t>
            </w:r>
          </w:p>
          <w:p>
            <w:pPr>
              <w:pStyle w:val="20"/>
              <w:snapToGrid w:val="0"/>
              <w:ind w:left="2"/>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[注：投标保证金有效期应比投标有效期延长25日。]</w:t>
            </w:r>
          </w:p>
        </w:tc>
        <w:tc>
          <w:tcPr>
            <w:tcW w:w="1119"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723"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583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报价内容均涵盖报价要求之一切费用和伴随服务</w:t>
            </w:r>
          </w:p>
        </w:tc>
        <w:tc>
          <w:tcPr>
            <w:tcW w:w="1119"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723" w:type="dxa"/>
            <w:vAlign w:val="center"/>
          </w:tcPr>
          <w:p>
            <w:pPr>
              <w:pStyle w:val="186"/>
              <w:keepNext w:val="0"/>
              <w:adjustRightInd/>
              <w:snapToGrid w:val="0"/>
              <w:spacing w:before="0" w:after="0" w:line="240" w:lineRule="auto"/>
              <w:textAlignment w:val="auto"/>
              <w:rPr>
                <w:rFonts w:ascii="宋体" w:hAnsi="宋体" w:cs="宋体"/>
                <w:color w:val="000000" w:themeColor="text1"/>
                <w:spacing w:val="0"/>
                <w:kern w:val="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583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所提供的报价不高于本公司目前的报价水平</w:t>
            </w:r>
          </w:p>
        </w:tc>
        <w:tc>
          <w:tcPr>
            <w:tcW w:w="1119"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723"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583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交货时间（安装、调试、培训完</w:t>
            </w:r>
            <w:r>
              <w:rPr>
                <w:rFonts w:hint="eastAsia" w:ascii="宋体" w:hAnsi="宋体" w:cs="宋体"/>
                <w:color w:val="000000" w:themeColor="text1"/>
                <w:szCs w:val="21"/>
                <w:highlight w:val="none"/>
                <w14:textFill>
                  <w14:solidFill>
                    <w14:schemeClr w14:val="tx1"/>
                  </w14:solidFill>
                </w14:textFill>
              </w:rPr>
              <w:t>）</w:t>
            </w:r>
          </w:p>
        </w:tc>
        <w:tc>
          <w:tcPr>
            <w:tcW w:w="1119"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723"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583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GB"/>
                <w14:textFill>
                  <w14:solidFill>
                    <w14:schemeClr w14:val="tx1"/>
                  </w14:solidFill>
                </w14:textFill>
              </w:rPr>
              <w:t>同意接受合同范本所列述的各项条款</w:t>
            </w:r>
          </w:p>
        </w:tc>
        <w:tc>
          <w:tcPr>
            <w:tcW w:w="1119"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723" w:type="dxa"/>
            <w:vAlign w:val="center"/>
          </w:tcPr>
          <w:p>
            <w:pPr>
              <w:pStyle w:val="186"/>
              <w:keepNext w:val="0"/>
              <w:adjustRightInd/>
              <w:snapToGrid w:val="0"/>
              <w:spacing w:before="0" w:after="0" w:line="240" w:lineRule="auto"/>
              <w:textAlignment w:val="auto"/>
              <w:rPr>
                <w:rFonts w:ascii="宋体" w:hAnsi="宋体" w:cs="宋体"/>
                <w:color w:val="000000" w:themeColor="text1"/>
                <w:spacing w:val="0"/>
                <w:kern w:val="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ind w:firstLine="120" w:firstLineChar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583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同意按本项目要求缴付相关款项</w:t>
            </w:r>
          </w:p>
        </w:tc>
        <w:tc>
          <w:tcPr>
            <w:tcW w:w="1119" w:type="dxa"/>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723" w:type="dxa"/>
            <w:vAlign w:val="center"/>
          </w:tcPr>
          <w:p>
            <w:pPr>
              <w:pStyle w:val="186"/>
              <w:keepNext w:val="0"/>
              <w:adjustRightInd/>
              <w:snapToGrid w:val="0"/>
              <w:spacing w:before="0" w:after="0" w:line="240" w:lineRule="auto"/>
              <w:textAlignment w:val="auto"/>
              <w:rPr>
                <w:rFonts w:ascii="宋体" w:hAnsi="宋体" w:cs="宋体"/>
                <w:color w:val="000000" w:themeColor="text1"/>
                <w:spacing w:val="0"/>
                <w:kern w:val="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5830" w:type="dxa"/>
            <w:vAlign w:val="center"/>
          </w:tcPr>
          <w:p>
            <w:pPr>
              <w:pStyle w:val="27"/>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同意采购方以任何形式对我方投标文件内容的真实性和有效性进行审查、验证</w:t>
            </w:r>
          </w:p>
        </w:tc>
        <w:tc>
          <w:tcPr>
            <w:tcW w:w="1119" w:type="dxa"/>
            <w:vAlign w:val="center"/>
          </w:tcPr>
          <w:p>
            <w:pPr>
              <w:pStyle w:val="185"/>
              <w:snapToGrid w:val="0"/>
              <w:rPr>
                <w:rFonts w:ascii="宋体" w:hAnsi="宋体" w:cs="宋体"/>
                <w:color w:val="000000" w:themeColor="text1"/>
                <w:highlight w:val="none"/>
                <w14:textFill>
                  <w14:solidFill>
                    <w14:schemeClr w14:val="tx1"/>
                  </w14:solidFill>
                </w14:textFill>
              </w:rPr>
            </w:pPr>
          </w:p>
        </w:tc>
        <w:tc>
          <w:tcPr>
            <w:tcW w:w="1723" w:type="dxa"/>
            <w:vAlign w:val="center"/>
          </w:tcPr>
          <w:p>
            <w:pPr>
              <w:pStyle w:val="186"/>
              <w:keepNext w:val="0"/>
              <w:adjustRightInd/>
              <w:snapToGrid w:val="0"/>
              <w:spacing w:before="0" w:after="0" w:line="240" w:lineRule="auto"/>
              <w:jc w:val="both"/>
              <w:textAlignment w:val="auto"/>
              <w:rPr>
                <w:rFonts w:ascii="宋体" w:hAnsi="宋体" w:cs="宋体"/>
                <w:color w:val="000000" w:themeColor="text1"/>
                <w:spacing w:val="0"/>
                <w:kern w:val="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12</w:t>
            </w:r>
          </w:p>
        </w:tc>
        <w:tc>
          <w:tcPr>
            <w:tcW w:w="583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其它商务条款偏离说明：</w:t>
            </w:r>
          </w:p>
        </w:tc>
        <w:tc>
          <w:tcPr>
            <w:tcW w:w="1119" w:type="dxa"/>
            <w:vAlign w:val="center"/>
          </w:tcPr>
          <w:p>
            <w:pPr>
              <w:pStyle w:val="185"/>
              <w:snapToGrid w:val="0"/>
              <w:rPr>
                <w:rFonts w:ascii="宋体" w:hAnsi="宋体" w:cs="宋体"/>
                <w:color w:val="000000" w:themeColor="text1"/>
                <w:highlight w:val="none"/>
                <w14:textFill>
                  <w14:solidFill>
                    <w14:schemeClr w14:val="tx1"/>
                  </w14:solidFill>
                </w14:textFill>
              </w:rPr>
            </w:pPr>
          </w:p>
        </w:tc>
        <w:tc>
          <w:tcPr>
            <w:tcW w:w="1723" w:type="dxa"/>
            <w:vAlign w:val="center"/>
          </w:tcPr>
          <w:p>
            <w:pPr>
              <w:pStyle w:val="186"/>
              <w:keepNext w:val="0"/>
              <w:adjustRightInd/>
              <w:snapToGrid w:val="0"/>
              <w:spacing w:before="0" w:after="0" w:line="240" w:lineRule="auto"/>
              <w:jc w:val="both"/>
              <w:textAlignment w:val="auto"/>
              <w:rPr>
                <w:rFonts w:ascii="宋体" w:hAnsi="宋体" w:cs="宋体"/>
                <w:color w:val="000000" w:themeColor="text1"/>
                <w:spacing w:val="0"/>
                <w:kern w:val="2"/>
                <w:highlight w:val="none"/>
                <w14:textFill>
                  <w14:solidFill>
                    <w14:schemeClr w14:val="tx1"/>
                  </w14:solidFill>
                </w14:textFill>
              </w:rPr>
            </w:pPr>
          </w:p>
        </w:tc>
      </w:tr>
    </w:tbl>
    <w:p>
      <w:pPr>
        <w:pStyle w:val="20"/>
        <w:spacing w:line="400" w:lineRule="exact"/>
        <w:jc w:val="left"/>
        <w:rPr>
          <w:rFonts w:hAnsi="宋体" w:cs="宋体"/>
          <w:b/>
          <w:color w:val="000000" w:themeColor="text1"/>
          <w:sz w:val="24"/>
          <w:szCs w:val="24"/>
          <w:highlight w:val="none"/>
          <w:u w:val="single"/>
          <w14:textFill>
            <w14:solidFill>
              <w14:schemeClr w14:val="tx1"/>
            </w14:solidFill>
          </w14:textFill>
        </w:rPr>
      </w:pPr>
    </w:p>
    <w:p>
      <w:pPr>
        <w:pStyle w:val="20"/>
        <w:spacing w:line="600" w:lineRule="exact"/>
        <w:ind w:firstLine="306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投标人（加盖单位公章）：</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600" w:lineRule="exact"/>
        <w:ind w:firstLine="306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法定代表人（负责人）或委托代理人签名：</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600" w:lineRule="exact"/>
        <w:ind w:firstLine="3060"/>
        <w:rPr>
          <w:rFonts w:hAnsi="宋体" w:cs="宋体"/>
          <w:color w:val="000000" w:themeColor="text1"/>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投标日期：</w:t>
      </w:r>
      <w:r>
        <w:rPr>
          <w:rFonts w:hint="eastAsia" w:hAnsi="宋体" w:cs="宋体"/>
          <w:color w:val="000000" w:themeColor="text1"/>
          <w:sz w:val="24"/>
          <w:szCs w:val="24"/>
          <w:highlight w:val="none"/>
          <w:u w:val="single"/>
          <w14:textFill>
            <w14:solidFill>
              <w14:schemeClr w14:val="tx1"/>
            </w14:solidFill>
          </w14:textFill>
        </w:rPr>
        <w:t xml:space="preserve">                                          </w:t>
      </w:r>
    </w:p>
    <w:p>
      <w:pPr>
        <w:spacing w:line="320" w:lineRule="exact"/>
        <w:ind w:left="944" w:hanging="944" w:hangingChars="448"/>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说明：</w:t>
      </w:r>
    </w:p>
    <w:p>
      <w:pPr>
        <w:pStyle w:val="20"/>
        <w:spacing w:line="320" w:lineRule="exact"/>
        <w:ind w:left="315" w:hanging="315" w:hangingChars="150"/>
        <w:jc w:val="left"/>
        <w:rPr>
          <w:rFonts w:hAnsi="宋体" w:cs="宋体"/>
          <w:color w:val="000000" w:themeColor="text1"/>
          <w:highlight w:val="none"/>
          <w:lang w:val="en-GB"/>
          <w14:textFill>
            <w14:solidFill>
              <w14:schemeClr w14:val="tx1"/>
            </w14:solidFill>
          </w14:textFill>
        </w:rPr>
      </w:pPr>
      <w:r>
        <w:rPr>
          <w:rFonts w:hint="eastAsia" w:hAnsi="宋体" w:cs="宋体"/>
          <w:color w:val="000000" w:themeColor="text1"/>
          <w:highlight w:val="none"/>
          <w:lang w:val="en-GB"/>
          <w14:textFill>
            <w14:solidFill>
              <w14:schemeClr w14:val="tx1"/>
            </w14:solidFill>
          </w14:textFill>
        </w:rPr>
        <w:t>1、对于上述要求，如投标人完全响应，则请在“是否响应”栏内打“√”，空白或打“×”视为偏离，请在</w:t>
      </w:r>
      <w:r>
        <w:rPr>
          <w:rFonts w:hint="eastAsia" w:hAnsi="宋体" w:cs="宋体"/>
          <w:color w:val="000000" w:themeColor="text1"/>
          <w:highlight w:val="none"/>
          <w14:textFill>
            <w14:solidFill>
              <w14:schemeClr w14:val="tx1"/>
            </w14:solidFill>
          </w14:textFill>
        </w:rPr>
        <w:t>“偏离说明”</w:t>
      </w:r>
      <w:r>
        <w:rPr>
          <w:rFonts w:hint="eastAsia" w:hAnsi="宋体" w:cs="宋体"/>
          <w:color w:val="000000" w:themeColor="text1"/>
          <w:highlight w:val="none"/>
          <w:lang w:val="en-GB"/>
          <w14:textFill>
            <w14:solidFill>
              <w14:schemeClr w14:val="tx1"/>
            </w14:solidFill>
          </w14:textFill>
        </w:rPr>
        <w:t>栏内扼要说明偏离情况。</w:t>
      </w:r>
    </w:p>
    <w:p>
      <w:pPr>
        <w:pStyle w:val="20"/>
        <w:spacing w:line="320" w:lineRule="exact"/>
        <w:ind w:left="315" w:hanging="315" w:hangingChars="15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2、特别对有具体重要要求的指标，投标人必须说有具体内容。如果仅注明“符合”、“满足”或简单复制招标文件中的要求，该投标文件视为无效。</w:t>
      </w:r>
    </w:p>
    <w:p>
      <w:pPr>
        <w:pStyle w:val="20"/>
        <w:spacing w:line="320" w:lineRule="exact"/>
        <w:ind w:left="315" w:hanging="315" w:hangingChars="15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lang w:val="en-GB"/>
          <w14:textFill>
            <w14:solidFill>
              <w14:schemeClr w14:val="tx1"/>
            </w14:solidFill>
          </w14:textFill>
        </w:rPr>
        <w:t>3、本表内容</w:t>
      </w:r>
      <w:r>
        <w:rPr>
          <w:rFonts w:hint="eastAsia" w:hAnsi="宋体" w:cs="宋体"/>
          <w:color w:val="000000" w:themeColor="text1"/>
          <w:highlight w:val="none"/>
          <w14:textFill>
            <w14:solidFill>
              <w14:schemeClr w14:val="tx1"/>
            </w14:solidFill>
          </w14:textFill>
        </w:rPr>
        <w:t>不得</w:t>
      </w:r>
      <w:r>
        <w:rPr>
          <w:rFonts w:hint="eastAsia" w:hAnsi="宋体" w:cs="宋体"/>
          <w:color w:val="000000" w:themeColor="text1"/>
          <w:highlight w:val="none"/>
          <w:lang w:val="en-GB"/>
          <w14:textFill>
            <w14:solidFill>
              <w14:schemeClr w14:val="tx1"/>
            </w14:solidFill>
          </w14:textFill>
        </w:rPr>
        <w:t>擅自修改，否则</w:t>
      </w:r>
      <w:r>
        <w:rPr>
          <w:rFonts w:hint="eastAsia" w:hAnsi="宋体" w:cs="宋体"/>
          <w:color w:val="000000" w:themeColor="text1"/>
          <w:highlight w:val="none"/>
          <w14:textFill>
            <w14:solidFill>
              <w14:schemeClr w14:val="tx1"/>
            </w14:solidFill>
          </w14:textFill>
        </w:rPr>
        <w:t>该投标文件视为无效。</w:t>
      </w:r>
      <w:r>
        <w:rPr>
          <w:rFonts w:hint="eastAsia" w:hAnsi="宋体" w:cs="宋体"/>
          <w:color w:val="000000" w:themeColor="text1"/>
          <w:highlight w:val="none"/>
          <w14:textFill>
            <w14:solidFill>
              <w14:schemeClr w14:val="tx1"/>
            </w14:solidFill>
          </w14:textFill>
        </w:rPr>
        <w:br w:type="page"/>
      </w:r>
    </w:p>
    <w:p>
      <w:pPr>
        <w:pStyle w:val="20"/>
        <w:spacing w:line="400" w:lineRule="exact"/>
        <w:ind w:left="315" w:hanging="315" w:hangingChars="150"/>
        <w:jc w:val="left"/>
        <w:rPr>
          <w:rFonts w:hAnsi="宋体" w:cs="宋体"/>
          <w:color w:val="000000" w:themeColor="text1"/>
          <w:highlight w:val="none"/>
          <w14:textFill>
            <w14:solidFill>
              <w14:schemeClr w14:val="tx1"/>
            </w14:solidFill>
          </w14:textFill>
        </w:rPr>
      </w:pPr>
    </w:p>
    <w:p>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技术要求响应表（格式）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939"/>
        <w:gridCol w:w="2674"/>
        <w:gridCol w:w="259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Align w:val="center"/>
          </w:tcPr>
          <w:p>
            <w:pPr>
              <w:pStyle w:val="20"/>
              <w:snapToGrid w:val="0"/>
              <w:ind w:left="-105" w:leftChars="-50" w:right="-105" w:rightChars="-5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序号</w:t>
            </w:r>
          </w:p>
        </w:tc>
        <w:tc>
          <w:tcPr>
            <w:tcW w:w="1939"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采购内容</w:t>
            </w:r>
          </w:p>
        </w:tc>
        <w:tc>
          <w:tcPr>
            <w:tcW w:w="2674"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原技术规范主要条款要求</w:t>
            </w:r>
          </w:p>
        </w:tc>
        <w:tc>
          <w:tcPr>
            <w:tcW w:w="2599"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投标文件具体响应</w:t>
            </w:r>
          </w:p>
        </w:tc>
        <w:tc>
          <w:tcPr>
            <w:tcW w:w="1143"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技术偏离情况说明(＋/-/=)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w:t>
            </w:r>
          </w:p>
        </w:tc>
        <w:tc>
          <w:tcPr>
            <w:tcW w:w="193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674"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59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1143" w:type="dxa"/>
            <w:vAlign w:val="center"/>
          </w:tcPr>
          <w:p>
            <w:pPr>
              <w:pStyle w:val="20"/>
              <w:snapToGrid w:val="0"/>
              <w:jc w:val="center"/>
              <w:rPr>
                <w:rFonts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p>
        </w:tc>
        <w:tc>
          <w:tcPr>
            <w:tcW w:w="193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674"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59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1143" w:type="dxa"/>
            <w:vAlign w:val="center"/>
          </w:tcPr>
          <w:p>
            <w:pPr>
              <w:pStyle w:val="20"/>
              <w:snapToGrid w:val="0"/>
              <w:jc w:val="center"/>
              <w:rPr>
                <w:rFonts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w:t>
            </w:r>
          </w:p>
        </w:tc>
        <w:tc>
          <w:tcPr>
            <w:tcW w:w="193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674"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59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1143" w:type="dxa"/>
            <w:vAlign w:val="center"/>
          </w:tcPr>
          <w:p>
            <w:pPr>
              <w:pStyle w:val="20"/>
              <w:snapToGrid w:val="0"/>
              <w:jc w:val="center"/>
              <w:rPr>
                <w:rFonts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w:t>
            </w:r>
          </w:p>
        </w:tc>
        <w:tc>
          <w:tcPr>
            <w:tcW w:w="193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674"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59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1143" w:type="dxa"/>
            <w:vAlign w:val="center"/>
          </w:tcPr>
          <w:p>
            <w:pPr>
              <w:pStyle w:val="20"/>
              <w:snapToGrid w:val="0"/>
              <w:jc w:val="center"/>
              <w:rPr>
                <w:rFonts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w:t>
            </w:r>
          </w:p>
        </w:tc>
        <w:tc>
          <w:tcPr>
            <w:tcW w:w="193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674"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59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1143" w:type="dxa"/>
            <w:vAlign w:val="center"/>
          </w:tcPr>
          <w:p>
            <w:pPr>
              <w:pStyle w:val="20"/>
              <w:snapToGrid w:val="0"/>
              <w:jc w:val="center"/>
              <w:rPr>
                <w:rFonts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p>
        </w:tc>
        <w:tc>
          <w:tcPr>
            <w:tcW w:w="193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674"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2599" w:type="dxa"/>
            <w:vAlign w:val="center"/>
          </w:tcPr>
          <w:p>
            <w:pPr>
              <w:pStyle w:val="20"/>
              <w:snapToGrid w:val="0"/>
              <w:jc w:val="center"/>
              <w:rPr>
                <w:rFonts w:hAnsi="宋体" w:cs="宋体"/>
                <w:color w:val="000000" w:themeColor="text1"/>
                <w:highlight w:val="none"/>
                <w14:textFill>
                  <w14:solidFill>
                    <w14:schemeClr w14:val="tx1"/>
                  </w14:solidFill>
                </w14:textFill>
              </w:rPr>
            </w:pPr>
          </w:p>
        </w:tc>
        <w:tc>
          <w:tcPr>
            <w:tcW w:w="1143" w:type="dxa"/>
            <w:vAlign w:val="center"/>
          </w:tcPr>
          <w:p>
            <w:pPr>
              <w:pStyle w:val="20"/>
              <w:snapToGrid w:val="0"/>
              <w:jc w:val="center"/>
              <w:rPr>
                <w:rFonts w:hAnsi="宋体" w:cs="宋体"/>
                <w:color w:val="000000" w:themeColor="text1"/>
                <w:highlight w:val="none"/>
                <w14:textFill>
                  <w14:solidFill>
                    <w14:schemeClr w14:val="tx1"/>
                  </w14:solidFill>
                </w14:textFill>
              </w:rPr>
            </w:pPr>
          </w:p>
        </w:tc>
      </w:tr>
    </w:tbl>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20"/>
        <w:spacing w:line="600" w:lineRule="exact"/>
        <w:ind w:firstLine="306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投标人（加盖公章）：</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600" w:lineRule="exact"/>
        <w:ind w:firstLine="306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法定代表人（负责人）或委托代理人（签名）：</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600" w:lineRule="exact"/>
        <w:ind w:firstLine="306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投标日期：</w:t>
      </w:r>
      <w:r>
        <w:rPr>
          <w:rFonts w:hint="eastAsia" w:hAnsi="宋体" w:cs="宋体"/>
          <w:color w:val="000000" w:themeColor="text1"/>
          <w:sz w:val="24"/>
          <w:szCs w:val="24"/>
          <w:highlight w:val="none"/>
          <w:u w:val="single"/>
          <w14:textFill>
            <w14:solidFill>
              <w14:schemeClr w14:val="tx1"/>
            </w14:solidFill>
          </w14:textFill>
        </w:rPr>
        <w:t xml:space="preserve">                                           </w:t>
      </w: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20"/>
        <w:spacing w:line="360" w:lineRule="exact"/>
        <w:jc w:val="left"/>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说明：</w:t>
      </w:r>
    </w:p>
    <w:p>
      <w:pPr>
        <w:pStyle w:val="20"/>
        <w:spacing w:line="360" w:lineRule="exact"/>
        <w:ind w:left="315" w:hanging="315" w:hangingChars="15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投标人必须仔细阅读招标文件中所有技术规范条款和相关功能要求，并对所有技术规范和功能偏离的条目列入响应表。投标人必须根据所投产品和服务的实际情况如实填写，评标委员会如发现有虚假描述的，或仅注明“符合”、“满足”或简单复制招标文件要求，该投标文件视为无效。</w:t>
      </w:r>
    </w:p>
    <w:p>
      <w:pPr>
        <w:pStyle w:val="20"/>
        <w:spacing w:line="360" w:lineRule="exact"/>
        <w:ind w:left="315" w:hanging="315" w:hangingChars="15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2、投标人根据项目要求添加的设备、材料等也请列出。</w:t>
      </w:r>
    </w:p>
    <w:p>
      <w:pPr>
        <w:pStyle w:val="20"/>
        <w:spacing w:line="360" w:lineRule="exact"/>
        <w:ind w:left="315" w:hanging="315" w:hangingChars="15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3、是否偏离用符号“+、=、-”分别表示正偏离、完全响应、负偏离。</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br w:type="page"/>
      </w:r>
    </w:p>
    <w:p>
      <w:pPr>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产品配置清单（格式）</w:t>
      </w: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产品名称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单位及数量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20"/>
              <w:snapToGrid w:val="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r>
    </w:tbl>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pStyle w:val="20"/>
        <w:spacing w:line="600" w:lineRule="exact"/>
        <w:ind w:firstLine="306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投标人（加盖公章）：</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600" w:lineRule="exact"/>
        <w:ind w:firstLine="306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法定代表人（负责人）或委托代理人签名：</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0"/>
        <w:spacing w:line="600" w:lineRule="exact"/>
        <w:ind w:firstLine="306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投标日期：</w:t>
      </w:r>
      <w:r>
        <w:rPr>
          <w:rFonts w:hint="eastAsia" w:hAnsi="宋体" w:cs="宋体"/>
          <w:color w:val="000000" w:themeColor="text1"/>
          <w:sz w:val="24"/>
          <w:szCs w:val="24"/>
          <w:highlight w:val="none"/>
          <w:u w:val="single"/>
          <w14:textFill>
            <w14:solidFill>
              <w14:schemeClr w14:val="tx1"/>
            </w14:solidFill>
          </w14:textFill>
        </w:rPr>
        <w:t xml:space="preserve">                                          </w:t>
      </w:r>
    </w:p>
    <w:p>
      <w:pPr>
        <w:spacing w:line="400" w:lineRule="exact"/>
        <w:ind w:firstLine="210" w:firstLineChars="100"/>
        <w:rPr>
          <w:rFonts w:ascii="宋体" w:hAnsi="宋体" w:cs="宋体"/>
          <w:color w:val="000000" w:themeColor="text1"/>
          <w:highlight w:val="none"/>
          <w:u w:val="single"/>
          <w14:textFill>
            <w14:solidFill>
              <w14:schemeClr w14:val="tx1"/>
            </w14:solidFill>
          </w14:textFill>
        </w:rPr>
      </w:pPr>
    </w:p>
    <w:p>
      <w:pPr>
        <w:spacing w:line="460" w:lineRule="exact"/>
        <w:ind w:left="482" w:hanging="482" w:hangingChars="150"/>
        <w:jc w:val="center"/>
        <w:rPr>
          <w:rFonts w:ascii="宋体" w:hAnsi="宋体" w:cs="宋体"/>
          <w:b/>
          <w:bCs/>
          <w:color w:val="000000" w:themeColor="text1"/>
          <w:sz w:val="32"/>
          <w:szCs w:val="32"/>
          <w:highlight w:val="none"/>
          <w14:textFill>
            <w14:solidFill>
              <w14:schemeClr w14:val="tx1"/>
            </w14:solidFill>
          </w14:textFill>
        </w:rPr>
      </w:pPr>
    </w:p>
    <w:p>
      <w:pPr>
        <w:spacing w:line="460" w:lineRule="exact"/>
        <w:ind w:left="482" w:hanging="482" w:hangingChars="15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售后服务方案</w:t>
      </w:r>
    </w:p>
    <w:p>
      <w:pPr>
        <w:spacing w:line="460" w:lineRule="exact"/>
        <w:ind w:left="482" w:hanging="482" w:hangingChars="1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格式自议，</w:t>
      </w:r>
      <w:r>
        <w:rPr>
          <w:rFonts w:hint="eastAsia" w:ascii="宋体" w:hAnsi="宋体" w:cs="宋体"/>
          <w:color w:val="000000" w:themeColor="text1"/>
          <w:highlight w:val="none"/>
          <w14:textFill>
            <w14:solidFill>
              <w14:schemeClr w14:val="tx1"/>
            </w14:solidFill>
          </w14:textFill>
        </w:rPr>
        <w:t>投标人根据本项目要求及自己的实际情况自行编写，内容包括质保期、本地化服务、技术培训及指导、负责售后维修的主管人员情况、解决故障的响应时间等</w:t>
      </w:r>
      <w:r>
        <w:rPr>
          <w:rFonts w:hint="eastAsia" w:ascii="宋体" w:hAnsi="宋体" w:cs="宋体"/>
          <w:b/>
          <w:bCs/>
          <w:color w:val="000000" w:themeColor="text1"/>
          <w:sz w:val="32"/>
          <w:szCs w:val="32"/>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w:t>
      </w:r>
    </w:p>
    <w:p>
      <w:pPr>
        <w:spacing w:line="460" w:lineRule="exact"/>
        <w:ind w:left="315" w:hanging="315" w:hangingChars="15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pStyle w:val="35"/>
        <w:shd w:val="clear" w:color="auto" w:fill="FFFFFF"/>
        <w:spacing w:before="0" w:beforeAutospacing="0" w:after="0" w:afterAutospacing="0" w:line="400" w:lineRule="exact"/>
        <w:rPr>
          <w:bCs/>
          <w:color w:val="000000" w:themeColor="text1"/>
          <w:sz w:val="28"/>
          <w:szCs w:val="28"/>
          <w:highlight w:val="none"/>
          <w14:textFill>
            <w14:solidFill>
              <w14:schemeClr w14:val="tx1"/>
            </w14:solidFill>
          </w14:textFill>
        </w:rPr>
      </w:pPr>
      <w:r>
        <w:rPr>
          <w:rFonts w:hint="eastAsia"/>
          <w:bCs/>
          <w:color w:val="000000" w:themeColor="text1"/>
          <w:sz w:val="28"/>
          <w:szCs w:val="28"/>
          <w:highlight w:val="none"/>
          <w14:textFill>
            <w14:solidFill>
              <w14:schemeClr w14:val="tx1"/>
            </w14:solidFill>
          </w14:textFill>
        </w:rPr>
        <w:t>《中小企业声明函》格式（不符合《政府采购促进中小企业发展暂行办法》的供应商不需填写）</w:t>
      </w:r>
    </w:p>
    <w:p>
      <w:pPr>
        <w:pStyle w:val="35"/>
        <w:shd w:val="clear" w:color="auto" w:fill="FFFFFF"/>
        <w:spacing w:before="0" w:beforeAutospacing="0" w:after="0" w:afterAutospacing="0" w:line="400" w:lineRule="exact"/>
        <w:jc w:val="center"/>
        <w:rPr>
          <w:rStyle w:val="43"/>
          <w:color w:val="000000" w:themeColor="text1"/>
          <w:sz w:val="32"/>
          <w:szCs w:val="32"/>
          <w:highlight w:val="none"/>
          <w14:textFill>
            <w14:solidFill>
              <w14:schemeClr w14:val="tx1"/>
            </w14:solidFill>
          </w14:textFill>
        </w:rPr>
      </w:pPr>
    </w:p>
    <w:p>
      <w:pPr>
        <w:pStyle w:val="35"/>
        <w:shd w:val="clear" w:color="auto" w:fill="FFFFFF"/>
        <w:spacing w:before="0" w:beforeAutospacing="0" w:after="0" w:afterAutospacing="0" w:line="400" w:lineRule="exact"/>
        <w:jc w:val="center"/>
        <w:rPr>
          <w:rStyle w:val="43"/>
          <w:color w:val="000000" w:themeColor="text1"/>
          <w:sz w:val="32"/>
          <w:szCs w:val="32"/>
          <w:highlight w:val="none"/>
          <w14:textFill>
            <w14:solidFill>
              <w14:schemeClr w14:val="tx1"/>
            </w14:solidFill>
          </w14:textFill>
        </w:rPr>
      </w:pPr>
      <w:r>
        <w:rPr>
          <w:rStyle w:val="43"/>
          <w:rFonts w:hint="eastAsia"/>
          <w:color w:val="000000" w:themeColor="text1"/>
          <w:sz w:val="32"/>
          <w:szCs w:val="32"/>
          <w:highlight w:val="none"/>
          <w14:textFill>
            <w14:solidFill>
              <w14:schemeClr w14:val="tx1"/>
            </w14:solidFill>
          </w14:textFill>
        </w:rPr>
        <w:t>中小企业声明函</w:t>
      </w:r>
    </w:p>
    <w:p>
      <w:pPr>
        <w:pStyle w:val="35"/>
        <w:shd w:val="clear" w:color="auto" w:fill="FFFFFF"/>
        <w:spacing w:before="0" w:beforeAutospacing="0" w:after="0" w:afterAutospacing="0" w:line="400" w:lineRule="exact"/>
        <w:jc w:val="center"/>
        <w:rPr>
          <w:color w:val="000000" w:themeColor="text1"/>
          <w:sz w:val="32"/>
          <w:szCs w:val="32"/>
          <w:highlight w:val="none"/>
          <w14:textFill>
            <w14:solidFill>
              <w14:schemeClr w14:val="tx1"/>
            </w14:solidFill>
          </w14:textFill>
        </w:rPr>
      </w:pPr>
    </w:p>
    <w:p>
      <w:pPr>
        <w:pStyle w:val="35"/>
        <w:shd w:val="clear" w:color="auto" w:fill="FFFFFF"/>
        <w:spacing w:before="0" w:beforeAutospacing="0" w:after="0" w:afterAutospacing="0" w:line="460" w:lineRule="exact"/>
        <w:ind w:firstLine="53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本公司郑重声明，根据《政府采购促进中小企业发展暂行办法》（财库〔2011〕181号）的规定，本公司为</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（请填写：中型、小型、微型）企业。即，本公司同时满足以下条件：</w:t>
      </w:r>
    </w:p>
    <w:p>
      <w:pPr>
        <w:pStyle w:val="35"/>
        <w:shd w:val="clear" w:color="auto" w:fill="FFFFFF"/>
        <w:spacing w:before="0" w:beforeAutospacing="0" w:after="0" w:afterAutospacing="0" w:line="460" w:lineRule="exact"/>
        <w:ind w:firstLine="53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1.根据《工业和信息化部、国家统计局、国家发展和改革委员会、财政部关于印发中小企业划型标准规定的通知》（工信部联企业〔2011〕300号）规定的划分标准，本公司为</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（请填写：中型、小型、微型）企业。</w:t>
      </w:r>
    </w:p>
    <w:p>
      <w:pPr>
        <w:pStyle w:val="35"/>
        <w:shd w:val="clear" w:color="auto" w:fill="FFFFFF"/>
        <w:spacing w:before="0" w:beforeAutospacing="0" w:after="0" w:afterAutospacing="0" w:line="460" w:lineRule="exact"/>
        <w:ind w:firstLine="53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2.本公司参加</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单位的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项目采购活动提供本企业制造的货物，由本企业承担工程、提供服务，或者提供其他</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（请填写：中型、小型、微型）企业制造的货物。本条所称货物不包括使用大型企业注册商标的货物。</w:t>
      </w:r>
    </w:p>
    <w:p>
      <w:pPr>
        <w:pStyle w:val="35"/>
        <w:shd w:val="clear" w:color="auto" w:fill="FFFFFF"/>
        <w:spacing w:before="0" w:beforeAutospacing="0" w:after="0" w:afterAutospacing="0" w:line="460" w:lineRule="exact"/>
        <w:ind w:firstLine="53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本公司对上述声明的真实性负责。如有虚假，将依法承担相应责任。</w:t>
      </w:r>
    </w:p>
    <w:p>
      <w:pPr>
        <w:pStyle w:val="35"/>
        <w:shd w:val="clear" w:color="auto" w:fill="FFFFFF"/>
        <w:spacing w:before="0" w:beforeAutospacing="0" w:after="0" w:afterAutospacing="0" w:line="460" w:lineRule="exact"/>
        <w:ind w:firstLine="539"/>
        <w:rPr>
          <w:color w:val="000000" w:themeColor="text1"/>
          <w:highlight w:val="none"/>
          <w14:textFill>
            <w14:solidFill>
              <w14:schemeClr w14:val="tx1"/>
            </w14:solidFill>
          </w14:textFill>
        </w:rPr>
      </w:pPr>
    </w:p>
    <w:p>
      <w:pPr>
        <w:pStyle w:val="35"/>
        <w:shd w:val="clear" w:color="auto" w:fill="FFFFFF"/>
        <w:spacing w:before="0" w:beforeAutospacing="0" w:after="0" w:afterAutospacing="0" w:line="460" w:lineRule="exact"/>
        <w:ind w:firstLine="414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企业名称（盖章）：</w:t>
      </w:r>
    </w:p>
    <w:p>
      <w:pPr>
        <w:pStyle w:val="35"/>
        <w:shd w:val="clear" w:color="auto" w:fill="FFFFFF"/>
        <w:spacing w:before="0" w:beforeAutospacing="0" w:after="0" w:afterAutospacing="0" w:line="460" w:lineRule="exact"/>
        <w:ind w:firstLine="414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日    期： </w:t>
      </w:r>
    </w:p>
    <w:p>
      <w:pPr>
        <w:spacing w:line="400" w:lineRule="exact"/>
        <w:ind w:firstLine="210" w:firstLineChars="100"/>
        <w:rPr>
          <w:rFonts w:ascii="宋体" w:hAnsi="宋体" w:cs="宋体"/>
          <w:color w:val="000000" w:themeColor="text1"/>
          <w:highlight w:val="none"/>
          <w14:textFill>
            <w14:solidFill>
              <w14:schemeClr w14:val="tx1"/>
            </w14:solidFill>
          </w14:textFill>
        </w:rPr>
      </w:pPr>
    </w:p>
    <w:p>
      <w:pPr>
        <w:spacing w:line="300" w:lineRule="exact"/>
        <w:ind w:left="315" w:hanging="315" w:hangingChars="150"/>
        <w:rPr>
          <w:rFonts w:ascii="宋体" w:hAnsi="宋体" w:cs="宋体"/>
          <w:color w:val="000000" w:themeColor="text1"/>
          <w:highlight w:val="none"/>
          <w14:textFill>
            <w14:solidFill>
              <w14:schemeClr w14:val="tx1"/>
            </w14:solidFill>
          </w14:textFill>
        </w:rPr>
      </w:pPr>
    </w:p>
    <w:p>
      <w:pPr>
        <w:spacing w:line="300" w:lineRule="exact"/>
        <w:ind w:left="315" w:hanging="315" w:hangingChars="150"/>
        <w:rPr>
          <w:rFonts w:ascii="宋体" w:hAnsi="宋体" w:cs="宋体"/>
          <w:color w:val="000000" w:themeColor="text1"/>
          <w:highlight w:val="none"/>
          <w14:textFill>
            <w14:solidFill>
              <w14:schemeClr w14:val="tx1"/>
            </w14:solidFill>
          </w14:textFill>
        </w:rPr>
      </w:pPr>
    </w:p>
    <w:p>
      <w:pPr>
        <w:spacing w:line="300" w:lineRule="exact"/>
        <w:ind w:left="315" w:hanging="315" w:hangingChars="150"/>
        <w:rPr>
          <w:rFonts w:ascii="宋体" w:hAnsi="宋体" w:cs="宋体"/>
          <w:color w:val="000000" w:themeColor="text1"/>
          <w:highlight w:val="none"/>
          <w14:textFill>
            <w14:solidFill>
              <w14:schemeClr w14:val="tx1"/>
            </w14:solidFill>
          </w14:textFill>
        </w:rPr>
      </w:pPr>
    </w:p>
    <w:p>
      <w:pPr>
        <w:spacing w:line="300" w:lineRule="exact"/>
        <w:ind w:left="315" w:hanging="315" w:hangingChars="150"/>
        <w:rPr>
          <w:rFonts w:ascii="宋体" w:hAnsi="宋体" w:cs="宋体"/>
          <w:color w:val="000000" w:themeColor="text1"/>
          <w:highlight w:val="none"/>
          <w14:textFill>
            <w14:solidFill>
              <w14:schemeClr w14:val="tx1"/>
            </w14:solidFill>
          </w14:textFill>
        </w:rPr>
      </w:pPr>
    </w:p>
    <w:p>
      <w:pPr>
        <w:spacing w:line="300" w:lineRule="exact"/>
        <w:ind w:left="315" w:hanging="315" w:hangingChars="150"/>
        <w:rPr>
          <w:rFonts w:ascii="宋体" w:hAnsi="宋体" w:cs="宋体"/>
          <w:color w:val="000000" w:themeColor="text1"/>
          <w:highlight w:val="none"/>
          <w14:textFill>
            <w14:solidFill>
              <w14:schemeClr w14:val="tx1"/>
            </w14:solidFill>
          </w14:textFill>
        </w:rPr>
      </w:pPr>
    </w:p>
    <w:p>
      <w:pPr>
        <w:spacing w:line="3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pStyle w:val="35"/>
        <w:shd w:val="clear" w:color="auto" w:fill="FFFFFF"/>
        <w:spacing w:before="0" w:beforeAutospacing="0" w:after="0" w:afterAutospacing="0" w:line="400" w:lineRule="exact"/>
        <w:rPr>
          <w:bCs/>
          <w:color w:val="000000" w:themeColor="text1"/>
          <w:sz w:val="28"/>
          <w:szCs w:val="28"/>
          <w:highlight w:val="none"/>
          <w14:textFill>
            <w14:solidFill>
              <w14:schemeClr w14:val="tx1"/>
            </w14:solidFill>
          </w14:textFill>
        </w:rPr>
      </w:pPr>
      <w:r>
        <w:rPr>
          <w:rFonts w:hint="eastAsia"/>
          <w:bCs/>
          <w:color w:val="000000" w:themeColor="text1"/>
          <w:sz w:val="28"/>
          <w:szCs w:val="28"/>
          <w:highlight w:val="none"/>
          <w14:textFill>
            <w14:solidFill>
              <w14:schemeClr w14:val="tx1"/>
            </w14:solidFill>
          </w14:textFill>
        </w:rPr>
        <w:t>《小型和微型企业价格扣除明细表》格式（不符合《政府采购促进中小企业发展暂行办法》的供应商不需填写）</w:t>
      </w:r>
    </w:p>
    <w:p>
      <w:pPr>
        <w:pStyle w:val="35"/>
        <w:shd w:val="clear" w:color="auto" w:fill="FFFFFF"/>
        <w:spacing w:before="0" w:beforeAutospacing="0" w:after="0" w:afterAutospacing="0" w:line="400" w:lineRule="exact"/>
        <w:rPr>
          <w:color w:val="000000" w:themeColor="text1"/>
          <w:highlight w:val="none"/>
          <w14:textFill>
            <w14:solidFill>
              <w14:schemeClr w14:val="tx1"/>
            </w14:solidFill>
          </w14:textFill>
        </w:rPr>
      </w:pPr>
    </w:p>
    <w:p>
      <w:pPr>
        <w:pStyle w:val="175"/>
        <w:shd w:val="clear" w:color="auto" w:fill="FFFFFF"/>
        <w:spacing w:before="0" w:beforeAutospacing="0" w:after="0" w:afterAutospacing="0"/>
        <w:ind w:left="1836" w:hanging="1424"/>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小型和微型企业价格扣除明细表</w:t>
      </w:r>
    </w:p>
    <w:p>
      <w:pPr>
        <w:pStyle w:val="175"/>
        <w:shd w:val="clear" w:color="auto" w:fill="FFFFFF"/>
        <w:spacing w:before="0" w:beforeAutospacing="0" w:after="0" w:afterAutospacing="0"/>
        <w:rPr>
          <w:b/>
          <w:color w:val="000000" w:themeColor="text1"/>
          <w:highlight w:val="none"/>
          <w14:textFill>
            <w14:solidFill>
              <w14:schemeClr w14:val="tx1"/>
            </w14:solidFill>
          </w14:textFill>
        </w:rPr>
      </w:pPr>
    </w:p>
    <w:p>
      <w:pPr>
        <w:pStyle w:val="175"/>
        <w:shd w:val="clear" w:color="auto" w:fill="FFFFFF"/>
        <w:spacing w:before="0" w:beforeAutospacing="0" w:after="0" w:afterAutospacing="0"/>
        <w:outlineLvl w:val="2"/>
        <w:rPr>
          <w:b/>
          <w:color w:val="000000" w:themeColor="text1"/>
          <w:highlight w:val="none"/>
          <w:u w:val="single"/>
          <w14:textFill>
            <w14:solidFill>
              <w14:schemeClr w14:val="tx1"/>
            </w14:solidFill>
          </w14:textFill>
        </w:rPr>
      </w:pPr>
      <w:r>
        <w:rPr>
          <w:rFonts w:hint="eastAsia"/>
          <w:b/>
          <w:color w:val="000000" w:themeColor="text1"/>
          <w:highlight w:val="none"/>
          <w14:textFill>
            <w14:solidFill>
              <w14:schemeClr w14:val="tx1"/>
            </w14:solidFill>
          </w14:textFill>
        </w:rPr>
        <w:t>项目名称：</w:t>
      </w:r>
      <w:r>
        <w:rPr>
          <w:rFonts w:hint="eastAsia"/>
          <w:b/>
          <w:color w:val="000000" w:themeColor="text1"/>
          <w:highlight w:val="none"/>
          <w:u w:val="single"/>
          <w14:textFill>
            <w14:solidFill>
              <w14:schemeClr w14:val="tx1"/>
            </w14:solidFill>
          </w14:textFill>
        </w:rPr>
        <w:t xml:space="preserve">                </w:t>
      </w:r>
    </w:p>
    <w:p>
      <w:pPr>
        <w:pStyle w:val="175"/>
        <w:shd w:val="clear" w:color="auto" w:fill="FFFFFF"/>
        <w:spacing w:before="0" w:beforeAutospacing="0" w:after="0" w:afterAutospacing="0"/>
        <w:outlineLvl w:val="2"/>
        <w:rPr>
          <w:b/>
          <w:color w:val="000000" w:themeColor="text1"/>
          <w:highlight w:val="none"/>
          <w:u w:val="single"/>
          <w14:textFill>
            <w14:solidFill>
              <w14:schemeClr w14:val="tx1"/>
            </w14:solidFill>
          </w14:textFill>
        </w:rPr>
      </w:pPr>
      <w:r>
        <w:rPr>
          <w:rFonts w:hint="eastAsia"/>
          <w:b/>
          <w:color w:val="000000" w:themeColor="text1"/>
          <w:highlight w:val="none"/>
          <w14:textFill>
            <w14:solidFill>
              <w14:schemeClr w14:val="tx1"/>
            </w14:solidFill>
          </w14:textFill>
        </w:rPr>
        <w:t>项目编号：</w:t>
      </w:r>
      <w:r>
        <w:rPr>
          <w:rFonts w:hint="eastAsia"/>
          <w:b/>
          <w:color w:val="000000" w:themeColor="text1"/>
          <w:highlight w:val="none"/>
          <w:u w:val="single"/>
          <w14:textFill>
            <w14:solidFill>
              <w14:schemeClr w14:val="tx1"/>
            </w14:solidFill>
          </w14:textFill>
        </w:rPr>
        <w:t xml:space="preserve">                </w:t>
      </w:r>
    </w:p>
    <w:p>
      <w:pPr>
        <w:pStyle w:val="175"/>
        <w:shd w:val="clear" w:color="auto" w:fill="FFFFFF"/>
        <w:spacing w:before="0" w:beforeAutospacing="0" w:after="0" w:afterAutospacing="0"/>
        <w:rPr>
          <w:b/>
          <w:color w:val="000000" w:themeColor="text1"/>
          <w:highlight w:val="none"/>
          <w:u w:val="single"/>
          <w14:textFill>
            <w14:solidFill>
              <w14:schemeClr w14:val="tx1"/>
            </w14:solidFill>
          </w14:textFill>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087"/>
        <w:gridCol w:w="1785"/>
        <w:gridCol w:w="1719"/>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31"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2087"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小型和微型企业产品名称</w:t>
            </w:r>
          </w:p>
        </w:tc>
        <w:tc>
          <w:tcPr>
            <w:tcW w:w="1785"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金额</w:t>
            </w:r>
          </w:p>
        </w:tc>
        <w:tc>
          <w:tcPr>
            <w:tcW w:w="1719" w:type="dxa"/>
            <w:vAlign w:val="center"/>
          </w:tcPr>
          <w:p>
            <w:pPr>
              <w:pStyle w:val="158"/>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规定价格扣除（6%）</w:t>
            </w:r>
          </w:p>
        </w:tc>
        <w:tc>
          <w:tcPr>
            <w:tcW w:w="1719"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相应价格扣除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1"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2087"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85"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19"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19"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1"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2087"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85"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19"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19"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1"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2087"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85"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19"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19"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31"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087"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85"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19"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19"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1"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合计</w:t>
            </w:r>
          </w:p>
        </w:tc>
        <w:tc>
          <w:tcPr>
            <w:tcW w:w="2087"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85"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19"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c>
          <w:tcPr>
            <w:tcW w:w="1719" w:type="dxa"/>
            <w:vAlign w:val="center"/>
          </w:tcPr>
          <w:p>
            <w:pPr>
              <w:pStyle w:val="158"/>
              <w:spacing w:before="0" w:beforeAutospacing="0" w:after="0" w:afterAutospacing="0"/>
              <w:jc w:val="center"/>
              <w:rPr>
                <w:color w:val="000000" w:themeColor="text1"/>
                <w:highlight w:val="none"/>
                <w14:textFill>
                  <w14:solidFill>
                    <w14:schemeClr w14:val="tx1"/>
                  </w14:solidFill>
                </w14:textFill>
              </w:rPr>
            </w:pPr>
          </w:p>
        </w:tc>
      </w:tr>
    </w:tbl>
    <w:p>
      <w:pPr>
        <w:pStyle w:val="158"/>
        <w:shd w:val="clear" w:color="auto" w:fill="FFFFFF"/>
        <w:spacing w:before="0" w:beforeAutospacing="0" w:after="0" w:afterAutospacing="0"/>
        <w:rPr>
          <w:color w:val="000000" w:themeColor="text1"/>
          <w:highlight w:val="none"/>
          <w14:textFill>
            <w14:solidFill>
              <w14:schemeClr w14:val="tx1"/>
            </w14:solidFill>
          </w14:textFill>
        </w:rPr>
      </w:pPr>
    </w:p>
    <w:p>
      <w:pPr>
        <w:pStyle w:val="160"/>
        <w:shd w:val="clear" w:color="auto" w:fill="FFFFFF"/>
        <w:spacing w:before="0" w:beforeAutospacing="0" w:after="0" w:afterAutospacing="0"/>
        <w:rPr>
          <w:color w:val="000000" w:themeColor="text1"/>
          <w:highlight w:val="none"/>
          <w14:textFill>
            <w14:solidFill>
              <w14:schemeClr w14:val="tx1"/>
            </w14:solidFill>
          </w14:textFill>
        </w:rPr>
      </w:pPr>
    </w:p>
    <w:p>
      <w:pPr>
        <w:pStyle w:val="160"/>
        <w:shd w:val="clear" w:color="auto" w:fill="FFFFFF"/>
        <w:spacing w:before="0" w:beforeAutospacing="0" w:after="0" w:afterAutospacing="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pStyle w:val="160"/>
        <w:shd w:val="clear" w:color="auto" w:fill="FFFFFF"/>
        <w:spacing w:before="0" w:beforeAutospacing="0" w:after="0" w:afterAutospacing="0"/>
        <w:ind w:firstLine="3780" w:firstLineChars="1575"/>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投标人（加盖公章）：</w:t>
      </w:r>
      <w:r>
        <w:rPr>
          <w:rFonts w:hint="eastAsia"/>
          <w:color w:val="000000" w:themeColor="text1"/>
          <w:highlight w:val="none"/>
          <w:u w:val="single"/>
          <w14:textFill>
            <w14:solidFill>
              <w14:schemeClr w14:val="tx1"/>
            </w14:solidFill>
          </w14:textFill>
        </w:rPr>
        <w:t xml:space="preserve">                           </w:t>
      </w:r>
    </w:p>
    <w:p>
      <w:pPr>
        <w:pStyle w:val="160"/>
        <w:shd w:val="clear" w:color="auto" w:fill="FFFFFF"/>
        <w:spacing w:before="0" w:beforeAutospacing="0" w:after="0" w:afterAutospacing="0"/>
        <w:ind w:firstLine="3780" w:firstLineChars="1575"/>
        <w:rPr>
          <w:color w:val="000000" w:themeColor="text1"/>
          <w:highlight w:val="none"/>
          <w14:textFill>
            <w14:solidFill>
              <w14:schemeClr w14:val="tx1"/>
            </w14:solidFill>
          </w14:textFill>
        </w:rPr>
      </w:pPr>
    </w:p>
    <w:p>
      <w:pPr>
        <w:pStyle w:val="160"/>
        <w:shd w:val="clear" w:color="auto" w:fill="FFFFFF"/>
        <w:spacing w:before="0" w:beforeAutospacing="0" w:after="0" w:afterAutospacing="0"/>
        <w:ind w:firstLine="3780" w:firstLineChars="1575"/>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法定代表人（负责人）或委托代理人（签字）：</w:t>
      </w:r>
      <w:r>
        <w:rPr>
          <w:rFonts w:hint="eastAsia"/>
          <w:color w:val="000000" w:themeColor="text1"/>
          <w:highlight w:val="none"/>
          <w:u w:val="single"/>
          <w14:textFill>
            <w14:solidFill>
              <w14:schemeClr w14:val="tx1"/>
            </w14:solidFill>
          </w14:textFill>
        </w:rPr>
        <w:t xml:space="preserve">             </w:t>
      </w:r>
    </w:p>
    <w:p>
      <w:pPr>
        <w:pStyle w:val="160"/>
        <w:shd w:val="clear" w:color="auto" w:fill="FFFFFF"/>
        <w:spacing w:before="0" w:beforeAutospacing="0" w:after="0" w:afterAutospacing="0"/>
        <w:ind w:firstLine="3780" w:firstLineChars="1575"/>
        <w:rPr>
          <w:color w:val="000000" w:themeColor="text1"/>
          <w:highlight w:val="none"/>
          <w14:textFill>
            <w14:solidFill>
              <w14:schemeClr w14:val="tx1"/>
            </w14:solidFill>
          </w14:textFill>
        </w:rPr>
      </w:pPr>
    </w:p>
    <w:p>
      <w:pPr>
        <w:pStyle w:val="160"/>
        <w:shd w:val="clear" w:color="auto" w:fill="FFFFFF"/>
        <w:spacing w:before="0" w:beforeAutospacing="0" w:after="0" w:afterAutospacing="0"/>
        <w:ind w:firstLine="3780" w:firstLineChars="1575"/>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投标日期：</w:t>
      </w:r>
      <w:r>
        <w:rPr>
          <w:rFonts w:hint="eastAsia"/>
          <w:color w:val="000000" w:themeColor="text1"/>
          <w:highlight w:val="none"/>
          <w:u w:val="single"/>
          <w14:textFill>
            <w14:solidFill>
              <w14:schemeClr w14:val="tx1"/>
            </w14:solidFill>
          </w14:textFill>
        </w:rPr>
        <w:t xml:space="preserve">                                     </w:t>
      </w:r>
    </w:p>
    <w:p>
      <w:pPr>
        <w:pStyle w:val="160"/>
        <w:shd w:val="clear" w:color="auto" w:fill="FFFFFF"/>
        <w:spacing w:before="0" w:beforeAutospacing="0" w:after="0" w:afterAutospacing="0"/>
        <w:rPr>
          <w:color w:val="000000" w:themeColor="text1"/>
          <w:highlight w:val="none"/>
          <w14:textFill>
            <w14:solidFill>
              <w14:schemeClr w14:val="tx1"/>
            </w14:solidFill>
          </w14:textFill>
        </w:rPr>
      </w:pPr>
    </w:p>
    <w:p>
      <w:pPr>
        <w:pStyle w:val="160"/>
        <w:shd w:val="clear" w:color="auto" w:fill="FFFFFF"/>
        <w:spacing w:before="0" w:beforeAutospacing="0" w:after="0" w:afterAutospacing="0"/>
        <w:rPr>
          <w:color w:val="000000" w:themeColor="text1"/>
          <w:highlight w:val="none"/>
          <w14:textFill>
            <w14:solidFill>
              <w14:schemeClr w14:val="tx1"/>
            </w14:solidFill>
          </w14:textFill>
        </w:rPr>
      </w:pPr>
    </w:p>
    <w:p>
      <w:pPr>
        <w:pStyle w:val="158"/>
        <w:shd w:val="clear" w:color="auto" w:fill="FFFFFF"/>
        <w:spacing w:before="0" w:beforeAutospacing="0" w:after="0" w:afterAutospacing="0" w:line="360" w:lineRule="exact"/>
        <w:outlineLvl w:val="2"/>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说明：</w:t>
      </w:r>
    </w:p>
    <w:p>
      <w:pPr>
        <w:pStyle w:val="158"/>
        <w:shd w:val="clear" w:color="auto" w:fill="FFFFFF"/>
        <w:spacing w:before="0" w:beforeAutospacing="0" w:after="0" w:afterAutospacing="0" w:line="360" w:lineRule="exact"/>
        <w:ind w:left="315" w:hanging="315" w:hangingChars="150"/>
        <w:rPr>
          <w:b/>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rFonts w:hint="eastAsia"/>
          <w:bCs/>
          <w:color w:val="000000" w:themeColor="text1"/>
          <w:sz w:val="21"/>
          <w:szCs w:val="21"/>
          <w:highlight w:val="none"/>
          <w14:textFill>
            <w14:solidFill>
              <w14:schemeClr w14:val="tx1"/>
            </w14:solidFill>
          </w14:textFill>
        </w:rPr>
        <w:t>小型、微型企业提供中型企业制造的货物的，视同为中型企业，不给予折扣。</w:t>
      </w:r>
    </w:p>
    <w:p>
      <w:pPr>
        <w:pStyle w:val="161"/>
        <w:shd w:val="clear" w:color="auto" w:fill="FFFFFF"/>
        <w:spacing w:before="0" w:beforeAutospacing="0" w:after="0" w:afterAutospacing="0" w:line="360" w:lineRule="exact"/>
        <w:ind w:left="315" w:hanging="315" w:hangingChars="15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2、当一个合同包内有多个属于小型和微型企业产品时，投标人应详细填写并计算出该类产品合计金额。</w:t>
      </w:r>
    </w:p>
    <w:p>
      <w:pPr>
        <w:pStyle w:val="161"/>
        <w:shd w:val="clear" w:color="auto" w:fill="FFFFFF"/>
        <w:spacing w:before="0" w:beforeAutospacing="0" w:after="0" w:afterAutospacing="0" w:line="360" w:lineRule="exact"/>
        <w:ind w:left="315" w:hanging="315" w:hangingChars="15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3、“相应价格扣除”为小型和微型企业产品的投标合计价格×招标文件规定的价格扣除比率的优惠幅度。</w:t>
      </w:r>
    </w:p>
    <w:p>
      <w:pPr>
        <w:pStyle w:val="161"/>
        <w:shd w:val="clear" w:color="auto" w:fill="FFFFFF"/>
        <w:spacing w:before="0" w:beforeAutospacing="0" w:after="0" w:afterAutospacing="0" w:line="360" w:lineRule="exact"/>
        <w:ind w:left="315" w:hanging="315" w:hangingChars="15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4、计算价格扣除时四舍五入取小数点后两位。</w:t>
      </w:r>
    </w:p>
    <w:p>
      <w:pPr>
        <w:spacing w:line="300" w:lineRule="exact"/>
        <w:ind w:left="315" w:hanging="315" w:hangingChars="1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pStyle w:val="35"/>
        <w:shd w:val="clear" w:color="auto" w:fill="FFFFFF"/>
        <w:spacing w:before="0" w:beforeAutospacing="0" w:after="0" w:afterAutospacing="0" w:line="400" w:lineRule="exact"/>
        <w:rPr>
          <w:bCs/>
          <w:color w:val="000000" w:themeColor="text1"/>
          <w:sz w:val="28"/>
          <w:szCs w:val="28"/>
          <w:highlight w:val="none"/>
          <w14:textFill>
            <w14:solidFill>
              <w14:schemeClr w14:val="tx1"/>
            </w14:solidFill>
          </w14:textFill>
        </w:rPr>
      </w:pPr>
      <w:r>
        <w:rPr>
          <w:rFonts w:hint="eastAsia"/>
          <w:bCs/>
          <w:color w:val="000000" w:themeColor="text1"/>
          <w:sz w:val="28"/>
          <w:szCs w:val="28"/>
          <w:highlight w:val="none"/>
          <w14:textFill>
            <w14:solidFill>
              <w14:schemeClr w14:val="tx1"/>
            </w14:solidFill>
          </w14:textFill>
        </w:rPr>
        <w:t>《残疾人福利性单位声明函》格式（非残疾人福利性单位无需填写）</w:t>
      </w:r>
    </w:p>
    <w:p>
      <w:pPr>
        <w:spacing w:line="400" w:lineRule="exact"/>
        <w:rPr>
          <w:rFonts w:ascii="宋体" w:hAnsi="宋体" w:cs="宋体"/>
          <w:color w:val="000000" w:themeColor="text1"/>
          <w:highlight w:val="none"/>
          <w14:textFill>
            <w14:solidFill>
              <w14:schemeClr w14:val="tx1"/>
            </w14:solidFill>
          </w14:textFill>
        </w:rPr>
      </w:pPr>
    </w:p>
    <w:p>
      <w:pPr>
        <w:pStyle w:val="175"/>
        <w:shd w:val="clear" w:color="auto" w:fill="FFFFFF"/>
        <w:spacing w:before="0" w:beforeAutospacing="0" w:after="0" w:afterAutospacing="0"/>
        <w:ind w:left="1836" w:hanging="1424"/>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残疾人福利性单位声明函</w:t>
      </w:r>
    </w:p>
    <w:p>
      <w:pPr>
        <w:pStyle w:val="35"/>
        <w:shd w:val="clear" w:color="auto" w:fill="FFFFFF"/>
        <w:spacing w:before="0" w:beforeAutospacing="0" w:after="0" w:afterAutospacing="0" w:line="460" w:lineRule="exact"/>
        <w:ind w:firstLine="539"/>
        <w:rPr>
          <w:color w:val="000000" w:themeColor="text1"/>
          <w:highlight w:val="none"/>
          <w14:textFill>
            <w14:solidFill>
              <w14:schemeClr w14:val="tx1"/>
            </w14:solidFill>
          </w14:textFill>
        </w:rPr>
      </w:pPr>
    </w:p>
    <w:p>
      <w:pPr>
        <w:pStyle w:val="35"/>
        <w:shd w:val="clear" w:color="auto" w:fill="FFFFFF"/>
        <w:spacing w:before="0" w:beforeAutospacing="0" w:after="0" w:afterAutospacing="0" w:line="460" w:lineRule="exact"/>
        <w:ind w:firstLine="53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单位的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pStyle w:val="35"/>
        <w:shd w:val="clear" w:color="auto" w:fill="FFFFFF"/>
        <w:spacing w:before="0" w:beforeAutospacing="0" w:after="0" w:afterAutospacing="0" w:line="460" w:lineRule="exact"/>
        <w:ind w:firstLine="53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本单位对上述声明的真实性负责。如有虚假，将依法承担相应责任。</w:t>
      </w:r>
    </w:p>
    <w:p>
      <w:pPr>
        <w:pStyle w:val="35"/>
        <w:shd w:val="clear" w:color="auto" w:fill="FFFFFF"/>
        <w:spacing w:before="0" w:beforeAutospacing="0" w:after="0" w:afterAutospacing="0" w:line="460" w:lineRule="exact"/>
        <w:ind w:firstLine="539"/>
        <w:rPr>
          <w:color w:val="000000" w:themeColor="text1"/>
          <w:highlight w:val="none"/>
          <w14:textFill>
            <w14:solidFill>
              <w14:schemeClr w14:val="tx1"/>
            </w14:solidFill>
          </w14:textFill>
        </w:rPr>
      </w:pPr>
    </w:p>
    <w:p>
      <w:pPr>
        <w:pStyle w:val="35"/>
        <w:shd w:val="clear" w:color="auto" w:fill="FFFFFF"/>
        <w:spacing w:before="0" w:beforeAutospacing="0" w:after="0" w:afterAutospacing="0" w:line="460" w:lineRule="exact"/>
        <w:ind w:firstLine="539"/>
        <w:rPr>
          <w:color w:val="000000" w:themeColor="text1"/>
          <w:highlight w:val="none"/>
          <w14:textFill>
            <w14:solidFill>
              <w14:schemeClr w14:val="tx1"/>
            </w14:solidFill>
          </w14:textFill>
        </w:rPr>
      </w:pPr>
    </w:p>
    <w:p>
      <w:pPr>
        <w:pStyle w:val="35"/>
        <w:shd w:val="clear" w:color="auto" w:fill="FFFFFF"/>
        <w:spacing w:before="0" w:beforeAutospacing="0" w:after="0" w:afterAutospacing="0" w:line="460" w:lineRule="exact"/>
        <w:ind w:firstLine="4377" w:firstLineChars="182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单位名称（盖章）：</w:t>
      </w:r>
    </w:p>
    <w:p>
      <w:pPr>
        <w:pStyle w:val="35"/>
        <w:shd w:val="clear" w:color="auto" w:fill="FFFFFF"/>
        <w:spacing w:before="0" w:beforeAutospacing="0" w:after="0" w:afterAutospacing="0" w:line="460" w:lineRule="exact"/>
        <w:ind w:firstLine="4377" w:firstLineChars="182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pStyle w:val="175"/>
        <w:shd w:val="clear" w:color="auto" w:fill="FFFFFF"/>
        <w:spacing w:before="0" w:beforeAutospacing="0" w:after="0" w:afterAutospacing="0"/>
        <w:rPr>
          <w:b/>
          <w:color w:val="000000" w:themeColor="text1"/>
          <w:highlight w:val="none"/>
          <w14:textFill>
            <w14:solidFill>
              <w14:schemeClr w14:val="tx1"/>
            </w14:solidFill>
          </w14:textFill>
        </w:rPr>
      </w:pPr>
    </w:p>
    <w:p>
      <w:pPr>
        <w:pStyle w:val="175"/>
        <w:shd w:val="clear" w:color="auto" w:fill="FFFFFF"/>
        <w:spacing w:before="0" w:beforeAutospacing="0" w:after="0" w:afterAutospacing="0"/>
        <w:rPr>
          <w:b/>
          <w:color w:val="000000" w:themeColor="text1"/>
          <w:highlight w:val="none"/>
          <w14:textFill>
            <w14:solidFill>
              <w14:schemeClr w14:val="tx1"/>
            </w14:solidFill>
          </w14:textFill>
        </w:rPr>
      </w:pPr>
    </w:p>
    <w:p>
      <w:pPr>
        <w:pStyle w:val="175"/>
        <w:shd w:val="clear" w:color="auto" w:fill="FFFFFF"/>
        <w:spacing w:before="0" w:beforeAutospacing="0" w:after="0" w:afterAutospacing="0"/>
        <w:rPr>
          <w:b/>
          <w:color w:val="000000" w:themeColor="text1"/>
          <w:highlight w:val="none"/>
          <w14:textFill>
            <w14:solidFill>
              <w14:schemeClr w14:val="tx1"/>
            </w14:solidFill>
          </w14:textFill>
        </w:rPr>
      </w:pPr>
    </w:p>
    <w:p>
      <w:pPr>
        <w:pStyle w:val="175"/>
        <w:shd w:val="clear" w:color="auto" w:fill="FFFFFF"/>
        <w:spacing w:before="0" w:beforeAutospacing="0" w:after="0" w:afterAutospacing="0"/>
        <w:rPr>
          <w:b/>
          <w:color w:val="000000" w:themeColor="text1"/>
          <w:highlight w:val="none"/>
          <w14:textFill>
            <w14:solidFill>
              <w14:schemeClr w14:val="tx1"/>
            </w14:solidFill>
          </w14:textFill>
        </w:rPr>
      </w:pPr>
    </w:p>
    <w:p>
      <w:pPr>
        <w:spacing w:line="400" w:lineRule="exac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br w:type="page"/>
      </w:r>
    </w:p>
    <w:p>
      <w:pPr>
        <w:pStyle w:val="35"/>
        <w:shd w:val="clear" w:color="auto" w:fill="FFFFFF"/>
        <w:spacing w:before="0" w:beforeAutospacing="0" w:after="0" w:afterAutospacing="0" w:line="400" w:lineRule="exact"/>
        <w:rPr>
          <w:bCs/>
          <w:color w:val="000000" w:themeColor="text1"/>
          <w:sz w:val="28"/>
          <w:szCs w:val="28"/>
          <w:highlight w:val="none"/>
          <w14:textFill>
            <w14:solidFill>
              <w14:schemeClr w14:val="tx1"/>
            </w14:solidFill>
          </w14:textFill>
        </w:rPr>
      </w:pPr>
      <w:r>
        <w:rPr>
          <w:rFonts w:hint="eastAsia"/>
          <w:bCs/>
          <w:color w:val="000000" w:themeColor="text1"/>
          <w:sz w:val="28"/>
          <w:szCs w:val="28"/>
          <w:highlight w:val="none"/>
          <w14:textFill>
            <w14:solidFill>
              <w14:schemeClr w14:val="tx1"/>
            </w14:solidFill>
          </w14:textFill>
        </w:rPr>
        <w:t>《广西工业产品声明函》格式（不符合桂政办发[2015]78号文要求的，无需提供）</w:t>
      </w:r>
    </w:p>
    <w:p>
      <w:pPr>
        <w:spacing w:line="400" w:lineRule="exact"/>
        <w:rPr>
          <w:rFonts w:ascii="宋体" w:hAnsi="宋体" w:cs="宋体"/>
          <w:color w:val="000000" w:themeColor="text1"/>
          <w:highlight w:val="none"/>
          <w14:textFill>
            <w14:solidFill>
              <w14:schemeClr w14:val="tx1"/>
            </w14:solidFill>
          </w14:textFill>
        </w:rPr>
      </w:pPr>
    </w:p>
    <w:p>
      <w:pPr>
        <w:pStyle w:val="175"/>
        <w:shd w:val="clear" w:color="auto" w:fill="FFFFFF"/>
        <w:spacing w:before="0" w:beforeAutospacing="0" w:after="0" w:afterAutospacing="0"/>
        <w:ind w:left="1836" w:hanging="1424"/>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广西工业产品声明函</w:t>
      </w:r>
    </w:p>
    <w:p>
      <w:pPr>
        <w:pStyle w:val="35"/>
        <w:shd w:val="clear" w:color="auto" w:fill="FFFFFF"/>
        <w:spacing w:before="0" w:beforeAutospacing="0" w:after="0" w:afterAutospacing="0" w:line="46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本公司郑重声明，根据《招标采购促进广西工业产品产销对接实施细则》的规定，本公司在本次投标/投标中或者工程项目中提供的下述产品为广西工业产品，详情如下：</w:t>
      </w:r>
    </w:p>
    <w:tbl>
      <w:tblPr>
        <w:tblStyle w:val="40"/>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8"/>
        <w:gridCol w:w="2075"/>
        <w:gridCol w:w="1550"/>
        <w:gridCol w:w="948"/>
        <w:gridCol w:w="2174"/>
        <w:gridCol w:w="1090"/>
        <w:gridCol w:w="7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075"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产品名称</w:t>
            </w:r>
          </w:p>
        </w:tc>
        <w:tc>
          <w:tcPr>
            <w:tcW w:w="1550"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型号和规格</w:t>
            </w:r>
          </w:p>
        </w:tc>
        <w:tc>
          <w:tcPr>
            <w:tcW w:w="948"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2174"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制造厂商及原产地</w:t>
            </w:r>
          </w:p>
        </w:tc>
        <w:tc>
          <w:tcPr>
            <w:tcW w:w="1090"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投标价</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0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5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94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217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09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0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5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94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217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09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207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55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94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217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09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top w:val="nil"/>
              <w:left w:val="single" w:color="auto" w:sz="12" w:space="0"/>
              <w:bottom w:val="single" w:color="auto" w:sz="12"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2075" w:type="dxa"/>
            <w:tcBorders>
              <w:top w:val="nil"/>
              <w:left w:val="nil"/>
              <w:bottom w:val="single" w:color="auto" w:sz="12"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广西工业产品合计价格：</w:t>
            </w:r>
          </w:p>
        </w:tc>
        <w:tc>
          <w:tcPr>
            <w:tcW w:w="2498" w:type="dxa"/>
            <w:gridSpan w:val="2"/>
            <w:tcBorders>
              <w:top w:val="nil"/>
              <w:left w:val="nil"/>
              <w:bottom w:val="single" w:color="auto" w:sz="12"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2174" w:type="dxa"/>
            <w:tcBorders>
              <w:top w:val="nil"/>
              <w:left w:val="nil"/>
              <w:bottom w:val="single" w:color="auto" w:sz="12"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占投标总价比例：</w:t>
            </w:r>
          </w:p>
        </w:tc>
        <w:tc>
          <w:tcPr>
            <w:tcW w:w="1860" w:type="dxa"/>
            <w:gridSpan w:val="2"/>
            <w:tcBorders>
              <w:top w:val="nil"/>
              <w:left w:val="nil"/>
              <w:bottom w:val="single" w:color="auto" w:sz="12" w:space="0"/>
              <w:right w:val="single" w:color="auto" w:sz="12"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r>
    </w:tbl>
    <w:p>
      <w:pPr>
        <w:pStyle w:val="35"/>
        <w:shd w:val="clear" w:color="auto" w:fill="FFFFFF"/>
        <w:spacing w:before="0" w:beforeAutospacing="0" w:after="0" w:afterAutospacing="0" w:line="46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本公司对上述声明的真实性负责。如有虚假，将依法承担相应责任。</w:t>
      </w:r>
    </w:p>
    <w:p>
      <w:pPr>
        <w:pStyle w:val="35"/>
        <w:shd w:val="clear" w:color="auto" w:fill="FFFFFF"/>
        <w:spacing w:before="0" w:beforeAutospacing="0" w:after="0" w:afterAutospacing="0" w:line="460" w:lineRule="exact"/>
        <w:ind w:firstLine="480" w:firstLineChars="200"/>
        <w:rPr>
          <w:color w:val="000000" w:themeColor="text1"/>
          <w:highlight w:val="none"/>
          <w14:textFill>
            <w14:solidFill>
              <w14:schemeClr w14:val="tx1"/>
            </w14:solidFill>
          </w14:textFill>
        </w:rPr>
      </w:pPr>
    </w:p>
    <w:p>
      <w:pPr>
        <w:pStyle w:val="35"/>
        <w:shd w:val="clear" w:color="auto" w:fill="FFFFFF"/>
        <w:spacing w:before="0" w:beforeAutospacing="0" w:after="0" w:afterAutospacing="0" w:line="460" w:lineRule="exact"/>
        <w:ind w:firstLine="480" w:firstLineChars="200"/>
        <w:rPr>
          <w:color w:val="000000" w:themeColor="text1"/>
          <w:highlight w:val="none"/>
          <w14:textFill>
            <w14:solidFill>
              <w14:schemeClr w14:val="tx1"/>
            </w14:solidFill>
          </w14:textFill>
        </w:rPr>
      </w:pPr>
    </w:p>
    <w:p>
      <w:pPr>
        <w:pStyle w:val="35"/>
        <w:shd w:val="clear" w:color="auto" w:fill="FFFFFF"/>
        <w:spacing w:before="0" w:beforeAutospacing="0" w:after="0" w:afterAutospacing="0" w:line="460" w:lineRule="exact"/>
        <w:ind w:firstLine="4500" w:firstLineChars="187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企业名称(盖章)：</w:t>
      </w:r>
    </w:p>
    <w:p>
      <w:pPr>
        <w:pStyle w:val="35"/>
        <w:shd w:val="clear" w:color="auto" w:fill="FFFFFF"/>
        <w:spacing w:before="0" w:beforeAutospacing="0" w:after="0" w:afterAutospacing="0" w:line="460" w:lineRule="exact"/>
        <w:ind w:firstLine="4500" w:firstLineChars="187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400" w:lineRule="exact"/>
        <w:rPr>
          <w:rFonts w:ascii="宋体" w:hAnsi="宋体" w:cs="宋体"/>
          <w:color w:val="000000" w:themeColor="text1"/>
          <w:highlight w:val="none"/>
          <w14:textFill>
            <w14:solidFill>
              <w14:schemeClr w14:val="tx1"/>
            </w14:solidFill>
          </w14:textFill>
        </w:rPr>
      </w:pPr>
    </w:p>
    <w:p>
      <w:pPr>
        <w:spacing w:line="400" w:lineRule="exact"/>
        <w:rPr>
          <w:rFonts w:ascii="宋体" w:hAnsi="宋体" w:cs="宋体"/>
          <w:color w:val="000000" w:themeColor="text1"/>
          <w:highlight w:val="none"/>
          <w14:textFill>
            <w14:solidFill>
              <w14:schemeClr w14:val="tx1"/>
            </w14:solidFill>
          </w14:textFill>
        </w:rPr>
      </w:pPr>
    </w:p>
    <w:p>
      <w:pPr>
        <w:spacing w:line="400" w:lineRule="exact"/>
        <w:rPr>
          <w:rFonts w:ascii="宋体" w:hAnsi="宋体" w:cs="宋体"/>
          <w:color w:val="000000" w:themeColor="text1"/>
          <w:highlight w:val="none"/>
          <w14:textFill>
            <w14:solidFill>
              <w14:schemeClr w14:val="tx1"/>
            </w14:solidFill>
          </w14:textFill>
        </w:rPr>
      </w:pPr>
    </w:p>
    <w:p>
      <w:pPr>
        <w:spacing w:line="400" w:lineRule="exact"/>
        <w:rPr>
          <w:rFonts w:ascii="宋体" w:hAnsi="宋体" w:cs="宋体"/>
          <w:color w:val="000000" w:themeColor="text1"/>
          <w:highlight w:val="none"/>
          <w14:textFill>
            <w14:solidFill>
              <w14:schemeClr w14:val="tx1"/>
            </w14:solidFill>
          </w14:textFill>
        </w:rPr>
      </w:pPr>
    </w:p>
    <w:p>
      <w:pPr>
        <w:spacing w:line="400" w:lineRule="exact"/>
        <w:rPr>
          <w:rFonts w:ascii="宋体" w:hAnsi="宋体" w:cs="宋体"/>
          <w:color w:val="000000" w:themeColor="text1"/>
          <w:highlight w:val="none"/>
          <w14:textFill>
            <w14:solidFill>
              <w14:schemeClr w14:val="tx1"/>
            </w14:solidFill>
          </w14:textFill>
        </w:rPr>
      </w:pPr>
    </w:p>
    <w:p>
      <w:pPr>
        <w:spacing w:line="400" w:lineRule="exact"/>
        <w:rPr>
          <w:rFonts w:ascii="宋体" w:hAnsi="宋体" w:cs="宋体"/>
          <w:color w:val="000000" w:themeColor="text1"/>
          <w:highlight w:val="none"/>
          <w14:textFill>
            <w14:solidFill>
              <w14:schemeClr w14:val="tx1"/>
            </w14:solidFill>
          </w14:textFill>
        </w:rPr>
      </w:pPr>
    </w:p>
    <w:p>
      <w:pPr>
        <w:spacing w:line="400" w:lineRule="exact"/>
        <w:rPr>
          <w:rFonts w:ascii="宋体" w:hAnsi="宋体" w:cs="宋体"/>
          <w:color w:val="000000" w:themeColor="text1"/>
          <w:highlight w:val="none"/>
          <w14:textFill>
            <w14:solidFill>
              <w14:schemeClr w14:val="tx1"/>
            </w14:solidFill>
          </w14:textFill>
        </w:rPr>
      </w:pPr>
    </w:p>
    <w:p>
      <w:pPr>
        <w:spacing w:line="360" w:lineRule="exact"/>
        <w:ind w:left="620" w:hanging="620" w:hangingChars="294"/>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说明：</w:t>
      </w:r>
    </w:p>
    <w:p>
      <w:pPr>
        <w:spacing w:line="3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根据《广西壮族自治区人民政府办公厅关于印发招标采购促进广西工业产品产销对接实施细则的通知》的规定，货物服务招标采购评标方法采用综合评分法的，对使用广西工业产品80％以上（含）的投标人，评标时给予一定的政策功能加分。（具体加分情况见第章四章评标办法）</w:t>
      </w:r>
    </w:p>
    <w:p>
      <w:pPr>
        <w:spacing w:line="3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2发现投标人提供虚假材料，或中标后在与采购单位履约过程中未按投标文件《广西工业产品声明函》中使用广西工业产品或者使用广西工业产品比例小于80%的，按照有关法律法规追究其相关责任。</w:t>
      </w:r>
    </w:p>
    <w:p>
      <w:pPr>
        <w:spacing w:line="400" w:lineRule="exact"/>
        <w:ind w:firstLine="210" w:firstLineChars="1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spacing w:line="460" w:lineRule="exact"/>
        <w:ind w:firstLine="2891" w:firstLineChars="900"/>
        <w:outlineLvl w:val="1"/>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售后服务方案</w:t>
      </w:r>
    </w:p>
    <w:p>
      <w:pPr>
        <w:spacing w:line="460" w:lineRule="exact"/>
        <w:ind w:left="482" w:hanging="482" w:hangingChars="1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格式自议，</w:t>
      </w:r>
      <w:r>
        <w:rPr>
          <w:rFonts w:hint="eastAsia" w:ascii="宋体" w:hAnsi="宋体" w:cs="宋体"/>
          <w:color w:val="000000" w:themeColor="text1"/>
          <w:highlight w:val="none"/>
          <w14:textFill>
            <w14:solidFill>
              <w14:schemeClr w14:val="tx1"/>
            </w14:solidFill>
          </w14:textFill>
        </w:rPr>
        <w:t>投标人根据本项目要求及自己的实际情况自行编写，内容包括质保期、本地化服务、技术培训及指导、负责售后维修的主管人员情况、解决故障的响应时间等</w:t>
      </w:r>
      <w:r>
        <w:rPr>
          <w:rFonts w:hint="eastAsia" w:ascii="宋体" w:hAnsi="宋体" w:cs="宋体"/>
          <w:b/>
          <w:bCs/>
          <w:color w:val="000000" w:themeColor="text1"/>
          <w:sz w:val="32"/>
          <w:szCs w:val="32"/>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w:t>
      </w:r>
    </w:p>
    <w:p>
      <w:pPr>
        <w:spacing w:line="460" w:lineRule="exact"/>
        <w:jc w:val="left"/>
        <w:rPr>
          <w:rFonts w:ascii="宋体" w:hAnsi="宋体" w:cs="宋体"/>
          <w:color w:val="000000" w:themeColor="text1"/>
          <w:highlight w:val="none"/>
          <w14:textFill>
            <w14:solidFill>
              <w14:schemeClr w14:val="tx1"/>
            </w14:solidFill>
          </w14:textFill>
        </w:rPr>
      </w:pPr>
    </w:p>
    <w:p>
      <w:pPr>
        <w:pStyle w:val="175"/>
        <w:shd w:val="clear" w:color="auto" w:fill="FFFFFF"/>
        <w:spacing w:before="0" w:beforeAutospacing="0" w:after="0" w:afterAutospacing="0"/>
        <w:rPr>
          <w:b/>
          <w:color w:val="000000" w:themeColor="text1"/>
          <w:highlight w:val="none"/>
          <w14:textFill>
            <w14:solidFill>
              <w14:schemeClr w14:val="tx1"/>
            </w14:solidFill>
          </w14:textFill>
        </w:rPr>
      </w:pPr>
    </w:p>
    <w:p>
      <w:pPr>
        <w:pStyle w:val="175"/>
        <w:shd w:val="clear" w:color="auto" w:fill="FFFFFF"/>
        <w:spacing w:before="0" w:beforeAutospacing="0" w:after="0" w:afterAutospacing="0"/>
        <w:rPr>
          <w:b/>
          <w:color w:val="000000" w:themeColor="text1"/>
          <w:highlight w:val="none"/>
          <w14:textFill>
            <w14:solidFill>
              <w14:schemeClr w14:val="tx1"/>
            </w14:solidFill>
          </w14:textFill>
        </w:rPr>
      </w:pPr>
    </w:p>
    <w:p>
      <w:pPr>
        <w:pStyle w:val="175"/>
        <w:shd w:val="clear" w:color="auto" w:fill="FFFFFF"/>
        <w:spacing w:before="0" w:beforeAutospacing="0" w:after="0" w:afterAutospacing="0"/>
        <w:rPr>
          <w:b/>
          <w:color w:val="000000" w:themeColor="text1"/>
          <w:highlight w:val="none"/>
          <w14:textFill>
            <w14:solidFill>
              <w14:schemeClr w14:val="tx1"/>
            </w14:solidFill>
          </w14:textFill>
        </w:rPr>
      </w:pPr>
    </w:p>
    <w:p>
      <w:pPr>
        <w:spacing w:line="400" w:lineRule="exac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br w:type="page"/>
      </w:r>
    </w:p>
    <w:p>
      <w:pPr>
        <w:spacing w:line="400" w:lineRule="exact"/>
        <w:rPr>
          <w:rFonts w:ascii="宋体" w:hAnsi="宋体" w:cs="宋体"/>
          <w:color w:val="000000" w:themeColor="text1"/>
          <w:highlight w:val="none"/>
          <w14:textFill>
            <w14:solidFill>
              <w14:schemeClr w14:val="tx1"/>
            </w14:solidFill>
          </w14:textFill>
        </w:rPr>
      </w:pPr>
    </w:p>
    <w:p>
      <w:pPr>
        <w:spacing w:line="400" w:lineRule="exact"/>
        <w:rPr>
          <w:rFonts w:ascii="宋体" w:hAnsi="宋体" w:cs="宋体"/>
          <w:color w:val="000000" w:themeColor="text1"/>
          <w:highlight w:val="none"/>
          <w14:textFill>
            <w14:solidFill>
              <w14:schemeClr w14:val="tx1"/>
            </w14:solidFill>
          </w14:textFill>
        </w:rPr>
      </w:pPr>
    </w:p>
    <w:p>
      <w:pPr>
        <w:spacing w:line="400" w:lineRule="exact"/>
        <w:rPr>
          <w:rFonts w:ascii="宋体" w:hAnsi="宋体" w:cs="宋体"/>
          <w:color w:val="000000" w:themeColor="text1"/>
          <w:highlight w:val="none"/>
          <w14:textFill>
            <w14:solidFill>
              <w14:schemeClr w14:val="tx1"/>
            </w14:solidFill>
          </w14:textFill>
        </w:rPr>
      </w:pPr>
    </w:p>
    <w:p>
      <w:pPr>
        <w:spacing w:line="400" w:lineRule="exact"/>
        <w:ind w:firstLine="210" w:firstLineChars="100"/>
        <w:rPr>
          <w:rFonts w:ascii="宋体" w:hAnsi="宋体" w:cs="宋体"/>
          <w:color w:val="000000" w:themeColor="text1"/>
          <w:highlight w:val="none"/>
          <w:u w:val="single"/>
          <w14:textFill>
            <w14:solidFill>
              <w14:schemeClr w14:val="tx1"/>
            </w14:solidFill>
          </w14:textFill>
        </w:rPr>
      </w:pPr>
    </w:p>
    <w:p>
      <w:pPr>
        <w:spacing w:line="400" w:lineRule="exact"/>
        <w:ind w:firstLine="210" w:firstLineChars="100"/>
        <w:rPr>
          <w:rFonts w:ascii="宋体" w:hAnsi="宋体" w:cs="宋体"/>
          <w:color w:val="000000" w:themeColor="text1"/>
          <w:highlight w:val="none"/>
          <w:u w:val="single"/>
          <w14:textFill>
            <w14:solidFill>
              <w14:schemeClr w14:val="tx1"/>
            </w14:solidFill>
          </w14:textFill>
        </w:rPr>
      </w:pPr>
    </w:p>
    <w:p>
      <w:pPr>
        <w:spacing w:line="400" w:lineRule="exact"/>
        <w:ind w:firstLine="210" w:firstLineChars="100"/>
        <w:rPr>
          <w:rFonts w:ascii="宋体" w:hAnsi="宋体" w:cs="宋体"/>
          <w:color w:val="000000" w:themeColor="text1"/>
          <w:highlight w:val="none"/>
          <w14:textFill>
            <w14:solidFill>
              <w14:schemeClr w14:val="tx1"/>
            </w14:solidFill>
          </w14:textFill>
        </w:rPr>
      </w:pPr>
    </w:p>
    <w:p>
      <w:pPr>
        <w:pStyle w:val="3"/>
        <w:spacing w:line="560" w:lineRule="exact"/>
        <w:jc w:val="center"/>
        <w:rPr>
          <w:rFonts w:ascii="宋体" w:hAnsi="宋体" w:cs="宋体"/>
          <w:bCs/>
          <w:color w:val="000000" w:themeColor="text1"/>
          <w:sz w:val="44"/>
          <w:highlight w:val="none"/>
          <w14:textFill>
            <w14:solidFill>
              <w14:schemeClr w14:val="tx1"/>
            </w14:solidFill>
          </w14:textFill>
        </w:rPr>
      </w:pPr>
      <w:bookmarkStart w:id="275" w:name="_Toc469842116"/>
      <w:bookmarkStart w:id="276" w:name="_Toc469874208"/>
      <w:bookmarkStart w:id="277" w:name="_Toc230949430"/>
      <w:bookmarkStart w:id="278" w:name="_Toc405943019"/>
      <w:bookmarkStart w:id="279" w:name="_Toc395066561"/>
      <w:bookmarkStart w:id="280" w:name="_Toc230929191"/>
      <w:bookmarkStart w:id="281" w:name="_Toc3074"/>
      <w:bookmarkStart w:id="282" w:name="_Toc207770877"/>
      <w:bookmarkStart w:id="283" w:name="_Toc210184913"/>
      <w:bookmarkStart w:id="284" w:name="_Toc205094828"/>
      <w:bookmarkStart w:id="285" w:name="_Toc206525312"/>
      <w:bookmarkStart w:id="286" w:name="_Toc211355201"/>
      <w:r>
        <w:rPr>
          <w:rFonts w:hint="eastAsia" w:ascii="宋体" w:hAnsi="宋体" w:cs="宋体"/>
          <w:bCs/>
          <w:color w:val="000000" w:themeColor="text1"/>
          <w:sz w:val="44"/>
          <w:highlight w:val="none"/>
          <w14:textFill>
            <w14:solidFill>
              <w14:schemeClr w14:val="tx1"/>
            </w14:solidFill>
          </w14:textFill>
        </w:rPr>
        <w:t>第七章  附件</w:t>
      </w:r>
      <w:bookmarkEnd w:id="275"/>
      <w:bookmarkEnd w:id="276"/>
      <w:bookmarkEnd w:id="277"/>
      <w:bookmarkEnd w:id="278"/>
      <w:bookmarkEnd w:id="279"/>
      <w:bookmarkEnd w:id="280"/>
      <w:bookmarkEnd w:id="281"/>
    </w:p>
    <w:bookmarkEnd w:id="282"/>
    <w:bookmarkEnd w:id="283"/>
    <w:bookmarkEnd w:id="284"/>
    <w:bookmarkEnd w:id="285"/>
    <w:bookmarkEnd w:id="286"/>
    <w:p>
      <w:pPr>
        <w:pStyle w:val="20"/>
        <w:spacing w:line="400" w:lineRule="exact"/>
        <w:rPr>
          <w:rFonts w:hAnsi="宋体" w:cs="宋体"/>
          <w:color w:val="000000" w:themeColor="text1"/>
          <w:highlight w:val="none"/>
          <w14:textFill>
            <w14:solidFill>
              <w14:schemeClr w14:val="tx1"/>
            </w14:solidFill>
          </w14:textFill>
        </w:rPr>
      </w:pPr>
      <w:bookmarkStart w:id="287" w:name="_Toc206525311"/>
      <w:bookmarkStart w:id="288" w:name="_Toc207770878"/>
      <w:bookmarkStart w:id="289" w:name="_Toc211355202"/>
      <w:bookmarkStart w:id="290" w:name="_Toc210184914"/>
    </w:p>
    <w:p>
      <w:pPr>
        <w:pStyle w:val="20"/>
        <w:spacing w:line="400" w:lineRule="exact"/>
        <w:rPr>
          <w:rFonts w:hAnsi="宋体" w:cs="宋体"/>
          <w:b/>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bookmarkEnd w:id="287"/>
      <w:bookmarkEnd w:id="288"/>
      <w:bookmarkEnd w:id="289"/>
      <w:bookmarkEnd w:id="290"/>
    </w:p>
    <w:p>
      <w:pPr>
        <w:pStyle w:val="20"/>
        <w:spacing w:line="400" w:lineRule="exact"/>
        <w:outlineLvl w:val="0"/>
        <w:rPr>
          <w:rFonts w:hAnsi="宋体" w:cs="宋体"/>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附件1：</w:t>
      </w:r>
      <w:r>
        <w:rPr>
          <w:rFonts w:hint="eastAsia" w:hAnsi="宋体" w:cs="宋体"/>
          <w:color w:val="000000" w:themeColor="text1"/>
          <w:sz w:val="28"/>
          <w:szCs w:val="28"/>
          <w:highlight w:val="none"/>
          <w14:textFill>
            <w14:solidFill>
              <w14:schemeClr w14:val="tx1"/>
            </w14:solidFill>
          </w14:textFill>
        </w:rPr>
        <w:t>政府采购项目履约保证金退付意见书（格式）</w:t>
      </w:r>
    </w:p>
    <w:p>
      <w:pPr>
        <w:pStyle w:val="20"/>
        <w:spacing w:line="400" w:lineRule="exact"/>
        <w:rPr>
          <w:rFonts w:hAnsi="宋体" w:cs="宋体"/>
          <w:b/>
          <w:color w:val="000000" w:themeColor="text1"/>
          <w:szCs w:val="21"/>
          <w:highlight w:val="none"/>
          <w14:textFill>
            <w14:solidFill>
              <w14:schemeClr w14:val="tx1"/>
            </w14:solidFill>
          </w14:textFill>
        </w:rPr>
      </w:pPr>
    </w:p>
    <w:p>
      <w:pPr>
        <w:pStyle w:val="20"/>
        <w:spacing w:line="400" w:lineRule="exact"/>
        <w:jc w:val="center"/>
        <w:rPr>
          <w:rFonts w:hAnsi="宋体" w:cs="宋体"/>
          <w:b/>
          <w:bCs/>
          <w:color w:val="000000" w:themeColor="text1"/>
          <w:kern w:val="0"/>
          <w:sz w:val="32"/>
          <w:szCs w:val="32"/>
          <w:highlight w:val="none"/>
          <w14:textFill>
            <w14:solidFill>
              <w14:schemeClr w14:val="tx1"/>
            </w14:solidFill>
          </w14:textFill>
        </w:rPr>
      </w:pPr>
      <w:r>
        <w:rPr>
          <w:rFonts w:hint="eastAsia" w:hAnsi="宋体" w:cs="宋体"/>
          <w:b/>
          <w:bCs/>
          <w:color w:val="000000" w:themeColor="text1"/>
          <w:kern w:val="0"/>
          <w:sz w:val="32"/>
          <w:szCs w:val="32"/>
          <w:highlight w:val="none"/>
          <w14:textFill>
            <w14:solidFill>
              <w14:schemeClr w14:val="tx1"/>
            </w14:solidFill>
          </w14:textFill>
        </w:rPr>
        <w:t>政府采购项目履约保证金退付意见书</w:t>
      </w:r>
    </w:p>
    <w:p>
      <w:pPr>
        <w:pStyle w:val="20"/>
        <w:spacing w:line="200" w:lineRule="exact"/>
        <w:rPr>
          <w:rFonts w:hAnsi="宋体" w:cs="宋体"/>
          <w:b/>
          <w:color w:val="000000" w:themeColor="text1"/>
          <w:szCs w:val="21"/>
          <w:highlight w:val="none"/>
          <w14:textFill>
            <w14:solidFill>
              <w14:schemeClr w14:val="tx1"/>
            </w14:solidFill>
          </w14:textFill>
        </w:rPr>
      </w:pPr>
    </w:p>
    <w:tbl>
      <w:tblPr>
        <w:tblStyle w:val="40"/>
        <w:tblW w:w="0" w:type="auto"/>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156"/>
        <w:gridCol w:w="7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59" w:type="dxa"/>
            <w:vMerge w:val="restart"/>
            <w:vAlign w:val="center"/>
          </w:tcPr>
          <w:p>
            <w:pPr>
              <w:widowControl/>
              <w:snapToGrid w:val="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投标人申请</w:t>
            </w:r>
          </w:p>
        </w:tc>
        <w:tc>
          <w:tcPr>
            <w:tcW w:w="8876" w:type="dxa"/>
            <w:gridSpan w:val="2"/>
            <w:vAlign w:val="center"/>
          </w:tcPr>
          <w:p>
            <w:pPr>
              <w:widowControl/>
              <w:snapToGrid w:val="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59" w:type="dxa"/>
            <w:vMerge w:val="continue"/>
            <w:vAlign w:val="center"/>
          </w:tcPr>
          <w:p>
            <w:pPr>
              <w:widowControl/>
              <w:snapToGrid w:val="0"/>
              <w:jc w:val="center"/>
              <w:rPr>
                <w:rFonts w:ascii="宋体" w:hAnsi="宋体" w:cs="宋体"/>
                <w:color w:val="000000" w:themeColor="text1"/>
                <w:kern w:val="0"/>
                <w:sz w:val="30"/>
                <w:szCs w:val="30"/>
                <w:highlight w:val="none"/>
                <w14:textFill>
                  <w14:solidFill>
                    <w14:schemeClr w14:val="tx1"/>
                  </w14:solidFill>
                </w14:textFill>
              </w:rPr>
            </w:pPr>
          </w:p>
        </w:tc>
        <w:tc>
          <w:tcPr>
            <w:tcW w:w="8876" w:type="dxa"/>
            <w:gridSpan w:val="2"/>
            <w:vAlign w:val="center"/>
          </w:tcPr>
          <w:p>
            <w:pPr>
              <w:widowControl/>
              <w:snapToGrid w:val="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659" w:type="dxa"/>
            <w:vMerge w:val="continue"/>
            <w:vAlign w:val="center"/>
          </w:tcPr>
          <w:p>
            <w:pPr>
              <w:widowControl/>
              <w:snapToGrid w:val="0"/>
              <w:jc w:val="left"/>
              <w:rPr>
                <w:rFonts w:ascii="宋体" w:hAnsi="宋体" w:cs="宋体"/>
                <w:color w:val="000000" w:themeColor="text1"/>
                <w:kern w:val="0"/>
                <w:sz w:val="32"/>
                <w:szCs w:val="32"/>
                <w:highlight w:val="none"/>
                <w14:textFill>
                  <w14:solidFill>
                    <w14:schemeClr w14:val="tx1"/>
                  </w14:solidFill>
                </w14:textFill>
              </w:rPr>
            </w:pPr>
          </w:p>
        </w:tc>
        <w:tc>
          <w:tcPr>
            <w:tcW w:w="8876" w:type="dxa"/>
            <w:gridSpan w:val="2"/>
            <w:vAlign w:val="center"/>
          </w:tcPr>
          <w:p>
            <w:pPr>
              <w:widowControl/>
              <w:snapToGrid w:val="0"/>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履约保证金金额：（大写）</w:t>
            </w:r>
          </w:p>
          <w:p>
            <w:pPr>
              <w:widowControl/>
              <w:snapToGrid w:val="0"/>
              <w:spacing w:line="400" w:lineRule="exact"/>
              <w:ind w:firstLine="1920" w:firstLineChars="8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trPr>
        <w:tc>
          <w:tcPr>
            <w:tcW w:w="659" w:type="dxa"/>
            <w:vMerge w:val="continue"/>
            <w:vAlign w:val="center"/>
          </w:tcPr>
          <w:p>
            <w:pPr>
              <w:widowControl/>
              <w:snapToGrid w:val="0"/>
              <w:jc w:val="left"/>
              <w:rPr>
                <w:rFonts w:ascii="宋体" w:hAnsi="宋体" w:cs="宋体"/>
                <w:color w:val="000000" w:themeColor="text1"/>
                <w:kern w:val="0"/>
                <w:sz w:val="32"/>
                <w:szCs w:val="32"/>
                <w:highlight w:val="none"/>
                <w14:textFill>
                  <w14:solidFill>
                    <w14:schemeClr w14:val="tx1"/>
                  </w14:solidFill>
                </w14:textFill>
              </w:rPr>
            </w:pPr>
          </w:p>
        </w:tc>
        <w:tc>
          <w:tcPr>
            <w:tcW w:w="8876" w:type="dxa"/>
            <w:gridSpan w:val="2"/>
            <w:vAlign w:val="center"/>
          </w:tcPr>
          <w:p>
            <w:pPr>
              <w:widowControl/>
              <w:snapToGrid w:val="0"/>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该项目</w:t>
            </w:r>
            <w:r>
              <w:rPr>
                <w:rFonts w:hint="eastAsia" w:ascii="宋体" w:hAnsi="宋体" w:cs="宋体"/>
                <w:color w:val="000000" w:themeColor="text1"/>
                <w:sz w:val="24"/>
                <w:highlight w:val="none"/>
                <w14:textFill>
                  <w14:solidFill>
                    <w14:schemeClr w14:val="tx1"/>
                  </w14:solidFill>
                </w14:textFill>
              </w:rPr>
              <w:t>已于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日验收并交付使用。根据招标文件及政府采购合同规定，该项目的履约保证金期限于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日已满，</w:t>
            </w:r>
            <w:r>
              <w:rPr>
                <w:rFonts w:hint="eastAsia" w:ascii="宋体" w:hAnsi="宋体" w:cs="宋体"/>
                <w:color w:val="000000" w:themeColor="text1"/>
                <w:kern w:val="0"/>
                <w:sz w:val="24"/>
                <w:highlight w:val="none"/>
                <w14:textFill>
                  <w14:solidFill>
                    <w14:schemeClr w14:val="tx1"/>
                  </w14:solidFill>
                </w14:textFill>
              </w:rPr>
              <w:t>请将履约金退付到以下帐户。</w:t>
            </w:r>
          </w:p>
          <w:p>
            <w:pPr>
              <w:widowControl/>
              <w:snapToGrid w:val="0"/>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开户名称：</w:t>
            </w:r>
          </w:p>
          <w:p>
            <w:pPr>
              <w:widowControl/>
              <w:snapToGrid w:val="0"/>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帐    号：</w:t>
            </w:r>
          </w:p>
          <w:p>
            <w:pPr>
              <w:widowControl/>
              <w:snapToGrid w:val="0"/>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 户 行：</w:t>
            </w:r>
          </w:p>
          <w:p>
            <w:pPr>
              <w:widowControl/>
              <w:snapToGrid w:val="0"/>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联系人及联系电话：</w:t>
            </w:r>
          </w:p>
          <w:p>
            <w:pPr>
              <w:widowControl/>
              <w:snapToGrid w:val="0"/>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投标人：（盖章）</w:t>
            </w:r>
          </w:p>
          <w:p>
            <w:pPr>
              <w:widowControl/>
              <w:snapToGrid w:val="0"/>
              <w:spacing w:line="400" w:lineRule="exact"/>
              <w:ind w:firstLine="4291" w:firstLineChars="1788"/>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659" w:type="dxa"/>
            <w:vMerge w:val="restart"/>
            <w:vAlign w:val="center"/>
          </w:tcPr>
          <w:p>
            <w:pPr>
              <w:widowControl/>
              <w:snapToGrid w:val="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采购单位意见</w:t>
            </w:r>
          </w:p>
        </w:tc>
        <w:tc>
          <w:tcPr>
            <w:tcW w:w="1156" w:type="dxa"/>
          </w:tcPr>
          <w:p>
            <w:pPr>
              <w:widowControl/>
              <w:snapToGrid w:val="0"/>
              <w:spacing w:line="400" w:lineRule="exact"/>
              <w:ind w:firstLine="4471" w:firstLineChars="1863"/>
              <w:jc w:val="center"/>
              <w:rPr>
                <w:rFonts w:ascii="宋体" w:hAnsi="宋体" w:cs="宋体" w:eastAsiaTheme="minorEastAsia"/>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S经办部门意见</w:t>
            </w:r>
          </w:p>
        </w:tc>
        <w:tc>
          <w:tcPr>
            <w:tcW w:w="7720" w:type="dxa"/>
            <w:vAlign w:val="center"/>
          </w:tcPr>
          <w:p>
            <w:pPr>
              <w:widowControl/>
              <w:snapToGrid w:val="0"/>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意见：</w:t>
            </w:r>
          </w:p>
          <w:p>
            <w:pPr>
              <w:widowControl/>
              <w:snapToGrid w:val="0"/>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p>
          <w:p>
            <w:pPr>
              <w:widowControl/>
              <w:snapToGri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经办人：</w:t>
            </w:r>
          </w:p>
          <w:p>
            <w:pPr>
              <w:widowControl/>
              <w:snapToGrid w:val="0"/>
              <w:spacing w:line="400" w:lineRule="exact"/>
              <w:ind w:firstLine="5188" w:firstLineChars="2162"/>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659" w:type="dxa"/>
            <w:vMerge w:val="continue"/>
            <w:vAlign w:val="center"/>
          </w:tcPr>
          <w:p>
            <w:pPr>
              <w:widowControl/>
              <w:snapToGrid w:val="0"/>
              <w:jc w:val="center"/>
              <w:rPr>
                <w:rFonts w:ascii="宋体" w:hAnsi="宋体" w:cs="宋体"/>
                <w:color w:val="000000" w:themeColor="text1"/>
                <w:kern w:val="0"/>
                <w:sz w:val="28"/>
                <w:szCs w:val="28"/>
                <w:highlight w:val="none"/>
                <w14:textFill>
                  <w14:solidFill>
                    <w14:schemeClr w14:val="tx1"/>
                  </w14:solidFill>
                </w14:textFill>
              </w:rPr>
            </w:pPr>
          </w:p>
        </w:tc>
        <w:tc>
          <w:tcPr>
            <w:tcW w:w="1156" w:type="dxa"/>
          </w:tcPr>
          <w:p>
            <w:pPr>
              <w:widowControl/>
              <w:snapToGrid w:val="0"/>
              <w:spacing w:line="400" w:lineRule="exact"/>
              <w:ind w:firstLine="4471" w:firstLineChars="1863"/>
              <w:jc w:val="center"/>
              <w:rPr>
                <w:rFonts w:ascii="宋体" w:hAnsi="宋体" w:cs="宋体" w:eastAsiaTheme="minorEastAsia"/>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主主管领导审批</w:t>
            </w:r>
          </w:p>
        </w:tc>
        <w:tc>
          <w:tcPr>
            <w:tcW w:w="7720" w:type="dxa"/>
            <w:vAlign w:val="center"/>
          </w:tcPr>
          <w:p>
            <w:pPr>
              <w:widowControl/>
              <w:snapToGrid w:val="0"/>
              <w:spacing w:line="400" w:lineRule="exact"/>
              <w:ind w:firstLine="4471" w:firstLineChars="1863"/>
              <w:jc w:val="left"/>
              <w:rPr>
                <w:rFonts w:ascii="宋体" w:hAnsi="宋体" w:cs="宋体"/>
                <w:color w:val="000000" w:themeColor="text1"/>
                <w:kern w:val="0"/>
                <w:sz w:val="24"/>
                <w:highlight w:val="none"/>
                <w14:textFill>
                  <w14:solidFill>
                    <w14:schemeClr w14:val="tx1"/>
                  </w14:solidFill>
                </w14:textFill>
              </w:rPr>
            </w:pPr>
          </w:p>
          <w:p>
            <w:pPr>
              <w:widowControl/>
              <w:snapToGrid w:val="0"/>
              <w:spacing w:line="400" w:lineRule="exact"/>
              <w:ind w:firstLine="5188" w:firstLineChars="2162"/>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单位（盖章）：</w:t>
            </w:r>
          </w:p>
          <w:p>
            <w:pPr>
              <w:widowControl/>
              <w:snapToGrid w:val="0"/>
              <w:spacing w:line="400" w:lineRule="exact"/>
              <w:ind w:firstLine="4471" w:firstLineChars="1863"/>
              <w:jc w:val="left"/>
              <w:rPr>
                <w:rFonts w:ascii="宋体" w:hAnsi="宋体" w:cs="宋体"/>
                <w:color w:val="000000" w:themeColor="text1"/>
                <w:kern w:val="0"/>
                <w:sz w:val="24"/>
                <w:highlight w:val="none"/>
                <w14:textFill>
                  <w14:solidFill>
                    <w14:schemeClr w14:val="tx1"/>
                  </w14:solidFill>
                </w14:textFill>
              </w:rPr>
            </w:pPr>
          </w:p>
          <w:p>
            <w:pPr>
              <w:widowControl/>
              <w:snapToGrid w:val="0"/>
              <w:spacing w:line="400" w:lineRule="exact"/>
              <w:ind w:firstLine="5280" w:firstLineChars="2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35" w:type="dxa"/>
            <w:gridSpan w:val="3"/>
            <w:vAlign w:val="center"/>
          </w:tcPr>
          <w:p>
            <w:pPr>
              <w:widowControl/>
              <w:snapToGrid w:val="0"/>
              <w:spacing w:line="36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w:t>
            </w:r>
            <w:r>
              <w:rPr>
                <w:rFonts w:hint="eastAsia" w:ascii="宋体" w:hAnsi="宋体" w:cs="宋体"/>
                <w:color w:val="000000" w:themeColor="text1"/>
                <w:spacing w:val="-6"/>
                <w:kern w:val="0"/>
                <w:sz w:val="24"/>
                <w:highlight w:val="none"/>
                <w14:textFill>
                  <w14:solidFill>
                    <w14:schemeClr w14:val="tx1"/>
                  </w14:solidFill>
                </w14:textFill>
              </w:rPr>
              <w:t>附收款收据原件（如有开具时）、银行转帐单复印件</w:t>
            </w:r>
            <w:r>
              <w:rPr>
                <w:rFonts w:hint="eastAsia" w:ascii="宋体" w:hAnsi="宋体" w:cs="宋体"/>
                <w:color w:val="000000" w:themeColor="text1"/>
                <w:kern w:val="0"/>
                <w:sz w:val="24"/>
                <w:highlight w:val="none"/>
                <w14:textFill>
                  <w14:solidFill>
                    <w14:schemeClr w14:val="tx1"/>
                  </w14:solidFill>
                </w14:textFill>
              </w:rPr>
              <w:t>。</w:t>
            </w:r>
          </w:p>
        </w:tc>
      </w:tr>
    </w:tbl>
    <w:p>
      <w:pPr>
        <w:pStyle w:val="20"/>
        <w:spacing w:line="400" w:lineRule="exact"/>
        <w:jc w:val="left"/>
        <w:rPr>
          <w:rFonts w:hAnsi="宋体" w:cs="宋体"/>
          <w:color w:val="000000" w:themeColor="text1"/>
          <w:highlight w:val="none"/>
          <w14:textFill>
            <w14:solidFill>
              <w14:schemeClr w14:val="tx1"/>
            </w14:solidFill>
          </w14:textFill>
        </w:rPr>
      </w:pPr>
    </w:p>
    <w:sectPr>
      <w:footerReference r:id="rId11" w:type="default"/>
      <w:pgSz w:w="11906" w:h="16838"/>
      <w:pgMar w:top="1247" w:right="1247" w:bottom="1418" w:left="1247" w:header="680" w:footer="851" w:gutter="0"/>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宋体">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W1)">
    <w:altName w:val="Arial"/>
    <w:panose1 w:val="00000000000000000000"/>
    <w:charset w:val="00"/>
    <w:family w:val="swiss"/>
    <w:pitch w:val="default"/>
    <w:sig w:usb0="00000000" w:usb1="00000000" w:usb2="00000008" w:usb3="00000000" w:csb0="000001FF"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82"/>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4"/>
      </w:rPr>
    </w:pPr>
    <w:r>
      <w:fldChar w:fldCharType="begin"/>
    </w:r>
    <w:r>
      <w:rPr>
        <w:rStyle w:val="44"/>
      </w:rPr>
      <w:instrText xml:space="preserve">PAGE  </w:instrText>
    </w:r>
    <w:r>
      <w:fldChar w:fldCharType="separate"/>
    </w:r>
    <w:r>
      <w:rPr>
        <w:rStyle w:val="44"/>
      </w:rPr>
      <w:t>1</w:t>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8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82"/>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8306"/>
      </w:tabs>
      <w:rPr>
        <w:rFonts w:hAnsi="宋体"/>
        <w:szCs w:val="18"/>
      </w:rPr>
    </w:pPr>
    <w:r>
      <w:rPr>
        <w:rFonts w:hint="eastAsia" w:hAnsi="宋体" w:cs="宋体"/>
        <w:szCs w:val="21"/>
      </w:rPr>
      <w:t>网络多媒体教室设备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WordPictureWatermark2" o:spid="_x0000_s2051" o:spt="75" type="#_x0000_t75" style="position:absolute;left:0pt;height:65.05pt;width:53.4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中意LOGO（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1980"/>
      <w:jc w:val="right"/>
      <w:rPr>
        <w:rFonts w:asci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EE6CAD"/>
    <w:multiLevelType w:val="singleLevel"/>
    <w:tmpl w:val="CAEE6CAD"/>
    <w:lvl w:ilvl="0" w:tentative="0">
      <w:start w:val="1"/>
      <w:numFmt w:val="decimal"/>
      <w:suff w:val="nothing"/>
      <w:lvlText w:val="%1、"/>
      <w:lvlJc w:val="left"/>
    </w:lvl>
  </w:abstractNum>
  <w:abstractNum w:abstractNumId="1">
    <w:nsid w:val="09DC7194"/>
    <w:multiLevelType w:val="multilevel"/>
    <w:tmpl w:val="09DC7194"/>
    <w:lvl w:ilvl="0" w:tentative="0">
      <w:start w:val="1"/>
      <w:numFmt w:val="decimal"/>
      <w:pStyle w:val="148"/>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pStyle w:val="6"/>
      <w:lvlText w:val="%1.%2.%3.%4."/>
      <w:lvlJc w:val="left"/>
      <w:pPr>
        <w:tabs>
          <w:tab w:val="left" w:pos="851"/>
        </w:tabs>
        <w:ind w:left="851" w:hanging="851"/>
      </w:pPr>
    </w:lvl>
    <w:lvl w:ilvl="4" w:tentative="0">
      <w:start w:val="1"/>
      <w:numFmt w:val="decimal"/>
      <w:pStyle w:val="7"/>
      <w:lvlText w:val="%1.%2.%3.%4.%5."/>
      <w:lvlJc w:val="left"/>
      <w:pPr>
        <w:tabs>
          <w:tab w:val="left" w:pos="992"/>
        </w:tabs>
        <w:ind w:left="992" w:hanging="992"/>
      </w:pPr>
    </w:lvl>
    <w:lvl w:ilvl="5" w:tentative="0">
      <w:start w:val="1"/>
      <w:numFmt w:val="decimal"/>
      <w:pStyle w:val="2"/>
      <w:lvlText w:val="%1.%2.%3.%4.%5.%6."/>
      <w:lvlJc w:val="left"/>
      <w:pPr>
        <w:tabs>
          <w:tab w:val="left" w:pos="1134"/>
        </w:tabs>
        <w:ind w:left="1134" w:hanging="1134"/>
      </w:pPr>
    </w:lvl>
    <w:lvl w:ilvl="6" w:tentative="0">
      <w:start w:val="1"/>
      <w:numFmt w:val="decimal"/>
      <w:pStyle w:val="9"/>
      <w:lvlText w:val="%1.%2.%3.%4.%5.%6.%7."/>
      <w:lvlJc w:val="left"/>
      <w:pPr>
        <w:tabs>
          <w:tab w:val="left" w:pos="1276"/>
        </w:tabs>
        <w:ind w:left="1276" w:hanging="1276"/>
      </w:pPr>
    </w:lvl>
    <w:lvl w:ilvl="7" w:tentative="0">
      <w:start w:val="1"/>
      <w:numFmt w:val="decimal"/>
      <w:pStyle w:val="10"/>
      <w:lvlText w:val="%1.%2.%3.%4.%5.%6.%7.%8."/>
      <w:lvlJc w:val="left"/>
      <w:pPr>
        <w:tabs>
          <w:tab w:val="left" w:pos="1418"/>
        </w:tabs>
        <w:ind w:left="1418" w:hanging="1418"/>
      </w:pPr>
    </w:lvl>
    <w:lvl w:ilvl="8" w:tentative="0">
      <w:start w:val="1"/>
      <w:numFmt w:val="decimal"/>
      <w:pStyle w:val="11"/>
      <w:lvlText w:val="%1.%2.%3.%4.%5.%6.%7.%8.%9."/>
      <w:lvlJc w:val="left"/>
      <w:pPr>
        <w:tabs>
          <w:tab w:val="left" w:pos="1559"/>
        </w:tabs>
        <w:ind w:left="1559" w:hanging="1559"/>
      </w:pPr>
    </w:lvl>
  </w:abstractNum>
  <w:abstractNum w:abstractNumId="2">
    <w:nsid w:val="116622EE"/>
    <w:multiLevelType w:val="multilevel"/>
    <w:tmpl w:val="116622EE"/>
    <w:lvl w:ilvl="0" w:tentative="0">
      <w:start w:val="1"/>
      <w:numFmt w:val="decimal"/>
      <w:pStyle w:val="1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A782711"/>
    <w:multiLevelType w:val="multilevel"/>
    <w:tmpl w:val="1A78271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5A2126"/>
    <w:multiLevelType w:val="singleLevel"/>
    <w:tmpl w:val="5A5A2126"/>
    <w:lvl w:ilvl="0" w:tentative="0">
      <w:start w:val="2"/>
      <w:numFmt w:val="chineseCounting"/>
      <w:suff w:val="nothing"/>
      <w:lvlText w:val="（%1）"/>
      <w:lvlJc w:val="left"/>
    </w:lvl>
  </w:abstractNum>
  <w:abstractNum w:abstractNumId="5">
    <w:nsid w:val="5B624B4C"/>
    <w:multiLevelType w:val="singleLevel"/>
    <w:tmpl w:val="5B624B4C"/>
    <w:lvl w:ilvl="0" w:tentative="0">
      <w:start w:val="6"/>
      <w:numFmt w:val="decimal"/>
      <w:suff w:val="nothing"/>
      <w:lvlText w:val="%1．"/>
      <w:lvlJc w:val="left"/>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forms" w:enforcement="0"/>
  <w:defaultTabStop w:val="420"/>
  <w:doNotHyphenateCaps/>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9C"/>
    <w:rsid w:val="00000812"/>
    <w:rsid w:val="0000082E"/>
    <w:rsid w:val="00001B22"/>
    <w:rsid w:val="00001F13"/>
    <w:rsid w:val="00002174"/>
    <w:rsid w:val="00002ABE"/>
    <w:rsid w:val="000033D0"/>
    <w:rsid w:val="000041C2"/>
    <w:rsid w:val="00004DA2"/>
    <w:rsid w:val="000057CA"/>
    <w:rsid w:val="000059A1"/>
    <w:rsid w:val="00005A87"/>
    <w:rsid w:val="00005D16"/>
    <w:rsid w:val="00006465"/>
    <w:rsid w:val="0000660C"/>
    <w:rsid w:val="00007046"/>
    <w:rsid w:val="00010AE1"/>
    <w:rsid w:val="00011143"/>
    <w:rsid w:val="00011403"/>
    <w:rsid w:val="000117CD"/>
    <w:rsid w:val="000118E4"/>
    <w:rsid w:val="0001279F"/>
    <w:rsid w:val="00013303"/>
    <w:rsid w:val="0001337F"/>
    <w:rsid w:val="00013749"/>
    <w:rsid w:val="000141DF"/>
    <w:rsid w:val="000151DB"/>
    <w:rsid w:val="00015EA5"/>
    <w:rsid w:val="00015EE2"/>
    <w:rsid w:val="00016388"/>
    <w:rsid w:val="000164FD"/>
    <w:rsid w:val="000165A2"/>
    <w:rsid w:val="000167E7"/>
    <w:rsid w:val="00016E06"/>
    <w:rsid w:val="000205BF"/>
    <w:rsid w:val="000209F9"/>
    <w:rsid w:val="00020C81"/>
    <w:rsid w:val="00021D0A"/>
    <w:rsid w:val="000223C0"/>
    <w:rsid w:val="00022421"/>
    <w:rsid w:val="00023234"/>
    <w:rsid w:val="00023607"/>
    <w:rsid w:val="000237B2"/>
    <w:rsid w:val="00024154"/>
    <w:rsid w:val="000242B7"/>
    <w:rsid w:val="00024390"/>
    <w:rsid w:val="0002487B"/>
    <w:rsid w:val="00024DFA"/>
    <w:rsid w:val="00024F15"/>
    <w:rsid w:val="00025185"/>
    <w:rsid w:val="00025A69"/>
    <w:rsid w:val="00025DAA"/>
    <w:rsid w:val="0002757E"/>
    <w:rsid w:val="00027677"/>
    <w:rsid w:val="00027A00"/>
    <w:rsid w:val="00027E3A"/>
    <w:rsid w:val="00027E5A"/>
    <w:rsid w:val="0003073C"/>
    <w:rsid w:val="00031005"/>
    <w:rsid w:val="0003102F"/>
    <w:rsid w:val="00031152"/>
    <w:rsid w:val="0003191F"/>
    <w:rsid w:val="00031D78"/>
    <w:rsid w:val="000334E2"/>
    <w:rsid w:val="00033563"/>
    <w:rsid w:val="00033719"/>
    <w:rsid w:val="00034A52"/>
    <w:rsid w:val="00034AEB"/>
    <w:rsid w:val="0003623D"/>
    <w:rsid w:val="00036347"/>
    <w:rsid w:val="000368F5"/>
    <w:rsid w:val="00037126"/>
    <w:rsid w:val="00037380"/>
    <w:rsid w:val="00037476"/>
    <w:rsid w:val="00037622"/>
    <w:rsid w:val="000402B2"/>
    <w:rsid w:val="00040B80"/>
    <w:rsid w:val="0004167F"/>
    <w:rsid w:val="00041AC1"/>
    <w:rsid w:val="00044020"/>
    <w:rsid w:val="00044083"/>
    <w:rsid w:val="000449C3"/>
    <w:rsid w:val="00044B52"/>
    <w:rsid w:val="00044B68"/>
    <w:rsid w:val="00045334"/>
    <w:rsid w:val="00045505"/>
    <w:rsid w:val="00045697"/>
    <w:rsid w:val="00045BB8"/>
    <w:rsid w:val="00045DD5"/>
    <w:rsid w:val="00046106"/>
    <w:rsid w:val="000473D9"/>
    <w:rsid w:val="00047852"/>
    <w:rsid w:val="000505A5"/>
    <w:rsid w:val="00050ECC"/>
    <w:rsid w:val="0005135F"/>
    <w:rsid w:val="00051444"/>
    <w:rsid w:val="0005150C"/>
    <w:rsid w:val="00053131"/>
    <w:rsid w:val="000534C0"/>
    <w:rsid w:val="000540D6"/>
    <w:rsid w:val="00055095"/>
    <w:rsid w:val="000552DA"/>
    <w:rsid w:val="000556C2"/>
    <w:rsid w:val="00055CF1"/>
    <w:rsid w:val="00056074"/>
    <w:rsid w:val="00061776"/>
    <w:rsid w:val="0006248E"/>
    <w:rsid w:val="00063FED"/>
    <w:rsid w:val="0006453A"/>
    <w:rsid w:val="00065295"/>
    <w:rsid w:val="00066BA2"/>
    <w:rsid w:val="000674AC"/>
    <w:rsid w:val="00067653"/>
    <w:rsid w:val="00070460"/>
    <w:rsid w:val="00070864"/>
    <w:rsid w:val="00070E59"/>
    <w:rsid w:val="0007107A"/>
    <w:rsid w:val="00071385"/>
    <w:rsid w:val="000718D6"/>
    <w:rsid w:val="00071983"/>
    <w:rsid w:val="00071CE0"/>
    <w:rsid w:val="00072686"/>
    <w:rsid w:val="000729FD"/>
    <w:rsid w:val="000739F8"/>
    <w:rsid w:val="00074A93"/>
    <w:rsid w:val="000754BC"/>
    <w:rsid w:val="0007550A"/>
    <w:rsid w:val="00075C7C"/>
    <w:rsid w:val="00075CC7"/>
    <w:rsid w:val="00075E8A"/>
    <w:rsid w:val="00075EEE"/>
    <w:rsid w:val="00076BF9"/>
    <w:rsid w:val="000804FA"/>
    <w:rsid w:val="00080ABD"/>
    <w:rsid w:val="00080CAD"/>
    <w:rsid w:val="000813E4"/>
    <w:rsid w:val="00082114"/>
    <w:rsid w:val="0008373E"/>
    <w:rsid w:val="000839C7"/>
    <w:rsid w:val="00083AD4"/>
    <w:rsid w:val="00084214"/>
    <w:rsid w:val="00084293"/>
    <w:rsid w:val="000853E2"/>
    <w:rsid w:val="000863E4"/>
    <w:rsid w:val="000863F9"/>
    <w:rsid w:val="00086446"/>
    <w:rsid w:val="00086843"/>
    <w:rsid w:val="00086A4F"/>
    <w:rsid w:val="000872A4"/>
    <w:rsid w:val="00087781"/>
    <w:rsid w:val="00087813"/>
    <w:rsid w:val="00090F2D"/>
    <w:rsid w:val="0009131A"/>
    <w:rsid w:val="0009164E"/>
    <w:rsid w:val="00091A02"/>
    <w:rsid w:val="00091BA7"/>
    <w:rsid w:val="000924A0"/>
    <w:rsid w:val="00092D63"/>
    <w:rsid w:val="00092E93"/>
    <w:rsid w:val="00093A1C"/>
    <w:rsid w:val="00093AC0"/>
    <w:rsid w:val="0009412D"/>
    <w:rsid w:val="000950F4"/>
    <w:rsid w:val="00095866"/>
    <w:rsid w:val="000A10A3"/>
    <w:rsid w:val="000A1815"/>
    <w:rsid w:val="000A1E25"/>
    <w:rsid w:val="000A24C6"/>
    <w:rsid w:val="000A447A"/>
    <w:rsid w:val="000A478C"/>
    <w:rsid w:val="000A5547"/>
    <w:rsid w:val="000A56F3"/>
    <w:rsid w:val="000A5E73"/>
    <w:rsid w:val="000A6004"/>
    <w:rsid w:val="000A6E9A"/>
    <w:rsid w:val="000A6EF5"/>
    <w:rsid w:val="000A7870"/>
    <w:rsid w:val="000B10BC"/>
    <w:rsid w:val="000B14AD"/>
    <w:rsid w:val="000B15E1"/>
    <w:rsid w:val="000B2192"/>
    <w:rsid w:val="000B23AB"/>
    <w:rsid w:val="000B2687"/>
    <w:rsid w:val="000B26A6"/>
    <w:rsid w:val="000B3314"/>
    <w:rsid w:val="000B35AD"/>
    <w:rsid w:val="000B3EFD"/>
    <w:rsid w:val="000B4CE7"/>
    <w:rsid w:val="000B4D50"/>
    <w:rsid w:val="000B4E55"/>
    <w:rsid w:val="000B5217"/>
    <w:rsid w:val="000B5613"/>
    <w:rsid w:val="000B5B8D"/>
    <w:rsid w:val="000B5D05"/>
    <w:rsid w:val="000B5D1F"/>
    <w:rsid w:val="000B6408"/>
    <w:rsid w:val="000B67E1"/>
    <w:rsid w:val="000B75DC"/>
    <w:rsid w:val="000C0DBC"/>
    <w:rsid w:val="000C16FD"/>
    <w:rsid w:val="000C3636"/>
    <w:rsid w:val="000C3AAF"/>
    <w:rsid w:val="000C3F43"/>
    <w:rsid w:val="000C44AB"/>
    <w:rsid w:val="000C4569"/>
    <w:rsid w:val="000C480E"/>
    <w:rsid w:val="000C4B4F"/>
    <w:rsid w:val="000C5B15"/>
    <w:rsid w:val="000C5F10"/>
    <w:rsid w:val="000C6120"/>
    <w:rsid w:val="000C69DC"/>
    <w:rsid w:val="000C69DF"/>
    <w:rsid w:val="000C6D14"/>
    <w:rsid w:val="000D01A1"/>
    <w:rsid w:val="000D214E"/>
    <w:rsid w:val="000D231B"/>
    <w:rsid w:val="000D24C7"/>
    <w:rsid w:val="000D2E65"/>
    <w:rsid w:val="000D31A2"/>
    <w:rsid w:val="000D33FC"/>
    <w:rsid w:val="000D3766"/>
    <w:rsid w:val="000D3EBE"/>
    <w:rsid w:val="000D58FE"/>
    <w:rsid w:val="000D5A0B"/>
    <w:rsid w:val="000D5FEC"/>
    <w:rsid w:val="000D610E"/>
    <w:rsid w:val="000D772A"/>
    <w:rsid w:val="000D7E7D"/>
    <w:rsid w:val="000D7E8F"/>
    <w:rsid w:val="000E0706"/>
    <w:rsid w:val="000E1813"/>
    <w:rsid w:val="000E2979"/>
    <w:rsid w:val="000E31FE"/>
    <w:rsid w:val="000E3FC6"/>
    <w:rsid w:val="000E4622"/>
    <w:rsid w:val="000E4A70"/>
    <w:rsid w:val="000E4F02"/>
    <w:rsid w:val="000E5695"/>
    <w:rsid w:val="000E68DB"/>
    <w:rsid w:val="000E6BC7"/>
    <w:rsid w:val="000E7116"/>
    <w:rsid w:val="000E77F3"/>
    <w:rsid w:val="000E7FA6"/>
    <w:rsid w:val="000F010B"/>
    <w:rsid w:val="000F1CEB"/>
    <w:rsid w:val="000F1FEB"/>
    <w:rsid w:val="000F21AE"/>
    <w:rsid w:val="000F2D0B"/>
    <w:rsid w:val="000F2FF6"/>
    <w:rsid w:val="000F5B19"/>
    <w:rsid w:val="000F5D5C"/>
    <w:rsid w:val="000F5DF0"/>
    <w:rsid w:val="000F621F"/>
    <w:rsid w:val="000F6B3C"/>
    <w:rsid w:val="000F6C7F"/>
    <w:rsid w:val="000F6DF3"/>
    <w:rsid w:val="0010053A"/>
    <w:rsid w:val="00100DCB"/>
    <w:rsid w:val="0010125D"/>
    <w:rsid w:val="001012A8"/>
    <w:rsid w:val="00102015"/>
    <w:rsid w:val="0010236E"/>
    <w:rsid w:val="001029CA"/>
    <w:rsid w:val="0010342C"/>
    <w:rsid w:val="00103577"/>
    <w:rsid w:val="001036BA"/>
    <w:rsid w:val="001039D2"/>
    <w:rsid w:val="00105382"/>
    <w:rsid w:val="001056AF"/>
    <w:rsid w:val="00105C4D"/>
    <w:rsid w:val="00105D8C"/>
    <w:rsid w:val="00105E7E"/>
    <w:rsid w:val="00106299"/>
    <w:rsid w:val="001068AD"/>
    <w:rsid w:val="00106C70"/>
    <w:rsid w:val="00107691"/>
    <w:rsid w:val="00107835"/>
    <w:rsid w:val="00107A33"/>
    <w:rsid w:val="00110B32"/>
    <w:rsid w:val="00110BDB"/>
    <w:rsid w:val="00112092"/>
    <w:rsid w:val="0011238A"/>
    <w:rsid w:val="00113225"/>
    <w:rsid w:val="001134A6"/>
    <w:rsid w:val="00113C11"/>
    <w:rsid w:val="00113C38"/>
    <w:rsid w:val="00114817"/>
    <w:rsid w:val="00115714"/>
    <w:rsid w:val="00116164"/>
    <w:rsid w:val="0011676F"/>
    <w:rsid w:val="001170B9"/>
    <w:rsid w:val="00117BB0"/>
    <w:rsid w:val="00120426"/>
    <w:rsid w:val="00120A0C"/>
    <w:rsid w:val="00120CDE"/>
    <w:rsid w:val="001212A1"/>
    <w:rsid w:val="00121E55"/>
    <w:rsid w:val="00123A95"/>
    <w:rsid w:val="00124074"/>
    <w:rsid w:val="00124612"/>
    <w:rsid w:val="001248FE"/>
    <w:rsid w:val="00125191"/>
    <w:rsid w:val="001254C4"/>
    <w:rsid w:val="001258BB"/>
    <w:rsid w:val="001264ED"/>
    <w:rsid w:val="001304EE"/>
    <w:rsid w:val="00130988"/>
    <w:rsid w:val="00130B01"/>
    <w:rsid w:val="001316AC"/>
    <w:rsid w:val="00131DCC"/>
    <w:rsid w:val="00131FA2"/>
    <w:rsid w:val="0013241A"/>
    <w:rsid w:val="00132618"/>
    <w:rsid w:val="00134518"/>
    <w:rsid w:val="001353F6"/>
    <w:rsid w:val="00135BB5"/>
    <w:rsid w:val="00136ADA"/>
    <w:rsid w:val="00136B60"/>
    <w:rsid w:val="00136FD0"/>
    <w:rsid w:val="0014052C"/>
    <w:rsid w:val="001406D9"/>
    <w:rsid w:val="00140EB6"/>
    <w:rsid w:val="00141ACB"/>
    <w:rsid w:val="001421D0"/>
    <w:rsid w:val="00142452"/>
    <w:rsid w:val="00142783"/>
    <w:rsid w:val="00142B30"/>
    <w:rsid w:val="00143C01"/>
    <w:rsid w:val="00143ED6"/>
    <w:rsid w:val="00144F4E"/>
    <w:rsid w:val="001453A3"/>
    <w:rsid w:val="001455B0"/>
    <w:rsid w:val="00145B35"/>
    <w:rsid w:val="00147333"/>
    <w:rsid w:val="00147648"/>
    <w:rsid w:val="001506C0"/>
    <w:rsid w:val="00150831"/>
    <w:rsid w:val="00150F40"/>
    <w:rsid w:val="00150F94"/>
    <w:rsid w:val="001515E1"/>
    <w:rsid w:val="00151D6E"/>
    <w:rsid w:val="001520C6"/>
    <w:rsid w:val="0015245F"/>
    <w:rsid w:val="00153071"/>
    <w:rsid w:val="001539DB"/>
    <w:rsid w:val="001546AB"/>
    <w:rsid w:val="00154FDB"/>
    <w:rsid w:val="0015531F"/>
    <w:rsid w:val="00155674"/>
    <w:rsid w:val="0015604E"/>
    <w:rsid w:val="0015633D"/>
    <w:rsid w:val="00156429"/>
    <w:rsid w:val="00156AC1"/>
    <w:rsid w:val="001570AE"/>
    <w:rsid w:val="0015730A"/>
    <w:rsid w:val="001576B7"/>
    <w:rsid w:val="00157E2A"/>
    <w:rsid w:val="001601A1"/>
    <w:rsid w:val="00160357"/>
    <w:rsid w:val="00160A84"/>
    <w:rsid w:val="00161B70"/>
    <w:rsid w:val="001622E2"/>
    <w:rsid w:val="001626A2"/>
    <w:rsid w:val="0016292D"/>
    <w:rsid w:val="00162C39"/>
    <w:rsid w:val="00163C2E"/>
    <w:rsid w:val="001647C6"/>
    <w:rsid w:val="00164CBD"/>
    <w:rsid w:val="00165026"/>
    <w:rsid w:val="001657E0"/>
    <w:rsid w:val="0016609B"/>
    <w:rsid w:val="00166EB4"/>
    <w:rsid w:val="00167BFA"/>
    <w:rsid w:val="0017068B"/>
    <w:rsid w:val="00170A37"/>
    <w:rsid w:val="00170E0C"/>
    <w:rsid w:val="00170E0E"/>
    <w:rsid w:val="00171262"/>
    <w:rsid w:val="00171454"/>
    <w:rsid w:val="00171513"/>
    <w:rsid w:val="00171612"/>
    <w:rsid w:val="00171851"/>
    <w:rsid w:val="00171CD7"/>
    <w:rsid w:val="00172648"/>
    <w:rsid w:val="00172927"/>
    <w:rsid w:val="00172C9F"/>
    <w:rsid w:val="00172CEA"/>
    <w:rsid w:val="00172D4A"/>
    <w:rsid w:val="00173414"/>
    <w:rsid w:val="00173820"/>
    <w:rsid w:val="00173F7E"/>
    <w:rsid w:val="00174C06"/>
    <w:rsid w:val="00174D8F"/>
    <w:rsid w:val="00174DAA"/>
    <w:rsid w:val="001761EF"/>
    <w:rsid w:val="00176329"/>
    <w:rsid w:val="00177196"/>
    <w:rsid w:val="0017760E"/>
    <w:rsid w:val="00180EDE"/>
    <w:rsid w:val="00180F91"/>
    <w:rsid w:val="00182DCD"/>
    <w:rsid w:val="00182FB8"/>
    <w:rsid w:val="00184864"/>
    <w:rsid w:val="001859AF"/>
    <w:rsid w:val="00185EBA"/>
    <w:rsid w:val="00186E30"/>
    <w:rsid w:val="00187A74"/>
    <w:rsid w:val="00190338"/>
    <w:rsid w:val="0019063A"/>
    <w:rsid w:val="00190E2E"/>
    <w:rsid w:val="0019120D"/>
    <w:rsid w:val="00191344"/>
    <w:rsid w:val="001914C5"/>
    <w:rsid w:val="00191B59"/>
    <w:rsid w:val="00192318"/>
    <w:rsid w:val="00192A63"/>
    <w:rsid w:val="0019312F"/>
    <w:rsid w:val="00193179"/>
    <w:rsid w:val="001938CA"/>
    <w:rsid w:val="0019473E"/>
    <w:rsid w:val="0019492B"/>
    <w:rsid w:val="00194E10"/>
    <w:rsid w:val="00195009"/>
    <w:rsid w:val="001956D1"/>
    <w:rsid w:val="00195BD3"/>
    <w:rsid w:val="00195C6E"/>
    <w:rsid w:val="00195EE6"/>
    <w:rsid w:val="00195F89"/>
    <w:rsid w:val="00196B2B"/>
    <w:rsid w:val="001971DA"/>
    <w:rsid w:val="00197501"/>
    <w:rsid w:val="001A128E"/>
    <w:rsid w:val="001A1503"/>
    <w:rsid w:val="001A1A05"/>
    <w:rsid w:val="001A1E78"/>
    <w:rsid w:val="001A271A"/>
    <w:rsid w:val="001A2E8C"/>
    <w:rsid w:val="001A4CBA"/>
    <w:rsid w:val="001A4E1A"/>
    <w:rsid w:val="001A5207"/>
    <w:rsid w:val="001A54E5"/>
    <w:rsid w:val="001A66DE"/>
    <w:rsid w:val="001A6E70"/>
    <w:rsid w:val="001A6FA0"/>
    <w:rsid w:val="001A780E"/>
    <w:rsid w:val="001B02D7"/>
    <w:rsid w:val="001B0340"/>
    <w:rsid w:val="001B0903"/>
    <w:rsid w:val="001B0C5D"/>
    <w:rsid w:val="001B0E1D"/>
    <w:rsid w:val="001B1243"/>
    <w:rsid w:val="001B2071"/>
    <w:rsid w:val="001B22A4"/>
    <w:rsid w:val="001B454C"/>
    <w:rsid w:val="001B4C09"/>
    <w:rsid w:val="001B5560"/>
    <w:rsid w:val="001B5A61"/>
    <w:rsid w:val="001B5F7E"/>
    <w:rsid w:val="001B74A4"/>
    <w:rsid w:val="001B7559"/>
    <w:rsid w:val="001C0D90"/>
    <w:rsid w:val="001C27CC"/>
    <w:rsid w:val="001C2DB3"/>
    <w:rsid w:val="001C3061"/>
    <w:rsid w:val="001C347D"/>
    <w:rsid w:val="001C4B17"/>
    <w:rsid w:val="001C5163"/>
    <w:rsid w:val="001C5A78"/>
    <w:rsid w:val="001C5FA0"/>
    <w:rsid w:val="001C6774"/>
    <w:rsid w:val="001C6A17"/>
    <w:rsid w:val="001C71EC"/>
    <w:rsid w:val="001C73ED"/>
    <w:rsid w:val="001C7811"/>
    <w:rsid w:val="001C78C9"/>
    <w:rsid w:val="001C7A88"/>
    <w:rsid w:val="001D0234"/>
    <w:rsid w:val="001D0E7C"/>
    <w:rsid w:val="001D0EB2"/>
    <w:rsid w:val="001D0EDA"/>
    <w:rsid w:val="001D1928"/>
    <w:rsid w:val="001D1FC8"/>
    <w:rsid w:val="001D2D47"/>
    <w:rsid w:val="001D2FB3"/>
    <w:rsid w:val="001D30E5"/>
    <w:rsid w:val="001D30F4"/>
    <w:rsid w:val="001D3C38"/>
    <w:rsid w:val="001D406C"/>
    <w:rsid w:val="001D42D7"/>
    <w:rsid w:val="001D4B38"/>
    <w:rsid w:val="001D4C40"/>
    <w:rsid w:val="001D4CEE"/>
    <w:rsid w:val="001D4EDA"/>
    <w:rsid w:val="001D5077"/>
    <w:rsid w:val="001D7114"/>
    <w:rsid w:val="001D7656"/>
    <w:rsid w:val="001D781D"/>
    <w:rsid w:val="001D7FA5"/>
    <w:rsid w:val="001E0665"/>
    <w:rsid w:val="001E0A8A"/>
    <w:rsid w:val="001E1950"/>
    <w:rsid w:val="001E2BB9"/>
    <w:rsid w:val="001E32A6"/>
    <w:rsid w:val="001E3B86"/>
    <w:rsid w:val="001E3E89"/>
    <w:rsid w:val="001E4288"/>
    <w:rsid w:val="001E466D"/>
    <w:rsid w:val="001E5BBD"/>
    <w:rsid w:val="001E61E7"/>
    <w:rsid w:val="001E67C1"/>
    <w:rsid w:val="001E731E"/>
    <w:rsid w:val="001F05FA"/>
    <w:rsid w:val="001F0D40"/>
    <w:rsid w:val="001F16AA"/>
    <w:rsid w:val="001F1970"/>
    <w:rsid w:val="001F2229"/>
    <w:rsid w:val="001F25CE"/>
    <w:rsid w:val="001F2DB3"/>
    <w:rsid w:val="001F331E"/>
    <w:rsid w:val="001F35A4"/>
    <w:rsid w:val="001F3A11"/>
    <w:rsid w:val="001F4470"/>
    <w:rsid w:val="001F4B6F"/>
    <w:rsid w:val="001F4D9B"/>
    <w:rsid w:val="001F66D3"/>
    <w:rsid w:val="001F6AFE"/>
    <w:rsid w:val="001F7837"/>
    <w:rsid w:val="002002A3"/>
    <w:rsid w:val="00200AC2"/>
    <w:rsid w:val="00200B42"/>
    <w:rsid w:val="00200C3F"/>
    <w:rsid w:val="00201E97"/>
    <w:rsid w:val="00201F8F"/>
    <w:rsid w:val="002031E0"/>
    <w:rsid w:val="002033C3"/>
    <w:rsid w:val="00203E35"/>
    <w:rsid w:val="00204A43"/>
    <w:rsid w:val="00205CBC"/>
    <w:rsid w:val="0020695E"/>
    <w:rsid w:val="00206A92"/>
    <w:rsid w:val="00206AB0"/>
    <w:rsid w:val="00206B04"/>
    <w:rsid w:val="00206B5C"/>
    <w:rsid w:val="0020762F"/>
    <w:rsid w:val="00207CD3"/>
    <w:rsid w:val="00207FBF"/>
    <w:rsid w:val="00210B63"/>
    <w:rsid w:val="002112D1"/>
    <w:rsid w:val="002119C9"/>
    <w:rsid w:val="00211DDE"/>
    <w:rsid w:val="00212106"/>
    <w:rsid w:val="002123D3"/>
    <w:rsid w:val="0021265D"/>
    <w:rsid w:val="00212DBE"/>
    <w:rsid w:val="00213AC6"/>
    <w:rsid w:val="00213B8C"/>
    <w:rsid w:val="00213D5F"/>
    <w:rsid w:val="002144C9"/>
    <w:rsid w:val="00214B50"/>
    <w:rsid w:val="00215DDF"/>
    <w:rsid w:val="00215F00"/>
    <w:rsid w:val="00216365"/>
    <w:rsid w:val="00216572"/>
    <w:rsid w:val="00216A20"/>
    <w:rsid w:val="00217001"/>
    <w:rsid w:val="00220217"/>
    <w:rsid w:val="00220ADE"/>
    <w:rsid w:val="0022145C"/>
    <w:rsid w:val="002214AB"/>
    <w:rsid w:val="00221AFB"/>
    <w:rsid w:val="00221C0C"/>
    <w:rsid w:val="00221DC8"/>
    <w:rsid w:val="00222C87"/>
    <w:rsid w:val="00222FBB"/>
    <w:rsid w:val="0022304D"/>
    <w:rsid w:val="002241D1"/>
    <w:rsid w:val="00224813"/>
    <w:rsid w:val="00224A75"/>
    <w:rsid w:val="00225308"/>
    <w:rsid w:val="00225BFF"/>
    <w:rsid w:val="0022623F"/>
    <w:rsid w:val="00226915"/>
    <w:rsid w:val="00227AEF"/>
    <w:rsid w:val="00230017"/>
    <w:rsid w:val="002310CE"/>
    <w:rsid w:val="002313EC"/>
    <w:rsid w:val="00232C0E"/>
    <w:rsid w:val="0023311E"/>
    <w:rsid w:val="0023353B"/>
    <w:rsid w:val="00233546"/>
    <w:rsid w:val="00233AC7"/>
    <w:rsid w:val="00234EA0"/>
    <w:rsid w:val="002355DD"/>
    <w:rsid w:val="00235A4F"/>
    <w:rsid w:val="002364F5"/>
    <w:rsid w:val="002373A0"/>
    <w:rsid w:val="0023753A"/>
    <w:rsid w:val="002408C4"/>
    <w:rsid w:val="00240934"/>
    <w:rsid w:val="00241553"/>
    <w:rsid w:val="00241813"/>
    <w:rsid w:val="00242120"/>
    <w:rsid w:val="00242468"/>
    <w:rsid w:val="00242492"/>
    <w:rsid w:val="00242993"/>
    <w:rsid w:val="00242F24"/>
    <w:rsid w:val="00244203"/>
    <w:rsid w:val="00244220"/>
    <w:rsid w:val="00244274"/>
    <w:rsid w:val="002449F2"/>
    <w:rsid w:val="00244B3F"/>
    <w:rsid w:val="002451E2"/>
    <w:rsid w:val="00245DD8"/>
    <w:rsid w:val="002460B0"/>
    <w:rsid w:val="002460B1"/>
    <w:rsid w:val="002460BE"/>
    <w:rsid w:val="002461AF"/>
    <w:rsid w:val="0024635B"/>
    <w:rsid w:val="00246AA3"/>
    <w:rsid w:val="00247171"/>
    <w:rsid w:val="00247DEE"/>
    <w:rsid w:val="00250B7D"/>
    <w:rsid w:val="00250D3D"/>
    <w:rsid w:val="00252D3F"/>
    <w:rsid w:val="00252FCA"/>
    <w:rsid w:val="0025319A"/>
    <w:rsid w:val="00253A63"/>
    <w:rsid w:val="00253DB3"/>
    <w:rsid w:val="00254AAE"/>
    <w:rsid w:val="00254FFF"/>
    <w:rsid w:val="0025593D"/>
    <w:rsid w:val="00255DA2"/>
    <w:rsid w:val="0025600A"/>
    <w:rsid w:val="00256AF9"/>
    <w:rsid w:val="0025720D"/>
    <w:rsid w:val="002607A9"/>
    <w:rsid w:val="00260ACE"/>
    <w:rsid w:val="00260CA9"/>
    <w:rsid w:val="00260EF2"/>
    <w:rsid w:val="0026148F"/>
    <w:rsid w:val="00261555"/>
    <w:rsid w:val="00262370"/>
    <w:rsid w:val="00262913"/>
    <w:rsid w:val="0026358D"/>
    <w:rsid w:val="00264C66"/>
    <w:rsid w:val="00265109"/>
    <w:rsid w:val="002656E6"/>
    <w:rsid w:val="00265E8C"/>
    <w:rsid w:val="0026604B"/>
    <w:rsid w:val="00266832"/>
    <w:rsid w:val="00266960"/>
    <w:rsid w:val="00267239"/>
    <w:rsid w:val="00267EF7"/>
    <w:rsid w:val="00267EFB"/>
    <w:rsid w:val="00270D3E"/>
    <w:rsid w:val="0027114B"/>
    <w:rsid w:val="002716F7"/>
    <w:rsid w:val="002716FE"/>
    <w:rsid w:val="002719D7"/>
    <w:rsid w:val="002723D3"/>
    <w:rsid w:val="002723D4"/>
    <w:rsid w:val="00272D78"/>
    <w:rsid w:val="0027336E"/>
    <w:rsid w:val="0027337F"/>
    <w:rsid w:val="00274B2B"/>
    <w:rsid w:val="00274F85"/>
    <w:rsid w:val="002751B5"/>
    <w:rsid w:val="00275516"/>
    <w:rsid w:val="002759A2"/>
    <w:rsid w:val="00275A36"/>
    <w:rsid w:val="00275E84"/>
    <w:rsid w:val="00276679"/>
    <w:rsid w:val="00277317"/>
    <w:rsid w:val="00277459"/>
    <w:rsid w:val="00280442"/>
    <w:rsid w:val="00280642"/>
    <w:rsid w:val="00280F38"/>
    <w:rsid w:val="002810C2"/>
    <w:rsid w:val="00281DA3"/>
    <w:rsid w:val="002822CE"/>
    <w:rsid w:val="00282B7A"/>
    <w:rsid w:val="00282E7B"/>
    <w:rsid w:val="00282EF3"/>
    <w:rsid w:val="002849F5"/>
    <w:rsid w:val="002852A4"/>
    <w:rsid w:val="00286082"/>
    <w:rsid w:val="00286C56"/>
    <w:rsid w:val="00286DF2"/>
    <w:rsid w:val="00287155"/>
    <w:rsid w:val="0029095D"/>
    <w:rsid w:val="00291184"/>
    <w:rsid w:val="002914EE"/>
    <w:rsid w:val="00291BA2"/>
    <w:rsid w:val="00291DA4"/>
    <w:rsid w:val="002926A8"/>
    <w:rsid w:val="002929A0"/>
    <w:rsid w:val="00292A86"/>
    <w:rsid w:val="00292B50"/>
    <w:rsid w:val="00293F41"/>
    <w:rsid w:val="00294DD0"/>
    <w:rsid w:val="00295082"/>
    <w:rsid w:val="00296575"/>
    <w:rsid w:val="00296DF4"/>
    <w:rsid w:val="002974A0"/>
    <w:rsid w:val="002A06AB"/>
    <w:rsid w:val="002A0788"/>
    <w:rsid w:val="002A0949"/>
    <w:rsid w:val="002A09AF"/>
    <w:rsid w:val="002A12F3"/>
    <w:rsid w:val="002A18E7"/>
    <w:rsid w:val="002A1B94"/>
    <w:rsid w:val="002A23EC"/>
    <w:rsid w:val="002A25E6"/>
    <w:rsid w:val="002A28DF"/>
    <w:rsid w:val="002A31C0"/>
    <w:rsid w:val="002A4FE4"/>
    <w:rsid w:val="002A510A"/>
    <w:rsid w:val="002A5E2A"/>
    <w:rsid w:val="002A6CCA"/>
    <w:rsid w:val="002A7821"/>
    <w:rsid w:val="002B064A"/>
    <w:rsid w:val="002B069B"/>
    <w:rsid w:val="002B0A5C"/>
    <w:rsid w:val="002B0BEC"/>
    <w:rsid w:val="002B0DAB"/>
    <w:rsid w:val="002B1033"/>
    <w:rsid w:val="002B10D2"/>
    <w:rsid w:val="002B1486"/>
    <w:rsid w:val="002B1D7F"/>
    <w:rsid w:val="002B1FF4"/>
    <w:rsid w:val="002B20C9"/>
    <w:rsid w:val="002B2267"/>
    <w:rsid w:val="002B24FC"/>
    <w:rsid w:val="002B2693"/>
    <w:rsid w:val="002B375B"/>
    <w:rsid w:val="002B3885"/>
    <w:rsid w:val="002B41AA"/>
    <w:rsid w:val="002B4A59"/>
    <w:rsid w:val="002B4D3C"/>
    <w:rsid w:val="002B5510"/>
    <w:rsid w:val="002B5668"/>
    <w:rsid w:val="002B5A1F"/>
    <w:rsid w:val="002B5FD7"/>
    <w:rsid w:val="002B6A0E"/>
    <w:rsid w:val="002B6A5A"/>
    <w:rsid w:val="002B6AE2"/>
    <w:rsid w:val="002B6D32"/>
    <w:rsid w:val="002B7561"/>
    <w:rsid w:val="002B7DCC"/>
    <w:rsid w:val="002C01B3"/>
    <w:rsid w:val="002C0FD5"/>
    <w:rsid w:val="002C1111"/>
    <w:rsid w:val="002C15B2"/>
    <w:rsid w:val="002C26BE"/>
    <w:rsid w:val="002C278B"/>
    <w:rsid w:val="002C34F3"/>
    <w:rsid w:val="002C351E"/>
    <w:rsid w:val="002C3A65"/>
    <w:rsid w:val="002C412B"/>
    <w:rsid w:val="002C4DC8"/>
    <w:rsid w:val="002C4ECB"/>
    <w:rsid w:val="002C52D0"/>
    <w:rsid w:val="002C548B"/>
    <w:rsid w:val="002C5595"/>
    <w:rsid w:val="002C55C9"/>
    <w:rsid w:val="002C560D"/>
    <w:rsid w:val="002C5F4D"/>
    <w:rsid w:val="002C6D3B"/>
    <w:rsid w:val="002C71A4"/>
    <w:rsid w:val="002C7364"/>
    <w:rsid w:val="002C740D"/>
    <w:rsid w:val="002C7CD4"/>
    <w:rsid w:val="002C7E27"/>
    <w:rsid w:val="002C7E7E"/>
    <w:rsid w:val="002D1C63"/>
    <w:rsid w:val="002D28DB"/>
    <w:rsid w:val="002D2A4A"/>
    <w:rsid w:val="002D36C1"/>
    <w:rsid w:val="002D36EC"/>
    <w:rsid w:val="002D3771"/>
    <w:rsid w:val="002D4102"/>
    <w:rsid w:val="002D4806"/>
    <w:rsid w:val="002D4C24"/>
    <w:rsid w:val="002D4E67"/>
    <w:rsid w:val="002D5132"/>
    <w:rsid w:val="002D54D2"/>
    <w:rsid w:val="002D59EA"/>
    <w:rsid w:val="002D65FB"/>
    <w:rsid w:val="002D6D6E"/>
    <w:rsid w:val="002E0EB9"/>
    <w:rsid w:val="002E159D"/>
    <w:rsid w:val="002E2F7C"/>
    <w:rsid w:val="002E39A6"/>
    <w:rsid w:val="002E54A2"/>
    <w:rsid w:val="002E57C4"/>
    <w:rsid w:val="002E66A2"/>
    <w:rsid w:val="002E67C3"/>
    <w:rsid w:val="002F0579"/>
    <w:rsid w:val="002F120E"/>
    <w:rsid w:val="002F152F"/>
    <w:rsid w:val="002F2E42"/>
    <w:rsid w:val="002F2E6A"/>
    <w:rsid w:val="002F3AEF"/>
    <w:rsid w:val="002F4A07"/>
    <w:rsid w:val="002F69B4"/>
    <w:rsid w:val="002F7780"/>
    <w:rsid w:val="002F7BDC"/>
    <w:rsid w:val="002F7DC9"/>
    <w:rsid w:val="00300D05"/>
    <w:rsid w:val="00301234"/>
    <w:rsid w:val="003013B8"/>
    <w:rsid w:val="0030180B"/>
    <w:rsid w:val="003028EE"/>
    <w:rsid w:val="00302B0E"/>
    <w:rsid w:val="00302EE2"/>
    <w:rsid w:val="00303D6E"/>
    <w:rsid w:val="00304B00"/>
    <w:rsid w:val="003051F2"/>
    <w:rsid w:val="00305956"/>
    <w:rsid w:val="00305D38"/>
    <w:rsid w:val="00306548"/>
    <w:rsid w:val="00307169"/>
    <w:rsid w:val="003100F3"/>
    <w:rsid w:val="0031153C"/>
    <w:rsid w:val="00311591"/>
    <w:rsid w:val="003118AF"/>
    <w:rsid w:val="00312B2D"/>
    <w:rsid w:val="0031327A"/>
    <w:rsid w:val="003140CD"/>
    <w:rsid w:val="00314DE9"/>
    <w:rsid w:val="00315108"/>
    <w:rsid w:val="00315E02"/>
    <w:rsid w:val="003179DB"/>
    <w:rsid w:val="00320104"/>
    <w:rsid w:val="0032047D"/>
    <w:rsid w:val="00322194"/>
    <w:rsid w:val="0032340C"/>
    <w:rsid w:val="00323464"/>
    <w:rsid w:val="00323EC9"/>
    <w:rsid w:val="00323FD7"/>
    <w:rsid w:val="00324491"/>
    <w:rsid w:val="0032485B"/>
    <w:rsid w:val="003249F9"/>
    <w:rsid w:val="00324BBA"/>
    <w:rsid w:val="00324D57"/>
    <w:rsid w:val="00326241"/>
    <w:rsid w:val="00326B49"/>
    <w:rsid w:val="00327483"/>
    <w:rsid w:val="003278A9"/>
    <w:rsid w:val="003279D9"/>
    <w:rsid w:val="00330CDC"/>
    <w:rsid w:val="00330DB6"/>
    <w:rsid w:val="00331B9A"/>
    <w:rsid w:val="003321AC"/>
    <w:rsid w:val="00332A77"/>
    <w:rsid w:val="00332E24"/>
    <w:rsid w:val="00333277"/>
    <w:rsid w:val="00333C81"/>
    <w:rsid w:val="003346D3"/>
    <w:rsid w:val="003348EF"/>
    <w:rsid w:val="00335A54"/>
    <w:rsid w:val="003363FC"/>
    <w:rsid w:val="00336838"/>
    <w:rsid w:val="00336AFB"/>
    <w:rsid w:val="00336BB8"/>
    <w:rsid w:val="00336FEB"/>
    <w:rsid w:val="00337C74"/>
    <w:rsid w:val="00340E1D"/>
    <w:rsid w:val="003417FC"/>
    <w:rsid w:val="00341AB3"/>
    <w:rsid w:val="0034287D"/>
    <w:rsid w:val="00343223"/>
    <w:rsid w:val="0034337E"/>
    <w:rsid w:val="00343FCF"/>
    <w:rsid w:val="00344124"/>
    <w:rsid w:val="003442B7"/>
    <w:rsid w:val="00344325"/>
    <w:rsid w:val="003448D0"/>
    <w:rsid w:val="00344ABC"/>
    <w:rsid w:val="003453D1"/>
    <w:rsid w:val="00345901"/>
    <w:rsid w:val="003460CC"/>
    <w:rsid w:val="0034626A"/>
    <w:rsid w:val="00346583"/>
    <w:rsid w:val="003467B8"/>
    <w:rsid w:val="00347868"/>
    <w:rsid w:val="00350989"/>
    <w:rsid w:val="00350CBD"/>
    <w:rsid w:val="00350E3C"/>
    <w:rsid w:val="00351849"/>
    <w:rsid w:val="003527B7"/>
    <w:rsid w:val="00353208"/>
    <w:rsid w:val="00353FA7"/>
    <w:rsid w:val="00354B2B"/>
    <w:rsid w:val="003550E9"/>
    <w:rsid w:val="0035598D"/>
    <w:rsid w:val="00356CBA"/>
    <w:rsid w:val="00357585"/>
    <w:rsid w:val="00357706"/>
    <w:rsid w:val="00357FD6"/>
    <w:rsid w:val="00360419"/>
    <w:rsid w:val="0036123B"/>
    <w:rsid w:val="00361F29"/>
    <w:rsid w:val="00362056"/>
    <w:rsid w:val="003625F6"/>
    <w:rsid w:val="003627ED"/>
    <w:rsid w:val="003634CD"/>
    <w:rsid w:val="003638F6"/>
    <w:rsid w:val="00364006"/>
    <w:rsid w:val="00364171"/>
    <w:rsid w:val="00364878"/>
    <w:rsid w:val="0036487C"/>
    <w:rsid w:val="00364AF4"/>
    <w:rsid w:val="00364C03"/>
    <w:rsid w:val="00365F16"/>
    <w:rsid w:val="00366631"/>
    <w:rsid w:val="003669A2"/>
    <w:rsid w:val="0036724E"/>
    <w:rsid w:val="003672CF"/>
    <w:rsid w:val="003679D2"/>
    <w:rsid w:val="00367B7A"/>
    <w:rsid w:val="00367F94"/>
    <w:rsid w:val="00370D89"/>
    <w:rsid w:val="0037151B"/>
    <w:rsid w:val="00372094"/>
    <w:rsid w:val="003741B4"/>
    <w:rsid w:val="0037513F"/>
    <w:rsid w:val="0037538D"/>
    <w:rsid w:val="0037575E"/>
    <w:rsid w:val="003762FC"/>
    <w:rsid w:val="003765C3"/>
    <w:rsid w:val="003766BD"/>
    <w:rsid w:val="00376866"/>
    <w:rsid w:val="00376DD4"/>
    <w:rsid w:val="003770C3"/>
    <w:rsid w:val="0037730D"/>
    <w:rsid w:val="00377432"/>
    <w:rsid w:val="00377656"/>
    <w:rsid w:val="00377ED9"/>
    <w:rsid w:val="00380DD8"/>
    <w:rsid w:val="00381A8A"/>
    <w:rsid w:val="00381C7A"/>
    <w:rsid w:val="003824A9"/>
    <w:rsid w:val="0038299D"/>
    <w:rsid w:val="00382BD5"/>
    <w:rsid w:val="00383192"/>
    <w:rsid w:val="0038364A"/>
    <w:rsid w:val="00383C7B"/>
    <w:rsid w:val="00383C9D"/>
    <w:rsid w:val="003846F3"/>
    <w:rsid w:val="0038504F"/>
    <w:rsid w:val="00385160"/>
    <w:rsid w:val="0038534A"/>
    <w:rsid w:val="003858BF"/>
    <w:rsid w:val="00386436"/>
    <w:rsid w:val="003872B8"/>
    <w:rsid w:val="00387674"/>
    <w:rsid w:val="003878D1"/>
    <w:rsid w:val="00387B7B"/>
    <w:rsid w:val="00390180"/>
    <w:rsid w:val="003905B7"/>
    <w:rsid w:val="00390F21"/>
    <w:rsid w:val="00391288"/>
    <w:rsid w:val="00392CBC"/>
    <w:rsid w:val="00392E42"/>
    <w:rsid w:val="003930C1"/>
    <w:rsid w:val="00394D65"/>
    <w:rsid w:val="00394DFA"/>
    <w:rsid w:val="003952A9"/>
    <w:rsid w:val="003953AB"/>
    <w:rsid w:val="00395D34"/>
    <w:rsid w:val="00395FE9"/>
    <w:rsid w:val="0039618D"/>
    <w:rsid w:val="003967A5"/>
    <w:rsid w:val="0039696E"/>
    <w:rsid w:val="00396B05"/>
    <w:rsid w:val="00396BF5"/>
    <w:rsid w:val="00396CA7"/>
    <w:rsid w:val="00397B28"/>
    <w:rsid w:val="00397DDE"/>
    <w:rsid w:val="003A012B"/>
    <w:rsid w:val="003A0635"/>
    <w:rsid w:val="003A0A09"/>
    <w:rsid w:val="003A0C1D"/>
    <w:rsid w:val="003A0CFB"/>
    <w:rsid w:val="003A0E73"/>
    <w:rsid w:val="003A0F2C"/>
    <w:rsid w:val="003A136C"/>
    <w:rsid w:val="003A1964"/>
    <w:rsid w:val="003A2719"/>
    <w:rsid w:val="003A2BB8"/>
    <w:rsid w:val="003A2C09"/>
    <w:rsid w:val="003A4D57"/>
    <w:rsid w:val="003A56A1"/>
    <w:rsid w:val="003A5743"/>
    <w:rsid w:val="003A6300"/>
    <w:rsid w:val="003A6340"/>
    <w:rsid w:val="003A650E"/>
    <w:rsid w:val="003A6C9D"/>
    <w:rsid w:val="003A752E"/>
    <w:rsid w:val="003B08F9"/>
    <w:rsid w:val="003B09FA"/>
    <w:rsid w:val="003B0D8F"/>
    <w:rsid w:val="003B1C39"/>
    <w:rsid w:val="003B1F48"/>
    <w:rsid w:val="003B259D"/>
    <w:rsid w:val="003B2C55"/>
    <w:rsid w:val="003B2F49"/>
    <w:rsid w:val="003B3189"/>
    <w:rsid w:val="003B3273"/>
    <w:rsid w:val="003B4496"/>
    <w:rsid w:val="003B5598"/>
    <w:rsid w:val="003B5652"/>
    <w:rsid w:val="003B6144"/>
    <w:rsid w:val="003B6234"/>
    <w:rsid w:val="003B6604"/>
    <w:rsid w:val="003B68F6"/>
    <w:rsid w:val="003B6D03"/>
    <w:rsid w:val="003B7BC3"/>
    <w:rsid w:val="003C05E8"/>
    <w:rsid w:val="003C0768"/>
    <w:rsid w:val="003C112A"/>
    <w:rsid w:val="003C158F"/>
    <w:rsid w:val="003C1660"/>
    <w:rsid w:val="003C280E"/>
    <w:rsid w:val="003C28EB"/>
    <w:rsid w:val="003C3530"/>
    <w:rsid w:val="003C36F2"/>
    <w:rsid w:val="003C3E32"/>
    <w:rsid w:val="003C402B"/>
    <w:rsid w:val="003C4B63"/>
    <w:rsid w:val="003C535B"/>
    <w:rsid w:val="003C5971"/>
    <w:rsid w:val="003C597B"/>
    <w:rsid w:val="003C60C5"/>
    <w:rsid w:val="003C716A"/>
    <w:rsid w:val="003C7426"/>
    <w:rsid w:val="003C794B"/>
    <w:rsid w:val="003C7DCF"/>
    <w:rsid w:val="003C7E9C"/>
    <w:rsid w:val="003D0156"/>
    <w:rsid w:val="003D0D81"/>
    <w:rsid w:val="003D2550"/>
    <w:rsid w:val="003D273A"/>
    <w:rsid w:val="003D2AD8"/>
    <w:rsid w:val="003D332B"/>
    <w:rsid w:val="003D3B52"/>
    <w:rsid w:val="003D4040"/>
    <w:rsid w:val="003D41C4"/>
    <w:rsid w:val="003D4EFC"/>
    <w:rsid w:val="003D500C"/>
    <w:rsid w:val="003D712F"/>
    <w:rsid w:val="003D7A8C"/>
    <w:rsid w:val="003E0348"/>
    <w:rsid w:val="003E055B"/>
    <w:rsid w:val="003E0E9E"/>
    <w:rsid w:val="003E1237"/>
    <w:rsid w:val="003E1AF3"/>
    <w:rsid w:val="003E20FE"/>
    <w:rsid w:val="003E2722"/>
    <w:rsid w:val="003E29F8"/>
    <w:rsid w:val="003E3BE6"/>
    <w:rsid w:val="003E3DB3"/>
    <w:rsid w:val="003E4392"/>
    <w:rsid w:val="003E476C"/>
    <w:rsid w:val="003E490D"/>
    <w:rsid w:val="003E49EF"/>
    <w:rsid w:val="003E4AB0"/>
    <w:rsid w:val="003E53F9"/>
    <w:rsid w:val="003E54F7"/>
    <w:rsid w:val="003E5EEC"/>
    <w:rsid w:val="003E61BF"/>
    <w:rsid w:val="003E6E69"/>
    <w:rsid w:val="003F04C9"/>
    <w:rsid w:val="003F0EA7"/>
    <w:rsid w:val="003F1C78"/>
    <w:rsid w:val="003F1FB6"/>
    <w:rsid w:val="003F2338"/>
    <w:rsid w:val="003F28E6"/>
    <w:rsid w:val="003F2AA3"/>
    <w:rsid w:val="003F32AD"/>
    <w:rsid w:val="003F3E69"/>
    <w:rsid w:val="003F4399"/>
    <w:rsid w:val="003F448B"/>
    <w:rsid w:val="003F4ADE"/>
    <w:rsid w:val="003F4CFE"/>
    <w:rsid w:val="003F6BE9"/>
    <w:rsid w:val="003F6C75"/>
    <w:rsid w:val="003F7E3F"/>
    <w:rsid w:val="004002AB"/>
    <w:rsid w:val="004014C2"/>
    <w:rsid w:val="00401794"/>
    <w:rsid w:val="00401DD1"/>
    <w:rsid w:val="0040236F"/>
    <w:rsid w:val="004025C1"/>
    <w:rsid w:val="00402C5C"/>
    <w:rsid w:val="00403048"/>
    <w:rsid w:val="00403415"/>
    <w:rsid w:val="00403640"/>
    <w:rsid w:val="00403765"/>
    <w:rsid w:val="0040397E"/>
    <w:rsid w:val="00403C51"/>
    <w:rsid w:val="00403D8A"/>
    <w:rsid w:val="00404452"/>
    <w:rsid w:val="00404ED2"/>
    <w:rsid w:val="00405EB5"/>
    <w:rsid w:val="0040736C"/>
    <w:rsid w:val="00410616"/>
    <w:rsid w:val="00411AF4"/>
    <w:rsid w:val="00411D26"/>
    <w:rsid w:val="00412078"/>
    <w:rsid w:val="004139D4"/>
    <w:rsid w:val="00414DE6"/>
    <w:rsid w:val="00416660"/>
    <w:rsid w:val="0041667C"/>
    <w:rsid w:val="00416CD5"/>
    <w:rsid w:val="004174F0"/>
    <w:rsid w:val="00417836"/>
    <w:rsid w:val="004178E8"/>
    <w:rsid w:val="004207F7"/>
    <w:rsid w:val="00422113"/>
    <w:rsid w:val="00422E6F"/>
    <w:rsid w:val="00423F2D"/>
    <w:rsid w:val="00424978"/>
    <w:rsid w:val="00424D55"/>
    <w:rsid w:val="004252BD"/>
    <w:rsid w:val="00426C84"/>
    <w:rsid w:val="00426F9B"/>
    <w:rsid w:val="00427288"/>
    <w:rsid w:val="00427B7D"/>
    <w:rsid w:val="00427CED"/>
    <w:rsid w:val="00427E17"/>
    <w:rsid w:val="00430826"/>
    <w:rsid w:val="0043090F"/>
    <w:rsid w:val="00430976"/>
    <w:rsid w:val="004313D0"/>
    <w:rsid w:val="00431767"/>
    <w:rsid w:val="004318B9"/>
    <w:rsid w:val="00431BC4"/>
    <w:rsid w:val="00432242"/>
    <w:rsid w:val="00432490"/>
    <w:rsid w:val="00432972"/>
    <w:rsid w:val="00434C58"/>
    <w:rsid w:val="0043606F"/>
    <w:rsid w:val="00436264"/>
    <w:rsid w:val="004369E9"/>
    <w:rsid w:val="004370FD"/>
    <w:rsid w:val="0043739E"/>
    <w:rsid w:val="00437DA5"/>
    <w:rsid w:val="00440480"/>
    <w:rsid w:val="0044072F"/>
    <w:rsid w:val="00441169"/>
    <w:rsid w:val="00441608"/>
    <w:rsid w:val="00441ABA"/>
    <w:rsid w:val="004435E7"/>
    <w:rsid w:val="00443660"/>
    <w:rsid w:val="00443769"/>
    <w:rsid w:val="00443EA5"/>
    <w:rsid w:val="004443A4"/>
    <w:rsid w:val="00444905"/>
    <w:rsid w:val="004455F6"/>
    <w:rsid w:val="004468E2"/>
    <w:rsid w:val="0044788F"/>
    <w:rsid w:val="004501F2"/>
    <w:rsid w:val="00450A07"/>
    <w:rsid w:val="00450AE4"/>
    <w:rsid w:val="00450D26"/>
    <w:rsid w:val="00450DD4"/>
    <w:rsid w:val="00450F2F"/>
    <w:rsid w:val="00452EEE"/>
    <w:rsid w:val="00453104"/>
    <w:rsid w:val="0045337B"/>
    <w:rsid w:val="00453A12"/>
    <w:rsid w:val="00453EF1"/>
    <w:rsid w:val="00453F79"/>
    <w:rsid w:val="004547DF"/>
    <w:rsid w:val="00454A03"/>
    <w:rsid w:val="00456110"/>
    <w:rsid w:val="004568A5"/>
    <w:rsid w:val="004570BF"/>
    <w:rsid w:val="00457128"/>
    <w:rsid w:val="00457840"/>
    <w:rsid w:val="00460E42"/>
    <w:rsid w:val="004633AE"/>
    <w:rsid w:val="004633BF"/>
    <w:rsid w:val="004635D1"/>
    <w:rsid w:val="0046461B"/>
    <w:rsid w:val="00464D8C"/>
    <w:rsid w:val="0046511A"/>
    <w:rsid w:val="00466564"/>
    <w:rsid w:val="00466A56"/>
    <w:rsid w:val="00467DD9"/>
    <w:rsid w:val="004707D5"/>
    <w:rsid w:val="004714FA"/>
    <w:rsid w:val="00472B52"/>
    <w:rsid w:val="00472BD7"/>
    <w:rsid w:val="004730C9"/>
    <w:rsid w:val="00473FA0"/>
    <w:rsid w:val="0047411A"/>
    <w:rsid w:val="0047413F"/>
    <w:rsid w:val="00474DAA"/>
    <w:rsid w:val="004758CB"/>
    <w:rsid w:val="00477355"/>
    <w:rsid w:val="0047792B"/>
    <w:rsid w:val="00477C44"/>
    <w:rsid w:val="00480299"/>
    <w:rsid w:val="00481068"/>
    <w:rsid w:val="0048154C"/>
    <w:rsid w:val="00481B59"/>
    <w:rsid w:val="004820C9"/>
    <w:rsid w:val="0048225F"/>
    <w:rsid w:val="0048237B"/>
    <w:rsid w:val="00483583"/>
    <w:rsid w:val="004835E5"/>
    <w:rsid w:val="004839DB"/>
    <w:rsid w:val="00483ECA"/>
    <w:rsid w:val="00483F27"/>
    <w:rsid w:val="00484010"/>
    <w:rsid w:val="00484017"/>
    <w:rsid w:val="00484631"/>
    <w:rsid w:val="00484D02"/>
    <w:rsid w:val="00484E68"/>
    <w:rsid w:val="00485090"/>
    <w:rsid w:val="00486792"/>
    <w:rsid w:val="00486B40"/>
    <w:rsid w:val="004876C5"/>
    <w:rsid w:val="004877AF"/>
    <w:rsid w:val="00487844"/>
    <w:rsid w:val="00487DFD"/>
    <w:rsid w:val="00490114"/>
    <w:rsid w:val="0049069D"/>
    <w:rsid w:val="00490A56"/>
    <w:rsid w:val="00490F6E"/>
    <w:rsid w:val="0049173C"/>
    <w:rsid w:val="0049323C"/>
    <w:rsid w:val="004934FF"/>
    <w:rsid w:val="00494686"/>
    <w:rsid w:val="004947BA"/>
    <w:rsid w:val="00494C94"/>
    <w:rsid w:val="004958BC"/>
    <w:rsid w:val="00496AAC"/>
    <w:rsid w:val="00496B4C"/>
    <w:rsid w:val="00497690"/>
    <w:rsid w:val="00497F93"/>
    <w:rsid w:val="004A0078"/>
    <w:rsid w:val="004A1108"/>
    <w:rsid w:val="004A1761"/>
    <w:rsid w:val="004A1774"/>
    <w:rsid w:val="004A2688"/>
    <w:rsid w:val="004A2A4D"/>
    <w:rsid w:val="004A2B3E"/>
    <w:rsid w:val="004A2D16"/>
    <w:rsid w:val="004A39A5"/>
    <w:rsid w:val="004A3B5F"/>
    <w:rsid w:val="004A3D0E"/>
    <w:rsid w:val="004A3F44"/>
    <w:rsid w:val="004A485B"/>
    <w:rsid w:val="004A48ED"/>
    <w:rsid w:val="004A617F"/>
    <w:rsid w:val="004A65AC"/>
    <w:rsid w:val="004A65FD"/>
    <w:rsid w:val="004B032E"/>
    <w:rsid w:val="004B0B79"/>
    <w:rsid w:val="004B1C87"/>
    <w:rsid w:val="004B1E1A"/>
    <w:rsid w:val="004B1F22"/>
    <w:rsid w:val="004B2570"/>
    <w:rsid w:val="004B2F40"/>
    <w:rsid w:val="004B4B79"/>
    <w:rsid w:val="004B4D85"/>
    <w:rsid w:val="004B530A"/>
    <w:rsid w:val="004B6702"/>
    <w:rsid w:val="004C0B83"/>
    <w:rsid w:val="004C0E52"/>
    <w:rsid w:val="004C1B36"/>
    <w:rsid w:val="004C235C"/>
    <w:rsid w:val="004C346A"/>
    <w:rsid w:val="004C3730"/>
    <w:rsid w:val="004C3AEC"/>
    <w:rsid w:val="004C42E2"/>
    <w:rsid w:val="004C4C7C"/>
    <w:rsid w:val="004C56E3"/>
    <w:rsid w:val="004C5E1F"/>
    <w:rsid w:val="004C675C"/>
    <w:rsid w:val="004C68A3"/>
    <w:rsid w:val="004C6B8C"/>
    <w:rsid w:val="004C6C54"/>
    <w:rsid w:val="004C73DA"/>
    <w:rsid w:val="004D019C"/>
    <w:rsid w:val="004D0314"/>
    <w:rsid w:val="004D044C"/>
    <w:rsid w:val="004D2387"/>
    <w:rsid w:val="004D3080"/>
    <w:rsid w:val="004D3982"/>
    <w:rsid w:val="004D43CE"/>
    <w:rsid w:val="004D4536"/>
    <w:rsid w:val="004D461B"/>
    <w:rsid w:val="004D4738"/>
    <w:rsid w:val="004D51D7"/>
    <w:rsid w:val="004D54C3"/>
    <w:rsid w:val="004D6200"/>
    <w:rsid w:val="004D6EAE"/>
    <w:rsid w:val="004D7B21"/>
    <w:rsid w:val="004E057E"/>
    <w:rsid w:val="004E1228"/>
    <w:rsid w:val="004E1DEE"/>
    <w:rsid w:val="004E1EA0"/>
    <w:rsid w:val="004E2792"/>
    <w:rsid w:val="004E2B1D"/>
    <w:rsid w:val="004E2DE6"/>
    <w:rsid w:val="004E39AC"/>
    <w:rsid w:val="004E3A8B"/>
    <w:rsid w:val="004E4E6A"/>
    <w:rsid w:val="004E565F"/>
    <w:rsid w:val="004E68E5"/>
    <w:rsid w:val="004E77DE"/>
    <w:rsid w:val="004E7BCD"/>
    <w:rsid w:val="004F04BC"/>
    <w:rsid w:val="004F06D5"/>
    <w:rsid w:val="004F08F6"/>
    <w:rsid w:val="004F1D3F"/>
    <w:rsid w:val="004F33F1"/>
    <w:rsid w:val="004F402F"/>
    <w:rsid w:val="004F45C8"/>
    <w:rsid w:val="004F4FD0"/>
    <w:rsid w:val="004F5C77"/>
    <w:rsid w:val="004F64F6"/>
    <w:rsid w:val="004F6DFF"/>
    <w:rsid w:val="004F7201"/>
    <w:rsid w:val="004F7C2E"/>
    <w:rsid w:val="005005EA"/>
    <w:rsid w:val="00500802"/>
    <w:rsid w:val="00500BA8"/>
    <w:rsid w:val="00500E1F"/>
    <w:rsid w:val="00501009"/>
    <w:rsid w:val="00501B08"/>
    <w:rsid w:val="00502146"/>
    <w:rsid w:val="005023FF"/>
    <w:rsid w:val="00503A7B"/>
    <w:rsid w:val="0050433D"/>
    <w:rsid w:val="00504D3E"/>
    <w:rsid w:val="0050525E"/>
    <w:rsid w:val="00505B50"/>
    <w:rsid w:val="00506021"/>
    <w:rsid w:val="0050650E"/>
    <w:rsid w:val="005068AF"/>
    <w:rsid w:val="00506EF0"/>
    <w:rsid w:val="005071B7"/>
    <w:rsid w:val="005074A8"/>
    <w:rsid w:val="005076B2"/>
    <w:rsid w:val="00507A07"/>
    <w:rsid w:val="00511209"/>
    <w:rsid w:val="0051121F"/>
    <w:rsid w:val="00512358"/>
    <w:rsid w:val="005124FD"/>
    <w:rsid w:val="00512741"/>
    <w:rsid w:val="00512897"/>
    <w:rsid w:val="005141B5"/>
    <w:rsid w:val="005146BF"/>
    <w:rsid w:val="00514D6A"/>
    <w:rsid w:val="00515237"/>
    <w:rsid w:val="00515348"/>
    <w:rsid w:val="00515984"/>
    <w:rsid w:val="00515A7E"/>
    <w:rsid w:val="00515D04"/>
    <w:rsid w:val="00515E0F"/>
    <w:rsid w:val="00515FCF"/>
    <w:rsid w:val="00516496"/>
    <w:rsid w:val="005165E3"/>
    <w:rsid w:val="005165FF"/>
    <w:rsid w:val="005172D5"/>
    <w:rsid w:val="005174D9"/>
    <w:rsid w:val="00517562"/>
    <w:rsid w:val="0051762E"/>
    <w:rsid w:val="00517866"/>
    <w:rsid w:val="00517905"/>
    <w:rsid w:val="00520D31"/>
    <w:rsid w:val="005224C7"/>
    <w:rsid w:val="00522BC0"/>
    <w:rsid w:val="0052307D"/>
    <w:rsid w:val="00523183"/>
    <w:rsid w:val="005231ED"/>
    <w:rsid w:val="00523230"/>
    <w:rsid w:val="005235D2"/>
    <w:rsid w:val="00523FBC"/>
    <w:rsid w:val="005240A0"/>
    <w:rsid w:val="005245C8"/>
    <w:rsid w:val="005246ED"/>
    <w:rsid w:val="00524818"/>
    <w:rsid w:val="00524819"/>
    <w:rsid w:val="00525AAE"/>
    <w:rsid w:val="00526728"/>
    <w:rsid w:val="00526F18"/>
    <w:rsid w:val="00530039"/>
    <w:rsid w:val="005300D8"/>
    <w:rsid w:val="00530A8F"/>
    <w:rsid w:val="00530F12"/>
    <w:rsid w:val="00531114"/>
    <w:rsid w:val="005315D2"/>
    <w:rsid w:val="00531809"/>
    <w:rsid w:val="00532FB5"/>
    <w:rsid w:val="00533005"/>
    <w:rsid w:val="0053482E"/>
    <w:rsid w:val="00534F68"/>
    <w:rsid w:val="0053542A"/>
    <w:rsid w:val="00535969"/>
    <w:rsid w:val="00535A73"/>
    <w:rsid w:val="005360A5"/>
    <w:rsid w:val="00536156"/>
    <w:rsid w:val="0053669B"/>
    <w:rsid w:val="0053719D"/>
    <w:rsid w:val="00537D68"/>
    <w:rsid w:val="00537E88"/>
    <w:rsid w:val="0054196D"/>
    <w:rsid w:val="00541D7A"/>
    <w:rsid w:val="00541D95"/>
    <w:rsid w:val="00542647"/>
    <w:rsid w:val="00542F03"/>
    <w:rsid w:val="005434E4"/>
    <w:rsid w:val="00543A8C"/>
    <w:rsid w:val="0054454F"/>
    <w:rsid w:val="00545124"/>
    <w:rsid w:val="005456A7"/>
    <w:rsid w:val="00545A1B"/>
    <w:rsid w:val="00545C31"/>
    <w:rsid w:val="00545F6A"/>
    <w:rsid w:val="00546A2F"/>
    <w:rsid w:val="005470F2"/>
    <w:rsid w:val="00547A49"/>
    <w:rsid w:val="00547B98"/>
    <w:rsid w:val="00547E72"/>
    <w:rsid w:val="00551A79"/>
    <w:rsid w:val="00551CA3"/>
    <w:rsid w:val="00552060"/>
    <w:rsid w:val="00552E51"/>
    <w:rsid w:val="0055302A"/>
    <w:rsid w:val="005548BD"/>
    <w:rsid w:val="0055528A"/>
    <w:rsid w:val="00555CC5"/>
    <w:rsid w:val="00556220"/>
    <w:rsid w:val="00556F51"/>
    <w:rsid w:val="005604DB"/>
    <w:rsid w:val="0056172B"/>
    <w:rsid w:val="0056246A"/>
    <w:rsid w:val="005625E3"/>
    <w:rsid w:val="00562B55"/>
    <w:rsid w:val="00562C7D"/>
    <w:rsid w:val="00562E21"/>
    <w:rsid w:val="00565321"/>
    <w:rsid w:val="00565AAF"/>
    <w:rsid w:val="00566127"/>
    <w:rsid w:val="00566B22"/>
    <w:rsid w:val="00566BE1"/>
    <w:rsid w:val="00567B2E"/>
    <w:rsid w:val="00567E89"/>
    <w:rsid w:val="00570CD0"/>
    <w:rsid w:val="00570CEB"/>
    <w:rsid w:val="00571843"/>
    <w:rsid w:val="005719A9"/>
    <w:rsid w:val="00572E1A"/>
    <w:rsid w:val="00573207"/>
    <w:rsid w:val="00573AC0"/>
    <w:rsid w:val="00573C51"/>
    <w:rsid w:val="0057494D"/>
    <w:rsid w:val="00575057"/>
    <w:rsid w:val="005755E0"/>
    <w:rsid w:val="0057565D"/>
    <w:rsid w:val="00576E1B"/>
    <w:rsid w:val="00576F3B"/>
    <w:rsid w:val="0057773B"/>
    <w:rsid w:val="00577905"/>
    <w:rsid w:val="0058050A"/>
    <w:rsid w:val="005819E9"/>
    <w:rsid w:val="005820E0"/>
    <w:rsid w:val="005828FF"/>
    <w:rsid w:val="00582C71"/>
    <w:rsid w:val="00582C8A"/>
    <w:rsid w:val="0058360C"/>
    <w:rsid w:val="00583EB8"/>
    <w:rsid w:val="005840BE"/>
    <w:rsid w:val="005841B8"/>
    <w:rsid w:val="005846A2"/>
    <w:rsid w:val="0058475E"/>
    <w:rsid w:val="00584853"/>
    <w:rsid w:val="0058530A"/>
    <w:rsid w:val="00585661"/>
    <w:rsid w:val="005874C5"/>
    <w:rsid w:val="00587ADD"/>
    <w:rsid w:val="00587F36"/>
    <w:rsid w:val="005900D8"/>
    <w:rsid w:val="00590583"/>
    <w:rsid w:val="00590A19"/>
    <w:rsid w:val="00590D1A"/>
    <w:rsid w:val="00590D83"/>
    <w:rsid w:val="00591212"/>
    <w:rsid w:val="005913A2"/>
    <w:rsid w:val="005915CE"/>
    <w:rsid w:val="005917D3"/>
    <w:rsid w:val="005917E0"/>
    <w:rsid w:val="005918C1"/>
    <w:rsid w:val="0059200C"/>
    <w:rsid w:val="005923D1"/>
    <w:rsid w:val="005932C8"/>
    <w:rsid w:val="00593969"/>
    <w:rsid w:val="00593BBB"/>
    <w:rsid w:val="005943C9"/>
    <w:rsid w:val="00595226"/>
    <w:rsid w:val="00595469"/>
    <w:rsid w:val="005954EF"/>
    <w:rsid w:val="0059569C"/>
    <w:rsid w:val="00597E58"/>
    <w:rsid w:val="005A0B07"/>
    <w:rsid w:val="005A136E"/>
    <w:rsid w:val="005A161D"/>
    <w:rsid w:val="005A167D"/>
    <w:rsid w:val="005A17AB"/>
    <w:rsid w:val="005A19FF"/>
    <w:rsid w:val="005A2267"/>
    <w:rsid w:val="005A27DE"/>
    <w:rsid w:val="005A2B13"/>
    <w:rsid w:val="005A2DFE"/>
    <w:rsid w:val="005A330D"/>
    <w:rsid w:val="005A493B"/>
    <w:rsid w:val="005A5E49"/>
    <w:rsid w:val="005A62C6"/>
    <w:rsid w:val="005A65EA"/>
    <w:rsid w:val="005A7A71"/>
    <w:rsid w:val="005A7BAD"/>
    <w:rsid w:val="005B0B73"/>
    <w:rsid w:val="005B14AC"/>
    <w:rsid w:val="005B250A"/>
    <w:rsid w:val="005B297B"/>
    <w:rsid w:val="005B2A83"/>
    <w:rsid w:val="005B2F03"/>
    <w:rsid w:val="005B3779"/>
    <w:rsid w:val="005B3E30"/>
    <w:rsid w:val="005B3EC7"/>
    <w:rsid w:val="005B4902"/>
    <w:rsid w:val="005B4F5A"/>
    <w:rsid w:val="005B51D0"/>
    <w:rsid w:val="005B62AC"/>
    <w:rsid w:val="005B6BDF"/>
    <w:rsid w:val="005B6D12"/>
    <w:rsid w:val="005B6F4F"/>
    <w:rsid w:val="005B7B62"/>
    <w:rsid w:val="005B7E63"/>
    <w:rsid w:val="005C06D2"/>
    <w:rsid w:val="005C1800"/>
    <w:rsid w:val="005C1DFB"/>
    <w:rsid w:val="005C2489"/>
    <w:rsid w:val="005C24C2"/>
    <w:rsid w:val="005C2747"/>
    <w:rsid w:val="005C29DE"/>
    <w:rsid w:val="005C37FA"/>
    <w:rsid w:val="005C3839"/>
    <w:rsid w:val="005C3AEC"/>
    <w:rsid w:val="005C40E4"/>
    <w:rsid w:val="005C4EC6"/>
    <w:rsid w:val="005C5076"/>
    <w:rsid w:val="005C5627"/>
    <w:rsid w:val="005C6378"/>
    <w:rsid w:val="005C6DE8"/>
    <w:rsid w:val="005D0940"/>
    <w:rsid w:val="005D0BDD"/>
    <w:rsid w:val="005D0EA3"/>
    <w:rsid w:val="005D15D0"/>
    <w:rsid w:val="005D19BA"/>
    <w:rsid w:val="005D3D68"/>
    <w:rsid w:val="005D4F0E"/>
    <w:rsid w:val="005D5561"/>
    <w:rsid w:val="005D5A37"/>
    <w:rsid w:val="005D5B9C"/>
    <w:rsid w:val="005D5DF1"/>
    <w:rsid w:val="005D6546"/>
    <w:rsid w:val="005D6D29"/>
    <w:rsid w:val="005D7344"/>
    <w:rsid w:val="005D7CDF"/>
    <w:rsid w:val="005E0DC0"/>
    <w:rsid w:val="005E1106"/>
    <w:rsid w:val="005E11B4"/>
    <w:rsid w:val="005E237F"/>
    <w:rsid w:val="005E2674"/>
    <w:rsid w:val="005E2722"/>
    <w:rsid w:val="005E29A2"/>
    <w:rsid w:val="005E2E1C"/>
    <w:rsid w:val="005E3EB9"/>
    <w:rsid w:val="005E4794"/>
    <w:rsid w:val="005E5444"/>
    <w:rsid w:val="005E6CAE"/>
    <w:rsid w:val="005E773B"/>
    <w:rsid w:val="005E7E63"/>
    <w:rsid w:val="005E7EDF"/>
    <w:rsid w:val="005F06D5"/>
    <w:rsid w:val="005F0871"/>
    <w:rsid w:val="005F0AFF"/>
    <w:rsid w:val="005F1163"/>
    <w:rsid w:val="005F1509"/>
    <w:rsid w:val="005F2075"/>
    <w:rsid w:val="005F226D"/>
    <w:rsid w:val="005F284F"/>
    <w:rsid w:val="005F2A40"/>
    <w:rsid w:val="005F2C0C"/>
    <w:rsid w:val="005F2FBF"/>
    <w:rsid w:val="005F393A"/>
    <w:rsid w:val="005F3BA5"/>
    <w:rsid w:val="005F4284"/>
    <w:rsid w:val="005F44D0"/>
    <w:rsid w:val="005F4C5A"/>
    <w:rsid w:val="005F4D91"/>
    <w:rsid w:val="005F4DF6"/>
    <w:rsid w:val="005F4FBC"/>
    <w:rsid w:val="005F5EF1"/>
    <w:rsid w:val="005F6270"/>
    <w:rsid w:val="005F668B"/>
    <w:rsid w:val="005F6AC1"/>
    <w:rsid w:val="005F6AE1"/>
    <w:rsid w:val="005F6F26"/>
    <w:rsid w:val="005F7122"/>
    <w:rsid w:val="005F713A"/>
    <w:rsid w:val="005F7A77"/>
    <w:rsid w:val="005F7DA5"/>
    <w:rsid w:val="00600E91"/>
    <w:rsid w:val="006010E8"/>
    <w:rsid w:val="0060156C"/>
    <w:rsid w:val="0060171A"/>
    <w:rsid w:val="00601CBD"/>
    <w:rsid w:val="006028B8"/>
    <w:rsid w:val="00603019"/>
    <w:rsid w:val="006036C4"/>
    <w:rsid w:val="00603DF6"/>
    <w:rsid w:val="006044E8"/>
    <w:rsid w:val="006050B0"/>
    <w:rsid w:val="006052FC"/>
    <w:rsid w:val="006064B7"/>
    <w:rsid w:val="0060675C"/>
    <w:rsid w:val="00606A59"/>
    <w:rsid w:val="00606A66"/>
    <w:rsid w:val="0060787A"/>
    <w:rsid w:val="00610EAB"/>
    <w:rsid w:val="00611413"/>
    <w:rsid w:val="00611E75"/>
    <w:rsid w:val="00612337"/>
    <w:rsid w:val="00612472"/>
    <w:rsid w:val="00613113"/>
    <w:rsid w:val="0061335C"/>
    <w:rsid w:val="00614DCB"/>
    <w:rsid w:val="00615098"/>
    <w:rsid w:val="00615820"/>
    <w:rsid w:val="00615C77"/>
    <w:rsid w:val="00616104"/>
    <w:rsid w:val="006166BF"/>
    <w:rsid w:val="00616D8E"/>
    <w:rsid w:val="00616E3A"/>
    <w:rsid w:val="00616E59"/>
    <w:rsid w:val="006209BD"/>
    <w:rsid w:val="00621FE7"/>
    <w:rsid w:val="00622551"/>
    <w:rsid w:val="00622F8A"/>
    <w:rsid w:val="006231A3"/>
    <w:rsid w:val="00623CE7"/>
    <w:rsid w:val="00625001"/>
    <w:rsid w:val="0062548D"/>
    <w:rsid w:val="006263C0"/>
    <w:rsid w:val="00626ACD"/>
    <w:rsid w:val="006270D7"/>
    <w:rsid w:val="0063082D"/>
    <w:rsid w:val="0063104D"/>
    <w:rsid w:val="0063197C"/>
    <w:rsid w:val="00632CC4"/>
    <w:rsid w:val="006330AA"/>
    <w:rsid w:val="006339F4"/>
    <w:rsid w:val="00633A29"/>
    <w:rsid w:val="00633EB2"/>
    <w:rsid w:val="0063518C"/>
    <w:rsid w:val="00635241"/>
    <w:rsid w:val="00635667"/>
    <w:rsid w:val="00635701"/>
    <w:rsid w:val="006358F4"/>
    <w:rsid w:val="00635EB1"/>
    <w:rsid w:val="0063710A"/>
    <w:rsid w:val="0063786C"/>
    <w:rsid w:val="00637EDC"/>
    <w:rsid w:val="00640050"/>
    <w:rsid w:val="00640145"/>
    <w:rsid w:val="006409E6"/>
    <w:rsid w:val="006410B7"/>
    <w:rsid w:val="00641D64"/>
    <w:rsid w:val="00641E93"/>
    <w:rsid w:val="00643120"/>
    <w:rsid w:val="006433A1"/>
    <w:rsid w:val="00643EBB"/>
    <w:rsid w:val="00643FCB"/>
    <w:rsid w:val="00644F2C"/>
    <w:rsid w:val="00645F24"/>
    <w:rsid w:val="00646219"/>
    <w:rsid w:val="00646D37"/>
    <w:rsid w:val="00647014"/>
    <w:rsid w:val="00647519"/>
    <w:rsid w:val="00647636"/>
    <w:rsid w:val="00647653"/>
    <w:rsid w:val="0064788A"/>
    <w:rsid w:val="00651908"/>
    <w:rsid w:val="006519AA"/>
    <w:rsid w:val="006520F1"/>
    <w:rsid w:val="00652501"/>
    <w:rsid w:val="00653344"/>
    <w:rsid w:val="00653703"/>
    <w:rsid w:val="00655443"/>
    <w:rsid w:val="00655A6E"/>
    <w:rsid w:val="0065749B"/>
    <w:rsid w:val="006574E6"/>
    <w:rsid w:val="00657C55"/>
    <w:rsid w:val="00660815"/>
    <w:rsid w:val="00660954"/>
    <w:rsid w:val="006614A5"/>
    <w:rsid w:val="00661E54"/>
    <w:rsid w:val="006620B0"/>
    <w:rsid w:val="00662B70"/>
    <w:rsid w:val="00663F05"/>
    <w:rsid w:val="00664A68"/>
    <w:rsid w:val="0066535E"/>
    <w:rsid w:val="00665CFD"/>
    <w:rsid w:val="00665ECB"/>
    <w:rsid w:val="006663F8"/>
    <w:rsid w:val="00666B1D"/>
    <w:rsid w:val="00666D83"/>
    <w:rsid w:val="00666E15"/>
    <w:rsid w:val="00667225"/>
    <w:rsid w:val="006672F1"/>
    <w:rsid w:val="006717B5"/>
    <w:rsid w:val="006719FB"/>
    <w:rsid w:val="00672F99"/>
    <w:rsid w:val="00673386"/>
    <w:rsid w:val="0067349C"/>
    <w:rsid w:val="00673C5F"/>
    <w:rsid w:val="006746F6"/>
    <w:rsid w:val="006748A7"/>
    <w:rsid w:val="00675E8B"/>
    <w:rsid w:val="00676221"/>
    <w:rsid w:val="00676A0A"/>
    <w:rsid w:val="00677367"/>
    <w:rsid w:val="00677DB3"/>
    <w:rsid w:val="006800FC"/>
    <w:rsid w:val="00680EC3"/>
    <w:rsid w:val="00681671"/>
    <w:rsid w:val="006824CE"/>
    <w:rsid w:val="0068274A"/>
    <w:rsid w:val="006829FB"/>
    <w:rsid w:val="00682FF3"/>
    <w:rsid w:val="006842C0"/>
    <w:rsid w:val="00685BF4"/>
    <w:rsid w:val="006866FB"/>
    <w:rsid w:val="00686C4E"/>
    <w:rsid w:val="00686E04"/>
    <w:rsid w:val="00687974"/>
    <w:rsid w:val="00691CB6"/>
    <w:rsid w:val="00691D79"/>
    <w:rsid w:val="0069259C"/>
    <w:rsid w:val="006934C7"/>
    <w:rsid w:val="006936E7"/>
    <w:rsid w:val="00693D72"/>
    <w:rsid w:val="00693F20"/>
    <w:rsid w:val="006951B5"/>
    <w:rsid w:val="00695ACE"/>
    <w:rsid w:val="00696C8A"/>
    <w:rsid w:val="0069718C"/>
    <w:rsid w:val="00697564"/>
    <w:rsid w:val="00697672"/>
    <w:rsid w:val="00697674"/>
    <w:rsid w:val="00697B59"/>
    <w:rsid w:val="00697EC2"/>
    <w:rsid w:val="00697F36"/>
    <w:rsid w:val="006A0073"/>
    <w:rsid w:val="006A0394"/>
    <w:rsid w:val="006A0727"/>
    <w:rsid w:val="006A07BD"/>
    <w:rsid w:val="006A1D18"/>
    <w:rsid w:val="006A30B0"/>
    <w:rsid w:val="006A3489"/>
    <w:rsid w:val="006A3946"/>
    <w:rsid w:val="006A3D4E"/>
    <w:rsid w:val="006A3E5E"/>
    <w:rsid w:val="006A486A"/>
    <w:rsid w:val="006A4F6E"/>
    <w:rsid w:val="006A5590"/>
    <w:rsid w:val="006A580E"/>
    <w:rsid w:val="006A5F9C"/>
    <w:rsid w:val="006A68BA"/>
    <w:rsid w:val="006A6F47"/>
    <w:rsid w:val="006A7130"/>
    <w:rsid w:val="006A7305"/>
    <w:rsid w:val="006A75E1"/>
    <w:rsid w:val="006A761D"/>
    <w:rsid w:val="006A7B74"/>
    <w:rsid w:val="006B0A00"/>
    <w:rsid w:val="006B0A72"/>
    <w:rsid w:val="006B0AC2"/>
    <w:rsid w:val="006B0B5F"/>
    <w:rsid w:val="006B1E3A"/>
    <w:rsid w:val="006B2498"/>
    <w:rsid w:val="006B2C44"/>
    <w:rsid w:val="006B3769"/>
    <w:rsid w:val="006B3FA1"/>
    <w:rsid w:val="006B42DA"/>
    <w:rsid w:val="006B4466"/>
    <w:rsid w:val="006B47DE"/>
    <w:rsid w:val="006B4EC9"/>
    <w:rsid w:val="006B5093"/>
    <w:rsid w:val="006B544E"/>
    <w:rsid w:val="006B54E6"/>
    <w:rsid w:val="006B5640"/>
    <w:rsid w:val="006B59C3"/>
    <w:rsid w:val="006B5F7A"/>
    <w:rsid w:val="006B616F"/>
    <w:rsid w:val="006B6D92"/>
    <w:rsid w:val="006B76A9"/>
    <w:rsid w:val="006B7907"/>
    <w:rsid w:val="006C119B"/>
    <w:rsid w:val="006C11AA"/>
    <w:rsid w:val="006C129E"/>
    <w:rsid w:val="006C1519"/>
    <w:rsid w:val="006C1D3B"/>
    <w:rsid w:val="006C2328"/>
    <w:rsid w:val="006C2804"/>
    <w:rsid w:val="006C2932"/>
    <w:rsid w:val="006C2CF5"/>
    <w:rsid w:val="006C31C2"/>
    <w:rsid w:val="006C372C"/>
    <w:rsid w:val="006C3A9F"/>
    <w:rsid w:val="006C43E7"/>
    <w:rsid w:val="006C46E2"/>
    <w:rsid w:val="006C4903"/>
    <w:rsid w:val="006C4BAB"/>
    <w:rsid w:val="006C507E"/>
    <w:rsid w:val="006C5B9D"/>
    <w:rsid w:val="006C6169"/>
    <w:rsid w:val="006C6DE9"/>
    <w:rsid w:val="006C757A"/>
    <w:rsid w:val="006C7622"/>
    <w:rsid w:val="006D06B7"/>
    <w:rsid w:val="006D0C72"/>
    <w:rsid w:val="006D1049"/>
    <w:rsid w:val="006D2C64"/>
    <w:rsid w:val="006D3289"/>
    <w:rsid w:val="006D46E9"/>
    <w:rsid w:val="006D7019"/>
    <w:rsid w:val="006D72FE"/>
    <w:rsid w:val="006D7337"/>
    <w:rsid w:val="006D77B0"/>
    <w:rsid w:val="006D7CF4"/>
    <w:rsid w:val="006E008C"/>
    <w:rsid w:val="006E0351"/>
    <w:rsid w:val="006E0C76"/>
    <w:rsid w:val="006E0DBF"/>
    <w:rsid w:val="006E0E00"/>
    <w:rsid w:val="006E0E7C"/>
    <w:rsid w:val="006E1A5F"/>
    <w:rsid w:val="006E1E45"/>
    <w:rsid w:val="006E268D"/>
    <w:rsid w:val="006E28BF"/>
    <w:rsid w:val="006E2919"/>
    <w:rsid w:val="006E3132"/>
    <w:rsid w:val="006E42BB"/>
    <w:rsid w:val="006E4310"/>
    <w:rsid w:val="006E4EFA"/>
    <w:rsid w:val="006E52BC"/>
    <w:rsid w:val="006E6057"/>
    <w:rsid w:val="006E6340"/>
    <w:rsid w:val="006E6423"/>
    <w:rsid w:val="006E6627"/>
    <w:rsid w:val="006E7827"/>
    <w:rsid w:val="006E7D5E"/>
    <w:rsid w:val="006E7E9F"/>
    <w:rsid w:val="006E7EC0"/>
    <w:rsid w:val="006F0C39"/>
    <w:rsid w:val="006F0E56"/>
    <w:rsid w:val="006F147B"/>
    <w:rsid w:val="006F16FE"/>
    <w:rsid w:val="006F21FD"/>
    <w:rsid w:val="006F264E"/>
    <w:rsid w:val="006F3147"/>
    <w:rsid w:val="006F338F"/>
    <w:rsid w:val="006F356D"/>
    <w:rsid w:val="006F37D8"/>
    <w:rsid w:val="006F4AEC"/>
    <w:rsid w:val="006F4C6A"/>
    <w:rsid w:val="006F4E8B"/>
    <w:rsid w:val="006F4EA0"/>
    <w:rsid w:val="006F520B"/>
    <w:rsid w:val="006F5A41"/>
    <w:rsid w:val="006F5C0C"/>
    <w:rsid w:val="006F6338"/>
    <w:rsid w:val="006F63CC"/>
    <w:rsid w:val="006F69CA"/>
    <w:rsid w:val="006F6C89"/>
    <w:rsid w:val="006F70BE"/>
    <w:rsid w:val="007003AC"/>
    <w:rsid w:val="00701B2D"/>
    <w:rsid w:val="00701F7D"/>
    <w:rsid w:val="00702058"/>
    <w:rsid w:val="00702C34"/>
    <w:rsid w:val="00703030"/>
    <w:rsid w:val="00703CF2"/>
    <w:rsid w:val="007040D6"/>
    <w:rsid w:val="007041A8"/>
    <w:rsid w:val="00704A13"/>
    <w:rsid w:val="00705476"/>
    <w:rsid w:val="007056B6"/>
    <w:rsid w:val="00705DD9"/>
    <w:rsid w:val="00706D18"/>
    <w:rsid w:val="00710391"/>
    <w:rsid w:val="00710992"/>
    <w:rsid w:val="00711072"/>
    <w:rsid w:val="00711073"/>
    <w:rsid w:val="0071129F"/>
    <w:rsid w:val="00711F35"/>
    <w:rsid w:val="00711FD8"/>
    <w:rsid w:val="00712671"/>
    <w:rsid w:val="00712BEC"/>
    <w:rsid w:val="00712F33"/>
    <w:rsid w:val="00713945"/>
    <w:rsid w:val="007139A6"/>
    <w:rsid w:val="00713CAB"/>
    <w:rsid w:val="0071415D"/>
    <w:rsid w:val="00715372"/>
    <w:rsid w:val="0071630D"/>
    <w:rsid w:val="00716628"/>
    <w:rsid w:val="00716F9C"/>
    <w:rsid w:val="007172F2"/>
    <w:rsid w:val="0072008E"/>
    <w:rsid w:val="007204AD"/>
    <w:rsid w:val="007207FD"/>
    <w:rsid w:val="00720A4D"/>
    <w:rsid w:val="00720AF7"/>
    <w:rsid w:val="00720E70"/>
    <w:rsid w:val="007215C1"/>
    <w:rsid w:val="007224FC"/>
    <w:rsid w:val="00722D15"/>
    <w:rsid w:val="00723194"/>
    <w:rsid w:val="00725520"/>
    <w:rsid w:val="007264ED"/>
    <w:rsid w:val="00726507"/>
    <w:rsid w:val="00726591"/>
    <w:rsid w:val="00726A9C"/>
    <w:rsid w:val="00726E42"/>
    <w:rsid w:val="00726F42"/>
    <w:rsid w:val="00727040"/>
    <w:rsid w:val="007276CE"/>
    <w:rsid w:val="00727767"/>
    <w:rsid w:val="007277A6"/>
    <w:rsid w:val="007302E0"/>
    <w:rsid w:val="007306F3"/>
    <w:rsid w:val="00730967"/>
    <w:rsid w:val="00730C5C"/>
    <w:rsid w:val="00731964"/>
    <w:rsid w:val="00731E5F"/>
    <w:rsid w:val="00732655"/>
    <w:rsid w:val="00733131"/>
    <w:rsid w:val="00733EFF"/>
    <w:rsid w:val="00734040"/>
    <w:rsid w:val="007340D5"/>
    <w:rsid w:val="0073441A"/>
    <w:rsid w:val="007346B3"/>
    <w:rsid w:val="00734AE6"/>
    <w:rsid w:val="00734F4F"/>
    <w:rsid w:val="00735DD3"/>
    <w:rsid w:val="00736238"/>
    <w:rsid w:val="00737A88"/>
    <w:rsid w:val="00737FC9"/>
    <w:rsid w:val="00740B7E"/>
    <w:rsid w:val="00742071"/>
    <w:rsid w:val="0074276C"/>
    <w:rsid w:val="00742CC1"/>
    <w:rsid w:val="00742D76"/>
    <w:rsid w:val="00742EF9"/>
    <w:rsid w:val="007443D3"/>
    <w:rsid w:val="00745008"/>
    <w:rsid w:val="00745D7D"/>
    <w:rsid w:val="0074636A"/>
    <w:rsid w:val="007466B6"/>
    <w:rsid w:val="00746B82"/>
    <w:rsid w:val="00747F31"/>
    <w:rsid w:val="00750268"/>
    <w:rsid w:val="00750344"/>
    <w:rsid w:val="007504DC"/>
    <w:rsid w:val="00750C22"/>
    <w:rsid w:val="0075115E"/>
    <w:rsid w:val="00751430"/>
    <w:rsid w:val="007525A1"/>
    <w:rsid w:val="00753036"/>
    <w:rsid w:val="0075363C"/>
    <w:rsid w:val="007549D4"/>
    <w:rsid w:val="00755649"/>
    <w:rsid w:val="00755A07"/>
    <w:rsid w:val="0075647A"/>
    <w:rsid w:val="00756877"/>
    <w:rsid w:val="00757C6E"/>
    <w:rsid w:val="00757CBE"/>
    <w:rsid w:val="007610DB"/>
    <w:rsid w:val="007626AB"/>
    <w:rsid w:val="007635A0"/>
    <w:rsid w:val="00763BCB"/>
    <w:rsid w:val="007646C9"/>
    <w:rsid w:val="00764EFA"/>
    <w:rsid w:val="00765A09"/>
    <w:rsid w:val="00765F26"/>
    <w:rsid w:val="007679F9"/>
    <w:rsid w:val="007702DF"/>
    <w:rsid w:val="00770557"/>
    <w:rsid w:val="0077085F"/>
    <w:rsid w:val="007709A7"/>
    <w:rsid w:val="00770BCF"/>
    <w:rsid w:val="0077125B"/>
    <w:rsid w:val="00772912"/>
    <w:rsid w:val="0077297C"/>
    <w:rsid w:val="0077303F"/>
    <w:rsid w:val="007734C8"/>
    <w:rsid w:val="007743A2"/>
    <w:rsid w:val="00774630"/>
    <w:rsid w:val="00775CF0"/>
    <w:rsid w:val="007767DA"/>
    <w:rsid w:val="0077684F"/>
    <w:rsid w:val="007775AB"/>
    <w:rsid w:val="00780DA3"/>
    <w:rsid w:val="00780EE7"/>
    <w:rsid w:val="00781762"/>
    <w:rsid w:val="00782177"/>
    <w:rsid w:val="00782650"/>
    <w:rsid w:val="00783560"/>
    <w:rsid w:val="00783E1C"/>
    <w:rsid w:val="007843A4"/>
    <w:rsid w:val="00786EEE"/>
    <w:rsid w:val="007870C6"/>
    <w:rsid w:val="00787350"/>
    <w:rsid w:val="00787537"/>
    <w:rsid w:val="00787C80"/>
    <w:rsid w:val="00790458"/>
    <w:rsid w:val="0079048A"/>
    <w:rsid w:val="007907B1"/>
    <w:rsid w:val="00790A8C"/>
    <w:rsid w:val="007922C2"/>
    <w:rsid w:val="00792666"/>
    <w:rsid w:val="00792AAE"/>
    <w:rsid w:val="00793D12"/>
    <w:rsid w:val="00794E87"/>
    <w:rsid w:val="00795B67"/>
    <w:rsid w:val="00796181"/>
    <w:rsid w:val="00796762"/>
    <w:rsid w:val="0079715D"/>
    <w:rsid w:val="007973E1"/>
    <w:rsid w:val="007A0E31"/>
    <w:rsid w:val="007A22E6"/>
    <w:rsid w:val="007A24CB"/>
    <w:rsid w:val="007A32F8"/>
    <w:rsid w:val="007A3700"/>
    <w:rsid w:val="007A3712"/>
    <w:rsid w:val="007A37D1"/>
    <w:rsid w:val="007A49CC"/>
    <w:rsid w:val="007A4BD4"/>
    <w:rsid w:val="007A513A"/>
    <w:rsid w:val="007A5A6B"/>
    <w:rsid w:val="007A5B83"/>
    <w:rsid w:val="007A5E4F"/>
    <w:rsid w:val="007A63E7"/>
    <w:rsid w:val="007A66F6"/>
    <w:rsid w:val="007A6EA5"/>
    <w:rsid w:val="007A717E"/>
    <w:rsid w:val="007A7554"/>
    <w:rsid w:val="007A75F3"/>
    <w:rsid w:val="007B0BBC"/>
    <w:rsid w:val="007B0C24"/>
    <w:rsid w:val="007B0EC5"/>
    <w:rsid w:val="007B1009"/>
    <w:rsid w:val="007B1108"/>
    <w:rsid w:val="007B2625"/>
    <w:rsid w:val="007B2C12"/>
    <w:rsid w:val="007B2E2E"/>
    <w:rsid w:val="007B35B5"/>
    <w:rsid w:val="007B3642"/>
    <w:rsid w:val="007B38D8"/>
    <w:rsid w:val="007B3AE1"/>
    <w:rsid w:val="007B4CFD"/>
    <w:rsid w:val="007B4E15"/>
    <w:rsid w:val="007B50BB"/>
    <w:rsid w:val="007B50C8"/>
    <w:rsid w:val="007B520E"/>
    <w:rsid w:val="007B54B9"/>
    <w:rsid w:val="007B5600"/>
    <w:rsid w:val="007B5CD9"/>
    <w:rsid w:val="007B60E5"/>
    <w:rsid w:val="007C0ACC"/>
    <w:rsid w:val="007C0C09"/>
    <w:rsid w:val="007C0E23"/>
    <w:rsid w:val="007C0EFE"/>
    <w:rsid w:val="007C127E"/>
    <w:rsid w:val="007C1C12"/>
    <w:rsid w:val="007C21F1"/>
    <w:rsid w:val="007C26DD"/>
    <w:rsid w:val="007C2ADB"/>
    <w:rsid w:val="007C2F16"/>
    <w:rsid w:val="007C302D"/>
    <w:rsid w:val="007C32BF"/>
    <w:rsid w:val="007C518E"/>
    <w:rsid w:val="007C6518"/>
    <w:rsid w:val="007C7149"/>
    <w:rsid w:val="007D02A7"/>
    <w:rsid w:val="007D0A93"/>
    <w:rsid w:val="007D25E7"/>
    <w:rsid w:val="007D2986"/>
    <w:rsid w:val="007D362F"/>
    <w:rsid w:val="007D3DB7"/>
    <w:rsid w:val="007D3FE4"/>
    <w:rsid w:val="007D40AD"/>
    <w:rsid w:val="007D4A43"/>
    <w:rsid w:val="007D591E"/>
    <w:rsid w:val="007D593D"/>
    <w:rsid w:val="007D5A04"/>
    <w:rsid w:val="007D5E98"/>
    <w:rsid w:val="007D6057"/>
    <w:rsid w:val="007D76FC"/>
    <w:rsid w:val="007E01C6"/>
    <w:rsid w:val="007E1F1E"/>
    <w:rsid w:val="007E2016"/>
    <w:rsid w:val="007E26E9"/>
    <w:rsid w:val="007E2C77"/>
    <w:rsid w:val="007E3793"/>
    <w:rsid w:val="007E4426"/>
    <w:rsid w:val="007E4AFF"/>
    <w:rsid w:val="007E5BB2"/>
    <w:rsid w:val="007E6228"/>
    <w:rsid w:val="007E6C9C"/>
    <w:rsid w:val="007E6FC6"/>
    <w:rsid w:val="007E7EAB"/>
    <w:rsid w:val="007E7FC5"/>
    <w:rsid w:val="007E7FF1"/>
    <w:rsid w:val="007F00EB"/>
    <w:rsid w:val="007F02BE"/>
    <w:rsid w:val="007F0776"/>
    <w:rsid w:val="007F12C7"/>
    <w:rsid w:val="007F12F8"/>
    <w:rsid w:val="007F13E1"/>
    <w:rsid w:val="007F13FE"/>
    <w:rsid w:val="007F16E1"/>
    <w:rsid w:val="007F1FA8"/>
    <w:rsid w:val="007F2687"/>
    <w:rsid w:val="007F2864"/>
    <w:rsid w:val="007F2877"/>
    <w:rsid w:val="007F37AE"/>
    <w:rsid w:val="007F3D8C"/>
    <w:rsid w:val="007F40D3"/>
    <w:rsid w:val="007F479A"/>
    <w:rsid w:val="007F48EC"/>
    <w:rsid w:val="007F610A"/>
    <w:rsid w:val="007F71FB"/>
    <w:rsid w:val="00801257"/>
    <w:rsid w:val="00801656"/>
    <w:rsid w:val="008017B6"/>
    <w:rsid w:val="00801B13"/>
    <w:rsid w:val="00802022"/>
    <w:rsid w:val="00802050"/>
    <w:rsid w:val="00802142"/>
    <w:rsid w:val="00802625"/>
    <w:rsid w:val="008029CC"/>
    <w:rsid w:val="008030D2"/>
    <w:rsid w:val="008032C0"/>
    <w:rsid w:val="008041C8"/>
    <w:rsid w:val="00804A65"/>
    <w:rsid w:val="008053DD"/>
    <w:rsid w:val="0080608A"/>
    <w:rsid w:val="0080625F"/>
    <w:rsid w:val="00807308"/>
    <w:rsid w:val="00807B65"/>
    <w:rsid w:val="00807E49"/>
    <w:rsid w:val="008109A2"/>
    <w:rsid w:val="00810E03"/>
    <w:rsid w:val="00810EB1"/>
    <w:rsid w:val="0081134F"/>
    <w:rsid w:val="00811384"/>
    <w:rsid w:val="008121FA"/>
    <w:rsid w:val="008126C1"/>
    <w:rsid w:val="00813671"/>
    <w:rsid w:val="00813CAC"/>
    <w:rsid w:val="00814799"/>
    <w:rsid w:val="00814974"/>
    <w:rsid w:val="00814B22"/>
    <w:rsid w:val="00815E1F"/>
    <w:rsid w:val="00817948"/>
    <w:rsid w:val="00817D67"/>
    <w:rsid w:val="0082022E"/>
    <w:rsid w:val="00820B6D"/>
    <w:rsid w:val="00821009"/>
    <w:rsid w:val="0082112D"/>
    <w:rsid w:val="00821752"/>
    <w:rsid w:val="008218D0"/>
    <w:rsid w:val="00821C83"/>
    <w:rsid w:val="00821D9F"/>
    <w:rsid w:val="00821E85"/>
    <w:rsid w:val="008224F2"/>
    <w:rsid w:val="008225C8"/>
    <w:rsid w:val="00823331"/>
    <w:rsid w:val="00823561"/>
    <w:rsid w:val="00824226"/>
    <w:rsid w:val="008245C7"/>
    <w:rsid w:val="008258F4"/>
    <w:rsid w:val="00825C4D"/>
    <w:rsid w:val="00825CA5"/>
    <w:rsid w:val="00826419"/>
    <w:rsid w:val="00826733"/>
    <w:rsid w:val="00827106"/>
    <w:rsid w:val="008279F8"/>
    <w:rsid w:val="00827C37"/>
    <w:rsid w:val="00827CED"/>
    <w:rsid w:val="008301B0"/>
    <w:rsid w:val="00830AAA"/>
    <w:rsid w:val="00831C20"/>
    <w:rsid w:val="00832507"/>
    <w:rsid w:val="0083289C"/>
    <w:rsid w:val="008329F0"/>
    <w:rsid w:val="00832EF6"/>
    <w:rsid w:val="00832F60"/>
    <w:rsid w:val="0083354A"/>
    <w:rsid w:val="00833887"/>
    <w:rsid w:val="00833A77"/>
    <w:rsid w:val="00835480"/>
    <w:rsid w:val="00835A83"/>
    <w:rsid w:val="008368B4"/>
    <w:rsid w:val="00836E37"/>
    <w:rsid w:val="00841F3C"/>
    <w:rsid w:val="008428FF"/>
    <w:rsid w:val="00842F28"/>
    <w:rsid w:val="00842F38"/>
    <w:rsid w:val="00843894"/>
    <w:rsid w:val="0084424F"/>
    <w:rsid w:val="00844F98"/>
    <w:rsid w:val="00845C9A"/>
    <w:rsid w:val="00845E9D"/>
    <w:rsid w:val="00845EF1"/>
    <w:rsid w:val="00850E5D"/>
    <w:rsid w:val="00851CC6"/>
    <w:rsid w:val="00852809"/>
    <w:rsid w:val="00853FAD"/>
    <w:rsid w:val="008542C6"/>
    <w:rsid w:val="00854F73"/>
    <w:rsid w:val="00855EC1"/>
    <w:rsid w:val="0085785B"/>
    <w:rsid w:val="00857C64"/>
    <w:rsid w:val="008607E1"/>
    <w:rsid w:val="008608E9"/>
    <w:rsid w:val="00860AF1"/>
    <w:rsid w:val="00860E3B"/>
    <w:rsid w:val="008611A7"/>
    <w:rsid w:val="00861560"/>
    <w:rsid w:val="008619E0"/>
    <w:rsid w:val="0086209C"/>
    <w:rsid w:val="008620AB"/>
    <w:rsid w:val="00862963"/>
    <w:rsid w:val="008629CD"/>
    <w:rsid w:val="00862E2F"/>
    <w:rsid w:val="00863C25"/>
    <w:rsid w:val="00863FAC"/>
    <w:rsid w:val="008653BF"/>
    <w:rsid w:val="00865554"/>
    <w:rsid w:val="008668BF"/>
    <w:rsid w:val="00867AD1"/>
    <w:rsid w:val="00870738"/>
    <w:rsid w:val="008709EC"/>
    <w:rsid w:val="00870CA3"/>
    <w:rsid w:val="00870DEB"/>
    <w:rsid w:val="00870E33"/>
    <w:rsid w:val="00871E4E"/>
    <w:rsid w:val="00872557"/>
    <w:rsid w:val="00872AF9"/>
    <w:rsid w:val="00872B80"/>
    <w:rsid w:val="008745AB"/>
    <w:rsid w:val="00875430"/>
    <w:rsid w:val="008756F2"/>
    <w:rsid w:val="00875A1D"/>
    <w:rsid w:val="0087659E"/>
    <w:rsid w:val="00881937"/>
    <w:rsid w:val="00881A03"/>
    <w:rsid w:val="0088202A"/>
    <w:rsid w:val="00882123"/>
    <w:rsid w:val="0088290E"/>
    <w:rsid w:val="00882C55"/>
    <w:rsid w:val="00882FF4"/>
    <w:rsid w:val="00883BAE"/>
    <w:rsid w:val="00885676"/>
    <w:rsid w:val="0088572B"/>
    <w:rsid w:val="00886ABB"/>
    <w:rsid w:val="00886BD6"/>
    <w:rsid w:val="00887417"/>
    <w:rsid w:val="00887830"/>
    <w:rsid w:val="0089029B"/>
    <w:rsid w:val="00890D39"/>
    <w:rsid w:val="00890DAE"/>
    <w:rsid w:val="00891508"/>
    <w:rsid w:val="008915E8"/>
    <w:rsid w:val="0089163A"/>
    <w:rsid w:val="00891A88"/>
    <w:rsid w:val="00891F5E"/>
    <w:rsid w:val="0089257D"/>
    <w:rsid w:val="00892B6A"/>
    <w:rsid w:val="00892DDE"/>
    <w:rsid w:val="00892E3F"/>
    <w:rsid w:val="008937C6"/>
    <w:rsid w:val="00894218"/>
    <w:rsid w:val="00894393"/>
    <w:rsid w:val="00894AAA"/>
    <w:rsid w:val="00895BFA"/>
    <w:rsid w:val="0089622B"/>
    <w:rsid w:val="00896723"/>
    <w:rsid w:val="0089736A"/>
    <w:rsid w:val="00897544"/>
    <w:rsid w:val="008978DF"/>
    <w:rsid w:val="00897916"/>
    <w:rsid w:val="0089798D"/>
    <w:rsid w:val="008979CA"/>
    <w:rsid w:val="008A0213"/>
    <w:rsid w:val="008A1515"/>
    <w:rsid w:val="008A2685"/>
    <w:rsid w:val="008A3012"/>
    <w:rsid w:val="008A3784"/>
    <w:rsid w:val="008A3A57"/>
    <w:rsid w:val="008A3C65"/>
    <w:rsid w:val="008A3C9E"/>
    <w:rsid w:val="008A3D6E"/>
    <w:rsid w:val="008A3EB1"/>
    <w:rsid w:val="008A4063"/>
    <w:rsid w:val="008A4301"/>
    <w:rsid w:val="008A4411"/>
    <w:rsid w:val="008A455C"/>
    <w:rsid w:val="008A4BCE"/>
    <w:rsid w:val="008A6382"/>
    <w:rsid w:val="008A6B03"/>
    <w:rsid w:val="008B016E"/>
    <w:rsid w:val="008B0991"/>
    <w:rsid w:val="008B102B"/>
    <w:rsid w:val="008B1762"/>
    <w:rsid w:val="008B21E4"/>
    <w:rsid w:val="008B235F"/>
    <w:rsid w:val="008B23C5"/>
    <w:rsid w:val="008B2C78"/>
    <w:rsid w:val="008B318E"/>
    <w:rsid w:val="008B439F"/>
    <w:rsid w:val="008B687B"/>
    <w:rsid w:val="008B6942"/>
    <w:rsid w:val="008B74AF"/>
    <w:rsid w:val="008B794B"/>
    <w:rsid w:val="008B7B70"/>
    <w:rsid w:val="008B7EB8"/>
    <w:rsid w:val="008C0E03"/>
    <w:rsid w:val="008C0FF5"/>
    <w:rsid w:val="008C129B"/>
    <w:rsid w:val="008C2696"/>
    <w:rsid w:val="008C2763"/>
    <w:rsid w:val="008C2914"/>
    <w:rsid w:val="008C2B25"/>
    <w:rsid w:val="008C3287"/>
    <w:rsid w:val="008C3782"/>
    <w:rsid w:val="008C3C73"/>
    <w:rsid w:val="008C4206"/>
    <w:rsid w:val="008C431A"/>
    <w:rsid w:val="008C449A"/>
    <w:rsid w:val="008C46A6"/>
    <w:rsid w:val="008C4A3A"/>
    <w:rsid w:val="008C611E"/>
    <w:rsid w:val="008C689C"/>
    <w:rsid w:val="008C75A5"/>
    <w:rsid w:val="008C7749"/>
    <w:rsid w:val="008D05C6"/>
    <w:rsid w:val="008D14CE"/>
    <w:rsid w:val="008D18EA"/>
    <w:rsid w:val="008D1E80"/>
    <w:rsid w:val="008D2160"/>
    <w:rsid w:val="008D2330"/>
    <w:rsid w:val="008D3C25"/>
    <w:rsid w:val="008D42D5"/>
    <w:rsid w:val="008D447F"/>
    <w:rsid w:val="008D47C4"/>
    <w:rsid w:val="008D4AD5"/>
    <w:rsid w:val="008D4EC0"/>
    <w:rsid w:val="008D4F4F"/>
    <w:rsid w:val="008D5506"/>
    <w:rsid w:val="008D55AC"/>
    <w:rsid w:val="008D5CEE"/>
    <w:rsid w:val="008D68AE"/>
    <w:rsid w:val="008D6F47"/>
    <w:rsid w:val="008E087E"/>
    <w:rsid w:val="008E1F75"/>
    <w:rsid w:val="008E2901"/>
    <w:rsid w:val="008E300D"/>
    <w:rsid w:val="008E4960"/>
    <w:rsid w:val="008E546A"/>
    <w:rsid w:val="008E595A"/>
    <w:rsid w:val="008E598D"/>
    <w:rsid w:val="008E6746"/>
    <w:rsid w:val="008E6860"/>
    <w:rsid w:val="008E6FDC"/>
    <w:rsid w:val="008E7979"/>
    <w:rsid w:val="008E7B63"/>
    <w:rsid w:val="008E7F46"/>
    <w:rsid w:val="008F00F4"/>
    <w:rsid w:val="008F0301"/>
    <w:rsid w:val="008F0673"/>
    <w:rsid w:val="008F0DAE"/>
    <w:rsid w:val="008F1439"/>
    <w:rsid w:val="008F184D"/>
    <w:rsid w:val="008F1ADA"/>
    <w:rsid w:val="008F1BFC"/>
    <w:rsid w:val="008F2D9B"/>
    <w:rsid w:val="008F4026"/>
    <w:rsid w:val="008F5493"/>
    <w:rsid w:val="008F549F"/>
    <w:rsid w:val="008F595D"/>
    <w:rsid w:val="008F6535"/>
    <w:rsid w:val="008F69DA"/>
    <w:rsid w:val="008F6C17"/>
    <w:rsid w:val="008F6E5E"/>
    <w:rsid w:val="008F7036"/>
    <w:rsid w:val="008F7268"/>
    <w:rsid w:val="008F72A6"/>
    <w:rsid w:val="008F7562"/>
    <w:rsid w:val="008F7A84"/>
    <w:rsid w:val="008F7E2B"/>
    <w:rsid w:val="009000E5"/>
    <w:rsid w:val="00901DCA"/>
    <w:rsid w:val="009025B8"/>
    <w:rsid w:val="009025D7"/>
    <w:rsid w:val="00902BBF"/>
    <w:rsid w:val="00903CD1"/>
    <w:rsid w:val="00904CED"/>
    <w:rsid w:val="00904E9F"/>
    <w:rsid w:val="0090526E"/>
    <w:rsid w:val="00905E8D"/>
    <w:rsid w:val="00906BC0"/>
    <w:rsid w:val="00906F58"/>
    <w:rsid w:val="00907BF2"/>
    <w:rsid w:val="009106F3"/>
    <w:rsid w:val="00912042"/>
    <w:rsid w:val="00912172"/>
    <w:rsid w:val="0091267F"/>
    <w:rsid w:val="00912CA5"/>
    <w:rsid w:val="00913B51"/>
    <w:rsid w:val="00914683"/>
    <w:rsid w:val="009147EF"/>
    <w:rsid w:val="0091576C"/>
    <w:rsid w:val="009157A3"/>
    <w:rsid w:val="00915CB6"/>
    <w:rsid w:val="00915D04"/>
    <w:rsid w:val="0091651F"/>
    <w:rsid w:val="00917308"/>
    <w:rsid w:val="00917858"/>
    <w:rsid w:val="00920249"/>
    <w:rsid w:val="00920B59"/>
    <w:rsid w:val="00921355"/>
    <w:rsid w:val="009218BD"/>
    <w:rsid w:val="009219EB"/>
    <w:rsid w:val="00921C1C"/>
    <w:rsid w:val="009225F3"/>
    <w:rsid w:val="00923103"/>
    <w:rsid w:val="0092317B"/>
    <w:rsid w:val="0092391A"/>
    <w:rsid w:val="00923956"/>
    <w:rsid w:val="00924E0E"/>
    <w:rsid w:val="00924FEE"/>
    <w:rsid w:val="009306F6"/>
    <w:rsid w:val="00930793"/>
    <w:rsid w:val="00932ACC"/>
    <w:rsid w:val="009331C0"/>
    <w:rsid w:val="00933799"/>
    <w:rsid w:val="00934CEA"/>
    <w:rsid w:val="009361DD"/>
    <w:rsid w:val="00936B29"/>
    <w:rsid w:val="00936F46"/>
    <w:rsid w:val="009373AA"/>
    <w:rsid w:val="009374BA"/>
    <w:rsid w:val="0094066D"/>
    <w:rsid w:val="00940AA7"/>
    <w:rsid w:val="00941698"/>
    <w:rsid w:val="00941F29"/>
    <w:rsid w:val="00942236"/>
    <w:rsid w:val="009425E7"/>
    <w:rsid w:val="00942B18"/>
    <w:rsid w:val="009434F1"/>
    <w:rsid w:val="009435C3"/>
    <w:rsid w:val="0094407A"/>
    <w:rsid w:val="00944468"/>
    <w:rsid w:val="00944839"/>
    <w:rsid w:val="00944E94"/>
    <w:rsid w:val="00945318"/>
    <w:rsid w:val="009456FA"/>
    <w:rsid w:val="00945EC0"/>
    <w:rsid w:val="009465D0"/>
    <w:rsid w:val="00946687"/>
    <w:rsid w:val="00946942"/>
    <w:rsid w:val="00946C93"/>
    <w:rsid w:val="00946D28"/>
    <w:rsid w:val="00947239"/>
    <w:rsid w:val="009507E3"/>
    <w:rsid w:val="00950FFB"/>
    <w:rsid w:val="00951477"/>
    <w:rsid w:val="009528B9"/>
    <w:rsid w:val="00952D77"/>
    <w:rsid w:val="00953B22"/>
    <w:rsid w:val="0095414C"/>
    <w:rsid w:val="00956010"/>
    <w:rsid w:val="00956072"/>
    <w:rsid w:val="009566F5"/>
    <w:rsid w:val="00956710"/>
    <w:rsid w:val="00956843"/>
    <w:rsid w:val="00957230"/>
    <w:rsid w:val="009579FC"/>
    <w:rsid w:val="009601A0"/>
    <w:rsid w:val="009607AD"/>
    <w:rsid w:val="0096080A"/>
    <w:rsid w:val="00960E5B"/>
    <w:rsid w:val="009612D7"/>
    <w:rsid w:val="00961728"/>
    <w:rsid w:val="00961818"/>
    <w:rsid w:val="00963735"/>
    <w:rsid w:val="009637E0"/>
    <w:rsid w:val="00963EB1"/>
    <w:rsid w:val="00964E3B"/>
    <w:rsid w:val="00964F1C"/>
    <w:rsid w:val="0096506E"/>
    <w:rsid w:val="009667A3"/>
    <w:rsid w:val="0096701B"/>
    <w:rsid w:val="0097076E"/>
    <w:rsid w:val="00970838"/>
    <w:rsid w:val="0097117C"/>
    <w:rsid w:val="00971E44"/>
    <w:rsid w:val="009721B3"/>
    <w:rsid w:val="00972AB7"/>
    <w:rsid w:val="00972B8F"/>
    <w:rsid w:val="00972C20"/>
    <w:rsid w:val="00972F40"/>
    <w:rsid w:val="0097428B"/>
    <w:rsid w:val="0097469B"/>
    <w:rsid w:val="00974B48"/>
    <w:rsid w:val="00975438"/>
    <w:rsid w:val="00975FF7"/>
    <w:rsid w:val="009769A9"/>
    <w:rsid w:val="00976AB8"/>
    <w:rsid w:val="00976BFE"/>
    <w:rsid w:val="0097709E"/>
    <w:rsid w:val="00977DEE"/>
    <w:rsid w:val="009805D5"/>
    <w:rsid w:val="00981157"/>
    <w:rsid w:val="0098178A"/>
    <w:rsid w:val="0098185F"/>
    <w:rsid w:val="00981F9C"/>
    <w:rsid w:val="0098410E"/>
    <w:rsid w:val="00984314"/>
    <w:rsid w:val="009848A7"/>
    <w:rsid w:val="00984BE8"/>
    <w:rsid w:val="00984FEA"/>
    <w:rsid w:val="00985DEF"/>
    <w:rsid w:val="00987238"/>
    <w:rsid w:val="00987321"/>
    <w:rsid w:val="00987E88"/>
    <w:rsid w:val="0099156E"/>
    <w:rsid w:val="009929E8"/>
    <w:rsid w:val="00992E69"/>
    <w:rsid w:val="009931AB"/>
    <w:rsid w:val="009937B3"/>
    <w:rsid w:val="00993F1C"/>
    <w:rsid w:val="00995121"/>
    <w:rsid w:val="00995B8C"/>
    <w:rsid w:val="00996458"/>
    <w:rsid w:val="009965B3"/>
    <w:rsid w:val="0099705F"/>
    <w:rsid w:val="0099741C"/>
    <w:rsid w:val="009978BD"/>
    <w:rsid w:val="00997A0B"/>
    <w:rsid w:val="009A0913"/>
    <w:rsid w:val="009A092D"/>
    <w:rsid w:val="009A0B5B"/>
    <w:rsid w:val="009A1840"/>
    <w:rsid w:val="009A1A5F"/>
    <w:rsid w:val="009A1B5D"/>
    <w:rsid w:val="009A2DEB"/>
    <w:rsid w:val="009A3B02"/>
    <w:rsid w:val="009A3BAC"/>
    <w:rsid w:val="009A3D89"/>
    <w:rsid w:val="009A502C"/>
    <w:rsid w:val="009A544A"/>
    <w:rsid w:val="009A5D7D"/>
    <w:rsid w:val="009A6967"/>
    <w:rsid w:val="009A6C87"/>
    <w:rsid w:val="009A6F4A"/>
    <w:rsid w:val="009A70B4"/>
    <w:rsid w:val="009B057B"/>
    <w:rsid w:val="009B0630"/>
    <w:rsid w:val="009B082A"/>
    <w:rsid w:val="009B0C26"/>
    <w:rsid w:val="009B1843"/>
    <w:rsid w:val="009B1A5F"/>
    <w:rsid w:val="009B1BAC"/>
    <w:rsid w:val="009B1D51"/>
    <w:rsid w:val="009B22E3"/>
    <w:rsid w:val="009B27CA"/>
    <w:rsid w:val="009B2FCB"/>
    <w:rsid w:val="009B44C5"/>
    <w:rsid w:val="009B4753"/>
    <w:rsid w:val="009B50E8"/>
    <w:rsid w:val="009B58F4"/>
    <w:rsid w:val="009B60D5"/>
    <w:rsid w:val="009B6168"/>
    <w:rsid w:val="009B7563"/>
    <w:rsid w:val="009B7E3C"/>
    <w:rsid w:val="009C19F3"/>
    <w:rsid w:val="009C21F5"/>
    <w:rsid w:val="009C2FAD"/>
    <w:rsid w:val="009C2FF9"/>
    <w:rsid w:val="009C4AFF"/>
    <w:rsid w:val="009C54FF"/>
    <w:rsid w:val="009C6988"/>
    <w:rsid w:val="009C728E"/>
    <w:rsid w:val="009C72E4"/>
    <w:rsid w:val="009C7630"/>
    <w:rsid w:val="009C777A"/>
    <w:rsid w:val="009D1200"/>
    <w:rsid w:val="009D14F9"/>
    <w:rsid w:val="009D19EA"/>
    <w:rsid w:val="009D2150"/>
    <w:rsid w:val="009D232A"/>
    <w:rsid w:val="009D241A"/>
    <w:rsid w:val="009D2522"/>
    <w:rsid w:val="009D2C0D"/>
    <w:rsid w:val="009D46D7"/>
    <w:rsid w:val="009D48A8"/>
    <w:rsid w:val="009D53BB"/>
    <w:rsid w:val="009D60DD"/>
    <w:rsid w:val="009D6382"/>
    <w:rsid w:val="009D6396"/>
    <w:rsid w:val="009D66B6"/>
    <w:rsid w:val="009D734C"/>
    <w:rsid w:val="009D7452"/>
    <w:rsid w:val="009D7568"/>
    <w:rsid w:val="009D7A40"/>
    <w:rsid w:val="009E0070"/>
    <w:rsid w:val="009E0FE4"/>
    <w:rsid w:val="009E1BC6"/>
    <w:rsid w:val="009E1F0A"/>
    <w:rsid w:val="009E20E0"/>
    <w:rsid w:val="009E2404"/>
    <w:rsid w:val="009E2563"/>
    <w:rsid w:val="009E26BE"/>
    <w:rsid w:val="009E3794"/>
    <w:rsid w:val="009E3B09"/>
    <w:rsid w:val="009E3FFE"/>
    <w:rsid w:val="009E45C8"/>
    <w:rsid w:val="009E4BDD"/>
    <w:rsid w:val="009E4DD9"/>
    <w:rsid w:val="009E53E0"/>
    <w:rsid w:val="009E5C9F"/>
    <w:rsid w:val="009E743D"/>
    <w:rsid w:val="009E7759"/>
    <w:rsid w:val="009E799E"/>
    <w:rsid w:val="009E79FC"/>
    <w:rsid w:val="009F02A2"/>
    <w:rsid w:val="009F0882"/>
    <w:rsid w:val="009F0E69"/>
    <w:rsid w:val="009F1AFF"/>
    <w:rsid w:val="009F1BA9"/>
    <w:rsid w:val="009F2295"/>
    <w:rsid w:val="009F25A3"/>
    <w:rsid w:val="009F2CA0"/>
    <w:rsid w:val="009F340D"/>
    <w:rsid w:val="009F3458"/>
    <w:rsid w:val="009F35D3"/>
    <w:rsid w:val="009F39C0"/>
    <w:rsid w:val="009F3AC7"/>
    <w:rsid w:val="009F3BDE"/>
    <w:rsid w:val="009F4C3F"/>
    <w:rsid w:val="009F5580"/>
    <w:rsid w:val="009F5D57"/>
    <w:rsid w:val="009F5F2C"/>
    <w:rsid w:val="009F5FEF"/>
    <w:rsid w:val="009F6988"/>
    <w:rsid w:val="009F74CE"/>
    <w:rsid w:val="00A0079B"/>
    <w:rsid w:val="00A009C1"/>
    <w:rsid w:val="00A00EB7"/>
    <w:rsid w:val="00A013A0"/>
    <w:rsid w:val="00A01C0A"/>
    <w:rsid w:val="00A01FEB"/>
    <w:rsid w:val="00A0249D"/>
    <w:rsid w:val="00A0277C"/>
    <w:rsid w:val="00A02946"/>
    <w:rsid w:val="00A02BDE"/>
    <w:rsid w:val="00A03239"/>
    <w:rsid w:val="00A03693"/>
    <w:rsid w:val="00A0394F"/>
    <w:rsid w:val="00A04457"/>
    <w:rsid w:val="00A04C1C"/>
    <w:rsid w:val="00A051B8"/>
    <w:rsid w:val="00A055A8"/>
    <w:rsid w:val="00A05991"/>
    <w:rsid w:val="00A05B32"/>
    <w:rsid w:val="00A0690D"/>
    <w:rsid w:val="00A069D0"/>
    <w:rsid w:val="00A07BBF"/>
    <w:rsid w:val="00A1115F"/>
    <w:rsid w:val="00A11B68"/>
    <w:rsid w:val="00A11DCC"/>
    <w:rsid w:val="00A12160"/>
    <w:rsid w:val="00A1236C"/>
    <w:rsid w:val="00A12642"/>
    <w:rsid w:val="00A12B10"/>
    <w:rsid w:val="00A12BA2"/>
    <w:rsid w:val="00A136D6"/>
    <w:rsid w:val="00A13C19"/>
    <w:rsid w:val="00A15192"/>
    <w:rsid w:val="00A156C9"/>
    <w:rsid w:val="00A15CE5"/>
    <w:rsid w:val="00A166B5"/>
    <w:rsid w:val="00A16986"/>
    <w:rsid w:val="00A170AA"/>
    <w:rsid w:val="00A17954"/>
    <w:rsid w:val="00A20240"/>
    <w:rsid w:val="00A21F60"/>
    <w:rsid w:val="00A220C0"/>
    <w:rsid w:val="00A2260D"/>
    <w:rsid w:val="00A22833"/>
    <w:rsid w:val="00A23AD7"/>
    <w:rsid w:val="00A252B3"/>
    <w:rsid w:val="00A25446"/>
    <w:rsid w:val="00A2578D"/>
    <w:rsid w:val="00A25E19"/>
    <w:rsid w:val="00A25F3B"/>
    <w:rsid w:val="00A2715E"/>
    <w:rsid w:val="00A272E0"/>
    <w:rsid w:val="00A3024F"/>
    <w:rsid w:val="00A30B85"/>
    <w:rsid w:val="00A3137E"/>
    <w:rsid w:val="00A31887"/>
    <w:rsid w:val="00A31CC0"/>
    <w:rsid w:val="00A32657"/>
    <w:rsid w:val="00A32AC3"/>
    <w:rsid w:val="00A32C5E"/>
    <w:rsid w:val="00A32E8C"/>
    <w:rsid w:val="00A33884"/>
    <w:rsid w:val="00A33FE4"/>
    <w:rsid w:val="00A3407F"/>
    <w:rsid w:val="00A34935"/>
    <w:rsid w:val="00A34ADE"/>
    <w:rsid w:val="00A36A64"/>
    <w:rsid w:val="00A36B38"/>
    <w:rsid w:val="00A37058"/>
    <w:rsid w:val="00A37C68"/>
    <w:rsid w:val="00A40098"/>
    <w:rsid w:val="00A41150"/>
    <w:rsid w:val="00A42B61"/>
    <w:rsid w:val="00A42DD0"/>
    <w:rsid w:val="00A437A4"/>
    <w:rsid w:val="00A437E8"/>
    <w:rsid w:val="00A43ECD"/>
    <w:rsid w:val="00A440D5"/>
    <w:rsid w:val="00A449E9"/>
    <w:rsid w:val="00A45244"/>
    <w:rsid w:val="00A4575A"/>
    <w:rsid w:val="00A45918"/>
    <w:rsid w:val="00A4755E"/>
    <w:rsid w:val="00A47DB1"/>
    <w:rsid w:val="00A50FFF"/>
    <w:rsid w:val="00A510B6"/>
    <w:rsid w:val="00A5182D"/>
    <w:rsid w:val="00A51A8B"/>
    <w:rsid w:val="00A521B6"/>
    <w:rsid w:val="00A523F5"/>
    <w:rsid w:val="00A524D3"/>
    <w:rsid w:val="00A529B3"/>
    <w:rsid w:val="00A52B96"/>
    <w:rsid w:val="00A531D4"/>
    <w:rsid w:val="00A5352B"/>
    <w:rsid w:val="00A535AC"/>
    <w:rsid w:val="00A53A9E"/>
    <w:rsid w:val="00A53F8E"/>
    <w:rsid w:val="00A54AA1"/>
    <w:rsid w:val="00A54FBD"/>
    <w:rsid w:val="00A551DF"/>
    <w:rsid w:val="00A55933"/>
    <w:rsid w:val="00A55A5F"/>
    <w:rsid w:val="00A55C21"/>
    <w:rsid w:val="00A56067"/>
    <w:rsid w:val="00A56550"/>
    <w:rsid w:val="00A56C23"/>
    <w:rsid w:val="00A5700A"/>
    <w:rsid w:val="00A6012D"/>
    <w:rsid w:val="00A60227"/>
    <w:rsid w:val="00A60C09"/>
    <w:rsid w:val="00A617DC"/>
    <w:rsid w:val="00A624E9"/>
    <w:rsid w:val="00A635B5"/>
    <w:rsid w:val="00A64890"/>
    <w:rsid w:val="00A64F29"/>
    <w:rsid w:val="00A64F37"/>
    <w:rsid w:val="00A666D1"/>
    <w:rsid w:val="00A66B2D"/>
    <w:rsid w:val="00A67249"/>
    <w:rsid w:val="00A67807"/>
    <w:rsid w:val="00A70202"/>
    <w:rsid w:val="00A71580"/>
    <w:rsid w:val="00A7183F"/>
    <w:rsid w:val="00A71FA2"/>
    <w:rsid w:val="00A722A3"/>
    <w:rsid w:val="00A728DF"/>
    <w:rsid w:val="00A732CD"/>
    <w:rsid w:val="00A73995"/>
    <w:rsid w:val="00A73BB3"/>
    <w:rsid w:val="00A73E92"/>
    <w:rsid w:val="00A747BE"/>
    <w:rsid w:val="00A74C90"/>
    <w:rsid w:val="00A74C98"/>
    <w:rsid w:val="00A760D8"/>
    <w:rsid w:val="00A76468"/>
    <w:rsid w:val="00A77876"/>
    <w:rsid w:val="00A77E0C"/>
    <w:rsid w:val="00A80029"/>
    <w:rsid w:val="00A8154E"/>
    <w:rsid w:val="00A816D5"/>
    <w:rsid w:val="00A81A91"/>
    <w:rsid w:val="00A81C67"/>
    <w:rsid w:val="00A81E70"/>
    <w:rsid w:val="00A81F1F"/>
    <w:rsid w:val="00A8254C"/>
    <w:rsid w:val="00A82B32"/>
    <w:rsid w:val="00A82C2C"/>
    <w:rsid w:val="00A82F84"/>
    <w:rsid w:val="00A83573"/>
    <w:rsid w:val="00A83785"/>
    <w:rsid w:val="00A8386D"/>
    <w:rsid w:val="00A83C5C"/>
    <w:rsid w:val="00A84173"/>
    <w:rsid w:val="00A844B7"/>
    <w:rsid w:val="00A848F6"/>
    <w:rsid w:val="00A84B2A"/>
    <w:rsid w:val="00A858C0"/>
    <w:rsid w:val="00A85D78"/>
    <w:rsid w:val="00A8758B"/>
    <w:rsid w:val="00A903BF"/>
    <w:rsid w:val="00A905AF"/>
    <w:rsid w:val="00A90CB3"/>
    <w:rsid w:val="00A9162F"/>
    <w:rsid w:val="00A91AA2"/>
    <w:rsid w:val="00A91E51"/>
    <w:rsid w:val="00A91F53"/>
    <w:rsid w:val="00A92B82"/>
    <w:rsid w:val="00A93229"/>
    <w:rsid w:val="00A9352B"/>
    <w:rsid w:val="00A9464E"/>
    <w:rsid w:val="00A948D4"/>
    <w:rsid w:val="00A94948"/>
    <w:rsid w:val="00A95844"/>
    <w:rsid w:val="00A973A5"/>
    <w:rsid w:val="00A978AA"/>
    <w:rsid w:val="00AA009B"/>
    <w:rsid w:val="00AA0255"/>
    <w:rsid w:val="00AA11DD"/>
    <w:rsid w:val="00AA1AB1"/>
    <w:rsid w:val="00AA2C20"/>
    <w:rsid w:val="00AA3432"/>
    <w:rsid w:val="00AA36B4"/>
    <w:rsid w:val="00AA433D"/>
    <w:rsid w:val="00AA4B71"/>
    <w:rsid w:val="00AA5192"/>
    <w:rsid w:val="00AA5B89"/>
    <w:rsid w:val="00AA7A68"/>
    <w:rsid w:val="00AB02AC"/>
    <w:rsid w:val="00AB0866"/>
    <w:rsid w:val="00AB0E98"/>
    <w:rsid w:val="00AB22C0"/>
    <w:rsid w:val="00AB2647"/>
    <w:rsid w:val="00AB34FA"/>
    <w:rsid w:val="00AB35FF"/>
    <w:rsid w:val="00AB458F"/>
    <w:rsid w:val="00AB468A"/>
    <w:rsid w:val="00AB46D9"/>
    <w:rsid w:val="00AB53AA"/>
    <w:rsid w:val="00AB6158"/>
    <w:rsid w:val="00AB6C63"/>
    <w:rsid w:val="00AB79D9"/>
    <w:rsid w:val="00AB7DCF"/>
    <w:rsid w:val="00AB7EB3"/>
    <w:rsid w:val="00AC0625"/>
    <w:rsid w:val="00AC06EF"/>
    <w:rsid w:val="00AC0A10"/>
    <w:rsid w:val="00AC0E89"/>
    <w:rsid w:val="00AC1232"/>
    <w:rsid w:val="00AC1F39"/>
    <w:rsid w:val="00AC2228"/>
    <w:rsid w:val="00AC51CC"/>
    <w:rsid w:val="00AC53C8"/>
    <w:rsid w:val="00AC563C"/>
    <w:rsid w:val="00AC5C8E"/>
    <w:rsid w:val="00AC64BD"/>
    <w:rsid w:val="00AC674E"/>
    <w:rsid w:val="00AC76BB"/>
    <w:rsid w:val="00AC7D77"/>
    <w:rsid w:val="00AD0EE0"/>
    <w:rsid w:val="00AD0FE8"/>
    <w:rsid w:val="00AD184D"/>
    <w:rsid w:val="00AD186D"/>
    <w:rsid w:val="00AD1D7E"/>
    <w:rsid w:val="00AD1E10"/>
    <w:rsid w:val="00AD23BD"/>
    <w:rsid w:val="00AD2B16"/>
    <w:rsid w:val="00AD411A"/>
    <w:rsid w:val="00AD4919"/>
    <w:rsid w:val="00AD4EF6"/>
    <w:rsid w:val="00AD53B2"/>
    <w:rsid w:val="00AD69EE"/>
    <w:rsid w:val="00AD6DCF"/>
    <w:rsid w:val="00AD6F88"/>
    <w:rsid w:val="00AD756C"/>
    <w:rsid w:val="00AD78C9"/>
    <w:rsid w:val="00AD7B9A"/>
    <w:rsid w:val="00AE042C"/>
    <w:rsid w:val="00AE2012"/>
    <w:rsid w:val="00AE250D"/>
    <w:rsid w:val="00AE3E3B"/>
    <w:rsid w:val="00AE4073"/>
    <w:rsid w:val="00AE4F1A"/>
    <w:rsid w:val="00AE562F"/>
    <w:rsid w:val="00AE5FD6"/>
    <w:rsid w:val="00AE61AB"/>
    <w:rsid w:val="00AE73C4"/>
    <w:rsid w:val="00AE7E63"/>
    <w:rsid w:val="00AF0A8F"/>
    <w:rsid w:val="00AF0E9E"/>
    <w:rsid w:val="00AF28C3"/>
    <w:rsid w:val="00AF2B8E"/>
    <w:rsid w:val="00AF3B40"/>
    <w:rsid w:val="00AF427C"/>
    <w:rsid w:val="00AF453E"/>
    <w:rsid w:val="00AF4F8A"/>
    <w:rsid w:val="00AF578E"/>
    <w:rsid w:val="00AF67F8"/>
    <w:rsid w:val="00AF7497"/>
    <w:rsid w:val="00AF789C"/>
    <w:rsid w:val="00AF7AE3"/>
    <w:rsid w:val="00B001F0"/>
    <w:rsid w:val="00B01002"/>
    <w:rsid w:val="00B0119E"/>
    <w:rsid w:val="00B0187C"/>
    <w:rsid w:val="00B02619"/>
    <w:rsid w:val="00B02677"/>
    <w:rsid w:val="00B0267D"/>
    <w:rsid w:val="00B03040"/>
    <w:rsid w:val="00B03139"/>
    <w:rsid w:val="00B03920"/>
    <w:rsid w:val="00B03A9C"/>
    <w:rsid w:val="00B04DB3"/>
    <w:rsid w:val="00B0563E"/>
    <w:rsid w:val="00B05D2D"/>
    <w:rsid w:val="00B05D5C"/>
    <w:rsid w:val="00B07AE7"/>
    <w:rsid w:val="00B07F43"/>
    <w:rsid w:val="00B10053"/>
    <w:rsid w:val="00B1076B"/>
    <w:rsid w:val="00B10BAF"/>
    <w:rsid w:val="00B11A76"/>
    <w:rsid w:val="00B11BC3"/>
    <w:rsid w:val="00B12544"/>
    <w:rsid w:val="00B12ED8"/>
    <w:rsid w:val="00B13BFF"/>
    <w:rsid w:val="00B13C78"/>
    <w:rsid w:val="00B13EB0"/>
    <w:rsid w:val="00B14979"/>
    <w:rsid w:val="00B14A06"/>
    <w:rsid w:val="00B14A09"/>
    <w:rsid w:val="00B159C6"/>
    <w:rsid w:val="00B163F7"/>
    <w:rsid w:val="00B17A91"/>
    <w:rsid w:val="00B17C53"/>
    <w:rsid w:val="00B20608"/>
    <w:rsid w:val="00B21FFA"/>
    <w:rsid w:val="00B22C2C"/>
    <w:rsid w:val="00B23030"/>
    <w:rsid w:val="00B231D7"/>
    <w:rsid w:val="00B232DC"/>
    <w:rsid w:val="00B2400B"/>
    <w:rsid w:val="00B2458F"/>
    <w:rsid w:val="00B245EF"/>
    <w:rsid w:val="00B2479C"/>
    <w:rsid w:val="00B2572D"/>
    <w:rsid w:val="00B25ACB"/>
    <w:rsid w:val="00B26827"/>
    <w:rsid w:val="00B302C4"/>
    <w:rsid w:val="00B31219"/>
    <w:rsid w:val="00B31388"/>
    <w:rsid w:val="00B31798"/>
    <w:rsid w:val="00B31CBC"/>
    <w:rsid w:val="00B31FE6"/>
    <w:rsid w:val="00B3212F"/>
    <w:rsid w:val="00B32B8A"/>
    <w:rsid w:val="00B33945"/>
    <w:rsid w:val="00B34376"/>
    <w:rsid w:val="00B3452A"/>
    <w:rsid w:val="00B34A25"/>
    <w:rsid w:val="00B357E2"/>
    <w:rsid w:val="00B362C8"/>
    <w:rsid w:val="00B36B82"/>
    <w:rsid w:val="00B36BBA"/>
    <w:rsid w:val="00B36BC1"/>
    <w:rsid w:val="00B37271"/>
    <w:rsid w:val="00B37505"/>
    <w:rsid w:val="00B375C5"/>
    <w:rsid w:val="00B400E4"/>
    <w:rsid w:val="00B41084"/>
    <w:rsid w:val="00B412C9"/>
    <w:rsid w:val="00B41440"/>
    <w:rsid w:val="00B41648"/>
    <w:rsid w:val="00B4171A"/>
    <w:rsid w:val="00B42543"/>
    <w:rsid w:val="00B4325E"/>
    <w:rsid w:val="00B43462"/>
    <w:rsid w:val="00B43E26"/>
    <w:rsid w:val="00B43FD3"/>
    <w:rsid w:val="00B440F8"/>
    <w:rsid w:val="00B447CF"/>
    <w:rsid w:val="00B44BB4"/>
    <w:rsid w:val="00B44F3B"/>
    <w:rsid w:val="00B456DA"/>
    <w:rsid w:val="00B45792"/>
    <w:rsid w:val="00B45BAC"/>
    <w:rsid w:val="00B45C4D"/>
    <w:rsid w:val="00B46273"/>
    <w:rsid w:val="00B4723D"/>
    <w:rsid w:val="00B47AC2"/>
    <w:rsid w:val="00B500B6"/>
    <w:rsid w:val="00B5080D"/>
    <w:rsid w:val="00B50DF2"/>
    <w:rsid w:val="00B51972"/>
    <w:rsid w:val="00B5223F"/>
    <w:rsid w:val="00B52686"/>
    <w:rsid w:val="00B54B50"/>
    <w:rsid w:val="00B54C01"/>
    <w:rsid w:val="00B552FB"/>
    <w:rsid w:val="00B56057"/>
    <w:rsid w:val="00B5752F"/>
    <w:rsid w:val="00B57EBE"/>
    <w:rsid w:val="00B605D2"/>
    <w:rsid w:val="00B607FB"/>
    <w:rsid w:val="00B61463"/>
    <w:rsid w:val="00B61DCB"/>
    <w:rsid w:val="00B6325F"/>
    <w:rsid w:val="00B638E6"/>
    <w:rsid w:val="00B64E6C"/>
    <w:rsid w:val="00B65C51"/>
    <w:rsid w:val="00B65D6C"/>
    <w:rsid w:val="00B65DD4"/>
    <w:rsid w:val="00B6672A"/>
    <w:rsid w:val="00B66DBC"/>
    <w:rsid w:val="00B67594"/>
    <w:rsid w:val="00B6780A"/>
    <w:rsid w:val="00B704AD"/>
    <w:rsid w:val="00B70BA8"/>
    <w:rsid w:val="00B70C4A"/>
    <w:rsid w:val="00B70E82"/>
    <w:rsid w:val="00B7118B"/>
    <w:rsid w:val="00B7125B"/>
    <w:rsid w:val="00B71DEE"/>
    <w:rsid w:val="00B72617"/>
    <w:rsid w:val="00B73615"/>
    <w:rsid w:val="00B73E10"/>
    <w:rsid w:val="00B742DF"/>
    <w:rsid w:val="00B74428"/>
    <w:rsid w:val="00B74899"/>
    <w:rsid w:val="00B75447"/>
    <w:rsid w:val="00B76691"/>
    <w:rsid w:val="00B767E0"/>
    <w:rsid w:val="00B76BD0"/>
    <w:rsid w:val="00B76C64"/>
    <w:rsid w:val="00B76DAF"/>
    <w:rsid w:val="00B771C6"/>
    <w:rsid w:val="00B77557"/>
    <w:rsid w:val="00B77EE6"/>
    <w:rsid w:val="00B809C1"/>
    <w:rsid w:val="00B80B1F"/>
    <w:rsid w:val="00B80C79"/>
    <w:rsid w:val="00B81CE8"/>
    <w:rsid w:val="00B82505"/>
    <w:rsid w:val="00B834EA"/>
    <w:rsid w:val="00B83AAE"/>
    <w:rsid w:val="00B83AB8"/>
    <w:rsid w:val="00B83F6D"/>
    <w:rsid w:val="00B8437F"/>
    <w:rsid w:val="00B846A0"/>
    <w:rsid w:val="00B84A47"/>
    <w:rsid w:val="00B84CCF"/>
    <w:rsid w:val="00B85055"/>
    <w:rsid w:val="00B8537C"/>
    <w:rsid w:val="00B854A1"/>
    <w:rsid w:val="00B868CF"/>
    <w:rsid w:val="00B86B92"/>
    <w:rsid w:val="00B86D97"/>
    <w:rsid w:val="00B86E9F"/>
    <w:rsid w:val="00B86F43"/>
    <w:rsid w:val="00B87298"/>
    <w:rsid w:val="00B90990"/>
    <w:rsid w:val="00B91B13"/>
    <w:rsid w:val="00B92212"/>
    <w:rsid w:val="00B92832"/>
    <w:rsid w:val="00B930C7"/>
    <w:rsid w:val="00B94B4E"/>
    <w:rsid w:val="00B95E07"/>
    <w:rsid w:val="00B96254"/>
    <w:rsid w:val="00B96B75"/>
    <w:rsid w:val="00B96F18"/>
    <w:rsid w:val="00B96F37"/>
    <w:rsid w:val="00BA08AD"/>
    <w:rsid w:val="00BA14E1"/>
    <w:rsid w:val="00BA253B"/>
    <w:rsid w:val="00BA2792"/>
    <w:rsid w:val="00BA2B5C"/>
    <w:rsid w:val="00BA37FD"/>
    <w:rsid w:val="00BA3B89"/>
    <w:rsid w:val="00BA4EAD"/>
    <w:rsid w:val="00BA5484"/>
    <w:rsid w:val="00BA553C"/>
    <w:rsid w:val="00BA56D6"/>
    <w:rsid w:val="00BA60EF"/>
    <w:rsid w:val="00BA6726"/>
    <w:rsid w:val="00BA6AFD"/>
    <w:rsid w:val="00BA74EF"/>
    <w:rsid w:val="00BA7EFA"/>
    <w:rsid w:val="00BB026B"/>
    <w:rsid w:val="00BB094B"/>
    <w:rsid w:val="00BB0BF4"/>
    <w:rsid w:val="00BB0D6B"/>
    <w:rsid w:val="00BB1447"/>
    <w:rsid w:val="00BB2B3F"/>
    <w:rsid w:val="00BB40B8"/>
    <w:rsid w:val="00BB448C"/>
    <w:rsid w:val="00BB47FA"/>
    <w:rsid w:val="00BB483C"/>
    <w:rsid w:val="00BB5133"/>
    <w:rsid w:val="00BB6753"/>
    <w:rsid w:val="00BB7452"/>
    <w:rsid w:val="00BC057D"/>
    <w:rsid w:val="00BC0883"/>
    <w:rsid w:val="00BC0C0B"/>
    <w:rsid w:val="00BC0E5B"/>
    <w:rsid w:val="00BC10A3"/>
    <w:rsid w:val="00BC10B5"/>
    <w:rsid w:val="00BC1138"/>
    <w:rsid w:val="00BC249B"/>
    <w:rsid w:val="00BC24A0"/>
    <w:rsid w:val="00BC2644"/>
    <w:rsid w:val="00BC32FF"/>
    <w:rsid w:val="00BC44E6"/>
    <w:rsid w:val="00BC5203"/>
    <w:rsid w:val="00BC5ABA"/>
    <w:rsid w:val="00BC5DFA"/>
    <w:rsid w:val="00BC6471"/>
    <w:rsid w:val="00BC6A0D"/>
    <w:rsid w:val="00BC783D"/>
    <w:rsid w:val="00BD15FA"/>
    <w:rsid w:val="00BD16B0"/>
    <w:rsid w:val="00BD31D9"/>
    <w:rsid w:val="00BD33DF"/>
    <w:rsid w:val="00BD34BE"/>
    <w:rsid w:val="00BD3666"/>
    <w:rsid w:val="00BD46D6"/>
    <w:rsid w:val="00BD523F"/>
    <w:rsid w:val="00BD59EB"/>
    <w:rsid w:val="00BD5C59"/>
    <w:rsid w:val="00BD672A"/>
    <w:rsid w:val="00BD75DE"/>
    <w:rsid w:val="00BD76E5"/>
    <w:rsid w:val="00BD7941"/>
    <w:rsid w:val="00BE0DFE"/>
    <w:rsid w:val="00BE1241"/>
    <w:rsid w:val="00BE24A1"/>
    <w:rsid w:val="00BE330E"/>
    <w:rsid w:val="00BE35E8"/>
    <w:rsid w:val="00BE36BC"/>
    <w:rsid w:val="00BE3E19"/>
    <w:rsid w:val="00BE4F3E"/>
    <w:rsid w:val="00BE50D5"/>
    <w:rsid w:val="00BE5A39"/>
    <w:rsid w:val="00BE696F"/>
    <w:rsid w:val="00BE6D32"/>
    <w:rsid w:val="00BE745D"/>
    <w:rsid w:val="00BE77FC"/>
    <w:rsid w:val="00BF13BB"/>
    <w:rsid w:val="00BF1BB8"/>
    <w:rsid w:val="00BF2D64"/>
    <w:rsid w:val="00BF3807"/>
    <w:rsid w:val="00BF46B8"/>
    <w:rsid w:val="00BF564B"/>
    <w:rsid w:val="00BF6380"/>
    <w:rsid w:val="00BF6F4F"/>
    <w:rsid w:val="00BF71ED"/>
    <w:rsid w:val="00BF797E"/>
    <w:rsid w:val="00BF7DAE"/>
    <w:rsid w:val="00C000AE"/>
    <w:rsid w:val="00C0073D"/>
    <w:rsid w:val="00C02A0F"/>
    <w:rsid w:val="00C031DF"/>
    <w:rsid w:val="00C03385"/>
    <w:rsid w:val="00C03391"/>
    <w:rsid w:val="00C041B1"/>
    <w:rsid w:val="00C0489B"/>
    <w:rsid w:val="00C052A8"/>
    <w:rsid w:val="00C06B90"/>
    <w:rsid w:val="00C078BB"/>
    <w:rsid w:val="00C07DD3"/>
    <w:rsid w:val="00C07FB7"/>
    <w:rsid w:val="00C10550"/>
    <w:rsid w:val="00C10826"/>
    <w:rsid w:val="00C1092B"/>
    <w:rsid w:val="00C10975"/>
    <w:rsid w:val="00C10F1A"/>
    <w:rsid w:val="00C10FE8"/>
    <w:rsid w:val="00C11086"/>
    <w:rsid w:val="00C1258B"/>
    <w:rsid w:val="00C127EC"/>
    <w:rsid w:val="00C12826"/>
    <w:rsid w:val="00C12944"/>
    <w:rsid w:val="00C13041"/>
    <w:rsid w:val="00C1340D"/>
    <w:rsid w:val="00C13C38"/>
    <w:rsid w:val="00C13EB8"/>
    <w:rsid w:val="00C13FF3"/>
    <w:rsid w:val="00C1462B"/>
    <w:rsid w:val="00C1546E"/>
    <w:rsid w:val="00C1547F"/>
    <w:rsid w:val="00C157F0"/>
    <w:rsid w:val="00C15C41"/>
    <w:rsid w:val="00C15DA9"/>
    <w:rsid w:val="00C15DDE"/>
    <w:rsid w:val="00C15F81"/>
    <w:rsid w:val="00C15FD4"/>
    <w:rsid w:val="00C17F4B"/>
    <w:rsid w:val="00C20215"/>
    <w:rsid w:val="00C221A5"/>
    <w:rsid w:val="00C225DA"/>
    <w:rsid w:val="00C22632"/>
    <w:rsid w:val="00C22BE8"/>
    <w:rsid w:val="00C22F41"/>
    <w:rsid w:val="00C2373B"/>
    <w:rsid w:val="00C23E9A"/>
    <w:rsid w:val="00C246F7"/>
    <w:rsid w:val="00C24950"/>
    <w:rsid w:val="00C25778"/>
    <w:rsid w:val="00C25F60"/>
    <w:rsid w:val="00C26098"/>
    <w:rsid w:val="00C26A10"/>
    <w:rsid w:val="00C26E44"/>
    <w:rsid w:val="00C27011"/>
    <w:rsid w:val="00C272ED"/>
    <w:rsid w:val="00C2736C"/>
    <w:rsid w:val="00C27B16"/>
    <w:rsid w:val="00C27DEB"/>
    <w:rsid w:val="00C30E3D"/>
    <w:rsid w:val="00C3153F"/>
    <w:rsid w:val="00C31B16"/>
    <w:rsid w:val="00C31DA4"/>
    <w:rsid w:val="00C32371"/>
    <w:rsid w:val="00C323D7"/>
    <w:rsid w:val="00C326D1"/>
    <w:rsid w:val="00C32978"/>
    <w:rsid w:val="00C333F4"/>
    <w:rsid w:val="00C3391D"/>
    <w:rsid w:val="00C33996"/>
    <w:rsid w:val="00C345CB"/>
    <w:rsid w:val="00C364A3"/>
    <w:rsid w:val="00C372CA"/>
    <w:rsid w:val="00C37AF1"/>
    <w:rsid w:val="00C37B85"/>
    <w:rsid w:val="00C37CF8"/>
    <w:rsid w:val="00C37D03"/>
    <w:rsid w:val="00C40EC0"/>
    <w:rsid w:val="00C4105A"/>
    <w:rsid w:val="00C417D4"/>
    <w:rsid w:val="00C43262"/>
    <w:rsid w:val="00C445B7"/>
    <w:rsid w:val="00C447FA"/>
    <w:rsid w:val="00C44973"/>
    <w:rsid w:val="00C450D1"/>
    <w:rsid w:val="00C45D39"/>
    <w:rsid w:val="00C45EFF"/>
    <w:rsid w:val="00C50BA1"/>
    <w:rsid w:val="00C50C75"/>
    <w:rsid w:val="00C522CE"/>
    <w:rsid w:val="00C52687"/>
    <w:rsid w:val="00C53232"/>
    <w:rsid w:val="00C533E5"/>
    <w:rsid w:val="00C5351C"/>
    <w:rsid w:val="00C535C2"/>
    <w:rsid w:val="00C53CCE"/>
    <w:rsid w:val="00C53D90"/>
    <w:rsid w:val="00C54065"/>
    <w:rsid w:val="00C543C4"/>
    <w:rsid w:val="00C5448A"/>
    <w:rsid w:val="00C544DE"/>
    <w:rsid w:val="00C5481E"/>
    <w:rsid w:val="00C54B98"/>
    <w:rsid w:val="00C54D42"/>
    <w:rsid w:val="00C55508"/>
    <w:rsid w:val="00C5579A"/>
    <w:rsid w:val="00C5581B"/>
    <w:rsid w:val="00C5618A"/>
    <w:rsid w:val="00C565A3"/>
    <w:rsid w:val="00C565CE"/>
    <w:rsid w:val="00C567D0"/>
    <w:rsid w:val="00C57B73"/>
    <w:rsid w:val="00C57EC2"/>
    <w:rsid w:val="00C60571"/>
    <w:rsid w:val="00C60792"/>
    <w:rsid w:val="00C61112"/>
    <w:rsid w:val="00C61411"/>
    <w:rsid w:val="00C615FC"/>
    <w:rsid w:val="00C61A81"/>
    <w:rsid w:val="00C62852"/>
    <w:rsid w:val="00C634E9"/>
    <w:rsid w:val="00C63882"/>
    <w:rsid w:val="00C63D55"/>
    <w:rsid w:val="00C63F57"/>
    <w:rsid w:val="00C63FA4"/>
    <w:rsid w:val="00C64998"/>
    <w:rsid w:val="00C6544E"/>
    <w:rsid w:val="00C65C46"/>
    <w:rsid w:val="00C65D55"/>
    <w:rsid w:val="00C65DF2"/>
    <w:rsid w:val="00C727A5"/>
    <w:rsid w:val="00C72E35"/>
    <w:rsid w:val="00C73465"/>
    <w:rsid w:val="00C73579"/>
    <w:rsid w:val="00C735F9"/>
    <w:rsid w:val="00C73A8F"/>
    <w:rsid w:val="00C73F44"/>
    <w:rsid w:val="00C74225"/>
    <w:rsid w:val="00C74DC2"/>
    <w:rsid w:val="00C7597F"/>
    <w:rsid w:val="00C75D0D"/>
    <w:rsid w:val="00C768A5"/>
    <w:rsid w:val="00C776BB"/>
    <w:rsid w:val="00C77E36"/>
    <w:rsid w:val="00C80794"/>
    <w:rsid w:val="00C80DFC"/>
    <w:rsid w:val="00C815E4"/>
    <w:rsid w:val="00C81BFC"/>
    <w:rsid w:val="00C82CD3"/>
    <w:rsid w:val="00C83173"/>
    <w:rsid w:val="00C8495B"/>
    <w:rsid w:val="00C851F6"/>
    <w:rsid w:val="00C859EA"/>
    <w:rsid w:val="00C86823"/>
    <w:rsid w:val="00C86E7C"/>
    <w:rsid w:val="00C86ED4"/>
    <w:rsid w:val="00C87E18"/>
    <w:rsid w:val="00C901AF"/>
    <w:rsid w:val="00C906F8"/>
    <w:rsid w:val="00C90849"/>
    <w:rsid w:val="00C90F85"/>
    <w:rsid w:val="00C915F9"/>
    <w:rsid w:val="00C92A1E"/>
    <w:rsid w:val="00C92D67"/>
    <w:rsid w:val="00C932CF"/>
    <w:rsid w:val="00C938D5"/>
    <w:rsid w:val="00C93AA7"/>
    <w:rsid w:val="00C947A4"/>
    <w:rsid w:val="00C96092"/>
    <w:rsid w:val="00C96FE2"/>
    <w:rsid w:val="00C97835"/>
    <w:rsid w:val="00CA0919"/>
    <w:rsid w:val="00CA171C"/>
    <w:rsid w:val="00CA263E"/>
    <w:rsid w:val="00CA2BCE"/>
    <w:rsid w:val="00CA30CA"/>
    <w:rsid w:val="00CA34C6"/>
    <w:rsid w:val="00CA39D8"/>
    <w:rsid w:val="00CA3CB5"/>
    <w:rsid w:val="00CA3D39"/>
    <w:rsid w:val="00CA3EA6"/>
    <w:rsid w:val="00CA3FF9"/>
    <w:rsid w:val="00CA417B"/>
    <w:rsid w:val="00CA48F6"/>
    <w:rsid w:val="00CA4C66"/>
    <w:rsid w:val="00CA5592"/>
    <w:rsid w:val="00CA630F"/>
    <w:rsid w:val="00CA6F5A"/>
    <w:rsid w:val="00CA72A7"/>
    <w:rsid w:val="00CA7819"/>
    <w:rsid w:val="00CA7EF1"/>
    <w:rsid w:val="00CB05CE"/>
    <w:rsid w:val="00CB08CB"/>
    <w:rsid w:val="00CB0B61"/>
    <w:rsid w:val="00CB248A"/>
    <w:rsid w:val="00CB26C8"/>
    <w:rsid w:val="00CB2758"/>
    <w:rsid w:val="00CB2945"/>
    <w:rsid w:val="00CB2BEA"/>
    <w:rsid w:val="00CB4B27"/>
    <w:rsid w:val="00CB521C"/>
    <w:rsid w:val="00CB5727"/>
    <w:rsid w:val="00CB5DB8"/>
    <w:rsid w:val="00CB62AA"/>
    <w:rsid w:val="00CB742D"/>
    <w:rsid w:val="00CB773C"/>
    <w:rsid w:val="00CB7BA0"/>
    <w:rsid w:val="00CC0501"/>
    <w:rsid w:val="00CC056B"/>
    <w:rsid w:val="00CC0982"/>
    <w:rsid w:val="00CC14AD"/>
    <w:rsid w:val="00CC1FFB"/>
    <w:rsid w:val="00CC2E07"/>
    <w:rsid w:val="00CC34F6"/>
    <w:rsid w:val="00CC4099"/>
    <w:rsid w:val="00CC52A3"/>
    <w:rsid w:val="00CC61FD"/>
    <w:rsid w:val="00CC67FD"/>
    <w:rsid w:val="00CC6DB6"/>
    <w:rsid w:val="00CC77FB"/>
    <w:rsid w:val="00CC7D97"/>
    <w:rsid w:val="00CC7FA3"/>
    <w:rsid w:val="00CC7FF0"/>
    <w:rsid w:val="00CD082F"/>
    <w:rsid w:val="00CD274F"/>
    <w:rsid w:val="00CD2EC8"/>
    <w:rsid w:val="00CD2F4C"/>
    <w:rsid w:val="00CD32C2"/>
    <w:rsid w:val="00CD3F32"/>
    <w:rsid w:val="00CD4FF0"/>
    <w:rsid w:val="00CD502A"/>
    <w:rsid w:val="00CD52BC"/>
    <w:rsid w:val="00CD5451"/>
    <w:rsid w:val="00CD56CA"/>
    <w:rsid w:val="00CD67FE"/>
    <w:rsid w:val="00CD6E13"/>
    <w:rsid w:val="00CD7521"/>
    <w:rsid w:val="00CD7B9C"/>
    <w:rsid w:val="00CE0235"/>
    <w:rsid w:val="00CE0A97"/>
    <w:rsid w:val="00CE14DA"/>
    <w:rsid w:val="00CE3098"/>
    <w:rsid w:val="00CE3550"/>
    <w:rsid w:val="00CE42CD"/>
    <w:rsid w:val="00CE441E"/>
    <w:rsid w:val="00CE4553"/>
    <w:rsid w:val="00CE49E5"/>
    <w:rsid w:val="00CE4B3F"/>
    <w:rsid w:val="00CE4EC7"/>
    <w:rsid w:val="00CE6138"/>
    <w:rsid w:val="00CE6D5F"/>
    <w:rsid w:val="00CE7A83"/>
    <w:rsid w:val="00CF0C45"/>
    <w:rsid w:val="00CF0FEF"/>
    <w:rsid w:val="00CF16A5"/>
    <w:rsid w:val="00CF1AA4"/>
    <w:rsid w:val="00CF1C4D"/>
    <w:rsid w:val="00CF2AC4"/>
    <w:rsid w:val="00CF3915"/>
    <w:rsid w:val="00CF40AE"/>
    <w:rsid w:val="00CF42DA"/>
    <w:rsid w:val="00CF5328"/>
    <w:rsid w:val="00CF6F3E"/>
    <w:rsid w:val="00CF78C3"/>
    <w:rsid w:val="00CF7E21"/>
    <w:rsid w:val="00D00977"/>
    <w:rsid w:val="00D0119E"/>
    <w:rsid w:val="00D0171F"/>
    <w:rsid w:val="00D01BD8"/>
    <w:rsid w:val="00D02AEE"/>
    <w:rsid w:val="00D03176"/>
    <w:rsid w:val="00D046E4"/>
    <w:rsid w:val="00D04BDB"/>
    <w:rsid w:val="00D054BD"/>
    <w:rsid w:val="00D05B2D"/>
    <w:rsid w:val="00D071F6"/>
    <w:rsid w:val="00D07804"/>
    <w:rsid w:val="00D079A7"/>
    <w:rsid w:val="00D103A4"/>
    <w:rsid w:val="00D10BA1"/>
    <w:rsid w:val="00D10DD5"/>
    <w:rsid w:val="00D11B0D"/>
    <w:rsid w:val="00D120EE"/>
    <w:rsid w:val="00D1214F"/>
    <w:rsid w:val="00D13940"/>
    <w:rsid w:val="00D13ADC"/>
    <w:rsid w:val="00D13C2B"/>
    <w:rsid w:val="00D13FA6"/>
    <w:rsid w:val="00D14086"/>
    <w:rsid w:val="00D14637"/>
    <w:rsid w:val="00D149CD"/>
    <w:rsid w:val="00D14CA0"/>
    <w:rsid w:val="00D15724"/>
    <w:rsid w:val="00D15EB3"/>
    <w:rsid w:val="00D161AE"/>
    <w:rsid w:val="00D1622A"/>
    <w:rsid w:val="00D163D7"/>
    <w:rsid w:val="00D169D8"/>
    <w:rsid w:val="00D16BC7"/>
    <w:rsid w:val="00D17886"/>
    <w:rsid w:val="00D202F1"/>
    <w:rsid w:val="00D206FF"/>
    <w:rsid w:val="00D2114D"/>
    <w:rsid w:val="00D21598"/>
    <w:rsid w:val="00D22175"/>
    <w:rsid w:val="00D2256D"/>
    <w:rsid w:val="00D225F9"/>
    <w:rsid w:val="00D226D8"/>
    <w:rsid w:val="00D239DC"/>
    <w:rsid w:val="00D23A20"/>
    <w:rsid w:val="00D23E32"/>
    <w:rsid w:val="00D243FA"/>
    <w:rsid w:val="00D24475"/>
    <w:rsid w:val="00D24629"/>
    <w:rsid w:val="00D24AD6"/>
    <w:rsid w:val="00D24C72"/>
    <w:rsid w:val="00D2531A"/>
    <w:rsid w:val="00D25665"/>
    <w:rsid w:val="00D257E0"/>
    <w:rsid w:val="00D258B5"/>
    <w:rsid w:val="00D25CF0"/>
    <w:rsid w:val="00D26AE8"/>
    <w:rsid w:val="00D27815"/>
    <w:rsid w:val="00D3018F"/>
    <w:rsid w:val="00D30D59"/>
    <w:rsid w:val="00D312B3"/>
    <w:rsid w:val="00D31672"/>
    <w:rsid w:val="00D3168E"/>
    <w:rsid w:val="00D320A4"/>
    <w:rsid w:val="00D3313D"/>
    <w:rsid w:val="00D3376D"/>
    <w:rsid w:val="00D34EE1"/>
    <w:rsid w:val="00D34EED"/>
    <w:rsid w:val="00D35A5B"/>
    <w:rsid w:val="00D36259"/>
    <w:rsid w:val="00D36314"/>
    <w:rsid w:val="00D36A2B"/>
    <w:rsid w:val="00D37C02"/>
    <w:rsid w:val="00D37E5C"/>
    <w:rsid w:val="00D40205"/>
    <w:rsid w:val="00D406B8"/>
    <w:rsid w:val="00D40B44"/>
    <w:rsid w:val="00D4206F"/>
    <w:rsid w:val="00D420BF"/>
    <w:rsid w:val="00D4219D"/>
    <w:rsid w:val="00D42959"/>
    <w:rsid w:val="00D43942"/>
    <w:rsid w:val="00D43C01"/>
    <w:rsid w:val="00D43D5A"/>
    <w:rsid w:val="00D43DE6"/>
    <w:rsid w:val="00D45148"/>
    <w:rsid w:val="00D4579F"/>
    <w:rsid w:val="00D45BE8"/>
    <w:rsid w:val="00D46889"/>
    <w:rsid w:val="00D4720B"/>
    <w:rsid w:val="00D473B7"/>
    <w:rsid w:val="00D4751F"/>
    <w:rsid w:val="00D47F56"/>
    <w:rsid w:val="00D501D2"/>
    <w:rsid w:val="00D50544"/>
    <w:rsid w:val="00D5085F"/>
    <w:rsid w:val="00D50A8D"/>
    <w:rsid w:val="00D50B4D"/>
    <w:rsid w:val="00D50CA3"/>
    <w:rsid w:val="00D5161D"/>
    <w:rsid w:val="00D51965"/>
    <w:rsid w:val="00D52013"/>
    <w:rsid w:val="00D5216A"/>
    <w:rsid w:val="00D52283"/>
    <w:rsid w:val="00D5321A"/>
    <w:rsid w:val="00D53C9A"/>
    <w:rsid w:val="00D55748"/>
    <w:rsid w:val="00D559A1"/>
    <w:rsid w:val="00D55ADA"/>
    <w:rsid w:val="00D56CD3"/>
    <w:rsid w:val="00D57C11"/>
    <w:rsid w:val="00D602D1"/>
    <w:rsid w:val="00D603D4"/>
    <w:rsid w:val="00D607B6"/>
    <w:rsid w:val="00D61872"/>
    <w:rsid w:val="00D618A8"/>
    <w:rsid w:val="00D619EF"/>
    <w:rsid w:val="00D61B32"/>
    <w:rsid w:val="00D61D2F"/>
    <w:rsid w:val="00D62443"/>
    <w:rsid w:val="00D625D7"/>
    <w:rsid w:val="00D62874"/>
    <w:rsid w:val="00D62EF1"/>
    <w:rsid w:val="00D62FEB"/>
    <w:rsid w:val="00D632DF"/>
    <w:rsid w:val="00D63DA9"/>
    <w:rsid w:val="00D65A61"/>
    <w:rsid w:val="00D663BC"/>
    <w:rsid w:val="00D666C9"/>
    <w:rsid w:val="00D668DB"/>
    <w:rsid w:val="00D668FD"/>
    <w:rsid w:val="00D674E0"/>
    <w:rsid w:val="00D703F8"/>
    <w:rsid w:val="00D70D31"/>
    <w:rsid w:val="00D71BC2"/>
    <w:rsid w:val="00D72376"/>
    <w:rsid w:val="00D737B5"/>
    <w:rsid w:val="00D73B38"/>
    <w:rsid w:val="00D73D65"/>
    <w:rsid w:val="00D73D97"/>
    <w:rsid w:val="00D74711"/>
    <w:rsid w:val="00D7528F"/>
    <w:rsid w:val="00D753B5"/>
    <w:rsid w:val="00D75B23"/>
    <w:rsid w:val="00D76114"/>
    <w:rsid w:val="00D7616B"/>
    <w:rsid w:val="00D769BC"/>
    <w:rsid w:val="00D76D34"/>
    <w:rsid w:val="00D76F81"/>
    <w:rsid w:val="00D771D1"/>
    <w:rsid w:val="00D77402"/>
    <w:rsid w:val="00D777EA"/>
    <w:rsid w:val="00D80423"/>
    <w:rsid w:val="00D80AB3"/>
    <w:rsid w:val="00D80D0D"/>
    <w:rsid w:val="00D80E37"/>
    <w:rsid w:val="00D81869"/>
    <w:rsid w:val="00D81BEA"/>
    <w:rsid w:val="00D82003"/>
    <w:rsid w:val="00D82024"/>
    <w:rsid w:val="00D82496"/>
    <w:rsid w:val="00D82755"/>
    <w:rsid w:val="00D82784"/>
    <w:rsid w:val="00D8302A"/>
    <w:rsid w:val="00D83BBC"/>
    <w:rsid w:val="00D83E0A"/>
    <w:rsid w:val="00D847FC"/>
    <w:rsid w:val="00D84B77"/>
    <w:rsid w:val="00D85085"/>
    <w:rsid w:val="00D853A1"/>
    <w:rsid w:val="00D863EA"/>
    <w:rsid w:val="00D8762E"/>
    <w:rsid w:val="00D87F29"/>
    <w:rsid w:val="00D9000E"/>
    <w:rsid w:val="00D90866"/>
    <w:rsid w:val="00D90DC0"/>
    <w:rsid w:val="00D9142D"/>
    <w:rsid w:val="00D9283C"/>
    <w:rsid w:val="00D93C21"/>
    <w:rsid w:val="00D93D20"/>
    <w:rsid w:val="00D93FD8"/>
    <w:rsid w:val="00D93FE8"/>
    <w:rsid w:val="00D953B4"/>
    <w:rsid w:val="00D9608F"/>
    <w:rsid w:val="00D96482"/>
    <w:rsid w:val="00D96933"/>
    <w:rsid w:val="00D969B6"/>
    <w:rsid w:val="00D97050"/>
    <w:rsid w:val="00D973C4"/>
    <w:rsid w:val="00D97FFB"/>
    <w:rsid w:val="00DA02DE"/>
    <w:rsid w:val="00DA087B"/>
    <w:rsid w:val="00DA2F38"/>
    <w:rsid w:val="00DA3369"/>
    <w:rsid w:val="00DA344A"/>
    <w:rsid w:val="00DA3A3C"/>
    <w:rsid w:val="00DA415F"/>
    <w:rsid w:val="00DA4181"/>
    <w:rsid w:val="00DA4694"/>
    <w:rsid w:val="00DA4CD3"/>
    <w:rsid w:val="00DA4D61"/>
    <w:rsid w:val="00DA50EC"/>
    <w:rsid w:val="00DA5511"/>
    <w:rsid w:val="00DA5968"/>
    <w:rsid w:val="00DA5E36"/>
    <w:rsid w:val="00DA6841"/>
    <w:rsid w:val="00DA6B3D"/>
    <w:rsid w:val="00DA6FA1"/>
    <w:rsid w:val="00DA71C5"/>
    <w:rsid w:val="00DA737B"/>
    <w:rsid w:val="00DA74EA"/>
    <w:rsid w:val="00DA7859"/>
    <w:rsid w:val="00DA7B83"/>
    <w:rsid w:val="00DA7C8C"/>
    <w:rsid w:val="00DB04C8"/>
    <w:rsid w:val="00DB113C"/>
    <w:rsid w:val="00DB15DC"/>
    <w:rsid w:val="00DB1B48"/>
    <w:rsid w:val="00DB2047"/>
    <w:rsid w:val="00DB234D"/>
    <w:rsid w:val="00DB3C43"/>
    <w:rsid w:val="00DB4302"/>
    <w:rsid w:val="00DB4C1B"/>
    <w:rsid w:val="00DB4F32"/>
    <w:rsid w:val="00DB542D"/>
    <w:rsid w:val="00DB63C5"/>
    <w:rsid w:val="00DB6BE5"/>
    <w:rsid w:val="00DB79B4"/>
    <w:rsid w:val="00DB7C99"/>
    <w:rsid w:val="00DB7DC6"/>
    <w:rsid w:val="00DB7F3D"/>
    <w:rsid w:val="00DB7FA6"/>
    <w:rsid w:val="00DC035A"/>
    <w:rsid w:val="00DC0E51"/>
    <w:rsid w:val="00DC1750"/>
    <w:rsid w:val="00DC17FC"/>
    <w:rsid w:val="00DC1B6F"/>
    <w:rsid w:val="00DC2C09"/>
    <w:rsid w:val="00DC312C"/>
    <w:rsid w:val="00DC35EF"/>
    <w:rsid w:val="00DC40F2"/>
    <w:rsid w:val="00DC48FF"/>
    <w:rsid w:val="00DC5190"/>
    <w:rsid w:val="00DC51E2"/>
    <w:rsid w:val="00DC561C"/>
    <w:rsid w:val="00DC5E3B"/>
    <w:rsid w:val="00DC62D5"/>
    <w:rsid w:val="00DC63FB"/>
    <w:rsid w:val="00DD098C"/>
    <w:rsid w:val="00DD0BDA"/>
    <w:rsid w:val="00DD10A4"/>
    <w:rsid w:val="00DD1F9F"/>
    <w:rsid w:val="00DD2059"/>
    <w:rsid w:val="00DD233B"/>
    <w:rsid w:val="00DD2B9E"/>
    <w:rsid w:val="00DD3DF0"/>
    <w:rsid w:val="00DD3FBB"/>
    <w:rsid w:val="00DD4741"/>
    <w:rsid w:val="00DD7211"/>
    <w:rsid w:val="00DD76C5"/>
    <w:rsid w:val="00DD7C82"/>
    <w:rsid w:val="00DD7EFE"/>
    <w:rsid w:val="00DD7FF9"/>
    <w:rsid w:val="00DE002D"/>
    <w:rsid w:val="00DE0E3D"/>
    <w:rsid w:val="00DE105B"/>
    <w:rsid w:val="00DE12DE"/>
    <w:rsid w:val="00DE1AFF"/>
    <w:rsid w:val="00DE1C3F"/>
    <w:rsid w:val="00DE1D8F"/>
    <w:rsid w:val="00DE1F62"/>
    <w:rsid w:val="00DE253F"/>
    <w:rsid w:val="00DE39AC"/>
    <w:rsid w:val="00DE40B8"/>
    <w:rsid w:val="00DE42F1"/>
    <w:rsid w:val="00DE4CDC"/>
    <w:rsid w:val="00DE5306"/>
    <w:rsid w:val="00DE68F1"/>
    <w:rsid w:val="00DE7A40"/>
    <w:rsid w:val="00DE7B5D"/>
    <w:rsid w:val="00DE7CA4"/>
    <w:rsid w:val="00DF0AB7"/>
    <w:rsid w:val="00DF10EF"/>
    <w:rsid w:val="00DF117A"/>
    <w:rsid w:val="00DF23EF"/>
    <w:rsid w:val="00DF2C43"/>
    <w:rsid w:val="00DF34B7"/>
    <w:rsid w:val="00DF3A19"/>
    <w:rsid w:val="00DF4086"/>
    <w:rsid w:val="00DF4896"/>
    <w:rsid w:val="00DF49C6"/>
    <w:rsid w:val="00DF5308"/>
    <w:rsid w:val="00DF5356"/>
    <w:rsid w:val="00DF540E"/>
    <w:rsid w:val="00DF5A58"/>
    <w:rsid w:val="00DF5DBA"/>
    <w:rsid w:val="00DF6580"/>
    <w:rsid w:val="00DF7EAD"/>
    <w:rsid w:val="00E00102"/>
    <w:rsid w:val="00E003E6"/>
    <w:rsid w:val="00E0043B"/>
    <w:rsid w:val="00E00768"/>
    <w:rsid w:val="00E008F0"/>
    <w:rsid w:val="00E01263"/>
    <w:rsid w:val="00E01A89"/>
    <w:rsid w:val="00E01CA8"/>
    <w:rsid w:val="00E02573"/>
    <w:rsid w:val="00E0273D"/>
    <w:rsid w:val="00E037BE"/>
    <w:rsid w:val="00E0414C"/>
    <w:rsid w:val="00E04AD6"/>
    <w:rsid w:val="00E06035"/>
    <w:rsid w:val="00E067D3"/>
    <w:rsid w:val="00E06CCB"/>
    <w:rsid w:val="00E07680"/>
    <w:rsid w:val="00E10739"/>
    <w:rsid w:val="00E1078C"/>
    <w:rsid w:val="00E10C18"/>
    <w:rsid w:val="00E10E01"/>
    <w:rsid w:val="00E111A6"/>
    <w:rsid w:val="00E113F3"/>
    <w:rsid w:val="00E138F7"/>
    <w:rsid w:val="00E15A4E"/>
    <w:rsid w:val="00E1679E"/>
    <w:rsid w:val="00E168FE"/>
    <w:rsid w:val="00E204A7"/>
    <w:rsid w:val="00E209FC"/>
    <w:rsid w:val="00E20ECD"/>
    <w:rsid w:val="00E20FE5"/>
    <w:rsid w:val="00E212C9"/>
    <w:rsid w:val="00E215C6"/>
    <w:rsid w:val="00E230A8"/>
    <w:rsid w:val="00E235AF"/>
    <w:rsid w:val="00E24976"/>
    <w:rsid w:val="00E24D4F"/>
    <w:rsid w:val="00E24E4A"/>
    <w:rsid w:val="00E250FB"/>
    <w:rsid w:val="00E26405"/>
    <w:rsid w:val="00E26868"/>
    <w:rsid w:val="00E31A8E"/>
    <w:rsid w:val="00E31D2E"/>
    <w:rsid w:val="00E323C1"/>
    <w:rsid w:val="00E33A1A"/>
    <w:rsid w:val="00E33D80"/>
    <w:rsid w:val="00E3408A"/>
    <w:rsid w:val="00E34126"/>
    <w:rsid w:val="00E343C5"/>
    <w:rsid w:val="00E345BD"/>
    <w:rsid w:val="00E34D74"/>
    <w:rsid w:val="00E35FAE"/>
    <w:rsid w:val="00E3624D"/>
    <w:rsid w:val="00E36B09"/>
    <w:rsid w:val="00E373FE"/>
    <w:rsid w:val="00E3749D"/>
    <w:rsid w:val="00E375B3"/>
    <w:rsid w:val="00E37611"/>
    <w:rsid w:val="00E4048A"/>
    <w:rsid w:val="00E40523"/>
    <w:rsid w:val="00E4064B"/>
    <w:rsid w:val="00E40785"/>
    <w:rsid w:val="00E40A9C"/>
    <w:rsid w:val="00E4114F"/>
    <w:rsid w:val="00E4236F"/>
    <w:rsid w:val="00E42DDE"/>
    <w:rsid w:val="00E43115"/>
    <w:rsid w:val="00E43313"/>
    <w:rsid w:val="00E43E41"/>
    <w:rsid w:val="00E44004"/>
    <w:rsid w:val="00E440EE"/>
    <w:rsid w:val="00E44241"/>
    <w:rsid w:val="00E444A6"/>
    <w:rsid w:val="00E4498C"/>
    <w:rsid w:val="00E44D62"/>
    <w:rsid w:val="00E4514D"/>
    <w:rsid w:val="00E4571D"/>
    <w:rsid w:val="00E45C5A"/>
    <w:rsid w:val="00E46349"/>
    <w:rsid w:val="00E46956"/>
    <w:rsid w:val="00E47D80"/>
    <w:rsid w:val="00E506AE"/>
    <w:rsid w:val="00E51313"/>
    <w:rsid w:val="00E528EF"/>
    <w:rsid w:val="00E53B71"/>
    <w:rsid w:val="00E54B9D"/>
    <w:rsid w:val="00E54E6E"/>
    <w:rsid w:val="00E54F9B"/>
    <w:rsid w:val="00E55C8E"/>
    <w:rsid w:val="00E5792D"/>
    <w:rsid w:val="00E605A9"/>
    <w:rsid w:val="00E60E96"/>
    <w:rsid w:val="00E60FAC"/>
    <w:rsid w:val="00E61A76"/>
    <w:rsid w:val="00E61D57"/>
    <w:rsid w:val="00E61FE6"/>
    <w:rsid w:val="00E622D4"/>
    <w:rsid w:val="00E62B2E"/>
    <w:rsid w:val="00E631F3"/>
    <w:rsid w:val="00E63338"/>
    <w:rsid w:val="00E640DB"/>
    <w:rsid w:val="00E6440D"/>
    <w:rsid w:val="00E64521"/>
    <w:rsid w:val="00E64740"/>
    <w:rsid w:val="00E65E4C"/>
    <w:rsid w:val="00E663F9"/>
    <w:rsid w:val="00E666B3"/>
    <w:rsid w:val="00E666F0"/>
    <w:rsid w:val="00E66820"/>
    <w:rsid w:val="00E6688D"/>
    <w:rsid w:val="00E669A1"/>
    <w:rsid w:val="00E66CD8"/>
    <w:rsid w:val="00E66E51"/>
    <w:rsid w:val="00E67711"/>
    <w:rsid w:val="00E67D85"/>
    <w:rsid w:val="00E703D8"/>
    <w:rsid w:val="00E7089F"/>
    <w:rsid w:val="00E708C4"/>
    <w:rsid w:val="00E70981"/>
    <w:rsid w:val="00E71B47"/>
    <w:rsid w:val="00E723AD"/>
    <w:rsid w:val="00E7363E"/>
    <w:rsid w:val="00E739C0"/>
    <w:rsid w:val="00E73FFF"/>
    <w:rsid w:val="00E741FC"/>
    <w:rsid w:val="00E74652"/>
    <w:rsid w:val="00E7566A"/>
    <w:rsid w:val="00E76AAF"/>
    <w:rsid w:val="00E76AC6"/>
    <w:rsid w:val="00E76C6D"/>
    <w:rsid w:val="00E7704A"/>
    <w:rsid w:val="00E77448"/>
    <w:rsid w:val="00E775DA"/>
    <w:rsid w:val="00E80061"/>
    <w:rsid w:val="00E80353"/>
    <w:rsid w:val="00E82549"/>
    <w:rsid w:val="00E82CCC"/>
    <w:rsid w:val="00E83C6E"/>
    <w:rsid w:val="00E84391"/>
    <w:rsid w:val="00E8453A"/>
    <w:rsid w:val="00E84549"/>
    <w:rsid w:val="00E856BD"/>
    <w:rsid w:val="00E859B9"/>
    <w:rsid w:val="00E86A09"/>
    <w:rsid w:val="00E874FF"/>
    <w:rsid w:val="00E87855"/>
    <w:rsid w:val="00E908AB"/>
    <w:rsid w:val="00E9104F"/>
    <w:rsid w:val="00E91C10"/>
    <w:rsid w:val="00E91DDB"/>
    <w:rsid w:val="00E91F79"/>
    <w:rsid w:val="00E92511"/>
    <w:rsid w:val="00E927E9"/>
    <w:rsid w:val="00E92F6E"/>
    <w:rsid w:val="00E936FB"/>
    <w:rsid w:val="00E93A10"/>
    <w:rsid w:val="00E93DF0"/>
    <w:rsid w:val="00E93F6B"/>
    <w:rsid w:val="00E941B7"/>
    <w:rsid w:val="00E94375"/>
    <w:rsid w:val="00E94B40"/>
    <w:rsid w:val="00E94B7A"/>
    <w:rsid w:val="00E94C2F"/>
    <w:rsid w:val="00E95CD9"/>
    <w:rsid w:val="00E96DC5"/>
    <w:rsid w:val="00E976A7"/>
    <w:rsid w:val="00EA1C05"/>
    <w:rsid w:val="00EA1E7B"/>
    <w:rsid w:val="00EA2AC2"/>
    <w:rsid w:val="00EA30B9"/>
    <w:rsid w:val="00EA3AE4"/>
    <w:rsid w:val="00EA3C9B"/>
    <w:rsid w:val="00EA4295"/>
    <w:rsid w:val="00EA4624"/>
    <w:rsid w:val="00EA540D"/>
    <w:rsid w:val="00EA5569"/>
    <w:rsid w:val="00EA6A42"/>
    <w:rsid w:val="00EA6E23"/>
    <w:rsid w:val="00EB0A52"/>
    <w:rsid w:val="00EB1120"/>
    <w:rsid w:val="00EB13B4"/>
    <w:rsid w:val="00EB18AE"/>
    <w:rsid w:val="00EB1FF2"/>
    <w:rsid w:val="00EB3863"/>
    <w:rsid w:val="00EB3D7A"/>
    <w:rsid w:val="00EB406F"/>
    <w:rsid w:val="00EB46FE"/>
    <w:rsid w:val="00EB4CDF"/>
    <w:rsid w:val="00EB4DF8"/>
    <w:rsid w:val="00EB52FD"/>
    <w:rsid w:val="00EB5B88"/>
    <w:rsid w:val="00EB666E"/>
    <w:rsid w:val="00EC0CE0"/>
    <w:rsid w:val="00EC15D3"/>
    <w:rsid w:val="00EC1AC4"/>
    <w:rsid w:val="00EC1E37"/>
    <w:rsid w:val="00EC2B43"/>
    <w:rsid w:val="00EC35B6"/>
    <w:rsid w:val="00EC469C"/>
    <w:rsid w:val="00EC54FB"/>
    <w:rsid w:val="00EC5816"/>
    <w:rsid w:val="00EC6BA5"/>
    <w:rsid w:val="00EC6DD4"/>
    <w:rsid w:val="00EC6F97"/>
    <w:rsid w:val="00EC7368"/>
    <w:rsid w:val="00EC7794"/>
    <w:rsid w:val="00EC7F99"/>
    <w:rsid w:val="00ED0125"/>
    <w:rsid w:val="00ED02C5"/>
    <w:rsid w:val="00ED0A9F"/>
    <w:rsid w:val="00ED0B31"/>
    <w:rsid w:val="00ED0C2B"/>
    <w:rsid w:val="00ED1877"/>
    <w:rsid w:val="00ED2E51"/>
    <w:rsid w:val="00ED452C"/>
    <w:rsid w:val="00ED4678"/>
    <w:rsid w:val="00ED4C81"/>
    <w:rsid w:val="00ED6838"/>
    <w:rsid w:val="00ED6EBE"/>
    <w:rsid w:val="00ED75E4"/>
    <w:rsid w:val="00ED77DF"/>
    <w:rsid w:val="00EE0125"/>
    <w:rsid w:val="00EE047C"/>
    <w:rsid w:val="00EE089A"/>
    <w:rsid w:val="00EE0D30"/>
    <w:rsid w:val="00EE1B8E"/>
    <w:rsid w:val="00EE222B"/>
    <w:rsid w:val="00EE2246"/>
    <w:rsid w:val="00EE280F"/>
    <w:rsid w:val="00EE2A64"/>
    <w:rsid w:val="00EE2B9E"/>
    <w:rsid w:val="00EE3514"/>
    <w:rsid w:val="00EE3740"/>
    <w:rsid w:val="00EE3A78"/>
    <w:rsid w:val="00EE3AC0"/>
    <w:rsid w:val="00EE3DEB"/>
    <w:rsid w:val="00EE435C"/>
    <w:rsid w:val="00EE4922"/>
    <w:rsid w:val="00EE4B02"/>
    <w:rsid w:val="00EE4C69"/>
    <w:rsid w:val="00EE4E76"/>
    <w:rsid w:val="00EE522D"/>
    <w:rsid w:val="00EE52C8"/>
    <w:rsid w:val="00EE5959"/>
    <w:rsid w:val="00EE62A5"/>
    <w:rsid w:val="00EE6326"/>
    <w:rsid w:val="00EE65A2"/>
    <w:rsid w:val="00EE6B5E"/>
    <w:rsid w:val="00EE7C4D"/>
    <w:rsid w:val="00EE7CA6"/>
    <w:rsid w:val="00EF06BE"/>
    <w:rsid w:val="00EF0BD6"/>
    <w:rsid w:val="00EF0D55"/>
    <w:rsid w:val="00EF0EB5"/>
    <w:rsid w:val="00EF0FD8"/>
    <w:rsid w:val="00EF1206"/>
    <w:rsid w:val="00EF1A6A"/>
    <w:rsid w:val="00EF2135"/>
    <w:rsid w:val="00EF41C0"/>
    <w:rsid w:val="00EF6530"/>
    <w:rsid w:val="00EF6833"/>
    <w:rsid w:val="00EF7810"/>
    <w:rsid w:val="00EF7ABA"/>
    <w:rsid w:val="00EF7ED4"/>
    <w:rsid w:val="00F02D63"/>
    <w:rsid w:val="00F02E7C"/>
    <w:rsid w:val="00F031C4"/>
    <w:rsid w:val="00F03486"/>
    <w:rsid w:val="00F03500"/>
    <w:rsid w:val="00F03F29"/>
    <w:rsid w:val="00F044E2"/>
    <w:rsid w:val="00F04790"/>
    <w:rsid w:val="00F04E3A"/>
    <w:rsid w:val="00F06112"/>
    <w:rsid w:val="00F06390"/>
    <w:rsid w:val="00F0648D"/>
    <w:rsid w:val="00F06ACB"/>
    <w:rsid w:val="00F06C1A"/>
    <w:rsid w:val="00F06E1D"/>
    <w:rsid w:val="00F07087"/>
    <w:rsid w:val="00F07A52"/>
    <w:rsid w:val="00F10AE2"/>
    <w:rsid w:val="00F10DD3"/>
    <w:rsid w:val="00F1107B"/>
    <w:rsid w:val="00F11295"/>
    <w:rsid w:val="00F114ED"/>
    <w:rsid w:val="00F11611"/>
    <w:rsid w:val="00F11BAC"/>
    <w:rsid w:val="00F12486"/>
    <w:rsid w:val="00F124AA"/>
    <w:rsid w:val="00F12508"/>
    <w:rsid w:val="00F149B7"/>
    <w:rsid w:val="00F14BA8"/>
    <w:rsid w:val="00F14C3F"/>
    <w:rsid w:val="00F1529F"/>
    <w:rsid w:val="00F15307"/>
    <w:rsid w:val="00F153EF"/>
    <w:rsid w:val="00F1590C"/>
    <w:rsid w:val="00F16318"/>
    <w:rsid w:val="00F165ED"/>
    <w:rsid w:val="00F16DBB"/>
    <w:rsid w:val="00F17572"/>
    <w:rsid w:val="00F20E44"/>
    <w:rsid w:val="00F212BF"/>
    <w:rsid w:val="00F21CCB"/>
    <w:rsid w:val="00F220A9"/>
    <w:rsid w:val="00F22E5D"/>
    <w:rsid w:val="00F232BE"/>
    <w:rsid w:val="00F234BC"/>
    <w:rsid w:val="00F2570F"/>
    <w:rsid w:val="00F25811"/>
    <w:rsid w:val="00F25E58"/>
    <w:rsid w:val="00F26077"/>
    <w:rsid w:val="00F26EE1"/>
    <w:rsid w:val="00F2704D"/>
    <w:rsid w:val="00F272FC"/>
    <w:rsid w:val="00F30241"/>
    <w:rsid w:val="00F31044"/>
    <w:rsid w:val="00F31C90"/>
    <w:rsid w:val="00F31EB7"/>
    <w:rsid w:val="00F3229C"/>
    <w:rsid w:val="00F32536"/>
    <w:rsid w:val="00F3299C"/>
    <w:rsid w:val="00F343BF"/>
    <w:rsid w:val="00F34CBC"/>
    <w:rsid w:val="00F34F9F"/>
    <w:rsid w:val="00F35027"/>
    <w:rsid w:val="00F35718"/>
    <w:rsid w:val="00F35EB2"/>
    <w:rsid w:val="00F368D8"/>
    <w:rsid w:val="00F36BEE"/>
    <w:rsid w:val="00F374B8"/>
    <w:rsid w:val="00F40276"/>
    <w:rsid w:val="00F40B2C"/>
    <w:rsid w:val="00F4135C"/>
    <w:rsid w:val="00F41F46"/>
    <w:rsid w:val="00F423FF"/>
    <w:rsid w:val="00F42865"/>
    <w:rsid w:val="00F429BC"/>
    <w:rsid w:val="00F43067"/>
    <w:rsid w:val="00F431C2"/>
    <w:rsid w:val="00F43C56"/>
    <w:rsid w:val="00F4414A"/>
    <w:rsid w:val="00F441BF"/>
    <w:rsid w:val="00F44833"/>
    <w:rsid w:val="00F45F8F"/>
    <w:rsid w:val="00F4646F"/>
    <w:rsid w:val="00F46A52"/>
    <w:rsid w:val="00F476D6"/>
    <w:rsid w:val="00F47B51"/>
    <w:rsid w:val="00F47F3B"/>
    <w:rsid w:val="00F501E2"/>
    <w:rsid w:val="00F507BE"/>
    <w:rsid w:val="00F50F2C"/>
    <w:rsid w:val="00F5122B"/>
    <w:rsid w:val="00F515E7"/>
    <w:rsid w:val="00F5317D"/>
    <w:rsid w:val="00F54196"/>
    <w:rsid w:val="00F541E3"/>
    <w:rsid w:val="00F5475A"/>
    <w:rsid w:val="00F54C6B"/>
    <w:rsid w:val="00F55026"/>
    <w:rsid w:val="00F55A62"/>
    <w:rsid w:val="00F56408"/>
    <w:rsid w:val="00F565AD"/>
    <w:rsid w:val="00F56CA1"/>
    <w:rsid w:val="00F57421"/>
    <w:rsid w:val="00F575B8"/>
    <w:rsid w:val="00F60593"/>
    <w:rsid w:val="00F60944"/>
    <w:rsid w:val="00F60EAF"/>
    <w:rsid w:val="00F6183E"/>
    <w:rsid w:val="00F6208B"/>
    <w:rsid w:val="00F62505"/>
    <w:rsid w:val="00F656D1"/>
    <w:rsid w:val="00F65F46"/>
    <w:rsid w:val="00F704AA"/>
    <w:rsid w:val="00F7081E"/>
    <w:rsid w:val="00F708D0"/>
    <w:rsid w:val="00F70E7B"/>
    <w:rsid w:val="00F71313"/>
    <w:rsid w:val="00F717EA"/>
    <w:rsid w:val="00F73708"/>
    <w:rsid w:val="00F73BC3"/>
    <w:rsid w:val="00F741B3"/>
    <w:rsid w:val="00F74D51"/>
    <w:rsid w:val="00F750FE"/>
    <w:rsid w:val="00F75A9C"/>
    <w:rsid w:val="00F766A3"/>
    <w:rsid w:val="00F766BB"/>
    <w:rsid w:val="00F76B23"/>
    <w:rsid w:val="00F77537"/>
    <w:rsid w:val="00F77DE5"/>
    <w:rsid w:val="00F807BA"/>
    <w:rsid w:val="00F80AF4"/>
    <w:rsid w:val="00F81040"/>
    <w:rsid w:val="00F81354"/>
    <w:rsid w:val="00F813D3"/>
    <w:rsid w:val="00F81E2A"/>
    <w:rsid w:val="00F8275A"/>
    <w:rsid w:val="00F8333E"/>
    <w:rsid w:val="00F834AD"/>
    <w:rsid w:val="00F83D99"/>
    <w:rsid w:val="00F8446B"/>
    <w:rsid w:val="00F84F13"/>
    <w:rsid w:val="00F8518A"/>
    <w:rsid w:val="00F852C6"/>
    <w:rsid w:val="00F8590B"/>
    <w:rsid w:val="00F86632"/>
    <w:rsid w:val="00F86EB2"/>
    <w:rsid w:val="00F86FB1"/>
    <w:rsid w:val="00F86FF5"/>
    <w:rsid w:val="00F87307"/>
    <w:rsid w:val="00F8754F"/>
    <w:rsid w:val="00F87931"/>
    <w:rsid w:val="00F87BAB"/>
    <w:rsid w:val="00F90416"/>
    <w:rsid w:val="00F90E80"/>
    <w:rsid w:val="00F9159F"/>
    <w:rsid w:val="00F915C5"/>
    <w:rsid w:val="00F91A15"/>
    <w:rsid w:val="00F91B0A"/>
    <w:rsid w:val="00F93499"/>
    <w:rsid w:val="00F9366B"/>
    <w:rsid w:val="00F9559F"/>
    <w:rsid w:val="00F95748"/>
    <w:rsid w:val="00F96080"/>
    <w:rsid w:val="00F96209"/>
    <w:rsid w:val="00F974B4"/>
    <w:rsid w:val="00F97CB2"/>
    <w:rsid w:val="00F97FBE"/>
    <w:rsid w:val="00FA035C"/>
    <w:rsid w:val="00FA0826"/>
    <w:rsid w:val="00FA0B88"/>
    <w:rsid w:val="00FA0E9C"/>
    <w:rsid w:val="00FA10DC"/>
    <w:rsid w:val="00FA1133"/>
    <w:rsid w:val="00FA3E9F"/>
    <w:rsid w:val="00FA3ED5"/>
    <w:rsid w:val="00FA4116"/>
    <w:rsid w:val="00FA44A8"/>
    <w:rsid w:val="00FA4688"/>
    <w:rsid w:val="00FA49C7"/>
    <w:rsid w:val="00FA52C3"/>
    <w:rsid w:val="00FA5874"/>
    <w:rsid w:val="00FA5A2E"/>
    <w:rsid w:val="00FA5A50"/>
    <w:rsid w:val="00FA6169"/>
    <w:rsid w:val="00FA65C1"/>
    <w:rsid w:val="00FA6776"/>
    <w:rsid w:val="00FA6A76"/>
    <w:rsid w:val="00FA6C53"/>
    <w:rsid w:val="00FA7458"/>
    <w:rsid w:val="00FA7468"/>
    <w:rsid w:val="00FA74B0"/>
    <w:rsid w:val="00FA78C6"/>
    <w:rsid w:val="00FB16D1"/>
    <w:rsid w:val="00FB1BCF"/>
    <w:rsid w:val="00FB22D3"/>
    <w:rsid w:val="00FB2912"/>
    <w:rsid w:val="00FB2F03"/>
    <w:rsid w:val="00FB328E"/>
    <w:rsid w:val="00FB3F5F"/>
    <w:rsid w:val="00FB4305"/>
    <w:rsid w:val="00FB437C"/>
    <w:rsid w:val="00FB5107"/>
    <w:rsid w:val="00FB5316"/>
    <w:rsid w:val="00FB55F6"/>
    <w:rsid w:val="00FB5D33"/>
    <w:rsid w:val="00FB5D6F"/>
    <w:rsid w:val="00FB689A"/>
    <w:rsid w:val="00FB6E15"/>
    <w:rsid w:val="00FB6E7B"/>
    <w:rsid w:val="00FB6F5B"/>
    <w:rsid w:val="00FB7954"/>
    <w:rsid w:val="00FB7D7B"/>
    <w:rsid w:val="00FC0675"/>
    <w:rsid w:val="00FC1332"/>
    <w:rsid w:val="00FC1AFE"/>
    <w:rsid w:val="00FC2380"/>
    <w:rsid w:val="00FC37E7"/>
    <w:rsid w:val="00FC3BDA"/>
    <w:rsid w:val="00FC4596"/>
    <w:rsid w:val="00FC5262"/>
    <w:rsid w:val="00FC60F4"/>
    <w:rsid w:val="00FC6949"/>
    <w:rsid w:val="00FC69B9"/>
    <w:rsid w:val="00FC6E76"/>
    <w:rsid w:val="00FC7C60"/>
    <w:rsid w:val="00FC7D3C"/>
    <w:rsid w:val="00FD0DB3"/>
    <w:rsid w:val="00FD0E70"/>
    <w:rsid w:val="00FD1275"/>
    <w:rsid w:val="00FD1A72"/>
    <w:rsid w:val="00FD2E28"/>
    <w:rsid w:val="00FD33A3"/>
    <w:rsid w:val="00FD33A5"/>
    <w:rsid w:val="00FD446C"/>
    <w:rsid w:val="00FD5F71"/>
    <w:rsid w:val="00FD6345"/>
    <w:rsid w:val="00FD65C4"/>
    <w:rsid w:val="00FE063A"/>
    <w:rsid w:val="00FE0D22"/>
    <w:rsid w:val="00FE0DCE"/>
    <w:rsid w:val="00FE138E"/>
    <w:rsid w:val="00FE1643"/>
    <w:rsid w:val="00FE22BD"/>
    <w:rsid w:val="00FE2C46"/>
    <w:rsid w:val="00FE2D32"/>
    <w:rsid w:val="00FE2F58"/>
    <w:rsid w:val="00FE30C4"/>
    <w:rsid w:val="00FE3858"/>
    <w:rsid w:val="00FE3A80"/>
    <w:rsid w:val="00FE3B79"/>
    <w:rsid w:val="00FE3D7D"/>
    <w:rsid w:val="00FE6A7C"/>
    <w:rsid w:val="00FE6B8A"/>
    <w:rsid w:val="00FF03F2"/>
    <w:rsid w:val="00FF054E"/>
    <w:rsid w:val="00FF19C2"/>
    <w:rsid w:val="00FF1BA6"/>
    <w:rsid w:val="00FF24FB"/>
    <w:rsid w:val="00FF2CDE"/>
    <w:rsid w:val="00FF2D5B"/>
    <w:rsid w:val="00FF31A5"/>
    <w:rsid w:val="00FF4B24"/>
    <w:rsid w:val="00FF50EE"/>
    <w:rsid w:val="00FF5151"/>
    <w:rsid w:val="00FF5A78"/>
    <w:rsid w:val="00FF5AB5"/>
    <w:rsid w:val="00FF61FC"/>
    <w:rsid w:val="00FF68CB"/>
    <w:rsid w:val="00FF6A9E"/>
    <w:rsid w:val="00FF7185"/>
    <w:rsid w:val="00FF7271"/>
    <w:rsid w:val="00FF77E8"/>
    <w:rsid w:val="00FF7B5F"/>
    <w:rsid w:val="0157150B"/>
    <w:rsid w:val="02073628"/>
    <w:rsid w:val="025728BD"/>
    <w:rsid w:val="025C4D0D"/>
    <w:rsid w:val="02BD2230"/>
    <w:rsid w:val="02FB17F1"/>
    <w:rsid w:val="033D0455"/>
    <w:rsid w:val="036B1FE3"/>
    <w:rsid w:val="037A46CB"/>
    <w:rsid w:val="03D7499B"/>
    <w:rsid w:val="05410A32"/>
    <w:rsid w:val="05495925"/>
    <w:rsid w:val="057C0907"/>
    <w:rsid w:val="05C920E4"/>
    <w:rsid w:val="06287430"/>
    <w:rsid w:val="068B341A"/>
    <w:rsid w:val="06AC080C"/>
    <w:rsid w:val="06C6436E"/>
    <w:rsid w:val="06F13186"/>
    <w:rsid w:val="074A44BA"/>
    <w:rsid w:val="07787F78"/>
    <w:rsid w:val="080B2E72"/>
    <w:rsid w:val="08E5778F"/>
    <w:rsid w:val="09C753D3"/>
    <w:rsid w:val="09D368E7"/>
    <w:rsid w:val="09D538A4"/>
    <w:rsid w:val="0A0F7213"/>
    <w:rsid w:val="0AA46987"/>
    <w:rsid w:val="0AFF764A"/>
    <w:rsid w:val="0B2D798C"/>
    <w:rsid w:val="0BC10E42"/>
    <w:rsid w:val="0C5E05EE"/>
    <w:rsid w:val="0C6505D6"/>
    <w:rsid w:val="0C8F6209"/>
    <w:rsid w:val="0D437899"/>
    <w:rsid w:val="0DB70EBD"/>
    <w:rsid w:val="0E8858DA"/>
    <w:rsid w:val="0E9618CC"/>
    <w:rsid w:val="0EA34BF3"/>
    <w:rsid w:val="0EAA1DF5"/>
    <w:rsid w:val="0FE8027F"/>
    <w:rsid w:val="0FEF7271"/>
    <w:rsid w:val="103C6D5A"/>
    <w:rsid w:val="10F81D47"/>
    <w:rsid w:val="110F5F39"/>
    <w:rsid w:val="125E2082"/>
    <w:rsid w:val="128C737A"/>
    <w:rsid w:val="131B6841"/>
    <w:rsid w:val="132D6B7B"/>
    <w:rsid w:val="142622D6"/>
    <w:rsid w:val="14793DFD"/>
    <w:rsid w:val="14A43A96"/>
    <w:rsid w:val="14C918CA"/>
    <w:rsid w:val="1523426C"/>
    <w:rsid w:val="15A515F4"/>
    <w:rsid w:val="15CB2C05"/>
    <w:rsid w:val="160B469F"/>
    <w:rsid w:val="168261AD"/>
    <w:rsid w:val="169B0C49"/>
    <w:rsid w:val="173F68E4"/>
    <w:rsid w:val="174624C0"/>
    <w:rsid w:val="176F1AE5"/>
    <w:rsid w:val="178A36CF"/>
    <w:rsid w:val="17B07EE4"/>
    <w:rsid w:val="18102A7A"/>
    <w:rsid w:val="18241B2B"/>
    <w:rsid w:val="18413C00"/>
    <w:rsid w:val="1888226F"/>
    <w:rsid w:val="189860B1"/>
    <w:rsid w:val="1899531F"/>
    <w:rsid w:val="18A83C69"/>
    <w:rsid w:val="18EE4BAE"/>
    <w:rsid w:val="192B1DDC"/>
    <w:rsid w:val="19CF74F8"/>
    <w:rsid w:val="1A827BFA"/>
    <w:rsid w:val="1A966384"/>
    <w:rsid w:val="1AFC6A79"/>
    <w:rsid w:val="1B89029B"/>
    <w:rsid w:val="1BB87128"/>
    <w:rsid w:val="1BEF6B50"/>
    <w:rsid w:val="1C670B81"/>
    <w:rsid w:val="1D523A52"/>
    <w:rsid w:val="1D526D56"/>
    <w:rsid w:val="1D5F065A"/>
    <w:rsid w:val="1DAD1E55"/>
    <w:rsid w:val="1DBA3029"/>
    <w:rsid w:val="1DED1AA6"/>
    <w:rsid w:val="1E1F5A59"/>
    <w:rsid w:val="1E6B4064"/>
    <w:rsid w:val="1EC6582E"/>
    <w:rsid w:val="1ED43296"/>
    <w:rsid w:val="1F2F0EE2"/>
    <w:rsid w:val="1FA63AC9"/>
    <w:rsid w:val="1FC1335C"/>
    <w:rsid w:val="1FD56993"/>
    <w:rsid w:val="1FEA0822"/>
    <w:rsid w:val="1FEF0CEC"/>
    <w:rsid w:val="200611BA"/>
    <w:rsid w:val="20B23BED"/>
    <w:rsid w:val="20F229A2"/>
    <w:rsid w:val="214E485F"/>
    <w:rsid w:val="216F6920"/>
    <w:rsid w:val="21A20C40"/>
    <w:rsid w:val="2220778E"/>
    <w:rsid w:val="2276023A"/>
    <w:rsid w:val="22B414C1"/>
    <w:rsid w:val="22C10155"/>
    <w:rsid w:val="22EC0ABB"/>
    <w:rsid w:val="22FE0208"/>
    <w:rsid w:val="237A6045"/>
    <w:rsid w:val="24090673"/>
    <w:rsid w:val="24694980"/>
    <w:rsid w:val="249271EB"/>
    <w:rsid w:val="24D14A08"/>
    <w:rsid w:val="24FF38EE"/>
    <w:rsid w:val="25397E54"/>
    <w:rsid w:val="25875CF6"/>
    <w:rsid w:val="25D852C1"/>
    <w:rsid w:val="26302DC7"/>
    <w:rsid w:val="268C6107"/>
    <w:rsid w:val="26DA71CE"/>
    <w:rsid w:val="273D6B55"/>
    <w:rsid w:val="27EF573E"/>
    <w:rsid w:val="28AE35F1"/>
    <w:rsid w:val="28E2586D"/>
    <w:rsid w:val="29FF726A"/>
    <w:rsid w:val="2A3353AC"/>
    <w:rsid w:val="2A5576D8"/>
    <w:rsid w:val="2AF74800"/>
    <w:rsid w:val="2AF941C5"/>
    <w:rsid w:val="2B814E1B"/>
    <w:rsid w:val="2B825CC0"/>
    <w:rsid w:val="2BC9518B"/>
    <w:rsid w:val="2C7164D0"/>
    <w:rsid w:val="2D2B3EFC"/>
    <w:rsid w:val="2DDD048E"/>
    <w:rsid w:val="2E011306"/>
    <w:rsid w:val="2E781511"/>
    <w:rsid w:val="2E994C23"/>
    <w:rsid w:val="2EC36EC6"/>
    <w:rsid w:val="2F125EC3"/>
    <w:rsid w:val="2F2D52F8"/>
    <w:rsid w:val="2F6904A7"/>
    <w:rsid w:val="2F6F6F32"/>
    <w:rsid w:val="2FED17FC"/>
    <w:rsid w:val="309F26F9"/>
    <w:rsid w:val="31372D16"/>
    <w:rsid w:val="31813BF2"/>
    <w:rsid w:val="31952DA8"/>
    <w:rsid w:val="31DA2596"/>
    <w:rsid w:val="32A74610"/>
    <w:rsid w:val="33392E5C"/>
    <w:rsid w:val="334A4F16"/>
    <w:rsid w:val="3389258D"/>
    <w:rsid w:val="33A24F98"/>
    <w:rsid w:val="34471D44"/>
    <w:rsid w:val="3452456F"/>
    <w:rsid w:val="34873E29"/>
    <w:rsid w:val="34A949AA"/>
    <w:rsid w:val="35000AAC"/>
    <w:rsid w:val="352407AB"/>
    <w:rsid w:val="353A7F09"/>
    <w:rsid w:val="35E211C4"/>
    <w:rsid w:val="35FC5DC9"/>
    <w:rsid w:val="3604601A"/>
    <w:rsid w:val="366253F9"/>
    <w:rsid w:val="36F3395F"/>
    <w:rsid w:val="373970AD"/>
    <w:rsid w:val="381148DB"/>
    <w:rsid w:val="38141791"/>
    <w:rsid w:val="384748FE"/>
    <w:rsid w:val="38551496"/>
    <w:rsid w:val="38887329"/>
    <w:rsid w:val="38A15A35"/>
    <w:rsid w:val="38A479DD"/>
    <w:rsid w:val="38D6213D"/>
    <w:rsid w:val="392527B0"/>
    <w:rsid w:val="39C3689A"/>
    <w:rsid w:val="39D94A99"/>
    <w:rsid w:val="39DA28BA"/>
    <w:rsid w:val="3A092A82"/>
    <w:rsid w:val="3A5819A5"/>
    <w:rsid w:val="3A694CFA"/>
    <w:rsid w:val="3B276A32"/>
    <w:rsid w:val="3B742942"/>
    <w:rsid w:val="3C08435F"/>
    <w:rsid w:val="3C10793A"/>
    <w:rsid w:val="3C23378E"/>
    <w:rsid w:val="3C324279"/>
    <w:rsid w:val="3C8B1B77"/>
    <w:rsid w:val="3CB51CB4"/>
    <w:rsid w:val="3CC60A72"/>
    <w:rsid w:val="3CDD00E4"/>
    <w:rsid w:val="3D0834BD"/>
    <w:rsid w:val="3D5E6E83"/>
    <w:rsid w:val="3D997608"/>
    <w:rsid w:val="3DF6165A"/>
    <w:rsid w:val="3E7C35AB"/>
    <w:rsid w:val="3E816C4F"/>
    <w:rsid w:val="3EA32E3D"/>
    <w:rsid w:val="3EFE73B3"/>
    <w:rsid w:val="3F0C378D"/>
    <w:rsid w:val="3F7A1A16"/>
    <w:rsid w:val="3FB262AD"/>
    <w:rsid w:val="400F29D5"/>
    <w:rsid w:val="407B5121"/>
    <w:rsid w:val="40AC3A88"/>
    <w:rsid w:val="415221E1"/>
    <w:rsid w:val="41572FE4"/>
    <w:rsid w:val="416A4D1D"/>
    <w:rsid w:val="41C70D76"/>
    <w:rsid w:val="41EE6137"/>
    <w:rsid w:val="41F26F7E"/>
    <w:rsid w:val="424756DA"/>
    <w:rsid w:val="42FA6CE3"/>
    <w:rsid w:val="43654793"/>
    <w:rsid w:val="43B64843"/>
    <w:rsid w:val="43E37D75"/>
    <w:rsid w:val="44F913F1"/>
    <w:rsid w:val="44FF2E12"/>
    <w:rsid w:val="45006C59"/>
    <w:rsid w:val="452913C9"/>
    <w:rsid w:val="456E52CE"/>
    <w:rsid w:val="45BD5E20"/>
    <w:rsid w:val="461A79FE"/>
    <w:rsid w:val="46C005C5"/>
    <w:rsid w:val="46E4649F"/>
    <w:rsid w:val="47094697"/>
    <w:rsid w:val="473F1B46"/>
    <w:rsid w:val="476B69E3"/>
    <w:rsid w:val="47B24089"/>
    <w:rsid w:val="483D255E"/>
    <w:rsid w:val="48597E45"/>
    <w:rsid w:val="48A72238"/>
    <w:rsid w:val="49577FC9"/>
    <w:rsid w:val="497610BA"/>
    <w:rsid w:val="4994117A"/>
    <w:rsid w:val="49C36A40"/>
    <w:rsid w:val="4BB678A2"/>
    <w:rsid w:val="4BB94472"/>
    <w:rsid w:val="4BE83EBD"/>
    <w:rsid w:val="4C162924"/>
    <w:rsid w:val="4C670169"/>
    <w:rsid w:val="4CAE4A1E"/>
    <w:rsid w:val="4CE47985"/>
    <w:rsid w:val="4D6F1545"/>
    <w:rsid w:val="4E061E47"/>
    <w:rsid w:val="4E54668B"/>
    <w:rsid w:val="4E83714D"/>
    <w:rsid w:val="4E91432C"/>
    <w:rsid w:val="500F28A6"/>
    <w:rsid w:val="50204A8F"/>
    <w:rsid w:val="50413B2E"/>
    <w:rsid w:val="50C873A7"/>
    <w:rsid w:val="50DD4ED7"/>
    <w:rsid w:val="51A42D97"/>
    <w:rsid w:val="51BD5BE1"/>
    <w:rsid w:val="51EC4766"/>
    <w:rsid w:val="5214683A"/>
    <w:rsid w:val="522441F0"/>
    <w:rsid w:val="52384C35"/>
    <w:rsid w:val="53592573"/>
    <w:rsid w:val="539F368D"/>
    <w:rsid w:val="54216EB5"/>
    <w:rsid w:val="547A7A84"/>
    <w:rsid w:val="5496079D"/>
    <w:rsid w:val="549A6AE7"/>
    <w:rsid w:val="54A241B9"/>
    <w:rsid w:val="553B208E"/>
    <w:rsid w:val="5552364F"/>
    <w:rsid w:val="56A4036E"/>
    <w:rsid w:val="57795BD2"/>
    <w:rsid w:val="57FE23D7"/>
    <w:rsid w:val="58207506"/>
    <w:rsid w:val="585C0C76"/>
    <w:rsid w:val="5877304C"/>
    <w:rsid w:val="59403878"/>
    <w:rsid w:val="59D7014B"/>
    <w:rsid w:val="5A6A1F8C"/>
    <w:rsid w:val="5AC265BA"/>
    <w:rsid w:val="5B1A798E"/>
    <w:rsid w:val="5B202B5A"/>
    <w:rsid w:val="5B2718EF"/>
    <w:rsid w:val="5B327ED2"/>
    <w:rsid w:val="5B332720"/>
    <w:rsid w:val="5B97756F"/>
    <w:rsid w:val="5BD64800"/>
    <w:rsid w:val="5BD84B11"/>
    <w:rsid w:val="5C643093"/>
    <w:rsid w:val="5C960AE3"/>
    <w:rsid w:val="5CE609CD"/>
    <w:rsid w:val="5E5917B9"/>
    <w:rsid w:val="5EFD1CE7"/>
    <w:rsid w:val="5F545C48"/>
    <w:rsid w:val="5F771A5E"/>
    <w:rsid w:val="604360DA"/>
    <w:rsid w:val="6068488C"/>
    <w:rsid w:val="60BC49AA"/>
    <w:rsid w:val="60BD7D13"/>
    <w:rsid w:val="60CF7069"/>
    <w:rsid w:val="619D79A4"/>
    <w:rsid w:val="61D70234"/>
    <w:rsid w:val="62A85DBD"/>
    <w:rsid w:val="630569EC"/>
    <w:rsid w:val="632E647D"/>
    <w:rsid w:val="63C055E5"/>
    <w:rsid w:val="642248CA"/>
    <w:rsid w:val="6427672D"/>
    <w:rsid w:val="6453138B"/>
    <w:rsid w:val="649E70CD"/>
    <w:rsid w:val="65A6026B"/>
    <w:rsid w:val="65FD4D2A"/>
    <w:rsid w:val="660126E3"/>
    <w:rsid w:val="66430504"/>
    <w:rsid w:val="66574CEE"/>
    <w:rsid w:val="66ED73E8"/>
    <w:rsid w:val="67224BB9"/>
    <w:rsid w:val="673175F3"/>
    <w:rsid w:val="67D67092"/>
    <w:rsid w:val="68033E78"/>
    <w:rsid w:val="684F4B88"/>
    <w:rsid w:val="685774F4"/>
    <w:rsid w:val="68D26F86"/>
    <w:rsid w:val="6A157BA8"/>
    <w:rsid w:val="6A1D040E"/>
    <w:rsid w:val="6AE50061"/>
    <w:rsid w:val="6B606143"/>
    <w:rsid w:val="6C9015CC"/>
    <w:rsid w:val="6C9024A1"/>
    <w:rsid w:val="6CC80F4A"/>
    <w:rsid w:val="6D843430"/>
    <w:rsid w:val="6DB33A25"/>
    <w:rsid w:val="6DF0571F"/>
    <w:rsid w:val="6E7B6257"/>
    <w:rsid w:val="6E930839"/>
    <w:rsid w:val="6EE17C8D"/>
    <w:rsid w:val="6EE9715F"/>
    <w:rsid w:val="6F872B77"/>
    <w:rsid w:val="6FA96A30"/>
    <w:rsid w:val="704A4CA0"/>
    <w:rsid w:val="70507CFD"/>
    <w:rsid w:val="7085148B"/>
    <w:rsid w:val="70BB23E5"/>
    <w:rsid w:val="70FF1D0B"/>
    <w:rsid w:val="717950A5"/>
    <w:rsid w:val="71A83A48"/>
    <w:rsid w:val="720603B7"/>
    <w:rsid w:val="72934C3B"/>
    <w:rsid w:val="72E04817"/>
    <w:rsid w:val="72EA44B9"/>
    <w:rsid w:val="72FC3212"/>
    <w:rsid w:val="73671B05"/>
    <w:rsid w:val="73CB7827"/>
    <w:rsid w:val="73E16004"/>
    <w:rsid w:val="73E6310E"/>
    <w:rsid w:val="74092D49"/>
    <w:rsid w:val="74605904"/>
    <w:rsid w:val="747248A5"/>
    <w:rsid w:val="749E1FAA"/>
    <w:rsid w:val="759834F1"/>
    <w:rsid w:val="761B73F5"/>
    <w:rsid w:val="768C03AB"/>
    <w:rsid w:val="76E26C6A"/>
    <w:rsid w:val="76EE7425"/>
    <w:rsid w:val="77416F97"/>
    <w:rsid w:val="77531EC5"/>
    <w:rsid w:val="77B340CD"/>
    <w:rsid w:val="77D10BEF"/>
    <w:rsid w:val="77E92831"/>
    <w:rsid w:val="78170D6B"/>
    <w:rsid w:val="785A0A14"/>
    <w:rsid w:val="794541A7"/>
    <w:rsid w:val="795251FD"/>
    <w:rsid w:val="7A2B5809"/>
    <w:rsid w:val="7A4007DC"/>
    <w:rsid w:val="7B311EB2"/>
    <w:rsid w:val="7B3265F8"/>
    <w:rsid w:val="7BEC633D"/>
    <w:rsid w:val="7BEC6D8F"/>
    <w:rsid w:val="7C760791"/>
    <w:rsid w:val="7C7E11D8"/>
    <w:rsid w:val="7CA5265E"/>
    <w:rsid w:val="7CEE4BAF"/>
    <w:rsid w:val="7D0E3115"/>
    <w:rsid w:val="7D7E5A7A"/>
    <w:rsid w:val="7D8C2BA3"/>
    <w:rsid w:val="7DAD7E0E"/>
    <w:rsid w:val="7E1E6C68"/>
    <w:rsid w:val="7EFC42E6"/>
    <w:rsid w:val="7F0C56E0"/>
    <w:rsid w:val="7FB44586"/>
    <w:rsid w:val="7FE6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qFormat="1"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outlineLvl w:val="0"/>
    </w:pPr>
    <w:rPr>
      <w:b/>
    </w:rPr>
  </w:style>
  <w:style w:type="paragraph" w:styleId="4">
    <w:name w:val="heading 2"/>
    <w:basedOn w:val="1"/>
    <w:next w:val="1"/>
    <w:link w:val="142"/>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31"/>
    <w:qFormat/>
    <w:uiPriority w:val="0"/>
    <w:pPr>
      <w:keepNext/>
      <w:keepLines/>
      <w:spacing w:before="260" w:after="260" w:line="416" w:lineRule="auto"/>
      <w:outlineLvl w:val="2"/>
    </w:pPr>
    <w:rPr>
      <w:b/>
      <w:bCs/>
      <w:sz w:val="32"/>
      <w:szCs w:val="32"/>
    </w:rPr>
  </w:style>
  <w:style w:type="paragraph" w:styleId="6">
    <w:name w:val="heading 4"/>
    <w:basedOn w:val="1"/>
    <w:next w:val="1"/>
    <w:link w:val="68"/>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8"/>
    <w:link w:val="111"/>
    <w:qFormat/>
    <w:uiPriority w:val="0"/>
    <w:pPr>
      <w:keepNext/>
      <w:keepLines/>
      <w:numPr>
        <w:ilvl w:val="4"/>
        <w:numId w:val="1"/>
      </w:numPr>
      <w:spacing w:before="280" w:after="290" w:line="376" w:lineRule="auto"/>
      <w:outlineLvl w:val="4"/>
    </w:pPr>
    <w:rPr>
      <w:b/>
      <w:sz w:val="28"/>
      <w:szCs w:val="20"/>
    </w:rPr>
  </w:style>
  <w:style w:type="paragraph" w:styleId="2">
    <w:name w:val="heading 6"/>
    <w:basedOn w:val="1"/>
    <w:next w:val="1"/>
    <w:link w:val="125"/>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8"/>
    <w:link w:val="84"/>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8"/>
    <w:link w:val="80"/>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8"/>
    <w:link w:val="11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71"/>
    <w:qFormat/>
    <w:uiPriority w:val="0"/>
    <w:pPr>
      <w:ind w:firstLine="420"/>
    </w:pPr>
    <w:rPr>
      <w:szCs w:val="20"/>
    </w:rPr>
  </w:style>
  <w:style w:type="paragraph" w:styleId="12">
    <w:name w:val="List Number"/>
    <w:basedOn w:val="1"/>
    <w:qFormat/>
    <w:uiPriority w:val="0"/>
    <w:pPr>
      <w:numPr>
        <w:ilvl w:val="0"/>
        <w:numId w:val="2"/>
      </w:numPr>
      <w:contextualSpacing/>
    </w:p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138"/>
    <w:semiHidden/>
    <w:qFormat/>
    <w:uiPriority w:val="0"/>
    <w:pPr>
      <w:shd w:val="clear" w:color="auto" w:fill="000080"/>
    </w:pPr>
  </w:style>
  <w:style w:type="paragraph" w:styleId="15">
    <w:name w:val="annotation text"/>
    <w:basedOn w:val="1"/>
    <w:link w:val="51"/>
    <w:semiHidden/>
    <w:qFormat/>
    <w:uiPriority w:val="0"/>
    <w:pPr>
      <w:jc w:val="left"/>
    </w:pPr>
  </w:style>
  <w:style w:type="paragraph" w:styleId="16">
    <w:name w:val="Body Text 3"/>
    <w:basedOn w:val="1"/>
    <w:link w:val="65"/>
    <w:qFormat/>
    <w:uiPriority w:val="0"/>
    <w:pPr>
      <w:widowControl/>
      <w:spacing w:after="120" w:line="360" w:lineRule="auto"/>
      <w:ind w:firstLine="480" w:firstLineChars="200"/>
      <w:jc w:val="left"/>
    </w:pPr>
    <w:rPr>
      <w:rFonts w:ascii="华文中宋" w:hAnsi="华文中宋" w:eastAsia="华文中宋"/>
      <w:kern w:val="0"/>
      <w:sz w:val="16"/>
      <w:szCs w:val="16"/>
    </w:rPr>
  </w:style>
  <w:style w:type="paragraph" w:styleId="17">
    <w:name w:val="Body Text"/>
    <w:basedOn w:val="1"/>
    <w:link w:val="117"/>
    <w:qFormat/>
    <w:uiPriority w:val="0"/>
    <w:pPr>
      <w:spacing w:after="120"/>
    </w:pPr>
    <w:rPr>
      <w:szCs w:val="20"/>
    </w:rPr>
  </w:style>
  <w:style w:type="paragraph" w:styleId="18">
    <w:name w:val="Body Text Indent"/>
    <w:basedOn w:val="1"/>
    <w:link w:val="79"/>
    <w:qFormat/>
    <w:uiPriority w:val="0"/>
    <w:pPr>
      <w:spacing w:line="200" w:lineRule="exact"/>
      <w:ind w:firstLine="301"/>
    </w:pPr>
    <w:rPr>
      <w:rFonts w:ascii="宋体" w:hAnsi="Courier New"/>
      <w:spacing w:val="-4"/>
      <w:sz w:val="18"/>
      <w:szCs w:val="20"/>
    </w:rPr>
  </w:style>
  <w:style w:type="paragraph" w:styleId="19">
    <w:name w:val="List 2"/>
    <w:basedOn w:val="1"/>
    <w:qFormat/>
    <w:uiPriority w:val="0"/>
    <w:pPr>
      <w:adjustRightInd w:val="0"/>
      <w:snapToGrid w:val="0"/>
      <w:spacing w:line="360" w:lineRule="auto"/>
      <w:ind w:left="100" w:leftChars="200" w:hanging="200" w:hangingChars="200"/>
    </w:pPr>
    <w:rPr>
      <w:sz w:val="28"/>
    </w:rPr>
  </w:style>
  <w:style w:type="paragraph" w:styleId="20">
    <w:name w:val="Plain Text"/>
    <w:basedOn w:val="1"/>
    <w:link w:val="97"/>
    <w:qFormat/>
    <w:uiPriority w:val="0"/>
    <w:rPr>
      <w:rFonts w:ascii="宋体" w:hAnsi="Courier New"/>
      <w:szCs w:val="20"/>
    </w:rPr>
  </w:style>
  <w:style w:type="paragraph" w:styleId="21">
    <w:name w:val="Date"/>
    <w:basedOn w:val="1"/>
    <w:next w:val="1"/>
    <w:link w:val="110"/>
    <w:qFormat/>
    <w:uiPriority w:val="0"/>
    <w:pPr>
      <w:ind w:left="100" w:leftChars="2500"/>
    </w:pPr>
    <w:rPr>
      <w:rFonts w:ascii="宋体" w:hAnsi="Courier New" w:cs="Courier New"/>
      <w:szCs w:val="21"/>
    </w:rPr>
  </w:style>
  <w:style w:type="paragraph" w:styleId="22">
    <w:name w:val="Body Text Indent 2"/>
    <w:basedOn w:val="1"/>
    <w:link w:val="124"/>
    <w:qFormat/>
    <w:uiPriority w:val="0"/>
    <w:pPr>
      <w:spacing w:after="120" w:line="480" w:lineRule="auto"/>
      <w:ind w:left="420" w:leftChars="200" w:firstLine="480" w:firstLineChars="200"/>
    </w:pPr>
    <w:rPr>
      <w:rFonts w:ascii="华文中宋" w:hAnsi="华文中宋" w:eastAsia="华文中宋"/>
      <w:kern w:val="0"/>
      <w:sz w:val="24"/>
    </w:rPr>
  </w:style>
  <w:style w:type="paragraph" w:styleId="23">
    <w:name w:val="Balloon Text"/>
    <w:basedOn w:val="1"/>
    <w:link w:val="113"/>
    <w:semiHidden/>
    <w:qFormat/>
    <w:uiPriority w:val="0"/>
    <w:rPr>
      <w:sz w:val="18"/>
      <w:szCs w:val="18"/>
    </w:rPr>
  </w:style>
  <w:style w:type="paragraph" w:styleId="24">
    <w:name w:val="footer"/>
    <w:basedOn w:val="1"/>
    <w:link w:val="108"/>
    <w:qFormat/>
    <w:uiPriority w:val="0"/>
    <w:pPr>
      <w:tabs>
        <w:tab w:val="center" w:pos="4153"/>
        <w:tab w:val="right" w:pos="8306"/>
      </w:tabs>
      <w:snapToGrid w:val="0"/>
      <w:jc w:val="left"/>
    </w:pPr>
    <w:rPr>
      <w:rFonts w:ascii="宋体" w:hAnsi="Courier New"/>
      <w:sz w:val="18"/>
      <w:szCs w:val="20"/>
    </w:rPr>
  </w:style>
  <w:style w:type="paragraph" w:styleId="25">
    <w:name w:val="header"/>
    <w:basedOn w:val="1"/>
    <w:link w:val="143"/>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26">
    <w:name w:val="toc 1"/>
    <w:basedOn w:val="1"/>
    <w:next w:val="1"/>
    <w:semiHidden/>
    <w:qFormat/>
    <w:uiPriority w:val="0"/>
    <w:pPr>
      <w:tabs>
        <w:tab w:val="right" w:leader="dot" w:pos="8820"/>
      </w:tabs>
      <w:spacing w:line="500" w:lineRule="exact"/>
      <w:ind w:left="359" w:leftChars="171" w:right="1134" w:firstLine="51" w:firstLineChars="14"/>
      <w:jc w:val="left"/>
    </w:pPr>
    <w:rPr>
      <w:rFonts w:ascii="宋体" w:hAnsi="宋体"/>
      <w:b/>
      <w:bCs/>
      <w:caps/>
      <w:szCs w:val="21"/>
    </w:rPr>
  </w:style>
  <w:style w:type="paragraph" w:styleId="27">
    <w:name w:val="index heading"/>
    <w:basedOn w:val="1"/>
    <w:next w:val="28"/>
    <w:qFormat/>
    <w:uiPriority w:val="0"/>
    <w:rPr>
      <w:szCs w:val="21"/>
    </w:rPr>
  </w:style>
  <w:style w:type="paragraph" w:styleId="28">
    <w:name w:val="index 1"/>
    <w:basedOn w:val="1"/>
    <w:next w:val="1"/>
    <w:semiHidden/>
    <w:qFormat/>
    <w:uiPriority w:val="0"/>
    <w:pPr>
      <w:spacing w:line="360" w:lineRule="auto"/>
    </w:pPr>
    <w:rPr>
      <w:rFonts w:ascii="宋体" w:hAnsi="宋体"/>
      <w:bCs/>
      <w:szCs w:val="21"/>
    </w:rPr>
  </w:style>
  <w:style w:type="paragraph" w:styleId="29">
    <w:name w:val="Subtitle"/>
    <w:basedOn w:val="1"/>
    <w:next w:val="1"/>
    <w:qFormat/>
    <w:uiPriority w:val="0"/>
    <w:pPr>
      <w:spacing w:before="240" w:after="60" w:line="312" w:lineRule="auto"/>
      <w:jc w:val="center"/>
      <w:outlineLvl w:val="1"/>
    </w:pPr>
    <w:rPr>
      <w:rFonts w:ascii="Calibri" w:hAnsi="Calibri" w:eastAsia="Times New Roman"/>
      <w:b/>
      <w:bCs/>
      <w:kern w:val="28"/>
      <w:sz w:val="32"/>
      <w:szCs w:val="32"/>
    </w:rPr>
  </w:style>
  <w:style w:type="paragraph" w:styleId="30">
    <w:name w:val="Body Text Indent 3"/>
    <w:basedOn w:val="1"/>
    <w:link w:val="60"/>
    <w:qFormat/>
    <w:uiPriority w:val="0"/>
    <w:pPr>
      <w:spacing w:after="120"/>
      <w:ind w:left="420" w:leftChars="200"/>
    </w:pPr>
    <w:rPr>
      <w:sz w:val="16"/>
      <w:szCs w:val="16"/>
    </w:rPr>
  </w:style>
  <w:style w:type="paragraph" w:styleId="31">
    <w:name w:val="toc 2"/>
    <w:basedOn w:val="1"/>
    <w:next w:val="1"/>
    <w:semiHidden/>
    <w:qFormat/>
    <w:uiPriority w:val="0"/>
    <w:pPr>
      <w:tabs>
        <w:tab w:val="right" w:leader="dot" w:pos="8280"/>
      </w:tabs>
      <w:spacing w:line="320" w:lineRule="exact"/>
      <w:ind w:left="902"/>
      <w:jc w:val="left"/>
    </w:pPr>
    <w:rPr>
      <w:rFonts w:ascii="宋体" w:hAnsi="宋体"/>
      <w:smallCaps/>
      <w:sz w:val="20"/>
      <w:szCs w:val="20"/>
    </w:rPr>
  </w:style>
  <w:style w:type="paragraph" w:styleId="32">
    <w:name w:val="toc 9"/>
    <w:basedOn w:val="1"/>
    <w:next w:val="1"/>
    <w:unhideWhenUsed/>
    <w:qFormat/>
    <w:uiPriority w:val="0"/>
    <w:pPr>
      <w:ind w:left="1680"/>
      <w:jc w:val="left"/>
    </w:pPr>
    <w:rPr>
      <w:rFonts w:ascii="Calibri" w:hAnsi="Calibri"/>
      <w:sz w:val="18"/>
      <w:szCs w:val="18"/>
    </w:rPr>
  </w:style>
  <w:style w:type="paragraph" w:styleId="33">
    <w:name w:val="Body Text 2"/>
    <w:basedOn w:val="1"/>
    <w:link w:val="123"/>
    <w:qFormat/>
    <w:uiPriority w:val="0"/>
    <w:pPr>
      <w:spacing w:after="120" w:line="480" w:lineRule="auto"/>
    </w:pPr>
  </w:style>
  <w:style w:type="paragraph" w:styleId="34">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90"/>
    <w:qFormat/>
    <w:uiPriority w:val="0"/>
    <w:pPr>
      <w:widowControl/>
      <w:spacing w:before="240" w:after="60" w:line="360" w:lineRule="auto"/>
      <w:ind w:firstLine="200" w:firstLineChars="200"/>
      <w:jc w:val="left"/>
      <w:outlineLvl w:val="4"/>
    </w:pPr>
    <w:rPr>
      <w:rFonts w:ascii="Cambria" w:hAnsi="Cambria" w:eastAsia="华文中宋"/>
      <w:b/>
      <w:bCs/>
      <w:kern w:val="28"/>
      <w:sz w:val="24"/>
      <w:szCs w:val="32"/>
      <w:lang w:eastAsia="en-US"/>
    </w:rPr>
  </w:style>
  <w:style w:type="paragraph" w:styleId="37">
    <w:name w:val="annotation subject"/>
    <w:basedOn w:val="15"/>
    <w:next w:val="15"/>
    <w:link w:val="96"/>
    <w:semiHidden/>
    <w:qFormat/>
    <w:uiPriority w:val="0"/>
    <w:rPr>
      <w:b/>
      <w:bCs/>
    </w:rPr>
  </w:style>
  <w:style w:type="paragraph" w:styleId="38">
    <w:name w:val="Body Text First Indent"/>
    <w:basedOn w:val="17"/>
    <w:link w:val="50"/>
    <w:qFormat/>
    <w:uiPriority w:val="0"/>
    <w:pPr>
      <w:ind w:firstLine="420" w:firstLineChars="100"/>
    </w:pPr>
    <w:rPr>
      <w:rFonts w:ascii="华文中宋" w:hAnsi="华文中宋"/>
      <w:szCs w:val="24"/>
    </w:rPr>
  </w:style>
  <w:style w:type="paragraph" w:styleId="39">
    <w:name w:val="Body Text First Indent 2"/>
    <w:basedOn w:val="18"/>
    <w:link w:val="74"/>
    <w:qFormat/>
    <w:uiPriority w:val="0"/>
    <w:pPr>
      <w:spacing w:after="120" w:line="240" w:lineRule="auto"/>
      <w:ind w:left="420" w:leftChars="200" w:firstLine="420" w:firstLineChars="200"/>
    </w:pPr>
    <w:rPr>
      <w:rFonts w:ascii="黑体" w:eastAsia="黑体" w:cs="Courier New"/>
      <w:spacing w:val="0"/>
      <w:kern w:val="0"/>
      <w:sz w:val="20"/>
    </w:rPr>
  </w:style>
  <w:style w:type="table" w:styleId="41">
    <w:name w:val="Table Grid"/>
    <w:basedOn w:val="4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575656"/>
      <w:u w:val="none"/>
    </w:rPr>
  </w:style>
  <w:style w:type="character" w:styleId="46">
    <w:name w:val="Emphasis"/>
    <w:qFormat/>
    <w:uiPriority w:val="0"/>
  </w:style>
  <w:style w:type="character" w:styleId="47">
    <w:name w:val="Hyperlink"/>
    <w:qFormat/>
    <w:uiPriority w:val="0"/>
    <w:rPr>
      <w:color w:val="575656"/>
      <w:u w:val="none"/>
    </w:rPr>
  </w:style>
  <w:style w:type="character" w:styleId="48">
    <w:name w:val="annotation reference"/>
    <w:semiHidden/>
    <w:qFormat/>
    <w:uiPriority w:val="0"/>
    <w:rPr>
      <w:sz w:val="21"/>
      <w:szCs w:val="21"/>
    </w:rPr>
  </w:style>
  <w:style w:type="character" w:customStyle="1" w:styleId="49">
    <w:name w:val="font101"/>
    <w:qFormat/>
    <w:uiPriority w:val="0"/>
    <w:rPr>
      <w:rFonts w:hint="default" w:ascii="Arial" w:hAnsi="Arial" w:cs="Arial"/>
      <w:color w:val="000000"/>
      <w:sz w:val="21"/>
      <w:szCs w:val="21"/>
      <w:u w:val="none"/>
    </w:rPr>
  </w:style>
  <w:style w:type="character" w:customStyle="1" w:styleId="50">
    <w:name w:val="正文首行缩进 字符"/>
    <w:link w:val="38"/>
    <w:qFormat/>
    <w:locked/>
    <w:uiPriority w:val="0"/>
    <w:rPr>
      <w:rFonts w:ascii="华文中宋" w:hAnsi="华文中宋" w:eastAsia="宋体"/>
      <w:kern w:val="2"/>
      <w:sz w:val="21"/>
      <w:szCs w:val="24"/>
      <w:lang w:val="en-US" w:eastAsia="zh-CN" w:bidi="ar-SA"/>
    </w:rPr>
  </w:style>
  <w:style w:type="character" w:customStyle="1" w:styleId="51">
    <w:name w:val="批注文字 字符"/>
    <w:link w:val="15"/>
    <w:qFormat/>
    <w:uiPriority w:val="0"/>
    <w:rPr>
      <w:rFonts w:eastAsia="宋体"/>
      <w:kern w:val="2"/>
      <w:sz w:val="21"/>
      <w:szCs w:val="24"/>
      <w:lang w:val="en-US" w:eastAsia="zh-CN" w:bidi="ar-SA"/>
    </w:rPr>
  </w:style>
  <w:style w:type="character" w:customStyle="1" w:styleId="52">
    <w:name w:val="日期 Char"/>
    <w:semiHidden/>
    <w:qFormat/>
    <w:locked/>
    <w:uiPriority w:val="0"/>
    <w:rPr>
      <w:rFonts w:ascii="宋体" w:hAnsi="Courier New" w:eastAsia="宋体" w:cs="Courier New"/>
      <w:kern w:val="2"/>
      <w:sz w:val="21"/>
      <w:szCs w:val="21"/>
      <w:lang w:val="en-US" w:eastAsia="zh-CN" w:bidi="ar-SA"/>
    </w:rPr>
  </w:style>
  <w:style w:type="character" w:customStyle="1" w:styleId="53">
    <w:name w:val="Char Char14"/>
    <w:qFormat/>
    <w:locked/>
    <w:uiPriority w:val="0"/>
    <w:rPr>
      <w:rFonts w:eastAsia="宋体"/>
      <w:kern w:val="2"/>
      <w:sz w:val="21"/>
      <w:szCs w:val="24"/>
      <w:lang w:val="en-US" w:eastAsia="zh-CN" w:bidi="ar-SA"/>
    </w:rPr>
  </w:style>
  <w:style w:type="character" w:customStyle="1" w:styleId="54">
    <w:name w:val="hwyang Char"/>
    <w:link w:val="55"/>
    <w:qFormat/>
    <w:uiPriority w:val="0"/>
    <w:rPr>
      <w:kern w:val="2"/>
      <w:sz w:val="24"/>
      <w:szCs w:val="24"/>
      <w:lang w:bidi="ar-SA"/>
    </w:rPr>
  </w:style>
  <w:style w:type="paragraph" w:customStyle="1" w:styleId="55">
    <w:name w:val="hwyang"/>
    <w:basedOn w:val="1"/>
    <w:link w:val="54"/>
    <w:qFormat/>
    <w:uiPriority w:val="0"/>
    <w:pPr>
      <w:spacing w:line="360" w:lineRule="auto"/>
      <w:ind w:firstLine="480" w:firstLineChars="200"/>
    </w:pPr>
    <w:rPr>
      <w:sz w:val="24"/>
    </w:rPr>
  </w:style>
  <w:style w:type="character" w:customStyle="1" w:styleId="56">
    <w:name w:val="批注主题 Char"/>
    <w:qFormat/>
    <w:locked/>
    <w:uiPriority w:val="0"/>
    <w:rPr>
      <w:rFonts w:eastAsia="宋体"/>
      <w:b/>
      <w:bCs/>
      <w:kern w:val="2"/>
      <w:sz w:val="21"/>
      <w:szCs w:val="24"/>
      <w:lang w:val="en-US" w:eastAsia="zh-CN" w:bidi="ar-SA"/>
    </w:rPr>
  </w:style>
  <w:style w:type="character" w:customStyle="1" w:styleId="57">
    <w:name w:val="font112"/>
    <w:qFormat/>
    <w:uiPriority w:val="0"/>
    <w:rPr>
      <w:rFonts w:hint="eastAsia" w:ascii="微软雅黑" w:hAnsi="微软雅黑" w:eastAsia="微软雅黑" w:cs="微软雅黑"/>
      <w:b/>
      <w:color w:val="000000"/>
      <w:sz w:val="22"/>
      <w:szCs w:val="22"/>
      <w:u w:val="none"/>
    </w:rPr>
  </w:style>
  <w:style w:type="character" w:customStyle="1" w:styleId="58">
    <w:name w:val="标题 4 Char"/>
    <w:qFormat/>
    <w:locked/>
    <w:uiPriority w:val="0"/>
    <w:rPr>
      <w:rFonts w:ascii="Arial" w:hAnsi="Arial" w:eastAsia="黑体"/>
      <w:b/>
      <w:kern w:val="2"/>
      <w:sz w:val="28"/>
      <w:lang w:val="en-US" w:eastAsia="zh-CN" w:bidi="ar-SA"/>
    </w:rPr>
  </w:style>
  <w:style w:type="character" w:customStyle="1" w:styleId="59">
    <w:name w:val="105v1"/>
    <w:qFormat/>
    <w:uiPriority w:val="0"/>
    <w:rPr>
      <w:rFonts w:hint="default" w:ascii="ˎ̥" w:hAnsi="ˎ̥"/>
      <w:sz w:val="21"/>
      <w:szCs w:val="21"/>
    </w:rPr>
  </w:style>
  <w:style w:type="character" w:customStyle="1" w:styleId="60">
    <w:name w:val="正文文本缩进 3 字符"/>
    <w:link w:val="30"/>
    <w:qFormat/>
    <w:uiPriority w:val="0"/>
    <w:rPr>
      <w:kern w:val="2"/>
      <w:sz w:val="16"/>
      <w:szCs w:val="16"/>
      <w:lang w:bidi="ar-SA"/>
    </w:rPr>
  </w:style>
  <w:style w:type="character" w:customStyle="1" w:styleId="61">
    <w:name w:val="批注文字 Char"/>
    <w:qFormat/>
    <w:uiPriority w:val="0"/>
    <w:rPr>
      <w:rFonts w:eastAsia="宋体"/>
      <w:kern w:val="2"/>
      <w:sz w:val="21"/>
      <w:szCs w:val="24"/>
      <w:lang w:val="en-US" w:eastAsia="zh-CN" w:bidi="ar-SA"/>
    </w:rPr>
  </w:style>
  <w:style w:type="character" w:customStyle="1" w:styleId="62">
    <w:name w:val="标题 1 字符"/>
    <w:link w:val="3"/>
    <w:qFormat/>
    <w:locked/>
    <w:uiPriority w:val="0"/>
    <w:rPr>
      <w:rFonts w:eastAsia="宋体"/>
      <w:b/>
      <w:kern w:val="2"/>
      <w:sz w:val="21"/>
      <w:szCs w:val="24"/>
      <w:lang w:val="en-US" w:eastAsia="zh-CN" w:bidi="ar-SA"/>
    </w:rPr>
  </w:style>
  <w:style w:type="character" w:customStyle="1" w:styleId="63">
    <w:name w:val="正文文本缩进 2 Char"/>
    <w:qFormat/>
    <w:locked/>
    <w:uiPriority w:val="0"/>
    <w:rPr>
      <w:rFonts w:ascii="华文中宋" w:hAnsi="华文中宋" w:eastAsia="华文中宋"/>
      <w:sz w:val="24"/>
      <w:szCs w:val="24"/>
      <w:lang w:val="en-US" w:eastAsia="zh-CN" w:bidi="ar-SA"/>
    </w:rPr>
  </w:style>
  <w:style w:type="character" w:customStyle="1" w:styleId="64">
    <w:name w:val="标题 7 Char"/>
    <w:qFormat/>
    <w:locked/>
    <w:uiPriority w:val="0"/>
    <w:rPr>
      <w:rFonts w:eastAsia="宋体"/>
      <w:b/>
      <w:kern w:val="2"/>
      <w:sz w:val="24"/>
      <w:lang w:val="en-US" w:eastAsia="zh-CN" w:bidi="ar-SA"/>
    </w:rPr>
  </w:style>
  <w:style w:type="character" w:customStyle="1" w:styleId="65">
    <w:name w:val="正文文本 3 字符"/>
    <w:link w:val="16"/>
    <w:qFormat/>
    <w:locked/>
    <w:uiPriority w:val="0"/>
    <w:rPr>
      <w:rFonts w:ascii="华文中宋" w:hAnsi="华文中宋" w:eastAsia="华文中宋"/>
      <w:sz w:val="16"/>
      <w:szCs w:val="16"/>
      <w:lang w:val="en-US" w:eastAsia="zh-CN" w:bidi="ar-SA"/>
    </w:rPr>
  </w:style>
  <w:style w:type="character" w:customStyle="1" w:styleId="66">
    <w:name w:val="Char Char2"/>
    <w:qFormat/>
    <w:uiPriority w:val="0"/>
    <w:rPr>
      <w:rFonts w:ascii="宋体" w:hAnsi="Courier New" w:eastAsia="宋体"/>
      <w:kern w:val="2"/>
      <w:sz w:val="21"/>
      <w:lang w:val="en-US" w:eastAsia="zh-CN" w:bidi="ar-SA"/>
    </w:rPr>
  </w:style>
  <w:style w:type="character" w:customStyle="1" w:styleId="67">
    <w:name w:val="font11"/>
    <w:qFormat/>
    <w:uiPriority w:val="0"/>
    <w:rPr>
      <w:rFonts w:hint="eastAsia" w:ascii="微软雅黑" w:hAnsi="微软雅黑" w:eastAsia="微软雅黑" w:cs="微软雅黑"/>
      <w:color w:val="000000"/>
      <w:sz w:val="22"/>
      <w:szCs w:val="22"/>
      <w:u w:val="none"/>
    </w:rPr>
  </w:style>
  <w:style w:type="character" w:customStyle="1" w:styleId="68">
    <w:name w:val="标题 4 字符"/>
    <w:link w:val="6"/>
    <w:qFormat/>
    <w:locked/>
    <w:uiPriority w:val="0"/>
    <w:rPr>
      <w:rFonts w:ascii="Arial" w:hAnsi="Arial" w:eastAsia="黑体"/>
      <w:b/>
      <w:kern w:val="2"/>
      <w:sz w:val="28"/>
      <w:lang w:bidi="ar-SA"/>
    </w:rPr>
  </w:style>
  <w:style w:type="character" w:customStyle="1" w:styleId="69">
    <w:name w:val="标题 Char"/>
    <w:qFormat/>
    <w:locked/>
    <w:uiPriority w:val="0"/>
    <w:rPr>
      <w:rFonts w:ascii="Cambria" w:hAnsi="Cambria" w:eastAsia="华文中宋"/>
      <w:b/>
      <w:bCs/>
      <w:kern w:val="28"/>
      <w:sz w:val="24"/>
      <w:szCs w:val="32"/>
      <w:lang w:val="en-US" w:eastAsia="en-US" w:bidi="ar-SA"/>
    </w:rPr>
  </w:style>
  <w:style w:type="character" w:customStyle="1" w:styleId="70">
    <w:name w:val="HTML 预设格式 字符"/>
    <w:link w:val="34"/>
    <w:qFormat/>
    <w:uiPriority w:val="0"/>
    <w:rPr>
      <w:rFonts w:ascii="黑体" w:hAnsi="Courier New" w:eastAsia="黑体" w:cs="Courier New"/>
      <w:lang w:val="en-US" w:eastAsia="zh-CN" w:bidi="ar-SA"/>
    </w:rPr>
  </w:style>
  <w:style w:type="character" w:customStyle="1" w:styleId="71">
    <w:name w:val="正文缩进 字符"/>
    <w:link w:val="8"/>
    <w:qFormat/>
    <w:uiPriority w:val="0"/>
    <w:rPr>
      <w:rFonts w:eastAsia="宋体"/>
      <w:kern w:val="2"/>
      <w:sz w:val="21"/>
      <w:lang w:val="en-US" w:eastAsia="zh-CN" w:bidi="ar-SA"/>
    </w:rPr>
  </w:style>
  <w:style w:type="character" w:customStyle="1" w:styleId="72">
    <w:name w:val="No Spacing Char"/>
    <w:link w:val="73"/>
    <w:qFormat/>
    <w:locked/>
    <w:uiPriority w:val="0"/>
    <w:rPr>
      <w:rFonts w:eastAsia="Times New Roman"/>
      <w:sz w:val="22"/>
      <w:szCs w:val="22"/>
      <w:lang w:val="en-US" w:eastAsia="zh-CN" w:bidi="ar-SA"/>
    </w:rPr>
  </w:style>
  <w:style w:type="paragraph" w:customStyle="1" w:styleId="73">
    <w:name w:val="No Spacing1"/>
    <w:link w:val="72"/>
    <w:qFormat/>
    <w:uiPriority w:val="0"/>
    <w:rPr>
      <w:rFonts w:ascii="Times New Roman" w:hAnsi="Times New Roman" w:eastAsia="Times New Roman" w:cs="Times New Roman"/>
      <w:sz w:val="22"/>
      <w:szCs w:val="22"/>
      <w:lang w:val="en-US" w:eastAsia="zh-CN" w:bidi="ar-SA"/>
    </w:rPr>
  </w:style>
  <w:style w:type="character" w:customStyle="1" w:styleId="74">
    <w:name w:val="正文首行缩进 2 字符"/>
    <w:link w:val="39"/>
    <w:qFormat/>
    <w:uiPriority w:val="0"/>
    <w:rPr>
      <w:rFonts w:ascii="黑体" w:hAnsi="Courier New" w:eastAsia="黑体" w:cs="Courier New"/>
      <w:lang w:val="en-US" w:eastAsia="zh-CN" w:bidi="ar-SA"/>
    </w:rPr>
  </w:style>
  <w:style w:type="character" w:customStyle="1" w:styleId="75">
    <w:name w:val="正文文本 3 Char"/>
    <w:qFormat/>
    <w:locked/>
    <w:uiPriority w:val="0"/>
    <w:rPr>
      <w:rFonts w:ascii="华文中宋" w:hAnsi="华文中宋" w:eastAsia="华文中宋"/>
      <w:sz w:val="16"/>
      <w:szCs w:val="16"/>
      <w:lang w:val="en-US" w:eastAsia="zh-CN" w:bidi="ar-SA"/>
    </w:rPr>
  </w:style>
  <w:style w:type="character" w:customStyle="1" w:styleId="76">
    <w:name w:val="标题1"/>
    <w:basedOn w:val="42"/>
    <w:qFormat/>
    <w:uiPriority w:val="0"/>
  </w:style>
  <w:style w:type="character" w:customStyle="1" w:styleId="77">
    <w:name w:val="样式 正文缩进 + 首行缩进:  2 字符 Char"/>
    <w:link w:val="78"/>
    <w:qFormat/>
    <w:locked/>
    <w:uiPriority w:val="0"/>
    <w:rPr>
      <w:rFonts w:eastAsia="宋体"/>
      <w:lang w:bidi="ar-SA"/>
    </w:rPr>
  </w:style>
  <w:style w:type="paragraph" w:customStyle="1" w:styleId="78">
    <w:name w:val="样式 正文缩进 + 首行缩进:  2 字符"/>
    <w:basedOn w:val="8"/>
    <w:link w:val="77"/>
    <w:qFormat/>
    <w:uiPriority w:val="0"/>
    <w:pPr>
      <w:spacing w:line="360" w:lineRule="auto"/>
      <w:ind w:firstLine="200" w:firstLineChars="200"/>
    </w:pPr>
    <w:rPr>
      <w:kern w:val="0"/>
      <w:sz w:val="20"/>
    </w:rPr>
  </w:style>
  <w:style w:type="character" w:customStyle="1" w:styleId="79">
    <w:name w:val="正文文本缩进 字符"/>
    <w:link w:val="18"/>
    <w:qFormat/>
    <w:locked/>
    <w:uiPriority w:val="0"/>
    <w:rPr>
      <w:rFonts w:ascii="宋体" w:hAnsi="Courier New" w:eastAsia="宋体"/>
      <w:spacing w:val="-4"/>
      <w:kern w:val="2"/>
      <w:sz w:val="18"/>
      <w:lang w:val="en-US" w:eastAsia="zh-CN" w:bidi="ar-SA"/>
    </w:rPr>
  </w:style>
  <w:style w:type="character" w:customStyle="1" w:styleId="80">
    <w:name w:val="标题 8 字符"/>
    <w:link w:val="10"/>
    <w:qFormat/>
    <w:locked/>
    <w:uiPriority w:val="0"/>
    <w:rPr>
      <w:rFonts w:ascii="Arial" w:hAnsi="Arial" w:eastAsia="黑体"/>
      <w:kern w:val="2"/>
      <w:sz w:val="24"/>
      <w:lang w:bidi="ar-SA"/>
    </w:rPr>
  </w:style>
  <w:style w:type="character" w:customStyle="1" w:styleId="81">
    <w:name w:val="纯文本 Char1"/>
    <w:qFormat/>
    <w:locked/>
    <w:uiPriority w:val="0"/>
    <w:rPr>
      <w:rFonts w:ascii="宋体" w:hAnsi="Courier New" w:eastAsia="宋体"/>
      <w:kern w:val="2"/>
      <w:sz w:val="21"/>
      <w:lang w:val="en-US" w:eastAsia="zh-CN" w:bidi="ar-SA"/>
    </w:rPr>
  </w:style>
  <w:style w:type="character" w:customStyle="1" w:styleId="82">
    <w:name w:val="投标正文 Char"/>
    <w:link w:val="83"/>
    <w:qFormat/>
    <w:uiPriority w:val="0"/>
    <w:rPr>
      <w:rFonts w:ascii="宋体" w:hAnsi="宋体"/>
      <w:kern w:val="2"/>
      <w:sz w:val="24"/>
      <w:szCs w:val="24"/>
      <w:lang w:bidi="ar-SA"/>
    </w:rPr>
  </w:style>
  <w:style w:type="paragraph" w:customStyle="1" w:styleId="83">
    <w:name w:val="投标正文"/>
    <w:basedOn w:val="1"/>
    <w:link w:val="82"/>
    <w:qFormat/>
    <w:uiPriority w:val="0"/>
    <w:pPr>
      <w:adjustRightInd w:val="0"/>
      <w:snapToGrid w:val="0"/>
      <w:spacing w:line="360" w:lineRule="auto"/>
      <w:ind w:firstLine="200" w:firstLineChars="200"/>
    </w:pPr>
    <w:rPr>
      <w:rFonts w:ascii="宋体" w:hAnsi="宋体"/>
      <w:sz w:val="24"/>
    </w:rPr>
  </w:style>
  <w:style w:type="character" w:customStyle="1" w:styleId="84">
    <w:name w:val="标题 7 字符"/>
    <w:link w:val="9"/>
    <w:qFormat/>
    <w:locked/>
    <w:uiPriority w:val="0"/>
    <w:rPr>
      <w:rFonts w:eastAsia="宋体"/>
      <w:b/>
      <w:kern w:val="2"/>
      <w:sz w:val="24"/>
      <w:lang w:bidi="ar-SA"/>
    </w:rPr>
  </w:style>
  <w:style w:type="character" w:customStyle="1" w:styleId="85">
    <w:name w:val="HTML 预设格式 Char"/>
    <w:qFormat/>
    <w:uiPriority w:val="0"/>
    <w:rPr>
      <w:rFonts w:ascii="黑体" w:hAnsi="Courier New" w:eastAsia="黑体" w:cs="Courier New"/>
      <w:lang w:val="en-US" w:eastAsia="zh-CN" w:bidi="ar-SA"/>
    </w:rPr>
  </w:style>
  <w:style w:type="character" w:customStyle="1" w:styleId="86">
    <w:name w:val="正文缩进 Char"/>
    <w:qFormat/>
    <w:uiPriority w:val="0"/>
    <w:rPr>
      <w:rFonts w:eastAsia="宋体"/>
      <w:kern w:val="2"/>
      <w:sz w:val="21"/>
      <w:lang w:val="en-US" w:eastAsia="zh-CN" w:bidi="ar-SA"/>
    </w:rPr>
  </w:style>
  <w:style w:type="character" w:customStyle="1" w:styleId="87">
    <w:name w:val="标准正文 S字符"/>
    <w:link w:val="88"/>
    <w:qFormat/>
    <w:uiPriority w:val="0"/>
    <w:rPr>
      <w:rFonts w:ascii="Calibri" w:hAnsi="Calibri"/>
      <w:kern w:val="2"/>
      <w:sz w:val="24"/>
      <w:szCs w:val="24"/>
      <w:lang w:bidi="ar-SA"/>
    </w:rPr>
  </w:style>
  <w:style w:type="paragraph" w:customStyle="1" w:styleId="88">
    <w:name w:val="标准正文 S"/>
    <w:basedOn w:val="1"/>
    <w:link w:val="87"/>
    <w:qFormat/>
    <w:uiPriority w:val="0"/>
    <w:pPr>
      <w:spacing w:beforeLines="50" w:afterLines="50" w:line="360" w:lineRule="auto"/>
      <w:ind w:firstLine="480"/>
      <w:jc w:val="left"/>
    </w:pPr>
    <w:rPr>
      <w:rFonts w:ascii="Calibri" w:hAnsi="Calibri"/>
      <w:sz w:val="24"/>
    </w:rPr>
  </w:style>
  <w:style w:type="character" w:customStyle="1" w:styleId="89">
    <w:name w:val="标题 9 Char"/>
    <w:qFormat/>
    <w:locked/>
    <w:uiPriority w:val="0"/>
    <w:rPr>
      <w:rFonts w:ascii="Arial" w:hAnsi="Arial" w:eastAsia="黑体"/>
      <w:kern w:val="2"/>
      <w:sz w:val="21"/>
      <w:lang w:val="en-US" w:eastAsia="zh-CN" w:bidi="ar-SA"/>
    </w:rPr>
  </w:style>
  <w:style w:type="character" w:customStyle="1" w:styleId="90">
    <w:name w:val="标题 字符"/>
    <w:link w:val="36"/>
    <w:qFormat/>
    <w:locked/>
    <w:uiPriority w:val="0"/>
    <w:rPr>
      <w:rFonts w:ascii="Cambria" w:hAnsi="Cambria" w:eastAsia="华文中宋"/>
      <w:b/>
      <w:bCs/>
      <w:kern w:val="28"/>
      <w:sz w:val="24"/>
      <w:szCs w:val="32"/>
      <w:lang w:val="en-US" w:eastAsia="en-US" w:bidi="ar-SA"/>
    </w:rPr>
  </w:style>
  <w:style w:type="character" w:customStyle="1" w:styleId="91">
    <w:name w:val="my正文 Char"/>
    <w:link w:val="92"/>
    <w:qFormat/>
    <w:uiPriority w:val="0"/>
    <w:rPr>
      <w:rFonts w:ascii="宋体" w:hAnsi="宋体" w:eastAsia="仿宋_GB2312"/>
      <w:sz w:val="24"/>
      <w:szCs w:val="44"/>
      <w:lang w:bidi="ar-SA"/>
    </w:rPr>
  </w:style>
  <w:style w:type="paragraph" w:customStyle="1" w:styleId="92">
    <w:name w:val="my正文"/>
    <w:basedOn w:val="1"/>
    <w:link w:val="91"/>
    <w:qFormat/>
    <w:uiPriority w:val="0"/>
    <w:pPr>
      <w:spacing w:line="360" w:lineRule="auto"/>
      <w:ind w:firstLine="200" w:firstLineChars="200"/>
      <w:jc w:val="left"/>
    </w:pPr>
    <w:rPr>
      <w:rFonts w:ascii="宋体" w:hAnsi="宋体" w:eastAsia="仿宋_GB2312"/>
      <w:kern w:val="0"/>
      <w:sz w:val="24"/>
      <w:szCs w:val="44"/>
    </w:rPr>
  </w:style>
  <w:style w:type="character" w:customStyle="1" w:styleId="93">
    <w:name w:val="Char Char10"/>
    <w:qFormat/>
    <w:uiPriority w:val="0"/>
    <w:rPr>
      <w:rFonts w:ascii="宋体" w:hAnsi="Courier New" w:eastAsia="宋体" w:cs="Courier New"/>
      <w:szCs w:val="21"/>
    </w:rPr>
  </w:style>
  <w:style w:type="character" w:customStyle="1" w:styleId="94">
    <w:name w:val="页脚 Char"/>
    <w:qFormat/>
    <w:locked/>
    <w:uiPriority w:val="0"/>
    <w:rPr>
      <w:rFonts w:ascii="宋体" w:hAnsi="Courier New" w:eastAsia="宋体"/>
      <w:kern w:val="2"/>
      <w:sz w:val="18"/>
      <w:lang w:val="en-US" w:eastAsia="zh-CN" w:bidi="ar-SA"/>
    </w:rPr>
  </w:style>
  <w:style w:type="character" w:customStyle="1" w:styleId="95">
    <w:name w:val="正文文本 Char"/>
    <w:qFormat/>
    <w:locked/>
    <w:uiPriority w:val="0"/>
    <w:rPr>
      <w:rFonts w:eastAsia="宋体"/>
      <w:kern w:val="2"/>
      <w:sz w:val="21"/>
      <w:lang w:val="en-US" w:eastAsia="zh-CN" w:bidi="ar-SA"/>
    </w:rPr>
  </w:style>
  <w:style w:type="character" w:customStyle="1" w:styleId="96">
    <w:name w:val="批注主题 字符"/>
    <w:link w:val="37"/>
    <w:qFormat/>
    <w:locked/>
    <w:uiPriority w:val="0"/>
    <w:rPr>
      <w:rFonts w:eastAsia="宋体"/>
      <w:b/>
      <w:bCs/>
      <w:kern w:val="2"/>
      <w:sz w:val="21"/>
      <w:szCs w:val="24"/>
      <w:lang w:val="en-US" w:eastAsia="zh-CN" w:bidi="ar-SA"/>
    </w:rPr>
  </w:style>
  <w:style w:type="character" w:customStyle="1" w:styleId="97">
    <w:name w:val="纯文本 字符"/>
    <w:link w:val="20"/>
    <w:qFormat/>
    <w:locked/>
    <w:uiPriority w:val="99"/>
    <w:rPr>
      <w:rFonts w:ascii="宋体" w:hAnsi="Courier New" w:eastAsia="宋体"/>
      <w:kern w:val="2"/>
      <w:sz w:val="21"/>
      <w:lang w:val="en-US" w:eastAsia="zh-CN" w:bidi="ar-SA"/>
    </w:rPr>
  </w:style>
  <w:style w:type="character" w:customStyle="1" w:styleId="98">
    <w:name w:val="标题 1 Char"/>
    <w:qFormat/>
    <w:locked/>
    <w:uiPriority w:val="0"/>
    <w:rPr>
      <w:rFonts w:eastAsia="宋体"/>
      <w:b/>
      <w:kern w:val="2"/>
      <w:sz w:val="21"/>
      <w:szCs w:val="24"/>
      <w:lang w:val="en-US" w:eastAsia="zh-CN" w:bidi="ar-SA"/>
    </w:rPr>
  </w:style>
  <w:style w:type="character" w:customStyle="1" w:styleId="99">
    <w:name w:val="1ji Char"/>
    <w:link w:val="100"/>
    <w:qFormat/>
    <w:uiPriority w:val="0"/>
    <w:rPr>
      <w:rFonts w:ascii="宋体" w:hAnsi="宋体"/>
      <w:b/>
      <w:bCs/>
      <w:kern w:val="44"/>
      <w:sz w:val="36"/>
      <w:szCs w:val="44"/>
      <w:lang w:bidi="ar-SA"/>
    </w:rPr>
  </w:style>
  <w:style w:type="paragraph" w:customStyle="1" w:styleId="100">
    <w:name w:val="1ji"/>
    <w:basedOn w:val="3"/>
    <w:link w:val="99"/>
    <w:qFormat/>
    <w:uiPriority w:val="0"/>
    <w:pPr>
      <w:widowControl/>
      <w:ind w:left="100" w:leftChars="100" w:right="100" w:rightChars="100"/>
      <w:jc w:val="center"/>
    </w:pPr>
    <w:rPr>
      <w:rFonts w:ascii="宋体" w:hAnsi="宋体"/>
      <w:bCs/>
      <w:kern w:val="44"/>
      <w:sz w:val="36"/>
      <w:szCs w:val="44"/>
    </w:rPr>
  </w:style>
  <w:style w:type="character" w:customStyle="1" w:styleId="101">
    <w:name w:val="页眉 Char"/>
    <w:qFormat/>
    <w:locked/>
    <w:uiPriority w:val="0"/>
    <w:rPr>
      <w:rFonts w:ascii="宋体" w:hAnsi="Courier New" w:eastAsia="宋体"/>
      <w:kern w:val="2"/>
      <w:sz w:val="18"/>
      <w:lang w:val="en-US" w:eastAsia="zh-CN" w:bidi="ar-SA"/>
    </w:rPr>
  </w:style>
  <w:style w:type="character" w:customStyle="1" w:styleId="102">
    <w:name w:val="纯文本 Char"/>
    <w:qFormat/>
    <w:locked/>
    <w:uiPriority w:val="0"/>
    <w:rPr>
      <w:rFonts w:ascii="宋体" w:hAnsi="Courier New" w:eastAsia="宋体"/>
      <w:kern w:val="2"/>
      <w:sz w:val="21"/>
      <w:lang w:val="en-US" w:eastAsia="zh-CN" w:bidi="ar-SA"/>
    </w:rPr>
  </w:style>
  <w:style w:type="character" w:customStyle="1" w:styleId="103">
    <w:name w:val="标题 2 Char"/>
    <w:qFormat/>
    <w:locked/>
    <w:uiPriority w:val="0"/>
    <w:rPr>
      <w:rFonts w:ascii="Arial" w:hAnsi="Arial" w:eastAsia="黑体"/>
      <w:b/>
      <w:bCs/>
      <w:kern w:val="2"/>
      <w:sz w:val="32"/>
      <w:szCs w:val="32"/>
      <w:lang w:val="en-US" w:eastAsia="zh-CN" w:bidi="ar-SA"/>
    </w:rPr>
  </w:style>
  <w:style w:type="character" w:customStyle="1" w:styleId="104">
    <w:name w:val="纯文本 Char2"/>
    <w:qFormat/>
    <w:locked/>
    <w:uiPriority w:val="0"/>
    <w:rPr>
      <w:rFonts w:ascii="宋体" w:hAnsi="Courier New" w:eastAsia="宋体"/>
      <w:kern w:val="2"/>
      <w:sz w:val="21"/>
      <w:lang w:val="en-US" w:eastAsia="zh-CN" w:bidi="ar-SA"/>
    </w:rPr>
  </w:style>
  <w:style w:type="character" w:customStyle="1" w:styleId="105">
    <w:name w:val="Char Char16"/>
    <w:qFormat/>
    <w:locked/>
    <w:uiPriority w:val="0"/>
    <w:rPr>
      <w:rFonts w:ascii="宋体" w:hAnsi="Courier New"/>
      <w:lang w:bidi="ar-SA"/>
    </w:rPr>
  </w:style>
  <w:style w:type="character" w:customStyle="1" w:styleId="106">
    <w:name w:val="正文－缩进 Char Char"/>
    <w:link w:val="107"/>
    <w:qFormat/>
    <w:locked/>
    <w:uiPriority w:val="0"/>
    <w:rPr>
      <w:rFonts w:ascii="Arial" w:hAnsi="Arial" w:eastAsia="仿宋_GB2312"/>
      <w:sz w:val="24"/>
      <w:lang w:bidi="ar-SA"/>
    </w:rPr>
  </w:style>
  <w:style w:type="paragraph" w:customStyle="1" w:styleId="107">
    <w:name w:val="正文－缩进"/>
    <w:basedOn w:val="1"/>
    <w:link w:val="106"/>
    <w:qFormat/>
    <w:uiPriority w:val="0"/>
    <w:pPr>
      <w:spacing w:before="120" w:after="120" w:line="360" w:lineRule="auto"/>
      <w:ind w:firstLine="200" w:firstLineChars="200"/>
    </w:pPr>
    <w:rPr>
      <w:rFonts w:ascii="Arial" w:hAnsi="Arial" w:eastAsia="仿宋_GB2312"/>
      <w:kern w:val="0"/>
      <w:sz w:val="24"/>
      <w:szCs w:val="20"/>
    </w:rPr>
  </w:style>
  <w:style w:type="character" w:customStyle="1" w:styleId="108">
    <w:name w:val="页脚 字符"/>
    <w:link w:val="24"/>
    <w:qFormat/>
    <w:locked/>
    <w:uiPriority w:val="0"/>
    <w:rPr>
      <w:rFonts w:ascii="宋体" w:hAnsi="Courier New" w:eastAsia="宋体"/>
      <w:kern w:val="2"/>
      <w:sz w:val="18"/>
      <w:lang w:val="en-US" w:eastAsia="zh-CN" w:bidi="ar-SA"/>
    </w:rPr>
  </w:style>
  <w:style w:type="character" w:customStyle="1" w:styleId="109">
    <w:name w:val="正文文本缩进 3 Char"/>
    <w:qFormat/>
    <w:uiPriority w:val="0"/>
    <w:rPr>
      <w:kern w:val="2"/>
      <w:sz w:val="16"/>
      <w:szCs w:val="16"/>
      <w:lang w:bidi="ar-SA"/>
    </w:rPr>
  </w:style>
  <w:style w:type="character" w:customStyle="1" w:styleId="110">
    <w:name w:val="日期 字符"/>
    <w:link w:val="21"/>
    <w:semiHidden/>
    <w:qFormat/>
    <w:locked/>
    <w:uiPriority w:val="0"/>
    <w:rPr>
      <w:rFonts w:ascii="宋体" w:hAnsi="Courier New" w:eastAsia="宋体" w:cs="Courier New"/>
      <w:kern w:val="2"/>
      <w:sz w:val="21"/>
      <w:szCs w:val="21"/>
      <w:lang w:val="en-US" w:eastAsia="zh-CN" w:bidi="ar-SA"/>
    </w:rPr>
  </w:style>
  <w:style w:type="character" w:customStyle="1" w:styleId="111">
    <w:name w:val="标题 5 字符"/>
    <w:link w:val="7"/>
    <w:qFormat/>
    <w:locked/>
    <w:uiPriority w:val="0"/>
    <w:rPr>
      <w:rFonts w:eastAsia="宋体"/>
      <w:b/>
      <w:kern w:val="2"/>
      <w:sz w:val="28"/>
      <w:lang w:bidi="ar-SA"/>
    </w:rPr>
  </w:style>
  <w:style w:type="character" w:customStyle="1" w:styleId="112">
    <w:name w:val="标题 5 Char"/>
    <w:qFormat/>
    <w:locked/>
    <w:uiPriority w:val="0"/>
    <w:rPr>
      <w:rFonts w:eastAsia="宋体"/>
      <w:b/>
      <w:kern w:val="2"/>
      <w:sz w:val="28"/>
      <w:lang w:val="en-US" w:eastAsia="zh-CN" w:bidi="ar-SA"/>
    </w:rPr>
  </w:style>
  <w:style w:type="character" w:customStyle="1" w:styleId="113">
    <w:name w:val="批注框文本 字符"/>
    <w:link w:val="23"/>
    <w:semiHidden/>
    <w:qFormat/>
    <w:locked/>
    <w:uiPriority w:val="0"/>
    <w:rPr>
      <w:rFonts w:eastAsia="宋体"/>
      <w:kern w:val="2"/>
      <w:sz w:val="18"/>
      <w:szCs w:val="18"/>
      <w:lang w:val="en-US" w:eastAsia="zh-CN" w:bidi="ar-SA"/>
    </w:rPr>
  </w:style>
  <w:style w:type="character" w:customStyle="1" w:styleId="114">
    <w:name w:val="正文首行缩进 2 Char"/>
    <w:qFormat/>
    <w:uiPriority w:val="0"/>
    <w:rPr>
      <w:rFonts w:ascii="黑体" w:hAnsi="Courier New" w:eastAsia="黑体" w:cs="Courier New"/>
      <w:lang w:val="en-US" w:eastAsia="zh-CN" w:bidi="ar-SA"/>
    </w:rPr>
  </w:style>
  <w:style w:type="character" w:customStyle="1" w:styleId="115">
    <w:name w:val="font71"/>
    <w:qFormat/>
    <w:uiPriority w:val="0"/>
    <w:rPr>
      <w:rFonts w:hint="eastAsia" w:ascii="微软雅黑" w:hAnsi="微软雅黑" w:eastAsia="微软雅黑" w:cs="微软雅黑"/>
      <w:color w:val="000000"/>
      <w:sz w:val="22"/>
      <w:szCs w:val="22"/>
      <w:u w:val="none"/>
    </w:rPr>
  </w:style>
  <w:style w:type="character" w:customStyle="1" w:styleId="116">
    <w:name w:val="标题 9 字符"/>
    <w:link w:val="11"/>
    <w:qFormat/>
    <w:locked/>
    <w:uiPriority w:val="0"/>
    <w:rPr>
      <w:rFonts w:ascii="Arial" w:hAnsi="Arial" w:eastAsia="黑体"/>
      <w:kern w:val="2"/>
      <w:sz w:val="21"/>
      <w:lang w:bidi="ar-SA"/>
    </w:rPr>
  </w:style>
  <w:style w:type="character" w:customStyle="1" w:styleId="117">
    <w:name w:val="正文文本 字符"/>
    <w:link w:val="17"/>
    <w:qFormat/>
    <w:locked/>
    <w:uiPriority w:val="0"/>
    <w:rPr>
      <w:rFonts w:eastAsia="宋体"/>
      <w:kern w:val="2"/>
      <w:sz w:val="21"/>
      <w:lang w:val="en-US" w:eastAsia="zh-CN" w:bidi="ar-SA"/>
    </w:rPr>
  </w:style>
  <w:style w:type="character" w:customStyle="1" w:styleId="118">
    <w:name w:val="font41"/>
    <w:qFormat/>
    <w:uiPriority w:val="0"/>
    <w:rPr>
      <w:rFonts w:hint="eastAsia" w:ascii="宋体" w:hAnsi="宋体" w:eastAsia="宋体" w:cs="宋体"/>
      <w:b/>
      <w:color w:val="000000"/>
      <w:sz w:val="24"/>
      <w:szCs w:val="24"/>
      <w:u w:val="none"/>
    </w:rPr>
  </w:style>
  <w:style w:type="character" w:customStyle="1" w:styleId="119">
    <w:name w:val="标题 3 Char"/>
    <w:qFormat/>
    <w:locked/>
    <w:uiPriority w:val="0"/>
    <w:rPr>
      <w:rFonts w:eastAsia="宋体"/>
      <w:b/>
      <w:bCs/>
      <w:kern w:val="2"/>
      <w:sz w:val="32"/>
      <w:szCs w:val="32"/>
      <w:lang w:val="en-US" w:eastAsia="zh-CN" w:bidi="ar-SA"/>
    </w:rPr>
  </w:style>
  <w:style w:type="character" w:customStyle="1" w:styleId="120">
    <w:name w:val="Header Char"/>
    <w:qFormat/>
    <w:locked/>
    <w:uiPriority w:val="0"/>
    <w:rPr>
      <w:rFonts w:cs="Times New Roman"/>
      <w:sz w:val="18"/>
      <w:szCs w:val="18"/>
    </w:rPr>
  </w:style>
  <w:style w:type="character" w:customStyle="1" w:styleId="121">
    <w:name w:val="方案正文 Char"/>
    <w:link w:val="122"/>
    <w:qFormat/>
    <w:uiPriority w:val="0"/>
    <w:rPr>
      <w:rFonts w:ascii="Calibri" w:hAnsi="Calibri"/>
      <w:kern w:val="2"/>
      <w:sz w:val="24"/>
      <w:szCs w:val="24"/>
      <w:lang w:bidi="ar-SA"/>
    </w:rPr>
  </w:style>
  <w:style w:type="paragraph" w:customStyle="1" w:styleId="122">
    <w:name w:val="方案正文"/>
    <w:basedOn w:val="1"/>
    <w:link w:val="121"/>
    <w:qFormat/>
    <w:uiPriority w:val="0"/>
    <w:pPr>
      <w:adjustRightInd w:val="0"/>
      <w:snapToGrid w:val="0"/>
      <w:spacing w:line="360" w:lineRule="auto"/>
      <w:ind w:firstLine="480" w:firstLineChars="200"/>
      <w:jc w:val="left"/>
    </w:pPr>
    <w:rPr>
      <w:rFonts w:ascii="Calibri" w:hAnsi="Calibri"/>
      <w:sz w:val="24"/>
    </w:rPr>
  </w:style>
  <w:style w:type="character" w:customStyle="1" w:styleId="123">
    <w:name w:val="正文文本 2 字符"/>
    <w:link w:val="33"/>
    <w:qFormat/>
    <w:uiPriority w:val="0"/>
    <w:rPr>
      <w:kern w:val="2"/>
      <w:sz w:val="21"/>
      <w:szCs w:val="24"/>
      <w:lang w:bidi="ar-SA"/>
    </w:rPr>
  </w:style>
  <w:style w:type="character" w:customStyle="1" w:styleId="124">
    <w:name w:val="正文文本缩进 2 字符"/>
    <w:link w:val="22"/>
    <w:qFormat/>
    <w:locked/>
    <w:uiPriority w:val="0"/>
    <w:rPr>
      <w:rFonts w:ascii="华文中宋" w:hAnsi="华文中宋" w:eastAsia="华文中宋"/>
      <w:sz w:val="24"/>
      <w:szCs w:val="24"/>
      <w:lang w:val="en-US" w:eastAsia="zh-CN" w:bidi="ar-SA"/>
    </w:rPr>
  </w:style>
  <w:style w:type="character" w:customStyle="1" w:styleId="125">
    <w:name w:val="标题 6 字符"/>
    <w:link w:val="2"/>
    <w:qFormat/>
    <w:locked/>
    <w:uiPriority w:val="0"/>
    <w:rPr>
      <w:rFonts w:ascii="Arial" w:hAnsi="Arial" w:eastAsia="黑体"/>
      <w:b/>
      <w:kern w:val="2"/>
      <w:sz w:val="24"/>
      <w:lang w:bidi="ar-SA"/>
    </w:rPr>
  </w:style>
  <w:style w:type="character" w:customStyle="1" w:styleId="126">
    <w:name w:val="正文首行缩进 Char"/>
    <w:qFormat/>
    <w:locked/>
    <w:uiPriority w:val="0"/>
    <w:rPr>
      <w:rFonts w:ascii="华文中宋" w:hAnsi="华文中宋" w:eastAsia="宋体"/>
      <w:kern w:val="2"/>
      <w:sz w:val="21"/>
      <w:szCs w:val="24"/>
      <w:lang w:val="en-US" w:eastAsia="zh-CN" w:bidi="ar-SA"/>
    </w:rPr>
  </w:style>
  <w:style w:type="character" w:customStyle="1" w:styleId="127">
    <w:name w:val="font51"/>
    <w:qFormat/>
    <w:uiPriority w:val="0"/>
    <w:rPr>
      <w:rFonts w:hint="default" w:ascii="Times New Roman" w:hAnsi="Times New Roman" w:cs="Times New Roman"/>
      <w:b/>
      <w:color w:val="000000"/>
      <w:sz w:val="24"/>
      <w:szCs w:val="24"/>
      <w:u w:val="none"/>
    </w:rPr>
  </w:style>
  <w:style w:type="character" w:customStyle="1" w:styleId="128">
    <w:name w:val="font61"/>
    <w:qFormat/>
    <w:uiPriority w:val="0"/>
    <w:rPr>
      <w:rFonts w:hint="eastAsia" w:ascii="宋体" w:hAnsi="宋体" w:eastAsia="宋体" w:cs="宋体"/>
      <w:color w:val="000000"/>
      <w:sz w:val="24"/>
      <w:szCs w:val="24"/>
      <w:u w:val="none"/>
    </w:rPr>
  </w:style>
  <w:style w:type="character" w:customStyle="1" w:styleId="129">
    <w:name w:val="样式 首行缩进:  2 字符 Char Char"/>
    <w:link w:val="130"/>
    <w:qFormat/>
    <w:locked/>
    <w:uiPriority w:val="0"/>
    <w:rPr>
      <w:sz w:val="24"/>
      <w:lang w:bidi="ar-SA"/>
    </w:rPr>
  </w:style>
  <w:style w:type="paragraph" w:customStyle="1" w:styleId="130">
    <w:name w:val="样式 首行缩进:  2 字符"/>
    <w:basedOn w:val="1"/>
    <w:link w:val="129"/>
    <w:qFormat/>
    <w:uiPriority w:val="0"/>
    <w:pPr>
      <w:spacing w:line="360" w:lineRule="auto"/>
      <w:ind w:firstLine="480" w:firstLineChars="200"/>
    </w:pPr>
    <w:rPr>
      <w:kern w:val="0"/>
      <w:sz w:val="24"/>
      <w:szCs w:val="20"/>
    </w:rPr>
  </w:style>
  <w:style w:type="character" w:customStyle="1" w:styleId="131">
    <w:name w:val="标题 3 字符"/>
    <w:link w:val="5"/>
    <w:qFormat/>
    <w:locked/>
    <w:uiPriority w:val="0"/>
    <w:rPr>
      <w:rFonts w:eastAsia="宋体"/>
      <w:b/>
      <w:bCs/>
      <w:kern w:val="2"/>
      <w:sz w:val="32"/>
      <w:szCs w:val="32"/>
      <w:lang w:val="en-US" w:eastAsia="zh-CN" w:bidi="ar-SA"/>
    </w:rPr>
  </w:style>
  <w:style w:type="character" w:customStyle="1" w:styleId="132">
    <w:name w:val="标题 8 Char"/>
    <w:qFormat/>
    <w:locked/>
    <w:uiPriority w:val="0"/>
    <w:rPr>
      <w:rFonts w:ascii="Arial" w:hAnsi="Arial" w:eastAsia="黑体"/>
      <w:kern w:val="2"/>
      <w:sz w:val="24"/>
      <w:lang w:val="en-US" w:eastAsia="zh-CN" w:bidi="ar-SA"/>
    </w:rPr>
  </w:style>
  <w:style w:type="character" w:customStyle="1" w:styleId="133">
    <w:name w:val="普通文字 Char Char2"/>
    <w:qFormat/>
    <w:uiPriority w:val="0"/>
    <w:rPr>
      <w:rFonts w:ascii="宋体" w:hAnsi="Courier New" w:eastAsia="宋体"/>
      <w:kern w:val="2"/>
      <w:sz w:val="21"/>
      <w:lang w:val="en-US" w:eastAsia="zh-CN" w:bidi="ar-SA"/>
    </w:rPr>
  </w:style>
  <w:style w:type="character" w:customStyle="1" w:styleId="134">
    <w:name w:val="正文文本 2 Char"/>
    <w:qFormat/>
    <w:uiPriority w:val="0"/>
    <w:rPr>
      <w:kern w:val="2"/>
      <w:sz w:val="21"/>
      <w:szCs w:val="24"/>
      <w:lang w:bidi="ar-SA"/>
    </w:rPr>
  </w:style>
  <w:style w:type="character" w:customStyle="1" w:styleId="135">
    <w:name w:val="文档结构图 Char"/>
    <w:qFormat/>
    <w:locked/>
    <w:uiPriority w:val="0"/>
    <w:rPr>
      <w:rFonts w:eastAsia="宋体"/>
      <w:kern w:val="2"/>
      <w:sz w:val="21"/>
      <w:szCs w:val="24"/>
      <w:lang w:val="en-US" w:eastAsia="zh-CN" w:bidi="ar-SA"/>
    </w:rPr>
  </w:style>
  <w:style w:type="character" w:customStyle="1" w:styleId="136">
    <w:name w:val="普通文字 Char Char5"/>
    <w:qFormat/>
    <w:uiPriority w:val="0"/>
    <w:rPr>
      <w:rFonts w:ascii="宋体" w:hAnsi="宋体" w:eastAsia="宋体" w:cs="宋体"/>
      <w:kern w:val="2"/>
      <w:sz w:val="21"/>
      <w:lang w:val="en-US" w:eastAsia="zh-CN" w:bidi="ar-SA"/>
    </w:rPr>
  </w:style>
  <w:style w:type="character" w:customStyle="1" w:styleId="137">
    <w:name w:val="标题 6 Char"/>
    <w:qFormat/>
    <w:locked/>
    <w:uiPriority w:val="0"/>
    <w:rPr>
      <w:rFonts w:ascii="Arial" w:hAnsi="Arial" w:eastAsia="黑体"/>
      <w:b/>
      <w:kern w:val="2"/>
      <w:sz w:val="24"/>
      <w:lang w:val="en-US" w:eastAsia="zh-CN" w:bidi="ar-SA"/>
    </w:rPr>
  </w:style>
  <w:style w:type="character" w:customStyle="1" w:styleId="138">
    <w:name w:val="文档结构图 字符"/>
    <w:link w:val="14"/>
    <w:qFormat/>
    <w:locked/>
    <w:uiPriority w:val="0"/>
    <w:rPr>
      <w:rFonts w:eastAsia="宋体"/>
      <w:kern w:val="2"/>
      <w:sz w:val="21"/>
      <w:szCs w:val="24"/>
      <w:lang w:val="en-US" w:eastAsia="zh-CN" w:bidi="ar-SA"/>
    </w:rPr>
  </w:style>
  <w:style w:type="character" w:customStyle="1" w:styleId="139">
    <w:name w:val="Footer Char"/>
    <w:qFormat/>
    <w:locked/>
    <w:uiPriority w:val="0"/>
    <w:rPr>
      <w:rFonts w:cs="Times New Roman"/>
      <w:sz w:val="18"/>
      <w:szCs w:val="18"/>
    </w:rPr>
  </w:style>
  <w:style w:type="character" w:customStyle="1" w:styleId="140">
    <w:name w:val="font31"/>
    <w:qFormat/>
    <w:uiPriority w:val="0"/>
    <w:rPr>
      <w:rFonts w:hint="default" w:ascii="Times New Roman" w:hAnsi="Times New Roman" w:cs="Times New Roman"/>
      <w:color w:val="000000"/>
      <w:sz w:val="24"/>
      <w:szCs w:val="24"/>
      <w:u w:val="none"/>
    </w:rPr>
  </w:style>
  <w:style w:type="character" w:customStyle="1" w:styleId="141">
    <w:name w:val="正文文本缩进 Char"/>
    <w:qFormat/>
    <w:locked/>
    <w:uiPriority w:val="0"/>
    <w:rPr>
      <w:rFonts w:ascii="宋体" w:hAnsi="Courier New" w:eastAsia="宋体"/>
      <w:spacing w:val="-4"/>
      <w:kern w:val="2"/>
      <w:sz w:val="18"/>
      <w:lang w:val="en-US" w:eastAsia="zh-CN" w:bidi="ar-SA"/>
    </w:rPr>
  </w:style>
  <w:style w:type="character" w:customStyle="1" w:styleId="142">
    <w:name w:val="标题 2 字符"/>
    <w:link w:val="4"/>
    <w:qFormat/>
    <w:locked/>
    <w:uiPriority w:val="0"/>
    <w:rPr>
      <w:rFonts w:ascii="Arial" w:hAnsi="Arial" w:eastAsia="黑体"/>
      <w:b/>
      <w:bCs/>
      <w:kern w:val="2"/>
      <w:sz w:val="32"/>
      <w:szCs w:val="32"/>
      <w:lang w:val="en-US" w:eastAsia="zh-CN" w:bidi="ar-SA"/>
    </w:rPr>
  </w:style>
  <w:style w:type="character" w:customStyle="1" w:styleId="143">
    <w:name w:val="页眉 字符"/>
    <w:link w:val="25"/>
    <w:qFormat/>
    <w:locked/>
    <w:uiPriority w:val="0"/>
    <w:rPr>
      <w:rFonts w:ascii="宋体" w:hAnsi="Courier New" w:eastAsia="宋体"/>
      <w:kern w:val="2"/>
      <w:sz w:val="18"/>
      <w:lang w:val="en-US" w:eastAsia="zh-CN" w:bidi="ar-SA"/>
    </w:rPr>
  </w:style>
  <w:style w:type="character" w:customStyle="1" w:styleId="144">
    <w:name w:val="*正文 Char"/>
    <w:link w:val="145"/>
    <w:qFormat/>
    <w:uiPriority w:val="0"/>
    <w:rPr>
      <w:rFonts w:ascii="宋体" w:hAnsi="宋体"/>
      <w:sz w:val="24"/>
      <w:lang w:bidi="ar-SA"/>
    </w:rPr>
  </w:style>
  <w:style w:type="paragraph" w:customStyle="1" w:styleId="145">
    <w:name w:val="*正文"/>
    <w:basedOn w:val="1"/>
    <w:link w:val="144"/>
    <w:qFormat/>
    <w:uiPriority w:val="0"/>
    <w:pPr>
      <w:spacing w:line="360" w:lineRule="auto"/>
      <w:ind w:firstLine="482"/>
      <w:jc w:val="left"/>
    </w:pPr>
    <w:rPr>
      <w:rFonts w:ascii="宋体" w:hAnsi="宋体"/>
      <w:kern w:val="0"/>
      <w:sz w:val="24"/>
      <w:szCs w:val="20"/>
    </w:rPr>
  </w:style>
  <w:style w:type="paragraph" w:customStyle="1" w:styleId="146">
    <w:name w:val="列表段落1"/>
    <w:basedOn w:val="1"/>
    <w:qFormat/>
    <w:uiPriority w:val="0"/>
    <w:pPr>
      <w:ind w:firstLine="420" w:firstLineChars="200"/>
    </w:pPr>
    <w:rPr>
      <w:rFonts w:ascii="Calibri" w:hAnsi="Calibri" w:cs="Calibri"/>
      <w:szCs w:val="21"/>
    </w:rPr>
  </w:style>
  <w:style w:type="paragraph" w:customStyle="1" w:styleId="147">
    <w:name w:val="默认段落字体 Para Char Char Char Char Char Char Char Char Char Char"/>
    <w:basedOn w:val="1"/>
    <w:qFormat/>
    <w:uiPriority w:val="0"/>
    <w:rPr>
      <w:rFonts w:ascii="楷体_GB2312" w:hAnsi="宋体" w:eastAsia="楷体_GB2312"/>
      <w:spacing w:val="-20"/>
      <w:kern w:val="24"/>
      <w:sz w:val="24"/>
    </w:rPr>
  </w:style>
  <w:style w:type="paragraph" w:customStyle="1" w:styleId="148">
    <w:name w:val="样式1"/>
    <w:basedOn w:val="1"/>
    <w:qFormat/>
    <w:uiPriority w:val="0"/>
    <w:pPr>
      <w:numPr>
        <w:ilvl w:val="0"/>
        <w:numId w:val="1"/>
      </w:numPr>
      <w:adjustRightInd w:val="0"/>
    </w:pPr>
    <w:rPr>
      <w:rFonts w:ascii="宋体" w:hAnsi="宋体"/>
      <w:kern w:val="0"/>
      <w:szCs w:val="21"/>
    </w:rPr>
  </w:style>
  <w:style w:type="paragraph" w:customStyle="1" w:styleId="149">
    <w:name w:val="正1"/>
    <w:basedOn w:val="1"/>
    <w:qFormat/>
    <w:uiPriority w:val="0"/>
    <w:pPr>
      <w:spacing w:line="360" w:lineRule="auto"/>
      <w:ind w:firstLine="480" w:firstLineChars="200"/>
    </w:pPr>
    <w:rPr>
      <w:rFonts w:ascii="'宋体" w:eastAsia="'宋体"/>
      <w:sz w:val="24"/>
      <w:szCs w:val="20"/>
    </w:rPr>
  </w:style>
  <w:style w:type="paragraph" w:customStyle="1" w:styleId="150">
    <w:name w:val="QL1"/>
    <w:basedOn w:val="1"/>
    <w:qFormat/>
    <w:uiPriority w:val="0"/>
    <w:pPr>
      <w:ind w:left="1379" w:hanging="420"/>
    </w:pPr>
    <w:rPr>
      <w:sz w:val="24"/>
    </w:rPr>
  </w:style>
  <w:style w:type="paragraph" w:customStyle="1" w:styleId="151">
    <w:name w:val="Char Char Char"/>
    <w:basedOn w:val="1"/>
    <w:qFormat/>
    <w:uiPriority w:val="0"/>
    <w:rPr>
      <w:rFonts w:ascii="Tahoma" w:hAnsi="Tahoma"/>
      <w:sz w:val="24"/>
      <w:szCs w:val="20"/>
    </w:rPr>
  </w:style>
  <w:style w:type="paragraph" w:customStyle="1" w:styleId="152">
    <w:name w:val="2"/>
    <w:basedOn w:val="1"/>
    <w:next w:val="20"/>
    <w:qFormat/>
    <w:uiPriority w:val="0"/>
    <w:rPr>
      <w:rFonts w:ascii="宋体" w:hAnsi="Courier New"/>
      <w:szCs w:val="20"/>
    </w:rPr>
  </w:style>
  <w:style w:type="paragraph" w:customStyle="1" w:styleId="153">
    <w:name w:val="Char Char"/>
    <w:basedOn w:val="1"/>
    <w:qFormat/>
    <w:uiPriority w:val="0"/>
    <w:rPr>
      <w:rFonts w:ascii="仿宋_GB2312" w:eastAsia="仿宋_GB2312"/>
      <w:b/>
      <w:sz w:val="32"/>
      <w:szCs w:val="32"/>
    </w:rPr>
  </w:style>
  <w:style w:type="paragraph" w:customStyle="1" w:styleId="154">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55">
    <w:name w:val="RFI text from 3rd Level"/>
    <w:basedOn w:val="1"/>
    <w:qFormat/>
    <w:uiPriority w:val="0"/>
    <w:pPr>
      <w:widowControl/>
      <w:tabs>
        <w:tab w:val="left" w:pos="1080"/>
      </w:tabs>
      <w:spacing w:beforeLines="50" w:line="360" w:lineRule="auto"/>
    </w:pPr>
    <w:rPr>
      <w:rFonts w:ascii="Arial (W1)" w:hAnsi="Arial (W1)"/>
      <w:bCs/>
      <w:kern w:val="0"/>
      <w:sz w:val="24"/>
      <w:lang w:val="en-GB"/>
    </w:rPr>
  </w:style>
  <w:style w:type="paragraph" w:customStyle="1" w:styleId="156">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b/>
      <w:bCs/>
      <w:color w:val="000000"/>
      <w:kern w:val="0"/>
      <w:szCs w:val="20"/>
    </w:rPr>
  </w:style>
  <w:style w:type="paragraph" w:customStyle="1" w:styleId="157">
    <w:name w:val="Char Char Char Char Char Char Char Char Char Char Char Char Char Char Char Char"/>
    <w:basedOn w:val="1"/>
    <w:qFormat/>
    <w:uiPriority w:val="0"/>
    <w:pPr>
      <w:tabs>
        <w:tab w:val="left" w:pos="360"/>
      </w:tabs>
      <w:spacing w:line="360" w:lineRule="auto"/>
      <w:ind w:left="482" w:firstLine="200" w:firstLineChars="200"/>
    </w:pPr>
    <w:rPr>
      <w:szCs w:val="20"/>
    </w:rPr>
  </w:style>
  <w:style w:type="paragraph" w:customStyle="1" w:styleId="158">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
    <w:name w:val="_Style 1"/>
    <w:basedOn w:val="1"/>
    <w:qFormat/>
    <w:uiPriority w:val="0"/>
    <w:pPr>
      <w:ind w:firstLine="420" w:firstLineChars="200"/>
    </w:pPr>
    <w:rPr>
      <w:szCs w:val="20"/>
    </w:rPr>
  </w:style>
  <w:style w:type="paragraph" w:customStyle="1" w:styleId="160">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Char2 Char Char Char"/>
    <w:basedOn w:val="1"/>
    <w:qFormat/>
    <w:uiPriority w:val="0"/>
    <w:rPr>
      <w:szCs w:val="20"/>
    </w:rPr>
  </w:style>
  <w:style w:type="paragraph" w:customStyle="1" w:styleId="163">
    <w:name w:val="Char Char Char Char"/>
    <w:basedOn w:val="14"/>
    <w:qFormat/>
    <w:uiPriority w:val="0"/>
    <w:pPr>
      <w:adjustRightInd w:val="0"/>
      <w:snapToGrid w:val="0"/>
      <w:spacing w:line="360" w:lineRule="auto"/>
    </w:pPr>
    <w:rPr>
      <w:rFonts w:ascii="Tahoma" w:hAnsi="Tahoma"/>
      <w:sz w:val="24"/>
    </w:rPr>
  </w:style>
  <w:style w:type="paragraph" w:customStyle="1" w:styleId="164">
    <w:name w:val="p18"/>
    <w:basedOn w:val="1"/>
    <w:qFormat/>
    <w:uiPriority w:val="0"/>
    <w:pPr>
      <w:widowControl/>
    </w:pPr>
    <w:rPr>
      <w:rFonts w:ascii="宋体" w:hAnsi="宋体" w:cs="宋体"/>
      <w:kern w:val="0"/>
      <w:szCs w:val="21"/>
    </w:rPr>
  </w:style>
  <w:style w:type="paragraph" w:customStyle="1" w:styleId="165">
    <w:name w:val="默认段落字体 Para Char Char Char Char Char Char Char Char Char1 Char Char Char Char"/>
    <w:basedOn w:val="1"/>
    <w:qFormat/>
    <w:uiPriority w:val="0"/>
    <w:pPr>
      <w:adjustRightInd w:val="0"/>
      <w:snapToGrid w:val="0"/>
      <w:spacing w:line="360" w:lineRule="auto"/>
      <w:ind w:firstLine="200" w:firstLineChars="200"/>
    </w:pPr>
    <w:rPr>
      <w:rFonts w:ascii="Tahoma" w:hAnsi="Tahoma"/>
      <w:sz w:val="24"/>
      <w:szCs w:val="20"/>
    </w:rPr>
  </w:style>
  <w:style w:type="paragraph" w:customStyle="1" w:styleId="166">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167">
    <w:name w:val="_Style 76"/>
    <w:basedOn w:val="1"/>
    <w:qFormat/>
    <w:uiPriority w:val="0"/>
    <w:pPr>
      <w:tabs>
        <w:tab w:val="left" w:pos="360"/>
      </w:tabs>
      <w:spacing w:line="360" w:lineRule="auto"/>
      <w:ind w:left="482" w:firstLine="200" w:firstLineChars="200"/>
    </w:pPr>
    <w:rPr>
      <w:rFonts w:ascii="宋体"/>
      <w:sz w:val="24"/>
    </w:rPr>
  </w:style>
  <w:style w:type="paragraph" w:customStyle="1" w:styleId="168">
    <w:name w:val="Char1"/>
    <w:basedOn w:val="1"/>
    <w:qFormat/>
    <w:uiPriority w:val="0"/>
    <w:pPr>
      <w:tabs>
        <w:tab w:val="left" w:pos="360"/>
      </w:tabs>
    </w:pPr>
  </w:style>
  <w:style w:type="paragraph" w:customStyle="1" w:styleId="169">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HD正文1"/>
    <w:basedOn w:val="1"/>
    <w:qFormat/>
    <w:uiPriority w:val="0"/>
    <w:pPr>
      <w:spacing w:line="440" w:lineRule="atLeast"/>
      <w:ind w:firstLine="540"/>
    </w:pPr>
    <w:rPr>
      <w:sz w:val="24"/>
    </w:rPr>
  </w:style>
  <w:style w:type="paragraph" w:customStyle="1" w:styleId="171">
    <w:name w:val="QL2"/>
    <w:basedOn w:val="1"/>
    <w:qFormat/>
    <w:uiPriority w:val="0"/>
    <w:pPr>
      <w:ind w:left="1799" w:hanging="420"/>
    </w:pPr>
    <w:rPr>
      <w:sz w:val="24"/>
    </w:rPr>
  </w:style>
  <w:style w:type="paragraph" w:customStyle="1" w:styleId="172">
    <w:name w:val="列表段落11"/>
    <w:basedOn w:val="1"/>
    <w:qFormat/>
    <w:uiPriority w:val="34"/>
    <w:pPr>
      <w:ind w:firstLine="420" w:firstLineChars="200"/>
    </w:pPr>
  </w:style>
  <w:style w:type="paragraph" w:customStyle="1" w:styleId="173">
    <w:name w:val="正文1"/>
    <w:qFormat/>
    <w:uiPriority w:val="0"/>
    <w:pPr>
      <w:widowControl w:val="0"/>
      <w:adjustRightInd w:val="0"/>
      <w:spacing w:line="312" w:lineRule="atLeast"/>
      <w:jc w:val="both"/>
    </w:pPr>
    <w:rPr>
      <w:rFonts w:hint="eastAsia" w:ascii="宋体" w:hAnsi="Times New Roman" w:eastAsia="宋体" w:cs="Times New Roman"/>
      <w:sz w:val="34"/>
      <w:lang w:val="en-US" w:eastAsia="zh-CN" w:bidi="ar-SA"/>
    </w:rPr>
  </w:style>
  <w:style w:type="paragraph" w:customStyle="1" w:styleId="174">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Char Char Char Char Char Char Char Char Char Char Char Char"/>
    <w:basedOn w:val="1"/>
    <w:qFormat/>
    <w:uiPriority w:val="0"/>
    <w:pPr>
      <w:widowControl/>
      <w:spacing w:after="160" w:line="240" w:lineRule="exact"/>
      <w:jc w:val="left"/>
    </w:pPr>
  </w:style>
  <w:style w:type="paragraph" w:customStyle="1" w:styleId="177">
    <w:name w:val="列出段落1"/>
    <w:basedOn w:val="1"/>
    <w:qFormat/>
    <w:uiPriority w:val="0"/>
    <w:pPr>
      <w:ind w:firstLine="420" w:firstLineChars="200"/>
    </w:pPr>
    <w:rPr>
      <w:rFonts w:ascii="Calibri" w:hAnsi="Calibri"/>
      <w:szCs w:val="22"/>
    </w:rPr>
  </w:style>
  <w:style w:type="paragraph" w:customStyle="1" w:styleId="178">
    <w:name w:val="Char Char Char Char1"/>
    <w:basedOn w:val="1"/>
    <w:qFormat/>
    <w:uiPriority w:val="0"/>
    <w:rPr>
      <w:rFonts w:ascii="Tahoma" w:hAnsi="Tahoma"/>
      <w:sz w:val="24"/>
      <w:szCs w:val="20"/>
    </w:rPr>
  </w:style>
  <w:style w:type="paragraph" w:customStyle="1" w:styleId="179">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180">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81">
    <w:name w:val="_Style 2"/>
    <w:qFormat/>
    <w:uiPriority w:val="0"/>
    <w:pPr>
      <w:widowControl w:val="0"/>
      <w:adjustRightInd w:val="0"/>
      <w:snapToGrid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82">
    <w:name w:val="样式 首行缩进:  0.8 厘米1"/>
    <w:basedOn w:val="1"/>
    <w:qFormat/>
    <w:uiPriority w:val="0"/>
    <w:pPr>
      <w:spacing w:before="60" w:after="60" w:line="288" w:lineRule="auto"/>
      <w:ind w:firstLine="454"/>
    </w:pPr>
    <w:rPr>
      <w:rFonts w:cs="宋体"/>
      <w:kern w:val="0"/>
      <w:sz w:val="24"/>
      <w:szCs w:val="20"/>
      <w:lang w:eastAsia="en-US"/>
    </w:rPr>
  </w:style>
  <w:style w:type="paragraph" w:customStyle="1" w:styleId="183">
    <w:name w:val="页脚，偶数页"/>
    <w:basedOn w:val="3"/>
    <w:qFormat/>
    <w:uiPriority w:val="0"/>
    <w:pPr>
      <w:spacing w:before="360" w:after="480"/>
      <w:ind w:firstLine="280" w:firstLineChars="100"/>
    </w:pPr>
    <w:rPr>
      <w:rFonts w:eastAsia="Times New Roman"/>
      <w:szCs w:val="28"/>
    </w:rPr>
  </w:style>
  <w:style w:type="paragraph" w:customStyle="1" w:styleId="184">
    <w:name w:val="正2"/>
    <w:basedOn w:val="149"/>
    <w:qFormat/>
    <w:uiPriority w:val="0"/>
    <w:pPr>
      <w:ind w:firstLine="0" w:firstLineChars="0"/>
    </w:pPr>
    <w:rPr>
      <w:b/>
      <w:bCs/>
    </w:rPr>
  </w:style>
  <w:style w:type="paragraph" w:customStyle="1" w:styleId="185">
    <w:name w:val="题注5"/>
    <w:basedOn w:val="1"/>
    <w:next w:val="13"/>
    <w:qFormat/>
    <w:uiPriority w:val="0"/>
    <w:pPr>
      <w:jc w:val="center"/>
    </w:pPr>
    <w:rPr>
      <w:b/>
      <w:bCs/>
      <w:color w:val="000000"/>
      <w:sz w:val="24"/>
    </w:rPr>
  </w:style>
  <w:style w:type="paragraph" w:customStyle="1" w:styleId="186">
    <w:name w:val="图"/>
    <w:basedOn w:val="1"/>
    <w:qFormat/>
    <w:uiPriority w:val="0"/>
    <w:pPr>
      <w:keepNext/>
      <w:adjustRightInd w:val="0"/>
      <w:spacing w:before="60" w:after="60" w:line="300" w:lineRule="auto"/>
      <w:jc w:val="center"/>
      <w:textAlignment w:val="center"/>
    </w:pPr>
    <w:rPr>
      <w:spacing w:val="20"/>
      <w:kern w:val="0"/>
      <w:sz w:val="24"/>
    </w:rPr>
  </w:style>
  <w:style w:type="paragraph" w:styleId="187">
    <w:name w:val="No Spacing"/>
    <w:qFormat/>
    <w:uiPriority w:val="0"/>
    <w:pPr>
      <w:widowControl w:val="0"/>
      <w:adjustRightInd w:val="0"/>
      <w:snapToGrid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88">
    <w:name w:val="TOC 标题1"/>
    <w:basedOn w:val="3"/>
    <w:next w:val="1"/>
    <w:qFormat/>
    <w:uiPriority w:val="0"/>
    <w:pPr>
      <w:keepLines/>
      <w:widowControl/>
      <w:spacing w:before="480" w:line="276" w:lineRule="auto"/>
      <w:jc w:val="left"/>
      <w:outlineLvl w:val="9"/>
    </w:pPr>
    <w:rPr>
      <w:rFonts w:ascii="Cambria" w:hAnsi="Cambria"/>
      <w:bCs/>
      <w:color w:val="365F91"/>
      <w:kern w:val="0"/>
      <w:sz w:val="28"/>
      <w:szCs w:val="28"/>
    </w:rPr>
  </w:style>
  <w:style w:type="character" w:customStyle="1" w:styleId="189">
    <w:name w:val="纯文本 字符1"/>
    <w:qFormat/>
    <w:uiPriority w:val="0"/>
    <w:rPr>
      <w:rFonts w:ascii="宋体" w:hAnsi="Courier New" w:eastAsia="宋体"/>
    </w:rPr>
  </w:style>
  <w:style w:type="paragraph" w:styleId="190">
    <w:name w:val="List Paragraph"/>
    <w:basedOn w:val="1"/>
    <w:qFormat/>
    <w:uiPriority w:val="99"/>
    <w:pPr>
      <w:ind w:firstLine="420" w:firstLineChars="200"/>
    </w:pPr>
  </w:style>
  <w:style w:type="paragraph" w:customStyle="1" w:styleId="19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广西中意招标造价咨询有限公司</Company>
  <Pages>69</Pages>
  <Words>44399</Words>
  <Characters>46568</Characters>
  <Lines>385</Lines>
  <Paragraphs>108</Paragraphs>
  <TotalTime>20</TotalTime>
  <ScaleCrop>false</ScaleCrop>
  <LinksUpToDate>false</LinksUpToDate>
  <CharactersWithSpaces>50352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2020-07-02T07:53:00Z</dcterms:created>
  <dc:creator>Administrator</dc:creator>
  <cp:lastModifiedBy>meng灯，照明</cp:lastModifiedBy>
  <cp:lastPrinted>2019-10-21T08:42:00Z</cp:lastPrinted>
  <dcterms:modified xsi:type="dcterms:W3CDTF">2020-07-20T10:33:00Z</dcterms:modified>
  <dc:subject>招标文件</dc:subject>
  <dc:title>（g1-00339)网络多媒体设备采购招标文件（10.25麦改）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