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color w:val="000000" w:themeColor="text1"/>
          <w14:textFill>
            <w14:solidFill>
              <w14:schemeClr w14:val="tx1"/>
            </w14:solidFill>
          </w14:textFill>
        </w:rPr>
      </w:pPr>
    </w:p>
    <w:p>
      <w:pPr>
        <w:jc w:val="center"/>
        <w:rPr>
          <w:rFonts w:ascii="宋体" w:hAnsi="宋体" w:cs="宋体"/>
          <w:color w:val="000000" w:themeColor="text1"/>
          <w14:textFill>
            <w14:solidFill>
              <w14:schemeClr w14:val="tx1"/>
            </w14:solidFill>
          </w14:textFill>
        </w:rPr>
      </w:pPr>
    </w:p>
    <w:p>
      <w:pPr>
        <w:jc w:val="center"/>
        <w:rPr>
          <w:rFonts w:ascii="宋体" w:hAnsi="宋体" w:cs="宋体"/>
          <w:color w:val="000000" w:themeColor="text1"/>
          <w14:textFill>
            <w14:solidFill>
              <w14:schemeClr w14:val="tx1"/>
            </w14:solidFill>
          </w14:textFill>
        </w:rPr>
      </w:pPr>
    </w:p>
    <w:p>
      <w:pPr>
        <w:jc w:val="center"/>
        <w:rPr>
          <w:rFonts w:ascii="宋体" w:hAnsi="宋体" w:cs="宋体"/>
          <w:b/>
          <w:color w:val="000000" w:themeColor="text1"/>
          <w:sz w:val="66"/>
          <w:szCs w:val="66"/>
          <w14:textFill>
            <w14:solidFill>
              <w14:schemeClr w14:val="tx1"/>
            </w14:solidFill>
          </w14:textFill>
        </w:rPr>
      </w:pPr>
      <w:r>
        <w:rPr>
          <w:rFonts w:hint="eastAsia" w:ascii="宋体" w:hAnsi="宋体" w:cs="宋体"/>
          <w:b/>
          <w:color w:val="000000" w:themeColor="text1"/>
          <w:sz w:val="66"/>
          <w:szCs w:val="66"/>
          <w14:textFill>
            <w14:solidFill>
              <w14:schemeClr w14:val="tx1"/>
            </w14:solidFill>
          </w14:textFill>
        </w:rPr>
        <w:t>广西众联工程项目管理有限公司</w:t>
      </w:r>
    </w:p>
    <w:p>
      <w:pPr>
        <w:jc w:val="center"/>
        <w:rPr>
          <w:rFonts w:ascii="宋体" w:hAnsi="宋体" w:cs="宋体"/>
          <w:color w:val="000000" w:themeColor="text1"/>
          <w14:textFill>
            <w14:solidFill>
              <w14:schemeClr w14:val="tx1"/>
            </w14:solidFill>
          </w14:textFill>
        </w:rPr>
      </w:pPr>
    </w:p>
    <w:p>
      <w:pPr>
        <w:jc w:val="center"/>
        <w:rPr>
          <w:rFonts w:ascii="宋体" w:hAnsi="宋体" w:cs="宋体"/>
          <w:color w:val="000000" w:themeColor="text1"/>
          <w14:textFill>
            <w14:solidFill>
              <w14:schemeClr w14:val="tx1"/>
            </w14:solidFill>
          </w14:textFill>
        </w:rPr>
      </w:pPr>
    </w:p>
    <w:p>
      <w:pPr>
        <w:jc w:val="center"/>
        <w:rPr>
          <w:rFonts w:ascii="宋体" w:hAnsi="宋体" w:cs="宋体"/>
          <w:color w:val="000000" w:themeColor="text1"/>
          <w14:textFill>
            <w14:solidFill>
              <w14:schemeClr w14:val="tx1"/>
            </w14:solidFill>
          </w14:textFill>
        </w:rPr>
      </w:pPr>
      <w:r>
        <w:rPr>
          <w:rFonts w:hint="eastAsia" w:ascii="宋体" w:hAnsi="宋体" w:cs="宋体"/>
        </w:rPr>
        <w:cr/>
      </w:r>
      <w:r>
        <w:rPr>
          <w:rFonts w:hint="eastAsia" w:ascii="宋体" w:hAnsi="宋体" w:cs="宋体"/>
          <w:b/>
          <w:bCs/>
          <w:color w:val="000000" w:themeColor="text1"/>
          <w:sz w:val="84"/>
          <w14:shadow w14:blurRad="50800" w14:dist="38100" w14:dir="2700000" w14:sx="100000" w14:sy="100000" w14:kx="0" w14:ky="0" w14:algn="tl">
            <w14:srgbClr w14:val="000000">
              <w14:alpha w14:val="60000"/>
            </w14:srgbClr>
          </w14:shadow>
          <w14:textFill>
            <w14:solidFill>
              <w14:schemeClr w14:val="tx1"/>
            </w14:solidFill>
          </w14:textFill>
        </w:rPr>
        <w:t>招 标 文 件</w:t>
      </w:r>
      <w:r>
        <w:rPr>
          <w:rFonts w:hint="eastAsia" w:ascii="宋体" w:hAnsi="宋体" w:cs="宋体"/>
          <w:color w:val="000000" w:themeColor="text1"/>
          <w:sz w:val="72"/>
          <w14:textFill>
            <w14:solidFill>
              <w14:schemeClr w14:val="tx1"/>
            </w14:solidFill>
          </w14:textFill>
        </w:rPr>
        <w:cr/>
      </w:r>
    </w:p>
    <w:p>
      <w:pPr>
        <w:jc w:val="center"/>
        <w:rPr>
          <w:rFonts w:ascii="宋体" w:hAnsi="宋体" w:cs="宋体"/>
          <w:color w:val="000000" w:themeColor="text1"/>
          <w14:textFill>
            <w14:solidFill>
              <w14:schemeClr w14:val="tx1"/>
            </w14:solidFill>
          </w14:textFill>
        </w:rPr>
      </w:pPr>
    </w:p>
    <w:p>
      <w:pPr>
        <w:jc w:val="center"/>
        <w:rPr>
          <w:rFonts w:ascii="宋体" w:hAnsi="宋体" w:cs="宋体"/>
          <w:color w:val="000000" w:themeColor="text1"/>
          <w14:textFill>
            <w14:solidFill>
              <w14:schemeClr w14:val="tx1"/>
            </w14:solidFill>
          </w14:textFill>
        </w:rPr>
      </w:pPr>
    </w:p>
    <w:p>
      <w:pPr>
        <w:spacing w:line="800" w:lineRule="exact"/>
        <w:ind w:left="3419" w:leftChars="771" w:right="590" w:rightChars="281" w:hanging="1800" w:hangingChars="498"/>
        <w:rPr>
          <w:rFonts w:ascii="宋体" w:hAnsi="宋体" w:cs="宋体"/>
          <w:b/>
          <w:color w:val="000000" w:themeColor="text1"/>
          <w:sz w:val="36"/>
          <w:szCs w:val="36"/>
          <w14:textFill>
            <w14:solidFill>
              <w14:schemeClr w14:val="tx1"/>
            </w14:solidFill>
          </w14:textFill>
        </w:rPr>
      </w:pPr>
      <w:r>
        <w:rPr>
          <w:rFonts w:hint="eastAsia" w:ascii="宋体" w:hAnsi="宋体" w:cs="宋体"/>
          <w:b/>
          <w:color w:val="000000" w:themeColor="text1"/>
          <w:sz w:val="36"/>
          <w:szCs w:val="36"/>
          <w14:textFill>
            <w14:solidFill>
              <w14:schemeClr w14:val="tx1"/>
            </w14:solidFill>
          </w14:textFill>
        </w:rPr>
        <w:t>项目名称：网络多媒体设备</w:t>
      </w:r>
    </w:p>
    <w:p>
      <w:pPr>
        <w:spacing w:line="800" w:lineRule="exact"/>
        <w:ind w:firstLine="1619" w:firstLineChars="448"/>
        <w:rPr>
          <w:rFonts w:ascii="宋体" w:hAnsi="宋体" w:cs="宋体"/>
          <w:b/>
          <w:color w:val="000000" w:themeColor="text1"/>
          <w:sz w:val="36"/>
          <w:szCs w:val="36"/>
          <w14:textFill>
            <w14:solidFill>
              <w14:schemeClr w14:val="tx1"/>
            </w14:solidFill>
          </w14:textFill>
        </w:rPr>
      </w:pPr>
      <w:r>
        <w:rPr>
          <w:rFonts w:hint="eastAsia" w:ascii="宋体" w:hAnsi="宋体" w:cs="宋体"/>
          <w:b/>
          <w:color w:val="000000" w:themeColor="text1"/>
          <w:sz w:val="36"/>
          <w:szCs w:val="36"/>
          <w14:textFill>
            <w14:solidFill>
              <w14:schemeClr w14:val="tx1"/>
            </w14:solidFill>
          </w14:textFill>
        </w:rPr>
        <w:t>项目编号：WXZC2020-G1-00054-ZLZB</w:t>
      </w:r>
    </w:p>
    <w:p>
      <w:pPr>
        <w:ind w:left="-2" w:leftChars="-1" w:firstLine="1365" w:firstLineChars="650"/>
        <w:rPr>
          <w:rFonts w:ascii="宋体" w:hAnsi="宋体" w:cs="宋体"/>
          <w:color w:val="000000" w:themeColor="text1"/>
          <w14:textFill>
            <w14:solidFill>
              <w14:schemeClr w14:val="tx1"/>
            </w14:solidFill>
          </w14:textFill>
        </w:rPr>
      </w:pPr>
    </w:p>
    <w:p>
      <w:pPr>
        <w:ind w:left="-2" w:leftChars="-1" w:firstLine="1365" w:firstLineChars="650"/>
        <w:rPr>
          <w:rFonts w:ascii="宋体" w:hAnsi="宋体" w:cs="宋体"/>
          <w:color w:val="000000" w:themeColor="text1"/>
          <w14:textFill>
            <w14:solidFill>
              <w14:schemeClr w14:val="tx1"/>
            </w14:solidFill>
          </w14:textFill>
        </w:rPr>
      </w:pPr>
    </w:p>
    <w:p>
      <w:pPr>
        <w:ind w:left="-2" w:leftChars="-1" w:firstLine="1365" w:firstLineChars="650"/>
        <w:rPr>
          <w:rFonts w:ascii="宋体" w:hAnsi="宋体" w:cs="宋体"/>
          <w:color w:val="000000" w:themeColor="text1"/>
          <w14:textFill>
            <w14:solidFill>
              <w14:schemeClr w14:val="tx1"/>
            </w14:solidFill>
          </w14:textFill>
        </w:rPr>
      </w:pPr>
    </w:p>
    <w:p>
      <w:pPr>
        <w:ind w:left="-2" w:leftChars="-1" w:firstLine="1365" w:firstLineChars="650"/>
        <w:rPr>
          <w:rFonts w:ascii="宋体" w:hAnsi="宋体" w:cs="宋体"/>
          <w:color w:val="000000" w:themeColor="text1"/>
          <w14:textFill>
            <w14:solidFill>
              <w14:schemeClr w14:val="tx1"/>
            </w14:solidFill>
          </w14:textFill>
        </w:rPr>
      </w:pPr>
    </w:p>
    <w:p>
      <w:pPr>
        <w:ind w:left="-2" w:leftChars="-1" w:firstLine="1365" w:firstLineChars="650"/>
        <w:rPr>
          <w:rFonts w:ascii="宋体" w:hAnsi="宋体" w:cs="宋体"/>
          <w:color w:val="000000" w:themeColor="text1"/>
          <w14:textFill>
            <w14:solidFill>
              <w14:schemeClr w14:val="tx1"/>
            </w14:solidFill>
          </w14:textFill>
        </w:rPr>
      </w:pPr>
    </w:p>
    <w:p>
      <w:pPr>
        <w:ind w:left="-2" w:leftChars="-1" w:firstLine="1365" w:firstLineChars="650"/>
        <w:rPr>
          <w:rFonts w:ascii="宋体" w:hAnsi="宋体" w:cs="宋体"/>
          <w:color w:val="000000" w:themeColor="text1"/>
          <w14:textFill>
            <w14:solidFill>
              <w14:schemeClr w14:val="tx1"/>
            </w14:solidFill>
          </w14:textFill>
        </w:rPr>
      </w:pPr>
    </w:p>
    <w:p>
      <w:pPr>
        <w:ind w:left="-2" w:leftChars="-1" w:firstLine="1365" w:firstLineChars="650"/>
        <w:rPr>
          <w:rFonts w:ascii="宋体" w:hAnsi="宋体" w:cs="宋体"/>
          <w:color w:val="000000" w:themeColor="text1"/>
          <w14:textFill>
            <w14:solidFill>
              <w14:schemeClr w14:val="tx1"/>
            </w14:solidFill>
          </w14:textFill>
        </w:rPr>
      </w:pPr>
    </w:p>
    <w:p>
      <w:pPr>
        <w:ind w:left="0" w:leftChars="0" w:firstLine="0" w:firstLineChars="0"/>
        <w:rPr>
          <w:rFonts w:ascii="宋体" w:hAnsi="宋体" w:cs="宋体"/>
          <w:color w:val="000000" w:themeColor="text1"/>
          <w14:textFill>
            <w14:solidFill>
              <w14:schemeClr w14:val="tx1"/>
            </w14:solidFill>
          </w14:textFill>
        </w:rPr>
      </w:pPr>
    </w:p>
    <w:p>
      <w:pPr>
        <w:ind w:left="0" w:leftChars="0" w:firstLine="0" w:firstLineChars="0"/>
        <w:rPr>
          <w:rFonts w:ascii="宋体" w:hAnsi="宋体" w:cs="宋体"/>
          <w:color w:val="000000" w:themeColor="text1"/>
          <w14:textFill>
            <w14:solidFill>
              <w14:schemeClr w14:val="tx1"/>
            </w14:solidFill>
          </w14:textFill>
        </w:rPr>
      </w:pPr>
    </w:p>
    <w:p>
      <w:pPr>
        <w:ind w:left="0" w:leftChars="0" w:firstLine="0" w:firstLineChars="0"/>
        <w:rPr>
          <w:rFonts w:ascii="宋体" w:hAnsi="宋体" w:cs="宋体"/>
          <w:color w:val="000000" w:themeColor="text1"/>
          <w14:textFill>
            <w14:solidFill>
              <w14:schemeClr w14:val="tx1"/>
            </w14:solidFill>
          </w14:textFill>
        </w:rPr>
      </w:pPr>
    </w:p>
    <w:p>
      <w:pPr>
        <w:spacing w:line="400" w:lineRule="exact"/>
        <w:ind w:left="-2" w:leftChars="-1" w:firstLine="1365" w:firstLineChars="650"/>
        <w:rPr>
          <w:rFonts w:ascii="宋体" w:hAnsi="宋体" w:cs="宋体"/>
          <w:color w:val="000000" w:themeColor="text1"/>
          <w14:textFill>
            <w14:solidFill>
              <w14:schemeClr w14:val="tx1"/>
            </w14:solidFill>
          </w14:textFill>
        </w:rPr>
      </w:pPr>
    </w:p>
    <w:p>
      <w:pPr>
        <w:spacing w:line="400" w:lineRule="exact"/>
        <w:ind w:firstLine="1439" w:firstLineChars="448"/>
        <w:rPr>
          <w:rFonts w:ascii="宋体" w:hAnsi="宋体" w:cs="宋体"/>
          <w:b/>
          <w:color w:val="000000" w:themeColor="text1"/>
          <w:sz w:val="32"/>
          <w:szCs w:val="32"/>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t>采购人：梧州市万秀区教育局</w:t>
      </w:r>
    </w:p>
    <w:p>
      <w:pPr>
        <w:spacing w:line="400" w:lineRule="exact"/>
        <w:ind w:left="-2" w:leftChars="-1" w:firstLine="1365" w:firstLineChars="650"/>
        <w:rPr>
          <w:rFonts w:ascii="宋体" w:hAnsi="宋体" w:cs="宋体"/>
          <w:color w:val="000000" w:themeColor="text1"/>
          <w14:textFill>
            <w14:solidFill>
              <w14:schemeClr w14:val="tx1"/>
            </w14:solidFill>
          </w14:textFill>
        </w:rPr>
      </w:pPr>
    </w:p>
    <w:p>
      <w:pPr>
        <w:spacing w:line="400" w:lineRule="exact"/>
        <w:ind w:firstLine="1439" w:firstLineChars="448"/>
        <w:rPr>
          <w:rFonts w:ascii="宋体" w:hAnsi="宋体" w:cs="宋体"/>
          <w:b/>
          <w:color w:val="000000" w:themeColor="text1"/>
          <w:spacing w:val="-8"/>
          <w:sz w:val="32"/>
          <w:szCs w:val="32"/>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t>采购代理机构：广西众联工程项目管理有限公司</w:t>
      </w:r>
    </w:p>
    <w:p>
      <w:pPr>
        <w:spacing w:line="400" w:lineRule="exact"/>
        <w:ind w:left="0" w:leftChars="0" w:firstLine="1526" w:firstLineChars="500"/>
        <w:jc w:val="both"/>
        <w:rPr>
          <w:rFonts w:hint="eastAsia" w:ascii="宋体" w:hAnsi="宋体" w:cs="宋体"/>
          <w:b/>
          <w:color w:val="000000" w:themeColor="text1"/>
          <w:spacing w:val="-8"/>
          <w:sz w:val="32"/>
          <w:szCs w:val="32"/>
          <w:lang w:eastAsia="zh-CN"/>
          <w14:textFill>
            <w14:solidFill>
              <w14:schemeClr w14:val="tx1"/>
            </w14:solidFill>
          </w14:textFill>
        </w:rPr>
      </w:pPr>
    </w:p>
    <w:p>
      <w:pPr>
        <w:spacing w:line="400" w:lineRule="exact"/>
        <w:ind w:left="0" w:leftChars="0" w:firstLine="1526" w:firstLineChars="500"/>
        <w:jc w:val="both"/>
        <w:rPr>
          <w:rFonts w:hint="default" w:ascii="宋体" w:hAnsi="宋体" w:eastAsia="宋体" w:cs="宋体"/>
          <w:b/>
          <w:color w:val="000000" w:themeColor="text1"/>
          <w:sz w:val="32"/>
          <w:szCs w:val="32"/>
          <w:lang w:val="en-US" w:eastAsia="zh-CN"/>
          <w14:textFill>
            <w14:solidFill>
              <w14:schemeClr w14:val="tx1"/>
            </w14:solidFill>
          </w14:textFill>
        </w:rPr>
      </w:pPr>
      <w:r>
        <w:rPr>
          <w:rFonts w:hint="eastAsia" w:ascii="宋体" w:hAnsi="宋体" w:cs="宋体"/>
          <w:b/>
          <w:color w:val="000000" w:themeColor="text1"/>
          <w:spacing w:val="-8"/>
          <w:sz w:val="32"/>
          <w:szCs w:val="32"/>
          <w:lang w:eastAsia="zh-CN"/>
          <w14:textFill>
            <w14:solidFill>
              <w14:schemeClr w14:val="tx1"/>
            </w14:solidFill>
          </w14:textFill>
        </w:rPr>
        <w:t>发布日期：</w:t>
      </w:r>
      <w:r>
        <w:rPr>
          <w:rFonts w:hint="eastAsia" w:ascii="宋体" w:hAnsi="宋体" w:cs="宋体"/>
          <w:b/>
          <w:color w:val="000000" w:themeColor="text1"/>
          <w:spacing w:val="-8"/>
          <w:sz w:val="32"/>
          <w:szCs w:val="32"/>
          <w14:textFill>
            <w14:solidFill>
              <w14:schemeClr w14:val="tx1"/>
            </w14:solidFill>
          </w14:textFill>
        </w:rPr>
        <w:t>2020年</w:t>
      </w:r>
      <w:r>
        <w:rPr>
          <w:rFonts w:hint="eastAsia" w:ascii="宋体" w:hAnsi="宋体" w:cs="宋体"/>
          <w:b/>
          <w:color w:val="000000" w:themeColor="text1"/>
          <w:spacing w:val="-8"/>
          <w:sz w:val="32"/>
          <w:szCs w:val="32"/>
          <w:lang w:val="en-US" w:eastAsia="zh-CN"/>
          <w14:textFill>
            <w14:solidFill>
              <w14:schemeClr w14:val="tx1"/>
            </w14:solidFill>
          </w14:textFill>
        </w:rPr>
        <w:t>6</w:t>
      </w:r>
      <w:r>
        <w:rPr>
          <w:rFonts w:hint="eastAsia" w:ascii="宋体" w:hAnsi="宋体" w:cs="宋体"/>
          <w:b/>
          <w:color w:val="000000" w:themeColor="text1"/>
          <w:spacing w:val="-8"/>
          <w:sz w:val="32"/>
          <w:szCs w:val="32"/>
          <w14:textFill>
            <w14:solidFill>
              <w14:schemeClr w14:val="tx1"/>
            </w14:solidFill>
          </w14:textFill>
        </w:rPr>
        <w:t>月</w:t>
      </w:r>
      <w:r>
        <w:rPr>
          <w:rFonts w:hint="eastAsia" w:ascii="宋体" w:hAnsi="宋体" w:cs="宋体"/>
          <w:b/>
          <w:color w:val="000000" w:themeColor="text1"/>
          <w:spacing w:val="-8"/>
          <w:sz w:val="32"/>
          <w:szCs w:val="32"/>
          <w:lang w:val="en-US" w:eastAsia="zh-CN"/>
          <w14:textFill>
            <w14:solidFill>
              <w14:schemeClr w14:val="tx1"/>
            </w14:solidFill>
          </w14:textFill>
        </w:rPr>
        <w:t xml:space="preserve"> 29 日</w:t>
      </w:r>
    </w:p>
    <w:p>
      <w:pPr>
        <w:spacing w:line="400" w:lineRule="exact"/>
        <w:ind w:left="-2" w:leftChars="-1"/>
        <w:rPr>
          <w:rFonts w:hint="eastAsia" w:ascii="宋体" w:hAnsi="宋体" w:cs="宋体"/>
          <w:color w:val="000000" w:themeColor="text1"/>
          <w:highlight w:val="none"/>
          <w14:textFill>
            <w14:solidFill>
              <w14:schemeClr w14:val="tx1"/>
            </w14:solidFill>
          </w14:textFill>
        </w:rPr>
        <w:sectPr>
          <w:headerReference r:id="rId5" w:type="first"/>
          <w:footerReference r:id="rId8" w:type="first"/>
          <w:headerReference r:id="rId3" w:type="default"/>
          <w:footerReference r:id="rId6" w:type="default"/>
          <w:headerReference r:id="rId4" w:type="even"/>
          <w:footerReference r:id="rId7" w:type="even"/>
          <w:pgSz w:w="11906" w:h="16838"/>
          <w:pgMar w:top="1247" w:right="1247" w:bottom="1418" w:left="1247" w:header="680" w:footer="851" w:gutter="0"/>
          <w:pgNumType w:fmt="decimal" w:start="0"/>
          <w:cols w:space="720" w:num="1"/>
          <w:titlePg/>
          <w:docGrid w:type="lines" w:linePitch="331" w:charSpace="0"/>
        </w:sectPr>
      </w:pPr>
      <w:r>
        <w:rPr>
          <w:rFonts w:hint="eastAsia" w:ascii="宋体" w:hAnsi="宋体" w:cs="宋体"/>
          <w:color w:val="000000" w:themeColor="text1"/>
          <w:highlight w:val="none"/>
          <w:lang w:val="en-US" w:eastAsia="zh-CN"/>
          <w14:textFill>
            <w14:solidFill>
              <w14:schemeClr w14:val="tx1"/>
            </w14:solidFill>
          </w14:textFill>
        </w:rPr>
        <w:t xml:space="preserve"> </w:t>
      </w:r>
    </w:p>
    <w:p>
      <w:pPr>
        <w:pStyle w:val="17"/>
        <w:rPr>
          <w:color w:val="000000" w:themeColor="text1"/>
          <w:highlight w:val="none"/>
          <w14:textFill>
            <w14:solidFill>
              <w14:schemeClr w14:val="tx1"/>
            </w14:solidFill>
          </w14:textFill>
        </w:rPr>
      </w:pPr>
    </w:p>
    <w:p>
      <w:pPr>
        <w:ind w:left="-2" w:leftChars="-1"/>
        <w:jc w:val="center"/>
        <w:rPr>
          <w:rFonts w:ascii="宋体" w:hAnsi="宋体" w:cs="宋体"/>
          <w:b/>
          <w:bCs/>
          <w:color w:val="000000" w:themeColor="text1"/>
          <w:sz w:val="44"/>
          <w:szCs w:val="44"/>
          <w:highlight w:val="none"/>
          <w14:textFill>
            <w14:solidFill>
              <w14:schemeClr w14:val="tx1"/>
            </w14:solidFill>
          </w14:textFill>
        </w:rPr>
      </w:pPr>
      <w:r>
        <w:rPr>
          <w:rFonts w:hint="eastAsia" w:ascii="宋体" w:hAnsi="宋体" w:cs="宋体"/>
          <w:b/>
          <w:bCs/>
          <w:color w:val="000000" w:themeColor="text1"/>
          <w:sz w:val="44"/>
          <w:szCs w:val="44"/>
          <w:highlight w:val="none"/>
          <w14:textFill>
            <w14:solidFill>
              <w14:schemeClr w14:val="tx1"/>
            </w14:solidFill>
          </w14:textFill>
        </w:rPr>
        <w:t>目  录</w:t>
      </w:r>
    </w:p>
    <w:p>
      <w:pPr>
        <w:pStyle w:val="26"/>
        <w:tabs>
          <w:tab w:val="right" w:leader="dot" w:pos="9412"/>
          <w:tab w:val="clear" w:pos="8820"/>
        </w:tabs>
        <w:rPr>
          <w:color w:val="000000" w:themeColor="text1"/>
          <w:highlight w:val="none"/>
          <w14:textFill>
            <w14:solidFill>
              <w14:schemeClr w14:val="tx1"/>
            </w14:solidFill>
          </w14:textFill>
        </w:rPr>
      </w:pPr>
      <w:r>
        <w:rPr>
          <w:rFonts w:hint="eastAsia" w:cs="宋体"/>
          <w:color w:val="000000" w:themeColor="text1"/>
          <w:sz w:val="30"/>
          <w:szCs w:val="30"/>
          <w:highlight w:val="none"/>
          <w14:textFill>
            <w14:solidFill>
              <w14:schemeClr w14:val="tx1"/>
            </w14:solidFill>
          </w14:textFill>
        </w:rPr>
        <w:fldChar w:fldCharType="begin"/>
      </w:r>
      <w:r>
        <w:rPr>
          <w:rStyle w:val="47"/>
          <w:rFonts w:hint="eastAsia" w:cs="宋体"/>
          <w:color w:val="000000" w:themeColor="text1"/>
          <w:sz w:val="30"/>
          <w:szCs w:val="30"/>
          <w:highlight w:val="none"/>
          <w14:textFill>
            <w14:solidFill>
              <w14:schemeClr w14:val="tx1"/>
            </w14:solidFill>
          </w14:textFill>
        </w:rPr>
        <w:instrText xml:space="preserve"> TOC \o "1-1" \h \z \u </w:instrText>
      </w:r>
      <w:r>
        <w:rPr>
          <w:rFonts w:hint="eastAsia" w:cs="宋体"/>
          <w:color w:val="000000" w:themeColor="text1"/>
          <w:sz w:val="30"/>
          <w:szCs w:val="30"/>
          <w:highlight w:val="none"/>
          <w14:textFill>
            <w14:solidFill>
              <w14:schemeClr w14:val="tx1"/>
            </w14:solidFill>
          </w14:textFill>
        </w:rPr>
        <w:fldChar w:fldCharType="separate"/>
      </w:r>
      <w:r>
        <w:rPr>
          <w:rFonts w:hint="eastAsia" w:cs="宋体"/>
          <w:color w:val="000000" w:themeColor="text1"/>
          <w:szCs w:val="30"/>
          <w:highlight w:val="none"/>
          <w14:textFill>
            <w14:solidFill>
              <w14:schemeClr w14:val="tx1"/>
            </w14:solidFill>
          </w14:textFill>
        </w:rPr>
        <w:fldChar w:fldCharType="begin"/>
      </w:r>
      <w:r>
        <w:rPr>
          <w:rFonts w:hint="eastAsia" w:cs="宋体"/>
          <w:color w:val="000000" w:themeColor="text1"/>
          <w:szCs w:val="30"/>
          <w:highlight w:val="none"/>
          <w14:textFill>
            <w14:solidFill>
              <w14:schemeClr w14:val="tx1"/>
            </w14:solidFill>
          </w14:textFill>
        </w:rPr>
        <w:instrText xml:space="preserve"> HYPERLINK \l _Toc15692 </w:instrText>
      </w:r>
      <w:r>
        <w:rPr>
          <w:rFonts w:hint="eastAsia" w:cs="宋体"/>
          <w:color w:val="000000" w:themeColor="text1"/>
          <w:szCs w:val="30"/>
          <w:highlight w:val="none"/>
          <w14:textFill>
            <w14:solidFill>
              <w14:schemeClr w14:val="tx1"/>
            </w14:solidFill>
          </w14:textFill>
        </w:rPr>
        <w:fldChar w:fldCharType="separate"/>
      </w:r>
      <w:r>
        <w:rPr>
          <w:rFonts w:hint="eastAsia" w:ascii="宋体" w:hAnsi="宋体" w:cs="宋体"/>
          <w:bCs/>
          <w:color w:val="000000" w:themeColor="text1"/>
          <w:highlight w:val="none"/>
          <w14:textFill>
            <w14:solidFill>
              <w14:schemeClr w14:val="tx1"/>
            </w14:solidFill>
          </w14:textFill>
        </w:rPr>
        <w:t>第一章  招标公告</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_Toc15692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w:t>
      </w:r>
      <w:r>
        <w:rPr>
          <w:color w:val="000000" w:themeColor="text1"/>
          <w:highlight w:val="none"/>
          <w14:textFill>
            <w14:solidFill>
              <w14:schemeClr w14:val="tx1"/>
            </w14:solidFill>
          </w14:textFill>
        </w:rPr>
        <w:fldChar w:fldCharType="end"/>
      </w:r>
      <w:r>
        <w:rPr>
          <w:rFonts w:hint="eastAsia" w:cs="宋体"/>
          <w:color w:val="000000" w:themeColor="text1"/>
          <w:szCs w:val="30"/>
          <w:highlight w:val="none"/>
          <w14:textFill>
            <w14:solidFill>
              <w14:schemeClr w14:val="tx1"/>
            </w14:solidFill>
          </w14:textFill>
        </w:rPr>
        <w:fldChar w:fldCharType="end"/>
      </w:r>
    </w:p>
    <w:p>
      <w:pPr>
        <w:pStyle w:val="26"/>
        <w:tabs>
          <w:tab w:val="right" w:leader="dot" w:pos="9412"/>
          <w:tab w:val="clear" w:pos="8820"/>
        </w:tabs>
        <w:rPr>
          <w:color w:val="000000" w:themeColor="text1"/>
          <w:highlight w:val="none"/>
          <w14:textFill>
            <w14:solidFill>
              <w14:schemeClr w14:val="tx1"/>
            </w14:solidFill>
          </w14:textFill>
        </w:rPr>
      </w:pPr>
      <w:r>
        <w:rPr>
          <w:rFonts w:hint="eastAsia" w:cs="宋体"/>
          <w:color w:val="000000" w:themeColor="text1"/>
          <w:szCs w:val="30"/>
          <w:highlight w:val="none"/>
          <w14:textFill>
            <w14:solidFill>
              <w14:schemeClr w14:val="tx1"/>
            </w14:solidFill>
          </w14:textFill>
        </w:rPr>
        <w:fldChar w:fldCharType="begin"/>
      </w:r>
      <w:r>
        <w:rPr>
          <w:rFonts w:hint="eastAsia" w:cs="宋体"/>
          <w:color w:val="000000" w:themeColor="text1"/>
          <w:szCs w:val="30"/>
          <w:highlight w:val="none"/>
          <w14:textFill>
            <w14:solidFill>
              <w14:schemeClr w14:val="tx1"/>
            </w14:solidFill>
          </w14:textFill>
        </w:rPr>
        <w:instrText xml:space="preserve"> HYPERLINK \l _Toc21199 </w:instrText>
      </w:r>
      <w:r>
        <w:rPr>
          <w:rFonts w:hint="eastAsia" w:cs="宋体"/>
          <w:color w:val="000000" w:themeColor="text1"/>
          <w:szCs w:val="30"/>
          <w:highlight w:val="none"/>
          <w14:textFill>
            <w14:solidFill>
              <w14:schemeClr w14:val="tx1"/>
            </w14:solidFill>
          </w14:textFill>
        </w:rPr>
        <w:fldChar w:fldCharType="separate"/>
      </w:r>
      <w:r>
        <w:rPr>
          <w:rFonts w:hint="eastAsia" w:ascii="宋体" w:hAnsi="宋体" w:cs="宋体"/>
          <w:bCs/>
          <w:color w:val="000000" w:themeColor="text1"/>
          <w:highlight w:val="none"/>
          <w14:textFill>
            <w14:solidFill>
              <w14:schemeClr w14:val="tx1"/>
            </w14:solidFill>
          </w14:textFill>
        </w:rPr>
        <w:t>第二章  采购内容及要求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_Toc21199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w:t>
      </w:r>
      <w:r>
        <w:rPr>
          <w:color w:val="000000" w:themeColor="text1"/>
          <w:highlight w:val="none"/>
          <w14:textFill>
            <w14:solidFill>
              <w14:schemeClr w14:val="tx1"/>
            </w14:solidFill>
          </w14:textFill>
        </w:rPr>
        <w:fldChar w:fldCharType="end"/>
      </w:r>
      <w:r>
        <w:rPr>
          <w:rFonts w:hint="eastAsia" w:cs="宋体"/>
          <w:color w:val="000000" w:themeColor="text1"/>
          <w:szCs w:val="30"/>
          <w:highlight w:val="none"/>
          <w14:textFill>
            <w14:solidFill>
              <w14:schemeClr w14:val="tx1"/>
            </w14:solidFill>
          </w14:textFill>
        </w:rPr>
        <w:fldChar w:fldCharType="end"/>
      </w:r>
    </w:p>
    <w:p>
      <w:pPr>
        <w:pStyle w:val="26"/>
        <w:tabs>
          <w:tab w:val="right" w:leader="dot" w:pos="9412"/>
          <w:tab w:val="clear" w:pos="8820"/>
        </w:tabs>
        <w:rPr>
          <w:color w:val="000000" w:themeColor="text1"/>
          <w:highlight w:val="none"/>
          <w14:textFill>
            <w14:solidFill>
              <w14:schemeClr w14:val="tx1"/>
            </w14:solidFill>
          </w14:textFill>
        </w:rPr>
      </w:pPr>
      <w:r>
        <w:rPr>
          <w:rFonts w:hint="eastAsia" w:cs="宋体"/>
          <w:color w:val="000000" w:themeColor="text1"/>
          <w:szCs w:val="30"/>
          <w:highlight w:val="none"/>
          <w14:textFill>
            <w14:solidFill>
              <w14:schemeClr w14:val="tx1"/>
            </w14:solidFill>
          </w14:textFill>
        </w:rPr>
        <w:fldChar w:fldCharType="begin"/>
      </w:r>
      <w:r>
        <w:rPr>
          <w:rFonts w:hint="eastAsia" w:cs="宋体"/>
          <w:color w:val="000000" w:themeColor="text1"/>
          <w:szCs w:val="30"/>
          <w:highlight w:val="none"/>
          <w14:textFill>
            <w14:solidFill>
              <w14:schemeClr w14:val="tx1"/>
            </w14:solidFill>
          </w14:textFill>
        </w:rPr>
        <w:instrText xml:space="preserve"> HYPERLINK \l _Toc14015 </w:instrText>
      </w:r>
      <w:r>
        <w:rPr>
          <w:rFonts w:hint="eastAsia" w:cs="宋体"/>
          <w:color w:val="000000" w:themeColor="text1"/>
          <w:szCs w:val="30"/>
          <w:highlight w:val="none"/>
          <w14:textFill>
            <w14:solidFill>
              <w14:schemeClr w14:val="tx1"/>
            </w14:solidFill>
          </w14:textFill>
        </w:rPr>
        <w:fldChar w:fldCharType="separate"/>
      </w:r>
      <w:r>
        <w:rPr>
          <w:rFonts w:hint="eastAsia" w:ascii="宋体" w:hAnsi="宋体" w:cs="宋体"/>
          <w:bCs/>
          <w:color w:val="000000" w:themeColor="text1"/>
          <w:szCs w:val="21"/>
          <w:highlight w:val="none"/>
          <w14:textFill>
            <w14:solidFill>
              <w14:schemeClr w14:val="tx1"/>
            </w14:solidFill>
          </w14:textFill>
        </w:rPr>
        <w:t>11、在“采购内容及要求”中约定的其他要求。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_Toc14015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17</w:t>
      </w:r>
      <w:r>
        <w:rPr>
          <w:color w:val="000000" w:themeColor="text1"/>
          <w:highlight w:val="none"/>
          <w14:textFill>
            <w14:solidFill>
              <w14:schemeClr w14:val="tx1"/>
            </w14:solidFill>
          </w14:textFill>
        </w:rPr>
        <w:fldChar w:fldCharType="end"/>
      </w:r>
      <w:r>
        <w:rPr>
          <w:rFonts w:hint="eastAsia" w:cs="宋体"/>
          <w:color w:val="000000" w:themeColor="text1"/>
          <w:szCs w:val="30"/>
          <w:highlight w:val="none"/>
          <w14:textFill>
            <w14:solidFill>
              <w14:schemeClr w14:val="tx1"/>
            </w14:solidFill>
          </w14:textFill>
        </w:rPr>
        <w:fldChar w:fldCharType="end"/>
      </w:r>
    </w:p>
    <w:p>
      <w:pPr>
        <w:pStyle w:val="26"/>
        <w:tabs>
          <w:tab w:val="right" w:leader="dot" w:pos="9412"/>
          <w:tab w:val="clear" w:pos="8820"/>
        </w:tabs>
        <w:rPr>
          <w:color w:val="000000" w:themeColor="text1"/>
          <w:highlight w:val="none"/>
          <w14:textFill>
            <w14:solidFill>
              <w14:schemeClr w14:val="tx1"/>
            </w14:solidFill>
          </w14:textFill>
        </w:rPr>
      </w:pPr>
      <w:r>
        <w:rPr>
          <w:rFonts w:hint="eastAsia" w:cs="宋体"/>
          <w:color w:val="000000" w:themeColor="text1"/>
          <w:szCs w:val="30"/>
          <w:highlight w:val="none"/>
          <w14:textFill>
            <w14:solidFill>
              <w14:schemeClr w14:val="tx1"/>
            </w14:solidFill>
          </w14:textFill>
        </w:rPr>
        <w:fldChar w:fldCharType="begin"/>
      </w:r>
      <w:r>
        <w:rPr>
          <w:rFonts w:hint="eastAsia" w:cs="宋体"/>
          <w:color w:val="000000" w:themeColor="text1"/>
          <w:szCs w:val="30"/>
          <w:highlight w:val="none"/>
          <w14:textFill>
            <w14:solidFill>
              <w14:schemeClr w14:val="tx1"/>
            </w14:solidFill>
          </w14:textFill>
        </w:rPr>
        <w:instrText xml:space="preserve"> HYPERLINK \l _Toc18101 </w:instrText>
      </w:r>
      <w:r>
        <w:rPr>
          <w:rFonts w:hint="eastAsia" w:cs="宋体"/>
          <w:color w:val="000000" w:themeColor="text1"/>
          <w:szCs w:val="30"/>
          <w:highlight w:val="none"/>
          <w14:textFill>
            <w14:solidFill>
              <w14:schemeClr w14:val="tx1"/>
            </w14:solidFill>
          </w14:textFill>
        </w:rPr>
        <w:fldChar w:fldCharType="separate"/>
      </w:r>
      <w:r>
        <w:rPr>
          <w:rFonts w:hint="eastAsia" w:ascii="宋体" w:hAnsi="宋体" w:cs="宋体"/>
          <w:bCs/>
          <w:color w:val="000000" w:themeColor="text1"/>
          <w:highlight w:val="none"/>
          <w14:textFill>
            <w14:solidFill>
              <w14:schemeClr w14:val="tx1"/>
            </w14:solidFill>
          </w14:textFill>
        </w:rPr>
        <w:t>第三章   投标人须知及前附表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_Toc18101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18</w:t>
      </w:r>
      <w:r>
        <w:rPr>
          <w:color w:val="000000" w:themeColor="text1"/>
          <w:highlight w:val="none"/>
          <w14:textFill>
            <w14:solidFill>
              <w14:schemeClr w14:val="tx1"/>
            </w14:solidFill>
          </w14:textFill>
        </w:rPr>
        <w:fldChar w:fldCharType="end"/>
      </w:r>
      <w:r>
        <w:rPr>
          <w:rFonts w:hint="eastAsia" w:cs="宋体"/>
          <w:color w:val="000000" w:themeColor="text1"/>
          <w:szCs w:val="30"/>
          <w:highlight w:val="none"/>
          <w14:textFill>
            <w14:solidFill>
              <w14:schemeClr w14:val="tx1"/>
            </w14:solidFill>
          </w14:textFill>
        </w:rPr>
        <w:fldChar w:fldCharType="end"/>
      </w:r>
    </w:p>
    <w:p>
      <w:pPr>
        <w:pStyle w:val="26"/>
        <w:tabs>
          <w:tab w:val="right" w:leader="dot" w:pos="9412"/>
          <w:tab w:val="clear" w:pos="8820"/>
        </w:tabs>
        <w:rPr>
          <w:color w:val="000000" w:themeColor="text1"/>
          <w:highlight w:val="none"/>
          <w14:textFill>
            <w14:solidFill>
              <w14:schemeClr w14:val="tx1"/>
            </w14:solidFill>
          </w14:textFill>
        </w:rPr>
      </w:pPr>
      <w:r>
        <w:rPr>
          <w:rFonts w:hint="eastAsia" w:cs="宋体"/>
          <w:color w:val="000000" w:themeColor="text1"/>
          <w:szCs w:val="30"/>
          <w:highlight w:val="none"/>
          <w14:textFill>
            <w14:solidFill>
              <w14:schemeClr w14:val="tx1"/>
            </w14:solidFill>
          </w14:textFill>
        </w:rPr>
        <w:fldChar w:fldCharType="begin"/>
      </w:r>
      <w:r>
        <w:rPr>
          <w:rFonts w:hint="eastAsia" w:cs="宋体"/>
          <w:color w:val="000000" w:themeColor="text1"/>
          <w:szCs w:val="30"/>
          <w:highlight w:val="none"/>
          <w14:textFill>
            <w14:solidFill>
              <w14:schemeClr w14:val="tx1"/>
            </w14:solidFill>
          </w14:textFill>
        </w:rPr>
        <w:instrText xml:space="preserve"> HYPERLINK \l _Toc10224 </w:instrText>
      </w:r>
      <w:r>
        <w:rPr>
          <w:rFonts w:hint="eastAsia" w:cs="宋体"/>
          <w:color w:val="000000" w:themeColor="text1"/>
          <w:szCs w:val="30"/>
          <w:highlight w:val="none"/>
          <w14:textFill>
            <w14:solidFill>
              <w14:schemeClr w14:val="tx1"/>
            </w14:solidFill>
          </w14:textFill>
        </w:rPr>
        <w:fldChar w:fldCharType="separate"/>
      </w:r>
      <w:r>
        <w:rPr>
          <w:rFonts w:hint="eastAsia" w:ascii="宋体" w:hAnsi="宋体" w:cs="宋体"/>
          <w:bCs/>
          <w:color w:val="000000" w:themeColor="text1"/>
          <w:highlight w:val="none"/>
          <w14:textFill>
            <w14:solidFill>
              <w14:schemeClr w14:val="tx1"/>
            </w14:solidFill>
          </w14:textFill>
        </w:rPr>
        <w:t>投标人须知前附表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_Toc10224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19</w:t>
      </w:r>
      <w:r>
        <w:rPr>
          <w:color w:val="000000" w:themeColor="text1"/>
          <w:highlight w:val="none"/>
          <w14:textFill>
            <w14:solidFill>
              <w14:schemeClr w14:val="tx1"/>
            </w14:solidFill>
          </w14:textFill>
        </w:rPr>
        <w:fldChar w:fldCharType="end"/>
      </w:r>
      <w:r>
        <w:rPr>
          <w:rFonts w:hint="eastAsia" w:cs="宋体"/>
          <w:color w:val="000000" w:themeColor="text1"/>
          <w:szCs w:val="30"/>
          <w:highlight w:val="none"/>
          <w14:textFill>
            <w14:solidFill>
              <w14:schemeClr w14:val="tx1"/>
            </w14:solidFill>
          </w14:textFill>
        </w:rPr>
        <w:fldChar w:fldCharType="end"/>
      </w:r>
    </w:p>
    <w:p>
      <w:pPr>
        <w:pStyle w:val="26"/>
        <w:tabs>
          <w:tab w:val="right" w:leader="dot" w:pos="9412"/>
          <w:tab w:val="clear" w:pos="8820"/>
        </w:tabs>
        <w:rPr>
          <w:color w:val="000000" w:themeColor="text1"/>
          <w:highlight w:val="none"/>
          <w14:textFill>
            <w14:solidFill>
              <w14:schemeClr w14:val="tx1"/>
            </w14:solidFill>
          </w14:textFill>
        </w:rPr>
      </w:pPr>
      <w:r>
        <w:rPr>
          <w:rFonts w:hint="eastAsia" w:cs="宋体"/>
          <w:color w:val="000000" w:themeColor="text1"/>
          <w:szCs w:val="30"/>
          <w:highlight w:val="none"/>
          <w14:textFill>
            <w14:solidFill>
              <w14:schemeClr w14:val="tx1"/>
            </w14:solidFill>
          </w14:textFill>
        </w:rPr>
        <w:fldChar w:fldCharType="begin"/>
      </w:r>
      <w:r>
        <w:rPr>
          <w:rFonts w:hint="eastAsia" w:cs="宋体"/>
          <w:color w:val="000000" w:themeColor="text1"/>
          <w:szCs w:val="30"/>
          <w:highlight w:val="none"/>
          <w14:textFill>
            <w14:solidFill>
              <w14:schemeClr w14:val="tx1"/>
            </w14:solidFill>
          </w14:textFill>
        </w:rPr>
        <w:instrText xml:space="preserve"> HYPERLINK \l _Toc17304 </w:instrText>
      </w:r>
      <w:r>
        <w:rPr>
          <w:rFonts w:hint="eastAsia" w:cs="宋体"/>
          <w:color w:val="000000" w:themeColor="text1"/>
          <w:szCs w:val="30"/>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一、总  则</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_Toc17304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22</w:t>
      </w:r>
      <w:r>
        <w:rPr>
          <w:color w:val="000000" w:themeColor="text1"/>
          <w:highlight w:val="none"/>
          <w14:textFill>
            <w14:solidFill>
              <w14:schemeClr w14:val="tx1"/>
            </w14:solidFill>
          </w14:textFill>
        </w:rPr>
        <w:fldChar w:fldCharType="end"/>
      </w:r>
      <w:r>
        <w:rPr>
          <w:rFonts w:hint="eastAsia" w:cs="宋体"/>
          <w:color w:val="000000" w:themeColor="text1"/>
          <w:szCs w:val="30"/>
          <w:highlight w:val="none"/>
          <w14:textFill>
            <w14:solidFill>
              <w14:schemeClr w14:val="tx1"/>
            </w14:solidFill>
          </w14:textFill>
        </w:rPr>
        <w:fldChar w:fldCharType="end"/>
      </w:r>
    </w:p>
    <w:p>
      <w:pPr>
        <w:pStyle w:val="26"/>
        <w:tabs>
          <w:tab w:val="right" w:leader="dot" w:pos="9412"/>
          <w:tab w:val="clear" w:pos="8820"/>
        </w:tabs>
        <w:rPr>
          <w:color w:val="000000" w:themeColor="text1"/>
          <w:highlight w:val="none"/>
          <w14:textFill>
            <w14:solidFill>
              <w14:schemeClr w14:val="tx1"/>
            </w14:solidFill>
          </w14:textFill>
        </w:rPr>
      </w:pPr>
      <w:r>
        <w:rPr>
          <w:rFonts w:hint="eastAsia" w:cs="宋体"/>
          <w:color w:val="000000" w:themeColor="text1"/>
          <w:szCs w:val="30"/>
          <w:highlight w:val="none"/>
          <w14:textFill>
            <w14:solidFill>
              <w14:schemeClr w14:val="tx1"/>
            </w14:solidFill>
          </w14:textFill>
        </w:rPr>
        <w:fldChar w:fldCharType="begin"/>
      </w:r>
      <w:r>
        <w:rPr>
          <w:rFonts w:hint="eastAsia" w:cs="宋体"/>
          <w:color w:val="000000" w:themeColor="text1"/>
          <w:szCs w:val="30"/>
          <w:highlight w:val="none"/>
          <w14:textFill>
            <w14:solidFill>
              <w14:schemeClr w14:val="tx1"/>
            </w14:solidFill>
          </w14:textFill>
        </w:rPr>
        <w:instrText xml:space="preserve"> HYPERLINK \l _Toc6789 </w:instrText>
      </w:r>
      <w:r>
        <w:rPr>
          <w:rFonts w:hint="eastAsia" w:cs="宋体"/>
          <w:color w:val="000000" w:themeColor="text1"/>
          <w:szCs w:val="30"/>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二、招标文件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_Toc6789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24</w:t>
      </w:r>
      <w:r>
        <w:rPr>
          <w:color w:val="000000" w:themeColor="text1"/>
          <w:highlight w:val="none"/>
          <w14:textFill>
            <w14:solidFill>
              <w14:schemeClr w14:val="tx1"/>
            </w14:solidFill>
          </w14:textFill>
        </w:rPr>
        <w:fldChar w:fldCharType="end"/>
      </w:r>
      <w:r>
        <w:rPr>
          <w:rFonts w:hint="eastAsia" w:cs="宋体"/>
          <w:color w:val="000000" w:themeColor="text1"/>
          <w:szCs w:val="30"/>
          <w:highlight w:val="none"/>
          <w14:textFill>
            <w14:solidFill>
              <w14:schemeClr w14:val="tx1"/>
            </w14:solidFill>
          </w14:textFill>
        </w:rPr>
        <w:fldChar w:fldCharType="end"/>
      </w:r>
    </w:p>
    <w:p>
      <w:pPr>
        <w:pStyle w:val="26"/>
        <w:tabs>
          <w:tab w:val="right" w:leader="dot" w:pos="9412"/>
          <w:tab w:val="clear" w:pos="8820"/>
        </w:tabs>
        <w:rPr>
          <w:color w:val="000000" w:themeColor="text1"/>
          <w:highlight w:val="none"/>
          <w14:textFill>
            <w14:solidFill>
              <w14:schemeClr w14:val="tx1"/>
            </w14:solidFill>
          </w14:textFill>
        </w:rPr>
      </w:pPr>
      <w:r>
        <w:rPr>
          <w:rFonts w:hint="eastAsia" w:cs="宋体"/>
          <w:color w:val="000000" w:themeColor="text1"/>
          <w:szCs w:val="30"/>
          <w:highlight w:val="none"/>
          <w14:textFill>
            <w14:solidFill>
              <w14:schemeClr w14:val="tx1"/>
            </w14:solidFill>
          </w14:textFill>
        </w:rPr>
        <w:fldChar w:fldCharType="begin"/>
      </w:r>
      <w:r>
        <w:rPr>
          <w:rFonts w:hint="eastAsia" w:cs="宋体"/>
          <w:color w:val="000000" w:themeColor="text1"/>
          <w:szCs w:val="30"/>
          <w:highlight w:val="none"/>
          <w14:textFill>
            <w14:solidFill>
              <w14:schemeClr w14:val="tx1"/>
            </w14:solidFill>
          </w14:textFill>
        </w:rPr>
        <w:instrText xml:space="preserve"> HYPERLINK \l _Toc8257 </w:instrText>
      </w:r>
      <w:r>
        <w:rPr>
          <w:rFonts w:hint="eastAsia" w:cs="宋体"/>
          <w:color w:val="000000" w:themeColor="text1"/>
          <w:szCs w:val="30"/>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三、投标文件的编制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_Toc8257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25</w:t>
      </w:r>
      <w:r>
        <w:rPr>
          <w:color w:val="000000" w:themeColor="text1"/>
          <w:highlight w:val="none"/>
          <w14:textFill>
            <w14:solidFill>
              <w14:schemeClr w14:val="tx1"/>
            </w14:solidFill>
          </w14:textFill>
        </w:rPr>
        <w:fldChar w:fldCharType="end"/>
      </w:r>
      <w:r>
        <w:rPr>
          <w:rFonts w:hint="eastAsia" w:cs="宋体"/>
          <w:color w:val="000000" w:themeColor="text1"/>
          <w:szCs w:val="30"/>
          <w:highlight w:val="none"/>
          <w14:textFill>
            <w14:solidFill>
              <w14:schemeClr w14:val="tx1"/>
            </w14:solidFill>
          </w14:textFill>
        </w:rPr>
        <w:fldChar w:fldCharType="end"/>
      </w:r>
    </w:p>
    <w:p>
      <w:pPr>
        <w:pStyle w:val="26"/>
        <w:tabs>
          <w:tab w:val="right" w:leader="dot" w:pos="9412"/>
          <w:tab w:val="clear" w:pos="8820"/>
        </w:tabs>
        <w:rPr>
          <w:color w:val="000000" w:themeColor="text1"/>
          <w:highlight w:val="none"/>
          <w14:textFill>
            <w14:solidFill>
              <w14:schemeClr w14:val="tx1"/>
            </w14:solidFill>
          </w14:textFill>
        </w:rPr>
      </w:pPr>
      <w:r>
        <w:rPr>
          <w:rFonts w:hint="eastAsia" w:cs="宋体"/>
          <w:color w:val="000000" w:themeColor="text1"/>
          <w:szCs w:val="30"/>
          <w:highlight w:val="none"/>
          <w14:textFill>
            <w14:solidFill>
              <w14:schemeClr w14:val="tx1"/>
            </w14:solidFill>
          </w14:textFill>
        </w:rPr>
        <w:fldChar w:fldCharType="begin"/>
      </w:r>
      <w:r>
        <w:rPr>
          <w:rFonts w:hint="eastAsia" w:cs="宋体"/>
          <w:color w:val="000000" w:themeColor="text1"/>
          <w:szCs w:val="30"/>
          <w:highlight w:val="none"/>
          <w14:textFill>
            <w14:solidFill>
              <w14:schemeClr w14:val="tx1"/>
            </w14:solidFill>
          </w14:textFill>
        </w:rPr>
        <w:instrText xml:space="preserve"> HYPERLINK \l _Toc5877 </w:instrText>
      </w:r>
      <w:r>
        <w:rPr>
          <w:rFonts w:hint="eastAsia" w:cs="宋体"/>
          <w:color w:val="000000" w:themeColor="text1"/>
          <w:szCs w:val="30"/>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四、投标文件的递交</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_Toc5877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28</w:t>
      </w:r>
      <w:r>
        <w:rPr>
          <w:color w:val="000000" w:themeColor="text1"/>
          <w:highlight w:val="none"/>
          <w14:textFill>
            <w14:solidFill>
              <w14:schemeClr w14:val="tx1"/>
            </w14:solidFill>
          </w14:textFill>
        </w:rPr>
        <w:fldChar w:fldCharType="end"/>
      </w:r>
      <w:r>
        <w:rPr>
          <w:rFonts w:hint="eastAsia" w:cs="宋体"/>
          <w:color w:val="000000" w:themeColor="text1"/>
          <w:szCs w:val="30"/>
          <w:highlight w:val="none"/>
          <w14:textFill>
            <w14:solidFill>
              <w14:schemeClr w14:val="tx1"/>
            </w14:solidFill>
          </w14:textFill>
        </w:rPr>
        <w:fldChar w:fldCharType="end"/>
      </w:r>
    </w:p>
    <w:p>
      <w:pPr>
        <w:pStyle w:val="26"/>
        <w:tabs>
          <w:tab w:val="right" w:leader="dot" w:pos="9412"/>
          <w:tab w:val="clear" w:pos="8820"/>
        </w:tabs>
        <w:rPr>
          <w:color w:val="000000" w:themeColor="text1"/>
          <w:highlight w:val="none"/>
          <w14:textFill>
            <w14:solidFill>
              <w14:schemeClr w14:val="tx1"/>
            </w14:solidFill>
          </w14:textFill>
        </w:rPr>
      </w:pPr>
      <w:r>
        <w:rPr>
          <w:rFonts w:hint="eastAsia" w:cs="宋体"/>
          <w:color w:val="000000" w:themeColor="text1"/>
          <w:szCs w:val="30"/>
          <w:highlight w:val="none"/>
          <w14:textFill>
            <w14:solidFill>
              <w14:schemeClr w14:val="tx1"/>
            </w14:solidFill>
          </w14:textFill>
        </w:rPr>
        <w:fldChar w:fldCharType="begin"/>
      </w:r>
      <w:r>
        <w:rPr>
          <w:rFonts w:hint="eastAsia" w:cs="宋体"/>
          <w:color w:val="000000" w:themeColor="text1"/>
          <w:szCs w:val="30"/>
          <w:highlight w:val="none"/>
          <w14:textFill>
            <w14:solidFill>
              <w14:schemeClr w14:val="tx1"/>
            </w14:solidFill>
          </w14:textFill>
        </w:rPr>
        <w:instrText xml:space="preserve"> HYPERLINK \l _Toc25813 </w:instrText>
      </w:r>
      <w:r>
        <w:rPr>
          <w:rFonts w:hint="eastAsia" w:cs="宋体"/>
          <w:color w:val="000000" w:themeColor="text1"/>
          <w:szCs w:val="30"/>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五、开标、评标</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_Toc25813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29</w:t>
      </w:r>
      <w:r>
        <w:rPr>
          <w:color w:val="000000" w:themeColor="text1"/>
          <w:highlight w:val="none"/>
          <w14:textFill>
            <w14:solidFill>
              <w14:schemeClr w14:val="tx1"/>
            </w14:solidFill>
          </w14:textFill>
        </w:rPr>
        <w:fldChar w:fldCharType="end"/>
      </w:r>
      <w:r>
        <w:rPr>
          <w:rFonts w:hint="eastAsia" w:cs="宋体"/>
          <w:color w:val="000000" w:themeColor="text1"/>
          <w:szCs w:val="30"/>
          <w:highlight w:val="none"/>
          <w14:textFill>
            <w14:solidFill>
              <w14:schemeClr w14:val="tx1"/>
            </w14:solidFill>
          </w14:textFill>
        </w:rPr>
        <w:fldChar w:fldCharType="end"/>
      </w:r>
    </w:p>
    <w:p>
      <w:pPr>
        <w:pStyle w:val="26"/>
        <w:tabs>
          <w:tab w:val="right" w:leader="dot" w:pos="9412"/>
          <w:tab w:val="clear" w:pos="8820"/>
        </w:tabs>
        <w:rPr>
          <w:color w:val="000000" w:themeColor="text1"/>
          <w:highlight w:val="none"/>
          <w14:textFill>
            <w14:solidFill>
              <w14:schemeClr w14:val="tx1"/>
            </w14:solidFill>
          </w14:textFill>
        </w:rPr>
      </w:pPr>
      <w:r>
        <w:rPr>
          <w:rFonts w:hint="eastAsia" w:cs="宋体"/>
          <w:color w:val="000000" w:themeColor="text1"/>
          <w:szCs w:val="30"/>
          <w:highlight w:val="none"/>
          <w14:textFill>
            <w14:solidFill>
              <w14:schemeClr w14:val="tx1"/>
            </w14:solidFill>
          </w14:textFill>
        </w:rPr>
        <w:fldChar w:fldCharType="begin"/>
      </w:r>
      <w:r>
        <w:rPr>
          <w:rFonts w:hint="eastAsia" w:cs="宋体"/>
          <w:color w:val="000000" w:themeColor="text1"/>
          <w:szCs w:val="30"/>
          <w:highlight w:val="none"/>
          <w14:textFill>
            <w14:solidFill>
              <w14:schemeClr w14:val="tx1"/>
            </w14:solidFill>
          </w14:textFill>
        </w:rPr>
        <w:instrText xml:space="preserve"> HYPERLINK \l _Toc18481 </w:instrText>
      </w:r>
      <w:r>
        <w:rPr>
          <w:rFonts w:hint="eastAsia" w:cs="宋体"/>
          <w:color w:val="000000" w:themeColor="text1"/>
          <w:szCs w:val="30"/>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六、结果公示</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_Toc18481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32</w:t>
      </w:r>
      <w:r>
        <w:rPr>
          <w:color w:val="000000" w:themeColor="text1"/>
          <w:highlight w:val="none"/>
          <w14:textFill>
            <w14:solidFill>
              <w14:schemeClr w14:val="tx1"/>
            </w14:solidFill>
          </w14:textFill>
        </w:rPr>
        <w:fldChar w:fldCharType="end"/>
      </w:r>
      <w:r>
        <w:rPr>
          <w:rFonts w:hint="eastAsia" w:cs="宋体"/>
          <w:color w:val="000000" w:themeColor="text1"/>
          <w:szCs w:val="30"/>
          <w:highlight w:val="none"/>
          <w14:textFill>
            <w14:solidFill>
              <w14:schemeClr w14:val="tx1"/>
            </w14:solidFill>
          </w14:textFill>
        </w:rPr>
        <w:fldChar w:fldCharType="end"/>
      </w:r>
    </w:p>
    <w:p>
      <w:pPr>
        <w:pStyle w:val="26"/>
        <w:tabs>
          <w:tab w:val="right" w:leader="dot" w:pos="9412"/>
          <w:tab w:val="clear" w:pos="8820"/>
        </w:tabs>
        <w:rPr>
          <w:color w:val="000000" w:themeColor="text1"/>
          <w:highlight w:val="none"/>
          <w14:textFill>
            <w14:solidFill>
              <w14:schemeClr w14:val="tx1"/>
            </w14:solidFill>
          </w14:textFill>
        </w:rPr>
      </w:pPr>
      <w:r>
        <w:rPr>
          <w:rFonts w:hint="eastAsia" w:cs="宋体"/>
          <w:color w:val="000000" w:themeColor="text1"/>
          <w:szCs w:val="30"/>
          <w:highlight w:val="none"/>
          <w14:textFill>
            <w14:solidFill>
              <w14:schemeClr w14:val="tx1"/>
            </w14:solidFill>
          </w14:textFill>
        </w:rPr>
        <w:fldChar w:fldCharType="begin"/>
      </w:r>
      <w:r>
        <w:rPr>
          <w:rFonts w:hint="eastAsia" w:cs="宋体"/>
          <w:color w:val="000000" w:themeColor="text1"/>
          <w:szCs w:val="30"/>
          <w:highlight w:val="none"/>
          <w14:textFill>
            <w14:solidFill>
              <w14:schemeClr w14:val="tx1"/>
            </w14:solidFill>
          </w14:textFill>
        </w:rPr>
        <w:instrText xml:space="preserve"> HYPERLINK \l _Toc20057 </w:instrText>
      </w:r>
      <w:r>
        <w:rPr>
          <w:rFonts w:hint="eastAsia" w:cs="宋体"/>
          <w:color w:val="000000" w:themeColor="text1"/>
          <w:szCs w:val="30"/>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七、签订合同</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_Toc20057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32</w:t>
      </w:r>
      <w:r>
        <w:rPr>
          <w:color w:val="000000" w:themeColor="text1"/>
          <w:highlight w:val="none"/>
          <w14:textFill>
            <w14:solidFill>
              <w14:schemeClr w14:val="tx1"/>
            </w14:solidFill>
          </w14:textFill>
        </w:rPr>
        <w:fldChar w:fldCharType="end"/>
      </w:r>
      <w:r>
        <w:rPr>
          <w:rFonts w:hint="eastAsia" w:cs="宋体"/>
          <w:color w:val="000000" w:themeColor="text1"/>
          <w:szCs w:val="30"/>
          <w:highlight w:val="none"/>
          <w14:textFill>
            <w14:solidFill>
              <w14:schemeClr w14:val="tx1"/>
            </w14:solidFill>
          </w14:textFill>
        </w:rPr>
        <w:fldChar w:fldCharType="end"/>
      </w:r>
    </w:p>
    <w:p>
      <w:pPr>
        <w:pStyle w:val="26"/>
        <w:tabs>
          <w:tab w:val="right" w:leader="dot" w:pos="9412"/>
          <w:tab w:val="clear" w:pos="8820"/>
        </w:tabs>
        <w:rPr>
          <w:color w:val="000000" w:themeColor="text1"/>
          <w:highlight w:val="none"/>
          <w14:textFill>
            <w14:solidFill>
              <w14:schemeClr w14:val="tx1"/>
            </w14:solidFill>
          </w14:textFill>
        </w:rPr>
      </w:pPr>
      <w:r>
        <w:rPr>
          <w:rFonts w:hint="eastAsia" w:cs="宋体"/>
          <w:color w:val="000000" w:themeColor="text1"/>
          <w:szCs w:val="30"/>
          <w:highlight w:val="none"/>
          <w14:textFill>
            <w14:solidFill>
              <w14:schemeClr w14:val="tx1"/>
            </w14:solidFill>
          </w14:textFill>
        </w:rPr>
        <w:fldChar w:fldCharType="begin"/>
      </w:r>
      <w:r>
        <w:rPr>
          <w:rFonts w:hint="eastAsia" w:cs="宋体"/>
          <w:color w:val="000000" w:themeColor="text1"/>
          <w:szCs w:val="30"/>
          <w:highlight w:val="none"/>
          <w14:textFill>
            <w14:solidFill>
              <w14:schemeClr w14:val="tx1"/>
            </w14:solidFill>
          </w14:textFill>
        </w:rPr>
        <w:instrText xml:space="preserve"> HYPERLINK \l _Toc9628 </w:instrText>
      </w:r>
      <w:r>
        <w:rPr>
          <w:rFonts w:hint="eastAsia" w:cs="宋体"/>
          <w:color w:val="000000" w:themeColor="text1"/>
          <w:szCs w:val="30"/>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八、其他事项</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_Toc9628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33</w:t>
      </w:r>
      <w:r>
        <w:rPr>
          <w:color w:val="000000" w:themeColor="text1"/>
          <w:highlight w:val="none"/>
          <w14:textFill>
            <w14:solidFill>
              <w14:schemeClr w14:val="tx1"/>
            </w14:solidFill>
          </w14:textFill>
        </w:rPr>
        <w:fldChar w:fldCharType="end"/>
      </w:r>
      <w:r>
        <w:rPr>
          <w:rFonts w:hint="eastAsia" w:cs="宋体"/>
          <w:color w:val="000000" w:themeColor="text1"/>
          <w:szCs w:val="30"/>
          <w:highlight w:val="none"/>
          <w14:textFill>
            <w14:solidFill>
              <w14:schemeClr w14:val="tx1"/>
            </w14:solidFill>
          </w14:textFill>
        </w:rPr>
        <w:fldChar w:fldCharType="end"/>
      </w:r>
    </w:p>
    <w:p>
      <w:pPr>
        <w:pStyle w:val="26"/>
        <w:tabs>
          <w:tab w:val="right" w:leader="dot" w:pos="9412"/>
          <w:tab w:val="clear" w:pos="8820"/>
        </w:tabs>
        <w:rPr>
          <w:color w:val="000000" w:themeColor="text1"/>
          <w:highlight w:val="none"/>
          <w14:textFill>
            <w14:solidFill>
              <w14:schemeClr w14:val="tx1"/>
            </w14:solidFill>
          </w14:textFill>
        </w:rPr>
      </w:pPr>
      <w:r>
        <w:rPr>
          <w:rFonts w:hint="eastAsia" w:cs="宋体"/>
          <w:color w:val="000000" w:themeColor="text1"/>
          <w:szCs w:val="30"/>
          <w:highlight w:val="none"/>
          <w14:textFill>
            <w14:solidFill>
              <w14:schemeClr w14:val="tx1"/>
            </w14:solidFill>
          </w14:textFill>
        </w:rPr>
        <w:fldChar w:fldCharType="begin"/>
      </w:r>
      <w:r>
        <w:rPr>
          <w:rFonts w:hint="eastAsia" w:cs="宋体"/>
          <w:color w:val="000000" w:themeColor="text1"/>
          <w:szCs w:val="30"/>
          <w:highlight w:val="none"/>
          <w14:textFill>
            <w14:solidFill>
              <w14:schemeClr w14:val="tx1"/>
            </w14:solidFill>
          </w14:textFill>
        </w:rPr>
        <w:instrText xml:space="preserve"> HYPERLINK \l _Toc13134 </w:instrText>
      </w:r>
      <w:r>
        <w:rPr>
          <w:rFonts w:hint="eastAsia" w:cs="宋体"/>
          <w:color w:val="000000" w:themeColor="text1"/>
          <w:szCs w:val="30"/>
          <w:highlight w:val="none"/>
          <w14:textFill>
            <w14:solidFill>
              <w14:schemeClr w14:val="tx1"/>
            </w14:solidFill>
          </w14:textFill>
        </w:rPr>
        <w:fldChar w:fldCharType="separate"/>
      </w:r>
      <w:r>
        <w:rPr>
          <w:rFonts w:hint="eastAsia" w:ascii="宋体" w:hAnsi="宋体" w:cs="宋体"/>
          <w:bCs/>
          <w:color w:val="000000" w:themeColor="text1"/>
          <w:highlight w:val="none"/>
          <w14:textFill>
            <w14:solidFill>
              <w14:schemeClr w14:val="tx1"/>
            </w14:solidFill>
          </w14:textFill>
        </w:rPr>
        <w:t>第四章  评标方法</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_Toc13134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35</w:t>
      </w:r>
      <w:r>
        <w:rPr>
          <w:color w:val="000000" w:themeColor="text1"/>
          <w:highlight w:val="none"/>
          <w14:textFill>
            <w14:solidFill>
              <w14:schemeClr w14:val="tx1"/>
            </w14:solidFill>
          </w14:textFill>
        </w:rPr>
        <w:fldChar w:fldCharType="end"/>
      </w:r>
      <w:r>
        <w:rPr>
          <w:rFonts w:hint="eastAsia" w:cs="宋体"/>
          <w:color w:val="000000" w:themeColor="text1"/>
          <w:szCs w:val="30"/>
          <w:highlight w:val="none"/>
          <w14:textFill>
            <w14:solidFill>
              <w14:schemeClr w14:val="tx1"/>
            </w14:solidFill>
          </w14:textFill>
        </w:rPr>
        <w:fldChar w:fldCharType="end"/>
      </w:r>
    </w:p>
    <w:p>
      <w:pPr>
        <w:pStyle w:val="26"/>
        <w:tabs>
          <w:tab w:val="right" w:leader="dot" w:pos="9412"/>
          <w:tab w:val="clear" w:pos="8820"/>
        </w:tabs>
        <w:rPr>
          <w:color w:val="000000" w:themeColor="text1"/>
          <w:highlight w:val="none"/>
          <w14:textFill>
            <w14:solidFill>
              <w14:schemeClr w14:val="tx1"/>
            </w14:solidFill>
          </w14:textFill>
        </w:rPr>
      </w:pPr>
      <w:r>
        <w:rPr>
          <w:rFonts w:hint="eastAsia" w:cs="宋体"/>
          <w:color w:val="000000" w:themeColor="text1"/>
          <w:szCs w:val="30"/>
          <w:highlight w:val="none"/>
          <w14:textFill>
            <w14:solidFill>
              <w14:schemeClr w14:val="tx1"/>
            </w14:solidFill>
          </w14:textFill>
        </w:rPr>
        <w:fldChar w:fldCharType="begin"/>
      </w:r>
      <w:r>
        <w:rPr>
          <w:rFonts w:hint="eastAsia" w:cs="宋体"/>
          <w:color w:val="000000" w:themeColor="text1"/>
          <w:szCs w:val="30"/>
          <w:highlight w:val="none"/>
          <w14:textFill>
            <w14:solidFill>
              <w14:schemeClr w14:val="tx1"/>
            </w14:solidFill>
          </w14:textFill>
        </w:rPr>
        <w:instrText xml:space="preserve"> HYPERLINK \l _Toc7607 </w:instrText>
      </w:r>
      <w:r>
        <w:rPr>
          <w:rFonts w:hint="eastAsia" w:cs="宋体"/>
          <w:color w:val="000000" w:themeColor="text1"/>
          <w:szCs w:val="30"/>
          <w:highlight w:val="none"/>
          <w14:textFill>
            <w14:solidFill>
              <w14:schemeClr w14:val="tx1"/>
            </w14:solidFill>
          </w14:textFill>
        </w:rPr>
        <w:fldChar w:fldCharType="separate"/>
      </w:r>
      <w:r>
        <w:rPr>
          <w:rFonts w:hint="eastAsia" w:ascii="宋体" w:hAnsi="宋体" w:cs="宋体"/>
          <w:bCs/>
          <w:color w:val="000000" w:themeColor="text1"/>
          <w:highlight w:val="none"/>
          <w14:textFill>
            <w14:solidFill>
              <w14:schemeClr w14:val="tx1"/>
            </w14:solidFill>
          </w14:textFill>
        </w:rPr>
        <w:t>第五章  政府采购合同（格式）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_Toc7607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40</w:t>
      </w:r>
      <w:r>
        <w:rPr>
          <w:color w:val="000000" w:themeColor="text1"/>
          <w:highlight w:val="none"/>
          <w14:textFill>
            <w14:solidFill>
              <w14:schemeClr w14:val="tx1"/>
            </w14:solidFill>
          </w14:textFill>
        </w:rPr>
        <w:fldChar w:fldCharType="end"/>
      </w:r>
      <w:r>
        <w:rPr>
          <w:rFonts w:hint="eastAsia" w:cs="宋体"/>
          <w:color w:val="000000" w:themeColor="text1"/>
          <w:szCs w:val="30"/>
          <w:highlight w:val="none"/>
          <w14:textFill>
            <w14:solidFill>
              <w14:schemeClr w14:val="tx1"/>
            </w14:solidFill>
          </w14:textFill>
        </w:rPr>
        <w:fldChar w:fldCharType="end"/>
      </w:r>
    </w:p>
    <w:p>
      <w:pPr>
        <w:pStyle w:val="26"/>
        <w:tabs>
          <w:tab w:val="right" w:leader="dot" w:pos="9412"/>
          <w:tab w:val="clear" w:pos="8820"/>
        </w:tabs>
        <w:rPr>
          <w:color w:val="000000" w:themeColor="text1"/>
          <w:highlight w:val="none"/>
          <w14:textFill>
            <w14:solidFill>
              <w14:schemeClr w14:val="tx1"/>
            </w14:solidFill>
          </w14:textFill>
        </w:rPr>
      </w:pPr>
      <w:r>
        <w:rPr>
          <w:rFonts w:hint="eastAsia" w:cs="宋体"/>
          <w:color w:val="000000" w:themeColor="text1"/>
          <w:szCs w:val="30"/>
          <w:highlight w:val="none"/>
          <w14:textFill>
            <w14:solidFill>
              <w14:schemeClr w14:val="tx1"/>
            </w14:solidFill>
          </w14:textFill>
        </w:rPr>
        <w:fldChar w:fldCharType="begin"/>
      </w:r>
      <w:r>
        <w:rPr>
          <w:rFonts w:hint="eastAsia" w:cs="宋体"/>
          <w:color w:val="000000" w:themeColor="text1"/>
          <w:szCs w:val="30"/>
          <w:highlight w:val="none"/>
          <w14:textFill>
            <w14:solidFill>
              <w14:schemeClr w14:val="tx1"/>
            </w14:solidFill>
          </w14:textFill>
        </w:rPr>
        <w:instrText xml:space="preserve"> HYPERLINK \l _Toc31278 </w:instrText>
      </w:r>
      <w:r>
        <w:rPr>
          <w:rFonts w:hint="eastAsia" w:cs="宋体"/>
          <w:color w:val="000000" w:themeColor="text1"/>
          <w:szCs w:val="30"/>
          <w:highlight w:val="none"/>
          <w14:textFill>
            <w14:solidFill>
              <w14:schemeClr w14:val="tx1"/>
            </w14:solidFill>
          </w14:textFill>
        </w:rPr>
        <w:fldChar w:fldCharType="separate"/>
      </w:r>
      <w:r>
        <w:rPr>
          <w:rFonts w:hint="eastAsia" w:ascii="宋体" w:hAnsi="宋体" w:cs="宋体"/>
          <w:color w:val="000000" w:themeColor="text1"/>
          <w:szCs w:val="32"/>
          <w:highlight w:val="none"/>
          <w14:textFill>
            <w14:solidFill>
              <w14:schemeClr w14:val="tx1"/>
            </w14:solidFill>
          </w14:textFill>
        </w:rPr>
        <w:t>项目编号:</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_Toc31278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40</w:t>
      </w:r>
      <w:r>
        <w:rPr>
          <w:color w:val="000000" w:themeColor="text1"/>
          <w:highlight w:val="none"/>
          <w14:textFill>
            <w14:solidFill>
              <w14:schemeClr w14:val="tx1"/>
            </w14:solidFill>
          </w14:textFill>
        </w:rPr>
        <w:fldChar w:fldCharType="end"/>
      </w:r>
      <w:r>
        <w:rPr>
          <w:rFonts w:hint="eastAsia" w:cs="宋体"/>
          <w:color w:val="000000" w:themeColor="text1"/>
          <w:szCs w:val="30"/>
          <w:highlight w:val="none"/>
          <w14:textFill>
            <w14:solidFill>
              <w14:schemeClr w14:val="tx1"/>
            </w14:solidFill>
          </w14:textFill>
        </w:rPr>
        <w:fldChar w:fldCharType="end"/>
      </w:r>
    </w:p>
    <w:p>
      <w:pPr>
        <w:pStyle w:val="26"/>
        <w:tabs>
          <w:tab w:val="right" w:leader="dot" w:pos="9412"/>
          <w:tab w:val="clear" w:pos="8820"/>
        </w:tabs>
        <w:rPr>
          <w:color w:val="000000" w:themeColor="text1"/>
          <w:highlight w:val="none"/>
          <w14:textFill>
            <w14:solidFill>
              <w14:schemeClr w14:val="tx1"/>
            </w14:solidFill>
          </w14:textFill>
        </w:rPr>
      </w:pPr>
      <w:r>
        <w:rPr>
          <w:rFonts w:hint="eastAsia" w:cs="宋体"/>
          <w:color w:val="000000" w:themeColor="text1"/>
          <w:szCs w:val="30"/>
          <w:highlight w:val="none"/>
          <w14:textFill>
            <w14:solidFill>
              <w14:schemeClr w14:val="tx1"/>
            </w14:solidFill>
          </w14:textFill>
        </w:rPr>
        <w:fldChar w:fldCharType="begin"/>
      </w:r>
      <w:r>
        <w:rPr>
          <w:rFonts w:hint="eastAsia" w:cs="宋体"/>
          <w:color w:val="000000" w:themeColor="text1"/>
          <w:szCs w:val="30"/>
          <w:highlight w:val="none"/>
          <w14:textFill>
            <w14:solidFill>
              <w14:schemeClr w14:val="tx1"/>
            </w14:solidFill>
          </w14:textFill>
        </w:rPr>
        <w:instrText xml:space="preserve"> HYPERLINK \l _Toc20263 </w:instrText>
      </w:r>
      <w:r>
        <w:rPr>
          <w:rFonts w:hint="eastAsia" w:cs="宋体"/>
          <w:color w:val="000000" w:themeColor="text1"/>
          <w:szCs w:val="30"/>
          <w:highlight w:val="none"/>
          <w14:textFill>
            <w14:solidFill>
              <w14:schemeClr w14:val="tx1"/>
            </w14:solidFill>
          </w14:textFill>
        </w:rPr>
        <w:fldChar w:fldCharType="separate"/>
      </w:r>
      <w:r>
        <w:rPr>
          <w:rFonts w:hint="eastAsia" w:ascii="宋体" w:hAnsi="宋体" w:cs="宋体"/>
          <w:color w:val="000000" w:themeColor="text1"/>
          <w:szCs w:val="32"/>
          <w:highlight w:val="none"/>
          <w14:textFill>
            <w14:solidFill>
              <w14:schemeClr w14:val="tx1"/>
            </w14:solidFill>
          </w14:textFill>
        </w:rPr>
        <w:t>项目名称：</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_Toc20263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40</w:t>
      </w:r>
      <w:r>
        <w:rPr>
          <w:color w:val="000000" w:themeColor="text1"/>
          <w:highlight w:val="none"/>
          <w14:textFill>
            <w14:solidFill>
              <w14:schemeClr w14:val="tx1"/>
            </w14:solidFill>
          </w14:textFill>
        </w:rPr>
        <w:fldChar w:fldCharType="end"/>
      </w:r>
      <w:r>
        <w:rPr>
          <w:rFonts w:hint="eastAsia" w:cs="宋体"/>
          <w:color w:val="000000" w:themeColor="text1"/>
          <w:szCs w:val="30"/>
          <w:highlight w:val="none"/>
          <w14:textFill>
            <w14:solidFill>
              <w14:schemeClr w14:val="tx1"/>
            </w14:solidFill>
          </w14:textFill>
        </w:rPr>
        <w:fldChar w:fldCharType="end"/>
      </w:r>
    </w:p>
    <w:p>
      <w:pPr>
        <w:pStyle w:val="26"/>
        <w:tabs>
          <w:tab w:val="right" w:leader="dot" w:pos="9412"/>
          <w:tab w:val="clear" w:pos="8820"/>
        </w:tabs>
        <w:rPr>
          <w:color w:val="000000" w:themeColor="text1"/>
          <w:highlight w:val="none"/>
          <w14:textFill>
            <w14:solidFill>
              <w14:schemeClr w14:val="tx1"/>
            </w14:solidFill>
          </w14:textFill>
        </w:rPr>
      </w:pPr>
      <w:r>
        <w:rPr>
          <w:rFonts w:hint="eastAsia" w:cs="宋体"/>
          <w:color w:val="000000" w:themeColor="text1"/>
          <w:szCs w:val="30"/>
          <w:highlight w:val="none"/>
          <w14:textFill>
            <w14:solidFill>
              <w14:schemeClr w14:val="tx1"/>
            </w14:solidFill>
          </w14:textFill>
        </w:rPr>
        <w:fldChar w:fldCharType="begin"/>
      </w:r>
      <w:r>
        <w:rPr>
          <w:rFonts w:hint="eastAsia" w:cs="宋体"/>
          <w:color w:val="000000" w:themeColor="text1"/>
          <w:szCs w:val="30"/>
          <w:highlight w:val="none"/>
          <w14:textFill>
            <w14:solidFill>
              <w14:schemeClr w14:val="tx1"/>
            </w14:solidFill>
          </w14:textFill>
        </w:rPr>
        <w:instrText xml:space="preserve"> HYPERLINK \l _Toc6352 </w:instrText>
      </w:r>
      <w:r>
        <w:rPr>
          <w:rFonts w:hint="eastAsia" w:cs="宋体"/>
          <w:color w:val="000000" w:themeColor="text1"/>
          <w:szCs w:val="30"/>
          <w:highlight w:val="none"/>
          <w14:textFill>
            <w14:solidFill>
              <w14:schemeClr w14:val="tx1"/>
            </w14:solidFill>
          </w14:textFill>
        </w:rPr>
        <w:fldChar w:fldCharType="separate"/>
      </w:r>
      <w:r>
        <w:rPr>
          <w:rFonts w:hint="eastAsia" w:ascii="宋体" w:hAnsi="宋体" w:cs="宋体"/>
          <w:color w:val="000000" w:themeColor="text1"/>
          <w:szCs w:val="32"/>
          <w:highlight w:val="none"/>
          <w14:textFill>
            <w14:solidFill>
              <w14:schemeClr w14:val="tx1"/>
            </w14:solidFill>
          </w14:textFill>
        </w:rPr>
        <w:t>合同主要条款格式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_Toc6352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41</w:t>
      </w:r>
      <w:r>
        <w:rPr>
          <w:color w:val="000000" w:themeColor="text1"/>
          <w:highlight w:val="none"/>
          <w14:textFill>
            <w14:solidFill>
              <w14:schemeClr w14:val="tx1"/>
            </w14:solidFill>
          </w14:textFill>
        </w:rPr>
        <w:fldChar w:fldCharType="end"/>
      </w:r>
      <w:r>
        <w:rPr>
          <w:rFonts w:hint="eastAsia" w:cs="宋体"/>
          <w:color w:val="000000" w:themeColor="text1"/>
          <w:szCs w:val="30"/>
          <w:highlight w:val="none"/>
          <w14:textFill>
            <w14:solidFill>
              <w14:schemeClr w14:val="tx1"/>
            </w14:solidFill>
          </w14:textFill>
        </w:rPr>
        <w:fldChar w:fldCharType="end"/>
      </w:r>
    </w:p>
    <w:p>
      <w:pPr>
        <w:pStyle w:val="26"/>
        <w:tabs>
          <w:tab w:val="right" w:leader="dot" w:pos="9412"/>
          <w:tab w:val="clear" w:pos="8820"/>
        </w:tabs>
        <w:rPr>
          <w:color w:val="000000" w:themeColor="text1"/>
          <w:highlight w:val="none"/>
          <w14:textFill>
            <w14:solidFill>
              <w14:schemeClr w14:val="tx1"/>
            </w14:solidFill>
          </w14:textFill>
        </w:rPr>
      </w:pPr>
      <w:r>
        <w:rPr>
          <w:rFonts w:hint="eastAsia" w:cs="宋体"/>
          <w:color w:val="000000" w:themeColor="text1"/>
          <w:szCs w:val="30"/>
          <w:highlight w:val="none"/>
          <w14:textFill>
            <w14:solidFill>
              <w14:schemeClr w14:val="tx1"/>
            </w14:solidFill>
          </w14:textFill>
        </w:rPr>
        <w:fldChar w:fldCharType="begin"/>
      </w:r>
      <w:r>
        <w:rPr>
          <w:rFonts w:hint="eastAsia" w:cs="宋体"/>
          <w:color w:val="000000" w:themeColor="text1"/>
          <w:szCs w:val="30"/>
          <w:highlight w:val="none"/>
          <w14:textFill>
            <w14:solidFill>
              <w14:schemeClr w14:val="tx1"/>
            </w14:solidFill>
          </w14:textFill>
        </w:rPr>
        <w:instrText xml:space="preserve"> HYPERLINK \l _Toc2823 </w:instrText>
      </w:r>
      <w:r>
        <w:rPr>
          <w:rFonts w:hint="eastAsia" w:cs="宋体"/>
          <w:color w:val="000000" w:themeColor="text1"/>
          <w:szCs w:val="30"/>
          <w:highlight w:val="none"/>
          <w14:textFill>
            <w14:solidFill>
              <w14:schemeClr w14:val="tx1"/>
            </w14:solidFill>
          </w14:textFill>
        </w:rPr>
        <w:fldChar w:fldCharType="separate"/>
      </w:r>
      <w:r>
        <w:rPr>
          <w:rFonts w:hint="eastAsia" w:ascii="宋体" w:hAnsi="宋体" w:cs="宋体"/>
          <w:bCs/>
          <w:color w:val="000000" w:themeColor="text1"/>
          <w:highlight w:val="none"/>
          <w14:textFill>
            <w14:solidFill>
              <w14:schemeClr w14:val="tx1"/>
            </w14:solidFill>
          </w14:textFill>
        </w:rPr>
        <w:t>第六章  投标文件（格式）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_Toc2823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48</w:t>
      </w:r>
      <w:r>
        <w:rPr>
          <w:color w:val="000000" w:themeColor="text1"/>
          <w:highlight w:val="none"/>
          <w14:textFill>
            <w14:solidFill>
              <w14:schemeClr w14:val="tx1"/>
            </w14:solidFill>
          </w14:textFill>
        </w:rPr>
        <w:fldChar w:fldCharType="end"/>
      </w:r>
      <w:r>
        <w:rPr>
          <w:rFonts w:hint="eastAsia" w:cs="宋体"/>
          <w:color w:val="000000" w:themeColor="text1"/>
          <w:szCs w:val="30"/>
          <w:highlight w:val="none"/>
          <w14:textFill>
            <w14:solidFill>
              <w14:schemeClr w14:val="tx1"/>
            </w14:solidFill>
          </w14:textFill>
        </w:rPr>
        <w:fldChar w:fldCharType="end"/>
      </w:r>
    </w:p>
    <w:p>
      <w:pPr>
        <w:pStyle w:val="26"/>
        <w:tabs>
          <w:tab w:val="right" w:leader="dot" w:pos="9412"/>
          <w:tab w:val="clear" w:pos="8820"/>
        </w:tabs>
        <w:rPr>
          <w:color w:val="000000" w:themeColor="text1"/>
          <w:highlight w:val="none"/>
          <w14:textFill>
            <w14:solidFill>
              <w14:schemeClr w14:val="tx1"/>
            </w14:solidFill>
          </w14:textFill>
        </w:rPr>
      </w:pPr>
      <w:r>
        <w:rPr>
          <w:rFonts w:hint="eastAsia" w:cs="宋体"/>
          <w:color w:val="000000" w:themeColor="text1"/>
          <w:szCs w:val="30"/>
          <w:highlight w:val="none"/>
          <w14:textFill>
            <w14:solidFill>
              <w14:schemeClr w14:val="tx1"/>
            </w14:solidFill>
          </w14:textFill>
        </w:rPr>
        <w:fldChar w:fldCharType="begin"/>
      </w:r>
      <w:r>
        <w:rPr>
          <w:rFonts w:hint="eastAsia" w:cs="宋体"/>
          <w:color w:val="000000" w:themeColor="text1"/>
          <w:szCs w:val="30"/>
          <w:highlight w:val="none"/>
          <w14:textFill>
            <w14:solidFill>
              <w14:schemeClr w14:val="tx1"/>
            </w14:solidFill>
          </w14:textFill>
        </w:rPr>
        <w:instrText xml:space="preserve"> HYPERLINK \l _Toc3074 </w:instrText>
      </w:r>
      <w:r>
        <w:rPr>
          <w:rFonts w:hint="eastAsia" w:cs="宋体"/>
          <w:color w:val="000000" w:themeColor="text1"/>
          <w:szCs w:val="30"/>
          <w:highlight w:val="none"/>
          <w14:textFill>
            <w14:solidFill>
              <w14:schemeClr w14:val="tx1"/>
            </w14:solidFill>
          </w14:textFill>
        </w:rPr>
        <w:fldChar w:fldCharType="separate"/>
      </w:r>
      <w:r>
        <w:rPr>
          <w:rFonts w:hint="eastAsia" w:ascii="宋体" w:hAnsi="宋体" w:cs="宋体"/>
          <w:bCs/>
          <w:color w:val="000000" w:themeColor="text1"/>
          <w:highlight w:val="none"/>
          <w14:textFill>
            <w14:solidFill>
              <w14:schemeClr w14:val="tx1"/>
            </w14:solidFill>
          </w14:textFill>
        </w:rPr>
        <w:t>第七章  附件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_Toc3074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67</w:t>
      </w:r>
      <w:r>
        <w:rPr>
          <w:color w:val="000000" w:themeColor="text1"/>
          <w:highlight w:val="none"/>
          <w14:textFill>
            <w14:solidFill>
              <w14:schemeClr w14:val="tx1"/>
            </w14:solidFill>
          </w14:textFill>
        </w:rPr>
        <w:fldChar w:fldCharType="end"/>
      </w:r>
      <w:r>
        <w:rPr>
          <w:rFonts w:hint="eastAsia" w:cs="宋体"/>
          <w:color w:val="000000" w:themeColor="text1"/>
          <w:szCs w:val="30"/>
          <w:highlight w:val="none"/>
          <w14:textFill>
            <w14:solidFill>
              <w14:schemeClr w14:val="tx1"/>
            </w14:solidFill>
          </w14:textFill>
        </w:rPr>
        <w:fldChar w:fldCharType="end"/>
      </w:r>
    </w:p>
    <w:p>
      <w:pPr>
        <w:pStyle w:val="26"/>
        <w:tabs>
          <w:tab w:val="right" w:leader="hyphen" w:pos="8280"/>
          <w:tab w:val="clear" w:pos="8820"/>
        </w:tabs>
        <w:spacing w:line="360" w:lineRule="auto"/>
        <w:ind w:left="1079" w:leftChars="514" w:right="0" w:firstLine="0" w:firstLineChars="0"/>
        <w:rPr>
          <w:rStyle w:val="47"/>
          <w:rFonts w:cs="宋体"/>
          <w:color w:val="000000" w:themeColor="text1"/>
          <w:sz w:val="36"/>
          <w:szCs w:val="36"/>
          <w:highlight w:val="none"/>
          <w14:textFill>
            <w14:solidFill>
              <w14:schemeClr w14:val="tx1"/>
            </w14:solidFill>
          </w14:textFill>
        </w:rPr>
      </w:pPr>
      <w:r>
        <w:rPr>
          <w:rFonts w:hint="eastAsia" w:cs="宋体"/>
          <w:color w:val="000000" w:themeColor="text1"/>
          <w:szCs w:val="30"/>
          <w:highlight w:val="none"/>
          <w14:textFill>
            <w14:solidFill>
              <w14:schemeClr w14:val="tx1"/>
            </w14:solidFill>
          </w14:textFill>
        </w:rPr>
        <w:fldChar w:fldCharType="end"/>
      </w:r>
    </w:p>
    <w:p>
      <w:pPr>
        <w:rPr>
          <w:rFonts w:ascii="宋体" w:hAnsi="宋体" w:cs="宋体"/>
          <w:color w:val="000000" w:themeColor="text1"/>
          <w:highlight w:val="none"/>
          <w14:textFill>
            <w14:solidFill>
              <w14:schemeClr w14:val="tx1"/>
            </w14:solidFill>
          </w14:textFill>
        </w:rPr>
      </w:pPr>
    </w:p>
    <w:p>
      <w:pPr>
        <w:pStyle w:val="3"/>
        <w:spacing w:line="560" w:lineRule="exact"/>
        <w:jc w:val="center"/>
        <w:rPr>
          <w:rFonts w:hint="eastAsia" w:ascii="宋体" w:hAnsi="宋体" w:cs="宋体"/>
          <w:bCs/>
          <w:color w:val="000000" w:themeColor="text1"/>
          <w:sz w:val="44"/>
          <w:highlight w:val="none"/>
          <w14:textFill>
            <w14:solidFill>
              <w14:schemeClr w14:val="tx1"/>
            </w14:solidFill>
          </w14:textFill>
        </w:rPr>
        <w:sectPr>
          <w:footerReference r:id="rId10" w:type="first"/>
          <w:footerReference r:id="rId9" w:type="default"/>
          <w:pgSz w:w="11906" w:h="16838"/>
          <w:pgMar w:top="1247" w:right="1247" w:bottom="1418" w:left="1247" w:header="680" w:footer="851" w:gutter="0"/>
          <w:pgNumType w:fmt="decimal" w:start="1"/>
          <w:cols w:space="720" w:num="1"/>
          <w:docGrid w:type="lines" w:linePitch="331" w:charSpace="0"/>
        </w:sectPr>
      </w:pPr>
      <w:bookmarkStart w:id="0" w:name="_Toc395066513"/>
      <w:bookmarkStart w:id="1" w:name="_Toc230929093"/>
      <w:bookmarkStart w:id="2" w:name="_Toc185702967"/>
      <w:bookmarkStart w:id="3" w:name="_Toc200308925"/>
      <w:bookmarkStart w:id="4" w:name="_Toc469842065"/>
      <w:bookmarkStart w:id="5" w:name="_Toc405942971"/>
      <w:bookmarkStart w:id="6" w:name="_Toc156106928"/>
      <w:bookmarkStart w:id="7" w:name="_Toc199780445"/>
      <w:bookmarkStart w:id="8" w:name="_Toc230949332"/>
      <w:bookmarkStart w:id="9" w:name="_Toc200268323"/>
      <w:bookmarkStart w:id="10" w:name="_Toc147248395"/>
      <w:bookmarkStart w:id="11" w:name="_Toc469874160"/>
      <w:bookmarkStart w:id="12" w:name="_Toc185702545"/>
    </w:p>
    <w:p>
      <w:pPr>
        <w:pStyle w:val="3"/>
        <w:spacing w:line="560" w:lineRule="exact"/>
        <w:jc w:val="center"/>
        <w:rPr>
          <w:rFonts w:ascii="宋体" w:hAnsi="宋体" w:cs="宋体"/>
          <w:bCs/>
          <w:color w:val="000000" w:themeColor="text1"/>
          <w:sz w:val="44"/>
          <w:highlight w:val="none"/>
          <w14:textFill>
            <w14:solidFill>
              <w14:schemeClr w14:val="tx1"/>
            </w14:solidFill>
          </w14:textFill>
        </w:rPr>
      </w:pPr>
      <w:bookmarkStart w:id="13" w:name="_Toc15692"/>
      <w:r>
        <w:rPr>
          <w:rFonts w:hint="eastAsia" w:ascii="宋体" w:hAnsi="宋体" w:cs="宋体"/>
          <w:bCs/>
          <w:color w:val="000000" w:themeColor="text1"/>
          <w:sz w:val="44"/>
          <w:highlight w:val="none"/>
          <w14:textFill>
            <w14:solidFill>
              <w14:schemeClr w14:val="tx1"/>
            </w14:solidFill>
          </w14:textFill>
        </w:rPr>
        <w:t>第一章  招标公告</w:t>
      </w:r>
      <w:bookmarkEnd w:id="0"/>
      <w:bookmarkEnd w:id="1"/>
      <w:bookmarkEnd w:id="2"/>
      <w:bookmarkEnd w:id="3"/>
      <w:bookmarkEnd w:id="4"/>
      <w:bookmarkEnd w:id="5"/>
      <w:bookmarkEnd w:id="6"/>
      <w:bookmarkEnd w:id="7"/>
      <w:bookmarkEnd w:id="8"/>
      <w:bookmarkEnd w:id="9"/>
      <w:bookmarkEnd w:id="10"/>
      <w:bookmarkEnd w:id="11"/>
      <w:bookmarkEnd w:id="12"/>
      <w:bookmarkEnd w:id="13"/>
    </w:p>
    <w:p>
      <w:pPr>
        <w:pStyle w:val="20"/>
        <w:spacing w:line="240" w:lineRule="exact"/>
        <w:rPr>
          <w:rFonts w:hAnsi="宋体" w:cs="宋体"/>
          <w:b/>
          <w:color w:val="000000" w:themeColor="text1"/>
          <w:sz w:val="32"/>
          <w:szCs w:val="32"/>
          <w:highlight w:val="none"/>
          <w14:textFill>
            <w14:solidFill>
              <w14:schemeClr w14:val="tx1"/>
            </w14:solidFill>
          </w14:textFill>
        </w:rPr>
      </w:pPr>
    </w:p>
    <w:p>
      <w:pPr>
        <w:pStyle w:val="20"/>
        <w:spacing w:line="360" w:lineRule="exact"/>
        <w:jc w:val="both"/>
        <w:rPr>
          <w:rFonts w:hAnsi="宋体" w:cs="宋体"/>
          <w:b/>
          <w:color w:val="000000" w:themeColor="text1"/>
          <w:sz w:val="32"/>
          <w:szCs w:val="32"/>
          <w:highlight w:val="none"/>
          <w14:textFill>
            <w14:solidFill>
              <w14:schemeClr w14:val="tx1"/>
            </w14:solidFill>
          </w14:textFill>
        </w:rPr>
      </w:pPr>
      <w:r>
        <w:rPr>
          <w:rFonts w:hint="eastAsia" w:hAnsi="宋体" w:cs="宋体"/>
          <w:b/>
          <w:color w:val="000000" w:themeColor="text1"/>
          <w:sz w:val="32"/>
          <w:szCs w:val="32"/>
          <w:highlight w:val="none"/>
          <w14:textFill>
            <w14:solidFill>
              <w14:schemeClr w14:val="tx1"/>
            </w14:solidFill>
          </w14:textFill>
        </w:rPr>
        <w:t xml:space="preserve"> </w:t>
      </w:r>
      <w:r>
        <w:rPr>
          <w:rFonts w:hint="eastAsia" w:hAnsi="宋体" w:cs="宋体"/>
          <w:b/>
          <w:color w:val="000000" w:themeColor="text1"/>
          <w:sz w:val="32"/>
          <w:szCs w:val="32"/>
          <w:highlight w:val="none"/>
          <w:lang w:val="en-US" w:eastAsia="zh-CN"/>
          <w14:textFill>
            <w14:solidFill>
              <w14:schemeClr w14:val="tx1"/>
            </w14:solidFill>
          </w14:textFill>
        </w:rPr>
        <w:t xml:space="preserve">    </w:t>
      </w:r>
      <w:r>
        <w:rPr>
          <w:rFonts w:hint="eastAsia" w:hAnsi="宋体" w:cs="宋体"/>
          <w:b/>
          <w:color w:val="000000" w:themeColor="text1"/>
          <w:sz w:val="32"/>
          <w:szCs w:val="32"/>
          <w:highlight w:val="none"/>
          <w14:textFill>
            <w14:solidFill>
              <w14:schemeClr w14:val="tx1"/>
            </w14:solidFill>
          </w14:textFill>
        </w:rPr>
        <w:t>网络多媒体设备（WXZC2020-G1-00054-ZLZB）招标公告</w:t>
      </w:r>
    </w:p>
    <w:p>
      <w:pPr>
        <w:pStyle w:val="20"/>
        <w:spacing w:line="350" w:lineRule="exact"/>
        <w:ind w:firstLine="525" w:firstLineChars="250"/>
        <w:rPr>
          <w:rFonts w:hAnsi="宋体" w:cs="宋体"/>
          <w:color w:val="000000" w:themeColor="text1"/>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受采购人梧州市万秀区教育局委托，根据《中华人民共和国政府采购法》、《政府采购货物和服务招标投标管理办法》等有关规定，广西众联工程项目管理有限公司拟对网络多媒体设备项目进行公开招标，诚邀符合资格要求的单位参加投标，现将有关事项公告如下：</w:t>
      </w:r>
    </w:p>
    <w:p>
      <w:pPr>
        <w:pStyle w:val="20"/>
        <w:spacing w:before="66" w:beforeLines="20" w:line="350" w:lineRule="exact"/>
        <w:ind w:firstLine="316" w:firstLineChars="150"/>
        <w:rPr>
          <w:rFonts w:hAnsi="宋体" w:cs="宋体"/>
          <w:b/>
          <w:color w:val="000000" w:themeColor="text1"/>
          <w:szCs w:val="21"/>
          <w:highlight w:val="none"/>
          <w14:textFill>
            <w14:solidFill>
              <w14:schemeClr w14:val="tx1"/>
            </w14:solidFill>
          </w14:textFill>
        </w:rPr>
      </w:pPr>
      <w:r>
        <w:rPr>
          <w:rFonts w:hint="eastAsia" w:hAnsi="宋体" w:cs="宋体"/>
          <w:b/>
          <w:color w:val="000000" w:themeColor="text1"/>
          <w:szCs w:val="21"/>
          <w:highlight w:val="none"/>
          <w14:textFill>
            <w14:solidFill>
              <w14:schemeClr w14:val="tx1"/>
            </w14:solidFill>
          </w14:textFill>
        </w:rPr>
        <w:t>一、采购项目</w:t>
      </w:r>
      <w:r>
        <w:rPr>
          <w:rFonts w:hint="eastAsia" w:hAnsi="宋体" w:cs="宋体"/>
          <w:b/>
          <w:bCs/>
          <w:color w:val="000000" w:themeColor="text1"/>
          <w:szCs w:val="21"/>
          <w:highlight w:val="none"/>
          <w14:textFill>
            <w14:solidFill>
              <w14:schemeClr w14:val="tx1"/>
            </w14:solidFill>
          </w14:textFill>
        </w:rPr>
        <w:t>及内容</w:t>
      </w:r>
    </w:p>
    <w:p>
      <w:pPr>
        <w:spacing w:line="350" w:lineRule="exact"/>
        <w:ind w:left="420"/>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r>
        <w:rPr>
          <w:rFonts w:hint="eastAsia" w:hAnsi="宋体" w:cs="宋体"/>
          <w:color w:val="000000" w:themeColor="text1"/>
          <w:szCs w:val="21"/>
          <w:highlight w:val="none"/>
          <w14:textFill>
            <w14:solidFill>
              <w14:schemeClr w14:val="tx1"/>
            </w14:solidFill>
          </w14:textFill>
        </w:rPr>
        <w:t>项目编号：WX</w:t>
      </w:r>
      <w:r>
        <w:rPr>
          <w:rFonts w:hint="eastAsia" w:hAnsi="宋体" w:cs="宋体"/>
          <w:color w:val="000000" w:themeColor="text1"/>
          <w:szCs w:val="21"/>
          <w14:textFill>
            <w14:solidFill>
              <w14:schemeClr w14:val="tx1"/>
            </w14:solidFill>
          </w14:textFill>
        </w:rPr>
        <w:t>ZC2020-G1-00054-ZLZB</w:t>
      </w:r>
      <w:r>
        <w:rPr>
          <w:rFonts w:hint="eastAsia" w:ascii="宋体" w:hAnsi="宋体" w:cs="宋体"/>
          <w:color w:val="000000" w:themeColor="text1"/>
          <w:szCs w:val="21"/>
          <w:lang w:eastAsia="zh-CN"/>
          <w14:textFill>
            <w14:solidFill>
              <w14:schemeClr w14:val="tx1"/>
            </w14:solidFill>
          </w14:textFill>
        </w:rPr>
        <w:t>（采购计划文号：</w:t>
      </w:r>
      <w:r>
        <w:rPr>
          <w:rFonts w:hint="eastAsia" w:ascii="宋体" w:hAnsi="宋体" w:cs="宋体"/>
          <w:color w:val="000000" w:themeColor="text1"/>
          <w:szCs w:val="21"/>
          <w:lang w:val="en-US" w:eastAsia="zh-CN"/>
          <w14:textFill>
            <w14:solidFill>
              <w14:schemeClr w14:val="tx1"/>
            </w14:solidFill>
          </w14:textFill>
        </w:rPr>
        <w:t>WXZC2020-G1-00054-001）</w:t>
      </w:r>
    </w:p>
    <w:p>
      <w:pPr>
        <w:pStyle w:val="20"/>
        <w:spacing w:line="35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2．</w:t>
      </w:r>
      <w:r>
        <w:rPr>
          <w:rFonts w:hint="eastAsia" w:ascii="宋体" w:hAnsi="宋体" w:cs="宋体"/>
          <w:color w:val="000000" w:themeColor="text1"/>
          <w:szCs w:val="21"/>
          <w14:textFill>
            <w14:solidFill>
              <w14:schemeClr w14:val="tx1"/>
            </w14:solidFill>
          </w14:textFill>
        </w:rPr>
        <w:t>项目名称：网络多媒体设备</w:t>
      </w:r>
    </w:p>
    <w:p>
      <w:pPr>
        <w:pStyle w:val="20"/>
        <w:spacing w:line="350" w:lineRule="exact"/>
        <w:ind w:firstLine="420" w:firstLineChars="200"/>
        <w:rPr>
          <w:rFonts w:hint="eastAsia" w:hAnsi="宋体" w:cs="宋体"/>
          <w:color w:val="000000" w:themeColor="text1"/>
          <w:szCs w:val="21"/>
          <w14:textFill>
            <w14:solidFill>
              <w14:schemeClr w14:val="tx1"/>
            </w14:solidFill>
          </w14:textFill>
        </w:rPr>
      </w:pPr>
      <w:r>
        <w:rPr>
          <w:rFonts w:hint="eastAsia" w:hAnsi="宋体" w:cs="宋体"/>
          <w:color w:val="000000" w:themeColor="text1"/>
          <w:szCs w:val="21"/>
          <w:lang w:val="en-US" w:eastAsia="zh-CN"/>
          <w14:textFill>
            <w14:solidFill>
              <w14:schemeClr w14:val="tx1"/>
            </w14:solidFill>
          </w14:textFill>
        </w:rPr>
        <w:t>3.预算金额：</w:t>
      </w:r>
      <w:r>
        <w:rPr>
          <w:rFonts w:hint="eastAsia" w:hAnsi="宋体" w:cs="宋体"/>
          <w:color w:val="000000" w:themeColor="text1"/>
          <w:szCs w:val="21"/>
          <w14:textFill>
            <w14:solidFill>
              <w14:schemeClr w14:val="tx1"/>
            </w14:solidFill>
          </w14:textFill>
        </w:rPr>
        <w:t>叁佰万壹元整</w:t>
      </w:r>
      <w:r>
        <w:rPr>
          <w:rFonts w:hAnsi="宋体"/>
          <w:color w:val="000000" w:themeColor="text1"/>
          <w14:textFill>
            <w14:solidFill>
              <w14:schemeClr w14:val="tx1"/>
            </w14:solidFill>
          </w14:textFill>
        </w:rPr>
        <w:t>（</w:t>
      </w:r>
      <w:r>
        <w:rPr>
          <w:rFonts w:hint="eastAsia" w:hAnsi="宋体"/>
          <w:color w:val="000000" w:themeColor="text1"/>
          <w14:textFill>
            <w14:solidFill>
              <w14:schemeClr w14:val="tx1"/>
            </w14:solidFill>
          </w14:textFill>
        </w:rPr>
        <w:t>￥3,000,000.00</w:t>
      </w:r>
      <w:r>
        <w:rPr>
          <w:rFonts w:hAnsi="宋体"/>
          <w:color w:val="000000" w:themeColor="text1"/>
          <w14:textFill>
            <w14:solidFill>
              <w14:schemeClr w14:val="tx1"/>
            </w14:solidFill>
          </w14:textFill>
        </w:rPr>
        <w:t>）</w:t>
      </w:r>
    </w:p>
    <w:p>
      <w:pPr>
        <w:pStyle w:val="20"/>
        <w:spacing w:line="350" w:lineRule="exact"/>
        <w:ind w:firstLine="420" w:firstLineChars="200"/>
        <w:rPr>
          <w:rFonts w:hint="default" w:hAnsi="宋体" w:eastAsia="宋体" w:cs="宋体"/>
          <w:color w:val="000000" w:themeColor="text1"/>
          <w:szCs w:val="21"/>
          <w:lang w:val="en-US" w:eastAsia="zh-CN"/>
          <w14:textFill>
            <w14:solidFill>
              <w14:schemeClr w14:val="tx1"/>
            </w14:solidFill>
          </w14:textFill>
        </w:rPr>
      </w:pPr>
      <w:r>
        <w:rPr>
          <w:rFonts w:hint="eastAsia" w:hAnsi="宋体" w:cs="宋体"/>
          <w:color w:val="000000" w:themeColor="text1"/>
          <w:szCs w:val="21"/>
          <w:lang w:val="en-US" w:eastAsia="zh-CN"/>
          <w14:textFill>
            <w14:solidFill>
              <w14:schemeClr w14:val="tx1"/>
            </w14:solidFill>
          </w14:textFill>
        </w:rPr>
        <w:t>4.最高限价：不设定</w:t>
      </w:r>
    </w:p>
    <w:p>
      <w:pPr>
        <w:pStyle w:val="20"/>
        <w:spacing w:line="350" w:lineRule="exact"/>
        <w:ind w:firstLine="420" w:firstLineChars="200"/>
        <w:rPr>
          <w:rFonts w:hAnsi="宋体" w:cs="宋体"/>
          <w:color w:val="000000" w:themeColor="text1"/>
          <w:szCs w:val="21"/>
          <w14:textFill>
            <w14:solidFill>
              <w14:schemeClr w14:val="tx1"/>
            </w14:solidFill>
          </w14:textFill>
        </w:rPr>
      </w:pPr>
      <w:r>
        <w:rPr>
          <w:rFonts w:hint="eastAsia" w:hAnsi="宋体" w:cs="宋体"/>
          <w:color w:val="000000" w:themeColor="text1"/>
          <w:szCs w:val="21"/>
          <w:lang w:val="en-US" w:eastAsia="zh-CN"/>
          <w14:textFill>
            <w14:solidFill>
              <w14:schemeClr w14:val="tx1"/>
            </w14:solidFill>
          </w14:textFill>
        </w:rPr>
        <w:t>5</w:t>
      </w:r>
      <w:r>
        <w:rPr>
          <w:rFonts w:hint="eastAsia" w:hAnsi="宋体" w:cs="宋体"/>
          <w:color w:val="000000" w:themeColor="text1"/>
          <w:szCs w:val="21"/>
          <w14:textFill>
            <w14:solidFill>
              <w14:schemeClr w14:val="tx1"/>
            </w14:solidFill>
          </w14:textFill>
        </w:rPr>
        <w:t>．采购项目的名称、数量、简要规格描述或项目基本概况介绍：</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2"/>
        <w:gridCol w:w="4577"/>
        <w:gridCol w:w="1455"/>
        <w:gridCol w:w="1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92" w:type="dxa"/>
            <w:vAlign w:val="center"/>
          </w:tcPr>
          <w:p>
            <w:pPr>
              <w:pStyle w:val="20"/>
              <w:jc w:val="center"/>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序号</w:t>
            </w:r>
          </w:p>
        </w:tc>
        <w:tc>
          <w:tcPr>
            <w:tcW w:w="4577" w:type="dxa"/>
            <w:vAlign w:val="center"/>
          </w:tcPr>
          <w:p>
            <w:pPr>
              <w:pStyle w:val="20"/>
              <w:jc w:val="center"/>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货物名称</w:t>
            </w:r>
          </w:p>
        </w:tc>
        <w:tc>
          <w:tcPr>
            <w:tcW w:w="1455" w:type="dxa"/>
            <w:vAlign w:val="center"/>
          </w:tcPr>
          <w:p>
            <w:pPr>
              <w:pStyle w:val="20"/>
              <w:jc w:val="center"/>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单位</w:t>
            </w:r>
          </w:p>
        </w:tc>
        <w:tc>
          <w:tcPr>
            <w:tcW w:w="1456" w:type="dxa"/>
            <w:vAlign w:val="center"/>
          </w:tcPr>
          <w:p>
            <w:pPr>
              <w:pStyle w:val="20"/>
              <w:jc w:val="center"/>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1292" w:type="dxa"/>
            <w:vAlign w:val="center"/>
          </w:tcPr>
          <w:p>
            <w:pPr>
              <w:pStyle w:val="20"/>
              <w:jc w:val="center"/>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1</w:t>
            </w:r>
          </w:p>
        </w:tc>
        <w:tc>
          <w:tcPr>
            <w:tcW w:w="4577" w:type="dxa"/>
            <w:vAlign w:val="center"/>
          </w:tcPr>
          <w:p>
            <w:pPr>
              <w:widowControl/>
              <w:jc w:val="center"/>
              <w:textAlignment w:val="center"/>
              <w:rPr>
                <w:rFonts w:hAnsi="宋体" w:cs="宋体"/>
                <w:color w:val="000000" w:themeColor="text1"/>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86寸触控一体机</w:t>
            </w:r>
          </w:p>
        </w:tc>
        <w:tc>
          <w:tcPr>
            <w:tcW w:w="1455" w:type="dxa"/>
            <w:vAlign w:val="center"/>
          </w:tcPr>
          <w:p>
            <w:pPr>
              <w:widowControl/>
              <w:jc w:val="center"/>
              <w:textAlignment w:val="center"/>
              <w:rPr>
                <w:rFonts w:hAnsi="宋体" w:cs="宋体"/>
                <w:color w:val="000000" w:themeColor="text1"/>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台</w:t>
            </w:r>
          </w:p>
        </w:tc>
        <w:tc>
          <w:tcPr>
            <w:tcW w:w="1456" w:type="dxa"/>
            <w:vAlign w:val="center"/>
          </w:tcPr>
          <w:p>
            <w:pPr>
              <w:widowControl/>
              <w:jc w:val="center"/>
              <w:textAlignment w:val="center"/>
              <w:rPr>
                <w:rFonts w:hAnsi="宋体" w:cs="宋体"/>
                <w:color w:val="000000" w:themeColor="text1"/>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1292" w:type="dxa"/>
            <w:vAlign w:val="center"/>
          </w:tcPr>
          <w:p>
            <w:pPr>
              <w:pStyle w:val="20"/>
              <w:jc w:val="center"/>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2</w:t>
            </w:r>
          </w:p>
        </w:tc>
        <w:tc>
          <w:tcPr>
            <w:tcW w:w="4577" w:type="dxa"/>
            <w:vAlign w:val="center"/>
          </w:tcPr>
          <w:p>
            <w:pPr>
              <w:widowControl/>
              <w:jc w:val="center"/>
              <w:textAlignment w:val="center"/>
              <w:rPr>
                <w:rFonts w:hAnsi="宋体" w:cs="宋体"/>
                <w:color w:val="000000" w:themeColor="text1"/>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多媒体设备集中管理控制系统</w:t>
            </w:r>
          </w:p>
        </w:tc>
        <w:tc>
          <w:tcPr>
            <w:tcW w:w="1455" w:type="dxa"/>
            <w:vAlign w:val="center"/>
          </w:tcPr>
          <w:p>
            <w:pPr>
              <w:widowControl/>
              <w:jc w:val="center"/>
              <w:textAlignment w:val="center"/>
              <w:rPr>
                <w:rFonts w:hAnsi="宋体" w:cs="宋体"/>
                <w:color w:val="000000" w:themeColor="text1"/>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套</w:t>
            </w:r>
          </w:p>
        </w:tc>
        <w:tc>
          <w:tcPr>
            <w:tcW w:w="1456" w:type="dxa"/>
            <w:vAlign w:val="center"/>
          </w:tcPr>
          <w:p>
            <w:pPr>
              <w:widowControl/>
              <w:jc w:val="center"/>
              <w:textAlignment w:val="center"/>
              <w:rPr>
                <w:rFonts w:hAnsi="宋体" w:cs="宋体"/>
                <w:color w:val="000000" w:themeColor="text1"/>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1292" w:type="dxa"/>
            <w:vAlign w:val="center"/>
          </w:tcPr>
          <w:p>
            <w:pPr>
              <w:pStyle w:val="20"/>
              <w:jc w:val="center"/>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3</w:t>
            </w:r>
          </w:p>
        </w:tc>
        <w:tc>
          <w:tcPr>
            <w:tcW w:w="4577" w:type="dxa"/>
            <w:vAlign w:val="center"/>
          </w:tcPr>
          <w:p>
            <w:pPr>
              <w:widowControl/>
              <w:jc w:val="center"/>
              <w:textAlignment w:val="center"/>
              <w:rPr>
                <w:rFonts w:hAnsi="宋体" w:cs="宋体"/>
                <w:color w:val="000000" w:themeColor="text1"/>
                <w:szCs w:val="21"/>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智能翻页笔</w:t>
            </w:r>
          </w:p>
        </w:tc>
        <w:tc>
          <w:tcPr>
            <w:tcW w:w="1455" w:type="dxa"/>
            <w:vAlign w:val="center"/>
          </w:tcPr>
          <w:p>
            <w:pPr>
              <w:widowControl/>
              <w:jc w:val="center"/>
              <w:textAlignment w:val="center"/>
              <w:rPr>
                <w:rFonts w:hAnsi="宋体" w:cs="宋体"/>
                <w:color w:val="000000" w:themeColor="text1"/>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支</w:t>
            </w:r>
          </w:p>
        </w:tc>
        <w:tc>
          <w:tcPr>
            <w:tcW w:w="1456" w:type="dxa"/>
            <w:vAlign w:val="center"/>
          </w:tcPr>
          <w:p>
            <w:pPr>
              <w:widowControl/>
              <w:jc w:val="center"/>
              <w:textAlignment w:val="center"/>
              <w:rPr>
                <w:rFonts w:hAnsi="宋体" w:cs="宋体"/>
                <w:color w:val="000000" w:themeColor="text1"/>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292" w:type="dxa"/>
            <w:vAlign w:val="center"/>
          </w:tcPr>
          <w:p>
            <w:pPr>
              <w:pStyle w:val="20"/>
              <w:jc w:val="center"/>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4</w:t>
            </w:r>
          </w:p>
        </w:tc>
        <w:tc>
          <w:tcPr>
            <w:tcW w:w="4577" w:type="dxa"/>
            <w:vAlign w:val="center"/>
          </w:tcPr>
          <w:p>
            <w:pPr>
              <w:widowControl/>
              <w:jc w:val="center"/>
              <w:textAlignment w:val="center"/>
              <w:rPr>
                <w:rFonts w:hAnsi="宋体" w:cs="宋体"/>
                <w:color w:val="000000" w:themeColor="text1"/>
                <w:szCs w:val="21"/>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壁挂式展台</w:t>
            </w:r>
          </w:p>
        </w:tc>
        <w:tc>
          <w:tcPr>
            <w:tcW w:w="1455" w:type="dxa"/>
            <w:vAlign w:val="center"/>
          </w:tcPr>
          <w:p>
            <w:pPr>
              <w:widowControl/>
              <w:jc w:val="center"/>
              <w:textAlignment w:val="center"/>
              <w:rPr>
                <w:rFonts w:hAnsi="宋体" w:cs="宋体"/>
                <w:color w:val="000000" w:themeColor="text1"/>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台</w:t>
            </w:r>
          </w:p>
        </w:tc>
        <w:tc>
          <w:tcPr>
            <w:tcW w:w="1456" w:type="dxa"/>
            <w:vAlign w:val="center"/>
          </w:tcPr>
          <w:p>
            <w:pPr>
              <w:widowControl/>
              <w:jc w:val="center"/>
              <w:textAlignment w:val="center"/>
              <w:rPr>
                <w:rFonts w:hAnsi="宋体" w:cs="宋体"/>
                <w:color w:val="000000" w:themeColor="text1"/>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1292" w:type="dxa"/>
            <w:vAlign w:val="center"/>
          </w:tcPr>
          <w:p>
            <w:pPr>
              <w:pStyle w:val="20"/>
              <w:jc w:val="center"/>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5</w:t>
            </w:r>
          </w:p>
        </w:tc>
        <w:tc>
          <w:tcPr>
            <w:tcW w:w="4577" w:type="dxa"/>
            <w:vAlign w:val="center"/>
          </w:tcPr>
          <w:p>
            <w:pPr>
              <w:widowControl/>
              <w:jc w:val="center"/>
              <w:textAlignment w:val="center"/>
              <w:rPr>
                <w:color w:val="000000" w:themeColor="text1"/>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推拉黑板</w:t>
            </w:r>
          </w:p>
        </w:tc>
        <w:tc>
          <w:tcPr>
            <w:tcW w:w="1455" w:type="dxa"/>
            <w:vAlign w:val="center"/>
          </w:tcPr>
          <w:p>
            <w:pPr>
              <w:widowControl/>
              <w:jc w:val="center"/>
              <w:textAlignment w:val="center"/>
              <w:rPr>
                <w:rFonts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套</w:t>
            </w:r>
          </w:p>
        </w:tc>
        <w:tc>
          <w:tcPr>
            <w:tcW w:w="1456" w:type="dxa"/>
            <w:vAlign w:val="center"/>
          </w:tcPr>
          <w:p>
            <w:pPr>
              <w:widowControl/>
              <w:jc w:val="center"/>
              <w:textAlignment w:val="center"/>
              <w:rPr>
                <w:rFonts w:hAnsi="宋体" w:cs="宋体"/>
                <w:color w:val="000000" w:themeColor="text1"/>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1292" w:type="dxa"/>
            <w:vAlign w:val="center"/>
          </w:tcPr>
          <w:p>
            <w:pPr>
              <w:pStyle w:val="20"/>
              <w:jc w:val="center"/>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6</w:t>
            </w:r>
          </w:p>
        </w:tc>
        <w:tc>
          <w:tcPr>
            <w:tcW w:w="4577" w:type="dxa"/>
            <w:vAlign w:val="center"/>
          </w:tcPr>
          <w:p>
            <w:pPr>
              <w:widowControl/>
              <w:jc w:val="center"/>
              <w:textAlignment w:val="center"/>
              <w:rPr>
                <w:color w:val="000000" w:themeColor="text1"/>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讲桌</w:t>
            </w:r>
          </w:p>
        </w:tc>
        <w:tc>
          <w:tcPr>
            <w:tcW w:w="1455" w:type="dxa"/>
            <w:vAlign w:val="center"/>
          </w:tcPr>
          <w:p>
            <w:pPr>
              <w:widowControl/>
              <w:jc w:val="center"/>
              <w:textAlignment w:val="center"/>
              <w:rPr>
                <w:rFonts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张</w:t>
            </w:r>
          </w:p>
        </w:tc>
        <w:tc>
          <w:tcPr>
            <w:tcW w:w="1456" w:type="dxa"/>
            <w:vAlign w:val="center"/>
          </w:tcPr>
          <w:p>
            <w:pPr>
              <w:widowControl/>
              <w:jc w:val="center"/>
              <w:textAlignment w:val="center"/>
              <w:rPr>
                <w:rFonts w:hAnsi="宋体" w:cs="宋体"/>
                <w:color w:val="000000" w:themeColor="text1"/>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1292" w:type="dxa"/>
            <w:vAlign w:val="center"/>
          </w:tcPr>
          <w:p>
            <w:pPr>
              <w:pStyle w:val="20"/>
              <w:jc w:val="center"/>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7</w:t>
            </w:r>
          </w:p>
        </w:tc>
        <w:tc>
          <w:tcPr>
            <w:tcW w:w="4577" w:type="dxa"/>
            <w:vAlign w:val="center"/>
          </w:tcPr>
          <w:p>
            <w:pPr>
              <w:widowControl/>
              <w:jc w:val="center"/>
              <w:textAlignment w:val="center"/>
              <w:rPr>
                <w:rFonts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音箱</w:t>
            </w:r>
          </w:p>
        </w:tc>
        <w:tc>
          <w:tcPr>
            <w:tcW w:w="1455" w:type="dxa"/>
            <w:vAlign w:val="center"/>
          </w:tcPr>
          <w:p>
            <w:pPr>
              <w:widowControl/>
              <w:jc w:val="center"/>
              <w:textAlignment w:val="center"/>
              <w:rPr>
                <w:rFonts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套</w:t>
            </w:r>
          </w:p>
        </w:tc>
        <w:tc>
          <w:tcPr>
            <w:tcW w:w="1456" w:type="dxa"/>
            <w:vAlign w:val="center"/>
          </w:tcPr>
          <w:p>
            <w:pPr>
              <w:widowControl/>
              <w:jc w:val="center"/>
              <w:textAlignment w:val="center"/>
              <w:rPr>
                <w:rFonts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92" w:type="dxa"/>
            <w:vAlign w:val="center"/>
          </w:tcPr>
          <w:p>
            <w:pPr>
              <w:pStyle w:val="20"/>
              <w:jc w:val="center"/>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8</w:t>
            </w:r>
          </w:p>
        </w:tc>
        <w:tc>
          <w:tcPr>
            <w:tcW w:w="4577" w:type="dxa"/>
            <w:vAlign w:val="center"/>
          </w:tcPr>
          <w:p>
            <w:pPr>
              <w:widowControl/>
              <w:jc w:val="center"/>
              <w:textAlignment w:val="center"/>
              <w:rPr>
                <w:rFonts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麦克风</w:t>
            </w:r>
          </w:p>
        </w:tc>
        <w:tc>
          <w:tcPr>
            <w:tcW w:w="1455" w:type="dxa"/>
            <w:vAlign w:val="center"/>
          </w:tcPr>
          <w:p>
            <w:pPr>
              <w:widowControl/>
              <w:jc w:val="center"/>
              <w:textAlignment w:val="center"/>
              <w:rPr>
                <w:rFonts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套</w:t>
            </w:r>
          </w:p>
        </w:tc>
        <w:tc>
          <w:tcPr>
            <w:tcW w:w="1456" w:type="dxa"/>
            <w:vAlign w:val="center"/>
          </w:tcPr>
          <w:p>
            <w:pPr>
              <w:widowControl/>
              <w:jc w:val="center"/>
              <w:textAlignment w:val="center"/>
              <w:rPr>
                <w:rFonts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1292" w:type="dxa"/>
            <w:vAlign w:val="center"/>
          </w:tcPr>
          <w:p>
            <w:pPr>
              <w:pStyle w:val="20"/>
              <w:jc w:val="center"/>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9</w:t>
            </w:r>
          </w:p>
        </w:tc>
        <w:tc>
          <w:tcPr>
            <w:tcW w:w="4577" w:type="dxa"/>
            <w:vAlign w:val="center"/>
          </w:tcPr>
          <w:p>
            <w:pPr>
              <w:widowControl/>
              <w:jc w:val="center"/>
              <w:textAlignment w:val="center"/>
              <w:rPr>
                <w:rFonts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线材辅材</w:t>
            </w:r>
          </w:p>
        </w:tc>
        <w:tc>
          <w:tcPr>
            <w:tcW w:w="1455" w:type="dxa"/>
            <w:vAlign w:val="center"/>
          </w:tcPr>
          <w:p>
            <w:pPr>
              <w:widowControl/>
              <w:jc w:val="center"/>
              <w:textAlignment w:val="center"/>
              <w:rPr>
                <w:rFonts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项</w:t>
            </w:r>
          </w:p>
        </w:tc>
        <w:tc>
          <w:tcPr>
            <w:tcW w:w="1456" w:type="dxa"/>
            <w:vAlign w:val="center"/>
          </w:tcPr>
          <w:p>
            <w:pPr>
              <w:widowControl/>
              <w:jc w:val="center"/>
              <w:textAlignment w:val="center"/>
              <w:rPr>
                <w:rFonts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1292" w:type="dxa"/>
            <w:vAlign w:val="center"/>
          </w:tcPr>
          <w:p>
            <w:pPr>
              <w:pStyle w:val="20"/>
              <w:jc w:val="center"/>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10</w:t>
            </w:r>
          </w:p>
        </w:tc>
        <w:tc>
          <w:tcPr>
            <w:tcW w:w="4577" w:type="dxa"/>
            <w:vAlign w:val="center"/>
          </w:tcPr>
          <w:p>
            <w:pPr>
              <w:widowControl/>
              <w:jc w:val="center"/>
              <w:textAlignment w:val="center"/>
              <w:rPr>
                <w:rFonts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安装调试费</w:t>
            </w:r>
          </w:p>
        </w:tc>
        <w:tc>
          <w:tcPr>
            <w:tcW w:w="1455" w:type="dxa"/>
            <w:vAlign w:val="center"/>
          </w:tcPr>
          <w:p>
            <w:pPr>
              <w:widowControl/>
              <w:jc w:val="center"/>
              <w:textAlignment w:val="center"/>
              <w:rPr>
                <w:rFonts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项</w:t>
            </w:r>
          </w:p>
        </w:tc>
        <w:tc>
          <w:tcPr>
            <w:tcW w:w="1456" w:type="dxa"/>
            <w:vAlign w:val="center"/>
          </w:tcPr>
          <w:p>
            <w:pPr>
              <w:widowControl/>
              <w:jc w:val="center"/>
              <w:textAlignment w:val="center"/>
              <w:rPr>
                <w:rFonts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68</w:t>
            </w:r>
          </w:p>
        </w:tc>
      </w:tr>
    </w:tbl>
    <w:p>
      <w:pPr>
        <w:pStyle w:val="20"/>
        <w:spacing w:before="66" w:beforeLines="20" w:line="320" w:lineRule="exact"/>
        <w:ind w:firstLine="420" w:firstLineChars="200"/>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如需进一步了解详细内容，详见招标文件。</w:t>
      </w:r>
    </w:p>
    <w:p>
      <w:pPr>
        <w:pStyle w:val="20"/>
        <w:numPr>
          <w:ilvl w:val="0"/>
          <w:numId w:val="3"/>
        </w:numPr>
        <w:spacing w:before="66" w:beforeLines="20" w:line="320" w:lineRule="exact"/>
        <w:ind w:firstLine="420" w:firstLineChars="200"/>
        <w:rPr>
          <w:rFonts w:hint="eastAsia"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本项目</w:t>
      </w:r>
      <w:r>
        <w:rPr>
          <w:rFonts w:hint="eastAsia" w:hAnsi="宋体" w:cs="宋体"/>
          <w:color w:val="000000" w:themeColor="text1"/>
          <w:szCs w:val="21"/>
          <w:lang w:eastAsia="zh-CN"/>
          <w14:textFill>
            <w14:solidFill>
              <w14:schemeClr w14:val="tx1"/>
            </w14:solidFill>
          </w14:textFill>
        </w:rPr>
        <w:t>不</w:t>
      </w:r>
      <w:r>
        <w:rPr>
          <w:rFonts w:hint="eastAsia" w:hAnsi="宋体" w:cs="宋体"/>
          <w:color w:val="000000" w:themeColor="text1"/>
          <w:szCs w:val="21"/>
          <w14:textFill>
            <w14:solidFill>
              <w14:schemeClr w14:val="tx1"/>
            </w14:solidFill>
          </w14:textFill>
        </w:rPr>
        <w:t>接受联合体投标。</w:t>
      </w:r>
    </w:p>
    <w:p>
      <w:pPr>
        <w:pStyle w:val="20"/>
        <w:spacing w:before="66" w:beforeLines="20" w:line="350" w:lineRule="exact"/>
        <w:ind w:firstLine="422" w:firstLineChars="200"/>
        <w:rPr>
          <w:rFonts w:hAnsi="宋体" w:cs="宋体"/>
          <w:b/>
          <w:color w:val="000000" w:themeColor="text1"/>
          <w:szCs w:val="21"/>
          <w14:textFill>
            <w14:solidFill>
              <w14:schemeClr w14:val="tx1"/>
            </w14:solidFill>
          </w14:textFill>
        </w:rPr>
      </w:pPr>
      <w:r>
        <w:rPr>
          <w:rFonts w:hint="eastAsia" w:hAnsi="宋体" w:cs="宋体"/>
          <w:b/>
          <w:color w:val="000000" w:themeColor="text1"/>
          <w:szCs w:val="21"/>
          <w:u w:val="single"/>
          <w:lang w:eastAsia="zh-CN"/>
          <w14:textFill>
            <w14:solidFill>
              <w14:schemeClr w14:val="tx1"/>
            </w14:solidFill>
          </w14:textFill>
        </w:rPr>
        <w:t>二</w:t>
      </w:r>
      <w:r>
        <w:rPr>
          <w:rFonts w:hint="eastAsia" w:hAnsi="宋体" w:cs="宋体"/>
          <w:b/>
          <w:color w:val="000000" w:themeColor="text1"/>
          <w:szCs w:val="21"/>
          <w14:textFill>
            <w14:solidFill>
              <w14:schemeClr w14:val="tx1"/>
            </w14:solidFill>
          </w14:textFill>
        </w:rPr>
        <w:t>、合格的</w:t>
      </w:r>
      <w:r>
        <w:rPr>
          <w:rFonts w:hint="eastAsia" w:hAnsi="宋体" w:cs="宋体"/>
          <w:b/>
          <w:bCs/>
          <w:color w:val="000000" w:themeColor="text1"/>
          <w:szCs w:val="21"/>
          <w14:textFill>
            <w14:solidFill>
              <w14:schemeClr w14:val="tx1"/>
            </w14:solidFill>
          </w14:textFill>
        </w:rPr>
        <w:t>投标人资格及要求</w:t>
      </w:r>
    </w:p>
    <w:p>
      <w:pPr>
        <w:spacing w:line="350" w:lineRule="exact"/>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1．基本资格条件：符合《中华人民共和国政府采购法》第二十二条规定的条件；</w:t>
      </w:r>
      <w:r>
        <w:rPr>
          <w:rFonts w:hint="eastAsia" w:ascii="宋体" w:hAnsi="宋体" w:cs="宋体"/>
          <w:bCs/>
          <w:color w:val="000000" w:themeColor="text1"/>
          <w:szCs w:val="21"/>
          <w14:textFill>
            <w14:solidFill>
              <w14:schemeClr w14:val="tx1"/>
            </w14:solidFill>
          </w14:textFill>
        </w:rPr>
        <w:t>在中华人民共和国境内注册的</w:t>
      </w:r>
      <w:r>
        <w:rPr>
          <w:rFonts w:hint="eastAsia" w:ascii="宋体" w:hAnsi="宋体" w:cs="宋体"/>
          <w:color w:val="000000" w:themeColor="text1"/>
          <w14:textFill>
            <w14:solidFill>
              <w14:schemeClr w14:val="tx1"/>
            </w14:solidFill>
          </w14:textFill>
        </w:rPr>
        <w:t>生产或经营本次采购货物及服务的供应商；2016年起未被列入失信被执行人、重大税收违法案件当事人名单、政府采购严重违法失信行为记录名单；</w:t>
      </w:r>
    </w:p>
    <w:p>
      <w:pPr>
        <w:pStyle w:val="17"/>
        <w:spacing w:line="360" w:lineRule="exact"/>
        <w:ind w:firstLine="420" w:firstLineChars="200"/>
        <w:rPr>
          <w:rFonts w:hint="default" w:eastAsia="宋体"/>
          <w:color w:val="000000" w:themeColor="text1"/>
          <w:lang w:val="en-US" w:eastAsia="zh-CN"/>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2.落实政府采购政策需满足的资格要求：节约能源、保护环境、扶持不发达地区和少数民族地区、促进中小企业发展、促进监狱企业发展、促进残疾人就业、广西工业产品产销等政府采购政策；</w:t>
      </w:r>
    </w:p>
    <w:p>
      <w:pPr>
        <w:spacing w:line="360" w:lineRule="exact"/>
        <w:ind w:firstLine="420" w:firstLineChars="200"/>
        <w:rPr>
          <w:rFonts w:hint="eastAsia" w:ascii="宋体" w:hAnsi="宋体" w:eastAsia="宋体" w:cs="宋体"/>
          <w:color w:val="000000" w:themeColor="text1"/>
          <w:lang w:eastAsia="zh-CN"/>
          <w14:textFill>
            <w14:solidFill>
              <w14:schemeClr w14:val="tx1"/>
            </w14:solidFill>
          </w14:textFill>
        </w:rPr>
      </w:pPr>
      <w:r>
        <w:rPr>
          <w:rFonts w:hint="eastAsia" w:ascii="宋体" w:hAnsi="宋体" w:cs="宋体"/>
          <w:color w:val="000000" w:themeColor="text1"/>
          <w14:textFill>
            <w14:solidFill>
              <w14:schemeClr w14:val="tx1"/>
            </w14:solidFill>
          </w14:textFill>
        </w:rPr>
        <w:t>3.本项目的特定资格要求：</w:t>
      </w:r>
      <w:r>
        <w:rPr>
          <w:rFonts w:hint="eastAsia" w:ascii="宋体" w:hAnsi="宋体" w:cs="宋体"/>
          <w:color w:val="000000" w:themeColor="text1"/>
          <w:lang w:eastAsia="zh-CN"/>
          <w14:textFill>
            <w14:solidFill>
              <w14:schemeClr w14:val="tx1"/>
            </w14:solidFill>
          </w14:textFill>
        </w:rPr>
        <w:t>无。</w:t>
      </w:r>
    </w:p>
    <w:p>
      <w:pPr>
        <w:pStyle w:val="20"/>
        <w:spacing w:before="66" w:beforeLines="20" w:line="360" w:lineRule="exact"/>
        <w:ind w:firstLine="422" w:firstLineChars="200"/>
        <w:rPr>
          <w:rFonts w:hint="eastAsia" w:hAnsi="宋体" w:cs="宋体"/>
          <w:b/>
          <w:color w:val="000000" w:themeColor="text1"/>
          <w:szCs w:val="21"/>
          <w14:textFill>
            <w14:solidFill>
              <w14:schemeClr w14:val="tx1"/>
            </w14:solidFill>
          </w14:textFill>
        </w:rPr>
      </w:pPr>
      <w:bookmarkStart w:id="291" w:name="_GoBack"/>
      <w:r>
        <w:rPr>
          <w:rFonts w:hint="eastAsia" w:hAnsi="宋体" w:cs="宋体"/>
          <w:b/>
          <w:bCs/>
          <w:color w:val="000000" w:themeColor="text1"/>
          <w:szCs w:val="21"/>
          <w:lang w:eastAsia="zh-CN"/>
          <w14:textFill>
            <w14:solidFill>
              <w14:schemeClr w14:val="tx1"/>
            </w14:solidFill>
          </w14:textFill>
        </w:rPr>
        <w:t>三</w:t>
      </w:r>
      <w:r>
        <w:rPr>
          <w:rFonts w:hint="eastAsia" w:hAnsi="宋体" w:cs="宋体"/>
          <w:b/>
          <w:bCs/>
          <w:color w:val="000000" w:themeColor="text1"/>
          <w:szCs w:val="21"/>
          <w14:textFill>
            <w14:solidFill>
              <w14:schemeClr w14:val="tx1"/>
            </w14:solidFill>
          </w14:textFill>
        </w:rPr>
        <w:t>、</w:t>
      </w:r>
      <w:r>
        <w:rPr>
          <w:rFonts w:hint="eastAsia" w:hAnsi="宋体" w:cs="宋体"/>
          <w:b/>
          <w:color w:val="000000" w:themeColor="text1"/>
          <w:szCs w:val="21"/>
          <w14:textFill>
            <w14:solidFill>
              <w14:schemeClr w14:val="tx1"/>
            </w14:solidFill>
          </w14:textFill>
        </w:rPr>
        <w:t>获取招标文件</w:t>
      </w:r>
    </w:p>
    <w:p>
      <w:pPr>
        <w:pStyle w:val="35"/>
        <w:keepNext w:val="0"/>
        <w:keepLines w:val="0"/>
        <w:widowControl/>
        <w:suppressLineNumbers w:val="0"/>
        <w:shd w:val="clear" w:fill="FFFFFF"/>
        <w:spacing w:before="0" w:beforeAutospacing="0" w:after="0" w:afterAutospacing="0" w:line="350" w:lineRule="atLeast"/>
        <w:ind w:left="0" w:right="0" w:firstLine="420"/>
        <w:jc w:val="both"/>
        <w:rPr>
          <w:rFonts w:hint="default" w:ascii="Times New Roman" w:hAnsi="Times New Roman" w:cs="Times New Roman"/>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1．招标公告期限：2020年6月</w:t>
      </w:r>
      <w:r>
        <w:rPr>
          <w:rFonts w:hint="eastAsia" w:cs="宋体"/>
          <w:i w:val="0"/>
          <w:caps w:val="0"/>
          <w:color w:val="000000"/>
          <w:spacing w:val="0"/>
          <w:sz w:val="21"/>
          <w:szCs w:val="21"/>
          <w:shd w:val="clear" w:fill="FFFFFF"/>
          <w:lang w:val="en-US" w:eastAsia="zh-CN"/>
        </w:rPr>
        <w:t>30</w:t>
      </w:r>
      <w:r>
        <w:rPr>
          <w:rFonts w:hint="eastAsia" w:ascii="宋体" w:hAnsi="宋体" w:eastAsia="宋体" w:cs="宋体"/>
          <w:i w:val="0"/>
          <w:caps w:val="0"/>
          <w:color w:val="000000"/>
          <w:spacing w:val="0"/>
          <w:sz w:val="21"/>
          <w:szCs w:val="21"/>
          <w:shd w:val="clear" w:fill="FFFFFF"/>
        </w:rPr>
        <w:t>日至2020年</w:t>
      </w:r>
      <w:r>
        <w:rPr>
          <w:rFonts w:hint="eastAsia" w:cs="宋体"/>
          <w:i w:val="0"/>
          <w:caps w:val="0"/>
          <w:color w:val="000000"/>
          <w:spacing w:val="0"/>
          <w:sz w:val="21"/>
          <w:szCs w:val="21"/>
          <w:shd w:val="clear" w:fill="FFFFFF"/>
          <w:lang w:val="en-US" w:eastAsia="zh-CN"/>
        </w:rPr>
        <w:t>7</w:t>
      </w:r>
      <w:r>
        <w:rPr>
          <w:rFonts w:hint="eastAsia" w:ascii="宋体" w:hAnsi="宋体" w:eastAsia="宋体" w:cs="宋体"/>
          <w:i w:val="0"/>
          <w:caps w:val="0"/>
          <w:color w:val="000000"/>
          <w:spacing w:val="0"/>
          <w:sz w:val="21"/>
          <w:szCs w:val="21"/>
          <w:shd w:val="clear" w:fill="FFFFFF"/>
        </w:rPr>
        <w:t>月</w:t>
      </w:r>
      <w:r>
        <w:rPr>
          <w:rFonts w:hint="eastAsia" w:cs="宋体"/>
          <w:i w:val="0"/>
          <w:caps w:val="0"/>
          <w:color w:val="000000"/>
          <w:spacing w:val="0"/>
          <w:sz w:val="21"/>
          <w:szCs w:val="21"/>
          <w:shd w:val="clear" w:fill="FFFFFF"/>
          <w:lang w:val="en-US" w:eastAsia="zh-CN"/>
        </w:rPr>
        <w:t>20</w:t>
      </w:r>
      <w:r>
        <w:rPr>
          <w:rFonts w:hint="eastAsia" w:ascii="宋体" w:hAnsi="宋体" w:eastAsia="宋体" w:cs="宋体"/>
          <w:i w:val="0"/>
          <w:caps w:val="0"/>
          <w:color w:val="000000"/>
          <w:spacing w:val="0"/>
          <w:sz w:val="21"/>
          <w:szCs w:val="21"/>
          <w:shd w:val="clear" w:fill="FFFFFF"/>
        </w:rPr>
        <w:t>日</w:t>
      </w:r>
    </w:p>
    <w:p>
      <w:pPr>
        <w:pStyle w:val="35"/>
        <w:keepNext w:val="0"/>
        <w:keepLines w:val="0"/>
        <w:widowControl/>
        <w:suppressLineNumbers w:val="0"/>
        <w:shd w:val="clear" w:fill="FFFFFF"/>
        <w:spacing w:before="0" w:beforeAutospacing="0" w:after="0" w:afterAutospacing="0" w:line="350" w:lineRule="atLeast"/>
        <w:ind w:left="0" w:right="0" w:firstLine="420"/>
        <w:jc w:val="both"/>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2．获取招标文件时间：自2020年6月</w:t>
      </w:r>
      <w:r>
        <w:rPr>
          <w:rFonts w:hint="eastAsia" w:cs="宋体"/>
          <w:i w:val="0"/>
          <w:caps w:val="0"/>
          <w:color w:val="000000"/>
          <w:spacing w:val="0"/>
          <w:sz w:val="21"/>
          <w:szCs w:val="21"/>
          <w:shd w:val="clear" w:fill="FFFFFF"/>
          <w:lang w:val="en-US" w:eastAsia="zh-CN"/>
        </w:rPr>
        <w:t>30</w:t>
      </w:r>
      <w:r>
        <w:rPr>
          <w:rFonts w:hint="eastAsia" w:ascii="宋体" w:hAnsi="宋体" w:eastAsia="宋体" w:cs="宋体"/>
          <w:i w:val="0"/>
          <w:caps w:val="0"/>
          <w:color w:val="000000"/>
          <w:spacing w:val="0"/>
          <w:sz w:val="21"/>
          <w:szCs w:val="21"/>
          <w:shd w:val="clear" w:fill="FFFFFF"/>
        </w:rPr>
        <w:t>日发布招标公告起至2020年</w:t>
      </w:r>
      <w:r>
        <w:rPr>
          <w:rFonts w:hint="eastAsia" w:cs="宋体"/>
          <w:i w:val="0"/>
          <w:caps w:val="0"/>
          <w:color w:val="000000"/>
          <w:spacing w:val="0"/>
          <w:sz w:val="21"/>
          <w:szCs w:val="21"/>
          <w:shd w:val="clear" w:fill="FFFFFF"/>
          <w:lang w:val="en-US" w:eastAsia="zh-CN"/>
        </w:rPr>
        <w:t>7</w:t>
      </w:r>
      <w:r>
        <w:rPr>
          <w:rFonts w:hint="eastAsia" w:ascii="宋体" w:hAnsi="宋体" w:eastAsia="宋体" w:cs="宋体"/>
          <w:i w:val="0"/>
          <w:caps w:val="0"/>
          <w:color w:val="000000"/>
          <w:spacing w:val="0"/>
          <w:sz w:val="21"/>
          <w:szCs w:val="21"/>
          <w:shd w:val="clear" w:fill="FFFFFF"/>
        </w:rPr>
        <w:t>月</w:t>
      </w:r>
      <w:r>
        <w:rPr>
          <w:rFonts w:hint="eastAsia" w:cs="宋体"/>
          <w:i w:val="0"/>
          <w:caps w:val="0"/>
          <w:color w:val="000000"/>
          <w:spacing w:val="0"/>
          <w:sz w:val="21"/>
          <w:szCs w:val="21"/>
          <w:shd w:val="clear" w:fill="FFFFFF"/>
          <w:lang w:val="en-US" w:eastAsia="zh-CN"/>
        </w:rPr>
        <w:t>20</w:t>
      </w:r>
      <w:r>
        <w:rPr>
          <w:rFonts w:hint="eastAsia" w:ascii="宋体" w:hAnsi="宋体" w:eastAsia="宋体" w:cs="宋体"/>
          <w:i w:val="0"/>
          <w:caps w:val="0"/>
          <w:color w:val="000000"/>
          <w:spacing w:val="0"/>
          <w:sz w:val="21"/>
          <w:szCs w:val="21"/>
          <w:shd w:val="clear" w:fill="FFFFFF"/>
        </w:rPr>
        <w:t>日18时00分止</w:t>
      </w:r>
    </w:p>
    <w:p>
      <w:pPr>
        <w:keepNext w:val="0"/>
        <w:keepLines w:val="0"/>
        <w:widowControl/>
        <w:suppressLineNumbers w:val="0"/>
        <w:shd w:val="clear" w:fill="FFFFFF"/>
        <w:spacing w:before="0" w:beforeAutospacing="0" w:after="0" w:afterAutospacing="0" w:line="400" w:lineRule="exact"/>
        <w:ind w:left="0" w:right="0" w:firstLine="0"/>
        <w:jc w:val="left"/>
        <w:rPr>
          <w:rFonts w:hint="default" w:ascii="Arial" w:hAnsi="Arial" w:eastAsia="Arial" w:cs="Arial"/>
          <w:i w:val="0"/>
          <w:caps w:val="0"/>
          <w:color w:val="000000"/>
          <w:spacing w:val="0"/>
          <w:sz w:val="18"/>
          <w:szCs w:val="18"/>
        </w:rPr>
      </w:pPr>
      <w:r>
        <w:rPr>
          <w:rFonts w:hint="eastAsia" w:hAnsi="宋体" w:cs="宋体"/>
          <w:b/>
          <w:color w:val="000000" w:themeColor="text1"/>
          <w:szCs w:val="21"/>
          <w:lang w:val="en-US" w:eastAsia="zh-CN"/>
          <w14:textFill>
            <w14:solidFill>
              <w14:schemeClr w14:val="tx1"/>
            </w14:solidFill>
          </w14:textFill>
        </w:rPr>
        <w:t xml:space="preserve">    </w:t>
      </w:r>
      <w:r>
        <w:rPr>
          <w:rFonts w:hint="eastAsia" w:ascii="宋体" w:hAnsi="宋体" w:cs="宋体"/>
          <w:i w:val="0"/>
          <w:caps w:val="0"/>
          <w:color w:val="000000"/>
          <w:spacing w:val="0"/>
          <w:kern w:val="0"/>
          <w:sz w:val="21"/>
          <w:szCs w:val="21"/>
          <w:shd w:val="clear" w:fill="FFFFFF"/>
          <w:lang w:val="en-US" w:eastAsia="zh-CN" w:bidi="ar"/>
        </w:rPr>
        <w:t>3</w:t>
      </w:r>
      <w:r>
        <w:rPr>
          <w:rFonts w:hint="eastAsia" w:ascii="宋体" w:hAnsi="宋体" w:eastAsia="宋体" w:cs="宋体"/>
          <w:i w:val="0"/>
          <w:caps w:val="0"/>
          <w:color w:val="000000"/>
          <w:spacing w:val="0"/>
          <w:kern w:val="0"/>
          <w:sz w:val="21"/>
          <w:szCs w:val="21"/>
          <w:shd w:val="clear" w:fill="FFFFFF"/>
          <w:lang w:val="en-US" w:eastAsia="zh-CN" w:bidi="ar"/>
        </w:rPr>
        <w:t>.获取方式：在公告期限内①登录广西壮族自治区政府采购网、梧州市公共资源交易中心网（以上网站均可）下载招标文件；②成功下载招标文件后，将采购文件工本费250元（售后不退）以转账或电汇等非现金形式交到以下账户。（请务必在银行单据用途或空白栏上注明事由“项目编号+文件工本费”字样。）</w:t>
      </w:r>
    </w:p>
    <w:p>
      <w:pPr>
        <w:spacing w:line="400" w:lineRule="exac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开户名称：广西众联工程项目管理有限公司</w:t>
      </w:r>
    </w:p>
    <w:p>
      <w:pPr>
        <w:spacing w:line="400" w:lineRule="exact"/>
        <w:ind w:firstLine="420" w:firstLineChars="200"/>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开户银行：中国光大银行股份有限公司南宁民主支行</w:t>
      </w:r>
    </w:p>
    <w:p>
      <w:pPr>
        <w:spacing w:line="400" w:lineRule="exact"/>
        <w:ind w:firstLine="420" w:firstLineChars="200"/>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银行账号：78900188000167866</w:t>
      </w:r>
    </w:p>
    <w:p>
      <w:pPr>
        <w:keepNext w:val="0"/>
        <w:keepLines w:val="0"/>
        <w:widowControl/>
        <w:suppressLineNumbers w:val="0"/>
        <w:shd w:val="clear" w:fill="FFFFFF"/>
        <w:spacing w:before="0" w:beforeAutospacing="0" w:after="0" w:afterAutospacing="0" w:line="320" w:lineRule="exact"/>
        <w:ind w:left="0" w:right="0" w:firstLine="420"/>
        <w:jc w:val="left"/>
        <w:rPr>
          <w:rFonts w:hint="default" w:ascii="Arial" w:hAnsi="Arial" w:eastAsia="Arial" w:cs="Arial"/>
          <w:i w:val="0"/>
          <w:caps w:val="0"/>
          <w:color w:val="000000"/>
          <w:spacing w:val="0"/>
          <w:sz w:val="18"/>
          <w:szCs w:val="18"/>
        </w:rPr>
      </w:pPr>
      <w:r>
        <w:rPr>
          <w:rFonts w:hint="eastAsia" w:ascii="宋体" w:hAnsi="宋体" w:cs="宋体"/>
          <w:i w:val="0"/>
          <w:caps w:val="0"/>
          <w:color w:val="000000"/>
          <w:spacing w:val="0"/>
          <w:kern w:val="0"/>
          <w:sz w:val="21"/>
          <w:szCs w:val="21"/>
          <w:shd w:val="clear" w:fill="FFFFFF"/>
          <w:lang w:val="en-US" w:eastAsia="zh-CN" w:bidi="ar"/>
        </w:rPr>
        <w:t>4</w:t>
      </w:r>
      <w:r>
        <w:rPr>
          <w:rFonts w:hint="eastAsia" w:ascii="宋体" w:hAnsi="宋体" w:eastAsia="宋体" w:cs="宋体"/>
          <w:i w:val="0"/>
          <w:caps w:val="0"/>
          <w:color w:val="000000"/>
          <w:spacing w:val="0"/>
          <w:kern w:val="0"/>
          <w:sz w:val="21"/>
          <w:szCs w:val="21"/>
          <w:shd w:val="clear" w:fill="FFFFFF"/>
          <w:lang w:val="en-US" w:eastAsia="zh-CN" w:bidi="ar"/>
        </w:rPr>
        <w:t>.供应商应在采购文件规定的获取时间内获取采购文件并将采购文件工本费以转账或电汇等非现金形式交到指定账户的方为报名成功，不接受逾期转入工本费或没有转入工本费的供应商。</w:t>
      </w:r>
    </w:p>
    <w:p>
      <w:pPr>
        <w:pStyle w:val="35"/>
        <w:keepNext w:val="0"/>
        <w:keepLines w:val="0"/>
        <w:widowControl/>
        <w:suppressLineNumbers w:val="0"/>
        <w:shd w:val="clear" w:fill="FFFFFF"/>
        <w:spacing w:before="62" w:beforeAutospacing="0" w:after="0" w:afterAutospacing="0" w:line="320" w:lineRule="exact"/>
        <w:ind w:left="0" w:right="0" w:firstLine="422"/>
        <w:jc w:val="both"/>
        <w:rPr>
          <w:rFonts w:hint="eastAsia" w:ascii="宋体" w:hAnsi="宋体" w:eastAsia="宋体" w:cs="宋体"/>
          <w:i w:val="0"/>
          <w:caps w:val="0"/>
          <w:color w:val="000000"/>
          <w:spacing w:val="0"/>
          <w:sz w:val="21"/>
          <w:szCs w:val="21"/>
        </w:rPr>
      </w:pPr>
      <w:r>
        <w:rPr>
          <w:rFonts w:hint="eastAsia" w:cs="宋体"/>
          <w:b/>
          <w:i w:val="0"/>
          <w:caps w:val="0"/>
          <w:color w:val="000000"/>
          <w:spacing w:val="0"/>
          <w:sz w:val="21"/>
          <w:szCs w:val="21"/>
          <w:shd w:val="clear" w:fill="FFFFFF"/>
          <w:lang w:eastAsia="zh-CN"/>
        </w:rPr>
        <w:t>四</w:t>
      </w:r>
      <w:r>
        <w:rPr>
          <w:rFonts w:hint="eastAsia" w:ascii="宋体" w:hAnsi="宋体" w:eastAsia="宋体" w:cs="宋体"/>
          <w:b/>
          <w:i w:val="0"/>
          <w:caps w:val="0"/>
          <w:color w:val="000000"/>
          <w:spacing w:val="0"/>
          <w:sz w:val="21"/>
          <w:szCs w:val="21"/>
          <w:shd w:val="clear" w:fill="FFFFFF"/>
        </w:rPr>
        <w:t>、投标截止时间和地点</w:t>
      </w:r>
    </w:p>
    <w:p>
      <w:pPr>
        <w:pStyle w:val="35"/>
        <w:keepNext w:val="0"/>
        <w:keepLines w:val="0"/>
        <w:widowControl/>
        <w:suppressLineNumbers w:val="0"/>
        <w:shd w:val="clear" w:fill="FFFFFF"/>
        <w:spacing w:before="0" w:beforeAutospacing="0" w:after="0" w:afterAutospacing="0" w:line="320" w:lineRule="exact"/>
        <w:ind w:left="0" w:right="0" w:firstLine="420"/>
        <w:jc w:val="both"/>
        <w:rPr>
          <w:rFonts w:hint="default" w:ascii="Times New Roman" w:hAnsi="Times New Roman" w:cs="Times New Roman"/>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投标人应于投标截止时间2020年7月2</w:t>
      </w:r>
      <w:r>
        <w:rPr>
          <w:rFonts w:hint="eastAsia" w:cs="宋体"/>
          <w:i w:val="0"/>
          <w:caps w:val="0"/>
          <w:color w:val="000000"/>
          <w:spacing w:val="0"/>
          <w:sz w:val="21"/>
          <w:szCs w:val="21"/>
          <w:shd w:val="clear" w:fill="FFFFFF"/>
          <w:lang w:val="en-US" w:eastAsia="zh-CN"/>
        </w:rPr>
        <w:t>2</w:t>
      </w:r>
      <w:r>
        <w:rPr>
          <w:rFonts w:hint="eastAsia" w:ascii="宋体" w:hAnsi="宋体" w:eastAsia="宋体" w:cs="宋体"/>
          <w:i w:val="0"/>
          <w:caps w:val="0"/>
          <w:color w:val="000000"/>
          <w:spacing w:val="0"/>
          <w:sz w:val="21"/>
          <w:szCs w:val="21"/>
          <w:shd w:val="clear" w:fill="FFFFFF"/>
        </w:rPr>
        <w:t>日上午9时30分整前，将投标文件密封提交到梧州市公共资源交易中心开标厅（地址：梧州市长洲区三龙大道72号红岭大厦8楼，具体开标室见现场LED指引），逾期送达或未按要求密封标记的投标文件，将予以拒收。</w:t>
      </w:r>
    </w:p>
    <w:p>
      <w:pPr>
        <w:pStyle w:val="35"/>
        <w:keepNext w:val="0"/>
        <w:keepLines w:val="0"/>
        <w:widowControl/>
        <w:suppressLineNumbers w:val="0"/>
        <w:shd w:val="clear" w:fill="FFFFFF"/>
        <w:spacing w:before="62" w:beforeAutospacing="0" w:after="0" w:afterAutospacing="0" w:line="320" w:lineRule="exact"/>
        <w:ind w:left="0" w:right="0" w:firstLine="422"/>
        <w:jc w:val="both"/>
        <w:rPr>
          <w:rFonts w:hint="eastAsia" w:ascii="宋体" w:hAnsi="宋体" w:eastAsia="宋体" w:cs="宋体"/>
          <w:i w:val="0"/>
          <w:caps w:val="0"/>
          <w:color w:val="000000"/>
          <w:spacing w:val="0"/>
          <w:sz w:val="21"/>
          <w:szCs w:val="21"/>
        </w:rPr>
      </w:pPr>
      <w:r>
        <w:rPr>
          <w:rFonts w:hint="eastAsia" w:cs="宋体"/>
          <w:b/>
          <w:i w:val="0"/>
          <w:caps w:val="0"/>
          <w:color w:val="000000"/>
          <w:spacing w:val="0"/>
          <w:sz w:val="21"/>
          <w:szCs w:val="21"/>
          <w:shd w:val="clear" w:fill="FFFFFF"/>
          <w:lang w:eastAsia="zh-CN"/>
        </w:rPr>
        <w:t>五</w:t>
      </w:r>
      <w:r>
        <w:rPr>
          <w:rFonts w:hint="eastAsia" w:ascii="宋体" w:hAnsi="宋体" w:eastAsia="宋体" w:cs="宋体"/>
          <w:b/>
          <w:i w:val="0"/>
          <w:caps w:val="0"/>
          <w:color w:val="000000"/>
          <w:spacing w:val="0"/>
          <w:sz w:val="21"/>
          <w:szCs w:val="21"/>
          <w:shd w:val="clear" w:fill="FFFFFF"/>
        </w:rPr>
        <w:t>、开标时间和地点</w:t>
      </w:r>
    </w:p>
    <w:p>
      <w:pPr>
        <w:pStyle w:val="35"/>
        <w:keepNext w:val="0"/>
        <w:keepLines w:val="0"/>
        <w:widowControl/>
        <w:suppressLineNumbers w:val="0"/>
        <w:shd w:val="clear" w:fill="FFFFFF"/>
        <w:spacing w:before="0" w:beforeAutospacing="0" w:after="0" w:afterAutospacing="0" w:line="320" w:lineRule="exact"/>
        <w:ind w:left="0" w:right="0" w:firstLine="420"/>
        <w:jc w:val="both"/>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本次招标将于2020年7月2</w:t>
      </w:r>
      <w:r>
        <w:rPr>
          <w:rFonts w:hint="eastAsia" w:cs="宋体"/>
          <w:i w:val="0"/>
          <w:caps w:val="0"/>
          <w:color w:val="000000"/>
          <w:spacing w:val="0"/>
          <w:sz w:val="21"/>
          <w:szCs w:val="21"/>
          <w:shd w:val="clear" w:fill="FFFFFF"/>
          <w:lang w:val="en-US" w:eastAsia="zh-CN"/>
        </w:rPr>
        <w:t>2</w:t>
      </w:r>
      <w:r>
        <w:rPr>
          <w:rFonts w:hint="eastAsia" w:ascii="宋体" w:hAnsi="宋体" w:eastAsia="宋体" w:cs="宋体"/>
          <w:i w:val="0"/>
          <w:caps w:val="0"/>
          <w:color w:val="000000"/>
          <w:spacing w:val="0"/>
          <w:sz w:val="21"/>
          <w:szCs w:val="21"/>
          <w:shd w:val="clear" w:fill="FFFFFF"/>
        </w:rPr>
        <w:t>日上午9时30分整，在梧州市公共资源交易中心开标厅开标（地址：梧州市长洲区三龙大道72号红岭大厦8楼，具体开标室见现场LED指引），如投标人派代表参加开标会的，须按招标文件要求携带相关证明文件以证明其出席开标会。</w:t>
      </w:r>
    </w:p>
    <w:p>
      <w:pPr>
        <w:pStyle w:val="20"/>
        <w:spacing w:before="66" w:beforeLines="20" w:line="320" w:lineRule="exact"/>
        <w:ind w:firstLine="422" w:firstLineChars="200"/>
        <w:rPr>
          <w:rFonts w:hint="eastAsia" w:ascii="宋体" w:hAnsi="宋体" w:cs="宋体"/>
          <w:b w:val="0"/>
          <w:bCs/>
          <w:color w:val="000000" w:themeColor="text1"/>
          <w:sz w:val="21"/>
          <w:szCs w:val="21"/>
          <w:lang w:eastAsia="zh-CN"/>
          <w14:textFill>
            <w14:solidFill>
              <w14:schemeClr w14:val="tx1"/>
            </w14:solidFill>
          </w14:textFill>
        </w:rPr>
      </w:pPr>
      <w:r>
        <w:rPr>
          <w:rFonts w:hint="eastAsia" w:hAnsi="宋体" w:cs="宋体"/>
          <w:b/>
          <w:color w:val="000000" w:themeColor="text1"/>
          <w:szCs w:val="21"/>
          <w:lang w:eastAsia="zh-CN"/>
          <w14:textFill>
            <w14:solidFill>
              <w14:schemeClr w14:val="tx1"/>
            </w14:solidFill>
          </w14:textFill>
        </w:rPr>
        <w:t>六</w:t>
      </w:r>
      <w:r>
        <w:rPr>
          <w:rFonts w:hint="eastAsia" w:ascii="宋体" w:hAnsi="宋体" w:cs="宋体"/>
          <w:b/>
          <w:color w:val="000000" w:themeColor="text1"/>
          <w:sz w:val="21"/>
          <w:szCs w:val="21"/>
          <w:lang w:eastAsia="zh-CN"/>
          <w14:textFill>
            <w14:solidFill>
              <w14:schemeClr w14:val="tx1"/>
            </w14:solidFill>
          </w14:textFill>
        </w:rPr>
        <w:t>、投标保证金</w:t>
      </w:r>
    </w:p>
    <w:p>
      <w:pPr>
        <w:pStyle w:val="20"/>
        <w:spacing w:before="66" w:beforeLines="20" w:line="320" w:lineRule="exact"/>
        <w:ind w:firstLine="420" w:firstLineChars="200"/>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 xml:space="preserve">1. </w:t>
      </w:r>
      <w:r>
        <w:rPr>
          <w:rFonts w:hint="eastAsia" w:hAnsi="宋体" w:cs="宋体"/>
          <w:color w:val="000000" w:themeColor="text1"/>
          <w14:textFill>
            <w14:solidFill>
              <w14:schemeClr w14:val="tx1"/>
            </w14:solidFill>
          </w14:textFill>
        </w:rPr>
        <w:t>投标保证金金额</w:t>
      </w:r>
      <w:r>
        <w:rPr>
          <w:rFonts w:hint="eastAsia" w:hAnsi="宋体" w:cs="宋体"/>
          <w:color w:val="000000" w:themeColor="text1"/>
          <w:szCs w:val="21"/>
          <w14:textFill>
            <w14:solidFill>
              <w14:schemeClr w14:val="tx1"/>
            </w14:solidFill>
          </w14:textFill>
        </w:rPr>
        <w:t>(人民币)：陆万元整（￥60,000.00）。</w:t>
      </w:r>
    </w:p>
    <w:p>
      <w:pPr>
        <w:spacing w:line="320" w:lineRule="exac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2．递交方式：从投标人对公账户转账到以下专用账户或以支票、汇票、本票、保函非现金形式缴纳投标保证金。</w:t>
      </w:r>
    </w:p>
    <w:p>
      <w:pPr>
        <w:spacing w:line="320" w:lineRule="exac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开户名称：广西众联工程项目管理有限公司</w:t>
      </w:r>
    </w:p>
    <w:p>
      <w:pPr>
        <w:spacing w:line="320" w:lineRule="exact"/>
        <w:ind w:firstLine="420" w:firstLineChars="200"/>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开户银行：中国光大银行股份有限公司南宁民主支行</w:t>
      </w:r>
    </w:p>
    <w:p>
      <w:pPr>
        <w:spacing w:line="320" w:lineRule="exact"/>
        <w:ind w:firstLine="420" w:firstLineChars="200"/>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银行账号：78900188000167866</w:t>
      </w:r>
    </w:p>
    <w:p>
      <w:pPr>
        <w:spacing w:line="320" w:lineRule="exact"/>
        <w:ind w:firstLine="420" w:firstLineChars="200"/>
        <w:rPr>
          <w:rFonts w:hAnsi="宋体"/>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3．交纳截止时间：①以转帐方式缴纳投标保证金的必须在投标截止时间之前到达专用帐户。②以其他非现金方式递交投标保证金的应在投标截止时间之前提交。</w:t>
      </w:r>
    </w:p>
    <w:p>
      <w:pPr>
        <w:pStyle w:val="20"/>
        <w:spacing w:before="66" w:beforeLines="20" w:line="320" w:lineRule="exact"/>
        <w:ind w:firstLine="422" w:firstLineChars="200"/>
        <w:rPr>
          <w:rFonts w:hAnsi="宋体" w:cs="宋体"/>
          <w:b/>
          <w:color w:val="000000" w:themeColor="text1"/>
          <w:szCs w:val="21"/>
          <w14:textFill>
            <w14:solidFill>
              <w14:schemeClr w14:val="tx1"/>
            </w14:solidFill>
          </w14:textFill>
        </w:rPr>
      </w:pPr>
      <w:r>
        <w:rPr>
          <w:rFonts w:hint="eastAsia" w:hAnsi="宋体" w:cs="宋体"/>
          <w:b/>
          <w:color w:val="000000" w:themeColor="text1"/>
          <w:szCs w:val="21"/>
          <w:lang w:eastAsia="zh-CN"/>
          <w14:textFill>
            <w14:solidFill>
              <w14:schemeClr w14:val="tx1"/>
            </w14:solidFill>
          </w14:textFill>
        </w:rPr>
        <w:t>七</w:t>
      </w:r>
      <w:r>
        <w:rPr>
          <w:rFonts w:hint="eastAsia" w:hAnsi="宋体" w:cs="宋体"/>
          <w:b/>
          <w:color w:val="000000" w:themeColor="text1"/>
          <w:szCs w:val="21"/>
          <w14:textFill>
            <w14:solidFill>
              <w14:schemeClr w14:val="tx1"/>
            </w14:solidFill>
          </w14:textFill>
        </w:rPr>
        <w:t>、对本次招标提出询问，请按以下方式联系。</w:t>
      </w:r>
    </w:p>
    <w:p>
      <w:pPr>
        <w:pStyle w:val="20"/>
        <w:spacing w:line="350" w:lineRule="exact"/>
        <w:ind w:firstLine="420" w:firstLineChars="200"/>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1．采购人：梧州市万秀区教育局</w:t>
      </w:r>
    </w:p>
    <w:p>
      <w:pPr>
        <w:pStyle w:val="20"/>
        <w:snapToGrid w:val="0"/>
        <w:spacing w:line="350" w:lineRule="exact"/>
        <w:ind w:firstLine="420" w:firstLineChars="200"/>
        <w:rPr>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地址：</w:t>
      </w:r>
      <w:r>
        <w:rPr>
          <w:color w:val="000000" w:themeColor="text1"/>
          <w14:textFill>
            <w14:solidFill>
              <w14:schemeClr w14:val="tx1"/>
            </w14:solidFill>
          </w14:textFill>
        </w:rPr>
        <w:t>梧州市</w:t>
      </w:r>
      <w:r>
        <w:rPr>
          <w:rFonts w:hint="eastAsia"/>
          <w:color w:val="000000" w:themeColor="text1"/>
          <w14:textFill>
            <w14:solidFill>
              <w14:schemeClr w14:val="tx1"/>
            </w14:solidFill>
          </w14:textFill>
        </w:rPr>
        <w:t>新兴一</w:t>
      </w:r>
      <w:r>
        <w:rPr>
          <w:color w:val="000000" w:themeColor="text1"/>
          <w14:textFill>
            <w14:solidFill>
              <w14:schemeClr w14:val="tx1"/>
            </w14:solidFill>
          </w14:textFill>
        </w:rPr>
        <w:t>路</w:t>
      </w:r>
      <w:r>
        <w:rPr>
          <w:rFonts w:hint="eastAsia"/>
          <w:color w:val="000000" w:themeColor="text1"/>
          <w14:textFill>
            <w14:solidFill>
              <w14:schemeClr w14:val="tx1"/>
            </w14:solidFill>
          </w14:textFill>
        </w:rPr>
        <w:t>60</w:t>
      </w:r>
      <w:r>
        <w:rPr>
          <w:color w:val="000000" w:themeColor="text1"/>
          <w14:textFill>
            <w14:solidFill>
              <w14:schemeClr w14:val="tx1"/>
            </w14:solidFill>
          </w14:textFill>
        </w:rPr>
        <w:t>号</w:t>
      </w:r>
    </w:p>
    <w:p>
      <w:pPr>
        <w:pStyle w:val="20"/>
        <w:spacing w:line="350" w:lineRule="exact"/>
        <w:ind w:firstLine="420" w:firstLineChars="200"/>
        <w:rPr>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联系人：林先生   联系电话：0774-3953050</w:t>
      </w:r>
    </w:p>
    <w:p>
      <w:pPr>
        <w:pStyle w:val="20"/>
        <w:spacing w:line="350" w:lineRule="exact"/>
        <w:ind w:firstLine="420" w:firstLineChars="200"/>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2．采购代理机构：广西众联工程项目管理有限公司</w:t>
      </w:r>
    </w:p>
    <w:p>
      <w:pPr>
        <w:pStyle w:val="20"/>
        <w:spacing w:line="350" w:lineRule="exact"/>
        <w:ind w:firstLine="420" w:firstLineChars="200"/>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联系地址：梧州市新兴三路30号神冠豪都B栋1单元22层</w:t>
      </w:r>
    </w:p>
    <w:p>
      <w:pPr>
        <w:pStyle w:val="20"/>
        <w:spacing w:line="350" w:lineRule="exact"/>
        <w:ind w:firstLine="420" w:firstLineChars="200"/>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联系人及电话：孟琳富 ，18176880255</w:t>
      </w:r>
    </w:p>
    <w:p>
      <w:pPr>
        <w:keepNext w:val="0"/>
        <w:keepLines w:val="0"/>
        <w:pageBreakBefore w:val="0"/>
        <w:widowControl w:val="0"/>
        <w:kinsoku/>
        <w:wordWrap/>
        <w:overflowPunct/>
        <w:topLinePunct w:val="0"/>
        <w:autoSpaceDE/>
        <w:autoSpaceDN/>
        <w:bidi w:val="0"/>
        <w:adjustRightInd/>
        <w:spacing w:line="360" w:lineRule="exact"/>
        <w:ind w:left="0" w:right="0" w:rightChars="0" w:firstLine="420" w:firstLineChars="200"/>
        <w:textAlignment w:val="auto"/>
        <w:rPr>
          <w:rFonts w:hint="eastAsia" w:hAnsi="宋体"/>
          <w:b/>
          <w:color w:val="auto"/>
          <w:szCs w:val="21"/>
          <w:lang w:eastAsia="zh-CN"/>
        </w:rPr>
      </w:pPr>
      <w:r>
        <w:rPr>
          <w:rFonts w:hint="eastAsia" w:ascii="宋体" w:hAnsi="宋体" w:eastAsia="宋体" w:cs="宋体"/>
          <w:i w:val="0"/>
          <w:caps w:val="0"/>
          <w:color w:val="000000"/>
          <w:spacing w:val="0"/>
          <w:sz w:val="21"/>
          <w:szCs w:val="21"/>
          <w:shd w:val="clear" w:fill="FFFFFF"/>
        </w:rPr>
        <w:t>3．监督部门：梧州市财政局政府采购监督管理科（电话：0774-3866434）</w:t>
      </w:r>
    </w:p>
    <w:p>
      <w:pPr>
        <w:keepNext w:val="0"/>
        <w:keepLines w:val="0"/>
        <w:pageBreakBefore w:val="0"/>
        <w:widowControl w:val="0"/>
        <w:kinsoku/>
        <w:wordWrap/>
        <w:overflowPunct/>
        <w:topLinePunct w:val="0"/>
        <w:autoSpaceDE/>
        <w:autoSpaceDN/>
        <w:bidi w:val="0"/>
        <w:adjustRightInd/>
        <w:spacing w:line="360" w:lineRule="exact"/>
        <w:ind w:left="0" w:right="0" w:rightChars="0" w:firstLine="422" w:firstLineChars="200"/>
        <w:textAlignment w:val="auto"/>
        <w:rPr>
          <w:rFonts w:hAnsi="宋体"/>
          <w:b/>
          <w:color w:val="auto"/>
          <w:szCs w:val="21"/>
        </w:rPr>
      </w:pPr>
      <w:r>
        <w:rPr>
          <w:rFonts w:hint="eastAsia" w:hAnsi="宋体"/>
          <w:b/>
          <w:color w:val="auto"/>
          <w:szCs w:val="21"/>
          <w:lang w:eastAsia="zh-CN"/>
        </w:rPr>
        <w:t>八</w:t>
      </w:r>
      <w:r>
        <w:rPr>
          <w:rFonts w:hint="eastAsia" w:hAnsi="宋体"/>
          <w:b/>
          <w:color w:val="auto"/>
          <w:szCs w:val="21"/>
        </w:rPr>
        <w:t>、网上公告媒体查询：</w:t>
      </w:r>
    </w:p>
    <w:p>
      <w:pPr>
        <w:numPr>
          <w:ilvl w:val="0"/>
          <w:numId w:val="0"/>
        </w:numPr>
        <w:wordWrap w:val="0"/>
        <w:autoSpaceDE w:val="0"/>
        <w:autoSpaceDN w:val="0"/>
        <w:adjustRightInd w:val="0"/>
        <w:snapToGrid w:val="0"/>
        <w:spacing w:line="360" w:lineRule="exact"/>
        <w:ind w:firstLine="420" w:firstLineChars="200"/>
      </w:pPr>
      <w:r>
        <w:rPr>
          <w:rFonts w:hint="eastAsia" w:hAnsi="宋体"/>
          <w:color w:val="auto"/>
          <w:szCs w:val="21"/>
          <w:lang w:val="en-US" w:eastAsia="zh-CN"/>
        </w:rPr>
        <w:t>中国政府采购网（www.ccgp.gov.cn）、广西壮族自治区政府采购网(www.gxzfcg.gov.cn)、梧州市政府采购网（www.wuzhou.gov.cn:8090/zfcgw）、</w:t>
      </w:r>
      <w:r>
        <w:rPr>
          <w:rFonts w:hint="eastAsia" w:ascii="宋体" w:hAnsi="宋体" w:eastAsia="宋体" w:cs="宋体"/>
          <w:color w:val="auto"/>
          <w:sz w:val="21"/>
          <w:szCs w:val="21"/>
        </w:rPr>
        <w:t>梧州市公共资源交易中心网（http://www.wzggzy.cn/gxwzzbw/）。</w:t>
      </w:r>
    </w:p>
    <w:p>
      <w:pPr>
        <w:spacing w:line="350" w:lineRule="exact"/>
        <w:jc w:val="righ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梧州市万秀区教育局</w:t>
      </w:r>
    </w:p>
    <w:p>
      <w:pPr>
        <w:spacing w:line="350" w:lineRule="exact"/>
        <w:jc w:val="righ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广西众联工程项目管理有限公司</w:t>
      </w:r>
    </w:p>
    <w:p>
      <w:pPr>
        <w:spacing w:line="350" w:lineRule="exact"/>
        <w:jc w:val="righ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2020年 </w:t>
      </w:r>
      <w:r>
        <w:rPr>
          <w:rFonts w:hint="eastAsia" w:ascii="宋体" w:hAnsi="宋体" w:cs="宋体"/>
          <w:color w:val="000000" w:themeColor="text1"/>
          <w:szCs w:val="21"/>
          <w:lang w:val="en-US" w:eastAsia="zh-CN"/>
          <w14:textFill>
            <w14:solidFill>
              <w14:schemeClr w14:val="tx1"/>
            </w14:solidFill>
          </w14:textFill>
        </w:rPr>
        <w:t>6</w:t>
      </w:r>
      <w:r>
        <w:rPr>
          <w:rFonts w:hint="eastAsia" w:ascii="宋体" w:hAnsi="宋体" w:cs="宋体"/>
          <w:color w:val="000000" w:themeColor="text1"/>
          <w:szCs w:val="21"/>
          <w14:textFill>
            <w14:solidFill>
              <w14:schemeClr w14:val="tx1"/>
            </w14:solidFill>
          </w14:textFill>
        </w:rPr>
        <w:t>月</w:t>
      </w:r>
      <w:r>
        <w:rPr>
          <w:rFonts w:hint="eastAsia" w:ascii="宋体" w:hAnsi="宋体" w:cs="宋体"/>
          <w:color w:val="000000" w:themeColor="text1"/>
          <w:szCs w:val="21"/>
          <w:lang w:val="en-US" w:eastAsia="zh-CN"/>
          <w14:textFill>
            <w14:solidFill>
              <w14:schemeClr w14:val="tx1"/>
            </w14:solidFill>
          </w14:textFill>
        </w:rPr>
        <w:t>28</w:t>
      </w:r>
      <w:r>
        <w:rPr>
          <w:rFonts w:hint="eastAsia" w:ascii="宋体" w:hAnsi="宋体" w:cs="宋体"/>
          <w:color w:val="000000" w:themeColor="text1"/>
          <w:szCs w:val="21"/>
          <w14:textFill>
            <w14:solidFill>
              <w14:schemeClr w14:val="tx1"/>
            </w14:solidFill>
          </w14:textFill>
        </w:rPr>
        <w:t>日</w:t>
      </w:r>
    </w:p>
    <w:p>
      <w:pPr>
        <w:pStyle w:val="20"/>
        <w:spacing w:line="400" w:lineRule="exact"/>
        <w:rPr>
          <w:rFonts w:hAnsi="宋体" w:cs="宋体"/>
          <w:color w:val="000000" w:themeColor="text1"/>
          <w14:textFill>
            <w14:solidFill>
              <w14:schemeClr w14:val="tx1"/>
            </w14:solidFill>
          </w14:textFill>
        </w:rPr>
      </w:pPr>
      <w:r>
        <w:rPr>
          <w:rFonts w:hint="eastAsia" w:hAnsi="宋体" w:cs="宋体"/>
          <w:b/>
          <w:color w:val="000000" w:themeColor="text1"/>
          <w14:textFill>
            <w14:solidFill>
              <w14:schemeClr w14:val="tx1"/>
            </w14:solidFill>
          </w14:textFill>
        </w:rPr>
        <w:br w:type="page"/>
      </w:r>
    </w:p>
    <w:bookmarkEnd w:id="291"/>
    <w:p>
      <w:pPr>
        <w:pStyle w:val="20"/>
        <w:spacing w:line="400" w:lineRule="exact"/>
        <w:rPr>
          <w:rFonts w:hAnsi="宋体" w:cs="宋体"/>
          <w:color w:val="000000" w:themeColor="text1"/>
          <w14:textFill>
            <w14:solidFill>
              <w14:schemeClr w14:val="tx1"/>
            </w14:solidFill>
          </w14:textFill>
        </w:rPr>
      </w:pPr>
    </w:p>
    <w:p>
      <w:pPr>
        <w:pStyle w:val="20"/>
        <w:spacing w:line="400" w:lineRule="exact"/>
        <w:rPr>
          <w:rFonts w:hAnsi="宋体" w:cs="宋体"/>
          <w:color w:val="000000" w:themeColor="text1"/>
          <w14:textFill>
            <w14:solidFill>
              <w14:schemeClr w14:val="tx1"/>
            </w14:solidFill>
          </w14:textFill>
        </w:rPr>
      </w:pPr>
    </w:p>
    <w:p>
      <w:pPr>
        <w:pStyle w:val="3"/>
        <w:spacing w:line="560" w:lineRule="exact"/>
        <w:jc w:val="center"/>
        <w:rPr>
          <w:rFonts w:ascii="宋体" w:hAnsi="宋体" w:cs="宋体"/>
          <w:bCs/>
          <w:color w:val="000000" w:themeColor="text1"/>
          <w:sz w:val="44"/>
          <w14:textFill>
            <w14:solidFill>
              <w14:schemeClr w14:val="tx1"/>
            </w14:solidFill>
          </w14:textFill>
        </w:rPr>
      </w:pPr>
      <w:bookmarkStart w:id="14" w:name="_Toc185702586"/>
      <w:bookmarkStart w:id="15" w:name="_Toc469874203"/>
      <w:bookmarkStart w:id="16" w:name="_Toc405943013"/>
      <w:bookmarkStart w:id="17" w:name="_Toc199780485"/>
      <w:bookmarkStart w:id="18" w:name="_Toc185703008"/>
      <w:bookmarkStart w:id="19" w:name="_Toc230949373"/>
      <w:bookmarkStart w:id="20" w:name="_Toc200308966"/>
      <w:bookmarkStart w:id="21" w:name="_Toc230929134"/>
      <w:bookmarkStart w:id="22" w:name="_Toc469842111"/>
      <w:bookmarkStart w:id="23" w:name="_Toc200268363"/>
      <w:bookmarkStart w:id="24" w:name="_Toc156106969"/>
      <w:bookmarkStart w:id="25" w:name="_Toc147248434"/>
      <w:bookmarkStart w:id="26" w:name="_Toc395066555"/>
      <w:bookmarkStart w:id="27" w:name="_Toc21199"/>
      <w:r>
        <w:rPr>
          <w:rFonts w:hint="eastAsia" w:ascii="宋体" w:hAnsi="宋体" w:cs="宋体"/>
          <w:bCs/>
          <w:color w:val="000000" w:themeColor="text1"/>
          <w:sz w:val="44"/>
          <w14:textFill>
            <w14:solidFill>
              <w14:schemeClr w14:val="tx1"/>
            </w14:solidFill>
          </w14:textFill>
        </w:rPr>
        <w:t xml:space="preserve">第二章  </w:t>
      </w:r>
      <w:bookmarkEnd w:id="14"/>
      <w:bookmarkEnd w:id="15"/>
      <w:bookmarkEnd w:id="16"/>
      <w:bookmarkEnd w:id="17"/>
      <w:bookmarkEnd w:id="18"/>
      <w:bookmarkEnd w:id="19"/>
      <w:bookmarkEnd w:id="20"/>
      <w:bookmarkEnd w:id="21"/>
      <w:bookmarkEnd w:id="22"/>
      <w:bookmarkEnd w:id="23"/>
      <w:bookmarkEnd w:id="24"/>
      <w:bookmarkEnd w:id="25"/>
      <w:bookmarkEnd w:id="26"/>
      <w:r>
        <w:rPr>
          <w:rFonts w:hint="eastAsia" w:ascii="宋体" w:hAnsi="宋体" w:cs="宋体"/>
          <w:bCs/>
          <w:color w:val="000000" w:themeColor="text1"/>
          <w:sz w:val="44"/>
          <w14:textFill>
            <w14:solidFill>
              <w14:schemeClr w14:val="tx1"/>
            </w14:solidFill>
          </w14:textFill>
        </w:rPr>
        <w:t>采购内容及要求</w:t>
      </w:r>
      <w:bookmarkEnd w:id="27"/>
    </w:p>
    <w:p>
      <w:pPr>
        <w:pStyle w:val="20"/>
        <w:spacing w:line="400" w:lineRule="exact"/>
        <w:rPr>
          <w:rFonts w:hAnsi="宋体" w:cs="宋体"/>
          <w:color w:val="000000" w:themeColor="text1"/>
          <w14:textFill>
            <w14:solidFill>
              <w14:schemeClr w14:val="tx1"/>
            </w14:solidFill>
          </w14:textFill>
        </w:rPr>
      </w:pPr>
    </w:p>
    <w:p>
      <w:pPr>
        <w:spacing w:line="300" w:lineRule="exact"/>
        <w:ind w:left="629" w:hanging="629"/>
        <w:rPr>
          <w:rFonts w:ascii="宋体" w:hAnsi="宋体" w:cs="宋体"/>
          <w:color w:val="000000" w:themeColor="text1"/>
          <w14:textFill>
            <w14:solidFill>
              <w14:schemeClr w14:val="tx1"/>
            </w14:solidFill>
          </w14:textFill>
        </w:rPr>
      </w:pPr>
    </w:p>
    <w:p>
      <w:pPr>
        <w:spacing w:line="340" w:lineRule="exact"/>
        <w:ind w:right="97" w:rightChars="46"/>
        <w:rPr>
          <w:rFonts w:ascii="宋体" w:hAnsi="宋体" w:cs="宋体"/>
          <w:bCs/>
          <w:color w:val="000000" w:themeColor="text1"/>
          <w14:textFill>
            <w14:solidFill>
              <w14:schemeClr w14:val="tx1"/>
            </w14:solidFill>
          </w14:textFill>
        </w:rPr>
      </w:pPr>
      <w:r>
        <w:rPr>
          <w:rFonts w:hint="eastAsia" w:ascii="宋体" w:hAnsi="宋体" w:cs="宋体"/>
          <w:bCs/>
          <w:color w:val="000000" w:themeColor="text1"/>
          <w14:textFill>
            <w14:solidFill>
              <w14:schemeClr w14:val="tx1"/>
            </w14:solidFill>
          </w14:textFill>
        </w:rPr>
        <w:t>说明：</w:t>
      </w:r>
    </w:p>
    <w:p>
      <w:pPr>
        <w:spacing w:line="400" w:lineRule="exact"/>
        <w:ind w:right="97" w:rightChars="46" w:firstLine="315" w:firstLineChars="150"/>
        <w:rPr>
          <w:rFonts w:ascii="宋体" w:hAnsi="宋体" w:cs="宋体"/>
          <w:bCs/>
          <w:color w:val="000000" w:themeColor="text1"/>
          <w14:textFill>
            <w14:solidFill>
              <w14:schemeClr w14:val="tx1"/>
            </w14:solidFill>
          </w14:textFill>
        </w:rPr>
      </w:pPr>
      <w:r>
        <w:rPr>
          <w:rFonts w:hint="eastAsia" w:ascii="宋体" w:hAnsi="宋体" w:cs="宋体"/>
          <w:bCs/>
          <w:color w:val="000000" w:themeColor="text1"/>
          <w14:textFill>
            <w14:solidFill>
              <w14:schemeClr w14:val="tx1"/>
            </w14:solidFill>
          </w14:textFill>
        </w:rPr>
        <w:t>1、采购清单中的品牌型号如注明为参考品牌型号的，则仅起参考作用，投标人可选用其他品牌型号替代。标明的专有技术、专利产品、特定品牌的字样只起说明作用，任何与其同等的技术均应被认为符合招标文件要求，但这些替代的品牌型号要实质上相当于或优于参考品牌型号及其技术参数性能（配置）要求。</w:t>
      </w:r>
    </w:p>
    <w:p>
      <w:pPr>
        <w:spacing w:line="400" w:lineRule="exact"/>
        <w:ind w:right="97" w:rightChars="46" w:firstLine="210" w:firstLineChars="100"/>
        <w:rPr>
          <w:rFonts w:ascii="宋体" w:hAnsi="宋体" w:cs="宋体"/>
          <w:bCs/>
          <w:color w:val="000000" w:themeColor="text1"/>
          <w14:textFill>
            <w14:solidFill>
              <w14:schemeClr w14:val="tx1"/>
            </w14:solidFill>
          </w14:textFill>
        </w:rPr>
      </w:pPr>
      <w:r>
        <w:rPr>
          <w:rFonts w:hint="eastAsia" w:ascii="宋体" w:hAnsi="宋体" w:cs="宋体"/>
          <w:bCs/>
          <w:color w:val="000000" w:themeColor="text1"/>
          <w14:textFill>
            <w14:solidFill>
              <w14:schemeClr w14:val="tx1"/>
            </w14:solidFill>
          </w14:textFill>
        </w:rPr>
        <w:t>2、采购清单中已注明为参考品牌型号的货物及技术参数性能（配置）不明确或有误的，或投标人选用其他品牌型号替代的，请以详细、正确的品牌型号、技术参数性能（配置）同时填写报价表和技术要求响应表。</w:t>
      </w:r>
    </w:p>
    <w:p>
      <w:pPr>
        <w:spacing w:line="400" w:lineRule="exact"/>
        <w:ind w:right="97" w:rightChars="46" w:firstLine="210" w:firstLineChars="100"/>
        <w:rPr>
          <w:rFonts w:ascii="宋体" w:hAnsi="宋体" w:cs="宋体"/>
          <w:bCs/>
          <w:color w:val="000000" w:themeColor="text1"/>
          <w14:textFill>
            <w14:solidFill>
              <w14:schemeClr w14:val="tx1"/>
            </w14:solidFill>
          </w14:textFill>
        </w:rPr>
      </w:pPr>
      <w:r>
        <w:rPr>
          <w:rFonts w:hint="eastAsia" w:ascii="宋体" w:hAnsi="宋体" w:cs="宋体"/>
          <w:bCs/>
          <w:color w:val="000000" w:themeColor="text1"/>
          <w14:textFill>
            <w14:solidFill>
              <w14:schemeClr w14:val="tx1"/>
            </w14:solidFill>
          </w14:textFill>
        </w:rPr>
        <w:t>3、凡在“技术参数及性能（配置）要求”中表述为“标配”或“标准配置”的设备，投标人应在报价表中将其标配参数详细列明，否则该报价无效。</w:t>
      </w:r>
    </w:p>
    <w:p>
      <w:pPr>
        <w:spacing w:line="400" w:lineRule="exact"/>
        <w:ind w:right="97" w:rightChars="46" w:firstLine="210" w:firstLineChars="100"/>
        <w:rPr>
          <w:rFonts w:ascii="宋体" w:hAnsi="宋体" w:cs="宋体"/>
          <w:bCs/>
          <w:color w:val="000000" w:themeColor="text1"/>
          <w14:textFill>
            <w14:solidFill>
              <w14:schemeClr w14:val="tx1"/>
            </w14:solidFill>
          </w14:textFill>
        </w:rPr>
      </w:pPr>
      <w:r>
        <w:rPr>
          <w:rFonts w:hint="eastAsia" w:ascii="宋体" w:hAnsi="宋体" w:cs="宋体"/>
          <w:bCs/>
          <w:color w:val="000000" w:themeColor="text1"/>
          <w14:textFill>
            <w14:solidFill>
              <w14:schemeClr w14:val="tx1"/>
            </w14:solidFill>
          </w14:textFill>
        </w:rPr>
        <w:t>4、投标人必须自行为其提供的产品侵犯其他投标人或专利人的专利成果承担相应法律责任；同时，具有产品专利的投标人应在其投标文件中提供与其自有产品专利相关的有效证明材料，否则，不能就其产品的专利在本项目采购过程中被侵权问题提出异议。</w:t>
      </w:r>
    </w:p>
    <w:p>
      <w:pPr>
        <w:spacing w:line="400" w:lineRule="exact"/>
        <w:ind w:right="97" w:rightChars="46" w:firstLine="210" w:firstLineChars="100"/>
        <w:rPr>
          <w:rFonts w:hint="eastAsia" w:ascii="宋体" w:hAnsi="宋体" w:cs="宋体"/>
          <w:bCs/>
          <w:color w:val="000000" w:themeColor="text1"/>
          <w14:textFill>
            <w14:solidFill>
              <w14:schemeClr w14:val="tx1"/>
            </w14:solidFill>
          </w14:textFill>
        </w:rPr>
      </w:pPr>
      <w:r>
        <w:rPr>
          <w:rFonts w:hint="eastAsia" w:ascii="宋体" w:hAnsi="宋体" w:cs="宋体"/>
          <w:bCs/>
          <w:color w:val="000000" w:themeColor="text1"/>
          <w14:textFill>
            <w14:solidFill>
              <w14:schemeClr w14:val="tx1"/>
            </w14:solidFill>
          </w14:textFill>
        </w:rPr>
        <w:t>5、拟采购的产品属于《节能产品政府采购品目清单》范围内以“★”标注产品的，应当依据国家确定的认证机构出具的、处于有效期之内的节能产品认证证书，对获得证书的产品实施政府强制采购。拟采购的产品属于《节能产品政府采购品目清单》范围内非“★”标注的和《环境标志产品政府采购品目清单》范围内产品的，应当依据国家确定的认证机构出具的、处于有效期之内的节能产品、环境标志产品认证证书，对获得证书的产品实施政府优先采购。投标人须提供产品认证证书复印件并加盖投标人公章。截标后，采购代理机构在中国政府采购网（www.ccgp.gov.cn）认证结果信息发布平台对投标产品的证书信息进行查询，如查询结果为无效，将不享受相关政府采购政策。</w:t>
      </w:r>
    </w:p>
    <w:p>
      <w:pPr>
        <w:pStyle w:val="17"/>
        <w:ind w:firstLine="420" w:firstLineChars="200"/>
        <w:rPr>
          <w:rFonts w:hint="eastAsia" w:eastAsia="宋体"/>
          <w:color w:val="000000" w:themeColor="text1"/>
          <w:lang w:val="en-US" w:eastAsia="zh-CN"/>
          <w14:textFill>
            <w14:solidFill>
              <w14:schemeClr w14:val="tx1"/>
            </w14:solidFill>
          </w14:textFill>
        </w:rPr>
      </w:pPr>
      <w:r>
        <w:rPr>
          <w:rFonts w:hint="eastAsia" w:ascii="宋体" w:hAnsi="宋体" w:cs="宋体"/>
          <w:bCs/>
          <w:color w:val="000000" w:themeColor="text1"/>
          <w:lang w:val="en-US" w:eastAsia="zh-CN"/>
          <w14:textFill>
            <w14:solidFill>
              <w14:schemeClr w14:val="tx1"/>
            </w14:solidFill>
          </w14:textFill>
        </w:rPr>
        <w:t>6、</w:t>
      </w:r>
      <w:r>
        <w:rPr>
          <w:rFonts w:hint="eastAsia" w:ascii="宋体" w:hAnsi="宋体" w:cs="宋体"/>
          <w:bCs/>
          <w:color w:val="000000" w:themeColor="text1"/>
          <w14:textFill>
            <w14:solidFill>
              <w14:schemeClr w14:val="tx1"/>
            </w14:solidFill>
          </w14:textFill>
        </w:rPr>
        <w:t>本项目核</w:t>
      </w:r>
      <w:r>
        <w:rPr>
          <w:rFonts w:hint="eastAsia" w:ascii="宋体" w:hAnsi="宋体" w:cs="宋体"/>
          <w:bCs/>
          <w:color w:val="000000" w:themeColor="text1"/>
          <w:sz w:val="21"/>
          <w:szCs w:val="21"/>
          <w14:textFill>
            <w14:solidFill>
              <w14:schemeClr w14:val="tx1"/>
            </w14:solidFill>
          </w14:textFill>
        </w:rPr>
        <w:t>心产品为</w:t>
      </w:r>
      <w:r>
        <w:rPr>
          <w:rFonts w:hint="eastAsia" w:ascii="宋体" w:hAnsi="宋体" w:cs="宋体"/>
          <w:bCs/>
          <w:color w:val="000000" w:themeColor="text1"/>
          <w:sz w:val="21"/>
          <w:szCs w:val="21"/>
          <w:lang w:eastAsia="zh-CN"/>
          <w14:textFill>
            <w14:solidFill>
              <w14:schemeClr w14:val="tx1"/>
            </w14:solidFill>
          </w14:textFill>
        </w:rPr>
        <w:t>“</w:t>
      </w:r>
      <w:r>
        <w:rPr>
          <w:rFonts w:hint="eastAsia" w:ascii="宋体" w:hAnsi="宋体" w:cs="宋体"/>
          <w:color w:val="000000" w:themeColor="text1"/>
          <w:kern w:val="0"/>
          <w:sz w:val="21"/>
          <w:szCs w:val="21"/>
          <w:lang w:bidi="ar"/>
          <w14:textFill>
            <w14:solidFill>
              <w14:schemeClr w14:val="tx1"/>
            </w14:solidFill>
          </w14:textFill>
        </w:rPr>
        <w:t>86寸触控一体机</w:t>
      </w:r>
      <w:r>
        <w:rPr>
          <w:rFonts w:hint="eastAsia" w:ascii="宋体" w:hAnsi="宋体" w:cs="宋体"/>
          <w:color w:val="000000" w:themeColor="text1"/>
          <w:kern w:val="0"/>
          <w:sz w:val="21"/>
          <w:szCs w:val="21"/>
          <w:lang w:eastAsia="zh-CN" w:bidi="ar"/>
          <w14:textFill>
            <w14:solidFill>
              <w14:schemeClr w14:val="tx1"/>
            </w14:solidFill>
          </w14:textFill>
        </w:rPr>
        <w:t>”。</w:t>
      </w:r>
    </w:p>
    <w:p>
      <w:pPr>
        <w:pStyle w:val="17"/>
        <w:rPr>
          <w:color w:val="000000" w:themeColor="text1"/>
          <w14:textFill>
            <w14:solidFill>
              <w14:schemeClr w14:val="tx1"/>
            </w14:solidFill>
          </w14:textFill>
        </w:rPr>
      </w:pPr>
    </w:p>
    <w:p>
      <w:pPr>
        <w:pStyle w:val="17"/>
        <w:rPr>
          <w:color w:val="000000" w:themeColor="text1"/>
          <w14:textFill>
            <w14:solidFill>
              <w14:schemeClr w14:val="tx1"/>
            </w14:solidFill>
          </w14:textFill>
        </w:rPr>
      </w:pPr>
    </w:p>
    <w:p>
      <w:pPr>
        <w:spacing w:line="340" w:lineRule="exact"/>
        <w:ind w:right="97" w:rightChars="46" w:firstLine="413" w:firstLineChars="197"/>
        <w:rPr>
          <w:rFonts w:ascii="宋体" w:hAnsi="宋体" w:cs="宋体"/>
          <w:bCs/>
          <w:color w:val="000000" w:themeColor="text1"/>
          <w14:textFill>
            <w14:solidFill>
              <w14:schemeClr w14:val="tx1"/>
            </w14:solidFill>
          </w14:textFill>
        </w:rPr>
      </w:pPr>
      <w:r>
        <w:rPr>
          <w:rFonts w:hint="eastAsia" w:ascii="宋体" w:hAnsi="宋体" w:cs="宋体"/>
          <w:bCs/>
          <w:color w:val="000000" w:themeColor="text1"/>
          <w14:textFill>
            <w14:solidFill>
              <w14:schemeClr w14:val="tx1"/>
            </w14:solidFill>
          </w14:textFill>
        </w:rPr>
        <w:br w:type="page"/>
      </w:r>
    </w:p>
    <w:p>
      <w:pPr>
        <w:ind w:right="97" w:rightChars="46"/>
        <w:jc w:val="center"/>
        <w:rPr>
          <w:rFonts w:ascii="宋体" w:hAnsi="宋体" w:cs="宋体"/>
          <w:bCs/>
          <w:color w:val="000000" w:themeColor="text1"/>
          <w:sz w:val="44"/>
          <w14:textFill>
            <w14:solidFill>
              <w14:schemeClr w14:val="tx1"/>
            </w14:solidFill>
          </w14:textFill>
        </w:rPr>
      </w:pPr>
      <w:r>
        <w:rPr>
          <w:rFonts w:hint="eastAsia" w:ascii="宋体" w:hAnsi="宋体" w:cs="宋体"/>
          <w:bCs/>
          <w:color w:val="000000" w:themeColor="text1"/>
          <w:sz w:val="44"/>
          <w14:textFill>
            <w14:solidFill>
              <w14:schemeClr w14:val="tx1"/>
            </w14:solidFill>
          </w14:textFill>
        </w:rPr>
        <w:t>采购内容及要求</w:t>
      </w:r>
    </w:p>
    <w:p>
      <w:pPr>
        <w:numPr>
          <w:ilvl w:val="0"/>
          <w:numId w:val="4"/>
        </w:numPr>
        <w:spacing w:before="165" w:beforeLines="50" w:line="400" w:lineRule="exact"/>
        <w:rPr>
          <w:rFonts w:ascii="宋体" w:hAnsi="宋体" w:cs="宋体"/>
          <w:b/>
          <w:bCs/>
          <w:color w:val="000000" w:themeColor="text1"/>
          <w:sz w:val="30"/>
          <w:szCs w:val="30"/>
          <w14:textFill>
            <w14:solidFill>
              <w14:schemeClr w14:val="tx1"/>
            </w14:solidFill>
          </w14:textFill>
        </w:rPr>
      </w:pPr>
      <w:bookmarkStart w:id="28" w:name="OLE_LINK3"/>
      <w:bookmarkStart w:id="29" w:name="OLE_LINK2"/>
      <w:r>
        <w:rPr>
          <w:rFonts w:hint="eastAsia" w:ascii="宋体" w:hAnsi="宋体" w:cs="宋体"/>
          <w:b/>
          <w:bCs/>
          <w:color w:val="000000" w:themeColor="text1"/>
          <w:sz w:val="30"/>
          <w:szCs w:val="30"/>
          <w14:textFill>
            <w14:solidFill>
              <w14:schemeClr w14:val="tx1"/>
            </w14:solidFill>
          </w14:textFill>
        </w:rPr>
        <w:t>采购内容清单及技术要求</w:t>
      </w:r>
    </w:p>
    <w:tbl>
      <w:tblPr>
        <w:tblStyle w:val="40"/>
        <w:tblW w:w="0" w:type="auto"/>
        <w:tblInd w:w="1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7"/>
        <w:gridCol w:w="654"/>
        <w:gridCol w:w="6628"/>
        <w:gridCol w:w="709"/>
        <w:gridCol w:w="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477" w:type="dxa"/>
            <w:vAlign w:val="center"/>
          </w:tcPr>
          <w:p>
            <w:pPr>
              <w:widowControl/>
              <w:jc w:val="center"/>
              <w:rPr>
                <w:rFonts w:ascii="宋体" w:hAnsi="宋体" w:cs="宋体"/>
                <w:b/>
                <w:bCs/>
                <w:color w:val="000000" w:themeColor="text1"/>
                <w:kern w:val="0"/>
                <w:szCs w:val="21"/>
                <w:highlight w:val="none"/>
                <w14:textFill>
                  <w14:solidFill>
                    <w14:schemeClr w14:val="tx1"/>
                  </w14:solidFill>
                </w14:textFill>
              </w:rPr>
            </w:pPr>
            <w:r>
              <w:rPr>
                <w:rFonts w:hint="eastAsia" w:ascii="宋体" w:hAnsi="宋体" w:cs="宋体"/>
                <w:b/>
                <w:bCs/>
                <w:color w:val="000000" w:themeColor="text1"/>
                <w:kern w:val="0"/>
                <w:szCs w:val="21"/>
                <w:highlight w:val="none"/>
                <w14:textFill>
                  <w14:solidFill>
                    <w14:schemeClr w14:val="tx1"/>
                  </w14:solidFill>
                </w14:textFill>
              </w:rPr>
              <w:t>序号</w:t>
            </w:r>
          </w:p>
        </w:tc>
        <w:tc>
          <w:tcPr>
            <w:tcW w:w="654" w:type="dxa"/>
            <w:vAlign w:val="center"/>
          </w:tcPr>
          <w:p>
            <w:pPr>
              <w:widowControl/>
              <w:jc w:val="center"/>
              <w:rPr>
                <w:rFonts w:ascii="宋体" w:hAnsi="宋体" w:cs="宋体"/>
                <w:b/>
                <w:bCs/>
                <w:color w:val="000000" w:themeColor="text1"/>
                <w:kern w:val="0"/>
                <w:szCs w:val="21"/>
                <w:highlight w:val="none"/>
                <w14:textFill>
                  <w14:solidFill>
                    <w14:schemeClr w14:val="tx1"/>
                  </w14:solidFill>
                </w14:textFill>
              </w:rPr>
            </w:pPr>
            <w:r>
              <w:rPr>
                <w:rFonts w:hint="eastAsia" w:ascii="宋体" w:hAnsi="宋体" w:cs="宋体"/>
                <w:b/>
                <w:bCs/>
                <w:color w:val="000000" w:themeColor="text1"/>
                <w:kern w:val="0"/>
                <w:szCs w:val="21"/>
                <w:highlight w:val="none"/>
                <w14:textFill>
                  <w14:solidFill>
                    <w14:schemeClr w14:val="tx1"/>
                  </w14:solidFill>
                </w14:textFill>
              </w:rPr>
              <w:t>设备名称</w:t>
            </w:r>
          </w:p>
        </w:tc>
        <w:tc>
          <w:tcPr>
            <w:tcW w:w="6628" w:type="dxa"/>
            <w:vAlign w:val="center"/>
          </w:tcPr>
          <w:p>
            <w:pPr>
              <w:widowControl/>
              <w:jc w:val="center"/>
              <w:rPr>
                <w:rFonts w:ascii="宋体" w:hAnsi="宋体" w:cs="宋体"/>
                <w:b/>
                <w:bCs/>
                <w:color w:val="000000" w:themeColor="text1"/>
                <w:kern w:val="0"/>
                <w:szCs w:val="21"/>
                <w:highlight w:val="none"/>
                <w14:textFill>
                  <w14:solidFill>
                    <w14:schemeClr w14:val="tx1"/>
                  </w14:solidFill>
                </w14:textFill>
              </w:rPr>
            </w:pPr>
            <w:r>
              <w:rPr>
                <w:rFonts w:hint="eastAsia" w:ascii="宋体" w:hAnsi="宋体" w:cs="宋体"/>
                <w:b/>
                <w:bCs/>
                <w:color w:val="000000" w:themeColor="text1"/>
                <w:kern w:val="0"/>
                <w:szCs w:val="21"/>
                <w:highlight w:val="none"/>
                <w14:textFill>
                  <w14:solidFill>
                    <w14:schemeClr w14:val="tx1"/>
                  </w14:solidFill>
                </w14:textFill>
              </w:rPr>
              <w:t>规格参数</w:t>
            </w:r>
          </w:p>
        </w:tc>
        <w:tc>
          <w:tcPr>
            <w:tcW w:w="709" w:type="dxa"/>
            <w:vAlign w:val="center"/>
          </w:tcPr>
          <w:p>
            <w:pPr>
              <w:widowControl/>
              <w:jc w:val="center"/>
              <w:rPr>
                <w:rFonts w:ascii="宋体" w:hAnsi="宋体" w:cs="宋体"/>
                <w:b/>
                <w:bCs/>
                <w:color w:val="000000" w:themeColor="text1"/>
                <w:kern w:val="0"/>
                <w:szCs w:val="21"/>
                <w:highlight w:val="none"/>
                <w14:textFill>
                  <w14:solidFill>
                    <w14:schemeClr w14:val="tx1"/>
                  </w14:solidFill>
                </w14:textFill>
              </w:rPr>
            </w:pPr>
            <w:r>
              <w:rPr>
                <w:rFonts w:hint="eastAsia" w:ascii="宋体" w:hAnsi="宋体" w:cs="宋体"/>
                <w:b/>
                <w:bCs/>
                <w:color w:val="000000" w:themeColor="text1"/>
                <w:kern w:val="0"/>
                <w:szCs w:val="21"/>
                <w:highlight w:val="none"/>
                <w14:textFill>
                  <w14:solidFill>
                    <w14:schemeClr w14:val="tx1"/>
                  </w14:solidFill>
                </w14:textFill>
              </w:rPr>
              <w:t>数量</w:t>
            </w:r>
          </w:p>
        </w:tc>
        <w:tc>
          <w:tcPr>
            <w:tcW w:w="859" w:type="dxa"/>
            <w:vAlign w:val="center"/>
          </w:tcPr>
          <w:p>
            <w:pPr>
              <w:widowControl/>
              <w:jc w:val="center"/>
              <w:rPr>
                <w:rFonts w:ascii="宋体" w:hAnsi="宋体" w:cs="宋体"/>
                <w:b/>
                <w:bCs/>
                <w:color w:val="000000" w:themeColor="text1"/>
                <w:kern w:val="0"/>
                <w:szCs w:val="21"/>
                <w:highlight w:val="none"/>
                <w14:textFill>
                  <w14:solidFill>
                    <w14:schemeClr w14:val="tx1"/>
                  </w14:solidFill>
                </w14:textFill>
              </w:rPr>
            </w:pPr>
            <w:r>
              <w:rPr>
                <w:rFonts w:hint="eastAsia" w:ascii="宋体" w:hAnsi="宋体" w:cs="宋体"/>
                <w:b/>
                <w:bCs/>
                <w:color w:val="000000" w:themeColor="text1"/>
                <w:kern w:val="0"/>
                <w:szCs w:val="21"/>
                <w:highlight w:val="none"/>
                <w14:textFill>
                  <w14:solidFill>
                    <w14:schemeClr w14:val="tx1"/>
                  </w14:solidFill>
                </w14:textFill>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477" w:type="dxa"/>
            <w:shd w:val="clear" w:color="000000" w:fill="FFFFFF"/>
            <w:vAlign w:val="center"/>
          </w:tcPr>
          <w:p>
            <w:pPr>
              <w:widowControl/>
              <w:jc w:val="center"/>
              <w:textAlignment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1</w:t>
            </w:r>
          </w:p>
        </w:tc>
        <w:tc>
          <w:tcPr>
            <w:tcW w:w="654" w:type="dxa"/>
            <w:shd w:val="clear" w:color="000000" w:fill="FFFFFF"/>
            <w:vAlign w:val="center"/>
          </w:tcPr>
          <w:p>
            <w:pPr>
              <w:widowControl/>
              <w:jc w:val="center"/>
              <w:textAlignment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86寸触控一体机</w:t>
            </w:r>
          </w:p>
        </w:tc>
        <w:tc>
          <w:tcPr>
            <w:tcW w:w="6628" w:type="dxa"/>
            <w:shd w:val="clear" w:color="000000" w:fill="FFFFFF"/>
            <w:vAlign w:val="center"/>
          </w:tcPr>
          <w:p>
            <w:pPr>
              <w:widowControl/>
              <w:jc w:val="left"/>
              <w:textAlignment w:val="center"/>
              <w:rPr>
                <w:rFonts w:ascii="宋体" w:hAnsi="宋体" w:cs="宋体"/>
                <w:color w:val="000000" w:themeColor="text1"/>
                <w:kern w:val="0"/>
                <w:sz w:val="20"/>
                <w:szCs w:val="20"/>
                <w:highlight w:val="none"/>
                <w:lang w:bidi="ar"/>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一、显示性能要求：</w:t>
            </w:r>
            <w:r>
              <w:rPr>
                <w:rFonts w:hint="eastAsia" w:ascii="宋体" w:hAnsi="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cs="宋体"/>
                <w:color w:val="000000" w:themeColor="text1"/>
                <w:kern w:val="0"/>
                <w:sz w:val="20"/>
                <w:szCs w:val="20"/>
                <w:highlight w:val="none"/>
                <w:lang w:bidi="ar"/>
                <w14:textFill>
                  <w14:solidFill>
                    <w14:schemeClr w14:val="tx1"/>
                  </w14:solidFill>
                </w14:textFill>
              </w:rPr>
              <w:t>★1、屏幕尺寸：≥86英寸，具备防眩光效果，显示技术：LED液晶屏(显示比例16:9)；对比度≥5000：1，可视角度≥178°；图像物理高清分辨率1920×1080。液晶屏类型：节能型LED A规液晶屏，中标供应商在正式供货时需提供A规屏证明材料并加盖交互智能平板厂家公章，否则不予验收。</w:t>
            </w:r>
            <w:r>
              <w:rPr>
                <w:rFonts w:hint="eastAsia" w:ascii="宋体" w:hAnsi="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cs="宋体"/>
                <w:color w:val="000000" w:themeColor="text1"/>
                <w:kern w:val="0"/>
                <w:sz w:val="20"/>
                <w:szCs w:val="20"/>
                <w:highlight w:val="none"/>
                <w:lang w:bidi="ar"/>
                <w14:textFill>
                  <w14:solidFill>
                    <w14:schemeClr w14:val="tx1"/>
                  </w14:solidFill>
                </w14:textFill>
              </w:rPr>
              <w:t>2、书写屏采用全钢化防眩光玻璃，防划防撞能承受重物撞击。</w:t>
            </w:r>
            <w:r>
              <w:rPr>
                <w:rFonts w:hint="eastAsia" w:ascii="宋体" w:hAnsi="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cs="宋体"/>
                <w:color w:val="000000" w:themeColor="text1"/>
                <w:kern w:val="0"/>
                <w:sz w:val="20"/>
                <w:szCs w:val="20"/>
                <w:highlight w:val="none"/>
                <w:lang w:bidi="ar"/>
                <w14:textFill>
                  <w14:solidFill>
                    <w14:schemeClr w14:val="tx1"/>
                  </w14:solidFill>
                </w14:textFill>
              </w:rPr>
              <w:t>3、整机前置面板电视开关、电脑开关和节能待机按键三合一，操作便捷，提升老师上课操作效率。</w:t>
            </w:r>
            <w:r>
              <w:rPr>
                <w:rFonts w:hint="eastAsia" w:ascii="宋体" w:hAnsi="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cs="宋体"/>
                <w:color w:val="000000" w:themeColor="text1"/>
                <w:kern w:val="0"/>
                <w:sz w:val="20"/>
                <w:szCs w:val="20"/>
                <w:highlight w:val="none"/>
                <w:lang w:bidi="ar"/>
                <w14:textFill>
                  <w14:solidFill>
                    <w14:schemeClr w14:val="tx1"/>
                  </w14:solidFill>
                </w14:textFill>
              </w:rPr>
              <w:t>★4、整机面板具备至少3路前置USB3.0接口,且前置USB接口全部支持Windows及Android双系统读取，将U盘插入任意前置USB接口，均能被Windows及Android系统识别，防止老师误操作，投标文件中需提供国家认可的第三方质量监督检验机构出具的关于“双系统共用USB接口”功能的检验报告复印件。</w:t>
            </w:r>
            <w:r>
              <w:rPr>
                <w:rFonts w:hint="eastAsia" w:ascii="宋体" w:hAnsi="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cs="宋体"/>
                <w:color w:val="000000" w:themeColor="text1"/>
                <w:kern w:val="0"/>
                <w:sz w:val="20"/>
                <w:szCs w:val="20"/>
                <w:highlight w:val="none"/>
                <w:lang w:bidi="ar"/>
                <w14:textFill>
                  <w14:solidFill>
                    <w14:schemeClr w14:val="tx1"/>
                  </w14:solidFill>
                </w14:textFill>
              </w:rPr>
              <w:t>5、触摸中控菜单上的通道信号源名称支持自定义，方便老师自行自定义和快速识别，投标文件中需提供国家认可的第三方质量监督检验机构出具的关于“通道信号源名称支持自定义”功能的检验报告复印件。</w:t>
            </w:r>
            <w:r>
              <w:rPr>
                <w:rFonts w:hint="eastAsia" w:ascii="宋体" w:hAnsi="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cs="宋体"/>
                <w:color w:val="000000" w:themeColor="text1"/>
                <w:kern w:val="0"/>
                <w:sz w:val="20"/>
                <w:szCs w:val="20"/>
                <w:highlight w:val="none"/>
                <w:lang w:bidi="ar"/>
                <w14:textFill>
                  <w14:solidFill>
                    <w14:schemeClr w14:val="tx1"/>
                  </w14:solidFill>
                </w14:textFill>
              </w:rPr>
              <w:t>★6、整机前置面板一键调整PPT画面比例：可通过机身前置面板实体按键对PPT课件实现一键切换画面显示比例，方便教师灵活授课。</w:t>
            </w:r>
            <w:r>
              <w:rPr>
                <w:rFonts w:hint="eastAsia" w:ascii="宋体" w:hAnsi="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cs="宋体"/>
                <w:color w:val="000000" w:themeColor="text1"/>
                <w:kern w:val="0"/>
                <w:sz w:val="20"/>
                <w:szCs w:val="20"/>
                <w:highlight w:val="none"/>
                <w:lang w:bidi="ar"/>
                <w14:textFill>
                  <w14:solidFill>
                    <w14:schemeClr w14:val="tx1"/>
                  </w14:solidFill>
                </w14:textFill>
              </w:rPr>
              <w:t>7、端口要求：</w:t>
            </w:r>
            <w:r>
              <w:rPr>
                <w:rFonts w:hint="eastAsia" w:ascii="宋体" w:hAnsi="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cs="宋体"/>
                <w:color w:val="000000" w:themeColor="text1"/>
                <w:kern w:val="0"/>
                <w:sz w:val="20"/>
                <w:szCs w:val="20"/>
                <w:highlight w:val="none"/>
                <w:lang w:bidi="ar"/>
                <w14:textFill>
                  <w14:solidFill>
                    <w14:schemeClr w14:val="tx1"/>
                  </w14:solidFill>
                </w14:textFill>
              </w:rPr>
              <w:t>1）输入端子:≥1路VGA；≥1路Audio；≥1路AV；≥1路YPbPr；≥1路HDMI。</w:t>
            </w:r>
            <w:r>
              <w:rPr>
                <w:rFonts w:hint="eastAsia" w:ascii="宋体" w:hAnsi="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cs="宋体"/>
                <w:color w:val="000000" w:themeColor="text1"/>
                <w:kern w:val="0"/>
                <w:sz w:val="20"/>
                <w:szCs w:val="20"/>
                <w:highlight w:val="none"/>
                <w:lang w:bidi="ar"/>
                <w14:textFill>
                  <w14:solidFill>
                    <w14:schemeClr w14:val="tx1"/>
                  </w14:solidFill>
                </w14:textFill>
              </w:rPr>
              <w:t>2）输出：≥1路耳机，≥1路同轴。</w:t>
            </w:r>
            <w:r>
              <w:rPr>
                <w:rFonts w:hint="eastAsia" w:ascii="宋体" w:hAnsi="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cs="宋体"/>
                <w:color w:val="000000" w:themeColor="text1"/>
                <w:kern w:val="0"/>
                <w:sz w:val="20"/>
                <w:szCs w:val="20"/>
                <w:highlight w:val="none"/>
                <w:lang w:bidi="ar"/>
                <w14:textFill>
                  <w14:solidFill>
                    <w14:schemeClr w14:val="tx1"/>
                  </w14:solidFill>
                </w14:textFill>
              </w:rPr>
              <w:t>8、整机无需外接无线网卡，在内置嵌入式系统下接入无线网络，切换到windows系统下可同时实现无线上网功能，不需手动重复设置，投标文件中需提供国家认可的第三方质量监督检验机构出具的关于“无线上网”功能的检验报告复印件。</w:t>
            </w:r>
            <w:r>
              <w:rPr>
                <w:rFonts w:hint="eastAsia" w:ascii="宋体" w:hAnsi="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cs="宋体"/>
                <w:color w:val="000000" w:themeColor="text1"/>
                <w:kern w:val="0"/>
                <w:sz w:val="20"/>
                <w:szCs w:val="20"/>
                <w:highlight w:val="none"/>
                <w:lang w:bidi="ar"/>
                <w14:textFill>
                  <w14:solidFill>
                    <w14:schemeClr w14:val="tx1"/>
                  </w14:solidFill>
                </w14:textFill>
              </w:rPr>
              <w:t>★9、为防止课间学生操作，设备可设置锁定屏幕触摸、实体按键，除可通过遥控器及软件菜单实现该功能，老师还可通过整机前置面板的实体按键，以组合按键（至少涉及3个按键）的形式锁定/解锁，方便老师使用。</w:t>
            </w:r>
            <w:r>
              <w:rPr>
                <w:rFonts w:hint="eastAsia" w:ascii="宋体" w:hAnsi="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cs="宋体"/>
                <w:color w:val="000000" w:themeColor="text1"/>
                <w:kern w:val="0"/>
                <w:sz w:val="20"/>
                <w:szCs w:val="20"/>
                <w:highlight w:val="none"/>
                <w:lang w:bidi="ar"/>
                <w14:textFill>
                  <w14:solidFill>
                    <w14:schemeClr w14:val="tx1"/>
                  </w14:solidFill>
                </w14:textFill>
              </w:rPr>
              <w:t>10、音乐课工具：整机处于任意通道下，在屏幕侧边可调出节拍器功能，可自由调整节拍类型，适应更多课堂场景。</w:t>
            </w:r>
            <w:r>
              <w:rPr>
                <w:rFonts w:hint="eastAsia" w:ascii="宋体" w:hAnsi="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cs="宋体"/>
                <w:color w:val="000000" w:themeColor="text1"/>
                <w:kern w:val="0"/>
                <w:sz w:val="20"/>
                <w:szCs w:val="20"/>
                <w:highlight w:val="none"/>
                <w:lang w:bidi="ar"/>
                <w14:textFill>
                  <w14:solidFill>
                    <w14:schemeClr w14:val="tx1"/>
                  </w14:solidFill>
                </w14:textFill>
              </w:rPr>
              <w:t>★11、快速通道跳转：整机处于非内置PC通道下，在屏幕侧边可调出PC通道按钮，支持用户一键回到PC通道；同时支持用户自定义设置常用快捷通道，可从侧边栏一键进入该通道，提升老师教学效率。投标文件中需提供国家认可的第三方质量监督检验机构出具的关于“快速通道跳转”功能的检验报告复印件。</w:t>
            </w:r>
            <w:r>
              <w:rPr>
                <w:rFonts w:hint="eastAsia" w:ascii="宋体" w:hAnsi="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cs="宋体"/>
                <w:color w:val="000000" w:themeColor="text1"/>
                <w:kern w:val="0"/>
                <w:sz w:val="20"/>
                <w:szCs w:val="20"/>
                <w:highlight w:val="none"/>
                <w:lang w:bidi="ar"/>
                <w14:textFill>
                  <w14:solidFill>
                    <w14:schemeClr w14:val="tx1"/>
                  </w14:solidFill>
                </w14:textFill>
              </w:rPr>
              <w:t>12、屏幕显示灰度分辨等级达到128灰阶及以上，保证画面显示效果细腻，投标文件中需提供国家认可的第三方质量监督检验机构出具的关于“灰阶分辨等级”相关功能的检验报告复印件。</w:t>
            </w:r>
            <w:r>
              <w:rPr>
                <w:rFonts w:hint="eastAsia" w:ascii="宋体" w:hAnsi="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cs="宋体"/>
                <w:color w:val="000000" w:themeColor="text1"/>
                <w:kern w:val="0"/>
                <w:sz w:val="20"/>
                <w:szCs w:val="20"/>
                <w:highlight w:val="none"/>
                <w:lang w:bidi="ar"/>
                <w14:textFill>
                  <w14:solidFill>
                    <w14:schemeClr w14:val="tx1"/>
                  </w14:solidFill>
                </w14:textFill>
              </w:rPr>
              <w:t>★13、内置非独立外扩展的拾音麦克风（不接受外接麦克风），方便录制老师人声，投标文件中需提供国家认可的第三方质量监督检验机构出具的关于“内置非独立拾音麦克风”相关功能的检验报告复印件。</w:t>
            </w:r>
            <w:r>
              <w:rPr>
                <w:rFonts w:hint="eastAsia" w:ascii="宋体" w:hAnsi="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cs="宋体"/>
                <w:color w:val="000000" w:themeColor="text1"/>
                <w:kern w:val="0"/>
                <w:sz w:val="20"/>
                <w:szCs w:val="20"/>
                <w:highlight w:val="none"/>
                <w:lang w:bidi="ar"/>
                <w14:textFill>
                  <w14:solidFill>
                    <w14:schemeClr w14:val="tx1"/>
                  </w14:solidFill>
                </w14:textFill>
              </w:rPr>
              <w:t>14、智能亮度调节：整机能感应并自动调节屏幕亮度来达到在不同光照环境下的最佳显示效果，此功能可自行开启或关闭。</w:t>
            </w:r>
            <w:r>
              <w:rPr>
                <w:rFonts w:hint="eastAsia" w:ascii="宋体" w:hAnsi="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cs="宋体"/>
                <w:color w:val="000000" w:themeColor="text1"/>
                <w:kern w:val="0"/>
                <w:sz w:val="20"/>
                <w:szCs w:val="20"/>
                <w:highlight w:val="none"/>
                <w:lang w:bidi="ar"/>
                <w14:textFill>
                  <w14:solidFill>
                    <w14:schemeClr w14:val="tx1"/>
                  </w14:solidFill>
                </w14:textFill>
              </w:rPr>
              <w:t>15、黑板关闭自动节能：当整机安装到推拉黑板中时，关闭推拉黑板，整机将在短时间内自动进入黑屏节能模式。</w:t>
            </w:r>
            <w:r>
              <w:rPr>
                <w:rFonts w:hint="eastAsia" w:ascii="宋体" w:hAnsi="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cs="宋体"/>
                <w:color w:val="000000" w:themeColor="text1"/>
                <w:kern w:val="0"/>
                <w:sz w:val="20"/>
                <w:szCs w:val="20"/>
                <w:highlight w:val="none"/>
                <w:lang w:bidi="ar"/>
                <w14:textFill>
                  <w14:solidFill>
                    <w14:schemeClr w14:val="tx1"/>
                  </w14:solidFill>
                </w14:textFill>
              </w:rPr>
              <w:t>16、整机处于任意通道下，在屏幕表面任意位置都可通过手势快速调出触摸便捷菜单，实现十笔即时批注、手势擦除、截图、快捷白板、任意通道放大等功能，方便配合视频展台等外接设备进行辅助教学。</w:t>
            </w:r>
            <w:r>
              <w:rPr>
                <w:rFonts w:hint="eastAsia" w:ascii="宋体" w:hAnsi="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cs="宋体"/>
                <w:color w:val="000000" w:themeColor="text1"/>
                <w:kern w:val="0"/>
                <w:sz w:val="20"/>
                <w:szCs w:val="20"/>
                <w:highlight w:val="none"/>
                <w:lang w:bidi="ar"/>
                <w14:textFill>
                  <w14:solidFill>
                    <w14:schemeClr w14:val="tx1"/>
                  </w14:solidFill>
                </w14:textFill>
              </w:rPr>
              <w:t>★17、支持智能U盘锁功能，整机可设置触摸及按键自动锁定，保证无关人士无法自由操作，需要使用时只需插入USB key即可解锁，投标文件中需提供国家认可的第三方质量监督检验机构出具的关于“智能U盘锁”相关功能的检验报告复印件。</w:t>
            </w:r>
            <w:r>
              <w:rPr>
                <w:rFonts w:hint="eastAsia" w:ascii="宋体" w:hAnsi="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cs="宋体"/>
                <w:color w:val="000000" w:themeColor="text1"/>
                <w:kern w:val="0"/>
                <w:sz w:val="20"/>
                <w:szCs w:val="20"/>
                <w:highlight w:val="none"/>
                <w:lang w:bidi="ar"/>
                <w14:textFill>
                  <w14:solidFill>
                    <w14:schemeClr w14:val="tx1"/>
                  </w14:solidFill>
                </w14:textFill>
              </w:rPr>
              <w:t>★18、支持用户在嵌入式系统下自定义侧边菜单，适应不同老师的使用习惯：</w:t>
            </w:r>
            <w:r>
              <w:rPr>
                <w:rFonts w:hint="eastAsia" w:ascii="宋体" w:hAnsi="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cs="宋体"/>
                <w:color w:val="000000" w:themeColor="text1"/>
                <w:kern w:val="0"/>
                <w:sz w:val="20"/>
                <w:szCs w:val="20"/>
                <w:highlight w:val="none"/>
                <w:lang w:bidi="ar"/>
                <w14:textFill>
                  <w14:solidFill>
                    <w14:schemeClr w14:val="tx1"/>
                  </w14:solidFill>
                </w14:textFill>
              </w:rPr>
              <w:t>（1） 侧边菜单栏：支持自定义侧边菜单的显示位置与有效通道；用户可根据不同教学场景，设置侧边菜单中显示的功能应用及其有效通道，在Android、PC或其他通道下快捷调取快捷白板、批注、截图、冻屏等功能，并支持根据用户习惯任意调整显示顺序。</w:t>
            </w:r>
            <w:r>
              <w:rPr>
                <w:rFonts w:hint="eastAsia" w:ascii="宋体" w:hAnsi="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cs="宋体"/>
                <w:color w:val="000000" w:themeColor="text1"/>
                <w:kern w:val="0"/>
                <w:sz w:val="20"/>
                <w:szCs w:val="20"/>
                <w:highlight w:val="none"/>
                <w:lang w:bidi="ar"/>
                <w14:textFill>
                  <w14:solidFill>
                    <w14:schemeClr w14:val="tx1"/>
                  </w14:solidFill>
                </w14:textFill>
              </w:rPr>
              <w:t>（2） 快速切换Android/PC通道：用户可自定义在任意通道下通过侧边菜单中的主页键功能，快速进入Android或PC通道的系统桌面。</w:t>
            </w:r>
            <w:r>
              <w:rPr>
                <w:rFonts w:hint="eastAsia" w:ascii="宋体" w:hAnsi="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cs="宋体"/>
                <w:color w:val="000000" w:themeColor="text1"/>
                <w:kern w:val="0"/>
                <w:sz w:val="20"/>
                <w:szCs w:val="20"/>
                <w:highlight w:val="none"/>
                <w:lang w:bidi="ar"/>
                <w14:textFill>
                  <w14:solidFill>
                    <w14:schemeClr w14:val="tx1"/>
                  </w14:solidFill>
                </w14:textFill>
              </w:rPr>
              <w:t>（3） 快捷小工具：支持自定义侧边菜单中的小工具功能，用户在任意通道下可调取板中板、聚光灯、倒计日等小工具，并支持根据用户习惯任意调整显示顺序。</w:t>
            </w:r>
            <w:r>
              <w:rPr>
                <w:rFonts w:hint="eastAsia" w:ascii="宋体" w:hAnsi="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cs="宋体"/>
                <w:color w:val="000000" w:themeColor="text1"/>
                <w:kern w:val="0"/>
                <w:sz w:val="20"/>
                <w:szCs w:val="20"/>
                <w:highlight w:val="none"/>
                <w:lang w:bidi="ar"/>
                <w14:textFill>
                  <w14:solidFill>
                    <w14:schemeClr w14:val="tx1"/>
                  </w14:solidFill>
                </w14:textFill>
              </w:rPr>
              <w:t>★19、整机具备童锁功能，该功能一旦开启能够有效保护机器设备不被恶意操作，投标文件中需提供国家认可的第三方质量监督检验机构出具的关于“童锁”相关功能的检验报告复印件。</w:t>
            </w:r>
            <w:r>
              <w:rPr>
                <w:rFonts w:hint="eastAsia" w:ascii="宋体" w:hAnsi="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cs="宋体"/>
                <w:color w:val="000000" w:themeColor="text1"/>
                <w:kern w:val="0"/>
                <w:sz w:val="20"/>
                <w:szCs w:val="20"/>
                <w:highlight w:val="none"/>
                <w:lang w:bidi="ar"/>
                <w14:textFill>
                  <w14:solidFill>
                    <w14:schemeClr w14:val="tx1"/>
                  </w14:solidFill>
                </w14:textFill>
              </w:rPr>
              <w:t>★20、为提升教学效率，要求通信方式为USB，投标文件中需提供国家认可的第三方质量监督检验机构出具的关于“通信方式”相关的检验报告复印件。</w:t>
            </w:r>
            <w:r>
              <w:rPr>
                <w:rFonts w:hint="eastAsia" w:ascii="宋体" w:hAnsi="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cs="宋体"/>
                <w:color w:val="000000" w:themeColor="text1"/>
                <w:kern w:val="0"/>
                <w:sz w:val="20"/>
                <w:szCs w:val="20"/>
                <w:highlight w:val="none"/>
                <w:lang w:bidi="ar"/>
                <w14:textFill>
                  <w14:solidFill>
                    <w14:schemeClr w14:val="tx1"/>
                  </w14:solidFill>
                </w14:textFill>
              </w:rPr>
              <w:t>二、整体设计要求</w:t>
            </w:r>
            <w:r>
              <w:rPr>
                <w:rFonts w:hint="eastAsia" w:ascii="宋体" w:hAnsi="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cs="宋体"/>
                <w:color w:val="000000" w:themeColor="text1"/>
                <w:kern w:val="0"/>
                <w:sz w:val="20"/>
                <w:szCs w:val="20"/>
                <w:highlight w:val="none"/>
                <w:lang w:bidi="ar"/>
                <w14:textFill>
                  <w14:solidFill>
                    <w14:schemeClr w14:val="tx1"/>
                  </w14:solidFill>
                </w14:textFill>
              </w:rPr>
              <w:t>1、内置一体化设计，外部无任何可见内部功能模块的连接线。</w:t>
            </w:r>
            <w:r>
              <w:rPr>
                <w:rFonts w:hint="eastAsia" w:ascii="宋体" w:hAnsi="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cs="宋体"/>
                <w:color w:val="000000" w:themeColor="text1"/>
                <w:kern w:val="0"/>
                <w:sz w:val="20"/>
                <w:szCs w:val="20"/>
                <w:highlight w:val="none"/>
                <w:lang w:bidi="ar"/>
                <w14:textFill>
                  <w14:solidFill>
                    <w14:schemeClr w14:val="tx1"/>
                  </w14:solidFill>
                </w14:textFill>
              </w:rPr>
              <w:t>2、采用铝合金面框（散热性能好，坚固耐用，有效保护触摸单元），弧形转角采用无尖锐边缘连接。</w:t>
            </w:r>
            <w:r>
              <w:rPr>
                <w:rFonts w:hint="eastAsia" w:ascii="宋体" w:hAnsi="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cs="宋体"/>
                <w:color w:val="000000" w:themeColor="text1"/>
                <w:kern w:val="0"/>
                <w:sz w:val="20"/>
                <w:szCs w:val="20"/>
                <w:highlight w:val="none"/>
                <w:lang w:bidi="ar"/>
                <w14:textFill>
                  <w14:solidFill>
                    <w14:schemeClr w14:val="tx1"/>
                  </w14:solidFill>
                </w14:textFill>
              </w:rPr>
              <w:t>★3、无需借助PC，整机可一键进行硬件自检，包括对触摸框、PC模块、光感系统等模块进行检测，并针对不同模块给出问题原因提示，投标文件中需提供国家认可的第三方质量监督检验机构出具关于“硬件自检”功能的检验报告复印件。</w:t>
            </w:r>
            <w:r>
              <w:rPr>
                <w:rFonts w:hint="eastAsia" w:ascii="宋体" w:hAnsi="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cs="宋体"/>
                <w:color w:val="000000" w:themeColor="text1"/>
                <w:kern w:val="0"/>
                <w:sz w:val="20"/>
                <w:szCs w:val="20"/>
                <w:highlight w:val="none"/>
                <w:lang w:bidi="ar"/>
                <w14:textFill>
                  <w14:solidFill>
                    <w14:schemeClr w14:val="tx1"/>
                  </w14:solidFill>
                </w14:textFill>
              </w:rPr>
              <w:t>★4、设备支持DBX音效，支持用户在菜单中开启/关闭DBX-TV中总恒音、总绚音的功能，投标文件中需提供国家认可的第三方质量监督检验机构出具关于“DBX音效”功能的检验报告复印件。</w:t>
            </w:r>
            <w:r>
              <w:rPr>
                <w:rFonts w:hint="eastAsia" w:ascii="宋体" w:hAnsi="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cs="宋体"/>
                <w:color w:val="000000" w:themeColor="text1"/>
                <w:kern w:val="0"/>
                <w:sz w:val="20"/>
                <w:szCs w:val="20"/>
                <w:highlight w:val="none"/>
                <w:lang w:bidi="ar"/>
                <w14:textFill>
                  <w14:solidFill>
                    <w14:schemeClr w14:val="tx1"/>
                  </w14:solidFill>
                </w14:textFill>
              </w:rPr>
              <w:t>5、内置触摸中控菜单，将信号源通道切换、亮度对比度调节、声音图像调节等整合到同一菜单下，无须实体按键，在任意显示通道下均可通过手势在屏幕上调取该触摸菜单，方便快捷。整机屏幕采用钢化玻璃，使用1.04kg钢球，在2m处自由落体撞击整机液晶显示屏幕的钢化玻璃，产品无损伤破裂，功能无异常。</w:t>
            </w:r>
            <w:r>
              <w:rPr>
                <w:rFonts w:hint="eastAsia" w:ascii="宋体" w:hAnsi="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cs="宋体"/>
                <w:color w:val="000000" w:themeColor="text1"/>
                <w:kern w:val="0"/>
                <w:sz w:val="20"/>
                <w:szCs w:val="20"/>
                <w:highlight w:val="none"/>
                <w:lang w:bidi="ar"/>
                <w14:textFill>
                  <w14:solidFill>
                    <w14:schemeClr w14:val="tx1"/>
                  </w14:solidFill>
                </w14:textFill>
              </w:rPr>
              <w:t>6、当整机外接电脑设备并连接触摸线使用时，外接电脑可直接读取插在整机上的U盘，并识别连接至整机的翻页笔、无线键鼠等USB连接设备。</w:t>
            </w:r>
            <w:r>
              <w:rPr>
                <w:rFonts w:hint="eastAsia" w:ascii="宋体" w:hAnsi="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cs="宋体"/>
                <w:color w:val="000000" w:themeColor="text1"/>
                <w:kern w:val="0"/>
                <w:sz w:val="20"/>
                <w:szCs w:val="20"/>
                <w:highlight w:val="none"/>
                <w:lang w:bidi="ar"/>
                <w14:textFill>
                  <w14:solidFill>
                    <w14:schemeClr w14:val="tx1"/>
                  </w14:solidFill>
                </w14:textFill>
              </w:rPr>
              <w:t>7、当外接电脑设备时，如整机处于关机上电状态，则接上外接电脑后自动开机。如整机处于正常使用状态，则设备能自动识别并切换到对应的VGA/HDMI信号源通道，且断开后能回到上一通道。自动跳转前支持选择确认，待确认后再跳转。设备具备智能温控功能，能够实时监测设备温度变化，并可根据不同温度变化显示不同颜色进行提示。</w:t>
            </w:r>
            <w:r>
              <w:rPr>
                <w:rFonts w:hint="eastAsia" w:ascii="宋体" w:hAnsi="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cs="宋体"/>
                <w:color w:val="000000" w:themeColor="text1"/>
                <w:kern w:val="0"/>
                <w:sz w:val="20"/>
                <w:szCs w:val="20"/>
                <w:highlight w:val="none"/>
                <w:lang w:bidi="ar"/>
                <w14:textFill>
                  <w14:solidFill>
                    <w14:schemeClr w14:val="tx1"/>
                  </w14:solidFill>
                </w14:textFill>
              </w:rPr>
              <w:t>8、配备无线智能遥控：人性化设计具备电视遥控功能和电脑键盘常用的F1—F12功能键及Alt+F4、Alt+Tab、Space、Enter、windows等快捷按键，可实现一键开启交互白板软件、一键锁定/解锁触摸及整机实体按键、一键冻结屏幕等功能。投标文件中需提供国家认可的第三方质量监督检验机构出具的关于“无线智能遥控”功能的检验报告复印件。</w:t>
            </w:r>
            <w:r>
              <w:rPr>
                <w:rFonts w:hint="eastAsia" w:ascii="宋体" w:hAnsi="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cs="宋体"/>
                <w:color w:val="000000" w:themeColor="text1"/>
                <w:kern w:val="0"/>
                <w:sz w:val="20"/>
                <w:szCs w:val="20"/>
                <w:highlight w:val="none"/>
                <w:lang w:bidi="ar"/>
                <w14:textFill>
                  <w14:solidFill>
                    <w14:schemeClr w14:val="tx1"/>
                  </w14:solidFill>
                </w14:textFill>
              </w:rPr>
              <w:t>★9、设备支持通过前置按键一键启动录屏功能，可将屏幕中显示的课件、音频等内容与老师人声同步录制，方便制作教学视频，投标文件中需提供国家认可的第三方质量监督检验机构出具的关于“按键一键启动录屏”功能的检验报告复印件。</w:t>
            </w:r>
            <w:r>
              <w:rPr>
                <w:rFonts w:hint="eastAsia" w:ascii="宋体" w:hAnsi="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cs="宋体"/>
                <w:color w:val="000000" w:themeColor="text1"/>
                <w:kern w:val="0"/>
                <w:sz w:val="20"/>
                <w:szCs w:val="20"/>
                <w:highlight w:val="none"/>
                <w:lang w:bidi="ar"/>
                <w14:textFill>
                  <w14:solidFill>
                    <w14:schemeClr w14:val="tx1"/>
                  </w14:solidFill>
                </w14:textFill>
              </w:rPr>
              <w:t>10、在PC系统出现异常或需要清除PC数据时，可插入带激活文件的U盘，在嵌入式系统的设置界面中启动PC一键还原功能，将PC系统恢复至出厂状态，投标文件中需提供国家认可的第三方质量监督检验机构出具的关于“一键还原”相关功能的检验报告复印件。</w:t>
            </w:r>
            <w:r>
              <w:rPr>
                <w:rFonts w:hint="eastAsia" w:ascii="宋体" w:hAnsi="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cs="宋体"/>
                <w:color w:val="000000" w:themeColor="text1"/>
                <w:kern w:val="0"/>
                <w:sz w:val="20"/>
                <w:szCs w:val="20"/>
                <w:highlight w:val="none"/>
                <w:lang w:bidi="ar"/>
                <w14:textFill>
                  <w14:solidFill>
                    <w14:schemeClr w14:val="tx1"/>
                  </w14:solidFill>
                </w14:textFill>
              </w:rPr>
              <w:t>★11、内置非独立外扩展的摄像头（不接受外接摄像头），像素至少500万，支持二维码扫码识别功能，帮助用户调用在线资源，投标文件中需提供国家认可的第三方质量监督检验机构出具的关于“内置非独立外扩展摄像头”相关功能的检验报告复印件。</w:t>
            </w:r>
            <w:r>
              <w:rPr>
                <w:rFonts w:hint="eastAsia" w:ascii="宋体" w:hAnsi="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cs="宋体"/>
                <w:color w:val="000000" w:themeColor="text1"/>
                <w:kern w:val="0"/>
                <w:sz w:val="20"/>
                <w:szCs w:val="20"/>
                <w:highlight w:val="none"/>
                <w:lang w:bidi="ar"/>
                <w14:textFill>
                  <w14:solidFill>
                    <w14:schemeClr w14:val="tx1"/>
                  </w14:solidFill>
                </w14:textFill>
              </w:rPr>
              <w:t>★12、互动教学课堂系统：投标文件中需提供国家认可的第三方质量监督检验机构出具的关于“互动教学课堂系统”相关功能的检验报告复印件。</w:t>
            </w:r>
            <w:r>
              <w:rPr>
                <w:rFonts w:hint="eastAsia" w:ascii="宋体" w:hAnsi="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cs="宋体"/>
                <w:color w:val="000000" w:themeColor="text1"/>
                <w:kern w:val="0"/>
                <w:sz w:val="20"/>
                <w:szCs w:val="20"/>
                <w:highlight w:val="none"/>
                <w:lang w:bidi="ar"/>
                <w14:textFill>
                  <w14:solidFill>
                    <w14:schemeClr w14:val="tx1"/>
                  </w14:solidFill>
                </w14:textFill>
              </w:rPr>
              <w:t>1、任意通道下，支持手机扫描二维码，实现互动答题功能。</w:t>
            </w:r>
            <w:r>
              <w:rPr>
                <w:rFonts w:hint="eastAsia" w:ascii="宋体" w:hAnsi="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cs="宋体"/>
                <w:color w:val="000000" w:themeColor="text1"/>
                <w:kern w:val="0"/>
                <w:sz w:val="20"/>
                <w:szCs w:val="20"/>
                <w:highlight w:val="none"/>
                <w:lang w:bidi="ar"/>
                <w14:textFill>
                  <w14:solidFill>
                    <w14:schemeClr w14:val="tx1"/>
                  </w14:solidFill>
                </w14:textFill>
              </w:rPr>
              <w:t>2、任意通道下，支持老师发起单选题、多选题、抢答题等。</w:t>
            </w:r>
            <w:r>
              <w:rPr>
                <w:rFonts w:hint="eastAsia" w:ascii="宋体" w:hAnsi="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cs="宋体"/>
                <w:color w:val="000000" w:themeColor="text1"/>
                <w:kern w:val="0"/>
                <w:sz w:val="20"/>
                <w:szCs w:val="20"/>
                <w:highlight w:val="none"/>
                <w:lang w:bidi="ar"/>
                <w14:textFill>
                  <w14:solidFill>
                    <w14:schemeClr w14:val="tx1"/>
                  </w14:solidFill>
                </w14:textFill>
              </w:rPr>
              <w:t>3、任意通道下，学生可通过手机移动端发送信息至智能平板展示，增加课堂互动方式。</w:t>
            </w:r>
            <w:r>
              <w:rPr>
                <w:rFonts w:hint="eastAsia" w:ascii="宋体" w:hAnsi="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cs="宋体"/>
                <w:color w:val="000000" w:themeColor="text1"/>
                <w:kern w:val="0"/>
                <w:sz w:val="20"/>
                <w:szCs w:val="20"/>
                <w:highlight w:val="none"/>
                <w:lang w:bidi="ar"/>
                <w14:textFill>
                  <w14:solidFill>
                    <w14:schemeClr w14:val="tx1"/>
                  </w14:solidFill>
                </w14:textFill>
              </w:rPr>
              <w:t>三、触摸性能要求</w:t>
            </w:r>
            <w:r>
              <w:rPr>
                <w:rFonts w:hint="eastAsia" w:ascii="宋体" w:hAnsi="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cs="宋体"/>
                <w:color w:val="000000" w:themeColor="text1"/>
                <w:kern w:val="0"/>
                <w:sz w:val="20"/>
                <w:szCs w:val="20"/>
                <w:highlight w:val="none"/>
                <w:lang w:bidi="ar"/>
                <w14:textFill>
                  <w14:solidFill>
                    <w14:schemeClr w14:val="tx1"/>
                  </w14:solidFill>
                </w14:textFill>
              </w:rPr>
              <w:t>1、采用红外触控技术，支持在Windows与安卓系统中进行十点触控及十点书写。</w:t>
            </w:r>
            <w:r>
              <w:rPr>
                <w:rFonts w:hint="eastAsia" w:ascii="宋体" w:hAnsi="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cs="宋体"/>
                <w:color w:val="000000" w:themeColor="text1"/>
                <w:kern w:val="0"/>
                <w:sz w:val="20"/>
                <w:szCs w:val="20"/>
                <w:highlight w:val="none"/>
                <w:lang w:bidi="ar"/>
                <w14:textFill>
                  <w14:solidFill>
                    <w14:schemeClr w14:val="tx1"/>
                  </w14:solidFill>
                </w14:textFill>
              </w:rPr>
              <w:t>2、书写方式：手指或笔触摸。</w:t>
            </w:r>
            <w:r>
              <w:rPr>
                <w:rFonts w:hint="eastAsia" w:ascii="宋体" w:hAnsi="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cs="宋体"/>
                <w:color w:val="000000" w:themeColor="text1"/>
                <w:kern w:val="0"/>
                <w:sz w:val="20"/>
                <w:szCs w:val="20"/>
                <w:highlight w:val="none"/>
                <w:lang w:bidi="ar"/>
                <w14:textFill>
                  <w14:solidFill>
                    <w14:schemeClr w14:val="tx1"/>
                  </w14:solidFill>
                </w14:textFill>
              </w:rPr>
              <w:t>3、定位分辨率：32767*32767。</w:t>
            </w:r>
            <w:r>
              <w:rPr>
                <w:rFonts w:hint="eastAsia" w:ascii="宋体" w:hAnsi="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cs="宋体"/>
                <w:color w:val="000000" w:themeColor="text1"/>
                <w:kern w:val="0"/>
                <w:sz w:val="20"/>
                <w:szCs w:val="20"/>
                <w:highlight w:val="none"/>
                <w:lang w:bidi="ar"/>
                <w14:textFill>
                  <w14:solidFill>
                    <w14:schemeClr w14:val="tx1"/>
                  </w14:solidFill>
                </w14:textFill>
              </w:rPr>
              <w:t>4、触摸精准性：整机屏幕触摸有效识别高度小于4.5mm,即触摸物体距离玻璃外表面高度低于4.5mm时，触摸屏识别为点击操作，保证触摸精准。</w:t>
            </w:r>
            <w:r>
              <w:rPr>
                <w:rFonts w:hint="eastAsia" w:ascii="宋体" w:hAnsi="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cs="宋体"/>
                <w:color w:val="000000" w:themeColor="text1"/>
                <w:kern w:val="0"/>
                <w:sz w:val="20"/>
                <w:szCs w:val="20"/>
                <w:highlight w:val="none"/>
                <w:lang w:bidi="ar"/>
                <w14:textFill>
                  <w14:solidFill>
                    <w14:schemeClr w14:val="tx1"/>
                  </w14:solidFill>
                </w14:textFill>
              </w:rPr>
              <w:t>5、触摸屏具有防遮挡功能，触摸接收器在单点或多点遮挡后仍能正常书写，确保老师课堂操作的流畅性。</w:t>
            </w:r>
            <w:r>
              <w:rPr>
                <w:rFonts w:hint="eastAsia" w:ascii="宋体" w:hAnsi="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cs="宋体"/>
                <w:color w:val="000000" w:themeColor="text1"/>
                <w:kern w:val="0"/>
                <w:sz w:val="20"/>
                <w:szCs w:val="20"/>
                <w:highlight w:val="none"/>
                <w:lang w:bidi="ar"/>
                <w14:textFill>
                  <w14:solidFill>
                    <w14:schemeClr w14:val="tx1"/>
                  </w14:solidFill>
                </w14:textFill>
              </w:rPr>
              <w:t>6、触摸屏具有防光干扰功能，能在照度80K LUX（勒克司）环境下仍能正常工作。投标文件中需提供国家认可的第三方质量监督检验机构出具的关于“防光干扰强度”相关功能的检验报告复印件。</w:t>
            </w:r>
            <w:r>
              <w:rPr>
                <w:rFonts w:hint="eastAsia" w:ascii="宋体" w:hAnsi="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cs="宋体"/>
                <w:color w:val="000000" w:themeColor="text1"/>
                <w:kern w:val="0"/>
                <w:sz w:val="20"/>
                <w:szCs w:val="20"/>
                <w:highlight w:val="none"/>
                <w:lang w:bidi="ar"/>
                <w14:textFill>
                  <w14:solidFill>
                    <w14:schemeClr w14:val="tx1"/>
                  </w14:solidFill>
                </w14:textFill>
              </w:rPr>
              <w:t>四、嵌入式安卓系统要求</w:t>
            </w:r>
            <w:r>
              <w:rPr>
                <w:rFonts w:hint="eastAsia" w:ascii="宋体" w:hAnsi="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cs="宋体"/>
                <w:color w:val="000000" w:themeColor="text1"/>
                <w:kern w:val="0"/>
                <w:sz w:val="20"/>
                <w:szCs w:val="20"/>
                <w:highlight w:val="none"/>
                <w:lang w:bidi="ar"/>
                <w14:textFill>
                  <w14:solidFill>
                    <w14:schemeClr w14:val="tx1"/>
                  </w14:solidFill>
                </w14:textFill>
              </w:rPr>
              <w:t>1、无PC状态下，支持在嵌入式系统下直接启动视频展台，可进行批注、旋转及截图，且支持二分屏或四分屏同时展示展台内容，可任意更换分屏幕画面内容。</w:t>
            </w:r>
            <w:r>
              <w:rPr>
                <w:rFonts w:hint="eastAsia" w:ascii="宋体" w:hAnsi="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cs="宋体"/>
                <w:color w:val="000000" w:themeColor="text1"/>
                <w:kern w:val="0"/>
                <w:sz w:val="20"/>
                <w:szCs w:val="20"/>
                <w:highlight w:val="none"/>
                <w:lang w:bidi="ar"/>
                <w14:textFill>
                  <w14:solidFill>
                    <w14:schemeClr w14:val="tx1"/>
                  </w14:solidFill>
                </w14:textFill>
              </w:rPr>
              <w:t>2、无PC状态下，嵌入式安卓操作系统支持超级计算器功能，可进行初级计算、方程（组）智能求解、自动求导求积分等操作，投标文件中需提供国家认可的第三方质量监督检验机构出具的关于“超级计算器”相关功能的检验报告复印件。</w:t>
            </w:r>
            <w:r>
              <w:rPr>
                <w:rFonts w:hint="eastAsia" w:ascii="宋体" w:hAnsi="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cs="宋体"/>
                <w:color w:val="000000" w:themeColor="text1"/>
                <w:kern w:val="0"/>
                <w:sz w:val="20"/>
                <w:szCs w:val="20"/>
                <w:highlight w:val="none"/>
                <w:lang w:bidi="ar"/>
                <w14:textFill>
                  <w14:solidFill>
                    <w14:schemeClr w14:val="tx1"/>
                  </w14:solidFill>
                </w14:textFill>
              </w:rPr>
              <w:t>3、换色功能：老师在嵌入式系统上选中笔迹或形状后，可选择不同颜色，对笔迹或形状进行换色，区别各类内容，突出重点。</w:t>
            </w:r>
            <w:r>
              <w:rPr>
                <w:rFonts w:hint="eastAsia" w:ascii="宋体" w:hAnsi="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cs="宋体"/>
                <w:color w:val="000000" w:themeColor="text1"/>
                <w:kern w:val="0"/>
                <w:sz w:val="20"/>
                <w:szCs w:val="20"/>
                <w:highlight w:val="none"/>
                <w:lang w:bidi="ar"/>
                <w14:textFill>
                  <w14:solidFill>
                    <w14:schemeClr w14:val="tx1"/>
                  </w14:solidFill>
                </w14:textFill>
              </w:rPr>
              <w:t>4、在嵌入式安卓操作系统下，能对TV多媒体USB所读取到的课件文件进行自动归类，可快速分类查找office文档、视频、图片等文件，检索后可直接在界面中打开。</w:t>
            </w:r>
            <w:r>
              <w:rPr>
                <w:rFonts w:hint="eastAsia" w:ascii="宋体" w:hAnsi="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cs="宋体"/>
                <w:color w:val="000000" w:themeColor="text1"/>
                <w:kern w:val="0"/>
                <w:sz w:val="20"/>
                <w:szCs w:val="20"/>
                <w:highlight w:val="none"/>
                <w:lang w:bidi="ar"/>
                <w14:textFill>
                  <w14:solidFill>
                    <w14:schemeClr w14:val="tx1"/>
                  </w14:solidFill>
                </w14:textFill>
              </w:rPr>
              <w:t>5、整机部署一根网线，即可实现Windows及Android系统同时联网。</w:t>
            </w:r>
          </w:p>
          <w:p>
            <w:pPr>
              <w:widowControl/>
              <w:jc w:val="left"/>
              <w:textAlignment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 xml:space="preserve"> </w:t>
            </w:r>
            <w:r>
              <w:rPr>
                <w:rFonts w:hint="eastAsia" w:ascii="宋体" w:hAnsi="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cs="宋体"/>
                <w:color w:val="000000" w:themeColor="text1"/>
                <w:kern w:val="0"/>
                <w:sz w:val="20"/>
                <w:szCs w:val="20"/>
                <w:highlight w:val="none"/>
                <w:lang w:bidi="ar"/>
                <w14:textFill>
                  <w14:solidFill>
                    <w14:schemeClr w14:val="tx1"/>
                  </w14:solidFill>
                </w14:textFill>
              </w:rPr>
              <w:t>五、内置电脑模块参数</w:t>
            </w:r>
            <w:r>
              <w:rPr>
                <w:rFonts w:hint="eastAsia" w:ascii="宋体" w:hAnsi="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cs="宋体"/>
                <w:color w:val="000000" w:themeColor="text1"/>
                <w:kern w:val="0"/>
                <w:sz w:val="20"/>
                <w:szCs w:val="20"/>
                <w:highlight w:val="none"/>
                <w:lang w:bidi="ar"/>
                <w14:textFill>
                  <w14:solidFill>
                    <w14:schemeClr w14:val="tx1"/>
                  </w14:solidFill>
                </w14:textFill>
              </w:rPr>
              <w:t>★1.采用模块化电脑方案，抽拉内置式，采用120pin或以上接口，实现无单独接线的插拔，采用按压式卡扣，无需工具即可快速拆卸电脑模块。投标文件中需提供国家认可的第三方质量监督检验机构出具的关于“接口数量”相关功能的检验报告复印件。</w:t>
            </w:r>
            <w:r>
              <w:rPr>
                <w:rFonts w:hint="eastAsia" w:ascii="宋体" w:hAnsi="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cs="宋体"/>
                <w:color w:val="000000" w:themeColor="text1"/>
                <w:kern w:val="0"/>
                <w:sz w:val="20"/>
                <w:szCs w:val="20"/>
                <w:highlight w:val="none"/>
                <w:lang w:bidi="ar"/>
                <w14:textFill>
                  <w14:solidFill>
                    <w14:schemeClr w14:val="tx1"/>
                  </w14:solidFill>
                </w14:textFill>
              </w:rPr>
              <w:t>2.主板采用H310芯片组，搭载Intel 8代 酷睿系列 i5 CPU同级别或以上配置；</w:t>
            </w:r>
            <w:r>
              <w:rPr>
                <w:rFonts w:hint="eastAsia" w:ascii="宋体" w:hAnsi="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cs="宋体"/>
                <w:color w:val="000000" w:themeColor="text1"/>
                <w:kern w:val="0"/>
                <w:sz w:val="20"/>
                <w:szCs w:val="20"/>
                <w:highlight w:val="none"/>
                <w:lang w:bidi="ar"/>
                <w14:textFill>
                  <w14:solidFill>
                    <w14:schemeClr w14:val="tx1"/>
                  </w14:solidFill>
                </w14:textFill>
              </w:rPr>
              <w:t>3.内存：8G笔记本内存或以上配置；</w:t>
            </w:r>
            <w:r>
              <w:rPr>
                <w:rFonts w:hint="eastAsia" w:ascii="宋体" w:hAnsi="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cs="宋体"/>
                <w:color w:val="000000" w:themeColor="text1"/>
                <w:kern w:val="0"/>
                <w:sz w:val="20"/>
                <w:szCs w:val="20"/>
                <w:highlight w:val="none"/>
                <w:lang w:bidi="ar"/>
                <w14:textFill>
                  <w14:solidFill>
                    <w14:schemeClr w14:val="tx1"/>
                  </w14:solidFill>
                </w14:textFill>
              </w:rPr>
              <w:t>4.硬盘：256G或以上SSD固态硬盘；</w:t>
            </w:r>
            <w:r>
              <w:rPr>
                <w:rFonts w:hint="eastAsia" w:ascii="宋体" w:hAnsi="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cs="宋体"/>
                <w:color w:val="000000" w:themeColor="text1"/>
                <w:kern w:val="0"/>
                <w:sz w:val="20"/>
                <w:szCs w:val="20"/>
                <w:highlight w:val="none"/>
                <w:lang w:bidi="ar"/>
                <w14:textFill>
                  <w14:solidFill>
                    <w14:schemeClr w14:val="tx1"/>
                  </w14:solidFill>
                </w14:textFill>
              </w:rPr>
              <w:t>5.具有独立非外扩展的电脑USB接口：电脑上至少具备3个USB3.0 TypeA接口，1个USB TypeC接口（支持TypeC接口的U盘插入使用）。</w:t>
            </w:r>
            <w:r>
              <w:rPr>
                <w:rFonts w:hint="eastAsia" w:ascii="宋体" w:hAnsi="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cs="宋体"/>
                <w:color w:val="000000" w:themeColor="text1"/>
                <w:kern w:val="0"/>
                <w:sz w:val="20"/>
                <w:szCs w:val="20"/>
                <w:highlight w:val="none"/>
                <w:lang w:bidi="ar"/>
                <w14:textFill>
                  <w14:solidFill>
                    <w14:schemeClr w14:val="tx1"/>
                  </w14:solidFill>
                </w14:textFill>
              </w:rPr>
              <w:t>6.机身采用热浸镀锌金属材质，确保封闭空间内有效散热。</w:t>
            </w:r>
            <w:r>
              <w:rPr>
                <w:rFonts w:hint="eastAsia" w:ascii="宋体" w:hAnsi="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cs="宋体"/>
                <w:color w:val="000000" w:themeColor="text1"/>
                <w:kern w:val="0"/>
                <w:sz w:val="20"/>
                <w:szCs w:val="20"/>
                <w:highlight w:val="none"/>
                <w:lang w:bidi="ar"/>
                <w14:textFill>
                  <w14:solidFill>
                    <w14:schemeClr w14:val="tx1"/>
                  </w14:solidFill>
                </w14:textFill>
              </w:rPr>
              <w:t>7.具有标准PC防盗锁孔，确保电脑模块安全防盗。</w:t>
            </w:r>
            <w:r>
              <w:rPr>
                <w:rFonts w:hint="eastAsia" w:ascii="宋体" w:hAnsi="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cs="宋体"/>
                <w:color w:val="000000" w:themeColor="text1"/>
                <w:kern w:val="0"/>
                <w:sz w:val="20"/>
                <w:szCs w:val="20"/>
                <w:highlight w:val="none"/>
                <w:lang w:bidi="ar"/>
                <w14:textFill>
                  <w14:solidFill>
                    <w14:schemeClr w14:val="tx1"/>
                  </w14:solidFill>
                </w14:textFill>
              </w:rPr>
              <w:t>8.内置蓝牙：在Windows系统下，整机可通过蓝牙模块与蓝牙音箱连接，通过蓝牙音箱播放整机音频。</w:t>
            </w:r>
            <w:r>
              <w:rPr>
                <w:rFonts w:hint="eastAsia" w:ascii="宋体" w:hAnsi="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cs="宋体"/>
                <w:color w:val="000000" w:themeColor="text1"/>
                <w:kern w:val="0"/>
                <w:sz w:val="20"/>
                <w:szCs w:val="20"/>
                <w:highlight w:val="none"/>
                <w:lang w:bidi="ar"/>
                <w14:textFill>
                  <w14:solidFill>
                    <w14:schemeClr w14:val="tx1"/>
                  </w14:solidFill>
                </w14:textFill>
              </w:rPr>
              <w:t>9. 内置双频(2.4G&amp;5G) WiFi网卡，支持IEEE 802.11a/b/g/n/ac标准；内置有线网卡：10M/100M/1000M</w:t>
            </w:r>
            <w:r>
              <w:rPr>
                <w:rFonts w:hint="eastAsia" w:ascii="宋体" w:hAnsi="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cs="宋体"/>
                <w:color w:val="000000" w:themeColor="text1"/>
                <w:kern w:val="0"/>
                <w:sz w:val="20"/>
                <w:szCs w:val="20"/>
                <w:highlight w:val="none"/>
                <w:lang w:bidi="ar"/>
                <w14:textFill>
                  <w14:solidFill>
                    <w14:schemeClr w14:val="tx1"/>
                  </w14:solidFill>
                </w14:textFill>
              </w:rPr>
              <w:t>10.具有独立非外扩展的视频输出接口：≥1路VGA ；≥1路HDMI ；≥1路DP。</w:t>
            </w:r>
            <w:r>
              <w:rPr>
                <w:rFonts w:hint="eastAsia" w:ascii="宋体" w:hAnsi="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cs="宋体"/>
                <w:color w:val="000000" w:themeColor="text1"/>
                <w:kern w:val="0"/>
                <w:sz w:val="20"/>
                <w:szCs w:val="20"/>
                <w:highlight w:val="none"/>
                <w:lang w:bidi="ar"/>
                <w14:textFill>
                  <w14:solidFill>
                    <w14:schemeClr w14:val="tx1"/>
                  </w14:solidFill>
                </w14:textFill>
              </w:rPr>
              <w:t>六、安全可靠性要求</w:t>
            </w:r>
            <w:r>
              <w:rPr>
                <w:rFonts w:hint="eastAsia" w:ascii="宋体" w:hAnsi="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cs="宋体"/>
                <w:color w:val="000000" w:themeColor="text1"/>
                <w:kern w:val="0"/>
                <w:sz w:val="20"/>
                <w:szCs w:val="20"/>
                <w:highlight w:val="none"/>
                <w:lang w:bidi="ar"/>
                <w14:textFill>
                  <w14:solidFill>
                    <w14:schemeClr w14:val="tx1"/>
                  </w14:solidFill>
                </w14:textFill>
              </w:rPr>
              <w:t>1、整机在0℃—40℃环境下可正常工作，在-20℃—60℃的环境下可正常贮存且贮存后功能无损。</w:t>
            </w:r>
            <w:r>
              <w:rPr>
                <w:rFonts w:hint="eastAsia" w:ascii="宋体" w:hAnsi="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cs="宋体"/>
                <w:color w:val="000000" w:themeColor="text1"/>
                <w:kern w:val="0"/>
                <w:sz w:val="20"/>
                <w:szCs w:val="20"/>
                <w:highlight w:val="none"/>
                <w:lang w:bidi="ar"/>
                <w14:textFill>
                  <w14:solidFill>
                    <w14:schemeClr w14:val="tx1"/>
                  </w14:solidFill>
                </w14:textFill>
              </w:rPr>
              <w:t xml:space="preserve">2、一体机产品阻燃等级为V-0级，有效避免产品意外燃烧，保证教师安全。 </w:t>
            </w:r>
            <w:r>
              <w:rPr>
                <w:rFonts w:hint="eastAsia" w:ascii="宋体" w:hAnsi="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cs="宋体"/>
                <w:color w:val="000000" w:themeColor="text1"/>
                <w:kern w:val="0"/>
                <w:sz w:val="20"/>
                <w:szCs w:val="20"/>
                <w:highlight w:val="none"/>
                <w:lang w:bidi="ar"/>
                <w14:textFill>
                  <w14:solidFill>
                    <w14:schemeClr w14:val="tx1"/>
                  </w14:solidFill>
                </w14:textFill>
              </w:rPr>
              <w:t xml:space="preserve">3、具有防雷击4级要求，产品在雷雨天气也能正常使用，保证老师课堂教学不受环境影响。 </w:t>
            </w:r>
            <w:r>
              <w:rPr>
                <w:rFonts w:hint="eastAsia" w:ascii="宋体" w:hAnsi="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cs="宋体"/>
                <w:color w:val="000000" w:themeColor="text1"/>
                <w:kern w:val="0"/>
                <w:sz w:val="20"/>
                <w:szCs w:val="20"/>
                <w:highlight w:val="none"/>
                <w:lang w:bidi="ar"/>
                <w14:textFill>
                  <w14:solidFill>
                    <w14:schemeClr w14:val="tx1"/>
                  </w14:solidFill>
                </w14:textFill>
              </w:rPr>
              <w:t>4、机身外壳达到防盐雾十级要求，避免长期使用过程中生锈老化。</w:t>
            </w:r>
            <w:r>
              <w:rPr>
                <w:rFonts w:hint="eastAsia" w:ascii="宋体" w:hAnsi="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cs="宋体"/>
                <w:color w:val="000000" w:themeColor="text1"/>
                <w:kern w:val="0"/>
                <w:sz w:val="20"/>
                <w:szCs w:val="20"/>
                <w:highlight w:val="none"/>
                <w:lang w:bidi="ar"/>
                <w14:textFill>
                  <w14:solidFill>
                    <w14:schemeClr w14:val="tx1"/>
                  </w14:solidFill>
                </w14:textFill>
              </w:rPr>
              <w:t>5、智能温控：屏温显示在无PC状态下能够实时显示屏体温度；智能温控具备有效监控、预警、断电保护功能；高温报警在工作温度过高时会自动采取降温措施及蜂鸣预警。</w:t>
            </w:r>
            <w:r>
              <w:rPr>
                <w:rFonts w:hint="eastAsia" w:ascii="宋体" w:hAnsi="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cs="宋体"/>
                <w:color w:val="000000" w:themeColor="text1"/>
                <w:kern w:val="0"/>
                <w:sz w:val="20"/>
                <w:szCs w:val="20"/>
                <w:highlight w:val="none"/>
                <w:lang w:bidi="ar"/>
                <w14:textFill>
                  <w14:solidFill>
                    <w14:schemeClr w14:val="tx1"/>
                  </w14:solidFill>
                </w14:textFill>
              </w:rPr>
              <w:t>七、备授课一体化软件：本项备授课一体化软件，须处于同一个软件环境下实现，不接受多套软件叠加操作参加投标，中标供应商在正式供货时必须提供相应软件著作权证明复印件并加盖软件品牌厂家公章，否则不予验收通过。</w:t>
            </w:r>
            <w:r>
              <w:rPr>
                <w:rFonts w:hint="eastAsia" w:ascii="宋体" w:hAnsi="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cs="宋体"/>
                <w:color w:val="000000" w:themeColor="text1"/>
                <w:kern w:val="0"/>
                <w:sz w:val="20"/>
                <w:szCs w:val="20"/>
                <w:highlight w:val="none"/>
                <w:lang w:bidi="ar"/>
                <w14:textFill>
                  <w14:solidFill>
                    <w14:schemeClr w14:val="tx1"/>
                  </w14:solidFill>
                </w14:textFill>
              </w:rPr>
              <w:t>1、支持老师个人账号注册登录使用，也可通过USB key进行身份快速识别登录。</w:t>
            </w:r>
            <w:r>
              <w:rPr>
                <w:rFonts w:hint="eastAsia" w:ascii="宋体" w:hAnsi="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cs="宋体"/>
                <w:color w:val="000000" w:themeColor="text1"/>
                <w:kern w:val="0"/>
                <w:sz w:val="20"/>
                <w:szCs w:val="20"/>
                <w:highlight w:val="none"/>
                <w:lang w:bidi="ar"/>
                <w14:textFill>
                  <w14:solidFill>
                    <w14:schemeClr w14:val="tx1"/>
                  </w14:solidFill>
                </w14:textFill>
              </w:rPr>
              <w:t>2、支持分组管理云课件，用户可自定义分组名称，并根据需要将课件分类管理。</w:t>
            </w:r>
            <w:r>
              <w:rPr>
                <w:rFonts w:hint="eastAsia" w:ascii="宋体" w:hAnsi="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cs="宋体"/>
                <w:color w:val="000000" w:themeColor="text1"/>
                <w:kern w:val="0"/>
                <w:sz w:val="20"/>
                <w:szCs w:val="20"/>
                <w:highlight w:val="none"/>
                <w:lang w:bidi="ar"/>
                <w14:textFill>
                  <w14:solidFill>
                    <w14:schemeClr w14:val="tx1"/>
                  </w14:solidFill>
                </w14:textFill>
              </w:rPr>
              <w:t>3、支持用户一键云同步所有已在软件中打开编辑的课件，无需逐一保存，节省备课时间。同时对于未同步成功的课件，软件将进行提示，保障所有课件都为最新修改内容。</w:t>
            </w:r>
            <w:r>
              <w:rPr>
                <w:rFonts w:hint="eastAsia" w:ascii="宋体" w:hAnsi="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cs="宋体"/>
                <w:color w:val="000000" w:themeColor="text1"/>
                <w:kern w:val="0"/>
                <w:sz w:val="20"/>
                <w:szCs w:val="20"/>
                <w:highlight w:val="none"/>
                <w:lang w:bidi="ar"/>
                <w14:textFill>
                  <w14:solidFill>
                    <w14:schemeClr w14:val="tx1"/>
                  </w14:solidFill>
                </w14:textFill>
              </w:rPr>
              <w:t>4、支持用户在软件中打开pptx格式文件，且用户可在软件中自由编辑原文件中的图片、文字、表格等元素，并支持修改原文件中的动画。方便老师利用软件互动功能在原有PPT基础上修改课件。</w:t>
            </w:r>
            <w:r>
              <w:rPr>
                <w:rFonts w:hint="eastAsia" w:ascii="宋体" w:hAnsi="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cs="宋体"/>
                <w:color w:val="000000" w:themeColor="text1"/>
                <w:kern w:val="0"/>
                <w:sz w:val="20"/>
                <w:szCs w:val="20"/>
                <w:highlight w:val="none"/>
                <w:lang w:bidi="ar"/>
                <w14:textFill>
                  <w14:solidFill>
                    <w14:schemeClr w14:val="tx1"/>
                  </w14:solidFill>
                </w14:textFill>
              </w:rPr>
              <w:t xml:space="preserve">5、快捷抠图：无需借助专业图片处理软件，即可在白板软件中对导入的图片进行快捷抠图、去背景，处理后的图片主体边缘没有明显毛边，可导出保存成PNG格式。 </w:t>
            </w:r>
            <w:r>
              <w:rPr>
                <w:rFonts w:hint="eastAsia" w:ascii="宋体" w:hAnsi="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cs="宋体"/>
                <w:color w:val="000000" w:themeColor="text1"/>
                <w:kern w:val="0"/>
                <w:sz w:val="20"/>
                <w:szCs w:val="20"/>
                <w:highlight w:val="none"/>
                <w:lang w:bidi="ar"/>
                <w14:textFill>
                  <w14:solidFill>
                    <w14:schemeClr w14:val="tx1"/>
                  </w14:solidFill>
                </w14:textFill>
              </w:rPr>
              <w:t>6、支持课件页面预览、页面跳转及上下翻页。</w:t>
            </w:r>
            <w:r>
              <w:rPr>
                <w:rFonts w:hint="eastAsia" w:ascii="宋体" w:hAnsi="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cs="宋体"/>
                <w:color w:val="000000" w:themeColor="text1"/>
                <w:kern w:val="0"/>
                <w:sz w:val="20"/>
                <w:szCs w:val="20"/>
                <w:highlight w:val="none"/>
                <w:lang w:bidi="ar"/>
                <w14:textFill>
                  <w14:solidFill>
                    <w14:schemeClr w14:val="tx1"/>
                  </w14:solidFill>
                </w14:textFill>
              </w:rPr>
              <w:t>7、放大镜：支持调用放大镜工具进行局部画面放大，可设置放大比例及聚光灯效果。</w:t>
            </w:r>
            <w:r>
              <w:rPr>
                <w:rFonts w:hint="eastAsia" w:ascii="宋体" w:hAnsi="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cs="宋体"/>
                <w:color w:val="000000" w:themeColor="text1"/>
                <w:kern w:val="0"/>
                <w:sz w:val="20"/>
                <w:szCs w:val="20"/>
                <w:highlight w:val="none"/>
                <w:lang w:bidi="ar"/>
                <w14:textFill>
                  <w14:solidFill>
                    <w14:schemeClr w14:val="tx1"/>
                  </w14:solidFill>
                </w14:textFill>
              </w:rPr>
              <w:t>8、汉字工具：支持在田字格上书写汉字并自动识别为印刷体，可展示该汉字的读音、笔画顺序、笔画数量等。支持用户反馈汉字错误，保证字库正确性。</w:t>
            </w:r>
            <w:r>
              <w:rPr>
                <w:rFonts w:hint="eastAsia" w:ascii="宋体" w:hAnsi="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cs="宋体"/>
                <w:color w:val="000000" w:themeColor="text1"/>
                <w:kern w:val="0"/>
                <w:sz w:val="20"/>
                <w:szCs w:val="20"/>
                <w:highlight w:val="none"/>
                <w:lang w:bidi="ar"/>
                <w14:textFill>
                  <w14:solidFill>
                    <w14:schemeClr w14:val="tx1"/>
                  </w14:solidFill>
                </w14:textFill>
              </w:rPr>
              <w:t>9、拼音工具：支持在拼音格中输入拼音字母，可展示该字母的标准四声读音以及笔画。</w:t>
            </w:r>
            <w:r>
              <w:rPr>
                <w:rFonts w:hint="eastAsia" w:ascii="宋体" w:hAnsi="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cs="宋体"/>
                <w:color w:val="000000" w:themeColor="text1"/>
                <w:kern w:val="0"/>
                <w:sz w:val="20"/>
                <w:szCs w:val="20"/>
                <w:highlight w:val="none"/>
                <w:lang w:bidi="ar"/>
                <w14:textFill>
                  <w14:solidFill>
                    <w14:schemeClr w14:val="tx1"/>
                  </w14:solidFill>
                </w14:textFill>
              </w:rPr>
              <w:t>★10、互动分类游戏：支持创建互动分类游戏，可自定义不同类别及相对应的对象，实现将不同对象拖拽到对应的类别容器中可自动辨识分类，分类正确或错误均有相应提示。类别和对象的样式、数量均可以自定义设置。系统需提供不少于10种游戏模板，直接选择并输入相应内容即可轻松生成互动分类游戏，提升课堂趣味性。</w:t>
            </w:r>
            <w:r>
              <w:rPr>
                <w:rFonts w:hint="eastAsia" w:ascii="宋体" w:hAnsi="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cs="宋体"/>
                <w:color w:val="000000" w:themeColor="text1"/>
                <w:kern w:val="0"/>
                <w:sz w:val="20"/>
                <w:szCs w:val="20"/>
                <w:highlight w:val="none"/>
                <w:lang w:bidi="ar"/>
                <w14:textFill>
                  <w14:solidFill>
                    <w14:schemeClr w14:val="tx1"/>
                  </w14:solidFill>
                </w14:textFill>
              </w:rPr>
              <w:t>11、智能选词填空：支持创建智能选词填空游戏，教师可随意编辑填空题题干以及相应的答案选项，将选项拖到对应题干空白处，系统将自动判别答案是否正确。系统需提供不少于9种游戏模板供老师选择，且模板样式支持自定义修改。</w:t>
            </w:r>
            <w:r>
              <w:rPr>
                <w:rFonts w:hint="eastAsia" w:ascii="宋体" w:hAnsi="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cs="宋体"/>
                <w:color w:val="000000" w:themeColor="text1"/>
                <w:kern w:val="0"/>
                <w:sz w:val="20"/>
                <w:szCs w:val="20"/>
                <w:highlight w:val="none"/>
                <w:lang w:bidi="ar"/>
                <w14:textFill>
                  <w14:solidFill>
                    <w14:schemeClr w14:val="tx1"/>
                  </w14:solidFill>
                </w14:textFill>
              </w:rPr>
              <w:t>★12、智能配对游戏：支持创建配对游戏，教师可随意将知识点进行配对。当开始配对游戏时，拖动知识点进行配对，系统将自动判断是否正确。系统至少提供10种游戏模版，且模版样式支持自定义修改。</w:t>
            </w:r>
            <w:r>
              <w:rPr>
                <w:rFonts w:hint="eastAsia" w:ascii="宋体" w:hAnsi="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cs="宋体"/>
                <w:color w:val="000000" w:themeColor="text1"/>
                <w:kern w:val="0"/>
                <w:sz w:val="20"/>
                <w:szCs w:val="20"/>
                <w:highlight w:val="none"/>
                <w:lang w:bidi="ar"/>
                <w14:textFill>
                  <w14:solidFill>
                    <w14:schemeClr w14:val="tx1"/>
                  </w14:solidFill>
                </w14:textFill>
              </w:rPr>
              <w:t>13、分组竞争游戏：支持创建分组竞争游戏，教师可设置正确项／干扰项，让两组学生开展竞争游戏。系统提供不少于3种难度、10种游戏模版选择，且模版样式支持自定义修改。</w:t>
            </w:r>
            <w:r>
              <w:rPr>
                <w:rFonts w:hint="eastAsia" w:ascii="宋体" w:hAnsi="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cs="宋体"/>
                <w:color w:val="000000" w:themeColor="text1"/>
                <w:kern w:val="0"/>
                <w:sz w:val="20"/>
                <w:szCs w:val="20"/>
                <w:highlight w:val="none"/>
                <w:lang w:bidi="ar"/>
                <w14:textFill>
                  <w14:solidFill>
                    <w14:schemeClr w14:val="tx1"/>
                  </w14:solidFill>
                </w14:textFill>
              </w:rPr>
              <w:t xml:space="preserve">★14、数学公式编辑器：支持复杂数学公式输入，提供不少于20个数学符号及模板，输出的公式内容支持不同颜色标记及二次编辑。 </w:t>
            </w:r>
            <w:r>
              <w:rPr>
                <w:rFonts w:hint="eastAsia" w:ascii="宋体" w:hAnsi="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cs="宋体"/>
                <w:color w:val="000000" w:themeColor="text1"/>
                <w:kern w:val="0"/>
                <w:sz w:val="20"/>
                <w:szCs w:val="20"/>
                <w:highlight w:val="none"/>
                <w:lang w:bidi="ar"/>
                <w14:textFill>
                  <w14:solidFill>
                    <w14:schemeClr w14:val="tx1"/>
                  </w14:solidFill>
                </w14:textFill>
              </w:rPr>
              <w:t>15、立体几何：</w:t>
            </w:r>
            <w:r>
              <w:rPr>
                <w:rFonts w:hint="eastAsia" w:ascii="宋体" w:hAnsi="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cs="宋体"/>
                <w:color w:val="000000" w:themeColor="text1"/>
                <w:kern w:val="0"/>
                <w:sz w:val="20"/>
                <w:szCs w:val="20"/>
                <w:highlight w:val="none"/>
                <w:lang w:bidi="ar"/>
                <w14:textFill>
                  <w14:solidFill>
                    <w14:schemeClr w14:val="tx1"/>
                  </w14:solidFill>
                </w14:textFill>
              </w:rPr>
              <w:t>a)支持绘制立方体、圆柱体等立体几何图形。</w:t>
            </w:r>
            <w:r>
              <w:rPr>
                <w:rFonts w:hint="eastAsia" w:ascii="宋体" w:hAnsi="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cs="宋体"/>
                <w:color w:val="000000" w:themeColor="text1"/>
                <w:kern w:val="0"/>
                <w:sz w:val="20"/>
                <w:szCs w:val="20"/>
                <w:highlight w:val="none"/>
                <w:lang w:bidi="ar"/>
                <w14:textFill>
                  <w14:solidFill>
                    <w14:schemeClr w14:val="tx1"/>
                  </w14:solidFill>
                </w14:textFill>
              </w:rPr>
              <w:t>b)支持任意调节立体几何图形的尺寸，改变长宽高比例。</w:t>
            </w:r>
            <w:r>
              <w:rPr>
                <w:rFonts w:hint="eastAsia" w:ascii="宋体" w:hAnsi="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cs="宋体"/>
                <w:color w:val="000000" w:themeColor="text1"/>
                <w:kern w:val="0"/>
                <w:sz w:val="20"/>
                <w:szCs w:val="20"/>
                <w:highlight w:val="none"/>
                <w:lang w:bidi="ar"/>
                <w14:textFill>
                  <w14:solidFill>
                    <w14:schemeClr w14:val="tx1"/>
                  </w14:solidFill>
                </w14:textFill>
              </w:rPr>
              <w:t>c)支持沿任意方向旋转立体几何。</w:t>
            </w:r>
            <w:r>
              <w:rPr>
                <w:rFonts w:hint="eastAsia" w:ascii="宋体" w:hAnsi="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cs="宋体"/>
                <w:color w:val="000000" w:themeColor="text1"/>
                <w:kern w:val="0"/>
                <w:sz w:val="20"/>
                <w:szCs w:val="20"/>
                <w:highlight w:val="none"/>
                <w:lang w:bidi="ar"/>
                <w14:textFill>
                  <w14:solidFill>
                    <w14:schemeClr w14:val="tx1"/>
                  </w14:solidFill>
                </w14:textFill>
              </w:rPr>
              <w:t>d)支持为长方体6个面分别涂色，并且可通过任意旋转观察涂色与未涂色的表面。</w:t>
            </w:r>
            <w:r>
              <w:rPr>
                <w:rFonts w:hint="eastAsia" w:ascii="宋体" w:hAnsi="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cs="宋体"/>
                <w:color w:val="000000" w:themeColor="text1"/>
                <w:kern w:val="0"/>
                <w:sz w:val="20"/>
                <w:szCs w:val="20"/>
                <w:highlight w:val="none"/>
                <w:lang w:bidi="ar"/>
                <w14:textFill>
                  <w14:solidFill>
                    <w14:schemeClr w14:val="tx1"/>
                  </w14:solidFill>
                </w14:textFill>
              </w:rPr>
              <w:t>e)支持立体图形吸附功能：移动立体图形相互靠近时，可智能识别并吸附，便于老师精确操作组合图形。</w:t>
            </w:r>
            <w:r>
              <w:rPr>
                <w:rFonts w:hint="eastAsia" w:ascii="宋体" w:hAnsi="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cs="宋体"/>
                <w:color w:val="000000" w:themeColor="text1"/>
                <w:kern w:val="0"/>
                <w:sz w:val="20"/>
                <w:szCs w:val="20"/>
                <w:highlight w:val="none"/>
                <w:lang w:bidi="ar"/>
                <w14:textFill>
                  <w14:solidFill>
                    <w14:schemeClr w14:val="tx1"/>
                  </w14:solidFill>
                </w14:textFill>
              </w:rPr>
              <w:t>16、数学画板功能：</w:t>
            </w:r>
            <w:r>
              <w:rPr>
                <w:rFonts w:hint="eastAsia" w:ascii="宋体" w:hAnsi="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cs="宋体"/>
                <w:color w:val="000000" w:themeColor="text1"/>
                <w:kern w:val="0"/>
                <w:sz w:val="20"/>
                <w:szCs w:val="20"/>
                <w:highlight w:val="none"/>
                <w:lang w:bidi="ar"/>
                <w14:textFill>
                  <w14:solidFill>
                    <w14:schemeClr w14:val="tx1"/>
                  </w14:solidFill>
                </w14:textFill>
              </w:rPr>
              <w:t>a)支持在白板中插入在线画板，授课时可以一键打开,方便老师配合课件内容进行讲解。</w:t>
            </w:r>
            <w:r>
              <w:rPr>
                <w:rFonts w:hint="eastAsia" w:ascii="宋体" w:hAnsi="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cs="宋体"/>
                <w:color w:val="000000" w:themeColor="text1"/>
                <w:kern w:val="0"/>
                <w:sz w:val="20"/>
                <w:szCs w:val="20"/>
                <w:highlight w:val="none"/>
                <w:lang w:bidi="ar"/>
                <w14:textFill>
                  <w14:solidFill>
                    <w14:schemeClr w14:val="tx1"/>
                  </w14:solidFill>
                </w14:textFill>
              </w:rPr>
              <w:t>b)提供超过500个数学画板资源，覆盖小学、初中、高中学段数学学科主要知识点，并按照知识点分类，便于老师查找。</w:t>
            </w:r>
            <w:r>
              <w:rPr>
                <w:rFonts w:hint="eastAsia" w:ascii="宋体" w:hAnsi="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cs="宋体"/>
                <w:color w:val="000000" w:themeColor="text1"/>
                <w:kern w:val="0"/>
                <w:sz w:val="20"/>
                <w:szCs w:val="20"/>
                <w:highlight w:val="none"/>
                <w:lang w:bidi="ar"/>
                <w14:textFill>
                  <w14:solidFill>
                    <w14:schemeClr w14:val="tx1"/>
                  </w14:solidFill>
                </w14:textFill>
              </w:rPr>
              <w:t>c)画板资源互动性强，利于老师讲解抽象知识点，如小学阶段的四边形互相转换资源，可支持点击，动态切换四边形形态；中学阶段的平方差公式资源，可支持图形展示平方差公式计算原理，并可改变数值，重复演示。</w:t>
            </w:r>
            <w:r>
              <w:rPr>
                <w:rFonts w:hint="eastAsia" w:ascii="宋体" w:hAnsi="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cs="宋体"/>
                <w:color w:val="000000" w:themeColor="text1"/>
                <w:kern w:val="0"/>
                <w:sz w:val="20"/>
                <w:szCs w:val="20"/>
                <w:highlight w:val="none"/>
                <w:lang w:bidi="ar"/>
                <w14:textFill>
                  <w14:solidFill>
                    <w14:schemeClr w14:val="tx1"/>
                  </w14:solidFill>
                </w14:textFill>
              </w:rPr>
              <w:t>d)支持老师创建个人画板，除了点、线、面等基础元素以外，画板还可提供线段中点、椭圆焦点、极坐标方程等数十种数学常用工具，保证老师日常备授课所需。创建完成后，老师可一键将画板插入白板，与课件无缝连接。</w:t>
            </w:r>
            <w:r>
              <w:rPr>
                <w:rFonts w:hint="eastAsia" w:ascii="宋体" w:hAnsi="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cs="宋体"/>
                <w:color w:val="000000" w:themeColor="text1"/>
                <w:kern w:val="0"/>
                <w:sz w:val="20"/>
                <w:szCs w:val="20"/>
                <w:highlight w:val="none"/>
                <w:lang w:bidi="ar"/>
                <w14:textFill>
                  <w14:solidFill>
                    <w14:schemeClr w14:val="tx1"/>
                  </w14:solidFill>
                </w14:textFill>
              </w:rPr>
              <w:t>17、化学方程式编辑器：支持化学方程式快速编辑，当输入一个化学元素时，软件界面将自动显示出和该元素相关的多个常用化学反应方程式，老师可直接选择使用。插入后的化学方程式可重新编辑。</w:t>
            </w:r>
            <w:r>
              <w:rPr>
                <w:rFonts w:hint="eastAsia" w:ascii="宋体" w:hAnsi="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cs="宋体"/>
                <w:color w:val="000000" w:themeColor="text1"/>
                <w:kern w:val="0"/>
                <w:sz w:val="20"/>
                <w:szCs w:val="20"/>
                <w:highlight w:val="none"/>
                <w:lang w:bidi="ar"/>
                <w14:textFill>
                  <w14:solidFill>
                    <w14:schemeClr w14:val="tx1"/>
                  </w14:solidFill>
                </w14:textFill>
              </w:rPr>
              <w:t>★18、古诗词资源：</w:t>
            </w:r>
            <w:r>
              <w:rPr>
                <w:rFonts w:hint="eastAsia" w:ascii="宋体" w:hAnsi="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cs="宋体"/>
                <w:color w:val="000000" w:themeColor="text1"/>
                <w:kern w:val="0"/>
                <w:sz w:val="20"/>
                <w:szCs w:val="20"/>
                <w:highlight w:val="none"/>
                <w:lang w:bidi="ar"/>
                <w14:textFill>
                  <w14:solidFill>
                    <w14:schemeClr w14:val="tx1"/>
                  </w14:solidFill>
                </w14:textFill>
              </w:rPr>
              <w:t>a)提供覆盖小学、初中、高中的古诗词、古文资源，包含原文、翻译、背景介绍、作者介绍、朗诵音频等。</w:t>
            </w:r>
            <w:r>
              <w:rPr>
                <w:rFonts w:hint="eastAsia" w:ascii="宋体" w:hAnsi="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cs="宋体"/>
                <w:color w:val="000000" w:themeColor="text1"/>
                <w:kern w:val="0"/>
                <w:sz w:val="20"/>
                <w:szCs w:val="20"/>
                <w:highlight w:val="none"/>
                <w:lang w:bidi="ar"/>
                <w14:textFill>
                  <w14:solidFill>
                    <w14:schemeClr w14:val="tx1"/>
                  </w14:solidFill>
                </w14:textFill>
              </w:rPr>
              <w:t>b)支持用户根据年级、朝代、诗人等进行分类查找，也可直接搜索诗词、古文名称或作者名查找。</w:t>
            </w:r>
            <w:r>
              <w:rPr>
                <w:rFonts w:hint="eastAsia" w:ascii="宋体" w:hAnsi="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cs="宋体"/>
                <w:color w:val="000000" w:themeColor="text1"/>
                <w:kern w:val="0"/>
                <w:sz w:val="20"/>
                <w:szCs w:val="20"/>
                <w:highlight w:val="none"/>
                <w:lang w:bidi="ar"/>
                <w14:textFill>
                  <w14:solidFill>
                    <w14:schemeClr w14:val="tx1"/>
                  </w14:solidFill>
                </w14:textFill>
              </w:rPr>
              <w:t xml:space="preserve"> c)提供不少于</w:t>
            </w:r>
            <w:r>
              <w:rPr>
                <w:rFonts w:ascii="宋体" w:hAnsi="宋体" w:cs="宋体"/>
                <w:color w:val="000000" w:themeColor="text1"/>
                <w:kern w:val="0"/>
                <w:sz w:val="20"/>
                <w:szCs w:val="20"/>
                <w:highlight w:val="none"/>
                <w:lang w:bidi="ar"/>
                <w14:textFill>
                  <w14:solidFill>
                    <w14:schemeClr w14:val="tx1"/>
                  </w14:solidFill>
                </w14:textFill>
              </w:rPr>
              <w:t>8</w:t>
            </w:r>
            <w:r>
              <w:rPr>
                <w:rFonts w:hint="eastAsia" w:ascii="宋体" w:hAnsi="宋体" w:cs="宋体"/>
                <w:color w:val="000000" w:themeColor="text1"/>
                <w:kern w:val="0"/>
                <w:sz w:val="20"/>
                <w:szCs w:val="20"/>
                <w:highlight w:val="none"/>
                <w:lang w:bidi="ar"/>
                <w14:textFill>
                  <w14:solidFill>
                    <w14:schemeClr w14:val="tx1"/>
                  </w14:solidFill>
                </w14:textFill>
              </w:rPr>
              <w:t>种古诗词专用背景模板，老师可贴合古诗词意境选择合适背景进行教学。</w:t>
            </w:r>
            <w:r>
              <w:rPr>
                <w:rFonts w:hint="eastAsia" w:ascii="宋体" w:hAnsi="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cs="宋体"/>
                <w:color w:val="000000" w:themeColor="text1"/>
                <w:kern w:val="0"/>
                <w:sz w:val="20"/>
                <w:szCs w:val="20"/>
                <w:highlight w:val="none"/>
                <w:lang w:bidi="ar"/>
                <w14:textFill>
                  <w14:solidFill>
                    <w14:schemeClr w14:val="tx1"/>
                  </w14:solidFill>
                </w14:textFill>
              </w:rPr>
              <w:t>d)每篇古诗词、古文均提供原文及翻译、背景介绍、作者介绍等，同时支持一键跳转打开网页，展示对应的背景或作者介绍。</w:t>
            </w:r>
            <w:r>
              <w:rPr>
                <w:rFonts w:hint="eastAsia" w:ascii="宋体" w:hAnsi="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cs="宋体"/>
                <w:color w:val="000000" w:themeColor="text1"/>
                <w:kern w:val="0"/>
                <w:sz w:val="20"/>
                <w:szCs w:val="20"/>
                <w:highlight w:val="none"/>
                <w:lang w:bidi="ar"/>
                <w14:textFill>
                  <w14:solidFill>
                    <w14:schemeClr w14:val="tx1"/>
                  </w14:solidFill>
                </w14:textFill>
              </w:rPr>
              <w:t>e)支持老师备课时对原文进行注释、标重点等操作，方便老师讲解重点字词。</w:t>
            </w:r>
            <w:r>
              <w:rPr>
                <w:rFonts w:hint="eastAsia" w:ascii="宋体" w:hAnsi="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cs="宋体"/>
                <w:color w:val="000000" w:themeColor="text1"/>
                <w:kern w:val="0"/>
                <w:sz w:val="20"/>
                <w:szCs w:val="20"/>
                <w:highlight w:val="none"/>
                <w:lang w:bidi="ar"/>
                <w14:textFill>
                  <w14:solidFill>
                    <w14:schemeClr w14:val="tx1"/>
                  </w14:solidFill>
                </w14:textFill>
              </w:rPr>
              <w:t>f)提供原文朗读功能，全部诗词、古文均配备专业朗读配音，且支持老师在备课时对朗读音频进行打点操作，上课时可播放提前选择好的片段。</w:t>
            </w:r>
            <w:r>
              <w:rPr>
                <w:rFonts w:hint="eastAsia" w:ascii="宋体" w:hAnsi="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cs="宋体"/>
                <w:color w:val="000000" w:themeColor="text1"/>
                <w:kern w:val="0"/>
                <w:sz w:val="20"/>
                <w:szCs w:val="20"/>
                <w:highlight w:val="none"/>
                <w:lang w:bidi="ar"/>
                <w14:textFill>
                  <w14:solidFill>
                    <w14:schemeClr w14:val="tx1"/>
                  </w14:solidFill>
                </w14:textFill>
              </w:rPr>
              <w:t>★19、3D星球模型：提供3D立体星球模型，包括地球、太阳、火星、水星、木星、金星、土星、海王星，支持360°自由旋转、缩放展示。地球教学工具：提供立体地球教学工具，清晰展现地球表面的六大板块、降水分布、气温分布、气候分布、人口分布、表层洋流等内容，且支持三维、二维切换展示，方便地理学科教学。</w:t>
            </w:r>
            <w:r>
              <w:rPr>
                <w:rFonts w:hint="eastAsia" w:ascii="宋体" w:hAnsi="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cs="宋体"/>
                <w:color w:val="000000" w:themeColor="text1"/>
                <w:kern w:val="0"/>
                <w:sz w:val="20"/>
                <w:szCs w:val="20"/>
                <w:highlight w:val="none"/>
                <w:lang w:bidi="ar"/>
                <w14:textFill>
                  <w14:solidFill>
                    <w14:schemeClr w14:val="tx1"/>
                  </w14:solidFill>
                </w14:textFill>
              </w:rPr>
              <w:t>★20、思维导图：提供思维导图、鱼骨图及组织结构图编辑功能，可轻松增删或拖拽编辑内容节点，并支持在节点上插入图片、视频、课件页面链接。支持思维导图逐级、逐个节点展开，并可任意缩放，满足不同演示需求。</w:t>
            </w:r>
            <w:r>
              <w:rPr>
                <w:rFonts w:hint="eastAsia" w:ascii="宋体" w:hAnsi="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cs="宋体"/>
                <w:color w:val="000000" w:themeColor="text1"/>
                <w:kern w:val="0"/>
                <w:sz w:val="20"/>
                <w:szCs w:val="20"/>
                <w:highlight w:val="none"/>
                <w:lang w:bidi="ar"/>
                <w14:textFill>
                  <w14:solidFill>
                    <w14:schemeClr w14:val="tx1"/>
                  </w14:solidFill>
                </w14:textFill>
              </w:rPr>
              <w:t>21、工具自定义：支持自定义设置授课模式白板工具按钮，老师可自行选择符合自身教学需要的教学工具，且教学工具自定义结果可与课件内容云端同步保存。</w:t>
            </w:r>
            <w:r>
              <w:rPr>
                <w:rFonts w:hint="eastAsia" w:ascii="宋体" w:hAnsi="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cs="宋体"/>
                <w:color w:val="000000" w:themeColor="text1"/>
                <w:kern w:val="0"/>
                <w:sz w:val="20"/>
                <w:szCs w:val="20"/>
                <w:highlight w:val="none"/>
                <w:lang w:bidi="ar"/>
                <w14:textFill>
                  <w14:solidFill>
                    <w14:schemeClr w14:val="tx1"/>
                  </w14:solidFill>
                </w14:textFill>
              </w:rPr>
              <w:t>22、美术画板：支持美术画板工具，提供毛笔、油画笔等，可实现模拟调色盘功能，老师可自由选择不同颜色进行混合调色，搭配出任意色彩。</w:t>
            </w:r>
            <w:r>
              <w:rPr>
                <w:rFonts w:hint="eastAsia" w:ascii="宋体" w:hAnsi="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cs="宋体"/>
                <w:color w:val="000000" w:themeColor="text1"/>
                <w:kern w:val="0"/>
                <w:sz w:val="20"/>
                <w:szCs w:val="20"/>
                <w:highlight w:val="none"/>
                <w:lang w:bidi="ar"/>
                <w14:textFill>
                  <w14:solidFill>
                    <w14:schemeClr w14:val="tx1"/>
                  </w14:solidFill>
                </w14:textFill>
              </w:rPr>
              <w:t>八、大小屏互动系统</w:t>
            </w:r>
            <w:r>
              <w:rPr>
                <w:rFonts w:hint="eastAsia" w:ascii="宋体" w:hAnsi="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cs="宋体"/>
                <w:color w:val="000000" w:themeColor="text1"/>
                <w:kern w:val="0"/>
                <w:sz w:val="20"/>
                <w:szCs w:val="20"/>
                <w:highlight w:val="none"/>
                <w:lang w:bidi="ar"/>
                <w14:textFill>
                  <w14:solidFill>
                    <w14:schemeClr w14:val="tx1"/>
                  </w14:solidFill>
                </w14:textFill>
              </w:rPr>
              <w:t>1.可与交互智能平板实现无线连接，可对连接的设备进行密码的权限管理。</w:t>
            </w:r>
            <w:r>
              <w:rPr>
                <w:rFonts w:hint="eastAsia" w:ascii="宋体" w:hAnsi="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cs="宋体"/>
                <w:color w:val="000000" w:themeColor="text1"/>
                <w:kern w:val="0"/>
                <w:sz w:val="20"/>
                <w:szCs w:val="20"/>
                <w:highlight w:val="none"/>
                <w:lang w:bidi="ar"/>
                <w14:textFill>
                  <w14:solidFill>
                    <w14:schemeClr w14:val="tx1"/>
                  </w14:solidFill>
                </w14:textFill>
              </w:rPr>
              <w:t>2.支持横屏及竖屏双模式，满足不同用户的使用习惯。</w:t>
            </w:r>
            <w:r>
              <w:rPr>
                <w:rFonts w:hint="eastAsia" w:ascii="宋体" w:hAnsi="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cs="宋体"/>
                <w:color w:val="000000" w:themeColor="text1"/>
                <w:kern w:val="0"/>
                <w:sz w:val="20"/>
                <w:szCs w:val="20"/>
                <w:highlight w:val="none"/>
                <w:lang w:bidi="ar"/>
                <w14:textFill>
                  <w14:solidFill>
                    <w14:schemeClr w14:val="tx1"/>
                  </w14:solidFill>
                </w14:textFill>
              </w:rPr>
              <w:t>3.支持手机投屏，可通过该软件将手机屏幕画面实时投影到大屏上。</w:t>
            </w:r>
            <w:r>
              <w:rPr>
                <w:rFonts w:hint="eastAsia" w:ascii="宋体" w:hAnsi="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cs="宋体"/>
                <w:color w:val="000000" w:themeColor="text1"/>
                <w:kern w:val="0"/>
                <w:sz w:val="20"/>
                <w:szCs w:val="20"/>
                <w:highlight w:val="none"/>
                <w:lang w:bidi="ar"/>
                <w14:textFill>
                  <w14:solidFill>
                    <w14:schemeClr w14:val="tx1"/>
                  </w14:solidFill>
                </w14:textFill>
              </w:rPr>
              <w:t>★4.支持模拟电脑触摸板功能，能够对智能平板进行远程控制，支持鼠标左键/右键、双指滚轮，并有常用快捷键按键集成，如一键关闭窗口、一键切换窗口、一键回到桌面、一键打开键盘等。同时可通过对移动端实现聚光灯、双向批注及撤销功能。</w:t>
            </w:r>
            <w:r>
              <w:rPr>
                <w:rFonts w:hint="eastAsia" w:ascii="宋体" w:hAnsi="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cs="宋体"/>
                <w:color w:val="000000" w:themeColor="text1"/>
                <w:kern w:val="0"/>
                <w:sz w:val="20"/>
                <w:szCs w:val="20"/>
                <w:highlight w:val="none"/>
                <w:lang w:bidi="ar"/>
                <w14:textFill>
                  <w14:solidFill>
                    <w14:schemeClr w14:val="tx1"/>
                  </w14:solidFill>
                </w14:textFill>
              </w:rPr>
              <w:t xml:space="preserve">5.支持移动展台功能，可一键对试卷、课本等实物进行拍摄，将实物照片一键上传至智能平板中，并可通过移动端实现激光笔、聚光灯、双向批注及撤销功能，其中批注功能支持3种或以上颜色。同时，还能将实物照片一键在白板教学软件里打开，进行双向批注、缩放、旋转等操作。 </w:t>
            </w:r>
            <w:r>
              <w:rPr>
                <w:rFonts w:hint="eastAsia" w:ascii="宋体" w:hAnsi="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cs="宋体"/>
                <w:color w:val="000000" w:themeColor="text1"/>
                <w:kern w:val="0"/>
                <w:sz w:val="20"/>
                <w:szCs w:val="20"/>
                <w:highlight w:val="none"/>
                <w:lang w:bidi="ar"/>
                <w14:textFill>
                  <w14:solidFill>
                    <w14:schemeClr w14:val="tx1"/>
                  </w14:solidFill>
                </w14:textFill>
              </w:rPr>
              <w:t>6.图片拍摄支持普通、文档及彩图三种模式，采用文档或彩图模式拍摄时，软件可自动执行对应的优化处理，包括亮度对比度优化、色彩饱和度增强、图片边框动态识别、图片剪裁与拉伸等，提升所拍摄课本、试卷内容的展示效果。</w:t>
            </w:r>
            <w:r>
              <w:rPr>
                <w:rFonts w:hint="eastAsia" w:ascii="宋体" w:hAnsi="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cs="宋体"/>
                <w:color w:val="000000" w:themeColor="text1"/>
                <w:kern w:val="0"/>
                <w:sz w:val="20"/>
                <w:szCs w:val="20"/>
                <w:highlight w:val="none"/>
                <w:lang w:bidi="ar"/>
                <w14:textFill>
                  <w14:solidFill>
                    <w14:schemeClr w14:val="tx1"/>
                  </w14:solidFill>
                </w14:textFill>
              </w:rPr>
              <w:t>九、PPT授课工具</w:t>
            </w:r>
            <w:r>
              <w:rPr>
                <w:rFonts w:hint="eastAsia" w:ascii="宋体" w:hAnsi="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cs="宋体"/>
                <w:color w:val="000000" w:themeColor="text1"/>
                <w:kern w:val="0"/>
                <w:sz w:val="20"/>
                <w:szCs w:val="20"/>
                <w:highlight w:val="none"/>
                <w:lang w:bidi="ar"/>
                <w14:textFill>
                  <w14:solidFill>
                    <w14:schemeClr w14:val="tx1"/>
                  </w14:solidFill>
                </w14:textFill>
              </w:rPr>
              <w:t>1.无需打开其他任何软件，播放ppt时即可实现书写、擦除功能。</w:t>
            </w:r>
            <w:r>
              <w:rPr>
                <w:rFonts w:hint="eastAsia" w:ascii="宋体" w:hAnsi="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cs="宋体"/>
                <w:color w:val="000000" w:themeColor="text1"/>
                <w:kern w:val="0"/>
                <w:sz w:val="20"/>
                <w:szCs w:val="20"/>
                <w:highlight w:val="none"/>
                <w:lang w:bidi="ar"/>
                <w14:textFill>
                  <w14:solidFill>
                    <w14:schemeClr w14:val="tx1"/>
                  </w14:solidFill>
                </w14:textFill>
              </w:rPr>
              <w:t>2.无需打开其他任何软件，播放ppt时即可支持课件页面预览、页面跳转及上下翻页。</w:t>
            </w:r>
            <w:r>
              <w:rPr>
                <w:rFonts w:hint="eastAsia" w:ascii="宋体" w:hAnsi="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cs="宋体"/>
                <w:color w:val="000000" w:themeColor="text1"/>
                <w:kern w:val="0"/>
                <w:sz w:val="20"/>
                <w:szCs w:val="20"/>
                <w:highlight w:val="none"/>
                <w:lang w:bidi="ar"/>
                <w14:textFill>
                  <w14:solidFill>
                    <w14:schemeClr w14:val="tx1"/>
                  </w14:solidFill>
                </w14:textFill>
              </w:rPr>
              <w:t>3.无需打开其他任何软件，播放ppt时即可支持板中板功能：支持调用板中板辅助教学，可直接批注及加页，不影响课件主画面。</w:t>
            </w:r>
            <w:r>
              <w:rPr>
                <w:rFonts w:hint="eastAsia" w:ascii="宋体" w:hAnsi="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cs="宋体"/>
                <w:color w:val="000000" w:themeColor="text1"/>
                <w:kern w:val="0"/>
                <w:sz w:val="20"/>
                <w:szCs w:val="20"/>
                <w:highlight w:val="none"/>
                <w:lang w:bidi="ar"/>
                <w14:textFill>
                  <w14:solidFill>
                    <w14:schemeClr w14:val="tx1"/>
                  </w14:solidFill>
                </w14:textFill>
              </w:rPr>
              <w:t>★4.无需打开其他任何软件，播放ppt时即可支持将课件及板书内容直接生成二维码分享，且扫码后支持在手机端生成二维码进行再次分享，支持点赞；支持发送课件链接至邮箱，方便教师下载保存课件板书内容。</w:t>
            </w:r>
            <w:r>
              <w:rPr>
                <w:rFonts w:hint="eastAsia" w:ascii="宋体" w:hAnsi="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cs="宋体"/>
                <w:color w:val="000000" w:themeColor="text1"/>
                <w:kern w:val="0"/>
                <w:sz w:val="20"/>
                <w:szCs w:val="20"/>
                <w:highlight w:val="none"/>
                <w:lang w:bidi="ar"/>
                <w14:textFill>
                  <w14:solidFill>
                    <w14:schemeClr w14:val="tx1"/>
                  </w14:solidFill>
                </w14:textFill>
              </w:rPr>
              <w:t>5.无需打开其他任何软件，播放ppt时即可在ppt内调用放大镜、聚光灯小工具。</w:t>
            </w:r>
            <w:r>
              <w:rPr>
                <w:rFonts w:hint="eastAsia" w:ascii="宋体" w:hAnsi="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cs="宋体"/>
                <w:color w:val="000000" w:themeColor="text1"/>
                <w:kern w:val="0"/>
                <w:sz w:val="20"/>
                <w:szCs w:val="20"/>
                <w:highlight w:val="none"/>
                <w:lang w:bidi="ar"/>
                <w14:textFill>
                  <w14:solidFill>
                    <w14:schemeClr w14:val="tx1"/>
                  </w14:solidFill>
                </w14:textFill>
              </w:rPr>
              <w:t>十、教学信息管理平台</w:t>
            </w:r>
            <w:r>
              <w:rPr>
                <w:rFonts w:hint="eastAsia" w:ascii="宋体" w:hAnsi="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cs="宋体"/>
                <w:color w:val="000000" w:themeColor="text1"/>
                <w:kern w:val="0"/>
                <w:sz w:val="20"/>
                <w:szCs w:val="20"/>
                <w:highlight w:val="none"/>
                <w:lang w:bidi="ar"/>
                <w14:textFill>
                  <w14:solidFill>
                    <w14:schemeClr w14:val="tx1"/>
                  </w14:solidFill>
                </w14:textFill>
              </w:rPr>
              <w:t>1.后台采用B/S架构设计，支持学校管理者在Windows、Linux、Android、IOS等多种不同的操作系统上通过网页浏览器登陆进行操作，可统计全校老师软件活跃数据、学生点评及课件上传等数据。</w:t>
            </w:r>
            <w:r>
              <w:rPr>
                <w:rFonts w:hint="eastAsia" w:ascii="宋体" w:hAnsi="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cs="宋体"/>
                <w:color w:val="000000" w:themeColor="text1"/>
                <w:kern w:val="0"/>
                <w:sz w:val="20"/>
                <w:szCs w:val="20"/>
                <w:highlight w:val="none"/>
                <w:lang w:bidi="ar"/>
                <w14:textFill>
                  <w14:solidFill>
                    <w14:schemeClr w14:val="tx1"/>
                  </w14:solidFill>
                </w14:textFill>
              </w:rPr>
              <w:t>2.学校管理者登录后即可在平台首页查看校园评课数据、学生点评数据、校本课件数量等统计数据，以及可以看到这些数据与全省均值的对比情况，方便管理者快速了解教师工作情况及校园整体信息化情况。</w:t>
            </w:r>
            <w:r>
              <w:rPr>
                <w:rFonts w:hint="eastAsia" w:ascii="宋体" w:hAnsi="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cs="宋体"/>
                <w:color w:val="000000" w:themeColor="text1"/>
                <w:kern w:val="0"/>
                <w:sz w:val="20"/>
                <w:szCs w:val="20"/>
                <w:highlight w:val="none"/>
                <w:lang w:bidi="ar"/>
                <w14:textFill>
                  <w14:solidFill>
                    <w14:schemeClr w14:val="tx1"/>
                  </w14:solidFill>
                </w14:textFill>
              </w:rPr>
              <w:t>3.环比统计：各项数据支持一周、半月、全月环比展示，管理者可随时了解不同时间段内数据变化情况，方便了解教师教学状态变化情况。</w:t>
            </w:r>
            <w:r>
              <w:rPr>
                <w:rFonts w:hint="eastAsia" w:ascii="宋体" w:hAnsi="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cs="宋体"/>
                <w:color w:val="000000" w:themeColor="text1"/>
                <w:kern w:val="0"/>
                <w:sz w:val="20"/>
                <w:szCs w:val="20"/>
                <w:highlight w:val="none"/>
                <w:lang w:bidi="ar"/>
                <w14:textFill>
                  <w14:solidFill>
                    <w14:schemeClr w14:val="tx1"/>
                  </w14:solidFill>
                </w14:textFill>
              </w:rPr>
              <w:t>4.数据排名：支持学校管理者查看不同时间段内数据排名，包括评课评分榜、课堂点评班级排名、校本课件上传排名，便于管理者激励全校教师。</w:t>
            </w:r>
            <w:r>
              <w:rPr>
                <w:rFonts w:hint="eastAsia" w:ascii="宋体" w:hAnsi="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cs="宋体"/>
                <w:color w:val="000000" w:themeColor="text1"/>
                <w:kern w:val="0"/>
                <w:sz w:val="20"/>
                <w:szCs w:val="20"/>
                <w:highlight w:val="none"/>
                <w:lang w:bidi="ar"/>
                <w14:textFill>
                  <w14:solidFill>
                    <w14:schemeClr w14:val="tx1"/>
                  </w14:solidFill>
                </w14:textFill>
              </w:rPr>
              <w:t>5.班级氛围：支持统计全校班级的课堂行为评价数据，并根据总分排名展示，方便管理者了解不同班级的课堂行为情况。</w:t>
            </w:r>
            <w:r>
              <w:rPr>
                <w:rFonts w:hint="eastAsia" w:ascii="宋体" w:hAnsi="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cs="宋体"/>
                <w:color w:val="000000" w:themeColor="text1"/>
                <w:kern w:val="0"/>
                <w:sz w:val="20"/>
                <w:szCs w:val="20"/>
                <w:highlight w:val="none"/>
                <w:lang w:bidi="ar"/>
                <w14:textFill>
                  <w14:solidFill>
                    <w14:schemeClr w14:val="tx1"/>
                  </w14:solidFill>
                </w14:textFill>
              </w:rPr>
              <w:t>十一、教师信息化技能培训平台</w:t>
            </w:r>
            <w:r>
              <w:rPr>
                <w:rFonts w:hint="eastAsia" w:ascii="宋体" w:hAnsi="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cs="宋体"/>
                <w:color w:val="000000" w:themeColor="text1"/>
                <w:kern w:val="0"/>
                <w:sz w:val="20"/>
                <w:szCs w:val="20"/>
                <w:highlight w:val="none"/>
                <w:lang w:bidi="ar"/>
                <w14:textFill>
                  <w14:solidFill>
                    <w14:schemeClr w14:val="tx1"/>
                  </w14:solidFill>
                </w14:textFill>
              </w:rPr>
              <w:t>1.提供可支持多端接入的教师信息化技能提升内容的培训平台。该平台必须具备招标所需一体机厂家提供的教学软件知识内容培训。</w:t>
            </w:r>
            <w:r>
              <w:rPr>
                <w:rFonts w:hint="eastAsia" w:ascii="宋体" w:hAnsi="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cs="宋体"/>
                <w:color w:val="000000" w:themeColor="text1"/>
                <w:kern w:val="0"/>
                <w:sz w:val="20"/>
                <w:szCs w:val="20"/>
                <w:highlight w:val="none"/>
                <w:lang w:bidi="ar"/>
                <w14:textFill>
                  <w14:solidFill>
                    <w14:schemeClr w14:val="tx1"/>
                  </w14:solidFill>
                </w14:textFill>
              </w:rPr>
              <w:t>2.平台支持在电脑、pad、手机等多种终端登录使用。平台同时具备微信公众号，定期推送课程，方便老师碎片化时间学习。</w:t>
            </w:r>
            <w:r>
              <w:rPr>
                <w:rFonts w:hint="eastAsia" w:ascii="宋体" w:hAnsi="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cs="宋体"/>
                <w:color w:val="000000" w:themeColor="text1"/>
                <w:kern w:val="0"/>
                <w:sz w:val="20"/>
                <w:szCs w:val="20"/>
                <w:highlight w:val="none"/>
                <w:lang w:bidi="ar"/>
                <w14:textFill>
                  <w14:solidFill>
                    <w14:schemeClr w14:val="tx1"/>
                  </w14:solidFill>
                </w14:textFill>
              </w:rPr>
              <w:t>3.在平台内，具备为教师准备的常用信息化教学工具培训内容，全面提升教师信息化教学技能。包括ppt、Flash、电子白板软件、微课软件、大小屏互动软件等信息化教学工具的培训内容。</w:t>
            </w:r>
            <w:r>
              <w:rPr>
                <w:rFonts w:hint="eastAsia" w:ascii="宋体" w:hAnsi="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cs="宋体"/>
                <w:color w:val="000000" w:themeColor="text1"/>
                <w:kern w:val="0"/>
                <w:sz w:val="20"/>
                <w:szCs w:val="20"/>
                <w:highlight w:val="none"/>
                <w:lang w:bidi="ar"/>
                <w14:textFill>
                  <w14:solidFill>
                    <w14:schemeClr w14:val="tx1"/>
                  </w14:solidFill>
                </w14:textFill>
              </w:rPr>
              <w:t>4.平台课程主要以视频方式呈现，多个视频形成体系化的课程，且视频内容短小精悍、易学易懂。</w:t>
            </w:r>
            <w:r>
              <w:rPr>
                <w:rFonts w:hint="eastAsia" w:ascii="宋体" w:hAnsi="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cs="宋体"/>
                <w:color w:val="000000" w:themeColor="text1"/>
                <w:kern w:val="0"/>
                <w:sz w:val="20"/>
                <w:szCs w:val="20"/>
                <w:highlight w:val="none"/>
                <w:lang w:bidi="ar"/>
                <w14:textFill>
                  <w14:solidFill>
                    <w14:schemeClr w14:val="tx1"/>
                  </w14:solidFill>
                </w14:textFill>
              </w:rPr>
              <w:t>5.课程浏览页面需具备基本的讲师介绍、课程介绍、课程目录、课程相关软件下载，可直接看到课程的在学人数，且支持课程分享到各大主流社交平台。</w:t>
            </w:r>
            <w:r>
              <w:rPr>
                <w:rFonts w:hint="eastAsia" w:ascii="宋体" w:hAnsi="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cs="宋体"/>
                <w:color w:val="000000" w:themeColor="text1"/>
                <w:kern w:val="0"/>
                <w:sz w:val="20"/>
                <w:szCs w:val="20"/>
                <w:highlight w:val="none"/>
                <w:lang w:bidi="ar"/>
                <w14:textFill>
                  <w14:solidFill>
                    <w14:schemeClr w14:val="tx1"/>
                  </w14:solidFill>
                </w14:textFill>
              </w:rPr>
              <w:t>十二、学生评价与家校互通系统</w:t>
            </w:r>
            <w:r>
              <w:rPr>
                <w:rFonts w:hint="eastAsia" w:ascii="宋体" w:hAnsi="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cs="宋体"/>
                <w:color w:val="000000" w:themeColor="text1"/>
                <w:kern w:val="0"/>
                <w:sz w:val="20"/>
                <w:szCs w:val="20"/>
                <w:highlight w:val="none"/>
                <w:lang w:bidi="ar"/>
                <w14:textFill>
                  <w14:solidFill>
                    <w14:schemeClr w14:val="tx1"/>
                  </w14:solidFill>
                </w14:textFill>
              </w:rPr>
              <w:t xml:space="preserve">1.支持邀请家长入班，使家长可查看到自己的孩子在学校的各种表现。 软件支持同一账号下，老师/家长双重身份切换，满足既是老师又是学生家长的人群需求。 </w:t>
            </w:r>
            <w:r>
              <w:rPr>
                <w:rFonts w:hint="eastAsia" w:ascii="宋体" w:hAnsi="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cs="宋体"/>
                <w:color w:val="000000" w:themeColor="text1"/>
                <w:kern w:val="0"/>
                <w:sz w:val="20"/>
                <w:szCs w:val="20"/>
                <w:highlight w:val="none"/>
                <w:lang w:bidi="ar"/>
                <w14:textFill>
                  <w14:solidFill>
                    <w14:schemeClr w14:val="tx1"/>
                  </w14:solidFill>
                </w14:textFill>
              </w:rPr>
              <w:t xml:space="preserve">2.学生行为评价系统，能实现学校管理中心、教师管理中心、课堂表现评价、家校互联互通等相关功能，功能及操作均在同一软件平台同一账号体系实现。支持多个用户管理同一个班级，从而满足一个班级有班主任和多个任课用户的实际情况。 </w:t>
            </w:r>
            <w:r>
              <w:rPr>
                <w:rFonts w:hint="eastAsia" w:ascii="宋体" w:hAnsi="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cs="宋体"/>
                <w:color w:val="000000" w:themeColor="text1"/>
                <w:kern w:val="0"/>
                <w:sz w:val="20"/>
                <w:szCs w:val="20"/>
                <w:highlight w:val="none"/>
                <w:lang w:bidi="ar"/>
                <w14:textFill>
                  <w14:solidFill>
                    <w14:schemeClr w14:val="tx1"/>
                  </w14:solidFill>
                </w14:textFill>
              </w:rPr>
              <w:t>★3.支持查看课堂表现评价统计报表，按饼状图形式展现学生课堂表现情况，支持查看班级或学生个人的评价情况，并可具体查看到每一条评价的原因、对象，便于用户做统计分析。</w:t>
            </w:r>
            <w:r>
              <w:rPr>
                <w:rFonts w:hint="eastAsia" w:ascii="宋体" w:hAnsi="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cs="宋体"/>
                <w:color w:val="000000" w:themeColor="text1"/>
                <w:kern w:val="0"/>
                <w:sz w:val="20"/>
                <w:szCs w:val="20"/>
                <w:highlight w:val="none"/>
                <w:lang w:bidi="ar"/>
                <w14:textFill>
                  <w14:solidFill>
                    <w14:schemeClr w14:val="tx1"/>
                  </w14:solidFill>
                </w14:textFill>
              </w:rPr>
              <w:t>4.根据评价得分情况，对应小组或学生的头像装饰会升级变化，以游戏化方式激励学生积极参与课堂互动。为提高课堂趣味性，软件支持随机抽选学生进行评价。</w:t>
            </w:r>
            <w:r>
              <w:rPr>
                <w:rFonts w:hint="eastAsia" w:ascii="宋体" w:hAnsi="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cs="宋体"/>
                <w:color w:val="000000" w:themeColor="text1"/>
                <w:kern w:val="0"/>
                <w:sz w:val="20"/>
                <w:szCs w:val="20"/>
                <w:highlight w:val="none"/>
                <w:lang w:bidi="ar"/>
                <w14:textFill>
                  <w14:solidFill>
                    <w14:schemeClr w14:val="tx1"/>
                  </w14:solidFill>
                </w14:textFill>
              </w:rPr>
              <w:t>十三、其他要求：</w:t>
            </w:r>
            <w:r>
              <w:rPr>
                <w:rFonts w:hint="eastAsia" w:ascii="宋体" w:hAnsi="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cs="宋体"/>
                <w:color w:val="000000" w:themeColor="text1"/>
                <w:kern w:val="0"/>
                <w:sz w:val="20"/>
                <w:szCs w:val="20"/>
                <w:highlight w:val="none"/>
                <w:lang w:bidi="ar"/>
                <w14:textFill>
                  <w14:solidFill>
                    <w14:schemeClr w14:val="tx1"/>
                  </w14:solidFill>
                </w14:textFill>
              </w:rPr>
              <w:t>1.为确保货物质量及原厂品质，中标供应商在正式供货时必须提供生产厂家针对此项目的售后服务保证原件、供货证明原件，否则采购方将不予验收通过。</w:t>
            </w:r>
            <w:r>
              <w:rPr>
                <w:rFonts w:hint="eastAsia" w:ascii="宋体" w:hAnsi="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cs="宋体"/>
                <w:color w:val="000000" w:themeColor="text1"/>
                <w:kern w:val="0"/>
                <w:sz w:val="20"/>
                <w:szCs w:val="20"/>
                <w:highlight w:val="none"/>
                <w:lang w:bidi="ar"/>
                <w14:textFill>
                  <w14:solidFill>
                    <w14:schemeClr w14:val="tx1"/>
                  </w14:solidFill>
                </w14:textFill>
              </w:rPr>
              <w:t>2.打“★”号条款为重要技术参数，投标人必须满足否则中标无效。中标公示期内若有其他投标人质疑情况下，中标单位必须提供与标书技术要求及功能符合的全部样品一套至用户处进行整体性能与标书文件核对，协助质疑答复。</w:t>
            </w:r>
          </w:p>
        </w:tc>
        <w:tc>
          <w:tcPr>
            <w:tcW w:w="709" w:type="dxa"/>
            <w:shd w:val="clear" w:color="000000" w:fill="FFFFFF"/>
            <w:vAlign w:val="center"/>
          </w:tcPr>
          <w:p>
            <w:pPr>
              <w:widowControl/>
              <w:jc w:val="center"/>
              <w:textAlignment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68</w:t>
            </w:r>
          </w:p>
        </w:tc>
        <w:tc>
          <w:tcPr>
            <w:tcW w:w="859" w:type="dxa"/>
            <w:shd w:val="clear" w:color="000000" w:fill="FFFFFF"/>
            <w:vAlign w:val="center"/>
          </w:tcPr>
          <w:p>
            <w:pPr>
              <w:widowControl/>
              <w:jc w:val="center"/>
              <w:textAlignment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477" w:type="dxa"/>
            <w:shd w:val="clear" w:color="000000" w:fill="FFFFFF"/>
            <w:vAlign w:val="center"/>
          </w:tcPr>
          <w:p>
            <w:pPr>
              <w:widowControl/>
              <w:jc w:val="center"/>
              <w:textAlignment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2</w:t>
            </w:r>
          </w:p>
        </w:tc>
        <w:tc>
          <w:tcPr>
            <w:tcW w:w="654" w:type="dxa"/>
            <w:shd w:val="clear" w:color="000000" w:fill="FFFFFF"/>
            <w:vAlign w:val="center"/>
          </w:tcPr>
          <w:p>
            <w:pPr>
              <w:widowControl/>
              <w:jc w:val="center"/>
              <w:textAlignment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多媒体设备集中管理控制系统</w:t>
            </w:r>
          </w:p>
        </w:tc>
        <w:tc>
          <w:tcPr>
            <w:tcW w:w="6628" w:type="dxa"/>
            <w:shd w:val="clear" w:color="000000" w:fill="FFFFFF"/>
            <w:vAlign w:val="center"/>
          </w:tcPr>
          <w:p>
            <w:pPr>
              <w:widowControl/>
              <w:jc w:val="left"/>
              <w:textAlignment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 xml:space="preserve">1、管理平台采用B/S混合云架构设计，无需本地额外部署服务器等设备即可实现对教学信息化设备运行数据的监测2、Windows、Linux、Android、IOS等多种操作系统通过网页浏览器登陆操作，提供多种智能身份识别方式：支持通过账号登录、手机扫码登录等方式，方便用户使用。管理平台提供管理员移动管理平台，免安装并支持Android、IOS等多种移动操作系统，便于远程管理及告警信息通知。3、平台支持对全校智慧教室的教学信息化设备进行集中运维管理和策略部署，支持与交互智能教学设备、学生智能终端等教学设备的底层系统无缝对接。★4、管理平台实时监测已连接的交互智能设备状态，支持不少于10台设备的略缩预览以及单设备全屏查看；可远程监测交互智能设备开关机状态、CPU温度、CPU使用率、硬盘空间、硬盘使用状况、内存容量、内存使用率、受控端系统版本、设备ID等设备数据。5、管理平台可对局域网内的交互智能终端进行远程实时控制，能够监测设备当前运行界面，并远程对设备操作界面进行控制。6、管理平台可控制连接广域网的交互智能设备整机关机、开机和重启；可批量设定智能设备开关机的执行时间，并支持自定义日循环执行，预约定时执行。7、管理平台可远程对选定的交互智能设备推送动态文字滚动公告，可对公告文字的颜色、粗体以及播放次数、推送时间进行设置。8、管理平台可远程开启指定交互智能设备倒计日功能并设定倒计日截止日期，便于重大教学安排的提醒提示。★9、管理平台支持批量对交互智能设备进行软件远程部署，配套专用教学软件批量部署支持静默安装。10、管理平台提供巡课值守模式，自动轮循显示处于运行状态的交互智能设备使用界面。11、管理平台实时显示交互智能设备异常的告警提示，并同步将异常信息推送至管理员移动端工作平台。12、管理平台根据设备日常运行状况综合生成设备健康值，可查看设备健康值排名并进行正序、反序排列。智能学生终端管理13、管理平台支持创建多种管理策略，满足不同使用场景教学管理需求，可对已有管理策略进行编辑删除。14、平台可设置智能学生终端网络访问白名单，学生通过学生终端仅能访问白名单列表授权网址，规范学生上网行为。15、平台可对应用使用进行管理，管理员可管理学生在非教学时段可以启用的应用，规范学生非教学时段使用行为。16、平台可对智能学生终端教学界面模式和桌面壁纸进行自定义设置，便于学校进行校园整体视觉形象规划及塑造班级个性化教学环境。17、平台可管理智能学生终端外接数据接口的通信权限、蓝牙功能、音频外设接口使用权限，规范学生终端使用。18、平台可设定开启学生终端护眼模式的时间计划，支持全校部署时间计划。19、运行数据模块显示当前学生终端在线率以及终端管理有效率，同时包含在线终端数量、接入系统平台的终端数量和学校所有终端数量，展现全校使用情况。★20、终端列表可查看终端信息，包含终端型号、系统版本号、Mac地址、SN号、在线状态、所属学生、所在班级、应用管理策略、配置生效状态、剩余电量等基本信息。管理员可增删终端并依据基础信息快速筛选搜索设备，提高管理效率。 </w:t>
            </w:r>
          </w:p>
        </w:tc>
        <w:tc>
          <w:tcPr>
            <w:tcW w:w="709" w:type="dxa"/>
            <w:shd w:val="clear" w:color="000000" w:fill="FFFFFF"/>
            <w:vAlign w:val="center"/>
          </w:tcPr>
          <w:p>
            <w:pPr>
              <w:widowControl/>
              <w:jc w:val="center"/>
              <w:textAlignment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68</w:t>
            </w:r>
          </w:p>
        </w:tc>
        <w:tc>
          <w:tcPr>
            <w:tcW w:w="859" w:type="dxa"/>
            <w:shd w:val="clear" w:color="000000" w:fill="FFFFFF"/>
            <w:vAlign w:val="center"/>
          </w:tcPr>
          <w:p>
            <w:pPr>
              <w:widowControl/>
              <w:jc w:val="center"/>
              <w:textAlignment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477" w:type="dxa"/>
            <w:shd w:val="clear" w:color="000000" w:fill="FFFFFF"/>
            <w:vAlign w:val="center"/>
          </w:tcPr>
          <w:p>
            <w:pPr>
              <w:widowControl/>
              <w:jc w:val="center"/>
              <w:textAlignment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3</w:t>
            </w:r>
          </w:p>
        </w:tc>
        <w:tc>
          <w:tcPr>
            <w:tcW w:w="654" w:type="dxa"/>
            <w:shd w:val="clear" w:color="000000" w:fill="FFFFFF"/>
            <w:vAlign w:val="center"/>
          </w:tcPr>
          <w:p>
            <w:pPr>
              <w:widowControl/>
              <w:jc w:val="center"/>
              <w:textAlignment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智能翻页笔</w:t>
            </w:r>
          </w:p>
        </w:tc>
        <w:tc>
          <w:tcPr>
            <w:tcW w:w="6628" w:type="dxa"/>
            <w:shd w:val="clear" w:color="000000" w:fill="FFFFFF"/>
            <w:vAlign w:val="center"/>
          </w:tcPr>
          <w:p>
            <w:pPr>
              <w:widowControl/>
              <w:numPr>
                <w:ilvl w:val="0"/>
                <w:numId w:val="5"/>
              </w:numPr>
              <w:jc w:val="left"/>
              <w:textAlignment w:val="center"/>
              <w:rPr>
                <w:rFonts w:ascii="宋体" w:hAnsi="宋体" w:cs="宋体"/>
                <w:color w:val="000000" w:themeColor="text1"/>
                <w:kern w:val="0"/>
                <w:sz w:val="20"/>
                <w:szCs w:val="20"/>
                <w:highlight w:val="none"/>
                <w:lang w:bidi="ar"/>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采用笔型设计，具有三个遥控按键（上下翻页和功能键），既可用于触  摸书写，也可用于远程操控。</w:t>
            </w:r>
          </w:p>
          <w:p>
            <w:pPr>
              <w:widowControl/>
              <w:textAlignment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2. 采用2.4G无线连接技术，无线接收距离最大可达15米。</w:t>
            </w:r>
            <w:r>
              <w:rPr>
                <w:rFonts w:hint="eastAsia" w:ascii="宋体" w:hAnsi="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cs="宋体"/>
                <w:color w:val="000000" w:themeColor="text1"/>
                <w:kern w:val="0"/>
                <w:sz w:val="20"/>
                <w:szCs w:val="20"/>
                <w:highlight w:val="none"/>
                <w:lang w:bidi="ar"/>
                <w14:textFill>
                  <w14:solidFill>
                    <w14:schemeClr w14:val="tx1"/>
                  </w14:solidFill>
                </w14:textFill>
              </w:rPr>
              <w:t>3. 无线接收器采用微型nano设计，并能收纳在笔上，整洁美观。</w:t>
            </w:r>
            <w:r>
              <w:rPr>
                <w:rFonts w:hint="eastAsia" w:ascii="宋体" w:hAnsi="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cs="宋体"/>
                <w:color w:val="000000" w:themeColor="text1"/>
                <w:kern w:val="0"/>
                <w:sz w:val="20"/>
                <w:szCs w:val="20"/>
                <w:highlight w:val="none"/>
                <w:lang w:bidi="ar"/>
                <w14:textFill>
                  <w14:solidFill>
                    <w14:schemeClr w14:val="tx1"/>
                  </w14:solidFill>
                </w14:textFill>
              </w:rPr>
              <w:t>4. 使用单节7号电池驱动，并带自动休眠节电设计。</w:t>
            </w:r>
            <w:r>
              <w:rPr>
                <w:rFonts w:hint="eastAsia" w:ascii="宋体" w:hAnsi="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cs="宋体"/>
                <w:color w:val="000000" w:themeColor="text1"/>
                <w:kern w:val="0"/>
                <w:sz w:val="20"/>
                <w:szCs w:val="20"/>
                <w:highlight w:val="none"/>
                <w:lang w:bidi="ar"/>
                <w14:textFill>
                  <w14:solidFill>
                    <w14:schemeClr w14:val="tx1"/>
                  </w14:solidFill>
                </w14:textFill>
              </w:rPr>
              <w:t>5. 单接收器设计，android、windows双系统同时响应。只需安装一个接收器，双系统都能响应智能笔的操作指令。</w:t>
            </w:r>
            <w:r>
              <w:rPr>
                <w:rFonts w:hint="eastAsia" w:ascii="宋体" w:hAnsi="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cs="宋体"/>
                <w:color w:val="000000" w:themeColor="text1"/>
                <w:kern w:val="0"/>
                <w:sz w:val="20"/>
                <w:szCs w:val="20"/>
                <w:highlight w:val="none"/>
                <w:lang w:bidi="ar"/>
                <w14:textFill>
                  <w14:solidFill>
                    <w14:schemeClr w14:val="tx1"/>
                  </w14:solidFill>
                </w14:textFill>
              </w:rPr>
              <w:t>6. 支持白板课件、PPT、PDF等多种格式的课件进行远程无线翻页。</w:t>
            </w:r>
            <w:r>
              <w:rPr>
                <w:rFonts w:hint="eastAsia" w:ascii="宋体" w:hAnsi="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cs="宋体"/>
                <w:color w:val="000000" w:themeColor="text1"/>
                <w:kern w:val="0"/>
                <w:sz w:val="20"/>
                <w:szCs w:val="20"/>
                <w:highlight w:val="none"/>
                <w:lang w:bidi="ar"/>
                <w14:textFill>
                  <w14:solidFill>
                    <w14:schemeClr w14:val="tx1"/>
                  </w14:solidFill>
                </w14:textFill>
              </w:rPr>
              <w:t>7. 功能按键可通过长按/短按实现两种快捷功能，方便教师操作。</w:t>
            </w:r>
            <w:r>
              <w:rPr>
                <w:rFonts w:hint="eastAsia" w:ascii="宋体" w:hAnsi="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cs="宋体"/>
                <w:color w:val="000000" w:themeColor="text1"/>
                <w:kern w:val="0"/>
                <w:sz w:val="20"/>
                <w:szCs w:val="20"/>
                <w:highlight w:val="none"/>
                <w:lang w:bidi="ar"/>
                <w14:textFill>
                  <w14:solidFill>
                    <w14:schemeClr w14:val="tx1"/>
                  </w14:solidFill>
                </w14:textFill>
              </w:rPr>
              <w:t>8. 支持自定义按键功能，可选功能包括：一键启动任意通道批注、一键启动/退出PPT播放、一键启动PPT批注、一键启动任意通道冻结与放大屏幕内容。</w:t>
            </w:r>
          </w:p>
        </w:tc>
        <w:tc>
          <w:tcPr>
            <w:tcW w:w="709" w:type="dxa"/>
            <w:shd w:val="clear" w:color="000000" w:fill="FFFFFF"/>
            <w:vAlign w:val="center"/>
          </w:tcPr>
          <w:p>
            <w:pPr>
              <w:widowControl/>
              <w:jc w:val="center"/>
              <w:textAlignment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68</w:t>
            </w:r>
          </w:p>
        </w:tc>
        <w:tc>
          <w:tcPr>
            <w:tcW w:w="859" w:type="dxa"/>
            <w:shd w:val="clear" w:color="000000" w:fill="FFFFFF"/>
            <w:vAlign w:val="center"/>
          </w:tcPr>
          <w:p>
            <w:pPr>
              <w:widowControl/>
              <w:jc w:val="center"/>
              <w:textAlignment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477" w:type="dxa"/>
            <w:shd w:val="clear" w:color="000000" w:fill="FFFFFF"/>
            <w:vAlign w:val="center"/>
          </w:tcPr>
          <w:p>
            <w:pPr>
              <w:widowControl/>
              <w:jc w:val="center"/>
              <w:textAlignment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4</w:t>
            </w:r>
          </w:p>
        </w:tc>
        <w:tc>
          <w:tcPr>
            <w:tcW w:w="654" w:type="dxa"/>
            <w:shd w:val="clear" w:color="000000" w:fill="FFFFFF"/>
            <w:vAlign w:val="center"/>
          </w:tcPr>
          <w:p>
            <w:pPr>
              <w:widowControl/>
              <w:jc w:val="center"/>
              <w:textAlignment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壁挂式展台</w:t>
            </w:r>
          </w:p>
        </w:tc>
        <w:tc>
          <w:tcPr>
            <w:tcW w:w="6628" w:type="dxa"/>
            <w:shd w:val="clear" w:color="000000" w:fill="FFFFFF"/>
            <w:vAlign w:val="center"/>
          </w:tcPr>
          <w:p>
            <w:pPr>
              <w:widowControl/>
              <w:jc w:val="left"/>
              <w:textAlignment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1、采用壁挂机箱设计，整机尺寸：250*380*60(mm)</w:t>
            </w:r>
            <w:r>
              <w:rPr>
                <w:rFonts w:hint="eastAsia" w:ascii="宋体" w:hAnsi="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cs="宋体"/>
                <w:color w:val="000000" w:themeColor="text1"/>
                <w:kern w:val="0"/>
                <w:sz w:val="20"/>
                <w:szCs w:val="20"/>
                <w:highlight w:val="none"/>
                <w:lang w:bidi="ar"/>
                <w14:textFill>
                  <w14:solidFill>
                    <w14:schemeClr w14:val="tx1"/>
                  </w14:solidFill>
                </w14:textFill>
              </w:rPr>
              <w:t>2、为了延长视频展台使用寿命，保证教学过程中不受光源变化等因素影响，防止镜头频繁聚焦使图像抖动闪烁，导致体验感差，本机使用不低于800万像素高清定焦COMS镜头，采用高强度环保材质机身，不少于10种分辨率可选择，最高依次为3000*4000（拍照像素1200万）、3264*2448、2592*1944、1920*1080P等，高清像素画面帧率可达到15帧，可拍摄≥A4画幅文本、图像等；</w:t>
            </w:r>
            <w:r>
              <w:rPr>
                <w:rFonts w:hint="eastAsia" w:ascii="宋体" w:hAnsi="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cs="宋体"/>
                <w:color w:val="000000" w:themeColor="text1"/>
                <w:kern w:val="0"/>
                <w:sz w:val="20"/>
                <w:szCs w:val="20"/>
                <w:highlight w:val="none"/>
                <w:lang w:bidi="ar"/>
                <w14:textFill>
                  <w14:solidFill>
                    <w14:schemeClr w14:val="tx1"/>
                  </w14:solidFill>
                </w14:textFill>
              </w:rPr>
              <w:t>3、采用单根USB线实现展台供电、高清图像数据传输需求，整机自带磨砂均光罩LED10粒补光灯，光线不足时可进行亮度补充，亮度均匀，采用四级触摸循环调光设计；</w:t>
            </w:r>
            <w:r>
              <w:rPr>
                <w:rFonts w:hint="eastAsia" w:ascii="宋体" w:hAnsi="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cs="宋体"/>
                <w:color w:val="000000" w:themeColor="text1"/>
                <w:kern w:val="0"/>
                <w:sz w:val="20"/>
                <w:szCs w:val="20"/>
                <w:highlight w:val="none"/>
                <w:lang w:bidi="ar"/>
                <w14:textFill>
                  <w14:solidFill>
                    <w14:schemeClr w14:val="tx1"/>
                  </w14:solidFill>
                </w14:textFill>
              </w:rPr>
              <w:t>4、解像度：≥1200TV线；图像特技：亮度、对比度、清晰度、饱和度、锐度、逆光对比、色彩调整、伽马、图像增益等；</w:t>
            </w:r>
            <w:r>
              <w:rPr>
                <w:rFonts w:hint="eastAsia" w:ascii="宋体" w:hAnsi="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cs="宋体"/>
                <w:color w:val="000000" w:themeColor="text1"/>
                <w:kern w:val="0"/>
                <w:sz w:val="20"/>
                <w:szCs w:val="20"/>
                <w:highlight w:val="none"/>
                <w:lang w:bidi="ar"/>
                <w14:textFill>
                  <w14:solidFill>
                    <w14:schemeClr w14:val="tx1"/>
                  </w14:solidFill>
                </w14:textFill>
              </w:rPr>
              <w:t>5、24位图像真彩色，自动补光；多种获取图片格式JPG，TIF，PNG，BMP等；输出格式为：PDF、TXT、DOC；</w:t>
            </w:r>
            <w:r>
              <w:rPr>
                <w:rFonts w:hint="eastAsia" w:ascii="宋体" w:hAnsi="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cs="宋体"/>
                <w:color w:val="000000" w:themeColor="text1"/>
                <w:kern w:val="0"/>
                <w:sz w:val="20"/>
                <w:szCs w:val="20"/>
                <w:highlight w:val="none"/>
                <w:lang w:bidi="ar"/>
                <w14:textFill>
                  <w14:solidFill>
                    <w14:schemeClr w14:val="tx1"/>
                  </w14:solidFill>
                </w14:textFill>
              </w:rPr>
              <w:t>软件参数：</w:t>
            </w:r>
            <w:r>
              <w:rPr>
                <w:rFonts w:hint="eastAsia" w:ascii="宋体" w:hAnsi="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cs="宋体"/>
                <w:color w:val="000000" w:themeColor="text1"/>
                <w:kern w:val="0"/>
                <w:sz w:val="20"/>
                <w:szCs w:val="20"/>
                <w:highlight w:val="none"/>
                <w:lang w:bidi="ar"/>
                <w14:textFill>
                  <w14:solidFill>
                    <w14:schemeClr w14:val="tx1"/>
                  </w14:solidFill>
                </w14:textFill>
              </w:rPr>
              <w:t xml:space="preserve">1.开启一键快速进入视频展台拍摄模式（启动时间小于2秒），减少用户在电脑桌面搜寻视频展台软件界面，配有8个一级分列菜单，分别是开启视频展台、调取PPT、视频录屏录像并可选择区域、图像对比、快速抓图、一键桌面、一键退出等快捷功能键，中文对应标注，软件每个界面都具有快速导航跳转功能，方便用户快速进行功能切换，可返回可退出界面； </w:t>
            </w:r>
            <w:r>
              <w:rPr>
                <w:rFonts w:hint="eastAsia" w:ascii="宋体" w:hAnsi="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cs="宋体"/>
                <w:color w:val="000000" w:themeColor="text1"/>
                <w:kern w:val="0"/>
                <w:sz w:val="20"/>
                <w:szCs w:val="20"/>
                <w:highlight w:val="none"/>
                <w:lang w:bidi="ar"/>
                <w14:textFill>
                  <w14:solidFill>
                    <w14:schemeClr w14:val="tx1"/>
                  </w14:solidFill>
                </w14:textFill>
              </w:rPr>
              <w:t>2.通过软件视频展示可以实现动态即时旋转和视频显示内容能够以鼠标所在点为中心，可以实现画面360°手势流畅无极旋转；实时按照5%梯度进行无级自由缩放达2000%，软件底部快捷功能键带画中画（大小摄像头可以一键互换）、放大、缩小、分辨率选择、视频窗口冻结、一键全屏、实际大小等快捷功能，可实现色彩、对比度、亮度调节、光学展台变焦控制（需带光学镜头）等；</w:t>
            </w:r>
            <w:r>
              <w:rPr>
                <w:rFonts w:hint="eastAsia" w:ascii="宋体" w:hAnsi="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cs="宋体"/>
                <w:color w:val="000000" w:themeColor="text1"/>
                <w:kern w:val="0"/>
                <w:sz w:val="20"/>
                <w:szCs w:val="20"/>
                <w:highlight w:val="none"/>
                <w:lang w:bidi="ar"/>
                <w14:textFill>
                  <w14:solidFill>
                    <w14:schemeClr w14:val="tx1"/>
                  </w14:solidFill>
                </w14:textFill>
              </w:rPr>
              <w:t>3.可以在任意界面上（包括视频展台、PPT、网页界面等）自由划线标注，批注流畅，支持16位255种彩色标注，透明度可设，可保存、局部擦除、全屏擦除; 支持在电脑的任意画面下进行批注并保存，批注流畅线条清晰无锯齿纹，批注栏可隐藏和打开；双击可实现左右功能栏移位互换；</w:t>
            </w:r>
            <w:r>
              <w:rPr>
                <w:rFonts w:hint="eastAsia" w:ascii="宋体" w:hAnsi="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cs="宋体"/>
                <w:color w:val="000000" w:themeColor="text1"/>
                <w:kern w:val="0"/>
                <w:sz w:val="20"/>
                <w:szCs w:val="20"/>
                <w:highlight w:val="none"/>
                <w:lang w:bidi="ar"/>
                <w14:textFill>
                  <w14:solidFill>
                    <w14:schemeClr w14:val="tx1"/>
                  </w14:solidFill>
                </w14:textFill>
              </w:rPr>
              <w:t>4.支持同屏多画面对比教学功能：具有1、2、3、4、16画面同屏展示并可相互间实时切换、分别控制放大、缩小、旋转、保存、文字输入和白板标注，进行逐一对比教学；每一个小屏画面均可同时实时调取展台视频即时画面，最多可16屏同时实时视频展示，并可单独旋转，缩放，编辑；每一个分屏均可实现视频与图片的互相切换；内置图像和文本双模式一键切换，贴切用户使用习惯；</w:t>
            </w:r>
            <w:r>
              <w:rPr>
                <w:rFonts w:hint="eastAsia" w:ascii="宋体" w:hAnsi="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cs="宋体"/>
                <w:color w:val="000000" w:themeColor="text1"/>
                <w:kern w:val="0"/>
                <w:sz w:val="20"/>
                <w:szCs w:val="20"/>
                <w:highlight w:val="none"/>
                <w:lang w:bidi="ar"/>
                <w14:textFill>
                  <w14:solidFill>
                    <w14:schemeClr w14:val="tx1"/>
                  </w14:solidFill>
                </w14:textFill>
              </w:rPr>
              <w:t>5.聚光灯模式，可用于突出和强调重点内容，聚光区域可进行自由拖动并且调节画面大小；内置式展台使用故障排查排除功能，在用户使用过程中能轻松处理基本故障；</w:t>
            </w:r>
            <w:r>
              <w:rPr>
                <w:rFonts w:hint="eastAsia" w:ascii="宋体" w:hAnsi="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cs="宋体"/>
                <w:color w:val="000000" w:themeColor="text1"/>
                <w:kern w:val="0"/>
                <w:sz w:val="20"/>
                <w:szCs w:val="20"/>
                <w:highlight w:val="none"/>
                <w:lang w:bidi="ar"/>
                <w14:textFill>
                  <w14:solidFill>
                    <w14:schemeClr w14:val="tx1"/>
                  </w14:solidFill>
                </w14:textFill>
              </w:rPr>
              <w:t>6.具有课件制作扫描和文档采集管理功能：支持自动连续扫描拍照，时间速度可设；支持局部框选拍照，拍照画面大小随意设置、保存；内置电子文档识别文字功能（OCR）,文字识别率高，方便编辑使用；</w:t>
            </w:r>
            <w:r>
              <w:rPr>
                <w:rFonts w:hint="eastAsia" w:ascii="宋体" w:hAnsi="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cs="宋体"/>
                <w:color w:val="000000" w:themeColor="text1"/>
                <w:kern w:val="0"/>
                <w:sz w:val="20"/>
                <w:szCs w:val="20"/>
                <w:highlight w:val="none"/>
                <w:lang w:bidi="ar"/>
                <w14:textFill>
                  <w14:solidFill>
                    <w14:schemeClr w14:val="tx1"/>
                  </w14:solidFill>
                </w14:textFill>
              </w:rPr>
              <w:t>7.可做动态视频录制，录像格式为AVI，录像画面大小可以框选调节，可将电脑桌面和展台画面切换录制，带内置远距离高保真麦克风录音功能，方便进行微课制作；</w:t>
            </w:r>
          </w:p>
        </w:tc>
        <w:tc>
          <w:tcPr>
            <w:tcW w:w="709" w:type="dxa"/>
            <w:shd w:val="clear" w:color="000000" w:fill="FFFFFF"/>
            <w:vAlign w:val="center"/>
          </w:tcPr>
          <w:p>
            <w:pPr>
              <w:widowControl/>
              <w:jc w:val="center"/>
              <w:textAlignment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68</w:t>
            </w:r>
          </w:p>
        </w:tc>
        <w:tc>
          <w:tcPr>
            <w:tcW w:w="859" w:type="dxa"/>
            <w:shd w:val="clear" w:color="000000" w:fill="FFFFFF"/>
            <w:vAlign w:val="center"/>
          </w:tcPr>
          <w:p>
            <w:pPr>
              <w:widowControl/>
              <w:jc w:val="center"/>
              <w:textAlignment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477" w:type="dxa"/>
            <w:shd w:val="clear" w:color="000000" w:fill="FFFFFF"/>
            <w:vAlign w:val="center"/>
          </w:tcPr>
          <w:p>
            <w:pPr>
              <w:widowControl/>
              <w:jc w:val="center"/>
              <w:textAlignment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5</w:t>
            </w:r>
          </w:p>
        </w:tc>
        <w:tc>
          <w:tcPr>
            <w:tcW w:w="654" w:type="dxa"/>
            <w:shd w:val="clear" w:color="000000" w:fill="FFFFFF"/>
            <w:vAlign w:val="center"/>
          </w:tcPr>
          <w:p>
            <w:pPr>
              <w:widowControl/>
              <w:jc w:val="center"/>
              <w:textAlignment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推拉黑板</w:t>
            </w:r>
          </w:p>
        </w:tc>
        <w:tc>
          <w:tcPr>
            <w:tcW w:w="6628" w:type="dxa"/>
            <w:shd w:val="clear" w:color="000000" w:fill="FFFFFF"/>
            <w:vAlign w:val="center"/>
          </w:tcPr>
          <w:p>
            <w:pPr>
              <w:widowControl/>
              <w:jc w:val="left"/>
              <w:textAlignment w:val="center"/>
              <w:rPr>
                <w:rFonts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color w:val="000000" w:themeColor="text1"/>
                <w:highlight w:val="none"/>
                <w14:textFill>
                  <w14:solidFill>
                    <w14:schemeClr w14:val="tx1"/>
                  </w14:solidFill>
                </w14:textFill>
              </w:rPr>
              <w:t>外观基本尺寸：400cm*130cm*10cm(根据电子白板尺寸或一体机尺寸调整黑板尺寸)，复合黑板前边二块活动绿板，后边二块固定绿板；</w:t>
            </w:r>
            <w:r>
              <w:rPr>
                <w:rFonts w:hint="eastAsia"/>
                <w:color w:val="000000" w:themeColor="text1"/>
                <w:highlight w:val="none"/>
                <w14:textFill>
                  <w14:solidFill>
                    <w14:schemeClr w14:val="tx1"/>
                  </w14:solidFill>
                </w14:textFill>
              </w:rPr>
              <w:br w:type="textWrapping"/>
            </w:r>
            <w:r>
              <w:rPr>
                <w:rFonts w:hint="eastAsia"/>
                <w:color w:val="000000" w:themeColor="text1"/>
                <w:highlight w:val="none"/>
                <w14:textFill>
                  <w14:solidFill>
                    <w14:schemeClr w14:val="tx1"/>
                  </w14:solidFill>
                </w14:textFill>
              </w:rPr>
              <w:t>整体需保证与电子白板尺寸或一体机尺寸有效对接；并可根据学校实际情况进行调整电子白板或一体机偏左/偏右安装方式及黑板的尺寸；活动黑板可锁定位置；推拉顺畅（自如），无卡挤现象和尖锐的摩擦声，稳定性好；可以实现对活动黑板的锁定；统一锁，统一钥匙，一把钥匙开所有的锁；</w:t>
            </w:r>
            <w:r>
              <w:rPr>
                <w:rFonts w:hint="eastAsia"/>
                <w:color w:val="000000" w:themeColor="text1"/>
                <w:highlight w:val="none"/>
                <w14:textFill>
                  <w14:solidFill>
                    <w14:schemeClr w14:val="tx1"/>
                  </w14:solidFill>
                </w14:textFill>
              </w:rPr>
              <w:br w:type="textWrapping"/>
            </w:r>
            <w:r>
              <w:rPr>
                <w:rFonts w:hint="eastAsia"/>
                <w:color w:val="000000" w:themeColor="text1"/>
                <w:highlight w:val="none"/>
                <w14:textFill>
                  <w14:solidFill>
                    <w14:schemeClr w14:val="tx1"/>
                  </w14:solidFill>
                </w14:textFill>
              </w:rPr>
              <w:t>1、书写面材质:材料采用优质烤漆钢板，板面基板厚度≥0.3mm, 表面贴覆写水溶性粉笔绿膜，整板无拼接，不变形；颜色：深绿色；无明显眩光，不反光，有效保护学生视力；人性化设计：黑板设有不会被擦掉的暗线，暗线横纵间距为2.5-5厘米，且暗线未在板面上突出影响书写；</w:t>
            </w:r>
            <w:r>
              <w:rPr>
                <w:rFonts w:hint="eastAsia"/>
                <w:color w:val="000000" w:themeColor="text1"/>
                <w:highlight w:val="none"/>
                <w14:textFill>
                  <w14:solidFill>
                    <w14:schemeClr w14:val="tx1"/>
                  </w14:solidFill>
                </w14:textFill>
              </w:rPr>
              <w:br w:type="textWrapping"/>
            </w:r>
            <w:r>
              <w:rPr>
                <w:rFonts w:hint="eastAsia"/>
                <w:color w:val="000000" w:themeColor="text1"/>
                <w:highlight w:val="none"/>
                <w14:textFill>
                  <w14:solidFill>
                    <w14:schemeClr w14:val="tx1"/>
                  </w14:solidFill>
                </w14:textFill>
              </w:rPr>
              <w:t>书写性：用水溶性粉笔、液体粉笔书写，手感流畅、摩擦力适度，笔记均匀、线条明显，易写易擦；</w:t>
            </w:r>
            <w:r>
              <w:rPr>
                <w:rFonts w:hint="eastAsia"/>
                <w:color w:val="000000" w:themeColor="text1"/>
                <w:highlight w:val="none"/>
                <w14:textFill>
                  <w14:solidFill>
                    <w14:schemeClr w14:val="tx1"/>
                  </w14:solidFill>
                </w14:textFill>
              </w:rPr>
              <w:br w:type="textWrapping"/>
            </w:r>
            <w:r>
              <w:rPr>
                <w:rFonts w:hint="eastAsia"/>
                <w:color w:val="000000" w:themeColor="text1"/>
                <w:highlight w:val="none"/>
                <w14:textFill>
                  <w14:solidFill>
                    <w14:schemeClr w14:val="tx1"/>
                  </w14:solidFill>
                </w14:textFill>
              </w:rPr>
              <w:t>擦拭性：用板擦往复擦拭两遍，无明显残留字迹，无粉尘飞扬；</w:t>
            </w:r>
            <w:r>
              <w:rPr>
                <w:rFonts w:hint="eastAsia"/>
                <w:color w:val="000000" w:themeColor="text1"/>
                <w:highlight w:val="none"/>
                <w14:textFill>
                  <w14:solidFill>
                    <w14:schemeClr w14:val="tx1"/>
                  </w14:solidFill>
                </w14:textFill>
              </w:rPr>
              <w:br w:type="textWrapping"/>
            </w:r>
            <w:r>
              <w:rPr>
                <w:rFonts w:hint="eastAsia"/>
                <w:color w:val="000000" w:themeColor="text1"/>
                <w:highlight w:val="none"/>
                <w14:textFill>
                  <w14:solidFill>
                    <w14:schemeClr w14:val="tx1"/>
                  </w14:solidFill>
                </w14:textFill>
              </w:rPr>
              <w:t>2、★黑板滑轮:每块移动黑板必须安装优质滑轮，数目≥12个，正吊滑轮双轨道上下均匀安装，看面不漏轨道、滑轮、螺钉；</w:t>
            </w:r>
            <w:r>
              <w:rPr>
                <w:rFonts w:hint="eastAsia"/>
                <w:color w:val="000000" w:themeColor="text1"/>
                <w:highlight w:val="none"/>
                <w14:textFill>
                  <w14:solidFill>
                    <w14:schemeClr w14:val="tx1"/>
                  </w14:solidFill>
                </w14:textFill>
              </w:rPr>
              <w:br w:type="textWrapping"/>
            </w:r>
            <w:r>
              <w:rPr>
                <w:rFonts w:hint="eastAsia"/>
                <w:color w:val="000000" w:themeColor="text1"/>
                <w:highlight w:val="none"/>
                <w14:textFill>
                  <w14:solidFill>
                    <w14:schemeClr w14:val="tx1"/>
                  </w14:solidFill>
                </w14:textFill>
              </w:rPr>
              <w:t>3、★缓冲垫:黑板左右两侧边框内部安装缓冲垫，隐藏式安装，活动板拉开闭合后与两侧外框无明显缝隙,每侧安装数目≥2个；</w:t>
            </w:r>
            <w:r>
              <w:rPr>
                <w:rFonts w:hint="eastAsia"/>
                <w:color w:val="000000" w:themeColor="text1"/>
                <w:highlight w:val="none"/>
                <w14:textFill>
                  <w14:solidFill>
                    <w14:schemeClr w14:val="tx1"/>
                  </w14:solidFill>
                </w14:textFill>
              </w:rPr>
              <w:br w:type="textWrapping"/>
            </w:r>
            <w:r>
              <w:rPr>
                <w:rFonts w:hint="eastAsia"/>
                <w:color w:val="000000" w:themeColor="text1"/>
                <w:highlight w:val="none"/>
                <w14:textFill>
                  <w14:solidFill>
                    <w14:schemeClr w14:val="tx1"/>
                  </w14:solidFill>
                </w14:textFill>
              </w:rPr>
              <w:t>4、内芯材料:选用吸音、高强度、防潮阻燃聚苯乙烯板，厚度15mm；</w:t>
            </w:r>
            <w:r>
              <w:rPr>
                <w:rFonts w:hint="eastAsia"/>
                <w:color w:val="000000" w:themeColor="text1"/>
                <w:highlight w:val="none"/>
                <w14:textFill>
                  <w14:solidFill>
                    <w14:schemeClr w14:val="tx1"/>
                  </w14:solidFill>
                </w14:textFill>
              </w:rPr>
              <w:br w:type="textWrapping"/>
            </w:r>
            <w:r>
              <w:rPr>
                <w:rFonts w:hint="eastAsia"/>
                <w:color w:val="000000" w:themeColor="text1"/>
                <w:highlight w:val="none"/>
                <w14:textFill>
                  <w14:solidFill>
                    <w14:schemeClr w14:val="tx1"/>
                  </w14:solidFill>
                </w14:textFill>
              </w:rPr>
              <w:t>5、★背板:材料为优质镀锌蓝色彩涂板，厚度≥0.2mm；采用环保型双组份聚氨酯胶水，自动化流水线覆板作业，牵引、滴胶、刷胶、压固、切割下料一次完成，背板纵向间隔80mm压有加强筋，胶水60秒钟即100%固化定型，确保粘接牢固板面平整；</w:t>
            </w:r>
            <w:r>
              <w:rPr>
                <w:rFonts w:hint="eastAsia"/>
                <w:color w:val="000000" w:themeColor="text1"/>
                <w:highlight w:val="none"/>
                <w14:textFill>
                  <w14:solidFill>
                    <w14:schemeClr w14:val="tx1"/>
                  </w14:solidFill>
                </w14:textFill>
              </w:rPr>
              <w:br w:type="textWrapping"/>
            </w:r>
            <w:r>
              <w:rPr>
                <w:rFonts w:hint="eastAsia"/>
                <w:color w:val="000000" w:themeColor="text1"/>
                <w:highlight w:val="none"/>
                <w14:textFill>
                  <w14:solidFill>
                    <w14:schemeClr w14:val="tx1"/>
                  </w14:solidFill>
                </w14:textFill>
              </w:rPr>
              <w:t>6、★边框材料:高级电泳香槟色铝合金；外框上下左右边框规格均为外框≥50mm*100mm，边框轨道后半部分必须为管状结构提高框架硬度，上轨道为双U型轨道使活动板滑动时受力均匀；活动板T型垂直吊装，不接受其它轨道结构及偏装设计;内边框≥38mm*20mm；连接可靠牢固，接缝平整、光滑；包角材料:抗疲劳ABS工程塑料，模具一次成型；</w:t>
            </w:r>
            <w:r>
              <w:rPr>
                <w:rFonts w:hint="eastAsia"/>
                <w:color w:val="000000" w:themeColor="text1"/>
                <w:highlight w:val="none"/>
                <w14:textFill>
                  <w14:solidFill>
                    <w14:schemeClr w14:val="tx1"/>
                  </w14:solidFill>
                </w14:textFill>
              </w:rPr>
              <w:br w:type="textWrapping"/>
            </w:r>
            <w:r>
              <w:rPr>
                <w:rFonts w:hint="eastAsia"/>
                <w:color w:val="000000" w:themeColor="text1"/>
                <w:highlight w:val="none"/>
                <w14:textFill>
                  <w14:solidFill>
                    <w14:schemeClr w14:val="tx1"/>
                  </w14:solidFill>
                </w14:textFill>
              </w:rPr>
              <w:t>7、配套耗材数量及要求</w:t>
            </w:r>
            <w:r>
              <w:rPr>
                <w:rFonts w:hint="eastAsia"/>
                <w:color w:val="000000" w:themeColor="text1"/>
                <w:highlight w:val="none"/>
                <w14:textFill>
                  <w14:solidFill>
                    <w14:schemeClr w14:val="tx1"/>
                  </w14:solidFill>
                </w14:textFill>
              </w:rPr>
              <w:br w:type="textWrapping"/>
            </w:r>
            <w:r>
              <w:rPr>
                <w:rFonts w:hint="eastAsia"/>
                <w:color w:val="000000" w:themeColor="text1"/>
                <w:highlight w:val="none"/>
                <w14:textFill>
                  <w14:solidFill>
                    <w14:schemeClr w14:val="tx1"/>
                  </w14:solidFill>
                </w14:textFill>
              </w:rPr>
              <w:t>（1）水溶性粉笔4盒（每套黑板），白色2盒及彩色2盒。</w:t>
            </w:r>
            <w:r>
              <w:rPr>
                <w:rFonts w:hint="eastAsia"/>
                <w:color w:val="000000" w:themeColor="text1"/>
                <w:highlight w:val="none"/>
                <w14:textFill>
                  <w14:solidFill>
                    <w14:schemeClr w14:val="tx1"/>
                  </w14:solidFill>
                </w14:textFill>
              </w:rPr>
              <w:br w:type="textWrapping"/>
            </w:r>
            <w:r>
              <w:rPr>
                <w:rFonts w:hint="eastAsia"/>
                <w:color w:val="000000" w:themeColor="text1"/>
                <w:highlight w:val="none"/>
                <w14:textFill>
                  <w14:solidFill>
                    <w14:schemeClr w14:val="tx1"/>
                  </w14:solidFill>
                </w14:textFill>
              </w:rPr>
              <w:t>展色度：白色&gt;90，湿写白度&gt;95，各色干湿写字迹清晰；</w:t>
            </w:r>
            <w:r>
              <w:rPr>
                <w:rFonts w:hint="eastAsia"/>
                <w:color w:val="000000" w:themeColor="text1"/>
                <w:highlight w:val="none"/>
                <w14:textFill>
                  <w14:solidFill>
                    <w14:schemeClr w14:val="tx1"/>
                  </w14:solidFill>
                </w14:textFill>
              </w:rPr>
              <w:br w:type="textWrapping"/>
            </w:r>
            <w:r>
              <w:rPr>
                <w:rFonts w:hint="eastAsia"/>
                <w:color w:val="000000" w:themeColor="text1"/>
                <w:highlight w:val="none"/>
                <w14:textFill>
                  <w14:solidFill>
                    <w14:schemeClr w14:val="tx1"/>
                  </w14:solidFill>
                </w14:textFill>
              </w:rPr>
              <w:t>可擦性：用润湿板擦来回两次擦拭可清除字迹，且不留痕迹，两月后擦拭完均不留痕迹；</w:t>
            </w:r>
            <w:r>
              <w:rPr>
                <w:rFonts w:hint="eastAsia"/>
                <w:color w:val="000000" w:themeColor="text1"/>
                <w:highlight w:val="none"/>
                <w14:textFill>
                  <w14:solidFill>
                    <w14:schemeClr w14:val="tx1"/>
                  </w14:solidFill>
                </w14:textFill>
              </w:rPr>
              <w:br w:type="textWrapping"/>
            </w:r>
            <w:r>
              <w:rPr>
                <w:rFonts w:hint="eastAsia"/>
                <w:color w:val="000000" w:themeColor="text1"/>
                <w:highlight w:val="none"/>
                <w14:textFill>
                  <w14:solidFill>
                    <w14:schemeClr w14:val="tx1"/>
                  </w14:solidFill>
                </w14:textFill>
              </w:rPr>
              <w:t>易用性：干湿写书写润滑度均保持流畅，无顿挫感，书写时不脱块，不易折断；</w:t>
            </w:r>
            <w:r>
              <w:rPr>
                <w:rFonts w:hint="eastAsia"/>
                <w:color w:val="000000" w:themeColor="text1"/>
                <w:highlight w:val="none"/>
                <w14:textFill>
                  <w14:solidFill>
                    <w14:schemeClr w14:val="tx1"/>
                  </w14:solidFill>
                </w14:textFill>
              </w:rPr>
              <w:br w:type="textWrapping"/>
            </w:r>
            <w:r>
              <w:rPr>
                <w:rFonts w:hint="eastAsia"/>
                <w:color w:val="000000" w:themeColor="text1"/>
                <w:highlight w:val="none"/>
                <w14:textFill>
                  <w14:solidFill>
                    <w14:schemeClr w14:val="tx1"/>
                  </w14:solidFill>
                </w14:textFill>
              </w:rPr>
              <w:t>安全性：环保无尘、无毒、无害、不刺激皮肤，沾到衣服及皮肤上均可轻松清洁。</w:t>
            </w:r>
            <w:r>
              <w:rPr>
                <w:rFonts w:hint="eastAsia"/>
                <w:color w:val="000000" w:themeColor="text1"/>
                <w:highlight w:val="none"/>
                <w14:textFill>
                  <w14:solidFill>
                    <w14:schemeClr w14:val="tx1"/>
                  </w14:solidFill>
                </w14:textFill>
              </w:rPr>
              <w:br w:type="textWrapping"/>
            </w:r>
            <w:r>
              <w:rPr>
                <w:rFonts w:hint="eastAsia"/>
                <w:color w:val="000000" w:themeColor="text1"/>
                <w:highlight w:val="none"/>
                <w14:textFill>
                  <w14:solidFill>
                    <w14:schemeClr w14:val="tx1"/>
                  </w14:solidFill>
                </w14:textFill>
              </w:rPr>
              <w:t>规格： 20支/盒</w:t>
            </w:r>
            <w:r>
              <w:rPr>
                <w:rFonts w:hint="eastAsia"/>
                <w:color w:val="000000" w:themeColor="text1"/>
                <w:highlight w:val="none"/>
                <w14:textFill>
                  <w14:solidFill>
                    <w14:schemeClr w14:val="tx1"/>
                  </w14:solidFill>
                </w14:textFill>
              </w:rPr>
              <w:br w:type="textWrapping"/>
            </w:r>
            <w:r>
              <w:rPr>
                <w:rFonts w:hint="eastAsia"/>
                <w:color w:val="000000" w:themeColor="text1"/>
                <w:highlight w:val="none"/>
                <w14:textFill>
                  <w14:solidFill>
                    <w14:schemeClr w14:val="tx1"/>
                  </w14:solidFill>
                </w14:textFill>
              </w:rPr>
              <w:t>（2）专用笔套3支（每套黑板），银、黄、红、蓝，四种颜色，均用ABS工程材料制造；有移动组件控制粉笔推出自如，定位可靠，书写过程中不出现倒退现象；更换粉笔很方便，易操作；笔套直径小于12mm，以便老师不改变使用习惯；</w:t>
            </w:r>
            <w:r>
              <w:rPr>
                <w:rFonts w:hint="eastAsia"/>
                <w:color w:val="000000" w:themeColor="text1"/>
                <w:highlight w:val="none"/>
                <w14:textFill>
                  <w14:solidFill>
                    <w14:schemeClr w14:val="tx1"/>
                  </w14:solidFill>
                </w14:textFill>
              </w:rPr>
              <w:br w:type="textWrapping"/>
            </w:r>
            <w:r>
              <w:rPr>
                <w:rFonts w:hint="eastAsia"/>
                <w:color w:val="000000" w:themeColor="text1"/>
                <w:highlight w:val="none"/>
                <w14:textFill>
                  <w14:solidFill>
                    <w14:schemeClr w14:val="tx1"/>
                  </w14:solidFill>
                </w14:textFill>
              </w:rPr>
              <w:t>（3）板擦1个（每套黑板），海棉黄色，主体蓝色，心型吸水棉采用高级PVA材料制造，超强吸水能力及清洁能力，且抗变形；外壳使用ABS工程材料制造、抗划伤及变形，有舒适的握感；规格：11.9*7.1*6.2（cm）。</w:t>
            </w:r>
            <w:r>
              <w:rPr>
                <w:rFonts w:hint="eastAsia"/>
                <w:color w:val="000000" w:themeColor="text1"/>
                <w:highlight w:val="none"/>
                <w14:textFill>
                  <w14:solidFill>
                    <w14:schemeClr w14:val="tx1"/>
                  </w14:solidFill>
                </w14:textFill>
              </w:rPr>
              <w:br w:type="textWrapping"/>
            </w:r>
            <w:r>
              <w:rPr>
                <w:rFonts w:hint="eastAsia"/>
                <w:color w:val="000000" w:themeColor="text1"/>
                <w:highlight w:val="none"/>
                <w14:textFill>
                  <w14:solidFill>
                    <w14:schemeClr w14:val="tx1"/>
                  </w14:solidFill>
                </w14:textFill>
              </w:rPr>
              <w:t>（4）清洗装置1个（每套黑板），所有配件均采用高级PP工程材料；清洗网板抗压、耐用，呈阶梯凹形结构设计，供两种板擦清洗，有利于洗附粉笔污垢，清洗与擦拭过程均手不沾水；安装背板可将装置悬挂于黑板边墙壁上，取挂方便；</w:t>
            </w:r>
            <w:r>
              <w:rPr>
                <w:rFonts w:hint="eastAsia"/>
                <w:color w:val="000000" w:themeColor="text1"/>
                <w:highlight w:val="none"/>
                <w14:textFill>
                  <w14:solidFill>
                    <w14:schemeClr w14:val="tx1"/>
                  </w14:solidFill>
                </w14:textFill>
              </w:rPr>
              <w:br w:type="textWrapping"/>
            </w:r>
            <w:r>
              <w:rPr>
                <w:rFonts w:hint="eastAsia"/>
                <w:color w:val="000000" w:themeColor="text1"/>
                <w:highlight w:val="none"/>
                <w14:textFill>
                  <w14:solidFill>
                    <w14:schemeClr w14:val="tx1"/>
                  </w14:solidFill>
                </w14:textFill>
              </w:rPr>
              <w:t>（5）专用收纳盒1个（每套黑板）使用ABS工程材料制造，抗划伤及变形；结构合理，密封性强，便于集中收藏与保管，利于教室的整洁；</w:t>
            </w:r>
            <w:r>
              <w:rPr>
                <w:rFonts w:hint="eastAsia"/>
                <w:color w:val="000000" w:themeColor="text1"/>
                <w:highlight w:val="none"/>
                <w14:textFill>
                  <w14:solidFill>
                    <w14:schemeClr w14:val="tx1"/>
                  </w14:solidFill>
                </w14:textFill>
              </w:rPr>
              <w:br w:type="textWrapping"/>
            </w:r>
            <w:r>
              <w:rPr>
                <w:rFonts w:hint="eastAsia"/>
                <w:color w:val="000000" w:themeColor="text1"/>
                <w:highlight w:val="none"/>
                <w14:textFill>
                  <w14:solidFill>
                    <w14:schemeClr w14:val="tx1"/>
                  </w14:solidFill>
                </w14:textFill>
              </w:rPr>
              <w:t>8、★质保及售后:</w:t>
            </w:r>
            <w:r>
              <w:rPr>
                <w:rFonts w:hint="eastAsia"/>
                <w:color w:val="000000" w:themeColor="text1"/>
                <w:highlight w:val="none"/>
                <w14:textFill>
                  <w14:solidFill>
                    <w14:schemeClr w14:val="tx1"/>
                  </w14:solidFill>
                </w14:textFill>
              </w:rPr>
              <w:br w:type="textWrapping"/>
            </w:r>
            <w:r>
              <w:rPr>
                <w:rFonts w:hint="eastAsia"/>
                <w:color w:val="000000" w:themeColor="text1"/>
                <w:highlight w:val="none"/>
                <w14:textFill>
                  <w14:solidFill>
                    <w14:schemeClr w14:val="tx1"/>
                  </w14:solidFill>
                </w14:textFill>
              </w:rPr>
              <w:t>3年质保服务，7×24现场服务；</w:t>
            </w:r>
          </w:p>
        </w:tc>
        <w:tc>
          <w:tcPr>
            <w:tcW w:w="709" w:type="dxa"/>
            <w:shd w:val="clear" w:color="000000" w:fill="FFFFFF"/>
            <w:vAlign w:val="center"/>
          </w:tcPr>
          <w:p>
            <w:pPr>
              <w:widowControl/>
              <w:jc w:val="center"/>
              <w:textAlignment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68</w:t>
            </w:r>
          </w:p>
        </w:tc>
        <w:tc>
          <w:tcPr>
            <w:tcW w:w="859" w:type="dxa"/>
            <w:shd w:val="clear" w:color="000000" w:fill="FFFFFF"/>
            <w:vAlign w:val="center"/>
          </w:tcPr>
          <w:p>
            <w:pPr>
              <w:widowControl/>
              <w:jc w:val="center"/>
              <w:textAlignment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477" w:type="dxa"/>
            <w:shd w:val="clear" w:color="000000" w:fill="FFFFFF"/>
            <w:vAlign w:val="center"/>
          </w:tcPr>
          <w:p>
            <w:pPr>
              <w:widowControl/>
              <w:jc w:val="center"/>
              <w:textAlignment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6</w:t>
            </w:r>
          </w:p>
        </w:tc>
        <w:tc>
          <w:tcPr>
            <w:tcW w:w="654" w:type="dxa"/>
            <w:shd w:val="clear" w:color="000000" w:fill="FFFFFF"/>
            <w:vAlign w:val="center"/>
          </w:tcPr>
          <w:p>
            <w:pPr>
              <w:widowControl/>
              <w:jc w:val="center"/>
              <w:textAlignment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讲桌</w:t>
            </w:r>
          </w:p>
        </w:tc>
        <w:tc>
          <w:tcPr>
            <w:tcW w:w="6628" w:type="dxa"/>
            <w:shd w:val="clear" w:color="000000" w:fill="FFFFFF"/>
            <w:vAlign w:val="center"/>
          </w:tcPr>
          <w:p>
            <w:pPr>
              <w:widowControl/>
              <w:jc w:val="left"/>
              <w:textAlignment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1、讲桌采用钢木结合构造，桌体上部份采用圆弧设计，装配左右前方木质扶手，重点部门采用一次冲压成形技术，讲台整体颜色为双色搭配，讲台前面配有粘贴LOGO位置，所有钣金部分均采用激光切割加工，所有尖角倒圆角不小于R3，保证使用者和给护者不划伤。</w:t>
            </w:r>
            <w:r>
              <w:rPr>
                <w:rFonts w:hint="eastAsia" w:ascii="宋体" w:hAnsi="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cs="宋体"/>
                <w:color w:val="000000" w:themeColor="text1"/>
                <w:kern w:val="0"/>
                <w:sz w:val="20"/>
                <w:szCs w:val="20"/>
                <w:highlight w:val="none"/>
                <w:lang w:bidi="ar"/>
                <w14:textFill>
                  <w14:solidFill>
                    <w14:schemeClr w14:val="tx1"/>
                  </w14:solidFill>
                </w14:textFill>
              </w:rPr>
              <w:t>2、钢板厚度不小于1.2mm优质冷轧钢板,讲台为上下分体式结构，实木扶手。</w:t>
            </w:r>
            <w:r>
              <w:rPr>
                <w:rFonts w:hint="eastAsia" w:ascii="宋体" w:hAnsi="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cs="宋体"/>
                <w:color w:val="000000" w:themeColor="text1"/>
                <w:kern w:val="0"/>
                <w:sz w:val="20"/>
                <w:szCs w:val="20"/>
                <w:highlight w:val="none"/>
                <w:lang w:bidi="ar"/>
                <w14:textFill>
                  <w14:solidFill>
                    <w14:schemeClr w14:val="tx1"/>
                  </w14:solidFill>
                </w14:textFill>
              </w:rPr>
              <w:t>3、产品尺寸：900*600*900，上柜有储物抽屉，下柜有储物柜功能。桌体下层四解圆弧设计，内部采用分层设计，放放置课本作业及教具等物品。关闭后，所有东西都隐藏在讲台内部。</w:t>
            </w:r>
            <w:r>
              <w:rPr>
                <w:rFonts w:hint="eastAsia" w:ascii="宋体" w:hAnsi="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cs="宋体"/>
                <w:color w:val="000000" w:themeColor="text1"/>
                <w:kern w:val="0"/>
                <w:sz w:val="20"/>
                <w:szCs w:val="20"/>
                <w:highlight w:val="none"/>
                <w:lang w:bidi="ar"/>
                <w14:textFill>
                  <w14:solidFill>
                    <w14:schemeClr w14:val="tx1"/>
                  </w14:solidFill>
                </w14:textFill>
              </w:rPr>
              <w:t>4、安全：讲台整体设有安全角度，防止夹伤，挤伤，划伤等</w:t>
            </w:r>
            <w:r>
              <w:rPr>
                <w:rFonts w:hint="eastAsia" w:ascii="宋体" w:hAnsi="宋体" w:cs="宋体"/>
                <w:color w:val="000000" w:themeColor="text1"/>
                <w:kern w:val="0"/>
                <w:sz w:val="20"/>
                <w:szCs w:val="20"/>
                <w:highlight w:val="none"/>
                <w:lang w:bidi="ar"/>
                <w14:textFill>
                  <w14:solidFill>
                    <w14:schemeClr w14:val="tx1"/>
                  </w14:solidFill>
                </w14:textFill>
              </w:rPr>
              <w:br w:type="textWrapping"/>
            </w:r>
          </w:p>
        </w:tc>
        <w:tc>
          <w:tcPr>
            <w:tcW w:w="709" w:type="dxa"/>
            <w:shd w:val="clear" w:color="000000" w:fill="FFFFFF"/>
            <w:vAlign w:val="center"/>
          </w:tcPr>
          <w:p>
            <w:pPr>
              <w:widowControl/>
              <w:jc w:val="center"/>
              <w:textAlignment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68</w:t>
            </w:r>
          </w:p>
        </w:tc>
        <w:tc>
          <w:tcPr>
            <w:tcW w:w="859" w:type="dxa"/>
            <w:shd w:val="clear" w:color="000000" w:fill="FFFFFF"/>
            <w:vAlign w:val="center"/>
          </w:tcPr>
          <w:p>
            <w:pPr>
              <w:widowControl/>
              <w:jc w:val="center"/>
              <w:textAlignment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477" w:type="dxa"/>
            <w:shd w:val="clear" w:color="000000" w:fill="FFFFFF"/>
            <w:vAlign w:val="center"/>
          </w:tcPr>
          <w:p>
            <w:pPr>
              <w:widowControl/>
              <w:jc w:val="center"/>
              <w:textAlignment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7</w:t>
            </w:r>
          </w:p>
        </w:tc>
        <w:tc>
          <w:tcPr>
            <w:tcW w:w="654" w:type="dxa"/>
            <w:shd w:val="clear" w:color="000000" w:fill="FFFFFF"/>
            <w:vAlign w:val="center"/>
          </w:tcPr>
          <w:p>
            <w:pPr>
              <w:widowControl/>
              <w:jc w:val="center"/>
              <w:textAlignment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音箱</w:t>
            </w:r>
          </w:p>
        </w:tc>
        <w:tc>
          <w:tcPr>
            <w:tcW w:w="6628" w:type="dxa"/>
            <w:shd w:val="clear" w:color="000000" w:fill="FFFFFF"/>
            <w:vAlign w:val="center"/>
          </w:tcPr>
          <w:p>
            <w:pPr>
              <w:widowControl/>
              <w:jc w:val="left"/>
              <w:textAlignment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1、采用功放及有源音箱一体化设计。</w:t>
            </w:r>
            <w:r>
              <w:rPr>
                <w:rFonts w:hint="eastAsia" w:ascii="宋体" w:hAnsi="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cs="宋体"/>
                <w:color w:val="000000" w:themeColor="text1"/>
                <w:kern w:val="0"/>
                <w:sz w:val="20"/>
                <w:szCs w:val="20"/>
                <w:highlight w:val="none"/>
                <w:lang w:bidi="ar"/>
                <w14:textFill>
                  <w14:solidFill>
                    <w14:schemeClr w14:val="tx1"/>
                  </w14:solidFill>
                </w14:textFill>
              </w:rPr>
              <w:t>2、双音箱配对，保证声音还原度。</w:t>
            </w:r>
            <w:r>
              <w:rPr>
                <w:rFonts w:hint="eastAsia" w:ascii="宋体" w:hAnsi="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cs="宋体"/>
                <w:color w:val="000000" w:themeColor="text1"/>
                <w:kern w:val="0"/>
                <w:sz w:val="20"/>
                <w:szCs w:val="20"/>
                <w:highlight w:val="none"/>
                <w:lang w:bidi="ar"/>
                <w14:textFill>
                  <w14:solidFill>
                    <w14:schemeClr w14:val="tx1"/>
                  </w14:solidFill>
                </w14:textFill>
              </w:rPr>
              <w:t>3、支持安卓手机通过蓝牙无线连接音箱，实现控制有源音箱的音量、设置蓝牙名称、设置蓝牙密码等功能，方便教师对音箱的管控。</w:t>
            </w:r>
            <w:r>
              <w:rPr>
                <w:rFonts w:hint="eastAsia" w:ascii="宋体" w:hAnsi="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cs="宋体"/>
                <w:color w:val="000000" w:themeColor="text1"/>
                <w:kern w:val="0"/>
                <w:sz w:val="20"/>
                <w:szCs w:val="20"/>
                <w:highlight w:val="none"/>
                <w:lang w:bidi="ar"/>
                <w14:textFill>
                  <w14:solidFill>
                    <w14:schemeClr w14:val="tx1"/>
                  </w14:solidFill>
                </w14:textFill>
              </w:rPr>
              <w:t>4、端口：电源*1、Line in*1、Line out*1、U盘接口*1。</w:t>
            </w:r>
            <w:r>
              <w:rPr>
                <w:rFonts w:hint="eastAsia" w:ascii="宋体" w:hAnsi="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cs="宋体"/>
                <w:color w:val="000000" w:themeColor="text1"/>
                <w:kern w:val="0"/>
                <w:sz w:val="20"/>
                <w:szCs w:val="20"/>
                <w:highlight w:val="none"/>
                <w:lang w:bidi="ar"/>
                <w14:textFill>
                  <w14:solidFill>
                    <w14:schemeClr w14:val="tx1"/>
                  </w14:solidFill>
                </w14:textFill>
              </w:rPr>
              <w:t>5、支持专业无线麦克风接收技术数字U段无线麦克风扩音接收，有效避开wifi干扰。</w:t>
            </w:r>
            <w:r>
              <w:rPr>
                <w:rFonts w:hint="eastAsia" w:ascii="宋体" w:hAnsi="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cs="宋体"/>
                <w:color w:val="000000" w:themeColor="text1"/>
                <w:kern w:val="0"/>
                <w:sz w:val="20"/>
                <w:szCs w:val="20"/>
                <w:highlight w:val="none"/>
                <w:lang w:bidi="ar"/>
                <w14:textFill>
                  <w14:solidFill>
                    <w14:schemeClr w14:val="tx1"/>
                  </w14:solidFill>
                </w14:textFill>
              </w:rPr>
              <w:t>6、配置独立音频数字信号处理芯片，支持啸叫抑制功能。</w:t>
            </w:r>
            <w:r>
              <w:rPr>
                <w:rFonts w:hint="eastAsia" w:ascii="宋体" w:hAnsi="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cs="宋体"/>
                <w:color w:val="000000" w:themeColor="text1"/>
                <w:kern w:val="0"/>
                <w:sz w:val="20"/>
                <w:szCs w:val="20"/>
                <w:highlight w:val="none"/>
                <w:lang w:bidi="ar"/>
                <w14:textFill>
                  <w14:solidFill>
                    <w14:schemeClr w14:val="tx1"/>
                  </w14:solidFill>
                </w14:textFill>
              </w:rPr>
              <w:t>7、支持蓝牙无线接收，方便老师分享移动设备上的音频。蓝牙支持密码模式，防止学生连接。</w:t>
            </w:r>
          </w:p>
        </w:tc>
        <w:tc>
          <w:tcPr>
            <w:tcW w:w="709" w:type="dxa"/>
            <w:shd w:val="clear" w:color="000000" w:fill="FFFFFF"/>
            <w:vAlign w:val="center"/>
          </w:tcPr>
          <w:p>
            <w:pPr>
              <w:widowControl/>
              <w:jc w:val="center"/>
              <w:textAlignment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68</w:t>
            </w:r>
          </w:p>
        </w:tc>
        <w:tc>
          <w:tcPr>
            <w:tcW w:w="859" w:type="dxa"/>
            <w:shd w:val="clear" w:color="000000" w:fill="FFFFFF"/>
            <w:vAlign w:val="center"/>
          </w:tcPr>
          <w:p>
            <w:pPr>
              <w:widowControl/>
              <w:jc w:val="center"/>
              <w:textAlignment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477" w:type="dxa"/>
            <w:shd w:val="clear" w:color="000000" w:fill="FFFFFF"/>
            <w:vAlign w:val="center"/>
          </w:tcPr>
          <w:p>
            <w:pPr>
              <w:widowControl/>
              <w:jc w:val="center"/>
              <w:textAlignment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8</w:t>
            </w:r>
          </w:p>
        </w:tc>
        <w:tc>
          <w:tcPr>
            <w:tcW w:w="654" w:type="dxa"/>
            <w:shd w:val="clear" w:color="000000" w:fill="FFFFFF"/>
            <w:vAlign w:val="center"/>
          </w:tcPr>
          <w:p>
            <w:pPr>
              <w:widowControl/>
              <w:jc w:val="center"/>
              <w:textAlignment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麦克风</w:t>
            </w:r>
          </w:p>
        </w:tc>
        <w:tc>
          <w:tcPr>
            <w:tcW w:w="6628" w:type="dxa"/>
            <w:shd w:val="clear" w:color="000000" w:fill="FFFFFF"/>
            <w:vAlign w:val="center"/>
          </w:tcPr>
          <w:p>
            <w:pPr>
              <w:widowControl/>
              <w:jc w:val="left"/>
              <w:textAlignment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1、 麦克风集音频发射处理器、天线、电池、拾音麦克风于一体，配合一体化有源音箱，无需任何外接辅助设备即可实现本地扩声功能。</w:t>
            </w:r>
            <w:r>
              <w:rPr>
                <w:rFonts w:hint="eastAsia" w:ascii="宋体" w:hAnsi="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cs="宋体"/>
                <w:color w:val="000000" w:themeColor="text1"/>
                <w:kern w:val="0"/>
                <w:sz w:val="20"/>
                <w:szCs w:val="20"/>
                <w:highlight w:val="none"/>
                <w:lang w:bidi="ar"/>
                <w14:textFill>
                  <w14:solidFill>
                    <w14:schemeClr w14:val="tx1"/>
                  </w14:solidFill>
                </w14:textFill>
              </w:rPr>
              <w:t>2、麦克风距离音箱最大有效工作距离≥10米，保证全教室覆盖。</w:t>
            </w:r>
            <w:r>
              <w:rPr>
                <w:rFonts w:hint="eastAsia" w:ascii="宋体" w:hAnsi="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cs="宋体"/>
                <w:color w:val="000000" w:themeColor="text1"/>
                <w:kern w:val="0"/>
                <w:sz w:val="20"/>
                <w:szCs w:val="20"/>
                <w:highlight w:val="none"/>
                <w:lang w:bidi="ar"/>
                <w14:textFill>
                  <w14:solidFill>
                    <w14:schemeClr w14:val="tx1"/>
                  </w14:solidFill>
                </w14:textFill>
              </w:rPr>
              <w:t>3、麦克风提供电容触摸按键，可显示电量，保持长按进入静音模式。</w:t>
            </w:r>
            <w:r>
              <w:rPr>
                <w:rFonts w:hint="eastAsia" w:ascii="宋体" w:hAnsi="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cs="宋体"/>
                <w:color w:val="000000" w:themeColor="text1"/>
                <w:kern w:val="0"/>
                <w:sz w:val="20"/>
                <w:szCs w:val="20"/>
                <w:highlight w:val="none"/>
                <w:lang w:bidi="ar"/>
                <w14:textFill>
                  <w14:solidFill>
                    <w14:schemeClr w14:val="tx1"/>
                  </w14:solidFill>
                </w14:textFill>
              </w:rPr>
              <w:t>4、麦克风和功放音箱之间采用数字U段传输技术，有效避免环境中2.4G信号干扰，例如蓝牙及WIFI设备。</w:t>
            </w:r>
            <w:r>
              <w:rPr>
                <w:rFonts w:hint="eastAsia" w:ascii="宋体" w:hAnsi="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cs="宋体"/>
                <w:color w:val="000000" w:themeColor="text1"/>
                <w:kern w:val="0"/>
                <w:sz w:val="20"/>
                <w:szCs w:val="20"/>
                <w:highlight w:val="none"/>
                <w:lang w:bidi="ar"/>
                <w14:textFill>
                  <w14:solidFill>
                    <w14:schemeClr w14:val="tx1"/>
                  </w14:solidFill>
                </w14:textFill>
              </w:rPr>
              <w:t>5、支持智能红外对码及UHF对码，开机即可在2s内快速完成与教学扩声音箱对码，无需繁琐操作。可与移动音箱或录播主机对码连接。</w:t>
            </w:r>
            <w:r>
              <w:rPr>
                <w:rFonts w:hint="eastAsia" w:ascii="宋体" w:hAnsi="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cs="宋体"/>
                <w:color w:val="000000" w:themeColor="text1"/>
                <w:kern w:val="0"/>
                <w:sz w:val="20"/>
                <w:szCs w:val="20"/>
                <w:highlight w:val="none"/>
                <w:lang w:bidi="ar"/>
                <w14:textFill>
                  <w14:solidFill>
                    <w14:schemeClr w14:val="tx1"/>
                  </w14:solidFill>
                </w14:textFill>
              </w:rPr>
              <w:t>6、采用触点磁吸式充电方式，支持快速充电与超低功耗工作模式，课间充电10分钟，实现80分钟续航。</w:t>
            </w:r>
          </w:p>
        </w:tc>
        <w:tc>
          <w:tcPr>
            <w:tcW w:w="709" w:type="dxa"/>
            <w:shd w:val="clear" w:color="000000" w:fill="FFFFFF"/>
            <w:vAlign w:val="center"/>
          </w:tcPr>
          <w:p>
            <w:pPr>
              <w:widowControl/>
              <w:jc w:val="center"/>
              <w:textAlignment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68</w:t>
            </w:r>
          </w:p>
        </w:tc>
        <w:tc>
          <w:tcPr>
            <w:tcW w:w="859" w:type="dxa"/>
            <w:shd w:val="clear" w:color="000000" w:fill="FFFFFF"/>
            <w:vAlign w:val="center"/>
          </w:tcPr>
          <w:p>
            <w:pPr>
              <w:widowControl/>
              <w:jc w:val="center"/>
              <w:textAlignment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477" w:type="dxa"/>
            <w:shd w:val="clear" w:color="000000" w:fill="FFFFFF"/>
            <w:vAlign w:val="center"/>
          </w:tcPr>
          <w:p>
            <w:pPr>
              <w:widowControl/>
              <w:jc w:val="center"/>
              <w:textAlignment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9</w:t>
            </w:r>
          </w:p>
        </w:tc>
        <w:tc>
          <w:tcPr>
            <w:tcW w:w="654" w:type="dxa"/>
            <w:shd w:val="clear" w:color="000000" w:fill="FFFFFF"/>
            <w:vAlign w:val="center"/>
          </w:tcPr>
          <w:p>
            <w:pPr>
              <w:widowControl/>
              <w:jc w:val="center"/>
              <w:textAlignment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线材辅材</w:t>
            </w:r>
          </w:p>
        </w:tc>
        <w:tc>
          <w:tcPr>
            <w:tcW w:w="6628" w:type="dxa"/>
            <w:shd w:val="clear" w:color="000000" w:fill="FFFFFF"/>
            <w:vAlign w:val="center"/>
          </w:tcPr>
          <w:p>
            <w:pPr>
              <w:widowControl/>
              <w:jc w:val="center"/>
              <w:textAlignment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含优质空气开关、品牌电源插座、纯铜电源线等线材设备以及相关的周边设备、音视频线接头及相关配件（对所有施工材料包干）。</w:t>
            </w:r>
          </w:p>
        </w:tc>
        <w:tc>
          <w:tcPr>
            <w:tcW w:w="709" w:type="dxa"/>
            <w:shd w:val="clear" w:color="000000" w:fill="FFFFFF"/>
            <w:vAlign w:val="center"/>
          </w:tcPr>
          <w:p>
            <w:pPr>
              <w:widowControl/>
              <w:jc w:val="center"/>
              <w:textAlignment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68</w:t>
            </w:r>
          </w:p>
        </w:tc>
        <w:tc>
          <w:tcPr>
            <w:tcW w:w="859" w:type="dxa"/>
            <w:shd w:val="clear" w:color="000000" w:fill="FFFFFF"/>
            <w:vAlign w:val="center"/>
          </w:tcPr>
          <w:p>
            <w:pPr>
              <w:widowControl/>
              <w:jc w:val="center"/>
              <w:textAlignment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trPr>
        <w:tc>
          <w:tcPr>
            <w:tcW w:w="477" w:type="dxa"/>
            <w:shd w:val="clear" w:color="000000" w:fill="FFFFFF"/>
            <w:vAlign w:val="center"/>
          </w:tcPr>
          <w:p>
            <w:pPr>
              <w:widowControl/>
              <w:jc w:val="center"/>
              <w:textAlignment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10</w:t>
            </w:r>
          </w:p>
        </w:tc>
        <w:tc>
          <w:tcPr>
            <w:tcW w:w="654" w:type="dxa"/>
            <w:shd w:val="clear" w:color="000000" w:fill="FFFFFF"/>
            <w:vAlign w:val="center"/>
          </w:tcPr>
          <w:p>
            <w:pPr>
              <w:widowControl/>
              <w:jc w:val="center"/>
              <w:textAlignment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安装调试</w:t>
            </w:r>
          </w:p>
        </w:tc>
        <w:tc>
          <w:tcPr>
            <w:tcW w:w="6628" w:type="dxa"/>
            <w:shd w:val="clear" w:color="000000" w:fill="FFFFFF"/>
            <w:vAlign w:val="center"/>
          </w:tcPr>
          <w:p>
            <w:pPr>
              <w:widowControl/>
              <w:jc w:val="center"/>
              <w:textAlignment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安装调试</w:t>
            </w:r>
          </w:p>
        </w:tc>
        <w:tc>
          <w:tcPr>
            <w:tcW w:w="709" w:type="dxa"/>
            <w:shd w:val="clear" w:color="000000" w:fill="FFFFFF"/>
            <w:vAlign w:val="center"/>
          </w:tcPr>
          <w:p>
            <w:pPr>
              <w:widowControl/>
              <w:jc w:val="center"/>
              <w:textAlignment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68</w:t>
            </w:r>
          </w:p>
        </w:tc>
        <w:tc>
          <w:tcPr>
            <w:tcW w:w="859" w:type="dxa"/>
            <w:shd w:val="clear" w:color="000000" w:fill="FFFFFF"/>
            <w:vAlign w:val="center"/>
          </w:tcPr>
          <w:p>
            <w:pPr>
              <w:widowControl/>
              <w:jc w:val="center"/>
              <w:textAlignment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项</w:t>
            </w:r>
          </w:p>
        </w:tc>
      </w:tr>
    </w:tbl>
    <w:p>
      <w:pPr>
        <w:widowControl/>
        <w:rPr>
          <w:rFonts w:ascii="宋体" w:hAnsi="宋体" w:cs="宋体"/>
          <w:color w:val="000000" w:themeColor="text1"/>
          <w:kern w:val="0"/>
          <w:szCs w:val="21"/>
          <w14:textFill>
            <w14:solidFill>
              <w14:schemeClr w14:val="tx1"/>
            </w14:solidFill>
          </w14:textFill>
        </w:rPr>
      </w:pPr>
    </w:p>
    <w:p>
      <w:pPr>
        <w:spacing w:before="165" w:beforeLines="50" w:line="400" w:lineRule="exact"/>
        <w:rPr>
          <w:rFonts w:ascii="宋体" w:hAnsi="宋体" w:cs="宋体"/>
          <w:b/>
          <w:bCs/>
          <w:color w:val="000000" w:themeColor="text1"/>
          <w:sz w:val="30"/>
          <w:szCs w:val="30"/>
          <w14:textFill>
            <w14:solidFill>
              <w14:schemeClr w14:val="tx1"/>
            </w14:solidFill>
          </w14:textFill>
        </w:rPr>
      </w:pPr>
      <w:r>
        <w:rPr>
          <w:rFonts w:hint="eastAsia" w:ascii="宋体" w:hAnsi="宋体" w:cs="宋体"/>
          <w:b/>
          <w:bCs/>
          <w:color w:val="000000" w:themeColor="text1"/>
          <w:sz w:val="30"/>
          <w:szCs w:val="30"/>
          <w14:textFill>
            <w14:solidFill>
              <w14:schemeClr w14:val="tx1"/>
            </w14:solidFill>
          </w14:textFill>
        </w:rPr>
        <w:t>二、商务条件</w:t>
      </w:r>
    </w:p>
    <w:bookmarkEnd w:id="28"/>
    <w:bookmarkEnd w:id="29"/>
    <w:p>
      <w:pPr>
        <w:spacing w:line="440" w:lineRule="exact"/>
        <w:rPr>
          <w:rFonts w:ascii="宋体" w:hAnsi="宋体" w:cs="宋体"/>
          <w:color w:val="000000" w:themeColor="text1"/>
          <w:szCs w:val="21"/>
          <w14:textFill>
            <w14:solidFill>
              <w14:schemeClr w14:val="tx1"/>
            </w14:solidFill>
          </w14:textFill>
        </w:rPr>
      </w:pPr>
      <w:bookmarkStart w:id="30" w:name="_Toc230949333"/>
      <w:bookmarkStart w:id="31" w:name="_Toc147248396"/>
      <w:bookmarkStart w:id="32" w:name="_Toc156106929"/>
      <w:bookmarkStart w:id="33" w:name="_Toc469874161"/>
      <w:bookmarkStart w:id="34" w:name="_Toc199780446"/>
      <w:bookmarkStart w:id="35" w:name="_Toc469842066"/>
      <w:bookmarkStart w:id="36" w:name="_Toc185702968"/>
      <w:bookmarkStart w:id="37" w:name="_Toc395066514"/>
      <w:bookmarkStart w:id="38" w:name="_Toc405942972"/>
      <w:bookmarkStart w:id="39" w:name="_Toc200268324"/>
      <w:bookmarkStart w:id="40" w:name="_Toc230929094"/>
      <w:bookmarkStart w:id="41" w:name="_Toc200308926"/>
      <w:bookmarkStart w:id="42" w:name="_Toc185702546"/>
      <w:r>
        <w:rPr>
          <w:rFonts w:hint="eastAsia" w:ascii="宋体" w:hAnsi="宋体" w:cs="宋体"/>
          <w:color w:val="000000" w:themeColor="text1"/>
          <w:szCs w:val="21"/>
          <w14:textFill>
            <w14:solidFill>
              <w14:schemeClr w14:val="tx1"/>
            </w14:solidFill>
          </w14:textFill>
        </w:rPr>
        <w:t>1、报价包含货物、运费、安装调试、售后服务、人员培训、税金及其它所有费用的总和。</w:t>
      </w:r>
    </w:p>
    <w:p>
      <w:pPr>
        <w:spacing w:line="44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2、签订合同时间:发出中标通知书后30日内。</w:t>
      </w:r>
    </w:p>
    <w:p>
      <w:pPr>
        <w:spacing w:line="44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3、交货（含安装、调试、培训时间）：签订合同即日起30个日历天内完成安装、调试、培训工作。</w:t>
      </w:r>
    </w:p>
    <w:p>
      <w:pPr>
        <w:spacing w:line="44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4、交货地点：采购人指定地点。</w:t>
      </w:r>
    </w:p>
    <w:p>
      <w:pPr>
        <w:widowControl/>
        <w:snapToGrid w:val="0"/>
        <w:spacing w:line="44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5、售后服务响应：供货方须到采购方提供的现场免费安装、调试设备，进行操作试验，直至运行正常，技术人员提供免费的现场操作及维护培训。</w:t>
      </w:r>
    </w:p>
    <w:p>
      <w:pPr>
        <w:widowControl/>
        <w:snapToGrid w:val="0"/>
        <w:spacing w:line="44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6、质保期：整机系统包括部件和人工的保修期为安装验收合格之日起不得少于12个月。</w:t>
      </w:r>
    </w:p>
    <w:p>
      <w:pPr>
        <w:widowControl/>
        <w:snapToGrid w:val="0"/>
        <w:spacing w:line="44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付款方式：乙方交货给甲方经验收合格后，乙方先向甲方开出合同总额合法发票。甲方收到发票，向财政部门申请资金，待财政资金划拨到甲方账户后，七个工作日内支付合同总额的95%给乙方，余下5%作为质保金，在验收合格一年后</w:t>
      </w:r>
      <w:r>
        <w:rPr>
          <w:rFonts w:hint="eastAsia" w:ascii="宋体" w:hAnsi="宋体"/>
          <w:color w:val="000000" w:themeColor="text1"/>
          <w:szCs w:val="21"/>
          <w14:textFill>
            <w14:solidFill>
              <w14:schemeClr w14:val="tx1"/>
            </w14:solidFill>
          </w14:textFill>
        </w:rPr>
        <w:t>付清（无息）。</w:t>
      </w:r>
    </w:p>
    <w:p>
      <w:pPr>
        <w:widowControl/>
        <w:snapToGrid w:val="0"/>
        <w:spacing w:line="440" w:lineRule="exact"/>
        <w:rPr>
          <w:rFonts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8、验收方式：符合相关验收标准，如验收过程中，采购单位发现存在不符相关标准的，供应商应无条件置换。</w:t>
      </w:r>
    </w:p>
    <w:p>
      <w:pPr>
        <w:spacing w:line="44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9、中标人应保证所供产品是全新的、未使用过的，并完全符合合同规定的质量、规格的要求。</w:t>
      </w:r>
    </w:p>
    <w:p>
      <w:pPr>
        <w:spacing w:line="44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10、中标人须按国家有关规定实行“三包”，免费送货上门。</w:t>
      </w:r>
    </w:p>
    <w:p>
      <w:pPr>
        <w:pStyle w:val="3"/>
        <w:spacing w:line="560" w:lineRule="exact"/>
        <w:rPr>
          <w:rFonts w:ascii="宋体" w:hAnsi="宋体" w:cs="宋体"/>
          <w:bCs/>
          <w:color w:val="000000" w:themeColor="text1"/>
          <w:sz w:val="44"/>
          <w14:textFill>
            <w14:solidFill>
              <w14:schemeClr w14:val="tx1"/>
            </w14:solidFill>
          </w14:textFill>
        </w:rPr>
      </w:pPr>
      <w:bookmarkStart w:id="43" w:name="_Toc14015"/>
      <w:bookmarkStart w:id="44" w:name="_Toc20631"/>
      <w:r>
        <w:rPr>
          <w:rFonts w:hint="eastAsia" w:ascii="宋体" w:hAnsi="宋体" w:cs="宋体"/>
          <w:b w:val="0"/>
          <w:bCs/>
          <w:color w:val="000000" w:themeColor="text1"/>
          <w:szCs w:val="21"/>
          <w14:textFill>
            <w14:solidFill>
              <w14:schemeClr w14:val="tx1"/>
            </w14:solidFill>
          </w14:textFill>
        </w:rPr>
        <w:t>11、在“采购内容及要求”中约定的其他要求。</w:t>
      </w:r>
      <w:r>
        <w:rPr>
          <w:rFonts w:hint="eastAsia" w:ascii="宋体" w:hAnsi="宋体" w:cs="宋体"/>
          <w:bCs/>
          <w:color w:val="000000" w:themeColor="text1"/>
          <w:sz w:val="44"/>
          <w14:textFill>
            <w14:solidFill>
              <w14:schemeClr w14:val="tx1"/>
            </w14:solidFill>
          </w14:textFill>
        </w:rPr>
        <w:br w:type="page"/>
      </w:r>
      <w:bookmarkEnd w:id="43"/>
      <w:bookmarkEnd w:id="44"/>
    </w:p>
    <w:p>
      <w:pPr>
        <w:pStyle w:val="3"/>
        <w:spacing w:line="560" w:lineRule="exact"/>
        <w:jc w:val="center"/>
        <w:rPr>
          <w:rFonts w:ascii="宋体" w:hAnsi="宋体" w:cs="宋体"/>
          <w:bCs/>
          <w:color w:val="000000" w:themeColor="text1"/>
          <w:sz w:val="44"/>
          <w14:textFill>
            <w14:solidFill>
              <w14:schemeClr w14:val="tx1"/>
            </w14:solidFill>
          </w14:textFill>
        </w:rPr>
      </w:pPr>
      <w:bookmarkStart w:id="45" w:name="_Toc18101"/>
      <w:r>
        <w:rPr>
          <w:rFonts w:hint="eastAsia" w:ascii="宋体" w:hAnsi="宋体" w:cs="宋体"/>
          <w:bCs/>
          <w:color w:val="000000" w:themeColor="text1"/>
          <w:sz w:val="44"/>
          <w14:textFill>
            <w14:solidFill>
              <w14:schemeClr w14:val="tx1"/>
            </w14:solidFill>
          </w14:textFill>
        </w:rPr>
        <w:t>第三章   投标人须知及前附表</w:t>
      </w:r>
      <w:bookmarkEnd w:id="30"/>
      <w:bookmarkEnd w:id="31"/>
      <w:bookmarkEnd w:id="32"/>
      <w:bookmarkEnd w:id="33"/>
      <w:bookmarkEnd w:id="34"/>
      <w:bookmarkEnd w:id="35"/>
      <w:bookmarkEnd w:id="36"/>
      <w:bookmarkEnd w:id="37"/>
      <w:bookmarkEnd w:id="38"/>
      <w:bookmarkEnd w:id="39"/>
      <w:bookmarkEnd w:id="40"/>
      <w:bookmarkEnd w:id="41"/>
      <w:bookmarkEnd w:id="42"/>
      <w:bookmarkEnd w:id="45"/>
    </w:p>
    <w:p>
      <w:pPr>
        <w:pStyle w:val="20"/>
        <w:spacing w:line="400" w:lineRule="exact"/>
        <w:rPr>
          <w:rFonts w:hAnsi="宋体" w:cs="宋体"/>
          <w:b/>
          <w:color w:val="000000" w:themeColor="text1"/>
          <w14:textFill>
            <w14:solidFill>
              <w14:schemeClr w14:val="tx1"/>
            </w14:solidFill>
          </w14:textFill>
        </w:rPr>
      </w:pPr>
    </w:p>
    <w:p>
      <w:pPr>
        <w:pStyle w:val="20"/>
        <w:spacing w:line="400" w:lineRule="exact"/>
        <w:rPr>
          <w:rFonts w:hAnsi="宋体" w:cs="宋体"/>
          <w:b/>
          <w:color w:val="000000" w:themeColor="text1"/>
          <w14:textFill>
            <w14:solidFill>
              <w14:schemeClr w14:val="tx1"/>
            </w14:solidFill>
          </w14:textFill>
        </w:rPr>
      </w:pPr>
    </w:p>
    <w:p>
      <w:pPr>
        <w:pStyle w:val="31"/>
        <w:rPr>
          <w:rFonts w:cs="宋体"/>
          <w:color w:val="000000" w:themeColor="text1"/>
          <w14:textFill>
            <w14:solidFill>
              <w14:schemeClr w14:val="tx1"/>
            </w14:solidFill>
          </w14:textFill>
        </w:rPr>
      </w:pPr>
      <w:r>
        <w:rPr>
          <w:rFonts w:hint="eastAsia" w:cs="宋体"/>
          <w:b/>
          <w:color w:val="000000" w:themeColor="text1"/>
          <w14:textFill>
            <w14:solidFill>
              <w14:schemeClr w14:val="tx1"/>
            </w14:solidFill>
          </w14:textFill>
        </w:rPr>
        <w:cr/>
      </w:r>
      <w:r>
        <w:rPr>
          <w:rFonts w:hint="eastAsia" w:cs="宋体"/>
          <w:color w:val="000000" w:themeColor="text1"/>
          <w14:textFill>
            <w14:solidFill>
              <w14:schemeClr w14:val="tx1"/>
            </w14:solidFill>
          </w14:textFill>
        </w:rPr>
        <w:br w:type="page"/>
      </w:r>
    </w:p>
    <w:p>
      <w:pPr>
        <w:pStyle w:val="3"/>
        <w:spacing w:line="400" w:lineRule="exact"/>
        <w:jc w:val="center"/>
        <w:rPr>
          <w:rFonts w:ascii="宋体" w:hAnsi="宋体" w:cs="宋体"/>
          <w:bCs/>
          <w:color w:val="000000" w:themeColor="text1"/>
          <w:sz w:val="32"/>
          <w14:textFill>
            <w14:solidFill>
              <w14:schemeClr w14:val="tx1"/>
            </w14:solidFill>
          </w14:textFill>
        </w:rPr>
      </w:pPr>
      <w:bookmarkStart w:id="46" w:name="_Toc395066515"/>
      <w:bookmarkStart w:id="47" w:name="_Toc185702547"/>
      <w:bookmarkStart w:id="48" w:name="_Toc200268237"/>
      <w:bookmarkStart w:id="49" w:name="_Toc10224"/>
      <w:bookmarkStart w:id="50" w:name="_Toc469909314"/>
      <w:bookmarkStart w:id="51" w:name="_Toc469874162"/>
      <w:bookmarkStart w:id="52" w:name="_Toc405942973"/>
      <w:r>
        <w:rPr>
          <w:rFonts w:hint="eastAsia" w:ascii="宋体" w:hAnsi="宋体" w:cs="宋体"/>
          <w:bCs/>
          <w:color w:val="000000" w:themeColor="text1"/>
          <w:sz w:val="32"/>
          <w14:textFill>
            <w14:solidFill>
              <w14:schemeClr w14:val="tx1"/>
            </w14:solidFill>
          </w14:textFill>
        </w:rPr>
        <w:t>投标人须知前附表</w:t>
      </w:r>
      <w:bookmarkEnd w:id="46"/>
      <w:bookmarkEnd w:id="47"/>
      <w:bookmarkEnd w:id="48"/>
      <w:bookmarkEnd w:id="49"/>
      <w:bookmarkEnd w:id="50"/>
      <w:bookmarkEnd w:id="51"/>
      <w:bookmarkEnd w:id="52"/>
    </w:p>
    <w:p>
      <w:pPr>
        <w:pStyle w:val="20"/>
        <w:spacing w:line="200" w:lineRule="exact"/>
        <w:rPr>
          <w:rFonts w:hAnsi="宋体" w:cs="宋体"/>
          <w:color w:val="000000" w:themeColor="text1"/>
          <w14:textFill>
            <w14:solidFill>
              <w14:schemeClr w14:val="tx1"/>
            </w14:solidFill>
          </w14:textFill>
        </w:rPr>
      </w:pP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1"/>
        <w:gridCol w:w="716"/>
        <w:gridCol w:w="8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581" w:type="dxa"/>
            <w:vAlign w:val="center"/>
          </w:tcPr>
          <w:p>
            <w:pPr>
              <w:pStyle w:val="152"/>
              <w:snapToGrid w:val="0"/>
              <w:ind w:left="-105" w:leftChars="-50" w:right="-105" w:rightChars="-50"/>
              <w:jc w:val="center"/>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序号</w:t>
            </w:r>
          </w:p>
        </w:tc>
        <w:tc>
          <w:tcPr>
            <w:tcW w:w="716" w:type="dxa"/>
            <w:vAlign w:val="center"/>
          </w:tcPr>
          <w:p>
            <w:pPr>
              <w:pStyle w:val="152"/>
              <w:snapToGrid w:val="0"/>
              <w:ind w:left="-105" w:leftChars="-50" w:right="-105" w:rightChars="-50"/>
              <w:jc w:val="center"/>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条款号</w:t>
            </w:r>
          </w:p>
        </w:tc>
        <w:tc>
          <w:tcPr>
            <w:tcW w:w="8120" w:type="dxa"/>
            <w:vAlign w:val="center"/>
          </w:tcPr>
          <w:p>
            <w:pPr>
              <w:pStyle w:val="152"/>
              <w:snapToGrid w:val="0"/>
              <w:jc w:val="center"/>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81" w:type="dxa"/>
            <w:vAlign w:val="center"/>
          </w:tcPr>
          <w:p>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716" w:type="dxa"/>
            <w:vAlign w:val="center"/>
          </w:tcPr>
          <w:p>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w:t>
            </w:r>
          </w:p>
        </w:tc>
        <w:tc>
          <w:tcPr>
            <w:tcW w:w="8120" w:type="dxa"/>
            <w:vAlign w:val="center"/>
          </w:tcPr>
          <w:p>
            <w:pPr>
              <w:pStyle w:val="152"/>
              <w:snapToGrid w:val="0"/>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1.项目名称：网络多媒体设备</w:t>
            </w:r>
          </w:p>
          <w:p>
            <w:pPr>
              <w:pStyle w:val="152"/>
              <w:snapToGrid w:val="0"/>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2.项目编号：WXZC2020-G1-00054-ZLZB</w:t>
            </w:r>
          </w:p>
          <w:p>
            <w:pPr>
              <w:pStyle w:val="20"/>
              <w:snapToGrid w:val="0"/>
              <w:spacing w:line="240" w:lineRule="exact"/>
              <w:ind w:left="1050" w:hanging="1050" w:hangingChars="500"/>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3.采购内容：</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2"/>
              <w:gridCol w:w="4577"/>
              <w:gridCol w:w="1455"/>
              <w:gridCol w:w="1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292" w:type="dxa"/>
                  <w:vAlign w:val="center"/>
                </w:tcPr>
                <w:p>
                  <w:pPr>
                    <w:pStyle w:val="20"/>
                    <w:jc w:val="center"/>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序号</w:t>
                  </w:r>
                </w:p>
              </w:tc>
              <w:tc>
                <w:tcPr>
                  <w:tcW w:w="4577" w:type="dxa"/>
                  <w:vAlign w:val="center"/>
                </w:tcPr>
                <w:p>
                  <w:pPr>
                    <w:pStyle w:val="20"/>
                    <w:jc w:val="center"/>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货物名称</w:t>
                  </w:r>
                </w:p>
              </w:tc>
              <w:tc>
                <w:tcPr>
                  <w:tcW w:w="1455" w:type="dxa"/>
                  <w:vAlign w:val="center"/>
                </w:tcPr>
                <w:p>
                  <w:pPr>
                    <w:pStyle w:val="20"/>
                    <w:jc w:val="center"/>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单位</w:t>
                  </w:r>
                </w:p>
              </w:tc>
              <w:tc>
                <w:tcPr>
                  <w:tcW w:w="1456" w:type="dxa"/>
                  <w:vAlign w:val="center"/>
                </w:tcPr>
                <w:p>
                  <w:pPr>
                    <w:pStyle w:val="20"/>
                    <w:jc w:val="center"/>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292" w:type="dxa"/>
                  <w:vAlign w:val="center"/>
                </w:tcPr>
                <w:p>
                  <w:pPr>
                    <w:pStyle w:val="20"/>
                    <w:jc w:val="center"/>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1</w:t>
                  </w:r>
                </w:p>
              </w:tc>
              <w:tc>
                <w:tcPr>
                  <w:tcW w:w="4577" w:type="dxa"/>
                  <w:vAlign w:val="center"/>
                </w:tcPr>
                <w:p>
                  <w:pPr>
                    <w:widowControl/>
                    <w:jc w:val="center"/>
                    <w:textAlignment w:val="center"/>
                    <w:rPr>
                      <w:rFonts w:hAnsi="宋体" w:cs="宋体"/>
                      <w:color w:val="000000" w:themeColor="text1"/>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86寸触控一体机</w:t>
                  </w:r>
                </w:p>
              </w:tc>
              <w:tc>
                <w:tcPr>
                  <w:tcW w:w="1455" w:type="dxa"/>
                  <w:vAlign w:val="center"/>
                </w:tcPr>
                <w:p>
                  <w:pPr>
                    <w:widowControl/>
                    <w:jc w:val="center"/>
                    <w:textAlignment w:val="center"/>
                    <w:rPr>
                      <w:rFonts w:hAnsi="宋体" w:cs="宋体"/>
                      <w:color w:val="000000" w:themeColor="text1"/>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台</w:t>
                  </w:r>
                </w:p>
              </w:tc>
              <w:tc>
                <w:tcPr>
                  <w:tcW w:w="1456" w:type="dxa"/>
                  <w:vAlign w:val="center"/>
                </w:tcPr>
                <w:p>
                  <w:pPr>
                    <w:widowControl/>
                    <w:jc w:val="center"/>
                    <w:textAlignment w:val="center"/>
                    <w:rPr>
                      <w:rFonts w:hAnsi="宋体" w:cs="宋体"/>
                      <w:color w:val="000000" w:themeColor="text1"/>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1292" w:type="dxa"/>
                  <w:vAlign w:val="center"/>
                </w:tcPr>
                <w:p>
                  <w:pPr>
                    <w:pStyle w:val="20"/>
                    <w:jc w:val="center"/>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2</w:t>
                  </w:r>
                </w:p>
              </w:tc>
              <w:tc>
                <w:tcPr>
                  <w:tcW w:w="4577" w:type="dxa"/>
                  <w:vAlign w:val="center"/>
                </w:tcPr>
                <w:p>
                  <w:pPr>
                    <w:widowControl/>
                    <w:jc w:val="center"/>
                    <w:textAlignment w:val="center"/>
                    <w:rPr>
                      <w:rFonts w:hAnsi="宋体" w:cs="宋体"/>
                      <w:color w:val="000000" w:themeColor="text1"/>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多媒体设备集中管理控制系统</w:t>
                  </w:r>
                </w:p>
              </w:tc>
              <w:tc>
                <w:tcPr>
                  <w:tcW w:w="1455" w:type="dxa"/>
                  <w:vAlign w:val="center"/>
                </w:tcPr>
                <w:p>
                  <w:pPr>
                    <w:widowControl/>
                    <w:jc w:val="center"/>
                    <w:textAlignment w:val="center"/>
                    <w:rPr>
                      <w:rFonts w:hAnsi="宋体" w:cs="宋体"/>
                      <w:color w:val="000000" w:themeColor="text1"/>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套</w:t>
                  </w:r>
                </w:p>
              </w:tc>
              <w:tc>
                <w:tcPr>
                  <w:tcW w:w="1456" w:type="dxa"/>
                  <w:vAlign w:val="center"/>
                </w:tcPr>
                <w:p>
                  <w:pPr>
                    <w:widowControl/>
                    <w:jc w:val="center"/>
                    <w:textAlignment w:val="center"/>
                    <w:rPr>
                      <w:rFonts w:hAnsi="宋体" w:cs="宋体"/>
                      <w:color w:val="000000" w:themeColor="text1"/>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1292" w:type="dxa"/>
                  <w:vAlign w:val="center"/>
                </w:tcPr>
                <w:p>
                  <w:pPr>
                    <w:pStyle w:val="20"/>
                    <w:jc w:val="center"/>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3</w:t>
                  </w:r>
                </w:p>
              </w:tc>
              <w:tc>
                <w:tcPr>
                  <w:tcW w:w="4577" w:type="dxa"/>
                  <w:vAlign w:val="center"/>
                </w:tcPr>
                <w:p>
                  <w:pPr>
                    <w:widowControl/>
                    <w:jc w:val="center"/>
                    <w:textAlignment w:val="center"/>
                    <w:rPr>
                      <w:rFonts w:hAnsi="宋体" w:cs="宋体"/>
                      <w:color w:val="000000" w:themeColor="text1"/>
                      <w:szCs w:val="21"/>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智能翻页笔</w:t>
                  </w:r>
                </w:p>
              </w:tc>
              <w:tc>
                <w:tcPr>
                  <w:tcW w:w="1455" w:type="dxa"/>
                  <w:vAlign w:val="center"/>
                </w:tcPr>
                <w:p>
                  <w:pPr>
                    <w:widowControl/>
                    <w:jc w:val="center"/>
                    <w:textAlignment w:val="center"/>
                    <w:rPr>
                      <w:rFonts w:hAnsi="宋体" w:cs="宋体"/>
                      <w:color w:val="000000" w:themeColor="text1"/>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支</w:t>
                  </w:r>
                </w:p>
              </w:tc>
              <w:tc>
                <w:tcPr>
                  <w:tcW w:w="1456" w:type="dxa"/>
                  <w:vAlign w:val="center"/>
                </w:tcPr>
                <w:p>
                  <w:pPr>
                    <w:widowControl/>
                    <w:jc w:val="center"/>
                    <w:textAlignment w:val="center"/>
                    <w:rPr>
                      <w:rFonts w:hAnsi="宋体" w:cs="宋体"/>
                      <w:color w:val="000000" w:themeColor="text1"/>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1292" w:type="dxa"/>
                  <w:vAlign w:val="center"/>
                </w:tcPr>
                <w:p>
                  <w:pPr>
                    <w:pStyle w:val="20"/>
                    <w:jc w:val="center"/>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4</w:t>
                  </w:r>
                </w:p>
              </w:tc>
              <w:tc>
                <w:tcPr>
                  <w:tcW w:w="4577" w:type="dxa"/>
                  <w:vAlign w:val="center"/>
                </w:tcPr>
                <w:p>
                  <w:pPr>
                    <w:widowControl/>
                    <w:jc w:val="center"/>
                    <w:textAlignment w:val="center"/>
                    <w:rPr>
                      <w:rFonts w:hAnsi="宋体" w:cs="宋体"/>
                      <w:color w:val="000000" w:themeColor="text1"/>
                      <w:szCs w:val="21"/>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壁挂式展台</w:t>
                  </w:r>
                </w:p>
              </w:tc>
              <w:tc>
                <w:tcPr>
                  <w:tcW w:w="1455" w:type="dxa"/>
                  <w:vAlign w:val="center"/>
                </w:tcPr>
                <w:p>
                  <w:pPr>
                    <w:widowControl/>
                    <w:jc w:val="center"/>
                    <w:textAlignment w:val="center"/>
                    <w:rPr>
                      <w:rFonts w:hAnsi="宋体" w:cs="宋体"/>
                      <w:color w:val="000000" w:themeColor="text1"/>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台</w:t>
                  </w:r>
                </w:p>
              </w:tc>
              <w:tc>
                <w:tcPr>
                  <w:tcW w:w="1456" w:type="dxa"/>
                  <w:vAlign w:val="center"/>
                </w:tcPr>
                <w:p>
                  <w:pPr>
                    <w:widowControl/>
                    <w:jc w:val="center"/>
                    <w:textAlignment w:val="center"/>
                    <w:rPr>
                      <w:rFonts w:hAnsi="宋体" w:cs="宋体"/>
                      <w:color w:val="000000" w:themeColor="text1"/>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1292" w:type="dxa"/>
                  <w:vAlign w:val="center"/>
                </w:tcPr>
                <w:p>
                  <w:pPr>
                    <w:pStyle w:val="20"/>
                    <w:jc w:val="center"/>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5</w:t>
                  </w:r>
                </w:p>
              </w:tc>
              <w:tc>
                <w:tcPr>
                  <w:tcW w:w="4577" w:type="dxa"/>
                  <w:vAlign w:val="center"/>
                </w:tcPr>
                <w:p>
                  <w:pPr>
                    <w:widowControl/>
                    <w:jc w:val="center"/>
                    <w:textAlignment w:val="center"/>
                    <w:rPr>
                      <w:color w:val="000000" w:themeColor="text1"/>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推拉黑板</w:t>
                  </w:r>
                </w:p>
              </w:tc>
              <w:tc>
                <w:tcPr>
                  <w:tcW w:w="1455" w:type="dxa"/>
                  <w:vAlign w:val="center"/>
                </w:tcPr>
                <w:p>
                  <w:pPr>
                    <w:widowControl/>
                    <w:jc w:val="center"/>
                    <w:textAlignment w:val="center"/>
                    <w:rPr>
                      <w:rFonts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套</w:t>
                  </w:r>
                </w:p>
              </w:tc>
              <w:tc>
                <w:tcPr>
                  <w:tcW w:w="1456" w:type="dxa"/>
                  <w:vAlign w:val="center"/>
                </w:tcPr>
                <w:p>
                  <w:pPr>
                    <w:widowControl/>
                    <w:jc w:val="center"/>
                    <w:textAlignment w:val="center"/>
                    <w:rPr>
                      <w:rFonts w:hAnsi="宋体" w:cs="宋体"/>
                      <w:color w:val="000000" w:themeColor="text1"/>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1292" w:type="dxa"/>
                  <w:vAlign w:val="center"/>
                </w:tcPr>
                <w:p>
                  <w:pPr>
                    <w:pStyle w:val="20"/>
                    <w:jc w:val="center"/>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6</w:t>
                  </w:r>
                </w:p>
              </w:tc>
              <w:tc>
                <w:tcPr>
                  <w:tcW w:w="4577" w:type="dxa"/>
                  <w:vAlign w:val="center"/>
                </w:tcPr>
                <w:p>
                  <w:pPr>
                    <w:widowControl/>
                    <w:jc w:val="center"/>
                    <w:textAlignment w:val="center"/>
                    <w:rPr>
                      <w:color w:val="000000" w:themeColor="text1"/>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讲桌</w:t>
                  </w:r>
                </w:p>
              </w:tc>
              <w:tc>
                <w:tcPr>
                  <w:tcW w:w="1455" w:type="dxa"/>
                  <w:vAlign w:val="center"/>
                </w:tcPr>
                <w:p>
                  <w:pPr>
                    <w:widowControl/>
                    <w:jc w:val="center"/>
                    <w:textAlignment w:val="center"/>
                    <w:rPr>
                      <w:rFonts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张</w:t>
                  </w:r>
                </w:p>
              </w:tc>
              <w:tc>
                <w:tcPr>
                  <w:tcW w:w="1456" w:type="dxa"/>
                  <w:vAlign w:val="center"/>
                </w:tcPr>
                <w:p>
                  <w:pPr>
                    <w:widowControl/>
                    <w:jc w:val="center"/>
                    <w:textAlignment w:val="center"/>
                    <w:rPr>
                      <w:rFonts w:hAnsi="宋体" w:cs="宋体"/>
                      <w:color w:val="000000" w:themeColor="text1"/>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1292" w:type="dxa"/>
                  <w:vAlign w:val="center"/>
                </w:tcPr>
                <w:p>
                  <w:pPr>
                    <w:pStyle w:val="20"/>
                    <w:jc w:val="center"/>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7</w:t>
                  </w:r>
                </w:p>
              </w:tc>
              <w:tc>
                <w:tcPr>
                  <w:tcW w:w="4577" w:type="dxa"/>
                  <w:vAlign w:val="center"/>
                </w:tcPr>
                <w:p>
                  <w:pPr>
                    <w:widowControl/>
                    <w:jc w:val="center"/>
                    <w:textAlignment w:val="center"/>
                    <w:rPr>
                      <w:rFonts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音箱</w:t>
                  </w:r>
                </w:p>
              </w:tc>
              <w:tc>
                <w:tcPr>
                  <w:tcW w:w="1455" w:type="dxa"/>
                  <w:vAlign w:val="center"/>
                </w:tcPr>
                <w:p>
                  <w:pPr>
                    <w:widowControl/>
                    <w:jc w:val="center"/>
                    <w:textAlignment w:val="center"/>
                    <w:rPr>
                      <w:rFonts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套</w:t>
                  </w:r>
                </w:p>
              </w:tc>
              <w:tc>
                <w:tcPr>
                  <w:tcW w:w="1456" w:type="dxa"/>
                  <w:vAlign w:val="center"/>
                </w:tcPr>
                <w:p>
                  <w:pPr>
                    <w:widowControl/>
                    <w:jc w:val="center"/>
                    <w:textAlignment w:val="center"/>
                    <w:rPr>
                      <w:rFonts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1292" w:type="dxa"/>
                  <w:vAlign w:val="center"/>
                </w:tcPr>
                <w:p>
                  <w:pPr>
                    <w:pStyle w:val="20"/>
                    <w:jc w:val="center"/>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8</w:t>
                  </w:r>
                </w:p>
              </w:tc>
              <w:tc>
                <w:tcPr>
                  <w:tcW w:w="4577" w:type="dxa"/>
                  <w:vAlign w:val="center"/>
                </w:tcPr>
                <w:p>
                  <w:pPr>
                    <w:widowControl/>
                    <w:jc w:val="center"/>
                    <w:textAlignment w:val="center"/>
                    <w:rPr>
                      <w:rFonts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麦克风</w:t>
                  </w:r>
                </w:p>
              </w:tc>
              <w:tc>
                <w:tcPr>
                  <w:tcW w:w="1455" w:type="dxa"/>
                  <w:vAlign w:val="center"/>
                </w:tcPr>
                <w:p>
                  <w:pPr>
                    <w:widowControl/>
                    <w:jc w:val="center"/>
                    <w:textAlignment w:val="center"/>
                    <w:rPr>
                      <w:rFonts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套</w:t>
                  </w:r>
                </w:p>
              </w:tc>
              <w:tc>
                <w:tcPr>
                  <w:tcW w:w="1456" w:type="dxa"/>
                  <w:vAlign w:val="center"/>
                </w:tcPr>
                <w:p>
                  <w:pPr>
                    <w:widowControl/>
                    <w:jc w:val="center"/>
                    <w:textAlignment w:val="center"/>
                    <w:rPr>
                      <w:rFonts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1292" w:type="dxa"/>
                  <w:vAlign w:val="center"/>
                </w:tcPr>
                <w:p>
                  <w:pPr>
                    <w:pStyle w:val="20"/>
                    <w:jc w:val="center"/>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9</w:t>
                  </w:r>
                </w:p>
              </w:tc>
              <w:tc>
                <w:tcPr>
                  <w:tcW w:w="4577" w:type="dxa"/>
                  <w:vAlign w:val="center"/>
                </w:tcPr>
                <w:p>
                  <w:pPr>
                    <w:widowControl/>
                    <w:jc w:val="center"/>
                    <w:textAlignment w:val="center"/>
                    <w:rPr>
                      <w:rFonts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线材辅材</w:t>
                  </w:r>
                </w:p>
              </w:tc>
              <w:tc>
                <w:tcPr>
                  <w:tcW w:w="1455" w:type="dxa"/>
                  <w:vAlign w:val="center"/>
                </w:tcPr>
                <w:p>
                  <w:pPr>
                    <w:widowControl/>
                    <w:jc w:val="center"/>
                    <w:textAlignment w:val="center"/>
                    <w:rPr>
                      <w:rFonts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项</w:t>
                  </w:r>
                </w:p>
              </w:tc>
              <w:tc>
                <w:tcPr>
                  <w:tcW w:w="1456" w:type="dxa"/>
                  <w:vAlign w:val="center"/>
                </w:tcPr>
                <w:p>
                  <w:pPr>
                    <w:widowControl/>
                    <w:jc w:val="center"/>
                    <w:textAlignment w:val="center"/>
                    <w:rPr>
                      <w:rFonts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1292" w:type="dxa"/>
                  <w:vAlign w:val="center"/>
                </w:tcPr>
                <w:p>
                  <w:pPr>
                    <w:pStyle w:val="20"/>
                    <w:jc w:val="center"/>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10</w:t>
                  </w:r>
                </w:p>
              </w:tc>
              <w:tc>
                <w:tcPr>
                  <w:tcW w:w="4577" w:type="dxa"/>
                  <w:vAlign w:val="center"/>
                </w:tcPr>
                <w:p>
                  <w:pPr>
                    <w:widowControl/>
                    <w:jc w:val="center"/>
                    <w:textAlignment w:val="center"/>
                    <w:rPr>
                      <w:rFonts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安装调试</w:t>
                  </w:r>
                </w:p>
              </w:tc>
              <w:tc>
                <w:tcPr>
                  <w:tcW w:w="1455" w:type="dxa"/>
                  <w:vAlign w:val="center"/>
                </w:tcPr>
                <w:p>
                  <w:pPr>
                    <w:widowControl/>
                    <w:jc w:val="center"/>
                    <w:textAlignment w:val="center"/>
                    <w:rPr>
                      <w:rFonts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项</w:t>
                  </w:r>
                </w:p>
              </w:tc>
              <w:tc>
                <w:tcPr>
                  <w:tcW w:w="1456" w:type="dxa"/>
                  <w:vAlign w:val="center"/>
                </w:tcPr>
                <w:p>
                  <w:pPr>
                    <w:widowControl/>
                    <w:jc w:val="center"/>
                    <w:textAlignment w:val="center"/>
                    <w:rPr>
                      <w:rFonts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68</w:t>
                  </w:r>
                </w:p>
              </w:tc>
            </w:tr>
          </w:tbl>
          <w:p>
            <w:pPr>
              <w:pStyle w:val="20"/>
              <w:spacing w:before="66" w:beforeLines="20" w:line="280" w:lineRule="exact"/>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如需进一步了解详细内容，详见招标文件。</w:t>
            </w:r>
          </w:p>
          <w:p>
            <w:pPr>
              <w:pStyle w:val="20"/>
              <w:spacing w:before="66" w:beforeLines="20" w:line="240" w:lineRule="exact"/>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采购预算金额：叁佰万元整</w:t>
            </w:r>
            <w:r>
              <w:rPr>
                <w:rFonts w:hAnsi="宋体"/>
                <w:color w:val="000000" w:themeColor="text1"/>
                <w:highlight w:val="none"/>
                <w14:textFill>
                  <w14:solidFill>
                    <w14:schemeClr w14:val="tx1"/>
                  </w14:solidFill>
                </w14:textFill>
              </w:rPr>
              <w:t>（</w:t>
            </w:r>
            <w:r>
              <w:rPr>
                <w:rFonts w:hint="eastAsia" w:hAnsi="宋体"/>
                <w:color w:val="000000" w:themeColor="text1"/>
                <w:highlight w:val="none"/>
                <w14:textFill>
                  <w14:solidFill>
                    <w14:schemeClr w14:val="tx1"/>
                  </w14:solidFill>
                </w14:textFill>
              </w:rPr>
              <w:t>￥3000000.00</w:t>
            </w:r>
            <w:r>
              <w:rPr>
                <w:rFonts w:hAnsi="宋体"/>
                <w:color w:val="000000" w:themeColor="text1"/>
                <w:highlight w:val="none"/>
                <w14:textFill>
                  <w14:solidFill>
                    <w14:schemeClr w14:val="tx1"/>
                  </w14:solidFill>
                </w14:textFill>
              </w:rPr>
              <w:t>）</w:t>
            </w:r>
            <w:r>
              <w:rPr>
                <w:rFonts w:hint="eastAsia" w:hAnsi="宋体" w:cs="宋体"/>
                <w:color w:val="000000" w:themeColor="text1"/>
                <w:szCs w:val="21"/>
                <w:highlight w:val="none"/>
                <w14:textFill>
                  <w14:solidFill>
                    <w14:schemeClr w14:val="tx1"/>
                  </w14:solidFill>
                </w14:textFill>
              </w:rPr>
              <w:t>。</w:t>
            </w:r>
          </w:p>
          <w:p>
            <w:pPr>
              <w:pStyle w:val="20"/>
              <w:spacing w:before="66" w:beforeLines="20" w:line="240" w:lineRule="exact"/>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最高限价：不设定；</w:t>
            </w:r>
          </w:p>
          <w:p>
            <w:pPr>
              <w:pStyle w:val="20"/>
              <w:spacing w:before="66" w:beforeLines="20" w:line="240" w:lineRule="exact"/>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4.采购方式：公开招标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81" w:type="dxa"/>
            <w:vAlign w:val="center"/>
          </w:tcPr>
          <w:p>
            <w:pPr>
              <w:snapToGrid w:val="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p>
        </w:tc>
        <w:tc>
          <w:tcPr>
            <w:tcW w:w="716" w:type="dxa"/>
            <w:vAlign w:val="center"/>
          </w:tcPr>
          <w:p>
            <w:pPr>
              <w:snapToGrid w:val="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1.2</w:t>
            </w:r>
          </w:p>
        </w:tc>
        <w:tc>
          <w:tcPr>
            <w:tcW w:w="8120" w:type="dxa"/>
            <w:vAlign w:val="center"/>
          </w:tcPr>
          <w:p>
            <w:pPr>
              <w:pStyle w:val="2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采购人：梧州市万秀区教育局</w:t>
            </w:r>
          </w:p>
          <w:p>
            <w:pPr>
              <w:pStyle w:val="2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地址：梧州市新兴一路60号</w:t>
            </w:r>
          </w:p>
          <w:p>
            <w:pPr>
              <w:pStyle w:val="20"/>
              <w:snapToGrid w:val="0"/>
              <w:rPr>
                <w:rFonts w:hAnsi="宋体" w:cs="宋体"/>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联系人：林先生   联系电话：0774-3953050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81" w:type="dxa"/>
            <w:vAlign w:val="center"/>
          </w:tcPr>
          <w:p>
            <w:pPr>
              <w:snapToGrid w:val="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w:t>
            </w:r>
          </w:p>
        </w:tc>
        <w:tc>
          <w:tcPr>
            <w:tcW w:w="716" w:type="dxa"/>
            <w:vAlign w:val="center"/>
          </w:tcPr>
          <w:p>
            <w:pPr>
              <w:snapToGrid w:val="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1.3</w:t>
            </w:r>
          </w:p>
        </w:tc>
        <w:tc>
          <w:tcPr>
            <w:tcW w:w="8120" w:type="dxa"/>
            <w:vAlign w:val="center"/>
          </w:tcPr>
          <w:p>
            <w:pPr>
              <w:pStyle w:val="152"/>
              <w:snapToGrid w:val="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采购代理机构：广西众联工程项目管理有限公司</w:t>
            </w:r>
          </w:p>
          <w:p>
            <w:pPr>
              <w:pStyle w:val="20"/>
              <w:snapToGrid w:val="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地  址：梧州市新兴三路30号神冠豪都B栋1单元22层</w:t>
            </w:r>
          </w:p>
          <w:p>
            <w:pPr>
              <w:pStyle w:val="20"/>
              <w:snapToGrid w:val="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联系人及电话：孟工 ，18176880255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81" w:type="dxa"/>
            <w:vAlign w:val="center"/>
          </w:tcPr>
          <w:p>
            <w:pPr>
              <w:snapToGrid w:val="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w:t>
            </w:r>
          </w:p>
        </w:tc>
        <w:tc>
          <w:tcPr>
            <w:tcW w:w="716" w:type="dxa"/>
            <w:vAlign w:val="center"/>
          </w:tcPr>
          <w:p>
            <w:pPr>
              <w:snapToGrid w:val="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1.4</w:t>
            </w:r>
          </w:p>
        </w:tc>
        <w:tc>
          <w:tcPr>
            <w:tcW w:w="8120" w:type="dxa"/>
            <w:vAlign w:val="center"/>
          </w:tcPr>
          <w:p>
            <w:pPr>
              <w:pStyle w:val="152"/>
              <w:snapToGrid w:val="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监督部门：梧州市万秀区政府采购工作领导小组办公室</w:t>
            </w:r>
          </w:p>
          <w:p>
            <w:pPr>
              <w:pStyle w:val="152"/>
              <w:snapToGrid w:val="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电    话：</w:t>
            </w:r>
            <w:r>
              <w:rPr>
                <w:rFonts w:hint="eastAsia" w:hAnsi="宋体" w:cs="宋体"/>
                <w:color w:val="000000" w:themeColor="text1"/>
                <w:kern w:val="0"/>
                <w:szCs w:val="21"/>
                <w:highlight w:val="none"/>
                <w14:textFill>
                  <w14:solidFill>
                    <w14:schemeClr w14:val="tx1"/>
                  </w14:solidFill>
                </w14:textFill>
              </w:rPr>
              <w:t>0774-2826908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81" w:type="dxa"/>
            <w:vAlign w:val="center"/>
          </w:tcPr>
          <w:p>
            <w:pPr>
              <w:snapToGrid w:val="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w:t>
            </w:r>
          </w:p>
        </w:tc>
        <w:tc>
          <w:tcPr>
            <w:tcW w:w="716" w:type="dxa"/>
            <w:vAlign w:val="center"/>
          </w:tcPr>
          <w:p>
            <w:pPr>
              <w:snapToGrid w:val="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2.1</w:t>
            </w:r>
          </w:p>
        </w:tc>
        <w:tc>
          <w:tcPr>
            <w:tcW w:w="8120" w:type="dxa"/>
            <w:vAlign w:val="center"/>
          </w:tcPr>
          <w:p>
            <w:pPr>
              <w:snapToGrid w:val="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合格的投标人资格及要求：</w:t>
            </w:r>
          </w:p>
          <w:p>
            <w:pPr>
              <w:pStyle w:val="152"/>
              <w:snapToGrid w:val="0"/>
              <w:ind w:left="315" w:hanging="315" w:hangingChars="150"/>
              <w:rPr>
                <w:rFonts w:hAnsi="宋体" w:cs="宋体"/>
                <w:bCs/>
                <w:color w:val="000000" w:themeColor="text1"/>
                <w:szCs w:val="21"/>
                <w:highlight w:val="none"/>
                <w14:textFill>
                  <w14:solidFill>
                    <w14:schemeClr w14:val="tx1"/>
                  </w14:solidFill>
                </w14:textFill>
              </w:rPr>
            </w:pPr>
            <w:r>
              <w:rPr>
                <w:rFonts w:hint="eastAsia" w:hAnsi="宋体" w:cs="宋体"/>
                <w:bCs/>
                <w:color w:val="000000" w:themeColor="text1"/>
                <w:szCs w:val="21"/>
                <w:highlight w:val="none"/>
                <w14:textFill>
                  <w14:solidFill>
                    <w14:schemeClr w14:val="tx1"/>
                  </w14:solidFill>
                </w14:textFill>
              </w:rPr>
              <w:t>1．基本资格条件：符合《中华人民共和国政府采购法》第二十二条规定的条件；在中华人民共和国境内注册的生产或经营本次采购货物及服务的供应商；2016年起未被列入失信被执行人、重大税收违法案件当事人名单、政府采购严重违法失信行为记录名单；</w:t>
            </w:r>
          </w:p>
          <w:p>
            <w:pPr>
              <w:pStyle w:val="152"/>
              <w:snapToGrid w:val="0"/>
              <w:ind w:left="315" w:hanging="315" w:hangingChars="150"/>
              <w:rPr>
                <w:rFonts w:hAnsi="宋体" w:cs="宋体"/>
                <w:bCs/>
                <w:color w:val="000000" w:themeColor="text1"/>
                <w:szCs w:val="21"/>
                <w:highlight w:val="none"/>
                <w14:textFill>
                  <w14:solidFill>
                    <w14:schemeClr w14:val="tx1"/>
                  </w14:solidFill>
                </w14:textFill>
              </w:rPr>
            </w:pPr>
            <w:r>
              <w:rPr>
                <w:rFonts w:hint="eastAsia" w:hAnsi="宋体" w:cs="宋体"/>
                <w:bCs/>
                <w:color w:val="000000" w:themeColor="text1"/>
                <w:szCs w:val="21"/>
                <w:highlight w:val="none"/>
                <w14:textFill>
                  <w14:solidFill>
                    <w14:schemeClr w14:val="tx1"/>
                  </w14:solidFill>
                </w14:textFill>
              </w:rPr>
              <w:t>2．按招标公告的规定获取了招标文件；</w:t>
            </w:r>
          </w:p>
          <w:p>
            <w:pPr>
              <w:pStyle w:val="152"/>
              <w:snapToGrid w:val="0"/>
              <w:ind w:left="315" w:hanging="315" w:hangingChars="150"/>
              <w:rPr>
                <w:rFonts w:hAnsi="宋体" w:cs="宋体"/>
                <w:bCs/>
                <w:color w:val="000000" w:themeColor="text1"/>
                <w:szCs w:val="21"/>
                <w:highlight w:val="none"/>
                <w14:textFill>
                  <w14:solidFill>
                    <w14:schemeClr w14:val="tx1"/>
                  </w14:solidFill>
                </w14:textFill>
              </w:rPr>
            </w:pPr>
            <w:r>
              <w:rPr>
                <w:rFonts w:hint="eastAsia"/>
                <w:color w:val="000000" w:themeColor="text1"/>
                <w:highlight w:val="none"/>
                <w14:textFill>
                  <w14:solidFill>
                    <w14:schemeClr w14:val="tx1"/>
                  </w14:solidFill>
                </w14:textFill>
              </w:rPr>
              <w:t>3．本项目不接受联合体投标。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81" w:type="dxa"/>
            <w:vAlign w:val="center"/>
          </w:tcPr>
          <w:p>
            <w:pPr>
              <w:snapToGrid w:val="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w:t>
            </w:r>
          </w:p>
        </w:tc>
        <w:tc>
          <w:tcPr>
            <w:tcW w:w="716" w:type="dxa"/>
            <w:vAlign w:val="center"/>
          </w:tcPr>
          <w:p>
            <w:pPr>
              <w:snapToGrid w:val="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10.2</w:t>
            </w:r>
          </w:p>
        </w:tc>
        <w:tc>
          <w:tcPr>
            <w:tcW w:w="8120" w:type="dxa"/>
            <w:vAlign w:val="center"/>
          </w:tcPr>
          <w:p>
            <w:pPr>
              <w:pStyle w:val="20"/>
              <w:snapToGrid w:val="0"/>
              <w:ind w:left="1037" w:hanging="1037" w:hangingChars="494"/>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投标文件的份数：</w:t>
            </w:r>
          </w:p>
          <w:p>
            <w:pPr>
              <w:pStyle w:val="20"/>
              <w:snapToGrid w:val="0"/>
              <w:ind w:left="1037" w:hanging="1037" w:hangingChars="494"/>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1、投标文件：正本1份，副本4份。</w:t>
            </w:r>
          </w:p>
          <w:p>
            <w:pPr>
              <w:pStyle w:val="20"/>
              <w:snapToGrid w:val="0"/>
              <w:ind w:left="1037" w:hanging="1037" w:hangingChars="494"/>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2、投标文件电子版：投标人在递交投标文件时同时递交投标文件电子版。</w:t>
            </w:r>
          </w:p>
          <w:p>
            <w:pPr>
              <w:pStyle w:val="20"/>
              <w:snapToGrid w:val="0"/>
              <w:ind w:left="1037" w:hanging="1037" w:hangingChars="494"/>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①投标文件电子版内容：报价文件、资格资信证明文件、商务文件、技术文件。</w:t>
            </w:r>
          </w:p>
          <w:p>
            <w:pPr>
              <w:pStyle w:val="20"/>
              <w:snapToGrid w:val="0"/>
              <w:ind w:left="1037" w:hanging="1037" w:hangingChars="494"/>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②投标文件电子版份数：1份。</w:t>
            </w:r>
          </w:p>
          <w:p>
            <w:pPr>
              <w:pStyle w:val="20"/>
              <w:snapToGrid w:val="0"/>
              <w:ind w:left="1037" w:hanging="1037" w:hangingChars="494"/>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③投标文件电子版形式：可编辑的word文档格式。</w:t>
            </w:r>
          </w:p>
          <w:p>
            <w:pPr>
              <w:pStyle w:val="20"/>
              <w:snapToGrid w:val="0"/>
              <w:ind w:left="1037" w:hanging="1037" w:hangingChars="494"/>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④投标文件电子版密封形式：投标文件电子版U盘与投标文件纸质版文件一并装入投标文件袋内。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81" w:type="dxa"/>
            <w:vAlign w:val="center"/>
          </w:tcPr>
          <w:p>
            <w:pPr>
              <w:snapToGrid w:val="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w:t>
            </w:r>
          </w:p>
        </w:tc>
        <w:tc>
          <w:tcPr>
            <w:tcW w:w="716" w:type="dxa"/>
            <w:vAlign w:val="center"/>
          </w:tcPr>
          <w:p>
            <w:pPr>
              <w:snapToGrid w:val="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12.1</w:t>
            </w:r>
          </w:p>
        </w:tc>
        <w:tc>
          <w:tcPr>
            <w:tcW w:w="8120" w:type="dxa"/>
            <w:vAlign w:val="center"/>
          </w:tcPr>
          <w:p>
            <w:pPr>
              <w:pStyle w:val="20"/>
              <w:snapToGrid w:val="0"/>
              <w:ind w:leftChars="-18" w:hanging="37" w:hangingChars="18"/>
              <w:rPr>
                <w:rFonts w:hAnsi="宋体" w:cs="宋体"/>
                <w:color w:val="000000" w:themeColor="text1"/>
                <w:szCs w:val="2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投标人就第二章“采购内容及要求”中的项目和服务内容可能发生的所有费用作唯一完整报价。（本项目只允许递交一个方案的报价，不接受任何有选择性的报价。）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81" w:type="dxa"/>
            <w:vAlign w:val="center"/>
          </w:tcPr>
          <w:p>
            <w:pPr>
              <w:snapToGrid w:val="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8</w:t>
            </w:r>
          </w:p>
        </w:tc>
        <w:tc>
          <w:tcPr>
            <w:tcW w:w="716" w:type="dxa"/>
            <w:vAlign w:val="center"/>
          </w:tcPr>
          <w:p>
            <w:pPr>
              <w:snapToGrid w:val="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13.1</w:t>
            </w:r>
          </w:p>
        </w:tc>
        <w:tc>
          <w:tcPr>
            <w:tcW w:w="8120" w:type="dxa"/>
            <w:vAlign w:val="center"/>
          </w:tcPr>
          <w:p>
            <w:pPr>
              <w:pStyle w:val="20"/>
              <w:snapToGrid w:val="0"/>
              <w:ind w:left="1037" w:hanging="1037" w:hangingChars="494"/>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投标有效期：投标截止日期后60天。</w:t>
            </w:r>
          </w:p>
          <w:p>
            <w:pPr>
              <w:pStyle w:val="20"/>
              <w:snapToGrid w:val="0"/>
              <w:ind w:left="1037" w:hanging="1037" w:hangingChars="494"/>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[注：投标保证金</w:t>
            </w:r>
            <w:r>
              <w:rPr>
                <w:rFonts w:hint="eastAsia" w:hAnsi="宋体" w:cs="宋体"/>
                <w:color w:val="000000" w:themeColor="text1"/>
                <w:kern w:val="0"/>
                <w:szCs w:val="21"/>
                <w:highlight w:val="none"/>
                <w14:textFill>
                  <w14:solidFill>
                    <w14:schemeClr w14:val="tx1"/>
                  </w14:solidFill>
                </w14:textFill>
              </w:rPr>
              <w:t>有效期应比投标有效期延长25日。</w:t>
            </w:r>
            <w:r>
              <w:rPr>
                <w:rFonts w:hint="eastAsia" w:hAnsi="宋体" w:cs="宋体"/>
                <w:color w:val="000000" w:themeColor="text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81" w:type="dxa"/>
            <w:vAlign w:val="center"/>
          </w:tcPr>
          <w:p>
            <w:pPr>
              <w:snapToGrid w:val="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9</w:t>
            </w:r>
          </w:p>
        </w:tc>
        <w:tc>
          <w:tcPr>
            <w:tcW w:w="716" w:type="dxa"/>
            <w:vAlign w:val="center"/>
          </w:tcPr>
          <w:p>
            <w:pPr>
              <w:snapToGrid w:val="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14.1</w:t>
            </w:r>
          </w:p>
        </w:tc>
        <w:tc>
          <w:tcPr>
            <w:tcW w:w="8120" w:type="dxa"/>
            <w:vAlign w:val="center"/>
          </w:tcPr>
          <w:p>
            <w:pPr>
              <w:snapToGrid w:val="0"/>
              <w:ind w:left="315" w:hanging="315" w:hangingChars="1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 投标保证金金额(人民币)：</w:t>
            </w:r>
            <w:r>
              <w:rPr>
                <w:rFonts w:hint="eastAsia" w:hAnsi="宋体" w:cs="宋体"/>
                <w:color w:val="000000" w:themeColor="text1"/>
                <w:szCs w:val="21"/>
                <w:highlight w:val="none"/>
                <w14:textFill>
                  <w14:solidFill>
                    <w14:schemeClr w14:val="tx1"/>
                  </w14:solidFill>
                </w14:textFill>
              </w:rPr>
              <w:t>陆万元整（￥60,000.00）</w:t>
            </w:r>
            <w:r>
              <w:rPr>
                <w:rFonts w:hint="eastAsia" w:ascii="宋体" w:hAnsi="宋体" w:cs="宋体"/>
                <w:color w:val="000000" w:themeColor="text1"/>
                <w:szCs w:val="21"/>
                <w:highlight w:val="none"/>
                <w14:textFill>
                  <w14:solidFill>
                    <w14:schemeClr w14:val="tx1"/>
                  </w14:solidFill>
                </w14:textFill>
              </w:rPr>
              <w:t>。</w:t>
            </w:r>
          </w:p>
          <w:p>
            <w:pPr>
              <w:snapToGrid w:val="0"/>
              <w:ind w:left="315" w:hanging="315" w:hangingChars="1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2．递交方式：从投标人对公账户转账到以下专用账户或以支票、汇票、本票、保函非现金形式缴纳投标保证金。</w:t>
            </w:r>
          </w:p>
          <w:p>
            <w:pPr>
              <w:snapToGrid w:val="0"/>
              <w:ind w:left="315" w:hanging="315" w:hangingChars="1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开户名称：广西众联工程项目管理有限公司</w:t>
            </w:r>
          </w:p>
          <w:p>
            <w:pPr>
              <w:snapToGrid w:val="0"/>
              <w:ind w:left="315" w:hanging="315" w:hangingChars="1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开户银行：中国光大银行股份有限公司南宁民主支行</w:t>
            </w:r>
          </w:p>
          <w:p>
            <w:pPr>
              <w:snapToGrid w:val="0"/>
              <w:ind w:left="315" w:hanging="315" w:hangingChars="1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银行账号：78900188000167866</w:t>
            </w:r>
          </w:p>
          <w:p>
            <w:pPr>
              <w:snapToGrid w:val="0"/>
              <w:ind w:left="315" w:hanging="315" w:hangingChars="1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3．交纳截止时间：①以转帐方式缴纳投标保证金的必须在投标截止时间之前到达专用帐户。②以其他非现金方式递交投标保证金的应在投标截止时间之前提交。</w:t>
            </w:r>
          </w:p>
          <w:p>
            <w:pPr>
              <w:snapToGrid w:val="0"/>
              <w:ind w:left="315" w:hanging="315" w:hangingChars="15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w:t>
            </w:r>
            <w:r>
              <w:rPr>
                <w:rFonts w:hint="eastAsia" w:ascii="宋体" w:hAnsi="宋体" w:cs="宋体"/>
                <w:bCs/>
                <w:color w:val="000000" w:themeColor="text1"/>
                <w:szCs w:val="21"/>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办理投标保证金手续时，请务必注明事由</w:t>
            </w:r>
            <w:r>
              <w:rPr>
                <w:rFonts w:hint="eastAsia" w:ascii="宋体" w:hAnsi="宋体" w:cs="宋体"/>
                <w:color w:val="000000" w:themeColor="text1"/>
                <w:highlight w:val="none"/>
                <w:u w:val="single"/>
                <w14:textFill>
                  <w14:solidFill>
                    <w14:schemeClr w14:val="tx1"/>
                  </w14:solidFill>
                </w14:textFill>
              </w:rPr>
              <w:t>“项目编号＋投标保证金</w:t>
            </w:r>
            <w:r>
              <w:rPr>
                <w:rFonts w:hint="eastAsia" w:ascii="宋体" w:hAnsi="宋体" w:cs="宋体"/>
                <w:color w:val="000000" w:themeColor="text1"/>
                <w:szCs w:val="21"/>
                <w:highlight w:val="none"/>
                <w:u w:val="single"/>
                <w14:textFill>
                  <w14:solidFill>
                    <w14:schemeClr w14:val="tx1"/>
                  </w14:solidFill>
                </w14:textFill>
              </w:rPr>
              <w:t>（如有分标，须列出分标号）</w:t>
            </w:r>
            <w:r>
              <w:rPr>
                <w:rFonts w:hint="eastAsia" w:ascii="宋体" w:hAnsi="宋体" w:cs="宋体"/>
                <w:color w:val="000000" w:themeColor="text1"/>
                <w:highlight w:val="none"/>
                <w:u w:val="singl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字样，经查实投标保证金没有在规定时间到账的，其投标无效。</w:t>
            </w:r>
          </w:p>
          <w:p>
            <w:pPr>
              <w:pStyle w:val="20"/>
              <w:snapToGrid w:val="0"/>
              <w:rPr>
                <w:rFonts w:hAnsi="宋体" w:cs="宋体"/>
                <w:color w:val="000000" w:themeColor="text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[注：投标人如需开具收据的，请在开标会议结束后自行到广西众联工程项目管理有限公司财务部开具投标保证金收据。]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81" w:type="dxa"/>
            <w:vAlign w:val="center"/>
          </w:tcPr>
          <w:p>
            <w:pPr>
              <w:snapToGrid w:val="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10</w:t>
            </w:r>
          </w:p>
        </w:tc>
        <w:tc>
          <w:tcPr>
            <w:tcW w:w="716" w:type="dxa"/>
            <w:vAlign w:val="center"/>
          </w:tcPr>
          <w:p>
            <w:pPr>
              <w:snapToGrid w:val="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16.1</w:t>
            </w:r>
          </w:p>
        </w:tc>
        <w:tc>
          <w:tcPr>
            <w:tcW w:w="8120" w:type="dxa"/>
            <w:vAlign w:val="center"/>
          </w:tcPr>
          <w:p>
            <w:pPr>
              <w:pStyle w:val="20"/>
              <w:snapToGrid w:val="0"/>
              <w:ind w:left="1037" w:hanging="1037" w:hangingChars="494"/>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1．投标截止时间：</w:t>
            </w:r>
            <w:r>
              <w:rPr>
                <w:rFonts w:hint="eastAsia" w:hAnsi="宋体" w:cs="宋体"/>
                <w:bCs/>
                <w:color w:val="000000" w:themeColor="text1"/>
                <w:szCs w:val="21"/>
                <w:highlight w:val="none"/>
                <w14:textFill>
                  <w14:solidFill>
                    <w14:schemeClr w14:val="tx1"/>
                  </w14:solidFill>
                </w14:textFill>
              </w:rPr>
              <w:t xml:space="preserve">2019年 </w:t>
            </w:r>
            <w:r>
              <w:rPr>
                <w:rFonts w:hint="eastAsia" w:hAnsi="宋体" w:cs="宋体"/>
                <w:bCs/>
                <w:color w:val="000000" w:themeColor="text1"/>
                <w:szCs w:val="21"/>
                <w:highlight w:val="none"/>
                <w:lang w:val="en-US" w:eastAsia="zh-CN"/>
                <w14:textFill>
                  <w14:solidFill>
                    <w14:schemeClr w14:val="tx1"/>
                  </w14:solidFill>
                </w14:textFill>
              </w:rPr>
              <w:t>7</w:t>
            </w:r>
            <w:r>
              <w:rPr>
                <w:rFonts w:hint="eastAsia" w:hAnsi="宋体" w:cs="宋体"/>
                <w:bCs/>
                <w:color w:val="000000" w:themeColor="text1"/>
                <w:szCs w:val="21"/>
                <w:highlight w:val="none"/>
                <w14:textFill>
                  <w14:solidFill>
                    <w14:schemeClr w14:val="tx1"/>
                  </w14:solidFill>
                </w14:textFill>
              </w:rPr>
              <w:t xml:space="preserve"> 月 </w:t>
            </w:r>
            <w:r>
              <w:rPr>
                <w:rFonts w:hint="eastAsia" w:hAnsi="宋体" w:cs="宋体"/>
                <w:bCs/>
                <w:color w:val="000000" w:themeColor="text1"/>
                <w:szCs w:val="21"/>
                <w:highlight w:val="none"/>
                <w:lang w:val="en-US" w:eastAsia="zh-CN"/>
                <w14:textFill>
                  <w14:solidFill>
                    <w14:schemeClr w14:val="tx1"/>
                  </w14:solidFill>
                </w14:textFill>
              </w:rPr>
              <w:t>22</w:t>
            </w:r>
            <w:r>
              <w:rPr>
                <w:rFonts w:hint="eastAsia" w:hAnsi="宋体" w:cs="宋体"/>
                <w:bCs/>
                <w:color w:val="000000" w:themeColor="text1"/>
                <w:szCs w:val="21"/>
                <w:highlight w:val="none"/>
                <w14:textFill>
                  <w14:solidFill>
                    <w14:schemeClr w14:val="tx1"/>
                  </w14:solidFill>
                </w14:textFill>
              </w:rPr>
              <w:t xml:space="preserve">日 </w:t>
            </w:r>
            <w:r>
              <w:rPr>
                <w:rFonts w:hint="eastAsia" w:hAnsi="宋体" w:cs="宋体"/>
                <w:bCs/>
                <w:color w:val="000000" w:themeColor="text1"/>
                <w:szCs w:val="21"/>
                <w:highlight w:val="none"/>
                <w:lang w:eastAsia="zh-CN"/>
                <w14:textFill>
                  <w14:solidFill>
                    <w14:schemeClr w14:val="tx1"/>
                  </w14:solidFill>
                </w14:textFill>
              </w:rPr>
              <w:t>上午</w:t>
            </w:r>
            <w:r>
              <w:rPr>
                <w:rFonts w:hint="eastAsia" w:hAnsi="宋体" w:cs="宋体"/>
                <w:bCs/>
                <w:color w:val="000000" w:themeColor="text1"/>
                <w:szCs w:val="21"/>
                <w:highlight w:val="none"/>
                <w14:textFill>
                  <w14:solidFill>
                    <w14:schemeClr w14:val="tx1"/>
                  </w14:solidFill>
                </w14:textFill>
              </w:rPr>
              <w:t xml:space="preserve"> </w:t>
            </w:r>
            <w:r>
              <w:rPr>
                <w:rFonts w:hint="eastAsia" w:hAnsi="宋体" w:cs="宋体"/>
                <w:bCs/>
                <w:color w:val="000000" w:themeColor="text1"/>
                <w:szCs w:val="21"/>
                <w:highlight w:val="none"/>
                <w:lang w:val="en-US" w:eastAsia="zh-CN"/>
                <w14:textFill>
                  <w14:solidFill>
                    <w14:schemeClr w14:val="tx1"/>
                  </w14:solidFill>
                </w14:textFill>
              </w:rPr>
              <w:t>9</w:t>
            </w:r>
            <w:r>
              <w:rPr>
                <w:rFonts w:hint="eastAsia" w:hAnsi="宋体" w:cs="宋体"/>
                <w:bCs/>
                <w:color w:val="000000" w:themeColor="text1"/>
                <w:szCs w:val="21"/>
                <w:highlight w:val="none"/>
                <w14:textFill>
                  <w14:solidFill>
                    <w14:schemeClr w14:val="tx1"/>
                  </w14:solidFill>
                </w14:textFill>
              </w:rPr>
              <w:t xml:space="preserve"> 时 </w:t>
            </w:r>
            <w:r>
              <w:rPr>
                <w:rFonts w:hint="eastAsia" w:hAnsi="宋体" w:cs="宋体"/>
                <w:bCs/>
                <w:color w:val="000000" w:themeColor="text1"/>
                <w:szCs w:val="21"/>
                <w:highlight w:val="none"/>
                <w:lang w:val="en-US" w:eastAsia="zh-CN"/>
                <w14:textFill>
                  <w14:solidFill>
                    <w14:schemeClr w14:val="tx1"/>
                  </w14:solidFill>
                </w14:textFill>
              </w:rPr>
              <w:t>30</w:t>
            </w:r>
            <w:r>
              <w:rPr>
                <w:rFonts w:hint="eastAsia" w:hAnsi="宋体" w:cs="宋体"/>
                <w:bCs/>
                <w:color w:val="000000" w:themeColor="text1"/>
                <w:szCs w:val="21"/>
                <w:highlight w:val="none"/>
                <w14:textFill>
                  <w14:solidFill>
                    <w14:schemeClr w14:val="tx1"/>
                  </w14:solidFill>
                </w14:textFill>
              </w:rPr>
              <w:t xml:space="preserve"> 分</w:t>
            </w:r>
            <w:r>
              <w:rPr>
                <w:rFonts w:hint="eastAsia" w:hAnsi="宋体" w:cs="宋体"/>
                <w:color w:val="000000" w:themeColor="text1"/>
                <w:szCs w:val="21"/>
                <w:highlight w:val="none"/>
                <w14:textFill>
                  <w14:solidFill>
                    <w14:schemeClr w14:val="tx1"/>
                  </w14:solidFill>
                </w14:textFill>
              </w:rPr>
              <w:t>整</w:t>
            </w:r>
          </w:p>
          <w:p>
            <w:pPr>
              <w:pStyle w:val="20"/>
              <w:snapToGrid w:val="0"/>
              <w:ind w:left="315" w:hanging="315" w:hangingChars="15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2．投标文件递交地点：</w:t>
            </w:r>
            <w:r>
              <w:rPr>
                <w:rFonts w:hint="eastAsia" w:hAnsi="宋体"/>
                <w:color w:val="000000" w:themeColor="text1"/>
                <w:szCs w:val="21"/>
                <w:highlight w:val="none"/>
                <w14:textFill>
                  <w14:solidFill>
                    <w14:schemeClr w14:val="tx1"/>
                  </w14:solidFill>
                </w14:textFill>
              </w:rPr>
              <w:t>梧州市公共资源交易中心(梧州市政府采购中心)8楼开标厅（地址：梧州市长洲区三龙大道红岭大厦，具体开标室见现场LED指引）</w:t>
            </w:r>
          </w:p>
          <w:p>
            <w:pPr>
              <w:pStyle w:val="20"/>
              <w:snapToGrid w:val="0"/>
              <w:ind w:left="2"/>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3．逾期送达或未按要求密封标记的投标文件，采购人或采购代理机构将予以拒收。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81" w:type="dxa"/>
            <w:vAlign w:val="center"/>
          </w:tcPr>
          <w:p>
            <w:pPr>
              <w:snapToGrid w:val="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w:t>
            </w:r>
          </w:p>
        </w:tc>
        <w:tc>
          <w:tcPr>
            <w:tcW w:w="716" w:type="dxa"/>
            <w:vAlign w:val="center"/>
          </w:tcPr>
          <w:p>
            <w:pPr>
              <w:snapToGrid w:val="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18.1</w:t>
            </w:r>
          </w:p>
        </w:tc>
        <w:tc>
          <w:tcPr>
            <w:tcW w:w="8120" w:type="dxa"/>
            <w:vAlign w:val="center"/>
          </w:tcPr>
          <w:p>
            <w:pPr>
              <w:pStyle w:val="20"/>
              <w:snapToGrid w:val="0"/>
              <w:ind w:left="1037" w:hanging="1037" w:hangingChars="494"/>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1．开标时间：</w:t>
            </w:r>
            <w:r>
              <w:rPr>
                <w:rFonts w:hint="eastAsia" w:hAnsi="宋体" w:cs="宋体"/>
                <w:bCs/>
                <w:color w:val="000000" w:themeColor="text1"/>
                <w:szCs w:val="21"/>
                <w:highlight w:val="none"/>
                <w14:textFill>
                  <w14:solidFill>
                    <w14:schemeClr w14:val="tx1"/>
                  </w14:solidFill>
                </w14:textFill>
              </w:rPr>
              <w:t xml:space="preserve">2019年 </w:t>
            </w:r>
            <w:r>
              <w:rPr>
                <w:rFonts w:hint="eastAsia" w:hAnsi="宋体" w:cs="宋体"/>
                <w:bCs/>
                <w:color w:val="000000" w:themeColor="text1"/>
                <w:szCs w:val="21"/>
                <w:highlight w:val="none"/>
                <w:lang w:val="en-US" w:eastAsia="zh-CN"/>
                <w14:textFill>
                  <w14:solidFill>
                    <w14:schemeClr w14:val="tx1"/>
                  </w14:solidFill>
                </w14:textFill>
              </w:rPr>
              <w:t>7</w:t>
            </w:r>
            <w:r>
              <w:rPr>
                <w:rFonts w:hint="eastAsia" w:hAnsi="宋体" w:cs="宋体"/>
                <w:bCs/>
                <w:color w:val="000000" w:themeColor="text1"/>
                <w:szCs w:val="21"/>
                <w:highlight w:val="none"/>
                <w14:textFill>
                  <w14:solidFill>
                    <w14:schemeClr w14:val="tx1"/>
                  </w14:solidFill>
                </w14:textFill>
              </w:rPr>
              <w:t xml:space="preserve"> 月 </w:t>
            </w:r>
            <w:r>
              <w:rPr>
                <w:rFonts w:hint="eastAsia" w:hAnsi="宋体" w:cs="宋体"/>
                <w:bCs/>
                <w:color w:val="000000" w:themeColor="text1"/>
                <w:szCs w:val="21"/>
                <w:highlight w:val="none"/>
                <w:lang w:val="en-US" w:eastAsia="zh-CN"/>
                <w14:textFill>
                  <w14:solidFill>
                    <w14:schemeClr w14:val="tx1"/>
                  </w14:solidFill>
                </w14:textFill>
              </w:rPr>
              <w:t>22</w:t>
            </w:r>
            <w:r>
              <w:rPr>
                <w:rFonts w:hint="eastAsia" w:hAnsi="宋体" w:cs="宋体"/>
                <w:bCs/>
                <w:color w:val="000000" w:themeColor="text1"/>
                <w:szCs w:val="21"/>
                <w:highlight w:val="none"/>
                <w14:textFill>
                  <w14:solidFill>
                    <w14:schemeClr w14:val="tx1"/>
                  </w14:solidFill>
                </w14:textFill>
              </w:rPr>
              <w:t xml:space="preserve">日 </w:t>
            </w:r>
            <w:r>
              <w:rPr>
                <w:rFonts w:hint="eastAsia" w:hAnsi="宋体" w:cs="宋体"/>
                <w:bCs/>
                <w:color w:val="000000" w:themeColor="text1"/>
                <w:szCs w:val="21"/>
                <w:highlight w:val="none"/>
                <w:lang w:eastAsia="zh-CN"/>
                <w14:textFill>
                  <w14:solidFill>
                    <w14:schemeClr w14:val="tx1"/>
                  </w14:solidFill>
                </w14:textFill>
              </w:rPr>
              <w:t>上午</w:t>
            </w:r>
            <w:r>
              <w:rPr>
                <w:rFonts w:hint="eastAsia" w:hAnsi="宋体" w:cs="宋体"/>
                <w:bCs/>
                <w:color w:val="000000" w:themeColor="text1"/>
                <w:szCs w:val="21"/>
                <w:highlight w:val="none"/>
                <w14:textFill>
                  <w14:solidFill>
                    <w14:schemeClr w14:val="tx1"/>
                  </w14:solidFill>
                </w14:textFill>
              </w:rPr>
              <w:t xml:space="preserve"> </w:t>
            </w:r>
            <w:r>
              <w:rPr>
                <w:rFonts w:hint="eastAsia" w:hAnsi="宋体" w:cs="宋体"/>
                <w:bCs/>
                <w:color w:val="000000" w:themeColor="text1"/>
                <w:szCs w:val="21"/>
                <w:highlight w:val="none"/>
                <w:lang w:val="en-US" w:eastAsia="zh-CN"/>
                <w14:textFill>
                  <w14:solidFill>
                    <w14:schemeClr w14:val="tx1"/>
                  </w14:solidFill>
                </w14:textFill>
              </w:rPr>
              <w:t>9</w:t>
            </w:r>
            <w:r>
              <w:rPr>
                <w:rFonts w:hint="eastAsia" w:hAnsi="宋体" w:cs="宋体"/>
                <w:bCs/>
                <w:color w:val="000000" w:themeColor="text1"/>
                <w:szCs w:val="21"/>
                <w:highlight w:val="none"/>
                <w14:textFill>
                  <w14:solidFill>
                    <w14:schemeClr w14:val="tx1"/>
                  </w14:solidFill>
                </w14:textFill>
              </w:rPr>
              <w:t xml:space="preserve"> 时 </w:t>
            </w:r>
            <w:r>
              <w:rPr>
                <w:rFonts w:hint="eastAsia" w:hAnsi="宋体" w:cs="宋体"/>
                <w:bCs/>
                <w:color w:val="000000" w:themeColor="text1"/>
                <w:szCs w:val="21"/>
                <w:highlight w:val="none"/>
                <w:lang w:val="en-US" w:eastAsia="zh-CN"/>
                <w14:textFill>
                  <w14:solidFill>
                    <w14:schemeClr w14:val="tx1"/>
                  </w14:solidFill>
                </w14:textFill>
              </w:rPr>
              <w:t>30</w:t>
            </w:r>
            <w:r>
              <w:rPr>
                <w:rFonts w:hint="eastAsia" w:hAnsi="宋体" w:cs="宋体"/>
                <w:bCs/>
                <w:color w:val="000000" w:themeColor="text1"/>
                <w:szCs w:val="21"/>
                <w:highlight w:val="none"/>
                <w14:textFill>
                  <w14:solidFill>
                    <w14:schemeClr w14:val="tx1"/>
                  </w14:solidFill>
                </w14:textFill>
              </w:rPr>
              <w:t xml:space="preserve"> 分</w:t>
            </w:r>
            <w:r>
              <w:rPr>
                <w:rFonts w:hint="eastAsia" w:hAnsi="宋体" w:cs="宋体"/>
                <w:color w:val="000000" w:themeColor="text1"/>
                <w:szCs w:val="21"/>
                <w:highlight w:val="none"/>
                <w14:textFill>
                  <w14:solidFill>
                    <w14:schemeClr w14:val="tx1"/>
                  </w14:solidFill>
                </w14:textFill>
              </w:rPr>
              <w:t>整</w:t>
            </w:r>
          </w:p>
          <w:p>
            <w:pPr>
              <w:pStyle w:val="152"/>
              <w:snapToGrid w:val="0"/>
              <w:ind w:left="315" w:hanging="315" w:hangingChars="15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2．开标地点：</w:t>
            </w:r>
            <w:r>
              <w:rPr>
                <w:rFonts w:hint="eastAsia" w:hAnsi="宋体"/>
                <w:color w:val="000000" w:themeColor="text1"/>
                <w:szCs w:val="21"/>
                <w:highlight w:val="none"/>
                <w14:textFill>
                  <w14:solidFill>
                    <w14:schemeClr w14:val="tx1"/>
                  </w14:solidFill>
                </w14:textFill>
              </w:rPr>
              <w:t>梧州市公共资源交易中心(梧州市政府采购中心)8楼开标厅（地址：梧州市长洲区三龙大道红岭大厦，具体开标室见现场LED指引）</w:t>
            </w:r>
          </w:p>
          <w:p>
            <w:pPr>
              <w:pStyle w:val="20"/>
              <w:snapToGrid w:val="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3．投标人派授权委托代理人或由法定代表人（</w:t>
            </w:r>
            <w:r>
              <w:rPr>
                <w:rFonts w:hint="eastAsia" w:hAnsi="宋体"/>
                <w:color w:val="000000" w:themeColor="text1"/>
                <w:szCs w:val="21"/>
                <w:highlight w:val="none"/>
                <w14:textFill>
                  <w14:solidFill>
                    <w14:schemeClr w14:val="tx1"/>
                  </w14:solidFill>
                </w14:textFill>
              </w:rPr>
              <w:t>或负责人</w:t>
            </w:r>
            <w:r>
              <w:rPr>
                <w:rFonts w:hint="eastAsia" w:hAnsi="宋体" w:cs="宋体"/>
                <w:color w:val="000000" w:themeColor="text1"/>
                <w:szCs w:val="21"/>
                <w:highlight w:val="none"/>
                <w14:textFill>
                  <w14:solidFill>
                    <w14:schemeClr w14:val="tx1"/>
                  </w14:solidFill>
                </w14:textFill>
              </w:rPr>
              <w:t>）参加开标会议的，必须携带以下证件参加。</w:t>
            </w:r>
          </w:p>
          <w:p>
            <w:pPr>
              <w:pStyle w:val="20"/>
              <w:snapToGrid w:val="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(1)如法定代表人（或负责人）参加开标会时出示：法定代表人（或负责人）身份证明书及法定代表人本人第二代身份证原件。</w:t>
            </w:r>
          </w:p>
          <w:p>
            <w:pPr>
              <w:pStyle w:val="20"/>
              <w:snapToGrid w:val="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(2)如委托代理人参加开标会时出示：法定代表人（或负责人）授权委托书及委托代理人本人第二代身份证原件。</w:t>
            </w:r>
          </w:p>
          <w:p>
            <w:pPr>
              <w:pStyle w:val="20"/>
              <w:snapToGrid w:val="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(3)投标保证金声明（原件）；以非转账方式递交磋商保证金的，提供支票或汇票或本票或保函原件由采购代理机构保存。未成交服务商的原件，将在成交通知书发出后5个工作日内退还。成交服务商的原件，</w:t>
            </w:r>
            <w:r>
              <w:rPr>
                <w:rFonts w:hAnsi="宋体" w:cs="宋体"/>
                <w:color w:val="000000" w:themeColor="text1"/>
                <w:highlight w:val="none"/>
                <w14:textFill>
                  <w14:solidFill>
                    <w14:schemeClr w14:val="tx1"/>
                  </w14:solidFill>
                </w14:textFill>
              </w:rPr>
              <w:t>自签订合同并缴纳履约保证金后退还。</w:t>
            </w:r>
          </w:p>
          <w:p>
            <w:pPr>
              <w:pStyle w:val="20"/>
              <w:snapToGrid w:val="0"/>
              <w:ind w:left="315" w:hanging="315" w:hangingChars="15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(4)购买招标文件的证明文件</w:t>
            </w:r>
          </w:p>
          <w:p>
            <w:pPr>
              <w:pStyle w:val="20"/>
              <w:snapToGrid w:val="0"/>
              <w:ind w:left="315" w:hanging="315" w:hangingChars="15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注：以上文件均需加盖公章）。</w:t>
            </w:r>
          </w:p>
          <w:p>
            <w:pPr>
              <w:pStyle w:val="20"/>
              <w:snapToGrid w:val="0"/>
              <w:ind w:left="315" w:hanging="315" w:hangingChars="15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4．采购人或代理机构将核对投标人的相关证明文件上的信息是否一致。如信息不一致的或未按要求签字或签字和加盖公章的，将被拒绝接收其投标文件。</w:t>
            </w:r>
          </w:p>
          <w:p>
            <w:pPr>
              <w:pStyle w:val="20"/>
              <w:snapToGrid w:val="0"/>
              <w:ind w:left="315" w:hanging="315" w:hangingChars="15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5．若提交投标文件的投标人不参加开标会议的，视同认可开标结果。</w:t>
            </w:r>
          </w:p>
          <w:p>
            <w:pPr>
              <w:pStyle w:val="20"/>
              <w:snapToGrid w:val="0"/>
              <w:spacing w:line="280" w:lineRule="exact"/>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（法人授权委托书、法定代表人（</w:t>
            </w:r>
            <w:r>
              <w:rPr>
                <w:rFonts w:hint="eastAsia" w:hAnsi="宋体"/>
                <w:color w:val="000000" w:themeColor="text1"/>
                <w:szCs w:val="21"/>
                <w:highlight w:val="none"/>
                <w14:textFill>
                  <w14:solidFill>
                    <w14:schemeClr w14:val="tx1"/>
                  </w14:solidFill>
                </w14:textFill>
              </w:rPr>
              <w:t>或负责人</w:t>
            </w:r>
            <w:r>
              <w:rPr>
                <w:rFonts w:hint="eastAsia" w:hAnsi="宋体" w:cs="宋体"/>
                <w:color w:val="000000" w:themeColor="text1"/>
                <w:szCs w:val="21"/>
                <w:highlight w:val="none"/>
                <w14:textFill>
                  <w14:solidFill>
                    <w14:schemeClr w14:val="tx1"/>
                  </w14:solidFill>
                </w14:textFill>
              </w:rPr>
              <w:t>）身份证明、投标保证金声明格式见第六章）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1" w:type="dxa"/>
            <w:vAlign w:val="center"/>
          </w:tcPr>
          <w:p>
            <w:pPr>
              <w:snapToGrid w:val="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12</w:t>
            </w:r>
          </w:p>
        </w:tc>
        <w:tc>
          <w:tcPr>
            <w:tcW w:w="716" w:type="dxa"/>
            <w:vAlign w:val="center"/>
          </w:tcPr>
          <w:p>
            <w:pPr>
              <w:snapToGrid w:val="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20</w:t>
            </w:r>
          </w:p>
        </w:tc>
        <w:tc>
          <w:tcPr>
            <w:tcW w:w="8120" w:type="dxa"/>
            <w:vAlign w:val="center"/>
          </w:tcPr>
          <w:p>
            <w:pPr>
              <w:pStyle w:val="20"/>
              <w:snapToGrid w:val="0"/>
              <w:ind w:left="1037" w:hanging="1037" w:hangingChars="494"/>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评标方法：</w:t>
            </w:r>
            <w:r>
              <w:rPr>
                <w:rFonts w:hint="eastAsia" w:hAnsi="宋体" w:cs="宋体"/>
                <w:b/>
                <w:color w:val="000000" w:themeColor="text1"/>
                <w:szCs w:val="21"/>
                <w:highlight w:val="none"/>
                <w14:textFill>
                  <w14:solidFill>
                    <w14:schemeClr w14:val="tx1"/>
                  </w14:solidFill>
                </w14:textFill>
              </w:rPr>
              <w:t>综合评分法</w:t>
            </w:r>
            <w:r>
              <w:rPr>
                <w:rFonts w:hint="eastAsia" w:hAnsi="宋体" w:cs="宋体"/>
                <w:color w:val="000000" w:themeColor="text1"/>
                <w:szCs w:val="21"/>
                <w:highlight w:val="none"/>
                <w14:textFill>
                  <w14:solidFill>
                    <w14:schemeClr w14:val="tx1"/>
                  </w14:solidFill>
                </w14:textFill>
              </w:rPr>
              <w:t>（详见第四章评标方法）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81" w:type="dxa"/>
            <w:vAlign w:val="center"/>
          </w:tcPr>
          <w:p>
            <w:pPr>
              <w:snapToGrid w:val="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13</w:t>
            </w:r>
          </w:p>
        </w:tc>
        <w:tc>
          <w:tcPr>
            <w:tcW w:w="716" w:type="dxa"/>
            <w:vAlign w:val="center"/>
          </w:tcPr>
          <w:p>
            <w:pPr>
              <w:pStyle w:val="20"/>
              <w:snapToGrid w:val="0"/>
              <w:ind w:left="1037" w:hanging="1037" w:hangingChars="494"/>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25</w:t>
            </w:r>
          </w:p>
        </w:tc>
        <w:tc>
          <w:tcPr>
            <w:tcW w:w="8120" w:type="dxa"/>
            <w:vAlign w:val="center"/>
          </w:tcPr>
          <w:p>
            <w:pPr>
              <w:pStyle w:val="20"/>
              <w:snapToGrid w:val="0"/>
              <w:spacing w:line="360" w:lineRule="exact"/>
              <w:ind w:firstLine="5"/>
              <w:rPr>
                <w:rFonts w:hAnsi="宋体" w:cs="宋体"/>
                <w:bCs/>
                <w:color w:val="000000" w:themeColor="text1"/>
                <w:highlight w:val="none"/>
                <w14:textFill>
                  <w14:solidFill>
                    <w14:schemeClr w14:val="tx1"/>
                  </w14:solidFill>
                </w14:textFill>
              </w:rPr>
            </w:pPr>
            <w:r>
              <w:rPr>
                <w:rFonts w:hAnsi="宋体" w:cs="宋体"/>
                <w:bCs/>
                <w:color w:val="000000" w:themeColor="text1"/>
                <w:highlight w:val="none"/>
                <w14:textFill>
                  <w14:solidFill>
                    <w14:schemeClr w14:val="tx1"/>
                  </w14:solidFill>
                </w14:textFill>
              </w:rPr>
              <w:t>履约保证金递交及退还：</w:t>
            </w:r>
          </w:p>
          <w:p>
            <w:pPr>
              <w:pStyle w:val="152"/>
              <w:snapToGrid w:val="0"/>
              <w:spacing w:line="360" w:lineRule="exact"/>
              <w:rPr>
                <w:rFonts w:hAnsi="宋体" w:cs="宋体"/>
                <w:b/>
                <w:bCs/>
                <w:color w:val="000000" w:themeColor="text1"/>
                <w:szCs w:val="21"/>
                <w:highlight w:val="none"/>
                <w14:textFill>
                  <w14:solidFill>
                    <w14:schemeClr w14:val="tx1"/>
                  </w14:solidFill>
                </w14:textFill>
              </w:rPr>
            </w:pPr>
            <w:r>
              <w:rPr>
                <w:rFonts w:hint="eastAsia" w:hAnsi="宋体" w:cs="宋体"/>
                <w:bCs/>
                <w:color w:val="000000" w:themeColor="text1"/>
                <w:szCs w:val="21"/>
                <w:highlight w:val="none"/>
                <w14:textFill>
                  <w14:solidFill>
                    <w14:schemeClr w14:val="tx1"/>
                  </w14:solidFill>
                </w14:textFill>
              </w:rPr>
              <w:t>1、递交金额：</w:t>
            </w:r>
            <w:r>
              <w:rPr>
                <w:rFonts w:hint="eastAsia" w:hAnsi="宋体" w:cs="宋体"/>
                <w:b/>
                <w:bCs/>
                <w:color w:val="000000" w:themeColor="text1"/>
                <w:szCs w:val="21"/>
                <w:highlight w:val="none"/>
                <w:u w:val="single"/>
                <w14:textFill>
                  <w14:solidFill>
                    <w14:schemeClr w14:val="tx1"/>
                  </w14:solidFill>
                </w14:textFill>
              </w:rPr>
              <w:t xml:space="preserve">合同金额的5% </w:t>
            </w:r>
            <w:r>
              <w:rPr>
                <w:rFonts w:hint="eastAsia" w:hAnsi="宋体" w:cs="宋体"/>
                <w:b/>
                <w:bCs/>
                <w:color w:val="000000" w:themeColor="text1"/>
                <w:szCs w:val="21"/>
                <w:highlight w:val="none"/>
                <w14:textFill>
                  <w14:solidFill>
                    <w14:schemeClr w14:val="tx1"/>
                  </w14:solidFill>
                </w14:textFill>
              </w:rPr>
              <w:t>。</w:t>
            </w:r>
          </w:p>
          <w:p>
            <w:pPr>
              <w:pStyle w:val="2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①履约保证金的形式：转账。</w:t>
            </w:r>
          </w:p>
          <w:p>
            <w:pPr>
              <w:pStyle w:val="20"/>
              <w:rPr>
                <w:color w:val="000000" w:themeColor="text1"/>
                <w:highlight w:val="none"/>
                <w14:textFill>
                  <w14:solidFill>
                    <w14:schemeClr w14:val="tx1"/>
                  </w14:solidFill>
                </w14:textFill>
              </w:rPr>
            </w:pPr>
            <w:r>
              <w:rPr>
                <w:rFonts w:hAnsi="宋体" w:cs="宋体"/>
                <w:bCs/>
                <w:color w:val="000000" w:themeColor="text1"/>
                <w:highlight w:val="none"/>
                <w14:textFill>
                  <w14:solidFill>
                    <w14:schemeClr w14:val="tx1"/>
                  </w14:solidFill>
                </w14:textFill>
              </w:rPr>
              <w:t>②</w:t>
            </w:r>
            <w:r>
              <w:rPr>
                <w:color w:val="000000" w:themeColor="text1"/>
                <w:highlight w:val="none"/>
                <w14:textFill>
                  <w14:solidFill>
                    <w14:schemeClr w14:val="tx1"/>
                  </w14:solidFill>
                </w14:textFill>
              </w:rPr>
              <w:t>履约保证金的缴纳方式：在收到</w:t>
            </w:r>
            <w:r>
              <w:rPr>
                <w:rFonts w:hint="eastAsia"/>
                <w:color w:val="000000" w:themeColor="text1"/>
                <w:highlight w:val="none"/>
                <w14:textFill>
                  <w14:solidFill>
                    <w14:schemeClr w14:val="tx1"/>
                  </w14:solidFill>
                </w14:textFill>
              </w:rPr>
              <w:t>中标</w:t>
            </w:r>
            <w:r>
              <w:rPr>
                <w:color w:val="000000" w:themeColor="text1"/>
                <w:highlight w:val="none"/>
                <w14:textFill>
                  <w14:solidFill>
                    <w14:schemeClr w14:val="tx1"/>
                  </w14:solidFill>
                </w14:textFill>
              </w:rPr>
              <w:t>通知书后，</w:t>
            </w:r>
            <w:r>
              <w:rPr>
                <w:rFonts w:hint="eastAsia"/>
                <w:color w:val="000000" w:themeColor="text1"/>
                <w:highlight w:val="none"/>
                <w14:textFill>
                  <w14:solidFill>
                    <w14:schemeClr w14:val="tx1"/>
                  </w14:solidFill>
                </w14:textFill>
              </w:rPr>
              <w:t>中标人</w:t>
            </w:r>
            <w:r>
              <w:rPr>
                <w:color w:val="000000" w:themeColor="text1"/>
                <w:highlight w:val="none"/>
                <w14:textFill>
                  <w14:solidFill>
                    <w14:schemeClr w14:val="tx1"/>
                  </w14:solidFill>
                </w14:textFill>
              </w:rPr>
              <w:t>须在 15 个工作日内</w:t>
            </w:r>
            <w:r>
              <w:rPr>
                <w:rFonts w:hint="eastAsia"/>
                <w:color w:val="000000" w:themeColor="text1"/>
                <w:highlight w:val="none"/>
                <w14:textFill>
                  <w14:solidFill>
                    <w14:schemeClr w14:val="tx1"/>
                  </w14:solidFill>
                </w14:textFill>
              </w:rPr>
              <w:t>联系</w:t>
            </w:r>
            <w:r>
              <w:rPr>
                <w:color w:val="000000" w:themeColor="text1"/>
                <w:highlight w:val="none"/>
                <w14:textFill>
                  <w14:solidFill>
                    <w14:schemeClr w14:val="tx1"/>
                  </w14:solidFill>
                </w14:textFill>
              </w:rPr>
              <w:t>采购人提交履约保证金，否则视为其放弃</w:t>
            </w:r>
            <w:r>
              <w:rPr>
                <w:rFonts w:hint="eastAsia"/>
                <w:color w:val="000000" w:themeColor="text1"/>
                <w:highlight w:val="none"/>
                <w14:textFill>
                  <w14:solidFill>
                    <w14:schemeClr w14:val="tx1"/>
                  </w14:solidFill>
                </w14:textFill>
              </w:rPr>
              <w:t>中标</w:t>
            </w:r>
            <w:r>
              <w:rPr>
                <w:color w:val="000000" w:themeColor="text1"/>
                <w:highlight w:val="none"/>
                <w14:textFill>
                  <w14:solidFill>
                    <w14:schemeClr w14:val="tx1"/>
                  </w14:solidFill>
                </w14:textFill>
              </w:rPr>
              <w:t>资格。</w:t>
            </w:r>
          </w:p>
          <w:p>
            <w:pPr>
              <w:pStyle w:val="20"/>
              <w:snapToGrid w:val="0"/>
              <w:ind w:left="312" w:leftChars="2" w:hanging="308" w:hangingChars="147"/>
              <w:rPr>
                <w:rFonts w:hAnsi="宋体" w:cs="宋体"/>
                <w:color w:val="000000" w:themeColor="text1"/>
                <w:szCs w:val="21"/>
                <w:highlight w:val="none"/>
                <w14:textFill>
                  <w14:solidFill>
                    <w14:schemeClr w14:val="tx1"/>
                  </w14:solidFill>
                </w14:textFill>
              </w:rPr>
            </w:pPr>
            <w:r>
              <w:rPr>
                <w:rFonts w:hAnsi="宋体" w:cs="宋体"/>
                <w:bCs/>
                <w:color w:val="000000" w:themeColor="text1"/>
                <w:highlight w:val="none"/>
                <w14:textFill>
                  <w14:solidFill>
                    <w14:schemeClr w14:val="tx1"/>
                  </w14:solidFill>
                </w14:textFill>
              </w:rPr>
              <w:t>2、</w:t>
            </w:r>
            <w:r>
              <w:rPr>
                <w:color w:val="000000" w:themeColor="text1"/>
                <w:highlight w:val="none"/>
                <w14:textFill>
                  <w14:solidFill>
                    <w14:schemeClr w14:val="tx1"/>
                  </w14:solidFill>
                </w14:textFill>
              </w:rPr>
              <w:t>退还：自项目验收合格之日起5个工作日内，</w:t>
            </w:r>
            <w:r>
              <w:rPr>
                <w:rFonts w:hint="eastAsia"/>
                <w:color w:val="000000" w:themeColor="text1"/>
                <w:highlight w:val="none"/>
                <w14:textFill>
                  <w14:solidFill>
                    <w14:schemeClr w14:val="tx1"/>
                  </w14:solidFill>
                </w14:textFill>
              </w:rPr>
              <w:t>中标人</w:t>
            </w:r>
            <w:r>
              <w:rPr>
                <w:color w:val="000000" w:themeColor="text1"/>
                <w:highlight w:val="none"/>
                <w14:textFill>
                  <w14:solidFill>
                    <w14:schemeClr w14:val="tx1"/>
                  </w14:solidFill>
                </w14:textFill>
              </w:rPr>
              <w:t>按第七章附件“履约保证金退付意见书”的要求至采购人财务部办理退还履约保证金手续，不付利息。因采购人或采购代理机构原因导致无法及时退还时，每逾期退还一天按履约保证金万分之一支付违约金给</w:t>
            </w:r>
            <w:r>
              <w:rPr>
                <w:rFonts w:hint="eastAsia"/>
                <w:color w:val="000000" w:themeColor="text1"/>
                <w:highlight w:val="none"/>
                <w14:textFill>
                  <w14:solidFill>
                    <w14:schemeClr w14:val="tx1"/>
                  </w14:solidFill>
                </w14:textFill>
              </w:rPr>
              <w:t>中标</w:t>
            </w:r>
            <w:r>
              <w:rPr>
                <w:color w:val="000000" w:themeColor="text1"/>
                <w:highlight w:val="none"/>
                <w14:textFill>
                  <w14:solidFill>
                    <w14:schemeClr w14:val="tx1"/>
                  </w14:solidFill>
                </w14:textFill>
              </w:rPr>
              <w:t>人，但因</w:t>
            </w:r>
            <w:r>
              <w:rPr>
                <w:rFonts w:hint="eastAsia"/>
                <w:color w:val="000000" w:themeColor="text1"/>
                <w:highlight w:val="none"/>
                <w14:textFill>
                  <w14:solidFill>
                    <w14:schemeClr w14:val="tx1"/>
                  </w14:solidFill>
                </w14:textFill>
              </w:rPr>
              <w:t>中标人</w:t>
            </w:r>
            <w:r>
              <w:rPr>
                <w:color w:val="000000" w:themeColor="text1"/>
                <w:highlight w:val="none"/>
                <w14:textFill>
                  <w14:solidFill>
                    <w14:schemeClr w14:val="tx1"/>
                  </w14:solidFill>
                </w14:textFill>
              </w:rPr>
              <w:t>自身原因导致无法及时退还的除外。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581" w:type="dxa"/>
            <w:vAlign w:val="center"/>
          </w:tcPr>
          <w:p>
            <w:pPr>
              <w:snapToGrid w:val="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14</w:t>
            </w:r>
          </w:p>
        </w:tc>
        <w:tc>
          <w:tcPr>
            <w:tcW w:w="716" w:type="dxa"/>
            <w:vAlign w:val="center"/>
          </w:tcPr>
          <w:p>
            <w:pPr>
              <w:pStyle w:val="20"/>
              <w:snapToGrid w:val="0"/>
              <w:ind w:left="1037" w:hanging="1037" w:hangingChars="494"/>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26</w:t>
            </w:r>
          </w:p>
        </w:tc>
        <w:tc>
          <w:tcPr>
            <w:tcW w:w="8120" w:type="dxa"/>
            <w:vAlign w:val="center"/>
          </w:tcPr>
          <w:p>
            <w:pPr>
              <w:pStyle w:val="152"/>
              <w:snapToGrid w:val="0"/>
              <w:ind w:left="1049" w:hanging="1049"/>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签订合同：自中标通知书发出之日起30日内凭中标通知书与采购人签订政府采购合同，延期自误。</w:t>
            </w:r>
          </w:p>
          <w:p>
            <w:pPr>
              <w:pStyle w:val="152"/>
              <w:snapToGrid w:val="0"/>
              <w:ind w:left="398" w:hanging="398"/>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[采购合同必须与本招标文件中的合同书格式(包括内容和结构)相一致，不能改变主要条款。]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81" w:type="dxa"/>
            <w:vAlign w:val="center"/>
          </w:tcPr>
          <w:p>
            <w:pPr>
              <w:snapToGrid w:val="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15</w:t>
            </w:r>
          </w:p>
        </w:tc>
        <w:tc>
          <w:tcPr>
            <w:tcW w:w="716" w:type="dxa"/>
            <w:vAlign w:val="center"/>
          </w:tcPr>
          <w:p>
            <w:pPr>
              <w:pStyle w:val="20"/>
              <w:snapToGrid w:val="0"/>
              <w:ind w:left="1037" w:hanging="1037" w:hangingChars="494"/>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27</w:t>
            </w:r>
          </w:p>
        </w:tc>
        <w:tc>
          <w:tcPr>
            <w:tcW w:w="8120" w:type="dxa"/>
            <w:vAlign w:val="center"/>
          </w:tcPr>
          <w:p>
            <w:pPr>
              <w:pStyle w:val="152"/>
              <w:snapToGrid w:val="0"/>
              <w:ind w:left="306" w:hanging="306"/>
              <w:rPr>
                <w:rFonts w:hAnsi="宋体" w:cs="宋体"/>
                <w:b/>
                <w:color w:val="000000" w:themeColor="text1"/>
                <w:szCs w:val="21"/>
                <w:highlight w:val="none"/>
                <w14:textFill>
                  <w14:solidFill>
                    <w14:schemeClr w14:val="tx1"/>
                  </w14:solidFill>
                </w14:textFill>
              </w:rPr>
            </w:pPr>
            <w:r>
              <w:rPr>
                <w:rFonts w:hint="eastAsia" w:hAnsi="宋体" w:cs="宋体"/>
                <w:b/>
                <w:color w:val="000000" w:themeColor="text1"/>
                <w:szCs w:val="21"/>
                <w:highlight w:val="none"/>
                <w14:textFill>
                  <w14:solidFill>
                    <w14:schemeClr w14:val="tx1"/>
                  </w14:solidFill>
                </w14:textFill>
              </w:rPr>
              <w:t>本项目服务费：</w:t>
            </w:r>
            <w:r>
              <w:rPr>
                <w:rFonts w:hint="eastAsia" w:hAnsi="宋体" w:cs="宋体"/>
                <w:color w:val="000000" w:themeColor="text1"/>
                <w:highlight w:val="none"/>
                <w14:textFill>
                  <w14:solidFill>
                    <w14:schemeClr w14:val="tx1"/>
                  </w14:solidFill>
                </w14:textFill>
              </w:rPr>
              <w:t>由中标人在领取中标通知书前向广西众联工程项目管理有限公司一次性付清代理服务费及开标费，否则视为其放弃中标资格。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81" w:type="dxa"/>
            <w:vMerge w:val="restart"/>
            <w:vAlign w:val="center"/>
          </w:tcPr>
          <w:p>
            <w:pPr>
              <w:snapToGrid w:val="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16</w:t>
            </w:r>
          </w:p>
        </w:tc>
        <w:tc>
          <w:tcPr>
            <w:tcW w:w="716" w:type="dxa"/>
            <w:vMerge w:val="restart"/>
            <w:vAlign w:val="center"/>
          </w:tcPr>
          <w:p>
            <w:pPr>
              <w:pStyle w:val="20"/>
              <w:snapToGrid w:val="0"/>
              <w:ind w:left="1037" w:hanging="1037" w:hangingChars="494"/>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33</w:t>
            </w:r>
          </w:p>
        </w:tc>
        <w:tc>
          <w:tcPr>
            <w:tcW w:w="8120" w:type="dxa"/>
            <w:vAlign w:val="center"/>
          </w:tcPr>
          <w:p>
            <w:pPr>
              <w:snapToGrid w:val="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本项目需要落实的政府采购政策：</w:t>
            </w:r>
            <w:r>
              <w:rPr>
                <w:rFonts w:hint="eastAsia" w:ascii="宋体" w:hAnsi="宋体" w:cs="宋体"/>
                <w:color w:val="000000" w:themeColor="text1"/>
                <w:kern w:val="0"/>
                <w:szCs w:val="21"/>
                <w:highlight w:val="none"/>
                <w14:textFill>
                  <w14:solidFill>
                    <w14:schemeClr w14:val="tx1"/>
                  </w14:solidFill>
                </w14:textFill>
              </w:rPr>
              <w:t>节能环保，促进中小企业发展，促进监狱企业发展，促进残疾人就业，广西工业产品产销等政府采购政策。</w:t>
            </w:r>
          </w:p>
          <w:p>
            <w:pPr>
              <w:pStyle w:val="152"/>
              <w:snapToGrid w:val="0"/>
              <w:ind w:left="315" w:hanging="315" w:hangingChars="15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1．拟采购的产品属于《节能产品政府采购品目清单》范围内以“★”标注产品的，应当依据国家确定的认证机构出具的、处于有效期之内的节能产品认证证书，对获得证书的产品实施政府强制采购。拟采购的产品属于《节能产品政府采购品目清单》范围内非“★”标注的和《环境标志产品政府采购品目清单》范围内产品的，应当依据国家确定的认证机构出具的、处于有效期之内的节能产品、环境标志产品认证证书，对获得证书的产品实施政府优先采购。</w:t>
            </w:r>
            <w:r>
              <w:rPr>
                <w:rFonts w:hint="eastAsia" w:hAnsi="宋体" w:cs="宋体"/>
                <w:bCs/>
                <w:color w:val="000000" w:themeColor="text1"/>
                <w:highlight w:val="none"/>
                <w14:textFill>
                  <w14:solidFill>
                    <w14:schemeClr w14:val="tx1"/>
                  </w14:solidFill>
                </w14:textFill>
              </w:rPr>
              <w:t>投标</w:t>
            </w:r>
            <w:r>
              <w:rPr>
                <w:rFonts w:hint="eastAsia" w:hAnsi="宋体" w:cs="宋体"/>
                <w:color w:val="000000" w:themeColor="text1"/>
                <w:szCs w:val="21"/>
                <w:highlight w:val="none"/>
                <w14:textFill>
                  <w14:solidFill>
                    <w14:schemeClr w14:val="tx1"/>
                  </w14:solidFill>
                </w14:textFill>
              </w:rPr>
              <w:t>人须提供产品认证证书复印件并加盖</w:t>
            </w:r>
            <w:r>
              <w:rPr>
                <w:rFonts w:hint="eastAsia" w:hAnsi="宋体" w:cs="宋体"/>
                <w:bCs/>
                <w:color w:val="000000" w:themeColor="text1"/>
                <w:highlight w:val="none"/>
                <w14:textFill>
                  <w14:solidFill>
                    <w14:schemeClr w14:val="tx1"/>
                  </w14:solidFill>
                </w14:textFill>
              </w:rPr>
              <w:t>投标</w:t>
            </w:r>
            <w:r>
              <w:rPr>
                <w:rFonts w:hint="eastAsia" w:hAnsi="宋体" w:cs="宋体"/>
                <w:color w:val="000000" w:themeColor="text1"/>
                <w:szCs w:val="21"/>
                <w:highlight w:val="none"/>
                <w14:textFill>
                  <w14:solidFill>
                    <w14:schemeClr w14:val="tx1"/>
                  </w14:solidFill>
                </w14:textFill>
              </w:rPr>
              <w:t>人公章。截标后，采购代理机构在中国政府采购网（www.ccgp.gov.cn）认证结果信息发布平台对</w:t>
            </w:r>
            <w:r>
              <w:rPr>
                <w:rFonts w:hint="eastAsia" w:hAnsi="宋体" w:cs="宋体"/>
                <w:bCs/>
                <w:color w:val="000000" w:themeColor="text1"/>
                <w:highlight w:val="none"/>
                <w14:textFill>
                  <w14:solidFill>
                    <w14:schemeClr w14:val="tx1"/>
                  </w14:solidFill>
                </w14:textFill>
              </w:rPr>
              <w:t>投标</w:t>
            </w:r>
            <w:r>
              <w:rPr>
                <w:rFonts w:hint="eastAsia" w:hAnsi="宋体" w:cs="宋体"/>
                <w:color w:val="000000" w:themeColor="text1"/>
                <w:szCs w:val="21"/>
                <w:highlight w:val="none"/>
                <w14:textFill>
                  <w14:solidFill>
                    <w14:schemeClr w14:val="tx1"/>
                  </w14:solidFill>
                </w14:textFill>
              </w:rPr>
              <w:t>产品的证书信息进行查询，如查询结果为无效，将不享受相关政府采购政策。</w:t>
            </w:r>
          </w:p>
          <w:p>
            <w:pPr>
              <w:pStyle w:val="152"/>
              <w:snapToGrid w:val="0"/>
              <w:ind w:left="315" w:hanging="315" w:hangingChars="15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2．根据《政府采购促进中小企业发展暂行办法》的通知，本项目</w:t>
            </w:r>
            <w:r>
              <w:rPr>
                <w:rFonts w:hint="eastAsia" w:hAnsi="宋体" w:cs="宋体"/>
                <w:bCs/>
                <w:color w:val="000000" w:themeColor="text1"/>
                <w:szCs w:val="21"/>
                <w:highlight w:val="none"/>
                <w14:textFill>
                  <w14:solidFill>
                    <w14:schemeClr w14:val="tx1"/>
                  </w14:solidFill>
                </w14:textFill>
              </w:rPr>
              <w:t>将对提供</w:t>
            </w:r>
            <w:r>
              <w:rPr>
                <w:rFonts w:hint="eastAsia" w:hAnsi="宋体" w:cs="宋体"/>
                <w:color w:val="000000" w:themeColor="text1"/>
                <w:szCs w:val="21"/>
                <w:highlight w:val="none"/>
                <w14:textFill>
                  <w14:solidFill>
                    <w14:schemeClr w14:val="tx1"/>
                  </w14:solidFill>
                </w14:textFill>
              </w:rPr>
              <w:t>小型或微型企业</w:t>
            </w:r>
            <w:r>
              <w:rPr>
                <w:rFonts w:hint="eastAsia" w:hAnsi="宋体" w:cs="宋体"/>
                <w:bCs/>
                <w:color w:val="000000" w:themeColor="text1"/>
                <w:szCs w:val="21"/>
                <w:highlight w:val="none"/>
                <w14:textFill>
                  <w14:solidFill>
                    <w14:schemeClr w14:val="tx1"/>
                  </w14:solidFill>
                </w14:textFill>
              </w:rPr>
              <w:t>产品或服务的价格</w:t>
            </w:r>
            <w:r>
              <w:rPr>
                <w:rFonts w:hint="eastAsia" w:hAnsi="宋体" w:cs="宋体"/>
                <w:color w:val="000000" w:themeColor="text1"/>
                <w:szCs w:val="21"/>
                <w:highlight w:val="none"/>
                <w14:textFill>
                  <w14:solidFill>
                    <w14:schemeClr w14:val="tx1"/>
                  </w14:solidFill>
                </w14:textFill>
              </w:rPr>
              <w:t>评标时格给予一定的价格扣除。</w:t>
            </w:r>
          </w:p>
          <w:p>
            <w:pPr>
              <w:pStyle w:val="152"/>
              <w:snapToGrid w:val="0"/>
              <w:ind w:left="315" w:hanging="315" w:hangingChars="15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3．根据财政部、司法部关于政府采购支持监狱企业发展有关问题的通知（财库[2014]68号），监狱企业视同小型、微型企业，享受小型、微型企业政策，评标时投标价格给予一定的价格扣除。</w:t>
            </w:r>
          </w:p>
          <w:p>
            <w:pPr>
              <w:snapToGrid w:val="0"/>
              <w:ind w:left="315" w:hanging="315" w:hangingChars="15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根据财政部、民政部、中国残疾人联合会三部门发布的关于促进残疾人就业政府采购政策的通知（财库〔2017〕141号），残疾人福利性单位视同小型、微型企业，享受小型、微型企业政策，评标时投标价格给予一定的价格扣除。投标人既属于残疾人福利性单位又属于小型、微型企业的，其只能享受投标价格一次性的扣除，不重复享受政策。</w:t>
            </w:r>
          </w:p>
          <w:p>
            <w:pPr>
              <w:pStyle w:val="152"/>
              <w:snapToGrid w:val="0"/>
              <w:ind w:left="315" w:hanging="315" w:hangingChars="15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5．根据《广西壮族自治区人民政府办公厅关于印发招标采购促进广西工业产品产销对接实施细则的通知》的规定，货物服务招标采购评标方法采用综合评分法的，对使用广西工业产品80％以上（含）的投标人，评标时给予一定的政策功能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581" w:type="dxa"/>
            <w:vMerge w:val="continue"/>
            <w:vAlign w:val="center"/>
          </w:tcPr>
          <w:p>
            <w:pPr>
              <w:snapToGrid w:val="0"/>
              <w:jc w:val="center"/>
              <w:rPr>
                <w:rFonts w:ascii="宋体" w:hAnsi="宋体" w:cs="宋体"/>
                <w:color w:val="000000" w:themeColor="text1"/>
                <w:szCs w:val="21"/>
                <w:highlight w:val="none"/>
                <w14:textFill>
                  <w14:solidFill>
                    <w14:schemeClr w14:val="tx1"/>
                  </w14:solidFill>
                </w14:textFill>
              </w:rPr>
            </w:pPr>
          </w:p>
        </w:tc>
        <w:tc>
          <w:tcPr>
            <w:tcW w:w="716" w:type="dxa"/>
            <w:vMerge w:val="continue"/>
            <w:vAlign w:val="center"/>
          </w:tcPr>
          <w:p>
            <w:pPr>
              <w:pStyle w:val="20"/>
              <w:snapToGrid w:val="0"/>
              <w:ind w:left="1037" w:hanging="1037" w:hangingChars="494"/>
              <w:jc w:val="center"/>
              <w:rPr>
                <w:rFonts w:hAnsi="宋体" w:cs="宋体"/>
                <w:color w:val="000000" w:themeColor="text1"/>
                <w:szCs w:val="21"/>
                <w:highlight w:val="none"/>
                <w14:textFill>
                  <w14:solidFill>
                    <w14:schemeClr w14:val="tx1"/>
                  </w14:solidFill>
                </w14:textFill>
              </w:rPr>
            </w:pPr>
          </w:p>
        </w:tc>
        <w:tc>
          <w:tcPr>
            <w:tcW w:w="8120" w:type="dxa"/>
            <w:vAlign w:val="center"/>
          </w:tcPr>
          <w:p>
            <w:pPr>
              <w:pStyle w:val="15"/>
              <w:snapToGrid w:val="0"/>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政府采购合同审核、备案：</w:t>
            </w:r>
          </w:p>
          <w:p>
            <w:pPr>
              <w:pStyle w:val="15"/>
              <w:snapToGrid w:val="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1．政府采购合同自签订之日起7个工作日内，采购单位必须将政府采购合同报送梧州市万秀区政府采购工作领导小组办公室备案。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581" w:type="dxa"/>
            <w:vAlign w:val="center"/>
          </w:tcPr>
          <w:p>
            <w:pPr>
              <w:snapToGrid w:val="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17</w:t>
            </w:r>
          </w:p>
        </w:tc>
        <w:tc>
          <w:tcPr>
            <w:tcW w:w="8836" w:type="dxa"/>
            <w:gridSpan w:val="2"/>
            <w:vAlign w:val="center"/>
          </w:tcPr>
          <w:p>
            <w:pPr>
              <w:pStyle w:val="15"/>
              <w:snapToGrid w:val="0"/>
              <w:ind w:left="15" w:leftChars="7" w:firstLine="422" w:firstLineChars="200"/>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信用信息使用规则：投标截止后，采购代理机构将对各投标人的企业信用进行查询，作为采购人在资格性审查阶段的评审依据。对在中国政府采购网(www.ccgp.gov.cn)列入“政府采购严重违法失信行为记录名单”和在信用中国网（www.creditchina.gov.cn/）列入“失信被执行人”、“重大税收违法案件当事人名单”、“政府采购严重违法失信名单”且在处罚期限内的投标人，视为存在不良信用记录，投标将被否决。</w:t>
            </w:r>
          </w:p>
        </w:tc>
      </w:tr>
    </w:tbl>
    <w:p>
      <w:pPr>
        <w:pStyle w:val="20"/>
        <w:spacing w:line="400" w:lineRule="exact"/>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br w:type="page"/>
      </w:r>
    </w:p>
    <w:p>
      <w:pPr>
        <w:pStyle w:val="20"/>
        <w:spacing w:line="400" w:lineRule="exact"/>
        <w:jc w:val="center"/>
        <w:rPr>
          <w:rFonts w:hAnsi="宋体" w:cs="宋体"/>
          <w:b/>
          <w:color w:val="000000" w:themeColor="text1"/>
          <w:sz w:val="32"/>
          <w:highlight w:val="none"/>
          <w14:textFill>
            <w14:solidFill>
              <w14:schemeClr w14:val="tx1"/>
            </w14:solidFill>
          </w14:textFill>
        </w:rPr>
      </w:pPr>
      <w:r>
        <w:rPr>
          <w:rFonts w:hint="eastAsia" w:hAnsi="宋体" w:cs="宋体"/>
          <w:b/>
          <w:color w:val="000000" w:themeColor="text1"/>
          <w:sz w:val="32"/>
          <w:highlight w:val="none"/>
          <w14:textFill>
            <w14:solidFill>
              <w14:schemeClr w14:val="tx1"/>
            </w14:solidFill>
          </w14:textFill>
        </w:rPr>
        <w:t>投标人须知</w:t>
      </w:r>
    </w:p>
    <w:p>
      <w:pPr>
        <w:pStyle w:val="20"/>
        <w:spacing w:line="400" w:lineRule="exact"/>
        <w:rPr>
          <w:rFonts w:hAnsi="宋体" w:cs="宋体"/>
          <w:color w:val="000000" w:themeColor="text1"/>
          <w:highlight w:val="none"/>
          <w14:textFill>
            <w14:solidFill>
              <w14:schemeClr w14:val="tx1"/>
            </w14:solidFill>
          </w14:textFill>
        </w:rPr>
      </w:pPr>
    </w:p>
    <w:p>
      <w:pPr>
        <w:pStyle w:val="3"/>
        <w:spacing w:line="400" w:lineRule="exact"/>
        <w:jc w:val="center"/>
        <w:rPr>
          <w:rFonts w:ascii="宋体" w:hAnsi="宋体" w:cs="宋体"/>
          <w:color w:val="000000" w:themeColor="text1"/>
          <w:highlight w:val="none"/>
          <w14:textFill>
            <w14:solidFill>
              <w14:schemeClr w14:val="tx1"/>
            </w14:solidFill>
          </w14:textFill>
        </w:rPr>
      </w:pPr>
      <w:bookmarkStart w:id="53" w:name="_Toc17304"/>
      <w:bookmarkStart w:id="54" w:name="_Toc185702548"/>
      <w:bookmarkStart w:id="55" w:name="_Toc395066516"/>
      <w:bookmarkStart w:id="56" w:name="_Toc405942974"/>
      <w:bookmarkStart w:id="57" w:name="_Toc200268238"/>
      <w:bookmarkStart w:id="58" w:name="_Toc469874163"/>
      <w:bookmarkStart w:id="59" w:name="_Toc469909315"/>
      <w:r>
        <w:rPr>
          <w:rFonts w:hint="eastAsia" w:ascii="宋体" w:hAnsi="宋体" w:cs="宋体"/>
          <w:color w:val="000000" w:themeColor="text1"/>
          <w:highlight w:val="none"/>
          <w14:textFill>
            <w14:solidFill>
              <w14:schemeClr w14:val="tx1"/>
            </w14:solidFill>
          </w14:textFill>
        </w:rPr>
        <w:t>一、总  则</w:t>
      </w:r>
      <w:bookmarkEnd w:id="53"/>
      <w:bookmarkEnd w:id="54"/>
      <w:bookmarkEnd w:id="55"/>
      <w:bookmarkEnd w:id="56"/>
      <w:bookmarkEnd w:id="57"/>
      <w:bookmarkEnd w:id="58"/>
      <w:bookmarkEnd w:id="59"/>
    </w:p>
    <w:p>
      <w:pPr>
        <w:pStyle w:val="4"/>
        <w:spacing w:before="0" w:after="0" w:line="400" w:lineRule="exact"/>
        <w:rPr>
          <w:rFonts w:ascii="宋体" w:hAnsi="宋体" w:eastAsia="宋体" w:cs="宋体"/>
          <w:color w:val="000000" w:themeColor="text1"/>
          <w:sz w:val="21"/>
          <w:szCs w:val="21"/>
          <w:highlight w:val="none"/>
          <w14:textFill>
            <w14:solidFill>
              <w14:schemeClr w14:val="tx1"/>
            </w14:solidFill>
          </w14:textFill>
        </w:rPr>
      </w:pPr>
      <w:bookmarkStart w:id="60" w:name="_Toc185702549"/>
      <w:bookmarkStart w:id="61" w:name="_Toc200268239"/>
      <w:bookmarkStart w:id="62" w:name="_Toc469874164"/>
      <w:bookmarkStart w:id="63" w:name="_Toc395066517"/>
      <w:bookmarkStart w:id="64" w:name="_Toc405942975"/>
      <w:r>
        <w:rPr>
          <w:rFonts w:hint="eastAsia" w:ascii="宋体" w:hAnsi="宋体" w:eastAsia="宋体" w:cs="宋体"/>
          <w:color w:val="000000" w:themeColor="text1"/>
          <w:sz w:val="21"/>
          <w:szCs w:val="21"/>
          <w:highlight w:val="none"/>
          <w14:textFill>
            <w14:solidFill>
              <w14:schemeClr w14:val="tx1"/>
            </w14:solidFill>
          </w14:textFill>
        </w:rPr>
        <w:t>1、</w:t>
      </w:r>
      <w:bookmarkEnd w:id="60"/>
      <w:bookmarkEnd w:id="61"/>
      <w:r>
        <w:rPr>
          <w:rFonts w:hint="eastAsia" w:ascii="宋体" w:hAnsi="宋体" w:eastAsia="宋体" w:cs="宋体"/>
          <w:color w:val="000000" w:themeColor="text1"/>
          <w:sz w:val="21"/>
          <w:szCs w:val="21"/>
          <w:highlight w:val="none"/>
          <w14:textFill>
            <w14:solidFill>
              <w14:schemeClr w14:val="tx1"/>
            </w14:solidFill>
          </w14:textFill>
        </w:rPr>
        <w:t>项目基本情况、适用范围及定义</w:t>
      </w:r>
      <w:bookmarkEnd w:id="62"/>
      <w:bookmarkEnd w:id="63"/>
      <w:bookmarkEnd w:id="64"/>
    </w:p>
    <w:p>
      <w:pPr>
        <w:pStyle w:val="20"/>
        <w:spacing w:line="390" w:lineRule="exact"/>
        <w:ind w:left="420" w:hanging="420" w:hangingChars="200"/>
        <w:rPr>
          <w:rFonts w:hAnsi="宋体" w:cs="宋体"/>
          <w:color w:val="000000" w:themeColor="text1"/>
          <w:szCs w:val="21"/>
          <w:highlight w:val="none"/>
          <w14:textFill>
            <w14:solidFill>
              <w14:schemeClr w14:val="tx1"/>
            </w14:solidFill>
          </w14:textFill>
        </w:rPr>
      </w:pPr>
      <w:bookmarkStart w:id="65" w:name="_Toc200268240"/>
      <w:bookmarkStart w:id="66" w:name="_Toc185702550"/>
      <w:r>
        <w:rPr>
          <w:rFonts w:hint="eastAsia" w:hAnsi="宋体" w:cs="宋体"/>
          <w:color w:val="000000" w:themeColor="text1"/>
          <w:szCs w:val="21"/>
          <w:highlight w:val="none"/>
          <w14:textFill>
            <w14:solidFill>
              <w14:schemeClr w14:val="tx1"/>
            </w14:solidFill>
          </w14:textFill>
        </w:rPr>
        <w:t>1.1项目基本情况：见须知前附表。</w:t>
      </w:r>
    </w:p>
    <w:p>
      <w:pPr>
        <w:pStyle w:val="20"/>
        <w:spacing w:line="390" w:lineRule="exact"/>
        <w:ind w:left="420" w:hanging="420" w:hanging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1.2采购人：见须知前附表。</w:t>
      </w:r>
    </w:p>
    <w:p>
      <w:pPr>
        <w:pStyle w:val="20"/>
        <w:spacing w:line="390" w:lineRule="exact"/>
        <w:ind w:left="420" w:hanging="420" w:hanging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1.3采购代理机构：见须知前附表。</w:t>
      </w:r>
    </w:p>
    <w:p>
      <w:pPr>
        <w:pStyle w:val="20"/>
        <w:spacing w:line="390" w:lineRule="exact"/>
        <w:ind w:left="420" w:hanging="420" w:hanging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1.4监督部门：见须知前附表。</w:t>
      </w:r>
    </w:p>
    <w:p>
      <w:pPr>
        <w:pStyle w:val="20"/>
        <w:spacing w:line="390" w:lineRule="exact"/>
        <w:ind w:left="420" w:hanging="420" w:hanging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1.5适用范围：本招标文件仅适用于本次招标中所述项目的货物、服务类政府采购项目的招标、投标、评标、定标、验收、合同履约、付款等行为，法律、法规另有规定的，从其规定。</w:t>
      </w:r>
    </w:p>
    <w:p>
      <w:pPr>
        <w:pStyle w:val="20"/>
        <w:spacing w:line="390" w:lineRule="exact"/>
        <w:ind w:left="420" w:hanging="420" w:hanging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1.6定义：</w:t>
      </w:r>
    </w:p>
    <w:p>
      <w:pPr>
        <w:pStyle w:val="20"/>
        <w:spacing w:line="390" w:lineRule="exact"/>
        <w:ind w:left="630" w:hanging="630" w:hangingChars="3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1.6.1“采购人”系指梧州市万秀区教育局。</w:t>
      </w:r>
    </w:p>
    <w:p>
      <w:pPr>
        <w:pStyle w:val="20"/>
        <w:spacing w:line="390" w:lineRule="exact"/>
        <w:ind w:left="630" w:hanging="630" w:hangingChars="3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1.6.2“采购代理机构”系指广西众联工程项目管理有限公司。</w:t>
      </w:r>
    </w:p>
    <w:p>
      <w:pPr>
        <w:pStyle w:val="20"/>
        <w:spacing w:line="390" w:lineRule="exact"/>
        <w:ind w:left="630" w:hanging="630" w:hangingChars="3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1.6.3“投标人”系指按要求在公告规定的招标文件获取时间内获取文件及缴纳工本费且提交“投标文件”参加政府采购活动的投标人。在投标阶段称为潜在投标人或投标人；在签订和履行合同阶段称为中标</w:t>
      </w:r>
      <w:r>
        <w:rPr>
          <w:rFonts w:hint="eastAsia" w:hAnsi="宋体" w:cs="宋体"/>
          <w:bCs/>
          <w:color w:val="000000" w:themeColor="text1"/>
          <w:highlight w:val="none"/>
          <w14:textFill>
            <w14:solidFill>
              <w14:schemeClr w14:val="tx1"/>
            </w14:solidFill>
          </w14:textFill>
        </w:rPr>
        <w:t>人</w:t>
      </w:r>
      <w:r>
        <w:rPr>
          <w:rFonts w:hint="eastAsia" w:hAnsi="宋体" w:cs="宋体"/>
          <w:color w:val="000000" w:themeColor="text1"/>
          <w:szCs w:val="21"/>
          <w:highlight w:val="none"/>
          <w14:textFill>
            <w14:solidFill>
              <w14:schemeClr w14:val="tx1"/>
            </w14:solidFill>
          </w14:textFill>
        </w:rPr>
        <w:t>。</w:t>
      </w:r>
    </w:p>
    <w:p>
      <w:pPr>
        <w:pStyle w:val="20"/>
        <w:spacing w:line="390" w:lineRule="exact"/>
        <w:ind w:left="630" w:hanging="630" w:hangingChars="3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1.6.4“产品”系指投标人按招标文件规定向采购人提供的一切货物、设备、机械、仪器仪表、备品备件、工具、手册及其它有关技术资料和材料。</w:t>
      </w:r>
    </w:p>
    <w:p>
      <w:pPr>
        <w:pStyle w:val="20"/>
        <w:spacing w:line="390" w:lineRule="exact"/>
        <w:ind w:left="630" w:hanging="630" w:hangingChars="3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1.6.5“服务”系指招标文件规定投标人须承担的安装、调试、技术协助、校准、培训以及其他类似的义务。</w:t>
      </w:r>
    </w:p>
    <w:p>
      <w:pPr>
        <w:pStyle w:val="20"/>
        <w:spacing w:line="390" w:lineRule="exact"/>
        <w:ind w:left="630" w:hanging="630" w:hangingChars="3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1.6.6“投标文件”系指投标人根据本招标文件要求，编制包含报价、技术和服务等所有内容的文件。</w:t>
      </w:r>
    </w:p>
    <w:p>
      <w:pPr>
        <w:pStyle w:val="20"/>
        <w:spacing w:line="390" w:lineRule="exact"/>
        <w:ind w:left="630" w:hanging="630" w:hangingChars="3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1.6.7“公章”系指投标人</w:t>
      </w:r>
      <w:r>
        <w:rPr>
          <w:rFonts w:hint="eastAsia" w:hAnsi="宋体" w:cs="宋体"/>
          <w:color w:val="000000" w:themeColor="text1"/>
          <w:spacing w:val="8"/>
          <w:szCs w:val="21"/>
          <w:highlight w:val="none"/>
          <w14:textFill>
            <w14:solidFill>
              <w14:schemeClr w14:val="tx1"/>
            </w14:solidFill>
          </w14:textFill>
        </w:rPr>
        <w:t>用自己法定主体行为名称制作的签名印章</w:t>
      </w:r>
      <w:r>
        <w:rPr>
          <w:rFonts w:hint="eastAsia" w:hAnsi="宋体" w:cs="宋体"/>
          <w:color w:val="000000" w:themeColor="text1"/>
          <w:szCs w:val="21"/>
          <w:highlight w:val="none"/>
          <w14:textFill>
            <w14:solidFill>
              <w14:schemeClr w14:val="tx1"/>
            </w14:solidFill>
          </w14:textFill>
        </w:rPr>
        <w:t>，不包含</w:t>
      </w:r>
      <w:r>
        <w:rPr>
          <w:rFonts w:hint="eastAsia" w:hAnsi="宋体" w:cs="宋体"/>
          <w:bCs/>
          <w:color w:val="000000" w:themeColor="text1"/>
          <w:szCs w:val="21"/>
          <w:highlight w:val="none"/>
          <w14:textFill>
            <w14:solidFill>
              <w14:schemeClr w14:val="tx1"/>
            </w14:solidFill>
          </w14:textFill>
        </w:rPr>
        <w:t>其他替代章（如业务专用章、合同专用章、报价专用章等）</w:t>
      </w:r>
      <w:r>
        <w:rPr>
          <w:rFonts w:hint="eastAsia" w:hAnsi="宋体" w:cs="宋体"/>
          <w:color w:val="000000" w:themeColor="text1"/>
          <w:szCs w:val="21"/>
          <w:highlight w:val="none"/>
          <w14:textFill>
            <w14:solidFill>
              <w14:schemeClr w14:val="tx1"/>
            </w14:solidFill>
          </w14:textFill>
        </w:rPr>
        <w:t>。</w:t>
      </w:r>
    </w:p>
    <w:p>
      <w:pPr>
        <w:pStyle w:val="20"/>
        <w:spacing w:line="390" w:lineRule="exact"/>
        <w:ind w:left="630" w:hanging="630" w:hangingChars="3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1.6.8本项目在《中国政府采购网》、《广西壮族自治区政府采购网》、《梧州市政府采购网》、《梧州市公共资源交易中心网》网站发布公告。</w:t>
      </w:r>
    </w:p>
    <w:p>
      <w:pPr>
        <w:pStyle w:val="20"/>
        <w:spacing w:line="390" w:lineRule="exact"/>
        <w:ind w:left="630" w:hanging="630" w:hangingChars="3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1.6.9标注“▲”的条款或要求系指实质性条款或实质性要求，必须满足，否则投标将被否决。</w:t>
      </w:r>
    </w:p>
    <w:p>
      <w:pPr>
        <w:pStyle w:val="4"/>
        <w:spacing w:before="0" w:after="0" w:line="400" w:lineRule="exact"/>
        <w:rPr>
          <w:rFonts w:ascii="宋体" w:hAnsi="宋体" w:eastAsia="宋体" w:cs="宋体"/>
          <w:color w:val="000000" w:themeColor="text1"/>
          <w:sz w:val="21"/>
          <w:szCs w:val="21"/>
          <w:highlight w:val="none"/>
          <w14:textFill>
            <w14:solidFill>
              <w14:schemeClr w14:val="tx1"/>
            </w14:solidFill>
          </w14:textFill>
        </w:rPr>
      </w:pPr>
      <w:bookmarkStart w:id="67" w:name="_Toc469874165"/>
      <w:bookmarkStart w:id="68" w:name="_Toc395066518"/>
      <w:bookmarkStart w:id="69" w:name="_Toc405942976"/>
      <w:r>
        <w:rPr>
          <w:rFonts w:hint="eastAsia" w:hAnsi="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2、</w:t>
      </w:r>
      <w:bookmarkEnd w:id="65"/>
      <w:bookmarkEnd w:id="66"/>
      <w:bookmarkEnd w:id="67"/>
      <w:bookmarkEnd w:id="68"/>
      <w:bookmarkEnd w:id="69"/>
      <w:r>
        <w:rPr>
          <w:rFonts w:hint="eastAsia" w:ascii="宋体" w:hAnsi="宋体" w:eastAsia="宋体" w:cs="宋体"/>
          <w:color w:val="000000" w:themeColor="text1"/>
          <w:sz w:val="21"/>
          <w:szCs w:val="21"/>
          <w:highlight w:val="none"/>
          <w14:textFill>
            <w14:solidFill>
              <w14:schemeClr w14:val="tx1"/>
            </w14:solidFill>
          </w14:textFill>
        </w:rPr>
        <w:t>合格的投标人资格及要求</w:t>
      </w:r>
    </w:p>
    <w:p>
      <w:pPr>
        <w:pStyle w:val="20"/>
        <w:spacing w:line="390" w:lineRule="exact"/>
        <w:ind w:left="420" w:hanging="420" w:hanging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2.1</w:t>
      </w:r>
      <w:r>
        <w:rPr>
          <w:rFonts w:hint="eastAsia" w:hAnsi="宋体" w:cs="宋体"/>
          <w:color w:val="000000" w:themeColor="text1"/>
          <w:szCs w:val="21"/>
          <w:highlight w:val="none"/>
          <w14:textFill>
            <w14:solidFill>
              <w14:schemeClr w14:val="tx1"/>
            </w14:solidFill>
          </w14:textFill>
        </w:rPr>
        <w:t>投标人</w:t>
      </w:r>
      <w:r>
        <w:rPr>
          <w:rFonts w:hint="eastAsia" w:hAnsi="宋体" w:cs="宋体"/>
          <w:color w:val="000000" w:themeColor="text1"/>
          <w:highlight w:val="none"/>
          <w14:textFill>
            <w14:solidFill>
              <w14:schemeClr w14:val="tx1"/>
            </w14:solidFill>
          </w14:textFill>
        </w:rPr>
        <w:t>应符合须知前附表第5项所规定的要求。</w:t>
      </w:r>
    </w:p>
    <w:p>
      <w:pPr>
        <w:pStyle w:val="20"/>
        <w:spacing w:line="390" w:lineRule="exact"/>
        <w:ind w:left="420" w:hanging="420" w:hanging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2.2对在2016年起在中国政府采购网(www.ccgp.gov.cn)列入“政府采购严重违法失信行为记录名单”和在</w:t>
      </w:r>
      <w:r>
        <w:rPr>
          <w:rFonts w:hint="eastAsia" w:hAnsi="宋体" w:cs="宋体"/>
          <w:bCs/>
          <w:color w:val="000000" w:themeColor="text1"/>
          <w:highlight w:val="none"/>
          <w14:textFill>
            <w14:solidFill>
              <w14:schemeClr w14:val="tx1"/>
            </w14:solidFill>
          </w14:textFill>
        </w:rPr>
        <w:t>信用中国网（www.creditchina.gov.cn/）列入“失信被执行人”、</w:t>
      </w:r>
      <w:r>
        <w:rPr>
          <w:rFonts w:hint="eastAsia" w:hAnsi="宋体" w:cs="宋体"/>
          <w:color w:val="000000" w:themeColor="text1"/>
          <w:highlight w:val="none"/>
          <w14:textFill>
            <w14:solidFill>
              <w14:schemeClr w14:val="tx1"/>
            </w14:solidFill>
          </w14:textFill>
        </w:rPr>
        <w:t>“重大税收违法案件当事人名单”、“政府采购严重违法失信名单”</w:t>
      </w:r>
      <w:r>
        <w:rPr>
          <w:rFonts w:hint="eastAsia" w:hAnsi="宋体" w:cs="宋体"/>
          <w:bCs/>
          <w:color w:val="000000" w:themeColor="text1"/>
          <w:highlight w:val="none"/>
          <w14:textFill>
            <w14:solidFill>
              <w14:schemeClr w14:val="tx1"/>
            </w14:solidFill>
          </w14:textFill>
        </w:rPr>
        <w:t>的投标人</w:t>
      </w:r>
      <w:r>
        <w:rPr>
          <w:rFonts w:hint="eastAsia" w:hAnsi="宋体" w:cs="宋体"/>
          <w:color w:val="000000" w:themeColor="text1"/>
          <w:highlight w:val="none"/>
          <w14:textFill>
            <w14:solidFill>
              <w14:schemeClr w14:val="tx1"/>
            </w14:solidFill>
          </w14:textFill>
        </w:rPr>
        <w:t>不得参与本项目政府采购活动。</w:t>
      </w:r>
    </w:p>
    <w:p>
      <w:pPr>
        <w:pStyle w:val="20"/>
        <w:spacing w:line="390" w:lineRule="exact"/>
        <w:ind w:left="420" w:hanging="420" w:hanging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 xml:space="preserve">2.3投标人不得直接或间接地与为本次采购的项目内容进行设计、编制规范和其他文件的咨询公司、采购代理机构或其附属机构有任何关联。 </w:t>
      </w:r>
    </w:p>
    <w:p>
      <w:pPr>
        <w:pStyle w:val="20"/>
        <w:spacing w:line="390" w:lineRule="exact"/>
        <w:ind w:left="420" w:hanging="420" w:hanging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2.4投标人应在投标文件中须主动填报参加政府采购活动前三年内在经营活动中有无重大违法记录（含其授权服务的分公司等）。</w:t>
      </w:r>
    </w:p>
    <w:p>
      <w:pPr>
        <w:pStyle w:val="20"/>
        <w:spacing w:line="390" w:lineRule="exact"/>
        <w:ind w:left="420" w:hanging="420" w:hanging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2.5</w:t>
      </w:r>
      <w:r>
        <w:rPr>
          <w:rFonts w:hint="eastAsia" w:hAnsi="宋体" w:cs="宋体"/>
          <w:color w:val="000000" w:themeColor="text1"/>
          <w:szCs w:val="21"/>
          <w:highlight w:val="none"/>
          <w14:textFill>
            <w14:solidFill>
              <w14:schemeClr w14:val="tx1"/>
            </w14:solidFill>
          </w14:textFill>
        </w:rPr>
        <w:t>符合</w:t>
      </w:r>
      <w:r>
        <w:rPr>
          <w:rFonts w:hint="eastAsia" w:hAnsi="宋体" w:cs="宋体"/>
          <w:color w:val="000000" w:themeColor="text1"/>
          <w:highlight w:val="none"/>
          <w14:textFill>
            <w14:solidFill>
              <w14:schemeClr w14:val="tx1"/>
            </w14:solidFill>
          </w14:textFill>
        </w:rPr>
        <w:t>投标人资格的投标人应承担投标及履约中应承担的全部责任与义务。</w:t>
      </w:r>
    </w:p>
    <w:p>
      <w:pPr>
        <w:pStyle w:val="20"/>
        <w:spacing w:line="390" w:lineRule="exact"/>
        <w:ind w:left="420" w:hanging="420" w:hanging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2.6凡两家或以上投标人参加同一项目采购，有如下情形的，一经发现，将视为串标处理：</w:t>
      </w:r>
    </w:p>
    <w:p>
      <w:pPr>
        <w:pStyle w:val="20"/>
        <w:spacing w:line="400" w:lineRule="exact"/>
        <w:ind w:firstLine="42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（1）为同一法人代表的；</w:t>
      </w:r>
    </w:p>
    <w:p>
      <w:pPr>
        <w:pStyle w:val="20"/>
        <w:spacing w:line="400" w:lineRule="exact"/>
        <w:ind w:firstLine="42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（2）为同一股东控股的；</w:t>
      </w:r>
    </w:p>
    <w:p>
      <w:pPr>
        <w:pStyle w:val="20"/>
        <w:spacing w:line="400" w:lineRule="exact"/>
        <w:ind w:firstLine="42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（3）其中一家公司为其他公司最大股东的。</w:t>
      </w:r>
    </w:p>
    <w:p>
      <w:pPr>
        <w:pStyle w:val="20"/>
        <w:spacing w:line="400" w:lineRule="exact"/>
        <w:ind w:firstLine="42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（4）不同投标人的投标文件由同一单位或者个人编制；</w:t>
      </w:r>
    </w:p>
    <w:p>
      <w:pPr>
        <w:pStyle w:val="20"/>
        <w:spacing w:line="400" w:lineRule="exact"/>
        <w:ind w:firstLine="42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（5）不同投标人委托同一单位或者个人办理投标事宜；</w:t>
      </w:r>
    </w:p>
    <w:p>
      <w:pPr>
        <w:pStyle w:val="20"/>
        <w:spacing w:line="400" w:lineRule="exact"/>
        <w:ind w:firstLine="42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（6）不同投标人的投标文件载明的项目管理成员（项目经办人）为同一人；</w:t>
      </w:r>
    </w:p>
    <w:p>
      <w:pPr>
        <w:pStyle w:val="20"/>
        <w:spacing w:line="400" w:lineRule="exact"/>
        <w:ind w:firstLine="42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（7）不同投标人的投标文件异常一致或者投标报价呈规律性差异；</w:t>
      </w:r>
    </w:p>
    <w:p>
      <w:pPr>
        <w:pStyle w:val="20"/>
        <w:spacing w:line="400" w:lineRule="exact"/>
        <w:ind w:firstLine="42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（8）不同投标人的投标文件相互混装；</w:t>
      </w:r>
    </w:p>
    <w:p>
      <w:pPr>
        <w:pStyle w:val="20"/>
        <w:spacing w:line="400" w:lineRule="exact"/>
        <w:ind w:firstLine="42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（9）不同投标人的投标保证金从同一单位或者个人的账户转出。</w:t>
      </w:r>
    </w:p>
    <w:p>
      <w:pPr>
        <w:pStyle w:val="4"/>
        <w:spacing w:before="0" w:after="0" w:line="400" w:lineRule="exact"/>
        <w:rPr>
          <w:rFonts w:ascii="宋体" w:hAnsi="宋体" w:eastAsia="宋体" w:cs="宋体"/>
          <w:color w:val="000000" w:themeColor="text1"/>
          <w:sz w:val="21"/>
          <w:szCs w:val="21"/>
          <w:highlight w:val="none"/>
          <w14:textFill>
            <w14:solidFill>
              <w14:schemeClr w14:val="tx1"/>
            </w14:solidFill>
          </w14:textFill>
        </w:rPr>
      </w:pPr>
      <w:bookmarkStart w:id="70" w:name="_Toc185702551"/>
      <w:bookmarkStart w:id="71" w:name="_Toc395066519"/>
      <w:bookmarkStart w:id="72" w:name="_Toc469874166"/>
      <w:bookmarkStart w:id="73" w:name="_Toc200268241"/>
      <w:bookmarkStart w:id="74" w:name="_Toc405942977"/>
      <w:r>
        <w:rPr>
          <w:rFonts w:hint="eastAsia" w:ascii="宋体" w:hAnsi="宋体" w:eastAsia="宋体" w:cs="宋体"/>
          <w:color w:val="000000" w:themeColor="text1"/>
          <w:sz w:val="21"/>
          <w:szCs w:val="21"/>
          <w:highlight w:val="none"/>
          <w14:textFill>
            <w14:solidFill>
              <w14:schemeClr w14:val="tx1"/>
            </w14:solidFill>
          </w14:textFill>
        </w:rPr>
        <w:t>3、投标费用</w:t>
      </w:r>
      <w:bookmarkEnd w:id="70"/>
      <w:bookmarkEnd w:id="71"/>
      <w:bookmarkEnd w:id="72"/>
      <w:bookmarkEnd w:id="73"/>
      <w:bookmarkEnd w:id="74"/>
    </w:p>
    <w:p>
      <w:pPr>
        <w:pStyle w:val="20"/>
        <w:spacing w:line="390" w:lineRule="exact"/>
        <w:ind w:left="420" w:hanging="420" w:hanging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3.1投标人应自行承担所有与编写和提交投标文件有关的费用，不论投标结果如何，采购人或采购代理机构在</w:t>
      </w:r>
      <w:r>
        <w:rPr>
          <w:rFonts w:hint="eastAsia" w:hAnsi="宋体" w:cs="宋体"/>
          <w:color w:val="000000" w:themeColor="text1"/>
          <w:szCs w:val="21"/>
          <w:highlight w:val="none"/>
          <w14:textFill>
            <w14:solidFill>
              <w14:schemeClr w14:val="tx1"/>
            </w14:solidFill>
          </w14:textFill>
        </w:rPr>
        <w:t>任何</w:t>
      </w:r>
      <w:r>
        <w:rPr>
          <w:rFonts w:hint="eastAsia" w:hAnsi="宋体" w:cs="宋体"/>
          <w:color w:val="000000" w:themeColor="text1"/>
          <w:highlight w:val="none"/>
          <w14:textFill>
            <w14:solidFill>
              <w14:schemeClr w14:val="tx1"/>
            </w14:solidFill>
          </w14:textFill>
        </w:rPr>
        <w:t>情况下无义务和责任承担此类费用。</w:t>
      </w:r>
    </w:p>
    <w:p>
      <w:pPr>
        <w:pStyle w:val="4"/>
        <w:spacing w:before="0" w:after="0" w:line="400" w:lineRule="exact"/>
        <w:rPr>
          <w:rFonts w:ascii="宋体" w:hAnsi="宋体" w:eastAsia="宋体" w:cs="宋体"/>
          <w:color w:val="000000" w:themeColor="text1"/>
          <w:sz w:val="21"/>
          <w:szCs w:val="21"/>
          <w:highlight w:val="none"/>
          <w14:textFill>
            <w14:solidFill>
              <w14:schemeClr w14:val="tx1"/>
            </w14:solidFill>
          </w14:textFill>
        </w:rPr>
      </w:pPr>
      <w:bookmarkStart w:id="75" w:name="_Toc469874167"/>
      <w:r>
        <w:rPr>
          <w:rFonts w:hint="eastAsia" w:ascii="宋体" w:hAnsi="宋体" w:eastAsia="宋体" w:cs="宋体"/>
          <w:color w:val="000000" w:themeColor="text1"/>
          <w:sz w:val="21"/>
          <w:szCs w:val="21"/>
          <w:highlight w:val="none"/>
          <w14:textFill>
            <w14:solidFill>
              <w14:schemeClr w14:val="tx1"/>
            </w14:solidFill>
          </w14:textFill>
        </w:rPr>
        <w:t>4、转包与分包</w:t>
      </w:r>
      <w:bookmarkEnd w:id="75"/>
    </w:p>
    <w:p>
      <w:pPr>
        <w:pStyle w:val="20"/>
        <w:spacing w:line="390" w:lineRule="exact"/>
        <w:ind w:left="420" w:hanging="420" w:hanging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4.1本项目不允许转包。</w:t>
      </w:r>
    </w:p>
    <w:p>
      <w:pPr>
        <w:pStyle w:val="20"/>
        <w:spacing w:line="390" w:lineRule="exact"/>
        <w:ind w:left="420" w:hanging="420" w:hanging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4.2本项目不可以分包。</w:t>
      </w:r>
    </w:p>
    <w:p>
      <w:pPr>
        <w:pStyle w:val="20"/>
        <w:spacing w:line="390" w:lineRule="exact"/>
        <w:ind w:left="420" w:hanging="420" w:hanging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4.3如</w:t>
      </w:r>
      <w:r>
        <w:rPr>
          <w:rFonts w:hint="eastAsia" w:hAnsi="宋体" w:cs="宋体"/>
          <w:color w:val="000000" w:themeColor="text1"/>
          <w:szCs w:val="21"/>
          <w:highlight w:val="none"/>
          <w14:textFill>
            <w14:solidFill>
              <w14:schemeClr w14:val="tx1"/>
            </w14:solidFill>
          </w14:textFill>
        </w:rPr>
        <w:t>中标</w:t>
      </w:r>
      <w:r>
        <w:rPr>
          <w:rFonts w:hint="eastAsia" w:hAnsi="宋体" w:cs="宋体"/>
          <w:color w:val="000000" w:themeColor="text1"/>
          <w:highlight w:val="none"/>
          <w14:textFill>
            <w14:solidFill>
              <w14:schemeClr w14:val="tx1"/>
            </w14:solidFill>
          </w14:textFill>
        </w:rPr>
        <w:t>人出现转包或分包情形，按相关规定报送梧州市万秀区政府采购工作领导小组办公室。</w:t>
      </w:r>
    </w:p>
    <w:p>
      <w:pPr>
        <w:pStyle w:val="4"/>
        <w:spacing w:before="0" w:after="0" w:line="400" w:lineRule="exact"/>
        <w:rPr>
          <w:rFonts w:ascii="宋体" w:hAnsi="宋体" w:eastAsia="宋体" w:cs="宋体"/>
          <w:color w:val="000000" w:themeColor="text1"/>
          <w:sz w:val="21"/>
          <w:szCs w:val="21"/>
          <w:highlight w:val="none"/>
          <w14:textFill>
            <w14:solidFill>
              <w14:schemeClr w14:val="tx1"/>
            </w14:solidFill>
          </w14:textFill>
        </w:rPr>
      </w:pPr>
      <w:bookmarkStart w:id="76" w:name="_Toc254970532"/>
      <w:bookmarkStart w:id="77" w:name="_Toc469874168"/>
      <w:bookmarkStart w:id="78" w:name="_Toc254970673"/>
      <w:bookmarkStart w:id="79" w:name="_Toc4726"/>
      <w:r>
        <w:rPr>
          <w:rFonts w:hint="eastAsia" w:ascii="宋体" w:hAnsi="宋体" w:eastAsia="宋体" w:cs="宋体"/>
          <w:color w:val="000000" w:themeColor="text1"/>
          <w:sz w:val="21"/>
          <w:szCs w:val="21"/>
          <w:highlight w:val="none"/>
          <w14:textFill>
            <w14:solidFill>
              <w14:schemeClr w14:val="tx1"/>
            </w14:solidFill>
          </w14:textFill>
        </w:rPr>
        <w:t>5、特别说明：</w:t>
      </w:r>
      <w:bookmarkEnd w:id="76"/>
      <w:bookmarkEnd w:id="77"/>
      <w:bookmarkEnd w:id="78"/>
      <w:bookmarkEnd w:id="79"/>
    </w:p>
    <w:p>
      <w:pPr>
        <w:pStyle w:val="20"/>
        <w:spacing w:line="390" w:lineRule="exact"/>
        <w:ind w:left="420" w:hanging="420" w:hanging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5.1</w:t>
      </w:r>
      <w:r>
        <w:rPr>
          <w:rFonts w:hint="eastAsia" w:hAnsi="宋体" w:cs="宋体"/>
          <w:color w:val="000000" w:themeColor="text1"/>
          <w:szCs w:val="21"/>
          <w:highlight w:val="none"/>
          <w14:textFill>
            <w14:solidFill>
              <w14:schemeClr w14:val="tx1"/>
            </w14:solidFill>
          </w14:textFill>
        </w:rPr>
        <w:t>关联投标人不得参加同一合同项下政府采购活动，否则投标文件将被视为无效。</w:t>
      </w:r>
      <w:r>
        <w:rPr>
          <w:rFonts w:hint="eastAsia" w:hAnsi="宋体" w:cs="宋体"/>
          <w:color w:val="000000" w:themeColor="text1"/>
          <w:highlight w:val="none"/>
          <w14:textFill>
            <w14:solidFill>
              <w14:schemeClr w14:val="tx1"/>
            </w14:solidFill>
          </w14:textFill>
        </w:rPr>
        <w:t>单位负责人为同一人或者存在直接控股、管理关系的不同的投标人，不得参加同一合同项下的政府采购活动；生产厂商授权给投标人后自己不得参加同一合同项下的政府采购活动；生产厂商对同一品牌同一型号的货物，仅能委托一个代理商参加投标。</w:t>
      </w:r>
      <w:r>
        <w:rPr>
          <w:rFonts w:hint="eastAsia" w:hAnsi="宋体" w:cs="宋体"/>
          <w:color w:val="000000" w:themeColor="text1"/>
          <w:szCs w:val="21"/>
          <w:highlight w:val="none"/>
          <w14:textFill>
            <w14:solidFill>
              <w14:schemeClr w14:val="tx1"/>
            </w14:solidFill>
          </w14:textFill>
        </w:rPr>
        <w:t>除单一来源采购项目外，为采购项目提供整体设计、规范编制或者项目管理、监理、检测等服务的投标人，不得再参加该采购项目的其他采购活动</w:t>
      </w:r>
      <w:r>
        <w:rPr>
          <w:rFonts w:hint="eastAsia" w:hAnsi="宋体" w:cs="宋体"/>
          <w:color w:val="000000" w:themeColor="text1"/>
          <w:highlight w:val="none"/>
          <w14:textFill>
            <w14:solidFill>
              <w14:schemeClr w14:val="tx1"/>
            </w14:solidFill>
          </w14:textFill>
        </w:rPr>
        <w:t>。</w:t>
      </w:r>
    </w:p>
    <w:p>
      <w:pPr>
        <w:pStyle w:val="20"/>
        <w:spacing w:line="390" w:lineRule="exact"/>
        <w:ind w:left="420" w:hanging="420" w:hanging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5.2投标人投标所使用的资格、信誉、荣誉、业绩与企业认证必须为本法人所拥有。投标人投标所使用的采购</w:t>
      </w:r>
      <w:r>
        <w:rPr>
          <w:rFonts w:hint="eastAsia" w:hAnsi="宋体" w:cs="宋体"/>
          <w:color w:val="000000" w:themeColor="text1"/>
          <w:szCs w:val="21"/>
          <w:highlight w:val="none"/>
          <w14:textFill>
            <w14:solidFill>
              <w14:schemeClr w14:val="tx1"/>
            </w14:solidFill>
          </w14:textFill>
        </w:rPr>
        <w:t>项目</w:t>
      </w:r>
      <w:r>
        <w:rPr>
          <w:rFonts w:hint="eastAsia" w:hAnsi="宋体" w:cs="宋体"/>
          <w:color w:val="000000" w:themeColor="text1"/>
          <w:highlight w:val="none"/>
          <w14:textFill>
            <w14:solidFill>
              <w14:schemeClr w14:val="tx1"/>
            </w14:solidFill>
          </w14:textFill>
        </w:rPr>
        <w:t>实施人员必须为本法人员工（或控股公司正式员工）。</w:t>
      </w:r>
    </w:p>
    <w:p>
      <w:pPr>
        <w:pStyle w:val="20"/>
        <w:spacing w:line="390" w:lineRule="exact"/>
        <w:ind w:left="420" w:hanging="420" w:hanging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5.3</w:t>
      </w:r>
      <w:r>
        <w:rPr>
          <w:rFonts w:hint="eastAsia" w:hAnsi="宋体" w:cs="宋体"/>
          <w:color w:val="000000" w:themeColor="text1"/>
          <w:szCs w:val="21"/>
          <w:highlight w:val="none"/>
          <w14:textFill>
            <w14:solidFill>
              <w14:schemeClr w14:val="tx1"/>
            </w14:solidFill>
          </w14:textFill>
        </w:rPr>
        <w:t>投标人</w:t>
      </w:r>
      <w:r>
        <w:rPr>
          <w:rFonts w:hint="eastAsia" w:hAnsi="宋体" w:cs="宋体"/>
          <w:color w:val="000000" w:themeColor="text1"/>
          <w:highlight w:val="none"/>
          <w14:textFill>
            <w14:solidFill>
              <w14:schemeClr w14:val="tx1"/>
            </w14:solidFill>
          </w14:textFill>
        </w:rPr>
        <w:t>应仔细阅读招标文件的所有内容，按照招标文件的要求提交投标文件，并对所提供的全部资料的真实性承担法律责任。</w:t>
      </w:r>
    </w:p>
    <w:p>
      <w:pPr>
        <w:pStyle w:val="20"/>
        <w:spacing w:line="390" w:lineRule="exact"/>
        <w:ind w:left="420" w:hanging="420" w:hangingChars="200"/>
        <w:rPr>
          <w:rFonts w:hAnsi="宋体" w:cs="宋体"/>
          <w:color w:val="000000" w:themeColor="text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w:t>
      </w:r>
      <w:r>
        <w:rPr>
          <w:rFonts w:hint="eastAsia" w:hAnsi="宋体" w:cs="宋体"/>
          <w:color w:val="000000" w:themeColor="text1"/>
          <w:highlight w:val="none"/>
          <w14:textFill>
            <w14:solidFill>
              <w14:schemeClr w14:val="tx1"/>
            </w14:solidFill>
          </w14:textFill>
        </w:rPr>
        <w:t>5.4投标人在投标活动中提供任何虚假材料，其投标无效，并报政府采购监管部门查处；中标后发现的，中标人须依照《中华人民共和国消费者权益保护法》第49条之规定双倍赔偿采购人，且民事赔偿并不免除违法投标人的行政与刑事责任。</w:t>
      </w:r>
    </w:p>
    <w:p>
      <w:pPr>
        <w:pStyle w:val="4"/>
        <w:spacing w:before="0" w:after="0" w:line="400" w:lineRule="exact"/>
        <w:rPr>
          <w:rFonts w:ascii="宋体" w:hAnsi="宋体" w:eastAsia="宋体" w:cs="宋体"/>
          <w:color w:val="000000" w:themeColor="text1"/>
          <w:sz w:val="21"/>
          <w:szCs w:val="21"/>
          <w:highlight w:val="none"/>
          <w14:textFill>
            <w14:solidFill>
              <w14:schemeClr w14:val="tx1"/>
            </w14:solidFill>
          </w14:textFill>
        </w:rPr>
      </w:pPr>
      <w:bookmarkStart w:id="80" w:name="_Toc469874169"/>
      <w:bookmarkStart w:id="81" w:name="_Toc254970674"/>
      <w:bookmarkStart w:id="82" w:name="_Toc27239"/>
      <w:bookmarkStart w:id="83" w:name="_Toc254970533"/>
      <w:r>
        <w:rPr>
          <w:rFonts w:hint="eastAsia" w:ascii="宋体" w:hAnsi="宋体" w:eastAsia="宋体" w:cs="宋体"/>
          <w:color w:val="000000" w:themeColor="text1"/>
          <w:sz w:val="21"/>
          <w:szCs w:val="21"/>
          <w:highlight w:val="none"/>
          <w14:textFill>
            <w14:solidFill>
              <w14:schemeClr w14:val="tx1"/>
            </w14:solidFill>
          </w14:textFill>
        </w:rPr>
        <w:t>6、询问、质疑和投诉</w:t>
      </w:r>
      <w:bookmarkEnd w:id="80"/>
      <w:bookmarkEnd w:id="81"/>
      <w:bookmarkEnd w:id="82"/>
      <w:bookmarkEnd w:id="83"/>
    </w:p>
    <w:p>
      <w:pPr>
        <w:pStyle w:val="20"/>
        <w:spacing w:line="390" w:lineRule="exact"/>
        <w:ind w:left="420" w:hanging="420" w:hangingChars="200"/>
        <w:rPr>
          <w:rFonts w:hAnsi="宋体" w:cs="宋体"/>
          <w:color w:val="000000" w:themeColor="text1"/>
          <w:kern w:val="0"/>
          <w:szCs w:val="2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6.1询问。</w:t>
      </w:r>
      <w:r>
        <w:rPr>
          <w:rFonts w:hint="eastAsia" w:hAnsi="宋体" w:cs="宋体"/>
          <w:color w:val="000000" w:themeColor="text1"/>
          <w:szCs w:val="21"/>
          <w:highlight w:val="none"/>
          <w14:textFill>
            <w14:solidFill>
              <w14:schemeClr w14:val="tx1"/>
            </w14:solidFill>
          </w14:textFill>
        </w:rPr>
        <w:t>投标人</w:t>
      </w:r>
      <w:r>
        <w:rPr>
          <w:rFonts w:hint="eastAsia" w:hAnsi="宋体" w:cs="宋体"/>
          <w:color w:val="000000" w:themeColor="text1"/>
          <w:highlight w:val="none"/>
          <w14:textFill>
            <w14:solidFill>
              <w14:schemeClr w14:val="tx1"/>
            </w14:solidFill>
          </w14:textFill>
        </w:rPr>
        <w:t>如发现招标文件内容有误或</w:t>
      </w:r>
      <w:r>
        <w:rPr>
          <w:rFonts w:hint="eastAsia" w:hAnsi="宋体" w:cs="宋体"/>
          <w:color w:val="000000" w:themeColor="text1"/>
          <w:kern w:val="0"/>
          <w:szCs w:val="21"/>
          <w:highlight w:val="none"/>
          <w14:textFill>
            <w14:solidFill>
              <w14:schemeClr w14:val="tx1"/>
            </w14:solidFill>
          </w14:textFill>
        </w:rPr>
        <w:t>对政府采购活动事项有疑问的，</w:t>
      </w:r>
      <w:r>
        <w:rPr>
          <w:rFonts w:hint="eastAsia" w:hAnsi="宋体" w:cs="宋体"/>
          <w:color w:val="000000" w:themeColor="text1"/>
          <w:highlight w:val="none"/>
          <w14:textFill>
            <w14:solidFill>
              <w14:schemeClr w14:val="tx1"/>
            </w14:solidFill>
          </w14:textFill>
        </w:rPr>
        <w:t>应在投标截止日期</w:t>
      </w:r>
      <w:r>
        <w:rPr>
          <w:rFonts w:hint="eastAsia" w:hAnsi="宋体" w:cs="宋体"/>
          <w:color w:val="000000" w:themeColor="text1"/>
          <w:highlight w:val="none"/>
          <w:u w:val="single"/>
          <w14:textFill>
            <w14:solidFill>
              <w14:schemeClr w14:val="tx1"/>
            </w14:solidFill>
          </w14:textFill>
        </w:rPr>
        <w:t>10日前</w:t>
      </w:r>
      <w:r>
        <w:rPr>
          <w:rFonts w:hint="eastAsia" w:hAnsi="宋体" w:cs="宋体"/>
          <w:color w:val="000000" w:themeColor="text1"/>
          <w:highlight w:val="none"/>
          <w14:textFill>
            <w14:solidFill>
              <w14:schemeClr w14:val="tx1"/>
            </w14:solidFill>
          </w14:textFill>
        </w:rPr>
        <w:t>的正常工作时间以书面形式</w:t>
      </w:r>
      <w:r>
        <w:rPr>
          <w:rFonts w:hint="eastAsia" w:hAnsi="宋体" w:cs="宋体"/>
          <w:color w:val="000000" w:themeColor="text1"/>
          <w:kern w:val="0"/>
          <w:szCs w:val="21"/>
          <w:highlight w:val="none"/>
          <w14:textFill>
            <w14:solidFill>
              <w14:schemeClr w14:val="tx1"/>
            </w14:solidFill>
          </w14:textFill>
        </w:rPr>
        <w:t>向采购人或采购代理机构提出询问、澄清。采购人或采购代理机构自收到之日起3个工作日内对投标人依法提出的询问作出答复，但答复的内容不得涉及商业秘密。</w:t>
      </w:r>
    </w:p>
    <w:p>
      <w:pPr>
        <w:pStyle w:val="20"/>
        <w:spacing w:line="400" w:lineRule="exact"/>
        <w:ind w:left="420" w:hanging="420" w:hangingChars="200"/>
        <w:rPr>
          <w:rFonts w:hAnsi="宋体"/>
          <w:color w:val="000000" w:themeColor="text1"/>
          <w:szCs w:val="2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6.2</w:t>
      </w:r>
      <w:r>
        <w:rPr>
          <w:rFonts w:hint="eastAsia" w:hAnsi="宋体"/>
          <w:color w:val="000000" w:themeColor="text1"/>
          <w:szCs w:val="21"/>
          <w:highlight w:val="none"/>
          <w14:textFill>
            <w14:solidFill>
              <w14:schemeClr w14:val="tx1"/>
            </w14:solidFill>
          </w14:textFill>
        </w:rPr>
        <w:t>质疑。</w:t>
      </w:r>
    </w:p>
    <w:p>
      <w:pPr>
        <w:pStyle w:val="20"/>
        <w:spacing w:line="400" w:lineRule="exact"/>
        <w:ind w:left="630" w:hanging="630" w:hangingChars="300"/>
        <w:rPr>
          <w:rFonts w:hAnsi="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6.2.1供应商认为招标文件、采购过程、中标或者成交结果使自己的权益受到损害的，可以在知道或者应知其权益受到损害之日起</w:t>
      </w:r>
      <w:r>
        <w:rPr>
          <w:rFonts w:hAnsi="宋体"/>
          <w:color w:val="000000" w:themeColor="text1"/>
          <w:szCs w:val="21"/>
          <w:highlight w:val="none"/>
          <w14:textFill>
            <w14:solidFill>
              <w14:schemeClr w14:val="tx1"/>
            </w14:solidFill>
          </w14:textFill>
        </w:rPr>
        <w:t>7</w:t>
      </w:r>
      <w:r>
        <w:rPr>
          <w:rFonts w:hint="eastAsia" w:hAnsi="宋体"/>
          <w:color w:val="000000" w:themeColor="text1"/>
          <w:szCs w:val="21"/>
          <w:highlight w:val="none"/>
          <w14:textFill>
            <w14:solidFill>
              <w14:schemeClr w14:val="tx1"/>
            </w14:solidFill>
          </w14:textFill>
        </w:rPr>
        <w:t>个工作日内，以书面形式向采购人、采购代理机构提出质疑。供应商必须在法定质疑期内一次性提出针对同一采购程序环节的质疑。</w:t>
      </w:r>
    </w:p>
    <w:p>
      <w:pPr>
        <w:pStyle w:val="20"/>
        <w:spacing w:line="400" w:lineRule="exact"/>
        <w:ind w:left="630" w:hanging="630" w:hangingChars="300"/>
        <w:rPr>
          <w:rFonts w:hAnsi="宋体" w:cs="宋体"/>
          <w:color w:val="000000" w:themeColor="text1"/>
          <w:kern w:val="0"/>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6.2.2提出质疑的供应商应当是参与所质疑项目采购活动的供应商。潜在供应商已依法获取其可质疑的招标文件的，可以对招标文件提出质疑。对招标文件提出质疑的，应当在获取招标</w:t>
      </w:r>
      <w:r>
        <w:rPr>
          <w:rFonts w:hint="eastAsia" w:hAnsi="宋体" w:cs="宋体"/>
          <w:color w:val="000000" w:themeColor="text1"/>
          <w:kern w:val="0"/>
          <w:szCs w:val="21"/>
          <w:highlight w:val="none"/>
          <w14:textFill>
            <w14:solidFill>
              <w14:schemeClr w14:val="tx1"/>
            </w14:solidFill>
          </w14:textFill>
        </w:rPr>
        <w:t>文件或者招标文件公告期限届满之日起</w:t>
      </w:r>
      <w:r>
        <w:rPr>
          <w:rFonts w:hAnsi="宋体" w:cs="宋体"/>
          <w:color w:val="000000" w:themeColor="text1"/>
          <w:kern w:val="0"/>
          <w:szCs w:val="21"/>
          <w:highlight w:val="none"/>
          <w14:textFill>
            <w14:solidFill>
              <w14:schemeClr w14:val="tx1"/>
            </w14:solidFill>
          </w14:textFill>
        </w:rPr>
        <w:t>7</w:t>
      </w:r>
      <w:r>
        <w:rPr>
          <w:rFonts w:hint="eastAsia" w:hAnsi="宋体" w:cs="宋体"/>
          <w:color w:val="000000" w:themeColor="text1"/>
          <w:kern w:val="0"/>
          <w:szCs w:val="21"/>
          <w:highlight w:val="none"/>
          <w14:textFill>
            <w14:solidFill>
              <w14:schemeClr w14:val="tx1"/>
            </w14:solidFill>
          </w14:textFill>
        </w:rPr>
        <w:t>个工作日内提出。</w:t>
      </w:r>
    </w:p>
    <w:p>
      <w:pPr>
        <w:pStyle w:val="20"/>
        <w:spacing w:line="400" w:lineRule="exact"/>
        <w:ind w:left="630" w:hanging="630" w:hangingChars="300"/>
        <w:rPr>
          <w:rFonts w:hAnsi="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6.2.3供应商提出质疑应当提交质疑函和必要的证明材料。质疑函应按财政部发布的《政府采购供应商质疑函范本》编制。</w:t>
      </w:r>
    </w:p>
    <w:p>
      <w:pPr>
        <w:pStyle w:val="20"/>
        <w:spacing w:line="400" w:lineRule="exact"/>
        <w:ind w:left="630" w:hanging="630" w:hangingChars="300"/>
        <w:rPr>
          <w:rFonts w:hAnsi="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6.2.4采购人、采购代理机构</w:t>
      </w:r>
      <w:r>
        <w:rPr>
          <w:rFonts w:hAnsi="宋体"/>
          <w:color w:val="000000" w:themeColor="text1"/>
          <w:szCs w:val="21"/>
          <w:highlight w:val="none"/>
          <w14:textFill>
            <w14:solidFill>
              <w14:schemeClr w14:val="tx1"/>
            </w14:solidFill>
          </w14:textFill>
        </w:rPr>
        <w:t>只接受纸质材料形式的质疑，不接受电子送达的质疑材料，即不接受以传真、电子邮件、移动通信等即时收悉的特定系统作为送达媒介的质疑材料。</w:t>
      </w:r>
      <w:r>
        <w:rPr>
          <w:rFonts w:hint="eastAsia" w:hAnsi="宋体"/>
          <w:color w:val="000000" w:themeColor="text1"/>
          <w:szCs w:val="21"/>
          <w:highlight w:val="none"/>
          <w14:textFill>
            <w14:solidFill>
              <w14:schemeClr w14:val="tx1"/>
            </w14:solidFill>
          </w14:textFill>
        </w:rPr>
        <w:t>采购人、采购代理机构接收质疑函的</w:t>
      </w:r>
      <w:r>
        <w:rPr>
          <w:rFonts w:hint="eastAsia" w:hAnsi="宋体" w:cs="宋体"/>
          <w:color w:val="000000" w:themeColor="text1"/>
          <w:kern w:val="0"/>
          <w:szCs w:val="21"/>
          <w:highlight w:val="none"/>
          <w14:textFill>
            <w14:solidFill>
              <w14:schemeClr w14:val="tx1"/>
            </w14:solidFill>
          </w14:textFill>
        </w:rPr>
        <w:t>联系部门、联系电话和通讯地址详见</w:t>
      </w:r>
      <w:r>
        <w:rPr>
          <w:rFonts w:hint="eastAsia" w:hAnsi="宋体" w:cs="宋体"/>
          <w:color w:val="000000" w:themeColor="text1"/>
          <w:highlight w:val="none"/>
          <w14:textFill>
            <w14:solidFill>
              <w14:schemeClr w14:val="tx1"/>
            </w14:solidFill>
          </w14:textFill>
        </w:rPr>
        <w:t>招标</w:t>
      </w:r>
      <w:r>
        <w:rPr>
          <w:rFonts w:hint="eastAsia" w:hAnsi="宋体" w:cs="宋体"/>
          <w:color w:val="000000" w:themeColor="text1"/>
          <w:kern w:val="0"/>
          <w:szCs w:val="21"/>
          <w:highlight w:val="none"/>
          <w14:textFill>
            <w14:solidFill>
              <w14:schemeClr w14:val="tx1"/>
            </w14:solidFill>
          </w14:textFill>
        </w:rPr>
        <w:t>公告。</w:t>
      </w:r>
    </w:p>
    <w:p>
      <w:pPr>
        <w:pStyle w:val="20"/>
        <w:spacing w:line="400" w:lineRule="exact"/>
        <w:ind w:left="630" w:hanging="630" w:hangingChars="300"/>
        <w:rPr>
          <w:rFonts w:hAnsi="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6.2.5采购人、采购代理机构</w:t>
      </w:r>
      <w:r>
        <w:rPr>
          <w:rFonts w:hAnsi="宋体"/>
          <w:color w:val="000000" w:themeColor="text1"/>
          <w:szCs w:val="21"/>
          <w:highlight w:val="none"/>
          <w14:textFill>
            <w14:solidFill>
              <w14:schemeClr w14:val="tx1"/>
            </w14:solidFill>
          </w14:textFill>
        </w:rPr>
        <w:t>在收到</w:t>
      </w:r>
      <w:r>
        <w:rPr>
          <w:rFonts w:hint="eastAsia" w:hAnsi="宋体"/>
          <w:color w:val="000000" w:themeColor="text1"/>
          <w:szCs w:val="21"/>
          <w:highlight w:val="none"/>
          <w14:textFill>
            <w14:solidFill>
              <w14:schemeClr w14:val="tx1"/>
            </w14:solidFill>
          </w14:textFill>
        </w:rPr>
        <w:t>供应商</w:t>
      </w:r>
      <w:r>
        <w:rPr>
          <w:rFonts w:hAnsi="宋体"/>
          <w:color w:val="000000" w:themeColor="text1"/>
          <w:szCs w:val="21"/>
          <w:highlight w:val="none"/>
          <w14:textFill>
            <w14:solidFill>
              <w14:schemeClr w14:val="tx1"/>
            </w14:solidFill>
          </w14:textFill>
        </w:rPr>
        <w:t>的质疑</w:t>
      </w:r>
      <w:r>
        <w:rPr>
          <w:rFonts w:hint="eastAsia" w:hAnsi="宋体"/>
          <w:color w:val="000000" w:themeColor="text1"/>
          <w:szCs w:val="21"/>
          <w:highlight w:val="none"/>
          <w14:textFill>
            <w14:solidFill>
              <w14:schemeClr w14:val="tx1"/>
            </w14:solidFill>
          </w14:textFill>
        </w:rPr>
        <w:t>函</w:t>
      </w:r>
      <w:r>
        <w:rPr>
          <w:rFonts w:hAnsi="宋体"/>
          <w:color w:val="000000" w:themeColor="text1"/>
          <w:szCs w:val="21"/>
          <w:highlight w:val="none"/>
          <w14:textFill>
            <w14:solidFill>
              <w14:schemeClr w14:val="tx1"/>
            </w14:solidFill>
          </w14:textFill>
        </w:rPr>
        <w:t>后</w:t>
      </w:r>
      <w:r>
        <w:rPr>
          <w:rFonts w:hint="eastAsia" w:hAnsi="宋体"/>
          <w:color w:val="000000" w:themeColor="text1"/>
          <w:szCs w:val="21"/>
          <w:highlight w:val="none"/>
          <w14:textFill>
            <w14:solidFill>
              <w14:schemeClr w14:val="tx1"/>
            </w14:solidFill>
          </w14:textFill>
        </w:rPr>
        <w:t>7</w:t>
      </w:r>
      <w:r>
        <w:rPr>
          <w:rFonts w:hAnsi="宋体"/>
          <w:color w:val="000000" w:themeColor="text1"/>
          <w:szCs w:val="21"/>
          <w:highlight w:val="none"/>
          <w14:textFill>
            <w14:solidFill>
              <w14:schemeClr w14:val="tx1"/>
            </w14:solidFill>
          </w14:textFill>
        </w:rPr>
        <w:t>个工作日内作出答复，并以书面形式通知质疑供应商和其他有关供应商</w:t>
      </w:r>
      <w:r>
        <w:rPr>
          <w:rFonts w:hint="eastAsia" w:hAnsi="宋体"/>
          <w:color w:val="000000" w:themeColor="text1"/>
          <w:szCs w:val="21"/>
          <w:highlight w:val="none"/>
          <w14:textFill>
            <w14:solidFill>
              <w14:schemeClr w14:val="tx1"/>
            </w14:solidFill>
          </w14:textFill>
        </w:rPr>
        <w:t>。</w:t>
      </w:r>
      <w:r>
        <w:rPr>
          <w:rFonts w:hAnsi="宋体"/>
          <w:color w:val="000000" w:themeColor="text1"/>
          <w:szCs w:val="21"/>
          <w:highlight w:val="none"/>
          <w14:textFill>
            <w14:solidFill>
              <w14:schemeClr w14:val="tx1"/>
            </w14:solidFill>
          </w14:textFill>
        </w:rPr>
        <w:t>但答复的内容不得涉及商业秘密。</w:t>
      </w:r>
    </w:p>
    <w:p>
      <w:pPr>
        <w:pStyle w:val="20"/>
        <w:spacing w:line="390" w:lineRule="exact"/>
        <w:ind w:left="420" w:hanging="420" w:hangingChars="200"/>
        <w:rPr>
          <w:rFonts w:hAnsi="宋体" w:cs="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6.3投诉。</w:t>
      </w:r>
      <w:r>
        <w:rPr>
          <w:rFonts w:hint="eastAsia" w:hAnsi="宋体" w:cs="宋体"/>
          <w:color w:val="000000" w:themeColor="text1"/>
          <w:kern w:val="0"/>
          <w:szCs w:val="21"/>
          <w:highlight w:val="none"/>
          <w14:textFill>
            <w14:solidFill>
              <w14:schemeClr w14:val="tx1"/>
            </w14:solidFill>
          </w14:textFill>
        </w:rPr>
        <w:t>质疑供应商对采购人、采购代理机构的答复不满意，或者采购人、采购代理机构未在规定时间内作出答复的，可以在答复期满后</w:t>
      </w:r>
      <w:r>
        <w:rPr>
          <w:rFonts w:hAnsi="宋体" w:cs="宋体"/>
          <w:color w:val="000000" w:themeColor="text1"/>
          <w:kern w:val="0"/>
          <w:szCs w:val="21"/>
          <w:highlight w:val="none"/>
          <w14:textFill>
            <w14:solidFill>
              <w14:schemeClr w14:val="tx1"/>
            </w14:solidFill>
          </w14:textFill>
        </w:rPr>
        <w:t>15</w:t>
      </w:r>
      <w:r>
        <w:rPr>
          <w:rFonts w:hint="eastAsia" w:hAnsi="宋体" w:cs="宋体"/>
          <w:color w:val="000000" w:themeColor="text1"/>
          <w:kern w:val="0"/>
          <w:szCs w:val="21"/>
          <w:highlight w:val="none"/>
          <w14:textFill>
            <w14:solidFill>
              <w14:schemeClr w14:val="tx1"/>
            </w14:solidFill>
          </w14:textFill>
        </w:rPr>
        <w:t>个工作日内向</w:t>
      </w:r>
      <w:r>
        <w:rPr>
          <w:rFonts w:hint="eastAsia" w:hAnsi="宋体"/>
          <w:color w:val="000000" w:themeColor="text1"/>
          <w:highlight w:val="none"/>
          <w14:textFill>
            <w14:solidFill>
              <w14:schemeClr w14:val="tx1"/>
            </w14:solidFill>
          </w14:textFill>
        </w:rPr>
        <w:t>本级财政部门</w:t>
      </w:r>
      <w:r>
        <w:rPr>
          <w:rFonts w:hint="eastAsia" w:hAnsi="宋体" w:cs="宋体"/>
          <w:color w:val="000000" w:themeColor="text1"/>
          <w:kern w:val="0"/>
          <w:szCs w:val="21"/>
          <w:highlight w:val="none"/>
          <w14:textFill>
            <w14:solidFill>
              <w14:schemeClr w14:val="tx1"/>
            </w14:solidFill>
          </w14:textFill>
        </w:rPr>
        <w:t>提起投诉。</w:t>
      </w:r>
    </w:p>
    <w:p>
      <w:pPr>
        <w:pStyle w:val="3"/>
        <w:spacing w:line="400" w:lineRule="exact"/>
        <w:jc w:val="center"/>
        <w:rPr>
          <w:rFonts w:ascii="宋体" w:hAnsi="宋体" w:cs="宋体"/>
          <w:color w:val="000000" w:themeColor="text1"/>
          <w:highlight w:val="none"/>
          <w14:textFill>
            <w14:solidFill>
              <w14:schemeClr w14:val="tx1"/>
            </w14:solidFill>
          </w14:textFill>
        </w:rPr>
      </w:pPr>
      <w:bookmarkStart w:id="84" w:name="_Toc6789"/>
      <w:bookmarkStart w:id="85" w:name="_Toc405942978"/>
      <w:bookmarkStart w:id="86" w:name="_Toc469909316"/>
      <w:bookmarkStart w:id="87" w:name="_Toc185702552"/>
      <w:bookmarkStart w:id="88" w:name="_Toc200268242"/>
      <w:bookmarkStart w:id="89" w:name="_Toc469874170"/>
      <w:bookmarkStart w:id="90" w:name="_Toc395066520"/>
      <w:r>
        <w:rPr>
          <w:rFonts w:hint="eastAsia" w:ascii="宋体" w:hAnsi="宋体" w:cs="宋体"/>
          <w:color w:val="000000" w:themeColor="text1"/>
          <w:highlight w:val="none"/>
          <w14:textFill>
            <w14:solidFill>
              <w14:schemeClr w14:val="tx1"/>
            </w14:solidFill>
          </w14:textFill>
        </w:rPr>
        <w:t>二、招标文件</w:t>
      </w:r>
      <w:bookmarkEnd w:id="84"/>
      <w:bookmarkEnd w:id="85"/>
      <w:bookmarkEnd w:id="86"/>
      <w:bookmarkEnd w:id="87"/>
      <w:bookmarkEnd w:id="88"/>
      <w:bookmarkEnd w:id="89"/>
      <w:bookmarkEnd w:id="90"/>
    </w:p>
    <w:p>
      <w:pPr>
        <w:pStyle w:val="4"/>
        <w:spacing w:before="0" w:after="0" w:line="400" w:lineRule="exact"/>
        <w:rPr>
          <w:rFonts w:ascii="宋体" w:hAnsi="宋体" w:eastAsia="宋体" w:cs="宋体"/>
          <w:color w:val="000000" w:themeColor="text1"/>
          <w:sz w:val="21"/>
          <w:szCs w:val="21"/>
          <w:highlight w:val="none"/>
          <w14:textFill>
            <w14:solidFill>
              <w14:schemeClr w14:val="tx1"/>
            </w14:solidFill>
          </w14:textFill>
        </w:rPr>
      </w:pPr>
      <w:bookmarkStart w:id="91" w:name="_Toc405942979"/>
      <w:bookmarkStart w:id="92" w:name="_Toc469874171"/>
      <w:bookmarkStart w:id="93" w:name="_Toc200268243"/>
      <w:bookmarkStart w:id="94" w:name="_Toc185702553"/>
      <w:bookmarkStart w:id="95" w:name="_Toc395066521"/>
      <w:r>
        <w:rPr>
          <w:rFonts w:hint="eastAsia" w:ascii="宋体" w:hAnsi="宋体" w:eastAsia="宋体" w:cs="宋体"/>
          <w:color w:val="000000" w:themeColor="text1"/>
          <w:sz w:val="21"/>
          <w:szCs w:val="21"/>
          <w:highlight w:val="none"/>
          <w14:textFill>
            <w14:solidFill>
              <w14:schemeClr w14:val="tx1"/>
            </w14:solidFill>
          </w14:textFill>
        </w:rPr>
        <w:t>7、招标文件的构成</w:t>
      </w:r>
      <w:bookmarkEnd w:id="91"/>
      <w:bookmarkEnd w:id="92"/>
      <w:bookmarkEnd w:id="93"/>
      <w:bookmarkEnd w:id="94"/>
      <w:bookmarkEnd w:id="95"/>
    </w:p>
    <w:p>
      <w:pPr>
        <w:pStyle w:val="20"/>
        <w:spacing w:line="390" w:lineRule="exact"/>
        <w:ind w:left="420" w:hanging="420" w:hanging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7.1</w:t>
      </w:r>
      <w:r>
        <w:rPr>
          <w:rFonts w:hint="eastAsia" w:hAnsi="宋体" w:cs="宋体"/>
          <w:color w:val="000000" w:themeColor="text1"/>
          <w:szCs w:val="21"/>
          <w:highlight w:val="none"/>
          <w14:textFill>
            <w14:solidFill>
              <w14:schemeClr w14:val="tx1"/>
            </w14:solidFill>
          </w14:textFill>
        </w:rPr>
        <w:t>招标文件</w:t>
      </w:r>
      <w:r>
        <w:rPr>
          <w:rFonts w:hint="eastAsia" w:hAnsi="宋体" w:cs="宋体"/>
          <w:color w:val="000000" w:themeColor="text1"/>
          <w:highlight w:val="none"/>
          <w14:textFill>
            <w14:solidFill>
              <w14:schemeClr w14:val="tx1"/>
            </w14:solidFill>
          </w14:textFill>
        </w:rPr>
        <w:t>由下列文件以及在采购过程中发出的更改、修正和补充文件组成：</w:t>
      </w:r>
    </w:p>
    <w:p>
      <w:pPr>
        <w:pStyle w:val="20"/>
        <w:spacing w:line="400" w:lineRule="exact"/>
        <w:ind w:firstLine="426"/>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第一章  招标公告</w:t>
      </w:r>
    </w:p>
    <w:p>
      <w:pPr>
        <w:pStyle w:val="20"/>
        <w:spacing w:line="400" w:lineRule="exact"/>
        <w:ind w:firstLine="42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第二章  采购内容及要求</w:t>
      </w:r>
    </w:p>
    <w:p>
      <w:pPr>
        <w:pStyle w:val="20"/>
        <w:spacing w:line="400" w:lineRule="exact"/>
        <w:ind w:firstLine="42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第三章  投标人须知及前附表</w:t>
      </w:r>
    </w:p>
    <w:p>
      <w:pPr>
        <w:pStyle w:val="20"/>
        <w:spacing w:line="400" w:lineRule="exact"/>
        <w:ind w:firstLine="42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第四章  评标方法</w:t>
      </w:r>
    </w:p>
    <w:p>
      <w:pPr>
        <w:pStyle w:val="20"/>
        <w:spacing w:line="400" w:lineRule="exact"/>
        <w:ind w:firstLine="42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第五章  政府采购合同（格式）</w:t>
      </w:r>
    </w:p>
    <w:p>
      <w:pPr>
        <w:pStyle w:val="20"/>
        <w:spacing w:line="400" w:lineRule="exact"/>
        <w:ind w:firstLine="42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第六章  投标文件（格式）</w:t>
      </w:r>
    </w:p>
    <w:p>
      <w:pPr>
        <w:pStyle w:val="20"/>
        <w:spacing w:line="400" w:lineRule="exact"/>
        <w:ind w:firstLine="42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第七章  附件</w:t>
      </w:r>
    </w:p>
    <w:p>
      <w:pPr>
        <w:pStyle w:val="4"/>
        <w:spacing w:before="0" w:after="0" w:line="400" w:lineRule="exact"/>
        <w:rPr>
          <w:rFonts w:ascii="宋体" w:hAnsi="宋体" w:eastAsia="宋体" w:cs="宋体"/>
          <w:color w:val="000000" w:themeColor="text1"/>
          <w:sz w:val="21"/>
          <w:szCs w:val="21"/>
          <w:highlight w:val="none"/>
          <w14:textFill>
            <w14:solidFill>
              <w14:schemeClr w14:val="tx1"/>
            </w14:solidFill>
          </w14:textFill>
        </w:rPr>
      </w:pPr>
      <w:bookmarkStart w:id="96" w:name="_Toc405942980"/>
      <w:bookmarkStart w:id="97" w:name="_Toc469874172"/>
      <w:bookmarkStart w:id="98" w:name="_Toc395066522"/>
      <w:bookmarkStart w:id="99" w:name="_Toc200268244"/>
      <w:bookmarkStart w:id="100" w:name="_Toc185702554"/>
      <w:r>
        <w:rPr>
          <w:rFonts w:hint="eastAsia" w:ascii="宋体" w:hAnsi="宋体" w:eastAsia="宋体" w:cs="宋体"/>
          <w:color w:val="000000" w:themeColor="text1"/>
          <w:sz w:val="21"/>
          <w:szCs w:val="21"/>
          <w:highlight w:val="none"/>
          <w14:textFill>
            <w14:solidFill>
              <w14:schemeClr w14:val="tx1"/>
            </w14:solidFill>
          </w14:textFill>
        </w:rPr>
        <w:t>8、招标文件的澄清和修改</w:t>
      </w:r>
      <w:bookmarkEnd w:id="96"/>
      <w:bookmarkEnd w:id="97"/>
      <w:bookmarkEnd w:id="98"/>
      <w:bookmarkEnd w:id="99"/>
      <w:bookmarkEnd w:id="100"/>
    </w:p>
    <w:p>
      <w:pPr>
        <w:pStyle w:val="20"/>
        <w:spacing w:line="390" w:lineRule="exact"/>
        <w:ind w:left="420" w:hanging="420" w:hanging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8.1采购人或者采购代理机构可以对已发出的招标文件进行必要的澄清或者修改，如澄清或者修改的内容可能影响投标文件编制的，在投标截止时间至少15日前，在政府采购信息发布媒体发布更正公告，不足15日的，采购人或者采购代理机构应当顺延提交投标文件的截止时间。</w:t>
      </w:r>
    </w:p>
    <w:p>
      <w:pPr>
        <w:pStyle w:val="20"/>
        <w:spacing w:line="390" w:lineRule="exact"/>
        <w:ind w:left="420" w:hanging="420" w:hanging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8.2采购人、采购</w:t>
      </w:r>
      <w:r>
        <w:rPr>
          <w:rFonts w:hint="eastAsia" w:hAnsi="宋体" w:cs="宋体"/>
          <w:color w:val="000000" w:themeColor="text1"/>
          <w:szCs w:val="21"/>
          <w:highlight w:val="none"/>
          <w14:textFill>
            <w14:solidFill>
              <w14:schemeClr w14:val="tx1"/>
            </w14:solidFill>
          </w14:textFill>
        </w:rPr>
        <w:t>代理</w:t>
      </w:r>
      <w:r>
        <w:rPr>
          <w:rFonts w:hint="eastAsia" w:hAnsi="宋体" w:cs="宋体"/>
          <w:color w:val="000000" w:themeColor="text1"/>
          <w:highlight w:val="none"/>
          <w14:textFill>
            <w14:solidFill>
              <w14:schemeClr w14:val="tx1"/>
            </w14:solidFill>
          </w14:textFill>
        </w:rPr>
        <w:t>机构可视具体情况延长投标截止时间和开标时间的，在投标文件截止时间</w:t>
      </w:r>
      <w:r>
        <w:rPr>
          <w:rFonts w:hint="eastAsia" w:hAnsi="宋体" w:cs="宋体"/>
          <w:color w:val="000000" w:themeColor="text1"/>
          <w:highlight w:val="none"/>
          <w:u w:val="single"/>
          <w14:textFill>
            <w14:solidFill>
              <w14:schemeClr w14:val="tx1"/>
            </w14:solidFill>
          </w14:textFill>
        </w:rPr>
        <w:t>3日</w:t>
      </w:r>
      <w:r>
        <w:rPr>
          <w:rFonts w:hint="eastAsia" w:hAnsi="宋体" w:cs="宋体"/>
          <w:color w:val="000000" w:themeColor="text1"/>
          <w:highlight w:val="none"/>
          <w14:textFill>
            <w14:solidFill>
              <w14:schemeClr w14:val="tx1"/>
            </w14:solidFill>
          </w14:textFill>
        </w:rPr>
        <w:t>前，在政府采购信息发布媒体发布变更公告。</w:t>
      </w:r>
    </w:p>
    <w:p>
      <w:pPr>
        <w:pStyle w:val="20"/>
        <w:spacing w:line="390" w:lineRule="exact"/>
        <w:ind w:left="420" w:hanging="420" w:hanging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8.3所有与本项目相关的澄清、修改、补遗的内容作为招标文件的组成部分。该所有通知文件在政府采购信息媒体发布之日起，视为投标人已收到该通知。</w:t>
      </w:r>
      <w:r>
        <w:rPr>
          <w:rFonts w:hint="eastAsia" w:hAnsi="宋体" w:cs="宋体"/>
          <w:color w:val="000000" w:themeColor="text1"/>
          <w:szCs w:val="21"/>
          <w:highlight w:val="none"/>
          <w14:textFill>
            <w14:solidFill>
              <w14:schemeClr w14:val="tx1"/>
            </w14:solidFill>
          </w14:textFill>
        </w:rPr>
        <w:t>投标人未及时关注网站上发布的通知文件造成的损失，由投标人负责。</w:t>
      </w:r>
    </w:p>
    <w:p>
      <w:pPr>
        <w:pStyle w:val="20"/>
        <w:spacing w:line="400" w:lineRule="exact"/>
        <w:ind w:firstLine="420"/>
        <w:rPr>
          <w:rFonts w:hAnsi="宋体" w:cs="宋体"/>
          <w:color w:val="000000" w:themeColor="text1"/>
          <w:highlight w:val="none"/>
          <w14:textFill>
            <w14:solidFill>
              <w14:schemeClr w14:val="tx1"/>
            </w14:solidFill>
          </w14:textFill>
        </w:rPr>
      </w:pPr>
    </w:p>
    <w:p>
      <w:pPr>
        <w:pStyle w:val="3"/>
        <w:spacing w:line="400" w:lineRule="exact"/>
        <w:jc w:val="center"/>
        <w:rPr>
          <w:rFonts w:ascii="宋体" w:hAnsi="宋体" w:cs="宋体"/>
          <w:color w:val="000000" w:themeColor="text1"/>
          <w:highlight w:val="none"/>
          <w14:textFill>
            <w14:solidFill>
              <w14:schemeClr w14:val="tx1"/>
            </w14:solidFill>
          </w14:textFill>
        </w:rPr>
      </w:pPr>
      <w:bookmarkStart w:id="101" w:name="_Toc469909317"/>
      <w:bookmarkStart w:id="102" w:name="_Toc405942981"/>
      <w:bookmarkStart w:id="103" w:name="_Toc469874173"/>
      <w:bookmarkStart w:id="104" w:name="_Toc200268245"/>
      <w:bookmarkStart w:id="105" w:name="_Toc395066523"/>
      <w:bookmarkStart w:id="106" w:name="_Toc185702555"/>
      <w:bookmarkStart w:id="107" w:name="_Toc8257"/>
      <w:r>
        <w:rPr>
          <w:rFonts w:hint="eastAsia" w:ascii="宋体" w:hAnsi="宋体" w:cs="宋体"/>
          <w:color w:val="000000" w:themeColor="text1"/>
          <w:highlight w:val="none"/>
          <w14:textFill>
            <w14:solidFill>
              <w14:schemeClr w14:val="tx1"/>
            </w14:solidFill>
          </w14:textFill>
        </w:rPr>
        <w:t>三、投标文件的编制</w:t>
      </w:r>
      <w:bookmarkEnd w:id="101"/>
      <w:bookmarkEnd w:id="102"/>
      <w:bookmarkEnd w:id="103"/>
      <w:bookmarkEnd w:id="104"/>
      <w:bookmarkEnd w:id="105"/>
      <w:bookmarkEnd w:id="106"/>
      <w:bookmarkEnd w:id="107"/>
    </w:p>
    <w:p>
      <w:pPr>
        <w:pStyle w:val="4"/>
        <w:spacing w:before="0" w:after="0" w:line="400" w:lineRule="exact"/>
        <w:rPr>
          <w:rFonts w:ascii="宋体" w:hAnsi="宋体" w:eastAsia="宋体" w:cs="宋体"/>
          <w:color w:val="000000" w:themeColor="text1"/>
          <w:sz w:val="21"/>
          <w:szCs w:val="21"/>
          <w:highlight w:val="none"/>
          <w14:textFill>
            <w14:solidFill>
              <w14:schemeClr w14:val="tx1"/>
            </w14:solidFill>
          </w14:textFill>
        </w:rPr>
      </w:pPr>
      <w:bookmarkStart w:id="108" w:name="_Toc185702556"/>
      <w:bookmarkStart w:id="109" w:name="_Toc405942982"/>
      <w:bookmarkStart w:id="110" w:name="_Toc469874174"/>
      <w:bookmarkStart w:id="111" w:name="_Toc200268246"/>
      <w:bookmarkStart w:id="112" w:name="_Toc395066524"/>
      <w:r>
        <w:rPr>
          <w:rFonts w:hint="eastAsia" w:ascii="宋体" w:hAnsi="宋体" w:eastAsia="宋体" w:cs="宋体"/>
          <w:color w:val="000000" w:themeColor="text1"/>
          <w:sz w:val="21"/>
          <w:szCs w:val="21"/>
          <w:highlight w:val="none"/>
          <w14:textFill>
            <w14:solidFill>
              <w14:schemeClr w14:val="tx1"/>
            </w14:solidFill>
          </w14:textFill>
        </w:rPr>
        <w:t>9、</w:t>
      </w:r>
      <w:bookmarkEnd w:id="108"/>
      <w:bookmarkEnd w:id="109"/>
      <w:bookmarkEnd w:id="110"/>
      <w:bookmarkEnd w:id="111"/>
      <w:bookmarkEnd w:id="112"/>
      <w:r>
        <w:rPr>
          <w:rFonts w:hint="eastAsia" w:ascii="宋体" w:hAnsi="宋体" w:eastAsia="宋体" w:cs="宋体"/>
          <w:color w:val="000000" w:themeColor="text1"/>
          <w:sz w:val="21"/>
          <w:szCs w:val="21"/>
          <w:highlight w:val="none"/>
          <w14:textFill>
            <w14:solidFill>
              <w14:schemeClr w14:val="tx1"/>
            </w14:solidFill>
          </w14:textFill>
        </w:rPr>
        <w:t>投标文件的组成</w:t>
      </w:r>
    </w:p>
    <w:p>
      <w:pPr>
        <w:pStyle w:val="20"/>
        <w:spacing w:line="400" w:lineRule="exact"/>
        <w:ind w:left="420" w:hanging="420" w:hangingChars="200"/>
        <w:rPr>
          <w:rFonts w:hAnsi="宋体" w:cs="宋体"/>
          <w:color w:val="000000" w:themeColor="text1"/>
          <w:spacing w:val="-2"/>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w:t>
      </w:r>
      <w:r>
        <w:rPr>
          <w:rFonts w:hint="eastAsia" w:hAnsi="宋体" w:cs="宋体"/>
          <w:color w:val="000000" w:themeColor="text1"/>
          <w:spacing w:val="-2"/>
          <w:szCs w:val="21"/>
          <w:highlight w:val="none"/>
          <w14:textFill>
            <w14:solidFill>
              <w14:schemeClr w14:val="tx1"/>
            </w14:solidFill>
          </w14:textFill>
        </w:rPr>
        <w:t>9.1</w:t>
      </w:r>
      <w:r>
        <w:rPr>
          <w:rFonts w:hint="eastAsia" w:hAnsi="宋体" w:cs="宋体"/>
          <w:color w:val="000000" w:themeColor="text1"/>
          <w:szCs w:val="21"/>
          <w:highlight w:val="none"/>
          <w14:textFill>
            <w14:solidFill>
              <w14:schemeClr w14:val="tx1"/>
            </w14:solidFill>
          </w14:textFill>
        </w:rPr>
        <w:t>投标人应按下列说明及第六章投标文件格式要求编写和提供。应递交的有关文件如未特别注明为复印件的，须提供原件。原件、复印件均须加盖投标人公章</w:t>
      </w:r>
      <w:r>
        <w:rPr>
          <w:rFonts w:hint="eastAsia" w:hAnsi="宋体" w:cs="宋体"/>
          <w:bCs/>
          <w:color w:val="000000" w:themeColor="text1"/>
          <w:szCs w:val="21"/>
          <w:highlight w:val="none"/>
          <w14:textFill>
            <w14:solidFill>
              <w14:schemeClr w14:val="tx1"/>
            </w14:solidFill>
          </w14:textFill>
        </w:rPr>
        <w:t>。</w:t>
      </w:r>
    </w:p>
    <w:p>
      <w:pPr>
        <w:pStyle w:val="20"/>
        <w:spacing w:line="400" w:lineRule="exact"/>
        <w:ind w:firstLine="422" w:firstLineChars="200"/>
        <w:rPr>
          <w:rFonts w:hAnsi="宋体" w:cs="宋体"/>
          <w:color w:val="000000" w:themeColor="text1"/>
          <w:highlight w:val="none"/>
          <w14:textFill>
            <w14:solidFill>
              <w14:schemeClr w14:val="tx1"/>
            </w14:solidFill>
          </w14:textFill>
        </w:rPr>
      </w:pPr>
      <w:r>
        <w:rPr>
          <w:rFonts w:hint="eastAsia" w:hAnsi="宋体" w:cs="宋体"/>
          <w:b/>
          <w:color w:val="000000" w:themeColor="text1"/>
          <w:szCs w:val="21"/>
          <w:highlight w:val="none"/>
          <w14:textFill>
            <w14:solidFill>
              <w14:schemeClr w14:val="tx1"/>
            </w14:solidFill>
          </w14:textFill>
        </w:rPr>
        <w:t>一、报价文件</w:t>
      </w:r>
      <w:r>
        <w:rPr>
          <w:rFonts w:hint="eastAsia" w:hAnsi="宋体" w:cs="宋体"/>
          <w:color w:val="000000" w:themeColor="text1"/>
          <w:highlight w:val="none"/>
          <w14:textFill>
            <w14:solidFill>
              <w14:schemeClr w14:val="tx1"/>
            </w14:solidFill>
          </w14:textFill>
        </w:rPr>
        <w:t>（第1～3项为必须提供）</w:t>
      </w:r>
    </w:p>
    <w:p>
      <w:pPr>
        <w:snapToGrid w:val="0"/>
        <w:spacing w:line="400" w:lineRule="exact"/>
        <w:ind w:firstLine="420" w:firstLineChars="20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1、开标一览表</w:t>
      </w:r>
    </w:p>
    <w:p>
      <w:pPr>
        <w:snapToGrid w:val="0"/>
        <w:spacing w:line="400" w:lineRule="exact"/>
        <w:ind w:firstLine="420" w:firstLineChars="20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w:t>
      </w:r>
      <w:r>
        <w:rPr>
          <w:rFonts w:hint="eastAsia" w:ascii="宋体" w:hAnsi="宋体" w:cs="宋体"/>
          <w:color w:val="000000" w:themeColor="text1"/>
          <w:szCs w:val="21"/>
          <w:highlight w:val="none"/>
          <w14:textFill>
            <w14:solidFill>
              <w14:schemeClr w14:val="tx1"/>
            </w14:solidFill>
          </w14:textFill>
        </w:rPr>
        <w:t>投标</w:t>
      </w:r>
      <w:r>
        <w:rPr>
          <w:rFonts w:hint="eastAsia" w:ascii="宋体" w:hAnsi="宋体" w:cs="宋体"/>
          <w:color w:val="000000" w:themeColor="text1"/>
          <w:highlight w:val="none"/>
          <w14:textFill>
            <w14:solidFill>
              <w14:schemeClr w14:val="tx1"/>
            </w14:solidFill>
          </w14:textFill>
        </w:rPr>
        <w:t>函</w:t>
      </w:r>
    </w:p>
    <w:p>
      <w:pPr>
        <w:snapToGrid w:val="0"/>
        <w:spacing w:line="400" w:lineRule="exact"/>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3、投标报价明细表</w:t>
      </w:r>
    </w:p>
    <w:p>
      <w:pPr>
        <w:snapToGrid w:val="0"/>
        <w:spacing w:line="400" w:lineRule="exact"/>
        <w:ind w:firstLine="420" w:firstLineChars="200"/>
        <w:jc w:val="left"/>
        <w:rPr>
          <w:rFonts w:ascii="宋体" w:hAnsi="宋体" w:cs="宋体"/>
          <w:b/>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4、投标人符合政府采购政策价格扣除证明材料（如有，由投标人根据自己实际情况提供）</w:t>
      </w:r>
    </w:p>
    <w:p>
      <w:pPr>
        <w:pStyle w:val="20"/>
        <w:spacing w:line="400" w:lineRule="exact"/>
        <w:ind w:right="-126" w:rightChars="-60" w:firstLine="422" w:firstLineChars="200"/>
        <w:rPr>
          <w:rFonts w:hAnsi="宋体" w:cs="宋体"/>
          <w:color w:val="000000" w:themeColor="text1"/>
          <w:highlight w:val="none"/>
          <w14:textFill>
            <w14:solidFill>
              <w14:schemeClr w14:val="tx1"/>
            </w14:solidFill>
          </w14:textFill>
        </w:rPr>
      </w:pPr>
      <w:r>
        <w:rPr>
          <w:rFonts w:hint="eastAsia" w:hAnsi="宋体" w:cs="宋体"/>
          <w:b/>
          <w:color w:val="000000" w:themeColor="text1"/>
          <w:highlight w:val="none"/>
          <w14:textFill>
            <w14:solidFill>
              <w14:schemeClr w14:val="tx1"/>
            </w14:solidFill>
          </w14:textFill>
        </w:rPr>
        <w:t>二、资格资信证明文件</w:t>
      </w:r>
      <w:r>
        <w:rPr>
          <w:rFonts w:hint="eastAsia" w:hAnsi="宋体" w:cs="宋体"/>
          <w:color w:val="000000" w:themeColor="text1"/>
          <w:highlight w:val="none"/>
          <w14:textFill>
            <w14:solidFill>
              <w14:schemeClr w14:val="tx1"/>
            </w14:solidFill>
          </w14:textFill>
        </w:rPr>
        <w:t>（第1～9项必须提供，其中第5项委托代理时必须提供且按要求签字盖章</w:t>
      </w:r>
      <w:r>
        <w:rPr>
          <w:rFonts w:hint="eastAsia" w:hAnsi="宋体"/>
          <w:bCs/>
          <w:color w:val="000000" w:themeColor="text1"/>
          <w:highlight w:val="none"/>
          <w14:textFill>
            <w14:solidFill>
              <w14:schemeClr w14:val="tx1"/>
            </w14:solidFill>
          </w14:textFill>
        </w:rPr>
        <w:t>。</w:t>
      </w:r>
      <w:r>
        <w:rPr>
          <w:rFonts w:hint="eastAsia" w:hAnsi="宋体" w:cs="宋体"/>
          <w:color w:val="000000" w:themeColor="text1"/>
          <w:highlight w:val="none"/>
          <w14:textFill>
            <w14:solidFill>
              <w14:schemeClr w14:val="tx1"/>
            </w14:solidFill>
          </w14:textFill>
        </w:rPr>
        <w:t>）</w:t>
      </w:r>
    </w:p>
    <w:p>
      <w:pPr>
        <w:pStyle w:val="20"/>
        <w:spacing w:line="400" w:lineRule="exact"/>
        <w:ind w:right="-126" w:rightChars="-60" w:firstLine="42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1、投标声明书；</w:t>
      </w:r>
    </w:p>
    <w:p>
      <w:pPr>
        <w:pStyle w:val="20"/>
        <w:spacing w:line="400" w:lineRule="exact"/>
        <w:ind w:firstLine="420"/>
        <w:rPr>
          <w:rFonts w:hAnsi="宋体" w:cs="宋体"/>
          <w:bCs/>
          <w:color w:val="000000" w:themeColor="text1"/>
          <w:highlight w:val="none"/>
          <w14:textFill>
            <w14:solidFill>
              <w14:schemeClr w14:val="tx1"/>
            </w14:solidFill>
          </w14:textFill>
        </w:rPr>
      </w:pPr>
      <w:r>
        <w:rPr>
          <w:rFonts w:hint="eastAsia" w:hAnsi="宋体" w:cs="宋体"/>
          <w:bCs/>
          <w:color w:val="000000" w:themeColor="text1"/>
          <w:highlight w:val="none"/>
          <w14:textFill>
            <w14:solidFill>
              <w14:schemeClr w14:val="tx1"/>
            </w14:solidFill>
          </w14:textFill>
        </w:rPr>
        <w:t>2、投标保证金声明或支票、汇票、本票、保函等非转账形式保证金证明复印件；</w:t>
      </w:r>
    </w:p>
    <w:p>
      <w:pPr>
        <w:pStyle w:val="20"/>
        <w:spacing w:line="400" w:lineRule="exact"/>
        <w:ind w:firstLine="420"/>
        <w:rPr>
          <w:rFonts w:hAnsi="宋体" w:cs="宋体"/>
          <w:bCs/>
          <w:color w:val="000000" w:themeColor="text1"/>
          <w:highlight w:val="none"/>
          <w14:textFill>
            <w14:solidFill>
              <w14:schemeClr w14:val="tx1"/>
            </w14:solidFill>
          </w14:textFill>
        </w:rPr>
      </w:pPr>
      <w:r>
        <w:rPr>
          <w:rFonts w:hint="eastAsia" w:hAnsi="宋体" w:cs="宋体"/>
          <w:bCs/>
          <w:color w:val="000000" w:themeColor="text1"/>
          <w:highlight w:val="none"/>
          <w14:textFill>
            <w14:solidFill>
              <w14:schemeClr w14:val="tx1"/>
            </w14:solidFill>
          </w14:textFill>
        </w:rPr>
        <w:t>3、购买招标文件证明复印件；</w:t>
      </w:r>
    </w:p>
    <w:p>
      <w:pPr>
        <w:pStyle w:val="20"/>
        <w:spacing w:line="400" w:lineRule="exact"/>
        <w:ind w:firstLine="420"/>
        <w:rPr>
          <w:rFonts w:hAnsi="宋体" w:cs="宋体"/>
          <w:bCs/>
          <w:color w:val="000000" w:themeColor="text1"/>
          <w:highlight w:val="none"/>
          <w14:textFill>
            <w14:solidFill>
              <w14:schemeClr w14:val="tx1"/>
            </w14:solidFill>
          </w14:textFill>
        </w:rPr>
      </w:pPr>
      <w:r>
        <w:rPr>
          <w:rFonts w:hint="eastAsia" w:hAnsi="宋体" w:cs="宋体"/>
          <w:bCs/>
          <w:color w:val="000000" w:themeColor="text1"/>
          <w:highlight w:val="none"/>
          <w14:textFill>
            <w14:solidFill>
              <w14:schemeClr w14:val="tx1"/>
            </w14:solidFill>
          </w14:textFill>
        </w:rPr>
        <w:t>4、法定代表人（或负责人）身份证明原件；</w:t>
      </w:r>
    </w:p>
    <w:p>
      <w:pPr>
        <w:pStyle w:val="20"/>
        <w:spacing w:line="400" w:lineRule="exact"/>
        <w:ind w:firstLine="420"/>
        <w:rPr>
          <w:rFonts w:hAnsi="宋体" w:cs="宋体"/>
          <w:bCs/>
          <w:color w:val="000000" w:themeColor="text1"/>
          <w:szCs w:val="21"/>
          <w:highlight w:val="none"/>
          <w14:textFill>
            <w14:solidFill>
              <w14:schemeClr w14:val="tx1"/>
            </w14:solidFill>
          </w14:textFill>
        </w:rPr>
      </w:pPr>
      <w:r>
        <w:rPr>
          <w:rFonts w:hint="eastAsia" w:hAnsi="宋体" w:cs="宋体"/>
          <w:bCs/>
          <w:color w:val="000000" w:themeColor="text1"/>
          <w:highlight w:val="none"/>
          <w14:textFill>
            <w14:solidFill>
              <w14:schemeClr w14:val="tx1"/>
            </w14:solidFill>
          </w14:textFill>
        </w:rPr>
        <w:t>5、法定代表人（</w:t>
      </w:r>
      <w:r>
        <w:rPr>
          <w:rFonts w:hint="eastAsia" w:hAnsi="宋体"/>
          <w:bCs/>
          <w:color w:val="000000" w:themeColor="text1"/>
          <w:highlight w:val="none"/>
          <w14:textFill>
            <w14:solidFill>
              <w14:schemeClr w14:val="tx1"/>
            </w14:solidFill>
          </w14:textFill>
        </w:rPr>
        <w:t>或负责人</w:t>
      </w:r>
      <w:r>
        <w:rPr>
          <w:rFonts w:hint="eastAsia" w:hAnsi="宋体" w:cs="宋体"/>
          <w:bCs/>
          <w:color w:val="000000" w:themeColor="text1"/>
          <w:highlight w:val="none"/>
          <w14:textFill>
            <w14:solidFill>
              <w14:schemeClr w14:val="tx1"/>
            </w14:solidFill>
          </w14:textFill>
        </w:rPr>
        <w:t>）授权委托书原件（如委托代理人参加投标时）；</w:t>
      </w:r>
    </w:p>
    <w:p>
      <w:pPr>
        <w:pStyle w:val="20"/>
        <w:spacing w:line="400" w:lineRule="exact"/>
        <w:ind w:left="718" w:leftChars="192" w:hanging="315" w:hangingChars="150"/>
        <w:rPr>
          <w:rFonts w:hint="eastAsia" w:hAnsi="宋体"/>
          <w:bCs/>
          <w:color w:val="000000" w:themeColor="text1"/>
          <w:highlight w:val="none"/>
          <w14:textFill>
            <w14:solidFill>
              <w14:schemeClr w14:val="tx1"/>
            </w14:solidFill>
          </w14:textFill>
        </w:rPr>
      </w:pPr>
      <w:r>
        <w:rPr>
          <w:rFonts w:hint="eastAsia" w:hAnsi="宋体" w:cs="宋体"/>
          <w:bCs/>
          <w:color w:val="000000" w:themeColor="text1"/>
          <w:highlight w:val="none"/>
          <w14:textFill>
            <w14:solidFill>
              <w14:schemeClr w14:val="tx1"/>
            </w14:solidFill>
          </w14:textFill>
        </w:rPr>
        <w:t>6、</w:t>
      </w:r>
      <w:r>
        <w:rPr>
          <w:rFonts w:hint="eastAsia" w:hAnsi="宋体"/>
          <w:bCs/>
          <w:color w:val="000000" w:themeColor="text1"/>
          <w:highlight w:val="none"/>
          <w14:textFill>
            <w14:solidFill>
              <w14:schemeClr w14:val="tx1"/>
            </w14:solidFill>
          </w14:textFill>
        </w:rPr>
        <w:t>投标人有效的营业执照正本或副本复印件或事业单位法人证书复印件（如投标人为事业单位）；</w:t>
      </w:r>
    </w:p>
    <w:p>
      <w:pPr>
        <w:snapToGrid w:val="0"/>
        <w:spacing w:line="400" w:lineRule="exact"/>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7、</w:t>
      </w:r>
      <w:r>
        <w:rPr>
          <w:rFonts w:hint="eastAsia" w:ascii="宋体" w:hAnsi="宋体" w:cs="宋体"/>
          <w:color w:val="000000" w:themeColor="text1"/>
          <w:szCs w:val="21"/>
          <w:highlight w:val="none"/>
          <w:lang w:eastAsia="zh-CN"/>
          <w14:textFill>
            <w14:solidFill>
              <w14:schemeClr w14:val="tx1"/>
            </w14:solidFill>
          </w14:textFill>
        </w:rPr>
        <w:t>2020年3月1日</w:t>
      </w:r>
      <w:r>
        <w:rPr>
          <w:rFonts w:hint="eastAsia" w:ascii="宋体" w:hAnsi="宋体" w:cs="宋体"/>
          <w:color w:val="000000" w:themeColor="text1"/>
          <w:szCs w:val="21"/>
          <w:highlight w:val="none"/>
          <w14:textFill>
            <w14:solidFill>
              <w14:schemeClr w14:val="tx1"/>
            </w14:solidFill>
          </w14:textFill>
        </w:rPr>
        <w:t>以来，投标人连续三个月（如属新成立的公司不足三个月的递交工商注册之月起的纳税证明）投标人依法缴纳税收（国税或地税）的凭证复印件（如税务机关开具的完税证、银行缴税付款凭证或缴款回单等；如为非税务机关开具的凭证或回单的，应清晰反映：付款人名称、帐号，征收机关名称，缴款金额，税种名称，所属时期等内容）。无纳税记录的，应提供投标人所在地的税务部门出具的《依法纳税或依法免税证明》复印件；</w:t>
      </w:r>
    </w:p>
    <w:p>
      <w:pPr>
        <w:pStyle w:val="20"/>
        <w:spacing w:line="400" w:lineRule="exact"/>
        <w:ind w:left="17" w:leftChars="8" w:firstLine="384" w:firstLineChars="183"/>
        <w:rPr>
          <w:rFonts w:hint="eastAsia" w:hAnsi="宋体"/>
          <w:bCs/>
          <w:color w:val="000000" w:themeColor="text1"/>
          <w:highlight w:val="none"/>
          <w14:textFill>
            <w14:solidFill>
              <w14:schemeClr w14:val="tx1"/>
            </w14:solidFill>
          </w14:textFill>
        </w:rPr>
      </w:pPr>
      <w:r>
        <w:rPr>
          <w:rFonts w:hint="eastAsia" w:hAnsi="宋体" w:cs="宋体"/>
          <w:color w:val="000000" w:themeColor="text1"/>
          <w:szCs w:val="21"/>
          <w:highlight w:val="none"/>
          <w:lang w:val="en-US" w:eastAsia="zh-CN"/>
          <w14:textFill>
            <w14:solidFill>
              <w14:schemeClr w14:val="tx1"/>
            </w14:solidFill>
          </w14:textFill>
        </w:rPr>
        <w:t>8、</w:t>
      </w:r>
      <w:r>
        <w:rPr>
          <w:rFonts w:hint="eastAsia" w:hAnsi="宋体" w:cs="宋体"/>
          <w:color w:val="000000" w:themeColor="text1"/>
          <w:szCs w:val="21"/>
          <w:highlight w:val="none"/>
          <w:lang w:eastAsia="zh-CN"/>
          <w14:textFill>
            <w14:solidFill>
              <w14:schemeClr w14:val="tx1"/>
            </w14:solidFill>
          </w14:textFill>
        </w:rPr>
        <w:t>2020年3月1日</w:t>
      </w:r>
      <w:r>
        <w:rPr>
          <w:rFonts w:hint="eastAsia" w:ascii="宋体" w:hAnsi="宋体" w:cs="宋体"/>
          <w:color w:val="000000" w:themeColor="text1"/>
          <w:szCs w:val="21"/>
          <w:highlight w:val="none"/>
          <w14:textFill>
            <w14:solidFill>
              <w14:schemeClr w14:val="tx1"/>
            </w14:solidFill>
          </w14:textFill>
        </w:rPr>
        <w:t>以来，投标人连续三个月(如属新成立的公司不足三个月的递交工商注册之月起的社保证明)投标人依法缴纳社会保障资金的凭证复印件（如社保部门开具的证明、收款收据等，或银行缴款凭证、回单等；如为非社保部门开具的凭证或回单的，应清晰反映：缴款单位名称、社保单位名称、保险险种名称、缴款金额等内容）。无缴费记录的，应提供投标人所在地社保部门出具的《依法缴纳或依法免缴社保费证明》复印件；</w:t>
      </w:r>
    </w:p>
    <w:p>
      <w:pPr>
        <w:pStyle w:val="20"/>
        <w:ind w:firstLine="420" w:firstLineChars="200"/>
        <w:rPr>
          <w:rFonts w:hAnsi="宋体" w:cs="宋体"/>
          <w:bCs/>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9</w:t>
      </w:r>
      <w:r>
        <w:rPr>
          <w:rFonts w:hint="eastAsia" w:hAnsi="宋体" w:cs="宋体"/>
          <w:bCs/>
          <w:color w:val="000000" w:themeColor="text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投标人201</w:t>
      </w:r>
      <w:r>
        <w:rPr>
          <w:rFonts w:hint="eastAsia" w:ascii="宋体" w:hAnsi="宋体" w:cs="宋体"/>
          <w:color w:val="000000" w:themeColor="text1"/>
          <w:szCs w:val="21"/>
          <w:highlight w:val="none"/>
          <w:lang w:val="en-US" w:eastAsia="zh-CN"/>
          <w14:textFill>
            <w14:solidFill>
              <w14:schemeClr w14:val="tx1"/>
            </w14:solidFill>
          </w14:textFill>
        </w:rPr>
        <w:t>9</w:t>
      </w:r>
      <w:r>
        <w:rPr>
          <w:rFonts w:hint="eastAsia" w:ascii="宋体" w:hAnsi="宋体" w:cs="宋体"/>
          <w:color w:val="000000" w:themeColor="text1"/>
          <w:szCs w:val="21"/>
          <w:highlight w:val="none"/>
          <w14:textFill>
            <w14:solidFill>
              <w14:schemeClr w14:val="tx1"/>
            </w14:solidFill>
          </w14:textFill>
        </w:rPr>
        <w:t>年度财务报表（至少包括利润损益表和资产负债表,新成立的公司按实际情况提供一个季度或一个月的财务报表）；</w:t>
      </w:r>
    </w:p>
    <w:p>
      <w:pPr>
        <w:pStyle w:val="20"/>
        <w:spacing w:line="400" w:lineRule="exact"/>
        <w:ind w:firstLine="422" w:firstLineChars="200"/>
        <w:rPr>
          <w:rFonts w:hAnsi="宋体" w:cs="宋体"/>
          <w:b/>
          <w:color w:val="000000" w:themeColor="text1"/>
          <w:szCs w:val="21"/>
          <w:highlight w:val="none"/>
          <w14:textFill>
            <w14:solidFill>
              <w14:schemeClr w14:val="tx1"/>
            </w14:solidFill>
          </w14:textFill>
        </w:rPr>
      </w:pPr>
      <w:r>
        <w:rPr>
          <w:rFonts w:hint="eastAsia" w:hAnsi="宋体" w:cs="宋体"/>
          <w:b/>
          <w:color w:val="000000" w:themeColor="text1"/>
          <w:szCs w:val="21"/>
          <w:highlight w:val="none"/>
          <w14:textFill>
            <w14:solidFill>
              <w14:schemeClr w14:val="tx1"/>
            </w14:solidFill>
          </w14:textFill>
        </w:rPr>
        <w:t>三、商务文件</w:t>
      </w:r>
      <w:r>
        <w:rPr>
          <w:rFonts w:hint="eastAsia" w:hAnsi="宋体" w:cs="宋体"/>
          <w:color w:val="000000" w:themeColor="text1"/>
          <w:szCs w:val="21"/>
          <w:highlight w:val="none"/>
          <w14:textFill>
            <w14:solidFill>
              <w14:schemeClr w14:val="tx1"/>
            </w14:solidFill>
          </w14:textFill>
        </w:rPr>
        <w:t>（第1～2项为必须提供）</w:t>
      </w:r>
    </w:p>
    <w:p>
      <w:pPr>
        <w:pStyle w:val="20"/>
        <w:spacing w:line="400" w:lineRule="exact"/>
        <w:ind w:firstLine="42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1、商务条款响应表</w:t>
      </w:r>
    </w:p>
    <w:p>
      <w:pPr>
        <w:snapToGrid w:val="0"/>
        <w:spacing w:line="400" w:lineRule="exact"/>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2、售后服务方案（投标人根据本项目要求及自己的实际情况自行编写，内容包括质保期、本地化服务、技术培训及指导、负责售后维修的主管人员情况、解决故障的响应时间等）</w:t>
      </w:r>
    </w:p>
    <w:p>
      <w:pPr>
        <w:snapToGrid w:val="0"/>
        <w:spacing w:line="400" w:lineRule="exact"/>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3、投标人符合政府采购政策加分条件证明材料（如有，请提供）</w:t>
      </w:r>
    </w:p>
    <w:p>
      <w:pPr>
        <w:snapToGrid w:val="0"/>
        <w:spacing w:line="400" w:lineRule="exact"/>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4、投标人</w:t>
      </w:r>
      <w:r>
        <w:rPr>
          <w:rFonts w:hint="eastAsia" w:ascii="宋体" w:hAnsi="宋体" w:cs="宋体"/>
          <w:color w:val="000000" w:themeColor="text1"/>
          <w:highlight w:val="none"/>
          <w14:textFill>
            <w14:solidFill>
              <w14:schemeClr w14:val="tx1"/>
            </w14:solidFill>
          </w14:textFill>
        </w:rPr>
        <w:t>认为需要提供的其它资料</w:t>
      </w:r>
      <w:r>
        <w:rPr>
          <w:rFonts w:hint="eastAsia" w:ascii="宋体" w:hAnsi="宋体" w:cs="宋体"/>
          <w:color w:val="000000" w:themeColor="text1"/>
          <w:szCs w:val="21"/>
          <w:highlight w:val="none"/>
          <w14:textFill>
            <w14:solidFill>
              <w14:schemeClr w14:val="tx1"/>
            </w14:solidFill>
          </w14:textFill>
        </w:rPr>
        <w:t>（如有，由投标人根据自己实际情况提供）</w:t>
      </w:r>
    </w:p>
    <w:p>
      <w:pPr>
        <w:pStyle w:val="20"/>
        <w:spacing w:line="400" w:lineRule="exact"/>
        <w:ind w:firstLine="422" w:firstLineChars="200"/>
        <w:rPr>
          <w:rFonts w:hAnsi="宋体" w:cs="宋体"/>
          <w:b/>
          <w:color w:val="000000" w:themeColor="text1"/>
          <w:szCs w:val="21"/>
          <w:highlight w:val="none"/>
          <w14:textFill>
            <w14:solidFill>
              <w14:schemeClr w14:val="tx1"/>
            </w14:solidFill>
          </w14:textFill>
        </w:rPr>
      </w:pPr>
      <w:r>
        <w:rPr>
          <w:rFonts w:hint="eastAsia" w:hAnsi="宋体" w:cs="宋体"/>
          <w:b/>
          <w:color w:val="000000" w:themeColor="text1"/>
          <w:szCs w:val="21"/>
          <w:highlight w:val="none"/>
          <w14:textFill>
            <w14:solidFill>
              <w14:schemeClr w14:val="tx1"/>
            </w14:solidFill>
          </w14:textFill>
        </w:rPr>
        <w:t>四、技术文件</w:t>
      </w:r>
      <w:r>
        <w:rPr>
          <w:rFonts w:hint="eastAsia" w:hAnsi="宋体" w:cs="宋体"/>
          <w:color w:val="000000" w:themeColor="text1"/>
          <w:szCs w:val="21"/>
          <w:highlight w:val="none"/>
          <w14:textFill>
            <w14:solidFill>
              <w14:schemeClr w14:val="tx1"/>
            </w14:solidFill>
          </w14:textFill>
        </w:rPr>
        <w:t>（第1～2项为必须提供，其他根据采购要求提供）</w:t>
      </w:r>
    </w:p>
    <w:p>
      <w:pPr>
        <w:pStyle w:val="20"/>
        <w:spacing w:line="400" w:lineRule="exact"/>
        <w:ind w:left="840" w:leftChars="200" w:hanging="420" w:hanging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1、技术要求响应表</w:t>
      </w:r>
    </w:p>
    <w:p>
      <w:pPr>
        <w:pStyle w:val="20"/>
        <w:spacing w:line="400" w:lineRule="exact"/>
        <w:ind w:left="840" w:leftChars="200" w:hanging="420" w:hanging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2、产品配置清单（均不含报价）</w:t>
      </w:r>
    </w:p>
    <w:p>
      <w:pPr>
        <w:pStyle w:val="20"/>
        <w:spacing w:line="400" w:lineRule="exact"/>
        <w:ind w:firstLine="42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3、</w:t>
      </w:r>
      <w:r>
        <w:rPr>
          <w:rFonts w:hint="eastAsia" w:hAnsi="宋体" w:cs="宋体"/>
          <w:bCs/>
          <w:color w:val="000000" w:themeColor="text1"/>
          <w:kern w:val="0"/>
          <w:szCs w:val="21"/>
          <w:highlight w:val="none"/>
          <w14:textFill>
            <w14:solidFill>
              <w14:schemeClr w14:val="tx1"/>
            </w14:solidFill>
          </w14:textFill>
        </w:rPr>
        <w:t>证明货物和手续合格性的证明文件：</w:t>
      </w:r>
      <w:r>
        <w:rPr>
          <w:rFonts w:hint="eastAsia" w:hAnsi="宋体" w:cs="宋体"/>
          <w:color w:val="000000" w:themeColor="text1"/>
          <w:highlight w:val="none"/>
          <w14:textFill>
            <w14:solidFill>
              <w14:schemeClr w14:val="tx1"/>
            </w14:solidFill>
          </w14:textFill>
        </w:rPr>
        <w:t>生产、销售许可证（如国家实行强制性要求的）；产品样本、使用保养说明书、图纸、货物制造检测标准等技术资料；产品注册证、产品认证、检测报告、鉴定证书、</w:t>
      </w:r>
      <w:r>
        <w:rPr>
          <w:rFonts w:hint="eastAsia" w:hAnsi="宋体" w:cs="宋体"/>
          <w:bCs/>
          <w:color w:val="000000" w:themeColor="text1"/>
          <w:highlight w:val="none"/>
          <w14:textFill>
            <w14:solidFill>
              <w14:schemeClr w14:val="tx1"/>
            </w14:solidFill>
          </w14:textFill>
        </w:rPr>
        <w:t>进口产品合法进口手续证明、</w:t>
      </w:r>
      <w:r>
        <w:rPr>
          <w:rFonts w:hint="eastAsia" w:hAnsi="宋体" w:cs="宋体"/>
          <w:color w:val="000000" w:themeColor="text1"/>
          <w:highlight w:val="none"/>
          <w14:textFill>
            <w14:solidFill>
              <w14:schemeClr w14:val="tx1"/>
            </w14:solidFill>
          </w14:textFill>
        </w:rPr>
        <w:t>产品获奖证书等。</w:t>
      </w:r>
    </w:p>
    <w:p>
      <w:pPr>
        <w:pStyle w:val="20"/>
        <w:spacing w:line="400" w:lineRule="exact"/>
        <w:ind w:left="840" w:leftChars="200" w:hanging="420" w:hanging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w:t>
      </w:r>
      <w:r>
        <w:rPr>
          <w:rFonts w:hint="eastAsia" w:hAnsi="宋体" w:cs="宋体"/>
          <w:color w:val="000000" w:themeColor="text1"/>
          <w:szCs w:val="21"/>
          <w:highlight w:val="none"/>
          <w14:textFill>
            <w14:solidFill>
              <w14:schemeClr w14:val="tx1"/>
            </w14:solidFill>
          </w14:textFill>
        </w:rPr>
        <w:t>、投标人</w:t>
      </w:r>
      <w:r>
        <w:rPr>
          <w:rFonts w:hint="eastAsia" w:hAnsi="宋体" w:cs="宋体"/>
          <w:color w:val="000000" w:themeColor="text1"/>
          <w:highlight w:val="none"/>
          <w14:textFill>
            <w14:solidFill>
              <w14:schemeClr w14:val="tx1"/>
            </w14:solidFill>
          </w14:textFill>
        </w:rPr>
        <w:t>认为需要提供的其它资料</w:t>
      </w:r>
      <w:r>
        <w:rPr>
          <w:rFonts w:hint="eastAsia" w:hAnsi="宋体" w:cs="宋体"/>
          <w:color w:val="000000" w:themeColor="text1"/>
          <w:szCs w:val="21"/>
          <w:highlight w:val="none"/>
          <w14:textFill>
            <w14:solidFill>
              <w14:schemeClr w14:val="tx1"/>
            </w14:solidFill>
          </w14:textFill>
        </w:rPr>
        <w:t>（如有，由投标人根据自己实际情况提供）</w:t>
      </w:r>
    </w:p>
    <w:p>
      <w:pPr>
        <w:pStyle w:val="20"/>
        <w:spacing w:line="400" w:lineRule="exact"/>
        <w:ind w:hanging="5"/>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9.2投标人应完整、真实、准确的填写招标文件中规定的所有内容，对投标文件所提供的全部资料的真实性承担法律责任，并无条件接受招标采购单位及政府采购监督管理部门等对其中任何资料进行核实的要求。</w:t>
      </w:r>
    </w:p>
    <w:p>
      <w:pPr>
        <w:pStyle w:val="20"/>
        <w:spacing w:line="400" w:lineRule="exact"/>
        <w:ind w:hanging="5"/>
        <w:rPr>
          <w:rFonts w:hAnsi="宋体" w:cs="宋体"/>
          <w:b/>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9.3如果因为投标人投标文件填报的内容不详，或没有提供招标文件中所要求的全部资料及数据，由此造成的后果，其责任由投标人承担。</w:t>
      </w:r>
    </w:p>
    <w:p>
      <w:pPr>
        <w:pStyle w:val="4"/>
        <w:spacing w:before="0" w:after="0" w:line="400" w:lineRule="exact"/>
        <w:rPr>
          <w:rFonts w:ascii="宋体" w:hAnsi="宋体" w:eastAsia="宋体" w:cs="宋体"/>
          <w:color w:val="000000" w:themeColor="text1"/>
          <w:sz w:val="21"/>
          <w:szCs w:val="21"/>
          <w:highlight w:val="none"/>
          <w14:textFill>
            <w14:solidFill>
              <w14:schemeClr w14:val="tx1"/>
            </w14:solidFill>
          </w14:textFill>
        </w:rPr>
      </w:pPr>
      <w:bookmarkStart w:id="113" w:name="_Toc469874175"/>
      <w:bookmarkStart w:id="114" w:name="_Toc200268247"/>
      <w:bookmarkStart w:id="115" w:name="_Toc185702557"/>
      <w:bookmarkStart w:id="116" w:name="_Toc405942983"/>
      <w:bookmarkStart w:id="117" w:name="_Toc395066525"/>
      <w:r>
        <w:rPr>
          <w:rFonts w:hint="eastAsia" w:ascii="宋体" w:hAnsi="宋体" w:eastAsia="宋体" w:cs="宋体"/>
          <w:color w:val="000000" w:themeColor="text1"/>
          <w:sz w:val="21"/>
          <w:szCs w:val="21"/>
          <w:highlight w:val="none"/>
          <w14:textFill>
            <w14:solidFill>
              <w14:schemeClr w14:val="tx1"/>
            </w14:solidFill>
          </w14:textFill>
        </w:rPr>
        <w:t>10、</w:t>
      </w:r>
      <w:bookmarkEnd w:id="113"/>
      <w:bookmarkEnd w:id="114"/>
      <w:bookmarkEnd w:id="115"/>
      <w:bookmarkEnd w:id="116"/>
      <w:bookmarkEnd w:id="117"/>
      <w:r>
        <w:rPr>
          <w:rFonts w:hint="eastAsia" w:ascii="宋体" w:hAnsi="宋体" w:eastAsia="宋体" w:cs="宋体"/>
          <w:color w:val="000000" w:themeColor="text1"/>
          <w:sz w:val="21"/>
          <w:szCs w:val="21"/>
          <w:highlight w:val="none"/>
          <w14:textFill>
            <w14:solidFill>
              <w14:schemeClr w14:val="tx1"/>
            </w14:solidFill>
          </w14:textFill>
        </w:rPr>
        <w:t>投标文件编制要求</w:t>
      </w:r>
    </w:p>
    <w:p>
      <w:pPr>
        <w:pStyle w:val="20"/>
        <w:spacing w:line="400" w:lineRule="exact"/>
        <w:ind w:left="420" w:hanging="420" w:hangingChars="200"/>
        <w:rPr>
          <w:rFonts w:hAnsi="宋体" w:cs="宋体"/>
          <w:color w:val="000000" w:themeColor="text1"/>
          <w:highlight w:val="none"/>
          <w14:textFill>
            <w14:solidFill>
              <w14:schemeClr w14:val="tx1"/>
            </w14:solidFill>
          </w14:textFill>
        </w:rPr>
      </w:pPr>
      <w:bookmarkStart w:id="118" w:name="_Toc185702558"/>
      <w:r>
        <w:rPr>
          <w:rFonts w:hint="eastAsia" w:hAnsi="宋体" w:cs="宋体"/>
          <w:color w:val="000000" w:themeColor="text1"/>
          <w:highlight w:val="none"/>
          <w14:textFill>
            <w14:solidFill>
              <w14:schemeClr w14:val="tx1"/>
            </w14:solidFill>
          </w14:textFill>
        </w:rPr>
        <w:t>10.1投标人应当按照招标文件的要求编制投标文件。投标文件应当对招标文件提出的要求和条件作出明确响应。</w:t>
      </w:r>
    </w:p>
    <w:p>
      <w:pPr>
        <w:pStyle w:val="20"/>
        <w:spacing w:line="400" w:lineRule="exact"/>
        <w:ind w:left="420" w:hanging="420" w:hangingChars="200"/>
        <w:rPr>
          <w:rFonts w:hAnsi="宋体" w:cs="宋体"/>
          <w:color w:val="000000" w:themeColor="text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w:t>
      </w:r>
      <w:r>
        <w:rPr>
          <w:rFonts w:hint="eastAsia" w:hAnsi="宋体" w:cs="宋体"/>
          <w:color w:val="000000" w:themeColor="text1"/>
          <w:highlight w:val="none"/>
          <w14:textFill>
            <w14:solidFill>
              <w14:schemeClr w14:val="tx1"/>
            </w14:solidFill>
          </w14:textFill>
        </w:rPr>
        <w:t>10.2投标</w:t>
      </w:r>
      <w:r>
        <w:rPr>
          <w:rFonts w:hint="eastAsia" w:hAnsi="宋体" w:cs="宋体"/>
          <w:color w:val="000000" w:themeColor="text1"/>
          <w:szCs w:val="21"/>
          <w:highlight w:val="none"/>
          <w14:textFill>
            <w14:solidFill>
              <w14:schemeClr w14:val="tx1"/>
            </w14:solidFill>
          </w14:textFill>
        </w:rPr>
        <w:t>文件</w:t>
      </w:r>
      <w:r>
        <w:rPr>
          <w:rFonts w:hint="eastAsia" w:hAnsi="宋体" w:cs="宋体"/>
          <w:color w:val="000000" w:themeColor="text1"/>
          <w:highlight w:val="none"/>
          <w14:textFill>
            <w14:solidFill>
              <w14:schemeClr w14:val="tx1"/>
            </w14:solidFill>
          </w14:textFill>
        </w:rPr>
        <w:t>的份数：见本章须知前附表第6项规定。投标文件的封面应注明“正本”、“副本”字样。</w:t>
      </w:r>
    </w:p>
    <w:p>
      <w:pPr>
        <w:pStyle w:val="20"/>
        <w:spacing w:line="400" w:lineRule="exact"/>
        <w:ind w:left="525" w:hanging="525" w:hangingChars="25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 xml:space="preserve">   投标文件电子版：投标人在递交投标文件时同时递交投标文件电子版。</w:t>
      </w:r>
    </w:p>
    <w:p>
      <w:pPr>
        <w:pStyle w:val="20"/>
        <w:spacing w:line="400" w:lineRule="exact"/>
        <w:ind w:left="525" w:leftChars="200" w:hanging="105" w:hangingChars="5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①投标文件电子版内容：报价文件、资格资信证明文件、商务文件、技术文件。</w:t>
      </w:r>
    </w:p>
    <w:p>
      <w:pPr>
        <w:pStyle w:val="20"/>
        <w:spacing w:line="400" w:lineRule="exact"/>
        <w:ind w:left="525" w:leftChars="200" w:hanging="105" w:hangingChars="5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②投标文件电子版份数：1份。</w:t>
      </w:r>
    </w:p>
    <w:p>
      <w:pPr>
        <w:pStyle w:val="20"/>
        <w:spacing w:line="400" w:lineRule="exact"/>
        <w:ind w:left="525" w:leftChars="200" w:hanging="105" w:hangingChars="5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③投标文件电子版形式：可编辑的word文档格式。</w:t>
      </w:r>
    </w:p>
    <w:p>
      <w:pPr>
        <w:pStyle w:val="20"/>
        <w:spacing w:line="400" w:lineRule="exact"/>
        <w:ind w:left="525" w:leftChars="200" w:hanging="105" w:hangingChars="5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④投标文件电子版密封形式：投标文件电子版U盘与投标文件纸质版文件一并装入投标文件袋内。</w:t>
      </w:r>
    </w:p>
    <w:p>
      <w:pPr>
        <w:pStyle w:val="20"/>
        <w:spacing w:line="400" w:lineRule="exact"/>
        <w:ind w:left="525" w:hanging="525" w:hangingChars="25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10.3投标文件正本、副本以胶装方式装订成册。</w:t>
      </w:r>
    </w:p>
    <w:p>
      <w:pPr>
        <w:pStyle w:val="20"/>
        <w:spacing w:line="400" w:lineRule="exact"/>
        <w:ind w:left="420" w:hanging="420" w:hanging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10.4投标人应编制完整的页码、目录。投标文件正本必须打印或用不褪色的墨水填写。副本可以为正本的复印件，正本与副本</w:t>
      </w:r>
      <w:r>
        <w:rPr>
          <w:rFonts w:hint="eastAsia" w:hAnsi="宋体" w:cs="宋体"/>
          <w:color w:val="000000" w:themeColor="text1"/>
          <w:szCs w:val="21"/>
          <w:highlight w:val="none"/>
          <w14:textFill>
            <w14:solidFill>
              <w14:schemeClr w14:val="tx1"/>
            </w14:solidFill>
          </w14:textFill>
        </w:rPr>
        <w:t>不一致时，以正本为准。</w:t>
      </w:r>
    </w:p>
    <w:p>
      <w:pPr>
        <w:pStyle w:val="20"/>
        <w:spacing w:line="400" w:lineRule="exact"/>
        <w:ind w:left="420" w:hanging="420" w:hangingChars="200"/>
        <w:rPr>
          <w:rFonts w:hAnsi="宋体" w:cs="宋体"/>
          <w:color w:val="000000" w:themeColor="text1"/>
          <w:spacing w:val="-4"/>
          <w:szCs w:val="2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10</w:t>
      </w:r>
      <w:r>
        <w:rPr>
          <w:rFonts w:hint="eastAsia" w:hAnsi="宋体" w:cs="宋体"/>
          <w:color w:val="000000" w:themeColor="text1"/>
          <w:spacing w:val="-4"/>
          <w:szCs w:val="21"/>
          <w:highlight w:val="none"/>
          <w14:textFill>
            <w14:solidFill>
              <w14:schemeClr w14:val="tx1"/>
            </w14:solidFill>
          </w14:textFill>
        </w:rPr>
        <w:t>.5</w:t>
      </w:r>
      <w:r>
        <w:rPr>
          <w:rFonts w:hint="eastAsia" w:hAnsi="宋体" w:cs="宋体"/>
          <w:color w:val="000000" w:themeColor="text1"/>
          <w:szCs w:val="21"/>
          <w:highlight w:val="none"/>
          <w14:textFill>
            <w14:solidFill>
              <w14:schemeClr w14:val="tx1"/>
            </w14:solidFill>
          </w14:textFill>
        </w:rPr>
        <w:t>投标文件须由投标人在规定位置盖章并由法定代表人（</w:t>
      </w:r>
      <w:r>
        <w:rPr>
          <w:rFonts w:hint="eastAsia" w:hAnsi="宋体"/>
          <w:bCs/>
          <w:color w:val="000000" w:themeColor="text1"/>
          <w:highlight w:val="none"/>
          <w14:textFill>
            <w14:solidFill>
              <w14:schemeClr w14:val="tx1"/>
            </w14:solidFill>
          </w14:textFill>
        </w:rPr>
        <w:t>或负责人</w:t>
      </w:r>
      <w:r>
        <w:rPr>
          <w:rFonts w:hint="eastAsia" w:hAnsi="宋体" w:cs="宋体"/>
          <w:color w:val="000000" w:themeColor="text1"/>
          <w:szCs w:val="21"/>
          <w:highlight w:val="none"/>
          <w14:textFill>
            <w14:solidFill>
              <w14:schemeClr w14:val="tx1"/>
            </w14:solidFill>
          </w14:textFill>
        </w:rPr>
        <w:t>）或法定代表人（</w:t>
      </w:r>
      <w:r>
        <w:rPr>
          <w:rFonts w:hint="eastAsia" w:hAnsi="宋体"/>
          <w:bCs/>
          <w:color w:val="000000" w:themeColor="text1"/>
          <w:highlight w:val="none"/>
          <w14:textFill>
            <w14:solidFill>
              <w14:schemeClr w14:val="tx1"/>
            </w14:solidFill>
          </w14:textFill>
        </w:rPr>
        <w:t>或负责人</w:t>
      </w:r>
      <w:r>
        <w:rPr>
          <w:rFonts w:hint="eastAsia" w:hAnsi="宋体" w:cs="宋体"/>
          <w:color w:val="000000" w:themeColor="text1"/>
          <w:szCs w:val="21"/>
          <w:highlight w:val="none"/>
          <w14:textFill>
            <w14:solidFill>
              <w14:schemeClr w14:val="tx1"/>
            </w14:solidFill>
          </w14:textFill>
        </w:rPr>
        <w:t>）的授权委托人签署，投标人应写全称。</w:t>
      </w:r>
    </w:p>
    <w:p>
      <w:pPr>
        <w:pStyle w:val="20"/>
        <w:spacing w:line="400" w:lineRule="exact"/>
        <w:ind w:left="420" w:hanging="420" w:hanging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10.6</w:t>
      </w:r>
      <w:r>
        <w:rPr>
          <w:rFonts w:hint="eastAsia" w:hAnsi="宋体" w:cs="宋体"/>
          <w:color w:val="000000" w:themeColor="text1"/>
          <w:szCs w:val="21"/>
          <w:highlight w:val="none"/>
          <w14:textFill>
            <w14:solidFill>
              <w14:schemeClr w14:val="tx1"/>
            </w14:solidFill>
          </w14:textFill>
        </w:rPr>
        <w:t>投标文件不得涂改，若有修改错漏处，须加盖投标人公章或者法定代表人（</w:t>
      </w:r>
      <w:r>
        <w:rPr>
          <w:rFonts w:hint="eastAsia" w:hAnsi="宋体"/>
          <w:bCs/>
          <w:color w:val="000000" w:themeColor="text1"/>
          <w:highlight w:val="none"/>
          <w14:textFill>
            <w14:solidFill>
              <w14:schemeClr w14:val="tx1"/>
            </w14:solidFill>
          </w14:textFill>
        </w:rPr>
        <w:t>或负责人</w:t>
      </w:r>
      <w:r>
        <w:rPr>
          <w:rFonts w:hint="eastAsia" w:hAnsi="宋体" w:cs="宋体"/>
          <w:color w:val="000000" w:themeColor="text1"/>
          <w:szCs w:val="21"/>
          <w:highlight w:val="none"/>
          <w14:textFill>
            <w14:solidFill>
              <w14:schemeClr w14:val="tx1"/>
            </w14:solidFill>
          </w14:textFill>
        </w:rPr>
        <w:t>）或授权委托人签字。投标文件未按要求填写所引起的投标无效由投标人负责。</w:t>
      </w:r>
    </w:p>
    <w:p>
      <w:pPr>
        <w:pStyle w:val="20"/>
        <w:spacing w:line="390" w:lineRule="exact"/>
        <w:ind w:left="420" w:hanging="420" w:hanging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10.7</w:t>
      </w:r>
      <w:r>
        <w:rPr>
          <w:rFonts w:hint="eastAsia" w:hAnsi="宋体" w:cs="宋体"/>
          <w:color w:val="000000" w:themeColor="text1"/>
          <w:szCs w:val="21"/>
          <w:highlight w:val="none"/>
          <w14:textFill>
            <w14:solidFill>
              <w14:schemeClr w14:val="tx1"/>
            </w14:solidFill>
          </w14:textFill>
        </w:rPr>
        <w:t>投标文件内容不完整、漏读或者查找不到相关内容导致投标文件被视为无效的后果由投标人自行负责。</w:t>
      </w:r>
    </w:p>
    <w:p>
      <w:pPr>
        <w:pStyle w:val="4"/>
        <w:spacing w:before="0" w:after="0" w:line="400" w:lineRule="exact"/>
        <w:rPr>
          <w:rFonts w:ascii="宋体" w:hAnsi="宋体" w:eastAsia="宋体" w:cs="宋体"/>
          <w:color w:val="000000" w:themeColor="text1"/>
          <w:sz w:val="21"/>
          <w:szCs w:val="21"/>
          <w:highlight w:val="none"/>
          <w14:textFill>
            <w14:solidFill>
              <w14:schemeClr w14:val="tx1"/>
            </w14:solidFill>
          </w14:textFill>
        </w:rPr>
      </w:pPr>
      <w:bookmarkStart w:id="119" w:name="_Toc469874176"/>
      <w:bookmarkStart w:id="120" w:name="_Toc405942984"/>
      <w:bookmarkStart w:id="121" w:name="_Toc395066526"/>
      <w:bookmarkStart w:id="122" w:name="_Toc200268248"/>
      <w:r>
        <w:rPr>
          <w:rFonts w:hint="eastAsia" w:ascii="宋体" w:hAnsi="宋体" w:eastAsia="宋体" w:cs="宋体"/>
          <w:color w:val="000000" w:themeColor="text1"/>
          <w:sz w:val="21"/>
          <w:szCs w:val="21"/>
          <w:highlight w:val="none"/>
          <w14:textFill>
            <w14:solidFill>
              <w14:schemeClr w14:val="tx1"/>
            </w14:solidFill>
          </w14:textFill>
        </w:rPr>
        <w:t>11、</w:t>
      </w:r>
      <w:bookmarkEnd w:id="118"/>
      <w:bookmarkEnd w:id="119"/>
      <w:bookmarkEnd w:id="120"/>
      <w:bookmarkEnd w:id="121"/>
      <w:bookmarkEnd w:id="122"/>
      <w:r>
        <w:rPr>
          <w:rFonts w:hint="eastAsia" w:ascii="宋体" w:hAnsi="宋体" w:eastAsia="宋体" w:cs="宋体"/>
          <w:color w:val="000000" w:themeColor="text1"/>
          <w:sz w:val="21"/>
          <w:szCs w:val="21"/>
          <w:highlight w:val="none"/>
          <w14:textFill>
            <w14:solidFill>
              <w14:schemeClr w14:val="tx1"/>
            </w14:solidFill>
          </w14:textFill>
        </w:rPr>
        <w:t>投标文件的语言及计量单位</w:t>
      </w:r>
    </w:p>
    <w:p>
      <w:pPr>
        <w:pStyle w:val="20"/>
        <w:spacing w:line="400" w:lineRule="exact"/>
        <w:ind w:left="420" w:hanging="420" w:hangingChars="200"/>
        <w:rPr>
          <w:rFonts w:hAnsi="宋体" w:cs="宋体"/>
          <w:color w:val="000000" w:themeColor="text1"/>
          <w:highlight w:val="none"/>
          <w14:textFill>
            <w14:solidFill>
              <w14:schemeClr w14:val="tx1"/>
            </w14:solidFill>
          </w14:textFill>
        </w:rPr>
      </w:pPr>
      <w:bookmarkStart w:id="123" w:name="_Toc200268249"/>
      <w:bookmarkStart w:id="124" w:name="_Toc185702559"/>
      <w:r>
        <w:rPr>
          <w:rFonts w:hint="eastAsia" w:hAnsi="宋体"/>
          <w:color w:val="000000" w:themeColor="text1"/>
          <w:szCs w:val="21"/>
          <w:highlight w:val="none"/>
          <w14:textFill>
            <w14:solidFill>
              <w14:schemeClr w14:val="tx1"/>
            </w14:solidFill>
          </w14:textFill>
        </w:rPr>
        <w:t>▲</w:t>
      </w:r>
      <w:r>
        <w:rPr>
          <w:rFonts w:hint="eastAsia" w:hAnsi="宋体" w:cs="宋体"/>
          <w:color w:val="000000" w:themeColor="text1"/>
          <w:highlight w:val="none"/>
          <w14:textFill>
            <w14:solidFill>
              <w14:schemeClr w14:val="tx1"/>
            </w14:solidFill>
          </w14:textFill>
        </w:rPr>
        <w:t>11.1语言。投标人提交的投标文件以及投标人与采购人、采购代理机构就有关投标的所有来往函电，</w:t>
      </w:r>
      <w:r>
        <w:rPr>
          <w:rFonts w:hint="eastAsia" w:hAnsi="宋体" w:cs="宋体"/>
          <w:color w:val="000000" w:themeColor="text1"/>
          <w:szCs w:val="21"/>
          <w:highlight w:val="none"/>
          <w14:textFill>
            <w14:solidFill>
              <w14:schemeClr w14:val="tx1"/>
            </w14:solidFill>
          </w14:textFill>
        </w:rPr>
        <w:t>均应以中文汉语书写。</w:t>
      </w:r>
      <w:r>
        <w:rPr>
          <w:rFonts w:hint="eastAsia" w:hAnsi="宋体" w:cs="宋体"/>
          <w:color w:val="000000" w:themeColor="text1"/>
          <w:highlight w:val="none"/>
          <w14:textFill>
            <w14:solidFill>
              <w14:schemeClr w14:val="tx1"/>
            </w14:solidFill>
          </w14:textFill>
        </w:rPr>
        <w:t>除签名、盖章、专用名称等特殊情形外，以中文汉语以外的文字表述的投标文件视同未提供。</w:t>
      </w:r>
    </w:p>
    <w:p>
      <w:pPr>
        <w:pStyle w:val="20"/>
        <w:spacing w:line="380" w:lineRule="exact"/>
        <w:ind w:left="525" w:hanging="525" w:hangingChars="250"/>
        <w:rPr>
          <w:rFonts w:hAnsi="宋体" w:cs="宋体"/>
          <w:color w:val="000000" w:themeColor="text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w:t>
      </w:r>
      <w:r>
        <w:rPr>
          <w:rFonts w:hint="eastAsia" w:hAnsi="宋体" w:cs="宋体"/>
          <w:color w:val="000000" w:themeColor="text1"/>
          <w:highlight w:val="none"/>
          <w14:textFill>
            <w14:solidFill>
              <w14:schemeClr w14:val="tx1"/>
            </w14:solidFill>
          </w14:textFill>
        </w:rPr>
        <w:t>11.2</w:t>
      </w:r>
      <w:r>
        <w:rPr>
          <w:rFonts w:hint="eastAsia" w:hAnsi="宋体" w:cs="宋体"/>
          <w:color w:val="000000" w:themeColor="text1"/>
          <w:szCs w:val="21"/>
          <w:highlight w:val="none"/>
          <w14:textFill>
            <w14:solidFill>
              <w14:schemeClr w14:val="tx1"/>
            </w14:solidFill>
          </w14:textFill>
        </w:rPr>
        <w:t>计量单位。招标文件已有明确规定的，投标使用招标文件规定的计量单位；招标文件没有规定的，应采用中华人民共和国法定计量单位，否则视为无效投标。</w:t>
      </w:r>
    </w:p>
    <w:bookmarkEnd w:id="123"/>
    <w:bookmarkEnd w:id="124"/>
    <w:p>
      <w:pPr>
        <w:pStyle w:val="4"/>
        <w:spacing w:before="0" w:after="0" w:line="400" w:lineRule="exact"/>
        <w:rPr>
          <w:rFonts w:ascii="宋体" w:hAnsi="宋体" w:eastAsia="宋体" w:cs="宋体"/>
          <w:color w:val="000000" w:themeColor="text1"/>
          <w:sz w:val="21"/>
          <w:szCs w:val="21"/>
          <w:highlight w:val="none"/>
          <w14:textFill>
            <w14:solidFill>
              <w14:schemeClr w14:val="tx1"/>
            </w14:solidFill>
          </w14:textFill>
        </w:rPr>
      </w:pPr>
      <w:bookmarkStart w:id="125" w:name="_Toc185702560"/>
      <w:bookmarkStart w:id="126" w:name="_Toc200268250"/>
      <w:bookmarkStart w:id="127" w:name="_Toc469874177"/>
      <w:bookmarkStart w:id="128" w:name="_Toc405942986"/>
      <w:bookmarkStart w:id="129" w:name="_Toc395066528"/>
      <w:r>
        <w:rPr>
          <w:rFonts w:hint="eastAsia" w:hAnsi="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12、投标报价</w:t>
      </w:r>
      <w:bookmarkEnd w:id="125"/>
      <w:bookmarkEnd w:id="126"/>
      <w:bookmarkEnd w:id="127"/>
      <w:bookmarkEnd w:id="128"/>
      <w:bookmarkEnd w:id="129"/>
    </w:p>
    <w:p>
      <w:pPr>
        <w:pStyle w:val="20"/>
        <w:spacing w:line="400" w:lineRule="exact"/>
        <w:ind w:left="525" w:hanging="525" w:hangingChars="250"/>
        <w:rPr>
          <w:rFonts w:hAnsi="宋体" w:cs="宋体"/>
          <w:color w:val="000000" w:themeColor="text1"/>
          <w:szCs w:val="21"/>
          <w:highlight w:val="none"/>
          <w14:textFill>
            <w14:solidFill>
              <w14:schemeClr w14:val="tx1"/>
            </w14:solidFill>
          </w14:textFill>
        </w:rPr>
      </w:pPr>
      <w:bookmarkStart w:id="130" w:name="_Toc395066532"/>
      <w:bookmarkStart w:id="131" w:name="_Toc185702564"/>
      <w:bookmarkStart w:id="132" w:name="_Toc469874178"/>
      <w:bookmarkStart w:id="133" w:name="_Toc200268253"/>
      <w:bookmarkStart w:id="134" w:name="_Toc405942990"/>
      <w:r>
        <w:rPr>
          <w:rFonts w:hint="eastAsia" w:hAnsi="宋体" w:cs="宋体"/>
          <w:color w:val="000000" w:themeColor="text1"/>
          <w:highlight w:val="none"/>
          <w14:textFill>
            <w14:solidFill>
              <w14:schemeClr w14:val="tx1"/>
            </w14:solidFill>
          </w14:textFill>
        </w:rPr>
        <w:t>12.1</w:t>
      </w:r>
      <w:r>
        <w:rPr>
          <w:rFonts w:hint="eastAsia" w:hAnsi="宋体" w:cs="宋体"/>
          <w:color w:val="000000" w:themeColor="text1"/>
          <w:szCs w:val="21"/>
          <w:highlight w:val="none"/>
          <w14:textFill>
            <w14:solidFill>
              <w14:schemeClr w14:val="tx1"/>
            </w14:solidFill>
          </w14:textFill>
        </w:rPr>
        <w:t>投标报价：</w:t>
      </w:r>
      <w:r>
        <w:rPr>
          <w:rFonts w:hint="eastAsia" w:hAnsi="宋体" w:cs="宋体"/>
          <w:color w:val="000000" w:themeColor="text1"/>
          <w:highlight w:val="none"/>
          <w14:textFill>
            <w14:solidFill>
              <w14:schemeClr w14:val="tx1"/>
            </w14:solidFill>
          </w14:textFill>
        </w:rPr>
        <w:t>投标人就第二章“采购内容及要求”中的项目和服务内容可能发生的所有费用作唯一完整报价。（本项目只允许递交一个方案的报价，不接受任何有选择性的报价。）</w:t>
      </w:r>
    </w:p>
    <w:p>
      <w:pPr>
        <w:pStyle w:val="20"/>
        <w:spacing w:line="400" w:lineRule="exact"/>
        <w:ind w:left="525" w:hanging="525" w:hangingChars="25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12.2投标人所提供的货物和服务均应以人民币报价，若同时以人民币及外币报价的，以人民币报价为准。</w:t>
      </w:r>
    </w:p>
    <w:p>
      <w:pPr>
        <w:pStyle w:val="20"/>
        <w:spacing w:line="400" w:lineRule="exact"/>
        <w:ind w:left="525" w:hanging="525" w:hangingChars="25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12.3投标人的投标报价是履行合同的最终价格。应包括“第二章采购内容及要求”的内容、责任范围以及合同条款规定的价格。</w:t>
      </w:r>
      <w:r>
        <w:rPr>
          <w:rFonts w:hint="eastAsia" w:hAnsi="宋体" w:cs="宋体"/>
          <w:color w:val="000000" w:themeColor="text1"/>
          <w:kern w:val="1"/>
          <w:szCs w:val="21"/>
          <w:highlight w:val="none"/>
          <w14:textFill>
            <w14:solidFill>
              <w14:schemeClr w14:val="tx1"/>
            </w14:solidFill>
          </w14:textFill>
        </w:rPr>
        <w:t>对于招标文件中未列明，而投标人认为必需的费用也需列入总报价。在合同实施时，采购人将不予支付中标人没有列入的项目费用，并认为此项目的费用已包括在总报价中。</w:t>
      </w:r>
    </w:p>
    <w:p>
      <w:pPr>
        <w:pStyle w:val="20"/>
        <w:spacing w:line="400" w:lineRule="exact"/>
        <w:ind w:left="525" w:hanging="525" w:hangingChars="25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12.4如有《投标报价明细表》，填写时应响应下列要求：</w:t>
      </w:r>
    </w:p>
    <w:p>
      <w:pPr>
        <w:pStyle w:val="20"/>
        <w:spacing w:line="400" w:lineRule="exact"/>
        <w:ind w:firstLine="42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（1）对于报价免费的项目必须标明“免费”；</w:t>
      </w:r>
    </w:p>
    <w:p>
      <w:pPr>
        <w:pStyle w:val="20"/>
        <w:spacing w:line="400" w:lineRule="exact"/>
        <w:ind w:firstLine="42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（2）</w:t>
      </w:r>
      <w:r>
        <w:rPr>
          <w:rFonts w:hint="eastAsia" w:hAnsi="宋体" w:cs="宋体"/>
          <w:color w:val="000000" w:themeColor="text1"/>
          <w:kern w:val="0"/>
          <w:szCs w:val="21"/>
          <w:highlight w:val="none"/>
          <w14:textFill>
            <w14:solidFill>
              <w14:schemeClr w14:val="tx1"/>
            </w14:solidFill>
          </w14:textFill>
        </w:rPr>
        <w:t>投标报价</w:t>
      </w:r>
      <w:r>
        <w:rPr>
          <w:rFonts w:hint="eastAsia" w:hAnsi="宋体" w:cs="宋体"/>
          <w:color w:val="000000" w:themeColor="text1"/>
          <w:highlight w:val="none"/>
          <w14:textFill>
            <w14:solidFill>
              <w14:schemeClr w14:val="tx1"/>
            </w14:solidFill>
          </w14:textFill>
        </w:rPr>
        <w:t>包含货物、服务、安装调试、随配附件、备品备件、工具、辅助材料、货物运抵指定交货地点安装的各种费用售后服务、税金及其它所有成本费用的总和（其中：安装附件所涉及的费用应包括完整的安装、调试，各种接口及连接件、施工材料、辅助材料、支架、线材及人工费用），投标人漏项报价的或有选择的或有条件的报价，其投标文件将视为无效。</w:t>
      </w:r>
    </w:p>
    <w:p>
      <w:pPr>
        <w:pStyle w:val="20"/>
        <w:spacing w:line="380" w:lineRule="exact"/>
        <w:ind w:left="525" w:hanging="525" w:hangingChars="25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12.5投标人所填报的产品内容如存在有漏项的情况且在评标时被接受，则将被认定为该遗漏项已包含在投标报价中，采购人对其漏报的项目不追加任何货款。</w:t>
      </w:r>
    </w:p>
    <w:p>
      <w:pPr>
        <w:pStyle w:val="4"/>
        <w:spacing w:before="0" w:after="0" w:line="400" w:lineRule="exact"/>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13、投标的有效期</w:t>
      </w:r>
      <w:bookmarkEnd w:id="130"/>
      <w:bookmarkEnd w:id="131"/>
      <w:bookmarkEnd w:id="132"/>
      <w:bookmarkEnd w:id="133"/>
      <w:bookmarkEnd w:id="134"/>
    </w:p>
    <w:p>
      <w:pPr>
        <w:pStyle w:val="20"/>
        <w:spacing w:line="400" w:lineRule="exact"/>
        <w:ind w:left="420" w:hanging="420" w:hangingChars="200"/>
        <w:rPr>
          <w:rFonts w:hAnsi="宋体" w:cs="宋体"/>
          <w:color w:val="000000" w:themeColor="text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w:t>
      </w:r>
      <w:r>
        <w:rPr>
          <w:rFonts w:hint="eastAsia" w:hAnsi="宋体" w:cs="宋体"/>
          <w:color w:val="000000" w:themeColor="text1"/>
          <w:highlight w:val="none"/>
          <w14:textFill>
            <w14:solidFill>
              <w14:schemeClr w14:val="tx1"/>
            </w14:solidFill>
          </w14:textFill>
        </w:rPr>
        <w:t>13.1投标</w:t>
      </w:r>
      <w:r>
        <w:rPr>
          <w:rFonts w:hint="eastAsia" w:hAnsi="宋体" w:cs="宋体"/>
          <w:color w:val="000000" w:themeColor="text1"/>
          <w:szCs w:val="21"/>
          <w:highlight w:val="none"/>
          <w14:textFill>
            <w14:solidFill>
              <w14:schemeClr w14:val="tx1"/>
            </w14:solidFill>
          </w14:textFill>
        </w:rPr>
        <w:t>有效期</w:t>
      </w:r>
      <w:r>
        <w:rPr>
          <w:rFonts w:hint="eastAsia" w:hAnsi="宋体" w:cs="宋体"/>
          <w:color w:val="000000" w:themeColor="text1"/>
          <w:highlight w:val="none"/>
          <w14:textFill>
            <w14:solidFill>
              <w14:schemeClr w14:val="tx1"/>
            </w14:solidFill>
          </w14:textFill>
        </w:rPr>
        <w:t>：</w:t>
      </w:r>
      <w:r>
        <w:rPr>
          <w:rFonts w:hint="eastAsia" w:hAnsi="宋体" w:cs="宋体"/>
          <w:color w:val="000000" w:themeColor="text1"/>
          <w:spacing w:val="-2"/>
          <w:szCs w:val="21"/>
          <w:highlight w:val="none"/>
          <w14:textFill>
            <w14:solidFill>
              <w14:schemeClr w14:val="tx1"/>
            </w14:solidFill>
          </w14:textFill>
        </w:rPr>
        <w:t>投标</w:t>
      </w:r>
      <w:r>
        <w:rPr>
          <w:rFonts w:hint="eastAsia" w:hAnsi="宋体" w:cs="宋体"/>
          <w:color w:val="000000" w:themeColor="text1"/>
          <w:highlight w:val="none"/>
          <w14:textFill>
            <w14:solidFill>
              <w14:schemeClr w14:val="tx1"/>
            </w14:solidFill>
          </w14:textFill>
        </w:rPr>
        <w:t>文件从投标截止日起60天内有效。有效期不足的投标文件视为无效。</w:t>
      </w:r>
    </w:p>
    <w:p>
      <w:pPr>
        <w:pStyle w:val="20"/>
        <w:spacing w:line="390" w:lineRule="exact"/>
        <w:ind w:left="420" w:hanging="420" w:hanging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13.2在特殊情况下，采购人、采购代理机构可于投标有效期满之前要求投标人同意延长有效期，要求与答复均应以书面形式。投标人可以拒绝上述要求而其投标保证金不被没收，不同意延期的投标人的投标保证金将在中标通知书发出后5个工作日内无息退还。同意延期的投标人根据原截止期应负之权利及责任相应也延至新的截止期，但不能要求对原投标文件（经评标小组确认有效且没有超出投标文件的范围或改变投标的实质内容的澄清或说明作为投标文件的组成部分）作任何改变，并同意在延长的投标有效期内遵循本投标文件，在延长的投标有效期满之前继续具有约束力。</w:t>
      </w:r>
    </w:p>
    <w:p>
      <w:pPr>
        <w:pStyle w:val="4"/>
        <w:spacing w:before="0" w:after="0" w:line="400" w:lineRule="exact"/>
        <w:rPr>
          <w:rFonts w:ascii="宋体" w:hAnsi="宋体" w:eastAsia="宋体" w:cs="宋体"/>
          <w:color w:val="000000" w:themeColor="text1"/>
          <w:sz w:val="21"/>
          <w:szCs w:val="21"/>
          <w:highlight w:val="none"/>
          <w14:textFill>
            <w14:solidFill>
              <w14:schemeClr w14:val="tx1"/>
            </w14:solidFill>
          </w14:textFill>
        </w:rPr>
      </w:pPr>
      <w:bookmarkStart w:id="135" w:name="_Toc200268254"/>
      <w:bookmarkStart w:id="136" w:name="_Toc185702565"/>
      <w:bookmarkStart w:id="137" w:name="_Toc395066533"/>
      <w:bookmarkStart w:id="138" w:name="_Toc469874179"/>
      <w:bookmarkStart w:id="139" w:name="_Toc405942991"/>
      <w:r>
        <w:rPr>
          <w:rFonts w:hint="eastAsia" w:ascii="宋体" w:hAnsi="宋体" w:eastAsia="宋体" w:cs="宋体"/>
          <w:color w:val="000000" w:themeColor="text1"/>
          <w:sz w:val="21"/>
          <w:szCs w:val="21"/>
          <w:highlight w:val="none"/>
          <w14:textFill>
            <w14:solidFill>
              <w14:schemeClr w14:val="tx1"/>
            </w14:solidFill>
          </w14:textFill>
        </w:rPr>
        <w:t>14、</w:t>
      </w:r>
      <w:bookmarkEnd w:id="135"/>
      <w:bookmarkEnd w:id="136"/>
      <w:bookmarkEnd w:id="137"/>
      <w:bookmarkEnd w:id="138"/>
      <w:bookmarkEnd w:id="139"/>
      <w:r>
        <w:rPr>
          <w:rFonts w:hint="eastAsia" w:ascii="宋体" w:hAnsi="宋体" w:eastAsia="宋体" w:cs="宋体"/>
          <w:color w:val="000000" w:themeColor="text1"/>
          <w:sz w:val="21"/>
          <w:szCs w:val="21"/>
          <w:highlight w:val="none"/>
          <w14:textFill>
            <w14:solidFill>
              <w14:schemeClr w14:val="tx1"/>
            </w14:solidFill>
          </w14:textFill>
        </w:rPr>
        <w:t>投标保证金</w:t>
      </w:r>
    </w:p>
    <w:p>
      <w:pPr>
        <w:pStyle w:val="20"/>
        <w:spacing w:line="400" w:lineRule="exact"/>
        <w:ind w:left="525" w:hanging="525" w:hangingChars="250"/>
        <w:rPr>
          <w:rFonts w:hAnsi="宋体" w:cs="宋体"/>
          <w:color w:val="000000" w:themeColor="text1"/>
          <w:spacing w:val="-4"/>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w:t>
      </w:r>
      <w:r>
        <w:rPr>
          <w:rFonts w:hint="eastAsia" w:hAnsi="宋体" w:cs="宋体"/>
          <w:color w:val="000000" w:themeColor="text1"/>
          <w:spacing w:val="-4"/>
          <w:highlight w:val="none"/>
          <w14:textFill>
            <w14:solidFill>
              <w14:schemeClr w14:val="tx1"/>
            </w14:solidFill>
          </w14:textFill>
        </w:rPr>
        <w:t>14.1</w:t>
      </w:r>
      <w:r>
        <w:rPr>
          <w:rFonts w:hint="eastAsia" w:hAnsi="宋体" w:cs="宋体"/>
          <w:color w:val="000000" w:themeColor="text1"/>
          <w:szCs w:val="21"/>
          <w:highlight w:val="none"/>
          <w14:textFill>
            <w14:solidFill>
              <w14:schemeClr w14:val="tx1"/>
            </w14:solidFill>
          </w14:textFill>
        </w:rPr>
        <w:t>投标人应按本章</w:t>
      </w:r>
      <w:r>
        <w:rPr>
          <w:rFonts w:hint="eastAsia" w:hAnsi="宋体" w:cs="宋体"/>
          <w:color w:val="000000" w:themeColor="text1"/>
          <w:spacing w:val="-4"/>
          <w:highlight w:val="none"/>
          <w14:textFill>
            <w14:solidFill>
              <w14:schemeClr w14:val="tx1"/>
            </w14:solidFill>
          </w14:textFill>
        </w:rPr>
        <w:t>须知前附表第9项规定的金额和期限交纳投标保证金</w:t>
      </w:r>
      <w:r>
        <w:rPr>
          <w:rFonts w:hint="eastAsia" w:hAnsi="宋体" w:cs="宋体"/>
          <w:color w:val="000000" w:themeColor="text1"/>
          <w:szCs w:val="21"/>
          <w:highlight w:val="none"/>
          <w14:textFill>
            <w14:solidFill>
              <w14:schemeClr w14:val="tx1"/>
            </w14:solidFill>
          </w14:textFill>
        </w:rPr>
        <w:t>，投标保证金作为投标文件的组成部分</w:t>
      </w:r>
      <w:r>
        <w:rPr>
          <w:rFonts w:hint="eastAsia" w:hAnsi="宋体" w:cs="宋体"/>
          <w:color w:val="000000" w:themeColor="text1"/>
          <w:highlight w:val="none"/>
          <w14:textFill>
            <w14:solidFill>
              <w14:schemeClr w14:val="tx1"/>
            </w14:solidFill>
          </w14:textFill>
        </w:rPr>
        <w:t>。未按规定交纳投标保证金或未提供相关递交证明的，将视其为不响应投标条件而予以拒绝。</w:t>
      </w:r>
    </w:p>
    <w:p>
      <w:pPr>
        <w:pStyle w:val="20"/>
        <w:spacing w:line="400" w:lineRule="exact"/>
        <w:ind w:left="525" w:hanging="525" w:hangingChars="25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14.2落标人办理退投标保证金手续时，须向</w:t>
      </w:r>
      <w:r>
        <w:rPr>
          <w:rFonts w:hint="eastAsia" w:hAnsi="宋体" w:cs="宋体"/>
          <w:color w:val="000000" w:themeColor="text1"/>
          <w:highlight w:val="none"/>
          <w:u w:val="single"/>
          <w14:textFill>
            <w14:solidFill>
              <w14:schemeClr w14:val="tx1"/>
            </w14:solidFill>
          </w14:textFill>
        </w:rPr>
        <w:t>采购代理机构财务部</w:t>
      </w:r>
      <w:r>
        <w:rPr>
          <w:rFonts w:hint="eastAsia" w:hAnsi="宋体" w:cs="宋体"/>
          <w:color w:val="000000" w:themeColor="text1"/>
          <w:highlight w:val="none"/>
          <w14:textFill>
            <w14:solidFill>
              <w14:schemeClr w14:val="tx1"/>
            </w14:solidFill>
          </w14:textFill>
        </w:rPr>
        <w:t>递交“投标保证金声明原件”申请</w:t>
      </w:r>
      <w:r>
        <w:rPr>
          <w:rFonts w:hAnsi="宋体" w:cs="宋体"/>
          <w:color w:val="000000" w:themeColor="text1"/>
          <w:highlight w:val="none"/>
          <w14:textFill>
            <w14:solidFill>
              <w14:schemeClr w14:val="tx1"/>
            </w14:solidFill>
          </w14:textFill>
        </w:rPr>
        <w:t>退还。</w:t>
      </w:r>
      <w:r>
        <w:rPr>
          <w:rFonts w:hAnsi="宋体" w:cs="宋体"/>
          <w:color w:val="000000" w:themeColor="text1"/>
          <w:highlight w:val="none"/>
          <w:u w:val="single"/>
          <w14:textFill>
            <w14:solidFill>
              <w14:schemeClr w14:val="tx1"/>
            </w14:solidFill>
          </w14:textFill>
        </w:rPr>
        <w:t>采购代理机构财务部</w:t>
      </w:r>
      <w:r>
        <w:rPr>
          <w:rFonts w:hAnsi="宋体" w:cs="宋体"/>
          <w:color w:val="000000" w:themeColor="text1"/>
          <w:highlight w:val="none"/>
          <w14:textFill>
            <w14:solidFill>
              <w14:schemeClr w14:val="tx1"/>
            </w14:solidFill>
          </w14:textFill>
        </w:rPr>
        <w:t>收到退还申请</w:t>
      </w:r>
      <w:r>
        <w:rPr>
          <w:rFonts w:hint="eastAsia" w:hAnsi="宋体" w:cs="宋体"/>
          <w:color w:val="000000" w:themeColor="text1"/>
          <w:highlight w:val="none"/>
          <w14:textFill>
            <w14:solidFill>
              <w14:schemeClr w14:val="tx1"/>
            </w14:solidFill>
          </w14:textFill>
        </w:rPr>
        <w:t>，将在中标通知书发出后5个工作日内无息原额退还，但因投标人自身原因导致无法及时退还的除外。</w:t>
      </w:r>
    </w:p>
    <w:p>
      <w:pPr>
        <w:pStyle w:val="20"/>
        <w:spacing w:line="400" w:lineRule="exact"/>
        <w:ind w:left="525" w:hanging="525" w:hangingChars="25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14.3中标人的投标保证金,</w:t>
      </w:r>
      <w:r>
        <w:rPr>
          <w:rFonts w:hAnsi="宋体" w:cs="宋体"/>
          <w:color w:val="000000" w:themeColor="text1"/>
          <w:highlight w:val="none"/>
          <w14:textFill>
            <w14:solidFill>
              <w14:schemeClr w14:val="tx1"/>
            </w14:solidFill>
          </w14:textFill>
        </w:rPr>
        <w:t>自签订合同并缴纳履约保证金后</w:t>
      </w:r>
      <w:r>
        <w:rPr>
          <w:rFonts w:hint="eastAsia" w:hAnsi="宋体" w:cs="宋体"/>
          <w:color w:val="000000" w:themeColor="text1"/>
          <w:highlight w:val="none"/>
          <w14:textFill>
            <w14:solidFill>
              <w14:schemeClr w14:val="tx1"/>
            </w14:solidFill>
          </w14:textFill>
        </w:rPr>
        <w:t>5个工作日内无息原额退还，但因投标人自身原因导致无法及时退还的除外。</w:t>
      </w:r>
    </w:p>
    <w:p>
      <w:pPr>
        <w:pStyle w:val="20"/>
        <w:spacing w:line="400" w:lineRule="exact"/>
        <w:ind w:left="525" w:hanging="525" w:hangingChars="25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14.4如有质疑或投诉，将在质疑和投诉处理完毕后无息原额退还。</w:t>
      </w:r>
    </w:p>
    <w:p>
      <w:pPr>
        <w:pStyle w:val="20"/>
        <w:spacing w:line="400" w:lineRule="exact"/>
        <w:ind w:left="525" w:hanging="525" w:hangingChars="25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14.5有下列情形之一的，投标人的投标保证金不予退还：</w:t>
      </w:r>
    </w:p>
    <w:p>
      <w:pPr>
        <w:pStyle w:val="20"/>
        <w:spacing w:line="400" w:lineRule="exact"/>
        <w:ind w:firstLine="42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（1）在投标有效期内撤销其投标文件的；</w:t>
      </w:r>
    </w:p>
    <w:p>
      <w:pPr>
        <w:pStyle w:val="20"/>
        <w:spacing w:line="400" w:lineRule="exact"/>
        <w:ind w:firstLine="42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（2）在投标过程中弄虚作假，提供虚假材料的；</w:t>
      </w:r>
    </w:p>
    <w:p>
      <w:pPr>
        <w:pStyle w:val="20"/>
        <w:spacing w:line="400" w:lineRule="exact"/>
        <w:ind w:firstLine="42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（3）除因不可抗力或招标文件认可的情形以外，中标人无正当理由不与采购人签订合同的；</w:t>
      </w:r>
    </w:p>
    <w:p>
      <w:pPr>
        <w:pStyle w:val="20"/>
        <w:spacing w:line="400" w:lineRule="exact"/>
        <w:ind w:firstLine="42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（4）将中标项目转让给他人；</w:t>
      </w:r>
    </w:p>
    <w:p>
      <w:pPr>
        <w:pStyle w:val="20"/>
        <w:spacing w:line="400" w:lineRule="exact"/>
        <w:ind w:firstLine="42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（5）拒绝履行合同义务的；</w:t>
      </w:r>
    </w:p>
    <w:p>
      <w:pPr>
        <w:pStyle w:val="20"/>
        <w:spacing w:line="400" w:lineRule="exact"/>
        <w:ind w:firstLine="42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（6）其他严重扰乱招投标程序的；</w:t>
      </w:r>
    </w:p>
    <w:p>
      <w:pPr>
        <w:pStyle w:val="20"/>
        <w:spacing w:line="390" w:lineRule="exact"/>
        <w:ind w:left="420" w:left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（7）招标文件规定的其他情形。</w:t>
      </w:r>
    </w:p>
    <w:p>
      <w:pPr>
        <w:pStyle w:val="20"/>
        <w:spacing w:line="390" w:lineRule="exact"/>
        <w:ind w:left="420" w:leftChars="200"/>
        <w:rPr>
          <w:rFonts w:hAnsi="宋体" w:cs="宋体"/>
          <w:color w:val="000000" w:themeColor="text1"/>
          <w:highlight w:val="none"/>
          <w14:textFill>
            <w14:solidFill>
              <w14:schemeClr w14:val="tx1"/>
            </w14:solidFill>
          </w14:textFill>
        </w:rPr>
      </w:pPr>
    </w:p>
    <w:p>
      <w:pPr>
        <w:pStyle w:val="3"/>
        <w:spacing w:line="400" w:lineRule="exact"/>
        <w:jc w:val="center"/>
        <w:rPr>
          <w:rFonts w:ascii="宋体" w:hAnsi="宋体" w:cs="宋体"/>
          <w:color w:val="000000" w:themeColor="text1"/>
          <w:highlight w:val="none"/>
          <w14:textFill>
            <w14:solidFill>
              <w14:schemeClr w14:val="tx1"/>
            </w14:solidFill>
          </w14:textFill>
        </w:rPr>
      </w:pPr>
      <w:bookmarkStart w:id="140" w:name="_Toc5877"/>
      <w:r>
        <w:rPr>
          <w:rFonts w:hint="eastAsia" w:ascii="宋体" w:hAnsi="宋体" w:cs="宋体"/>
          <w:color w:val="000000" w:themeColor="text1"/>
          <w:highlight w:val="none"/>
          <w14:textFill>
            <w14:solidFill>
              <w14:schemeClr w14:val="tx1"/>
            </w14:solidFill>
          </w14:textFill>
        </w:rPr>
        <w:t>四、投标文件的递交</w:t>
      </w:r>
      <w:bookmarkEnd w:id="140"/>
    </w:p>
    <w:p>
      <w:pPr>
        <w:pStyle w:val="4"/>
        <w:spacing w:before="0" w:after="0" w:line="400" w:lineRule="exact"/>
        <w:rPr>
          <w:rFonts w:ascii="宋体" w:hAnsi="宋体" w:eastAsia="宋体" w:cs="宋体"/>
          <w:color w:val="000000" w:themeColor="text1"/>
          <w:sz w:val="21"/>
          <w:szCs w:val="21"/>
          <w:highlight w:val="none"/>
          <w14:textFill>
            <w14:solidFill>
              <w14:schemeClr w14:val="tx1"/>
            </w14:solidFill>
          </w14:textFill>
        </w:rPr>
      </w:pPr>
      <w:bookmarkStart w:id="141" w:name="_Toc405942992"/>
      <w:bookmarkStart w:id="142" w:name="_Toc469874180"/>
      <w:bookmarkStart w:id="143" w:name="_Toc200268255"/>
      <w:bookmarkStart w:id="144" w:name="_Toc395066534"/>
      <w:bookmarkStart w:id="145" w:name="_Toc185702566"/>
      <w:r>
        <w:rPr>
          <w:rFonts w:hint="eastAsia" w:ascii="宋体" w:hAnsi="宋体" w:eastAsia="宋体" w:cs="宋体"/>
          <w:color w:val="000000" w:themeColor="text1"/>
          <w:sz w:val="21"/>
          <w:szCs w:val="21"/>
          <w:highlight w:val="none"/>
          <w14:textFill>
            <w14:solidFill>
              <w14:schemeClr w14:val="tx1"/>
            </w14:solidFill>
          </w14:textFill>
        </w:rPr>
        <w:t>15、</w:t>
      </w:r>
      <w:bookmarkEnd w:id="141"/>
      <w:bookmarkEnd w:id="142"/>
      <w:bookmarkEnd w:id="143"/>
      <w:bookmarkEnd w:id="144"/>
      <w:bookmarkEnd w:id="145"/>
      <w:r>
        <w:rPr>
          <w:rFonts w:hint="eastAsia" w:ascii="宋体" w:hAnsi="宋体" w:eastAsia="宋体" w:cs="宋体"/>
          <w:color w:val="000000" w:themeColor="text1"/>
          <w:sz w:val="21"/>
          <w:szCs w:val="21"/>
          <w:highlight w:val="none"/>
          <w14:textFill>
            <w14:solidFill>
              <w14:schemeClr w14:val="tx1"/>
            </w14:solidFill>
          </w14:textFill>
        </w:rPr>
        <w:t>投标文件包装、密封与标记</w:t>
      </w:r>
    </w:p>
    <w:p>
      <w:pPr>
        <w:pStyle w:val="20"/>
        <w:spacing w:line="400" w:lineRule="exact"/>
        <w:ind w:left="420" w:hanging="420" w:hanging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15.1投标文件所有正本、副本、投标文件电子版一并包装在一个密封袋内加以密封，均</w:t>
      </w:r>
      <w:r>
        <w:rPr>
          <w:rFonts w:hint="eastAsia" w:hAnsi="宋体" w:cs="宋体"/>
          <w:color w:val="000000" w:themeColor="text1"/>
          <w:kern w:val="0"/>
          <w:szCs w:val="21"/>
          <w:highlight w:val="none"/>
          <w14:textFill>
            <w14:solidFill>
              <w14:schemeClr w14:val="tx1"/>
            </w14:solidFill>
          </w14:textFill>
        </w:rPr>
        <w:t>在</w:t>
      </w:r>
      <w:r>
        <w:rPr>
          <w:rFonts w:hint="eastAsia" w:hAnsi="宋体" w:cs="宋体"/>
          <w:color w:val="000000" w:themeColor="text1"/>
          <w:highlight w:val="none"/>
          <w14:textFill>
            <w14:solidFill>
              <w14:schemeClr w14:val="tx1"/>
            </w14:solidFill>
          </w14:textFill>
        </w:rPr>
        <w:t>封贴处密封签章</w:t>
      </w:r>
      <w:r>
        <w:rPr>
          <w:rFonts w:hint="eastAsia" w:hAnsi="宋体" w:cs="宋体"/>
          <w:color w:val="000000" w:themeColor="text1"/>
          <w:spacing w:val="-2"/>
          <w:szCs w:val="21"/>
          <w:highlight w:val="none"/>
          <w14:textFill>
            <w14:solidFill>
              <w14:schemeClr w14:val="tx1"/>
            </w14:solidFill>
          </w14:textFill>
        </w:rPr>
        <w:t>（公章/密封章/法定代表人（</w:t>
      </w:r>
      <w:r>
        <w:rPr>
          <w:rFonts w:hint="eastAsia" w:hAnsi="宋体"/>
          <w:color w:val="000000" w:themeColor="text1"/>
          <w:kern w:val="0"/>
          <w:szCs w:val="21"/>
          <w:highlight w:val="none"/>
          <w14:textFill>
            <w14:solidFill>
              <w14:schemeClr w14:val="tx1"/>
            </w14:solidFill>
          </w14:textFill>
        </w:rPr>
        <w:t>或负责人</w:t>
      </w:r>
      <w:r>
        <w:rPr>
          <w:rFonts w:hint="eastAsia" w:hAnsi="宋体" w:cs="宋体"/>
          <w:color w:val="000000" w:themeColor="text1"/>
          <w:spacing w:val="-2"/>
          <w:szCs w:val="21"/>
          <w:highlight w:val="none"/>
          <w14:textFill>
            <w14:solidFill>
              <w14:schemeClr w14:val="tx1"/>
            </w14:solidFill>
          </w14:textFill>
        </w:rPr>
        <w:t>）</w:t>
      </w:r>
      <w:r>
        <w:rPr>
          <w:rFonts w:hint="eastAsia" w:hAnsi="宋体" w:cs="宋体"/>
          <w:color w:val="000000" w:themeColor="text1"/>
          <w:kern w:val="0"/>
          <w:szCs w:val="21"/>
          <w:highlight w:val="none"/>
          <w14:textFill>
            <w14:solidFill>
              <w14:schemeClr w14:val="tx1"/>
            </w14:solidFill>
          </w14:textFill>
        </w:rPr>
        <w:t>签字</w:t>
      </w:r>
      <w:r>
        <w:rPr>
          <w:rFonts w:hint="eastAsia" w:hAnsi="宋体" w:cs="宋体"/>
          <w:color w:val="000000" w:themeColor="text1"/>
          <w:spacing w:val="-2"/>
          <w:szCs w:val="21"/>
          <w:highlight w:val="none"/>
          <w14:textFill>
            <w14:solidFill>
              <w14:schemeClr w14:val="tx1"/>
            </w14:solidFill>
          </w14:textFill>
        </w:rPr>
        <w:t>/委托代理人签字均可）</w:t>
      </w:r>
      <w:r>
        <w:rPr>
          <w:rFonts w:hint="eastAsia" w:hAnsi="宋体" w:cs="宋体"/>
          <w:color w:val="000000" w:themeColor="text1"/>
          <w:highlight w:val="none"/>
          <w14:textFill>
            <w14:solidFill>
              <w14:schemeClr w14:val="tx1"/>
            </w14:solidFill>
          </w14:textFill>
        </w:rPr>
        <w:t>。</w:t>
      </w:r>
    </w:p>
    <w:p>
      <w:pPr>
        <w:pStyle w:val="20"/>
        <w:spacing w:line="400" w:lineRule="exact"/>
        <w:ind w:left="420" w:hanging="420" w:hanging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15.2密封袋（信封）封面应注明：</w:t>
      </w:r>
    </w:p>
    <w:p>
      <w:pPr>
        <w:pStyle w:val="20"/>
        <w:spacing w:line="400" w:lineRule="exact"/>
        <w:ind w:firstLine="1260"/>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项目名称：</w:t>
      </w:r>
      <w:r>
        <w:rPr>
          <w:rFonts w:hint="eastAsia" w:hAnsi="宋体" w:cs="宋体"/>
          <w:color w:val="000000" w:themeColor="text1"/>
          <w:highlight w:val="none"/>
          <w:u w:val="single"/>
          <w14:textFill>
            <w14:solidFill>
              <w14:schemeClr w14:val="tx1"/>
            </w14:solidFill>
          </w14:textFill>
        </w:rPr>
        <w:t xml:space="preserve">                                 </w:t>
      </w:r>
    </w:p>
    <w:p>
      <w:pPr>
        <w:pStyle w:val="20"/>
        <w:spacing w:line="400" w:lineRule="exact"/>
        <w:ind w:firstLine="1260"/>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项目编号：</w:t>
      </w:r>
      <w:r>
        <w:rPr>
          <w:rFonts w:hint="eastAsia" w:hAnsi="宋体" w:cs="宋体"/>
          <w:color w:val="000000" w:themeColor="text1"/>
          <w:highlight w:val="none"/>
          <w:u w:val="single"/>
          <w14:textFill>
            <w14:solidFill>
              <w14:schemeClr w14:val="tx1"/>
            </w14:solidFill>
          </w14:textFill>
        </w:rPr>
        <w:t xml:space="preserve">                                 </w:t>
      </w:r>
    </w:p>
    <w:p>
      <w:pPr>
        <w:pStyle w:val="20"/>
        <w:spacing w:line="400" w:lineRule="exact"/>
        <w:ind w:firstLine="1260"/>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投标人名称（加盖公章）：</w:t>
      </w:r>
      <w:r>
        <w:rPr>
          <w:rFonts w:hint="eastAsia" w:hAnsi="宋体" w:cs="宋体"/>
          <w:color w:val="000000" w:themeColor="text1"/>
          <w:highlight w:val="none"/>
          <w:u w:val="single"/>
          <w14:textFill>
            <w14:solidFill>
              <w14:schemeClr w14:val="tx1"/>
            </w14:solidFill>
          </w14:textFill>
        </w:rPr>
        <w:t xml:space="preserve">                   </w:t>
      </w:r>
    </w:p>
    <w:p>
      <w:pPr>
        <w:pStyle w:val="20"/>
        <w:spacing w:line="400" w:lineRule="exact"/>
        <w:ind w:firstLine="126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投标人地址：</w:t>
      </w:r>
      <w:r>
        <w:rPr>
          <w:rFonts w:hint="eastAsia" w:hAnsi="宋体" w:cs="宋体"/>
          <w:color w:val="000000" w:themeColor="text1"/>
          <w:highlight w:val="none"/>
          <w:u w:val="single"/>
          <w14:textFill>
            <w14:solidFill>
              <w14:schemeClr w14:val="tx1"/>
            </w14:solidFill>
          </w14:textFill>
        </w:rPr>
        <w:t xml:space="preserve">                               </w:t>
      </w:r>
    </w:p>
    <w:p>
      <w:pPr>
        <w:pStyle w:val="20"/>
        <w:spacing w:line="400" w:lineRule="exact"/>
        <w:ind w:firstLine="126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法定代表人（</w:t>
      </w:r>
      <w:r>
        <w:rPr>
          <w:rFonts w:hint="eastAsia" w:hAnsi="宋体"/>
          <w:color w:val="000000" w:themeColor="text1"/>
          <w:kern w:val="0"/>
          <w:szCs w:val="21"/>
          <w:highlight w:val="none"/>
          <w14:textFill>
            <w14:solidFill>
              <w14:schemeClr w14:val="tx1"/>
            </w14:solidFill>
          </w14:textFill>
        </w:rPr>
        <w:t>或负责人</w:t>
      </w:r>
      <w:r>
        <w:rPr>
          <w:rFonts w:hint="eastAsia" w:hAnsi="宋体" w:cs="宋体"/>
          <w:color w:val="000000" w:themeColor="text1"/>
          <w:highlight w:val="none"/>
          <w14:textFill>
            <w14:solidFill>
              <w14:schemeClr w14:val="tx1"/>
            </w14:solidFill>
          </w14:textFill>
        </w:rPr>
        <w:t>）或其委托理人（签名）：</w:t>
      </w:r>
      <w:r>
        <w:rPr>
          <w:rFonts w:hint="eastAsia" w:hAnsi="宋体" w:cs="宋体"/>
          <w:color w:val="000000" w:themeColor="text1"/>
          <w:highlight w:val="none"/>
          <w:u w:val="single"/>
          <w14:textFill>
            <w14:solidFill>
              <w14:schemeClr w14:val="tx1"/>
            </w14:solidFill>
          </w14:textFill>
        </w:rPr>
        <w:t xml:space="preserve">            </w:t>
      </w:r>
    </w:p>
    <w:p>
      <w:pPr>
        <w:pStyle w:val="20"/>
        <w:spacing w:line="400" w:lineRule="exact"/>
        <w:ind w:firstLine="1260"/>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u w:val="single"/>
          <w14:textFill>
            <w14:solidFill>
              <w14:schemeClr w14:val="tx1"/>
            </w14:solidFill>
          </w14:textFill>
        </w:rPr>
        <w:t>在      年    月    日    时    分开标时启封</w:t>
      </w:r>
    </w:p>
    <w:p>
      <w:pP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15.3投标人在递交投标文件时，未按本须知要求密封、标记的，采购代理机构有权拒收，拒收所产生的后果由投标人自负。</w:t>
      </w:r>
    </w:p>
    <w:p>
      <w:pPr>
        <w:pStyle w:val="4"/>
        <w:spacing w:before="0" w:after="0" w:line="400" w:lineRule="exact"/>
        <w:rPr>
          <w:rFonts w:ascii="宋体" w:hAnsi="宋体" w:eastAsia="宋体" w:cs="宋体"/>
          <w:color w:val="000000" w:themeColor="text1"/>
          <w:sz w:val="21"/>
          <w:szCs w:val="21"/>
          <w:highlight w:val="none"/>
          <w14:textFill>
            <w14:solidFill>
              <w14:schemeClr w14:val="tx1"/>
            </w14:solidFill>
          </w14:textFill>
        </w:rPr>
      </w:pPr>
      <w:bookmarkStart w:id="146" w:name="_Toc395066536"/>
      <w:bookmarkStart w:id="147" w:name="_Toc405942994"/>
      <w:bookmarkStart w:id="148" w:name="_Toc200268257"/>
      <w:bookmarkStart w:id="149" w:name="_Toc185702568"/>
      <w:bookmarkStart w:id="150" w:name="_Toc469874182"/>
      <w:r>
        <w:rPr>
          <w:rFonts w:hint="eastAsia" w:ascii="宋体" w:hAnsi="宋体" w:eastAsia="宋体" w:cs="宋体"/>
          <w:color w:val="000000" w:themeColor="text1"/>
          <w:sz w:val="21"/>
          <w:szCs w:val="21"/>
          <w:highlight w:val="none"/>
          <w14:textFill>
            <w14:solidFill>
              <w14:schemeClr w14:val="tx1"/>
            </w14:solidFill>
          </w14:textFill>
        </w:rPr>
        <w:t>16、</w:t>
      </w:r>
      <w:bookmarkEnd w:id="146"/>
      <w:bookmarkEnd w:id="147"/>
      <w:bookmarkEnd w:id="148"/>
      <w:bookmarkEnd w:id="149"/>
      <w:bookmarkEnd w:id="150"/>
      <w:r>
        <w:rPr>
          <w:rFonts w:hint="eastAsia" w:ascii="宋体" w:hAnsi="宋体" w:eastAsia="宋体" w:cs="宋体"/>
          <w:color w:val="000000" w:themeColor="text1"/>
          <w:sz w:val="21"/>
          <w:szCs w:val="21"/>
          <w:highlight w:val="none"/>
          <w14:textFill>
            <w14:solidFill>
              <w14:schemeClr w14:val="tx1"/>
            </w14:solidFill>
          </w14:textFill>
        </w:rPr>
        <w:t>投标截止时间、地点</w:t>
      </w:r>
    </w:p>
    <w:p>
      <w:pPr>
        <w:pStyle w:val="20"/>
        <w:spacing w:line="400" w:lineRule="exact"/>
        <w:ind w:left="525" w:hanging="525" w:hangingChars="25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16.1投标人必须在本章须知前附表第10项规定的投标截止时间及地点递交</w:t>
      </w:r>
      <w:r>
        <w:rPr>
          <w:rFonts w:hint="eastAsia" w:hAnsi="宋体" w:cs="宋体"/>
          <w:color w:val="000000" w:themeColor="text1"/>
          <w:spacing w:val="-4"/>
          <w:highlight w:val="none"/>
          <w14:textFill>
            <w14:solidFill>
              <w14:schemeClr w14:val="tx1"/>
            </w14:solidFill>
          </w14:textFill>
        </w:rPr>
        <w:t>投标文件。</w:t>
      </w:r>
    </w:p>
    <w:p>
      <w:pPr>
        <w:pStyle w:val="20"/>
        <w:spacing w:line="400" w:lineRule="exact"/>
        <w:ind w:left="525" w:hanging="525" w:hangingChars="25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16.2若遇到参加投标的投标人过多造成部分投标人在截止时间前已抵达开标现场但未能签到的情况，投标人递交投标文件的时间以其进入招标文件规定的开标场所的时间为准。</w:t>
      </w:r>
    </w:p>
    <w:p>
      <w:pPr>
        <w:pStyle w:val="20"/>
        <w:spacing w:line="400" w:lineRule="exact"/>
        <w:ind w:left="525" w:hanging="525" w:hangingChars="25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16.3属下列情形</w:t>
      </w:r>
      <w:r>
        <w:rPr>
          <w:rFonts w:hint="eastAsia" w:hAnsi="宋体" w:cs="宋体"/>
          <w:color w:val="000000" w:themeColor="text1"/>
          <w:spacing w:val="-4"/>
          <w:highlight w:val="none"/>
          <w14:textFill>
            <w14:solidFill>
              <w14:schemeClr w14:val="tx1"/>
            </w14:solidFill>
          </w14:textFill>
        </w:rPr>
        <w:t>之一</w:t>
      </w:r>
      <w:r>
        <w:rPr>
          <w:rFonts w:hint="eastAsia" w:hAnsi="宋体" w:cs="宋体"/>
          <w:color w:val="000000" w:themeColor="text1"/>
          <w:highlight w:val="none"/>
          <w14:textFill>
            <w14:solidFill>
              <w14:schemeClr w14:val="tx1"/>
            </w14:solidFill>
          </w14:textFill>
        </w:rPr>
        <w:t>的，采购人或采购代理机构应当拒绝接收投标人的投标文件：</w:t>
      </w:r>
    </w:p>
    <w:p>
      <w:pPr>
        <w:pStyle w:val="20"/>
        <w:spacing w:line="400" w:lineRule="exact"/>
        <w:ind w:firstLine="42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① 投标文件在规定的投标截止时间之后送到达的；</w:t>
      </w:r>
    </w:p>
    <w:p>
      <w:pPr>
        <w:pStyle w:val="20"/>
        <w:spacing w:line="400" w:lineRule="exact"/>
        <w:ind w:firstLine="42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② 投标文件未送达指定的递交地点的；</w:t>
      </w:r>
    </w:p>
    <w:p>
      <w:pPr>
        <w:pStyle w:val="20"/>
        <w:spacing w:line="400" w:lineRule="exact"/>
        <w:ind w:firstLine="42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③ 投标文件未按招标文件要求封装标记的；</w:t>
      </w:r>
    </w:p>
    <w:p>
      <w:pPr>
        <w:pStyle w:val="20"/>
        <w:spacing w:line="390" w:lineRule="exact"/>
        <w:ind w:left="420" w:left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④ 应标样品未与投标文件一并递交的或未按招标文件要求递交的（若招标文件要求递交样品的）；</w:t>
      </w:r>
    </w:p>
    <w:p>
      <w:pPr>
        <w:pStyle w:val="20"/>
        <w:spacing w:line="390" w:lineRule="exact"/>
        <w:ind w:left="420" w:leftChars="200"/>
        <w:rPr>
          <w:rFonts w:hAnsi="宋体" w:cs="宋体"/>
          <w:color w:val="000000" w:themeColor="text1"/>
          <w:highlight w:val="none"/>
          <w14:textFill>
            <w14:solidFill>
              <w14:schemeClr w14:val="tx1"/>
            </w14:solidFill>
          </w14:textFill>
        </w:rPr>
      </w:pPr>
      <w:r>
        <w:rPr>
          <w:rFonts w:hAnsi="宋体" w:cs="宋体"/>
          <w:color w:val="000000" w:themeColor="text1"/>
          <w:highlight w:val="none"/>
          <w14:textFill>
            <w14:solidFill>
              <w14:schemeClr w14:val="tx1"/>
            </w14:solidFill>
          </w14:textFill>
        </w:rPr>
        <w:t xml:space="preserve">⑤ </w:t>
      </w:r>
      <w:r>
        <w:rPr>
          <w:rFonts w:hint="eastAsia" w:hAnsi="宋体" w:cs="宋体"/>
          <w:color w:val="000000" w:themeColor="text1"/>
          <w:highlight w:val="none"/>
          <w14:textFill>
            <w14:solidFill>
              <w14:schemeClr w14:val="tx1"/>
            </w14:solidFill>
          </w14:textFill>
        </w:rPr>
        <w:t>投标人</w:t>
      </w:r>
      <w:r>
        <w:rPr>
          <w:rFonts w:hAnsi="宋体" w:cs="宋体"/>
          <w:color w:val="000000" w:themeColor="text1"/>
          <w:highlight w:val="none"/>
          <w14:textFill>
            <w14:solidFill>
              <w14:schemeClr w14:val="tx1"/>
            </w14:solidFill>
          </w14:textFill>
        </w:rPr>
        <w:t>递交</w:t>
      </w:r>
      <w:r>
        <w:rPr>
          <w:rFonts w:hint="eastAsia" w:hAnsi="宋体" w:cs="宋体"/>
          <w:color w:val="000000" w:themeColor="text1"/>
          <w:highlight w:val="none"/>
          <w14:textFill>
            <w14:solidFill>
              <w14:schemeClr w14:val="tx1"/>
            </w14:solidFill>
          </w14:textFill>
        </w:rPr>
        <w:t>投标文件</w:t>
      </w:r>
      <w:r>
        <w:rPr>
          <w:rFonts w:hAnsi="宋体" w:cs="宋体"/>
          <w:color w:val="000000" w:themeColor="text1"/>
          <w:highlight w:val="none"/>
          <w14:textFill>
            <w14:solidFill>
              <w14:schemeClr w14:val="tx1"/>
            </w14:solidFill>
          </w14:textFill>
        </w:rPr>
        <w:t>时未同时携带</w:t>
      </w:r>
      <w:r>
        <w:rPr>
          <w:rFonts w:hint="eastAsia" w:hAnsi="宋体" w:cs="宋体"/>
          <w:color w:val="000000" w:themeColor="text1"/>
          <w:highlight w:val="none"/>
          <w14:textFill>
            <w14:solidFill>
              <w14:schemeClr w14:val="tx1"/>
            </w14:solidFill>
          </w14:textFill>
        </w:rPr>
        <w:t>投标人</w:t>
      </w:r>
      <w:r>
        <w:rPr>
          <w:rFonts w:hAnsi="宋体" w:cs="宋体"/>
          <w:color w:val="000000" w:themeColor="text1"/>
          <w:highlight w:val="none"/>
          <w14:textFill>
            <w14:solidFill>
              <w14:schemeClr w14:val="tx1"/>
            </w14:solidFill>
          </w14:textFill>
        </w:rPr>
        <w:t>须知前附表第11项规定的证件文件进行核验的。</w:t>
      </w:r>
    </w:p>
    <w:p>
      <w:pPr>
        <w:pStyle w:val="4"/>
        <w:spacing w:before="0" w:after="0" w:line="400" w:lineRule="exact"/>
        <w:rPr>
          <w:rFonts w:ascii="宋体" w:hAnsi="宋体" w:eastAsia="宋体" w:cs="宋体"/>
          <w:color w:val="000000" w:themeColor="text1"/>
          <w:sz w:val="21"/>
          <w:szCs w:val="21"/>
          <w:highlight w:val="none"/>
          <w14:textFill>
            <w14:solidFill>
              <w14:schemeClr w14:val="tx1"/>
            </w14:solidFill>
          </w14:textFill>
        </w:rPr>
      </w:pPr>
      <w:bookmarkStart w:id="151" w:name="_Toc469874183"/>
      <w:bookmarkStart w:id="152" w:name="_Toc395066537"/>
      <w:bookmarkStart w:id="153" w:name="_Toc200268258"/>
      <w:bookmarkStart w:id="154" w:name="_Toc185702569"/>
      <w:bookmarkStart w:id="155" w:name="_Toc405942995"/>
      <w:r>
        <w:rPr>
          <w:rFonts w:hint="eastAsia" w:ascii="宋体" w:hAnsi="宋体" w:eastAsia="宋体" w:cs="宋体"/>
          <w:color w:val="000000" w:themeColor="text1"/>
          <w:sz w:val="21"/>
          <w:szCs w:val="21"/>
          <w:highlight w:val="none"/>
          <w14:textFill>
            <w14:solidFill>
              <w14:schemeClr w14:val="tx1"/>
            </w14:solidFill>
          </w14:textFill>
        </w:rPr>
        <w:t>17、</w:t>
      </w:r>
      <w:bookmarkEnd w:id="151"/>
      <w:bookmarkEnd w:id="152"/>
      <w:bookmarkEnd w:id="153"/>
      <w:bookmarkEnd w:id="154"/>
      <w:bookmarkEnd w:id="155"/>
      <w:r>
        <w:rPr>
          <w:rFonts w:hint="eastAsia" w:ascii="宋体" w:hAnsi="宋体" w:eastAsia="宋体" w:cs="宋体"/>
          <w:color w:val="000000" w:themeColor="text1"/>
          <w:sz w:val="21"/>
          <w:szCs w:val="21"/>
          <w:highlight w:val="none"/>
          <w14:textFill>
            <w14:solidFill>
              <w14:schemeClr w14:val="tx1"/>
            </w14:solidFill>
          </w14:textFill>
        </w:rPr>
        <w:t>投标文件的修改及撤回</w:t>
      </w:r>
    </w:p>
    <w:p>
      <w:pPr>
        <w:pStyle w:val="20"/>
        <w:spacing w:line="400" w:lineRule="exact"/>
        <w:ind w:left="420" w:hanging="420" w:hanging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17.1投标人在投标截止时间前，可以对所递交的投标文件进行补充、修改或者撤回，并书面通知采购人或者采购代理机构。</w:t>
      </w:r>
    </w:p>
    <w:p>
      <w:pPr>
        <w:pStyle w:val="20"/>
        <w:spacing w:line="400" w:lineRule="exact"/>
        <w:rPr>
          <w:rFonts w:hAnsi="宋体" w:cs="宋体"/>
          <w:color w:val="000000" w:themeColor="text1"/>
          <w:szCs w:val="2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17.2</w:t>
      </w:r>
      <w:r>
        <w:rPr>
          <w:rFonts w:hint="eastAsia" w:hAnsi="宋体" w:cs="宋体"/>
          <w:color w:val="000000" w:themeColor="text1"/>
          <w:szCs w:val="21"/>
          <w:highlight w:val="none"/>
          <w14:textFill>
            <w14:solidFill>
              <w14:schemeClr w14:val="tx1"/>
            </w14:solidFill>
          </w14:textFill>
        </w:rPr>
        <w:t>投标人撤回或修改投标文件的书面通知应由投标人法定代表人（或负责人）或其授权代表签字确认；修改后重新递交的投标文件应当在封套上标明“修改（补充）投标文件”字样并密封，在投标截止时间前送达。投标截止时间后，投标人不得撤回、修改投标文件。</w:t>
      </w:r>
    </w:p>
    <w:p>
      <w:pPr>
        <w:pStyle w:val="20"/>
        <w:spacing w:line="400" w:lineRule="exact"/>
        <w:rPr>
          <w:rFonts w:hAnsi="宋体" w:cs="宋体"/>
          <w:color w:val="000000" w:themeColor="text1"/>
          <w:highlight w:val="none"/>
          <w14:textFill>
            <w14:solidFill>
              <w14:schemeClr w14:val="tx1"/>
            </w14:solidFill>
          </w14:textFill>
        </w:rPr>
      </w:pPr>
    </w:p>
    <w:p>
      <w:pPr>
        <w:pStyle w:val="3"/>
        <w:spacing w:line="400" w:lineRule="exact"/>
        <w:jc w:val="center"/>
        <w:rPr>
          <w:rFonts w:ascii="宋体" w:hAnsi="宋体" w:cs="宋体"/>
          <w:color w:val="000000" w:themeColor="text1"/>
          <w:highlight w:val="none"/>
          <w14:textFill>
            <w14:solidFill>
              <w14:schemeClr w14:val="tx1"/>
            </w14:solidFill>
          </w14:textFill>
        </w:rPr>
      </w:pPr>
      <w:bookmarkStart w:id="156" w:name="_Toc395066539"/>
      <w:bookmarkStart w:id="157" w:name="_Toc405942997"/>
      <w:bookmarkStart w:id="158" w:name="_Toc185702571"/>
      <w:bookmarkStart w:id="159" w:name="_Toc200268260"/>
      <w:bookmarkStart w:id="160" w:name="_Toc469909319"/>
      <w:bookmarkStart w:id="161" w:name="_Toc469874185"/>
      <w:bookmarkStart w:id="162" w:name="_Toc25813"/>
      <w:r>
        <w:rPr>
          <w:rFonts w:hint="eastAsia" w:ascii="宋体" w:hAnsi="宋体" w:cs="宋体"/>
          <w:color w:val="000000" w:themeColor="text1"/>
          <w:highlight w:val="none"/>
          <w14:textFill>
            <w14:solidFill>
              <w14:schemeClr w14:val="tx1"/>
            </w14:solidFill>
          </w14:textFill>
        </w:rPr>
        <w:t>五、开标、评</w:t>
      </w:r>
      <w:bookmarkEnd w:id="156"/>
      <w:bookmarkEnd w:id="157"/>
      <w:bookmarkEnd w:id="158"/>
      <w:bookmarkEnd w:id="159"/>
      <w:bookmarkEnd w:id="160"/>
      <w:bookmarkEnd w:id="161"/>
      <w:r>
        <w:rPr>
          <w:rFonts w:hint="eastAsia" w:ascii="宋体" w:hAnsi="宋体" w:cs="宋体"/>
          <w:color w:val="000000" w:themeColor="text1"/>
          <w:highlight w:val="none"/>
          <w14:textFill>
            <w14:solidFill>
              <w14:schemeClr w14:val="tx1"/>
            </w14:solidFill>
          </w14:textFill>
        </w:rPr>
        <w:t>标</w:t>
      </w:r>
      <w:bookmarkEnd w:id="162"/>
    </w:p>
    <w:p>
      <w:pPr>
        <w:pStyle w:val="4"/>
        <w:spacing w:before="0" w:after="0" w:line="400" w:lineRule="exact"/>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18、开标</w:t>
      </w:r>
    </w:p>
    <w:p>
      <w:pPr>
        <w:pStyle w:val="20"/>
        <w:spacing w:line="400" w:lineRule="exact"/>
        <w:ind w:left="420" w:hanging="420" w:hangingChars="200"/>
        <w:rPr>
          <w:rFonts w:hAnsi="宋体" w:cs="宋体"/>
          <w:color w:val="000000" w:themeColor="text1"/>
          <w:highlight w:val="none"/>
          <w14:textFill>
            <w14:solidFill>
              <w14:schemeClr w14:val="tx1"/>
            </w14:solidFill>
          </w14:textFill>
        </w:rPr>
      </w:pPr>
      <w:bookmarkStart w:id="163" w:name="_Toc185702573"/>
      <w:bookmarkStart w:id="164" w:name="_Toc200268262"/>
      <w:r>
        <w:rPr>
          <w:rFonts w:hint="eastAsia" w:hAnsi="宋体" w:cs="宋体"/>
          <w:color w:val="000000" w:themeColor="text1"/>
          <w:highlight w:val="none"/>
          <w14:textFill>
            <w14:solidFill>
              <w14:schemeClr w14:val="tx1"/>
            </w14:solidFill>
          </w14:textFill>
        </w:rPr>
        <w:t>18.1</w:t>
      </w:r>
      <w:r>
        <w:rPr>
          <w:rFonts w:hint="eastAsia" w:hAnsi="宋体" w:cs="宋体"/>
          <w:color w:val="000000" w:themeColor="text1"/>
          <w:szCs w:val="21"/>
          <w:highlight w:val="none"/>
          <w14:textFill>
            <w14:solidFill>
              <w14:schemeClr w14:val="tx1"/>
            </w14:solidFill>
          </w14:textFill>
        </w:rPr>
        <w:t>本项目</w:t>
      </w:r>
      <w:r>
        <w:rPr>
          <w:rFonts w:hint="eastAsia" w:hAnsi="宋体" w:cs="宋体"/>
          <w:color w:val="000000" w:themeColor="text1"/>
          <w:highlight w:val="none"/>
          <w14:textFill>
            <w14:solidFill>
              <w14:schemeClr w14:val="tx1"/>
            </w14:solidFill>
          </w14:textFill>
        </w:rPr>
        <w:t>将在本章须知前附表第11项规定的时间和地点进行开标。</w:t>
      </w:r>
    </w:p>
    <w:p>
      <w:pPr>
        <w:pStyle w:val="20"/>
        <w:spacing w:line="400" w:lineRule="exact"/>
        <w:ind w:left="420" w:hanging="420" w:hanging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18.2投标人的法定代表人（</w:t>
      </w:r>
      <w:r>
        <w:rPr>
          <w:rFonts w:hint="eastAsia" w:hAnsi="宋体" w:cs="宋体"/>
          <w:color w:val="000000" w:themeColor="text1"/>
          <w:szCs w:val="21"/>
          <w:highlight w:val="none"/>
          <w14:textFill>
            <w14:solidFill>
              <w14:schemeClr w14:val="tx1"/>
            </w14:solidFill>
          </w14:textFill>
        </w:rPr>
        <w:t>或负责人</w:t>
      </w:r>
      <w:r>
        <w:rPr>
          <w:rFonts w:hint="eastAsia" w:hAnsi="宋体" w:cs="宋体"/>
          <w:color w:val="000000" w:themeColor="text1"/>
          <w:highlight w:val="none"/>
          <w14:textFill>
            <w14:solidFill>
              <w14:schemeClr w14:val="tx1"/>
            </w14:solidFill>
          </w14:textFill>
        </w:rPr>
        <w:t>）或其委托代理人参加开标会并签到，</w:t>
      </w:r>
      <w:r>
        <w:rPr>
          <w:rFonts w:hint="eastAsia" w:hAnsi="宋体" w:cs="宋体"/>
          <w:color w:val="000000" w:themeColor="text1"/>
          <w:szCs w:val="21"/>
          <w:highlight w:val="none"/>
          <w14:textFill>
            <w14:solidFill>
              <w14:schemeClr w14:val="tx1"/>
            </w14:solidFill>
          </w14:textFill>
        </w:rPr>
        <w:t>未到场或未按时签到的，视同认可开标结果。</w:t>
      </w:r>
    </w:p>
    <w:p>
      <w:pPr>
        <w:pStyle w:val="20"/>
        <w:spacing w:line="400" w:lineRule="exact"/>
        <w:ind w:left="420" w:hanging="420" w:hanging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18.3开标程序：</w:t>
      </w:r>
    </w:p>
    <w:p>
      <w:pPr>
        <w:pStyle w:val="20"/>
        <w:spacing w:line="400" w:lineRule="exact"/>
        <w:ind w:firstLine="42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（1）由采购代理机构主持开标会。</w:t>
      </w:r>
    </w:p>
    <w:p>
      <w:pPr>
        <w:pStyle w:val="20"/>
        <w:spacing w:line="400" w:lineRule="exact"/>
        <w:ind w:firstLine="420"/>
        <w:rPr>
          <w:rFonts w:hAnsi="宋体" w:cs="宋体"/>
          <w:color w:val="000000" w:themeColor="text1"/>
          <w:szCs w:val="2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（2）</w:t>
      </w:r>
      <w:r>
        <w:rPr>
          <w:rFonts w:hint="eastAsia" w:hAnsi="宋体" w:cs="宋体"/>
          <w:color w:val="000000" w:themeColor="text1"/>
          <w:szCs w:val="21"/>
          <w:highlight w:val="none"/>
          <w14:textFill>
            <w14:solidFill>
              <w14:schemeClr w14:val="tx1"/>
            </w14:solidFill>
          </w14:textFill>
        </w:rPr>
        <w:t>介绍参加开标会的人员名单。</w:t>
      </w:r>
    </w:p>
    <w:p>
      <w:pPr>
        <w:pStyle w:val="20"/>
        <w:spacing w:line="400" w:lineRule="exact"/>
        <w:ind w:firstLine="420"/>
        <w:rPr>
          <w:rFonts w:hAnsi="宋体" w:cs="宋体"/>
          <w:color w:val="000000" w:themeColor="text1"/>
          <w:szCs w:val="2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（3）宣读投标纪律，告知应当回避的情形，提请有关人员回避。</w:t>
      </w:r>
    </w:p>
    <w:p>
      <w:pPr>
        <w:pStyle w:val="20"/>
        <w:spacing w:line="400" w:lineRule="exact"/>
        <w:ind w:firstLine="42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（4）由全体投标人代表或者其推选的代表检查投标文件的密封情况并签字确认；</w:t>
      </w:r>
    </w:p>
    <w:p>
      <w:pPr>
        <w:pStyle w:val="20"/>
        <w:spacing w:line="400" w:lineRule="exact"/>
        <w:ind w:firstLine="420"/>
        <w:rPr>
          <w:rFonts w:hAnsi="宋体" w:cs="宋体"/>
          <w:color w:val="000000" w:themeColor="text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（5）</w:t>
      </w:r>
      <w:r>
        <w:rPr>
          <w:rFonts w:hint="eastAsia" w:hAnsi="宋体" w:cs="宋体"/>
          <w:color w:val="000000" w:themeColor="text1"/>
          <w:highlight w:val="none"/>
          <w14:textFill>
            <w14:solidFill>
              <w14:schemeClr w14:val="tx1"/>
            </w14:solidFill>
          </w14:textFill>
        </w:rPr>
        <w:t>经确认密封完好的投标文件，由采购代理机构工作人员当众拆封，宣读“开标一览表”的投标人名称、投标价格和招标文件规定的需要宣布的其他内容。</w:t>
      </w:r>
    </w:p>
    <w:p>
      <w:pPr>
        <w:pStyle w:val="20"/>
        <w:spacing w:line="400" w:lineRule="exact"/>
        <w:ind w:firstLine="42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（6）开标过程和开标记录由参加开标的各投标人代表和相关工作人员签字确认。投标人代表未到场签字确认或者拒绝签字确认的，视为认可开标过程和结果。</w:t>
      </w:r>
    </w:p>
    <w:p>
      <w:pPr>
        <w:pStyle w:val="20"/>
        <w:spacing w:line="400" w:lineRule="exact"/>
        <w:ind w:firstLine="42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（7）投标人代表对</w:t>
      </w:r>
      <w:bookmarkStart w:id="165" w:name="OLE_LINK4"/>
      <w:r>
        <w:rPr>
          <w:rFonts w:hint="eastAsia" w:hAnsi="宋体" w:cs="宋体"/>
          <w:color w:val="000000" w:themeColor="text1"/>
          <w:szCs w:val="21"/>
          <w:highlight w:val="none"/>
          <w14:textFill>
            <w14:solidFill>
              <w14:schemeClr w14:val="tx1"/>
            </w14:solidFill>
          </w14:textFill>
        </w:rPr>
        <w:t>开标过程和开标记录</w:t>
      </w:r>
      <w:bookmarkEnd w:id="165"/>
      <w:r>
        <w:rPr>
          <w:rFonts w:hint="eastAsia" w:hAnsi="宋体" w:cs="宋体"/>
          <w:color w:val="000000" w:themeColor="text1"/>
          <w:szCs w:val="21"/>
          <w:highlight w:val="none"/>
          <w14:textFill>
            <w14:solidFill>
              <w14:schemeClr w14:val="tx1"/>
            </w14:solidFill>
          </w14:textFill>
        </w:rPr>
        <w:t>有疑义，以及认为采购人、采购代理机构相关工作人员有需要回避的情形的，应当场提出询问或者回避申请。</w:t>
      </w:r>
    </w:p>
    <w:p>
      <w:pPr>
        <w:pStyle w:val="20"/>
        <w:spacing w:line="400" w:lineRule="exact"/>
        <w:ind w:firstLine="42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（8）宣布开标会议结束。</w:t>
      </w:r>
    </w:p>
    <w:bookmarkEnd w:id="163"/>
    <w:bookmarkEnd w:id="164"/>
    <w:p>
      <w:pPr>
        <w:pStyle w:val="4"/>
        <w:spacing w:before="0" w:after="0" w:line="400" w:lineRule="exact"/>
        <w:rPr>
          <w:rFonts w:ascii="宋体" w:hAnsi="宋体" w:eastAsia="宋体" w:cs="宋体"/>
          <w:color w:val="000000" w:themeColor="text1"/>
          <w:sz w:val="21"/>
          <w:szCs w:val="21"/>
          <w:highlight w:val="none"/>
          <w14:textFill>
            <w14:solidFill>
              <w14:schemeClr w14:val="tx1"/>
            </w14:solidFill>
          </w14:textFill>
        </w:rPr>
      </w:pPr>
      <w:bookmarkStart w:id="166" w:name="_Toc185702576"/>
      <w:bookmarkStart w:id="167" w:name="_Toc200268265"/>
      <w:r>
        <w:rPr>
          <w:rFonts w:hint="eastAsia" w:ascii="宋体" w:hAnsi="宋体" w:eastAsia="宋体" w:cs="宋体"/>
          <w:color w:val="000000" w:themeColor="text1"/>
          <w:sz w:val="21"/>
          <w:szCs w:val="21"/>
          <w:highlight w:val="none"/>
          <w14:textFill>
            <w14:solidFill>
              <w14:schemeClr w14:val="tx1"/>
            </w14:solidFill>
          </w14:textFill>
        </w:rPr>
        <w:t>19、组建评标委员会</w:t>
      </w:r>
    </w:p>
    <w:p>
      <w:pPr>
        <w:pStyle w:val="20"/>
        <w:spacing w:line="400" w:lineRule="exact"/>
        <w:ind w:left="420" w:hanging="420" w:hanging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19.1采购人和采购代理机构依法组建评标委员会（以下简称评审小组），评审小组由采购人代表和评审专家组成，成员人数为5人以上（含5人）单数，其中评审专家不少于成员总数的三分之二。评审专家在政府采购评审专家库内相关专业技术、经济等方面的专家名单中随机抽取。</w:t>
      </w:r>
    </w:p>
    <w:p>
      <w:pPr>
        <w:pStyle w:val="20"/>
        <w:spacing w:line="400" w:lineRule="exact"/>
        <w:ind w:left="420" w:hanging="420" w:hangingChars="200"/>
        <w:rPr>
          <w:rFonts w:hAnsi="宋体" w:cs="宋体"/>
          <w:color w:val="000000" w:themeColor="text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19.2</w:t>
      </w:r>
      <w:r>
        <w:rPr>
          <w:rFonts w:hint="eastAsia" w:hAnsi="宋体" w:cs="宋体"/>
          <w:color w:val="000000" w:themeColor="text1"/>
          <w:highlight w:val="none"/>
          <w14:textFill>
            <w14:solidFill>
              <w14:schemeClr w14:val="tx1"/>
            </w14:solidFill>
          </w14:textFill>
        </w:rPr>
        <w:t>评标委员会必须公平、公正、客观，不带任何倾向性和启发性；不得向外界透露任何与评标有关的内容；任何单位和个人不得干扰、影响评标的正常进行；评标委员会及有关工作人员不得私下与投标人接触。评标专家发现本人与参加采购活动的投标人有利害关系的，应当主动提出回避。</w:t>
      </w:r>
    </w:p>
    <w:p>
      <w:pPr>
        <w:pStyle w:val="4"/>
        <w:spacing w:before="0" w:after="0" w:line="400" w:lineRule="exact"/>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20、评标</w:t>
      </w:r>
    </w:p>
    <w:p>
      <w:pPr>
        <w:pStyle w:val="20"/>
        <w:spacing w:line="400" w:lineRule="exact"/>
        <w:ind w:left="422" w:hanging="422" w:hangingChars="200"/>
        <w:rPr>
          <w:rFonts w:hAnsi="宋体" w:cs="宋体"/>
          <w:b/>
          <w:bCs/>
          <w:color w:val="000000" w:themeColor="text1"/>
          <w:highlight w:val="none"/>
          <w14:textFill>
            <w14:solidFill>
              <w14:schemeClr w14:val="tx1"/>
            </w14:solidFill>
          </w14:textFill>
        </w:rPr>
      </w:pPr>
      <w:bookmarkStart w:id="168" w:name="_Toc395066541"/>
      <w:bookmarkStart w:id="169" w:name="_Toc469874187"/>
      <w:bookmarkStart w:id="170" w:name="_Toc405942999"/>
      <w:r>
        <w:rPr>
          <w:rFonts w:hint="eastAsia" w:hAnsi="宋体" w:cs="宋体"/>
          <w:b/>
          <w:bCs/>
          <w:color w:val="000000" w:themeColor="text1"/>
          <w:highlight w:val="none"/>
          <w14:textFill>
            <w14:solidFill>
              <w14:schemeClr w14:val="tx1"/>
            </w14:solidFill>
          </w14:textFill>
        </w:rPr>
        <w:t>20.1</w:t>
      </w:r>
      <w:bookmarkEnd w:id="168"/>
      <w:bookmarkEnd w:id="169"/>
      <w:bookmarkEnd w:id="170"/>
      <w:r>
        <w:rPr>
          <w:rFonts w:hint="eastAsia" w:hAnsi="宋体" w:cs="宋体"/>
          <w:b/>
          <w:bCs/>
          <w:color w:val="000000" w:themeColor="text1"/>
          <w:highlight w:val="none"/>
          <w14:textFill>
            <w14:solidFill>
              <w14:schemeClr w14:val="tx1"/>
            </w14:solidFill>
          </w14:textFill>
        </w:rPr>
        <w:t>资格性审查</w:t>
      </w:r>
    </w:p>
    <w:p>
      <w:pPr>
        <w:pStyle w:val="20"/>
        <w:spacing w:line="400" w:lineRule="exact"/>
        <w:ind w:left="630" w:hanging="630" w:hangingChars="3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20.1.1开标结束后，由采购人</w:t>
      </w:r>
      <w:r>
        <w:rPr>
          <w:rFonts w:hint="eastAsia" w:hAnsi="宋体" w:cs="宋体"/>
          <w:bCs/>
          <w:color w:val="000000" w:themeColor="text1"/>
          <w:highlight w:val="none"/>
          <w14:textFill>
            <w14:solidFill>
              <w14:schemeClr w14:val="tx1"/>
            </w14:solidFill>
          </w14:textFill>
        </w:rPr>
        <w:t>依据法律法规和招标文件的规定对投标人的资格</w:t>
      </w:r>
      <w:r>
        <w:rPr>
          <w:rFonts w:hint="eastAsia" w:hAnsi="宋体" w:cs="宋体"/>
          <w:color w:val="000000" w:themeColor="text1"/>
          <w:highlight w:val="none"/>
          <w14:textFill>
            <w14:solidFill>
              <w14:schemeClr w14:val="tx1"/>
            </w14:solidFill>
          </w14:textFill>
        </w:rPr>
        <w:t>进行审查，以确定投标人是否具备投标资格。它所涉及到的主要文件和内容为本章投标人须知第9条所述的资格资信证明文件内容。如果投标人不具备投标资格，不满足招标文件所规定的资格条件或缺少任何一项或有任何一项不合格的，视为资格审查不合格，其不再进入评审。</w:t>
      </w:r>
    </w:p>
    <w:p>
      <w:pPr>
        <w:pStyle w:val="20"/>
        <w:spacing w:line="400" w:lineRule="exact"/>
        <w:ind w:left="422" w:hanging="422" w:hangingChars="200"/>
        <w:rPr>
          <w:rFonts w:hAnsi="宋体" w:cs="宋体"/>
          <w:color w:val="000000" w:themeColor="text1"/>
          <w:highlight w:val="none"/>
          <w14:textFill>
            <w14:solidFill>
              <w14:schemeClr w14:val="tx1"/>
            </w14:solidFill>
          </w14:textFill>
        </w:rPr>
      </w:pPr>
      <w:r>
        <w:rPr>
          <w:rFonts w:hint="eastAsia" w:hAnsi="宋体" w:cs="宋体"/>
          <w:b/>
          <w:bCs/>
          <w:color w:val="000000" w:themeColor="text1"/>
          <w:highlight w:val="none"/>
          <w14:textFill>
            <w14:solidFill>
              <w14:schemeClr w14:val="tx1"/>
            </w14:solidFill>
          </w14:textFill>
        </w:rPr>
        <w:t>20.2投标文件</w:t>
      </w:r>
      <w:r>
        <w:rPr>
          <w:rFonts w:hint="eastAsia" w:hAnsi="宋体" w:cs="宋体"/>
          <w:b/>
          <w:color w:val="000000" w:themeColor="text1"/>
          <w:highlight w:val="none"/>
          <w14:textFill>
            <w14:solidFill>
              <w14:schemeClr w14:val="tx1"/>
            </w14:solidFill>
          </w14:textFill>
        </w:rPr>
        <w:t>符合性检查。</w:t>
      </w:r>
      <w:r>
        <w:rPr>
          <w:rFonts w:hint="eastAsia" w:hAnsi="宋体" w:cs="宋体"/>
          <w:color w:val="000000" w:themeColor="text1"/>
          <w:highlight w:val="none"/>
          <w14:textFill>
            <w14:solidFill>
              <w14:schemeClr w14:val="tx1"/>
            </w14:solidFill>
          </w14:textFill>
        </w:rPr>
        <w:t>评标委员会应当对符合资格的投标人的投标文件进行符合性审查，以确定其是否满足招标文件的实质性要求。依据招标文件的规定，从投标文件的有效性、完整性和对招标文件的响应程度进行审查，以确定是否符合对招标文件的实质性要求作出响应（采购人可根据具体项目的情况对实质性要求作特别的规定）。实质性偏离是指：(1)实质性影响合同的范围、质量和履行；(2)实质性违背招标文件，限制了采购人的权利和中标</w:t>
      </w:r>
      <w:r>
        <w:rPr>
          <w:rFonts w:hint="eastAsia" w:hAnsi="宋体" w:cs="宋体"/>
          <w:bCs/>
          <w:color w:val="000000" w:themeColor="text1"/>
          <w:highlight w:val="none"/>
          <w14:textFill>
            <w14:solidFill>
              <w14:schemeClr w14:val="tx1"/>
            </w14:solidFill>
          </w14:textFill>
        </w:rPr>
        <w:t>人</w:t>
      </w:r>
      <w:r>
        <w:rPr>
          <w:rFonts w:hint="eastAsia" w:hAnsi="宋体" w:cs="宋体"/>
          <w:color w:val="000000" w:themeColor="text1"/>
          <w:highlight w:val="none"/>
          <w14:textFill>
            <w14:solidFill>
              <w14:schemeClr w14:val="tx1"/>
            </w14:solidFill>
          </w14:textFill>
        </w:rPr>
        <w:t>合同项下的义务；(3)不公正地影响了其它作出实质性响应的投标人的竞争地位。没有对招标文件作出实质性响应的投标文件将不进行评审，其投标将被拒绝。</w:t>
      </w:r>
    </w:p>
    <w:p>
      <w:pPr>
        <w:pStyle w:val="20"/>
        <w:spacing w:line="400" w:lineRule="exact"/>
        <w:ind w:left="422" w:hanging="422" w:hangingChars="200"/>
        <w:rPr>
          <w:rFonts w:hAnsi="宋体" w:cs="宋体"/>
          <w:b/>
          <w:bCs/>
          <w:color w:val="000000" w:themeColor="text1"/>
          <w:szCs w:val="21"/>
          <w:highlight w:val="none"/>
          <w14:textFill>
            <w14:solidFill>
              <w14:schemeClr w14:val="tx1"/>
            </w14:solidFill>
          </w14:textFill>
        </w:rPr>
      </w:pPr>
      <w:r>
        <w:rPr>
          <w:rFonts w:hint="eastAsia" w:hAnsi="宋体" w:cs="宋体"/>
          <w:b/>
          <w:bCs/>
          <w:color w:val="000000" w:themeColor="text1"/>
          <w:highlight w:val="none"/>
          <w14:textFill>
            <w14:solidFill>
              <w14:schemeClr w14:val="tx1"/>
            </w14:solidFill>
          </w14:textFill>
        </w:rPr>
        <w:t>20.3</w:t>
      </w:r>
      <w:r>
        <w:rPr>
          <w:rFonts w:hint="eastAsia" w:hAnsi="宋体" w:cs="宋体"/>
          <w:b/>
          <w:bCs/>
          <w:color w:val="000000" w:themeColor="text1"/>
          <w:szCs w:val="21"/>
          <w:highlight w:val="none"/>
          <w14:textFill>
            <w14:solidFill>
              <w14:schemeClr w14:val="tx1"/>
            </w14:solidFill>
          </w14:textFill>
        </w:rPr>
        <w:t>澄清有关问题、算术性修正。</w:t>
      </w:r>
    </w:p>
    <w:p>
      <w:pPr>
        <w:pStyle w:val="20"/>
        <w:spacing w:line="400" w:lineRule="exact"/>
        <w:ind w:firstLine="42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 对于投标文件中含义不明确、同类问题表述不一致或者有明显文字和计算错误的内容，评标委员会应当以书面形式要求投标人作出必要的澄清、说明或者补正。</w:t>
      </w:r>
    </w:p>
    <w:p>
      <w:pPr>
        <w:pStyle w:val="20"/>
        <w:spacing w:line="400" w:lineRule="exact"/>
        <w:ind w:firstLine="42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(2) 投标人的澄清、说明或者补正应当采用书面形式，并加盖公章，或者由法定代表人（或负责人）或其授权的代表签字。投标人的澄清、说明或者补正不得超出投标文件的范围或者改变投标文件的实质性内容。</w:t>
      </w:r>
    </w:p>
    <w:p>
      <w:pPr>
        <w:pStyle w:val="20"/>
        <w:spacing w:line="400" w:lineRule="exact"/>
        <w:ind w:firstLine="42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(3)</w:t>
      </w:r>
      <w:r>
        <w:rPr>
          <w:rFonts w:hint="eastAsia" w:hAnsi="宋体" w:cs="宋体"/>
          <w:color w:val="000000" w:themeColor="text1"/>
          <w:kern w:val="0"/>
          <w:szCs w:val="21"/>
          <w:highlight w:val="none"/>
          <w14:textFill>
            <w14:solidFill>
              <w14:schemeClr w14:val="tx1"/>
            </w14:solidFill>
          </w14:textFill>
        </w:rPr>
        <w:t xml:space="preserve"> 投标文件报价出现前后不一致的，除招标文件另有规定外，按照下列规定修正</w:t>
      </w:r>
      <w:r>
        <w:rPr>
          <w:rFonts w:hint="eastAsia" w:hAnsi="宋体" w:cs="宋体"/>
          <w:color w:val="000000" w:themeColor="text1"/>
          <w:szCs w:val="21"/>
          <w:highlight w:val="none"/>
          <w14:textFill>
            <w14:solidFill>
              <w14:schemeClr w14:val="tx1"/>
            </w14:solidFill>
          </w14:textFill>
        </w:rPr>
        <w:t>：</w:t>
      </w:r>
    </w:p>
    <w:p>
      <w:pPr>
        <w:pStyle w:val="20"/>
        <w:spacing w:line="400" w:lineRule="exact"/>
        <w:ind w:left="900" w:hanging="300"/>
        <w:rPr>
          <w:rFonts w:hAnsi="宋体" w:cs="宋体"/>
          <w:bCs/>
          <w:color w:val="000000" w:themeColor="text1"/>
          <w:highlight w:val="none"/>
          <w14:textFill>
            <w14:solidFill>
              <w14:schemeClr w14:val="tx1"/>
            </w14:solidFill>
          </w14:textFill>
        </w:rPr>
      </w:pPr>
      <w:r>
        <w:rPr>
          <w:rFonts w:hint="eastAsia" w:hAnsi="宋体" w:cs="宋体"/>
          <w:bCs/>
          <w:color w:val="000000" w:themeColor="text1"/>
          <w:highlight w:val="none"/>
          <w14:textFill>
            <w14:solidFill>
              <w14:schemeClr w14:val="tx1"/>
            </w14:solidFill>
          </w14:textFill>
        </w:rPr>
        <w:t xml:space="preserve">① </w:t>
      </w:r>
      <w:r>
        <w:rPr>
          <w:rFonts w:hint="eastAsia" w:hAnsi="宋体" w:cs="宋体"/>
          <w:color w:val="000000" w:themeColor="text1"/>
          <w:highlight w:val="none"/>
          <w14:textFill>
            <w14:solidFill>
              <w14:schemeClr w14:val="tx1"/>
            </w14:solidFill>
          </w14:textFill>
        </w:rPr>
        <w:t>投标文件中</w:t>
      </w:r>
      <w:r>
        <w:rPr>
          <w:rFonts w:hint="eastAsia" w:hAnsi="宋体" w:cs="宋体"/>
          <w:bCs/>
          <w:color w:val="000000" w:themeColor="text1"/>
          <w:highlight w:val="none"/>
          <w14:textFill>
            <w14:solidFill>
              <w14:schemeClr w14:val="tx1"/>
            </w14:solidFill>
          </w14:textFill>
        </w:rPr>
        <w:t>开标一览表（报价表）内容</w:t>
      </w:r>
      <w:r>
        <w:rPr>
          <w:rFonts w:hint="eastAsia" w:hAnsi="宋体" w:cs="宋体"/>
          <w:color w:val="000000" w:themeColor="text1"/>
          <w:highlight w:val="none"/>
          <w14:textFill>
            <w14:solidFill>
              <w14:schemeClr w14:val="tx1"/>
            </w14:solidFill>
          </w14:textFill>
        </w:rPr>
        <w:t>与投标文件中相应内容不一致的，以开标一览表（报价表）为准。</w:t>
      </w:r>
    </w:p>
    <w:p>
      <w:pPr>
        <w:pStyle w:val="20"/>
        <w:spacing w:line="400" w:lineRule="exact"/>
        <w:ind w:left="900" w:hanging="300"/>
        <w:rPr>
          <w:rFonts w:hAnsi="宋体" w:cs="宋体"/>
          <w:bCs/>
          <w:color w:val="000000" w:themeColor="text1"/>
          <w:highlight w:val="none"/>
          <w14:textFill>
            <w14:solidFill>
              <w14:schemeClr w14:val="tx1"/>
            </w14:solidFill>
          </w14:textFill>
        </w:rPr>
      </w:pPr>
      <w:r>
        <w:rPr>
          <w:rFonts w:hint="eastAsia" w:hAnsi="宋体" w:cs="宋体"/>
          <w:bCs/>
          <w:color w:val="000000" w:themeColor="text1"/>
          <w:highlight w:val="none"/>
          <w14:textFill>
            <w14:solidFill>
              <w14:schemeClr w14:val="tx1"/>
            </w14:solidFill>
          </w14:textFill>
        </w:rPr>
        <w:t>②</w:t>
      </w:r>
      <w:r>
        <w:rPr>
          <w:rFonts w:hint="eastAsia" w:hAnsi="宋体" w:cs="宋体"/>
          <w:color w:val="000000" w:themeColor="text1"/>
          <w:highlight w:val="none"/>
          <w14:textFill>
            <w14:solidFill>
              <w14:schemeClr w14:val="tx1"/>
            </w14:solidFill>
          </w14:textFill>
        </w:rPr>
        <w:t xml:space="preserve"> 大写金额和小写金额不一致时</w:t>
      </w:r>
      <w:r>
        <w:rPr>
          <w:rFonts w:hint="eastAsia" w:hAnsi="宋体" w:cs="宋体"/>
          <w:bCs/>
          <w:color w:val="000000" w:themeColor="text1"/>
          <w:highlight w:val="none"/>
          <w14:textFill>
            <w14:solidFill>
              <w14:schemeClr w14:val="tx1"/>
            </w14:solidFill>
          </w14:textFill>
        </w:rPr>
        <w:t>，以大写金额为准。</w:t>
      </w:r>
    </w:p>
    <w:p>
      <w:pPr>
        <w:pStyle w:val="20"/>
        <w:spacing w:line="400" w:lineRule="exact"/>
        <w:ind w:left="900" w:hanging="300"/>
        <w:rPr>
          <w:rFonts w:hAnsi="宋体" w:cs="宋体"/>
          <w:color w:val="000000" w:themeColor="text1"/>
          <w:highlight w:val="none"/>
          <w14:textFill>
            <w14:solidFill>
              <w14:schemeClr w14:val="tx1"/>
            </w14:solidFill>
          </w14:textFill>
        </w:rPr>
      </w:pPr>
      <w:r>
        <w:rPr>
          <w:rFonts w:hint="eastAsia" w:hAnsi="宋体" w:cs="宋体"/>
          <w:bCs/>
          <w:color w:val="000000" w:themeColor="text1"/>
          <w:highlight w:val="none"/>
          <w14:textFill>
            <w14:solidFill>
              <w14:schemeClr w14:val="tx1"/>
            </w14:solidFill>
          </w14:textFill>
        </w:rPr>
        <w:t>③</w:t>
      </w:r>
      <w:r>
        <w:rPr>
          <w:rFonts w:hint="eastAsia" w:hAnsi="宋体" w:cs="宋体"/>
          <w:color w:val="000000" w:themeColor="text1"/>
          <w:highlight w:val="none"/>
          <w14:textFill>
            <w14:solidFill>
              <w14:schemeClr w14:val="tx1"/>
            </w14:solidFill>
          </w14:textFill>
        </w:rPr>
        <w:t>单价金额小数点或者百分比有明显错位的，以开标一览表的总价为准，并修改单价；</w:t>
      </w:r>
    </w:p>
    <w:p>
      <w:pPr>
        <w:pStyle w:val="20"/>
        <w:spacing w:line="400" w:lineRule="exact"/>
        <w:ind w:left="900" w:hanging="300"/>
        <w:rPr>
          <w:rFonts w:hAnsi="宋体" w:cs="宋体"/>
          <w:color w:val="000000" w:themeColor="text1"/>
          <w:highlight w:val="none"/>
          <w14:textFill>
            <w14:solidFill>
              <w14:schemeClr w14:val="tx1"/>
            </w14:solidFill>
          </w14:textFill>
        </w:rPr>
      </w:pPr>
      <w:r>
        <w:rPr>
          <w:rFonts w:hint="eastAsia" w:hAnsi="宋体" w:cs="宋体"/>
          <w:bCs/>
          <w:color w:val="000000" w:themeColor="text1"/>
          <w:highlight w:val="none"/>
          <w14:textFill>
            <w14:solidFill>
              <w14:schemeClr w14:val="tx1"/>
            </w14:solidFill>
          </w14:textFill>
        </w:rPr>
        <w:t>④</w:t>
      </w:r>
      <w:r>
        <w:rPr>
          <w:rFonts w:hint="eastAsia" w:hAnsi="宋体" w:cs="宋体"/>
          <w:color w:val="000000" w:themeColor="text1"/>
          <w:highlight w:val="none"/>
          <w14:textFill>
            <w14:solidFill>
              <w14:schemeClr w14:val="tx1"/>
            </w14:solidFill>
          </w14:textFill>
        </w:rPr>
        <w:t>总价金额与按单价汇总金额不一致的，以单价金额计算结果为准。</w:t>
      </w:r>
    </w:p>
    <w:p>
      <w:pPr>
        <w:pStyle w:val="20"/>
        <w:spacing w:line="400" w:lineRule="exact"/>
        <w:ind w:firstLine="42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同时出现两种以上不一致的，按照前款规定的顺序修正。修正后的报价或内容按照第22.2（2）条款的规定经投标人确认后产生约束力，投标人不确认的，其投标无效。</w:t>
      </w:r>
    </w:p>
    <w:p>
      <w:pPr>
        <w:pStyle w:val="20"/>
        <w:spacing w:line="400" w:lineRule="exact"/>
        <w:ind w:left="422" w:hanging="422" w:hangingChars="200"/>
        <w:rPr>
          <w:rFonts w:hAnsi="宋体" w:cs="宋体"/>
          <w:color w:val="000000" w:themeColor="text1"/>
          <w:szCs w:val="21"/>
          <w:highlight w:val="none"/>
          <w14:textFill>
            <w14:solidFill>
              <w14:schemeClr w14:val="tx1"/>
            </w14:solidFill>
          </w14:textFill>
        </w:rPr>
      </w:pPr>
      <w:r>
        <w:rPr>
          <w:rFonts w:hint="eastAsia" w:hAnsi="宋体" w:cs="宋体"/>
          <w:b/>
          <w:bCs/>
          <w:color w:val="000000" w:themeColor="text1"/>
          <w:highlight w:val="none"/>
          <w14:textFill>
            <w14:solidFill>
              <w14:schemeClr w14:val="tx1"/>
            </w14:solidFill>
          </w14:textFill>
        </w:rPr>
        <w:t>20.4比较</w:t>
      </w:r>
      <w:r>
        <w:rPr>
          <w:rFonts w:hint="eastAsia" w:hAnsi="宋体" w:cs="宋体"/>
          <w:b/>
          <w:bCs/>
          <w:color w:val="000000" w:themeColor="text1"/>
          <w:szCs w:val="21"/>
          <w:highlight w:val="none"/>
          <w14:textFill>
            <w14:solidFill>
              <w14:schemeClr w14:val="tx1"/>
            </w14:solidFill>
          </w14:textFill>
        </w:rPr>
        <w:t>与评价。</w:t>
      </w:r>
      <w:r>
        <w:rPr>
          <w:rFonts w:hint="eastAsia" w:hAnsi="宋体" w:cs="宋体"/>
          <w:bCs/>
          <w:color w:val="000000" w:themeColor="text1"/>
          <w:szCs w:val="21"/>
          <w:highlight w:val="none"/>
          <w14:textFill>
            <w14:solidFill>
              <w14:schemeClr w14:val="tx1"/>
            </w14:solidFill>
          </w14:textFill>
        </w:rPr>
        <w:t>本项目采用</w:t>
      </w:r>
      <w:r>
        <w:rPr>
          <w:rFonts w:hint="eastAsia" w:hAnsi="宋体" w:cs="宋体"/>
          <w:bCs/>
          <w:color w:val="000000" w:themeColor="text1"/>
          <w:szCs w:val="21"/>
          <w:highlight w:val="none"/>
          <w:u w:val="single"/>
          <w14:textFill>
            <w14:solidFill>
              <w14:schemeClr w14:val="tx1"/>
            </w14:solidFill>
          </w14:textFill>
        </w:rPr>
        <w:t>综合评分法</w:t>
      </w:r>
      <w:r>
        <w:rPr>
          <w:rFonts w:hint="eastAsia" w:hAnsi="宋体" w:cs="宋体"/>
          <w:bCs/>
          <w:color w:val="000000" w:themeColor="text1"/>
          <w:szCs w:val="21"/>
          <w:highlight w:val="none"/>
          <w14:textFill>
            <w14:solidFill>
              <w14:schemeClr w14:val="tx1"/>
            </w14:solidFill>
          </w14:textFill>
        </w:rPr>
        <w:t>（详见第四章）。评审小组按照招标文件中规定的评标方法和标准，对符合性审查合格</w:t>
      </w:r>
      <w:r>
        <w:rPr>
          <w:rFonts w:hint="eastAsia" w:hAnsi="宋体" w:cs="宋体"/>
          <w:color w:val="000000" w:themeColor="text1"/>
          <w:szCs w:val="21"/>
          <w:highlight w:val="none"/>
          <w14:textFill>
            <w14:solidFill>
              <w14:schemeClr w14:val="tx1"/>
            </w14:solidFill>
          </w14:textFill>
        </w:rPr>
        <w:t>的投标文件进行商务和技术评估，综合比较与评价。</w:t>
      </w:r>
    </w:p>
    <w:p>
      <w:pPr>
        <w:pStyle w:val="20"/>
        <w:spacing w:line="400" w:lineRule="exact"/>
        <w:ind w:left="422" w:hanging="422" w:hangingChars="200"/>
        <w:rPr>
          <w:rFonts w:hAnsi="宋体" w:cs="宋体"/>
          <w:bCs/>
          <w:color w:val="000000" w:themeColor="text1"/>
          <w:spacing w:val="-2"/>
          <w:szCs w:val="21"/>
          <w:highlight w:val="none"/>
          <w14:textFill>
            <w14:solidFill>
              <w14:schemeClr w14:val="tx1"/>
            </w14:solidFill>
          </w14:textFill>
        </w:rPr>
      </w:pPr>
      <w:r>
        <w:rPr>
          <w:rFonts w:hint="eastAsia" w:hAnsi="宋体" w:cs="宋体"/>
          <w:b/>
          <w:color w:val="000000" w:themeColor="text1"/>
          <w:szCs w:val="21"/>
          <w:highlight w:val="none"/>
          <w14:textFill>
            <w14:solidFill>
              <w14:schemeClr w14:val="tx1"/>
            </w14:solidFill>
          </w14:textFill>
        </w:rPr>
        <w:t>20.</w:t>
      </w:r>
      <w:r>
        <w:rPr>
          <w:rFonts w:hint="eastAsia" w:hAnsi="宋体" w:cs="宋体"/>
          <w:b/>
          <w:bCs/>
          <w:color w:val="000000" w:themeColor="text1"/>
          <w:spacing w:val="-2"/>
          <w:szCs w:val="21"/>
          <w:highlight w:val="none"/>
          <w14:textFill>
            <w14:solidFill>
              <w14:schemeClr w14:val="tx1"/>
            </w14:solidFill>
          </w14:textFill>
        </w:rPr>
        <w:t>5推荐</w:t>
      </w:r>
      <w:r>
        <w:rPr>
          <w:rFonts w:hint="eastAsia" w:hAnsi="宋体" w:cs="宋体"/>
          <w:b/>
          <w:bCs/>
          <w:color w:val="000000" w:themeColor="text1"/>
          <w:szCs w:val="21"/>
          <w:highlight w:val="none"/>
          <w14:textFill>
            <w14:solidFill>
              <w14:schemeClr w14:val="tx1"/>
            </w14:solidFill>
          </w14:textFill>
        </w:rPr>
        <w:t>中标</w:t>
      </w:r>
      <w:r>
        <w:rPr>
          <w:rFonts w:hint="eastAsia" w:hAnsi="宋体" w:cs="宋体"/>
          <w:b/>
          <w:bCs/>
          <w:color w:val="000000" w:themeColor="text1"/>
          <w:spacing w:val="-2"/>
          <w:szCs w:val="21"/>
          <w:highlight w:val="none"/>
          <w14:textFill>
            <w14:solidFill>
              <w14:schemeClr w14:val="tx1"/>
            </w14:solidFill>
          </w14:textFill>
        </w:rPr>
        <w:t>候选</w:t>
      </w:r>
      <w:r>
        <w:rPr>
          <w:rFonts w:hint="eastAsia" w:hAnsi="宋体" w:cs="宋体"/>
          <w:b/>
          <w:bCs/>
          <w:color w:val="000000" w:themeColor="text1"/>
          <w:szCs w:val="21"/>
          <w:highlight w:val="none"/>
          <w14:textFill>
            <w14:solidFill>
              <w14:schemeClr w14:val="tx1"/>
            </w14:solidFill>
          </w14:textFill>
        </w:rPr>
        <w:t>人</w:t>
      </w:r>
      <w:r>
        <w:rPr>
          <w:rFonts w:hint="eastAsia" w:hAnsi="宋体" w:cs="宋体"/>
          <w:b/>
          <w:bCs/>
          <w:color w:val="000000" w:themeColor="text1"/>
          <w:spacing w:val="-2"/>
          <w:szCs w:val="21"/>
          <w:highlight w:val="none"/>
          <w14:textFill>
            <w14:solidFill>
              <w14:schemeClr w14:val="tx1"/>
            </w14:solidFill>
          </w14:textFill>
        </w:rPr>
        <w:t>名单并编写评审报告。</w:t>
      </w:r>
      <w:r>
        <w:rPr>
          <w:rFonts w:hint="eastAsia" w:hAnsi="宋体" w:cs="宋体"/>
          <w:color w:val="000000" w:themeColor="text1"/>
          <w:spacing w:val="-2"/>
          <w:szCs w:val="21"/>
          <w:highlight w:val="none"/>
          <w14:textFill>
            <w14:solidFill>
              <w14:schemeClr w14:val="tx1"/>
            </w14:solidFill>
          </w14:textFill>
        </w:rPr>
        <w:t>评标委员会</w:t>
      </w:r>
      <w:r>
        <w:rPr>
          <w:rFonts w:hint="eastAsia" w:hAnsi="宋体" w:cs="宋体"/>
          <w:bCs/>
          <w:color w:val="000000" w:themeColor="text1"/>
          <w:spacing w:val="-2"/>
          <w:szCs w:val="21"/>
          <w:highlight w:val="none"/>
          <w14:textFill>
            <w14:solidFill>
              <w14:schemeClr w14:val="tx1"/>
            </w14:solidFill>
          </w14:textFill>
        </w:rPr>
        <w:t>根据评分办法的中标标准及推荐原则推荐中标候选</w:t>
      </w:r>
      <w:r>
        <w:rPr>
          <w:rFonts w:hint="eastAsia" w:hAnsi="宋体" w:cs="宋体"/>
          <w:bCs/>
          <w:color w:val="000000" w:themeColor="text1"/>
          <w:szCs w:val="21"/>
          <w:highlight w:val="none"/>
          <w14:textFill>
            <w14:solidFill>
              <w14:schemeClr w14:val="tx1"/>
            </w14:solidFill>
          </w14:textFill>
        </w:rPr>
        <w:t>人</w:t>
      </w:r>
      <w:r>
        <w:rPr>
          <w:rFonts w:hint="eastAsia" w:hAnsi="宋体" w:cs="宋体"/>
          <w:bCs/>
          <w:color w:val="000000" w:themeColor="text1"/>
          <w:spacing w:val="-2"/>
          <w:szCs w:val="21"/>
          <w:highlight w:val="none"/>
          <w14:textFill>
            <w14:solidFill>
              <w14:schemeClr w14:val="tx1"/>
            </w14:solidFill>
          </w14:textFill>
        </w:rPr>
        <w:t>名单</w:t>
      </w:r>
      <w:bookmarkStart w:id="171" w:name="_Toc211355145"/>
      <w:r>
        <w:rPr>
          <w:rFonts w:hint="eastAsia" w:hAnsi="宋体" w:cs="宋体"/>
          <w:bCs/>
          <w:color w:val="000000" w:themeColor="text1"/>
          <w:spacing w:val="-2"/>
          <w:szCs w:val="21"/>
          <w:highlight w:val="none"/>
          <w14:textFill>
            <w14:solidFill>
              <w14:schemeClr w14:val="tx1"/>
            </w14:solidFill>
          </w14:textFill>
        </w:rPr>
        <w:t>，在评审工作完</w:t>
      </w:r>
      <w:r>
        <w:rPr>
          <w:rFonts w:hint="eastAsia" w:hAnsi="宋体" w:cs="宋体"/>
          <w:color w:val="000000" w:themeColor="text1"/>
          <w:spacing w:val="-2"/>
          <w:szCs w:val="21"/>
          <w:highlight w:val="none"/>
          <w14:textFill>
            <w14:solidFill>
              <w14:schemeClr w14:val="tx1"/>
            </w14:solidFill>
          </w14:textFill>
        </w:rPr>
        <w:t>成后，向采购人提交书面评审报告。</w:t>
      </w:r>
    </w:p>
    <w:p>
      <w:pPr>
        <w:pStyle w:val="20"/>
        <w:spacing w:line="400" w:lineRule="exact"/>
        <w:ind w:left="420" w:hanging="420" w:hanging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20.6采购代理机构对评审过程和评分、评审结论进行核对和复核，如有错漏，请当事评委进行校正，按校正后的结果</w:t>
      </w:r>
      <w:r>
        <w:rPr>
          <w:rFonts w:hint="eastAsia" w:hAnsi="宋体" w:cs="宋体"/>
          <w:bCs/>
          <w:color w:val="000000" w:themeColor="text1"/>
          <w:spacing w:val="-2"/>
          <w:szCs w:val="21"/>
          <w:highlight w:val="none"/>
          <w14:textFill>
            <w14:solidFill>
              <w14:schemeClr w14:val="tx1"/>
            </w14:solidFill>
          </w14:textFill>
        </w:rPr>
        <w:t>推荐</w:t>
      </w:r>
      <w:r>
        <w:rPr>
          <w:rFonts w:hint="eastAsia" w:hAnsi="宋体" w:cs="宋体"/>
          <w:bCs/>
          <w:color w:val="000000" w:themeColor="text1"/>
          <w:szCs w:val="21"/>
          <w:highlight w:val="none"/>
          <w14:textFill>
            <w14:solidFill>
              <w14:schemeClr w14:val="tx1"/>
            </w14:solidFill>
          </w14:textFill>
        </w:rPr>
        <w:t>中标</w:t>
      </w:r>
      <w:r>
        <w:rPr>
          <w:rFonts w:hint="eastAsia" w:hAnsi="宋体" w:cs="宋体"/>
          <w:bCs/>
          <w:color w:val="000000" w:themeColor="text1"/>
          <w:spacing w:val="-2"/>
          <w:szCs w:val="21"/>
          <w:highlight w:val="none"/>
          <w14:textFill>
            <w14:solidFill>
              <w14:schemeClr w14:val="tx1"/>
            </w14:solidFill>
          </w14:textFill>
        </w:rPr>
        <w:t>候选</w:t>
      </w:r>
      <w:r>
        <w:rPr>
          <w:rFonts w:hint="eastAsia" w:hAnsi="宋体" w:cs="宋体"/>
          <w:bCs/>
          <w:color w:val="000000" w:themeColor="text1"/>
          <w:szCs w:val="21"/>
          <w:highlight w:val="none"/>
          <w14:textFill>
            <w14:solidFill>
              <w14:schemeClr w14:val="tx1"/>
            </w14:solidFill>
          </w14:textFill>
        </w:rPr>
        <w:t>人</w:t>
      </w:r>
      <w:r>
        <w:rPr>
          <w:rFonts w:hint="eastAsia" w:hAnsi="宋体" w:cs="宋体"/>
          <w:bCs/>
          <w:color w:val="000000" w:themeColor="text1"/>
          <w:spacing w:val="-2"/>
          <w:szCs w:val="21"/>
          <w:highlight w:val="none"/>
          <w14:textFill>
            <w14:solidFill>
              <w14:schemeClr w14:val="tx1"/>
            </w14:solidFill>
          </w14:textFill>
        </w:rPr>
        <w:t>名单</w:t>
      </w:r>
      <w:r>
        <w:rPr>
          <w:rFonts w:hint="eastAsia" w:hAnsi="宋体" w:cs="宋体"/>
          <w:color w:val="000000" w:themeColor="text1"/>
          <w:szCs w:val="21"/>
          <w:highlight w:val="none"/>
          <w14:textFill>
            <w14:solidFill>
              <w14:schemeClr w14:val="tx1"/>
            </w14:solidFill>
          </w14:textFill>
        </w:rPr>
        <w:t>。</w:t>
      </w:r>
    </w:p>
    <w:p>
      <w:pPr>
        <w:pStyle w:val="20"/>
        <w:spacing w:line="400" w:lineRule="exact"/>
        <w:ind w:left="525" w:hanging="525" w:hangingChars="250"/>
        <w:rPr>
          <w:rFonts w:hAnsi="宋体" w:cs="宋体"/>
          <w:color w:val="000000" w:themeColor="text1"/>
          <w:kern w:val="0"/>
          <w:szCs w:val="2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20.7</w:t>
      </w:r>
      <w:r>
        <w:rPr>
          <w:rFonts w:hint="eastAsia" w:hAnsi="宋体" w:cs="宋体"/>
          <w:color w:val="000000" w:themeColor="text1"/>
          <w:kern w:val="0"/>
          <w:szCs w:val="21"/>
          <w:highlight w:val="none"/>
          <w14:textFill>
            <w14:solidFill>
              <w14:schemeClr w14:val="tx1"/>
            </w14:solidFill>
          </w14:textFill>
        </w:rPr>
        <w:t>评标委员会成员对需要共同认定的事项存在争议的，应当按照少数服从多数的原则作出结论。持不同意见的评标委员会成员应当在评标报告上签署不同意见及理由，否则视为同意评标报告。</w:t>
      </w:r>
    </w:p>
    <w:bookmarkEnd w:id="171"/>
    <w:p>
      <w:pPr>
        <w:pStyle w:val="4"/>
        <w:spacing w:before="0" w:after="0" w:line="400" w:lineRule="exact"/>
        <w:rPr>
          <w:rFonts w:ascii="宋体" w:hAnsi="宋体" w:eastAsia="宋体" w:cs="宋体"/>
          <w:color w:val="000000" w:themeColor="text1"/>
          <w:sz w:val="21"/>
          <w:szCs w:val="21"/>
          <w:highlight w:val="none"/>
          <w14:textFill>
            <w14:solidFill>
              <w14:schemeClr w14:val="tx1"/>
            </w14:solidFill>
          </w14:textFill>
        </w:rPr>
      </w:pPr>
      <w:bookmarkStart w:id="172" w:name="_Toc211355146"/>
      <w:bookmarkStart w:id="173" w:name="_Toc185702574"/>
      <w:bookmarkStart w:id="174" w:name="_Toc395066543"/>
      <w:bookmarkStart w:id="175" w:name="_Toc200268263"/>
      <w:bookmarkStart w:id="176" w:name="_Toc405943001"/>
      <w:bookmarkStart w:id="177" w:name="_Toc469874189"/>
      <w:r>
        <w:rPr>
          <w:rFonts w:hint="eastAsia" w:ascii="宋体" w:hAnsi="宋体" w:eastAsia="宋体" w:cs="宋体"/>
          <w:color w:val="000000" w:themeColor="text1"/>
          <w:sz w:val="21"/>
          <w:szCs w:val="21"/>
          <w:highlight w:val="none"/>
          <w14:textFill>
            <w14:solidFill>
              <w14:schemeClr w14:val="tx1"/>
            </w14:solidFill>
          </w14:textFill>
        </w:rPr>
        <w:t>21、无效投标</w:t>
      </w:r>
      <w:bookmarkEnd w:id="172"/>
      <w:bookmarkEnd w:id="173"/>
      <w:bookmarkEnd w:id="174"/>
      <w:bookmarkEnd w:id="175"/>
      <w:bookmarkEnd w:id="176"/>
      <w:r>
        <w:rPr>
          <w:rFonts w:hint="eastAsia" w:ascii="宋体" w:hAnsi="宋体" w:eastAsia="宋体" w:cs="宋体"/>
          <w:color w:val="000000" w:themeColor="text1"/>
          <w:sz w:val="21"/>
          <w:szCs w:val="21"/>
          <w:highlight w:val="none"/>
          <w14:textFill>
            <w14:solidFill>
              <w14:schemeClr w14:val="tx1"/>
            </w14:solidFill>
          </w14:textFill>
        </w:rPr>
        <w:t>的情形</w:t>
      </w:r>
      <w:bookmarkEnd w:id="177"/>
    </w:p>
    <w:p>
      <w:pPr>
        <w:pStyle w:val="20"/>
        <w:spacing w:line="400" w:lineRule="exact"/>
        <w:ind w:left="420" w:hanging="420" w:hangingChars="200"/>
        <w:rPr>
          <w:rFonts w:hAnsi="宋体" w:cs="宋体"/>
          <w:bCs/>
          <w:color w:val="000000" w:themeColor="text1"/>
          <w:szCs w:val="21"/>
          <w:highlight w:val="none"/>
          <w14:textFill>
            <w14:solidFill>
              <w14:schemeClr w14:val="tx1"/>
            </w14:solidFill>
          </w14:textFill>
        </w:rPr>
      </w:pPr>
      <w:r>
        <w:rPr>
          <w:rFonts w:hint="eastAsia" w:hAnsi="宋体" w:cs="宋体"/>
          <w:bCs/>
          <w:color w:val="000000" w:themeColor="text1"/>
          <w:szCs w:val="21"/>
          <w:highlight w:val="none"/>
          <w14:textFill>
            <w14:solidFill>
              <w14:schemeClr w14:val="tx1"/>
            </w14:solidFill>
          </w14:textFill>
        </w:rPr>
        <w:t>21.1</w:t>
      </w:r>
      <w:r>
        <w:rPr>
          <w:rFonts w:hint="eastAsia" w:hAnsi="宋体" w:cs="宋体"/>
          <w:color w:val="000000" w:themeColor="text1"/>
          <w:spacing w:val="-4"/>
          <w:szCs w:val="21"/>
          <w:highlight w:val="none"/>
          <w14:textFill>
            <w14:solidFill>
              <w14:schemeClr w14:val="tx1"/>
            </w14:solidFill>
          </w14:textFill>
        </w:rPr>
        <w:t>实质上</w:t>
      </w:r>
      <w:r>
        <w:rPr>
          <w:rFonts w:hint="eastAsia" w:hAnsi="宋体" w:cs="宋体"/>
          <w:bCs/>
          <w:color w:val="000000" w:themeColor="text1"/>
          <w:szCs w:val="21"/>
          <w:highlight w:val="none"/>
          <w14:textFill>
            <w14:solidFill>
              <w14:schemeClr w14:val="tx1"/>
            </w14:solidFill>
          </w14:textFill>
        </w:rPr>
        <w:t>没有响应招标文件要求的投标将被视为无效投标，投标人不得通过修正或撤销不符合招标文件要求的偏离或保留从而使其投标成为实质上响应的投标。但经评标委员会认定属于投标人疏忽、笔误所造成的差错，该差错未实质性改变招标文件的内容的，应当允许其在评审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pPr>
        <w:pStyle w:val="20"/>
        <w:spacing w:line="400" w:lineRule="exact"/>
        <w:ind w:left="404" w:hanging="404" w:hangingChars="200"/>
        <w:rPr>
          <w:rFonts w:hAnsi="宋体" w:cs="宋体"/>
          <w:color w:val="000000" w:themeColor="text1"/>
          <w:spacing w:val="-4"/>
          <w:szCs w:val="21"/>
          <w:highlight w:val="none"/>
          <w14:textFill>
            <w14:solidFill>
              <w14:schemeClr w14:val="tx1"/>
            </w14:solidFill>
          </w14:textFill>
        </w:rPr>
      </w:pPr>
      <w:r>
        <w:rPr>
          <w:rFonts w:hint="eastAsia" w:hAnsi="宋体" w:cs="宋体"/>
          <w:color w:val="000000" w:themeColor="text1"/>
          <w:spacing w:val="-4"/>
          <w:szCs w:val="21"/>
          <w:highlight w:val="none"/>
          <w14:textFill>
            <w14:solidFill>
              <w14:schemeClr w14:val="tx1"/>
            </w14:solidFill>
          </w14:textFill>
        </w:rPr>
        <w:t>21.2投标人存在下列情况之一的，投标无效：</w:t>
      </w:r>
    </w:p>
    <w:p>
      <w:pPr>
        <w:spacing w:line="400" w:lineRule="exact"/>
        <w:ind w:firstLine="42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（1）未按照招标文件的规定提交投标保证金的；</w:t>
      </w:r>
    </w:p>
    <w:p>
      <w:pPr>
        <w:spacing w:line="400" w:lineRule="exact"/>
        <w:ind w:firstLine="42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（2）按照招标文件的规定时间获取招标文件并缴纳招标文件工本费的；</w:t>
      </w:r>
    </w:p>
    <w:p>
      <w:pPr>
        <w:spacing w:line="400" w:lineRule="exact"/>
        <w:ind w:firstLine="42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（3）投标文件未按招标文件要求签署、盖章或加盖手指印的；</w:t>
      </w:r>
    </w:p>
    <w:p>
      <w:pPr>
        <w:spacing w:line="400" w:lineRule="exact"/>
        <w:ind w:firstLine="42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（4）</w:t>
      </w:r>
      <w:r>
        <w:rPr>
          <w:rFonts w:hint="eastAsia" w:ascii="宋体" w:hAnsi="宋体" w:cs="宋体"/>
          <w:color w:val="000000" w:themeColor="text1"/>
          <w:szCs w:val="21"/>
          <w:highlight w:val="none"/>
          <w14:textFill>
            <w14:solidFill>
              <w14:schemeClr w14:val="tx1"/>
            </w14:solidFill>
          </w14:textFill>
        </w:rPr>
        <w:t>未按</w:t>
      </w:r>
      <w:r>
        <w:rPr>
          <w:rFonts w:hint="eastAsia" w:ascii="宋体" w:hAnsi="宋体" w:cs="宋体"/>
          <w:bCs/>
          <w:color w:val="000000" w:themeColor="text1"/>
          <w:szCs w:val="21"/>
          <w:highlight w:val="none"/>
          <w14:textFill>
            <w14:solidFill>
              <w14:schemeClr w14:val="tx1"/>
            </w14:solidFill>
          </w14:textFill>
        </w:rPr>
        <w:t>招标</w:t>
      </w:r>
      <w:r>
        <w:rPr>
          <w:rFonts w:hint="eastAsia" w:ascii="宋体" w:hAnsi="宋体" w:cs="宋体"/>
          <w:color w:val="000000" w:themeColor="text1"/>
          <w:szCs w:val="21"/>
          <w:highlight w:val="none"/>
          <w14:textFill>
            <w14:solidFill>
              <w14:schemeClr w14:val="tx1"/>
            </w14:solidFill>
          </w14:textFill>
        </w:rPr>
        <w:t>文件规定提交</w:t>
      </w:r>
      <w:r>
        <w:rPr>
          <w:rFonts w:hint="eastAsia" w:ascii="宋体" w:hAnsi="宋体" w:cs="宋体"/>
          <w:bCs/>
          <w:color w:val="000000" w:themeColor="text1"/>
          <w:szCs w:val="21"/>
          <w:highlight w:val="none"/>
          <w14:textFill>
            <w14:solidFill>
              <w14:schemeClr w14:val="tx1"/>
            </w14:solidFill>
          </w14:textFill>
        </w:rPr>
        <w:t>投标</w:t>
      </w:r>
      <w:r>
        <w:rPr>
          <w:rFonts w:hint="eastAsia" w:ascii="宋体" w:hAnsi="宋体" w:cs="宋体"/>
          <w:color w:val="000000" w:themeColor="text1"/>
          <w:szCs w:val="21"/>
          <w:highlight w:val="none"/>
          <w14:textFill>
            <w14:solidFill>
              <w14:schemeClr w14:val="tx1"/>
            </w14:solidFill>
          </w14:textFill>
        </w:rPr>
        <w:t>文件份数及</w:t>
      </w:r>
      <w:r>
        <w:rPr>
          <w:rFonts w:hint="eastAsia" w:ascii="宋体" w:hAnsi="宋体" w:cs="宋体"/>
          <w:bCs/>
          <w:color w:val="000000" w:themeColor="text1"/>
          <w:szCs w:val="21"/>
          <w:highlight w:val="none"/>
          <w14:textFill>
            <w14:solidFill>
              <w14:schemeClr w14:val="tx1"/>
            </w14:solidFill>
          </w14:textFill>
        </w:rPr>
        <w:t>投标</w:t>
      </w:r>
      <w:r>
        <w:rPr>
          <w:rFonts w:hint="eastAsia" w:ascii="宋体" w:hAnsi="宋体" w:cs="宋体"/>
          <w:color w:val="000000" w:themeColor="text1"/>
          <w:szCs w:val="21"/>
          <w:highlight w:val="none"/>
          <w14:textFill>
            <w14:solidFill>
              <w14:schemeClr w14:val="tx1"/>
            </w14:solidFill>
          </w14:textFill>
        </w:rPr>
        <w:t>文件电子版的；</w:t>
      </w:r>
    </w:p>
    <w:p>
      <w:pPr>
        <w:spacing w:line="400" w:lineRule="exact"/>
        <w:ind w:firstLine="42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（5）不具备招标文件中规定的资格要求的；</w:t>
      </w:r>
    </w:p>
    <w:p>
      <w:pPr>
        <w:spacing w:line="400" w:lineRule="exact"/>
        <w:ind w:firstLine="42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（6）报价超过招标文件中规定的预算金额或者最高限价的；</w:t>
      </w:r>
    </w:p>
    <w:p>
      <w:pPr>
        <w:spacing w:line="400" w:lineRule="exact"/>
        <w:ind w:firstLine="42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（7）投标文件含有采购人不能接受的附加条件的；</w:t>
      </w:r>
    </w:p>
    <w:p>
      <w:pPr>
        <w:spacing w:line="400" w:lineRule="exact"/>
        <w:ind w:firstLine="42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（8）法律、法规和招标文件规定的其他无效情形。</w:t>
      </w:r>
    </w:p>
    <w:p>
      <w:pPr>
        <w:pStyle w:val="20"/>
        <w:spacing w:line="400" w:lineRule="exact"/>
        <w:ind w:left="404" w:hanging="404" w:hangingChars="200"/>
        <w:rPr>
          <w:rFonts w:hAnsi="宋体" w:cs="宋体"/>
          <w:color w:val="000000" w:themeColor="text1"/>
          <w:spacing w:val="-4"/>
          <w:szCs w:val="21"/>
          <w:highlight w:val="none"/>
          <w14:textFill>
            <w14:solidFill>
              <w14:schemeClr w14:val="tx1"/>
            </w14:solidFill>
          </w14:textFill>
        </w:rPr>
      </w:pPr>
      <w:r>
        <w:rPr>
          <w:rFonts w:hint="eastAsia" w:hAnsi="宋体" w:cs="宋体"/>
          <w:color w:val="000000" w:themeColor="text1"/>
          <w:spacing w:val="-4"/>
          <w:szCs w:val="21"/>
          <w:highlight w:val="none"/>
          <w14:textFill>
            <w14:solidFill>
              <w14:schemeClr w14:val="tx1"/>
            </w14:solidFill>
          </w14:textFill>
        </w:rPr>
        <w:t>21.3在技术评审时，投标人存在下列情形之一的，投标无效：</w:t>
      </w:r>
    </w:p>
    <w:p>
      <w:pPr>
        <w:pStyle w:val="18"/>
        <w:snapToGrid w:val="0"/>
        <w:spacing w:line="400" w:lineRule="exact"/>
        <w:ind w:firstLine="404" w:firstLineChars="200"/>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（1）未提供或未如实提供投标货物的技术参数（技术规格标准）或参数注册（检测）证明，或者投标文件标明的响应或偏离与事实不符或虚假投标的（含中标后查实的）；</w:t>
      </w:r>
    </w:p>
    <w:p>
      <w:pPr>
        <w:pStyle w:val="18"/>
        <w:snapToGrid w:val="0"/>
        <w:spacing w:line="400" w:lineRule="exact"/>
        <w:ind w:firstLine="404" w:firstLineChars="200"/>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（2）明显不符合招标文件要求的规格型号、质量标准的；</w:t>
      </w:r>
    </w:p>
    <w:p>
      <w:pPr>
        <w:pStyle w:val="18"/>
        <w:snapToGrid w:val="0"/>
        <w:spacing w:line="400" w:lineRule="exact"/>
        <w:ind w:firstLine="404" w:firstLineChars="200"/>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（3）允许偏离的技术、性能指标或者辅助功能项目发生负偏离达招标文件规定情形的；</w:t>
      </w:r>
    </w:p>
    <w:p>
      <w:pPr>
        <w:pStyle w:val="18"/>
        <w:snapToGrid w:val="0"/>
        <w:spacing w:line="400" w:lineRule="exact"/>
        <w:ind w:firstLine="404" w:firstLineChars="200"/>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（4）投标技术方案不明确，存在一个或一个以上备选（替代）投标方案的；</w:t>
      </w:r>
    </w:p>
    <w:p>
      <w:pPr>
        <w:pStyle w:val="18"/>
        <w:snapToGrid w:val="0"/>
        <w:spacing w:line="400" w:lineRule="exact"/>
        <w:ind w:firstLine="404" w:firstLineChars="200"/>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（5）与其他参加本次投标投标人的投标文件（技术文件）的文字表述内容相同连续20行以上或者差错相同2处以上（含2处）的。</w:t>
      </w:r>
    </w:p>
    <w:p>
      <w:pPr>
        <w:pStyle w:val="18"/>
        <w:snapToGrid w:val="0"/>
        <w:spacing w:line="400" w:lineRule="exact"/>
        <w:ind w:firstLine="404" w:firstLineChars="200"/>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（6）未按招标采购内容及要求提供证明材料的。</w:t>
      </w:r>
    </w:p>
    <w:p>
      <w:pPr>
        <w:pStyle w:val="20"/>
        <w:spacing w:line="400" w:lineRule="exact"/>
        <w:ind w:left="404" w:hanging="404" w:hangingChars="200"/>
        <w:rPr>
          <w:rFonts w:hAnsi="宋体" w:cs="宋体"/>
          <w:color w:val="000000" w:themeColor="text1"/>
          <w:spacing w:val="-4"/>
          <w:szCs w:val="21"/>
          <w:highlight w:val="none"/>
          <w14:textFill>
            <w14:solidFill>
              <w14:schemeClr w14:val="tx1"/>
            </w14:solidFill>
          </w14:textFill>
        </w:rPr>
      </w:pPr>
      <w:r>
        <w:rPr>
          <w:rFonts w:hint="eastAsia" w:hAnsi="宋体" w:cs="宋体"/>
          <w:color w:val="000000" w:themeColor="text1"/>
          <w:spacing w:val="-4"/>
          <w:szCs w:val="21"/>
          <w:highlight w:val="none"/>
          <w14:textFill>
            <w14:solidFill>
              <w14:schemeClr w14:val="tx1"/>
            </w14:solidFill>
          </w14:textFill>
        </w:rPr>
        <w:t>21.4在报价评审时，投标人存在下列情形之一的，作无效投标处理：</w:t>
      </w:r>
    </w:p>
    <w:p>
      <w:pPr>
        <w:pStyle w:val="18"/>
        <w:snapToGrid w:val="0"/>
        <w:spacing w:line="400" w:lineRule="exact"/>
        <w:ind w:firstLine="395" w:firstLineChars="196"/>
        <w:rPr>
          <w:rFonts w:hAnsi="宋体" w:cs="宋体"/>
          <w:bCs/>
          <w:color w:val="000000" w:themeColor="text1"/>
          <w:sz w:val="21"/>
          <w:szCs w:val="21"/>
          <w:highlight w:val="none"/>
          <w14:textFill>
            <w14:solidFill>
              <w14:schemeClr w14:val="tx1"/>
            </w14:solidFill>
          </w14:textFill>
        </w:rPr>
      </w:pPr>
      <w:r>
        <w:rPr>
          <w:rFonts w:hint="eastAsia" w:hAnsi="宋体" w:cs="宋体"/>
          <w:bCs/>
          <w:color w:val="000000" w:themeColor="text1"/>
          <w:sz w:val="21"/>
          <w:szCs w:val="21"/>
          <w:highlight w:val="none"/>
          <w14:textFill>
            <w14:solidFill>
              <w14:schemeClr w14:val="tx1"/>
            </w14:solidFill>
          </w14:textFill>
        </w:rPr>
        <w:t>（1）未采用人民币报价或者未按照招标文件标明的币种报价的；</w:t>
      </w:r>
    </w:p>
    <w:p>
      <w:pPr>
        <w:pStyle w:val="18"/>
        <w:snapToGrid w:val="0"/>
        <w:spacing w:line="400" w:lineRule="exact"/>
        <w:ind w:firstLine="395" w:firstLineChars="196"/>
        <w:rPr>
          <w:rFonts w:hAnsi="宋体" w:cs="宋体"/>
          <w:bCs/>
          <w:color w:val="000000" w:themeColor="text1"/>
          <w:sz w:val="21"/>
          <w:szCs w:val="21"/>
          <w:highlight w:val="none"/>
          <w14:textFill>
            <w14:solidFill>
              <w14:schemeClr w14:val="tx1"/>
            </w14:solidFill>
          </w14:textFill>
        </w:rPr>
      </w:pPr>
      <w:r>
        <w:rPr>
          <w:rFonts w:hint="eastAsia" w:hAnsi="宋体" w:cs="宋体"/>
          <w:bCs/>
          <w:color w:val="000000" w:themeColor="text1"/>
          <w:sz w:val="21"/>
          <w:szCs w:val="21"/>
          <w:highlight w:val="none"/>
          <w14:textFill>
            <w14:solidFill>
              <w14:schemeClr w14:val="tx1"/>
            </w14:solidFill>
          </w14:textFill>
        </w:rPr>
        <w:t>（2）投标报价具有选择性，或者开标价格与投标文件承诺的优惠（折扣）价格不一致的；</w:t>
      </w:r>
    </w:p>
    <w:p>
      <w:pPr>
        <w:pStyle w:val="18"/>
        <w:snapToGrid w:val="0"/>
        <w:spacing w:line="400" w:lineRule="exact"/>
        <w:ind w:firstLine="395" w:firstLineChars="196"/>
        <w:rPr>
          <w:rFonts w:hAnsi="宋体" w:cs="宋体"/>
          <w:bCs/>
          <w:color w:val="000000" w:themeColor="text1"/>
          <w:sz w:val="21"/>
          <w:szCs w:val="21"/>
          <w:highlight w:val="none"/>
          <w14:textFill>
            <w14:solidFill>
              <w14:schemeClr w14:val="tx1"/>
            </w14:solidFill>
          </w14:textFill>
        </w:rPr>
      </w:pPr>
      <w:r>
        <w:rPr>
          <w:rFonts w:hint="eastAsia" w:hAnsi="宋体" w:cs="宋体"/>
          <w:bCs/>
          <w:color w:val="000000" w:themeColor="text1"/>
          <w:sz w:val="21"/>
          <w:szCs w:val="21"/>
          <w:highlight w:val="none"/>
          <w14:textFill>
            <w14:solidFill>
              <w14:schemeClr w14:val="tx1"/>
            </w14:solidFill>
          </w14:textFill>
        </w:rPr>
        <w:t>（3）投标报价明细表总额与开标一览表总价不一致的；</w:t>
      </w:r>
    </w:p>
    <w:p>
      <w:pPr>
        <w:pStyle w:val="18"/>
        <w:snapToGrid w:val="0"/>
        <w:spacing w:line="400" w:lineRule="exact"/>
        <w:ind w:firstLine="395" w:firstLineChars="196"/>
        <w:rPr>
          <w:rFonts w:hAnsi="宋体" w:cs="宋体"/>
          <w:bCs/>
          <w:color w:val="000000" w:themeColor="text1"/>
          <w:sz w:val="21"/>
          <w:szCs w:val="21"/>
          <w:highlight w:val="none"/>
          <w14:textFill>
            <w14:solidFill>
              <w14:schemeClr w14:val="tx1"/>
            </w14:solidFill>
          </w14:textFill>
        </w:rPr>
      </w:pPr>
      <w:r>
        <w:rPr>
          <w:rFonts w:hint="eastAsia" w:hAnsi="宋体" w:cs="宋体"/>
          <w:bCs/>
          <w:color w:val="000000" w:themeColor="text1"/>
          <w:sz w:val="21"/>
          <w:szCs w:val="21"/>
          <w:highlight w:val="none"/>
          <w14:textFill>
            <w14:solidFill>
              <w14:schemeClr w14:val="tx1"/>
            </w14:solidFill>
          </w14:textFill>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18"/>
        <w:snapToGrid w:val="0"/>
        <w:spacing w:line="400" w:lineRule="exact"/>
        <w:ind w:firstLine="395" w:firstLineChars="196"/>
        <w:rPr>
          <w:rFonts w:hAnsi="宋体" w:cs="宋体"/>
          <w:bCs/>
          <w:color w:val="000000" w:themeColor="text1"/>
          <w:sz w:val="21"/>
          <w:szCs w:val="21"/>
          <w:highlight w:val="none"/>
          <w14:textFill>
            <w14:solidFill>
              <w14:schemeClr w14:val="tx1"/>
            </w14:solidFill>
          </w14:textFill>
        </w:rPr>
      </w:pPr>
      <w:r>
        <w:rPr>
          <w:rFonts w:hint="eastAsia" w:hAnsi="宋体" w:cs="宋体"/>
          <w:bCs/>
          <w:color w:val="000000" w:themeColor="text1"/>
          <w:sz w:val="21"/>
          <w:szCs w:val="21"/>
          <w:highlight w:val="none"/>
          <w14:textFill>
            <w14:solidFill>
              <w14:schemeClr w14:val="tx1"/>
            </w14:solidFill>
          </w14:textFill>
        </w:rPr>
        <w:t>（5）经评标委员会认定，投标报价出现恶意竞争、不合理或违反实质性条款的属于无效报价。</w:t>
      </w:r>
    </w:p>
    <w:p>
      <w:pPr>
        <w:pStyle w:val="20"/>
        <w:spacing w:line="400" w:lineRule="exact"/>
        <w:ind w:left="404" w:hanging="404" w:hangingChars="200"/>
        <w:rPr>
          <w:rFonts w:hAnsi="宋体" w:cs="宋体"/>
          <w:color w:val="000000" w:themeColor="text1"/>
          <w:spacing w:val="-4"/>
          <w:szCs w:val="21"/>
          <w:highlight w:val="none"/>
          <w14:textFill>
            <w14:solidFill>
              <w14:schemeClr w14:val="tx1"/>
            </w14:solidFill>
          </w14:textFill>
        </w:rPr>
      </w:pPr>
      <w:r>
        <w:rPr>
          <w:rFonts w:hint="eastAsia" w:hAnsi="宋体" w:cs="宋体"/>
          <w:color w:val="000000" w:themeColor="text1"/>
          <w:spacing w:val="-4"/>
          <w:szCs w:val="21"/>
          <w:highlight w:val="none"/>
          <w14:textFill>
            <w14:solidFill>
              <w14:schemeClr w14:val="tx1"/>
            </w14:solidFill>
          </w14:textFill>
        </w:rPr>
        <w:t>21.5投标人有下列情形之一的视为投标人相互串通投标，作无效投标处理：</w:t>
      </w:r>
    </w:p>
    <w:p>
      <w:pPr>
        <w:pStyle w:val="18"/>
        <w:snapToGrid w:val="0"/>
        <w:spacing w:line="400" w:lineRule="exact"/>
        <w:ind w:firstLine="404" w:firstLineChars="200"/>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(1)不同投标人的投标文件由同一单位或者个人编制；或不同投标人报名的IP地址一致的；</w:t>
      </w:r>
    </w:p>
    <w:p>
      <w:pPr>
        <w:pStyle w:val="18"/>
        <w:snapToGrid w:val="0"/>
        <w:spacing w:line="400" w:lineRule="exact"/>
        <w:ind w:firstLine="404" w:firstLineChars="200"/>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(2)不同投标人委托同一单位或者个人办理投标事宜；</w:t>
      </w:r>
    </w:p>
    <w:p>
      <w:pPr>
        <w:pStyle w:val="18"/>
        <w:snapToGrid w:val="0"/>
        <w:spacing w:line="400" w:lineRule="exact"/>
        <w:ind w:firstLine="404" w:firstLineChars="200"/>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(3)不同的投标人的投标文件载明的项目管理员为同一个人；</w:t>
      </w:r>
    </w:p>
    <w:p>
      <w:pPr>
        <w:pStyle w:val="18"/>
        <w:snapToGrid w:val="0"/>
        <w:spacing w:line="400" w:lineRule="exact"/>
        <w:ind w:firstLine="404" w:firstLineChars="200"/>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(4)不同投标人的投标文件异常一致或投标报价呈规律性差异；</w:t>
      </w:r>
    </w:p>
    <w:p>
      <w:pPr>
        <w:pStyle w:val="18"/>
        <w:snapToGrid w:val="0"/>
        <w:spacing w:line="400" w:lineRule="exact"/>
        <w:ind w:firstLine="404" w:firstLineChars="200"/>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(5)不同投标人的投标文件相互混装；</w:t>
      </w:r>
    </w:p>
    <w:p>
      <w:pPr>
        <w:pStyle w:val="18"/>
        <w:snapToGrid w:val="0"/>
        <w:spacing w:line="400" w:lineRule="exact"/>
        <w:ind w:firstLine="404" w:firstLineChars="200"/>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(6)不同投标人的投标保证金从同一单位或者个人账户转出。</w:t>
      </w:r>
    </w:p>
    <w:p>
      <w:pPr>
        <w:pStyle w:val="20"/>
        <w:spacing w:line="400" w:lineRule="exact"/>
        <w:ind w:left="404" w:hanging="404" w:hangingChars="200"/>
        <w:rPr>
          <w:rFonts w:hAnsi="宋体" w:cs="宋体"/>
          <w:color w:val="000000" w:themeColor="text1"/>
          <w:spacing w:val="-4"/>
          <w:szCs w:val="21"/>
          <w:highlight w:val="none"/>
          <w14:textFill>
            <w14:solidFill>
              <w14:schemeClr w14:val="tx1"/>
            </w14:solidFill>
          </w14:textFill>
        </w:rPr>
      </w:pPr>
      <w:r>
        <w:rPr>
          <w:rFonts w:hint="eastAsia" w:hAnsi="宋体" w:cs="宋体"/>
          <w:color w:val="000000" w:themeColor="text1"/>
          <w:spacing w:val="-4"/>
          <w:szCs w:val="21"/>
          <w:highlight w:val="none"/>
          <w14:textFill>
            <w14:solidFill>
              <w14:schemeClr w14:val="tx1"/>
            </w14:solidFill>
          </w14:textFill>
        </w:rPr>
        <w:t>21.6被拒绝的投标文件为无效。</w:t>
      </w:r>
    </w:p>
    <w:p>
      <w:pPr>
        <w:pStyle w:val="18"/>
        <w:snapToGrid w:val="0"/>
        <w:spacing w:line="400" w:lineRule="exact"/>
        <w:ind w:firstLine="404" w:firstLineChars="200"/>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1）属下列情形之一的，采购人应当拒绝接收投标人的投标文件：</w:t>
      </w:r>
    </w:p>
    <w:p>
      <w:pPr>
        <w:pStyle w:val="18"/>
        <w:snapToGrid w:val="0"/>
        <w:spacing w:line="400" w:lineRule="exact"/>
        <w:ind w:firstLine="404" w:firstLineChars="200"/>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（1）在本章第16.1条规定的投标截止时间之后送达的；</w:t>
      </w:r>
    </w:p>
    <w:p>
      <w:pPr>
        <w:pStyle w:val="18"/>
        <w:snapToGrid w:val="0"/>
        <w:spacing w:line="400" w:lineRule="exact"/>
        <w:ind w:firstLine="404" w:firstLineChars="200"/>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（2）未送达至本章第16.1条指定的递交投标文件地点的；</w:t>
      </w:r>
    </w:p>
    <w:p>
      <w:pPr>
        <w:pStyle w:val="18"/>
        <w:snapToGrid w:val="0"/>
        <w:spacing w:line="400" w:lineRule="exact"/>
        <w:ind w:firstLine="404" w:firstLineChars="200"/>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2）属下列情形之一的，采购人应当拒绝接收投标人的投标样品：</w:t>
      </w:r>
    </w:p>
    <w:p>
      <w:pPr>
        <w:pStyle w:val="18"/>
        <w:snapToGrid w:val="0"/>
        <w:spacing w:line="400" w:lineRule="exact"/>
        <w:ind w:firstLine="404" w:firstLineChars="200"/>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（1）在本章第16.1条规定的递交投标样品截止时间之后送达的；</w:t>
      </w:r>
    </w:p>
    <w:p>
      <w:pPr>
        <w:pStyle w:val="18"/>
        <w:snapToGrid w:val="0"/>
        <w:spacing w:line="400" w:lineRule="exact"/>
        <w:ind w:firstLine="404" w:firstLineChars="200"/>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（2）未送达至本章第16.1条指定的递交投标样品地点的。</w:t>
      </w:r>
    </w:p>
    <w:p>
      <w:pPr>
        <w:pStyle w:val="4"/>
        <w:spacing w:before="0" w:after="0" w:line="400" w:lineRule="exact"/>
        <w:rPr>
          <w:rFonts w:ascii="宋体" w:hAnsi="宋体" w:eastAsia="宋体" w:cs="宋体"/>
          <w:color w:val="000000" w:themeColor="text1"/>
          <w:sz w:val="21"/>
          <w:szCs w:val="21"/>
          <w:highlight w:val="none"/>
          <w14:textFill>
            <w14:solidFill>
              <w14:schemeClr w14:val="tx1"/>
            </w14:solidFill>
          </w14:textFill>
        </w:rPr>
      </w:pPr>
      <w:bookmarkStart w:id="178" w:name="_Toc185702575"/>
      <w:bookmarkStart w:id="179" w:name="_Toc211355147"/>
      <w:bookmarkStart w:id="180" w:name="_Toc405943002"/>
      <w:bookmarkStart w:id="181" w:name="_Toc395066544"/>
      <w:bookmarkStart w:id="182" w:name="_Toc469874190"/>
      <w:bookmarkStart w:id="183" w:name="_Toc200268264"/>
      <w:r>
        <w:rPr>
          <w:rFonts w:hint="eastAsia" w:ascii="宋体" w:hAnsi="宋体" w:eastAsia="宋体" w:cs="宋体"/>
          <w:color w:val="000000" w:themeColor="text1"/>
          <w:sz w:val="21"/>
          <w:szCs w:val="21"/>
          <w:highlight w:val="none"/>
          <w14:textFill>
            <w14:solidFill>
              <w14:schemeClr w14:val="tx1"/>
            </w14:solidFill>
          </w14:textFill>
        </w:rPr>
        <w:t>22、废标</w:t>
      </w:r>
      <w:bookmarkEnd w:id="178"/>
      <w:bookmarkEnd w:id="179"/>
      <w:bookmarkEnd w:id="180"/>
      <w:bookmarkEnd w:id="181"/>
      <w:bookmarkEnd w:id="182"/>
      <w:bookmarkEnd w:id="183"/>
    </w:p>
    <w:p>
      <w:pPr>
        <w:pStyle w:val="20"/>
        <w:spacing w:line="400" w:lineRule="exact"/>
        <w:ind w:left="420" w:hanging="420" w:hanging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22.1在招标采购中，出现下列情形之一的，应予废标：</w:t>
      </w:r>
    </w:p>
    <w:p>
      <w:pPr>
        <w:pStyle w:val="20"/>
        <w:spacing w:line="400" w:lineRule="exact"/>
        <w:ind w:left="420" w:hanging="420" w:hanging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（1）符合专业条件的投标人或者对招标文件作实质响应的投标人不足三家的；</w:t>
      </w:r>
    </w:p>
    <w:p>
      <w:pPr>
        <w:pStyle w:val="20"/>
        <w:spacing w:line="400" w:lineRule="exact"/>
        <w:ind w:left="420" w:hanging="420" w:hanging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（2）出现影响采购公正的违法、违规行为的；</w:t>
      </w:r>
    </w:p>
    <w:p>
      <w:pPr>
        <w:pStyle w:val="20"/>
        <w:spacing w:line="400" w:lineRule="exact"/>
        <w:ind w:left="420" w:hanging="420" w:hanging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（3）投标人的报价均超过了采购预算，采购人不能支付的；</w:t>
      </w:r>
    </w:p>
    <w:p>
      <w:pPr>
        <w:pStyle w:val="20"/>
        <w:spacing w:line="400" w:lineRule="exact"/>
        <w:ind w:left="420" w:hanging="420" w:hanging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（4）因重大变故，采购任务取消的。</w:t>
      </w:r>
    </w:p>
    <w:p>
      <w:pPr>
        <w:pStyle w:val="20"/>
        <w:spacing w:line="400" w:lineRule="exact"/>
        <w:ind w:left="420" w:hanging="420" w:hanging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废标后，采购人应当将废标理由通知所有投标人。</w:t>
      </w:r>
    </w:p>
    <w:p>
      <w:pPr>
        <w:pStyle w:val="20"/>
        <w:spacing w:line="400" w:lineRule="exact"/>
        <w:ind w:left="435"/>
        <w:rPr>
          <w:rFonts w:hAnsi="宋体" w:cs="宋体"/>
          <w:b/>
          <w:bCs/>
          <w:color w:val="000000" w:themeColor="text1"/>
          <w:highlight w:val="none"/>
          <w14:textFill>
            <w14:solidFill>
              <w14:schemeClr w14:val="tx1"/>
            </w14:solidFill>
          </w14:textFill>
        </w:rPr>
      </w:pPr>
    </w:p>
    <w:p>
      <w:pPr>
        <w:pStyle w:val="3"/>
        <w:spacing w:line="400" w:lineRule="exact"/>
        <w:jc w:val="center"/>
        <w:rPr>
          <w:rFonts w:ascii="宋体" w:hAnsi="宋体" w:cs="宋体"/>
          <w:color w:val="000000" w:themeColor="text1"/>
          <w:highlight w:val="none"/>
          <w14:textFill>
            <w14:solidFill>
              <w14:schemeClr w14:val="tx1"/>
            </w14:solidFill>
          </w14:textFill>
        </w:rPr>
      </w:pPr>
      <w:bookmarkStart w:id="184" w:name="_Toc469874191"/>
      <w:bookmarkStart w:id="185" w:name="_Toc469909320"/>
      <w:bookmarkStart w:id="186" w:name="_Toc405943003"/>
      <w:bookmarkStart w:id="187" w:name="_Toc395066545"/>
      <w:bookmarkStart w:id="188" w:name="_Toc18481"/>
      <w:r>
        <w:rPr>
          <w:rFonts w:hint="eastAsia" w:ascii="宋体" w:hAnsi="宋体" w:cs="宋体"/>
          <w:color w:val="000000" w:themeColor="text1"/>
          <w:highlight w:val="none"/>
          <w14:textFill>
            <w14:solidFill>
              <w14:schemeClr w14:val="tx1"/>
            </w14:solidFill>
          </w14:textFill>
        </w:rPr>
        <w:t>六</w:t>
      </w:r>
      <w:bookmarkEnd w:id="166"/>
      <w:r>
        <w:rPr>
          <w:rFonts w:hint="eastAsia" w:ascii="宋体" w:hAnsi="宋体" w:cs="宋体"/>
          <w:color w:val="000000" w:themeColor="text1"/>
          <w:highlight w:val="none"/>
          <w14:textFill>
            <w14:solidFill>
              <w14:schemeClr w14:val="tx1"/>
            </w14:solidFill>
          </w14:textFill>
        </w:rPr>
        <w:t>、</w:t>
      </w:r>
      <w:bookmarkEnd w:id="167"/>
      <w:bookmarkEnd w:id="184"/>
      <w:bookmarkEnd w:id="185"/>
      <w:bookmarkEnd w:id="186"/>
      <w:bookmarkEnd w:id="187"/>
      <w:r>
        <w:rPr>
          <w:rFonts w:hint="eastAsia" w:ascii="宋体" w:hAnsi="宋体" w:cs="宋体"/>
          <w:color w:val="000000" w:themeColor="text1"/>
          <w:highlight w:val="none"/>
          <w14:textFill>
            <w14:solidFill>
              <w14:schemeClr w14:val="tx1"/>
            </w14:solidFill>
          </w14:textFill>
        </w:rPr>
        <w:t>结果公示</w:t>
      </w:r>
      <w:bookmarkEnd w:id="188"/>
    </w:p>
    <w:p>
      <w:pPr>
        <w:pStyle w:val="4"/>
        <w:spacing w:before="0" w:after="0" w:line="400" w:lineRule="exact"/>
        <w:rPr>
          <w:rFonts w:ascii="宋体" w:hAnsi="宋体" w:eastAsia="宋体" w:cs="宋体"/>
          <w:color w:val="000000" w:themeColor="text1"/>
          <w:sz w:val="21"/>
          <w:szCs w:val="21"/>
          <w:highlight w:val="none"/>
          <w14:textFill>
            <w14:solidFill>
              <w14:schemeClr w14:val="tx1"/>
            </w14:solidFill>
          </w14:textFill>
        </w:rPr>
      </w:pPr>
      <w:bookmarkStart w:id="189" w:name="_Toc200268266"/>
      <w:bookmarkStart w:id="190" w:name="_Toc185702577"/>
      <w:bookmarkStart w:id="191" w:name="_Toc405943004"/>
      <w:bookmarkStart w:id="192" w:name="_Toc469874192"/>
      <w:bookmarkStart w:id="193" w:name="_Toc395066546"/>
      <w:r>
        <w:rPr>
          <w:rFonts w:hint="eastAsia" w:ascii="宋体" w:hAnsi="宋体" w:eastAsia="宋体" w:cs="宋体"/>
          <w:color w:val="000000" w:themeColor="text1"/>
          <w:sz w:val="21"/>
          <w:szCs w:val="21"/>
          <w:highlight w:val="none"/>
          <w14:textFill>
            <w14:solidFill>
              <w14:schemeClr w14:val="tx1"/>
            </w14:solidFill>
          </w14:textFill>
        </w:rPr>
        <w:t>23、</w:t>
      </w:r>
      <w:bookmarkEnd w:id="189"/>
      <w:bookmarkEnd w:id="190"/>
      <w:bookmarkEnd w:id="191"/>
      <w:bookmarkEnd w:id="192"/>
      <w:bookmarkEnd w:id="193"/>
      <w:r>
        <w:rPr>
          <w:rFonts w:hint="eastAsia" w:ascii="宋体" w:hAnsi="宋体" w:eastAsia="宋体" w:cs="宋体"/>
          <w:color w:val="000000" w:themeColor="text1"/>
          <w:sz w:val="21"/>
          <w:szCs w:val="21"/>
          <w:highlight w:val="none"/>
          <w14:textFill>
            <w14:solidFill>
              <w14:schemeClr w14:val="tx1"/>
            </w14:solidFill>
          </w14:textFill>
        </w:rPr>
        <w:t>确定中标人</w:t>
      </w:r>
    </w:p>
    <w:p>
      <w:pPr>
        <w:pStyle w:val="20"/>
        <w:spacing w:line="400" w:lineRule="exact"/>
        <w:ind w:left="525" w:hanging="525" w:hangingChars="250"/>
        <w:rPr>
          <w:rFonts w:hAnsi="宋体" w:cs="宋体"/>
          <w:color w:val="000000" w:themeColor="text1"/>
          <w:szCs w:val="21"/>
          <w:highlight w:val="none"/>
          <w14:textFill>
            <w14:solidFill>
              <w14:schemeClr w14:val="tx1"/>
            </w14:solidFill>
          </w14:textFill>
        </w:rPr>
      </w:pPr>
      <w:bookmarkStart w:id="194" w:name="_Toc469874193"/>
      <w:bookmarkStart w:id="195" w:name="_Toc395066547"/>
      <w:bookmarkStart w:id="196" w:name="_Toc185702578"/>
      <w:bookmarkStart w:id="197" w:name="_Toc405943005"/>
      <w:bookmarkStart w:id="198" w:name="_Toc200268267"/>
      <w:r>
        <w:rPr>
          <w:rFonts w:hint="eastAsia" w:hAnsi="宋体" w:cs="宋体"/>
          <w:color w:val="000000" w:themeColor="text1"/>
          <w:szCs w:val="21"/>
          <w:highlight w:val="none"/>
          <w14:textFill>
            <w14:solidFill>
              <w14:schemeClr w14:val="tx1"/>
            </w14:solidFill>
          </w14:textFill>
        </w:rPr>
        <w:t>23.1</w:t>
      </w:r>
      <w:r>
        <w:rPr>
          <w:rFonts w:hint="eastAsia" w:hAnsi="宋体" w:cs="宋体"/>
          <w:color w:val="000000" w:themeColor="text1"/>
          <w:highlight w:val="none"/>
          <w14:textFill>
            <w14:solidFill>
              <w14:schemeClr w14:val="tx1"/>
            </w14:solidFill>
          </w14:textFill>
        </w:rPr>
        <w:t>采购代理机构将在评标结束后2个工作日内将评审报告送采购人。采购人自收到评标报告之日起5个工作日内，在评审报告确定的中标候选人名单中按顺序确定中标人。</w:t>
      </w:r>
      <w:r>
        <w:rPr>
          <w:rFonts w:hint="eastAsia" w:hAnsi="宋体" w:cs="宋体"/>
          <w:color w:val="000000" w:themeColor="text1"/>
          <w:szCs w:val="21"/>
          <w:highlight w:val="none"/>
          <w14:textFill>
            <w14:solidFill>
              <w14:schemeClr w14:val="tx1"/>
            </w14:solidFill>
          </w14:textFill>
        </w:rPr>
        <w:t>中标候选人并列的，由采购人或者采购人委托评标委员会按照招标文件规定的方式确定中标人。</w:t>
      </w:r>
    </w:p>
    <w:p>
      <w:pPr>
        <w:pStyle w:val="20"/>
        <w:spacing w:line="400" w:lineRule="exact"/>
        <w:ind w:left="525" w:hanging="525" w:hangingChars="250"/>
        <w:rPr>
          <w:rFonts w:hAnsi="宋体" w:cs="宋体"/>
          <w:bCs/>
          <w:color w:val="000000" w:themeColor="text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23.2若中标人因不可抗力或者自身原因不能履行采购合同的，</w:t>
      </w:r>
      <w:r>
        <w:rPr>
          <w:rFonts w:hint="eastAsia" w:hAnsi="宋体" w:cs="宋体"/>
          <w:color w:val="000000" w:themeColor="text1"/>
          <w:highlight w:val="none"/>
          <w14:textFill>
            <w14:solidFill>
              <w14:schemeClr w14:val="tx1"/>
            </w14:solidFill>
          </w14:textFill>
        </w:rPr>
        <w:t>采购人可以按照中标候选人推荐原则的候选人名单排序，确定下一个候选人为中标人</w:t>
      </w:r>
      <w:r>
        <w:rPr>
          <w:rFonts w:hint="eastAsia" w:hAnsi="宋体" w:cs="宋体"/>
          <w:bCs/>
          <w:color w:val="000000" w:themeColor="text1"/>
          <w:highlight w:val="none"/>
          <w14:textFill>
            <w14:solidFill>
              <w14:schemeClr w14:val="tx1"/>
            </w14:solidFill>
          </w14:textFill>
        </w:rPr>
        <w:t>，以此类推。</w:t>
      </w:r>
    </w:p>
    <w:p>
      <w:pPr>
        <w:pStyle w:val="4"/>
        <w:spacing w:before="0" w:after="0" w:line="400" w:lineRule="exact"/>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24、发布中标公告、中标通知</w:t>
      </w:r>
    </w:p>
    <w:p>
      <w:pPr>
        <w:pStyle w:val="20"/>
        <w:spacing w:line="400" w:lineRule="exact"/>
        <w:ind w:left="525" w:hanging="525" w:hangingChars="25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24.1自中标人确定后2个工作日内，采购代理机构将在</w:t>
      </w:r>
      <w:r>
        <w:rPr>
          <w:rFonts w:hint="eastAsia" w:hAnsi="宋体" w:cs="宋体"/>
          <w:color w:val="000000" w:themeColor="text1"/>
          <w:szCs w:val="21"/>
          <w:highlight w:val="none"/>
          <w14:textFill>
            <w14:solidFill>
              <w14:schemeClr w14:val="tx1"/>
            </w14:solidFill>
          </w14:textFill>
        </w:rPr>
        <w:t>政府采购信息发布媒体上公告</w:t>
      </w:r>
      <w:r>
        <w:rPr>
          <w:rFonts w:hint="eastAsia" w:hAnsi="宋体" w:cs="宋体"/>
          <w:color w:val="000000" w:themeColor="text1"/>
          <w:highlight w:val="none"/>
          <w14:textFill>
            <w14:solidFill>
              <w14:schemeClr w14:val="tx1"/>
            </w14:solidFill>
          </w14:textFill>
        </w:rPr>
        <w:t>中标结果。</w:t>
      </w:r>
    </w:p>
    <w:p>
      <w:pPr>
        <w:pStyle w:val="20"/>
        <w:spacing w:line="400" w:lineRule="exact"/>
        <w:ind w:left="505" w:hanging="505" w:hangingChars="250"/>
        <w:rPr>
          <w:rFonts w:hAnsi="宋体" w:cs="宋体"/>
          <w:color w:val="000000" w:themeColor="text1"/>
          <w:spacing w:val="-4"/>
          <w:szCs w:val="21"/>
          <w:highlight w:val="none"/>
          <w14:textFill>
            <w14:solidFill>
              <w14:schemeClr w14:val="tx1"/>
            </w14:solidFill>
          </w14:textFill>
        </w:rPr>
      </w:pPr>
      <w:r>
        <w:rPr>
          <w:rFonts w:hint="eastAsia" w:hAnsi="宋体" w:cs="宋体"/>
          <w:color w:val="000000" w:themeColor="text1"/>
          <w:spacing w:val="-4"/>
          <w:szCs w:val="21"/>
          <w:highlight w:val="none"/>
          <w14:textFill>
            <w14:solidFill>
              <w14:schemeClr w14:val="tx1"/>
            </w14:solidFill>
          </w14:textFill>
        </w:rPr>
        <w:t>24.2</w:t>
      </w:r>
      <w:r>
        <w:rPr>
          <w:rFonts w:hint="eastAsia" w:hAnsi="宋体" w:cs="宋体"/>
          <w:color w:val="000000" w:themeColor="text1"/>
          <w:highlight w:val="none"/>
          <w14:textFill>
            <w14:solidFill>
              <w14:schemeClr w14:val="tx1"/>
            </w14:solidFill>
          </w14:textFill>
        </w:rPr>
        <w:t>采购人或采购代理机构</w:t>
      </w:r>
      <w:r>
        <w:rPr>
          <w:rFonts w:hint="eastAsia" w:hAnsi="宋体" w:cs="宋体"/>
          <w:color w:val="000000" w:themeColor="text1"/>
          <w:spacing w:val="-4"/>
          <w:szCs w:val="21"/>
          <w:highlight w:val="none"/>
          <w14:textFill>
            <w14:solidFill>
              <w14:schemeClr w14:val="tx1"/>
            </w14:solidFill>
          </w14:textFill>
        </w:rPr>
        <w:t>在发布中标</w:t>
      </w:r>
      <w:r>
        <w:rPr>
          <w:rFonts w:hint="eastAsia" w:hAnsi="宋体" w:cs="宋体"/>
          <w:color w:val="000000" w:themeColor="text1"/>
          <w:highlight w:val="none"/>
          <w14:textFill>
            <w14:solidFill>
              <w14:schemeClr w14:val="tx1"/>
            </w14:solidFill>
          </w14:textFill>
        </w:rPr>
        <w:t>结果</w:t>
      </w:r>
      <w:r>
        <w:rPr>
          <w:rFonts w:hint="eastAsia" w:hAnsi="宋体" w:cs="宋体"/>
          <w:color w:val="000000" w:themeColor="text1"/>
          <w:spacing w:val="-4"/>
          <w:szCs w:val="21"/>
          <w:highlight w:val="none"/>
          <w14:textFill>
            <w14:solidFill>
              <w14:schemeClr w14:val="tx1"/>
            </w14:solidFill>
          </w14:textFill>
        </w:rPr>
        <w:t>的同时向中标人发出中标通知书。中标人应自接到通知之日起5个工作日内办理领取中标通知书手续，延期自误。</w:t>
      </w:r>
    </w:p>
    <w:p>
      <w:pPr>
        <w:pStyle w:val="20"/>
        <w:spacing w:line="400" w:lineRule="exact"/>
        <w:ind w:left="525" w:hanging="525" w:hangingChars="250"/>
        <w:rPr>
          <w:rFonts w:hAnsi="宋体" w:cs="宋体"/>
          <w:bCs/>
          <w:color w:val="000000" w:themeColor="text1"/>
          <w:highlight w:val="none"/>
          <w14:textFill>
            <w14:solidFill>
              <w14:schemeClr w14:val="tx1"/>
            </w14:solidFill>
          </w14:textFill>
        </w:rPr>
      </w:pPr>
    </w:p>
    <w:p>
      <w:pPr>
        <w:pStyle w:val="3"/>
        <w:spacing w:line="400" w:lineRule="exact"/>
        <w:jc w:val="center"/>
        <w:rPr>
          <w:rFonts w:ascii="宋体" w:hAnsi="宋体" w:cs="宋体"/>
          <w:color w:val="000000" w:themeColor="text1"/>
          <w:highlight w:val="none"/>
          <w14:textFill>
            <w14:solidFill>
              <w14:schemeClr w14:val="tx1"/>
            </w14:solidFill>
          </w14:textFill>
        </w:rPr>
      </w:pPr>
      <w:bookmarkStart w:id="199" w:name="_Toc20057"/>
      <w:r>
        <w:rPr>
          <w:rFonts w:hint="eastAsia" w:ascii="宋体" w:hAnsi="宋体" w:cs="宋体"/>
          <w:color w:val="000000" w:themeColor="text1"/>
          <w:highlight w:val="none"/>
          <w14:textFill>
            <w14:solidFill>
              <w14:schemeClr w14:val="tx1"/>
            </w14:solidFill>
          </w14:textFill>
        </w:rPr>
        <w:t>七、签订合同</w:t>
      </w:r>
      <w:bookmarkEnd w:id="199"/>
    </w:p>
    <w:bookmarkEnd w:id="194"/>
    <w:bookmarkEnd w:id="195"/>
    <w:bookmarkEnd w:id="196"/>
    <w:bookmarkEnd w:id="197"/>
    <w:bookmarkEnd w:id="198"/>
    <w:p>
      <w:pPr>
        <w:pStyle w:val="4"/>
        <w:spacing w:before="0" w:after="0" w:line="400" w:lineRule="exact"/>
        <w:rPr>
          <w:rFonts w:ascii="宋体" w:hAnsi="宋体" w:eastAsia="宋体" w:cs="宋体"/>
          <w:color w:val="000000" w:themeColor="text1"/>
          <w:sz w:val="21"/>
          <w:szCs w:val="21"/>
          <w:highlight w:val="none"/>
          <w14:textFill>
            <w14:solidFill>
              <w14:schemeClr w14:val="tx1"/>
            </w14:solidFill>
          </w14:textFill>
        </w:rPr>
      </w:pPr>
      <w:bookmarkStart w:id="200" w:name="_Toc147250544"/>
      <w:bookmarkStart w:id="201" w:name="_Toc200268268"/>
      <w:bookmarkStart w:id="202" w:name="_Toc147250342"/>
      <w:bookmarkStart w:id="203" w:name="_Toc185702579"/>
      <w:bookmarkStart w:id="204" w:name="_Toc147250388"/>
      <w:r>
        <w:rPr>
          <w:rFonts w:hint="eastAsia" w:ascii="宋体" w:hAnsi="宋体" w:eastAsia="宋体" w:cs="宋体"/>
          <w:color w:val="000000" w:themeColor="text1"/>
          <w:sz w:val="21"/>
          <w:szCs w:val="21"/>
          <w:highlight w:val="none"/>
          <w14:textFill>
            <w14:solidFill>
              <w14:schemeClr w14:val="tx1"/>
            </w14:solidFill>
          </w14:textFill>
        </w:rPr>
        <w:t>25、履约保证金</w:t>
      </w:r>
    </w:p>
    <w:p>
      <w:pPr>
        <w:pStyle w:val="20"/>
        <w:spacing w:line="400" w:lineRule="exact"/>
        <w:ind w:left="505" w:hanging="505" w:hangingChars="250"/>
        <w:rPr>
          <w:rFonts w:hAnsi="宋体" w:cs="宋体"/>
          <w:color w:val="000000" w:themeColor="text1"/>
          <w:szCs w:val="21"/>
          <w:highlight w:val="none"/>
          <w14:textFill>
            <w14:solidFill>
              <w14:schemeClr w14:val="tx1"/>
            </w14:solidFill>
          </w14:textFill>
        </w:rPr>
      </w:pPr>
      <w:r>
        <w:rPr>
          <w:rFonts w:hint="eastAsia" w:hAnsi="宋体" w:cs="宋体"/>
          <w:color w:val="000000" w:themeColor="text1"/>
          <w:spacing w:val="-4"/>
          <w:highlight w:val="none"/>
          <w14:textFill>
            <w14:solidFill>
              <w14:schemeClr w14:val="tx1"/>
            </w14:solidFill>
          </w14:textFill>
        </w:rPr>
        <w:t xml:space="preserve">25.1 </w:t>
      </w:r>
      <w:r>
        <w:rPr>
          <w:rFonts w:hint="eastAsia" w:hAnsi="宋体" w:cs="宋体"/>
          <w:bCs/>
          <w:color w:val="000000" w:themeColor="text1"/>
          <w:szCs w:val="21"/>
          <w:highlight w:val="none"/>
          <w14:textFill>
            <w14:solidFill>
              <w14:schemeClr w14:val="tx1"/>
            </w14:solidFill>
          </w14:textFill>
        </w:rPr>
        <w:t>履约保证金金额：</w:t>
      </w:r>
      <w:r>
        <w:rPr>
          <w:rFonts w:hint="eastAsia" w:hAnsi="宋体" w:cs="宋体"/>
          <w:b/>
          <w:bCs/>
          <w:color w:val="000000" w:themeColor="text1"/>
          <w:szCs w:val="21"/>
          <w:highlight w:val="none"/>
          <w:u w:val="single"/>
          <w14:textFill>
            <w14:solidFill>
              <w14:schemeClr w14:val="tx1"/>
            </w14:solidFill>
          </w14:textFill>
        </w:rPr>
        <w:t>合同金额的5%</w:t>
      </w:r>
      <w:r>
        <w:rPr>
          <w:rFonts w:hint="eastAsia" w:hAnsi="宋体" w:cs="宋体"/>
          <w:b/>
          <w:bCs/>
          <w:color w:val="000000" w:themeColor="text1"/>
          <w:szCs w:val="21"/>
          <w:highlight w:val="none"/>
          <w14:textFill>
            <w14:solidFill>
              <w14:schemeClr w14:val="tx1"/>
            </w14:solidFill>
          </w14:textFill>
        </w:rPr>
        <w:t xml:space="preserve"> 。</w:t>
      </w:r>
    </w:p>
    <w:p>
      <w:pPr>
        <w:pStyle w:val="20"/>
        <w:spacing w:line="400" w:lineRule="exact"/>
        <w:ind w:left="525" w:hanging="525" w:hangingChars="250"/>
        <w:rPr>
          <w:color w:val="000000" w:themeColor="text1"/>
          <w:highlight w:val="none"/>
          <w14:textFill>
            <w14:solidFill>
              <w14:schemeClr w14:val="tx1"/>
            </w14:solidFill>
          </w14:textFill>
        </w:rPr>
      </w:pPr>
      <w:r>
        <w:rPr>
          <w:rFonts w:hAnsi="宋体" w:cs="宋体"/>
          <w:color w:val="000000" w:themeColor="text1"/>
          <w:highlight w:val="none"/>
          <w14:textFill>
            <w14:solidFill>
              <w14:schemeClr w14:val="tx1"/>
            </w14:solidFill>
          </w14:textFill>
        </w:rPr>
        <w:t xml:space="preserve">25.2 </w:t>
      </w:r>
      <w:r>
        <w:rPr>
          <w:color w:val="000000" w:themeColor="text1"/>
          <w:highlight w:val="none"/>
          <w14:textFill>
            <w14:solidFill>
              <w14:schemeClr w14:val="tx1"/>
            </w14:solidFill>
          </w14:textFill>
        </w:rPr>
        <w:t>履约保证金的递交方式：在收到</w:t>
      </w:r>
      <w:r>
        <w:rPr>
          <w:rFonts w:hint="eastAsia"/>
          <w:color w:val="000000" w:themeColor="text1"/>
          <w:highlight w:val="none"/>
          <w14:textFill>
            <w14:solidFill>
              <w14:schemeClr w14:val="tx1"/>
            </w14:solidFill>
          </w14:textFill>
        </w:rPr>
        <w:t>中标</w:t>
      </w:r>
      <w:r>
        <w:rPr>
          <w:color w:val="000000" w:themeColor="text1"/>
          <w:highlight w:val="none"/>
          <w14:textFill>
            <w14:solidFill>
              <w14:schemeClr w14:val="tx1"/>
            </w14:solidFill>
          </w14:textFill>
        </w:rPr>
        <w:t>通知书后，</w:t>
      </w:r>
      <w:r>
        <w:rPr>
          <w:rFonts w:hint="eastAsia"/>
          <w:color w:val="000000" w:themeColor="text1"/>
          <w:highlight w:val="none"/>
          <w14:textFill>
            <w14:solidFill>
              <w14:schemeClr w14:val="tx1"/>
            </w14:solidFill>
          </w14:textFill>
        </w:rPr>
        <w:t>中标人</w:t>
      </w:r>
      <w:r>
        <w:rPr>
          <w:color w:val="000000" w:themeColor="text1"/>
          <w:highlight w:val="none"/>
          <w14:textFill>
            <w14:solidFill>
              <w14:schemeClr w14:val="tx1"/>
            </w14:solidFill>
          </w14:textFill>
        </w:rPr>
        <w:t>须在 15 个工作日内</w:t>
      </w:r>
      <w:r>
        <w:rPr>
          <w:rFonts w:hint="eastAsia"/>
          <w:color w:val="000000" w:themeColor="text1"/>
          <w:highlight w:val="none"/>
          <w14:textFill>
            <w14:solidFill>
              <w14:schemeClr w14:val="tx1"/>
            </w14:solidFill>
          </w14:textFill>
        </w:rPr>
        <w:t>联系</w:t>
      </w:r>
      <w:r>
        <w:rPr>
          <w:color w:val="000000" w:themeColor="text1"/>
          <w:highlight w:val="none"/>
          <w14:textFill>
            <w14:solidFill>
              <w14:schemeClr w14:val="tx1"/>
            </w14:solidFill>
          </w14:textFill>
        </w:rPr>
        <w:t>采购人提交履约保证金，否则视为其放弃</w:t>
      </w:r>
      <w:r>
        <w:rPr>
          <w:rFonts w:hint="eastAsia"/>
          <w:color w:val="000000" w:themeColor="text1"/>
          <w:highlight w:val="none"/>
          <w14:textFill>
            <w14:solidFill>
              <w14:schemeClr w14:val="tx1"/>
            </w14:solidFill>
          </w14:textFill>
        </w:rPr>
        <w:t>中标</w:t>
      </w:r>
      <w:r>
        <w:rPr>
          <w:color w:val="000000" w:themeColor="text1"/>
          <w:highlight w:val="none"/>
          <w14:textFill>
            <w14:solidFill>
              <w14:schemeClr w14:val="tx1"/>
            </w14:solidFill>
          </w14:textFill>
        </w:rPr>
        <w:t>资格。</w:t>
      </w:r>
    </w:p>
    <w:p>
      <w:pPr>
        <w:pStyle w:val="20"/>
        <w:spacing w:line="400" w:lineRule="exact"/>
        <w:ind w:left="525" w:hanging="525" w:hangingChars="25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25.2</w:t>
      </w:r>
      <w:r>
        <w:rPr>
          <w:rFonts w:hint="eastAsia" w:hAnsi="宋体" w:cs="宋体"/>
          <w:color w:val="000000" w:themeColor="text1"/>
          <w:szCs w:val="21"/>
          <w:highlight w:val="none"/>
          <w14:textFill>
            <w14:solidFill>
              <w14:schemeClr w14:val="tx1"/>
            </w14:solidFill>
          </w14:textFill>
        </w:rPr>
        <w:t>履约保证金作为违约金的一部分及用于补偿采购方因中标人不能完成其合同义务而蒙受的损失。</w:t>
      </w:r>
      <w:r>
        <w:rPr>
          <w:rFonts w:hint="eastAsia" w:hAnsi="宋体" w:cs="宋体"/>
          <w:color w:val="000000" w:themeColor="text1"/>
          <w:highlight w:val="none"/>
          <w14:textFill>
            <w14:solidFill>
              <w14:schemeClr w14:val="tx1"/>
            </w14:solidFill>
          </w14:textFill>
        </w:rPr>
        <w:t>如中标人不按双方签订的合同规定履约，则对其全部履约保证金不予退还，履约保证金不足以赔偿损失的，按实际损失赔偿。</w:t>
      </w:r>
    </w:p>
    <w:p>
      <w:pPr>
        <w:pStyle w:val="20"/>
        <w:spacing w:line="400" w:lineRule="exact"/>
        <w:ind w:left="525" w:hanging="525" w:hangingChars="25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25.3在履约保证金到期退还日期前，若中标人的开户名称、开户银行、帐号有变动的，请以书面形式通知采购代理机构，否则由此产生的后果由中标人自负。</w:t>
      </w:r>
    </w:p>
    <w:p>
      <w:pPr>
        <w:pStyle w:val="20"/>
        <w:spacing w:line="400" w:lineRule="exact"/>
        <w:ind w:left="525" w:hanging="525" w:hangingChars="25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25.4</w:t>
      </w:r>
      <w:r>
        <w:rPr>
          <w:color w:val="000000" w:themeColor="text1"/>
          <w:highlight w:val="none"/>
          <w14:textFill>
            <w14:solidFill>
              <w14:schemeClr w14:val="tx1"/>
            </w14:solidFill>
          </w14:textFill>
        </w:rPr>
        <w:t>自项目验收合格之日起5个工作日内，</w:t>
      </w:r>
      <w:r>
        <w:rPr>
          <w:rFonts w:hint="eastAsia"/>
          <w:color w:val="000000" w:themeColor="text1"/>
          <w:highlight w:val="none"/>
          <w14:textFill>
            <w14:solidFill>
              <w14:schemeClr w14:val="tx1"/>
            </w14:solidFill>
          </w14:textFill>
        </w:rPr>
        <w:t>中标人</w:t>
      </w:r>
      <w:r>
        <w:rPr>
          <w:color w:val="000000" w:themeColor="text1"/>
          <w:highlight w:val="none"/>
          <w14:textFill>
            <w14:solidFill>
              <w14:schemeClr w14:val="tx1"/>
            </w14:solidFill>
          </w14:textFill>
        </w:rPr>
        <w:t>按第七章附件“履约保证金退付意见书”的要求至采购人财务部办理退还履约保证金手续，不付利息。因采购人或采购代理机构原因导致无法及时退还时，每逾期退还一天按履约保证金万分之一支付违约金给</w:t>
      </w:r>
      <w:r>
        <w:rPr>
          <w:rFonts w:hint="eastAsia"/>
          <w:color w:val="000000" w:themeColor="text1"/>
          <w:highlight w:val="none"/>
          <w14:textFill>
            <w14:solidFill>
              <w14:schemeClr w14:val="tx1"/>
            </w14:solidFill>
          </w14:textFill>
        </w:rPr>
        <w:t>中标</w:t>
      </w:r>
      <w:r>
        <w:rPr>
          <w:color w:val="000000" w:themeColor="text1"/>
          <w:highlight w:val="none"/>
          <w14:textFill>
            <w14:solidFill>
              <w14:schemeClr w14:val="tx1"/>
            </w14:solidFill>
          </w14:textFill>
        </w:rPr>
        <w:t>人，但因</w:t>
      </w:r>
      <w:r>
        <w:rPr>
          <w:rFonts w:hint="eastAsia"/>
          <w:color w:val="000000" w:themeColor="text1"/>
          <w:highlight w:val="none"/>
          <w14:textFill>
            <w14:solidFill>
              <w14:schemeClr w14:val="tx1"/>
            </w14:solidFill>
          </w14:textFill>
        </w:rPr>
        <w:t>中标人</w:t>
      </w:r>
      <w:r>
        <w:rPr>
          <w:color w:val="000000" w:themeColor="text1"/>
          <w:highlight w:val="none"/>
          <w14:textFill>
            <w14:solidFill>
              <w14:schemeClr w14:val="tx1"/>
            </w14:solidFill>
          </w14:textFill>
        </w:rPr>
        <w:t>自身原因导致无法及时退还的除外。</w:t>
      </w:r>
    </w:p>
    <w:p>
      <w:pPr>
        <w:pStyle w:val="4"/>
        <w:spacing w:before="0" w:after="0" w:line="400" w:lineRule="exact"/>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26、签订合同</w:t>
      </w:r>
    </w:p>
    <w:p>
      <w:pPr>
        <w:pStyle w:val="20"/>
        <w:spacing w:line="400" w:lineRule="exact"/>
        <w:ind w:left="525" w:hanging="525" w:hangingChars="25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26.1中标人应当自中标通知书发出之日起30日内，凭中标通知书按照招标文件和中标人投标文件的规定，与采购人签订书面合同。所签订的合同不得对招标文件确定的事项和中标人投标文件作实质性修改。</w:t>
      </w:r>
    </w:p>
    <w:p>
      <w:pPr>
        <w:pStyle w:val="20"/>
        <w:spacing w:line="400" w:lineRule="exact"/>
        <w:ind w:left="525" w:hanging="525" w:hangingChars="250"/>
        <w:rPr>
          <w:rFonts w:hAnsi="宋体" w:cs="宋体"/>
          <w:bCs/>
          <w:color w:val="000000" w:themeColor="text1"/>
          <w:highlight w:val="none"/>
          <w14:textFill>
            <w14:solidFill>
              <w14:schemeClr w14:val="tx1"/>
            </w14:solidFill>
          </w14:textFill>
        </w:rPr>
      </w:pPr>
      <w:r>
        <w:rPr>
          <w:rFonts w:hint="eastAsia" w:hAnsi="宋体" w:cs="宋体"/>
          <w:bCs/>
          <w:color w:val="000000" w:themeColor="text1"/>
          <w:highlight w:val="none"/>
          <w14:textFill>
            <w14:solidFill>
              <w14:schemeClr w14:val="tx1"/>
            </w14:solidFill>
          </w14:textFill>
        </w:rPr>
        <w:t>26.2</w:t>
      </w:r>
      <w:r>
        <w:rPr>
          <w:rFonts w:hint="eastAsia" w:hAnsi="宋体" w:cs="宋体"/>
          <w:color w:val="000000" w:themeColor="text1"/>
          <w:spacing w:val="-4"/>
          <w:szCs w:val="21"/>
          <w:highlight w:val="none"/>
          <w14:textFill>
            <w14:solidFill>
              <w14:schemeClr w14:val="tx1"/>
            </w14:solidFill>
          </w14:textFill>
        </w:rPr>
        <w:t>除不可抗力等因素外，中标通知书发出后，</w:t>
      </w:r>
      <w:r>
        <w:rPr>
          <w:rFonts w:hint="eastAsia" w:hAnsi="宋体" w:cs="宋体"/>
          <w:color w:val="000000" w:themeColor="text1"/>
          <w:highlight w:val="none"/>
          <w14:textFill>
            <w14:solidFill>
              <w14:schemeClr w14:val="tx1"/>
            </w14:solidFill>
          </w14:textFill>
        </w:rPr>
        <w:t>中标人拒绝签订政府采购合同的，应当承担相应的法律责任。中标人拒绝与采购人签订政府采购合同的，采购人可以按照评审报告推荐的候选人名单排序，确定下一候选人为中标人并签订政府采购合同，也可以重新开展采购活动。拒绝签订政府采购合同的中标人不得参加对该项目重新开展的采购活动。采购人有权将违约投标人的不良行为报政府采购监管部门。</w:t>
      </w:r>
    </w:p>
    <w:p>
      <w:pPr>
        <w:pStyle w:val="20"/>
        <w:spacing w:line="400" w:lineRule="exact"/>
        <w:ind w:left="525" w:hanging="525" w:hangingChars="25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26.3由于中标人放弃中标或未按规定签订合同，造成本项目的合同中标价提高（指采购人选择第二中标候选人导致中标金额高于违约人的中标价），所超出违约人的中标价部分由违约人承担赔偿责任。</w:t>
      </w:r>
    </w:p>
    <w:p>
      <w:pPr>
        <w:pStyle w:val="20"/>
        <w:spacing w:line="400" w:lineRule="exact"/>
        <w:ind w:left="525" w:hanging="525" w:hangingChars="25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26.4政府采购合同必须与招标文件第五章格式(包括内容和结构)相一致，不能改变主要条款。</w:t>
      </w:r>
    </w:p>
    <w:bookmarkEnd w:id="200"/>
    <w:bookmarkEnd w:id="201"/>
    <w:bookmarkEnd w:id="202"/>
    <w:bookmarkEnd w:id="203"/>
    <w:bookmarkEnd w:id="204"/>
    <w:p>
      <w:pPr>
        <w:pStyle w:val="20"/>
        <w:spacing w:line="400" w:lineRule="exact"/>
        <w:ind w:firstLine="420"/>
        <w:rPr>
          <w:rFonts w:hAnsi="宋体" w:cs="宋体"/>
          <w:color w:val="000000" w:themeColor="text1"/>
          <w:highlight w:val="none"/>
          <w14:textFill>
            <w14:solidFill>
              <w14:schemeClr w14:val="tx1"/>
            </w14:solidFill>
          </w14:textFill>
        </w:rPr>
      </w:pPr>
    </w:p>
    <w:p>
      <w:pPr>
        <w:pStyle w:val="3"/>
        <w:spacing w:line="400" w:lineRule="exact"/>
        <w:jc w:val="center"/>
        <w:rPr>
          <w:rFonts w:ascii="宋体" w:hAnsi="宋体" w:cs="宋体"/>
          <w:color w:val="000000" w:themeColor="text1"/>
          <w:highlight w:val="none"/>
          <w14:textFill>
            <w14:solidFill>
              <w14:schemeClr w14:val="tx1"/>
            </w14:solidFill>
          </w14:textFill>
        </w:rPr>
      </w:pPr>
      <w:bookmarkStart w:id="205" w:name="_Toc200268271"/>
      <w:bookmarkStart w:id="206" w:name="_Toc405943009"/>
      <w:bookmarkStart w:id="207" w:name="_Toc395066551"/>
      <w:bookmarkStart w:id="208" w:name="_Toc469874198"/>
      <w:bookmarkStart w:id="209" w:name="_Toc469909322"/>
      <w:bookmarkStart w:id="210" w:name="_Toc185702582"/>
      <w:bookmarkStart w:id="211" w:name="_Toc9628"/>
      <w:r>
        <w:rPr>
          <w:rFonts w:hint="eastAsia" w:ascii="宋体" w:hAnsi="宋体" w:cs="宋体"/>
          <w:color w:val="000000" w:themeColor="text1"/>
          <w:highlight w:val="none"/>
          <w14:textFill>
            <w14:solidFill>
              <w14:schemeClr w14:val="tx1"/>
            </w14:solidFill>
          </w14:textFill>
        </w:rPr>
        <w:t>八、其他事项</w:t>
      </w:r>
      <w:bookmarkEnd w:id="205"/>
      <w:bookmarkEnd w:id="206"/>
      <w:bookmarkEnd w:id="207"/>
      <w:bookmarkEnd w:id="208"/>
      <w:bookmarkEnd w:id="209"/>
      <w:bookmarkEnd w:id="210"/>
      <w:bookmarkEnd w:id="211"/>
    </w:p>
    <w:p>
      <w:pPr>
        <w:pStyle w:val="4"/>
        <w:spacing w:before="0" w:after="0" w:line="400" w:lineRule="exact"/>
        <w:rPr>
          <w:rFonts w:ascii="宋体" w:hAnsi="宋体" w:eastAsia="宋体" w:cs="宋体"/>
          <w:color w:val="000000" w:themeColor="text1"/>
          <w:sz w:val="21"/>
          <w:szCs w:val="21"/>
          <w:highlight w:val="none"/>
          <w14:textFill>
            <w14:solidFill>
              <w14:schemeClr w14:val="tx1"/>
            </w14:solidFill>
          </w14:textFill>
        </w:rPr>
      </w:pPr>
      <w:bookmarkStart w:id="212" w:name="_Toc395066552"/>
      <w:bookmarkStart w:id="213" w:name="_Toc185702583"/>
      <w:bookmarkStart w:id="214" w:name="_Toc200268272"/>
      <w:bookmarkStart w:id="215" w:name="_Toc405943010"/>
      <w:bookmarkStart w:id="216" w:name="_Toc469874199"/>
      <w:r>
        <w:rPr>
          <w:rFonts w:hint="eastAsia" w:ascii="宋体" w:hAnsi="宋体" w:eastAsia="宋体" w:cs="宋体"/>
          <w:color w:val="000000" w:themeColor="text1"/>
          <w:sz w:val="21"/>
          <w:szCs w:val="21"/>
          <w:highlight w:val="none"/>
          <w14:textFill>
            <w14:solidFill>
              <w14:schemeClr w14:val="tx1"/>
            </w14:solidFill>
          </w14:textFill>
        </w:rPr>
        <w:t>27、服务费</w:t>
      </w:r>
      <w:bookmarkEnd w:id="212"/>
      <w:bookmarkEnd w:id="213"/>
      <w:bookmarkEnd w:id="214"/>
      <w:bookmarkEnd w:id="215"/>
      <w:bookmarkEnd w:id="216"/>
    </w:p>
    <w:p>
      <w:pPr>
        <w:pStyle w:val="20"/>
        <w:spacing w:line="400" w:lineRule="exact"/>
        <w:ind w:left="525" w:hanging="525" w:hangingChars="250"/>
        <w:rPr>
          <w:rFonts w:hAnsi="宋体" w:cs="宋体"/>
          <w:bCs/>
          <w:color w:val="000000" w:themeColor="text1"/>
          <w:highlight w:val="none"/>
          <w14:textFill>
            <w14:solidFill>
              <w14:schemeClr w14:val="tx1"/>
            </w14:solidFill>
          </w14:textFill>
        </w:rPr>
      </w:pPr>
      <w:bookmarkStart w:id="217" w:name="_Toc200268273"/>
      <w:bookmarkStart w:id="218" w:name="_Toc469874200"/>
      <w:bookmarkStart w:id="219" w:name="_Toc405943011"/>
      <w:bookmarkStart w:id="220" w:name="_Toc185702584"/>
      <w:bookmarkStart w:id="221" w:name="_Toc395066553"/>
      <w:r>
        <w:rPr>
          <w:rFonts w:hint="eastAsia" w:hAnsi="宋体" w:cs="宋体"/>
          <w:bCs/>
          <w:color w:val="000000" w:themeColor="text1"/>
          <w:highlight w:val="none"/>
          <w14:textFill>
            <w14:solidFill>
              <w14:schemeClr w14:val="tx1"/>
            </w14:solidFill>
          </w14:textFill>
        </w:rPr>
        <w:t>27.1本项目服务费：</w:t>
      </w:r>
      <w:r>
        <w:rPr>
          <w:rFonts w:hint="eastAsia" w:hAnsi="宋体" w:cs="宋体"/>
          <w:color w:val="000000" w:themeColor="text1"/>
          <w:highlight w:val="none"/>
          <w14:textFill>
            <w14:solidFill>
              <w14:schemeClr w14:val="tx1"/>
            </w14:solidFill>
          </w14:textFill>
        </w:rPr>
        <w:t>由中标人在领取中标通知书前向广西众联工程项目管理有限公司一次性付清代理服务费及开标费，否则视为其放弃中标资格。</w:t>
      </w:r>
    </w:p>
    <w:p>
      <w:pPr>
        <w:pStyle w:val="20"/>
        <w:spacing w:line="400" w:lineRule="exact"/>
        <w:ind w:left="525" w:hanging="525" w:hangingChars="25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27.2代理服务费参考下述标准按差额定率累进法计算，具体标准如下：</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60"/>
        <w:gridCol w:w="1760"/>
        <w:gridCol w:w="176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3260" w:type="dxa"/>
          </w:tcPr>
          <w:p>
            <w:pPr>
              <w:pStyle w:val="20"/>
              <w:snapToGrid w:val="0"/>
              <w:ind w:firstLine="2100" w:firstLineChars="1000"/>
              <w:rPr>
                <w:rFonts w:hAnsi="宋体" w:cs="宋体"/>
                <w:color w:val="000000" w:themeColor="text1"/>
                <w:highlight w:val="none"/>
                <w14:textFill>
                  <w14:solidFill>
                    <w14:schemeClr w14:val="tx1"/>
                  </w14:solidFill>
                </w14:textFill>
              </w:rPr>
            </w:pPr>
            <w:r>
              <w:rPr>
                <w:rFonts w:hAnsi="宋体" w:cs="宋体"/>
                <w:color w:val="000000" w:themeColor="text1"/>
                <w:highlight w:val="none"/>
                <w14:textFill>
                  <w14:solidFill>
                    <w14:schemeClr w14:val="tx1"/>
                  </w14:solidFill>
                </w14:textFill>
              </w:rPr>
              <mc:AlternateContent>
                <mc:Choice Requires="wpg">
                  <w:drawing>
                    <wp:anchor distT="0" distB="0" distL="114300" distR="114300" simplePos="0" relativeHeight="251658240" behindDoc="0" locked="0" layoutInCell="1" allowOverlap="1">
                      <wp:simplePos x="0" y="0"/>
                      <wp:positionH relativeFrom="column">
                        <wp:posOffset>-73025</wp:posOffset>
                      </wp:positionH>
                      <wp:positionV relativeFrom="paragraph">
                        <wp:posOffset>-1270</wp:posOffset>
                      </wp:positionV>
                      <wp:extent cx="2075180" cy="682625"/>
                      <wp:effectExtent l="6985" t="12700" r="13335" b="9525"/>
                      <wp:wrapNone/>
                      <wp:docPr id="1" name="__TH_G22五号27"/>
                      <wp:cNvGraphicFramePr/>
                      <a:graphic xmlns:a="http://schemas.openxmlformats.org/drawingml/2006/main">
                        <a:graphicData uri="http://schemas.microsoft.com/office/word/2010/wordprocessingGroup">
                          <wpg:wgp>
                            <wpg:cNvGrpSpPr/>
                            <wpg:grpSpPr>
                              <a:xfrm>
                                <a:off x="0" y="0"/>
                                <a:ext cx="2075180" cy="682625"/>
                                <a:chOff x="959" y="1984"/>
                                <a:chExt cx="2534" cy="1072"/>
                              </a:xfrm>
                            </wpg:grpSpPr>
                            <wps:wsp>
                              <wps:cNvPr id="2" name="__TH_L25"/>
                              <wps:cNvCnPr>
                                <a:cxnSpLocks noChangeShapeType="1"/>
                              </wps:cNvCnPr>
                              <wps:spPr bwMode="auto">
                                <a:xfrm>
                                  <a:off x="2226" y="1984"/>
                                  <a:ext cx="1267" cy="1072"/>
                                </a:xfrm>
                                <a:prstGeom prst="line">
                                  <a:avLst/>
                                </a:prstGeom>
                                <a:noFill/>
                                <a:ln w="6350">
                                  <a:solidFill>
                                    <a:srgbClr val="000000"/>
                                  </a:solidFill>
                                  <a:round/>
                                </a:ln>
                              </wps:spPr>
                              <wps:bodyPr/>
                            </wps:wsp>
                            <wps:wsp>
                              <wps:cNvPr id="3" name="__TH_L26"/>
                              <wps:cNvCnPr>
                                <a:cxnSpLocks noChangeShapeType="1"/>
                              </wps:cNvCnPr>
                              <wps:spPr bwMode="auto">
                                <a:xfrm>
                                  <a:off x="959" y="2520"/>
                                  <a:ext cx="2534" cy="536"/>
                                </a:xfrm>
                                <a:prstGeom prst="line">
                                  <a:avLst/>
                                </a:prstGeom>
                                <a:noFill/>
                                <a:ln w="6350">
                                  <a:solidFill>
                                    <a:srgbClr val="000000"/>
                                  </a:solidFill>
                                  <a:round/>
                                </a:ln>
                              </wps:spPr>
                              <wps:bodyPr/>
                            </wps:wsp>
                          </wpg:wgp>
                        </a:graphicData>
                      </a:graphic>
                    </wp:anchor>
                  </w:drawing>
                </mc:Choice>
                <mc:Fallback>
                  <w:pict>
                    <v:group id="__TH_G22五号27" o:spid="_x0000_s1026" o:spt="203" style="position:absolute;left:0pt;margin-left:-5.75pt;margin-top:-0.1pt;height:53.75pt;width:163.4pt;z-index:251658240;mso-width-relative:page;mso-height-relative:page;" coordorigin="959,1984" coordsize="2534,1072" o:gfxdata="UEsDBAoAAAAAAIdO4kAAAAAAAAAAAAAAAAAEAAAAZHJzL1BLAwQUAAAACACHTuJAw+NdKdgAAAAJ&#10;AQAADwAAAGRycy9kb3ducmV2LnhtbE2PwWrDMAyG74O9g9Fgt9Z2Q7aRximjbDuVwdrB6M1N1CQ0&#10;lkPsJu3bTzutN4n/49enfHVxnRhxCK0nA3quQCCVvmqpNvC9e5+9gAjRUmU7T2jgigFWxf1dbrPK&#10;T/SF4zbWgksoZNZAE2OfSRnKBp0Nc98jcXb0g7OR16GW1WAnLnedXCj1JJ1tiS80tsd1g+Vpe3YG&#10;PiY7vSb6bdycjuvrfpd+/mw0GvP4oNUSRMRL/IfhT5/VoWCngz9TFURnYKZ1yigPCxCcJzpNQBwY&#10;VM8JyCKXtx8Uv1BLAwQUAAAACACHTuJAOTUyR1UCAABXBgAADgAAAGRycy9lMm9Eb2MueG1s1VXL&#10;jtowFN1X6j9Y2ZckZhIgIsyC6dAFbZGga2Qc56EmtmUbAl/RTf+lUr+n/Y9eO4QpVN1MNYuyMPi+&#10;fM8512Z6f2xqdGBKV4KnXjgIPMQ4FVnFi9T7tHl8M/aQNoRnpBacpd6Jae9+9vrVtJUJw6IUdcYU&#10;giJcJ61MvdIYmfi+piVriB4IyTg4c6EaYmCrCj9TpIXqTe3jIIj9VqhMKkGZ1mB96JzezNXPc0bN&#10;xzzXzKA69aA341bl1p1d/dmUJIUisqzouQ3yjC4aUnE49FLqgRiC9qr6o1RTUSW0yM2AisYXeV5R&#10;5jAAmjC4QbNQYi8dliJpC3mhCai94enZZemHw0qhKgPtPMRJAxJtt5t32wXGP75//fnlGx5ZjlpZ&#10;JBC6UHItV+psKLqdhX3MVWO/ARA6OnZPF3bZ0SAKRhyMonAMIlDwxWMc46ijn5agkU2bRBMPgTOc&#10;jO9619s+OxredalhMMLW6/fH+ra7SzOthEnST2TpfyNrXRLJnAbaMnAmC1+RteyQ2JMhZM5XynJB&#10;j3wtl4J+1oiLeUl4wVyxzUkCy6GDcJViNxroRbv2vcgghuyNcFN1Qy/GOL4hqic5xPHoLzSRRCpt&#10;Fkw0yP5IvbriFhlJyGGpTcdoH2LNXDxWdQ12ktQctSDaMApcghZ1lVmn9WlV7Oa1Qgdi75j7nOW5&#10;CoNZ5ll3SM1BvR6tHS6d7ER2coPl7KBfZ35xIYc3Qsa29StVXlLIfuBxhM9PUa8jvox7NHQ9Xab9&#10;f5PR3U54vdyFPb+09nn8fe/G4en/YPYL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w+NdKdgAAAAJ&#10;AQAADwAAAAAAAAABACAAAAAiAAAAZHJzL2Rvd25yZXYueG1sUEsBAhQAFAAAAAgAh07iQDk1MkdV&#10;AgAAVwYAAA4AAAAAAAAAAQAgAAAAJwEAAGRycy9lMm9Eb2MueG1sUEsFBgAAAAAGAAYAWQEAAO4F&#10;AAAAAA==&#10;">
                      <o:lock v:ext="edit" aspectratio="f"/>
                      <v:line id="__TH_L25" o:spid="_x0000_s1026" o:spt="20" style="position:absolute;left:2226;top:1984;height:1072;width:1267;" filled="f" stroked="t" coordsize="21600,21600" o:gfxdata="UEsDBAoAAAAAAIdO4kAAAAAAAAAAAAAAAAAEAAAAZHJzL1BLAwQUAAAACACHTuJAK9WWCroAAADa&#10;AAAADwAAAGRycy9kb3ducmV2LnhtbEWPQUsDMRSE70L/Q3gFbzbZwoqsTXsQtvTiwSqeH5vn7uLm&#10;ZUleN9VfbwTB4zAz3zC7w9VPaqGYxsAWqo0BRdwFN3Jv4e21vXsAlQTZ4RSYLHxRgsN+dbPDxoXM&#10;L7ScpVcFwqlBC4PI3GiduoE8pk2YiYv3EaJHKTL22kXMBe4nvTXmXnscuSwMONPTQN3n+eItcCXv&#10;U86Sl/hdH+uqbk/mubX2dl2ZR1BCV/kP/7VPzsIWfq+UG6D3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r1ZYKugAAANo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line id="__TH_L26" o:spid="_x0000_s1026" o:spt="20" style="position:absolute;left:959;top:2520;height:536;width:2534;" filled="f" stroked="t" coordsize="21600,21600" o:gfxdata="UEsDBAoAAAAAAIdO4kAAAAAAAAAAAAAAAAAEAAAAZHJzL1BLAwQUAAAACACHTuJARJkzkbsAAADa&#10;AAAADwAAAGRycy9kb3ducmV2LnhtbEWPQUvEMBSE78L+h/AWvLlJlYrUze5B6LIXD67i+dE822Lz&#10;UpK3zeqvN4LgcZiZb5jt/uIntVBMY2AL1caAIu6CG7m38Pba3jyASoLscApMFr4owX63utpi40Lm&#10;F1pO0qsC4dSghUFkbrRO3UAe0ybMxMX7CNGjFBl77SLmAveTvjXmXnscuSwMONPTQN3n6ewtcCXv&#10;U86Sl/hdH+qqbo/mubX2el2ZR1BCF/kP/7WPzsId/F4pN0Dvf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JkzkbsAAADa&#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group>
                  </w:pict>
                </mc:Fallback>
              </mc:AlternateContent>
            </w:r>
            <w:r>
              <w:rPr>
                <w:rFonts w:hint="eastAsia" w:hAnsi="宋体" w:cs="宋体"/>
                <w:color w:val="000000" w:themeColor="text1"/>
                <w:highlight w:val="none"/>
                <w14:textFill>
                  <w14:solidFill>
                    <w14:schemeClr w14:val="tx1"/>
                  </w14:solidFill>
                </w14:textFill>
              </w:rPr>
              <w:t>服务类型</w:t>
            </w:r>
          </w:p>
          <w:p>
            <w:pPr>
              <w:pStyle w:val="20"/>
              <w:snapToGrid w:val="0"/>
              <w:ind w:firstLine="63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费  率</w:t>
            </w:r>
          </w:p>
          <w:p>
            <w:pPr>
              <w:pStyle w:val="20"/>
              <w:snapToGrid w:val="0"/>
              <w:rPr>
                <w:rFonts w:hAnsi="宋体" w:cs="宋体"/>
                <w:color w:val="000000" w:themeColor="text1"/>
                <w:highlight w:val="none"/>
                <w14:textFill>
                  <w14:solidFill>
                    <w14:schemeClr w14:val="tx1"/>
                  </w14:solidFill>
                </w14:textFill>
              </w:rPr>
            </w:pPr>
          </w:p>
          <w:p>
            <w:pPr>
              <w:pStyle w:val="20"/>
              <w:snapToGrid w:val="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成交金额（万元）</w:t>
            </w:r>
          </w:p>
        </w:tc>
        <w:tc>
          <w:tcPr>
            <w:tcW w:w="1760" w:type="dxa"/>
            <w:vAlign w:val="center"/>
          </w:tcPr>
          <w:p>
            <w:pPr>
              <w:pStyle w:val="20"/>
              <w:snapToGrid w:val="0"/>
              <w:jc w:val="center"/>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货物招标</w:t>
            </w:r>
          </w:p>
        </w:tc>
        <w:tc>
          <w:tcPr>
            <w:tcW w:w="1760" w:type="dxa"/>
            <w:vAlign w:val="center"/>
          </w:tcPr>
          <w:p>
            <w:pPr>
              <w:pStyle w:val="20"/>
              <w:snapToGrid w:val="0"/>
              <w:jc w:val="center"/>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服务招标</w:t>
            </w:r>
          </w:p>
        </w:tc>
        <w:tc>
          <w:tcPr>
            <w:tcW w:w="1760" w:type="dxa"/>
            <w:vAlign w:val="center"/>
          </w:tcPr>
          <w:p>
            <w:pPr>
              <w:pStyle w:val="20"/>
              <w:snapToGrid w:val="0"/>
              <w:jc w:val="center"/>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60" w:type="dxa"/>
            <w:vAlign w:val="center"/>
          </w:tcPr>
          <w:p>
            <w:pPr>
              <w:pStyle w:val="20"/>
              <w:snapToGrid w:val="0"/>
              <w:jc w:val="center"/>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100以下</w:t>
            </w:r>
          </w:p>
        </w:tc>
        <w:tc>
          <w:tcPr>
            <w:tcW w:w="1760" w:type="dxa"/>
            <w:vAlign w:val="center"/>
          </w:tcPr>
          <w:p>
            <w:pPr>
              <w:pStyle w:val="20"/>
              <w:snapToGrid w:val="0"/>
              <w:jc w:val="center"/>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1.5%</w:t>
            </w:r>
          </w:p>
        </w:tc>
        <w:tc>
          <w:tcPr>
            <w:tcW w:w="1760" w:type="dxa"/>
            <w:vAlign w:val="center"/>
          </w:tcPr>
          <w:p>
            <w:pPr>
              <w:pStyle w:val="20"/>
              <w:snapToGrid w:val="0"/>
              <w:jc w:val="center"/>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1.5%</w:t>
            </w:r>
          </w:p>
        </w:tc>
        <w:tc>
          <w:tcPr>
            <w:tcW w:w="1760" w:type="dxa"/>
            <w:vAlign w:val="center"/>
          </w:tcPr>
          <w:p>
            <w:pPr>
              <w:pStyle w:val="20"/>
              <w:snapToGrid w:val="0"/>
              <w:jc w:val="center"/>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60" w:type="dxa"/>
            <w:vAlign w:val="center"/>
          </w:tcPr>
          <w:p>
            <w:pPr>
              <w:pStyle w:val="20"/>
              <w:snapToGrid w:val="0"/>
              <w:jc w:val="center"/>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100-500</w:t>
            </w:r>
          </w:p>
        </w:tc>
        <w:tc>
          <w:tcPr>
            <w:tcW w:w="1760" w:type="dxa"/>
            <w:vAlign w:val="center"/>
          </w:tcPr>
          <w:p>
            <w:pPr>
              <w:pStyle w:val="20"/>
              <w:snapToGrid w:val="0"/>
              <w:jc w:val="center"/>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1.1%</w:t>
            </w:r>
          </w:p>
        </w:tc>
        <w:tc>
          <w:tcPr>
            <w:tcW w:w="1760" w:type="dxa"/>
            <w:vAlign w:val="center"/>
          </w:tcPr>
          <w:p>
            <w:pPr>
              <w:pStyle w:val="20"/>
              <w:snapToGrid w:val="0"/>
              <w:jc w:val="center"/>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0.8%</w:t>
            </w:r>
          </w:p>
        </w:tc>
        <w:tc>
          <w:tcPr>
            <w:tcW w:w="1760" w:type="dxa"/>
            <w:vAlign w:val="center"/>
          </w:tcPr>
          <w:p>
            <w:pPr>
              <w:pStyle w:val="20"/>
              <w:snapToGrid w:val="0"/>
              <w:jc w:val="center"/>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0.7%</w:t>
            </w:r>
          </w:p>
        </w:tc>
      </w:tr>
    </w:tbl>
    <w:p>
      <w:pPr>
        <w:pStyle w:val="20"/>
        <w:spacing w:line="400" w:lineRule="exact"/>
        <w:ind w:firstLine="42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例如：某货物招标代理业务中标金额为200万元，计算招标代理服务收费额如下：</w:t>
      </w:r>
    </w:p>
    <w:p>
      <w:pPr>
        <w:pStyle w:val="20"/>
        <w:spacing w:line="400" w:lineRule="exact"/>
        <w:ind w:firstLine="42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100万元×1.5%=1.5万元</w:t>
      </w:r>
    </w:p>
    <w:p>
      <w:pPr>
        <w:pStyle w:val="20"/>
        <w:spacing w:line="400" w:lineRule="exact"/>
        <w:ind w:firstLine="42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（200-100）万元×1.1%=1.1万元</w:t>
      </w:r>
    </w:p>
    <w:p>
      <w:pPr>
        <w:pStyle w:val="20"/>
        <w:spacing w:line="400" w:lineRule="exact"/>
        <w:ind w:firstLine="42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合计收费 = 1.5 + 1.1 = 2.6（万元）</w:t>
      </w:r>
    </w:p>
    <w:p>
      <w:pPr>
        <w:pStyle w:val="20"/>
        <w:spacing w:line="400" w:lineRule="exact"/>
        <w:ind w:left="525" w:hanging="525" w:hangingChars="25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27.3上述款项，请现金现存或转账电汇转入下列银行帐户。</w:t>
      </w:r>
    </w:p>
    <w:p>
      <w:pPr>
        <w:pStyle w:val="20"/>
        <w:spacing w:line="400" w:lineRule="exact"/>
        <w:ind w:firstLine="840" w:firstLineChars="4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开户名称：广西众联工程项目管理有限公司</w:t>
      </w:r>
    </w:p>
    <w:p>
      <w:pPr>
        <w:spacing w:line="350" w:lineRule="exact"/>
        <w:ind w:firstLine="840" w:firstLineChars="4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开户银行：中国光大银行股份有限公司南宁民主支行</w:t>
      </w:r>
    </w:p>
    <w:p>
      <w:pPr>
        <w:spacing w:line="350" w:lineRule="exact"/>
        <w:ind w:firstLine="840" w:firstLineChars="4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银行账号：78900188000167866</w:t>
      </w:r>
    </w:p>
    <w:p>
      <w:pPr>
        <w:pStyle w:val="4"/>
        <w:spacing w:before="0" w:after="0" w:line="400" w:lineRule="exact"/>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28、解释权</w:t>
      </w:r>
      <w:bookmarkEnd w:id="217"/>
      <w:bookmarkEnd w:id="218"/>
      <w:bookmarkEnd w:id="219"/>
      <w:bookmarkEnd w:id="220"/>
      <w:bookmarkEnd w:id="221"/>
    </w:p>
    <w:p>
      <w:pPr>
        <w:pStyle w:val="20"/>
        <w:spacing w:line="400" w:lineRule="exact"/>
        <w:ind w:left="420" w:hanging="420" w:hanging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28.1本</w:t>
      </w:r>
      <w:r>
        <w:rPr>
          <w:rFonts w:hint="eastAsia" w:hAnsi="宋体" w:cs="宋体"/>
          <w:color w:val="000000" w:themeColor="text1"/>
          <w:szCs w:val="21"/>
          <w:highlight w:val="none"/>
          <w14:textFill>
            <w14:solidFill>
              <w14:schemeClr w14:val="tx1"/>
            </w14:solidFill>
          </w14:textFill>
        </w:rPr>
        <w:t>招标文件</w:t>
      </w:r>
      <w:r>
        <w:rPr>
          <w:rFonts w:hint="eastAsia" w:hAnsi="宋体" w:cs="宋体"/>
          <w:color w:val="000000" w:themeColor="text1"/>
          <w:highlight w:val="none"/>
          <w14:textFill>
            <w14:solidFill>
              <w14:schemeClr w14:val="tx1"/>
            </w14:solidFill>
          </w14:textFill>
        </w:rPr>
        <w:t>是根据国家有关法律、法规以及政府采购管理有关规定和参照国际惯例编制，解释权属本采购代理机构。</w:t>
      </w:r>
    </w:p>
    <w:p>
      <w:pPr>
        <w:pStyle w:val="4"/>
        <w:spacing w:before="0" w:after="0" w:line="400" w:lineRule="exact"/>
        <w:rPr>
          <w:rFonts w:ascii="宋体" w:hAnsi="宋体" w:eastAsia="宋体" w:cs="宋体"/>
          <w:color w:val="000000" w:themeColor="text1"/>
          <w:sz w:val="21"/>
          <w:szCs w:val="21"/>
          <w:highlight w:val="none"/>
          <w14:textFill>
            <w14:solidFill>
              <w14:schemeClr w14:val="tx1"/>
            </w14:solidFill>
          </w14:textFill>
        </w:rPr>
      </w:pPr>
      <w:bookmarkStart w:id="222" w:name="_Toc469874201"/>
      <w:r>
        <w:rPr>
          <w:rFonts w:hint="eastAsia" w:ascii="宋体" w:hAnsi="宋体" w:eastAsia="宋体" w:cs="宋体"/>
          <w:color w:val="000000" w:themeColor="text1"/>
          <w:sz w:val="21"/>
          <w:szCs w:val="21"/>
          <w:highlight w:val="none"/>
          <w14:textFill>
            <w14:solidFill>
              <w14:schemeClr w14:val="tx1"/>
            </w14:solidFill>
          </w14:textFill>
        </w:rPr>
        <w:t>29、知识产权</w:t>
      </w:r>
      <w:bookmarkEnd w:id="222"/>
    </w:p>
    <w:p>
      <w:pPr>
        <w:pStyle w:val="20"/>
        <w:spacing w:line="400" w:lineRule="exact"/>
        <w:ind w:left="420" w:hanging="420" w:hanging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29.1所有投标人的投标文件以及在本项目的知识成果（包括知识产权在内的任何权利）均归采购人所有，不予退还。投标人并保证所交付的知识成果不侵犯第三人的任何合法权益。</w:t>
      </w:r>
    </w:p>
    <w:p>
      <w:pPr>
        <w:pStyle w:val="4"/>
        <w:spacing w:before="0" w:after="0" w:line="400" w:lineRule="exact"/>
        <w:rPr>
          <w:rFonts w:ascii="宋体" w:hAnsi="宋体" w:eastAsia="宋体" w:cs="宋体"/>
          <w:color w:val="000000" w:themeColor="text1"/>
          <w:sz w:val="21"/>
          <w:szCs w:val="21"/>
          <w:highlight w:val="none"/>
          <w14:textFill>
            <w14:solidFill>
              <w14:schemeClr w14:val="tx1"/>
            </w14:solidFill>
          </w14:textFill>
        </w:rPr>
      </w:pPr>
      <w:bookmarkStart w:id="223" w:name="_Toc469874202"/>
      <w:r>
        <w:rPr>
          <w:rFonts w:hint="eastAsia" w:ascii="宋体" w:hAnsi="宋体" w:eastAsia="宋体" w:cs="宋体"/>
          <w:color w:val="000000" w:themeColor="text1"/>
          <w:sz w:val="21"/>
          <w:szCs w:val="21"/>
          <w:highlight w:val="none"/>
          <w14:textFill>
            <w14:solidFill>
              <w14:schemeClr w14:val="tx1"/>
            </w14:solidFill>
          </w14:textFill>
        </w:rPr>
        <w:t>30、需要补充的其他内容</w:t>
      </w:r>
      <w:bookmarkEnd w:id="223"/>
    </w:p>
    <w:p>
      <w:pPr>
        <w:pStyle w:val="20"/>
        <w:spacing w:line="400" w:lineRule="exact"/>
        <w:ind w:left="420" w:hanging="420" w:hanging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30.1需要</w:t>
      </w:r>
      <w:r>
        <w:rPr>
          <w:rFonts w:hint="eastAsia" w:hAnsi="宋体" w:cs="宋体"/>
          <w:color w:val="000000" w:themeColor="text1"/>
          <w:szCs w:val="21"/>
          <w:highlight w:val="none"/>
          <w14:textFill>
            <w14:solidFill>
              <w14:schemeClr w14:val="tx1"/>
            </w14:solidFill>
          </w14:textFill>
        </w:rPr>
        <w:t>补充</w:t>
      </w:r>
      <w:r>
        <w:rPr>
          <w:rFonts w:hint="eastAsia" w:hAnsi="宋体" w:cs="宋体"/>
          <w:color w:val="000000" w:themeColor="text1"/>
          <w:highlight w:val="none"/>
          <w14:textFill>
            <w14:solidFill>
              <w14:schemeClr w14:val="tx1"/>
            </w14:solidFill>
          </w14:textFill>
        </w:rPr>
        <w:t>的其他内容：见本章须知前附表。</w:t>
      </w:r>
    </w:p>
    <w:p>
      <w:pPr>
        <w:pStyle w:val="20"/>
        <w:spacing w:line="390" w:lineRule="exact"/>
        <w:ind w:left="420" w:hanging="420" w:hangingChars="200"/>
        <w:rPr>
          <w:rFonts w:hAnsi="宋体" w:cs="宋体"/>
          <w:color w:val="000000" w:themeColor="text1"/>
          <w:highlight w:val="none"/>
          <w14:textFill>
            <w14:solidFill>
              <w14:schemeClr w14:val="tx1"/>
            </w14:solidFill>
          </w14:textFill>
        </w:rPr>
      </w:pPr>
    </w:p>
    <w:p>
      <w:pPr>
        <w:pStyle w:val="20"/>
        <w:tabs>
          <w:tab w:val="left" w:pos="6695"/>
        </w:tabs>
        <w:spacing w:line="340" w:lineRule="exact"/>
        <w:ind w:firstLine="42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br w:type="page"/>
      </w:r>
    </w:p>
    <w:p>
      <w:pPr>
        <w:pStyle w:val="20"/>
        <w:spacing w:line="400" w:lineRule="exact"/>
        <w:rPr>
          <w:rFonts w:hAnsi="宋体" w:cs="宋体"/>
          <w:color w:val="000000" w:themeColor="text1"/>
          <w:highlight w:val="none"/>
          <w14:textFill>
            <w14:solidFill>
              <w14:schemeClr w14:val="tx1"/>
            </w14:solidFill>
          </w14:textFill>
        </w:rPr>
      </w:pPr>
    </w:p>
    <w:p>
      <w:pPr>
        <w:pStyle w:val="20"/>
        <w:spacing w:line="400" w:lineRule="exact"/>
        <w:rPr>
          <w:rFonts w:hAnsi="宋体" w:cs="宋体"/>
          <w:color w:val="000000" w:themeColor="text1"/>
          <w:highlight w:val="none"/>
          <w14:textFill>
            <w14:solidFill>
              <w14:schemeClr w14:val="tx1"/>
            </w14:solidFill>
          </w14:textFill>
        </w:rPr>
      </w:pPr>
    </w:p>
    <w:p>
      <w:pPr>
        <w:pStyle w:val="20"/>
        <w:spacing w:line="400" w:lineRule="exact"/>
        <w:rPr>
          <w:rFonts w:hAnsi="宋体" w:cs="宋体"/>
          <w:color w:val="000000" w:themeColor="text1"/>
          <w:highlight w:val="none"/>
          <w14:textFill>
            <w14:solidFill>
              <w14:schemeClr w14:val="tx1"/>
            </w14:solidFill>
          </w14:textFill>
        </w:rPr>
      </w:pPr>
    </w:p>
    <w:p>
      <w:pPr>
        <w:pStyle w:val="20"/>
        <w:spacing w:line="400" w:lineRule="exact"/>
        <w:rPr>
          <w:rFonts w:hAnsi="宋体" w:cs="宋体"/>
          <w:color w:val="000000" w:themeColor="text1"/>
          <w:highlight w:val="none"/>
          <w14:textFill>
            <w14:solidFill>
              <w14:schemeClr w14:val="tx1"/>
            </w14:solidFill>
          </w14:textFill>
        </w:rPr>
      </w:pPr>
    </w:p>
    <w:p>
      <w:pPr>
        <w:pStyle w:val="20"/>
        <w:spacing w:line="400" w:lineRule="exact"/>
        <w:rPr>
          <w:rFonts w:hAnsi="宋体" w:cs="宋体"/>
          <w:color w:val="000000" w:themeColor="text1"/>
          <w:highlight w:val="none"/>
          <w14:textFill>
            <w14:solidFill>
              <w14:schemeClr w14:val="tx1"/>
            </w14:solidFill>
          </w14:textFill>
        </w:rPr>
      </w:pPr>
    </w:p>
    <w:p>
      <w:pPr>
        <w:pStyle w:val="20"/>
        <w:spacing w:line="400" w:lineRule="exact"/>
        <w:rPr>
          <w:rFonts w:hAnsi="宋体" w:cs="宋体"/>
          <w:color w:val="000000" w:themeColor="text1"/>
          <w:highlight w:val="none"/>
          <w14:textFill>
            <w14:solidFill>
              <w14:schemeClr w14:val="tx1"/>
            </w14:solidFill>
          </w14:textFill>
        </w:rPr>
      </w:pPr>
    </w:p>
    <w:p>
      <w:pPr>
        <w:pStyle w:val="20"/>
        <w:spacing w:line="400" w:lineRule="exact"/>
        <w:rPr>
          <w:rFonts w:hAnsi="宋体" w:cs="宋体"/>
          <w:color w:val="000000" w:themeColor="text1"/>
          <w:highlight w:val="none"/>
          <w14:textFill>
            <w14:solidFill>
              <w14:schemeClr w14:val="tx1"/>
            </w14:solidFill>
          </w14:textFill>
        </w:rPr>
      </w:pPr>
    </w:p>
    <w:p>
      <w:pPr>
        <w:pStyle w:val="20"/>
        <w:spacing w:line="400" w:lineRule="exact"/>
        <w:rPr>
          <w:rFonts w:hAnsi="宋体" w:cs="宋体"/>
          <w:color w:val="000000" w:themeColor="text1"/>
          <w:highlight w:val="none"/>
          <w14:textFill>
            <w14:solidFill>
              <w14:schemeClr w14:val="tx1"/>
            </w14:solidFill>
          </w14:textFill>
        </w:rPr>
      </w:pPr>
    </w:p>
    <w:p>
      <w:pPr>
        <w:pStyle w:val="20"/>
        <w:spacing w:line="400" w:lineRule="exact"/>
        <w:rPr>
          <w:rFonts w:hAnsi="宋体" w:cs="宋体"/>
          <w:color w:val="000000" w:themeColor="text1"/>
          <w:highlight w:val="none"/>
          <w14:textFill>
            <w14:solidFill>
              <w14:schemeClr w14:val="tx1"/>
            </w14:solidFill>
          </w14:textFill>
        </w:rPr>
      </w:pPr>
    </w:p>
    <w:p>
      <w:pPr>
        <w:pStyle w:val="3"/>
        <w:spacing w:line="560" w:lineRule="exact"/>
        <w:jc w:val="center"/>
        <w:rPr>
          <w:rFonts w:ascii="宋体" w:hAnsi="宋体" w:cs="宋体"/>
          <w:bCs/>
          <w:color w:val="000000" w:themeColor="text1"/>
          <w:sz w:val="44"/>
          <w:highlight w:val="none"/>
          <w14:textFill>
            <w14:solidFill>
              <w14:schemeClr w14:val="tx1"/>
            </w14:solidFill>
          </w14:textFill>
        </w:rPr>
      </w:pPr>
      <w:bookmarkStart w:id="224" w:name="_Toc147248436"/>
      <w:bookmarkStart w:id="225" w:name="_Toc156106971"/>
      <w:bookmarkStart w:id="226" w:name="_Toc199780487"/>
      <w:bookmarkStart w:id="227" w:name="_Toc230929136"/>
      <w:bookmarkStart w:id="228" w:name="_Toc230949375"/>
      <w:bookmarkStart w:id="229" w:name="_Toc395066557"/>
      <w:bookmarkStart w:id="230" w:name="_Toc200308968"/>
      <w:bookmarkStart w:id="231" w:name="_Toc405943015"/>
      <w:bookmarkStart w:id="232" w:name="_Toc469842113"/>
      <w:bookmarkStart w:id="233" w:name="_Toc200268365"/>
      <w:bookmarkStart w:id="234" w:name="_Toc185702588"/>
      <w:bookmarkStart w:id="235" w:name="_Toc185703010"/>
      <w:bookmarkStart w:id="236" w:name="_Toc469874205"/>
      <w:bookmarkStart w:id="237" w:name="_Toc13134"/>
      <w:r>
        <w:rPr>
          <w:rFonts w:hint="eastAsia" w:ascii="宋体" w:hAnsi="宋体" w:cs="宋体"/>
          <w:bCs/>
          <w:color w:val="000000" w:themeColor="text1"/>
          <w:sz w:val="44"/>
          <w:highlight w:val="none"/>
          <w14:textFill>
            <w14:solidFill>
              <w14:schemeClr w14:val="tx1"/>
            </w14:solidFill>
          </w14:textFill>
        </w:rPr>
        <w:t>第四章  评标</w:t>
      </w:r>
      <w:bookmarkEnd w:id="224"/>
      <w:bookmarkEnd w:id="225"/>
      <w:r>
        <w:rPr>
          <w:rFonts w:hint="eastAsia" w:ascii="宋体" w:hAnsi="宋体" w:cs="宋体"/>
          <w:bCs/>
          <w:color w:val="000000" w:themeColor="text1"/>
          <w:sz w:val="44"/>
          <w:highlight w:val="none"/>
          <w14:textFill>
            <w14:solidFill>
              <w14:schemeClr w14:val="tx1"/>
            </w14:solidFill>
          </w14:textFill>
        </w:rPr>
        <w:t>方法</w:t>
      </w:r>
      <w:bookmarkEnd w:id="226"/>
      <w:bookmarkEnd w:id="227"/>
      <w:bookmarkEnd w:id="228"/>
      <w:bookmarkEnd w:id="229"/>
      <w:bookmarkEnd w:id="230"/>
      <w:bookmarkEnd w:id="231"/>
      <w:bookmarkEnd w:id="232"/>
      <w:bookmarkEnd w:id="233"/>
      <w:bookmarkEnd w:id="234"/>
      <w:bookmarkEnd w:id="235"/>
      <w:bookmarkEnd w:id="236"/>
      <w:bookmarkEnd w:id="237"/>
    </w:p>
    <w:p>
      <w:pPr>
        <w:pStyle w:val="20"/>
        <w:spacing w:line="400" w:lineRule="exact"/>
        <w:rPr>
          <w:rFonts w:hAnsi="宋体" w:cs="宋体"/>
          <w:color w:val="000000" w:themeColor="text1"/>
          <w:highlight w:val="none"/>
          <w14:textFill>
            <w14:solidFill>
              <w14:schemeClr w14:val="tx1"/>
            </w14:solidFill>
          </w14:textFill>
        </w:rPr>
      </w:pPr>
    </w:p>
    <w:p>
      <w:pPr>
        <w:pStyle w:val="20"/>
        <w:spacing w:line="0" w:lineRule="atLeast"/>
        <w:jc w:val="center"/>
        <w:rPr>
          <w:rFonts w:hAnsi="宋体" w:cs="宋体"/>
          <w:b/>
          <w:bCs/>
          <w:color w:val="000000" w:themeColor="text1"/>
          <w:sz w:val="32"/>
          <w:szCs w:val="32"/>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br w:type="page"/>
      </w:r>
      <w:r>
        <w:rPr>
          <w:rFonts w:hint="eastAsia" w:hAnsi="宋体" w:cs="宋体"/>
          <w:b/>
          <w:bCs/>
          <w:color w:val="000000" w:themeColor="text1"/>
          <w:sz w:val="32"/>
          <w:szCs w:val="32"/>
          <w:highlight w:val="none"/>
          <w14:textFill>
            <w14:solidFill>
              <w14:schemeClr w14:val="tx1"/>
            </w14:solidFill>
          </w14:textFill>
        </w:rPr>
        <w:t>评标方法</w:t>
      </w:r>
    </w:p>
    <w:p>
      <w:pPr>
        <w:pStyle w:val="20"/>
        <w:spacing w:before="66" w:beforeLines="20" w:line="0" w:lineRule="atLeast"/>
        <w:rPr>
          <w:rFonts w:hAnsi="宋体" w:cs="宋体"/>
          <w:b/>
          <w:bCs/>
          <w:color w:val="000000" w:themeColor="text1"/>
          <w:sz w:val="28"/>
          <w:szCs w:val="28"/>
          <w:highlight w:val="none"/>
          <w14:textFill>
            <w14:solidFill>
              <w14:schemeClr w14:val="tx1"/>
            </w14:solidFill>
          </w14:textFill>
        </w:rPr>
      </w:pPr>
      <w:bookmarkStart w:id="238" w:name="_Toc469909326"/>
      <w:bookmarkStart w:id="239" w:name="_Toc469874206"/>
      <w:bookmarkStart w:id="240" w:name="_Toc395066558"/>
      <w:bookmarkStart w:id="241" w:name="_Toc469842114"/>
      <w:bookmarkStart w:id="242" w:name="_Toc405943016"/>
      <w:bookmarkStart w:id="243" w:name="_Toc469950028"/>
      <w:r>
        <w:rPr>
          <w:rFonts w:hint="eastAsia" w:hAnsi="宋体" w:cs="宋体"/>
          <w:b/>
          <w:bCs/>
          <w:color w:val="000000" w:themeColor="text1"/>
          <w:sz w:val="28"/>
          <w:szCs w:val="28"/>
          <w:highlight w:val="none"/>
          <w14:textFill>
            <w14:solidFill>
              <w14:schemeClr w14:val="tx1"/>
            </w14:solidFill>
          </w14:textFill>
        </w:rPr>
        <w:t>一、评标方法及依据</w:t>
      </w:r>
    </w:p>
    <w:p>
      <w:pPr>
        <w:pStyle w:val="20"/>
        <w:spacing w:before="33" w:beforeLines="10" w:line="0" w:lineRule="atLeast"/>
        <w:ind w:firstLine="431"/>
        <w:rPr>
          <w:rFonts w:hAnsi="宋体" w:cs="宋体"/>
          <w:bCs/>
          <w:color w:val="000000" w:themeColor="text1"/>
          <w:highlight w:val="none"/>
          <w14:textFill>
            <w14:solidFill>
              <w14:schemeClr w14:val="tx1"/>
            </w14:solidFill>
          </w14:textFill>
        </w:rPr>
      </w:pPr>
      <w:r>
        <w:rPr>
          <w:rFonts w:hint="eastAsia" w:hAnsi="宋体" w:cs="宋体"/>
          <w:bCs/>
          <w:color w:val="000000" w:themeColor="text1"/>
          <w:highlight w:val="none"/>
          <w14:textFill>
            <w14:solidFill>
              <w14:schemeClr w14:val="tx1"/>
            </w14:solidFill>
          </w14:textFill>
        </w:rPr>
        <w:t>1、本项目采用评标方法：综合评分法，</w:t>
      </w:r>
      <w:r>
        <w:rPr>
          <w:rFonts w:hint="eastAsia" w:hAnsi="宋体" w:cs="宋体"/>
          <w:color w:val="000000" w:themeColor="text1"/>
          <w:kern w:val="0"/>
          <w:szCs w:val="21"/>
          <w:highlight w:val="none"/>
          <w14:textFill>
            <w14:solidFill>
              <w14:schemeClr w14:val="tx1"/>
            </w14:solidFill>
          </w14:textFill>
        </w:rPr>
        <w:t>是指招标文件满足招标文件全部实质性要求，且按照评审因素的量化指标评审得分最高的投标人作为中标候选人或者中标人的评标方法。</w:t>
      </w:r>
    </w:p>
    <w:p>
      <w:pPr>
        <w:pStyle w:val="20"/>
        <w:spacing w:before="33" w:beforeLines="10" w:line="0" w:lineRule="atLeast"/>
        <w:ind w:firstLine="431"/>
        <w:rPr>
          <w:rFonts w:hAnsi="宋体" w:cs="宋体"/>
          <w:bCs/>
          <w:color w:val="000000" w:themeColor="text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2、本项目采用不公开方式评标，评审依据为</w:t>
      </w:r>
      <w:r>
        <w:rPr>
          <w:rFonts w:hint="eastAsia" w:hAnsi="宋体" w:cs="宋体"/>
          <w:color w:val="000000" w:themeColor="text1"/>
          <w:highlight w:val="none"/>
          <w14:textFill>
            <w14:solidFill>
              <w14:schemeClr w14:val="tx1"/>
            </w14:solidFill>
          </w14:textFill>
        </w:rPr>
        <w:t>招标文件、变更公告或文件（如有）、投标文件、澄清及答复。</w:t>
      </w:r>
    </w:p>
    <w:p>
      <w:pPr>
        <w:pStyle w:val="20"/>
        <w:spacing w:before="66" w:beforeLines="20" w:line="0" w:lineRule="atLeast"/>
        <w:rPr>
          <w:rFonts w:hAnsi="宋体" w:cs="宋体"/>
          <w:b/>
          <w:bCs/>
          <w:color w:val="000000" w:themeColor="text1"/>
          <w:sz w:val="28"/>
          <w:szCs w:val="28"/>
          <w:highlight w:val="none"/>
          <w14:textFill>
            <w14:solidFill>
              <w14:schemeClr w14:val="tx1"/>
            </w14:solidFill>
          </w14:textFill>
        </w:rPr>
      </w:pPr>
      <w:r>
        <w:rPr>
          <w:rFonts w:hint="eastAsia" w:hAnsi="宋体" w:cs="宋体"/>
          <w:b/>
          <w:bCs/>
          <w:color w:val="000000" w:themeColor="text1"/>
          <w:sz w:val="28"/>
          <w:szCs w:val="28"/>
          <w:highlight w:val="none"/>
          <w14:textFill>
            <w14:solidFill>
              <w14:schemeClr w14:val="tx1"/>
            </w14:solidFill>
          </w14:textFill>
        </w:rPr>
        <w:t>二、评标标准</w:t>
      </w:r>
    </w:p>
    <w:p>
      <w:pPr>
        <w:pStyle w:val="20"/>
        <w:spacing w:line="0" w:lineRule="atLeast"/>
        <w:ind w:firstLine="430"/>
        <w:rPr>
          <w:rFonts w:hAnsi="宋体" w:cs="宋体"/>
          <w:b/>
          <w:bCs/>
          <w:color w:val="000000" w:themeColor="text1"/>
          <w:highlight w:val="none"/>
          <w14:textFill>
            <w14:solidFill>
              <w14:schemeClr w14:val="tx1"/>
            </w14:solidFill>
          </w14:textFill>
        </w:rPr>
      </w:pPr>
      <w:r>
        <w:rPr>
          <w:rFonts w:hint="eastAsia" w:hAnsi="宋体" w:cs="宋体"/>
          <w:b/>
          <w:bCs/>
          <w:color w:val="000000" w:themeColor="text1"/>
          <w:highlight w:val="none"/>
          <w14:textFill>
            <w14:solidFill>
              <w14:schemeClr w14:val="tx1"/>
            </w14:solidFill>
          </w14:textFill>
        </w:rPr>
        <w:t>（一）投标报价政策性扣除</w:t>
      </w:r>
    </w:p>
    <w:p>
      <w:pPr>
        <w:pStyle w:val="20"/>
        <w:spacing w:before="33" w:beforeLines="10" w:line="0" w:lineRule="atLeast"/>
        <w:ind w:firstLine="430"/>
        <w:rPr>
          <w:rFonts w:hAnsi="宋体" w:cs="宋体"/>
          <w:bCs/>
          <w:color w:val="000000" w:themeColor="text1"/>
          <w:szCs w:val="21"/>
          <w:highlight w:val="none"/>
          <w14:textFill>
            <w14:solidFill>
              <w14:schemeClr w14:val="tx1"/>
            </w14:solidFill>
          </w14:textFill>
        </w:rPr>
      </w:pPr>
      <w:r>
        <w:rPr>
          <w:rFonts w:hint="eastAsia" w:hAnsi="宋体" w:cs="宋体"/>
          <w:bCs/>
          <w:color w:val="000000" w:themeColor="text1"/>
          <w:szCs w:val="21"/>
          <w:highlight w:val="none"/>
          <w14:textFill>
            <w14:solidFill>
              <w14:schemeClr w14:val="tx1"/>
            </w14:solidFill>
          </w14:textFill>
        </w:rPr>
        <w:t>若投标人符合以下情形之一的，对其投标报价将给予相应比例的扣除，用扣除后的价格参与评审。未按要求填写和提供有效证明或相关内容表述不清的，不得享受价格扣除。</w:t>
      </w:r>
    </w:p>
    <w:p>
      <w:pPr>
        <w:pStyle w:val="20"/>
        <w:numPr>
          <w:ilvl w:val="0"/>
          <w:numId w:val="6"/>
        </w:numPr>
        <w:spacing w:before="33" w:beforeLines="10" w:line="0" w:lineRule="atLeast"/>
        <w:ind w:firstLine="430"/>
        <w:rPr>
          <w:rFonts w:hAnsi="宋体" w:cs="宋体"/>
          <w:color w:val="000000" w:themeColor="text1"/>
          <w:kern w:val="0"/>
          <w:szCs w:val="21"/>
          <w:highlight w:val="none"/>
          <w14:textFill>
            <w14:solidFill>
              <w14:schemeClr w14:val="tx1"/>
            </w14:solidFill>
          </w14:textFill>
        </w:rPr>
      </w:pPr>
      <w:r>
        <w:rPr>
          <w:rFonts w:hint="eastAsia" w:hAnsi="宋体" w:cs="宋体"/>
          <w:color w:val="000000" w:themeColor="text1"/>
          <w:kern w:val="0"/>
          <w:szCs w:val="21"/>
          <w:highlight w:val="none"/>
          <w14:textFill>
            <w14:solidFill>
              <w14:schemeClr w14:val="tx1"/>
            </w14:solidFill>
          </w14:textFill>
        </w:rPr>
        <w:t>本项目</w:t>
      </w:r>
      <w:r>
        <w:rPr>
          <w:rFonts w:hint="eastAsia" w:hAnsi="宋体" w:cs="宋体"/>
          <w:bCs/>
          <w:color w:val="000000" w:themeColor="text1"/>
          <w:kern w:val="0"/>
          <w:szCs w:val="21"/>
          <w:highlight w:val="none"/>
          <w14:textFill>
            <w14:solidFill>
              <w14:schemeClr w14:val="tx1"/>
            </w14:solidFill>
          </w14:textFill>
        </w:rPr>
        <w:t>将对提供</w:t>
      </w:r>
      <w:r>
        <w:rPr>
          <w:rFonts w:hint="eastAsia" w:hAnsi="宋体" w:cs="宋体"/>
          <w:color w:val="000000" w:themeColor="text1"/>
          <w:kern w:val="0"/>
          <w:szCs w:val="21"/>
          <w:highlight w:val="none"/>
          <w14:textFill>
            <w14:solidFill>
              <w14:schemeClr w14:val="tx1"/>
            </w14:solidFill>
          </w14:textFill>
        </w:rPr>
        <w:t>小型或微型企业</w:t>
      </w:r>
      <w:r>
        <w:rPr>
          <w:rFonts w:hint="eastAsia" w:hAnsi="宋体" w:cs="宋体"/>
          <w:bCs/>
          <w:color w:val="000000" w:themeColor="text1"/>
          <w:kern w:val="0"/>
          <w:szCs w:val="21"/>
          <w:highlight w:val="none"/>
          <w14:textFill>
            <w14:solidFill>
              <w14:schemeClr w14:val="tx1"/>
            </w14:solidFill>
          </w14:textFill>
        </w:rPr>
        <w:t>产品或服务的价格给予</w:t>
      </w:r>
      <w:r>
        <w:rPr>
          <w:rFonts w:hint="eastAsia" w:hAnsi="宋体" w:cs="宋体"/>
          <w:b/>
          <w:bCs/>
          <w:color w:val="000000" w:themeColor="text1"/>
          <w:kern w:val="0"/>
          <w:szCs w:val="21"/>
          <w:highlight w:val="none"/>
          <w14:textFill>
            <w14:solidFill>
              <w14:schemeClr w14:val="tx1"/>
            </w14:solidFill>
          </w14:textFill>
        </w:rPr>
        <w:t>6</w:t>
      </w:r>
      <w:r>
        <w:rPr>
          <w:rFonts w:hint="eastAsia" w:hAnsi="宋体" w:cs="宋体"/>
          <w:b/>
          <w:color w:val="000000" w:themeColor="text1"/>
          <w:kern w:val="0"/>
          <w:szCs w:val="21"/>
          <w:highlight w:val="none"/>
          <w14:textFill>
            <w14:solidFill>
              <w14:schemeClr w14:val="tx1"/>
            </w14:solidFill>
          </w14:textFill>
        </w:rPr>
        <w:t>％</w:t>
      </w:r>
      <w:r>
        <w:rPr>
          <w:rFonts w:hint="eastAsia" w:hAnsi="宋体" w:cs="宋体"/>
          <w:bCs/>
          <w:color w:val="000000" w:themeColor="text1"/>
          <w:kern w:val="0"/>
          <w:szCs w:val="21"/>
          <w:highlight w:val="none"/>
          <w14:textFill>
            <w14:solidFill>
              <w14:schemeClr w14:val="tx1"/>
            </w14:solidFill>
          </w14:textFill>
        </w:rPr>
        <w:t>的扣除（具体要求详见《中小企业声明函》（格式见第六章）），《中小企业声明函》需提供原件</w:t>
      </w:r>
      <w:r>
        <w:rPr>
          <w:rFonts w:hint="eastAsia" w:hAnsi="宋体" w:cs="宋体"/>
          <w:color w:val="000000" w:themeColor="text1"/>
          <w:kern w:val="0"/>
          <w:szCs w:val="21"/>
          <w:highlight w:val="none"/>
          <w14:textFill>
            <w14:solidFill>
              <w14:schemeClr w14:val="tx1"/>
            </w14:solidFill>
          </w14:textFill>
        </w:rPr>
        <w:t>。</w:t>
      </w:r>
    </w:p>
    <w:p>
      <w:pPr>
        <w:pStyle w:val="20"/>
        <w:spacing w:before="33" w:beforeLines="10" w:line="0" w:lineRule="atLeast"/>
        <w:ind w:firstLine="420" w:firstLineChars="200"/>
        <w:rPr>
          <w:rFonts w:hAnsi="宋体" w:cs="宋体"/>
          <w:bCs/>
          <w:color w:val="000000" w:themeColor="text1"/>
          <w:szCs w:val="21"/>
          <w:highlight w:val="none"/>
          <w14:textFill>
            <w14:solidFill>
              <w14:schemeClr w14:val="tx1"/>
            </w14:solidFill>
          </w14:textFill>
        </w:rPr>
      </w:pPr>
      <w:r>
        <w:rPr>
          <w:rFonts w:hint="eastAsia" w:hAnsi="宋体" w:cs="宋体"/>
          <w:bCs/>
          <w:color w:val="000000" w:themeColor="text1"/>
          <w:szCs w:val="21"/>
          <w:highlight w:val="none"/>
          <w14:textFill>
            <w14:solidFill>
              <w14:schemeClr w14:val="tx1"/>
            </w14:solidFill>
          </w14:textFill>
        </w:rPr>
        <w:t>2、</w:t>
      </w:r>
      <w:r>
        <w:rPr>
          <w:rFonts w:hint="eastAsia" w:hAnsi="宋体" w:cs="宋体"/>
          <w:color w:val="000000" w:themeColor="text1"/>
          <w:szCs w:val="21"/>
          <w:highlight w:val="none"/>
          <w14:textFill>
            <w14:solidFill>
              <w14:schemeClr w14:val="tx1"/>
            </w14:solidFill>
          </w14:textFill>
        </w:rPr>
        <w:t>投标人符合《关于政府采购支持监狱企业发展有关问题的通知》(财库[2014]68号)规定被认定为监狱企业的，提供由省级以上监狱管理局、戒毒管理局(含新疆生产建设兵团)出具的属于监狱企业的证明文件（复印件应加盖</w:t>
      </w:r>
      <w:r>
        <w:rPr>
          <w:rFonts w:hint="eastAsia" w:hAnsi="宋体" w:cs="宋体"/>
          <w:color w:val="000000" w:themeColor="text1"/>
          <w:highlight w:val="none"/>
          <w14:textFill>
            <w14:solidFill>
              <w14:schemeClr w14:val="tx1"/>
            </w14:solidFill>
          </w14:textFill>
        </w:rPr>
        <w:t>投标人公章）</w:t>
      </w:r>
      <w:r>
        <w:rPr>
          <w:rFonts w:hint="eastAsia" w:hAnsi="宋体" w:cs="宋体"/>
          <w:color w:val="000000" w:themeColor="text1"/>
          <w:szCs w:val="21"/>
          <w:highlight w:val="none"/>
          <w14:textFill>
            <w14:solidFill>
              <w14:schemeClr w14:val="tx1"/>
            </w14:solidFill>
          </w14:textFill>
        </w:rPr>
        <w:t>，</w:t>
      </w:r>
      <w:r>
        <w:rPr>
          <w:rFonts w:hint="eastAsia" w:hAnsi="宋体" w:cs="宋体"/>
          <w:bCs/>
          <w:color w:val="000000" w:themeColor="text1"/>
          <w:szCs w:val="21"/>
          <w:highlight w:val="none"/>
          <w14:textFill>
            <w14:solidFill>
              <w14:schemeClr w14:val="tx1"/>
            </w14:solidFill>
          </w14:textFill>
        </w:rPr>
        <w:t>将对最终报价给予</w:t>
      </w:r>
      <w:r>
        <w:rPr>
          <w:rFonts w:hint="eastAsia" w:hAnsi="宋体" w:cs="宋体"/>
          <w:b/>
          <w:bCs/>
          <w:color w:val="000000" w:themeColor="text1"/>
          <w:szCs w:val="21"/>
          <w:highlight w:val="none"/>
          <w14:textFill>
            <w14:solidFill>
              <w14:schemeClr w14:val="tx1"/>
            </w14:solidFill>
          </w14:textFill>
        </w:rPr>
        <w:t>6</w:t>
      </w:r>
      <w:r>
        <w:rPr>
          <w:rFonts w:hint="eastAsia" w:hAnsi="宋体" w:cs="宋体"/>
          <w:b/>
          <w:color w:val="000000" w:themeColor="text1"/>
          <w:szCs w:val="21"/>
          <w:highlight w:val="none"/>
          <w14:textFill>
            <w14:solidFill>
              <w14:schemeClr w14:val="tx1"/>
            </w14:solidFill>
          </w14:textFill>
        </w:rPr>
        <w:t>％</w:t>
      </w:r>
      <w:r>
        <w:rPr>
          <w:rFonts w:hint="eastAsia" w:hAnsi="宋体" w:cs="宋体"/>
          <w:bCs/>
          <w:color w:val="000000" w:themeColor="text1"/>
          <w:szCs w:val="21"/>
          <w:highlight w:val="none"/>
          <w14:textFill>
            <w14:solidFill>
              <w14:schemeClr w14:val="tx1"/>
            </w14:solidFill>
          </w14:textFill>
        </w:rPr>
        <w:t>的扣除</w:t>
      </w:r>
      <w:r>
        <w:rPr>
          <w:rFonts w:hint="eastAsia" w:hAnsi="宋体" w:cs="宋体"/>
          <w:color w:val="000000" w:themeColor="text1"/>
          <w:szCs w:val="21"/>
          <w:highlight w:val="none"/>
          <w14:textFill>
            <w14:solidFill>
              <w14:schemeClr w14:val="tx1"/>
            </w14:solidFill>
          </w14:textFill>
        </w:rPr>
        <w:t>。</w:t>
      </w:r>
    </w:p>
    <w:p>
      <w:pPr>
        <w:pStyle w:val="20"/>
        <w:spacing w:before="33" w:beforeLines="10" w:line="0" w:lineRule="atLeast"/>
        <w:ind w:firstLine="430"/>
        <w:rPr>
          <w:rFonts w:hAnsi="宋体" w:cs="宋体"/>
          <w:color w:val="000000" w:themeColor="text1"/>
          <w:szCs w:val="21"/>
          <w:highlight w:val="none"/>
          <w14:textFill>
            <w14:solidFill>
              <w14:schemeClr w14:val="tx1"/>
            </w14:solidFill>
          </w14:textFill>
        </w:rPr>
      </w:pPr>
      <w:r>
        <w:rPr>
          <w:rFonts w:hint="eastAsia" w:hAnsi="宋体" w:cs="宋体"/>
          <w:bCs/>
          <w:color w:val="000000" w:themeColor="text1"/>
          <w:szCs w:val="21"/>
          <w:highlight w:val="none"/>
          <w14:textFill>
            <w14:solidFill>
              <w14:schemeClr w14:val="tx1"/>
            </w14:solidFill>
          </w14:textFill>
        </w:rPr>
        <w:t>3、</w:t>
      </w:r>
      <w:r>
        <w:rPr>
          <w:rFonts w:hint="eastAsia" w:hAnsi="宋体" w:cs="宋体"/>
          <w:color w:val="000000" w:themeColor="text1"/>
          <w:szCs w:val="21"/>
          <w:highlight w:val="none"/>
          <w14:textFill>
            <w14:solidFill>
              <w14:schemeClr w14:val="tx1"/>
            </w14:solidFill>
          </w14:textFill>
        </w:rPr>
        <w:t>投标人符合《关于促进残疾人就业政府采购政策的通知》（财库〔2017〕141号）规定，提供提供《残疾人福利性单位声明函》（</w:t>
      </w:r>
      <w:r>
        <w:rPr>
          <w:rFonts w:hint="eastAsia" w:hAnsi="宋体" w:cs="宋体"/>
          <w:bCs/>
          <w:color w:val="000000" w:themeColor="text1"/>
          <w:szCs w:val="21"/>
          <w:highlight w:val="none"/>
          <w14:textFill>
            <w14:solidFill>
              <w14:schemeClr w14:val="tx1"/>
            </w14:solidFill>
          </w14:textFill>
        </w:rPr>
        <w:t>格式见第六章</w:t>
      </w:r>
      <w:r>
        <w:rPr>
          <w:rFonts w:hint="eastAsia" w:hAnsi="宋体" w:cs="宋体"/>
          <w:color w:val="000000" w:themeColor="text1"/>
          <w:szCs w:val="21"/>
          <w:highlight w:val="none"/>
          <w14:textFill>
            <w14:solidFill>
              <w14:schemeClr w14:val="tx1"/>
            </w14:solidFill>
          </w14:textFill>
        </w:rPr>
        <w:t>），享受小型、微型企业政策，评标时投标价格给予</w:t>
      </w:r>
      <w:r>
        <w:rPr>
          <w:rFonts w:hint="eastAsia" w:hAnsi="宋体" w:cs="宋体"/>
          <w:b/>
          <w:color w:val="000000" w:themeColor="text1"/>
          <w:szCs w:val="21"/>
          <w:highlight w:val="none"/>
          <w14:textFill>
            <w14:solidFill>
              <w14:schemeClr w14:val="tx1"/>
            </w14:solidFill>
          </w14:textFill>
        </w:rPr>
        <w:t>6％</w:t>
      </w:r>
      <w:r>
        <w:rPr>
          <w:rFonts w:hint="eastAsia" w:hAnsi="宋体" w:cs="宋体"/>
          <w:color w:val="000000" w:themeColor="text1"/>
          <w:szCs w:val="21"/>
          <w:highlight w:val="none"/>
          <w14:textFill>
            <w14:solidFill>
              <w14:schemeClr w14:val="tx1"/>
            </w14:solidFill>
          </w14:textFill>
        </w:rPr>
        <w:t>的扣除。残疾人福利性单位属于小型、微型企业的，不重复享受政策。</w:t>
      </w:r>
    </w:p>
    <w:p>
      <w:pPr>
        <w:pStyle w:val="20"/>
        <w:spacing w:before="33" w:beforeLines="10" w:line="0" w:lineRule="atLeast"/>
        <w:ind w:firstLine="43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投标人属两种情形以上的，其只能享受投标价格一次性6％的扣除，不重复享受政策。</w:t>
      </w:r>
    </w:p>
    <w:p>
      <w:pPr>
        <w:pStyle w:val="20"/>
        <w:spacing w:before="33" w:beforeLines="10" w:line="0" w:lineRule="atLeast"/>
        <w:ind w:firstLine="430"/>
        <w:rPr>
          <w:rFonts w:hAnsi="宋体" w:cs="宋体"/>
          <w:bCs/>
          <w:color w:val="000000" w:themeColor="text1"/>
          <w:szCs w:val="21"/>
          <w:highlight w:val="none"/>
          <w14:textFill>
            <w14:solidFill>
              <w14:schemeClr w14:val="tx1"/>
            </w14:solidFill>
          </w14:textFill>
        </w:rPr>
      </w:pPr>
      <w:r>
        <w:rPr>
          <w:rFonts w:hint="eastAsia" w:hAnsi="宋体" w:cs="宋体"/>
          <w:bCs/>
          <w:color w:val="000000" w:themeColor="text1"/>
          <w:szCs w:val="21"/>
          <w:highlight w:val="none"/>
          <w14:textFill>
            <w14:solidFill>
              <w14:schemeClr w14:val="tx1"/>
            </w14:solidFill>
          </w14:textFill>
        </w:rPr>
        <w:t>除上述情况外，投标人评审价格 = 投标报价。</w:t>
      </w:r>
      <w:r>
        <w:rPr>
          <w:rFonts w:hint="eastAsia" w:hAnsi="宋体" w:cs="宋体"/>
          <w:color w:val="000000" w:themeColor="text1"/>
          <w:szCs w:val="21"/>
          <w:highlight w:val="none"/>
          <w14:textFill>
            <w14:solidFill>
              <w14:schemeClr w14:val="tx1"/>
            </w14:solidFill>
          </w14:textFill>
        </w:rPr>
        <w:t>扣除后的投标报价将仅作为评审价排序，</w:t>
      </w:r>
      <w:r>
        <w:rPr>
          <w:rFonts w:hint="eastAsia" w:hAnsi="宋体" w:cs="宋体"/>
          <w:bCs/>
          <w:color w:val="000000" w:themeColor="text1"/>
          <w:szCs w:val="21"/>
          <w:highlight w:val="none"/>
          <w14:textFill>
            <w14:solidFill>
              <w14:schemeClr w14:val="tx1"/>
            </w14:solidFill>
          </w14:textFill>
        </w:rPr>
        <w:t>最终中标价为投标人的投标报价。</w:t>
      </w:r>
    </w:p>
    <w:p>
      <w:pPr>
        <w:pStyle w:val="20"/>
        <w:spacing w:before="33" w:beforeLines="10" w:line="0" w:lineRule="atLeast"/>
        <w:ind w:firstLine="430"/>
        <w:rPr>
          <w:rFonts w:hAnsi="宋体" w:cs="宋体"/>
          <w:b/>
          <w:bCs/>
          <w:color w:val="000000" w:themeColor="text1"/>
          <w:highlight w:val="none"/>
          <w14:textFill>
            <w14:solidFill>
              <w14:schemeClr w14:val="tx1"/>
            </w14:solidFill>
          </w14:textFill>
        </w:rPr>
      </w:pPr>
      <w:r>
        <w:rPr>
          <w:rFonts w:hint="eastAsia" w:hAnsi="宋体" w:cs="宋体"/>
          <w:bCs/>
          <w:color w:val="000000" w:themeColor="text1"/>
          <w:szCs w:val="21"/>
          <w:highlight w:val="none"/>
          <w14:textFill>
            <w14:solidFill>
              <w14:schemeClr w14:val="tx1"/>
            </w14:solidFill>
          </w14:textFill>
        </w:rPr>
        <w:t>注：小型、微型企业提供中型企业制造的货物的，视同为中型企业。</w:t>
      </w:r>
    </w:p>
    <w:bookmarkEnd w:id="238"/>
    <w:bookmarkEnd w:id="239"/>
    <w:bookmarkEnd w:id="240"/>
    <w:bookmarkEnd w:id="241"/>
    <w:bookmarkEnd w:id="242"/>
    <w:bookmarkEnd w:id="243"/>
    <w:p>
      <w:pPr>
        <w:pStyle w:val="20"/>
        <w:numPr>
          <w:ilvl w:val="0"/>
          <w:numId w:val="7"/>
        </w:numPr>
        <w:spacing w:line="0" w:lineRule="atLeast"/>
        <w:ind w:firstLine="430"/>
        <w:rPr>
          <w:rFonts w:hAnsi="宋体" w:cs="宋体"/>
          <w:b/>
          <w:bCs/>
          <w:color w:val="000000" w:themeColor="text1"/>
          <w:highlight w:val="none"/>
          <w14:textFill>
            <w14:solidFill>
              <w14:schemeClr w14:val="tx1"/>
            </w14:solidFill>
          </w14:textFill>
        </w:rPr>
      </w:pPr>
      <w:r>
        <w:rPr>
          <w:rFonts w:hint="eastAsia" w:hAnsi="宋体" w:cs="宋体"/>
          <w:b/>
          <w:bCs/>
          <w:color w:val="000000" w:themeColor="text1"/>
          <w:highlight w:val="none"/>
          <w14:textFill>
            <w14:solidFill>
              <w14:schemeClr w14:val="tx1"/>
            </w14:solidFill>
          </w14:textFill>
        </w:rPr>
        <w:t>计分办法（按四舍五入取至百分位）：</w:t>
      </w:r>
    </w:p>
    <w:tbl>
      <w:tblPr>
        <w:tblStyle w:val="40"/>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3"/>
        <w:gridCol w:w="1306"/>
        <w:gridCol w:w="6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9464" w:type="dxa"/>
            <w:gridSpan w:val="3"/>
          </w:tcPr>
          <w:p>
            <w:pPr>
              <w:autoSpaceDE w:val="0"/>
              <w:autoSpaceDN w:val="0"/>
              <w:adjustRightInd w:val="0"/>
              <w:spacing w:line="440" w:lineRule="exact"/>
              <w:jc w:val="center"/>
              <w:rPr>
                <w:rFonts w:hAnsi="宋体"/>
                <w:b/>
                <w:color w:val="000000" w:themeColor="text1"/>
                <w:szCs w:val="21"/>
                <w:highlight w:val="none"/>
                <w14:textFill>
                  <w14:solidFill>
                    <w14:schemeClr w14:val="tx1"/>
                  </w14:solidFill>
                </w14:textFill>
              </w:rPr>
            </w:pPr>
            <w:r>
              <w:rPr>
                <w:rFonts w:hint="eastAsia" w:hAnsi="宋体" w:cs="黑体"/>
                <w:b/>
                <w:color w:val="000000" w:themeColor="text1"/>
                <w:kern w:val="0"/>
                <w:szCs w:val="21"/>
                <w:highlight w:val="none"/>
                <w14:textFill>
                  <w14:solidFill>
                    <w14:schemeClr w14:val="tx1"/>
                  </w14:solidFill>
                </w14:textFill>
              </w:rPr>
              <w:t>详细评审标准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629" w:type="dxa"/>
            <w:gridSpan w:val="2"/>
            <w:vAlign w:val="center"/>
          </w:tcPr>
          <w:p>
            <w:pPr>
              <w:spacing w:line="440" w:lineRule="exact"/>
              <w:jc w:val="center"/>
              <w:rPr>
                <w:rFonts w:hAnsi="宋体"/>
                <w:b/>
                <w:color w:val="000000" w:themeColor="text1"/>
                <w:szCs w:val="21"/>
                <w:highlight w:val="none"/>
                <w14:textFill>
                  <w14:solidFill>
                    <w14:schemeClr w14:val="tx1"/>
                  </w14:solidFill>
                </w14:textFill>
              </w:rPr>
            </w:pPr>
            <w:r>
              <w:rPr>
                <w:rFonts w:hint="eastAsia" w:hAnsi="宋体"/>
                <w:b/>
                <w:color w:val="000000" w:themeColor="text1"/>
                <w:szCs w:val="21"/>
                <w:highlight w:val="none"/>
                <w14:textFill>
                  <w14:solidFill>
                    <w14:schemeClr w14:val="tx1"/>
                  </w14:solidFill>
                </w14:textFill>
              </w:rPr>
              <w:t>价</w:t>
            </w:r>
            <w:r>
              <w:rPr>
                <w:rFonts w:hint="eastAsia" w:hAnsi="宋体"/>
                <w:b/>
                <w:color w:val="000000" w:themeColor="text1"/>
                <w:szCs w:val="21"/>
                <w:highlight w:val="none"/>
                <w:lang w:eastAsia="zh-CN"/>
                <w14:textFill>
                  <w14:solidFill>
                    <w14:schemeClr w14:val="tx1"/>
                  </w14:solidFill>
                </w14:textFill>
              </w:rPr>
              <w:t>格</w:t>
            </w:r>
            <w:r>
              <w:rPr>
                <w:rFonts w:hint="eastAsia" w:hAnsi="宋体"/>
                <w:b/>
                <w:color w:val="000000" w:themeColor="text1"/>
                <w:szCs w:val="21"/>
                <w:highlight w:val="none"/>
                <w14:textFill>
                  <w14:solidFill>
                    <w14:schemeClr w14:val="tx1"/>
                  </w14:solidFill>
                </w14:textFill>
              </w:rPr>
              <w:t>分</w:t>
            </w:r>
          </w:p>
          <w:p>
            <w:pPr>
              <w:spacing w:line="440" w:lineRule="exact"/>
              <w:jc w:val="center"/>
              <w:rPr>
                <w:rFonts w:hAnsi="宋体"/>
                <w:b/>
                <w:color w:val="000000" w:themeColor="text1"/>
                <w:szCs w:val="21"/>
                <w:highlight w:val="none"/>
                <w14:textFill>
                  <w14:solidFill>
                    <w14:schemeClr w14:val="tx1"/>
                  </w14:solidFill>
                </w14:textFill>
              </w:rPr>
            </w:pPr>
            <w:r>
              <w:rPr>
                <w:rFonts w:hint="eastAsia" w:hAnsi="宋体"/>
                <w:b/>
                <w:color w:val="000000" w:themeColor="text1"/>
                <w:szCs w:val="21"/>
                <w:highlight w:val="none"/>
                <w14:textFill>
                  <w14:solidFill>
                    <w14:schemeClr w14:val="tx1"/>
                  </w14:solidFill>
                </w14:textFill>
              </w:rPr>
              <w:t>（</w:t>
            </w:r>
            <w:r>
              <w:rPr>
                <w:rFonts w:hAnsi="宋体"/>
                <w:b/>
                <w:color w:val="000000" w:themeColor="text1"/>
                <w:szCs w:val="21"/>
                <w:highlight w:val="none"/>
                <w14:textFill>
                  <w14:solidFill>
                    <w14:schemeClr w14:val="tx1"/>
                  </w14:solidFill>
                </w14:textFill>
              </w:rPr>
              <w:t>30</w:t>
            </w:r>
            <w:r>
              <w:rPr>
                <w:rFonts w:hint="eastAsia" w:hAnsi="宋体"/>
                <w:b/>
                <w:color w:val="000000" w:themeColor="text1"/>
                <w:szCs w:val="21"/>
                <w:highlight w:val="none"/>
                <w14:textFill>
                  <w14:solidFill>
                    <w14:schemeClr w14:val="tx1"/>
                  </w14:solidFill>
                </w14:textFill>
              </w:rPr>
              <w:t>分）</w:t>
            </w:r>
          </w:p>
        </w:tc>
        <w:tc>
          <w:tcPr>
            <w:tcW w:w="6835" w:type="dxa"/>
            <w:vAlign w:val="center"/>
          </w:tcPr>
          <w:p>
            <w:pPr>
              <w:spacing w:line="440" w:lineRule="exact"/>
              <w:rPr>
                <w:rFonts w:hAnsi="宋体"/>
                <w:bCs/>
                <w:color w:val="000000" w:themeColor="text1"/>
                <w:szCs w:val="21"/>
                <w:highlight w:val="none"/>
                <w14:textFill>
                  <w14:solidFill>
                    <w14:schemeClr w14:val="tx1"/>
                  </w14:solidFill>
                </w14:textFill>
              </w:rPr>
            </w:pPr>
            <w:r>
              <w:rPr>
                <w:rFonts w:hint="eastAsia" w:hAnsi="宋体"/>
                <w:bCs/>
                <w:color w:val="000000" w:themeColor="text1"/>
                <w:szCs w:val="21"/>
                <w:highlight w:val="none"/>
                <w14:textFill>
                  <w14:solidFill>
                    <w14:schemeClr w14:val="tx1"/>
                  </w14:solidFill>
                </w14:textFill>
              </w:rPr>
              <w:t>按照《政府采购促进中小企业发展暂行办法》（财库[2011]181号）规定：</w:t>
            </w:r>
          </w:p>
          <w:p>
            <w:pPr>
              <w:spacing w:line="440" w:lineRule="exact"/>
              <w:rPr>
                <w:rFonts w:hAnsi="宋体"/>
                <w:bCs/>
                <w:color w:val="000000" w:themeColor="text1"/>
                <w:szCs w:val="21"/>
                <w:highlight w:val="none"/>
                <w14:textFill>
                  <w14:solidFill>
                    <w14:schemeClr w14:val="tx1"/>
                  </w14:solidFill>
                </w14:textFill>
              </w:rPr>
            </w:pPr>
            <w:r>
              <w:rPr>
                <w:rFonts w:hint="eastAsia" w:hAnsi="宋体"/>
                <w:bCs/>
                <w:color w:val="000000" w:themeColor="text1"/>
                <w:szCs w:val="21"/>
                <w:highlight w:val="none"/>
                <w14:textFill>
                  <w14:solidFill>
                    <w14:schemeClr w14:val="tx1"/>
                  </w14:solidFill>
                </w14:textFill>
              </w:rPr>
              <w:t xml:space="preserve"> ①对投标人认定为小型和微型企业或所投所有产品为小型、微型企业产品的（以投标文件提供的符合规定的有关证明材料为准），投标价给予6%的扣除，扣除后的价格为评标报价，即评标报价=投标报价×（1-6%）；</w:t>
            </w:r>
          </w:p>
          <w:p>
            <w:pPr>
              <w:spacing w:line="440" w:lineRule="exact"/>
              <w:rPr>
                <w:rFonts w:hAnsi="宋体"/>
                <w:bCs/>
                <w:color w:val="000000" w:themeColor="text1"/>
                <w:szCs w:val="21"/>
                <w:highlight w:val="none"/>
                <w14:textFill>
                  <w14:solidFill>
                    <w14:schemeClr w14:val="tx1"/>
                  </w14:solidFill>
                </w14:textFill>
              </w:rPr>
            </w:pPr>
            <w:r>
              <w:rPr>
                <w:rFonts w:hint="eastAsia" w:hAnsi="宋体"/>
                <w:bCs/>
                <w:color w:val="000000" w:themeColor="text1"/>
                <w:szCs w:val="21"/>
                <w:highlight w:val="none"/>
                <w14:textFill>
                  <w14:solidFill>
                    <w14:schemeClr w14:val="tx1"/>
                  </w14:solidFill>
                </w14:textFill>
              </w:rPr>
              <w:t xml:space="preserve"> ②除上述情况外，评标报价=投标报价。</w:t>
            </w:r>
          </w:p>
          <w:p>
            <w:pPr>
              <w:spacing w:line="440" w:lineRule="exact"/>
              <w:rPr>
                <w:rFonts w:hAnsi="宋体"/>
                <w:bCs/>
                <w:color w:val="000000" w:themeColor="text1"/>
                <w:szCs w:val="21"/>
                <w:highlight w:val="none"/>
                <w14:textFill>
                  <w14:solidFill>
                    <w14:schemeClr w14:val="tx1"/>
                  </w14:solidFill>
                </w14:textFill>
              </w:rPr>
            </w:pPr>
            <w:r>
              <w:rPr>
                <w:rFonts w:hint="eastAsia" w:hAnsi="宋体"/>
                <w:b/>
                <w:bCs/>
                <w:color w:val="000000" w:themeColor="text1"/>
                <w:szCs w:val="21"/>
                <w:highlight w:val="none"/>
                <w14:textFill>
                  <w14:solidFill>
                    <w14:schemeClr w14:val="tx1"/>
                  </w14:solidFill>
                </w14:textFill>
              </w:rPr>
              <w:t>注：</w:t>
            </w:r>
            <w:r>
              <w:rPr>
                <w:rFonts w:hint="eastAsia" w:hAnsi="宋体"/>
                <w:bCs/>
                <w:color w:val="000000" w:themeColor="text1"/>
                <w:szCs w:val="21"/>
                <w:highlight w:val="none"/>
                <w14:textFill>
                  <w14:solidFill>
                    <w14:schemeClr w14:val="tx1"/>
                  </w14:solidFill>
                </w14:textFill>
              </w:rPr>
              <w:t>根据财政部、司法部关于政府采购支持监狱企业发展有关问题的通知（财库[2014]68号），监狱企业视同小型、微型企业，享受小型、微型企业评审中价格扣除的政府采购政策。</w:t>
            </w:r>
            <w:r>
              <w:rPr>
                <w:rFonts w:hint="eastAsia" w:hAnsi="宋体"/>
                <w:bCs/>
                <w:color w:val="000000" w:themeColor="text1"/>
                <w:highlight w:val="none"/>
                <w14:textFill>
                  <w14:solidFill>
                    <w14:schemeClr w14:val="tx1"/>
                  </w14:solidFill>
                </w14:textFill>
              </w:rPr>
              <w:t>根据《三部门联合发布关于促进残疾人就业政府采购政策的通知》（财库[2017]141号）的规定，残疾人福利性单位视同小型、微型企业，享受小型、微型企业评审中价格扣除的政府采购政策。（必须提供残疾人福利性单位声明函，否则不予以认定）</w:t>
            </w:r>
            <w:r>
              <w:rPr>
                <w:rFonts w:hint="eastAsia" w:hAnsi="宋体"/>
                <w:b/>
                <w:bCs/>
                <w:color w:val="000000" w:themeColor="text1"/>
                <w:szCs w:val="21"/>
                <w:highlight w:val="none"/>
                <w14:textFill>
                  <w14:solidFill>
                    <w14:schemeClr w14:val="tx1"/>
                  </w14:solidFill>
                </w14:textFill>
              </w:rPr>
              <w:t>如小型、微型企业提供中型企业制造的货物的，视同为中型企业。</w:t>
            </w:r>
          </w:p>
          <w:p>
            <w:pPr>
              <w:spacing w:line="440" w:lineRule="exact"/>
              <w:rPr>
                <w:rFonts w:hAnsi="宋体"/>
                <w:bCs/>
                <w:color w:val="000000" w:themeColor="text1"/>
                <w:szCs w:val="21"/>
                <w:highlight w:val="none"/>
                <w14:textFill>
                  <w14:solidFill>
                    <w14:schemeClr w14:val="tx1"/>
                  </w14:solidFill>
                </w14:textFill>
              </w:rPr>
            </w:pPr>
            <w:r>
              <w:rPr>
                <w:rFonts w:hint="eastAsia" w:hAnsi="宋体"/>
                <w:bCs/>
                <w:color w:val="000000" w:themeColor="text1"/>
                <w:szCs w:val="21"/>
                <w:highlight w:val="none"/>
                <w14:textFill>
                  <w14:solidFill>
                    <w14:schemeClr w14:val="tx1"/>
                  </w14:solidFill>
                </w14:textFill>
              </w:rPr>
              <w:t>一、</w:t>
            </w:r>
            <w:r>
              <w:rPr>
                <w:rFonts w:hint="eastAsia" w:hAnsi="宋体"/>
                <w:color w:val="000000" w:themeColor="text1"/>
                <w:szCs w:val="21"/>
                <w:highlight w:val="none"/>
                <w14:textFill>
                  <w14:solidFill>
                    <w14:schemeClr w14:val="tx1"/>
                  </w14:solidFill>
                </w14:textFill>
              </w:rPr>
              <w:t>以经初步审查后的有效报价的最低价作为评标基准价</w:t>
            </w:r>
            <w:r>
              <w:rPr>
                <w:rFonts w:hint="eastAsia" w:hAnsi="宋体"/>
                <w:bCs/>
                <w:color w:val="000000" w:themeColor="text1"/>
                <w:szCs w:val="21"/>
                <w:highlight w:val="none"/>
                <w14:textFill>
                  <w14:solidFill>
                    <w14:schemeClr w14:val="tx1"/>
                  </w14:solidFill>
                </w14:textFill>
              </w:rPr>
              <w:t>。</w:t>
            </w:r>
          </w:p>
          <w:p>
            <w:pPr>
              <w:spacing w:line="440" w:lineRule="exact"/>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二、</w:t>
            </w:r>
            <w:r>
              <w:rPr>
                <w:rFonts w:hint="eastAsia" w:hAnsi="宋体"/>
                <w:bCs/>
                <w:color w:val="000000" w:themeColor="text1"/>
                <w:szCs w:val="21"/>
                <w:highlight w:val="none"/>
                <w14:textFill>
                  <w14:solidFill>
                    <w14:schemeClr w14:val="tx1"/>
                  </w14:solidFill>
                </w14:textFill>
              </w:rPr>
              <w:t>某投标人价格分=（评标基准价/某投标人评标报价）×</w:t>
            </w:r>
            <w:r>
              <w:rPr>
                <w:rFonts w:hAnsi="宋体"/>
                <w:bCs/>
                <w:color w:val="000000" w:themeColor="text1"/>
                <w:szCs w:val="21"/>
                <w:highlight w:val="none"/>
                <w14:textFill>
                  <w14:solidFill>
                    <w14:schemeClr w14:val="tx1"/>
                  </w14:solidFill>
                </w14:textFill>
              </w:rPr>
              <w:t>30</w:t>
            </w:r>
          </w:p>
          <w:p>
            <w:pPr>
              <w:spacing w:line="440" w:lineRule="exact"/>
              <w:rPr>
                <w:rFonts w:hAnsi="宋体"/>
                <w:bCs/>
                <w:color w:val="000000" w:themeColor="text1"/>
                <w:szCs w:val="2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三、</w:t>
            </w:r>
            <w:r>
              <w:rPr>
                <w:rFonts w:hint="eastAsia" w:hAnsi="宋体"/>
                <w:bCs/>
                <w:color w:val="000000" w:themeColor="text1"/>
                <w:szCs w:val="21"/>
                <w:highlight w:val="none"/>
                <w14:textFill>
                  <w14:solidFill>
                    <w14:schemeClr w14:val="tx1"/>
                  </w14:solidFill>
                </w14:textFill>
              </w:rPr>
              <w:t>在评标过程中，评标委员会发现投标人的投标报价明显低于其他投标人的投标报价或者明显低于上限控制价（</w:t>
            </w:r>
            <w:r>
              <w:rPr>
                <w:rFonts w:hint="eastAsia" w:hAnsi="宋体"/>
                <w:color w:val="000000" w:themeColor="text1"/>
                <w:szCs w:val="21"/>
                <w:highlight w:val="none"/>
                <w14:textFill>
                  <w14:solidFill>
                    <w14:schemeClr w14:val="tx1"/>
                  </w14:solidFill>
                </w14:textFill>
              </w:rPr>
              <w:t>与上限</w:t>
            </w:r>
            <w:r>
              <w:rPr>
                <w:rFonts w:hAnsi="宋体"/>
                <w:color w:val="000000" w:themeColor="text1"/>
                <w:szCs w:val="21"/>
                <w:highlight w:val="none"/>
                <w14:textFill>
                  <w14:solidFill>
                    <w14:schemeClr w14:val="tx1"/>
                  </w14:solidFill>
                </w14:textFill>
              </w:rPr>
              <w:t>控制价</w:t>
            </w:r>
            <w:r>
              <w:rPr>
                <w:rFonts w:hint="eastAsia" w:hAnsi="宋体"/>
                <w:color w:val="000000" w:themeColor="text1"/>
                <w:szCs w:val="21"/>
                <w:highlight w:val="none"/>
                <w14:textFill>
                  <w14:solidFill>
                    <w14:schemeClr w14:val="tx1"/>
                  </w14:solidFill>
                </w14:textFill>
              </w:rPr>
              <w:t>相比较的让利幅度≥</w:t>
            </w:r>
            <w:r>
              <w:rPr>
                <w:rFonts w:hAnsi="宋体"/>
                <w:color w:val="000000" w:themeColor="text1"/>
                <w:szCs w:val="21"/>
                <w:highlight w:val="none"/>
                <w14:textFill>
                  <w14:solidFill>
                    <w14:schemeClr w14:val="tx1"/>
                  </w14:solidFill>
                </w14:textFill>
              </w:rPr>
              <w:t>20%</w:t>
            </w:r>
            <w:r>
              <w:rPr>
                <w:rFonts w:hint="eastAsia" w:hAnsi="宋体"/>
                <w:bCs/>
                <w:color w:val="000000" w:themeColor="text1"/>
                <w:szCs w:val="21"/>
                <w:highlight w:val="none"/>
                <w14:textFill>
                  <w14:solidFill>
                    <w14:schemeClr w14:val="tx1"/>
                  </w14:solidFill>
                </w14:textFill>
              </w:rPr>
              <w:t>）的，有理由怀疑其投标报价可能低于其成本的，应当要求该投标人做出书面说明并提供相关证明材料。投标人不能合理说明或者不能提供相关证明材料的，视作该投标人以低于成本报价投标，报价分做0分处理。</w:t>
            </w:r>
          </w:p>
          <w:p>
            <w:pPr>
              <w:spacing w:line="440" w:lineRule="exact"/>
              <w:rPr>
                <w:rFonts w:hAnsi="宋体"/>
                <w:color w:val="000000" w:themeColor="text1"/>
                <w:szCs w:val="21"/>
                <w:highlight w:val="none"/>
                <w14:textFill>
                  <w14:solidFill>
                    <w14:schemeClr w14:val="tx1"/>
                  </w14:solidFill>
                </w14:textFill>
              </w:rPr>
            </w:pPr>
            <w:r>
              <w:rPr>
                <w:rFonts w:hint="eastAsia" w:hAnsi="宋体"/>
                <w:bCs/>
                <w:color w:val="000000" w:themeColor="text1"/>
                <w:szCs w:val="21"/>
                <w:highlight w:val="none"/>
                <w14:textFill>
                  <w14:solidFill>
                    <w14:schemeClr w14:val="tx1"/>
                  </w14:solidFill>
                </w14:textFill>
              </w:rPr>
              <w:t>相关证明材料为：</w:t>
            </w:r>
            <w:r>
              <w:rPr>
                <w:rFonts w:hint="eastAsia" w:hAnsi="宋体"/>
                <w:snapToGrid w:val="0"/>
                <w:color w:val="000000" w:themeColor="text1"/>
                <w:kern w:val="0"/>
                <w:szCs w:val="21"/>
                <w:highlight w:val="none"/>
                <w14:textFill>
                  <w14:solidFill>
                    <w14:schemeClr w14:val="tx1"/>
                  </w14:solidFill>
                </w14:textFill>
              </w:rPr>
              <w:t>①201</w:t>
            </w:r>
            <w:r>
              <w:rPr>
                <w:rFonts w:hAnsi="宋体"/>
                <w:snapToGrid w:val="0"/>
                <w:color w:val="000000" w:themeColor="text1"/>
                <w:kern w:val="0"/>
                <w:szCs w:val="21"/>
                <w:highlight w:val="none"/>
                <w14:textFill>
                  <w14:solidFill>
                    <w14:schemeClr w14:val="tx1"/>
                  </w14:solidFill>
                </w14:textFill>
              </w:rPr>
              <w:t>6</w:t>
            </w:r>
            <w:r>
              <w:rPr>
                <w:rFonts w:hint="eastAsia" w:hAnsi="宋体"/>
                <w:snapToGrid w:val="0"/>
                <w:color w:val="000000" w:themeColor="text1"/>
                <w:kern w:val="0"/>
                <w:szCs w:val="21"/>
                <w:highlight w:val="none"/>
                <w14:textFill>
                  <w14:solidFill>
                    <w14:schemeClr w14:val="tx1"/>
                  </w14:solidFill>
                </w14:textFill>
              </w:rPr>
              <w:t>年度~201</w:t>
            </w:r>
            <w:r>
              <w:rPr>
                <w:rFonts w:hAnsi="宋体"/>
                <w:snapToGrid w:val="0"/>
                <w:color w:val="000000" w:themeColor="text1"/>
                <w:kern w:val="0"/>
                <w:szCs w:val="21"/>
                <w:highlight w:val="none"/>
                <w14:textFill>
                  <w14:solidFill>
                    <w14:schemeClr w14:val="tx1"/>
                  </w14:solidFill>
                </w14:textFill>
              </w:rPr>
              <w:t>8</w:t>
            </w:r>
            <w:r>
              <w:rPr>
                <w:rFonts w:hint="eastAsia" w:hAnsi="宋体"/>
                <w:snapToGrid w:val="0"/>
                <w:color w:val="000000" w:themeColor="text1"/>
                <w:kern w:val="0"/>
                <w:szCs w:val="21"/>
                <w:highlight w:val="none"/>
                <w14:textFill>
                  <w14:solidFill>
                    <w14:schemeClr w14:val="tx1"/>
                  </w14:solidFill>
                </w14:textFill>
              </w:rPr>
              <w:t>年度经第三方具备审计资质的机构出具的审计报告（包括其固定资产成本及折旧、管理成本、人工费成本（如人员工资、奖金、福利及差旅等费用）、税收等所有成本及利润）复印件（原件现场核查），②投标人在201</w:t>
            </w:r>
            <w:r>
              <w:rPr>
                <w:rFonts w:hAnsi="宋体"/>
                <w:snapToGrid w:val="0"/>
                <w:color w:val="000000" w:themeColor="text1"/>
                <w:kern w:val="0"/>
                <w:szCs w:val="21"/>
                <w:highlight w:val="none"/>
                <w14:textFill>
                  <w14:solidFill>
                    <w14:schemeClr w14:val="tx1"/>
                  </w14:solidFill>
                </w14:textFill>
              </w:rPr>
              <w:t>7</w:t>
            </w:r>
            <w:r>
              <w:rPr>
                <w:rFonts w:hint="eastAsia" w:hAnsi="宋体"/>
                <w:snapToGrid w:val="0"/>
                <w:color w:val="000000" w:themeColor="text1"/>
                <w:kern w:val="0"/>
                <w:szCs w:val="21"/>
                <w:highlight w:val="none"/>
                <w14:textFill>
                  <w14:solidFill>
                    <w14:schemeClr w14:val="tx1"/>
                  </w14:solidFill>
                </w14:textFill>
              </w:rPr>
              <w:t>年</w:t>
            </w:r>
            <w:r>
              <w:rPr>
                <w:rFonts w:hAnsi="宋体"/>
                <w:snapToGrid w:val="0"/>
                <w:color w:val="000000" w:themeColor="text1"/>
                <w:kern w:val="0"/>
                <w:szCs w:val="21"/>
                <w:highlight w:val="none"/>
                <w14:textFill>
                  <w14:solidFill>
                    <w14:schemeClr w14:val="tx1"/>
                  </w14:solidFill>
                </w14:textFill>
              </w:rPr>
              <w:t>1</w:t>
            </w:r>
            <w:r>
              <w:rPr>
                <w:rFonts w:hint="eastAsia" w:hAnsi="宋体"/>
                <w:snapToGrid w:val="0"/>
                <w:color w:val="000000" w:themeColor="text1"/>
                <w:kern w:val="0"/>
                <w:szCs w:val="21"/>
                <w:highlight w:val="none"/>
                <w14:textFill>
                  <w14:solidFill>
                    <w14:schemeClr w14:val="tx1"/>
                  </w14:solidFill>
                </w14:textFill>
              </w:rPr>
              <w:t>月1日至本项目招标公告发布之日至少承接过两个类似业绩的费用成本组成明细（并提供该中标通知书及合同原件现场核查），如不提供或评委认定其资料不能详尽合理说明其成本的，则视为低于投标人成本价报价，报价无效。</w:t>
            </w:r>
          </w:p>
          <w:p>
            <w:pPr>
              <w:pStyle w:val="20"/>
              <w:spacing w:line="440" w:lineRule="exact"/>
              <w:jc w:val="left"/>
              <w:rPr>
                <w:rFonts w:hAnsi="宋体"/>
                <w:color w:val="000000" w:themeColor="text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注：</w:t>
            </w:r>
            <w:r>
              <w:rPr>
                <w:rFonts w:hint="eastAsia" w:hAnsi="宋体"/>
                <w:bCs/>
                <w:color w:val="000000" w:themeColor="text1"/>
                <w:szCs w:val="21"/>
                <w:highlight w:val="none"/>
                <w14:textFill>
                  <w14:solidFill>
                    <w14:schemeClr w14:val="tx1"/>
                  </w14:solidFill>
                </w14:textFill>
              </w:rPr>
              <w:t>计算过程均四舍五入取至小数点后两位。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629" w:type="dxa"/>
            <w:gridSpan w:val="2"/>
            <w:vAlign w:val="center"/>
          </w:tcPr>
          <w:p>
            <w:pPr>
              <w:spacing w:line="440" w:lineRule="exact"/>
              <w:jc w:val="center"/>
              <w:rPr>
                <w:rFonts w:hAnsi="宋体"/>
                <w:b/>
                <w:bCs/>
                <w:color w:val="000000" w:themeColor="text1"/>
                <w:szCs w:val="21"/>
                <w:highlight w:val="none"/>
                <w14:textFill>
                  <w14:solidFill>
                    <w14:schemeClr w14:val="tx1"/>
                  </w14:solidFill>
                </w14:textFill>
              </w:rPr>
            </w:pPr>
            <w:r>
              <w:rPr>
                <w:rFonts w:hint="eastAsia" w:hAnsi="宋体"/>
                <w:b/>
                <w:bCs/>
                <w:color w:val="000000" w:themeColor="text1"/>
                <w:szCs w:val="21"/>
                <w:highlight w:val="none"/>
                <w14:textFill>
                  <w14:solidFill>
                    <w14:schemeClr w14:val="tx1"/>
                  </w14:solidFill>
                </w14:textFill>
              </w:rPr>
              <w:t>产品信誉</w:t>
            </w:r>
            <w:r>
              <w:rPr>
                <w:rFonts w:hAnsi="宋体"/>
                <w:b/>
                <w:bCs/>
                <w:color w:val="000000" w:themeColor="text1"/>
                <w:szCs w:val="21"/>
                <w:highlight w:val="none"/>
                <w14:textFill>
                  <w14:solidFill>
                    <w14:schemeClr w14:val="tx1"/>
                  </w14:solidFill>
                </w14:textFill>
              </w:rPr>
              <w:t>分</w:t>
            </w:r>
          </w:p>
          <w:p>
            <w:pPr>
              <w:spacing w:line="440" w:lineRule="exact"/>
              <w:jc w:val="center"/>
              <w:rPr>
                <w:rFonts w:hAnsi="宋体"/>
                <w:b/>
                <w:bCs/>
                <w:color w:val="000000" w:themeColor="text1"/>
                <w:szCs w:val="21"/>
                <w:highlight w:val="none"/>
                <w14:textFill>
                  <w14:solidFill>
                    <w14:schemeClr w14:val="tx1"/>
                  </w14:solidFill>
                </w14:textFill>
              </w:rPr>
            </w:pPr>
            <w:r>
              <w:rPr>
                <w:rFonts w:hint="eastAsia" w:hAnsi="宋体"/>
                <w:b/>
                <w:bCs/>
                <w:color w:val="000000" w:themeColor="text1"/>
                <w:szCs w:val="21"/>
                <w:highlight w:val="none"/>
                <w14:textFill>
                  <w14:solidFill>
                    <w14:schemeClr w14:val="tx1"/>
                  </w14:solidFill>
                </w14:textFill>
              </w:rPr>
              <w:t>（</w:t>
            </w:r>
            <w:r>
              <w:rPr>
                <w:rFonts w:hAnsi="宋体"/>
                <w:b/>
                <w:bCs/>
                <w:color w:val="000000" w:themeColor="text1"/>
                <w:szCs w:val="21"/>
                <w:highlight w:val="none"/>
                <w14:textFill>
                  <w14:solidFill>
                    <w14:schemeClr w14:val="tx1"/>
                  </w14:solidFill>
                </w14:textFill>
              </w:rPr>
              <w:t>15</w:t>
            </w:r>
            <w:r>
              <w:rPr>
                <w:rFonts w:hint="eastAsia" w:hAnsi="宋体"/>
                <w:b/>
                <w:bCs/>
                <w:color w:val="000000" w:themeColor="text1"/>
                <w:szCs w:val="21"/>
                <w:highlight w:val="none"/>
                <w14:textFill>
                  <w14:solidFill>
                    <w14:schemeClr w14:val="tx1"/>
                  </w14:solidFill>
                </w14:textFill>
              </w:rPr>
              <w:t>分</w:t>
            </w:r>
            <w:r>
              <w:rPr>
                <w:rFonts w:hAnsi="宋体"/>
                <w:b/>
                <w:bCs/>
                <w:color w:val="000000" w:themeColor="text1"/>
                <w:szCs w:val="21"/>
                <w:highlight w:val="none"/>
                <w14:textFill>
                  <w14:solidFill>
                    <w14:schemeClr w14:val="tx1"/>
                  </w14:solidFill>
                </w14:textFill>
              </w:rPr>
              <w:t>）</w:t>
            </w:r>
          </w:p>
        </w:tc>
        <w:tc>
          <w:tcPr>
            <w:tcW w:w="6835" w:type="dxa"/>
            <w:vAlign w:val="center"/>
          </w:tcPr>
          <w:p>
            <w:pPr>
              <w:spacing w:line="440" w:lineRule="exact"/>
              <w:rPr>
                <w:rFonts w:hAnsi="宋体"/>
                <w:snapToGrid w:val="0"/>
                <w:color w:val="000000" w:themeColor="text1"/>
                <w:kern w:val="0"/>
                <w:szCs w:val="21"/>
                <w:highlight w:val="none"/>
                <w14:textFill>
                  <w14:solidFill>
                    <w14:schemeClr w14:val="tx1"/>
                  </w14:solidFill>
                </w14:textFill>
              </w:rPr>
            </w:pPr>
            <w:r>
              <w:rPr>
                <w:rFonts w:hint="eastAsia" w:hAnsi="宋体"/>
                <w:snapToGrid w:val="0"/>
                <w:color w:val="000000" w:themeColor="text1"/>
                <w:kern w:val="0"/>
                <w:szCs w:val="21"/>
                <w:highlight w:val="none"/>
                <w14:textFill>
                  <w14:solidFill>
                    <w14:schemeClr w14:val="tx1"/>
                  </w14:solidFill>
                </w14:textFill>
              </w:rPr>
              <w:t>(1)</w:t>
            </w:r>
            <w:r>
              <w:rPr>
                <w:rFonts w:hint="eastAsia"/>
                <w:color w:val="000000" w:themeColor="text1"/>
                <w:highlight w:val="none"/>
                <w14:textFill>
                  <w14:solidFill>
                    <w14:schemeClr w14:val="tx1"/>
                  </w14:solidFill>
                </w14:textFill>
              </w:rPr>
              <w:t xml:space="preserve"> </w:t>
            </w:r>
            <w:r>
              <w:rPr>
                <w:rFonts w:hint="eastAsia" w:hAnsi="宋体"/>
                <w:snapToGrid w:val="0"/>
                <w:color w:val="000000" w:themeColor="text1"/>
                <w:kern w:val="0"/>
                <w:szCs w:val="21"/>
                <w:highlight w:val="none"/>
                <w14:textFill>
                  <w14:solidFill>
                    <w14:schemeClr w14:val="tx1"/>
                  </w14:solidFill>
                </w14:textFill>
              </w:rPr>
              <w:t>为确保后期建设的规范对接，保证建设的兼容性、前瞻性，所投核心产品生产厂家应参与制定或产品设计生产符合《多媒体教学工程环境建设规范》，满足得</w:t>
            </w:r>
            <w:r>
              <w:rPr>
                <w:rFonts w:hAnsi="宋体"/>
                <w:snapToGrid w:val="0"/>
                <w:color w:val="000000" w:themeColor="text1"/>
                <w:kern w:val="0"/>
                <w:szCs w:val="21"/>
                <w:highlight w:val="none"/>
                <w14:textFill>
                  <w14:solidFill>
                    <w14:schemeClr w14:val="tx1"/>
                  </w14:solidFill>
                </w14:textFill>
              </w:rPr>
              <w:t>1</w:t>
            </w:r>
            <w:r>
              <w:rPr>
                <w:rFonts w:hint="eastAsia" w:hAnsi="宋体"/>
                <w:snapToGrid w:val="0"/>
                <w:color w:val="000000" w:themeColor="text1"/>
                <w:kern w:val="0"/>
                <w:szCs w:val="21"/>
                <w:highlight w:val="none"/>
                <w14:textFill>
                  <w14:solidFill>
                    <w14:schemeClr w14:val="tx1"/>
                  </w14:solidFill>
                </w14:textFill>
              </w:rPr>
              <w:t>分。（需提供加盖生产厂家公章的证明材料复印件，否则</w:t>
            </w:r>
            <w:r>
              <w:rPr>
                <w:rFonts w:hAnsi="宋体"/>
                <w:snapToGrid w:val="0"/>
                <w:color w:val="000000" w:themeColor="text1"/>
                <w:kern w:val="0"/>
                <w:szCs w:val="21"/>
                <w:highlight w:val="none"/>
                <w14:textFill>
                  <w14:solidFill>
                    <w14:schemeClr w14:val="tx1"/>
                  </w14:solidFill>
                </w14:textFill>
              </w:rPr>
              <w:t>不得分</w:t>
            </w:r>
            <w:r>
              <w:rPr>
                <w:rFonts w:hint="eastAsia" w:hAnsi="宋体"/>
                <w:snapToGrid w:val="0"/>
                <w:color w:val="000000" w:themeColor="text1"/>
                <w:kern w:val="0"/>
                <w:szCs w:val="21"/>
                <w:highlight w:val="none"/>
                <w14:textFill>
                  <w14:solidFill>
                    <w14:schemeClr w14:val="tx1"/>
                  </w14:solidFill>
                </w14:textFill>
              </w:rPr>
              <w:t>）</w:t>
            </w:r>
          </w:p>
          <w:p>
            <w:pPr>
              <w:spacing w:line="440" w:lineRule="exact"/>
              <w:rPr>
                <w:rFonts w:hAnsi="宋体"/>
                <w:snapToGrid w:val="0"/>
                <w:color w:val="000000" w:themeColor="text1"/>
                <w:kern w:val="0"/>
                <w:szCs w:val="21"/>
                <w:highlight w:val="none"/>
                <w14:textFill>
                  <w14:solidFill>
                    <w14:schemeClr w14:val="tx1"/>
                  </w14:solidFill>
                </w14:textFill>
              </w:rPr>
            </w:pPr>
            <w:r>
              <w:rPr>
                <w:rFonts w:hint="eastAsia" w:hAnsi="宋体"/>
                <w:snapToGrid w:val="0"/>
                <w:color w:val="000000" w:themeColor="text1"/>
                <w:kern w:val="0"/>
                <w:szCs w:val="21"/>
                <w:highlight w:val="none"/>
                <w14:textFill>
                  <w14:solidFill>
                    <w14:schemeClr w14:val="tx1"/>
                  </w14:solidFill>
                </w14:textFill>
              </w:rPr>
              <w:t>(2)所投核心产品生产厂家</w:t>
            </w:r>
            <w:r>
              <w:rPr>
                <w:rFonts w:hint="eastAsia" w:hAnsi="宋体"/>
                <w:color w:val="000000" w:themeColor="text1"/>
                <w:szCs w:val="21"/>
                <w:highlight w:val="none"/>
                <w14:textFill>
                  <w14:solidFill>
                    <w14:schemeClr w14:val="tx1"/>
                  </w14:solidFill>
                </w14:textFill>
              </w:rPr>
              <w:t>提供 ISO/IEC27001信息安全管理体系认证证书复印件的</w:t>
            </w:r>
            <w:r>
              <w:rPr>
                <w:rFonts w:hint="eastAsia" w:hAnsi="宋体"/>
                <w:snapToGrid w:val="0"/>
                <w:color w:val="000000" w:themeColor="text1"/>
                <w:kern w:val="0"/>
                <w:szCs w:val="21"/>
                <w:highlight w:val="none"/>
                <w14:textFill>
                  <w14:solidFill>
                    <w14:schemeClr w14:val="tx1"/>
                  </w14:solidFill>
                </w14:textFill>
              </w:rPr>
              <w:t>得2分。（需提供加盖生产厂家公章的证明材料复印件，否则</w:t>
            </w:r>
            <w:r>
              <w:rPr>
                <w:rFonts w:hAnsi="宋体"/>
                <w:snapToGrid w:val="0"/>
                <w:color w:val="000000" w:themeColor="text1"/>
                <w:kern w:val="0"/>
                <w:szCs w:val="21"/>
                <w:highlight w:val="none"/>
                <w14:textFill>
                  <w14:solidFill>
                    <w14:schemeClr w14:val="tx1"/>
                  </w14:solidFill>
                </w14:textFill>
              </w:rPr>
              <w:t>不得分</w:t>
            </w:r>
            <w:r>
              <w:rPr>
                <w:rFonts w:hint="eastAsia" w:hAnsi="宋体"/>
                <w:snapToGrid w:val="0"/>
                <w:color w:val="000000" w:themeColor="text1"/>
                <w:kern w:val="0"/>
                <w:szCs w:val="21"/>
                <w:highlight w:val="none"/>
                <w14:textFill>
                  <w14:solidFill>
                    <w14:schemeClr w14:val="tx1"/>
                  </w14:solidFill>
                </w14:textFill>
              </w:rPr>
              <w:t>）</w:t>
            </w:r>
          </w:p>
          <w:p>
            <w:pPr>
              <w:spacing w:line="440" w:lineRule="exact"/>
              <w:rPr>
                <w:rFonts w:hAnsi="宋体"/>
                <w:snapToGrid w:val="0"/>
                <w:color w:val="000000" w:themeColor="text1"/>
                <w:kern w:val="0"/>
                <w:szCs w:val="21"/>
                <w:highlight w:val="none"/>
                <w14:textFill>
                  <w14:solidFill>
                    <w14:schemeClr w14:val="tx1"/>
                  </w14:solidFill>
                </w14:textFill>
              </w:rPr>
            </w:pPr>
            <w:r>
              <w:rPr>
                <w:rFonts w:hint="eastAsia" w:hAnsi="宋体"/>
                <w:snapToGrid w:val="0"/>
                <w:color w:val="000000" w:themeColor="text1"/>
                <w:kern w:val="0"/>
                <w:szCs w:val="21"/>
                <w:highlight w:val="none"/>
                <w14:textFill>
                  <w14:solidFill>
                    <w14:schemeClr w14:val="tx1"/>
                  </w14:solidFill>
                </w14:textFill>
              </w:rPr>
              <w:t>(3) 所投核心产品生产厂家环绕双声道功能获得由dbx-tv颁布的总音频增强技术许可证的得</w:t>
            </w:r>
            <w:r>
              <w:rPr>
                <w:rFonts w:hAnsi="宋体"/>
                <w:snapToGrid w:val="0"/>
                <w:color w:val="000000" w:themeColor="text1"/>
                <w:kern w:val="0"/>
                <w:szCs w:val="21"/>
                <w:highlight w:val="none"/>
                <w14:textFill>
                  <w14:solidFill>
                    <w14:schemeClr w14:val="tx1"/>
                  </w14:solidFill>
                </w14:textFill>
              </w:rPr>
              <w:t>3</w:t>
            </w:r>
            <w:r>
              <w:rPr>
                <w:rFonts w:hint="eastAsia" w:hAnsi="宋体"/>
                <w:snapToGrid w:val="0"/>
                <w:color w:val="000000" w:themeColor="text1"/>
                <w:kern w:val="0"/>
                <w:szCs w:val="21"/>
                <w:highlight w:val="none"/>
                <w14:textFill>
                  <w14:solidFill>
                    <w14:schemeClr w14:val="tx1"/>
                  </w14:solidFill>
                </w14:textFill>
              </w:rPr>
              <w:t>分。（需提供加盖生产厂家公章的证明材料复印件，否则</w:t>
            </w:r>
            <w:r>
              <w:rPr>
                <w:rFonts w:hAnsi="宋体"/>
                <w:snapToGrid w:val="0"/>
                <w:color w:val="000000" w:themeColor="text1"/>
                <w:kern w:val="0"/>
                <w:szCs w:val="21"/>
                <w:highlight w:val="none"/>
                <w14:textFill>
                  <w14:solidFill>
                    <w14:schemeClr w14:val="tx1"/>
                  </w14:solidFill>
                </w14:textFill>
              </w:rPr>
              <w:t>不得分</w:t>
            </w:r>
            <w:r>
              <w:rPr>
                <w:rFonts w:hint="eastAsia" w:hAnsi="宋体"/>
                <w:snapToGrid w:val="0"/>
                <w:color w:val="000000" w:themeColor="text1"/>
                <w:kern w:val="0"/>
                <w:szCs w:val="21"/>
                <w:highlight w:val="none"/>
                <w14:textFill>
                  <w14:solidFill>
                    <w14:schemeClr w14:val="tx1"/>
                  </w14:solidFill>
                </w14:textFill>
              </w:rPr>
              <w:t>）</w:t>
            </w:r>
          </w:p>
          <w:p>
            <w:pPr>
              <w:spacing w:line="440" w:lineRule="exact"/>
              <w:rPr>
                <w:rFonts w:hAnsi="宋体"/>
                <w:snapToGrid w:val="0"/>
                <w:color w:val="000000" w:themeColor="text1"/>
                <w:kern w:val="0"/>
                <w:szCs w:val="21"/>
                <w:highlight w:val="none"/>
                <w14:textFill>
                  <w14:solidFill>
                    <w14:schemeClr w14:val="tx1"/>
                  </w14:solidFill>
                </w14:textFill>
              </w:rPr>
            </w:pPr>
            <w:r>
              <w:rPr>
                <w:rFonts w:hint="eastAsia" w:hAnsi="宋体"/>
                <w:snapToGrid w:val="0"/>
                <w:color w:val="000000" w:themeColor="text1"/>
                <w:kern w:val="0"/>
                <w:szCs w:val="21"/>
                <w:highlight w:val="none"/>
                <w14:textFill>
                  <w14:solidFill>
                    <w14:schemeClr w14:val="tx1"/>
                  </w14:solidFill>
                </w14:textFill>
              </w:rPr>
              <w:t>(4) 所投核心产品生产厂家获得CMMI软件能力成熟度模型集成证书的得</w:t>
            </w:r>
            <w:r>
              <w:rPr>
                <w:rFonts w:hAnsi="宋体"/>
                <w:snapToGrid w:val="0"/>
                <w:color w:val="000000" w:themeColor="text1"/>
                <w:kern w:val="0"/>
                <w:szCs w:val="21"/>
                <w:highlight w:val="none"/>
                <w14:textFill>
                  <w14:solidFill>
                    <w14:schemeClr w14:val="tx1"/>
                  </w14:solidFill>
                </w14:textFill>
              </w:rPr>
              <w:t>2</w:t>
            </w:r>
            <w:r>
              <w:rPr>
                <w:rFonts w:hint="eastAsia" w:hAnsi="宋体"/>
                <w:snapToGrid w:val="0"/>
                <w:color w:val="000000" w:themeColor="text1"/>
                <w:kern w:val="0"/>
                <w:szCs w:val="21"/>
                <w:highlight w:val="none"/>
                <w14:textFill>
                  <w14:solidFill>
                    <w14:schemeClr w14:val="tx1"/>
                  </w14:solidFill>
                </w14:textFill>
              </w:rPr>
              <w:t>分。（需提供加盖生产厂家公章的证明材料复印件，否则</w:t>
            </w:r>
            <w:r>
              <w:rPr>
                <w:rFonts w:hAnsi="宋体"/>
                <w:snapToGrid w:val="0"/>
                <w:color w:val="000000" w:themeColor="text1"/>
                <w:kern w:val="0"/>
                <w:szCs w:val="21"/>
                <w:highlight w:val="none"/>
                <w14:textFill>
                  <w14:solidFill>
                    <w14:schemeClr w14:val="tx1"/>
                  </w14:solidFill>
                </w14:textFill>
              </w:rPr>
              <w:t>不得分</w:t>
            </w:r>
            <w:r>
              <w:rPr>
                <w:rFonts w:hint="eastAsia" w:hAnsi="宋体"/>
                <w:snapToGrid w:val="0"/>
                <w:color w:val="000000" w:themeColor="text1"/>
                <w:kern w:val="0"/>
                <w:szCs w:val="21"/>
                <w:highlight w:val="none"/>
                <w14:textFill>
                  <w14:solidFill>
                    <w14:schemeClr w14:val="tx1"/>
                  </w14:solidFill>
                </w14:textFill>
              </w:rPr>
              <w:t>）</w:t>
            </w:r>
          </w:p>
          <w:p>
            <w:pPr>
              <w:spacing w:line="440" w:lineRule="exact"/>
              <w:rPr>
                <w:rFonts w:hAnsi="宋体"/>
                <w:snapToGrid w:val="0"/>
                <w:color w:val="000000" w:themeColor="text1"/>
                <w:kern w:val="0"/>
                <w:szCs w:val="21"/>
                <w:highlight w:val="none"/>
                <w14:textFill>
                  <w14:solidFill>
                    <w14:schemeClr w14:val="tx1"/>
                  </w14:solidFill>
                </w14:textFill>
              </w:rPr>
            </w:pPr>
            <w:r>
              <w:rPr>
                <w:rFonts w:hint="eastAsia" w:hAnsi="宋体"/>
                <w:snapToGrid w:val="0"/>
                <w:color w:val="000000" w:themeColor="text1"/>
                <w:kern w:val="0"/>
                <w:szCs w:val="21"/>
                <w:highlight w:val="none"/>
                <w14:textFill>
                  <w14:solidFill>
                    <w14:schemeClr w14:val="tx1"/>
                  </w14:solidFill>
                </w14:textFill>
              </w:rPr>
              <w:t>（5）所投核心产品之核心组件（内置电脑模块）符合中华人民共和国无线电管理规定和技术标准，具有无线电发射设备型号核准证的得</w:t>
            </w:r>
            <w:r>
              <w:rPr>
                <w:rFonts w:hAnsi="宋体"/>
                <w:snapToGrid w:val="0"/>
                <w:color w:val="000000" w:themeColor="text1"/>
                <w:kern w:val="0"/>
                <w:szCs w:val="21"/>
                <w:highlight w:val="none"/>
                <w14:textFill>
                  <w14:solidFill>
                    <w14:schemeClr w14:val="tx1"/>
                  </w14:solidFill>
                </w14:textFill>
              </w:rPr>
              <w:t>3</w:t>
            </w:r>
            <w:r>
              <w:rPr>
                <w:rFonts w:hint="eastAsia" w:hAnsi="宋体"/>
                <w:snapToGrid w:val="0"/>
                <w:color w:val="000000" w:themeColor="text1"/>
                <w:kern w:val="0"/>
                <w:szCs w:val="21"/>
                <w:highlight w:val="none"/>
                <w14:textFill>
                  <w14:solidFill>
                    <w14:schemeClr w14:val="tx1"/>
                  </w14:solidFill>
                </w14:textFill>
              </w:rPr>
              <w:t>分。（需提供加盖生产厂家公章的证明材料复印件，否则</w:t>
            </w:r>
            <w:r>
              <w:rPr>
                <w:rFonts w:hAnsi="宋体"/>
                <w:snapToGrid w:val="0"/>
                <w:color w:val="000000" w:themeColor="text1"/>
                <w:kern w:val="0"/>
                <w:szCs w:val="21"/>
                <w:highlight w:val="none"/>
                <w14:textFill>
                  <w14:solidFill>
                    <w14:schemeClr w14:val="tx1"/>
                  </w14:solidFill>
                </w14:textFill>
              </w:rPr>
              <w:t>不得分</w:t>
            </w:r>
            <w:r>
              <w:rPr>
                <w:rFonts w:hint="eastAsia" w:hAnsi="宋体"/>
                <w:snapToGrid w:val="0"/>
                <w:color w:val="000000" w:themeColor="text1"/>
                <w:kern w:val="0"/>
                <w:szCs w:val="21"/>
                <w:highlight w:val="none"/>
                <w14:textFill>
                  <w14:solidFill>
                    <w14:schemeClr w14:val="tx1"/>
                  </w14:solidFill>
                </w14:textFill>
              </w:rPr>
              <w:t>）</w:t>
            </w:r>
          </w:p>
          <w:p>
            <w:pPr>
              <w:spacing w:line="440" w:lineRule="exact"/>
              <w:rPr>
                <w:rFonts w:hAnsi="宋体"/>
                <w:snapToGrid w:val="0"/>
                <w:color w:val="000000" w:themeColor="text1"/>
                <w:kern w:val="0"/>
                <w:szCs w:val="21"/>
                <w:highlight w:val="none"/>
                <w14:textFill>
                  <w14:solidFill>
                    <w14:schemeClr w14:val="tx1"/>
                  </w14:solidFill>
                </w14:textFill>
              </w:rPr>
            </w:pPr>
            <w:r>
              <w:rPr>
                <w:rFonts w:hint="eastAsia" w:hAnsi="宋体"/>
                <w:snapToGrid w:val="0"/>
                <w:color w:val="000000" w:themeColor="text1"/>
                <w:kern w:val="0"/>
                <w:szCs w:val="21"/>
                <w:highlight w:val="none"/>
                <w14:textFill>
                  <w14:solidFill>
                    <w14:schemeClr w14:val="tx1"/>
                  </w14:solidFill>
                </w14:textFill>
              </w:rPr>
              <w:t>（6）所投核心产品生产厂家获得</w:t>
            </w:r>
            <w:r>
              <w:rPr>
                <w:rFonts w:hint="eastAsia" w:hAnsi="宋体"/>
                <w:color w:val="000000" w:themeColor="text1"/>
                <w:szCs w:val="21"/>
                <w:highlight w:val="none"/>
                <w14:textFill>
                  <w14:solidFill>
                    <w14:schemeClr w14:val="tx1"/>
                  </w14:solidFill>
                </w14:textFill>
              </w:rPr>
              <w:t>ISO14064温室气体排放认证的</w:t>
            </w:r>
            <w:r>
              <w:rPr>
                <w:rFonts w:hint="eastAsia" w:hAnsi="宋体"/>
                <w:snapToGrid w:val="0"/>
                <w:color w:val="000000" w:themeColor="text1"/>
                <w:kern w:val="0"/>
                <w:szCs w:val="21"/>
                <w:highlight w:val="none"/>
                <w14:textFill>
                  <w14:solidFill>
                    <w14:schemeClr w14:val="tx1"/>
                  </w14:solidFill>
                </w14:textFill>
              </w:rPr>
              <w:t>得</w:t>
            </w:r>
            <w:r>
              <w:rPr>
                <w:rFonts w:hAnsi="宋体"/>
                <w:snapToGrid w:val="0"/>
                <w:color w:val="000000" w:themeColor="text1"/>
                <w:kern w:val="0"/>
                <w:szCs w:val="21"/>
                <w:highlight w:val="none"/>
                <w14:textFill>
                  <w14:solidFill>
                    <w14:schemeClr w14:val="tx1"/>
                  </w14:solidFill>
                </w14:textFill>
              </w:rPr>
              <w:t>2</w:t>
            </w:r>
            <w:r>
              <w:rPr>
                <w:rFonts w:hint="eastAsia" w:hAnsi="宋体"/>
                <w:snapToGrid w:val="0"/>
                <w:color w:val="000000" w:themeColor="text1"/>
                <w:kern w:val="0"/>
                <w:szCs w:val="21"/>
                <w:highlight w:val="none"/>
                <w14:textFill>
                  <w14:solidFill>
                    <w14:schemeClr w14:val="tx1"/>
                  </w14:solidFill>
                </w14:textFill>
              </w:rPr>
              <w:t>分。（需提供加盖生产厂家公章的证明材料复印件，否则</w:t>
            </w:r>
            <w:r>
              <w:rPr>
                <w:rFonts w:hAnsi="宋体"/>
                <w:snapToGrid w:val="0"/>
                <w:color w:val="000000" w:themeColor="text1"/>
                <w:kern w:val="0"/>
                <w:szCs w:val="21"/>
                <w:highlight w:val="none"/>
                <w14:textFill>
                  <w14:solidFill>
                    <w14:schemeClr w14:val="tx1"/>
                  </w14:solidFill>
                </w14:textFill>
              </w:rPr>
              <w:t>不得分</w:t>
            </w:r>
            <w:r>
              <w:rPr>
                <w:rFonts w:hint="eastAsia" w:hAnsi="宋体"/>
                <w:snapToGrid w:val="0"/>
                <w:color w:val="000000" w:themeColor="text1"/>
                <w:kern w:val="0"/>
                <w:szCs w:val="21"/>
                <w:highlight w:val="none"/>
                <w14:textFill>
                  <w14:solidFill>
                    <w14:schemeClr w14:val="tx1"/>
                  </w14:solidFill>
                </w14:textFill>
              </w:rPr>
              <w:t>）</w:t>
            </w:r>
          </w:p>
          <w:p>
            <w:pPr>
              <w:spacing w:line="440" w:lineRule="exact"/>
              <w:rPr>
                <w:rFonts w:hAnsi="宋体"/>
                <w:snapToGrid w:val="0"/>
                <w:color w:val="000000" w:themeColor="text1"/>
                <w:kern w:val="0"/>
                <w:szCs w:val="21"/>
                <w:highlight w:val="none"/>
                <w14:textFill>
                  <w14:solidFill>
                    <w14:schemeClr w14:val="tx1"/>
                  </w14:solidFill>
                </w14:textFill>
              </w:rPr>
            </w:pPr>
            <w:r>
              <w:rPr>
                <w:rFonts w:hint="eastAsia" w:hAnsi="宋体"/>
                <w:snapToGrid w:val="0"/>
                <w:color w:val="000000" w:themeColor="text1"/>
                <w:kern w:val="0"/>
                <w:szCs w:val="21"/>
                <w:highlight w:val="none"/>
                <w14:textFill>
                  <w14:solidFill>
                    <w14:schemeClr w14:val="tx1"/>
                  </w14:solidFill>
                </w14:textFill>
              </w:rPr>
              <w:t>（7）所投核心产品生产厂家符合GB/T 27922-2011售后服务评价体系标准，获得五星级售后服务认证的得</w:t>
            </w:r>
            <w:r>
              <w:rPr>
                <w:rFonts w:hAnsi="宋体"/>
                <w:snapToGrid w:val="0"/>
                <w:color w:val="000000" w:themeColor="text1"/>
                <w:kern w:val="0"/>
                <w:szCs w:val="21"/>
                <w:highlight w:val="none"/>
                <w14:textFill>
                  <w14:solidFill>
                    <w14:schemeClr w14:val="tx1"/>
                  </w14:solidFill>
                </w14:textFill>
              </w:rPr>
              <w:t>2</w:t>
            </w:r>
            <w:r>
              <w:rPr>
                <w:rFonts w:hint="eastAsia" w:hAnsi="宋体"/>
                <w:snapToGrid w:val="0"/>
                <w:color w:val="000000" w:themeColor="text1"/>
                <w:kern w:val="0"/>
                <w:szCs w:val="21"/>
                <w:highlight w:val="none"/>
                <w14:textFill>
                  <w14:solidFill>
                    <w14:schemeClr w14:val="tx1"/>
                  </w14:solidFill>
                </w14:textFill>
              </w:rPr>
              <w:t>分。（需提供加盖生产厂家公章的证明材料复印件，否则</w:t>
            </w:r>
            <w:r>
              <w:rPr>
                <w:rFonts w:hAnsi="宋体"/>
                <w:snapToGrid w:val="0"/>
                <w:color w:val="000000" w:themeColor="text1"/>
                <w:kern w:val="0"/>
                <w:szCs w:val="21"/>
                <w:highlight w:val="none"/>
                <w14:textFill>
                  <w14:solidFill>
                    <w14:schemeClr w14:val="tx1"/>
                  </w14:solidFill>
                </w14:textFill>
              </w:rPr>
              <w:t>不得分</w:t>
            </w:r>
            <w:r>
              <w:rPr>
                <w:rFonts w:hint="eastAsia" w:hAnsi="宋体"/>
                <w:snapToGrid w:val="0"/>
                <w:color w:val="000000" w:themeColor="text1"/>
                <w:kern w:val="0"/>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629" w:type="dxa"/>
            <w:gridSpan w:val="2"/>
            <w:vAlign w:val="center"/>
          </w:tcPr>
          <w:p>
            <w:pPr>
              <w:spacing w:line="440" w:lineRule="exact"/>
              <w:jc w:val="center"/>
              <w:rPr>
                <w:rFonts w:hAnsi="宋体"/>
                <w:b/>
                <w:bCs/>
                <w:color w:val="000000" w:themeColor="text1"/>
                <w:szCs w:val="21"/>
                <w:highlight w:val="none"/>
                <w14:textFill>
                  <w14:solidFill>
                    <w14:schemeClr w14:val="tx1"/>
                  </w14:solidFill>
                </w14:textFill>
              </w:rPr>
            </w:pPr>
            <w:r>
              <w:rPr>
                <w:rFonts w:hint="eastAsia" w:hAnsi="宋体"/>
                <w:b/>
                <w:bCs/>
                <w:color w:val="000000" w:themeColor="text1"/>
                <w:szCs w:val="21"/>
                <w:highlight w:val="none"/>
                <w14:textFill>
                  <w14:solidFill>
                    <w14:schemeClr w14:val="tx1"/>
                  </w14:solidFill>
                </w14:textFill>
              </w:rPr>
              <w:t>政策功能</w:t>
            </w:r>
            <w:r>
              <w:rPr>
                <w:rFonts w:hAnsi="宋体"/>
                <w:b/>
                <w:bCs/>
                <w:color w:val="000000" w:themeColor="text1"/>
                <w:szCs w:val="21"/>
                <w:highlight w:val="none"/>
                <w14:textFill>
                  <w14:solidFill>
                    <w14:schemeClr w14:val="tx1"/>
                  </w14:solidFill>
                </w14:textFill>
              </w:rPr>
              <w:t>分</w:t>
            </w:r>
          </w:p>
          <w:p>
            <w:pPr>
              <w:spacing w:line="440" w:lineRule="exact"/>
              <w:jc w:val="center"/>
              <w:rPr>
                <w:rFonts w:hAnsi="宋体"/>
                <w:b/>
                <w:bCs/>
                <w:color w:val="000000" w:themeColor="text1"/>
                <w:szCs w:val="21"/>
                <w:highlight w:val="none"/>
                <w14:textFill>
                  <w14:solidFill>
                    <w14:schemeClr w14:val="tx1"/>
                  </w14:solidFill>
                </w14:textFill>
              </w:rPr>
            </w:pPr>
            <w:r>
              <w:rPr>
                <w:rFonts w:hint="eastAsia" w:hAnsi="宋体"/>
                <w:b/>
                <w:bCs/>
                <w:color w:val="000000" w:themeColor="text1"/>
                <w:szCs w:val="21"/>
                <w:highlight w:val="none"/>
                <w14:textFill>
                  <w14:solidFill>
                    <w14:schemeClr w14:val="tx1"/>
                  </w14:solidFill>
                </w14:textFill>
              </w:rPr>
              <w:t>（</w:t>
            </w:r>
            <w:r>
              <w:rPr>
                <w:rFonts w:hAnsi="宋体"/>
                <w:b/>
                <w:bCs/>
                <w:color w:val="000000" w:themeColor="text1"/>
                <w:szCs w:val="21"/>
                <w:highlight w:val="none"/>
                <w14:textFill>
                  <w14:solidFill>
                    <w14:schemeClr w14:val="tx1"/>
                  </w14:solidFill>
                </w14:textFill>
              </w:rPr>
              <w:t>2</w:t>
            </w:r>
            <w:r>
              <w:rPr>
                <w:rFonts w:hint="eastAsia" w:hAnsi="宋体"/>
                <w:b/>
                <w:bCs/>
                <w:color w:val="000000" w:themeColor="text1"/>
                <w:szCs w:val="21"/>
                <w:highlight w:val="none"/>
                <w14:textFill>
                  <w14:solidFill>
                    <w14:schemeClr w14:val="tx1"/>
                  </w14:solidFill>
                </w14:textFill>
              </w:rPr>
              <w:t>分</w:t>
            </w:r>
            <w:r>
              <w:rPr>
                <w:rFonts w:hAnsi="宋体"/>
                <w:b/>
                <w:bCs/>
                <w:color w:val="000000" w:themeColor="text1"/>
                <w:szCs w:val="21"/>
                <w:highlight w:val="none"/>
                <w14:textFill>
                  <w14:solidFill>
                    <w14:schemeClr w14:val="tx1"/>
                  </w14:solidFill>
                </w14:textFill>
              </w:rPr>
              <w:t>）</w:t>
            </w:r>
          </w:p>
        </w:tc>
        <w:tc>
          <w:tcPr>
            <w:tcW w:w="6835" w:type="dxa"/>
            <w:vAlign w:val="center"/>
          </w:tcPr>
          <w:p>
            <w:pPr>
              <w:spacing w:line="440" w:lineRule="exact"/>
              <w:rPr>
                <w:rFonts w:hAnsi="宋体"/>
                <w:bCs/>
                <w:color w:val="000000" w:themeColor="text1"/>
                <w:szCs w:val="21"/>
                <w:highlight w:val="none"/>
                <w14:textFill>
                  <w14:solidFill>
                    <w14:schemeClr w14:val="tx1"/>
                  </w14:solidFill>
                </w14:textFill>
              </w:rPr>
            </w:pPr>
            <w:r>
              <w:rPr>
                <w:rFonts w:hint="eastAsia" w:hAnsi="宋体"/>
                <w:bCs/>
                <w:color w:val="000000" w:themeColor="text1"/>
                <w:szCs w:val="21"/>
                <w:highlight w:val="none"/>
                <w14:textFill>
                  <w14:solidFill>
                    <w14:schemeClr w14:val="tx1"/>
                  </w14:solidFill>
                </w14:textFill>
              </w:rPr>
              <w:t>（1）属于财政部《节能产品政府采购品</w:t>
            </w:r>
            <w:r>
              <w:rPr>
                <w:rFonts w:hAnsi="宋体"/>
                <w:bCs/>
                <w:color w:val="000000" w:themeColor="text1"/>
                <w:szCs w:val="21"/>
                <w:highlight w:val="none"/>
                <w14:textFill>
                  <w14:solidFill>
                    <w14:schemeClr w14:val="tx1"/>
                  </w14:solidFill>
                </w14:textFill>
              </w:rPr>
              <w:t>目</w:t>
            </w:r>
            <w:r>
              <w:rPr>
                <w:rFonts w:hint="eastAsia" w:hAnsi="宋体"/>
                <w:bCs/>
                <w:color w:val="000000" w:themeColor="text1"/>
                <w:szCs w:val="21"/>
                <w:highlight w:val="none"/>
                <w14:textFill>
                  <w14:solidFill>
                    <w14:schemeClr w14:val="tx1"/>
                  </w14:solidFill>
                </w14:textFill>
              </w:rPr>
              <w:t>清单》内优先采购的产品</w:t>
            </w:r>
            <w:r>
              <w:rPr>
                <w:rFonts w:ascii="ˎ̥" w:hAnsi="ˎ̥" w:cs="宋体"/>
                <w:bCs/>
                <w:color w:val="000000" w:themeColor="text1"/>
                <w:szCs w:val="21"/>
                <w:highlight w:val="none"/>
                <w14:textFill>
                  <w14:solidFill>
                    <w14:schemeClr w14:val="tx1"/>
                  </w14:solidFill>
                </w14:textFill>
              </w:rPr>
              <w:t>并具有有效的节能产品认证证书的</w:t>
            </w:r>
            <w:r>
              <w:rPr>
                <w:rFonts w:hint="eastAsia" w:hAnsi="宋体"/>
                <w:bCs/>
                <w:color w:val="000000" w:themeColor="text1"/>
                <w:szCs w:val="21"/>
                <w:highlight w:val="none"/>
                <w14:textFill>
                  <w14:solidFill>
                    <w14:schemeClr w14:val="tx1"/>
                  </w14:solidFill>
                </w14:textFill>
              </w:rPr>
              <w:t>，根据其所占项目比例得0-</w:t>
            </w:r>
            <w:r>
              <w:rPr>
                <w:rFonts w:hAnsi="宋体"/>
                <w:bCs/>
                <w:color w:val="000000" w:themeColor="text1"/>
                <w:szCs w:val="21"/>
                <w:highlight w:val="none"/>
                <w14:textFill>
                  <w14:solidFill>
                    <w14:schemeClr w14:val="tx1"/>
                  </w14:solidFill>
                </w14:textFill>
              </w:rPr>
              <w:t>0.5</w:t>
            </w:r>
            <w:r>
              <w:rPr>
                <w:rFonts w:hint="eastAsia" w:hAnsi="宋体"/>
                <w:bCs/>
                <w:color w:val="000000" w:themeColor="text1"/>
                <w:szCs w:val="21"/>
                <w:highlight w:val="none"/>
                <w14:textFill>
                  <w14:solidFill>
                    <w14:schemeClr w14:val="tx1"/>
                  </w14:solidFill>
                </w14:textFill>
              </w:rPr>
              <w:t>分；（</w:t>
            </w:r>
            <w:r>
              <w:rPr>
                <w:rFonts w:hint="eastAsia" w:hAnsi="宋体"/>
                <w:bCs/>
                <w:color w:val="000000" w:themeColor="text1"/>
                <w:highlight w:val="none"/>
                <w14:textFill>
                  <w14:solidFill>
                    <w14:schemeClr w14:val="tx1"/>
                  </w14:solidFill>
                </w14:textFill>
              </w:rPr>
              <w:t>须提供证明材料复印件）</w:t>
            </w:r>
          </w:p>
          <w:p>
            <w:pPr>
              <w:spacing w:line="440" w:lineRule="exact"/>
              <w:rPr>
                <w:rFonts w:hAnsi="宋体"/>
                <w:bCs/>
                <w:color w:val="000000" w:themeColor="text1"/>
                <w:szCs w:val="21"/>
                <w:highlight w:val="none"/>
                <w14:textFill>
                  <w14:solidFill>
                    <w14:schemeClr w14:val="tx1"/>
                  </w14:solidFill>
                </w14:textFill>
              </w:rPr>
            </w:pPr>
            <w:r>
              <w:rPr>
                <w:rFonts w:hint="eastAsia" w:hAnsi="宋体"/>
                <w:bCs/>
                <w:color w:val="000000" w:themeColor="text1"/>
                <w:szCs w:val="21"/>
                <w:highlight w:val="none"/>
                <w14:textFill>
                  <w14:solidFill>
                    <w14:schemeClr w14:val="tx1"/>
                  </w14:solidFill>
                </w14:textFill>
              </w:rPr>
              <w:t>（2）属于财政部《环境标志产品政府采购品</w:t>
            </w:r>
            <w:r>
              <w:rPr>
                <w:rFonts w:hAnsi="宋体"/>
                <w:bCs/>
                <w:color w:val="000000" w:themeColor="text1"/>
                <w:szCs w:val="21"/>
                <w:highlight w:val="none"/>
                <w14:textFill>
                  <w14:solidFill>
                    <w14:schemeClr w14:val="tx1"/>
                  </w14:solidFill>
                </w14:textFill>
              </w:rPr>
              <w:t>目</w:t>
            </w:r>
            <w:r>
              <w:rPr>
                <w:rFonts w:hint="eastAsia" w:hAnsi="宋体"/>
                <w:bCs/>
                <w:color w:val="000000" w:themeColor="text1"/>
                <w:szCs w:val="21"/>
                <w:highlight w:val="none"/>
                <w14:textFill>
                  <w14:solidFill>
                    <w14:schemeClr w14:val="tx1"/>
                  </w14:solidFill>
                </w14:textFill>
              </w:rPr>
              <w:t>清单》内优先采购的产品</w:t>
            </w:r>
            <w:r>
              <w:rPr>
                <w:rFonts w:ascii="ˎ̥" w:hAnsi="ˎ̥" w:cs="宋体"/>
                <w:bCs/>
                <w:color w:val="000000" w:themeColor="text1"/>
                <w:szCs w:val="21"/>
                <w:highlight w:val="none"/>
                <w14:textFill>
                  <w14:solidFill>
                    <w14:schemeClr w14:val="tx1"/>
                  </w14:solidFill>
                </w14:textFill>
              </w:rPr>
              <w:t>并具有有效的</w:t>
            </w:r>
            <w:r>
              <w:rPr>
                <w:rFonts w:hint="eastAsia" w:ascii="ˎ̥" w:hAnsi="ˎ̥" w:cs="宋体"/>
                <w:bCs/>
                <w:color w:val="000000" w:themeColor="text1"/>
                <w:szCs w:val="21"/>
                <w:highlight w:val="none"/>
                <w14:textFill>
                  <w14:solidFill>
                    <w14:schemeClr w14:val="tx1"/>
                  </w14:solidFill>
                </w14:textFill>
              </w:rPr>
              <w:t>环</w:t>
            </w:r>
            <w:r>
              <w:rPr>
                <w:rFonts w:hint="eastAsia" w:hAnsi="宋体"/>
                <w:bCs/>
                <w:color w:val="000000" w:themeColor="text1"/>
                <w:szCs w:val="21"/>
                <w:highlight w:val="none"/>
                <w14:textFill>
                  <w14:solidFill>
                    <w14:schemeClr w14:val="tx1"/>
                  </w14:solidFill>
                </w14:textFill>
              </w:rPr>
              <w:t>境</w:t>
            </w:r>
            <w:r>
              <w:rPr>
                <w:rFonts w:hint="eastAsia" w:ascii="ˎ̥" w:hAnsi="ˎ̥" w:cs="宋体"/>
                <w:bCs/>
                <w:color w:val="000000" w:themeColor="text1"/>
                <w:szCs w:val="21"/>
                <w:highlight w:val="none"/>
                <w14:textFill>
                  <w14:solidFill>
                    <w14:schemeClr w14:val="tx1"/>
                  </w14:solidFill>
                </w14:textFill>
              </w:rPr>
              <w:t>保护</w:t>
            </w:r>
            <w:r>
              <w:rPr>
                <w:rFonts w:ascii="ˎ̥" w:hAnsi="ˎ̥" w:cs="宋体"/>
                <w:bCs/>
                <w:color w:val="000000" w:themeColor="text1"/>
                <w:szCs w:val="21"/>
                <w:highlight w:val="none"/>
                <w14:textFill>
                  <w14:solidFill>
                    <w14:schemeClr w14:val="tx1"/>
                  </w14:solidFill>
                </w14:textFill>
              </w:rPr>
              <w:t>产品认证证书的</w:t>
            </w:r>
            <w:r>
              <w:rPr>
                <w:rFonts w:hint="eastAsia" w:hAnsi="宋体"/>
                <w:bCs/>
                <w:color w:val="000000" w:themeColor="text1"/>
                <w:szCs w:val="21"/>
                <w:highlight w:val="none"/>
                <w14:textFill>
                  <w14:solidFill>
                    <w14:schemeClr w14:val="tx1"/>
                  </w14:solidFill>
                </w14:textFill>
              </w:rPr>
              <w:t>，根据其所占项目比例得0-</w:t>
            </w:r>
            <w:r>
              <w:rPr>
                <w:rFonts w:hAnsi="宋体"/>
                <w:bCs/>
                <w:color w:val="000000" w:themeColor="text1"/>
                <w:szCs w:val="21"/>
                <w:highlight w:val="none"/>
                <w14:textFill>
                  <w14:solidFill>
                    <w14:schemeClr w14:val="tx1"/>
                  </w14:solidFill>
                </w14:textFill>
              </w:rPr>
              <w:t>0.5</w:t>
            </w:r>
            <w:r>
              <w:rPr>
                <w:rFonts w:hint="eastAsia" w:hAnsi="宋体"/>
                <w:bCs/>
                <w:color w:val="000000" w:themeColor="text1"/>
                <w:szCs w:val="21"/>
                <w:highlight w:val="none"/>
                <w14:textFill>
                  <w14:solidFill>
                    <w14:schemeClr w14:val="tx1"/>
                  </w14:solidFill>
                </w14:textFill>
              </w:rPr>
              <w:t>分；非节能、环保产品的不得分；（</w:t>
            </w:r>
            <w:r>
              <w:rPr>
                <w:rFonts w:hint="eastAsia" w:hAnsi="宋体"/>
                <w:bCs/>
                <w:color w:val="000000" w:themeColor="text1"/>
                <w:highlight w:val="none"/>
                <w14:textFill>
                  <w14:solidFill>
                    <w14:schemeClr w14:val="tx1"/>
                  </w14:solidFill>
                </w14:textFill>
              </w:rPr>
              <w:t>须提供证明材料复印件）</w:t>
            </w:r>
          </w:p>
          <w:p>
            <w:pPr>
              <w:spacing w:line="440" w:lineRule="exact"/>
              <w:rPr>
                <w:rFonts w:hAnsi="宋体"/>
                <w:bCs/>
                <w:color w:val="000000" w:themeColor="text1"/>
                <w:szCs w:val="21"/>
                <w:highlight w:val="none"/>
                <w14:textFill>
                  <w14:solidFill>
                    <w14:schemeClr w14:val="tx1"/>
                  </w14:solidFill>
                </w14:textFill>
              </w:rPr>
            </w:pPr>
            <w:r>
              <w:rPr>
                <w:rFonts w:hint="eastAsia" w:hAnsi="宋体"/>
                <w:bCs/>
                <w:color w:val="000000" w:themeColor="text1"/>
                <w:szCs w:val="21"/>
                <w:highlight w:val="none"/>
                <w14:textFill>
                  <w14:solidFill>
                    <w14:schemeClr w14:val="tx1"/>
                  </w14:solidFill>
                </w14:textFill>
              </w:rPr>
              <w:t>（3）投标</w:t>
            </w:r>
            <w:r>
              <w:rPr>
                <w:rFonts w:hAnsi="宋体"/>
                <w:bCs/>
                <w:color w:val="000000" w:themeColor="text1"/>
                <w:szCs w:val="21"/>
                <w:highlight w:val="none"/>
                <w14:textFill>
                  <w14:solidFill>
                    <w14:schemeClr w14:val="tx1"/>
                  </w14:solidFill>
                </w14:textFill>
              </w:rPr>
              <w:t>人</w:t>
            </w:r>
            <w:r>
              <w:rPr>
                <w:rFonts w:hint="eastAsia" w:hAnsi="宋体"/>
                <w:bCs/>
                <w:color w:val="000000" w:themeColor="text1"/>
                <w:szCs w:val="21"/>
                <w:highlight w:val="none"/>
                <w14:textFill>
                  <w14:solidFill>
                    <w14:schemeClr w14:val="tx1"/>
                  </w14:solidFill>
                </w14:textFill>
              </w:rPr>
              <w:t xml:space="preserve">使用广西工业产品在80%及以上的得1分。 </w:t>
            </w:r>
          </w:p>
          <w:p>
            <w:pPr>
              <w:spacing w:line="440" w:lineRule="exact"/>
              <w:rPr>
                <w:rFonts w:hAnsi="宋体"/>
                <w:color w:val="000000" w:themeColor="text1"/>
                <w:szCs w:val="21"/>
                <w:highlight w:val="none"/>
                <w14:textFill>
                  <w14:solidFill>
                    <w14:schemeClr w14:val="tx1"/>
                  </w14:solidFill>
                </w14:textFill>
              </w:rPr>
            </w:pPr>
            <w:r>
              <w:rPr>
                <w:rFonts w:hint="eastAsia" w:hAnsi="宋体"/>
                <w:bCs/>
                <w:color w:val="000000" w:themeColor="text1"/>
                <w:szCs w:val="21"/>
                <w:highlight w:val="none"/>
                <w14:textFill>
                  <w14:solidFill>
                    <w14:schemeClr w14:val="tx1"/>
                  </w14:solidFill>
                </w14:textFill>
              </w:rPr>
              <w:t>备注：根据《广西壮族自治区人民政府办公厅关于印发招标采购促进广西工业产品产销对接实施细则的通知》（桂政办发【2015】78号）的规定，“广西工业产品”是指广西境内生产的工业产品，具体以生产企业的工商营业执照注册所在地为准。“使用广西工业产品80%以上”是指参加政府采购项目或招标项目时供货范围中采用广西工业产品的金额占本次招标总金额的80%以上（含）。</w:t>
            </w:r>
            <w:r>
              <w:rPr>
                <w:rFonts w:hint="eastAsia" w:hAnsi="宋体"/>
                <w:bCs/>
                <w:color w:val="000000" w:themeColor="text1"/>
                <w:highlight w:val="none"/>
                <w14:textFill>
                  <w14:solidFill>
                    <w14:schemeClr w14:val="tx1"/>
                  </w14:solidFill>
                </w14:textFill>
              </w:rPr>
              <w:t>投标文件中须提供生产企业的工商营业执照复印件和广西工业产品声明函原件。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323" w:type="dxa"/>
            <w:vMerge w:val="restart"/>
            <w:vAlign w:val="center"/>
          </w:tcPr>
          <w:p>
            <w:pPr>
              <w:spacing w:line="440" w:lineRule="exact"/>
              <w:rPr>
                <w:rFonts w:hAnsi="宋体"/>
                <w:bCs/>
                <w:color w:val="000000" w:themeColor="text1"/>
                <w:szCs w:val="21"/>
                <w:highlight w:val="none"/>
                <w14:textFill>
                  <w14:solidFill>
                    <w14:schemeClr w14:val="tx1"/>
                  </w14:solidFill>
                </w14:textFill>
              </w:rPr>
            </w:pPr>
            <w:r>
              <w:rPr>
                <w:rFonts w:hint="eastAsia" w:hAnsi="宋体"/>
                <w:bCs/>
                <w:color w:val="000000" w:themeColor="text1"/>
                <w:szCs w:val="21"/>
                <w:highlight w:val="none"/>
                <w14:textFill>
                  <w14:solidFill>
                    <w14:schemeClr w14:val="tx1"/>
                  </w14:solidFill>
                </w14:textFill>
              </w:rPr>
              <w:t>综合实力分</w:t>
            </w:r>
          </w:p>
        </w:tc>
        <w:tc>
          <w:tcPr>
            <w:tcW w:w="1306" w:type="dxa"/>
            <w:vAlign w:val="center"/>
          </w:tcPr>
          <w:p>
            <w:pPr>
              <w:spacing w:line="380" w:lineRule="exact"/>
              <w:rPr>
                <w:rFonts w:hAnsi="宋体"/>
                <w:color w:val="000000" w:themeColor="text1"/>
                <w:szCs w:val="21"/>
                <w:highlight w:val="none"/>
                <w14:textFill>
                  <w14:solidFill>
                    <w14:schemeClr w14:val="tx1"/>
                  </w14:solidFill>
                </w14:textFill>
              </w:rPr>
            </w:pPr>
            <w:r>
              <w:rPr>
                <w:rFonts w:hint="eastAsia" w:hAnsi="宋体" w:cs="宋体"/>
                <w:bCs/>
                <w:color w:val="000000" w:themeColor="text1"/>
                <w:szCs w:val="21"/>
                <w:highlight w:val="none"/>
                <w14:textFill>
                  <w14:solidFill>
                    <w14:schemeClr w14:val="tx1"/>
                  </w14:solidFill>
                </w14:textFill>
              </w:rPr>
              <w:t>设备技术性能分</w:t>
            </w:r>
            <w:r>
              <w:rPr>
                <w:rFonts w:hint="eastAsia" w:hAnsi="宋体"/>
                <w:color w:val="000000" w:themeColor="text1"/>
                <w:szCs w:val="21"/>
                <w:highlight w:val="none"/>
                <w14:textFill>
                  <w14:solidFill>
                    <w14:schemeClr w14:val="tx1"/>
                  </w14:solidFill>
                </w14:textFill>
              </w:rPr>
              <w:t>（</w:t>
            </w:r>
            <w:r>
              <w:rPr>
                <w:rFonts w:hAnsi="宋体"/>
                <w:color w:val="000000" w:themeColor="text1"/>
                <w:szCs w:val="21"/>
                <w:highlight w:val="none"/>
                <w14:textFill>
                  <w14:solidFill>
                    <w14:schemeClr w14:val="tx1"/>
                  </w14:solidFill>
                </w14:textFill>
              </w:rPr>
              <w:t>30</w:t>
            </w:r>
            <w:r>
              <w:rPr>
                <w:rFonts w:hint="eastAsia" w:hAnsi="宋体"/>
                <w:color w:val="000000" w:themeColor="text1"/>
                <w:szCs w:val="21"/>
                <w:highlight w:val="none"/>
                <w14:textFill>
                  <w14:solidFill>
                    <w14:schemeClr w14:val="tx1"/>
                  </w14:solidFill>
                </w14:textFill>
              </w:rPr>
              <w:t>分）</w:t>
            </w:r>
          </w:p>
        </w:tc>
        <w:tc>
          <w:tcPr>
            <w:tcW w:w="6835" w:type="dxa"/>
            <w:vAlign w:val="center"/>
          </w:tcPr>
          <w:p>
            <w:pPr>
              <w:pStyle w:val="20"/>
              <w:spacing w:line="380" w:lineRule="exact"/>
              <w:rPr>
                <w:rFonts w:hAnsi="宋体"/>
                <w:bCs/>
                <w:color w:val="000000" w:themeColor="text1"/>
                <w:szCs w:val="21"/>
                <w:highlight w:val="none"/>
                <w14:textFill>
                  <w14:solidFill>
                    <w14:schemeClr w14:val="tx1"/>
                  </w14:solidFill>
                </w14:textFill>
              </w:rPr>
            </w:pPr>
            <w:r>
              <w:rPr>
                <w:rFonts w:hint="eastAsia" w:hAnsi="宋体"/>
                <w:bCs/>
                <w:color w:val="000000" w:themeColor="text1"/>
                <w:szCs w:val="21"/>
                <w:highlight w:val="none"/>
                <w14:textFill>
                  <w14:solidFill>
                    <w14:schemeClr w14:val="tx1"/>
                  </w14:solidFill>
                </w14:textFill>
              </w:rPr>
              <w:t>招标货物中核心产品核心产品实质性技术参数（带“★”号参数）对师生使用效果影响大，投标人投标文件中的主要技术参数有一项带“★”号参数不能满足招标文件要求的做无效投标处理。</w:t>
            </w:r>
          </w:p>
          <w:p>
            <w:pPr>
              <w:pStyle w:val="20"/>
              <w:spacing w:line="380" w:lineRule="exact"/>
              <w:rPr>
                <w:rFonts w:hAnsi="宋体"/>
                <w:bCs/>
                <w:color w:val="000000" w:themeColor="text1"/>
                <w:szCs w:val="21"/>
                <w:highlight w:val="none"/>
                <w14:textFill>
                  <w14:solidFill>
                    <w14:schemeClr w14:val="tx1"/>
                  </w14:solidFill>
                </w14:textFill>
              </w:rPr>
            </w:pPr>
            <w:r>
              <w:rPr>
                <w:rFonts w:hint="eastAsia" w:hAnsi="宋体"/>
                <w:bCs/>
                <w:color w:val="000000" w:themeColor="text1"/>
                <w:szCs w:val="21"/>
                <w:highlight w:val="none"/>
                <w14:textFill>
                  <w14:solidFill>
                    <w14:schemeClr w14:val="tx1"/>
                  </w14:solidFill>
                </w14:textFill>
              </w:rPr>
              <w:t>一档（0.1</w:t>
            </w:r>
            <w:r>
              <w:rPr>
                <w:rFonts w:hint="eastAsia" w:hAnsi="宋体"/>
                <w:color w:val="000000" w:themeColor="text1"/>
                <w:highlight w:val="none"/>
                <w14:textFill>
                  <w14:solidFill>
                    <w14:schemeClr w14:val="tx1"/>
                  </w14:solidFill>
                </w14:textFill>
              </w:rPr>
              <w:t>～</w:t>
            </w:r>
            <w:r>
              <w:rPr>
                <w:rFonts w:hAnsi="宋体"/>
                <w:bCs/>
                <w:color w:val="000000" w:themeColor="text1"/>
                <w:szCs w:val="21"/>
                <w:highlight w:val="none"/>
                <w14:textFill>
                  <w14:solidFill>
                    <w14:schemeClr w14:val="tx1"/>
                  </w14:solidFill>
                </w14:textFill>
              </w:rPr>
              <w:t>10</w:t>
            </w:r>
            <w:r>
              <w:rPr>
                <w:rFonts w:hint="eastAsia" w:hAnsi="宋体"/>
                <w:bCs/>
                <w:color w:val="000000" w:themeColor="text1"/>
                <w:szCs w:val="21"/>
                <w:highlight w:val="none"/>
                <w14:textFill>
                  <w14:solidFill>
                    <w14:schemeClr w14:val="tx1"/>
                  </w14:solidFill>
                </w14:textFill>
              </w:rPr>
              <w:t>分）：经评标委员会认可的带“★”号实质性参数有1-</w:t>
            </w:r>
            <w:r>
              <w:rPr>
                <w:rFonts w:hAnsi="宋体"/>
                <w:bCs/>
                <w:color w:val="000000" w:themeColor="text1"/>
                <w:szCs w:val="21"/>
                <w:highlight w:val="none"/>
                <w14:textFill>
                  <w14:solidFill>
                    <w14:schemeClr w14:val="tx1"/>
                  </w14:solidFill>
                </w14:textFill>
              </w:rPr>
              <w:t>6</w:t>
            </w:r>
            <w:r>
              <w:rPr>
                <w:rFonts w:hint="eastAsia" w:hAnsi="宋体"/>
                <w:bCs/>
                <w:color w:val="000000" w:themeColor="text1"/>
                <w:szCs w:val="21"/>
                <w:highlight w:val="none"/>
                <w14:textFill>
                  <w14:solidFill>
                    <w14:schemeClr w14:val="tx1"/>
                  </w14:solidFill>
                </w14:textFill>
              </w:rPr>
              <w:t>项优于采购文件要求或不带“★”号的非实质性参数有1项（含1项）以上低于采购文件要求；</w:t>
            </w:r>
          </w:p>
          <w:p>
            <w:pPr>
              <w:pStyle w:val="20"/>
              <w:spacing w:line="380" w:lineRule="exact"/>
              <w:rPr>
                <w:rFonts w:hAnsi="宋体"/>
                <w:bCs/>
                <w:color w:val="000000" w:themeColor="text1"/>
                <w:szCs w:val="21"/>
                <w:highlight w:val="none"/>
                <w14:textFill>
                  <w14:solidFill>
                    <w14:schemeClr w14:val="tx1"/>
                  </w14:solidFill>
                </w14:textFill>
              </w:rPr>
            </w:pPr>
            <w:r>
              <w:rPr>
                <w:rFonts w:hint="eastAsia" w:hAnsi="宋体"/>
                <w:bCs/>
                <w:color w:val="000000" w:themeColor="text1"/>
                <w:szCs w:val="21"/>
                <w:highlight w:val="none"/>
                <w14:textFill>
                  <w14:solidFill>
                    <w14:schemeClr w14:val="tx1"/>
                  </w14:solidFill>
                </w14:textFill>
              </w:rPr>
              <w:t>二档（</w:t>
            </w:r>
            <w:r>
              <w:rPr>
                <w:rFonts w:hAnsi="宋体"/>
                <w:bCs/>
                <w:color w:val="000000" w:themeColor="text1"/>
                <w:szCs w:val="21"/>
                <w:highlight w:val="none"/>
                <w14:textFill>
                  <w14:solidFill>
                    <w14:schemeClr w14:val="tx1"/>
                  </w14:solidFill>
                </w14:textFill>
              </w:rPr>
              <w:t>10</w:t>
            </w:r>
            <w:r>
              <w:rPr>
                <w:rFonts w:hint="eastAsia" w:hAnsi="宋体"/>
                <w:bCs/>
                <w:color w:val="000000" w:themeColor="text1"/>
                <w:szCs w:val="21"/>
                <w:highlight w:val="none"/>
                <w14:textFill>
                  <w14:solidFill>
                    <w14:schemeClr w14:val="tx1"/>
                  </w14:solidFill>
                </w14:textFill>
              </w:rPr>
              <w:t>.1</w:t>
            </w:r>
            <w:r>
              <w:rPr>
                <w:rFonts w:hint="eastAsia" w:hAnsi="宋体"/>
                <w:color w:val="000000" w:themeColor="text1"/>
                <w:highlight w:val="none"/>
                <w14:textFill>
                  <w14:solidFill>
                    <w14:schemeClr w14:val="tx1"/>
                  </w14:solidFill>
                </w14:textFill>
              </w:rPr>
              <w:t>～</w:t>
            </w:r>
            <w:r>
              <w:rPr>
                <w:rFonts w:hAnsi="宋体"/>
                <w:bCs/>
                <w:color w:val="000000" w:themeColor="text1"/>
                <w:szCs w:val="21"/>
                <w:highlight w:val="none"/>
                <w14:textFill>
                  <w14:solidFill>
                    <w14:schemeClr w14:val="tx1"/>
                  </w14:solidFill>
                </w14:textFill>
              </w:rPr>
              <w:t>20</w:t>
            </w:r>
            <w:r>
              <w:rPr>
                <w:rFonts w:hint="eastAsia" w:hAnsi="宋体"/>
                <w:bCs/>
                <w:color w:val="000000" w:themeColor="text1"/>
                <w:szCs w:val="21"/>
                <w:highlight w:val="none"/>
                <w14:textFill>
                  <w14:solidFill>
                    <w14:schemeClr w14:val="tx1"/>
                  </w14:solidFill>
                </w14:textFill>
              </w:rPr>
              <w:t>分）：经评标委员会认可的带“★”号的实质性参数有</w:t>
            </w:r>
            <w:r>
              <w:rPr>
                <w:rFonts w:hAnsi="宋体"/>
                <w:bCs/>
                <w:color w:val="000000" w:themeColor="text1"/>
                <w:szCs w:val="21"/>
                <w:highlight w:val="none"/>
                <w14:textFill>
                  <w14:solidFill>
                    <w14:schemeClr w14:val="tx1"/>
                  </w14:solidFill>
                </w14:textFill>
              </w:rPr>
              <w:t>7</w:t>
            </w:r>
            <w:r>
              <w:rPr>
                <w:rFonts w:hint="eastAsia" w:hAnsi="宋体"/>
                <w:bCs/>
                <w:color w:val="000000" w:themeColor="text1"/>
                <w:szCs w:val="21"/>
                <w:highlight w:val="none"/>
                <w14:textFill>
                  <w14:solidFill>
                    <w14:schemeClr w14:val="tx1"/>
                  </w14:solidFill>
                </w14:textFill>
              </w:rPr>
              <w:t>-</w:t>
            </w:r>
            <w:r>
              <w:rPr>
                <w:rFonts w:hAnsi="宋体"/>
                <w:bCs/>
                <w:color w:val="000000" w:themeColor="text1"/>
                <w:szCs w:val="21"/>
                <w:highlight w:val="none"/>
                <w14:textFill>
                  <w14:solidFill>
                    <w14:schemeClr w14:val="tx1"/>
                  </w14:solidFill>
                </w14:textFill>
              </w:rPr>
              <w:t>9</w:t>
            </w:r>
            <w:r>
              <w:rPr>
                <w:rFonts w:hint="eastAsia" w:hAnsi="宋体"/>
                <w:bCs/>
                <w:color w:val="000000" w:themeColor="text1"/>
                <w:szCs w:val="21"/>
                <w:highlight w:val="none"/>
                <w14:textFill>
                  <w14:solidFill>
                    <w14:schemeClr w14:val="tx1"/>
                  </w14:solidFill>
                </w14:textFill>
              </w:rPr>
              <w:t>项优于采购文件要求且不带“★”号的非实质性参数有</w:t>
            </w:r>
            <w:r>
              <w:rPr>
                <w:rFonts w:hAnsi="宋体"/>
                <w:bCs/>
                <w:color w:val="000000" w:themeColor="text1"/>
                <w:szCs w:val="21"/>
                <w:highlight w:val="none"/>
                <w14:textFill>
                  <w14:solidFill>
                    <w14:schemeClr w14:val="tx1"/>
                  </w14:solidFill>
                </w14:textFill>
              </w:rPr>
              <w:t>5</w:t>
            </w:r>
            <w:r>
              <w:rPr>
                <w:rFonts w:hint="eastAsia" w:hAnsi="宋体"/>
                <w:bCs/>
                <w:color w:val="000000" w:themeColor="text1"/>
                <w:szCs w:val="21"/>
                <w:highlight w:val="none"/>
                <w14:textFill>
                  <w14:solidFill>
                    <w14:schemeClr w14:val="tx1"/>
                  </w14:solidFill>
                </w14:textFill>
              </w:rPr>
              <w:t>项（含</w:t>
            </w:r>
            <w:r>
              <w:rPr>
                <w:rFonts w:hAnsi="宋体"/>
                <w:bCs/>
                <w:color w:val="000000" w:themeColor="text1"/>
                <w:szCs w:val="21"/>
                <w:highlight w:val="none"/>
                <w14:textFill>
                  <w14:solidFill>
                    <w14:schemeClr w14:val="tx1"/>
                  </w14:solidFill>
                </w14:textFill>
              </w:rPr>
              <w:t>5</w:t>
            </w:r>
            <w:r>
              <w:rPr>
                <w:rFonts w:hint="eastAsia" w:hAnsi="宋体"/>
                <w:bCs/>
                <w:color w:val="000000" w:themeColor="text1"/>
                <w:szCs w:val="21"/>
                <w:highlight w:val="none"/>
                <w14:textFill>
                  <w14:solidFill>
                    <w14:schemeClr w14:val="tx1"/>
                  </w14:solidFill>
                </w14:textFill>
              </w:rPr>
              <w:t>项）以上优于采购文件要求；</w:t>
            </w:r>
          </w:p>
          <w:p>
            <w:pPr>
              <w:pStyle w:val="20"/>
              <w:spacing w:line="380" w:lineRule="exact"/>
              <w:rPr>
                <w:rFonts w:hAnsi="宋体"/>
                <w:bCs/>
                <w:color w:val="000000" w:themeColor="text1"/>
                <w:szCs w:val="21"/>
                <w:highlight w:val="none"/>
                <w14:textFill>
                  <w14:solidFill>
                    <w14:schemeClr w14:val="tx1"/>
                  </w14:solidFill>
                </w14:textFill>
              </w:rPr>
            </w:pPr>
            <w:r>
              <w:rPr>
                <w:rFonts w:hint="eastAsia" w:hAnsi="宋体"/>
                <w:bCs/>
                <w:color w:val="000000" w:themeColor="text1"/>
                <w:szCs w:val="21"/>
                <w:highlight w:val="none"/>
                <w14:textFill>
                  <w14:solidFill>
                    <w14:schemeClr w14:val="tx1"/>
                  </w14:solidFill>
                </w14:textFill>
              </w:rPr>
              <w:t>三档（2</w:t>
            </w:r>
            <w:r>
              <w:rPr>
                <w:rFonts w:hAnsi="宋体"/>
                <w:bCs/>
                <w:color w:val="000000" w:themeColor="text1"/>
                <w:szCs w:val="21"/>
                <w:highlight w:val="none"/>
                <w14:textFill>
                  <w14:solidFill>
                    <w14:schemeClr w14:val="tx1"/>
                  </w14:solidFill>
                </w14:textFill>
              </w:rPr>
              <w:t>0</w:t>
            </w:r>
            <w:r>
              <w:rPr>
                <w:rFonts w:hint="eastAsia" w:hAnsi="宋体"/>
                <w:bCs/>
                <w:color w:val="000000" w:themeColor="text1"/>
                <w:szCs w:val="21"/>
                <w:highlight w:val="none"/>
                <w14:textFill>
                  <w14:solidFill>
                    <w14:schemeClr w14:val="tx1"/>
                  </w14:solidFill>
                </w14:textFill>
              </w:rPr>
              <w:t>.1</w:t>
            </w:r>
            <w:r>
              <w:rPr>
                <w:rFonts w:hint="eastAsia" w:hAnsi="宋体"/>
                <w:color w:val="000000" w:themeColor="text1"/>
                <w:highlight w:val="none"/>
                <w14:textFill>
                  <w14:solidFill>
                    <w14:schemeClr w14:val="tx1"/>
                  </w14:solidFill>
                </w14:textFill>
              </w:rPr>
              <w:t>～</w:t>
            </w:r>
            <w:r>
              <w:rPr>
                <w:rFonts w:hint="eastAsia" w:hAnsi="宋体"/>
                <w:bCs/>
                <w:color w:val="000000" w:themeColor="text1"/>
                <w:szCs w:val="21"/>
                <w:highlight w:val="none"/>
                <w14:textFill>
                  <w14:solidFill>
                    <w14:schemeClr w14:val="tx1"/>
                  </w14:solidFill>
                </w14:textFill>
              </w:rPr>
              <w:t>3</w:t>
            </w:r>
            <w:r>
              <w:rPr>
                <w:rFonts w:hAnsi="宋体"/>
                <w:bCs/>
                <w:color w:val="000000" w:themeColor="text1"/>
                <w:szCs w:val="21"/>
                <w:highlight w:val="none"/>
                <w14:textFill>
                  <w14:solidFill>
                    <w14:schemeClr w14:val="tx1"/>
                  </w14:solidFill>
                </w14:textFill>
              </w:rPr>
              <w:t>0</w:t>
            </w:r>
            <w:r>
              <w:rPr>
                <w:rFonts w:hint="eastAsia" w:hAnsi="宋体"/>
                <w:bCs/>
                <w:color w:val="000000" w:themeColor="text1"/>
                <w:szCs w:val="21"/>
                <w:highlight w:val="none"/>
                <w14:textFill>
                  <w14:solidFill>
                    <w14:schemeClr w14:val="tx1"/>
                  </w14:solidFill>
                </w14:textFill>
              </w:rPr>
              <w:t>分）：经评标委员会认可的带“★”号的实质性参数有10项或以上优于采购文件要求，且不带“★”号的非实质性参数有</w:t>
            </w:r>
            <w:r>
              <w:rPr>
                <w:rFonts w:hAnsi="宋体"/>
                <w:bCs/>
                <w:color w:val="000000" w:themeColor="text1"/>
                <w:szCs w:val="21"/>
                <w:highlight w:val="none"/>
                <w14:textFill>
                  <w14:solidFill>
                    <w14:schemeClr w14:val="tx1"/>
                  </w14:solidFill>
                </w14:textFill>
              </w:rPr>
              <w:t>7</w:t>
            </w:r>
            <w:r>
              <w:rPr>
                <w:rFonts w:hint="eastAsia" w:hAnsi="宋体"/>
                <w:bCs/>
                <w:color w:val="000000" w:themeColor="text1"/>
                <w:szCs w:val="21"/>
                <w:highlight w:val="none"/>
                <w14:textFill>
                  <w14:solidFill>
                    <w14:schemeClr w14:val="tx1"/>
                  </w14:solidFill>
                </w14:textFill>
              </w:rPr>
              <w:t>项（含</w:t>
            </w:r>
            <w:r>
              <w:rPr>
                <w:rFonts w:hAnsi="宋体"/>
                <w:bCs/>
                <w:color w:val="000000" w:themeColor="text1"/>
                <w:szCs w:val="21"/>
                <w:highlight w:val="none"/>
                <w14:textFill>
                  <w14:solidFill>
                    <w14:schemeClr w14:val="tx1"/>
                  </w14:solidFill>
                </w14:textFill>
              </w:rPr>
              <w:t>7</w:t>
            </w:r>
            <w:r>
              <w:rPr>
                <w:rFonts w:hint="eastAsia" w:hAnsi="宋体"/>
                <w:bCs/>
                <w:color w:val="000000" w:themeColor="text1"/>
                <w:szCs w:val="21"/>
                <w:highlight w:val="none"/>
                <w14:textFill>
                  <w14:solidFill>
                    <w14:schemeClr w14:val="tx1"/>
                  </w14:solidFill>
                </w14:textFill>
              </w:rPr>
              <w:t>项）以上优于采购文件要求；</w:t>
            </w:r>
          </w:p>
          <w:p>
            <w:pPr>
              <w:pStyle w:val="20"/>
              <w:spacing w:line="380" w:lineRule="exact"/>
              <w:rPr>
                <w:rFonts w:hAnsi="宋体"/>
                <w:bCs/>
                <w:color w:val="000000" w:themeColor="text1"/>
                <w:szCs w:val="21"/>
                <w:highlight w:val="none"/>
                <w14:textFill>
                  <w14:solidFill>
                    <w14:schemeClr w14:val="tx1"/>
                  </w14:solidFill>
                </w14:textFill>
              </w:rPr>
            </w:pPr>
            <w:r>
              <w:rPr>
                <w:rFonts w:hint="eastAsia" w:hAnsi="宋体"/>
                <w:bCs/>
                <w:color w:val="000000" w:themeColor="text1"/>
                <w:szCs w:val="21"/>
                <w:highlight w:val="none"/>
                <w14:textFill>
                  <w14:solidFill>
                    <w14:schemeClr w14:val="tx1"/>
                  </w14:solidFill>
                </w14:textFill>
              </w:rPr>
              <w:t>注：带“★”号的实质性参数优于采购文件要求的，投标人需在投标文件中提供对应的证明材料（如产品检测报告、功能截图等）予以佐证，否则不予认可。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1323" w:type="dxa"/>
            <w:vMerge w:val="continue"/>
            <w:vAlign w:val="center"/>
          </w:tcPr>
          <w:p>
            <w:pPr>
              <w:spacing w:line="440" w:lineRule="exact"/>
              <w:rPr>
                <w:rFonts w:hAnsi="宋体"/>
                <w:bCs/>
                <w:color w:val="000000" w:themeColor="text1"/>
                <w:szCs w:val="21"/>
                <w:highlight w:val="none"/>
                <w14:textFill>
                  <w14:solidFill>
                    <w14:schemeClr w14:val="tx1"/>
                  </w14:solidFill>
                </w14:textFill>
              </w:rPr>
            </w:pPr>
          </w:p>
        </w:tc>
        <w:tc>
          <w:tcPr>
            <w:tcW w:w="1306" w:type="dxa"/>
            <w:vAlign w:val="center"/>
          </w:tcPr>
          <w:p>
            <w:pPr>
              <w:spacing w:line="380" w:lineRule="exact"/>
              <w:jc w:val="center"/>
              <w:rPr>
                <w:rFonts w:hAnsi="宋体"/>
                <w:color w:val="000000" w:themeColor="text1"/>
                <w:szCs w:val="21"/>
                <w:highlight w:val="none"/>
                <w14:textFill>
                  <w14:solidFill>
                    <w14:schemeClr w14:val="tx1"/>
                  </w14:solidFill>
                </w14:textFill>
              </w:rPr>
            </w:pPr>
            <w:r>
              <w:rPr>
                <w:rFonts w:hint="eastAsia" w:hAnsi="宋体"/>
                <w:bCs/>
                <w:color w:val="000000" w:themeColor="text1"/>
                <w:szCs w:val="21"/>
                <w:highlight w:val="none"/>
                <w14:textFill>
                  <w14:solidFill>
                    <w14:schemeClr w14:val="tx1"/>
                  </w14:solidFill>
                </w14:textFill>
              </w:rPr>
              <w:t>售后服务分</w:t>
            </w:r>
            <w:r>
              <w:rPr>
                <w:rFonts w:hint="eastAsia" w:hAnsi="宋体"/>
                <w:color w:val="000000" w:themeColor="text1"/>
                <w:szCs w:val="21"/>
                <w:highlight w:val="none"/>
                <w14:textFill>
                  <w14:solidFill>
                    <w14:schemeClr w14:val="tx1"/>
                  </w14:solidFill>
                </w14:textFill>
              </w:rPr>
              <w:t>（</w:t>
            </w:r>
            <w:r>
              <w:rPr>
                <w:rFonts w:hAnsi="宋体"/>
                <w:color w:val="000000" w:themeColor="text1"/>
                <w:szCs w:val="21"/>
                <w:highlight w:val="none"/>
                <w14:textFill>
                  <w14:solidFill>
                    <w14:schemeClr w14:val="tx1"/>
                  </w14:solidFill>
                </w14:textFill>
              </w:rPr>
              <w:t>8</w:t>
            </w:r>
            <w:r>
              <w:rPr>
                <w:rFonts w:hint="eastAsia" w:hAnsi="宋体"/>
                <w:color w:val="000000" w:themeColor="text1"/>
                <w:szCs w:val="21"/>
                <w:highlight w:val="none"/>
                <w14:textFill>
                  <w14:solidFill>
                    <w14:schemeClr w14:val="tx1"/>
                  </w14:solidFill>
                </w14:textFill>
              </w:rPr>
              <w:t>分）</w:t>
            </w:r>
          </w:p>
        </w:tc>
        <w:tc>
          <w:tcPr>
            <w:tcW w:w="6835" w:type="dxa"/>
            <w:vAlign w:val="center"/>
          </w:tcPr>
          <w:p>
            <w:pPr>
              <w:pStyle w:val="164"/>
              <w:spacing w:line="380" w:lineRule="exact"/>
              <w:ind w:firstLine="365" w:firstLineChars="174"/>
              <w:jc w:val="left"/>
              <w:rPr>
                <w:color w:val="000000" w:themeColor="text1"/>
                <w:szCs w:val="20"/>
                <w:highlight w:val="none"/>
                <w14:textFill>
                  <w14:solidFill>
                    <w14:schemeClr w14:val="tx1"/>
                  </w14:solidFill>
                </w14:textFill>
              </w:rPr>
            </w:pPr>
            <w:r>
              <w:rPr>
                <w:rFonts w:hint="eastAsia"/>
                <w:color w:val="000000" w:themeColor="text1"/>
                <w:szCs w:val="20"/>
                <w:highlight w:val="none"/>
                <w14:textFill>
                  <w14:solidFill>
                    <w14:schemeClr w14:val="tx1"/>
                  </w14:solidFill>
                </w14:textFill>
              </w:rPr>
              <w:t>由评标委员会在打分前根据投标人提供的以下材料内容描述的完整性、合理性、真实可行性，并能结合现场实际情况及采购人需求等，在相应的分值区间内独立打分。</w:t>
            </w:r>
          </w:p>
          <w:p>
            <w:pPr>
              <w:pStyle w:val="164"/>
              <w:spacing w:line="380" w:lineRule="exact"/>
              <w:jc w:val="left"/>
              <w:rPr>
                <w:color w:val="000000" w:themeColor="text1"/>
                <w:szCs w:val="20"/>
                <w:highlight w:val="none"/>
                <w14:textFill>
                  <w14:solidFill>
                    <w14:schemeClr w14:val="tx1"/>
                  </w14:solidFill>
                </w14:textFill>
              </w:rPr>
            </w:pPr>
            <w:r>
              <w:rPr>
                <w:rFonts w:hint="eastAsia"/>
                <w:color w:val="000000" w:themeColor="text1"/>
                <w:szCs w:val="20"/>
                <w:highlight w:val="none"/>
                <w14:textFill>
                  <w14:solidFill>
                    <w14:schemeClr w14:val="tx1"/>
                  </w14:solidFill>
                </w14:textFill>
              </w:rPr>
              <w:t>（1）投标文件中售后服务承诺书内容的完整性、可行性0.1</w:t>
            </w:r>
            <w:r>
              <w:rPr>
                <w:rFonts w:hint="eastAsia"/>
                <w:color w:val="000000" w:themeColor="text1"/>
                <w:highlight w:val="none"/>
                <w14:textFill>
                  <w14:solidFill>
                    <w14:schemeClr w14:val="tx1"/>
                  </w14:solidFill>
                </w14:textFill>
              </w:rPr>
              <w:t>～</w:t>
            </w:r>
            <w:r>
              <w:rPr>
                <w:rFonts w:hint="eastAsia"/>
                <w:color w:val="000000" w:themeColor="text1"/>
                <w:szCs w:val="20"/>
                <w:highlight w:val="none"/>
                <w14:textFill>
                  <w14:solidFill>
                    <w14:schemeClr w14:val="tx1"/>
                  </w14:solidFill>
                </w14:textFill>
              </w:rPr>
              <w:t>1.0分；</w:t>
            </w:r>
          </w:p>
          <w:p>
            <w:pPr>
              <w:pStyle w:val="164"/>
              <w:spacing w:line="380" w:lineRule="exact"/>
              <w:jc w:val="left"/>
              <w:rPr>
                <w:color w:val="000000" w:themeColor="text1"/>
                <w:szCs w:val="20"/>
                <w:highlight w:val="none"/>
                <w14:textFill>
                  <w14:solidFill>
                    <w14:schemeClr w14:val="tx1"/>
                  </w14:solidFill>
                </w14:textFill>
              </w:rPr>
            </w:pPr>
            <w:r>
              <w:rPr>
                <w:rFonts w:hint="eastAsia"/>
                <w:color w:val="000000" w:themeColor="text1"/>
                <w:szCs w:val="20"/>
                <w:highlight w:val="none"/>
                <w14:textFill>
                  <w14:solidFill>
                    <w14:schemeClr w14:val="tx1"/>
                  </w14:solidFill>
                </w14:textFill>
              </w:rPr>
              <w:t>（2）横向对比故障发生到达现场时间、故障出现解决方案0.1</w:t>
            </w:r>
            <w:r>
              <w:rPr>
                <w:rFonts w:hint="eastAsia"/>
                <w:color w:val="000000" w:themeColor="text1"/>
                <w:highlight w:val="none"/>
                <w14:textFill>
                  <w14:solidFill>
                    <w14:schemeClr w14:val="tx1"/>
                  </w14:solidFill>
                </w14:textFill>
              </w:rPr>
              <w:t>～</w:t>
            </w:r>
            <w:r>
              <w:rPr>
                <w:rFonts w:hint="eastAsia"/>
                <w:color w:val="000000" w:themeColor="text1"/>
                <w:szCs w:val="20"/>
                <w:highlight w:val="none"/>
                <w14:textFill>
                  <w14:solidFill>
                    <w14:schemeClr w14:val="tx1"/>
                  </w14:solidFill>
                </w14:textFill>
              </w:rPr>
              <w:t>1.0分；</w:t>
            </w:r>
          </w:p>
          <w:p>
            <w:pPr>
              <w:pStyle w:val="164"/>
              <w:spacing w:line="380" w:lineRule="exact"/>
              <w:jc w:val="left"/>
              <w:rPr>
                <w:color w:val="000000" w:themeColor="text1"/>
                <w:szCs w:val="20"/>
                <w:highlight w:val="none"/>
                <w14:textFill>
                  <w14:solidFill>
                    <w14:schemeClr w14:val="tx1"/>
                  </w14:solidFill>
                </w14:textFill>
              </w:rPr>
            </w:pPr>
            <w:r>
              <w:rPr>
                <w:rFonts w:hint="eastAsia"/>
                <w:color w:val="000000" w:themeColor="text1"/>
                <w:szCs w:val="20"/>
                <w:highlight w:val="none"/>
                <w14:textFill>
                  <w14:solidFill>
                    <w14:schemeClr w14:val="tx1"/>
                  </w14:solidFill>
                </w14:textFill>
              </w:rPr>
              <w:t>（3）横向对比各投标人的定期维护（注明时间）、定期回访、免费技术培训方案0.1</w:t>
            </w:r>
            <w:r>
              <w:rPr>
                <w:rFonts w:hint="eastAsia"/>
                <w:color w:val="000000" w:themeColor="text1"/>
                <w:highlight w:val="none"/>
                <w14:textFill>
                  <w14:solidFill>
                    <w14:schemeClr w14:val="tx1"/>
                  </w14:solidFill>
                </w14:textFill>
              </w:rPr>
              <w:t>～</w:t>
            </w:r>
            <w:r>
              <w:rPr>
                <w:rFonts w:hint="eastAsia"/>
                <w:color w:val="000000" w:themeColor="text1"/>
                <w:szCs w:val="20"/>
                <w:highlight w:val="none"/>
                <w14:textFill>
                  <w14:solidFill>
                    <w14:schemeClr w14:val="tx1"/>
                  </w14:solidFill>
                </w14:textFill>
              </w:rPr>
              <w:t>2.0分；</w:t>
            </w:r>
          </w:p>
          <w:p>
            <w:pPr>
              <w:pStyle w:val="164"/>
              <w:spacing w:line="380" w:lineRule="exact"/>
              <w:jc w:val="left"/>
              <w:rPr>
                <w:color w:val="000000" w:themeColor="text1"/>
                <w:szCs w:val="20"/>
                <w:highlight w:val="none"/>
                <w14:textFill>
                  <w14:solidFill>
                    <w14:schemeClr w14:val="tx1"/>
                  </w14:solidFill>
                </w14:textFill>
              </w:rPr>
            </w:pPr>
            <w:r>
              <w:rPr>
                <w:rFonts w:hint="eastAsia"/>
                <w:color w:val="000000" w:themeColor="text1"/>
                <w:szCs w:val="20"/>
                <w:highlight w:val="none"/>
                <w14:textFill>
                  <w14:solidFill>
                    <w14:schemeClr w14:val="tx1"/>
                  </w14:solidFill>
                </w14:textFill>
              </w:rPr>
              <w:t>（4）保修期外维修方案0.1</w:t>
            </w:r>
            <w:r>
              <w:rPr>
                <w:rFonts w:hint="eastAsia"/>
                <w:color w:val="000000" w:themeColor="text1"/>
                <w:highlight w:val="none"/>
                <w14:textFill>
                  <w14:solidFill>
                    <w14:schemeClr w14:val="tx1"/>
                  </w14:solidFill>
                </w14:textFill>
              </w:rPr>
              <w:t>～</w:t>
            </w:r>
            <w:r>
              <w:rPr>
                <w:rFonts w:hint="eastAsia"/>
                <w:color w:val="000000" w:themeColor="text1"/>
                <w:szCs w:val="20"/>
                <w:highlight w:val="none"/>
                <w14:textFill>
                  <w14:solidFill>
                    <w14:schemeClr w14:val="tx1"/>
                  </w14:solidFill>
                </w14:textFill>
              </w:rPr>
              <w:t>2.0分；</w:t>
            </w:r>
          </w:p>
          <w:p>
            <w:pPr>
              <w:pStyle w:val="20"/>
              <w:spacing w:line="380" w:lineRule="exact"/>
              <w:rPr>
                <w:rFonts w:hAnsi="宋体" w:cs="宋体"/>
                <w:color w:val="000000" w:themeColor="text1"/>
                <w:kern w:val="0"/>
                <w:highlight w:val="none"/>
                <w14:textFill>
                  <w14:solidFill>
                    <w14:schemeClr w14:val="tx1"/>
                  </w14:solidFill>
                </w14:textFill>
              </w:rPr>
            </w:pPr>
            <w:r>
              <w:rPr>
                <w:rFonts w:hint="eastAsia"/>
                <w:color w:val="000000" w:themeColor="text1"/>
                <w:highlight w:val="none"/>
                <w14:textFill>
                  <w14:solidFill>
                    <w14:schemeClr w14:val="tx1"/>
                  </w14:solidFill>
                </w14:textFill>
              </w:rPr>
              <w:t>（5）其他优惠措施、投标核心产品厂家在项目所在地（梧州市）有厂家授权售后服务网点，提供厂家授权售后服务网点营业执照复印件、厂家授权售后服务网点的厂家授权证明及厂家授权售后服务网点在生产厂家官网的截图（需与营业执照公司名、地址一致）作为证明材料，且售后网点可进行实地核查的0.1</w:t>
            </w:r>
            <w:r>
              <w:rPr>
                <w:rFonts w:hint="eastAsia" w:hAnsi="宋体"/>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1323" w:type="dxa"/>
            <w:vMerge w:val="continue"/>
            <w:vAlign w:val="center"/>
          </w:tcPr>
          <w:p>
            <w:pPr>
              <w:spacing w:line="440" w:lineRule="exact"/>
              <w:rPr>
                <w:rFonts w:hAnsi="宋体"/>
                <w:bCs/>
                <w:color w:val="000000" w:themeColor="text1"/>
                <w:szCs w:val="21"/>
                <w:highlight w:val="none"/>
                <w14:textFill>
                  <w14:solidFill>
                    <w14:schemeClr w14:val="tx1"/>
                  </w14:solidFill>
                </w14:textFill>
              </w:rPr>
            </w:pPr>
          </w:p>
        </w:tc>
        <w:tc>
          <w:tcPr>
            <w:tcW w:w="1306" w:type="dxa"/>
            <w:vAlign w:val="center"/>
          </w:tcPr>
          <w:p>
            <w:pPr>
              <w:spacing w:line="380" w:lineRule="exact"/>
              <w:jc w:val="center"/>
              <w:rPr>
                <w:rFonts w:hAnsi="宋体"/>
                <w:bCs/>
                <w:color w:val="000000" w:themeColor="text1"/>
                <w:szCs w:val="21"/>
                <w:highlight w:val="none"/>
                <w14:textFill>
                  <w14:solidFill>
                    <w14:schemeClr w14:val="tx1"/>
                  </w14:solidFill>
                </w14:textFill>
              </w:rPr>
            </w:pPr>
            <w:r>
              <w:rPr>
                <w:rFonts w:hint="eastAsia" w:hAnsi="宋体"/>
                <w:bCs/>
                <w:color w:val="000000" w:themeColor="text1"/>
                <w:szCs w:val="21"/>
                <w:highlight w:val="none"/>
                <w14:textFill>
                  <w14:solidFill>
                    <w14:schemeClr w14:val="tx1"/>
                  </w14:solidFill>
                </w14:textFill>
              </w:rPr>
              <w:t>项目实施方案分（</w:t>
            </w:r>
            <w:r>
              <w:rPr>
                <w:rFonts w:hAnsi="宋体"/>
                <w:bCs/>
                <w:color w:val="000000" w:themeColor="text1"/>
                <w:szCs w:val="21"/>
                <w:highlight w:val="none"/>
                <w14:textFill>
                  <w14:solidFill>
                    <w14:schemeClr w14:val="tx1"/>
                  </w14:solidFill>
                </w14:textFill>
              </w:rPr>
              <w:t>15</w:t>
            </w:r>
            <w:r>
              <w:rPr>
                <w:rFonts w:hint="eastAsia" w:hAnsi="宋体"/>
                <w:bCs/>
                <w:color w:val="000000" w:themeColor="text1"/>
                <w:szCs w:val="21"/>
                <w:highlight w:val="none"/>
                <w14:textFill>
                  <w14:solidFill>
                    <w14:schemeClr w14:val="tx1"/>
                  </w14:solidFill>
                </w14:textFill>
              </w:rPr>
              <w:t>分）</w:t>
            </w:r>
          </w:p>
        </w:tc>
        <w:tc>
          <w:tcPr>
            <w:tcW w:w="6835" w:type="dxa"/>
            <w:vAlign w:val="center"/>
          </w:tcPr>
          <w:p>
            <w:pPr>
              <w:pStyle w:val="20"/>
              <w:spacing w:line="380" w:lineRule="exact"/>
              <w:ind w:firstLine="420" w:firstLineChars="2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由评标委员会横向比较投标人编制的项目实施方案内容，集体讨论确定其所属档次后各在相应档次内评分，某投标人该评审项得分为各为评标委员会给分之和的算术平均值。</w:t>
            </w:r>
          </w:p>
          <w:p>
            <w:pPr>
              <w:pStyle w:val="20"/>
              <w:spacing w:line="380" w:lineRule="exact"/>
              <w:ind w:firstLine="420" w:firstLineChars="2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一档（0.1～</w:t>
            </w:r>
            <w:r>
              <w:rPr>
                <w:rFonts w:hAnsi="宋体"/>
                <w:color w:val="000000" w:themeColor="text1"/>
                <w:highlight w:val="none"/>
                <w14:textFill>
                  <w14:solidFill>
                    <w14:schemeClr w14:val="tx1"/>
                  </w14:solidFill>
                </w14:textFill>
              </w:rPr>
              <w:t>5</w:t>
            </w:r>
            <w:r>
              <w:rPr>
                <w:rFonts w:hint="eastAsia" w:hAnsi="宋体"/>
                <w:color w:val="000000" w:themeColor="text1"/>
                <w:highlight w:val="none"/>
                <w14:textFill>
                  <w14:solidFill>
                    <w14:schemeClr w14:val="tx1"/>
                  </w14:solidFill>
                </w14:textFill>
              </w:rPr>
              <w:t>分）：投标人的项目实施方案进度安排、相关保障措施能力、对各项关键工作安排、对本项目的风险预见、风险应对措施、项目管理方案、组织机构安排及分工与职责安排等描述单一，各投标人横向比对无优势。</w:t>
            </w:r>
          </w:p>
          <w:p>
            <w:pPr>
              <w:pStyle w:val="20"/>
              <w:spacing w:line="380" w:lineRule="exact"/>
              <w:ind w:firstLine="420" w:firstLineChars="2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二档（</w:t>
            </w:r>
            <w:r>
              <w:rPr>
                <w:rFonts w:hAnsi="宋体"/>
                <w:color w:val="000000" w:themeColor="text1"/>
                <w:highlight w:val="none"/>
                <w14:textFill>
                  <w14:solidFill>
                    <w14:schemeClr w14:val="tx1"/>
                  </w14:solidFill>
                </w14:textFill>
              </w:rPr>
              <w:t>5</w:t>
            </w:r>
            <w:r>
              <w:rPr>
                <w:rFonts w:hint="eastAsia" w:hAnsi="宋体"/>
                <w:color w:val="000000" w:themeColor="text1"/>
                <w:highlight w:val="none"/>
                <w14:textFill>
                  <w14:solidFill>
                    <w14:schemeClr w14:val="tx1"/>
                  </w14:solidFill>
                </w14:textFill>
              </w:rPr>
              <w:t>.</w:t>
            </w:r>
            <w:r>
              <w:rPr>
                <w:rFonts w:hAnsi="宋体"/>
                <w:color w:val="000000" w:themeColor="text1"/>
                <w:highlight w:val="none"/>
                <w14:textFill>
                  <w14:solidFill>
                    <w14:schemeClr w14:val="tx1"/>
                  </w14:solidFill>
                </w14:textFill>
              </w:rPr>
              <w:t>1</w:t>
            </w:r>
            <w:r>
              <w:rPr>
                <w:rFonts w:hint="eastAsia" w:hAnsi="宋体"/>
                <w:color w:val="000000" w:themeColor="text1"/>
                <w:highlight w:val="none"/>
                <w14:textFill>
                  <w14:solidFill>
                    <w14:schemeClr w14:val="tx1"/>
                  </w14:solidFill>
                </w14:textFill>
              </w:rPr>
              <w:t>～</w:t>
            </w:r>
            <w:r>
              <w:rPr>
                <w:rFonts w:hAnsi="宋体"/>
                <w:color w:val="000000" w:themeColor="text1"/>
                <w:highlight w:val="none"/>
                <w14:textFill>
                  <w14:solidFill>
                    <w14:schemeClr w14:val="tx1"/>
                  </w14:solidFill>
                </w14:textFill>
              </w:rPr>
              <w:t>10</w:t>
            </w:r>
            <w:r>
              <w:rPr>
                <w:rFonts w:hint="eastAsia" w:hAnsi="宋体"/>
                <w:color w:val="000000" w:themeColor="text1"/>
                <w:highlight w:val="none"/>
                <w14:textFill>
                  <w14:solidFill>
                    <w14:schemeClr w14:val="tx1"/>
                  </w14:solidFill>
                </w14:textFill>
              </w:rPr>
              <w:t>分）：投标人的项目实施方案进度安排合理较好，且有相关保障措施；对各项关键工作安排较合理；对本项目的风险预见、风险应对措施较好；项目管理方案比较完整,组织机构比较合理，人员有保障，分工与职责比较明确。在与其他投标人的横向比对中较为优秀。</w:t>
            </w:r>
          </w:p>
          <w:p>
            <w:pPr>
              <w:pStyle w:val="20"/>
              <w:spacing w:line="380" w:lineRule="exact"/>
              <w:ind w:firstLine="420" w:firstLineChars="200"/>
              <w:jc w:val="left"/>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 xml:space="preserve">    三档（</w:t>
            </w:r>
            <w:r>
              <w:rPr>
                <w:rFonts w:hAnsi="宋体"/>
                <w:color w:val="000000" w:themeColor="text1"/>
                <w:highlight w:val="none"/>
                <w14:textFill>
                  <w14:solidFill>
                    <w14:schemeClr w14:val="tx1"/>
                  </w14:solidFill>
                </w14:textFill>
              </w:rPr>
              <w:t>10</w:t>
            </w:r>
            <w:r>
              <w:rPr>
                <w:rFonts w:hint="eastAsia" w:hAnsi="宋体"/>
                <w:color w:val="000000" w:themeColor="text1"/>
                <w:highlight w:val="none"/>
                <w14:textFill>
                  <w14:solidFill>
                    <w14:schemeClr w14:val="tx1"/>
                  </w14:solidFill>
                </w14:textFill>
              </w:rPr>
              <w:t>.1～1</w:t>
            </w:r>
            <w:r>
              <w:rPr>
                <w:rFonts w:hAnsi="宋体"/>
                <w:color w:val="000000" w:themeColor="text1"/>
                <w:highlight w:val="none"/>
                <w14:textFill>
                  <w14:solidFill>
                    <w14:schemeClr w14:val="tx1"/>
                  </w14:solidFill>
                </w14:textFill>
              </w:rPr>
              <w:t>5</w:t>
            </w:r>
            <w:r>
              <w:rPr>
                <w:rFonts w:hint="eastAsia" w:hAnsi="宋体"/>
                <w:color w:val="000000" w:themeColor="text1"/>
                <w:highlight w:val="none"/>
                <w14:textFill>
                  <w14:solidFill>
                    <w14:schemeClr w14:val="tx1"/>
                  </w14:solidFill>
                </w14:textFill>
              </w:rPr>
              <w:t>分）：投标人的项目实施方案进度安排合理，且相关保障措施到位；对各项关键工作安排合理；对本项目的风险预见、风险应对措施完备，有完善的项目于解决方案；项目管理方案完整,组织机构合理，人员有保障，分工与职责明确；提出具有建设性的方案优化建议，项目方案贴近本项目实际执行内容与要求，横向比对中最为详细、贴切且完整。</w:t>
            </w:r>
          </w:p>
        </w:tc>
      </w:tr>
    </w:tbl>
    <w:p>
      <w:pPr>
        <w:pStyle w:val="20"/>
        <w:spacing w:before="66" w:beforeLines="20" w:line="0" w:lineRule="atLeast"/>
        <w:rPr>
          <w:rFonts w:hAnsi="宋体" w:cs="宋体"/>
          <w:b/>
          <w:bCs/>
          <w:color w:val="000000" w:themeColor="text1"/>
          <w:sz w:val="28"/>
          <w:szCs w:val="28"/>
          <w:highlight w:val="none"/>
          <w14:textFill>
            <w14:solidFill>
              <w14:schemeClr w14:val="tx1"/>
            </w14:solidFill>
          </w14:textFill>
        </w:rPr>
      </w:pPr>
      <w:r>
        <w:rPr>
          <w:rFonts w:hint="eastAsia" w:hAnsi="宋体" w:cs="宋体"/>
          <w:b/>
          <w:bCs/>
          <w:color w:val="000000" w:themeColor="text1"/>
          <w:sz w:val="28"/>
          <w:szCs w:val="28"/>
          <w:highlight w:val="none"/>
          <w14:textFill>
            <w14:solidFill>
              <w14:schemeClr w14:val="tx1"/>
            </w14:solidFill>
          </w14:textFill>
        </w:rPr>
        <w:t>三、中标标准及中标候选人推荐原则：</w:t>
      </w:r>
    </w:p>
    <w:p>
      <w:pPr>
        <w:spacing w:before="33" w:beforeLines="10" w:line="0" w:lineRule="atLeast"/>
        <w:ind w:left="1050" w:leftChars="200" w:hanging="630" w:hangingChars="300"/>
        <w:rPr>
          <w:rFonts w:ascii="宋体" w:hAnsi="宋体" w:cs="宋体"/>
          <w:b/>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（一）评标委员会根据评审结果按评审后得分由高到低顺序排列推荐3名中标候选人。得分相同的，按投标报价由低到高顺序排列；得分且投标报价相同的</w:t>
      </w:r>
      <w:r>
        <w:rPr>
          <w:rFonts w:hint="eastAsia" w:ascii="宋体" w:hAnsi="宋体" w:cs="宋体"/>
          <w:color w:val="000000" w:themeColor="text1"/>
          <w:highlight w:val="none"/>
          <w14:textFill>
            <w14:solidFill>
              <w14:schemeClr w14:val="tx1"/>
            </w14:solidFill>
          </w14:textFill>
        </w:rPr>
        <w:t>按技术分高、商务高分顺序排列。投标文件满足招标文件全部实质性要求，且按照评审因素的量化指标评审得分最高的投标人为排名第一的中标候选人。</w:t>
      </w:r>
      <w:r>
        <w:rPr>
          <w:rFonts w:hint="eastAsia" w:ascii="宋体" w:hAnsi="宋体" w:cs="宋体"/>
          <w:color w:val="000000" w:themeColor="text1"/>
          <w:szCs w:val="21"/>
          <w:highlight w:val="none"/>
          <w14:textFill>
            <w14:solidFill>
              <w14:schemeClr w14:val="tx1"/>
            </w14:solidFill>
          </w14:textFill>
        </w:rPr>
        <w:t>中标候选人并列的，由采购人采取随机抽取的方式确定中标人。</w:t>
      </w:r>
    </w:p>
    <w:p>
      <w:pPr>
        <w:spacing w:before="33" w:beforeLines="10" w:line="0" w:lineRule="atLeast"/>
        <w:ind w:left="1050" w:leftChars="200" w:hanging="630" w:hangingChars="3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二）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的方式确定，其他同品牌投标人不作为中标候选人。多家投标人提供的核心产品品牌相同的，按以上规定处理。</w:t>
      </w:r>
    </w:p>
    <w:p>
      <w:pPr>
        <w:spacing w:before="33" w:beforeLines="10" w:line="0" w:lineRule="atLeast"/>
        <w:ind w:left="1050" w:leftChars="200" w:hanging="630" w:hangingChars="3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三）采购单位应当确定评标委员会推荐排名第一的中标候选投标人为中标人。排名第一的中标候选投标人放弃中标、因不可抗力提出不能履行合同，或者招标文件规定应当提交履约保证金而在规定的期限内未能提交的，采购单位可以确定排名第二的中标候选投标人为中标人。排名第二的中标候选投标人因前款规定的同样原因不能签订合同的，采购单位可以确定排名第三的中标候选投标人为中标人。</w:t>
      </w:r>
    </w:p>
    <w:p>
      <w:pPr>
        <w:tabs>
          <w:tab w:val="left" w:pos="2512"/>
        </w:tabs>
        <w:spacing w:line="0" w:lineRule="atLeas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br w:type="page"/>
      </w:r>
    </w:p>
    <w:p>
      <w:pPr>
        <w:pStyle w:val="20"/>
        <w:spacing w:line="400" w:lineRule="exact"/>
        <w:ind w:left="6"/>
        <w:rPr>
          <w:rFonts w:hAnsi="宋体" w:cs="宋体"/>
          <w:b/>
          <w:bCs/>
          <w:color w:val="000000" w:themeColor="text1"/>
          <w:highlight w:val="none"/>
          <w14:textFill>
            <w14:solidFill>
              <w14:schemeClr w14:val="tx1"/>
            </w14:solidFill>
          </w14:textFill>
        </w:rPr>
      </w:pPr>
    </w:p>
    <w:p>
      <w:pPr>
        <w:pStyle w:val="20"/>
        <w:spacing w:line="400" w:lineRule="exact"/>
        <w:ind w:left="6"/>
        <w:rPr>
          <w:rFonts w:hAnsi="宋体" w:cs="宋体"/>
          <w:b/>
          <w:bCs/>
          <w:color w:val="000000" w:themeColor="text1"/>
          <w:highlight w:val="none"/>
          <w14:textFill>
            <w14:solidFill>
              <w14:schemeClr w14:val="tx1"/>
            </w14:solidFill>
          </w14:textFill>
        </w:rPr>
      </w:pPr>
    </w:p>
    <w:p>
      <w:pPr>
        <w:pStyle w:val="3"/>
        <w:spacing w:line="560" w:lineRule="exact"/>
        <w:jc w:val="center"/>
        <w:rPr>
          <w:rFonts w:ascii="宋体" w:hAnsi="宋体" w:cs="宋体"/>
          <w:bCs/>
          <w:color w:val="000000" w:themeColor="text1"/>
          <w:sz w:val="44"/>
          <w:highlight w:val="none"/>
          <w14:textFill>
            <w14:solidFill>
              <w14:schemeClr w14:val="tx1"/>
            </w14:solidFill>
          </w14:textFill>
        </w:rPr>
      </w:pPr>
      <w:bookmarkStart w:id="244" w:name="_Toc185703009"/>
      <w:bookmarkStart w:id="245" w:name="_Toc200308967"/>
      <w:bookmarkStart w:id="246" w:name="_Toc199780486"/>
      <w:bookmarkStart w:id="247" w:name="_Toc147248435"/>
      <w:bookmarkStart w:id="248" w:name="_Toc230949374"/>
      <w:bookmarkStart w:id="249" w:name="_Toc185702587"/>
      <w:bookmarkStart w:id="250" w:name="_Toc405943014"/>
      <w:bookmarkStart w:id="251" w:name="_Toc469874204"/>
      <w:bookmarkStart w:id="252" w:name="_Toc230929135"/>
      <w:bookmarkStart w:id="253" w:name="_Toc395066556"/>
      <w:bookmarkStart w:id="254" w:name="_Toc469842112"/>
      <w:bookmarkStart w:id="255" w:name="_Toc156106970"/>
      <w:bookmarkStart w:id="256" w:name="_Toc7607"/>
      <w:bookmarkStart w:id="257" w:name="_Toc200268364"/>
      <w:r>
        <w:rPr>
          <w:rFonts w:hint="eastAsia" w:ascii="宋体" w:hAnsi="宋体" w:cs="宋体"/>
          <w:bCs/>
          <w:color w:val="000000" w:themeColor="text1"/>
          <w:sz w:val="44"/>
          <w:highlight w:val="none"/>
          <w14:textFill>
            <w14:solidFill>
              <w14:schemeClr w14:val="tx1"/>
            </w14:solidFill>
          </w14:textFill>
        </w:rPr>
        <w:t>第五章  政府采购合同（格式）</w:t>
      </w:r>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p>
    <w:p>
      <w:pPr>
        <w:pStyle w:val="20"/>
        <w:spacing w:line="400" w:lineRule="exact"/>
        <w:ind w:firstLine="4" w:firstLineChars="2"/>
        <w:rPr>
          <w:rFonts w:hAnsi="宋体" w:cs="宋体"/>
          <w:b/>
          <w:bCs/>
          <w:color w:val="000000" w:themeColor="text1"/>
          <w:highlight w:val="none"/>
          <w14:textFill>
            <w14:solidFill>
              <w14:schemeClr w14:val="tx1"/>
            </w14:solidFill>
          </w14:textFill>
        </w:rPr>
      </w:pPr>
    </w:p>
    <w:p>
      <w:pPr>
        <w:pStyle w:val="20"/>
        <w:spacing w:line="400" w:lineRule="exact"/>
        <w:ind w:firstLine="4" w:firstLineChars="2"/>
        <w:rPr>
          <w:rFonts w:hAnsi="宋体" w:cs="宋体"/>
          <w:b/>
          <w:bCs/>
          <w:color w:val="000000" w:themeColor="text1"/>
          <w:szCs w:val="21"/>
          <w:highlight w:val="none"/>
          <w14:textFill>
            <w14:solidFill>
              <w14:schemeClr w14:val="tx1"/>
            </w14:solidFill>
          </w14:textFill>
        </w:rPr>
      </w:pPr>
      <w:r>
        <w:rPr>
          <w:rFonts w:hint="eastAsia" w:hAnsi="宋体" w:cs="宋体"/>
          <w:b/>
          <w:bCs/>
          <w:color w:val="000000" w:themeColor="text1"/>
          <w:szCs w:val="21"/>
          <w:highlight w:val="none"/>
          <w14:textFill>
            <w14:solidFill>
              <w14:schemeClr w14:val="tx1"/>
            </w14:solidFill>
          </w14:textFill>
        </w:rPr>
        <w:cr/>
      </w:r>
      <w:r>
        <w:rPr>
          <w:rFonts w:hint="eastAsia" w:hAnsi="宋体" w:cs="宋体"/>
          <w:b/>
          <w:bCs/>
          <w:color w:val="000000" w:themeColor="text1"/>
          <w:szCs w:val="21"/>
          <w:highlight w:val="none"/>
          <w14:textFill>
            <w14:solidFill>
              <w14:schemeClr w14:val="tx1"/>
            </w14:solidFill>
          </w14:textFill>
        </w:rPr>
        <w:t>（注：本合同样本仅供参考，具体内容由采购人和中标人协商确定，但补充和修改不得造成与本章格式内容有实质性的违背。）</w:t>
      </w:r>
    </w:p>
    <w:p>
      <w:pPr>
        <w:pStyle w:val="20"/>
        <w:spacing w:line="300" w:lineRule="exact"/>
        <w:ind w:firstLine="420"/>
        <w:rPr>
          <w:rFonts w:hAnsi="宋体" w:cs="宋体"/>
          <w:b/>
          <w:bCs/>
          <w:color w:val="000000" w:themeColor="text1"/>
          <w:highlight w:val="none"/>
          <w14:textFill>
            <w14:solidFill>
              <w14:schemeClr w14:val="tx1"/>
            </w14:solidFill>
          </w14:textFill>
        </w:rPr>
      </w:pPr>
      <w:r>
        <w:rPr>
          <w:rFonts w:hint="eastAsia" w:hAnsi="宋体" w:cs="宋体"/>
          <w:b/>
          <w:bCs/>
          <w:color w:val="000000" w:themeColor="text1"/>
          <w:highlight w:val="none"/>
          <w14:textFill>
            <w14:solidFill>
              <w14:schemeClr w14:val="tx1"/>
            </w14:solidFill>
          </w14:textFill>
        </w:rPr>
        <w:cr/>
      </w:r>
      <w:r>
        <w:rPr>
          <w:rFonts w:hint="eastAsia" w:hAnsi="宋体" w:cs="宋体"/>
          <w:b/>
          <w:bCs/>
          <w:color w:val="000000" w:themeColor="text1"/>
          <w:highlight w:val="none"/>
          <w14:textFill>
            <w14:solidFill>
              <w14:schemeClr w14:val="tx1"/>
            </w14:solidFill>
          </w14:textFill>
        </w:rPr>
        <w:cr/>
      </w:r>
      <w:r>
        <w:rPr>
          <w:rFonts w:hint="eastAsia" w:hAnsi="宋体" w:cs="宋体"/>
          <w:b/>
          <w:bCs/>
          <w:color w:val="000000" w:themeColor="text1"/>
          <w:highlight w:val="none"/>
          <w14:textFill>
            <w14:solidFill>
              <w14:schemeClr w14:val="tx1"/>
            </w14:solidFill>
          </w14:textFill>
        </w:rPr>
        <w:cr/>
      </w:r>
    </w:p>
    <w:p>
      <w:pPr>
        <w:pStyle w:val="20"/>
        <w:spacing w:line="300" w:lineRule="exact"/>
        <w:ind w:firstLine="420"/>
        <w:rPr>
          <w:rFonts w:hAnsi="宋体" w:cs="宋体"/>
          <w:b/>
          <w:bCs/>
          <w:color w:val="000000" w:themeColor="text1"/>
          <w:highlight w:val="none"/>
          <w14:textFill>
            <w14:solidFill>
              <w14:schemeClr w14:val="tx1"/>
            </w14:solidFill>
          </w14:textFill>
        </w:rPr>
      </w:pPr>
    </w:p>
    <w:p>
      <w:pPr>
        <w:pStyle w:val="20"/>
        <w:spacing w:line="300" w:lineRule="exact"/>
        <w:ind w:firstLine="420"/>
        <w:rPr>
          <w:rFonts w:hAnsi="宋体" w:cs="宋体"/>
          <w:b/>
          <w:bCs/>
          <w:color w:val="000000" w:themeColor="text1"/>
          <w:highlight w:val="none"/>
          <w14:textFill>
            <w14:solidFill>
              <w14:schemeClr w14:val="tx1"/>
            </w14:solidFill>
          </w14:textFill>
        </w:rPr>
      </w:pPr>
    </w:p>
    <w:p>
      <w:pPr>
        <w:pStyle w:val="20"/>
        <w:spacing w:line="300" w:lineRule="exact"/>
        <w:ind w:firstLine="420"/>
        <w:rPr>
          <w:rFonts w:hAnsi="宋体" w:cs="宋体"/>
          <w:b/>
          <w:bCs/>
          <w:color w:val="000000" w:themeColor="text1"/>
          <w:highlight w:val="none"/>
          <w14:textFill>
            <w14:solidFill>
              <w14:schemeClr w14:val="tx1"/>
            </w14:solidFill>
          </w14:textFill>
        </w:rPr>
      </w:pPr>
    </w:p>
    <w:p>
      <w:pPr>
        <w:pStyle w:val="20"/>
        <w:spacing w:line="300" w:lineRule="exact"/>
        <w:ind w:firstLine="420"/>
        <w:rPr>
          <w:rFonts w:hAnsi="宋体" w:cs="宋体"/>
          <w:b/>
          <w:bCs/>
          <w:color w:val="000000" w:themeColor="text1"/>
          <w:highlight w:val="none"/>
          <w14:textFill>
            <w14:solidFill>
              <w14:schemeClr w14:val="tx1"/>
            </w14:solidFill>
          </w14:textFill>
        </w:rPr>
      </w:pPr>
    </w:p>
    <w:p>
      <w:pPr>
        <w:pStyle w:val="20"/>
        <w:spacing w:line="300" w:lineRule="exact"/>
        <w:ind w:firstLine="420"/>
        <w:rPr>
          <w:rFonts w:hAnsi="宋体" w:cs="宋体"/>
          <w:b/>
          <w:bCs/>
          <w:color w:val="000000" w:themeColor="text1"/>
          <w:highlight w:val="none"/>
          <w14:textFill>
            <w14:solidFill>
              <w14:schemeClr w14:val="tx1"/>
            </w14:solidFill>
          </w14:textFill>
        </w:rPr>
      </w:pPr>
    </w:p>
    <w:p>
      <w:pPr>
        <w:pStyle w:val="20"/>
        <w:spacing w:line="300" w:lineRule="exact"/>
        <w:ind w:firstLine="420"/>
        <w:rPr>
          <w:rFonts w:hAnsi="宋体" w:cs="宋体"/>
          <w:b/>
          <w:bCs/>
          <w:color w:val="000000" w:themeColor="text1"/>
          <w:highlight w:val="none"/>
          <w14:textFill>
            <w14:solidFill>
              <w14:schemeClr w14:val="tx1"/>
            </w14:solidFill>
          </w14:textFill>
        </w:rPr>
      </w:pPr>
    </w:p>
    <w:p>
      <w:pPr>
        <w:pStyle w:val="20"/>
        <w:spacing w:line="300" w:lineRule="exact"/>
        <w:ind w:firstLine="420"/>
        <w:rPr>
          <w:rFonts w:hAnsi="宋体" w:cs="宋体"/>
          <w:b/>
          <w:bCs/>
          <w:color w:val="000000" w:themeColor="text1"/>
          <w:highlight w:val="none"/>
          <w14:textFill>
            <w14:solidFill>
              <w14:schemeClr w14:val="tx1"/>
            </w14:solidFill>
          </w14:textFill>
        </w:rPr>
      </w:pPr>
    </w:p>
    <w:p>
      <w:pPr>
        <w:pStyle w:val="20"/>
        <w:spacing w:line="300" w:lineRule="exact"/>
        <w:ind w:firstLine="420"/>
        <w:rPr>
          <w:rFonts w:hAnsi="宋体" w:cs="宋体"/>
          <w:b/>
          <w:bCs/>
          <w:color w:val="000000" w:themeColor="text1"/>
          <w:highlight w:val="none"/>
          <w14:textFill>
            <w14:solidFill>
              <w14:schemeClr w14:val="tx1"/>
            </w14:solidFill>
          </w14:textFill>
        </w:rPr>
      </w:pPr>
    </w:p>
    <w:p>
      <w:pPr>
        <w:pStyle w:val="20"/>
        <w:spacing w:line="300" w:lineRule="exact"/>
        <w:ind w:firstLine="420"/>
        <w:rPr>
          <w:rFonts w:hAnsi="宋体" w:cs="宋体"/>
          <w:b/>
          <w:bCs/>
          <w:color w:val="000000" w:themeColor="text1"/>
          <w:highlight w:val="none"/>
          <w14:textFill>
            <w14:solidFill>
              <w14:schemeClr w14:val="tx1"/>
            </w14:solidFill>
          </w14:textFill>
        </w:rPr>
      </w:pPr>
    </w:p>
    <w:p>
      <w:pPr>
        <w:pStyle w:val="20"/>
        <w:spacing w:line="300" w:lineRule="exact"/>
        <w:ind w:firstLine="420"/>
        <w:rPr>
          <w:rFonts w:hAnsi="宋体" w:cs="宋体"/>
          <w:b/>
          <w:bCs/>
          <w:color w:val="000000" w:themeColor="text1"/>
          <w:highlight w:val="none"/>
          <w14:textFill>
            <w14:solidFill>
              <w14:schemeClr w14:val="tx1"/>
            </w14:solidFill>
          </w14:textFill>
        </w:rPr>
      </w:pPr>
    </w:p>
    <w:p>
      <w:pPr>
        <w:pStyle w:val="20"/>
        <w:spacing w:line="300" w:lineRule="exact"/>
        <w:ind w:firstLine="420"/>
        <w:rPr>
          <w:rFonts w:hAnsi="宋体" w:cs="宋体"/>
          <w:b/>
          <w:bCs/>
          <w:color w:val="000000" w:themeColor="text1"/>
          <w:highlight w:val="none"/>
          <w14:textFill>
            <w14:solidFill>
              <w14:schemeClr w14:val="tx1"/>
            </w14:solidFill>
          </w14:textFill>
        </w:rPr>
      </w:pPr>
    </w:p>
    <w:p>
      <w:pPr>
        <w:pStyle w:val="20"/>
        <w:spacing w:line="300" w:lineRule="exact"/>
        <w:ind w:firstLine="420"/>
        <w:rPr>
          <w:rFonts w:hAnsi="宋体" w:cs="宋体"/>
          <w:b/>
          <w:bCs/>
          <w:color w:val="000000" w:themeColor="text1"/>
          <w:highlight w:val="none"/>
          <w14:textFill>
            <w14:solidFill>
              <w14:schemeClr w14:val="tx1"/>
            </w14:solidFill>
          </w14:textFill>
        </w:rPr>
      </w:pPr>
    </w:p>
    <w:p>
      <w:pPr>
        <w:pStyle w:val="20"/>
        <w:spacing w:line="300" w:lineRule="exact"/>
        <w:ind w:firstLine="420"/>
        <w:rPr>
          <w:rFonts w:hAnsi="宋体" w:cs="宋体"/>
          <w:b/>
          <w:bCs/>
          <w:color w:val="000000" w:themeColor="text1"/>
          <w:highlight w:val="none"/>
          <w14:textFill>
            <w14:solidFill>
              <w14:schemeClr w14:val="tx1"/>
            </w14:solidFill>
          </w14:textFill>
        </w:rPr>
      </w:pPr>
    </w:p>
    <w:p>
      <w:pPr>
        <w:pStyle w:val="20"/>
        <w:spacing w:line="300" w:lineRule="exact"/>
        <w:ind w:firstLine="420"/>
        <w:rPr>
          <w:rFonts w:hAnsi="宋体" w:cs="宋体"/>
          <w:b/>
          <w:bCs/>
          <w:color w:val="000000" w:themeColor="text1"/>
          <w:highlight w:val="none"/>
          <w14:textFill>
            <w14:solidFill>
              <w14:schemeClr w14:val="tx1"/>
            </w14:solidFill>
          </w14:textFill>
        </w:rPr>
      </w:pPr>
    </w:p>
    <w:p>
      <w:pPr>
        <w:pStyle w:val="20"/>
        <w:spacing w:line="300" w:lineRule="exact"/>
        <w:ind w:firstLine="420"/>
        <w:rPr>
          <w:rFonts w:hAnsi="宋体" w:cs="宋体"/>
          <w:b/>
          <w:bCs/>
          <w:color w:val="000000" w:themeColor="text1"/>
          <w:highlight w:val="none"/>
          <w14:textFill>
            <w14:solidFill>
              <w14:schemeClr w14:val="tx1"/>
            </w14:solidFill>
          </w14:textFill>
        </w:rPr>
      </w:pPr>
    </w:p>
    <w:p>
      <w:pPr>
        <w:pStyle w:val="20"/>
        <w:spacing w:line="300" w:lineRule="exact"/>
        <w:ind w:firstLine="420"/>
        <w:rPr>
          <w:rFonts w:hAnsi="宋体" w:cs="宋体"/>
          <w:b/>
          <w:bCs/>
          <w:color w:val="000000" w:themeColor="text1"/>
          <w:highlight w:val="none"/>
          <w14:textFill>
            <w14:solidFill>
              <w14:schemeClr w14:val="tx1"/>
            </w14:solidFill>
          </w14:textFill>
        </w:rPr>
      </w:pPr>
    </w:p>
    <w:p>
      <w:pPr>
        <w:pStyle w:val="20"/>
        <w:spacing w:line="300" w:lineRule="exact"/>
        <w:ind w:firstLine="420"/>
        <w:rPr>
          <w:rFonts w:hAnsi="宋体" w:cs="宋体"/>
          <w:b/>
          <w:bCs/>
          <w:color w:val="000000" w:themeColor="text1"/>
          <w:highlight w:val="none"/>
          <w14:textFill>
            <w14:solidFill>
              <w14:schemeClr w14:val="tx1"/>
            </w14:solidFill>
          </w14:textFill>
        </w:rPr>
      </w:pPr>
    </w:p>
    <w:p>
      <w:pPr>
        <w:pStyle w:val="20"/>
        <w:spacing w:line="300" w:lineRule="exact"/>
        <w:ind w:firstLine="420"/>
        <w:rPr>
          <w:rFonts w:hAnsi="宋体" w:cs="宋体"/>
          <w:b/>
          <w:bCs/>
          <w:color w:val="000000" w:themeColor="text1"/>
          <w:highlight w:val="none"/>
          <w14:textFill>
            <w14:solidFill>
              <w14:schemeClr w14:val="tx1"/>
            </w14:solidFill>
          </w14:textFill>
        </w:rPr>
      </w:pPr>
    </w:p>
    <w:p>
      <w:pPr>
        <w:pStyle w:val="20"/>
        <w:spacing w:line="300" w:lineRule="exact"/>
        <w:ind w:firstLine="420"/>
        <w:rPr>
          <w:rFonts w:hAnsi="宋体" w:cs="宋体"/>
          <w:b/>
          <w:bCs/>
          <w:color w:val="000000" w:themeColor="text1"/>
          <w:highlight w:val="none"/>
          <w14:textFill>
            <w14:solidFill>
              <w14:schemeClr w14:val="tx1"/>
            </w14:solidFill>
          </w14:textFill>
        </w:rPr>
      </w:pPr>
    </w:p>
    <w:p>
      <w:pPr>
        <w:pStyle w:val="20"/>
        <w:spacing w:line="300" w:lineRule="exact"/>
        <w:ind w:firstLine="420"/>
        <w:rPr>
          <w:rFonts w:hAnsi="宋体" w:cs="宋体"/>
          <w:b/>
          <w:bCs/>
          <w:color w:val="000000" w:themeColor="text1"/>
          <w:highlight w:val="none"/>
          <w14:textFill>
            <w14:solidFill>
              <w14:schemeClr w14:val="tx1"/>
            </w14:solidFill>
          </w14:textFill>
        </w:rPr>
      </w:pPr>
    </w:p>
    <w:p>
      <w:pPr>
        <w:pStyle w:val="20"/>
        <w:spacing w:line="300" w:lineRule="exact"/>
        <w:ind w:firstLine="420"/>
        <w:rPr>
          <w:rFonts w:hAnsi="宋体" w:cs="宋体"/>
          <w:b/>
          <w:bCs/>
          <w:color w:val="000000" w:themeColor="text1"/>
          <w:highlight w:val="none"/>
          <w14:textFill>
            <w14:solidFill>
              <w14:schemeClr w14:val="tx1"/>
            </w14:solidFill>
          </w14:textFill>
        </w:rPr>
      </w:pPr>
    </w:p>
    <w:p>
      <w:pPr>
        <w:pStyle w:val="20"/>
        <w:spacing w:line="300" w:lineRule="exact"/>
        <w:ind w:firstLine="420"/>
        <w:rPr>
          <w:rFonts w:hAnsi="宋体" w:cs="宋体"/>
          <w:b/>
          <w:bCs/>
          <w:color w:val="000000" w:themeColor="text1"/>
          <w:highlight w:val="none"/>
          <w14:textFill>
            <w14:solidFill>
              <w14:schemeClr w14:val="tx1"/>
            </w14:solidFill>
          </w14:textFill>
        </w:rPr>
      </w:pPr>
    </w:p>
    <w:p>
      <w:pPr>
        <w:pStyle w:val="20"/>
        <w:spacing w:line="300" w:lineRule="exact"/>
        <w:ind w:firstLine="420"/>
        <w:rPr>
          <w:rFonts w:hAnsi="宋体" w:cs="宋体"/>
          <w:b/>
          <w:bCs/>
          <w:color w:val="000000" w:themeColor="text1"/>
          <w:highlight w:val="none"/>
          <w14:textFill>
            <w14:solidFill>
              <w14:schemeClr w14:val="tx1"/>
            </w14:solidFill>
          </w14:textFill>
        </w:rPr>
      </w:pPr>
    </w:p>
    <w:p>
      <w:pPr>
        <w:pStyle w:val="20"/>
        <w:spacing w:line="300" w:lineRule="exact"/>
        <w:ind w:firstLine="420"/>
        <w:rPr>
          <w:rFonts w:hAnsi="宋体" w:cs="宋体"/>
          <w:b/>
          <w:bCs/>
          <w:color w:val="000000" w:themeColor="text1"/>
          <w:highlight w:val="none"/>
          <w14:textFill>
            <w14:solidFill>
              <w14:schemeClr w14:val="tx1"/>
            </w14:solidFill>
          </w14:textFill>
        </w:rPr>
      </w:pPr>
    </w:p>
    <w:p>
      <w:pPr>
        <w:pStyle w:val="20"/>
        <w:spacing w:line="300" w:lineRule="exact"/>
        <w:ind w:firstLine="420"/>
        <w:rPr>
          <w:rFonts w:hAnsi="宋体" w:cs="宋体"/>
          <w:b/>
          <w:bCs/>
          <w:color w:val="000000" w:themeColor="text1"/>
          <w:highlight w:val="none"/>
          <w14:textFill>
            <w14:solidFill>
              <w14:schemeClr w14:val="tx1"/>
            </w14:solidFill>
          </w14:textFill>
        </w:rPr>
      </w:pPr>
    </w:p>
    <w:p>
      <w:pPr>
        <w:pStyle w:val="20"/>
        <w:spacing w:line="300" w:lineRule="exact"/>
        <w:ind w:firstLine="420"/>
        <w:rPr>
          <w:rFonts w:hAnsi="宋体" w:cs="宋体"/>
          <w:b/>
          <w:bCs/>
          <w:color w:val="000000" w:themeColor="text1"/>
          <w:highlight w:val="none"/>
          <w14:textFill>
            <w14:solidFill>
              <w14:schemeClr w14:val="tx1"/>
            </w14:solidFill>
          </w14:textFill>
        </w:rPr>
      </w:pPr>
    </w:p>
    <w:p>
      <w:pPr>
        <w:pStyle w:val="20"/>
        <w:spacing w:line="300" w:lineRule="exact"/>
        <w:ind w:firstLine="420"/>
        <w:rPr>
          <w:rFonts w:hAnsi="宋体" w:cs="宋体"/>
          <w:b/>
          <w:bCs/>
          <w:color w:val="000000" w:themeColor="text1"/>
          <w:highlight w:val="none"/>
          <w14:textFill>
            <w14:solidFill>
              <w14:schemeClr w14:val="tx1"/>
            </w14:solidFill>
          </w14:textFill>
        </w:rPr>
      </w:pPr>
    </w:p>
    <w:p>
      <w:pPr>
        <w:pStyle w:val="20"/>
        <w:spacing w:line="300" w:lineRule="exact"/>
        <w:ind w:firstLine="420"/>
        <w:rPr>
          <w:rFonts w:hAnsi="宋体" w:cs="宋体"/>
          <w:b/>
          <w:bCs/>
          <w:color w:val="000000" w:themeColor="text1"/>
          <w:highlight w:val="none"/>
          <w14:textFill>
            <w14:solidFill>
              <w14:schemeClr w14:val="tx1"/>
            </w14:solidFill>
          </w14:textFill>
        </w:rPr>
      </w:pPr>
    </w:p>
    <w:p>
      <w:pPr>
        <w:pStyle w:val="20"/>
        <w:spacing w:line="300" w:lineRule="exact"/>
        <w:ind w:firstLine="420"/>
        <w:rPr>
          <w:rFonts w:hAnsi="宋体" w:cs="宋体"/>
          <w:b/>
          <w:bCs/>
          <w:color w:val="000000" w:themeColor="text1"/>
          <w:highlight w:val="none"/>
          <w14:textFill>
            <w14:solidFill>
              <w14:schemeClr w14:val="tx1"/>
            </w14:solidFill>
          </w14:textFill>
        </w:rPr>
      </w:pPr>
    </w:p>
    <w:p>
      <w:pPr>
        <w:pStyle w:val="20"/>
        <w:spacing w:line="300" w:lineRule="exact"/>
        <w:ind w:firstLine="420"/>
        <w:rPr>
          <w:rFonts w:hAnsi="宋体" w:cs="宋体"/>
          <w:b/>
          <w:bCs/>
          <w:color w:val="000000" w:themeColor="text1"/>
          <w:highlight w:val="none"/>
          <w14:textFill>
            <w14:solidFill>
              <w14:schemeClr w14:val="tx1"/>
            </w14:solidFill>
          </w14:textFill>
        </w:rPr>
      </w:pPr>
    </w:p>
    <w:p>
      <w:pPr>
        <w:pStyle w:val="20"/>
        <w:spacing w:line="300" w:lineRule="exact"/>
        <w:ind w:firstLine="420"/>
        <w:rPr>
          <w:rFonts w:hAnsi="宋体" w:cs="宋体"/>
          <w:b/>
          <w:bCs/>
          <w:color w:val="000000" w:themeColor="text1"/>
          <w:highlight w:val="none"/>
          <w14:textFill>
            <w14:solidFill>
              <w14:schemeClr w14:val="tx1"/>
            </w14:solidFill>
          </w14:textFill>
        </w:rPr>
      </w:pPr>
    </w:p>
    <w:p>
      <w:pPr>
        <w:pStyle w:val="20"/>
        <w:spacing w:line="300" w:lineRule="exact"/>
        <w:ind w:firstLine="420"/>
        <w:rPr>
          <w:rFonts w:hAnsi="宋体" w:cs="宋体"/>
          <w:b/>
          <w:bCs/>
          <w:color w:val="000000" w:themeColor="text1"/>
          <w:highlight w:val="none"/>
          <w14:textFill>
            <w14:solidFill>
              <w14:schemeClr w14:val="tx1"/>
            </w14:solidFill>
          </w14:textFill>
        </w:rPr>
      </w:pPr>
    </w:p>
    <w:p>
      <w:pPr>
        <w:pStyle w:val="20"/>
        <w:spacing w:line="300" w:lineRule="exact"/>
        <w:rPr>
          <w:rFonts w:hAnsi="宋体" w:cs="宋体"/>
          <w:color w:val="000000" w:themeColor="text1"/>
          <w:sz w:val="52"/>
          <w:szCs w:val="52"/>
          <w:highlight w:val="none"/>
          <w14:textFill>
            <w14:solidFill>
              <w14:schemeClr w14:val="tx1"/>
            </w14:solidFill>
          </w14:textFill>
        </w:rPr>
      </w:pPr>
      <w:bookmarkStart w:id="258" w:name="_Toc30093"/>
    </w:p>
    <w:bookmarkEnd w:id="258"/>
    <w:p>
      <w:pPr>
        <w:snapToGrid w:val="0"/>
        <w:spacing w:before="120" w:after="120" w:line="320" w:lineRule="exact"/>
        <w:ind w:firstLine="2880" w:firstLineChars="900"/>
        <w:outlineLvl w:val="0"/>
        <w:rPr>
          <w:rFonts w:ascii="宋体" w:hAnsi="宋体" w:cs="宋体"/>
          <w:color w:val="000000" w:themeColor="text1"/>
          <w:sz w:val="32"/>
          <w:szCs w:val="32"/>
          <w:highlight w:val="none"/>
          <w14:textFill>
            <w14:solidFill>
              <w14:schemeClr w14:val="tx1"/>
            </w14:solidFill>
          </w14:textFill>
        </w:rPr>
      </w:pPr>
      <w:bookmarkStart w:id="259" w:name="_Toc26342"/>
      <w:bookmarkStart w:id="260" w:name="_Toc6352"/>
      <w:r>
        <w:rPr>
          <w:rFonts w:hint="eastAsia" w:ascii="宋体" w:hAnsi="宋体" w:cs="宋体"/>
          <w:color w:val="000000" w:themeColor="text1"/>
          <w:sz w:val="32"/>
          <w:szCs w:val="32"/>
          <w:highlight w:val="none"/>
          <w14:textFill>
            <w14:solidFill>
              <w14:schemeClr w14:val="tx1"/>
            </w14:solidFill>
          </w14:textFill>
        </w:rPr>
        <w:t>合同主要条款格式</w:t>
      </w:r>
      <w:bookmarkEnd w:id="259"/>
      <w:bookmarkEnd w:id="260"/>
    </w:p>
    <w:p>
      <w:pPr>
        <w:spacing w:line="360" w:lineRule="auto"/>
        <w:ind w:right="105"/>
        <w:jc w:val="left"/>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项目编号:</w:t>
      </w:r>
    </w:p>
    <w:p>
      <w:pPr>
        <w:wordWrap w:val="0"/>
        <w:spacing w:line="360" w:lineRule="auto"/>
        <w:jc w:val="left"/>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项目名称：</w:t>
      </w:r>
    </w:p>
    <w:p>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合同签订地点： </w:t>
      </w:r>
    </w:p>
    <w:p>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合同签订日期：</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年</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月</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日</w:t>
      </w:r>
    </w:p>
    <w:p>
      <w:pPr>
        <w:spacing w:line="360" w:lineRule="auto"/>
        <w:rPr>
          <w:rFonts w:ascii="宋体" w:hAnsi="宋体" w:cs="宋体"/>
          <w:color w:val="000000" w:themeColor="text1"/>
          <w:szCs w:val="21"/>
          <w:highlight w:val="none"/>
          <w14:textFill>
            <w14:solidFill>
              <w14:schemeClr w14:val="tx1"/>
            </w14:solidFill>
          </w14:textFill>
        </w:rPr>
      </w:pPr>
    </w:p>
    <w:p>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甲方（采购人）：</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u w:val="single"/>
          <w:lang w:val="en-US" w:eastAsia="zh-CN"/>
          <w14:textFill>
            <w14:solidFill>
              <w14:schemeClr w14:val="tx1"/>
            </w14:solidFill>
          </w14:textFill>
        </w:rPr>
        <w:t xml:space="preserve">      </w:t>
      </w:r>
      <w:r>
        <w:rPr>
          <w:rFonts w:hint="eastAsia" w:ascii="宋体" w:hAnsi="宋体" w:cs="宋体"/>
          <w:color w:val="000000" w:themeColor="text1"/>
          <w:szCs w:val="21"/>
          <w:highlight w:val="none"/>
          <w:u w:val="single"/>
          <w14:textFill>
            <w14:solidFill>
              <w14:schemeClr w14:val="tx1"/>
            </w14:solidFill>
          </w14:textFill>
        </w:rPr>
        <w:t xml:space="preserve">       </w:t>
      </w:r>
    </w:p>
    <w:p>
      <w:pPr>
        <w:spacing w:line="360" w:lineRule="auto"/>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乙方（中标供应商）：</w:t>
      </w:r>
      <w:r>
        <w:rPr>
          <w:rFonts w:hint="eastAsia" w:ascii="宋体" w:hAnsi="宋体" w:cs="宋体"/>
          <w:color w:val="000000" w:themeColor="text1"/>
          <w:szCs w:val="21"/>
          <w:highlight w:val="none"/>
          <w:u w:val="single"/>
          <w14:textFill>
            <w14:solidFill>
              <w14:schemeClr w14:val="tx1"/>
            </w14:solidFill>
          </w14:textFill>
        </w:rPr>
        <w:t xml:space="preserve">                                     </w:t>
      </w:r>
    </w:p>
    <w:p>
      <w:pPr>
        <w:spacing w:line="360" w:lineRule="auto"/>
        <w:ind w:firstLine="36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根据</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年</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月</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日广西众联工程项目管理有限公司签发的（</w:t>
      </w:r>
      <w:r>
        <w:rPr>
          <w:rFonts w:hint="eastAsia" w:ascii="宋体" w:hAnsi="宋体" w:cs="宋体"/>
          <w:color w:val="000000" w:themeColor="text1"/>
          <w:szCs w:val="21"/>
          <w:highlight w:val="none"/>
          <w:u w:val="single"/>
          <w14:textFill>
            <w14:solidFill>
              <w14:schemeClr w14:val="tx1"/>
            </w14:solidFill>
          </w14:textFill>
        </w:rPr>
        <w:t>项目编号及项目名称</w:t>
      </w:r>
      <w:r>
        <w:rPr>
          <w:rFonts w:hint="eastAsia" w:ascii="宋体" w:hAnsi="宋体" w:cs="宋体"/>
          <w:color w:val="000000" w:themeColor="text1"/>
          <w:szCs w:val="21"/>
          <w:highlight w:val="none"/>
          <w14:textFill>
            <w14:solidFill>
              <w14:schemeClr w14:val="tx1"/>
            </w14:solidFill>
          </w14:textFill>
        </w:rPr>
        <w:t>）中标通知书，甲方接受乙方对本项目的投标，甲、乙双方同意签署本合同（以下简称合同），中标通知书、招标文件及补充、投标文件及澄清为本合同不可分割的部分并与本合同具有同等效力。</w:t>
      </w:r>
    </w:p>
    <w:p>
      <w:pPr>
        <w:spacing w:line="360" w:lineRule="auto"/>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1.  采购内容</w:t>
      </w:r>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9"/>
        <w:gridCol w:w="1718"/>
        <w:gridCol w:w="2686"/>
        <w:gridCol w:w="1869"/>
        <w:gridCol w:w="1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9" w:type="dxa"/>
            <w:vAlign w:val="center"/>
          </w:tcPr>
          <w:p>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货物名称</w:t>
            </w:r>
          </w:p>
        </w:tc>
        <w:tc>
          <w:tcPr>
            <w:tcW w:w="1718" w:type="dxa"/>
          </w:tcPr>
          <w:p>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数量（单位）</w:t>
            </w:r>
          </w:p>
        </w:tc>
        <w:tc>
          <w:tcPr>
            <w:tcW w:w="2686" w:type="dxa"/>
          </w:tcPr>
          <w:p>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品牌、厂家、型号、规格</w:t>
            </w:r>
          </w:p>
        </w:tc>
        <w:tc>
          <w:tcPr>
            <w:tcW w:w="1869" w:type="dxa"/>
          </w:tcPr>
          <w:p>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技术参数</w:t>
            </w:r>
          </w:p>
        </w:tc>
        <w:tc>
          <w:tcPr>
            <w:tcW w:w="1636" w:type="dxa"/>
          </w:tcPr>
          <w:p>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9" w:type="dxa"/>
            <w:vAlign w:val="center"/>
          </w:tcPr>
          <w:p>
            <w:pPr>
              <w:spacing w:line="360" w:lineRule="auto"/>
              <w:ind w:firstLine="480"/>
              <w:jc w:val="center"/>
              <w:rPr>
                <w:rFonts w:ascii="宋体" w:hAnsi="宋体" w:cs="宋体"/>
                <w:color w:val="000000" w:themeColor="text1"/>
                <w:szCs w:val="21"/>
                <w:highlight w:val="none"/>
                <w14:textFill>
                  <w14:solidFill>
                    <w14:schemeClr w14:val="tx1"/>
                  </w14:solidFill>
                </w14:textFill>
              </w:rPr>
            </w:pPr>
          </w:p>
        </w:tc>
        <w:tc>
          <w:tcPr>
            <w:tcW w:w="1718" w:type="dxa"/>
          </w:tcPr>
          <w:p>
            <w:pPr>
              <w:spacing w:line="360" w:lineRule="auto"/>
              <w:rPr>
                <w:rFonts w:ascii="宋体" w:hAnsi="宋体" w:cs="宋体"/>
                <w:color w:val="000000" w:themeColor="text1"/>
                <w:szCs w:val="21"/>
                <w:highlight w:val="none"/>
                <w14:textFill>
                  <w14:solidFill>
                    <w14:schemeClr w14:val="tx1"/>
                  </w14:solidFill>
                </w14:textFill>
              </w:rPr>
            </w:pPr>
          </w:p>
        </w:tc>
        <w:tc>
          <w:tcPr>
            <w:tcW w:w="2686" w:type="dxa"/>
          </w:tcPr>
          <w:p>
            <w:pPr>
              <w:spacing w:line="360" w:lineRule="auto"/>
              <w:rPr>
                <w:rFonts w:ascii="宋体" w:hAnsi="宋体" w:cs="宋体"/>
                <w:color w:val="000000" w:themeColor="text1"/>
                <w:szCs w:val="21"/>
                <w:highlight w:val="none"/>
                <w14:textFill>
                  <w14:solidFill>
                    <w14:schemeClr w14:val="tx1"/>
                  </w14:solidFill>
                </w14:textFill>
              </w:rPr>
            </w:pPr>
          </w:p>
        </w:tc>
        <w:tc>
          <w:tcPr>
            <w:tcW w:w="1869" w:type="dxa"/>
          </w:tcPr>
          <w:p>
            <w:pPr>
              <w:spacing w:line="360" w:lineRule="auto"/>
              <w:rPr>
                <w:rFonts w:ascii="宋体" w:hAnsi="宋体" w:cs="宋体"/>
                <w:color w:val="000000" w:themeColor="text1"/>
                <w:szCs w:val="21"/>
                <w:highlight w:val="none"/>
                <w14:textFill>
                  <w14:solidFill>
                    <w14:schemeClr w14:val="tx1"/>
                  </w14:solidFill>
                </w14:textFill>
              </w:rPr>
            </w:pPr>
          </w:p>
        </w:tc>
        <w:tc>
          <w:tcPr>
            <w:tcW w:w="1636" w:type="dxa"/>
          </w:tcPr>
          <w:p>
            <w:pPr>
              <w:spacing w:line="360" w:lineRule="auto"/>
              <w:ind w:firstLine="480"/>
              <w:rPr>
                <w:rFonts w:ascii="宋体" w:hAns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9" w:type="dxa"/>
            <w:vAlign w:val="center"/>
          </w:tcPr>
          <w:p>
            <w:pPr>
              <w:spacing w:line="360" w:lineRule="auto"/>
              <w:ind w:firstLine="480"/>
              <w:jc w:val="center"/>
              <w:rPr>
                <w:rFonts w:ascii="宋体" w:hAnsi="宋体" w:cs="宋体"/>
                <w:color w:val="000000" w:themeColor="text1"/>
                <w:szCs w:val="21"/>
                <w:highlight w:val="none"/>
                <w14:textFill>
                  <w14:solidFill>
                    <w14:schemeClr w14:val="tx1"/>
                  </w14:solidFill>
                </w14:textFill>
              </w:rPr>
            </w:pPr>
          </w:p>
        </w:tc>
        <w:tc>
          <w:tcPr>
            <w:tcW w:w="1718" w:type="dxa"/>
          </w:tcPr>
          <w:p>
            <w:pPr>
              <w:spacing w:line="360" w:lineRule="auto"/>
              <w:rPr>
                <w:rFonts w:ascii="宋体" w:hAnsi="宋体" w:cs="宋体"/>
                <w:color w:val="000000" w:themeColor="text1"/>
                <w:szCs w:val="21"/>
                <w:highlight w:val="none"/>
                <w14:textFill>
                  <w14:solidFill>
                    <w14:schemeClr w14:val="tx1"/>
                  </w14:solidFill>
                </w14:textFill>
              </w:rPr>
            </w:pPr>
          </w:p>
        </w:tc>
        <w:tc>
          <w:tcPr>
            <w:tcW w:w="2686" w:type="dxa"/>
          </w:tcPr>
          <w:p>
            <w:pPr>
              <w:spacing w:line="360" w:lineRule="auto"/>
              <w:rPr>
                <w:rFonts w:ascii="宋体" w:hAnsi="宋体" w:cs="宋体"/>
                <w:color w:val="000000" w:themeColor="text1"/>
                <w:szCs w:val="21"/>
                <w:highlight w:val="none"/>
                <w14:textFill>
                  <w14:solidFill>
                    <w14:schemeClr w14:val="tx1"/>
                  </w14:solidFill>
                </w14:textFill>
              </w:rPr>
            </w:pPr>
          </w:p>
        </w:tc>
        <w:tc>
          <w:tcPr>
            <w:tcW w:w="1869" w:type="dxa"/>
          </w:tcPr>
          <w:p>
            <w:pPr>
              <w:spacing w:line="360" w:lineRule="auto"/>
              <w:rPr>
                <w:rFonts w:ascii="宋体" w:hAnsi="宋体" w:cs="宋体"/>
                <w:color w:val="000000" w:themeColor="text1"/>
                <w:szCs w:val="21"/>
                <w:highlight w:val="none"/>
                <w14:textFill>
                  <w14:solidFill>
                    <w14:schemeClr w14:val="tx1"/>
                  </w14:solidFill>
                </w14:textFill>
              </w:rPr>
            </w:pPr>
          </w:p>
        </w:tc>
        <w:tc>
          <w:tcPr>
            <w:tcW w:w="1636" w:type="dxa"/>
          </w:tcPr>
          <w:p>
            <w:pPr>
              <w:spacing w:line="360" w:lineRule="auto"/>
              <w:ind w:firstLine="480"/>
              <w:rPr>
                <w:rFonts w:ascii="宋体" w:hAnsi="宋体" w:cs="宋体"/>
                <w:color w:val="000000" w:themeColor="text1"/>
                <w:szCs w:val="21"/>
                <w:highlight w:val="none"/>
                <w14:textFill>
                  <w14:solidFill>
                    <w14:schemeClr w14:val="tx1"/>
                  </w14:solidFill>
                </w14:textFill>
              </w:rPr>
            </w:pPr>
          </w:p>
        </w:tc>
      </w:tr>
    </w:tbl>
    <w:p>
      <w:pPr>
        <w:spacing w:line="360" w:lineRule="auto"/>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2.  合同金额</w:t>
      </w:r>
    </w:p>
    <w:p>
      <w:pPr>
        <w:spacing w:line="360" w:lineRule="auto"/>
        <w:ind w:left="2" w:firstLine="359" w:firstLineChars="171"/>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2.1 本合同金额为人民币（大写）：</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元（￥</w:t>
      </w:r>
      <w:r>
        <w:rPr>
          <w:rFonts w:hint="eastAsia" w:ascii="宋体" w:hAnsi="宋体" w:cs="宋体"/>
          <w:color w:val="000000" w:themeColor="text1"/>
          <w:szCs w:val="21"/>
          <w:highlight w:val="none"/>
          <w:u w:val="single"/>
          <w14:textFill>
            <w14:solidFill>
              <w14:schemeClr w14:val="tx1"/>
            </w14:solidFill>
          </w14:textFill>
        </w:rPr>
        <w:t>　　　　　　</w:t>
      </w:r>
      <w:r>
        <w:rPr>
          <w:rFonts w:hint="eastAsia" w:ascii="宋体" w:hAnsi="宋体" w:cs="宋体"/>
          <w:color w:val="000000" w:themeColor="text1"/>
          <w:szCs w:val="21"/>
          <w:highlight w:val="none"/>
          <w14:textFill>
            <w14:solidFill>
              <w14:schemeClr w14:val="tx1"/>
            </w14:solidFill>
          </w14:textFill>
        </w:rPr>
        <w:t>）。</w:t>
      </w:r>
    </w:p>
    <w:p>
      <w:pPr>
        <w:tabs>
          <w:tab w:val="left" w:pos="5940"/>
        </w:tabs>
        <w:spacing w:line="360" w:lineRule="auto"/>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3.  交货要求</w:t>
      </w:r>
    </w:p>
    <w:p>
      <w:pPr>
        <w:tabs>
          <w:tab w:val="left" w:pos="5220"/>
        </w:tabs>
        <w:spacing w:line="360" w:lineRule="auto"/>
        <w:ind w:firstLine="36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3.1 交货期：</w:t>
      </w:r>
      <w:r>
        <w:rPr>
          <w:rFonts w:hint="eastAsia" w:ascii="宋体" w:hAnsi="宋体" w:cs="宋体"/>
          <w:color w:val="000000" w:themeColor="text1"/>
          <w:szCs w:val="21"/>
          <w:highlight w:val="none"/>
          <w14:textFill>
            <w14:solidFill>
              <w14:schemeClr w14:val="tx1"/>
            </w14:solidFill>
          </w14:textFill>
        </w:rPr>
        <w:t>签订合同即日起</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日历日内完成安装、调试、培训工作</w:t>
      </w:r>
    </w:p>
    <w:p>
      <w:pPr>
        <w:spacing w:line="360" w:lineRule="auto"/>
        <w:ind w:firstLine="36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3.2 交货地点：</w:t>
      </w:r>
      <w:r>
        <w:rPr>
          <w:rFonts w:hint="eastAsia" w:ascii="宋体" w:hAnsi="宋体" w:cs="宋体"/>
          <w:color w:val="000000" w:themeColor="text1"/>
          <w:szCs w:val="21"/>
          <w:highlight w:val="none"/>
          <w14:textFill>
            <w14:solidFill>
              <w14:schemeClr w14:val="tx1"/>
            </w14:solidFill>
          </w14:textFill>
        </w:rPr>
        <w:t>采购人指定地点（梧州市区）</w:t>
      </w:r>
    </w:p>
    <w:p>
      <w:pPr>
        <w:tabs>
          <w:tab w:val="left" w:pos="5220"/>
          <w:tab w:val="left" w:pos="6120"/>
        </w:tabs>
        <w:spacing w:line="360" w:lineRule="auto"/>
        <w:ind w:firstLine="36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3.3 交货方式：</w:t>
      </w:r>
      <w:r>
        <w:rPr>
          <w:rFonts w:hint="eastAsia" w:ascii="宋体" w:hAnsi="宋体" w:cs="宋体"/>
          <w:color w:val="000000" w:themeColor="text1"/>
          <w:szCs w:val="21"/>
          <w:highlight w:val="none"/>
          <w14:textFill>
            <w14:solidFill>
              <w14:schemeClr w14:val="tx1"/>
            </w14:solidFill>
          </w14:textFill>
        </w:rPr>
        <w:t>现场安装调试</w:t>
      </w:r>
    </w:p>
    <w:p>
      <w:pPr>
        <w:spacing w:line="360" w:lineRule="auto"/>
        <w:ind w:firstLine="360"/>
        <w:rPr>
          <w:rFonts w:ascii="宋体" w:hAnsi="宋体" w:cs="宋体"/>
          <w:b/>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 xml:space="preserve">3.4 </w:t>
      </w:r>
      <w:r>
        <w:rPr>
          <w:rFonts w:hint="eastAsia" w:ascii="宋体" w:hAnsi="宋体" w:cs="宋体"/>
          <w:color w:val="000000" w:themeColor="text1"/>
          <w:szCs w:val="21"/>
          <w:highlight w:val="none"/>
          <w14:textFill>
            <w14:solidFill>
              <w14:schemeClr w14:val="tx1"/>
            </w14:solidFill>
          </w14:textFill>
        </w:rPr>
        <w:t>乙方必须按投标文件承诺的技术参数、性能要求、质量标准等向甲方提供全新、完整、未经使用的货物。</w:t>
      </w:r>
    </w:p>
    <w:p>
      <w:pPr>
        <w:spacing w:line="360" w:lineRule="auto"/>
        <w:ind w:left="358" w:hanging="358" w:hangingChars="170"/>
        <w:rPr>
          <w:rFonts w:ascii="宋体" w:hAnsi="宋体" w:cs="宋体"/>
          <w:b/>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4.  履约保证金</w:t>
      </w:r>
    </w:p>
    <w:p>
      <w:pPr>
        <w:spacing w:line="360" w:lineRule="auto"/>
        <w:ind w:firstLine="36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4.1履约保证金的递交：</w:t>
      </w:r>
      <w:r>
        <w:rPr>
          <w:rFonts w:hint="eastAsia" w:ascii="宋体" w:hAnsi="宋体" w:cs="宋体"/>
          <w:color w:val="000000" w:themeColor="text1"/>
          <w:szCs w:val="21"/>
          <w:highlight w:val="none"/>
          <w:u w:val="single"/>
          <w14:textFill>
            <w14:solidFill>
              <w14:schemeClr w14:val="tx1"/>
            </w14:solidFill>
          </w14:textFill>
        </w:rPr>
        <w:t>合同金额的5%</w:t>
      </w:r>
      <w:r>
        <w:rPr>
          <w:rFonts w:hint="eastAsia" w:ascii="宋体" w:hAnsi="宋体" w:cs="宋体"/>
          <w:color w:val="000000" w:themeColor="text1"/>
          <w:szCs w:val="21"/>
          <w:highlight w:val="none"/>
          <w14:textFill>
            <w14:solidFill>
              <w14:schemeClr w14:val="tx1"/>
            </w14:solidFill>
          </w14:textFill>
        </w:rPr>
        <w:t xml:space="preserve"> 。在收到中标通知书后，</w:t>
      </w:r>
      <w:r>
        <w:rPr>
          <w:rFonts w:hint="eastAsia"/>
          <w:color w:val="000000" w:themeColor="text1"/>
          <w:highlight w:val="none"/>
          <w14:textFill>
            <w14:solidFill>
              <w14:schemeClr w14:val="tx1"/>
            </w14:solidFill>
          </w14:textFill>
        </w:rPr>
        <w:t>中标人</w:t>
      </w:r>
      <w:r>
        <w:rPr>
          <w:color w:val="000000" w:themeColor="text1"/>
          <w:highlight w:val="none"/>
          <w14:textFill>
            <w14:solidFill>
              <w14:schemeClr w14:val="tx1"/>
            </w14:solidFill>
          </w14:textFill>
        </w:rPr>
        <w:t>须在 15 个工作日内</w:t>
      </w:r>
      <w:r>
        <w:rPr>
          <w:rFonts w:hint="eastAsia"/>
          <w:color w:val="000000" w:themeColor="text1"/>
          <w:highlight w:val="none"/>
          <w14:textFill>
            <w14:solidFill>
              <w14:schemeClr w14:val="tx1"/>
            </w14:solidFill>
          </w14:textFill>
        </w:rPr>
        <w:t>联系</w:t>
      </w:r>
      <w:r>
        <w:rPr>
          <w:color w:val="000000" w:themeColor="text1"/>
          <w:highlight w:val="none"/>
          <w14:textFill>
            <w14:solidFill>
              <w14:schemeClr w14:val="tx1"/>
            </w14:solidFill>
          </w14:textFill>
        </w:rPr>
        <w:t>采购人提交履约保证金</w:t>
      </w:r>
      <w:r>
        <w:rPr>
          <w:rFonts w:hint="eastAsia" w:ascii="宋体" w:hAnsi="宋体" w:cs="宋体"/>
          <w:color w:val="000000" w:themeColor="text1"/>
          <w:szCs w:val="21"/>
          <w:highlight w:val="none"/>
          <w14:textFill>
            <w14:solidFill>
              <w14:schemeClr w14:val="tx1"/>
            </w14:solidFill>
          </w14:textFill>
        </w:rPr>
        <w:t>，否则视为其放弃中标资格。</w:t>
      </w:r>
    </w:p>
    <w:p>
      <w:pPr>
        <w:spacing w:line="360" w:lineRule="auto"/>
        <w:ind w:firstLine="36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4.2 履约保证金作为违约金的一部分用于补偿甲方因乙方不能完成其合同义务而蒙受的损失。如中标人不按双方签订的合同规定履约，则对其全部履约保证金不予退还，履约保证金不足以赔偿损失的，按实际损失赔偿。</w:t>
      </w:r>
    </w:p>
    <w:p>
      <w:pPr>
        <w:spacing w:line="360" w:lineRule="auto"/>
        <w:ind w:firstLine="36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4.3 在履约保证金到期退还日期前，若中标人的开户名称、开户银行、帐号有变动的，请以书面形式通知采购代理机构，否则由此产生的后果由中标人自负。</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4.4 自项目验收合格之日起5个工作日内，中标人按第七章附件“政府采购项目履约保证金退付意见书”的要求至采购人财务部办理退还履约保证金手续。采购人或采购代理机构将在收到退还履约保证金申请后5个工作日内无息原额退还，因采购人或采购代理机构原因导致无法及时退还时，每逾期退还一天按履约保证金万分之一支付违约金给中标人，但因中标人自身原因导致无法及时退还的除外。</w:t>
      </w:r>
    </w:p>
    <w:p>
      <w:pPr>
        <w:spacing w:line="360" w:lineRule="auto"/>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5.  质量保证及售后服务</w:t>
      </w:r>
    </w:p>
    <w:p>
      <w:pPr>
        <w:spacing w:line="360" w:lineRule="auto"/>
        <w:ind w:left="2" w:firstLine="359" w:firstLineChars="171"/>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5.1 质量保证期</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年（自交货验收合格之日起计）。</w:t>
      </w:r>
    </w:p>
    <w:p>
      <w:pPr>
        <w:spacing w:line="360" w:lineRule="auto"/>
        <w:ind w:firstLine="359" w:firstLineChars="171"/>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5.2 如乙方提供的货物在使用过程中发生质量问题，乙方接到甲方故障通知后应在</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小时内到达甲方指定现场，按国家及行业标准对故障进行及时处理。</w:t>
      </w:r>
    </w:p>
    <w:p>
      <w:pPr>
        <w:spacing w:line="360" w:lineRule="auto"/>
        <w:ind w:firstLine="359" w:firstLineChars="171"/>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5.3 乙方提供的货物在质量保证期内因货物本身的质量问题发生故障，乙方应负责免费更换。对达不到技术要求者，根据实际情况，经双方协商，可按以下办法处理：</w:t>
      </w:r>
    </w:p>
    <w:p>
      <w:pPr>
        <w:spacing w:line="360" w:lineRule="auto"/>
        <w:ind w:firstLine="359" w:firstLineChars="171"/>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（1）更换：由乙方承担所发生的全部费用；</w:t>
      </w:r>
    </w:p>
    <w:p>
      <w:pPr>
        <w:spacing w:line="360" w:lineRule="auto"/>
        <w:ind w:firstLine="359" w:firstLineChars="171"/>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（2）贬值处理：由甲乙双方合议定价；</w:t>
      </w:r>
    </w:p>
    <w:p>
      <w:pPr>
        <w:spacing w:line="360" w:lineRule="auto"/>
        <w:ind w:firstLine="359" w:firstLineChars="171"/>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（3）退货处理：乙方应退还甲方支付的合同款，同时应承担与该货物相关的直接费用（运输、保险、检验、合同款利息及银行手续费等）。</w:t>
      </w:r>
    </w:p>
    <w:p>
      <w:pPr>
        <w:spacing w:line="360" w:lineRule="auto"/>
        <w:ind w:left="2" w:firstLine="36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5.4 在质量保证期内，乙方负责处理解决货物出现的质量及安全问题并承担一切费用，所有非故意性损坏以及正常使用范围内造成的损坏均要免费维修，因人为因素出现的故障不在免费保修范围内，但乙方也要积极帮助采购人修理，并提供优惠价格的配件和服务。</w:t>
      </w:r>
    </w:p>
    <w:p>
      <w:pPr>
        <w:spacing w:line="360" w:lineRule="auto"/>
        <w:ind w:left="2" w:firstLine="36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5.5 超过质量保证期的货物，乙方提供终生维修、保养服务，维修时只收部件成本费。</w:t>
      </w:r>
    </w:p>
    <w:p>
      <w:pPr>
        <w:spacing w:line="360" w:lineRule="auto"/>
        <w:ind w:left="2" w:firstLine="36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5.6 乙方随时优惠提供备品备件，优惠提供产品更新、改造服务。</w:t>
      </w:r>
    </w:p>
    <w:p>
      <w:pPr>
        <w:spacing w:line="360" w:lineRule="auto"/>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6.  合同款支付</w:t>
      </w:r>
    </w:p>
    <w:p>
      <w:pPr>
        <w:spacing w:line="44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6.1　付款方式：乙方交货给甲方经验收合格后，乙方先向甲方开出合同总额合法发票。甲方收到发票，向财政部门申请资金，待财政资金划拨到甲方账户后，七个工作日内支付合同总额的95%给乙方，余下5%作为质保金，在验收合格一年后</w:t>
      </w:r>
      <w:r>
        <w:rPr>
          <w:rFonts w:hint="eastAsia" w:ascii="宋体" w:hAnsi="宋体"/>
          <w:color w:val="000000" w:themeColor="text1"/>
          <w:szCs w:val="21"/>
          <w:highlight w:val="none"/>
          <w14:textFill>
            <w14:solidFill>
              <w14:schemeClr w14:val="tx1"/>
            </w14:solidFill>
          </w14:textFill>
        </w:rPr>
        <w:t>付清（无息）。</w:t>
      </w:r>
    </w:p>
    <w:p>
      <w:pPr>
        <w:spacing w:line="360" w:lineRule="auto"/>
        <w:ind w:firstLine="420"/>
        <w:rPr>
          <w:rFonts w:ascii="宋体" w:hAnsi="宋体" w:cs="宋体"/>
          <w:bCs/>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6.2  当采购数量与实际使用数量不一致时，乙方可以在报经梧州市万秀区财政局审核同意后，在不改变合同其他条款的前提下与供应商协商签订补充合同，但所有补充合同的采购金额不得超过原合同采购金额的百分之十。供应商应根据实际使用数量供货，合同的最终结算金额按实际使用数量乘以成交单价进行计算。</w:t>
      </w:r>
    </w:p>
    <w:p>
      <w:pPr>
        <w:spacing w:line="360" w:lineRule="auto"/>
        <w:ind w:firstLine="360"/>
        <w:rPr>
          <w:rFonts w:ascii="宋体" w:hAnsi="宋体" w:cs="宋体"/>
          <w:bCs/>
          <w:color w:val="000000" w:themeColor="text1"/>
          <w:szCs w:val="21"/>
          <w:highlight w:val="none"/>
          <w:u w:val="singl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6.3 政府</w:t>
      </w:r>
      <w:r>
        <w:rPr>
          <w:rFonts w:hint="eastAsia" w:ascii="宋体" w:hAnsi="宋体" w:cs="宋体"/>
          <w:color w:val="000000" w:themeColor="text1"/>
          <w:szCs w:val="21"/>
          <w:highlight w:val="none"/>
          <w14:textFill>
            <w14:solidFill>
              <w14:schemeClr w14:val="tx1"/>
            </w14:solidFill>
          </w14:textFill>
        </w:rPr>
        <w:t>采购过程中</w:t>
      </w:r>
      <w:r>
        <w:rPr>
          <w:rFonts w:hint="eastAsia" w:ascii="宋体" w:hAnsi="宋体" w:cs="宋体"/>
          <w:bCs/>
          <w:color w:val="000000" w:themeColor="text1"/>
          <w:szCs w:val="21"/>
          <w:highlight w:val="none"/>
          <w14:textFill>
            <w14:solidFill>
              <w14:schemeClr w14:val="tx1"/>
            </w14:solidFill>
          </w14:textFill>
        </w:rPr>
        <w:t>，如采购人、供应商或集中采购机构存在违法行为，政府采购监督管理部门可视情况书面通知采购人暂停采购活动，并延期支付合同款。</w:t>
      </w:r>
    </w:p>
    <w:p>
      <w:pPr>
        <w:spacing w:line="360" w:lineRule="auto"/>
        <w:ind w:left="360" w:hanging="361" w:hangingChars="171"/>
        <w:rPr>
          <w:rFonts w:ascii="宋体" w:hAnsi="宋体" w:cs="宋体"/>
          <w:b/>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7.  产权</w:t>
      </w:r>
    </w:p>
    <w:p>
      <w:pPr>
        <w:spacing w:line="360" w:lineRule="auto"/>
        <w:ind w:left="2" w:firstLine="359" w:firstLineChars="171"/>
        <w:rPr>
          <w:rFonts w:ascii="宋体" w:hAnsi="宋体" w:cs="宋体"/>
          <w:bCs/>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7.1 乙方保证所提供的货物或其任何一部分均不会侵犯任何第三方的专利权、商标权或著作权</w:t>
      </w:r>
      <w:r>
        <w:rPr>
          <w:rFonts w:hint="eastAsia" w:ascii="宋体" w:hAnsi="宋体" w:cs="宋体"/>
          <w:bCs/>
          <w:color w:val="000000" w:themeColor="text1"/>
          <w:szCs w:val="21"/>
          <w:highlight w:val="none"/>
          <w14:textFill>
            <w14:solidFill>
              <w14:schemeClr w14:val="tx1"/>
            </w14:solidFill>
          </w14:textFill>
        </w:rPr>
        <w:t>。</w:t>
      </w:r>
    </w:p>
    <w:p>
      <w:pPr>
        <w:spacing w:line="360" w:lineRule="auto"/>
        <w:ind w:left="2" w:firstLine="359" w:firstLineChars="171"/>
        <w:rPr>
          <w:rFonts w:ascii="宋体" w:hAnsi="宋体" w:cs="宋体"/>
          <w:b/>
          <w:bCs/>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7.2 乙方保证所交付货物的所有权完全属于乙方且无任何抵押、查封等产权瑕疵。如乙方所交付货物有产权瑕疵的，视为乙方违约，按照本合同第11.3项的约定处理。但在已经全部支付完合同款后才发现有产权瑕疵的，乙方除了支付违约金还应负担甲方由此产生的一切损失。</w:t>
      </w:r>
    </w:p>
    <w:p>
      <w:pPr>
        <w:spacing w:line="360" w:lineRule="auto"/>
        <w:rPr>
          <w:rFonts w:ascii="宋体" w:hAnsi="宋体" w:cs="宋体"/>
          <w:b/>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8.  技术资料</w:t>
      </w:r>
    </w:p>
    <w:p>
      <w:pPr>
        <w:spacing w:line="360" w:lineRule="auto"/>
        <w:ind w:firstLine="36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8.1 甲方向乙方提供货物的有关技术资料。</w:t>
      </w:r>
    </w:p>
    <w:p>
      <w:pPr>
        <w:spacing w:line="360" w:lineRule="auto"/>
        <w:ind w:firstLine="36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8.2 乙方应在采购文件规定的时间向甲方提供使用货物的有关技术资料。</w:t>
      </w:r>
    </w:p>
    <w:p>
      <w:pPr>
        <w:spacing w:line="360" w:lineRule="auto"/>
        <w:ind w:firstLine="36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8.3 没有甲方事先书面同意，乙方不得将甲方提供的有关合同或任何合同条文、规格、计划、图纸、样品或资料提供给与履行本合同无关的其他任何人。即使向与履行本合同有关的人员提供，也应注意保密并限于履行合同的必需范围。</w:t>
      </w:r>
    </w:p>
    <w:p>
      <w:pPr>
        <w:spacing w:line="360" w:lineRule="auto"/>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9.  货物包装、发运及运输</w:t>
      </w:r>
    </w:p>
    <w:p>
      <w:pPr>
        <w:tabs>
          <w:tab w:val="left" w:pos="0"/>
        </w:tabs>
        <w:spacing w:line="360" w:lineRule="auto"/>
        <w:ind w:firstLine="36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9.1 乙方应在货物发运前对其进行满足运输距离、防潮、防震、防锈和防破损装卸等要求包装，以保证货物安全运达甲方指定地点。</w:t>
      </w:r>
    </w:p>
    <w:p>
      <w:pPr>
        <w:tabs>
          <w:tab w:val="left" w:pos="0"/>
        </w:tabs>
        <w:spacing w:line="360" w:lineRule="auto"/>
        <w:ind w:firstLine="36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9.2 使用说明书、质量检验证明书、保修单据、随配附件和工具以及清单一并附于货物内。</w:t>
      </w:r>
    </w:p>
    <w:p>
      <w:pPr>
        <w:tabs>
          <w:tab w:val="left" w:pos="0"/>
        </w:tabs>
        <w:spacing w:line="360" w:lineRule="auto"/>
        <w:ind w:firstLine="36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9.3 乙方在货物发运手续办理完毕后24小时内或货到甲方48小时前通知甲方，以准备接货。</w:t>
      </w:r>
    </w:p>
    <w:p>
      <w:pPr>
        <w:tabs>
          <w:tab w:val="left" w:pos="0"/>
        </w:tabs>
        <w:spacing w:line="360" w:lineRule="auto"/>
        <w:ind w:firstLine="36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9.4 货物在交付甲方前发生的风险均由乙方负责。</w:t>
      </w:r>
    </w:p>
    <w:p>
      <w:pPr>
        <w:tabs>
          <w:tab w:val="left" w:pos="0"/>
        </w:tabs>
        <w:spacing w:line="360" w:lineRule="auto"/>
        <w:ind w:firstLine="36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9.5 货物在规定的交付期限内由乙方送达甲方指定的地点视为交付，乙方同时需通知甲方货物已送达。</w:t>
      </w:r>
    </w:p>
    <w:p>
      <w:pPr>
        <w:spacing w:line="360" w:lineRule="auto"/>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10.  调试和验收</w:t>
      </w:r>
    </w:p>
    <w:p>
      <w:pPr>
        <w:spacing w:line="360" w:lineRule="auto"/>
        <w:ind w:firstLine="359" w:firstLineChars="171"/>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10.1 乙方将货物运达约定的交货地点后，甲方应在五个工作日内对乙方提交的货物依据招标文件、投标文件要求和国家标准或行业标准进行现场初步验收。对外观、说明书符合要求的，给予签收；对不符合要求或有质量问题的货物不予签收，可立即要求退换，乙方不得拒绝和延误。</w:t>
      </w:r>
    </w:p>
    <w:p>
      <w:pPr>
        <w:spacing w:line="360" w:lineRule="auto"/>
        <w:ind w:firstLine="359" w:firstLineChars="171"/>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10.2 乙方交货前应对产品作出全面检查和对验收文件进行整理，并列出清单，作为甲方收货验收和使用的技术条件依据，检验的结果应随货物交甲方。</w:t>
      </w:r>
    </w:p>
    <w:p>
      <w:pPr>
        <w:spacing w:line="360" w:lineRule="auto"/>
        <w:ind w:firstLine="359" w:firstLineChars="171"/>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10.3 甲方对乙方提供的货物在使用前进行调试时，乙方需负责安装并培训甲方的使用操作人员，并协助甲方一起调试，直到符合技术要求，甲方才做最终验收。</w:t>
      </w:r>
    </w:p>
    <w:p>
      <w:pPr>
        <w:spacing w:line="360" w:lineRule="auto"/>
        <w:ind w:firstLine="359" w:firstLineChars="171"/>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10.4 验收时乙方必须在现场，验收完毕后作出验收结果报告。</w:t>
      </w:r>
    </w:p>
    <w:p>
      <w:pPr>
        <w:spacing w:line="360" w:lineRule="auto"/>
        <w:ind w:firstLine="359" w:firstLineChars="171"/>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10.5 对技术复杂的货物，甲方可请国家认可的专业检测机构参与验收，并由其出具质量检测报告，相关费用由甲方承担。</w:t>
      </w:r>
    </w:p>
    <w:p>
      <w:pPr>
        <w:spacing w:line="360" w:lineRule="auto"/>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11.  违约责任</w:t>
      </w:r>
    </w:p>
    <w:p>
      <w:pPr>
        <w:spacing w:line="360" w:lineRule="auto"/>
        <w:ind w:left="2" w:firstLine="36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11.1 甲方无正当理由拒收货物的，甲方向乙方偿付拒收合同款总值的百分之五违约金。</w:t>
      </w:r>
    </w:p>
    <w:p>
      <w:pPr>
        <w:spacing w:line="360" w:lineRule="auto"/>
        <w:ind w:left="2" w:firstLine="36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11.2 甲方无故逾期验收或办理合同款支付手续的，甲方应按逾期付款总额每日万分之五向乙方支付违约金。</w:t>
      </w:r>
    </w:p>
    <w:p>
      <w:pPr>
        <w:spacing w:line="360" w:lineRule="auto"/>
        <w:ind w:left="2" w:firstLine="36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11.3 乙方逾期交付货物的，乙方应按逾期交货总额每日万分之五向甲方支付违约金，由甲方从待付合同款中扣除。乙方逾期超过本合同约定交货日期十个工作日以上不能交货的，甲方可解除本合同。乙方因逾期交货十个工作日以上或因其他违约行为导致甲方解除合同的，乙方应向甲方支付合同款总值百分之五的违约金，如造成甲方损失超过违约金的，超出部分由乙方继续承担赔偿责任。</w:t>
      </w:r>
    </w:p>
    <w:p>
      <w:pPr>
        <w:spacing w:line="360" w:lineRule="auto"/>
        <w:ind w:left="2" w:firstLine="36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11.4 乙方所交的货物品种、型号、规格、技术参数、质量不符合合同规定及采购文件规定标准的，甲方有权拒收该货物，乙方愿意更换货物但逾期交货的，按乙方逾期交货处理。乙方拒绝更换货物的，甲方可单方面解除合同。</w:t>
      </w:r>
    </w:p>
    <w:p>
      <w:pPr>
        <w:spacing w:line="360" w:lineRule="auto"/>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12.  不可抗力事件处理</w:t>
      </w:r>
    </w:p>
    <w:p>
      <w:pPr>
        <w:spacing w:line="360" w:lineRule="auto"/>
        <w:ind w:firstLine="359" w:firstLineChars="171"/>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12.1 在合同有效期内，任何一方因不可抗力事件导致不能履行合同，则合同履行期可延长，其延长期与不可抗力影响期相同。</w:t>
      </w:r>
    </w:p>
    <w:p>
      <w:pPr>
        <w:spacing w:line="360" w:lineRule="auto"/>
        <w:ind w:firstLine="359" w:firstLineChars="171"/>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12.2 不可抗力事件发生后，应立即通知对方，并寄送有关权威机构出具的证明。</w:t>
      </w:r>
    </w:p>
    <w:p>
      <w:pPr>
        <w:spacing w:line="360" w:lineRule="auto"/>
        <w:ind w:firstLine="359" w:firstLineChars="171"/>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12.3 不可抗力事件延续120天以上，双方应通过友好协商，确定是否继续履行合同。</w:t>
      </w:r>
    </w:p>
    <w:p>
      <w:pPr>
        <w:spacing w:line="360" w:lineRule="auto"/>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13.  诉讼</w:t>
      </w:r>
    </w:p>
    <w:p>
      <w:pPr>
        <w:tabs>
          <w:tab w:val="left" w:pos="0"/>
        </w:tabs>
        <w:spacing w:line="360" w:lineRule="auto"/>
        <w:ind w:firstLine="359" w:firstLineChars="171"/>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13.1 双方在执行合同中所发生的一切争议，应通过协商解决。如协商不成，可向合同签订地法院起诉，合同签订地在此约定为广西梧州市。</w:t>
      </w:r>
    </w:p>
    <w:p>
      <w:pPr>
        <w:spacing w:line="360" w:lineRule="auto"/>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14.  合同生效及其它</w:t>
      </w:r>
    </w:p>
    <w:p>
      <w:pPr>
        <w:spacing w:line="360" w:lineRule="auto"/>
        <w:ind w:firstLine="36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14.1 合同经双方法定代表人或授权委托代理人签字并加盖单位公章后生效。</w:t>
      </w:r>
    </w:p>
    <w:p>
      <w:pPr>
        <w:spacing w:line="360" w:lineRule="auto"/>
        <w:ind w:firstLine="36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14.2 本合同未尽事宜，遵照《中华人民共和国合同法》有关条文执行。</w:t>
      </w:r>
    </w:p>
    <w:p>
      <w:pPr>
        <w:spacing w:line="360" w:lineRule="auto"/>
        <w:ind w:firstLine="36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14.3 本合同正本一式肆份，具有同等法律效力，甲乙双方各执一份；采购代理机构执一份，政府采购监督管理部门一份，采购人自合同签订之日起七个工作日内报政府采购监督管理部门备案。</w:t>
      </w:r>
    </w:p>
    <w:p>
      <w:pPr>
        <w:spacing w:line="440" w:lineRule="exact"/>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甲方：</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 xml:space="preserve">    乙方：</w:t>
      </w:r>
      <w:r>
        <w:rPr>
          <w:rFonts w:hint="eastAsia" w:ascii="宋体" w:hAnsi="宋体" w:cs="宋体"/>
          <w:color w:val="000000" w:themeColor="text1"/>
          <w:szCs w:val="21"/>
          <w:highlight w:val="none"/>
          <w:u w:val="single"/>
          <w14:textFill>
            <w14:solidFill>
              <w14:schemeClr w14:val="tx1"/>
            </w14:solidFill>
          </w14:textFill>
        </w:rPr>
        <w:t xml:space="preserve">                                    </w:t>
      </w:r>
    </w:p>
    <w:p>
      <w:pPr>
        <w:spacing w:line="44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地址：</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 xml:space="preserve">    地址：</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 xml:space="preserve">     </w:t>
      </w:r>
    </w:p>
    <w:p>
      <w:pPr>
        <w:spacing w:line="44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法定代表人：</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 xml:space="preserve">    法定代表人：</w:t>
      </w:r>
      <w:r>
        <w:rPr>
          <w:rFonts w:hint="eastAsia" w:ascii="宋体" w:hAnsi="宋体" w:cs="宋体"/>
          <w:color w:val="000000" w:themeColor="text1"/>
          <w:szCs w:val="21"/>
          <w:highlight w:val="none"/>
          <w:u w:val="single"/>
          <w14:textFill>
            <w14:solidFill>
              <w14:schemeClr w14:val="tx1"/>
            </w14:solidFill>
          </w14:textFill>
        </w:rPr>
        <w:t xml:space="preserve">                              </w:t>
      </w:r>
    </w:p>
    <w:p>
      <w:pPr>
        <w:spacing w:line="44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委托代理人：</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 xml:space="preserve">    委托代理人：</w:t>
      </w:r>
      <w:r>
        <w:rPr>
          <w:rFonts w:hint="eastAsia" w:ascii="宋体" w:hAnsi="宋体" w:cs="宋体"/>
          <w:color w:val="000000" w:themeColor="text1"/>
          <w:szCs w:val="21"/>
          <w:highlight w:val="none"/>
          <w:u w:val="single"/>
          <w14:textFill>
            <w14:solidFill>
              <w14:schemeClr w14:val="tx1"/>
            </w14:solidFill>
          </w14:textFill>
        </w:rPr>
        <w:t xml:space="preserve">                              </w:t>
      </w:r>
    </w:p>
    <w:p>
      <w:pPr>
        <w:spacing w:line="44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电话：</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 xml:space="preserve">    电话：</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 xml:space="preserve">       </w:t>
      </w:r>
    </w:p>
    <w:p>
      <w:pPr>
        <w:spacing w:line="44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传真：</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 xml:space="preserve">    传真：</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 xml:space="preserve">    </w:t>
      </w:r>
    </w:p>
    <w:p>
      <w:pPr>
        <w:spacing w:line="440" w:lineRule="exact"/>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开户银行：</w:t>
      </w:r>
      <w:r>
        <w:rPr>
          <w:rFonts w:hint="eastAsia" w:ascii="宋体" w:hAnsi="宋体" w:cs="宋体"/>
          <w:color w:val="000000" w:themeColor="text1"/>
          <w:szCs w:val="21"/>
          <w:highlight w:val="none"/>
          <w:u w:val="single"/>
          <w14:textFill>
            <w14:solidFill>
              <w14:schemeClr w14:val="tx1"/>
            </w14:solidFill>
          </w14:textFill>
        </w:rPr>
        <w:t xml:space="preserve">                                </w:t>
      </w:r>
    </w:p>
    <w:p>
      <w:pPr>
        <w:spacing w:line="440" w:lineRule="exact"/>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开户名称：</w:t>
      </w:r>
      <w:r>
        <w:rPr>
          <w:rFonts w:hint="eastAsia" w:ascii="宋体" w:hAnsi="宋体" w:cs="宋体"/>
          <w:color w:val="000000" w:themeColor="text1"/>
          <w:szCs w:val="21"/>
          <w:highlight w:val="none"/>
          <w:u w:val="single"/>
          <w14:textFill>
            <w14:solidFill>
              <w14:schemeClr w14:val="tx1"/>
            </w14:solidFill>
          </w14:textFill>
        </w:rPr>
        <w:t xml:space="preserve">                                </w:t>
      </w:r>
    </w:p>
    <w:p>
      <w:pPr>
        <w:snapToGrid w:val="0"/>
        <w:spacing w:line="360" w:lineRule="auto"/>
        <w:jc w:val="center"/>
        <w:rPr>
          <w:rFonts w:ascii="宋体" w:hAnsi="宋体" w:cs="宋体"/>
          <w:b/>
          <w:color w:val="000000" w:themeColor="text1"/>
          <w:sz w:val="28"/>
          <w:szCs w:val="28"/>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银行账号：</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u w:val="single"/>
          <w:lang w:val="en-US" w:eastAsia="zh-CN"/>
          <w14:textFill>
            <w14:solidFill>
              <w14:schemeClr w14:val="tx1"/>
            </w14:solidFill>
          </w14:textFill>
        </w:rPr>
        <w:t xml:space="preserve">                   </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br w:type="page"/>
      </w:r>
      <w:r>
        <w:rPr>
          <w:rFonts w:hint="eastAsia" w:ascii="宋体" w:hAnsi="宋体" w:cs="宋体"/>
          <w:b/>
          <w:color w:val="000000" w:themeColor="text1"/>
          <w:sz w:val="28"/>
          <w:szCs w:val="28"/>
          <w:highlight w:val="none"/>
          <w14:textFill>
            <w14:solidFill>
              <w14:schemeClr w14:val="tx1"/>
            </w14:solidFill>
          </w14:textFill>
        </w:rPr>
        <w:t>合 同 附 件</w:t>
      </w:r>
    </w:p>
    <w:tbl>
      <w:tblPr>
        <w:tblStyle w:val="40"/>
        <w:tblW w:w="0" w:type="auto"/>
        <w:tblInd w:w="0" w:type="dxa"/>
        <w:tblLayout w:type="fixed"/>
        <w:tblCellMar>
          <w:top w:w="0" w:type="dxa"/>
          <w:left w:w="108" w:type="dxa"/>
          <w:bottom w:w="0" w:type="dxa"/>
          <w:right w:w="108" w:type="dxa"/>
        </w:tblCellMar>
      </w:tblPr>
      <w:tblGrid>
        <w:gridCol w:w="4799"/>
        <w:gridCol w:w="4829"/>
      </w:tblGrid>
      <w:tr>
        <w:tblPrEx>
          <w:tblCellMar>
            <w:top w:w="0" w:type="dxa"/>
            <w:left w:w="108" w:type="dxa"/>
            <w:bottom w:w="0" w:type="dxa"/>
            <w:right w:w="108" w:type="dxa"/>
          </w:tblCellMar>
        </w:tblPrEx>
        <w:trPr>
          <w:trHeight w:val="1226" w:hRule="atLeast"/>
        </w:trPr>
        <w:tc>
          <w:tcPr>
            <w:tcW w:w="9628" w:type="dxa"/>
            <w:gridSpan w:val="2"/>
            <w:tcBorders>
              <w:top w:val="single" w:color="auto" w:sz="4" w:space="0"/>
              <w:left w:val="single" w:color="auto" w:sz="4" w:space="0"/>
              <w:right w:val="single" w:color="auto" w:sz="4" w:space="0"/>
            </w:tcBorders>
          </w:tcPr>
          <w:p>
            <w:pPr>
              <w:snapToGrid w:val="0"/>
              <w:spacing w:line="360" w:lineRule="auto"/>
              <w:ind w:firstLine="211" w:firstLineChars="100"/>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1.供应商承诺具体事项：</w:t>
            </w:r>
          </w:p>
          <w:p>
            <w:pPr>
              <w:snapToGrid w:val="0"/>
              <w:spacing w:line="360" w:lineRule="auto"/>
              <w:ind w:firstLine="422"/>
              <w:rPr>
                <w:rFonts w:ascii="宋体" w:hAnsi="宋体" w:cs="宋体"/>
                <w:b/>
                <w:color w:val="000000" w:themeColor="text1"/>
                <w:szCs w:val="21"/>
                <w:highlight w:val="none"/>
                <w14:textFill>
                  <w14:solidFill>
                    <w14:schemeClr w14:val="tx1"/>
                  </w14:solidFill>
                </w14:textFill>
              </w:rPr>
            </w:pPr>
          </w:p>
          <w:p>
            <w:pPr>
              <w:snapToGrid w:val="0"/>
              <w:spacing w:line="360" w:lineRule="auto"/>
              <w:ind w:firstLine="422"/>
              <w:rPr>
                <w:rFonts w:ascii="宋体" w:hAnsi="宋体" w:cs="宋体"/>
                <w:b/>
                <w:color w:val="000000" w:themeColor="text1"/>
                <w:szCs w:val="21"/>
                <w:highlight w:val="none"/>
                <w14:textFill>
                  <w14:solidFill>
                    <w14:schemeClr w14:val="tx1"/>
                  </w14:solidFill>
                </w14:textFill>
              </w:rPr>
            </w:pPr>
          </w:p>
          <w:p>
            <w:pPr>
              <w:snapToGrid w:val="0"/>
              <w:spacing w:line="360" w:lineRule="auto"/>
              <w:ind w:firstLine="422"/>
              <w:rPr>
                <w:rFonts w:ascii="宋体" w:hAnsi="宋体" w:cs="宋体"/>
                <w:b/>
                <w:color w:val="000000" w:themeColor="text1"/>
                <w:szCs w:val="21"/>
                <w:highlight w:val="none"/>
                <w14:textFill>
                  <w14:solidFill>
                    <w14:schemeClr w14:val="tx1"/>
                  </w14:solidFill>
                </w14:textFill>
              </w:rPr>
            </w:pPr>
          </w:p>
        </w:tc>
      </w:tr>
      <w:tr>
        <w:tblPrEx>
          <w:tblCellMar>
            <w:top w:w="0" w:type="dxa"/>
            <w:left w:w="108" w:type="dxa"/>
            <w:bottom w:w="0" w:type="dxa"/>
            <w:right w:w="108" w:type="dxa"/>
          </w:tblCellMar>
        </w:tblPrEx>
        <w:trPr>
          <w:trHeight w:val="1360" w:hRule="atLeast"/>
        </w:trPr>
        <w:tc>
          <w:tcPr>
            <w:tcW w:w="9628" w:type="dxa"/>
            <w:gridSpan w:val="2"/>
            <w:tcBorders>
              <w:top w:val="single" w:color="auto" w:sz="4" w:space="0"/>
              <w:left w:val="single" w:color="auto" w:sz="4" w:space="0"/>
              <w:right w:val="single" w:color="auto" w:sz="4" w:space="0"/>
            </w:tcBorders>
          </w:tcPr>
          <w:p>
            <w:pPr>
              <w:snapToGrid w:val="0"/>
              <w:spacing w:line="360" w:lineRule="auto"/>
              <w:ind w:firstLine="211" w:firstLineChars="100"/>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2.其他具体事项：</w:t>
            </w:r>
          </w:p>
          <w:p>
            <w:pPr>
              <w:snapToGrid w:val="0"/>
              <w:spacing w:line="360" w:lineRule="auto"/>
              <w:ind w:firstLine="422"/>
              <w:rPr>
                <w:rFonts w:ascii="宋体" w:hAnsi="宋体" w:cs="宋体"/>
                <w:b/>
                <w:color w:val="000000" w:themeColor="text1"/>
                <w:szCs w:val="21"/>
                <w:highlight w:val="none"/>
                <w14:textFill>
                  <w14:solidFill>
                    <w14:schemeClr w14:val="tx1"/>
                  </w14:solidFill>
                </w14:textFill>
              </w:rPr>
            </w:pPr>
          </w:p>
          <w:p>
            <w:pPr>
              <w:snapToGrid w:val="0"/>
              <w:spacing w:line="360" w:lineRule="auto"/>
              <w:ind w:firstLine="422"/>
              <w:rPr>
                <w:rFonts w:ascii="宋体" w:hAnsi="宋体" w:cs="宋体"/>
                <w:b/>
                <w:color w:val="000000" w:themeColor="text1"/>
                <w:szCs w:val="21"/>
                <w:highlight w:val="none"/>
                <w14:textFill>
                  <w14:solidFill>
                    <w14:schemeClr w14:val="tx1"/>
                  </w14:solidFill>
                </w14:textFill>
              </w:rPr>
            </w:pPr>
          </w:p>
          <w:p>
            <w:pPr>
              <w:snapToGrid w:val="0"/>
              <w:spacing w:line="360" w:lineRule="auto"/>
              <w:ind w:firstLine="422"/>
              <w:rPr>
                <w:rFonts w:ascii="宋体" w:hAnsi="宋体" w:cs="宋体"/>
                <w:b/>
                <w:color w:val="000000" w:themeColor="text1"/>
                <w:szCs w:val="21"/>
                <w:highlight w:val="none"/>
                <w14:textFill>
                  <w14:solidFill>
                    <w14:schemeClr w14:val="tx1"/>
                  </w14:solidFill>
                </w14:textFill>
              </w:rPr>
            </w:pPr>
          </w:p>
        </w:tc>
      </w:tr>
      <w:tr>
        <w:tblPrEx>
          <w:tblCellMar>
            <w:top w:w="0" w:type="dxa"/>
            <w:left w:w="108" w:type="dxa"/>
            <w:bottom w:w="0" w:type="dxa"/>
            <w:right w:w="108" w:type="dxa"/>
          </w:tblCellMar>
        </w:tblPrEx>
        <w:trPr>
          <w:trHeight w:val="1703" w:hRule="atLeast"/>
        </w:trPr>
        <w:tc>
          <w:tcPr>
            <w:tcW w:w="479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22"/>
              <w:rPr>
                <w:rFonts w:ascii="宋体" w:hAnsi="宋体" w:cs="宋体"/>
                <w:b/>
                <w:color w:val="000000" w:themeColor="text1"/>
                <w:szCs w:val="21"/>
                <w:highlight w:val="none"/>
                <w14:textFill>
                  <w14:solidFill>
                    <w14:schemeClr w14:val="tx1"/>
                  </w14:solidFill>
                </w14:textFill>
              </w:rPr>
            </w:pPr>
          </w:p>
          <w:p>
            <w:pPr>
              <w:snapToGrid w:val="0"/>
              <w:spacing w:line="360" w:lineRule="auto"/>
              <w:ind w:firstLine="422"/>
              <w:rPr>
                <w:rFonts w:ascii="宋体" w:hAnsi="宋体" w:cs="宋体"/>
                <w:b/>
                <w:color w:val="000000" w:themeColor="text1"/>
                <w:szCs w:val="21"/>
                <w:highlight w:val="none"/>
                <w14:textFill>
                  <w14:solidFill>
                    <w14:schemeClr w14:val="tx1"/>
                  </w14:solidFill>
                </w14:textFill>
              </w:rPr>
            </w:pPr>
          </w:p>
          <w:p>
            <w:pPr>
              <w:snapToGrid w:val="0"/>
              <w:spacing w:line="360" w:lineRule="auto"/>
              <w:ind w:firstLine="422"/>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甲方（公章）</w:t>
            </w:r>
          </w:p>
          <w:p>
            <w:pPr>
              <w:snapToGrid w:val="0"/>
              <w:spacing w:line="360" w:lineRule="auto"/>
              <w:ind w:firstLine="422"/>
              <w:rPr>
                <w:rFonts w:ascii="宋体" w:hAnsi="宋体" w:cs="宋体"/>
                <w:b/>
                <w:color w:val="000000" w:themeColor="text1"/>
                <w:szCs w:val="21"/>
                <w:highlight w:val="none"/>
                <w14:textFill>
                  <w14:solidFill>
                    <w14:schemeClr w14:val="tx1"/>
                  </w14:solidFill>
                </w14:textFill>
              </w:rPr>
            </w:pPr>
          </w:p>
          <w:p>
            <w:pPr>
              <w:snapToGrid w:val="0"/>
              <w:spacing w:line="360" w:lineRule="auto"/>
              <w:ind w:firstLine="422"/>
              <w:rPr>
                <w:rFonts w:ascii="宋体" w:hAnsi="宋体" w:cs="宋体"/>
                <w:b/>
                <w:color w:val="000000" w:themeColor="text1"/>
                <w:szCs w:val="21"/>
                <w:highlight w:val="none"/>
                <w14:textFill>
                  <w14:solidFill>
                    <w14:schemeClr w14:val="tx1"/>
                  </w14:solidFill>
                </w14:textFill>
              </w:rPr>
            </w:pPr>
          </w:p>
          <w:p>
            <w:pPr>
              <w:snapToGrid w:val="0"/>
              <w:spacing w:line="360" w:lineRule="auto"/>
              <w:ind w:firstLine="422"/>
              <w:rPr>
                <w:rFonts w:ascii="宋体" w:hAnsi="宋体" w:cs="宋体"/>
                <w:b/>
                <w:color w:val="000000" w:themeColor="text1"/>
                <w:szCs w:val="21"/>
                <w:highlight w:val="none"/>
                <w14:textFill>
                  <w14:solidFill>
                    <w14:schemeClr w14:val="tx1"/>
                  </w14:solidFill>
                </w14:textFill>
              </w:rPr>
            </w:pPr>
          </w:p>
          <w:p>
            <w:pPr>
              <w:snapToGrid w:val="0"/>
              <w:spacing w:line="360" w:lineRule="auto"/>
              <w:rPr>
                <w:rFonts w:ascii="宋体" w:hAnsi="宋体" w:cs="宋体"/>
                <w:b/>
                <w:color w:val="000000" w:themeColor="text1"/>
                <w:szCs w:val="21"/>
                <w:highlight w:val="none"/>
                <w14:textFill>
                  <w14:solidFill>
                    <w14:schemeClr w14:val="tx1"/>
                  </w14:solidFill>
                </w14:textFill>
              </w:rPr>
            </w:pPr>
          </w:p>
          <w:p>
            <w:pPr>
              <w:snapToGrid w:val="0"/>
              <w:spacing w:line="360" w:lineRule="auto"/>
              <w:ind w:firstLine="422"/>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 xml:space="preserve">                 年   月   日 </w:t>
            </w:r>
          </w:p>
        </w:tc>
        <w:tc>
          <w:tcPr>
            <w:tcW w:w="48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22"/>
              <w:rPr>
                <w:rFonts w:ascii="宋体" w:hAnsi="宋体" w:cs="宋体"/>
                <w:b/>
                <w:color w:val="000000" w:themeColor="text1"/>
                <w:szCs w:val="21"/>
                <w:highlight w:val="none"/>
                <w14:textFill>
                  <w14:solidFill>
                    <w14:schemeClr w14:val="tx1"/>
                  </w14:solidFill>
                </w14:textFill>
              </w:rPr>
            </w:pPr>
          </w:p>
          <w:p>
            <w:pPr>
              <w:snapToGrid w:val="0"/>
              <w:spacing w:line="360" w:lineRule="auto"/>
              <w:ind w:firstLine="422"/>
              <w:rPr>
                <w:rFonts w:ascii="宋体" w:hAnsi="宋体" w:cs="宋体"/>
                <w:b/>
                <w:color w:val="000000" w:themeColor="text1"/>
                <w:szCs w:val="21"/>
                <w:highlight w:val="none"/>
                <w14:textFill>
                  <w14:solidFill>
                    <w14:schemeClr w14:val="tx1"/>
                  </w14:solidFill>
                </w14:textFill>
              </w:rPr>
            </w:pPr>
          </w:p>
          <w:p>
            <w:pPr>
              <w:snapToGrid w:val="0"/>
              <w:spacing w:line="360" w:lineRule="auto"/>
              <w:ind w:firstLine="422"/>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乙方（公章）</w:t>
            </w:r>
          </w:p>
          <w:p>
            <w:pPr>
              <w:snapToGrid w:val="0"/>
              <w:spacing w:line="360" w:lineRule="auto"/>
              <w:ind w:firstLine="422"/>
              <w:rPr>
                <w:rFonts w:ascii="宋体" w:hAnsi="宋体" w:cs="宋体"/>
                <w:b/>
                <w:color w:val="000000" w:themeColor="text1"/>
                <w:szCs w:val="21"/>
                <w:highlight w:val="none"/>
                <w14:textFill>
                  <w14:solidFill>
                    <w14:schemeClr w14:val="tx1"/>
                  </w14:solidFill>
                </w14:textFill>
              </w:rPr>
            </w:pPr>
          </w:p>
          <w:p>
            <w:pPr>
              <w:snapToGrid w:val="0"/>
              <w:spacing w:line="360" w:lineRule="auto"/>
              <w:ind w:firstLine="422"/>
              <w:rPr>
                <w:rFonts w:ascii="宋体" w:hAnsi="宋体" w:cs="宋体"/>
                <w:b/>
                <w:color w:val="000000" w:themeColor="text1"/>
                <w:szCs w:val="21"/>
                <w:highlight w:val="none"/>
                <w14:textFill>
                  <w14:solidFill>
                    <w14:schemeClr w14:val="tx1"/>
                  </w14:solidFill>
                </w14:textFill>
              </w:rPr>
            </w:pPr>
          </w:p>
          <w:p>
            <w:pPr>
              <w:snapToGrid w:val="0"/>
              <w:spacing w:line="360" w:lineRule="auto"/>
              <w:ind w:firstLine="422"/>
              <w:rPr>
                <w:rFonts w:ascii="宋体" w:hAnsi="宋体" w:cs="宋体"/>
                <w:b/>
                <w:color w:val="000000" w:themeColor="text1"/>
                <w:szCs w:val="21"/>
                <w:highlight w:val="none"/>
                <w14:textFill>
                  <w14:solidFill>
                    <w14:schemeClr w14:val="tx1"/>
                  </w14:solidFill>
                </w14:textFill>
              </w:rPr>
            </w:pPr>
          </w:p>
          <w:p>
            <w:pPr>
              <w:snapToGrid w:val="0"/>
              <w:spacing w:line="360" w:lineRule="auto"/>
              <w:rPr>
                <w:rFonts w:ascii="宋体" w:hAnsi="宋体" w:cs="宋体"/>
                <w:b/>
                <w:color w:val="000000" w:themeColor="text1"/>
                <w:szCs w:val="21"/>
                <w:highlight w:val="none"/>
                <w14:textFill>
                  <w14:solidFill>
                    <w14:schemeClr w14:val="tx1"/>
                  </w14:solidFill>
                </w14:textFill>
              </w:rPr>
            </w:pPr>
          </w:p>
          <w:p>
            <w:pPr>
              <w:snapToGrid w:val="0"/>
              <w:spacing w:line="360" w:lineRule="auto"/>
              <w:ind w:firstLine="422"/>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 xml:space="preserve">                年   月   日</w:t>
            </w:r>
          </w:p>
        </w:tc>
      </w:tr>
    </w:tbl>
    <w:p>
      <w:pPr>
        <w:snapToGrid w:val="0"/>
        <w:spacing w:line="360" w:lineRule="auto"/>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注：售后服务事项填不下时可另加附页</w:t>
      </w:r>
    </w:p>
    <w:p>
      <w:pPr>
        <w:snapToGrid w:val="0"/>
        <w:spacing w:line="400" w:lineRule="exact"/>
        <w:rPr>
          <w:rFonts w:ascii="宋体" w:hAnsi="宋体" w:cs="宋体"/>
          <w:b/>
          <w:bCs/>
          <w:color w:val="000000" w:themeColor="text1"/>
          <w:highlight w:val="none"/>
          <w14:textFill>
            <w14:solidFill>
              <w14:schemeClr w14:val="tx1"/>
            </w14:solidFill>
          </w14:textFill>
        </w:rPr>
      </w:pPr>
    </w:p>
    <w:p>
      <w:pPr>
        <w:snapToGrid w:val="0"/>
        <w:rPr>
          <w:rFonts w:ascii="宋体" w:hAnsi="宋体" w:cs="宋体"/>
          <w:color w:val="000000" w:themeColor="text1"/>
          <w:highlight w:val="none"/>
          <w14:textFill>
            <w14:solidFill>
              <w14:schemeClr w14:val="tx1"/>
            </w14:solidFill>
          </w14:textFill>
        </w:rPr>
      </w:pPr>
    </w:p>
    <w:p>
      <w:pPr>
        <w:pStyle w:val="36"/>
        <w:ind w:firstLine="482"/>
        <w:rPr>
          <w:rFonts w:ascii="宋体" w:hAnsi="宋体" w:eastAsia="宋体" w:cs="宋体"/>
          <w:color w:val="000000" w:themeColor="text1"/>
          <w:highlight w:val="none"/>
          <w:lang w:eastAsia="zh-CN"/>
          <w14:textFill>
            <w14:solidFill>
              <w14:schemeClr w14:val="tx1"/>
            </w14:solidFill>
          </w14:textFill>
        </w:rPr>
      </w:pPr>
    </w:p>
    <w:p>
      <w:pPr>
        <w:snapToGrid w:val="0"/>
        <w:ind w:left="420" w:hanging="420" w:hangingChars="200"/>
        <w:rPr>
          <w:rFonts w:ascii="宋体" w:hAnsi="宋体" w:cs="宋体"/>
          <w:color w:val="000000" w:themeColor="text1"/>
          <w:szCs w:val="21"/>
          <w:highlight w:val="none"/>
          <w14:textFill>
            <w14:solidFill>
              <w14:schemeClr w14:val="tx1"/>
            </w14:solidFill>
          </w14:textFill>
        </w:rPr>
      </w:pPr>
    </w:p>
    <w:p>
      <w:pPr>
        <w:snapToGrid w:val="0"/>
        <w:spacing w:line="360" w:lineRule="auto"/>
        <w:jc w:val="center"/>
        <w:rPr>
          <w:rFonts w:ascii="宋体" w:hAnsi="宋体" w:cs="宋体"/>
          <w:b/>
          <w:color w:val="000000" w:themeColor="text1"/>
          <w:sz w:val="28"/>
          <w:szCs w:val="28"/>
          <w:highlight w:val="none"/>
          <w14:textFill>
            <w14:solidFill>
              <w14:schemeClr w14:val="tx1"/>
            </w14:solidFill>
          </w14:textFill>
        </w:rPr>
      </w:pPr>
    </w:p>
    <w:p>
      <w:pPr>
        <w:pStyle w:val="20"/>
        <w:spacing w:line="370" w:lineRule="exact"/>
        <w:rPr>
          <w:rFonts w:hAnsi="宋体" w:cs="宋体"/>
          <w:color w:val="000000" w:themeColor="text1"/>
          <w:highlight w:val="none"/>
          <w14:textFill>
            <w14:solidFill>
              <w14:schemeClr w14:val="tx1"/>
            </w14:solidFill>
          </w14:textFill>
        </w:rPr>
      </w:pPr>
    </w:p>
    <w:p>
      <w:pPr>
        <w:spacing w:before="165" w:beforeLines="50" w:after="662" w:afterLines="200" w:line="340" w:lineRule="exact"/>
        <w:jc w:val="center"/>
        <w:rPr>
          <w:rFonts w:ascii="仿宋_GB2312" w:hAnsi="宋体" w:eastAsia="仿宋_GB2312" w:cs="宋体"/>
          <w:b/>
          <w:color w:val="000000" w:themeColor="text1"/>
          <w:kern w:val="0"/>
          <w:sz w:val="32"/>
          <w:szCs w:val="32"/>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br w:type="page"/>
      </w:r>
      <w:r>
        <w:rPr>
          <w:rFonts w:hint="eastAsia" w:ascii="仿宋_GB2312" w:hAnsi="宋体" w:eastAsia="仿宋_GB2312" w:cs="宋体"/>
          <w:b/>
          <w:bCs/>
          <w:color w:val="000000" w:themeColor="text1"/>
          <w:kern w:val="0"/>
          <w:sz w:val="32"/>
          <w:szCs w:val="32"/>
          <w:highlight w:val="none"/>
          <w14:textFill>
            <w14:solidFill>
              <w14:schemeClr w14:val="tx1"/>
            </w14:solidFill>
          </w14:textFill>
        </w:rPr>
        <w:t>广西壮族自治区政府采购项目</w:t>
      </w:r>
      <w:r>
        <w:rPr>
          <w:rFonts w:hint="eastAsia" w:ascii="仿宋_GB2312" w:hAnsi="宋体" w:eastAsia="仿宋_GB2312" w:cs="宋体"/>
          <w:b/>
          <w:color w:val="000000" w:themeColor="text1"/>
          <w:kern w:val="0"/>
          <w:sz w:val="32"/>
          <w:szCs w:val="32"/>
          <w:highlight w:val="none"/>
          <w14:textFill>
            <w14:solidFill>
              <w14:schemeClr w14:val="tx1"/>
            </w14:solidFill>
          </w14:textFill>
        </w:rPr>
        <w:t>合同验收书（格式）</w:t>
      </w:r>
    </w:p>
    <w:p>
      <w:pPr>
        <w:spacing w:line="340" w:lineRule="exact"/>
        <w:ind w:firstLine="420" w:firstLineChars="200"/>
        <w:rPr>
          <w:rFonts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 xml:space="preserve">根据政府采购项目（采购合同编号：      </w:t>
      </w:r>
      <w:r>
        <w:rPr>
          <w:rFonts w:hint="eastAsia" w:ascii="宋体" w:hAnsi="宋体" w:eastAsia="仿宋_GB2312" w:cs="宋体"/>
          <w:color w:val="000000" w:themeColor="text1"/>
          <w:kern w:val="0"/>
          <w:szCs w:val="21"/>
          <w:highlight w:val="none"/>
          <w14:textFill>
            <w14:solidFill>
              <w14:schemeClr w14:val="tx1"/>
            </w14:solidFill>
          </w14:textFill>
        </w:rPr>
        <w:t>   </w:t>
      </w:r>
      <w:r>
        <w:rPr>
          <w:rFonts w:hint="eastAsia" w:ascii="仿宋_GB2312" w:hAnsi="宋体" w:eastAsia="仿宋_GB2312" w:cs="宋体"/>
          <w:color w:val="000000" w:themeColor="text1"/>
          <w:kern w:val="0"/>
          <w:szCs w:val="21"/>
          <w:highlight w:val="none"/>
          <w14:textFill>
            <w14:solidFill>
              <w14:schemeClr w14:val="tx1"/>
            </w14:solidFill>
          </w14:textFill>
        </w:rPr>
        <w:t>）的约定，我单位对（ 项目名称 ）政府采购项目中标（或成交）供应商（    公司名称      ）提供的货物（或工程、服务）进行了验收，验收情况如下：</w:t>
      </w:r>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984"/>
        <w:gridCol w:w="426"/>
        <w:gridCol w:w="2551"/>
        <w:gridCol w:w="98"/>
        <w:gridCol w:w="1556"/>
        <w:gridCol w:w="14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3510" w:type="dxa"/>
            <w:gridSpan w:val="2"/>
            <w:vAlign w:val="center"/>
          </w:tcPr>
          <w:p>
            <w:pPr>
              <w:spacing w:line="340" w:lineRule="exact"/>
              <w:jc w:val="center"/>
              <w:rPr>
                <w:rFonts w:ascii="仿宋_GB2312" w:hAnsi="宋体" w:eastAsia="仿宋_GB2312"/>
                <w:b/>
                <w:color w:val="000000" w:themeColor="text1"/>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验收方式：</w:t>
            </w:r>
          </w:p>
        </w:tc>
        <w:tc>
          <w:tcPr>
            <w:tcW w:w="6118" w:type="dxa"/>
            <w:gridSpan w:val="5"/>
            <w:vAlign w:val="center"/>
          </w:tcPr>
          <w:p>
            <w:pPr>
              <w:spacing w:line="340" w:lineRule="exact"/>
              <w:jc w:val="center"/>
              <w:rPr>
                <w:rFonts w:ascii="仿宋_GB2312" w:hAnsi="宋体" w:eastAsia="仿宋_GB2312"/>
                <w:b/>
                <w:color w:val="000000" w:themeColor="text1"/>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□自行验收</w:t>
            </w:r>
            <w:r>
              <w:rPr>
                <w:rFonts w:hint="eastAsia" w:ascii="宋体" w:hAnsi="宋体" w:eastAsia="仿宋_GB2312" w:cs="宋体"/>
                <w:color w:val="000000" w:themeColor="text1"/>
                <w:kern w:val="0"/>
                <w:szCs w:val="21"/>
                <w:highlight w:val="none"/>
                <w14:textFill>
                  <w14:solidFill>
                    <w14:schemeClr w14:val="tx1"/>
                  </w14:solidFill>
                </w14:textFill>
              </w:rPr>
              <w:t>    </w:t>
            </w:r>
            <w:r>
              <w:rPr>
                <w:rFonts w:hint="eastAsia" w:ascii="仿宋_GB2312" w:hAnsi="宋体" w:eastAsia="仿宋_GB2312" w:cs="宋体"/>
                <w:color w:val="000000" w:themeColor="text1"/>
                <w:kern w:val="0"/>
                <w:szCs w:val="21"/>
                <w:highlight w:val="none"/>
                <w14:textFill>
                  <w14:solidFill>
                    <w14:schemeClr w14:val="tx1"/>
                  </w14:solidFill>
                </w14:textFill>
              </w:rPr>
              <w:t>□委托验收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widowControl/>
              <w:snapToGrid w:val="0"/>
              <w:spacing w:before="100" w:beforeAutospacing="1" w:after="100" w:afterAutospacing="1" w:line="320" w:lineRule="atLeast"/>
              <w:ind w:firstLine="2"/>
              <w:jc w:val="center"/>
              <w:rPr>
                <w:rFonts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序号</w:t>
            </w:r>
          </w:p>
        </w:tc>
        <w:tc>
          <w:tcPr>
            <w:tcW w:w="1984" w:type="dxa"/>
            <w:vAlign w:val="center"/>
          </w:tcPr>
          <w:p>
            <w:pPr>
              <w:widowControl/>
              <w:snapToGrid w:val="0"/>
              <w:spacing w:before="100" w:beforeAutospacing="1" w:after="100" w:afterAutospacing="1" w:line="320" w:lineRule="atLeast"/>
              <w:ind w:firstLine="2"/>
              <w:jc w:val="center"/>
              <w:rPr>
                <w:rFonts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名</w:t>
            </w:r>
            <w:r>
              <w:rPr>
                <w:rFonts w:hint="eastAsia" w:ascii="宋体" w:hAnsi="宋体" w:eastAsia="仿宋_GB2312" w:cs="宋体"/>
                <w:color w:val="000000" w:themeColor="text1"/>
                <w:kern w:val="0"/>
                <w:szCs w:val="21"/>
                <w:highlight w:val="none"/>
                <w14:textFill>
                  <w14:solidFill>
                    <w14:schemeClr w14:val="tx1"/>
                  </w14:solidFill>
                </w14:textFill>
              </w:rPr>
              <w:t> </w:t>
            </w:r>
            <w:r>
              <w:rPr>
                <w:rFonts w:hint="eastAsia" w:ascii="仿宋_GB2312" w:hAnsi="宋体" w:eastAsia="仿宋_GB2312" w:cs="宋体"/>
                <w:color w:val="000000" w:themeColor="text1"/>
                <w:kern w:val="0"/>
                <w:szCs w:val="21"/>
                <w:highlight w:val="none"/>
                <w14:textFill>
                  <w14:solidFill>
                    <w14:schemeClr w14:val="tx1"/>
                  </w14:solidFill>
                </w14:textFill>
              </w:rPr>
              <w:t>称</w:t>
            </w:r>
          </w:p>
        </w:tc>
        <w:tc>
          <w:tcPr>
            <w:tcW w:w="3075" w:type="dxa"/>
            <w:gridSpan w:val="3"/>
            <w:vAlign w:val="center"/>
          </w:tcPr>
          <w:p>
            <w:pPr>
              <w:widowControl/>
              <w:snapToGrid w:val="0"/>
              <w:spacing w:before="100" w:beforeAutospacing="1" w:after="100" w:afterAutospacing="1" w:line="320" w:lineRule="atLeast"/>
              <w:ind w:firstLine="2"/>
              <w:jc w:val="center"/>
              <w:rPr>
                <w:rFonts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货物型号规格、标准及配置等（或服务内容、标准）</w:t>
            </w:r>
          </w:p>
        </w:tc>
        <w:tc>
          <w:tcPr>
            <w:tcW w:w="1556" w:type="dxa"/>
            <w:vAlign w:val="center"/>
          </w:tcPr>
          <w:p>
            <w:pPr>
              <w:widowControl/>
              <w:snapToGrid w:val="0"/>
              <w:spacing w:before="100" w:beforeAutospacing="1" w:after="100" w:afterAutospacing="1" w:line="320" w:lineRule="atLeast"/>
              <w:jc w:val="center"/>
              <w:rPr>
                <w:rFonts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数量</w:t>
            </w:r>
          </w:p>
        </w:tc>
        <w:tc>
          <w:tcPr>
            <w:tcW w:w="1487" w:type="dxa"/>
            <w:vAlign w:val="center"/>
          </w:tcPr>
          <w:p>
            <w:pPr>
              <w:widowControl/>
              <w:snapToGrid w:val="0"/>
              <w:spacing w:before="100" w:beforeAutospacing="1" w:after="100" w:afterAutospacing="1" w:line="320" w:lineRule="atLeast"/>
              <w:ind w:firstLine="2"/>
              <w:jc w:val="center"/>
              <w:rPr>
                <w:rFonts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金</w:t>
            </w:r>
            <w:r>
              <w:rPr>
                <w:rFonts w:hint="eastAsia" w:ascii="宋体" w:hAnsi="宋体" w:eastAsia="仿宋_GB2312" w:cs="宋体"/>
                <w:color w:val="000000" w:themeColor="text1"/>
                <w:kern w:val="0"/>
                <w:szCs w:val="21"/>
                <w:highlight w:val="none"/>
                <w14:textFill>
                  <w14:solidFill>
                    <w14:schemeClr w14:val="tx1"/>
                  </w14:solidFill>
                </w14:textFill>
              </w:rPr>
              <w:t> </w:t>
            </w:r>
            <w:r>
              <w:rPr>
                <w:rFonts w:hint="eastAsia" w:ascii="仿宋_GB2312" w:hAnsi="宋体" w:eastAsia="仿宋_GB2312" w:cs="宋体"/>
                <w:color w:val="000000" w:themeColor="text1"/>
                <w:kern w:val="0"/>
                <w:szCs w:val="21"/>
                <w:highlight w:val="none"/>
                <w14:textFill>
                  <w14:solidFill>
                    <w14:schemeClr w14:val="tx1"/>
                  </w14:solidFill>
                </w14:textFill>
              </w:rPr>
              <w:t>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widowControl/>
              <w:snapToGrid w:val="0"/>
              <w:spacing w:before="100" w:beforeAutospacing="1" w:after="100" w:afterAutospacing="1" w:line="320" w:lineRule="atLeast"/>
              <w:ind w:firstLine="2"/>
              <w:jc w:val="center"/>
              <w:rPr>
                <w:rFonts w:ascii="仿宋_GB2312" w:hAnsi="宋体" w:eastAsia="仿宋_GB2312" w:cs="宋体"/>
                <w:color w:val="000000" w:themeColor="text1"/>
                <w:kern w:val="0"/>
                <w:szCs w:val="21"/>
                <w:highlight w:val="none"/>
                <w14:textFill>
                  <w14:solidFill>
                    <w14:schemeClr w14:val="tx1"/>
                  </w14:solidFill>
                </w14:textFill>
              </w:rPr>
            </w:pPr>
          </w:p>
        </w:tc>
        <w:tc>
          <w:tcPr>
            <w:tcW w:w="1984" w:type="dxa"/>
            <w:vAlign w:val="center"/>
          </w:tcPr>
          <w:p>
            <w:pPr>
              <w:widowControl/>
              <w:snapToGrid w:val="0"/>
              <w:spacing w:before="100" w:beforeAutospacing="1" w:after="100" w:afterAutospacing="1" w:line="320" w:lineRule="atLeast"/>
              <w:ind w:firstLine="2"/>
              <w:jc w:val="center"/>
              <w:rPr>
                <w:rFonts w:ascii="仿宋_GB2312" w:hAnsi="宋体" w:eastAsia="仿宋_GB2312" w:cs="宋体"/>
                <w:color w:val="000000" w:themeColor="text1"/>
                <w:kern w:val="0"/>
                <w:szCs w:val="21"/>
                <w:highlight w:val="none"/>
                <w14:textFill>
                  <w14:solidFill>
                    <w14:schemeClr w14:val="tx1"/>
                  </w14:solidFill>
                </w14:textFill>
              </w:rPr>
            </w:pPr>
          </w:p>
        </w:tc>
        <w:tc>
          <w:tcPr>
            <w:tcW w:w="3075" w:type="dxa"/>
            <w:gridSpan w:val="3"/>
            <w:vAlign w:val="center"/>
          </w:tcPr>
          <w:p>
            <w:pPr>
              <w:widowControl/>
              <w:snapToGrid w:val="0"/>
              <w:spacing w:before="100" w:beforeAutospacing="1" w:after="100" w:afterAutospacing="1" w:line="320" w:lineRule="atLeast"/>
              <w:ind w:firstLine="2"/>
              <w:jc w:val="center"/>
              <w:rPr>
                <w:rFonts w:ascii="仿宋_GB2312" w:hAnsi="宋体" w:eastAsia="仿宋_GB2312" w:cs="宋体"/>
                <w:color w:val="000000" w:themeColor="text1"/>
                <w:kern w:val="0"/>
                <w:szCs w:val="21"/>
                <w:highlight w:val="none"/>
                <w14:textFill>
                  <w14:solidFill>
                    <w14:schemeClr w14:val="tx1"/>
                  </w14:solidFill>
                </w14:textFill>
              </w:rPr>
            </w:pPr>
          </w:p>
        </w:tc>
        <w:tc>
          <w:tcPr>
            <w:tcW w:w="1556" w:type="dxa"/>
            <w:vAlign w:val="center"/>
          </w:tcPr>
          <w:p>
            <w:pPr>
              <w:widowControl/>
              <w:snapToGrid w:val="0"/>
              <w:spacing w:before="100" w:beforeAutospacing="1" w:after="100" w:afterAutospacing="1" w:line="320" w:lineRule="atLeast"/>
              <w:jc w:val="center"/>
              <w:rPr>
                <w:rFonts w:ascii="仿宋_GB2312" w:hAnsi="宋体" w:eastAsia="仿宋_GB2312" w:cs="宋体"/>
                <w:color w:val="000000" w:themeColor="text1"/>
                <w:kern w:val="0"/>
                <w:szCs w:val="21"/>
                <w:highlight w:val="none"/>
                <w14:textFill>
                  <w14:solidFill>
                    <w14:schemeClr w14:val="tx1"/>
                  </w14:solidFill>
                </w14:textFill>
              </w:rPr>
            </w:pPr>
          </w:p>
        </w:tc>
        <w:tc>
          <w:tcPr>
            <w:tcW w:w="1487" w:type="dxa"/>
            <w:vAlign w:val="center"/>
          </w:tcPr>
          <w:p>
            <w:pPr>
              <w:widowControl/>
              <w:snapToGrid w:val="0"/>
              <w:spacing w:before="100" w:beforeAutospacing="1" w:after="100" w:afterAutospacing="1" w:line="320" w:lineRule="atLeast"/>
              <w:ind w:firstLine="2"/>
              <w:jc w:val="center"/>
              <w:rPr>
                <w:rFonts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widowControl/>
              <w:snapToGrid w:val="0"/>
              <w:spacing w:before="100" w:beforeAutospacing="1" w:after="100" w:afterAutospacing="1" w:line="320" w:lineRule="atLeast"/>
              <w:ind w:firstLine="2"/>
              <w:jc w:val="center"/>
              <w:rPr>
                <w:rFonts w:ascii="仿宋_GB2312" w:hAnsi="宋体" w:eastAsia="仿宋_GB2312" w:cs="宋体"/>
                <w:color w:val="000000" w:themeColor="text1"/>
                <w:kern w:val="0"/>
                <w:szCs w:val="21"/>
                <w:highlight w:val="none"/>
                <w14:textFill>
                  <w14:solidFill>
                    <w14:schemeClr w14:val="tx1"/>
                  </w14:solidFill>
                </w14:textFill>
              </w:rPr>
            </w:pPr>
          </w:p>
        </w:tc>
        <w:tc>
          <w:tcPr>
            <w:tcW w:w="1984" w:type="dxa"/>
            <w:vAlign w:val="center"/>
          </w:tcPr>
          <w:p>
            <w:pPr>
              <w:widowControl/>
              <w:snapToGrid w:val="0"/>
              <w:spacing w:before="100" w:beforeAutospacing="1" w:after="100" w:afterAutospacing="1" w:line="320" w:lineRule="atLeast"/>
              <w:ind w:firstLine="2"/>
              <w:jc w:val="center"/>
              <w:rPr>
                <w:rFonts w:ascii="仿宋_GB2312" w:hAnsi="宋体" w:eastAsia="仿宋_GB2312" w:cs="宋体"/>
                <w:color w:val="000000" w:themeColor="text1"/>
                <w:kern w:val="0"/>
                <w:szCs w:val="21"/>
                <w:highlight w:val="none"/>
                <w14:textFill>
                  <w14:solidFill>
                    <w14:schemeClr w14:val="tx1"/>
                  </w14:solidFill>
                </w14:textFill>
              </w:rPr>
            </w:pPr>
          </w:p>
        </w:tc>
        <w:tc>
          <w:tcPr>
            <w:tcW w:w="3075" w:type="dxa"/>
            <w:gridSpan w:val="3"/>
            <w:vAlign w:val="center"/>
          </w:tcPr>
          <w:p>
            <w:pPr>
              <w:widowControl/>
              <w:snapToGrid w:val="0"/>
              <w:spacing w:before="100" w:beforeAutospacing="1" w:after="100" w:afterAutospacing="1" w:line="320" w:lineRule="atLeast"/>
              <w:ind w:firstLine="2"/>
              <w:jc w:val="center"/>
              <w:rPr>
                <w:rFonts w:ascii="仿宋_GB2312" w:hAnsi="宋体" w:eastAsia="仿宋_GB2312" w:cs="宋体"/>
                <w:color w:val="000000" w:themeColor="text1"/>
                <w:kern w:val="0"/>
                <w:szCs w:val="21"/>
                <w:highlight w:val="none"/>
                <w14:textFill>
                  <w14:solidFill>
                    <w14:schemeClr w14:val="tx1"/>
                  </w14:solidFill>
                </w14:textFill>
              </w:rPr>
            </w:pPr>
          </w:p>
        </w:tc>
        <w:tc>
          <w:tcPr>
            <w:tcW w:w="1556" w:type="dxa"/>
            <w:vAlign w:val="center"/>
          </w:tcPr>
          <w:p>
            <w:pPr>
              <w:widowControl/>
              <w:snapToGrid w:val="0"/>
              <w:spacing w:before="100" w:beforeAutospacing="1" w:after="100" w:afterAutospacing="1" w:line="320" w:lineRule="atLeast"/>
              <w:jc w:val="center"/>
              <w:rPr>
                <w:rFonts w:ascii="仿宋_GB2312" w:hAnsi="宋体" w:eastAsia="仿宋_GB2312" w:cs="宋体"/>
                <w:color w:val="000000" w:themeColor="text1"/>
                <w:kern w:val="0"/>
                <w:szCs w:val="21"/>
                <w:highlight w:val="none"/>
                <w14:textFill>
                  <w14:solidFill>
                    <w14:schemeClr w14:val="tx1"/>
                  </w14:solidFill>
                </w14:textFill>
              </w:rPr>
            </w:pPr>
          </w:p>
        </w:tc>
        <w:tc>
          <w:tcPr>
            <w:tcW w:w="1487" w:type="dxa"/>
            <w:vAlign w:val="center"/>
          </w:tcPr>
          <w:p>
            <w:pPr>
              <w:widowControl/>
              <w:snapToGrid w:val="0"/>
              <w:spacing w:before="100" w:beforeAutospacing="1" w:after="100" w:afterAutospacing="1" w:line="320" w:lineRule="atLeast"/>
              <w:ind w:firstLine="2"/>
              <w:jc w:val="center"/>
              <w:rPr>
                <w:rFonts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widowControl/>
              <w:snapToGrid w:val="0"/>
              <w:spacing w:before="100" w:beforeAutospacing="1" w:after="100" w:afterAutospacing="1" w:line="320" w:lineRule="atLeast"/>
              <w:ind w:firstLine="2"/>
              <w:jc w:val="center"/>
              <w:rPr>
                <w:rFonts w:ascii="仿宋_GB2312" w:hAnsi="宋体" w:eastAsia="仿宋_GB2312" w:cs="宋体"/>
                <w:color w:val="000000" w:themeColor="text1"/>
                <w:kern w:val="0"/>
                <w:szCs w:val="21"/>
                <w:highlight w:val="none"/>
                <w14:textFill>
                  <w14:solidFill>
                    <w14:schemeClr w14:val="tx1"/>
                  </w14:solidFill>
                </w14:textFill>
              </w:rPr>
            </w:pPr>
          </w:p>
        </w:tc>
        <w:tc>
          <w:tcPr>
            <w:tcW w:w="1984" w:type="dxa"/>
            <w:vAlign w:val="center"/>
          </w:tcPr>
          <w:p>
            <w:pPr>
              <w:widowControl/>
              <w:snapToGrid w:val="0"/>
              <w:spacing w:before="100" w:beforeAutospacing="1" w:after="100" w:afterAutospacing="1" w:line="320" w:lineRule="atLeast"/>
              <w:ind w:firstLine="2"/>
              <w:jc w:val="center"/>
              <w:rPr>
                <w:rFonts w:ascii="仿宋_GB2312" w:hAnsi="宋体" w:eastAsia="仿宋_GB2312" w:cs="宋体"/>
                <w:color w:val="000000" w:themeColor="text1"/>
                <w:kern w:val="0"/>
                <w:szCs w:val="21"/>
                <w:highlight w:val="none"/>
                <w14:textFill>
                  <w14:solidFill>
                    <w14:schemeClr w14:val="tx1"/>
                  </w14:solidFill>
                </w14:textFill>
              </w:rPr>
            </w:pPr>
          </w:p>
        </w:tc>
        <w:tc>
          <w:tcPr>
            <w:tcW w:w="3075" w:type="dxa"/>
            <w:gridSpan w:val="3"/>
            <w:vAlign w:val="center"/>
          </w:tcPr>
          <w:p>
            <w:pPr>
              <w:widowControl/>
              <w:snapToGrid w:val="0"/>
              <w:spacing w:before="100" w:beforeAutospacing="1" w:after="100" w:afterAutospacing="1" w:line="320" w:lineRule="atLeast"/>
              <w:ind w:firstLine="2"/>
              <w:jc w:val="center"/>
              <w:rPr>
                <w:rFonts w:ascii="仿宋_GB2312" w:hAnsi="宋体" w:eastAsia="仿宋_GB2312" w:cs="宋体"/>
                <w:color w:val="000000" w:themeColor="text1"/>
                <w:kern w:val="0"/>
                <w:szCs w:val="21"/>
                <w:highlight w:val="none"/>
                <w14:textFill>
                  <w14:solidFill>
                    <w14:schemeClr w14:val="tx1"/>
                  </w14:solidFill>
                </w14:textFill>
              </w:rPr>
            </w:pPr>
          </w:p>
        </w:tc>
        <w:tc>
          <w:tcPr>
            <w:tcW w:w="1556" w:type="dxa"/>
            <w:vAlign w:val="center"/>
          </w:tcPr>
          <w:p>
            <w:pPr>
              <w:widowControl/>
              <w:snapToGrid w:val="0"/>
              <w:spacing w:before="100" w:beforeAutospacing="1" w:after="100" w:afterAutospacing="1" w:line="320" w:lineRule="atLeast"/>
              <w:jc w:val="center"/>
              <w:rPr>
                <w:rFonts w:ascii="仿宋_GB2312" w:hAnsi="宋体" w:eastAsia="仿宋_GB2312" w:cs="宋体"/>
                <w:color w:val="000000" w:themeColor="text1"/>
                <w:kern w:val="0"/>
                <w:szCs w:val="21"/>
                <w:highlight w:val="none"/>
                <w14:textFill>
                  <w14:solidFill>
                    <w14:schemeClr w14:val="tx1"/>
                  </w14:solidFill>
                </w14:textFill>
              </w:rPr>
            </w:pPr>
          </w:p>
        </w:tc>
        <w:tc>
          <w:tcPr>
            <w:tcW w:w="1487" w:type="dxa"/>
            <w:vAlign w:val="center"/>
          </w:tcPr>
          <w:p>
            <w:pPr>
              <w:widowControl/>
              <w:snapToGrid w:val="0"/>
              <w:spacing w:before="100" w:beforeAutospacing="1" w:after="100" w:afterAutospacing="1" w:line="320" w:lineRule="atLeast"/>
              <w:ind w:firstLine="2"/>
              <w:jc w:val="center"/>
              <w:rPr>
                <w:rFonts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85" w:type="dxa"/>
            <w:gridSpan w:val="5"/>
            <w:vAlign w:val="center"/>
          </w:tcPr>
          <w:p>
            <w:pPr>
              <w:widowControl/>
              <w:snapToGrid w:val="0"/>
              <w:spacing w:before="100" w:beforeAutospacing="1" w:after="100" w:afterAutospacing="1" w:line="320" w:lineRule="atLeast"/>
              <w:ind w:firstLine="2"/>
              <w:jc w:val="left"/>
              <w:rPr>
                <w:rFonts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合</w:t>
            </w:r>
            <w:r>
              <w:rPr>
                <w:rFonts w:hint="eastAsia" w:ascii="宋体" w:hAnsi="宋体" w:eastAsia="仿宋_GB2312" w:cs="宋体"/>
                <w:color w:val="000000" w:themeColor="text1"/>
                <w:kern w:val="0"/>
                <w:szCs w:val="21"/>
                <w:highlight w:val="none"/>
                <w14:textFill>
                  <w14:solidFill>
                    <w14:schemeClr w14:val="tx1"/>
                  </w14:solidFill>
                </w14:textFill>
              </w:rPr>
              <w:t>  </w:t>
            </w:r>
            <w:r>
              <w:rPr>
                <w:rFonts w:hint="eastAsia" w:ascii="仿宋_GB2312" w:hAnsi="宋体" w:eastAsia="仿宋_GB2312" w:cs="宋体"/>
                <w:color w:val="000000" w:themeColor="text1"/>
                <w:kern w:val="0"/>
                <w:szCs w:val="21"/>
                <w:highlight w:val="none"/>
                <w14:textFill>
                  <w14:solidFill>
                    <w14:schemeClr w14:val="tx1"/>
                  </w14:solidFill>
                </w14:textFill>
              </w:rPr>
              <w:t>计</w:t>
            </w:r>
          </w:p>
        </w:tc>
        <w:tc>
          <w:tcPr>
            <w:tcW w:w="1556" w:type="dxa"/>
            <w:vAlign w:val="center"/>
          </w:tcPr>
          <w:p>
            <w:pPr>
              <w:widowControl/>
              <w:snapToGrid w:val="0"/>
              <w:spacing w:before="100" w:beforeAutospacing="1" w:after="100" w:afterAutospacing="1" w:line="320" w:lineRule="atLeast"/>
              <w:jc w:val="center"/>
              <w:rPr>
                <w:rFonts w:ascii="仿宋_GB2312" w:hAnsi="宋体" w:eastAsia="仿宋_GB2312" w:cs="宋体"/>
                <w:color w:val="000000" w:themeColor="text1"/>
                <w:kern w:val="0"/>
                <w:szCs w:val="21"/>
                <w:highlight w:val="none"/>
                <w14:textFill>
                  <w14:solidFill>
                    <w14:schemeClr w14:val="tx1"/>
                  </w14:solidFill>
                </w14:textFill>
              </w:rPr>
            </w:pPr>
          </w:p>
        </w:tc>
        <w:tc>
          <w:tcPr>
            <w:tcW w:w="1487" w:type="dxa"/>
            <w:vAlign w:val="center"/>
          </w:tcPr>
          <w:p>
            <w:pPr>
              <w:widowControl/>
              <w:snapToGrid w:val="0"/>
              <w:spacing w:before="100" w:beforeAutospacing="1" w:after="100" w:afterAutospacing="1" w:line="320" w:lineRule="atLeast"/>
              <w:ind w:firstLine="2"/>
              <w:jc w:val="center"/>
              <w:rPr>
                <w:rFonts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7"/>
            <w:vAlign w:val="center"/>
          </w:tcPr>
          <w:p>
            <w:pPr>
              <w:widowControl/>
              <w:snapToGrid w:val="0"/>
              <w:spacing w:before="100" w:beforeAutospacing="1" w:after="100" w:afterAutospacing="1" w:line="320" w:lineRule="atLeast"/>
              <w:ind w:firstLine="2"/>
              <w:jc w:val="left"/>
              <w:rPr>
                <w:rFonts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合计大写金额：</w:t>
            </w:r>
            <w:r>
              <w:rPr>
                <w:rFonts w:hint="eastAsia" w:ascii="宋体" w:hAnsi="宋体" w:eastAsia="仿宋_GB2312" w:cs="宋体"/>
                <w:color w:val="000000" w:themeColor="text1"/>
                <w:kern w:val="0"/>
                <w:szCs w:val="21"/>
                <w:highlight w:val="none"/>
                <w14:textFill>
                  <w14:solidFill>
                    <w14:schemeClr w14:val="tx1"/>
                  </w14:solidFill>
                </w14:textFill>
              </w:rPr>
              <w:t> </w:t>
            </w:r>
            <w:r>
              <w:rPr>
                <w:rFonts w:hint="eastAsia" w:ascii="仿宋_GB2312" w:hAnsi="宋体" w:eastAsia="仿宋_GB2312" w:cs="宋体"/>
                <w:color w:val="000000" w:themeColor="text1"/>
                <w:kern w:val="0"/>
                <w:szCs w:val="21"/>
                <w:highlight w:val="none"/>
                <w14:textFill>
                  <w14:solidFill>
                    <w14:schemeClr w14:val="tx1"/>
                  </w14:solidFill>
                </w14:textFill>
              </w:rPr>
              <w:t xml:space="preserve"> 仟</w:t>
            </w:r>
            <w:r>
              <w:rPr>
                <w:rFonts w:hint="eastAsia" w:ascii="宋体" w:hAnsi="宋体" w:eastAsia="仿宋_GB2312" w:cs="宋体"/>
                <w:color w:val="000000" w:themeColor="text1"/>
                <w:kern w:val="0"/>
                <w:szCs w:val="21"/>
                <w:highlight w:val="none"/>
                <w14:textFill>
                  <w14:solidFill>
                    <w14:schemeClr w14:val="tx1"/>
                  </w14:solidFill>
                </w14:textFill>
              </w:rPr>
              <w:t> </w:t>
            </w:r>
            <w:r>
              <w:rPr>
                <w:rFonts w:hint="eastAsia" w:ascii="仿宋_GB2312" w:hAnsi="宋体" w:eastAsia="仿宋_GB2312" w:cs="宋体"/>
                <w:color w:val="000000" w:themeColor="text1"/>
                <w:kern w:val="0"/>
                <w:szCs w:val="21"/>
                <w:highlight w:val="none"/>
                <w14:textFill>
                  <w14:solidFill>
                    <w14:schemeClr w14:val="tx1"/>
                  </w14:solidFill>
                </w14:textFill>
              </w:rPr>
              <w:t xml:space="preserve"> </w:t>
            </w:r>
            <w:r>
              <w:rPr>
                <w:rFonts w:hint="eastAsia" w:ascii="宋体" w:hAnsi="宋体" w:eastAsia="仿宋_GB2312" w:cs="宋体"/>
                <w:color w:val="000000" w:themeColor="text1"/>
                <w:kern w:val="0"/>
                <w:szCs w:val="21"/>
                <w:highlight w:val="none"/>
                <w14:textFill>
                  <w14:solidFill>
                    <w14:schemeClr w14:val="tx1"/>
                  </w14:solidFill>
                </w14:textFill>
              </w:rPr>
              <w:t> </w:t>
            </w:r>
            <w:r>
              <w:rPr>
                <w:rFonts w:hint="eastAsia" w:ascii="仿宋_GB2312" w:hAnsi="宋体" w:eastAsia="仿宋_GB2312" w:cs="宋体"/>
                <w:color w:val="000000" w:themeColor="text1"/>
                <w:kern w:val="0"/>
                <w:szCs w:val="21"/>
                <w:highlight w:val="none"/>
                <w14:textFill>
                  <w14:solidFill>
                    <w14:schemeClr w14:val="tx1"/>
                  </w14:solidFill>
                </w14:textFill>
              </w:rPr>
              <w:t>佰</w:t>
            </w:r>
            <w:r>
              <w:rPr>
                <w:rFonts w:hint="eastAsia" w:ascii="宋体" w:hAnsi="宋体" w:eastAsia="仿宋_GB2312" w:cs="宋体"/>
                <w:color w:val="000000" w:themeColor="text1"/>
                <w:kern w:val="0"/>
                <w:szCs w:val="21"/>
                <w:highlight w:val="none"/>
                <w14:textFill>
                  <w14:solidFill>
                    <w14:schemeClr w14:val="tx1"/>
                  </w14:solidFill>
                </w14:textFill>
              </w:rPr>
              <w:t> </w:t>
            </w:r>
            <w:r>
              <w:rPr>
                <w:rFonts w:hint="eastAsia" w:ascii="仿宋_GB2312" w:hAnsi="宋体" w:eastAsia="仿宋_GB2312" w:cs="宋体"/>
                <w:color w:val="000000" w:themeColor="text1"/>
                <w:kern w:val="0"/>
                <w:szCs w:val="21"/>
                <w:highlight w:val="none"/>
                <w14:textFill>
                  <w14:solidFill>
                    <w14:schemeClr w14:val="tx1"/>
                  </w14:solidFill>
                </w14:textFill>
              </w:rPr>
              <w:t xml:space="preserve"> </w:t>
            </w:r>
            <w:r>
              <w:rPr>
                <w:rFonts w:hint="eastAsia" w:ascii="宋体" w:hAnsi="宋体" w:eastAsia="仿宋_GB2312" w:cs="宋体"/>
                <w:color w:val="000000" w:themeColor="text1"/>
                <w:kern w:val="0"/>
                <w:szCs w:val="21"/>
                <w:highlight w:val="none"/>
                <w14:textFill>
                  <w14:solidFill>
                    <w14:schemeClr w14:val="tx1"/>
                  </w14:solidFill>
                </w14:textFill>
              </w:rPr>
              <w:t> </w:t>
            </w:r>
            <w:r>
              <w:rPr>
                <w:rFonts w:hint="eastAsia" w:ascii="仿宋_GB2312" w:hAnsi="宋体" w:eastAsia="仿宋_GB2312" w:cs="宋体"/>
                <w:color w:val="000000" w:themeColor="text1"/>
                <w:kern w:val="0"/>
                <w:szCs w:val="21"/>
                <w:highlight w:val="none"/>
                <w14:textFill>
                  <w14:solidFill>
                    <w14:schemeClr w14:val="tx1"/>
                  </w14:solidFill>
                </w14:textFill>
              </w:rPr>
              <w:t>拾</w:t>
            </w:r>
            <w:r>
              <w:rPr>
                <w:rFonts w:hint="eastAsia" w:ascii="宋体" w:hAnsi="宋体" w:eastAsia="仿宋_GB2312" w:cs="宋体"/>
                <w:color w:val="000000" w:themeColor="text1"/>
                <w:kern w:val="0"/>
                <w:szCs w:val="21"/>
                <w:highlight w:val="none"/>
                <w14:textFill>
                  <w14:solidFill>
                    <w14:schemeClr w14:val="tx1"/>
                  </w14:solidFill>
                </w14:textFill>
              </w:rPr>
              <w:t>   </w:t>
            </w:r>
            <w:r>
              <w:rPr>
                <w:rFonts w:hint="eastAsia" w:ascii="仿宋_GB2312" w:hAnsi="宋体" w:eastAsia="仿宋_GB2312" w:cs="宋体"/>
                <w:color w:val="000000" w:themeColor="text1"/>
                <w:kern w:val="0"/>
                <w:szCs w:val="21"/>
                <w:highlight w:val="none"/>
                <w14:textFill>
                  <w14:solidFill>
                    <w14:schemeClr w14:val="tx1"/>
                  </w14:solidFill>
                </w14:textFill>
              </w:rPr>
              <w:t>万</w:t>
            </w:r>
            <w:r>
              <w:rPr>
                <w:rFonts w:hint="eastAsia" w:ascii="宋体" w:hAnsi="宋体" w:eastAsia="仿宋_GB2312" w:cs="宋体"/>
                <w:color w:val="000000" w:themeColor="text1"/>
                <w:kern w:val="0"/>
                <w:szCs w:val="21"/>
                <w:highlight w:val="none"/>
                <w14:textFill>
                  <w14:solidFill>
                    <w14:schemeClr w14:val="tx1"/>
                  </w14:solidFill>
                </w14:textFill>
              </w:rPr>
              <w:t> </w:t>
            </w:r>
            <w:r>
              <w:rPr>
                <w:rFonts w:hint="eastAsia" w:ascii="仿宋_GB2312" w:hAnsi="宋体" w:eastAsia="仿宋_GB2312" w:cs="宋体"/>
                <w:color w:val="000000" w:themeColor="text1"/>
                <w:kern w:val="0"/>
                <w:szCs w:val="21"/>
                <w:highlight w:val="none"/>
                <w14:textFill>
                  <w14:solidFill>
                    <w14:schemeClr w14:val="tx1"/>
                  </w14:solidFill>
                </w14:textFill>
              </w:rPr>
              <w:t xml:space="preserve"> </w:t>
            </w:r>
            <w:r>
              <w:rPr>
                <w:rFonts w:hint="eastAsia" w:ascii="宋体" w:hAnsi="宋体" w:eastAsia="仿宋_GB2312" w:cs="宋体"/>
                <w:color w:val="000000" w:themeColor="text1"/>
                <w:kern w:val="0"/>
                <w:szCs w:val="21"/>
                <w:highlight w:val="none"/>
                <w14:textFill>
                  <w14:solidFill>
                    <w14:schemeClr w14:val="tx1"/>
                  </w14:solidFill>
                </w14:textFill>
              </w:rPr>
              <w:t> </w:t>
            </w:r>
            <w:r>
              <w:rPr>
                <w:rFonts w:hint="eastAsia" w:ascii="仿宋_GB2312" w:hAnsi="宋体" w:eastAsia="仿宋_GB2312" w:cs="宋体"/>
                <w:color w:val="000000" w:themeColor="text1"/>
                <w:kern w:val="0"/>
                <w:szCs w:val="21"/>
                <w:highlight w:val="none"/>
                <w14:textFill>
                  <w14:solidFill>
                    <w14:schemeClr w14:val="tx1"/>
                  </w14:solidFill>
                </w14:textFill>
              </w:rPr>
              <w:t>仟</w:t>
            </w:r>
            <w:r>
              <w:rPr>
                <w:rFonts w:hint="eastAsia" w:ascii="宋体" w:hAnsi="宋体" w:eastAsia="仿宋_GB2312" w:cs="宋体"/>
                <w:color w:val="000000" w:themeColor="text1"/>
                <w:kern w:val="0"/>
                <w:szCs w:val="21"/>
                <w:highlight w:val="none"/>
                <w14:textFill>
                  <w14:solidFill>
                    <w14:schemeClr w14:val="tx1"/>
                  </w14:solidFill>
                </w14:textFill>
              </w:rPr>
              <w:t> </w:t>
            </w:r>
            <w:r>
              <w:rPr>
                <w:rFonts w:hint="eastAsia" w:ascii="仿宋_GB2312" w:hAnsi="宋体" w:eastAsia="仿宋_GB2312" w:cs="宋体"/>
                <w:color w:val="000000" w:themeColor="text1"/>
                <w:kern w:val="0"/>
                <w:szCs w:val="21"/>
                <w:highlight w:val="none"/>
                <w14:textFill>
                  <w14:solidFill>
                    <w14:schemeClr w14:val="tx1"/>
                  </w14:solidFill>
                </w14:textFill>
              </w:rPr>
              <w:t xml:space="preserve"> </w:t>
            </w:r>
            <w:r>
              <w:rPr>
                <w:rFonts w:hint="eastAsia" w:ascii="宋体" w:hAnsi="宋体" w:eastAsia="仿宋_GB2312" w:cs="宋体"/>
                <w:color w:val="000000" w:themeColor="text1"/>
                <w:kern w:val="0"/>
                <w:szCs w:val="21"/>
                <w:highlight w:val="none"/>
                <w14:textFill>
                  <w14:solidFill>
                    <w14:schemeClr w14:val="tx1"/>
                  </w14:solidFill>
                </w14:textFill>
              </w:rPr>
              <w:t> </w:t>
            </w:r>
            <w:r>
              <w:rPr>
                <w:rFonts w:hint="eastAsia" w:ascii="仿宋_GB2312" w:hAnsi="宋体" w:eastAsia="仿宋_GB2312" w:cs="宋体"/>
                <w:color w:val="000000" w:themeColor="text1"/>
                <w:kern w:val="0"/>
                <w:szCs w:val="21"/>
                <w:highlight w:val="none"/>
                <w14:textFill>
                  <w14:solidFill>
                    <w14:schemeClr w14:val="tx1"/>
                  </w14:solidFill>
                </w14:textFill>
              </w:rPr>
              <w:t>佰</w:t>
            </w:r>
            <w:r>
              <w:rPr>
                <w:rFonts w:hint="eastAsia" w:ascii="宋体" w:hAnsi="宋体" w:eastAsia="仿宋_GB2312" w:cs="宋体"/>
                <w:color w:val="000000" w:themeColor="text1"/>
                <w:kern w:val="0"/>
                <w:szCs w:val="21"/>
                <w:highlight w:val="none"/>
                <w14:textFill>
                  <w14:solidFill>
                    <w14:schemeClr w14:val="tx1"/>
                  </w14:solidFill>
                </w14:textFill>
              </w:rPr>
              <w:t> </w:t>
            </w:r>
            <w:r>
              <w:rPr>
                <w:rFonts w:hint="eastAsia" w:ascii="仿宋_GB2312" w:hAnsi="宋体" w:eastAsia="仿宋_GB2312" w:cs="宋体"/>
                <w:color w:val="000000" w:themeColor="text1"/>
                <w:kern w:val="0"/>
                <w:szCs w:val="21"/>
                <w:highlight w:val="none"/>
                <w14:textFill>
                  <w14:solidFill>
                    <w14:schemeClr w14:val="tx1"/>
                  </w14:solidFill>
                </w14:textFill>
              </w:rPr>
              <w:t xml:space="preserve"> </w:t>
            </w:r>
            <w:r>
              <w:rPr>
                <w:rFonts w:hint="eastAsia" w:ascii="宋体" w:hAnsi="宋体" w:eastAsia="仿宋_GB2312" w:cs="宋体"/>
                <w:color w:val="000000" w:themeColor="text1"/>
                <w:kern w:val="0"/>
                <w:szCs w:val="21"/>
                <w:highlight w:val="none"/>
                <w14:textFill>
                  <w14:solidFill>
                    <w14:schemeClr w14:val="tx1"/>
                  </w14:solidFill>
                </w14:textFill>
              </w:rPr>
              <w:t> </w:t>
            </w:r>
            <w:r>
              <w:rPr>
                <w:rFonts w:hint="eastAsia" w:ascii="仿宋_GB2312" w:hAnsi="宋体" w:eastAsia="仿宋_GB2312" w:cs="宋体"/>
                <w:color w:val="000000" w:themeColor="text1"/>
                <w:kern w:val="0"/>
                <w:szCs w:val="21"/>
                <w:highlight w:val="none"/>
                <w14:textFill>
                  <w14:solidFill>
                    <w14:schemeClr w14:val="tx1"/>
                  </w14:solidFill>
                </w14:textFill>
              </w:rPr>
              <w:t>拾</w:t>
            </w:r>
            <w:r>
              <w:rPr>
                <w:rFonts w:hint="eastAsia" w:ascii="宋体" w:hAnsi="宋体" w:eastAsia="仿宋_GB2312" w:cs="宋体"/>
                <w:color w:val="000000" w:themeColor="text1"/>
                <w:kern w:val="0"/>
                <w:szCs w:val="21"/>
                <w:highlight w:val="none"/>
                <w14:textFill>
                  <w14:solidFill>
                    <w14:schemeClr w14:val="tx1"/>
                  </w14:solidFill>
                </w14:textFill>
              </w:rPr>
              <w:t>   </w:t>
            </w:r>
            <w:r>
              <w:rPr>
                <w:rFonts w:hint="eastAsia" w:ascii="仿宋_GB2312" w:hAnsi="宋体" w:eastAsia="仿宋_GB2312" w:cs="宋体"/>
                <w:color w:val="000000" w:themeColor="text1"/>
                <w:kern w:val="0"/>
                <w:szCs w:val="21"/>
                <w:highlight w:val="none"/>
                <w14:textFill>
                  <w14:solidFill>
                    <w14:schemeClr w14:val="tx1"/>
                  </w14:solidFill>
                </w14:textFill>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526" w:type="dxa"/>
            <w:vAlign w:val="center"/>
          </w:tcPr>
          <w:p>
            <w:pPr>
              <w:widowControl/>
              <w:snapToGrid w:val="0"/>
              <w:spacing w:before="100" w:beforeAutospacing="1" w:after="100" w:afterAutospacing="1" w:line="320" w:lineRule="atLeast"/>
              <w:ind w:firstLine="2"/>
              <w:jc w:val="center"/>
              <w:rPr>
                <w:rFonts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实际供货日期</w:t>
            </w:r>
          </w:p>
        </w:tc>
        <w:tc>
          <w:tcPr>
            <w:tcW w:w="2410" w:type="dxa"/>
            <w:gridSpan w:val="2"/>
            <w:vAlign w:val="center"/>
          </w:tcPr>
          <w:p>
            <w:pPr>
              <w:widowControl/>
              <w:snapToGrid w:val="0"/>
              <w:spacing w:before="100" w:beforeAutospacing="1" w:after="100" w:afterAutospacing="1" w:line="320" w:lineRule="atLeast"/>
              <w:ind w:firstLine="2"/>
              <w:jc w:val="center"/>
              <w:rPr>
                <w:rFonts w:ascii="仿宋_GB2312" w:hAnsi="宋体" w:eastAsia="仿宋_GB2312" w:cs="宋体"/>
                <w:color w:val="000000" w:themeColor="text1"/>
                <w:kern w:val="0"/>
                <w:szCs w:val="21"/>
                <w:highlight w:val="none"/>
                <w14:textFill>
                  <w14:solidFill>
                    <w14:schemeClr w14:val="tx1"/>
                  </w14:solidFill>
                </w14:textFill>
              </w:rPr>
            </w:pPr>
          </w:p>
        </w:tc>
        <w:tc>
          <w:tcPr>
            <w:tcW w:w="2551" w:type="dxa"/>
            <w:vAlign w:val="center"/>
          </w:tcPr>
          <w:p>
            <w:pPr>
              <w:widowControl/>
              <w:snapToGrid w:val="0"/>
              <w:spacing w:before="100" w:beforeAutospacing="1" w:after="100" w:afterAutospacing="1" w:line="320" w:lineRule="atLeast"/>
              <w:ind w:firstLine="2"/>
              <w:jc w:val="center"/>
              <w:rPr>
                <w:rFonts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合同交货验收日期</w:t>
            </w:r>
          </w:p>
        </w:tc>
        <w:tc>
          <w:tcPr>
            <w:tcW w:w="3141" w:type="dxa"/>
            <w:gridSpan w:val="3"/>
            <w:vAlign w:val="center"/>
          </w:tcPr>
          <w:p>
            <w:pPr>
              <w:widowControl/>
              <w:snapToGrid w:val="0"/>
              <w:spacing w:before="100" w:beforeAutospacing="1" w:after="100" w:afterAutospacing="1" w:line="320" w:lineRule="atLeast"/>
              <w:ind w:firstLine="2"/>
              <w:jc w:val="center"/>
              <w:rPr>
                <w:rFonts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526" w:type="dxa"/>
            <w:vAlign w:val="center"/>
          </w:tcPr>
          <w:p>
            <w:pPr>
              <w:widowControl/>
              <w:snapToGrid w:val="0"/>
              <w:spacing w:before="100" w:beforeAutospacing="1" w:after="100" w:afterAutospacing="1" w:line="320" w:lineRule="atLeast"/>
              <w:ind w:firstLine="2"/>
              <w:jc w:val="left"/>
              <w:rPr>
                <w:rFonts w:ascii="仿宋_GB2312" w:hAnsi="宋体" w:eastAsia="仿宋_GB2312" w:cs="宋体"/>
                <w:color w:val="000000" w:themeColor="text1"/>
                <w:kern w:val="0"/>
                <w:szCs w:val="21"/>
                <w:highlight w:val="none"/>
                <w14:textFill>
                  <w14:solidFill>
                    <w14:schemeClr w14:val="tx1"/>
                  </w14:solidFill>
                </w14:textFill>
              </w:rPr>
            </w:pPr>
          </w:p>
        </w:tc>
        <w:tc>
          <w:tcPr>
            <w:tcW w:w="2410" w:type="dxa"/>
            <w:gridSpan w:val="2"/>
            <w:vAlign w:val="center"/>
          </w:tcPr>
          <w:p>
            <w:pPr>
              <w:widowControl/>
              <w:snapToGrid w:val="0"/>
              <w:spacing w:before="100" w:beforeAutospacing="1" w:after="100" w:afterAutospacing="1" w:line="320" w:lineRule="atLeast"/>
              <w:ind w:firstLine="2"/>
              <w:jc w:val="left"/>
              <w:rPr>
                <w:rFonts w:ascii="仿宋_GB2312" w:hAnsi="宋体" w:eastAsia="仿宋_GB2312" w:cs="宋体"/>
                <w:color w:val="000000" w:themeColor="text1"/>
                <w:kern w:val="0"/>
                <w:szCs w:val="21"/>
                <w:highlight w:val="none"/>
                <w14:textFill>
                  <w14:solidFill>
                    <w14:schemeClr w14:val="tx1"/>
                  </w14:solidFill>
                </w14:textFill>
              </w:rPr>
            </w:pPr>
          </w:p>
        </w:tc>
        <w:tc>
          <w:tcPr>
            <w:tcW w:w="2551" w:type="dxa"/>
            <w:vAlign w:val="center"/>
          </w:tcPr>
          <w:p>
            <w:pPr>
              <w:widowControl/>
              <w:snapToGrid w:val="0"/>
              <w:spacing w:before="100" w:beforeAutospacing="1" w:after="100" w:afterAutospacing="1" w:line="320" w:lineRule="atLeast"/>
              <w:ind w:firstLine="2"/>
              <w:jc w:val="left"/>
              <w:rPr>
                <w:rFonts w:ascii="仿宋_GB2312" w:hAnsi="宋体" w:eastAsia="仿宋_GB2312" w:cs="宋体"/>
                <w:color w:val="000000" w:themeColor="text1"/>
                <w:kern w:val="0"/>
                <w:szCs w:val="21"/>
                <w:highlight w:val="none"/>
                <w14:textFill>
                  <w14:solidFill>
                    <w14:schemeClr w14:val="tx1"/>
                  </w14:solidFill>
                </w14:textFill>
              </w:rPr>
            </w:pPr>
          </w:p>
        </w:tc>
        <w:tc>
          <w:tcPr>
            <w:tcW w:w="3141" w:type="dxa"/>
            <w:gridSpan w:val="3"/>
            <w:vAlign w:val="center"/>
          </w:tcPr>
          <w:p>
            <w:pPr>
              <w:widowControl/>
              <w:snapToGrid w:val="0"/>
              <w:spacing w:before="100" w:beforeAutospacing="1" w:after="100" w:afterAutospacing="1" w:line="320" w:lineRule="atLeast"/>
              <w:ind w:firstLine="2"/>
              <w:jc w:val="left"/>
              <w:rPr>
                <w:rFonts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trPr>
        <w:tc>
          <w:tcPr>
            <w:tcW w:w="1526" w:type="dxa"/>
            <w:vAlign w:val="center"/>
          </w:tcPr>
          <w:p>
            <w:pPr>
              <w:widowControl/>
              <w:snapToGrid w:val="0"/>
              <w:spacing w:before="100" w:beforeAutospacing="1" w:after="100" w:afterAutospacing="1" w:line="320" w:lineRule="atLeast"/>
              <w:ind w:firstLine="2"/>
              <w:jc w:val="left"/>
              <w:rPr>
                <w:rFonts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验收具体内容</w:t>
            </w:r>
          </w:p>
        </w:tc>
        <w:tc>
          <w:tcPr>
            <w:tcW w:w="8102" w:type="dxa"/>
            <w:gridSpan w:val="6"/>
            <w:vAlign w:val="center"/>
          </w:tcPr>
          <w:p>
            <w:pPr>
              <w:widowControl/>
              <w:snapToGrid w:val="0"/>
              <w:spacing w:before="100" w:beforeAutospacing="1" w:after="100" w:afterAutospacing="1" w:line="320" w:lineRule="atLeast"/>
              <w:jc w:val="left"/>
              <w:rPr>
                <w:rFonts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应按采购合同、采购文件、投标响应文件及验收方案等进行验收；并核对中标或者成交供应商在安装调试等方面是否违反合同约定或服务规范要求、提供的质量保证证明材料是否齐全、应有的配件及附件是否达到合同约定等。可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1526" w:type="dxa"/>
            <w:vMerge w:val="restart"/>
            <w:vAlign w:val="center"/>
          </w:tcPr>
          <w:p>
            <w:pPr>
              <w:widowControl/>
              <w:snapToGrid w:val="0"/>
              <w:spacing w:before="100" w:beforeAutospacing="1" w:after="100" w:afterAutospacing="1" w:line="320" w:lineRule="atLeast"/>
              <w:ind w:firstLine="2"/>
              <w:jc w:val="left"/>
              <w:rPr>
                <w:rFonts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验收小组意见</w:t>
            </w:r>
          </w:p>
        </w:tc>
        <w:tc>
          <w:tcPr>
            <w:tcW w:w="8102" w:type="dxa"/>
            <w:gridSpan w:val="6"/>
            <w:vAlign w:val="center"/>
          </w:tcPr>
          <w:p>
            <w:pPr>
              <w:widowControl/>
              <w:snapToGrid w:val="0"/>
              <w:spacing w:before="100" w:beforeAutospacing="1" w:after="100" w:afterAutospacing="1" w:line="320" w:lineRule="atLeast"/>
              <w:jc w:val="left"/>
              <w:rPr>
                <w:rFonts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验收结论性意见：</w:t>
            </w:r>
          </w:p>
          <w:p>
            <w:pPr>
              <w:widowControl/>
              <w:snapToGrid w:val="0"/>
              <w:spacing w:before="100" w:beforeAutospacing="1" w:after="100" w:afterAutospacing="1" w:line="320" w:lineRule="atLeast"/>
              <w:jc w:val="left"/>
              <w:rPr>
                <w:rFonts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pPr>
              <w:widowControl/>
              <w:snapToGrid w:val="0"/>
              <w:spacing w:before="100" w:beforeAutospacing="1" w:after="100" w:afterAutospacing="1" w:line="320" w:lineRule="atLeast"/>
              <w:ind w:firstLine="2"/>
              <w:jc w:val="left"/>
              <w:rPr>
                <w:rFonts w:ascii="仿宋_GB2312" w:hAnsi="宋体" w:eastAsia="仿宋_GB2312" w:cs="宋体"/>
                <w:color w:val="000000" w:themeColor="text1"/>
                <w:kern w:val="0"/>
                <w:szCs w:val="21"/>
                <w:highlight w:val="none"/>
                <w14:textFill>
                  <w14:solidFill>
                    <w14:schemeClr w14:val="tx1"/>
                  </w14:solidFill>
                </w14:textFill>
              </w:rPr>
            </w:pPr>
          </w:p>
        </w:tc>
        <w:tc>
          <w:tcPr>
            <w:tcW w:w="8102" w:type="dxa"/>
            <w:gridSpan w:val="6"/>
            <w:vAlign w:val="center"/>
          </w:tcPr>
          <w:p>
            <w:pPr>
              <w:widowControl/>
              <w:spacing w:before="100" w:beforeAutospacing="1" w:after="100" w:afterAutospacing="1" w:line="320" w:lineRule="atLeast"/>
              <w:jc w:val="left"/>
              <w:rPr>
                <w:rFonts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有异议的意见和说明理由：</w:t>
            </w:r>
          </w:p>
          <w:p>
            <w:pPr>
              <w:widowControl/>
              <w:snapToGrid w:val="0"/>
              <w:spacing w:before="100" w:beforeAutospacing="1" w:after="100" w:afterAutospacing="1" w:line="320" w:lineRule="atLeast"/>
              <w:jc w:val="left"/>
              <w:rPr>
                <w:rFonts w:ascii="仿宋_GB2312" w:hAnsi="宋体" w:eastAsia="仿宋_GB2312" w:cs="宋体"/>
                <w:color w:val="000000" w:themeColor="text1"/>
                <w:kern w:val="0"/>
                <w:szCs w:val="21"/>
                <w:highlight w:val="none"/>
                <w14:textFill>
                  <w14:solidFill>
                    <w14:schemeClr w14:val="tx1"/>
                  </w14:solidFill>
                </w14:textFill>
              </w:rPr>
            </w:pPr>
            <w:r>
              <w:rPr>
                <w:rFonts w:hint="eastAsia" w:ascii="宋体" w:hAnsi="宋体" w:eastAsia="仿宋_GB2312" w:cs="宋体"/>
                <w:color w:val="000000" w:themeColor="text1"/>
                <w:kern w:val="0"/>
                <w:szCs w:val="21"/>
                <w:highlight w:val="none"/>
                <w14:textFill>
                  <w14:solidFill>
                    <w14:schemeClr w14:val="tx1"/>
                  </w14:solidFill>
                </w14:textFill>
              </w:rPr>
              <w:t>        </w:t>
            </w:r>
            <w:r>
              <w:rPr>
                <w:rFonts w:hint="eastAsia" w:ascii="仿宋_GB2312" w:hAnsi="宋体" w:eastAsia="仿宋_GB2312" w:cs="宋体"/>
                <w:color w:val="000000" w:themeColor="text1"/>
                <w:kern w:val="0"/>
                <w:szCs w:val="21"/>
                <w:highlight w:val="none"/>
                <w14:textFill>
                  <w14:solidFill>
                    <w14:schemeClr w14:val="tx1"/>
                  </w14:solidFill>
                </w14:textFill>
              </w:rPr>
              <w:t xml:space="preserve"> </w:t>
            </w:r>
            <w:r>
              <w:rPr>
                <w:rFonts w:hint="eastAsia" w:ascii="宋体" w:hAnsi="宋体" w:eastAsia="仿宋_GB2312" w:cs="宋体"/>
                <w:color w:val="000000" w:themeColor="text1"/>
                <w:kern w:val="0"/>
                <w:szCs w:val="21"/>
                <w:highlight w:val="none"/>
                <w14:textFill>
                  <w14:solidFill>
                    <w14:schemeClr w14:val="tx1"/>
                  </w14:solidFill>
                </w14:textFill>
              </w:rPr>
              <w:t>                     </w:t>
            </w:r>
            <w:r>
              <w:rPr>
                <w:rFonts w:hint="eastAsia" w:ascii="仿宋_GB2312" w:hAnsi="宋体" w:eastAsia="仿宋_GB2312" w:cs="宋体"/>
                <w:color w:val="000000" w:themeColor="text1"/>
                <w:kern w:val="0"/>
                <w:szCs w:val="21"/>
                <w:highlight w:val="none"/>
                <w14:textFill>
                  <w14:solidFill>
                    <w14:schemeClr w14:val="tx1"/>
                  </w14:solidFill>
                </w14:textFill>
              </w:rPr>
              <w:t xml:space="preserve">                </w:t>
            </w:r>
            <w:r>
              <w:rPr>
                <w:rFonts w:hint="eastAsia" w:ascii="宋体" w:hAnsi="宋体" w:eastAsia="仿宋_GB2312" w:cs="宋体"/>
                <w:color w:val="000000" w:themeColor="text1"/>
                <w:kern w:val="0"/>
                <w:szCs w:val="21"/>
                <w:highlight w:val="none"/>
                <w14:textFill>
                  <w14:solidFill>
                    <w14:schemeClr w14:val="tx1"/>
                  </w14:solidFill>
                </w14:textFill>
              </w:rPr>
              <w:t> </w:t>
            </w:r>
            <w:r>
              <w:rPr>
                <w:rFonts w:hint="eastAsia" w:ascii="仿宋_GB2312" w:hAnsi="宋体" w:eastAsia="仿宋_GB2312" w:cs="宋体"/>
                <w:color w:val="000000" w:themeColor="text1"/>
                <w:kern w:val="0"/>
                <w:szCs w:val="21"/>
                <w:highlight w:val="none"/>
                <w14:textFill>
                  <w14:solidFill>
                    <w14:schemeClr w14:val="tx1"/>
                  </w14:solidFill>
                </w14:textFill>
              </w:rPr>
              <w:t xml:space="preserve">                                                                         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9628" w:type="dxa"/>
            <w:gridSpan w:val="7"/>
            <w:vAlign w:val="center"/>
          </w:tcPr>
          <w:p>
            <w:pPr>
              <w:widowControl/>
              <w:snapToGrid w:val="0"/>
              <w:spacing w:before="100" w:beforeAutospacing="1" w:after="100" w:afterAutospacing="1" w:line="320" w:lineRule="atLeast"/>
              <w:jc w:val="left"/>
              <w:rPr>
                <w:rFonts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验收小组成员签字：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1" w:hRule="atLeast"/>
        </w:trPr>
        <w:tc>
          <w:tcPr>
            <w:tcW w:w="9628" w:type="dxa"/>
            <w:gridSpan w:val="7"/>
            <w:vAlign w:val="center"/>
          </w:tcPr>
          <w:p>
            <w:pPr>
              <w:widowControl/>
              <w:spacing w:before="100" w:beforeAutospacing="1" w:after="100" w:afterAutospacing="1" w:line="320" w:lineRule="atLeast"/>
              <w:jc w:val="left"/>
              <w:rPr>
                <w:rFonts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监督人员或其他相关人员签字：</w:t>
            </w:r>
          </w:p>
          <w:p>
            <w:pPr>
              <w:widowControl/>
              <w:spacing w:before="100" w:beforeAutospacing="1" w:after="100" w:afterAutospacing="1" w:line="320" w:lineRule="atLeast"/>
              <w:jc w:val="left"/>
              <w:rPr>
                <w:rFonts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或受邀机构的意见（盖章）：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trPr>
        <w:tc>
          <w:tcPr>
            <w:tcW w:w="9628" w:type="dxa"/>
            <w:gridSpan w:val="7"/>
            <w:vAlign w:val="center"/>
          </w:tcPr>
          <w:p>
            <w:pPr>
              <w:widowControl/>
              <w:spacing w:before="100" w:beforeAutospacing="1" w:after="100" w:afterAutospacing="1" w:line="0" w:lineRule="atLeast"/>
              <w:jc w:val="left"/>
              <w:rPr>
                <w:rFonts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中标或者成交供应商负责人签字或盖章：        采购人或受托机构的意见（盖章）：</w:t>
            </w:r>
          </w:p>
          <w:p>
            <w:pPr>
              <w:widowControl/>
              <w:spacing w:before="100" w:beforeAutospacing="1" w:after="100" w:afterAutospacing="1" w:line="320" w:lineRule="atLeast"/>
              <w:jc w:val="left"/>
              <w:rPr>
                <w:rFonts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 xml:space="preserve">联系电话： </w:t>
            </w:r>
            <w:r>
              <w:rPr>
                <w:rFonts w:hint="eastAsia" w:ascii="宋体" w:hAnsi="宋体" w:eastAsia="仿宋_GB2312" w:cs="宋体"/>
                <w:color w:val="000000" w:themeColor="text1"/>
                <w:kern w:val="0"/>
                <w:szCs w:val="21"/>
                <w:highlight w:val="none"/>
                <w14:textFill>
                  <w14:solidFill>
                    <w14:schemeClr w14:val="tx1"/>
                  </w14:solidFill>
                </w14:textFill>
              </w:rPr>
              <w:t>  </w:t>
            </w:r>
            <w:r>
              <w:rPr>
                <w:rFonts w:hint="eastAsia" w:ascii="仿宋_GB2312" w:hAnsi="宋体" w:eastAsia="仿宋_GB2312" w:cs="宋体"/>
                <w:color w:val="000000" w:themeColor="text1"/>
                <w:kern w:val="0"/>
                <w:szCs w:val="21"/>
                <w:highlight w:val="none"/>
                <w14:textFill>
                  <w14:solidFill>
                    <w14:schemeClr w14:val="tx1"/>
                  </w14:solidFill>
                </w14:textFill>
              </w:rPr>
              <w:t xml:space="preserve">  </w:t>
            </w:r>
            <w:r>
              <w:rPr>
                <w:rFonts w:hint="eastAsia" w:ascii="宋体" w:hAnsi="宋体" w:eastAsia="仿宋_GB2312" w:cs="宋体"/>
                <w:color w:val="000000" w:themeColor="text1"/>
                <w:kern w:val="0"/>
                <w:szCs w:val="21"/>
                <w:highlight w:val="none"/>
                <w14:textFill>
                  <w14:solidFill>
                    <w14:schemeClr w14:val="tx1"/>
                  </w14:solidFill>
                </w14:textFill>
              </w:rPr>
              <w:t>  </w:t>
            </w:r>
            <w:r>
              <w:rPr>
                <w:rFonts w:hint="eastAsia" w:ascii="仿宋_GB2312" w:hAnsi="宋体" w:eastAsia="仿宋_GB2312" w:cs="宋体"/>
                <w:color w:val="000000" w:themeColor="text1"/>
                <w:kern w:val="0"/>
                <w:szCs w:val="21"/>
                <w:highlight w:val="none"/>
                <w14:textFill>
                  <w14:solidFill>
                    <w14:schemeClr w14:val="tx1"/>
                  </w14:solidFill>
                </w14:textFill>
              </w:rPr>
              <w:t xml:space="preserve"> 年</w:t>
            </w:r>
            <w:r>
              <w:rPr>
                <w:rFonts w:hint="eastAsia" w:ascii="宋体" w:hAnsi="宋体" w:eastAsia="仿宋_GB2312" w:cs="宋体"/>
                <w:color w:val="000000" w:themeColor="text1"/>
                <w:kern w:val="0"/>
                <w:szCs w:val="21"/>
                <w:highlight w:val="none"/>
                <w14:textFill>
                  <w14:solidFill>
                    <w14:schemeClr w14:val="tx1"/>
                  </w14:solidFill>
                </w14:textFill>
              </w:rPr>
              <w:t>  </w:t>
            </w:r>
            <w:r>
              <w:rPr>
                <w:rFonts w:hint="eastAsia" w:ascii="仿宋_GB2312" w:hAnsi="宋体" w:eastAsia="仿宋_GB2312" w:cs="宋体"/>
                <w:color w:val="000000" w:themeColor="text1"/>
                <w:kern w:val="0"/>
                <w:szCs w:val="21"/>
                <w:highlight w:val="none"/>
                <w14:textFill>
                  <w14:solidFill>
                    <w14:schemeClr w14:val="tx1"/>
                  </w14:solidFill>
                </w14:textFill>
              </w:rPr>
              <w:t xml:space="preserve"> 月</w:t>
            </w:r>
            <w:r>
              <w:rPr>
                <w:rFonts w:hint="eastAsia" w:ascii="宋体" w:hAnsi="宋体" w:eastAsia="仿宋_GB2312" w:cs="宋体"/>
                <w:color w:val="000000" w:themeColor="text1"/>
                <w:kern w:val="0"/>
                <w:szCs w:val="21"/>
                <w:highlight w:val="none"/>
                <w14:textFill>
                  <w14:solidFill>
                    <w14:schemeClr w14:val="tx1"/>
                  </w14:solidFill>
                </w14:textFill>
              </w:rPr>
              <w:t>  </w:t>
            </w:r>
            <w:r>
              <w:rPr>
                <w:rFonts w:hint="eastAsia" w:ascii="仿宋_GB2312" w:hAnsi="宋体" w:eastAsia="仿宋_GB2312" w:cs="宋体"/>
                <w:color w:val="000000" w:themeColor="text1"/>
                <w:kern w:val="0"/>
                <w:szCs w:val="21"/>
                <w:highlight w:val="none"/>
                <w14:textFill>
                  <w14:solidFill>
                    <w14:schemeClr w14:val="tx1"/>
                  </w14:solidFill>
                </w14:textFill>
              </w:rPr>
              <w:t xml:space="preserve"> 日               联系电话： </w:t>
            </w:r>
            <w:r>
              <w:rPr>
                <w:rFonts w:hint="eastAsia" w:ascii="宋体" w:hAnsi="宋体" w:eastAsia="仿宋_GB2312" w:cs="宋体"/>
                <w:color w:val="000000" w:themeColor="text1"/>
                <w:kern w:val="0"/>
                <w:szCs w:val="21"/>
                <w:highlight w:val="none"/>
                <w14:textFill>
                  <w14:solidFill>
                    <w14:schemeClr w14:val="tx1"/>
                  </w14:solidFill>
                </w14:textFill>
              </w:rPr>
              <w:t>       </w:t>
            </w:r>
            <w:r>
              <w:rPr>
                <w:rFonts w:hint="eastAsia" w:ascii="仿宋_GB2312" w:hAnsi="宋体" w:eastAsia="仿宋_GB2312" w:cs="宋体"/>
                <w:color w:val="000000" w:themeColor="text1"/>
                <w:kern w:val="0"/>
                <w:szCs w:val="21"/>
                <w:highlight w:val="none"/>
                <w14:textFill>
                  <w14:solidFill>
                    <w14:schemeClr w14:val="tx1"/>
                  </w14:solidFill>
                </w14:textFill>
              </w:rPr>
              <w:t xml:space="preserve"> 年</w:t>
            </w:r>
            <w:r>
              <w:rPr>
                <w:rFonts w:hint="eastAsia" w:ascii="宋体" w:hAnsi="宋体" w:eastAsia="仿宋_GB2312" w:cs="宋体"/>
                <w:color w:val="000000" w:themeColor="text1"/>
                <w:kern w:val="0"/>
                <w:szCs w:val="21"/>
                <w:highlight w:val="none"/>
                <w14:textFill>
                  <w14:solidFill>
                    <w14:schemeClr w14:val="tx1"/>
                  </w14:solidFill>
                </w14:textFill>
              </w:rPr>
              <w:t>  </w:t>
            </w:r>
            <w:r>
              <w:rPr>
                <w:rFonts w:hint="eastAsia" w:ascii="仿宋_GB2312" w:hAnsi="宋体" w:eastAsia="仿宋_GB2312" w:cs="宋体"/>
                <w:color w:val="000000" w:themeColor="text1"/>
                <w:kern w:val="0"/>
                <w:szCs w:val="21"/>
                <w:highlight w:val="none"/>
                <w14:textFill>
                  <w14:solidFill>
                    <w14:schemeClr w14:val="tx1"/>
                  </w14:solidFill>
                </w14:textFill>
              </w:rPr>
              <w:t xml:space="preserve"> 月</w:t>
            </w:r>
            <w:r>
              <w:rPr>
                <w:rFonts w:hint="eastAsia" w:ascii="宋体" w:hAnsi="宋体" w:eastAsia="仿宋_GB2312" w:cs="宋体"/>
                <w:color w:val="000000" w:themeColor="text1"/>
                <w:kern w:val="0"/>
                <w:szCs w:val="21"/>
                <w:highlight w:val="none"/>
                <w14:textFill>
                  <w14:solidFill>
                    <w14:schemeClr w14:val="tx1"/>
                  </w14:solidFill>
                </w14:textFill>
              </w:rPr>
              <w:t>  </w:t>
            </w:r>
            <w:r>
              <w:rPr>
                <w:rFonts w:hint="eastAsia" w:ascii="仿宋_GB2312" w:hAnsi="宋体" w:eastAsia="仿宋_GB2312" w:cs="宋体"/>
                <w:color w:val="000000" w:themeColor="text1"/>
                <w:kern w:val="0"/>
                <w:szCs w:val="21"/>
                <w:highlight w:val="none"/>
                <w14:textFill>
                  <w14:solidFill>
                    <w14:schemeClr w14:val="tx1"/>
                  </w14:solidFill>
                </w14:textFill>
              </w:rPr>
              <w:t xml:space="preserve"> 日</w:t>
            </w:r>
          </w:p>
        </w:tc>
      </w:tr>
    </w:tbl>
    <w:p>
      <w:pPr>
        <w:pStyle w:val="3"/>
        <w:spacing w:line="560" w:lineRule="exact"/>
        <w:rPr>
          <w:rFonts w:ascii="宋体" w:hAnsi="宋体" w:cs="宋体"/>
          <w:bCs/>
          <w:color w:val="000000" w:themeColor="text1"/>
          <w:sz w:val="44"/>
          <w:highlight w:val="none"/>
          <w14:textFill>
            <w14:solidFill>
              <w14:schemeClr w14:val="tx1"/>
            </w14:solidFill>
          </w14:textFill>
        </w:rPr>
      </w:pPr>
      <w:bookmarkStart w:id="261" w:name="_Toc230949429"/>
      <w:bookmarkStart w:id="262" w:name="_Toc156106972"/>
      <w:bookmarkStart w:id="263" w:name="_Toc185703035"/>
      <w:bookmarkStart w:id="264" w:name="_Toc395066560"/>
      <w:bookmarkStart w:id="265" w:name="_Toc199780488"/>
      <w:bookmarkStart w:id="266" w:name="_Toc200268410"/>
      <w:bookmarkStart w:id="267" w:name="_Toc469842115"/>
      <w:bookmarkStart w:id="268" w:name="_Toc230929190"/>
      <w:bookmarkStart w:id="269" w:name="_Toc405943018"/>
      <w:bookmarkStart w:id="270" w:name="_Toc469874207"/>
      <w:bookmarkStart w:id="271" w:name="_Toc200309017"/>
      <w:bookmarkStart w:id="272" w:name="_Toc147248437"/>
      <w:bookmarkStart w:id="273" w:name="_Toc185702613"/>
    </w:p>
    <w:p>
      <w:pPr>
        <w:pStyle w:val="3"/>
        <w:spacing w:line="560" w:lineRule="exact"/>
        <w:ind w:firstLine="2209" w:firstLineChars="500"/>
        <w:rPr>
          <w:rFonts w:ascii="宋体" w:hAnsi="宋体" w:cs="宋体"/>
          <w:bCs/>
          <w:color w:val="000000" w:themeColor="text1"/>
          <w:sz w:val="44"/>
          <w:highlight w:val="none"/>
          <w14:textFill>
            <w14:solidFill>
              <w14:schemeClr w14:val="tx1"/>
            </w14:solidFill>
          </w14:textFill>
        </w:rPr>
      </w:pPr>
      <w:bookmarkStart w:id="274" w:name="_Toc2823"/>
      <w:r>
        <w:rPr>
          <w:rFonts w:hint="eastAsia" w:ascii="宋体" w:hAnsi="宋体" w:cs="宋体"/>
          <w:bCs/>
          <w:color w:val="000000" w:themeColor="text1"/>
          <w:sz w:val="44"/>
          <w:highlight w:val="none"/>
          <w14:textFill>
            <w14:solidFill>
              <w14:schemeClr w14:val="tx1"/>
            </w14:solidFill>
          </w14:textFill>
        </w:rPr>
        <w:t>第六章  投标文件（格式）</w:t>
      </w:r>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p>
    <w:p>
      <w:pPr>
        <w:spacing w:line="400" w:lineRule="exact"/>
        <w:rPr>
          <w:rFonts w:ascii="宋体" w:hAnsi="宋体" w:cs="宋体"/>
          <w:color w:val="000000" w:themeColor="text1"/>
          <w:highlight w:val="none"/>
          <w14:textFill>
            <w14:solidFill>
              <w14:schemeClr w14:val="tx1"/>
            </w14:solidFill>
          </w14:textFill>
        </w:rPr>
      </w:pPr>
    </w:p>
    <w:p>
      <w:pPr>
        <w:autoSpaceDE w:val="0"/>
        <w:autoSpaceDN w:val="0"/>
        <w:adjustRightInd w:val="0"/>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zh-CN"/>
          <w14:textFill>
            <w14:solidFill>
              <w14:schemeClr w14:val="tx1"/>
            </w14:solidFill>
          </w14:textFill>
        </w:rPr>
        <w:t>说明：</w:t>
      </w:r>
    </w:p>
    <w:p>
      <w:pPr>
        <w:pStyle w:val="20"/>
        <w:spacing w:line="400" w:lineRule="exact"/>
        <w:ind w:left="315" w:hanging="315" w:hangingChars="15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lang w:val="zh-CN"/>
          <w14:textFill>
            <w14:solidFill>
              <w14:schemeClr w14:val="tx1"/>
            </w14:solidFill>
          </w14:textFill>
        </w:rPr>
        <w:t>1、</w:t>
      </w:r>
      <w:r>
        <w:rPr>
          <w:rFonts w:hint="eastAsia" w:hAnsi="宋体" w:cs="宋体"/>
          <w:color w:val="000000" w:themeColor="text1"/>
          <w:szCs w:val="21"/>
          <w:highlight w:val="none"/>
          <w14:textFill>
            <w14:solidFill>
              <w14:schemeClr w14:val="tx1"/>
            </w14:solidFill>
          </w14:textFill>
        </w:rPr>
        <w:t>本章所列的投标文件格式</w:t>
      </w:r>
      <w:r>
        <w:rPr>
          <w:rFonts w:hint="eastAsia" w:hAnsi="宋体" w:cs="宋体"/>
          <w:color w:val="000000" w:themeColor="text1"/>
          <w:szCs w:val="21"/>
          <w:highlight w:val="none"/>
          <w:lang w:val="zh-CN"/>
          <w14:textFill>
            <w14:solidFill>
              <w14:schemeClr w14:val="tx1"/>
            </w14:solidFill>
          </w14:textFill>
        </w:rPr>
        <w:t>，投标人可根据自身情况进行补充和修改、扩展，但补充和修改不得造成与本章格式内容有重大改变。</w:t>
      </w:r>
    </w:p>
    <w:p>
      <w:pPr>
        <w:pStyle w:val="20"/>
        <w:spacing w:line="400" w:lineRule="exact"/>
        <w:ind w:left="315" w:hanging="315" w:hangingChars="150"/>
        <w:rPr>
          <w:rFonts w:hAnsi="宋体" w:cs="宋体"/>
          <w:color w:val="000000" w:themeColor="text1"/>
          <w:szCs w:val="21"/>
          <w:highlight w:val="none"/>
          <w:lang w:val="zh-CN"/>
          <w14:textFill>
            <w14:solidFill>
              <w14:schemeClr w14:val="tx1"/>
            </w14:solidFill>
          </w14:textFill>
        </w:rPr>
      </w:pPr>
      <w:r>
        <w:rPr>
          <w:rFonts w:hint="eastAsia" w:hAnsi="宋体" w:cs="宋体"/>
          <w:color w:val="000000" w:themeColor="text1"/>
          <w:szCs w:val="21"/>
          <w:highlight w:val="none"/>
          <w:lang w:val="zh-CN"/>
          <w14:textFill>
            <w14:solidFill>
              <w14:schemeClr w14:val="tx1"/>
            </w14:solidFill>
          </w14:textFill>
        </w:rPr>
        <w:t>2、</w:t>
      </w:r>
      <w:r>
        <w:rPr>
          <w:rFonts w:hint="eastAsia" w:hAnsi="宋体" w:cs="宋体"/>
          <w:color w:val="000000" w:themeColor="text1"/>
          <w:szCs w:val="21"/>
          <w:highlight w:val="none"/>
          <w14:textFill>
            <w14:solidFill>
              <w14:schemeClr w14:val="tx1"/>
            </w14:solidFill>
          </w14:textFill>
        </w:rPr>
        <w:t>投标</w:t>
      </w:r>
      <w:r>
        <w:rPr>
          <w:rFonts w:hint="eastAsia" w:hAnsi="宋体" w:cs="宋体"/>
          <w:color w:val="000000" w:themeColor="text1"/>
          <w:szCs w:val="21"/>
          <w:highlight w:val="none"/>
          <w:lang w:val="zh-CN"/>
          <w14:textFill>
            <w14:solidFill>
              <w14:schemeClr w14:val="tx1"/>
            </w14:solidFill>
          </w14:textFill>
        </w:rPr>
        <w:t>文件按</w:t>
      </w:r>
      <w:r>
        <w:rPr>
          <w:rFonts w:hint="eastAsia" w:hAnsi="宋体" w:cs="宋体"/>
          <w:color w:val="000000" w:themeColor="text1"/>
          <w:szCs w:val="21"/>
          <w:highlight w:val="none"/>
          <w14:textFill>
            <w14:solidFill>
              <w14:schemeClr w14:val="tx1"/>
            </w14:solidFill>
          </w14:textFill>
        </w:rPr>
        <w:t>投标</w:t>
      </w:r>
      <w:r>
        <w:rPr>
          <w:rFonts w:hint="eastAsia" w:hAnsi="宋体" w:cs="宋体"/>
          <w:color w:val="000000" w:themeColor="text1"/>
          <w:szCs w:val="21"/>
          <w:highlight w:val="none"/>
          <w:lang w:val="zh-CN"/>
          <w14:textFill>
            <w14:solidFill>
              <w14:schemeClr w14:val="tx1"/>
            </w14:solidFill>
          </w14:textFill>
        </w:rPr>
        <w:t>人须知第9条要求提供。</w:t>
      </w:r>
    </w:p>
    <w:p>
      <w:pPr>
        <w:pStyle w:val="20"/>
        <w:spacing w:line="400" w:lineRule="exact"/>
        <w:rPr>
          <w:rFonts w:hAnsi="宋体" w:cs="宋体"/>
          <w:bCs/>
          <w:color w:val="000000" w:themeColor="text1"/>
          <w:szCs w:val="21"/>
          <w:highlight w:val="none"/>
          <w14:textFill>
            <w14:solidFill>
              <w14:schemeClr w14:val="tx1"/>
            </w14:solidFill>
          </w14:textFill>
        </w:rPr>
      </w:pPr>
      <w:r>
        <w:rPr>
          <w:rFonts w:hint="eastAsia" w:hAnsi="宋体" w:cs="宋体"/>
          <w:color w:val="000000" w:themeColor="text1"/>
          <w:szCs w:val="21"/>
          <w:highlight w:val="none"/>
          <w:lang w:val="zh-CN"/>
          <w14:textFill>
            <w14:solidFill>
              <w14:schemeClr w14:val="tx1"/>
            </w14:solidFill>
          </w14:textFill>
        </w:rPr>
        <w:t>3、</w:t>
      </w:r>
      <w:r>
        <w:rPr>
          <w:rFonts w:hint="eastAsia" w:hAnsi="宋体" w:cs="宋体"/>
          <w:color w:val="000000" w:themeColor="text1"/>
          <w:szCs w:val="21"/>
          <w:highlight w:val="none"/>
          <w14:textFill>
            <w14:solidFill>
              <w14:schemeClr w14:val="tx1"/>
            </w14:solidFill>
          </w14:textFill>
        </w:rPr>
        <w:t>目录由投标人自拟</w:t>
      </w:r>
      <w:r>
        <w:rPr>
          <w:rFonts w:hint="eastAsia" w:hAnsi="宋体" w:cs="宋体"/>
          <w:color w:val="000000" w:themeColor="text1"/>
          <w:szCs w:val="21"/>
          <w:highlight w:val="none"/>
          <w:lang w:val="zh-CN"/>
          <w14:textFill>
            <w14:solidFill>
              <w14:schemeClr w14:val="tx1"/>
            </w14:solidFill>
          </w14:textFill>
        </w:rPr>
        <w:t>。</w:t>
      </w:r>
    </w:p>
    <w:p>
      <w:pPr>
        <w:pStyle w:val="20"/>
        <w:spacing w:line="400" w:lineRule="exact"/>
        <w:ind w:left="315" w:hanging="315" w:hangingChars="150"/>
        <w:rPr>
          <w:rFonts w:hAnsi="宋体" w:cs="宋体"/>
          <w:color w:val="000000" w:themeColor="text1"/>
          <w:szCs w:val="21"/>
          <w:highlight w:val="none"/>
          <w14:textFill>
            <w14:solidFill>
              <w14:schemeClr w14:val="tx1"/>
            </w14:solidFill>
          </w14:textFill>
        </w:rPr>
      </w:pPr>
    </w:p>
    <w:p>
      <w:pPr>
        <w:spacing w:line="400" w:lineRule="exact"/>
        <w:rPr>
          <w:rFonts w:ascii="宋体" w:hAnsi="宋体" w:cs="宋体"/>
          <w:color w:val="000000" w:themeColor="text1"/>
          <w:highlight w:val="none"/>
          <w14:textFill>
            <w14:solidFill>
              <w14:schemeClr w14:val="tx1"/>
            </w14:solidFill>
          </w14:textFill>
        </w:rPr>
      </w:pPr>
    </w:p>
    <w:p>
      <w:pPr>
        <w:pStyle w:val="20"/>
        <w:rPr>
          <w:rFonts w:hAnsi="宋体" w:cs="宋体"/>
          <w:color w:val="000000" w:themeColor="text1"/>
          <w:sz w:val="36"/>
          <w:szCs w:val="36"/>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br w:type="page"/>
      </w:r>
    </w:p>
    <w:p>
      <w:pPr>
        <w:pStyle w:val="20"/>
        <w:jc w:val="right"/>
        <w:rPr>
          <w:rFonts w:hAnsi="宋体" w:cs="宋体"/>
          <w:b/>
          <w:color w:val="000000" w:themeColor="text1"/>
          <w:sz w:val="36"/>
          <w:szCs w:val="36"/>
          <w:highlight w:val="none"/>
          <w14:textFill>
            <w14:solidFill>
              <w14:schemeClr w14:val="tx1"/>
            </w14:solidFill>
          </w14:textFill>
        </w:rPr>
      </w:pPr>
      <w:r>
        <w:rPr>
          <w:rFonts w:hint="eastAsia" w:hAnsi="宋体" w:cs="宋体"/>
          <w:b/>
          <w:color w:val="000000" w:themeColor="text1"/>
          <w:sz w:val="36"/>
          <w:szCs w:val="36"/>
          <w:highlight w:val="none"/>
          <w14:textFill>
            <w14:solidFill>
              <w14:schemeClr w14:val="tx1"/>
            </w14:solidFill>
          </w14:textFill>
        </w:rPr>
        <w:t>正本／副本</w:t>
      </w:r>
    </w:p>
    <w:p>
      <w:pPr>
        <w:pStyle w:val="20"/>
        <w:spacing w:line="400" w:lineRule="exact"/>
        <w:jc w:val="center"/>
        <w:rPr>
          <w:rFonts w:hAnsi="宋体" w:cs="宋体"/>
          <w:b/>
          <w:color w:val="000000" w:themeColor="text1"/>
          <w:sz w:val="36"/>
          <w:szCs w:val="36"/>
          <w:highlight w:val="none"/>
          <w14:textFill>
            <w14:solidFill>
              <w14:schemeClr w14:val="tx1"/>
            </w14:solidFill>
          </w14:textFill>
        </w:rPr>
      </w:pPr>
    </w:p>
    <w:p>
      <w:pPr>
        <w:pStyle w:val="20"/>
        <w:spacing w:line="800" w:lineRule="exact"/>
        <w:jc w:val="center"/>
        <w:rPr>
          <w:rFonts w:hAnsi="宋体" w:cs="宋体"/>
          <w:b/>
          <w:color w:val="000000" w:themeColor="text1"/>
          <w:sz w:val="48"/>
          <w:szCs w:val="48"/>
          <w:highlight w:val="none"/>
          <w14:textFill>
            <w14:solidFill>
              <w14:schemeClr w14:val="tx1"/>
            </w14:solidFill>
          </w14:textFill>
        </w:rPr>
      </w:pPr>
      <w:r>
        <w:rPr>
          <w:rFonts w:hint="eastAsia" w:hAnsi="宋体" w:cs="宋体"/>
          <w:b/>
          <w:color w:val="000000" w:themeColor="text1"/>
          <w:sz w:val="48"/>
          <w:szCs w:val="48"/>
          <w:highlight w:val="none"/>
          <w14:textFill>
            <w14:solidFill>
              <w14:schemeClr w14:val="tx1"/>
            </w14:solidFill>
          </w14:textFill>
        </w:rPr>
        <w:t>（项目名称）</w:t>
      </w:r>
    </w:p>
    <w:p>
      <w:pPr>
        <w:pStyle w:val="20"/>
        <w:spacing w:line="800" w:lineRule="exact"/>
        <w:jc w:val="center"/>
        <w:rPr>
          <w:rFonts w:hAnsi="宋体" w:cs="宋体"/>
          <w:b/>
          <w:color w:val="000000" w:themeColor="text1"/>
          <w:sz w:val="48"/>
          <w:szCs w:val="48"/>
          <w:highlight w:val="none"/>
          <w14:textFill>
            <w14:solidFill>
              <w14:schemeClr w14:val="tx1"/>
            </w14:solidFill>
          </w14:textFill>
        </w:rPr>
      </w:pPr>
      <w:r>
        <w:rPr>
          <w:rFonts w:hint="eastAsia" w:hAnsi="宋体" w:cs="宋体"/>
          <w:b/>
          <w:color w:val="000000" w:themeColor="text1"/>
          <w:sz w:val="48"/>
          <w:szCs w:val="48"/>
          <w:highlight w:val="none"/>
          <w14:textFill>
            <w14:solidFill>
              <w14:schemeClr w14:val="tx1"/>
            </w14:solidFill>
          </w14:textFill>
        </w:rPr>
        <w:t>（项目编号）</w:t>
      </w:r>
    </w:p>
    <w:p>
      <w:pPr>
        <w:pStyle w:val="20"/>
        <w:jc w:val="center"/>
        <w:rPr>
          <w:rFonts w:hAnsi="宋体" w:cs="宋体"/>
          <w:b/>
          <w:color w:val="000000" w:themeColor="text1"/>
          <w:sz w:val="36"/>
          <w:szCs w:val="36"/>
          <w:highlight w:val="none"/>
          <w14:textFill>
            <w14:solidFill>
              <w14:schemeClr w14:val="tx1"/>
            </w14:solidFill>
          </w14:textFill>
        </w:rPr>
      </w:pPr>
    </w:p>
    <w:p>
      <w:pPr>
        <w:pStyle w:val="20"/>
        <w:jc w:val="center"/>
        <w:rPr>
          <w:rFonts w:hAnsi="宋体" w:cs="宋体"/>
          <w:b/>
          <w:color w:val="000000" w:themeColor="text1"/>
          <w:sz w:val="72"/>
          <w:szCs w:val="72"/>
          <w:highlight w:val="none"/>
          <w14:textFill>
            <w14:solidFill>
              <w14:schemeClr w14:val="tx1"/>
            </w14:solidFill>
          </w14:textFill>
        </w:rPr>
      </w:pPr>
      <w:r>
        <w:rPr>
          <w:rFonts w:hint="eastAsia" w:hAnsi="宋体" w:cs="宋体"/>
          <w:b/>
          <w:color w:val="000000" w:themeColor="text1"/>
          <w:sz w:val="72"/>
          <w:szCs w:val="72"/>
          <w:highlight w:val="none"/>
          <w14:textFill>
            <w14:solidFill>
              <w14:schemeClr w14:val="tx1"/>
            </w14:solidFill>
          </w14:textFill>
        </w:rPr>
        <w:t>投 标 文 件</w:t>
      </w:r>
    </w:p>
    <w:p>
      <w:pPr>
        <w:pStyle w:val="20"/>
        <w:jc w:val="center"/>
        <w:rPr>
          <w:rFonts w:hAnsi="宋体" w:cs="宋体"/>
          <w:b/>
          <w:color w:val="000000" w:themeColor="text1"/>
          <w:sz w:val="36"/>
          <w:szCs w:val="36"/>
          <w:highlight w:val="none"/>
          <w14:textFill>
            <w14:solidFill>
              <w14:schemeClr w14:val="tx1"/>
            </w14:solidFill>
          </w14:textFill>
        </w:rPr>
      </w:pPr>
      <w:r>
        <w:rPr>
          <w:rFonts w:hint="eastAsia" w:hAnsi="宋体"/>
          <w:b/>
          <w:color w:val="000000" w:themeColor="text1"/>
          <w:sz w:val="36"/>
          <w:szCs w:val="36"/>
          <w:highlight w:val="none"/>
          <w14:textFill>
            <w14:solidFill>
              <w14:schemeClr w14:val="tx1"/>
            </w14:solidFill>
          </w14:textFill>
        </w:rPr>
        <w:t>（法人或其他经济组织适用）</w:t>
      </w:r>
    </w:p>
    <w:p>
      <w:pPr>
        <w:pStyle w:val="20"/>
        <w:ind w:firstLine="2570" w:firstLineChars="800"/>
        <w:rPr>
          <w:rFonts w:hAnsi="宋体" w:cs="宋体"/>
          <w:b/>
          <w:color w:val="000000" w:themeColor="text1"/>
          <w:sz w:val="32"/>
          <w:szCs w:val="32"/>
          <w:highlight w:val="none"/>
          <w:u w:val="single"/>
          <w14:textFill>
            <w14:solidFill>
              <w14:schemeClr w14:val="tx1"/>
            </w14:solidFill>
          </w14:textFill>
        </w:rPr>
      </w:pPr>
    </w:p>
    <w:p>
      <w:pPr>
        <w:pStyle w:val="20"/>
        <w:ind w:firstLine="2570" w:firstLineChars="800"/>
        <w:rPr>
          <w:rFonts w:hAnsi="宋体" w:cs="宋体"/>
          <w:b/>
          <w:color w:val="000000" w:themeColor="text1"/>
          <w:sz w:val="32"/>
          <w:szCs w:val="32"/>
          <w:highlight w:val="none"/>
          <w:u w:val="single"/>
          <w14:textFill>
            <w14:solidFill>
              <w14:schemeClr w14:val="tx1"/>
            </w14:solidFill>
          </w14:textFill>
        </w:rPr>
      </w:pPr>
    </w:p>
    <w:p>
      <w:pPr>
        <w:pStyle w:val="20"/>
        <w:ind w:firstLine="2570" w:firstLineChars="800"/>
        <w:rPr>
          <w:rFonts w:hAnsi="宋体" w:cs="宋体"/>
          <w:b/>
          <w:color w:val="000000" w:themeColor="text1"/>
          <w:sz w:val="32"/>
          <w:szCs w:val="32"/>
          <w:highlight w:val="none"/>
          <w:u w:val="single"/>
          <w14:textFill>
            <w14:solidFill>
              <w14:schemeClr w14:val="tx1"/>
            </w14:solidFill>
          </w14:textFill>
        </w:rPr>
      </w:pPr>
    </w:p>
    <w:p>
      <w:pPr>
        <w:pStyle w:val="20"/>
        <w:ind w:firstLine="2570" w:firstLineChars="800"/>
        <w:rPr>
          <w:rFonts w:hAnsi="宋体" w:cs="宋体"/>
          <w:b/>
          <w:color w:val="000000" w:themeColor="text1"/>
          <w:sz w:val="32"/>
          <w:szCs w:val="32"/>
          <w:highlight w:val="none"/>
          <w:u w:val="single"/>
          <w14:textFill>
            <w14:solidFill>
              <w14:schemeClr w14:val="tx1"/>
            </w14:solidFill>
          </w14:textFill>
        </w:rPr>
      </w:pPr>
    </w:p>
    <w:p>
      <w:pPr>
        <w:pStyle w:val="20"/>
        <w:spacing w:line="700" w:lineRule="exact"/>
        <w:ind w:firstLine="720" w:firstLineChars="224"/>
        <w:rPr>
          <w:rFonts w:hAnsi="宋体" w:cs="宋体"/>
          <w:b/>
          <w:color w:val="000000" w:themeColor="text1"/>
          <w:sz w:val="32"/>
          <w:szCs w:val="32"/>
          <w:highlight w:val="none"/>
          <w:u w:val="single"/>
          <w14:textFill>
            <w14:solidFill>
              <w14:schemeClr w14:val="tx1"/>
            </w14:solidFill>
          </w14:textFill>
        </w:rPr>
      </w:pPr>
      <w:r>
        <w:rPr>
          <w:rFonts w:hint="eastAsia" w:hAnsi="宋体" w:cs="宋体"/>
          <w:b/>
          <w:color w:val="000000" w:themeColor="text1"/>
          <w:sz w:val="32"/>
          <w:szCs w:val="32"/>
          <w:highlight w:val="none"/>
          <w14:textFill>
            <w14:solidFill>
              <w14:schemeClr w14:val="tx1"/>
            </w14:solidFill>
          </w14:textFill>
        </w:rPr>
        <w:t>投标人（名称加盖公章）：</w:t>
      </w:r>
      <w:r>
        <w:rPr>
          <w:rFonts w:hint="eastAsia" w:hAnsi="宋体" w:cs="宋体"/>
          <w:b/>
          <w:color w:val="000000" w:themeColor="text1"/>
          <w:sz w:val="32"/>
          <w:szCs w:val="32"/>
          <w:highlight w:val="none"/>
          <w:u w:val="single"/>
          <w14:textFill>
            <w14:solidFill>
              <w14:schemeClr w14:val="tx1"/>
            </w14:solidFill>
          </w14:textFill>
        </w:rPr>
        <w:t xml:space="preserve">                     </w:t>
      </w:r>
      <w:r>
        <w:rPr>
          <w:rFonts w:hint="eastAsia" w:hAnsi="宋体" w:cs="宋体"/>
          <w:b/>
          <w:color w:val="000000" w:themeColor="text1"/>
          <w:sz w:val="32"/>
          <w:szCs w:val="32"/>
          <w:highlight w:val="none"/>
          <w:u w:val="single"/>
          <w:lang w:val="en-US" w:eastAsia="zh-CN"/>
          <w14:textFill>
            <w14:solidFill>
              <w14:schemeClr w14:val="tx1"/>
            </w14:solidFill>
          </w14:textFill>
        </w:rPr>
        <w:t xml:space="preserve">      </w:t>
      </w:r>
      <w:r>
        <w:rPr>
          <w:rFonts w:hint="eastAsia" w:hAnsi="宋体" w:cs="宋体"/>
          <w:b/>
          <w:color w:val="000000" w:themeColor="text1"/>
          <w:sz w:val="32"/>
          <w:szCs w:val="32"/>
          <w:highlight w:val="none"/>
          <w:u w:val="single"/>
          <w14:textFill>
            <w14:solidFill>
              <w14:schemeClr w14:val="tx1"/>
            </w14:solidFill>
          </w14:textFill>
        </w:rPr>
        <w:t xml:space="preserve">    </w:t>
      </w:r>
    </w:p>
    <w:p>
      <w:pPr>
        <w:pStyle w:val="20"/>
        <w:spacing w:line="700" w:lineRule="exact"/>
        <w:ind w:firstLine="720" w:firstLineChars="224"/>
        <w:rPr>
          <w:rFonts w:hAnsi="宋体" w:cs="宋体"/>
          <w:b/>
          <w:color w:val="000000" w:themeColor="text1"/>
          <w:sz w:val="32"/>
          <w:szCs w:val="32"/>
          <w:highlight w:val="none"/>
          <w14:textFill>
            <w14:solidFill>
              <w14:schemeClr w14:val="tx1"/>
            </w14:solidFill>
          </w14:textFill>
        </w:rPr>
      </w:pPr>
      <w:r>
        <w:rPr>
          <w:rFonts w:hint="eastAsia" w:hAnsi="宋体" w:cs="宋体"/>
          <w:b/>
          <w:color w:val="000000" w:themeColor="text1"/>
          <w:sz w:val="32"/>
          <w:szCs w:val="32"/>
          <w:highlight w:val="none"/>
          <w14:textFill>
            <w14:solidFill>
              <w14:schemeClr w14:val="tx1"/>
            </w14:solidFill>
          </w14:textFill>
        </w:rPr>
        <w:t>法定代表人（负责人）或其委托理人（签名）：</w:t>
      </w:r>
      <w:r>
        <w:rPr>
          <w:rFonts w:hint="eastAsia" w:hAnsi="宋体" w:cs="宋体"/>
          <w:b/>
          <w:color w:val="000000" w:themeColor="text1"/>
          <w:sz w:val="32"/>
          <w:szCs w:val="32"/>
          <w:highlight w:val="none"/>
          <w:u w:val="single"/>
          <w14:textFill>
            <w14:solidFill>
              <w14:schemeClr w14:val="tx1"/>
            </w14:solidFill>
          </w14:textFill>
        </w:rPr>
        <w:t xml:space="preserve">                 </w:t>
      </w:r>
    </w:p>
    <w:p>
      <w:pPr>
        <w:pStyle w:val="20"/>
        <w:spacing w:line="700" w:lineRule="exact"/>
        <w:ind w:firstLine="720" w:firstLineChars="224"/>
        <w:rPr>
          <w:rFonts w:hAnsi="宋体" w:cs="宋体"/>
          <w:b/>
          <w:color w:val="000000" w:themeColor="text1"/>
          <w:sz w:val="32"/>
          <w:szCs w:val="32"/>
          <w:highlight w:val="none"/>
          <w:u w:val="single"/>
          <w14:textFill>
            <w14:solidFill>
              <w14:schemeClr w14:val="tx1"/>
            </w14:solidFill>
          </w14:textFill>
        </w:rPr>
      </w:pPr>
      <w:r>
        <w:rPr>
          <w:rFonts w:hint="eastAsia" w:hAnsi="宋体" w:cs="宋体"/>
          <w:b/>
          <w:color w:val="000000" w:themeColor="text1"/>
          <w:sz w:val="32"/>
          <w:szCs w:val="32"/>
          <w:highlight w:val="none"/>
          <w14:textFill>
            <w14:solidFill>
              <w14:schemeClr w14:val="tx1"/>
            </w14:solidFill>
          </w14:textFill>
        </w:rPr>
        <w:t>联系电话：</w:t>
      </w:r>
      <w:r>
        <w:rPr>
          <w:rFonts w:hint="eastAsia" w:hAnsi="宋体" w:cs="宋体"/>
          <w:b/>
          <w:color w:val="000000" w:themeColor="text1"/>
          <w:sz w:val="32"/>
          <w:szCs w:val="32"/>
          <w:highlight w:val="none"/>
          <w:u w:val="single"/>
          <w14:textFill>
            <w14:solidFill>
              <w14:schemeClr w14:val="tx1"/>
            </w14:solidFill>
          </w14:textFill>
        </w:rPr>
        <w:t xml:space="preserve">                               </w:t>
      </w:r>
      <w:r>
        <w:rPr>
          <w:rFonts w:hint="eastAsia" w:hAnsi="宋体" w:cs="宋体"/>
          <w:b/>
          <w:color w:val="000000" w:themeColor="text1"/>
          <w:sz w:val="32"/>
          <w:szCs w:val="32"/>
          <w:highlight w:val="none"/>
          <w:u w:val="single"/>
          <w:lang w:val="en-US" w:eastAsia="zh-CN"/>
          <w14:textFill>
            <w14:solidFill>
              <w14:schemeClr w14:val="tx1"/>
            </w14:solidFill>
          </w14:textFill>
        </w:rPr>
        <w:t xml:space="preserve">      </w:t>
      </w:r>
      <w:r>
        <w:rPr>
          <w:rFonts w:hint="eastAsia" w:hAnsi="宋体" w:cs="宋体"/>
          <w:b/>
          <w:color w:val="000000" w:themeColor="text1"/>
          <w:sz w:val="32"/>
          <w:szCs w:val="32"/>
          <w:highlight w:val="none"/>
          <w:u w:val="single"/>
          <w14:textFill>
            <w14:solidFill>
              <w14:schemeClr w14:val="tx1"/>
            </w14:solidFill>
          </w14:textFill>
        </w:rPr>
        <w:t xml:space="preserve">       </w:t>
      </w:r>
    </w:p>
    <w:p>
      <w:pPr>
        <w:pStyle w:val="20"/>
        <w:spacing w:line="700" w:lineRule="exact"/>
        <w:ind w:firstLine="720" w:firstLineChars="224"/>
        <w:rPr>
          <w:rFonts w:hAnsi="宋体" w:cs="宋体"/>
          <w:b/>
          <w:color w:val="000000" w:themeColor="text1"/>
          <w:sz w:val="32"/>
          <w:szCs w:val="32"/>
          <w:highlight w:val="none"/>
          <w14:textFill>
            <w14:solidFill>
              <w14:schemeClr w14:val="tx1"/>
            </w14:solidFill>
          </w14:textFill>
        </w:rPr>
      </w:pPr>
      <w:r>
        <w:rPr>
          <w:rFonts w:hint="eastAsia" w:hAnsi="宋体" w:cs="宋体"/>
          <w:b/>
          <w:color w:val="000000" w:themeColor="text1"/>
          <w:sz w:val="32"/>
          <w:szCs w:val="32"/>
          <w:highlight w:val="none"/>
          <w14:textFill>
            <w14:solidFill>
              <w14:schemeClr w14:val="tx1"/>
            </w14:solidFill>
          </w14:textFill>
        </w:rPr>
        <w:t>投标日期：</w:t>
      </w:r>
      <w:r>
        <w:rPr>
          <w:rFonts w:hint="eastAsia" w:hAnsi="宋体" w:cs="宋体"/>
          <w:b/>
          <w:color w:val="000000" w:themeColor="text1"/>
          <w:sz w:val="32"/>
          <w:szCs w:val="32"/>
          <w:highlight w:val="none"/>
          <w:u w:val="single"/>
          <w14:textFill>
            <w14:solidFill>
              <w14:schemeClr w14:val="tx1"/>
            </w14:solidFill>
          </w14:textFill>
        </w:rPr>
        <w:t xml:space="preserve">         </w:t>
      </w:r>
      <w:r>
        <w:rPr>
          <w:rFonts w:hint="eastAsia" w:hAnsi="宋体" w:cs="宋体"/>
          <w:b/>
          <w:color w:val="000000" w:themeColor="text1"/>
          <w:sz w:val="32"/>
          <w:szCs w:val="32"/>
          <w:highlight w:val="none"/>
          <w14:textFill>
            <w14:solidFill>
              <w14:schemeClr w14:val="tx1"/>
            </w14:solidFill>
          </w14:textFill>
        </w:rPr>
        <w:t>年</w:t>
      </w:r>
      <w:r>
        <w:rPr>
          <w:rFonts w:hint="eastAsia" w:hAnsi="宋体" w:cs="宋体"/>
          <w:b/>
          <w:color w:val="000000" w:themeColor="text1"/>
          <w:sz w:val="32"/>
          <w:szCs w:val="32"/>
          <w:highlight w:val="none"/>
          <w:u w:val="single"/>
          <w14:textFill>
            <w14:solidFill>
              <w14:schemeClr w14:val="tx1"/>
            </w14:solidFill>
          </w14:textFill>
        </w:rPr>
        <w:t xml:space="preserve">     </w:t>
      </w:r>
      <w:r>
        <w:rPr>
          <w:rFonts w:hint="eastAsia" w:hAnsi="宋体" w:cs="宋体"/>
          <w:b/>
          <w:color w:val="000000" w:themeColor="text1"/>
          <w:sz w:val="32"/>
          <w:szCs w:val="32"/>
          <w:highlight w:val="none"/>
          <w14:textFill>
            <w14:solidFill>
              <w14:schemeClr w14:val="tx1"/>
            </w14:solidFill>
          </w14:textFill>
        </w:rPr>
        <w:t>月</w:t>
      </w:r>
      <w:r>
        <w:rPr>
          <w:rFonts w:hint="eastAsia" w:hAnsi="宋体" w:cs="宋体"/>
          <w:b/>
          <w:color w:val="000000" w:themeColor="text1"/>
          <w:sz w:val="32"/>
          <w:szCs w:val="32"/>
          <w:highlight w:val="none"/>
          <w:u w:val="single"/>
          <w14:textFill>
            <w14:solidFill>
              <w14:schemeClr w14:val="tx1"/>
            </w14:solidFill>
          </w14:textFill>
        </w:rPr>
        <w:t xml:space="preserve">     </w:t>
      </w:r>
      <w:r>
        <w:rPr>
          <w:rFonts w:hint="eastAsia" w:hAnsi="宋体" w:cs="宋体"/>
          <w:b/>
          <w:color w:val="000000" w:themeColor="text1"/>
          <w:sz w:val="32"/>
          <w:szCs w:val="32"/>
          <w:highlight w:val="none"/>
          <w14:textFill>
            <w14:solidFill>
              <w14:schemeClr w14:val="tx1"/>
            </w14:solidFill>
          </w14:textFill>
        </w:rPr>
        <w:t>日</w:t>
      </w:r>
    </w:p>
    <w:p>
      <w:pPr>
        <w:spacing w:line="400" w:lineRule="exact"/>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br w:type="page"/>
      </w:r>
    </w:p>
    <w:p>
      <w:pPr>
        <w:spacing w:line="400" w:lineRule="exact"/>
        <w:jc w:val="center"/>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开标一览表（格式）</w:t>
      </w:r>
    </w:p>
    <w:p>
      <w:pPr>
        <w:pStyle w:val="20"/>
        <w:rPr>
          <w:rFonts w:hAnsi="宋体" w:cs="宋体"/>
          <w:color w:val="000000" w:themeColor="text1"/>
          <w:highlight w:val="none"/>
          <w:u w:val="single"/>
          <w14:textFill>
            <w14:solidFill>
              <w14:schemeClr w14:val="tx1"/>
            </w14:solidFill>
          </w14:textFill>
        </w:rPr>
      </w:pPr>
    </w:p>
    <w:p>
      <w:pPr>
        <w:spacing w:line="400" w:lineRule="exact"/>
        <w:rPr>
          <w:rFonts w:ascii="宋体" w:hAnsi="宋体" w:cs="宋体"/>
          <w:b/>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项目名称：</w:t>
      </w:r>
      <w:r>
        <w:rPr>
          <w:rFonts w:hint="eastAsia" w:ascii="宋体" w:hAnsi="宋体" w:cs="宋体"/>
          <w:b/>
          <w:color w:val="000000" w:themeColor="text1"/>
          <w:sz w:val="24"/>
          <w:highlight w:val="none"/>
          <w:u w:val="single"/>
          <w14:textFill>
            <w14:solidFill>
              <w14:schemeClr w14:val="tx1"/>
            </w14:solidFill>
          </w14:textFill>
        </w:rPr>
        <w:t xml:space="preserve">                  </w:t>
      </w:r>
    </w:p>
    <w:p>
      <w:pPr>
        <w:spacing w:line="400" w:lineRule="exact"/>
        <w:rPr>
          <w:rFonts w:ascii="宋体" w:hAnsi="宋体" w:cs="宋体"/>
          <w:b/>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项目编号：</w:t>
      </w:r>
      <w:r>
        <w:rPr>
          <w:rFonts w:hint="eastAsia" w:ascii="宋体" w:hAnsi="宋体" w:cs="宋体"/>
          <w:b/>
          <w:color w:val="000000" w:themeColor="text1"/>
          <w:sz w:val="24"/>
          <w:highlight w:val="none"/>
          <w:u w:val="single"/>
          <w14:textFill>
            <w14:solidFill>
              <w14:schemeClr w14:val="tx1"/>
            </w14:solidFill>
          </w14:textFill>
        </w:rPr>
        <w:t xml:space="preserve">                  </w:t>
      </w:r>
    </w:p>
    <w:p>
      <w:pPr>
        <w:spacing w:line="400" w:lineRule="exact"/>
        <w:rPr>
          <w:rFonts w:ascii="宋体" w:hAnsi="宋体" w:cs="宋体"/>
          <w:b/>
          <w:color w:val="000000" w:themeColor="text1"/>
          <w:sz w:val="24"/>
          <w:highlight w:val="none"/>
          <w:u w:val="single"/>
          <w14:textFill>
            <w14:solidFill>
              <w14:schemeClr w14:val="tx1"/>
            </w14:solidFill>
          </w14:textFill>
        </w:rPr>
      </w:pPr>
    </w:p>
    <w:p>
      <w:pPr>
        <w:spacing w:line="400" w:lineRule="exact"/>
        <w:rPr>
          <w:rFonts w:ascii="宋体" w:hAnsi="宋体" w:cs="宋体"/>
          <w:b/>
          <w:color w:val="000000" w:themeColor="text1"/>
          <w:sz w:val="24"/>
          <w:highlight w:val="none"/>
          <w14:textFill>
            <w14:solidFill>
              <w14:schemeClr w14:val="tx1"/>
            </w14:solidFill>
          </w14:textFill>
        </w:rPr>
      </w:pPr>
    </w:p>
    <w:p>
      <w:pPr>
        <w:spacing w:after="165" w:afterLines="50" w:line="400" w:lineRule="exact"/>
        <w:jc w:val="righ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金额单位：人民币（元）</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1913"/>
        <w:gridCol w:w="1109"/>
        <w:gridCol w:w="1349"/>
        <w:gridCol w:w="857"/>
        <w:gridCol w:w="836"/>
        <w:gridCol w:w="1221"/>
        <w:gridCol w:w="14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0" w:type="dxa"/>
            <w:vAlign w:val="center"/>
          </w:tcPr>
          <w:p>
            <w:pPr>
              <w:pStyle w:val="20"/>
              <w:snapToGrid w:val="0"/>
              <w:jc w:val="center"/>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序号</w:t>
            </w:r>
          </w:p>
        </w:tc>
        <w:tc>
          <w:tcPr>
            <w:tcW w:w="1913" w:type="dxa"/>
            <w:vAlign w:val="center"/>
          </w:tcPr>
          <w:p>
            <w:pPr>
              <w:pStyle w:val="20"/>
              <w:snapToGrid w:val="0"/>
              <w:jc w:val="center"/>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产品或服务名称</w:t>
            </w:r>
          </w:p>
        </w:tc>
        <w:tc>
          <w:tcPr>
            <w:tcW w:w="1109" w:type="dxa"/>
            <w:vAlign w:val="center"/>
          </w:tcPr>
          <w:p>
            <w:pPr>
              <w:pStyle w:val="20"/>
              <w:snapToGrid w:val="0"/>
              <w:ind w:left="-105" w:leftChars="-50" w:right="-105" w:rightChars="-50"/>
              <w:jc w:val="center"/>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制造商或服务商</w:t>
            </w:r>
          </w:p>
        </w:tc>
        <w:tc>
          <w:tcPr>
            <w:tcW w:w="1349" w:type="dxa"/>
            <w:vAlign w:val="center"/>
          </w:tcPr>
          <w:p>
            <w:pPr>
              <w:pStyle w:val="20"/>
              <w:snapToGrid w:val="0"/>
              <w:jc w:val="center"/>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品牌、规格型号</w:t>
            </w:r>
          </w:p>
        </w:tc>
        <w:tc>
          <w:tcPr>
            <w:tcW w:w="857" w:type="dxa"/>
            <w:vAlign w:val="center"/>
          </w:tcPr>
          <w:p>
            <w:pPr>
              <w:pStyle w:val="20"/>
              <w:snapToGrid w:val="0"/>
              <w:jc w:val="center"/>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数量</w:t>
            </w:r>
          </w:p>
        </w:tc>
        <w:tc>
          <w:tcPr>
            <w:tcW w:w="836" w:type="dxa"/>
            <w:vAlign w:val="center"/>
          </w:tcPr>
          <w:p>
            <w:pPr>
              <w:pStyle w:val="20"/>
              <w:snapToGrid w:val="0"/>
              <w:jc w:val="center"/>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单位</w:t>
            </w:r>
          </w:p>
        </w:tc>
        <w:tc>
          <w:tcPr>
            <w:tcW w:w="1221" w:type="dxa"/>
            <w:vAlign w:val="center"/>
          </w:tcPr>
          <w:p>
            <w:pPr>
              <w:pStyle w:val="20"/>
              <w:snapToGrid w:val="0"/>
              <w:jc w:val="center"/>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单价（元）</w:t>
            </w:r>
          </w:p>
        </w:tc>
        <w:tc>
          <w:tcPr>
            <w:tcW w:w="1411" w:type="dxa"/>
            <w:vAlign w:val="center"/>
          </w:tcPr>
          <w:p>
            <w:pPr>
              <w:pStyle w:val="20"/>
              <w:snapToGrid w:val="0"/>
              <w:jc w:val="center"/>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单项合计（元）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0" w:type="dxa"/>
            <w:vAlign w:val="center"/>
          </w:tcPr>
          <w:p>
            <w:pPr>
              <w:pStyle w:val="20"/>
              <w:snapToGrid w:val="0"/>
              <w:jc w:val="center"/>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w:t>
            </w:r>
          </w:p>
        </w:tc>
        <w:tc>
          <w:tcPr>
            <w:tcW w:w="1913" w:type="dxa"/>
            <w:vAlign w:val="center"/>
          </w:tcPr>
          <w:p>
            <w:pPr>
              <w:pStyle w:val="20"/>
              <w:snapToGrid w:val="0"/>
              <w:jc w:val="center"/>
              <w:rPr>
                <w:rFonts w:hAnsi="宋体" w:cs="宋体"/>
                <w:color w:val="000000" w:themeColor="text1"/>
                <w:sz w:val="24"/>
                <w:szCs w:val="24"/>
                <w:highlight w:val="none"/>
                <w14:textFill>
                  <w14:solidFill>
                    <w14:schemeClr w14:val="tx1"/>
                  </w14:solidFill>
                </w14:textFill>
              </w:rPr>
            </w:pPr>
          </w:p>
        </w:tc>
        <w:tc>
          <w:tcPr>
            <w:tcW w:w="1109" w:type="dxa"/>
            <w:vAlign w:val="center"/>
          </w:tcPr>
          <w:p>
            <w:pPr>
              <w:pStyle w:val="20"/>
              <w:snapToGrid w:val="0"/>
              <w:jc w:val="center"/>
              <w:rPr>
                <w:rFonts w:hAnsi="宋体" w:cs="宋体"/>
                <w:color w:val="000000" w:themeColor="text1"/>
                <w:sz w:val="24"/>
                <w:szCs w:val="24"/>
                <w:highlight w:val="none"/>
                <w14:textFill>
                  <w14:solidFill>
                    <w14:schemeClr w14:val="tx1"/>
                  </w14:solidFill>
                </w14:textFill>
              </w:rPr>
            </w:pPr>
          </w:p>
        </w:tc>
        <w:tc>
          <w:tcPr>
            <w:tcW w:w="1349" w:type="dxa"/>
            <w:vAlign w:val="center"/>
          </w:tcPr>
          <w:p>
            <w:pPr>
              <w:pStyle w:val="20"/>
              <w:snapToGrid w:val="0"/>
              <w:jc w:val="center"/>
              <w:rPr>
                <w:rFonts w:hAnsi="宋体" w:cs="宋体"/>
                <w:color w:val="000000" w:themeColor="text1"/>
                <w:sz w:val="24"/>
                <w:szCs w:val="24"/>
                <w:highlight w:val="none"/>
                <w14:textFill>
                  <w14:solidFill>
                    <w14:schemeClr w14:val="tx1"/>
                  </w14:solidFill>
                </w14:textFill>
              </w:rPr>
            </w:pPr>
          </w:p>
        </w:tc>
        <w:tc>
          <w:tcPr>
            <w:tcW w:w="857" w:type="dxa"/>
            <w:vAlign w:val="center"/>
          </w:tcPr>
          <w:p>
            <w:pPr>
              <w:pStyle w:val="20"/>
              <w:snapToGrid w:val="0"/>
              <w:jc w:val="center"/>
              <w:rPr>
                <w:rFonts w:hAnsi="宋体" w:cs="宋体"/>
                <w:color w:val="000000" w:themeColor="text1"/>
                <w:sz w:val="24"/>
                <w:szCs w:val="24"/>
                <w:highlight w:val="none"/>
                <w14:textFill>
                  <w14:solidFill>
                    <w14:schemeClr w14:val="tx1"/>
                  </w14:solidFill>
                </w14:textFill>
              </w:rPr>
            </w:pPr>
          </w:p>
        </w:tc>
        <w:tc>
          <w:tcPr>
            <w:tcW w:w="836" w:type="dxa"/>
            <w:vAlign w:val="center"/>
          </w:tcPr>
          <w:p>
            <w:pPr>
              <w:pStyle w:val="20"/>
              <w:snapToGrid w:val="0"/>
              <w:jc w:val="center"/>
              <w:rPr>
                <w:rFonts w:hAnsi="宋体" w:cs="宋体"/>
                <w:color w:val="000000" w:themeColor="text1"/>
                <w:sz w:val="24"/>
                <w:szCs w:val="24"/>
                <w:highlight w:val="none"/>
                <w14:textFill>
                  <w14:solidFill>
                    <w14:schemeClr w14:val="tx1"/>
                  </w14:solidFill>
                </w14:textFill>
              </w:rPr>
            </w:pPr>
          </w:p>
        </w:tc>
        <w:tc>
          <w:tcPr>
            <w:tcW w:w="1221" w:type="dxa"/>
            <w:vAlign w:val="center"/>
          </w:tcPr>
          <w:p>
            <w:pPr>
              <w:pStyle w:val="20"/>
              <w:snapToGrid w:val="0"/>
              <w:jc w:val="center"/>
              <w:rPr>
                <w:rFonts w:hAnsi="宋体" w:cs="宋体"/>
                <w:color w:val="000000" w:themeColor="text1"/>
                <w:sz w:val="24"/>
                <w:szCs w:val="24"/>
                <w:highlight w:val="none"/>
                <w14:textFill>
                  <w14:solidFill>
                    <w14:schemeClr w14:val="tx1"/>
                  </w14:solidFill>
                </w14:textFill>
              </w:rPr>
            </w:pPr>
          </w:p>
        </w:tc>
        <w:tc>
          <w:tcPr>
            <w:tcW w:w="1411" w:type="dxa"/>
            <w:vAlign w:val="center"/>
          </w:tcPr>
          <w:p>
            <w:pPr>
              <w:pStyle w:val="20"/>
              <w:snapToGrid w:val="0"/>
              <w:jc w:val="center"/>
              <w:rPr>
                <w:rFonts w:hAnsi="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0" w:type="dxa"/>
            <w:vAlign w:val="center"/>
          </w:tcPr>
          <w:p>
            <w:pPr>
              <w:pStyle w:val="20"/>
              <w:snapToGrid w:val="0"/>
              <w:jc w:val="center"/>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2</w:t>
            </w:r>
          </w:p>
        </w:tc>
        <w:tc>
          <w:tcPr>
            <w:tcW w:w="1913" w:type="dxa"/>
            <w:vAlign w:val="center"/>
          </w:tcPr>
          <w:p>
            <w:pPr>
              <w:pStyle w:val="20"/>
              <w:snapToGrid w:val="0"/>
              <w:jc w:val="center"/>
              <w:rPr>
                <w:rFonts w:hAnsi="宋体" w:cs="宋体"/>
                <w:color w:val="000000" w:themeColor="text1"/>
                <w:sz w:val="24"/>
                <w:szCs w:val="24"/>
                <w:highlight w:val="none"/>
                <w14:textFill>
                  <w14:solidFill>
                    <w14:schemeClr w14:val="tx1"/>
                  </w14:solidFill>
                </w14:textFill>
              </w:rPr>
            </w:pPr>
          </w:p>
        </w:tc>
        <w:tc>
          <w:tcPr>
            <w:tcW w:w="1109" w:type="dxa"/>
            <w:vAlign w:val="center"/>
          </w:tcPr>
          <w:p>
            <w:pPr>
              <w:pStyle w:val="20"/>
              <w:snapToGrid w:val="0"/>
              <w:jc w:val="center"/>
              <w:rPr>
                <w:rFonts w:hAnsi="宋体" w:cs="宋体"/>
                <w:color w:val="000000" w:themeColor="text1"/>
                <w:sz w:val="24"/>
                <w:szCs w:val="24"/>
                <w:highlight w:val="none"/>
                <w14:textFill>
                  <w14:solidFill>
                    <w14:schemeClr w14:val="tx1"/>
                  </w14:solidFill>
                </w14:textFill>
              </w:rPr>
            </w:pPr>
          </w:p>
        </w:tc>
        <w:tc>
          <w:tcPr>
            <w:tcW w:w="1349" w:type="dxa"/>
            <w:vAlign w:val="center"/>
          </w:tcPr>
          <w:p>
            <w:pPr>
              <w:pStyle w:val="20"/>
              <w:snapToGrid w:val="0"/>
              <w:jc w:val="center"/>
              <w:rPr>
                <w:rFonts w:hAnsi="宋体" w:cs="宋体"/>
                <w:color w:val="000000" w:themeColor="text1"/>
                <w:sz w:val="24"/>
                <w:szCs w:val="24"/>
                <w:highlight w:val="none"/>
                <w14:textFill>
                  <w14:solidFill>
                    <w14:schemeClr w14:val="tx1"/>
                  </w14:solidFill>
                </w14:textFill>
              </w:rPr>
            </w:pPr>
          </w:p>
        </w:tc>
        <w:tc>
          <w:tcPr>
            <w:tcW w:w="857" w:type="dxa"/>
            <w:vAlign w:val="center"/>
          </w:tcPr>
          <w:p>
            <w:pPr>
              <w:pStyle w:val="20"/>
              <w:snapToGrid w:val="0"/>
              <w:jc w:val="center"/>
              <w:rPr>
                <w:rFonts w:hAnsi="宋体" w:cs="宋体"/>
                <w:color w:val="000000" w:themeColor="text1"/>
                <w:sz w:val="24"/>
                <w:szCs w:val="24"/>
                <w:highlight w:val="none"/>
                <w14:textFill>
                  <w14:solidFill>
                    <w14:schemeClr w14:val="tx1"/>
                  </w14:solidFill>
                </w14:textFill>
              </w:rPr>
            </w:pPr>
          </w:p>
        </w:tc>
        <w:tc>
          <w:tcPr>
            <w:tcW w:w="836" w:type="dxa"/>
            <w:vAlign w:val="center"/>
          </w:tcPr>
          <w:p>
            <w:pPr>
              <w:pStyle w:val="20"/>
              <w:snapToGrid w:val="0"/>
              <w:jc w:val="center"/>
              <w:rPr>
                <w:rFonts w:hAnsi="宋体" w:cs="宋体"/>
                <w:color w:val="000000" w:themeColor="text1"/>
                <w:sz w:val="24"/>
                <w:szCs w:val="24"/>
                <w:highlight w:val="none"/>
                <w14:textFill>
                  <w14:solidFill>
                    <w14:schemeClr w14:val="tx1"/>
                  </w14:solidFill>
                </w14:textFill>
              </w:rPr>
            </w:pPr>
          </w:p>
        </w:tc>
        <w:tc>
          <w:tcPr>
            <w:tcW w:w="1221" w:type="dxa"/>
            <w:vAlign w:val="center"/>
          </w:tcPr>
          <w:p>
            <w:pPr>
              <w:pStyle w:val="20"/>
              <w:snapToGrid w:val="0"/>
              <w:jc w:val="center"/>
              <w:rPr>
                <w:rFonts w:hAnsi="宋体" w:cs="宋体"/>
                <w:color w:val="000000" w:themeColor="text1"/>
                <w:sz w:val="24"/>
                <w:szCs w:val="24"/>
                <w:highlight w:val="none"/>
                <w14:textFill>
                  <w14:solidFill>
                    <w14:schemeClr w14:val="tx1"/>
                  </w14:solidFill>
                </w14:textFill>
              </w:rPr>
            </w:pPr>
          </w:p>
        </w:tc>
        <w:tc>
          <w:tcPr>
            <w:tcW w:w="1411" w:type="dxa"/>
            <w:vAlign w:val="center"/>
          </w:tcPr>
          <w:p>
            <w:pPr>
              <w:pStyle w:val="20"/>
              <w:snapToGrid w:val="0"/>
              <w:jc w:val="center"/>
              <w:rPr>
                <w:rFonts w:hAnsi="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0" w:type="dxa"/>
            <w:vAlign w:val="center"/>
          </w:tcPr>
          <w:p>
            <w:pPr>
              <w:pStyle w:val="20"/>
              <w:snapToGrid w:val="0"/>
              <w:jc w:val="center"/>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3</w:t>
            </w:r>
          </w:p>
        </w:tc>
        <w:tc>
          <w:tcPr>
            <w:tcW w:w="1913" w:type="dxa"/>
            <w:vAlign w:val="center"/>
          </w:tcPr>
          <w:p>
            <w:pPr>
              <w:pStyle w:val="20"/>
              <w:snapToGrid w:val="0"/>
              <w:jc w:val="center"/>
              <w:rPr>
                <w:rFonts w:hAnsi="宋体" w:cs="宋体"/>
                <w:color w:val="000000" w:themeColor="text1"/>
                <w:sz w:val="24"/>
                <w:szCs w:val="24"/>
                <w:highlight w:val="none"/>
                <w14:textFill>
                  <w14:solidFill>
                    <w14:schemeClr w14:val="tx1"/>
                  </w14:solidFill>
                </w14:textFill>
              </w:rPr>
            </w:pPr>
          </w:p>
        </w:tc>
        <w:tc>
          <w:tcPr>
            <w:tcW w:w="1109" w:type="dxa"/>
            <w:vAlign w:val="center"/>
          </w:tcPr>
          <w:p>
            <w:pPr>
              <w:pStyle w:val="20"/>
              <w:snapToGrid w:val="0"/>
              <w:jc w:val="center"/>
              <w:rPr>
                <w:rFonts w:hAnsi="宋体" w:cs="宋体"/>
                <w:color w:val="000000" w:themeColor="text1"/>
                <w:sz w:val="24"/>
                <w:szCs w:val="24"/>
                <w:highlight w:val="none"/>
                <w14:textFill>
                  <w14:solidFill>
                    <w14:schemeClr w14:val="tx1"/>
                  </w14:solidFill>
                </w14:textFill>
              </w:rPr>
            </w:pPr>
          </w:p>
        </w:tc>
        <w:tc>
          <w:tcPr>
            <w:tcW w:w="1349" w:type="dxa"/>
            <w:vAlign w:val="center"/>
          </w:tcPr>
          <w:p>
            <w:pPr>
              <w:pStyle w:val="20"/>
              <w:snapToGrid w:val="0"/>
              <w:jc w:val="center"/>
              <w:rPr>
                <w:rFonts w:hAnsi="宋体" w:cs="宋体"/>
                <w:color w:val="000000" w:themeColor="text1"/>
                <w:sz w:val="24"/>
                <w:szCs w:val="24"/>
                <w:highlight w:val="none"/>
                <w14:textFill>
                  <w14:solidFill>
                    <w14:schemeClr w14:val="tx1"/>
                  </w14:solidFill>
                </w14:textFill>
              </w:rPr>
            </w:pPr>
          </w:p>
        </w:tc>
        <w:tc>
          <w:tcPr>
            <w:tcW w:w="857" w:type="dxa"/>
            <w:vAlign w:val="center"/>
          </w:tcPr>
          <w:p>
            <w:pPr>
              <w:pStyle w:val="20"/>
              <w:snapToGrid w:val="0"/>
              <w:jc w:val="center"/>
              <w:rPr>
                <w:rFonts w:hAnsi="宋体" w:cs="宋体"/>
                <w:color w:val="000000" w:themeColor="text1"/>
                <w:sz w:val="24"/>
                <w:szCs w:val="24"/>
                <w:highlight w:val="none"/>
                <w14:textFill>
                  <w14:solidFill>
                    <w14:schemeClr w14:val="tx1"/>
                  </w14:solidFill>
                </w14:textFill>
              </w:rPr>
            </w:pPr>
          </w:p>
        </w:tc>
        <w:tc>
          <w:tcPr>
            <w:tcW w:w="836" w:type="dxa"/>
            <w:vAlign w:val="center"/>
          </w:tcPr>
          <w:p>
            <w:pPr>
              <w:pStyle w:val="20"/>
              <w:snapToGrid w:val="0"/>
              <w:jc w:val="center"/>
              <w:rPr>
                <w:rFonts w:hAnsi="宋体" w:cs="宋体"/>
                <w:color w:val="000000" w:themeColor="text1"/>
                <w:sz w:val="24"/>
                <w:szCs w:val="24"/>
                <w:highlight w:val="none"/>
                <w14:textFill>
                  <w14:solidFill>
                    <w14:schemeClr w14:val="tx1"/>
                  </w14:solidFill>
                </w14:textFill>
              </w:rPr>
            </w:pPr>
          </w:p>
        </w:tc>
        <w:tc>
          <w:tcPr>
            <w:tcW w:w="1221" w:type="dxa"/>
            <w:vAlign w:val="center"/>
          </w:tcPr>
          <w:p>
            <w:pPr>
              <w:pStyle w:val="20"/>
              <w:snapToGrid w:val="0"/>
              <w:jc w:val="center"/>
              <w:rPr>
                <w:rFonts w:hAnsi="宋体" w:cs="宋体"/>
                <w:color w:val="000000" w:themeColor="text1"/>
                <w:sz w:val="24"/>
                <w:szCs w:val="24"/>
                <w:highlight w:val="none"/>
                <w14:textFill>
                  <w14:solidFill>
                    <w14:schemeClr w14:val="tx1"/>
                  </w14:solidFill>
                </w14:textFill>
              </w:rPr>
            </w:pPr>
          </w:p>
        </w:tc>
        <w:tc>
          <w:tcPr>
            <w:tcW w:w="1411" w:type="dxa"/>
            <w:vAlign w:val="center"/>
          </w:tcPr>
          <w:p>
            <w:pPr>
              <w:pStyle w:val="20"/>
              <w:snapToGrid w:val="0"/>
              <w:jc w:val="center"/>
              <w:rPr>
                <w:rFonts w:hAnsi="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0" w:type="dxa"/>
            <w:vAlign w:val="center"/>
          </w:tcPr>
          <w:p>
            <w:pPr>
              <w:pStyle w:val="20"/>
              <w:snapToGrid w:val="0"/>
              <w:jc w:val="center"/>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w:t>
            </w:r>
          </w:p>
        </w:tc>
        <w:tc>
          <w:tcPr>
            <w:tcW w:w="1913" w:type="dxa"/>
            <w:vAlign w:val="center"/>
          </w:tcPr>
          <w:p>
            <w:pPr>
              <w:pStyle w:val="20"/>
              <w:snapToGrid w:val="0"/>
              <w:jc w:val="center"/>
              <w:rPr>
                <w:rFonts w:hAnsi="宋体" w:cs="宋体"/>
                <w:color w:val="000000" w:themeColor="text1"/>
                <w:sz w:val="24"/>
                <w:szCs w:val="24"/>
                <w:highlight w:val="none"/>
                <w14:textFill>
                  <w14:solidFill>
                    <w14:schemeClr w14:val="tx1"/>
                  </w14:solidFill>
                </w14:textFill>
              </w:rPr>
            </w:pPr>
          </w:p>
        </w:tc>
        <w:tc>
          <w:tcPr>
            <w:tcW w:w="1109" w:type="dxa"/>
            <w:vAlign w:val="center"/>
          </w:tcPr>
          <w:p>
            <w:pPr>
              <w:pStyle w:val="20"/>
              <w:snapToGrid w:val="0"/>
              <w:jc w:val="center"/>
              <w:rPr>
                <w:rFonts w:hAnsi="宋体" w:cs="宋体"/>
                <w:color w:val="000000" w:themeColor="text1"/>
                <w:sz w:val="24"/>
                <w:szCs w:val="24"/>
                <w:highlight w:val="none"/>
                <w14:textFill>
                  <w14:solidFill>
                    <w14:schemeClr w14:val="tx1"/>
                  </w14:solidFill>
                </w14:textFill>
              </w:rPr>
            </w:pPr>
          </w:p>
        </w:tc>
        <w:tc>
          <w:tcPr>
            <w:tcW w:w="1349" w:type="dxa"/>
            <w:vAlign w:val="center"/>
          </w:tcPr>
          <w:p>
            <w:pPr>
              <w:pStyle w:val="20"/>
              <w:snapToGrid w:val="0"/>
              <w:jc w:val="center"/>
              <w:rPr>
                <w:rFonts w:hAnsi="宋体" w:cs="宋体"/>
                <w:color w:val="000000" w:themeColor="text1"/>
                <w:sz w:val="24"/>
                <w:szCs w:val="24"/>
                <w:highlight w:val="none"/>
                <w14:textFill>
                  <w14:solidFill>
                    <w14:schemeClr w14:val="tx1"/>
                  </w14:solidFill>
                </w14:textFill>
              </w:rPr>
            </w:pPr>
          </w:p>
        </w:tc>
        <w:tc>
          <w:tcPr>
            <w:tcW w:w="857" w:type="dxa"/>
            <w:vAlign w:val="center"/>
          </w:tcPr>
          <w:p>
            <w:pPr>
              <w:pStyle w:val="20"/>
              <w:snapToGrid w:val="0"/>
              <w:jc w:val="center"/>
              <w:rPr>
                <w:rFonts w:hAnsi="宋体" w:cs="宋体"/>
                <w:color w:val="000000" w:themeColor="text1"/>
                <w:sz w:val="24"/>
                <w:szCs w:val="24"/>
                <w:highlight w:val="none"/>
                <w14:textFill>
                  <w14:solidFill>
                    <w14:schemeClr w14:val="tx1"/>
                  </w14:solidFill>
                </w14:textFill>
              </w:rPr>
            </w:pPr>
          </w:p>
        </w:tc>
        <w:tc>
          <w:tcPr>
            <w:tcW w:w="836" w:type="dxa"/>
            <w:vAlign w:val="center"/>
          </w:tcPr>
          <w:p>
            <w:pPr>
              <w:pStyle w:val="20"/>
              <w:snapToGrid w:val="0"/>
              <w:jc w:val="center"/>
              <w:rPr>
                <w:rFonts w:hAnsi="宋体" w:cs="宋体"/>
                <w:color w:val="000000" w:themeColor="text1"/>
                <w:sz w:val="24"/>
                <w:szCs w:val="24"/>
                <w:highlight w:val="none"/>
                <w14:textFill>
                  <w14:solidFill>
                    <w14:schemeClr w14:val="tx1"/>
                  </w14:solidFill>
                </w14:textFill>
              </w:rPr>
            </w:pPr>
          </w:p>
        </w:tc>
        <w:tc>
          <w:tcPr>
            <w:tcW w:w="1221" w:type="dxa"/>
            <w:vAlign w:val="center"/>
          </w:tcPr>
          <w:p>
            <w:pPr>
              <w:pStyle w:val="20"/>
              <w:snapToGrid w:val="0"/>
              <w:jc w:val="center"/>
              <w:rPr>
                <w:rFonts w:hAnsi="宋体" w:cs="宋体"/>
                <w:color w:val="000000" w:themeColor="text1"/>
                <w:sz w:val="24"/>
                <w:szCs w:val="24"/>
                <w:highlight w:val="none"/>
                <w14:textFill>
                  <w14:solidFill>
                    <w14:schemeClr w14:val="tx1"/>
                  </w14:solidFill>
                </w14:textFill>
              </w:rPr>
            </w:pPr>
          </w:p>
        </w:tc>
        <w:tc>
          <w:tcPr>
            <w:tcW w:w="1411" w:type="dxa"/>
            <w:vAlign w:val="center"/>
          </w:tcPr>
          <w:p>
            <w:pPr>
              <w:pStyle w:val="20"/>
              <w:snapToGrid w:val="0"/>
              <w:jc w:val="center"/>
              <w:rPr>
                <w:rFonts w:hAnsi="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43" w:type="dxa"/>
            <w:gridSpan w:val="2"/>
            <w:vAlign w:val="center"/>
          </w:tcPr>
          <w:p>
            <w:pPr>
              <w:snapToGrid w:val="0"/>
              <w:jc w:val="center"/>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投标报价总计</w:t>
            </w:r>
          </w:p>
        </w:tc>
        <w:tc>
          <w:tcPr>
            <w:tcW w:w="6783" w:type="dxa"/>
            <w:gridSpan w:val="6"/>
            <w:vAlign w:val="center"/>
          </w:tcPr>
          <w:p>
            <w:pPr>
              <w:snapToGrid w:val="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大写：</w:t>
            </w:r>
          </w:p>
          <w:p>
            <w:pPr>
              <w:snapToGrid w:val="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43" w:type="dxa"/>
            <w:gridSpan w:val="2"/>
            <w:vAlign w:val="center"/>
          </w:tcPr>
          <w:p>
            <w:pPr>
              <w:snapToGrid w:val="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交货期</w:t>
            </w:r>
          </w:p>
          <w:p>
            <w:pPr>
              <w:snapToGrid w:val="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（安装、调试、培训完）</w:t>
            </w:r>
          </w:p>
        </w:tc>
        <w:tc>
          <w:tcPr>
            <w:tcW w:w="6783" w:type="dxa"/>
            <w:gridSpan w:val="6"/>
            <w:vAlign w:val="center"/>
          </w:tcPr>
          <w:p>
            <w:pPr>
              <w:snapToGrid w:val="0"/>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43" w:type="dxa"/>
            <w:gridSpan w:val="2"/>
            <w:vAlign w:val="center"/>
          </w:tcPr>
          <w:p>
            <w:pPr>
              <w:snapToGrid w:val="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交货地点</w:t>
            </w:r>
          </w:p>
        </w:tc>
        <w:tc>
          <w:tcPr>
            <w:tcW w:w="6783" w:type="dxa"/>
            <w:gridSpan w:val="6"/>
            <w:vAlign w:val="center"/>
          </w:tcPr>
          <w:p>
            <w:pPr>
              <w:snapToGrid w:val="0"/>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43" w:type="dxa"/>
            <w:gridSpan w:val="2"/>
            <w:vAlign w:val="center"/>
          </w:tcPr>
          <w:p>
            <w:pPr>
              <w:snapToGrid w:val="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质保期</w:t>
            </w:r>
          </w:p>
        </w:tc>
        <w:tc>
          <w:tcPr>
            <w:tcW w:w="6783" w:type="dxa"/>
            <w:gridSpan w:val="6"/>
            <w:vAlign w:val="center"/>
          </w:tcPr>
          <w:p>
            <w:pPr>
              <w:snapToGrid w:val="0"/>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43" w:type="dxa"/>
            <w:gridSpan w:val="2"/>
            <w:vAlign w:val="center"/>
          </w:tcPr>
          <w:p>
            <w:pPr>
              <w:snapToGrid w:val="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备注</w:t>
            </w:r>
          </w:p>
        </w:tc>
        <w:tc>
          <w:tcPr>
            <w:tcW w:w="6783" w:type="dxa"/>
            <w:gridSpan w:val="6"/>
            <w:vAlign w:val="center"/>
          </w:tcPr>
          <w:p>
            <w:pPr>
              <w:snapToGrid w:val="0"/>
              <w:rPr>
                <w:rFonts w:ascii="宋体" w:hAnsi="宋体" w:cs="宋体"/>
                <w:color w:val="000000" w:themeColor="text1"/>
                <w:szCs w:val="21"/>
                <w:highlight w:val="none"/>
                <w14:textFill>
                  <w14:solidFill>
                    <w14:schemeClr w14:val="tx1"/>
                  </w14:solidFill>
                </w14:textFill>
              </w:rPr>
            </w:pPr>
          </w:p>
        </w:tc>
      </w:tr>
    </w:tbl>
    <w:p>
      <w:pPr>
        <w:pStyle w:val="20"/>
        <w:rPr>
          <w:rFonts w:hAnsi="宋体" w:cs="宋体"/>
          <w:bCs/>
          <w:color w:val="000000" w:themeColor="text1"/>
          <w:highlight w:val="none"/>
          <w14:textFill>
            <w14:solidFill>
              <w14:schemeClr w14:val="tx1"/>
            </w14:solidFill>
          </w14:textFill>
        </w:rPr>
      </w:pPr>
    </w:p>
    <w:p>
      <w:pPr>
        <w:pStyle w:val="20"/>
        <w:rPr>
          <w:rFonts w:hAnsi="宋体" w:cs="宋体"/>
          <w:bCs/>
          <w:color w:val="000000" w:themeColor="text1"/>
          <w:highlight w:val="none"/>
          <w14:textFill>
            <w14:solidFill>
              <w14:schemeClr w14:val="tx1"/>
            </w14:solidFill>
          </w14:textFill>
        </w:rPr>
      </w:pPr>
    </w:p>
    <w:p>
      <w:pPr>
        <w:pStyle w:val="20"/>
        <w:ind w:firstLine="2520" w:firstLineChars="900"/>
        <w:rPr>
          <w:rFonts w:hAnsi="宋体" w:cs="宋体"/>
          <w:color w:val="000000" w:themeColor="text1"/>
          <w:sz w:val="28"/>
          <w:szCs w:val="28"/>
          <w:highlight w:val="none"/>
          <w:u w:val="singl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投标人名称（加盖公章）：</w:t>
      </w:r>
      <w:r>
        <w:rPr>
          <w:rFonts w:hint="eastAsia" w:hAnsi="宋体" w:cs="宋体"/>
          <w:color w:val="000000" w:themeColor="text1"/>
          <w:sz w:val="28"/>
          <w:szCs w:val="28"/>
          <w:highlight w:val="none"/>
          <w:u w:val="single"/>
          <w14:textFill>
            <w14:solidFill>
              <w14:schemeClr w14:val="tx1"/>
            </w14:solidFill>
          </w14:textFill>
        </w:rPr>
        <w:t xml:space="preserve">                  </w:t>
      </w:r>
      <w:r>
        <w:rPr>
          <w:rFonts w:hint="eastAsia" w:hAnsi="宋体" w:cs="宋体"/>
          <w:color w:val="000000" w:themeColor="text1"/>
          <w:sz w:val="28"/>
          <w:szCs w:val="28"/>
          <w:highlight w:val="none"/>
          <w:u w:val="single"/>
          <w:lang w:val="en-US" w:eastAsia="zh-CN"/>
          <w14:textFill>
            <w14:solidFill>
              <w14:schemeClr w14:val="tx1"/>
            </w14:solidFill>
          </w14:textFill>
        </w:rPr>
        <w:t xml:space="preserve">    </w:t>
      </w:r>
      <w:r>
        <w:rPr>
          <w:rFonts w:hint="eastAsia" w:hAnsi="宋体" w:cs="宋体"/>
          <w:color w:val="000000" w:themeColor="text1"/>
          <w:sz w:val="28"/>
          <w:szCs w:val="28"/>
          <w:highlight w:val="none"/>
          <w:u w:val="single"/>
          <w14:textFill>
            <w14:solidFill>
              <w14:schemeClr w14:val="tx1"/>
            </w14:solidFill>
          </w14:textFill>
        </w:rPr>
        <w:t xml:space="preserve">   </w:t>
      </w:r>
    </w:p>
    <w:p>
      <w:pPr>
        <w:pStyle w:val="20"/>
        <w:ind w:firstLine="2520" w:firstLineChars="900"/>
        <w:rPr>
          <w:rFonts w:hAnsi="宋体" w:cs="宋体"/>
          <w:color w:val="000000" w:themeColor="text1"/>
          <w:sz w:val="28"/>
          <w:szCs w:val="28"/>
          <w:highlight w:val="none"/>
          <w:u w:val="singl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法定代表人（负责人）或委托代理人签字：</w:t>
      </w:r>
      <w:r>
        <w:rPr>
          <w:rFonts w:hint="eastAsia" w:hAnsi="宋体" w:cs="宋体"/>
          <w:color w:val="000000" w:themeColor="text1"/>
          <w:sz w:val="28"/>
          <w:szCs w:val="28"/>
          <w:highlight w:val="none"/>
          <w:u w:val="single"/>
          <w14:textFill>
            <w14:solidFill>
              <w14:schemeClr w14:val="tx1"/>
            </w14:solidFill>
          </w14:textFill>
        </w:rPr>
        <w:t xml:space="preserve">                </w:t>
      </w:r>
    </w:p>
    <w:p>
      <w:pPr>
        <w:pStyle w:val="20"/>
        <w:ind w:firstLine="2520" w:firstLineChars="90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投标日期：</w:t>
      </w:r>
      <w:r>
        <w:rPr>
          <w:rFonts w:hint="eastAsia" w:hAnsi="宋体" w:cs="宋体"/>
          <w:color w:val="000000" w:themeColor="text1"/>
          <w:sz w:val="28"/>
          <w:szCs w:val="28"/>
          <w:highlight w:val="none"/>
          <w:u w:val="single"/>
          <w14:textFill>
            <w14:solidFill>
              <w14:schemeClr w14:val="tx1"/>
            </w14:solidFill>
          </w14:textFill>
        </w:rPr>
        <w:t xml:space="preserve">       年    月    日</w:t>
      </w:r>
    </w:p>
    <w:p>
      <w:pPr>
        <w:rPr>
          <w:rFonts w:ascii="宋体" w:hAnsi="宋体" w:cs="宋体"/>
          <w:color w:val="000000" w:themeColor="text1"/>
          <w:sz w:val="24"/>
          <w:highlight w:val="none"/>
          <w14:textFill>
            <w14:solidFill>
              <w14:schemeClr w14:val="tx1"/>
            </w14:solidFill>
          </w14:textFill>
        </w:rPr>
      </w:pPr>
    </w:p>
    <w:p>
      <w:pPr>
        <w:spacing w:line="320" w:lineRule="exact"/>
        <w:ind w:left="944" w:hanging="944" w:hangingChars="448"/>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说明：</w:t>
      </w:r>
    </w:p>
    <w:p>
      <w:pPr>
        <w:spacing w:line="320" w:lineRule="exact"/>
        <w:ind w:left="315" w:hanging="315" w:hangingChars="1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1、所有价格均系用人民币表示，单位为元，精确到小数点后两位。</w:t>
      </w:r>
    </w:p>
    <w:p>
      <w:pPr>
        <w:spacing w:line="320" w:lineRule="exact"/>
        <w:ind w:left="315" w:hanging="315" w:hangingChars="1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r>
        <w:rPr>
          <w:rFonts w:hint="eastAsia" w:ascii="宋体" w:hAnsi="宋体" w:cs="宋体"/>
          <w:color w:val="000000" w:themeColor="text1"/>
          <w:highlight w:val="none"/>
          <w14:textFill>
            <w14:solidFill>
              <w14:schemeClr w14:val="tx1"/>
            </w14:solidFill>
          </w14:textFill>
        </w:rPr>
        <w:t>本表可扩展，并逐页签字及加盖公章，否则，未按要求填写、无签名盖章的，投标无效。</w:t>
      </w:r>
    </w:p>
    <w:p>
      <w:pPr>
        <w:spacing w:line="500" w:lineRule="exact"/>
        <w:jc w:val="center"/>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br w:type="page"/>
      </w:r>
      <w:r>
        <w:rPr>
          <w:rFonts w:hint="eastAsia" w:ascii="宋体" w:hAnsi="宋体" w:cs="宋体"/>
          <w:b/>
          <w:color w:val="000000" w:themeColor="text1"/>
          <w:sz w:val="32"/>
          <w:szCs w:val="32"/>
          <w:highlight w:val="none"/>
          <w14:textFill>
            <w14:solidFill>
              <w14:schemeClr w14:val="tx1"/>
            </w14:solidFill>
          </w14:textFill>
        </w:rPr>
        <w:t>投标函（格式）</w:t>
      </w:r>
    </w:p>
    <w:p>
      <w:pPr>
        <w:pStyle w:val="20"/>
        <w:spacing w:line="520" w:lineRule="exact"/>
        <w:ind w:firstLine="720" w:firstLineChars="300"/>
        <w:rPr>
          <w:rFonts w:hAnsi="宋体" w:cs="宋体"/>
          <w:color w:val="000000" w:themeColor="text1"/>
          <w:sz w:val="24"/>
          <w:szCs w:val="24"/>
          <w:highlight w:val="none"/>
          <w14:textFill>
            <w14:solidFill>
              <w14:schemeClr w14:val="tx1"/>
            </w14:solidFill>
          </w14:textFill>
        </w:rPr>
      </w:pPr>
    </w:p>
    <w:p>
      <w:pPr>
        <w:pStyle w:val="20"/>
        <w:spacing w:line="520" w:lineRule="exact"/>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致：广西众联工程项目管理有限公司</w:t>
      </w:r>
    </w:p>
    <w:p>
      <w:pPr>
        <w:pStyle w:val="20"/>
        <w:spacing w:line="520" w:lineRule="exact"/>
        <w:ind w:firstLine="42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根据贵方</w:t>
      </w:r>
      <w:r>
        <w:rPr>
          <w:rFonts w:hint="eastAsia" w:hAnsi="宋体" w:cs="宋体"/>
          <w:bCs/>
          <w:color w:val="000000" w:themeColor="text1"/>
          <w:sz w:val="24"/>
          <w:szCs w:val="24"/>
          <w:highlight w:val="none"/>
          <w:u w:val="single"/>
          <w14:textFill>
            <w14:solidFill>
              <w14:schemeClr w14:val="tx1"/>
            </w14:solidFill>
          </w14:textFill>
        </w:rPr>
        <w:t>（项目名称及项目编号）</w:t>
      </w:r>
      <w:r>
        <w:rPr>
          <w:rFonts w:hint="eastAsia" w:hAnsi="宋体" w:cs="宋体"/>
          <w:color w:val="000000" w:themeColor="text1"/>
          <w:sz w:val="24"/>
          <w:szCs w:val="24"/>
          <w:highlight w:val="none"/>
          <w14:textFill>
            <w14:solidFill>
              <w14:schemeClr w14:val="tx1"/>
            </w14:solidFill>
          </w14:textFill>
        </w:rPr>
        <w:t>的招标文件全部内容，正式授权下述签字代表</w:t>
      </w:r>
      <w:r>
        <w:rPr>
          <w:rFonts w:hint="eastAsia" w:hAnsi="宋体" w:cs="宋体"/>
          <w:color w:val="000000" w:themeColor="text1"/>
          <w:sz w:val="24"/>
          <w:szCs w:val="24"/>
          <w:highlight w:val="none"/>
          <w:u w:val="single"/>
          <w14:textFill>
            <w14:solidFill>
              <w14:schemeClr w14:val="tx1"/>
            </w14:solidFill>
          </w14:textFill>
        </w:rPr>
        <w:t>（姓名和职务）</w:t>
      </w:r>
      <w:r>
        <w:rPr>
          <w:rFonts w:hint="eastAsia" w:hAnsi="宋体" w:cs="宋体"/>
          <w:color w:val="000000" w:themeColor="text1"/>
          <w:sz w:val="24"/>
          <w:szCs w:val="24"/>
          <w:highlight w:val="none"/>
          <w14:textFill>
            <w14:solidFill>
              <w14:schemeClr w14:val="tx1"/>
            </w14:solidFill>
          </w14:textFill>
        </w:rPr>
        <w:t>经正式授权并代表投标人</w:t>
      </w:r>
      <w:r>
        <w:rPr>
          <w:rFonts w:hint="eastAsia" w:hAnsi="宋体" w:cs="宋体"/>
          <w:color w:val="000000" w:themeColor="text1"/>
          <w:sz w:val="24"/>
          <w:szCs w:val="24"/>
          <w:highlight w:val="none"/>
          <w:u w:val="single"/>
          <w14:textFill>
            <w14:solidFill>
              <w14:schemeClr w14:val="tx1"/>
            </w14:solidFill>
          </w14:textFill>
        </w:rPr>
        <w:t>（投标人名称）</w:t>
      </w:r>
      <w:r>
        <w:rPr>
          <w:rFonts w:hint="eastAsia" w:hAnsi="宋体" w:cs="宋体"/>
          <w:color w:val="000000" w:themeColor="text1"/>
          <w:sz w:val="24"/>
          <w:szCs w:val="24"/>
          <w:highlight w:val="none"/>
          <w14:textFill>
            <w14:solidFill>
              <w14:schemeClr w14:val="tx1"/>
            </w14:solidFill>
          </w14:textFill>
        </w:rPr>
        <w:t>，提交投标文件正本</w:t>
      </w:r>
      <w:r>
        <w:rPr>
          <w:rFonts w:hint="eastAsia" w:hAnsi="宋体" w:cs="宋体"/>
          <w:color w:val="000000" w:themeColor="text1"/>
          <w:sz w:val="24"/>
          <w:szCs w:val="24"/>
          <w:highlight w:val="none"/>
          <w:u w:val="single"/>
          <w14:textFill>
            <w14:solidFill>
              <w14:schemeClr w14:val="tx1"/>
            </w14:solidFill>
          </w14:textFill>
        </w:rPr>
        <w:t xml:space="preserve">   </w:t>
      </w:r>
      <w:r>
        <w:rPr>
          <w:rFonts w:hint="eastAsia" w:hAnsi="宋体" w:cs="宋体"/>
          <w:color w:val="000000" w:themeColor="text1"/>
          <w:sz w:val="24"/>
          <w:szCs w:val="24"/>
          <w:highlight w:val="none"/>
          <w14:textFill>
            <w14:solidFill>
              <w14:schemeClr w14:val="tx1"/>
            </w14:solidFill>
          </w14:textFill>
        </w:rPr>
        <w:t>份、副本</w:t>
      </w:r>
      <w:r>
        <w:rPr>
          <w:rFonts w:hint="eastAsia" w:hAnsi="宋体" w:cs="宋体"/>
          <w:color w:val="000000" w:themeColor="text1"/>
          <w:sz w:val="24"/>
          <w:szCs w:val="24"/>
          <w:highlight w:val="none"/>
          <w:u w:val="single"/>
          <w14:textFill>
            <w14:solidFill>
              <w14:schemeClr w14:val="tx1"/>
            </w14:solidFill>
          </w14:textFill>
        </w:rPr>
        <w:t xml:space="preserve">   </w:t>
      </w:r>
      <w:r>
        <w:rPr>
          <w:rFonts w:hint="eastAsia" w:hAnsi="宋体" w:cs="宋体"/>
          <w:color w:val="000000" w:themeColor="text1"/>
          <w:sz w:val="24"/>
          <w:szCs w:val="24"/>
          <w:highlight w:val="none"/>
          <w14:textFill>
            <w14:solidFill>
              <w14:schemeClr w14:val="tx1"/>
            </w14:solidFill>
          </w14:textFill>
        </w:rPr>
        <w:t>份、投标文件电子版</w:t>
      </w:r>
      <w:r>
        <w:rPr>
          <w:rFonts w:hint="eastAsia" w:hAnsi="宋体" w:cs="宋体"/>
          <w:color w:val="000000" w:themeColor="text1"/>
          <w:sz w:val="24"/>
          <w:szCs w:val="24"/>
          <w:highlight w:val="none"/>
          <w:u w:val="single"/>
          <w14:textFill>
            <w14:solidFill>
              <w14:schemeClr w14:val="tx1"/>
            </w14:solidFill>
          </w14:textFill>
        </w:rPr>
        <w:t xml:space="preserve">   </w:t>
      </w:r>
      <w:r>
        <w:rPr>
          <w:rFonts w:hint="eastAsia" w:hAnsi="宋体" w:cs="宋体"/>
          <w:color w:val="000000" w:themeColor="text1"/>
          <w:sz w:val="24"/>
          <w:szCs w:val="24"/>
          <w:highlight w:val="none"/>
          <w14:textFill>
            <w14:solidFill>
              <w14:schemeClr w14:val="tx1"/>
            </w14:solidFill>
          </w14:textFill>
        </w:rPr>
        <w:t>份。</w:t>
      </w:r>
    </w:p>
    <w:p>
      <w:pPr>
        <w:pStyle w:val="20"/>
        <w:spacing w:line="520" w:lineRule="exact"/>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据此函，签字代表宣布同意如下：</w:t>
      </w:r>
    </w:p>
    <w:p>
      <w:pPr>
        <w:pStyle w:val="20"/>
        <w:spacing w:line="520" w:lineRule="exact"/>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1、我方承诺已经具备本项目招标文件规定的基本资格条件和特定资格条件。</w:t>
      </w:r>
    </w:p>
    <w:p>
      <w:pPr>
        <w:pStyle w:val="20"/>
        <w:spacing w:line="520" w:lineRule="exact"/>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2、我方已详细审查全部招标文件，包括修改文件（如有的话）以及全部参考资料和有关附件，已经了解我方对于招标文件、采购过程、采购结果有依法进行询问、质疑、投诉的权利及相关渠道和要求。</w:t>
      </w:r>
    </w:p>
    <w:p>
      <w:pPr>
        <w:pStyle w:val="20"/>
        <w:spacing w:line="520" w:lineRule="exact"/>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3、我方在投标之前已经与贵方进行了充分的沟通，完全理解并接受招标文件的各项规定和要求，对招标文件的合理性、合法性不再有异议。</w:t>
      </w:r>
    </w:p>
    <w:p>
      <w:pPr>
        <w:pStyle w:val="20"/>
        <w:spacing w:line="520" w:lineRule="exact"/>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4、投标文件从投标截止日起</w:t>
      </w:r>
      <w:r>
        <w:rPr>
          <w:rFonts w:hint="eastAsia" w:hAnsi="宋体" w:cs="宋体"/>
          <w:color w:val="000000" w:themeColor="text1"/>
          <w:sz w:val="24"/>
          <w:szCs w:val="24"/>
          <w:highlight w:val="none"/>
          <w:u w:val="single"/>
          <w14:textFill>
            <w14:solidFill>
              <w14:schemeClr w14:val="tx1"/>
            </w14:solidFill>
          </w14:textFill>
        </w:rPr>
        <w:t xml:space="preserve">     </w:t>
      </w:r>
      <w:r>
        <w:rPr>
          <w:rFonts w:hint="eastAsia" w:hAnsi="宋体" w:cs="宋体"/>
          <w:color w:val="000000" w:themeColor="text1"/>
          <w:sz w:val="24"/>
          <w:szCs w:val="24"/>
          <w:highlight w:val="none"/>
          <w14:textFill>
            <w14:solidFill>
              <w14:schemeClr w14:val="tx1"/>
            </w14:solidFill>
          </w14:textFill>
        </w:rPr>
        <w:t>天内有效。</w:t>
      </w:r>
    </w:p>
    <w:p>
      <w:pPr>
        <w:pStyle w:val="20"/>
        <w:spacing w:line="520" w:lineRule="exact"/>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5、如中标，本投标文件至本项目合同履行完毕止均保持有效，我方将按谈判文件及政府采购法律、法规的规定履行合同责任和义务。</w:t>
      </w:r>
    </w:p>
    <w:p>
      <w:pPr>
        <w:pStyle w:val="20"/>
        <w:spacing w:line="520" w:lineRule="exact"/>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6、如果在投标截止时间后的投标有效期内撤销投标文件或者有其他违约行为，贵方可对我方的投标保证金不予退还。</w:t>
      </w:r>
    </w:p>
    <w:p>
      <w:pPr>
        <w:pStyle w:val="20"/>
        <w:spacing w:line="520" w:lineRule="exact"/>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7、同意向贵方提供贵方可能要求的与本投标有关的任何数据或资料。</w:t>
      </w:r>
    </w:p>
    <w:p>
      <w:pPr>
        <w:pStyle w:val="20"/>
        <w:spacing w:line="520" w:lineRule="exact"/>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8、我方完全理解贵方不一定要接受最低报价的投标人为中标人。</w:t>
      </w:r>
    </w:p>
    <w:p>
      <w:pPr>
        <w:pStyle w:val="20"/>
        <w:spacing w:line="520" w:lineRule="exact"/>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9、若贵方需要，我方愿意提供我方作出的一切承诺的证明材料。</w:t>
      </w:r>
    </w:p>
    <w:p>
      <w:pPr>
        <w:pStyle w:val="20"/>
        <w:spacing w:line="520" w:lineRule="exact"/>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10、我方将严格遵守《中华人民共和国政府采购法》第七十七条规定，投标人有下列情形之一的，处以采购金额5‰以上10‰以下的罚款，列入不良行为记录名单，在一到三年内禁止参加政府采购活动，有违法所得的，并处没收违法所得，情节严重的，由工商行政管理机关吊销营业执照；构成犯罪的，依法追究刑事责任：</w:t>
      </w:r>
    </w:p>
    <w:p>
      <w:pPr>
        <w:pStyle w:val="20"/>
        <w:spacing w:line="520" w:lineRule="exact"/>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（1）提供虚假材料谋取中标的；</w:t>
      </w:r>
    </w:p>
    <w:p>
      <w:pPr>
        <w:pStyle w:val="20"/>
        <w:spacing w:line="520" w:lineRule="exact"/>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（2）采取不正当手段诋毁、排挤其他投标人的；</w:t>
      </w:r>
    </w:p>
    <w:p>
      <w:pPr>
        <w:pStyle w:val="20"/>
        <w:spacing w:line="520" w:lineRule="exact"/>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（3）与采购人、其他投标人或者采购代理机构恶意串通的；</w:t>
      </w:r>
    </w:p>
    <w:p>
      <w:pPr>
        <w:pStyle w:val="20"/>
        <w:spacing w:line="520" w:lineRule="exact"/>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（4）向采购人、采购代理机构行贿或者提供其他不正当利益的；</w:t>
      </w:r>
    </w:p>
    <w:p>
      <w:pPr>
        <w:pStyle w:val="20"/>
        <w:spacing w:line="440" w:lineRule="exact"/>
        <w:ind w:firstLine="480" w:firstLineChars="200"/>
        <w:rPr>
          <w:rFonts w:hAnsi="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w:t>
      </w:r>
      <w:r>
        <w:rPr>
          <w:rFonts w:hint="eastAsia" w:hAnsi="宋体"/>
          <w:color w:val="000000" w:themeColor="text1"/>
          <w:sz w:val="24"/>
          <w:szCs w:val="24"/>
          <w:highlight w:val="none"/>
          <w14:textFill>
            <w14:solidFill>
              <w14:schemeClr w14:val="tx1"/>
            </w14:solidFill>
          </w14:textFill>
        </w:rPr>
        <w:t>在招标采购过程中与采购人进行协商谈判的；</w:t>
      </w:r>
    </w:p>
    <w:p>
      <w:pPr>
        <w:pStyle w:val="20"/>
        <w:spacing w:line="520" w:lineRule="exact"/>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（6）</w:t>
      </w:r>
      <w:r>
        <w:rPr>
          <w:rFonts w:hint="eastAsia" w:hAnsi="宋体" w:cs="宋体"/>
          <w:color w:val="000000" w:themeColor="text1"/>
          <w:sz w:val="24"/>
          <w:szCs w:val="24"/>
          <w:highlight w:val="none"/>
          <w14:textFill>
            <w14:solidFill>
              <w14:schemeClr w14:val="tx1"/>
            </w14:solidFill>
          </w14:textFill>
        </w:rPr>
        <w:t>拒绝有关部门监督检查或提供虚假情况的。</w:t>
      </w:r>
    </w:p>
    <w:p>
      <w:pPr>
        <w:pStyle w:val="20"/>
        <w:spacing w:line="520" w:lineRule="exact"/>
        <w:rPr>
          <w:rFonts w:hAnsi="宋体" w:cs="宋体"/>
          <w:color w:val="000000" w:themeColor="text1"/>
          <w:sz w:val="24"/>
          <w:szCs w:val="24"/>
          <w:highlight w:val="none"/>
          <w14:textFill>
            <w14:solidFill>
              <w14:schemeClr w14:val="tx1"/>
            </w14:solidFill>
          </w14:textFill>
        </w:rPr>
      </w:pPr>
    </w:p>
    <w:p>
      <w:pPr>
        <w:pStyle w:val="20"/>
        <w:spacing w:line="520" w:lineRule="exact"/>
        <w:ind w:left="101" w:leftChars="48" w:firstLine="595" w:firstLineChars="248"/>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与本投标有关的正式通讯地址为：</w:t>
      </w:r>
    </w:p>
    <w:p>
      <w:pPr>
        <w:pStyle w:val="20"/>
        <w:spacing w:line="520" w:lineRule="exact"/>
        <w:ind w:left="101" w:leftChars="48" w:firstLine="595" w:firstLineChars="248"/>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地址：</w:t>
      </w:r>
      <w:r>
        <w:rPr>
          <w:rFonts w:hint="eastAsia" w:hAnsi="宋体" w:cs="宋体"/>
          <w:color w:val="000000" w:themeColor="text1"/>
          <w:sz w:val="24"/>
          <w:szCs w:val="24"/>
          <w:highlight w:val="none"/>
          <w:u w:val="single"/>
          <w14:textFill>
            <w14:solidFill>
              <w14:schemeClr w14:val="tx1"/>
            </w14:solidFill>
          </w14:textFill>
        </w:rPr>
        <w:t xml:space="preserve">                                </w:t>
      </w:r>
      <w:r>
        <w:rPr>
          <w:rFonts w:hint="eastAsia" w:hAnsi="宋体" w:cs="宋体"/>
          <w:color w:val="000000" w:themeColor="text1"/>
          <w:sz w:val="24"/>
          <w:szCs w:val="24"/>
          <w:highlight w:val="none"/>
          <w14:textFill>
            <w14:solidFill>
              <w14:schemeClr w14:val="tx1"/>
            </w14:solidFill>
          </w14:textFill>
        </w:rPr>
        <w:t xml:space="preserve">    邮政编码：</w:t>
      </w:r>
      <w:r>
        <w:rPr>
          <w:rFonts w:hint="eastAsia" w:hAnsi="宋体" w:cs="宋体"/>
          <w:color w:val="000000" w:themeColor="text1"/>
          <w:sz w:val="24"/>
          <w:szCs w:val="24"/>
          <w:highlight w:val="none"/>
          <w:u w:val="single"/>
          <w14:textFill>
            <w14:solidFill>
              <w14:schemeClr w14:val="tx1"/>
            </w14:solidFill>
          </w14:textFill>
        </w:rPr>
        <w:t xml:space="preserve">             </w:t>
      </w:r>
    </w:p>
    <w:p>
      <w:pPr>
        <w:pStyle w:val="20"/>
        <w:spacing w:line="520" w:lineRule="exact"/>
        <w:ind w:firstLine="720" w:firstLineChars="300"/>
        <w:rPr>
          <w:rFonts w:hAnsi="宋体" w:cs="宋体"/>
          <w:color w:val="000000" w:themeColor="text1"/>
          <w:sz w:val="24"/>
          <w:szCs w:val="24"/>
          <w:highlight w:val="none"/>
          <w:u w:val="singl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电话、传真或电传：</w:t>
      </w:r>
      <w:r>
        <w:rPr>
          <w:rFonts w:hint="eastAsia" w:hAnsi="宋体" w:cs="宋体"/>
          <w:color w:val="000000" w:themeColor="text1"/>
          <w:sz w:val="24"/>
          <w:szCs w:val="24"/>
          <w:highlight w:val="none"/>
          <w:u w:val="single"/>
          <w14:textFill>
            <w14:solidFill>
              <w14:schemeClr w14:val="tx1"/>
            </w14:solidFill>
          </w14:textFill>
        </w:rPr>
        <w:t xml:space="preserve">                                               </w:t>
      </w:r>
    </w:p>
    <w:p>
      <w:pPr>
        <w:pStyle w:val="20"/>
        <w:spacing w:line="520" w:lineRule="exact"/>
        <w:ind w:firstLine="720" w:firstLineChars="3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开户名称：</w:t>
      </w:r>
      <w:r>
        <w:rPr>
          <w:rFonts w:hint="eastAsia" w:hAnsi="宋体" w:cs="宋体"/>
          <w:color w:val="000000" w:themeColor="text1"/>
          <w:sz w:val="24"/>
          <w:szCs w:val="24"/>
          <w:highlight w:val="none"/>
          <w:u w:val="single"/>
          <w14:textFill>
            <w14:solidFill>
              <w14:schemeClr w14:val="tx1"/>
            </w14:solidFill>
          </w14:textFill>
        </w:rPr>
        <w:t xml:space="preserve">                                                       </w:t>
      </w:r>
    </w:p>
    <w:p>
      <w:pPr>
        <w:pStyle w:val="20"/>
        <w:spacing w:line="520" w:lineRule="exact"/>
        <w:ind w:firstLine="720" w:firstLineChars="3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开户银行：</w:t>
      </w:r>
      <w:r>
        <w:rPr>
          <w:rFonts w:hint="eastAsia" w:hAnsi="宋体" w:cs="宋体"/>
          <w:color w:val="000000" w:themeColor="text1"/>
          <w:sz w:val="24"/>
          <w:szCs w:val="24"/>
          <w:highlight w:val="none"/>
          <w:u w:val="single"/>
          <w14:textFill>
            <w14:solidFill>
              <w14:schemeClr w14:val="tx1"/>
            </w14:solidFill>
          </w14:textFill>
        </w:rPr>
        <w:t xml:space="preserve">                                                       </w:t>
      </w:r>
    </w:p>
    <w:p>
      <w:pPr>
        <w:pStyle w:val="20"/>
        <w:spacing w:line="520" w:lineRule="exact"/>
        <w:ind w:firstLine="720" w:firstLineChars="300"/>
        <w:rPr>
          <w:rFonts w:hAnsi="宋体" w:cs="宋体"/>
          <w:color w:val="000000" w:themeColor="text1"/>
          <w:sz w:val="24"/>
          <w:szCs w:val="24"/>
          <w:highlight w:val="none"/>
          <w:u w:val="singl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银行帐号：</w:t>
      </w:r>
      <w:r>
        <w:rPr>
          <w:rFonts w:hint="eastAsia" w:hAnsi="宋体" w:cs="宋体"/>
          <w:color w:val="000000" w:themeColor="text1"/>
          <w:sz w:val="24"/>
          <w:szCs w:val="24"/>
          <w:highlight w:val="none"/>
          <w:u w:val="single"/>
          <w14:textFill>
            <w14:solidFill>
              <w14:schemeClr w14:val="tx1"/>
            </w14:solidFill>
          </w14:textFill>
        </w:rPr>
        <w:t xml:space="preserve">                                                       </w:t>
      </w:r>
    </w:p>
    <w:p>
      <w:pPr>
        <w:pStyle w:val="20"/>
        <w:spacing w:line="520" w:lineRule="exact"/>
        <w:ind w:firstLine="720" w:firstLineChars="300"/>
        <w:rPr>
          <w:rFonts w:hAnsi="宋体" w:cs="宋体"/>
          <w:color w:val="000000" w:themeColor="text1"/>
          <w:sz w:val="24"/>
          <w:szCs w:val="24"/>
          <w:highlight w:val="none"/>
          <w14:textFill>
            <w14:solidFill>
              <w14:schemeClr w14:val="tx1"/>
            </w14:solidFill>
          </w14:textFill>
        </w:rPr>
      </w:pPr>
    </w:p>
    <w:p>
      <w:pPr>
        <w:pStyle w:val="20"/>
        <w:spacing w:line="520" w:lineRule="exact"/>
        <w:ind w:firstLine="3060"/>
        <w:rPr>
          <w:rFonts w:hAnsi="宋体" w:cs="宋体"/>
          <w:color w:val="000000" w:themeColor="text1"/>
          <w:sz w:val="24"/>
          <w:szCs w:val="24"/>
          <w:highlight w:val="none"/>
          <w:u w:val="singl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投标人（加盖公章）：</w:t>
      </w:r>
      <w:r>
        <w:rPr>
          <w:rFonts w:hint="eastAsia" w:hAnsi="宋体" w:cs="宋体"/>
          <w:color w:val="000000" w:themeColor="text1"/>
          <w:sz w:val="24"/>
          <w:szCs w:val="24"/>
          <w:highlight w:val="none"/>
          <w:u w:val="single"/>
          <w14:textFill>
            <w14:solidFill>
              <w14:schemeClr w14:val="tx1"/>
            </w14:solidFill>
          </w14:textFill>
        </w:rPr>
        <w:t xml:space="preserve">                                </w:t>
      </w:r>
    </w:p>
    <w:p>
      <w:pPr>
        <w:pStyle w:val="20"/>
        <w:spacing w:line="520" w:lineRule="exact"/>
        <w:ind w:firstLine="306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法定代表人（负责人）或委托代理人签名：</w:t>
      </w:r>
      <w:r>
        <w:rPr>
          <w:rFonts w:hint="eastAsia" w:hAnsi="宋体" w:cs="宋体"/>
          <w:color w:val="000000" w:themeColor="text1"/>
          <w:sz w:val="24"/>
          <w:szCs w:val="24"/>
          <w:highlight w:val="none"/>
          <w:u w:val="single"/>
          <w14:textFill>
            <w14:solidFill>
              <w14:schemeClr w14:val="tx1"/>
            </w14:solidFill>
          </w14:textFill>
        </w:rPr>
        <w:t xml:space="preserve">              </w:t>
      </w:r>
    </w:p>
    <w:p>
      <w:pPr>
        <w:pStyle w:val="20"/>
        <w:spacing w:line="520" w:lineRule="exact"/>
        <w:ind w:firstLine="3060"/>
        <w:rPr>
          <w:rFonts w:hAnsi="宋体" w:cs="宋体"/>
          <w:color w:val="000000" w:themeColor="text1"/>
          <w:sz w:val="24"/>
          <w:szCs w:val="24"/>
          <w:highlight w:val="none"/>
          <w:u w:val="singl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投标日期：</w:t>
      </w:r>
      <w:r>
        <w:rPr>
          <w:rFonts w:hint="eastAsia" w:hAnsi="宋体" w:cs="宋体"/>
          <w:color w:val="000000" w:themeColor="text1"/>
          <w:sz w:val="24"/>
          <w:szCs w:val="24"/>
          <w:highlight w:val="none"/>
          <w:u w:val="single"/>
          <w14:textFill>
            <w14:solidFill>
              <w14:schemeClr w14:val="tx1"/>
            </w14:solidFill>
          </w14:textFill>
        </w:rPr>
        <w:t xml:space="preserve">                                  </w:t>
      </w:r>
      <w:r>
        <w:rPr>
          <w:rFonts w:hint="eastAsia" w:hAnsi="宋体" w:cs="宋体"/>
          <w:color w:val="000000" w:themeColor="text1"/>
          <w:sz w:val="24"/>
          <w:szCs w:val="24"/>
          <w:highlight w:val="none"/>
          <w:u w:val="single"/>
          <w:lang w:val="en-US" w:eastAsia="zh-CN"/>
          <w14:textFill>
            <w14:solidFill>
              <w14:schemeClr w14:val="tx1"/>
            </w14:solidFill>
          </w14:textFill>
        </w:rPr>
        <w:t xml:space="preserve"> </w:t>
      </w:r>
      <w:r>
        <w:rPr>
          <w:rFonts w:hint="eastAsia" w:hAnsi="宋体" w:cs="宋体"/>
          <w:color w:val="000000" w:themeColor="text1"/>
          <w:sz w:val="24"/>
          <w:szCs w:val="24"/>
          <w:highlight w:val="none"/>
          <w:u w:val="single"/>
          <w14:textFill>
            <w14:solidFill>
              <w14:schemeClr w14:val="tx1"/>
            </w14:solidFill>
          </w14:textFill>
        </w:rPr>
        <w:t xml:space="preserve">   </w:t>
      </w:r>
      <w:r>
        <w:rPr>
          <w:rFonts w:hint="eastAsia" w:hAnsi="宋体" w:cs="宋体"/>
          <w:color w:val="000000" w:themeColor="text1"/>
          <w:sz w:val="24"/>
          <w:szCs w:val="24"/>
          <w:highlight w:val="none"/>
          <w:u w:val="single"/>
          <w:lang w:val="en-US" w:eastAsia="zh-CN"/>
          <w14:textFill>
            <w14:solidFill>
              <w14:schemeClr w14:val="tx1"/>
            </w14:solidFill>
          </w14:textFill>
        </w:rPr>
        <w:t xml:space="preserve">  </w:t>
      </w:r>
      <w:r>
        <w:rPr>
          <w:rFonts w:hint="eastAsia" w:hAnsi="宋体" w:cs="宋体"/>
          <w:color w:val="000000" w:themeColor="text1"/>
          <w:sz w:val="24"/>
          <w:szCs w:val="24"/>
          <w:highlight w:val="none"/>
          <w:u w:val="single"/>
          <w14:textFill>
            <w14:solidFill>
              <w14:schemeClr w14:val="tx1"/>
            </w14:solidFill>
          </w14:textFill>
        </w:rPr>
        <w:t xml:space="preserve">  </w:t>
      </w:r>
    </w:p>
    <w:p>
      <w:pPr>
        <w:pStyle w:val="20"/>
        <w:spacing w:line="500" w:lineRule="exact"/>
        <w:ind w:left="101" w:leftChars="48" w:firstLine="595" w:firstLineChars="248"/>
        <w:rPr>
          <w:rFonts w:hAnsi="宋体" w:cs="宋体"/>
          <w:color w:val="000000" w:themeColor="text1"/>
          <w:sz w:val="24"/>
          <w:szCs w:val="24"/>
          <w:highlight w:val="none"/>
          <w14:textFill>
            <w14:solidFill>
              <w14:schemeClr w14:val="tx1"/>
            </w14:solidFill>
          </w14:textFill>
        </w:rPr>
      </w:pPr>
    </w:p>
    <w:p>
      <w:pPr>
        <w:pStyle w:val="20"/>
        <w:spacing w:line="500" w:lineRule="exact"/>
        <w:ind w:left="101" w:leftChars="48" w:firstLine="595" w:firstLineChars="248"/>
        <w:rPr>
          <w:rFonts w:hAnsi="宋体" w:cs="宋体"/>
          <w:color w:val="000000" w:themeColor="text1"/>
          <w:sz w:val="24"/>
          <w:szCs w:val="24"/>
          <w:highlight w:val="none"/>
          <w14:textFill>
            <w14:solidFill>
              <w14:schemeClr w14:val="tx1"/>
            </w14:solidFill>
          </w14:textFill>
        </w:rPr>
      </w:pPr>
    </w:p>
    <w:p>
      <w:pPr>
        <w:pStyle w:val="20"/>
        <w:spacing w:line="500" w:lineRule="exact"/>
        <w:ind w:left="101" w:leftChars="48" w:firstLine="595" w:firstLineChars="248"/>
        <w:rPr>
          <w:rFonts w:hAnsi="宋体" w:cs="宋体"/>
          <w:color w:val="000000" w:themeColor="text1"/>
          <w:sz w:val="24"/>
          <w:szCs w:val="24"/>
          <w:highlight w:val="none"/>
          <w14:textFill>
            <w14:solidFill>
              <w14:schemeClr w14:val="tx1"/>
            </w14:solidFill>
          </w14:textFill>
        </w:rPr>
      </w:pPr>
    </w:p>
    <w:p>
      <w:pPr>
        <w:pStyle w:val="20"/>
        <w:spacing w:line="500" w:lineRule="exact"/>
        <w:ind w:left="101" w:leftChars="48" w:firstLine="595" w:firstLineChars="248"/>
        <w:rPr>
          <w:rFonts w:hAnsi="宋体" w:cs="宋体"/>
          <w:color w:val="000000" w:themeColor="text1"/>
          <w:sz w:val="24"/>
          <w:szCs w:val="24"/>
          <w:highlight w:val="none"/>
          <w14:textFill>
            <w14:solidFill>
              <w14:schemeClr w14:val="tx1"/>
            </w14:solidFill>
          </w14:textFill>
        </w:rPr>
      </w:pPr>
    </w:p>
    <w:p>
      <w:pPr>
        <w:pStyle w:val="20"/>
        <w:spacing w:line="500" w:lineRule="exact"/>
        <w:ind w:left="101" w:leftChars="48" w:firstLine="595" w:firstLineChars="248"/>
        <w:rPr>
          <w:rFonts w:hAnsi="宋体" w:cs="宋体"/>
          <w:color w:val="000000" w:themeColor="text1"/>
          <w:sz w:val="24"/>
          <w:szCs w:val="24"/>
          <w:highlight w:val="none"/>
          <w14:textFill>
            <w14:solidFill>
              <w14:schemeClr w14:val="tx1"/>
            </w14:solidFill>
          </w14:textFill>
        </w:rPr>
      </w:pPr>
    </w:p>
    <w:p>
      <w:pPr>
        <w:pStyle w:val="20"/>
        <w:spacing w:line="500" w:lineRule="exact"/>
        <w:ind w:left="101" w:leftChars="48" w:firstLine="595" w:firstLineChars="248"/>
        <w:rPr>
          <w:rFonts w:hAnsi="宋体" w:cs="宋体"/>
          <w:color w:val="000000" w:themeColor="text1"/>
          <w:sz w:val="24"/>
          <w:szCs w:val="24"/>
          <w:highlight w:val="none"/>
          <w14:textFill>
            <w14:solidFill>
              <w14:schemeClr w14:val="tx1"/>
            </w14:solidFill>
          </w14:textFill>
        </w:rPr>
      </w:pPr>
    </w:p>
    <w:p>
      <w:pPr>
        <w:spacing w:line="360" w:lineRule="exact"/>
        <w:ind w:left="316" w:hanging="316" w:hangingChars="150"/>
        <w:rPr>
          <w:rFonts w:ascii="宋体" w:hAnsi="宋体" w:cs="宋体"/>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说明：</w:t>
      </w:r>
      <w:r>
        <w:rPr>
          <w:rFonts w:hint="eastAsia" w:ascii="宋体" w:hAnsi="宋体" w:cs="宋体"/>
          <w:color w:val="000000" w:themeColor="text1"/>
          <w:highlight w:val="none"/>
          <w14:textFill>
            <w14:solidFill>
              <w14:schemeClr w14:val="tx1"/>
            </w14:solidFill>
          </w14:textFill>
        </w:rPr>
        <w:t>投标人必须按以上格式填写，签字并加盖公章，否则，无签名、盖公章的，投标无效。</w:t>
      </w:r>
    </w:p>
    <w:p>
      <w:pPr>
        <w:spacing w:line="300" w:lineRule="exact"/>
        <w:rPr>
          <w:rFonts w:ascii="宋体" w:hAnsi="宋体" w:cs="宋体"/>
          <w:b/>
          <w:color w:val="000000" w:themeColor="text1"/>
          <w:sz w:val="32"/>
          <w:highlight w:val="none"/>
          <w14:textFill>
            <w14:solidFill>
              <w14:schemeClr w14:val="tx1"/>
            </w14:solidFill>
          </w14:textFill>
        </w:rPr>
      </w:pPr>
    </w:p>
    <w:p>
      <w:pPr>
        <w:spacing w:line="300" w:lineRule="exact"/>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br w:type="page"/>
      </w:r>
    </w:p>
    <w:p>
      <w:pPr>
        <w:jc w:val="center"/>
        <w:rPr>
          <w:rFonts w:ascii="宋体" w:hAnsi="宋体" w:cs="宋体"/>
          <w:color w:val="000000" w:themeColor="text1"/>
          <w:highlight w:val="none"/>
          <w:u w:val="singl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投标报价明细表（格式）</w:t>
      </w:r>
    </w:p>
    <w:p>
      <w:pPr>
        <w:spacing w:line="400" w:lineRule="exac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项目名称：</w:t>
      </w:r>
      <w:r>
        <w:rPr>
          <w:rFonts w:hint="eastAsia" w:ascii="宋体" w:hAnsi="宋体" w:cs="宋体"/>
          <w:b/>
          <w:color w:val="000000" w:themeColor="text1"/>
          <w:sz w:val="24"/>
          <w:highlight w:val="none"/>
          <w:u w:val="single"/>
          <w14:textFill>
            <w14:solidFill>
              <w14:schemeClr w14:val="tx1"/>
            </w14:solidFill>
          </w14:textFill>
        </w:rPr>
        <w:t xml:space="preserve">                  </w:t>
      </w:r>
    </w:p>
    <w:p>
      <w:pPr>
        <w:spacing w:line="400" w:lineRule="exact"/>
        <w:rPr>
          <w:rFonts w:ascii="宋体" w:hAnsi="宋体" w:cs="宋体"/>
          <w:b/>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项目编号：</w:t>
      </w:r>
      <w:r>
        <w:rPr>
          <w:rFonts w:hint="eastAsia" w:ascii="宋体" w:hAnsi="宋体" w:cs="宋体"/>
          <w:b/>
          <w:color w:val="000000" w:themeColor="text1"/>
          <w:sz w:val="24"/>
          <w:highlight w:val="none"/>
          <w:u w:val="single"/>
          <w14:textFill>
            <w14:solidFill>
              <w14:schemeClr w14:val="tx1"/>
            </w14:solidFill>
          </w14:textFill>
        </w:rPr>
        <w:t xml:space="preserve">                  </w:t>
      </w:r>
    </w:p>
    <w:p>
      <w:pPr>
        <w:spacing w:line="400" w:lineRule="exact"/>
        <w:rPr>
          <w:rFonts w:ascii="宋体" w:hAnsi="宋体" w:cs="宋体"/>
          <w:b/>
          <w:color w:val="000000" w:themeColor="text1"/>
          <w:sz w:val="24"/>
          <w:highlight w:val="none"/>
          <w:u w:val="single"/>
          <w14:textFill>
            <w14:solidFill>
              <w14:schemeClr w14:val="tx1"/>
            </w14:solidFill>
          </w14:textFill>
        </w:rPr>
      </w:pPr>
    </w:p>
    <w:p>
      <w:pPr>
        <w:spacing w:after="165" w:afterLines="50" w:line="400" w:lineRule="exact"/>
        <w:jc w:val="righ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金额单位：人民币（元）</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1913"/>
        <w:gridCol w:w="1109"/>
        <w:gridCol w:w="1349"/>
        <w:gridCol w:w="857"/>
        <w:gridCol w:w="836"/>
        <w:gridCol w:w="1221"/>
        <w:gridCol w:w="1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0" w:type="dxa"/>
            <w:vAlign w:val="center"/>
          </w:tcPr>
          <w:p>
            <w:pPr>
              <w:pStyle w:val="20"/>
              <w:snapToGrid w:val="0"/>
              <w:jc w:val="center"/>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序号</w:t>
            </w:r>
          </w:p>
        </w:tc>
        <w:tc>
          <w:tcPr>
            <w:tcW w:w="1913" w:type="dxa"/>
            <w:vAlign w:val="center"/>
          </w:tcPr>
          <w:p>
            <w:pPr>
              <w:pStyle w:val="20"/>
              <w:snapToGrid w:val="0"/>
              <w:jc w:val="center"/>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产品或服务名称</w:t>
            </w:r>
          </w:p>
        </w:tc>
        <w:tc>
          <w:tcPr>
            <w:tcW w:w="1109" w:type="dxa"/>
            <w:vAlign w:val="center"/>
          </w:tcPr>
          <w:p>
            <w:pPr>
              <w:pStyle w:val="20"/>
              <w:snapToGrid w:val="0"/>
              <w:ind w:left="-105" w:leftChars="-50" w:right="-105" w:rightChars="-50"/>
              <w:jc w:val="center"/>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制造商或服务商</w:t>
            </w:r>
          </w:p>
        </w:tc>
        <w:tc>
          <w:tcPr>
            <w:tcW w:w="1349" w:type="dxa"/>
            <w:vAlign w:val="center"/>
          </w:tcPr>
          <w:p>
            <w:pPr>
              <w:pStyle w:val="20"/>
              <w:snapToGrid w:val="0"/>
              <w:jc w:val="center"/>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品牌、规格型号</w:t>
            </w:r>
          </w:p>
        </w:tc>
        <w:tc>
          <w:tcPr>
            <w:tcW w:w="857" w:type="dxa"/>
            <w:vAlign w:val="center"/>
          </w:tcPr>
          <w:p>
            <w:pPr>
              <w:pStyle w:val="20"/>
              <w:snapToGrid w:val="0"/>
              <w:jc w:val="center"/>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数量①</w:t>
            </w:r>
          </w:p>
        </w:tc>
        <w:tc>
          <w:tcPr>
            <w:tcW w:w="836" w:type="dxa"/>
            <w:vAlign w:val="center"/>
          </w:tcPr>
          <w:p>
            <w:pPr>
              <w:pStyle w:val="20"/>
              <w:snapToGrid w:val="0"/>
              <w:jc w:val="center"/>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单位</w:t>
            </w:r>
          </w:p>
        </w:tc>
        <w:tc>
          <w:tcPr>
            <w:tcW w:w="1221" w:type="dxa"/>
            <w:vAlign w:val="center"/>
          </w:tcPr>
          <w:p>
            <w:pPr>
              <w:pStyle w:val="20"/>
              <w:snapToGrid w:val="0"/>
              <w:jc w:val="center"/>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单价②</w:t>
            </w:r>
          </w:p>
        </w:tc>
        <w:tc>
          <w:tcPr>
            <w:tcW w:w="1582" w:type="dxa"/>
            <w:vAlign w:val="center"/>
          </w:tcPr>
          <w:p>
            <w:pPr>
              <w:spacing w:line="3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单项合计③</w:t>
            </w:r>
          </w:p>
          <w:p>
            <w:pPr>
              <w:spacing w:line="3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＝①×②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0" w:type="dxa"/>
            <w:vAlign w:val="center"/>
          </w:tcPr>
          <w:p>
            <w:pPr>
              <w:pStyle w:val="20"/>
              <w:snapToGrid w:val="0"/>
              <w:jc w:val="center"/>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w:t>
            </w:r>
          </w:p>
        </w:tc>
        <w:tc>
          <w:tcPr>
            <w:tcW w:w="1913" w:type="dxa"/>
            <w:vAlign w:val="center"/>
          </w:tcPr>
          <w:p>
            <w:pPr>
              <w:pStyle w:val="20"/>
              <w:snapToGrid w:val="0"/>
              <w:jc w:val="center"/>
              <w:rPr>
                <w:rFonts w:hAnsi="宋体" w:cs="宋体"/>
                <w:color w:val="000000" w:themeColor="text1"/>
                <w:sz w:val="24"/>
                <w:szCs w:val="24"/>
                <w:highlight w:val="none"/>
                <w14:textFill>
                  <w14:solidFill>
                    <w14:schemeClr w14:val="tx1"/>
                  </w14:solidFill>
                </w14:textFill>
              </w:rPr>
            </w:pPr>
          </w:p>
        </w:tc>
        <w:tc>
          <w:tcPr>
            <w:tcW w:w="1109" w:type="dxa"/>
            <w:vAlign w:val="center"/>
          </w:tcPr>
          <w:p>
            <w:pPr>
              <w:pStyle w:val="20"/>
              <w:snapToGrid w:val="0"/>
              <w:jc w:val="center"/>
              <w:rPr>
                <w:rFonts w:hAnsi="宋体" w:cs="宋体"/>
                <w:color w:val="000000" w:themeColor="text1"/>
                <w:sz w:val="24"/>
                <w:szCs w:val="24"/>
                <w:highlight w:val="none"/>
                <w14:textFill>
                  <w14:solidFill>
                    <w14:schemeClr w14:val="tx1"/>
                  </w14:solidFill>
                </w14:textFill>
              </w:rPr>
            </w:pPr>
          </w:p>
        </w:tc>
        <w:tc>
          <w:tcPr>
            <w:tcW w:w="1349" w:type="dxa"/>
            <w:vAlign w:val="center"/>
          </w:tcPr>
          <w:p>
            <w:pPr>
              <w:pStyle w:val="20"/>
              <w:snapToGrid w:val="0"/>
              <w:jc w:val="center"/>
              <w:rPr>
                <w:rFonts w:hAnsi="宋体" w:cs="宋体"/>
                <w:color w:val="000000" w:themeColor="text1"/>
                <w:sz w:val="24"/>
                <w:szCs w:val="24"/>
                <w:highlight w:val="none"/>
                <w14:textFill>
                  <w14:solidFill>
                    <w14:schemeClr w14:val="tx1"/>
                  </w14:solidFill>
                </w14:textFill>
              </w:rPr>
            </w:pPr>
          </w:p>
        </w:tc>
        <w:tc>
          <w:tcPr>
            <w:tcW w:w="857" w:type="dxa"/>
            <w:vAlign w:val="center"/>
          </w:tcPr>
          <w:p>
            <w:pPr>
              <w:pStyle w:val="20"/>
              <w:snapToGrid w:val="0"/>
              <w:jc w:val="center"/>
              <w:rPr>
                <w:rFonts w:hAnsi="宋体" w:cs="宋体"/>
                <w:color w:val="000000" w:themeColor="text1"/>
                <w:sz w:val="24"/>
                <w:szCs w:val="24"/>
                <w:highlight w:val="none"/>
                <w14:textFill>
                  <w14:solidFill>
                    <w14:schemeClr w14:val="tx1"/>
                  </w14:solidFill>
                </w14:textFill>
              </w:rPr>
            </w:pPr>
          </w:p>
        </w:tc>
        <w:tc>
          <w:tcPr>
            <w:tcW w:w="836" w:type="dxa"/>
            <w:vAlign w:val="center"/>
          </w:tcPr>
          <w:p>
            <w:pPr>
              <w:pStyle w:val="20"/>
              <w:snapToGrid w:val="0"/>
              <w:jc w:val="center"/>
              <w:rPr>
                <w:rFonts w:hAnsi="宋体" w:cs="宋体"/>
                <w:color w:val="000000" w:themeColor="text1"/>
                <w:sz w:val="24"/>
                <w:szCs w:val="24"/>
                <w:highlight w:val="none"/>
                <w14:textFill>
                  <w14:solidFill>
                    <w14:schemeClr w14:val="tx1"/>
                  </w14:solidFill>
                </w14:textFill>
              </w:rPr>
            </w:pPr>
          </w:p>
        </w:tc>
        <w:tc>
          <w:tcPr>
            <w:tcW w:w="1221" w:type="dxa"/>
            <w:vAlign w:val="center"/>
          </w:tcPr>
          <w:p>
            <w:pPr>
              <w:pStyle w:val="20"/>
              <w:snapToGrid w:val="0"/>
              <w:jc w:val="center"/>
              <w:rPr>
                <w:rFonts w:hAnsi="宋体" w:cs="宋体"/>
                <w:color w:val="000000" w:themeColor="text1"/>
                <w:sz w:val="24"/>
                <w:szCs w:val="24"/>
                <w:highlight w:val="none"/>
                <w14:textFill>
                  <w14:solidFill>
                    <w14:schemeClr w14:val="tx1"/>
                  </w14:solidFill>
                </w14:textFill>
              </w:rPr>
            </w:pPr>
          </w:p>
        </w:tc>
        <w:tc>
          <w:tcPr>
            <w:tcW w:w="1582" w:type="dxa"/>
            <w:vAlign w:val="center"/>
          </w:tcPr>
          <w:p>
            <w:pPr>
              <w:pStyle w:val="20"/>
              <w:snapToGrid w:val="0"/>
              <w:jc w:val="center"/>
              <w:rPr>
                <w:rFonts w:hAnsi="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0" w:type="dxa"/>
            <w:vAlign w:val="center"/>
          </w:tcPr>
          <w:p>
            <w:pPr>
              <w:pStyle w:val="20"/>
              <w:snapToGrid w:val="0"/>
              <w:jc w:val="center"/>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2</w:t>
            </w:r>
          </w:p>
        </w:tc>
        <w:tc>
          <w:tcPr>
            <w:tcW w:w="1913" w:type="dxa"/>
            <w:vAlign w:val="center"/>
          </w:tcPr>
          <w:p>
            <w:pPr>
              <w:pStyle w:val="20"/>
              <w:snapToGrid w:val="0"/>
              <w:jc w:val="center"/>
              <w:rPr>
                <w:rFonts w:hAnsi="宋体" w:cs="宋体"/>
                <w:color w:val="000000" w:themeColor="text1"/>
                <w:sz w:val="24"/>
                <w:szCs w:val="24"/>
                <w:highlight w:val="none"/>
                <w14:textFill>
                  <w14:solidFill>
                    <w14:schemeClr w14:val="tx1"/>
                  </w14:solidFill>
                </w14:textFill>
              </w:rPr>
            </w:pPr>
          </w:p>
        </w:tc>
        <w:tc>
          <w:tcPr>
            <w:tcW w:w="1109" w:type="dxa"/>
            <w:vAlign w:val="center"/>
          </w:tcPr>
          <w:p>
            <w:pPr>
              <w:pStyle w:val="20"/>
              <w:snapToGrid w:val="0"/>
              <w:jc w:val="center"/>
              <w:rPr>
                <w:rFonts w:hAnsi="宋体" w:cs="宋体"/>
                <w:color w:val="000000" w:themeColor="text1"/>
                <w:sz w:val="24"/>
                <w:szCs w:val="24"/>
                <w:highlight w:val="none"/>
                <w14:textFill>
                  <w14:solidFill>
                    <w14:schemeClr w14:val="tx1"/>
                  </w14:solidFill>
                </w14:textFill>
              </w:rPr>
            </w:pPr>
          </w:p>
        </w:tc>
        <w:tc>
          <w:tcPr>
            <w:tcW w:w="1349" w:type="dxa"/>
            <w:vAlign w:val="center"/>
          </w:tcPr>
          <w:p>
            <w:pPr>
              <w:pStyle w:val="20"/>
              <w:snapToGrid w:val="0"/>
              <w:jc w:val="center"/>
              <w:rPr>
                <w:rFonts w:hAnsi="宋体" w:cs="宋体"/>
                <w:color w:val="000000" w:themeColor="text1"/>
                <w:sz w:val="24"/>
                <w:szCs w:val="24"/>
                <w:highlight w:val="none"/>
                <w14:textFill>
                  <w14:solidFill>
                    <w14:schemeClr w14:val="tx1"/>
                  </w14:solidFill>
                </w14:textFill>
              </w:rPr>
            </w:pPr>
          </w:p>
        </w:tc>
        <w:tc>
          <w:tcPr>
            <w:tcW w:w="857" w:type="dxa"/>
            <w:vAlign w:val="center"/>
          </w:tcPr>
          <w:p>
            <w:pPr>
              <w:pStyle w:val="20"/>
              <w:snapToGrid w:val="0"/>
              <w:jc w:val="center"/>
              <w:rPr>
                <w:rFonts w:hAnsi="宋体" w:cs="宋体"/>
                <w:color w:val="000000" w:themeColor="text1"/>
                <w:sz w:val="24"/>
                <w:szCs w:val="24"/>
                <w:highlight w:val="none"/>
                <w14:textFill>
                  <w14:solidFill>
                    <w14:schemeClr w14:val="tx1"/>
                  </w14:solidFill>
                </w14:textFill>
              </w:rPr>
            </w:pPr>
          </w:p>
        </w:tc>
        <w:tc>
          <w:tcPr>
            <w:tcW w:w="836" w:type="dxa"/>
            <w:vAlign w:val="center"/>
          </w:tcPr>
          <w:p>
            <w:pPr>
              <w:pStyle w:val="20"/>
              <w:snapToGrid w:val="0"/>
              <w:jc w:val="center"/>
              <w:rPr>
                <w:rFonts w:hAnsi="宋体" w:cs="宋体"/>
                <w:color w:val="000000" w:themeColor="text1"/>
                <w:sz w:val="24"/>
                <w:szCs w:val="24"/>
                <w:highlight w:val="none"/>
                <w14:textFill>
                  <w14:solidFill>
                    <w14:schemeClr w14:val="tx1"/>
                  </w14:solidFill>
                </w14:textFill>
              </w:rPr>
            </w:pPr>
          </w:p>
        </w:tc>
        <w:tc>
          <w:tcPr>
            <w:tcW w:w="1221" w:type="dxa"/>
            <w:vAlign w:val="center"/>
          </w:tcPr>
          <w:p>
            <w:pPr>
              <w:pStyle w:val="20"/>
              <w:snapToGrid w:val="0"/>
              <w:jc w:val="center"/>
              <w:rPr>
                <w:rFonts w:hAnsi="宋体" w:cs="宋体"/>
                <w:color w:val="000000" w:themeColor="text1"/>
                <w:sz w:val="24"/>
                <w:szCs w:val="24"/>
                <w:highlight w:val="none"/>
                <w14:textFill>
                  <w14:solidFill>
                    <w14:schemeClr w14:val="tx1"/>
                  </w14:solidFill>
                </w14:textFill>
              </w:rPr>
            </w:pPr>
          </w:p>
        </w:tc>
        <w:tc>
          <w:tcPr>
            <w:tcW w:w="1582" w:type="dxa"/>
            <w:vAlign w:val="center"/>
          </w:tcPr>
          <w:p>
            <w:pPr>
              <w:pStyle w:val="20"/>
              <w:snapToGrid w:val="0"/>
              <w:jc w:val="center"/>
              <w:rPr>
                <w:rFonts w:hAnsi="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0" w:type="dxa"/>
            <w:vAlign w:val="center"/>
          </w:tcPr>
          <w:p>
            <w:pPr>
              <w:pStyle w:val="20"/>
              <w:snapToGrid w:val="0"/>
              <w:jc w:val="center"/>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w:t>
            </w:r>
          </w:p>
        </w:tc>
        <w:tc>
          <w:tcPr>
            <w:tcW w:w="1913" w:type="dxa"/>
            <w:vAlign w:val="center"/>
          </w:tcPr>
          <w:p>
            <w:pPr>
              <w:pStyle w:val="20"/>
              <w:snapToGrid w:val="0"/>
              <w:jc w:val="center"/>
              <w:rPr>
                <w:rFonts w:hAnsi="宋体" w:cs="宋体"/>
                <w:color w:val="000000" w:themeColor="text1"/>
                <w:sz w:val="24"/>
                <w:szCs w:val="24"/>
                <w:highlight w:val="none"/>
                <w14:textFill>
                  <w14:solidFill>
                    <w14:schemeClr w14:val="tx1"/>
                  </w14:solidFill>
                </w14:textFill>
              </w:rPr>
            </w:pPr>
          </w:p>
        </w:tc>
        <w:tc>
          <w:tcPr>
            <w:tcW w:w="1109" w:type="dxa"/>
            <w:vAlign w:val="center"/>
          </w:tcPr>
          <w:p>
            <w:pPr>
              <w:pStyle w:val="20"/>
              <w:snapToGrid w:val="0"/>
              <w:jc w:val="center"/>
              <w:rPr>
                <w:rFonts w:hAnsi="宋体" w:cs="宋体"/>
                <w:color w:val="000000" w:themeColor="text1"/>
                <w:sz w:val="24"/>
                <w:szCs w:val="24"/>
                <w:highlight w:val="none"/>
                <w14:textFill>
                  <w14:solidFill>
                    <w14:schemeClr w14:val="tx1"/>
                  </w14:solidFill>
                </w14:textFill>
              </w:rPr>
            </w:pPr>
          </w:p>
        </w:tc>
        <w:tc>
          <w:tcPr>
            <w:tcW w:w="1349" w:type="dxa"/>
            <w:vAlign w:val="center"/>
          </w:tcPr>
          <w:p>
            <w:pPr>
              <w:pStyle w:val="20"/>
              <w:snapToGrid w:val="0"/>
              <w:jc w:val="center"/>
              <w:rPr>
                <w:rFonts w:hAnsi="宋体" w:cs="宋体"/>
                <w:color w:val="000000" w:themeColor="text1"/>
                <w:sz w:val="24"/>
                <w:szCs w:val="24"/>
                <w:highlight w:val="none"/>
                <w14:textFill>
                  <w14:solidFill>
                    <w14:schemeClr w14:val="tx1"/>
                  </w14:solidFill>
                </w14:textFill>
              </w:rPr>
            </w:pPr>
          </w:p>
        </w:tc>
        <w:tc>
          <w:tcPr>
            <w:tcW w:w="857" w:type="dxa"/>
            <w:vAlign w:val="center"/>
          </w:tcPr>
          <w:p>
            <w:pPr>
              <w:pStyle w:val="20"/>
              <w:snapToGrid w:val="0"/>
              <w:jc w:val="center"/>
              <w:rPr>
                <w:rFonts w:hAnsi="宋体" w:cs="宋体"/>
                <w:color w:val="000000" w:themeColor="text1"/>
                <w:sz w:val="24"/>
                <w:szCs w:val="24"/>
                <w:highlight w:val="none"/>
                <w14:textFill>
                  <w14:solidFill>
                    <w14:schemeClr w14:val="tx1"/>
                  </w14:solidFill>
                </w14:textFill>
              </w:rPr>
            </w:pPr>
          </w:p>
        </w:tc>
        <w:tc>
          <w:tcPr>
            <w:tcW w:w="836" w:type="dxa"/>
            <w:vAlign w:val="center"/>
          </w:tcPr>
          <w:p>
            <w:pPr>
              <w:pStyle w:val="20"/>
              <w:snapToGrid w:val="0"/>
              <w:jc w:val="center"/>
              <w:rPr>
                <w:rFonts w:hAnsi="宋体" w:cs="宋体"/>
                <w:color w:val="000000" w:themeColor="text1"/>
                <w:sz w:val="24"/>
                <w:szCs w:val="24"/>
                <w:highlight w:val="none"/>
                <w14:textFill>
                  <w14:solidFill>
                    <w14:schemeClr w14:val="tx1"/>
                  </w14:solidFill>
                </w14:textFill>
              </w:rPr>
            </w:pPr>
          </w:p>
        </w:tc>
        <w:tc>
          <w:tcPr>
            <w:tcW w:w="1221" w:type="dxa"/>
            <w:vAlign w:val="center"/>
          </w:tcPr>
          <w:p>
            <w:pPr>
              <w:pStyle w:val="20"/>
              <w:snapToGrid w:val="0"/>
              <w:jc w:val="center"/>
              <w:rPr>
                <w:rFonts w:hAnsi="宋体" w:cs="宋体"/>
                <w:color w:val="000000" w:themeColor="text1"/>
                <w:sz w:val="24"/>
                <w:szCs w:val="24"/>
                <w:highlight w:val="none"/>
                <w14:textFill>
                  <w14:solidFill>
                    <w14:schemeClr w14:val="tx1"/>
                  </w14:solidFill>
                </w14:textFill>
              </w:rPr>
            </w:pPr>
          </w:p>
        </w:tc>
        <w:tc>
          <w:tcPr>
            <w:tcW w:w="1582" w:type="dxa"/>
            <w:vAlign w:val="center"/>
          </w:tcPr>
          <w:p>
            <w:pPr>
              <w:pStyle w:val="20"/>
              <w:snapToGrid w:val="0"/>
              <w:jc w:val="center"/>
              <w:rPr>
                <w:rFonts w:hAnsi="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43" w:type="dxa"/>
            <w:gridSpan w:val="2"/>
            <w:vAlign w:val="center"/>
          </w:tcPr>
          <w:p>
            <w:pPr>
              <w:snapToGrid w:val="0"/>
              <w:jc w:val="center"/>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投标报价总计</w:t>
            </w:r>
          </w:p>
        </w:tc>
        <w:tc>
          <w:tcPr>
            <w:tcW w:w="6954" w:type="dxa"/>
            <w:gridSpan w:val="6"/>
            <w:vAlign w:val="center"/>
          </w:tcPr>
          <w:p>
            <w:pPr>
              <w:snapToGrid w:val="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大写：</w:t>
            </w:r>
          </w:p>
          <w:p>
            <w:pPr>
              <w:snapToGrid w:val="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43" w:type="dxa"/>
            <w:gridSpan w:val="2"/>
            <w:vAlign w:val="center"/>
          </w:tcPr>
          <w:p>
            <w:pPr>
              <w:snapToGrid w:val="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交货时间</w:t>
            </w:r>
          </w:p>
          <w:p>
            <w:pPr>
              <w:snapToGrid w:val="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（安装、调试、培训完）</w:t>
            </w:r>
          </w:p>
        </w:tc>
        <w:tc>
          <w:tcPr>
            <w:tcW w:w="6954" w:type="dxa"/>
            <w:gridSpan w:val="6"/>
            <w:vAlign w:val="center"/>
          </w:tcPr>
          <w:p>
            <w:pPr>
              <w:snapToGrid w:val="0"/>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43" w:type="dxa"/>
            <w:gridSpan w:val="2"/>
            <w:vAlign w:val="center"/>
          </w:tcPr>
          <w:p>
            <w:pPr>
              <w:snapToGrid w:val="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交货地点</w:t>
            </w:r>
          </w:p>
        </w:tc>
        <w:tc>
          <w:tcPr>
            <w:tcW w:w="6954" w:type="dxa"/>
            <w:gridSpan w:val="6"/>
            <w:vAlign w:val="center"/>
          </w:tcPr>
          <w:p>
            <w:pPr>
              <w:snapToGrid w:val="0"/>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43" w:type="dxa"/>
            <w:gridSpan w:val="2"/>
            <w:vAlign w:val="center"/>
          </w:tcPr>
          <w:p>
            <w:pPr>
              <w:snapToGrid w:val="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质保期</w:t>
            </w:r>
          </w:p>
        </w:tc>
        <w:tc>
          <w:tcPr>
            <w:tcW w:w="6954" w:type="dxa"/>
            <w:gridSpan w:val="6"/>
            <w:vAlign w:val="center"/>
          </w:tcPr>
          <w:p>
            <w:pPr>
              <w:snapToGrid w:val="0"/>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97" w:type="dxa"/>
            <w:gridSpan w:val="8"/>
            <w:vAlign w:val="center"/>
          </w:tcPr>
          <w:p>
            <w:pPr>
              <w:snapToGrid w:val="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其中：</w:t>
            </w:r>
          </w:p>
          <w:p>
            <w:pPr>
              <w:spacing w:line="340" w:lineRule="exact"/>
              <w:rPr>
                <w:rFonts w:ascii="宋体" w:hAnsi="宋体" w:cs="宋体"/>
                <w:color w:val="000000" w:themeColor="text1"/>
                <w:spacing w:val="-6"/>
                <w:szCs w:val="21"/>
                <w:highlight w:val="none"/>
                <w14:textFill>
                  <w14:solidFill>
                    <w14:schemeClr w14:val="tx1"/>
                  </w14:solidFill>
                </w14:textFill>
              </w:rPr>
            </w:pPr>
            <w:r>
              <w:rPr>
                <w:rFonts w:hint="eastAsia" w:ascii="宋体" w:hAnsi="宋体" w:cs="宋体"/>
                <w:color w:val="000000" w:themeColor="text1"/>
                <w:spacing w:val="-6"/>
                <w:szCs w:val="21"/>
                <w:highlight w:val="none"/>
                <w14:textFill>
                  <w14:solidFill>
                    <w14:schemeClr w14:val="tx1"/>
                  </w14:solidFill>
                </w14:textFill>
              </w:rPr>
              <w:t>属于《节能产品政府采购品目清单》目录内产品的总金额为人民币（大写）：         元（￥            ）；</w:t>
            </w:r>
          </w:p>
          <w:p>
            <w:pPr>
              <w:spacing w:line="340" w:lineRule="exact"/>
              <w:rPr>
                <w:rFonts w:ascii="宋体" w:hAnsi="宋体" w:cs="宋体"/>
                <w:color w:val="000000" w:themeColor="text1"/>
                <w:spacing w:val="-6"/>
                <w:szCs w:val="21"/>
                <w:highlight w:val="none"/>
                <w14:textFill>
                  <w14:solidFill>
                    <w14:schemeClr w14:val="tx1"/>
                  </w14:solidFill>
                </w14:textFill>
              </w:rPr>
            </w:pPr>
            <w:r>
              <w:rPr>
                <w:rFonts w:hint="eastAsia" w:ascii="宋体" w:hAnsi="宋体" w:cs="宋体"/>
                <w:color w:val="000000" w:themeColor="text1"/>
                <w:spacing w:val="-6"/>
                <w:szCs w:val="21"/>
                <w:highlight w:val="none"/>
                <w14:textFill>
                  <w14:solidFill>
                    <w14:schemeClr w14:val="tx1"/>
                  </w14:solidFill>
                </w14:textFill>
              </w:rPr>
              <w:t>属于《环境标志产品政府采购品目清单》目录内产品的总金额为人民币（大写）：        元（￥             ）。</w:t>
            </w:r>
          </w:p>
          <w:p>
            <w:pPr>
              <w:spacing w:line="34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pacing w:val="-6"/>
                <w:szCs w:val="21"/>
                <w:highlight w:val="none"/>
                <w14:textFill>
                  <w14:solidFill>
                    <w14:schemeClr w14:val="tx1"/>
                  </w14:solidFill>
                </w14:textFill>
              </w:rPr>
              <w:t>备注：若不属于《节能产品政府采购品目清单》及《环境标志产品政府采购品目清单》目录内产品的，则该处填写“无”字样。</w:t>
            </w:r>
          </w:p>
        </w:tc>
      </w:tr>
    </w:tbl>
    <w:p>
      <w:pPr>
        <w:pStyle w:val="20"/>
        <w:rPr>
          <w:rFonts w:hAnsi="宋体" w:cs="宋体"/>
          <w:color w:val="000000" w:themeColor="text1"/>
          <w:highlight w:val="none"/>
          <w14:textFill>
            <w14:solidFill>
              <w14:schemeClr w14:val="tx1"/>
            </w14:solidFill>
          </w14:textFill>
        </w:rPr>
      </w:pPr>
    </w:p>
    <w:p>
      <w:pPr>
        <w:pStyle w:val="20"/>
        <w:spacing w:line="400" w:lineRule="exact"/>
        <w:ind w:firstLine="3780" w:firstLineChars="1575"/>
        <w:rPr>
          <w:rFonts w:hAnsi="宋体" w:cs="宋体"/>
          <w:color w:val="000000" w:themeColor="text1"/>
          <w:sz w:val="24"/>
          <w:szCs w:val="24"/>
          <w:highlight w:val="none"/>
          <w:u w:val="singl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投标人（加盖公章）：</w:t>
      </w:r>
      <w:r>
        <w:rPr>
          <w:rFonts w:hint="eastAsia" w:hAnsi="宋体" w:cs="宋体"/>
          <w:color w:val="000000" w:themeColor="text1"/>
          <w:sz w:val="24"/>
          <w:szCs w:val="24"/>
          <w:highlight w:val="none"/>
          <w:u w:val="single"/>
          <w14:textFill>
            <w14:solidFill>
              <w14:schemeClr w14:val="tx1"/>
            </w14:solidFill>
          </w14:textFill>
        </w:rPr>
        <w:t xml:space="preserve">                         </w:t>
      </w:r>
    </w:p>
    <w:p>
      <w:pPr>
        <w:pStyle w:val="20"/>
        <w:spacing w:line="400" w:lineRule="exact"/>
        <w:ind w:firstLine="3780" w:firstLineChars="1575"/>
        <w:rPr>
          <w:rFonts w:hAnsi="宋体" w:cs="宋体"/>
          <w:color w:val="000000" w:themeColor="text1"/>
          <w:sz w:val="24"/>
          <w:szCs w:val="24"/>
          <w:highlight w:val="none"/>
          <w:u w:val="singl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法定代表人（负责人）或委托代理人签字：</w:t>
      </w:r>
      <w:r>
        <w:rPr>
          <w:rFonts w:hint="eastAsia" w:hAnsi="宋体" w:cs="宋体"/>
          <w:color w:val="000000" w:themeColor="text1"/>
          <w:sz w:val="24"/>
          <w:szCs w:val="24"/>
          <w:highlight w:val="none"/>
          <w:u w:val="single"/>
          <w14:textFill>
            <w14:solidFill>
              <w14:schemeClr w14:val="tx1"/>
            </w14:solidFill>
          </w14:textFill>
        </w:rPr>
        <w:t xml:space="preserve">       </w:t>
      </w:r>
    </w:p>
    <w:p>
      <w:pPr>
        <w:pStyle w:val="20"/>
        <w:spacing w:line="400" w:lineRule="exact"/>
        <w:ind w:firstLine="3780" w:firstLineChars="1575"/>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投标日期：</w:t>
      </w:r>
      <w:r>
        <w:rPr>
          <w:rFonts w:hint="eastAsia" w:hAnsi="宋体" w:cs="宋体"/>
          <w:color w:val="000000" w:themeColor="text1"/>
          <w:sz w:val="24"/>
          <w:szCs w:val="24"/>
          <w:highlight w:val="none"/>
          <w:u w:val="single"/>
          <w14:textFill>
            <w14:solidFill>
              <w14:schemeClr w14:val="tx1"/>
            </w14:solidFill>
          </w14:textFill>
        </w:rPr>
        <w:t xml:space="preserve">                                </w:t>
      </w:r>
      <w:r>
        <w:rPr>
          <w:rFonts w:hint="eastAsia" w:hAnsi="宋体" w:cs="宋体"/>
          <w:color w:val="000000" w:themeColor="text1"/>
          <w:sz w:val="24"/>
          <w:szCs w:val="24"/>
          <w:highlight w:val="none"/>
          <w:u w:val="single"/>
          <w:lang w:val="en-US" w:eastAsia="zh-CN"/>
          <w14:textFill>
            <w14:solidFill>
              <w14:schemeClr w14:val="tx1"/>
            </w14:solidFill>
          </w14:textFill>
        </w:rPr>
        <w:t xml:space="preserve">  </w:t>
      </w:r>
      <w:r>
        <w:rPr>
          <w:rFonts w:hint="eastAsia" w:hAnsi="宋体" w:cs="宋体"/>
          <w:color w:val="000000" w:themeColor="text1"/>
          <w:sz w:val="24"/>
          <w:szCs w:val="24"/>
          <w:highlight w:val="none"/>
          <w:u w:val="single"/>
          <w14:textFill>
            <w14:solidFill>
              <w14:schemeClr w14:val="tx1"/>
            </w14:solidFill>
          </w14:textFill>
        </w:rPr>
        <w:t xml:space="preserve"> </w:t>
      </w:r>
    </w:p>
    <w:p>
      <w:pPr>
        <w:pStyle w:val="20"/>
        <w:spacing w:line="400" w:lineRule="exact"/>
        <w:rPr>
          <w:rFonts w:hAnsi="宋体" w:cs="宋体"/>
          <w:color w:val="000000" w:themeColor="text1"/>
          <w:highlight w:val="none"/>
          <w14:textFill>
            <w14:solidFill>
              <w14:schemeClr w14:val="tx1"/>
            </w14:solidFill>
          </w14:textFill>
        </w:rPr>
      </w:pPr>
    </w:p>
    <w:p>
      <w:pPr>
        <w:pStyle w:val="20"/>
        <w:spacing w:line="400" w:lineRule="exact"/>
        <w:rPr>
          <w:rFonts w:hAnsi="宋体" w:cs="宋体"/>
          <w:color w:val="000000" w:themeColor="text1"/>
          <w:highlight w:val="none"/>
          <w14:textFill>
            <w14:solidFill>
              <w14:schemeClr w14:val="tx1"/>
            </w14:solidFill>
          </w14:textFill>
        </w:rPr>
      </w:pPr>
    </w:p>
    <w:p>
      <w:pPr>
        <w:spacing w:line="320" w:lineRule="exact"/>
        <w:ind w:left="944" w:hanging="944" w:hangingChars="448"/>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说明：</w:t>
      </w:r>
    </w:p>
    <w:p>
      <w:pPr>
        <w:spacing w:line="320" w:lineRule="exact"/>
        <w:ind w:left="315" w:hanging="315" w:hangingChars="1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1、所有价格均系用人民币表示，单位为元，精确到小数点后两位。</w:t>
      </w:r>
    </w:p>
    <w:p>
      <w:pPr>
        <w:spacing w:line="320" w:lineRule="exact"/>
        <w:ind w:left="315" w:hanging="315" w:hangingChars="1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r>
        <w:rPr>
          <w:rFonts w:hint="eastAsia" w:ascii="宋体" w:hAnsi="宋体" w:cs="宋体"/>
          <w:color w:val="000000" w:themeColor="text1"/>
          <w:highlight w:val="none"/>
          <w14:textFill>
            <w14:solidFill>
              <w14:schemeClr w14:val="tx1"/>
            </w14:solidFill>
          </w14:textFill>
        </w:rPr>
        <w:t>本表可扩展，并逐页签字及加盖公章，否则，未按要求填写、无签名盖章的，投标无效。</w:t>
      </w:r>
    </w:p>
    <w:p>
      <w:pPr>
        <w:spacing w:line="320" w:lineRule="exact"/>
        <w:ind w:left="315" w:hanging="315" w:hangingChars="1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3、报价指本次采购范围内货物价款、货物随配标准附件、包装、运输、装卸、保险、税金、货到位以及安装、调试、检验、售后服务、保修及其他所有成本费用的总和，投标人应综合考虑在报价中。</w:t>
      </w:r>
    </w:p>
    <w:p>
      <w:pPr>
        <w:spacing w:line="320" w:lineRule="exact"/>
        <w:ind w:left="315" w:hanging="315" w:hangingChars="1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如全部或部分产品属于《节能产品政府采购品目清单》非“★”标注或《环境标志产品政府采购品目清单》目录范围的，投标人应提供中国政府采购网（www.ccgp.gov.cn）认证结果信息发布平台的证书查询结果和产品认证证书复印件并加盖投标人公章，以便评标委员会作为优先采购或评审的依据。</w:t>
      </w:r>
    </w:p>
    <w:p>
      <w:pPr>
        <w:pStyle w:val="175"/>
        <w:shd w:val="clear" w:color="auto" w:fill="FFFFFF"/>
        <w:spacing w:before="0" w:beforeAutospacing="0" w:after="0" w:afterAutospacing="0"/>
        <w:jc w:val="right"/>
        <w:rPr>
          <w:b/>
          <w:color w:val="000000" w:themeColor="text1"/>
          <w:sz w:val="32"/>
          <w:szCs w:val="32"/>
          <w:highlight w:val="none"/>
          <w14:textFill>
            <w14:solidFill>
              <w14:schemeClr w14:val="tx1"/>
            </w14:solidFill>
          </w14:textFill>
        </w:rPr>
      </w:pPr>
      <w:r>
        <w:rPr>
          <w:rFonts w:hint="eastAsia"/>
          <w:b/>
          <w:color w:val="000000" w:themeColor="text1"/>
          <w:sz w:val="32"/>
          <w:szCs w:val="32"/>
          <w:highlight w:val="none"/>
          <w14:textFill>
            <w14:solidFill>
              <w14:schemeClr w14:val="tx1"/>
            </w14:solidFill>
          </w14:textFill>
        </w:rPr>
        <w:br w:type="page"/>
      </w:r>
    </w:p>
    <w:p>
      <w:pPr>
        <w:spacing w:line="400" w:lineRule="exact"/>
        <w:jc w:val="center"/>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投标声明书（格式）</w:t>
      </w:r>
    </w:p>
    <w:p>
      <w:pPr>
        <w:pStyle w:val="165"/>
        <w:spacing w:line="360" w:lineRule="exact"/>
        <w:ind w:firstLine="480"/>
        <w:rPr>
          <w:rFonts w:ascii="宋体" w:hAnsi="宋体" w:cs="宋体"/>
          <w:color w:val="000000" w:themeColor="text1"/>
          <w:szCs w:val="24"/>
          <w:highlight w:val="none"/>
          <w14:textFill>
            <w14:solidFill>
              <w14:schemeClr w14:val="tx1"/>
            </w14:solidFill>
          </w14:textFill>
        </w:rPr>
      </w:pPr>
    </w:p>
    <w:p>
      <w:pPr>
        <w:spacing w:line="36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致：</w:t>
      </w:r>
      <w:r>
        <w:rPr>
          <w:rFonts w:hint="eastAsia" w:ascii="宋体" w:hAnsi="宋体" w:cs="宋体"/>
          <w:color w:val="000000" w:themeColor="text1"/>
          <w:sz w:val="24"/>
          <w:highlight w:val="none"/>
          <w:u w:val="single"/>
          <w14:textFill>
            <w14:solidFill>
              <w14:schemeClr w14:val="tx1"/>
            </w14:solidFill>
          </w14:textFill>
        </w:rPr>
        <w:t>（采购代理机构名称）</w:t>
      </w:r>
    </w:p>
    <w:p>
      <w:pPr>
        <w:spacing w:line="3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（投标人名称）系中华人民共和国合法企业，经营地址</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pPr>
        <w:spacing w:line="360" w:lineRule="exact"/>
        <w:ind w:firstLine="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我</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（姓名）系</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（投标人名称）的法定代表人（负责人），我方愿意参加贵方组织的</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（项目名称及项目编号）项目的政府采购活动，为便于贵方公正、择优地确定中标人及其投标产品和服务，我方就本次投标有关事项郑重声明如下： </w:t>
      </w:r>
    </w:p>
    <w:p>
      <w:pPr>
        <w:spacing w:line="360" w:lineRule="exact"/>
        <w:ind w:firstLine="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1、我方向贵方提交的所有投标文件、资料都是准确的和真实的。</w:t>
      </w:r>
    </w:p>
    <w:p>
      <w:pPr>
        <w:spacing w:line="360" w:lineRule="exact"/>
        <w:ind w:firstLine="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2、我方不是采购人的附属机构；也不是为本项目提供整体设计、编制规范或者项目管理、监理、检测等服务的投标人或其附属机构。</w:t>
      </w:r>
    </w:p>
    <w:p>
      <w:pPr>
        <w:spacing w:line="360" w:lineRule="exact"/>
        <w:ind w:firstLine="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3、我方承诺在参加本政府采购项目活动前，没有被纳入政府部门或银行认定的失信名单，我方具有良好的商业信誉。</w:t>
      </w:r>
    </w:p>
    <w:p>
      <w:pPr>
        <w:spacing w:line="360" w:lineRule="exact"/>
        <w:ind w:firstLine="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我方及由本人承诺在参加本项目的政府采购活动前三年内，在经营活动中没有重大违法记录及不良信用记录。重大违法记录是指投标人因违法经营受到刑事处罚或者责令停产停业、吊销许可证或者执照、较大数额罚款等行政处罚。未被列入失信被执行人、重大税收违法案件当事人名单、政府采购严重违法失信行为记录名单。</w:t>
      </w:r>
    </w:p>
    <w:p>
      <w:pPr>
        <w:spacing w:line="360" w:lineRule="exact"/>
        <w:ind w:firstLine="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5、我方承诺具有履行本项目合同所必需的设备和专业技术能力。</w:t>
      </w:r>
    </w:p>
    <w:p>
      <w:pPr>
        <w:spacing w:line="360" w:lineRule="exact"/>
        <w:ind w:firstLine="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6、根据《中华人民共和国政府采购法实施条例》第五十条要求对政府采购合同进行公</w:t>
      </w:r>
    </w:p>
    <w:p>
      <w:pPr>
        <w:spacing w:line="360" w:lineRule="exact"/>
        <w:ind w:firstLine="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告，但政府采购合同中涉及国家秘密、商业秘密的内容除外。我方就对本次响应文件进行注明如下：（两项内容中必须选择一项）</w:t>
      </w:r>
    </w:p>
    <w:p>
      <w:pPr>
        <w:spacing w:line="360" w:lineRule="exact"/>
        <w:ind w:firstLine="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我方本次响应文件内容中未涉及商业秘密；</w:t>
      </w:r>
    </w:p>
    <w:p>
      <w:pPr>
        <w:spacing w:line="360" w:lineRule="exact"/>
        <w:ind w:firstLine="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我方本次响应文件涉及商业秘密的内容有：</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pPr>
        <w:spacing w:line="360" w:lineRule="exact"/>
        <w:ind w:firstLine="420"/>
        <w:rPr>
          <w:rFonts w:ascii="宋体" w:hAnsi="宋体" w:cs="宋体"/>
          <w:color w:val="000000" w:themeColor="text1"/>
          <w:sz w:val="24"/>
          <w:highlight w:val="none"/>
          <w14:textFill>
            <w14:solidFill>
              <w14:schemeClr w14:val="tx1"/>
            </w14:solidFill>
          </w14:textFill>
        </w:rPr>
      </w:pPr>
    </w:p>
    <w:p>
      <w:pPr>
        <w:spacing w:line="360" w:lineRule="exact"/>
        <w:ind w:firstLine="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我方对以上声明负全部法律责任。以上事项如有虚假或隐瞒，我方愿意承担一切后果，并不再寻求任何旨在减轻或免除法律责任的辩解。</w:t>
      </w:r>
    </w:p>
    <w:p>
      <w:pPr>
        <w:pStyle w:val="165"/>
        <w:spacing w:line="360" w:lineRule="exact"/>
        <w:ind w:firstLine="480"/>
        <w:rPr>
          <w:rFonts w:ascii="宋体" w:hAnsi="宋体" w:cs="宋体"/>
          <w:color w:val="000000" w:themeColor="text1"/>
          <w:szCs w:val="24"/>
          <w:highlight w:val="none"/>
          <w14:textFill>
            <w14:solidFill>
              <w14:schemeClr w14:val="tx1"/>
            </w14:solidFill>
          </w14:textFill>
        </w:rPr>
      </w:pPr>
    </w:p>
    <w:p>
      <w:pPr>
        <w:pStyle w:val="165"/>
        <w:spacing w:line="360" w:lineRule="exact"/>
        <w:ind w:firstLine="480"/>
        <w:rPr>
          <w:rFonts w:ascii="宋体" w:hAnsi="宋体" w:cs="宋体"/>
          <w:color w:val="000000" w:themeColor="text1"/>
          <w:szCs w:val="24"/>
          <w:highlight w:val="none"/>
          <w14:textFill>
            <w14:solidFill>
              <w14:schemeClr w14:val="tx1"/>
            </w14:solidFill>
          </w14:textFill>
        </w:rPr>
      </w:pPr>
    </w:p>
    <w:p>
      <w:pPr>
        <w:pStyle w:val="165"/>
        <w:spacing w:line="360" w:lineRule="exact"/>
        <w:ind w:firstLine="480"/>
        <w:rPr>
          <w:rFonts w:hint="eastAsia" w:ascii="宋体" w:hAnsi="宋体" w:eastAsia="宋体" w:cs="宋体"/>
          <w:color w:val="000000" w:themeColor="text1"/>
          <w:szCs w:val="24"/>
          <w:highlight w:val="none"/>
          <w:lang w:val="en-US" w:eastAsia="zh-CN"/>
          <w14:textFill>
            <w14:solidFill>
              <w14:schemeClr w14:val="tx1"/>
            </w14:solidFill>
          </w14:textFill>
        </w:rPr>
      </w:pPr>
      <w:r>
        <w:rPr>
          <w:rFonts w:hint="eastAsia" w:ascii="宋体" w:hAnsi="宋体" w:cs="宋体"/>
          <w:color w:val="000000" w:themeColor="text1"/>
          <w:szCs w:val="24"/>
          <w:highlight w:val="none"/>
          <w:lang w:val="en-US" w:eastAsia="zh-CN"/>
          <w14:textFill>
            <w14:solidFill>
              <w14:schemeClr w14:val="tx1"/>
            </w14:solidFill>
          </w14:textFill>
        </w:rPr>
        <w:t xml:space="preserve"> </w:t>
      </w:r>
    </w:p>
    <w:p>
      <w:pPr>
        <w:spacing w:line="360" w:lineRule="exact"/>
        <w:ind w:firstLine="4320" w:firstLineChars="18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投标人（加盖公章）：</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pPr>
        <w:spacing w:line="360" w:lineRule="exact"/>
        <w:ind w:firstLine="4320" w:firstLineChars="1800"/>
        <w:rPr>
          <w:rFonts w:ascii="宋体" w:hAnsi="宋体" w:cs="宋体"/>
          <w:color w:val="000000" w:themeColor="text1"/>
          <w:sz w:val="24"/>
          <w:highlight w:val="none"/>
          <w14:textFill>
            <w14:solidFill>
              <w14:schemeClr w14:val="tx1"/>
            </w14:solidFill>
          </w14:textFill>
        </w:rPr>
      </w:pPr>
    </w:p>
    <w:p>
      <w:pPr>
        <w:spacing w:line="360" w:lineRule="exact"/>
        <w:ind w:firstLine="4320" w:firstLineChars="18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法定代表人（负责人）签字或盖章：</w:t>
      </w:r>
      <w:r>
        <w:rPr>
          <w:rFonts w:hint="eastAsia" w:ascii="宋体" w:hAnsi="宋体" w:cs="宋体"/>
          <w:color w:val="000000" w:themeColor="text1"/>
          <w:sz w:val="24"/>
          <w:highlight w:val="none"/>
          <w:u w:val="single"/>
          <w14:textFill>
            <w14:solidFill>
              <w14:schemeClr w14:val="tx1"/>
            </w14:solidFill>
          </w14:textFill>
        </w:rPr>
        <w:t xml:space="preserve">                  </w:t>
      </w:r>
    </w:p>
    <w:p>
      <w:pPr>
        <w:spacing w:line="360" w:lineRule="exact"/>
        <w:ind w:firstLine="4320" w:firstLineChars="1800"/>
        <w:rPr>
          <w:rFonts w:ascii="宋体" w:hAnsi="宋体" w:cs="宋体"/>
          <w:color w:val="000000" w:themeColor="text1"/>
          <w:sz w:val="24"/>
          <w:highlight w:val="none"/>
          <w14:textFill>
            <w14:solidFill>
              <w14:schemeClr w14:val="tx1"/>
            </w14:solidFill>
          </w14:textFill>
        </w:rPr>
      </w:pPr>
    </w:p>
    <w:p>
      <w:pPr>
        <w:spacing w:line="360" w:lineRule="exact"/>
        <w:ind w:firstLine="4320" w:firstLineChars="18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投标日期：</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pPr>
        <w:pStyle w:val="20"/>
        <w:spacing w:line="440" w:lineRule="exact"/>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highlight w:val="none"/>
          <w:u w:val="single"/>
          <w14:textFill>
            <w14:solidFill>
              <w14:schemeClr w14:val="tx1"/>
            </w14:solidFill>
          </w14:textFill>
        </w:rPr>
        <w:br w:type="page"/>
      </w:r>
    </w:p>
    <w:p>
      <w:pPr>
        <w:spacing w:line="400" w:lineRule="exact"/>
        <w:jc w:val="center"/>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投标保证金声明（格式）</w:t>
      </w:r>
    </w:p>
    <w:p>
      <w:pPr>
        <w:pStyle w:val="20"/>
        <w:spacing w:line="460" w:lineRule="exact"/>
        <w:jc w:val="center"/>
        <w:rPr>
          <w:rFonts w:hAnsi="宋体" w:cs="宋体"/>
          <w:color w:val="000000" w:themeColor="text1"/>
          <w:sz w:val="24"/>
          <w:szCs w:val="24"/>
          <w:highlight w:val="none"/>
          <w14:textFill>
            <w14:solidFill>
              <w14:schemeClr w14:val="tx1"/>
            </w14:solidFill>
          </w14:textFill>
        </w:rPr>
      </w:pPr>
      <w:r>
        <w:rPr>
          <w:rFonts w:hint="eastAsia" w:hAnsi="宋体" w:cs="宋体"/>
          <w:b/>
          <w:color w:val="000000" w:themeColor="text1"/>
          <w:sz w:val="32"/>
          <w:szCs w:val="32"/>
          <w:highlight w:val="none"/>
          <w14:textFill>
            <w14:solidFill>
              <w14:schemeClr w14:val="tx1"/>
            </w14:solidFill>
          </w14:textFill>
        </w:rPr>
        <w:t>（如以支票、汇票、本票、保函等非现金形式的，不用填此声明，提供复印件）</w:t>
      </w:r>
    </w:p>
    <w:p>
      <w:pPr>
        <w:pStyle w:val="20"/>
        <w:spacing w:line="460" w:lineRule="exact"/>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致：广西众联工程项目管理有限公司</w:t>
      </w:r>
    </w:p>
    <w:p>
      <w:pPr>
        <w:pStyle w:val="20"/>
        <w:spacing w:line="460" w:lineRule="exact"/>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我方参加</w:t>
      </w:r>
      <w:r>
        <w:rPr>
          <w:rFonts w:hint="eastAsia" w:hAnsi="宋体" w:cs="宋体"/>
          <w:color w:val="000000" w:themeColor="text1"/>
          <w:sz w:val="24"/>
          <w:szCs w:val="24"/>
          <w:highlight w:val="none"/>
          <w:u w:val="single"/>
          <w14:textFill>
            <w14:solidFill>
              <w14:schemeClr w14:val="tx1"/>
            </w14:solidFill>
          </w14:textFill>
        </w:rPr>
        <w:t>（项目名称+编号）</w:t>
      </w:r>
      <w:r>
        <w:rPr>
          <w:rFonts w:hint="eastAsia" w:hAnsi="宋体" w:cs="宋体"/>
          <w:color w:val="000000" w:themeColor="text1"/>
          <w:sz w:val="24"/>
          <w:szCs w:val="24"/>
          <w:highlight w:val="none"/>
          <w14:textFill>
            <w14:solidFill>
              <w14:schemeClr w14:val="tx1"/>
            </w14:solidFill>
          </w14:textFill>
        </w:rPr>
        <w:t>的投标，缴纳投标保证金金额如下：</w:t>
      </w:r>
    </w:p>
    <w:p>
      <w:pPr>
        <w:pStyle w:val="20"/>
        <w:spacing w:line="460" w:lineRule="exact"/>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投标保证金人民币（大写）</w:t>
      </w:r>
      <w:r>
        <w:rPr>
          <w:rFonts w:hint="eastAsia" w:hAnsi="宋体" w:cs="宋体"/>
          <w:color w:val="000000" w:themeColor="text1"/>
          <w:sz w:val="24"/>
          <w:szCs w:val="24"/>
          <w:highlight w:val="none"/>
          <w:u w:val="single"/>
          <w14:textFill>
            <w14:solidFill>
              <w14:schemeClr w14:val="tx1"/>
            </w14:solidFill>
          </w14:textFill>
        </w:rPr>
        <w:t xml:space="preserve">      </w:t>
      </w:r>
      <w:r>
        <w:rPr>
          <w:rFonts w:hint="eastAsia" w:hAnsi="宋体" w:cs="宋体"/>
          <w:color w:val="000000" w:themeColor="text1"/>
          <w:sz w:val="24"/>
          <w:szCs w:val="24"/>
          <w:highlight w:val="none"/>
          <w14:textFill>
            <w14:solidFill>
              <w14:schemeClr w14:val="tx1"/>
            </w14:solidFill>
          </w14:textFill>
        </w:rPr>
        <w:t>元整（￥</w:t>
      </w:r>
      <w:r>
        <w:rPr>
          <w:rFonts w:hint="eastAsia" w:hAnsi="宋体" w:cs="宋体"/>
          <w:color w:val="000000" w:themeColor="text1"/>
          <w:sz w:val="24"/>
          <w:szCs w:val="24"/>
          <w:highlight w:val="none"/>
          <w:u w:val="single"/>
          <w14:textFill>
            <w14:solidFill>
              <w14:schemeClr w14:val="tx1"/>
            </w14:solidFill>
          </w14:textFill>
        </w:rPr>
        <w:t xml:space="preserve">     </w:t>
      </w:r>
      <w:r>
        <w:rPr>
          <w:rFonts w:hint="eastAsia" w:hAnsi="宋体" w:cs="宋体"/>
          <w:color w:val="000000" w:themeColor="text1"/>
          <w:sz w:val="24"/>
          <w:szCs w:val="24"/>
          <w:highlight w:val="none"/>
          <w14:textFill>
            <w14:solidFill>
              <w14:schemeClr w14:val="tx1"/>
            </w14:solidFill>
          </w14:textFill>
        </w:rPr>
        <w:t>元）；</w:t>
      </w:r>
    </w:p>
    <w:p>
      <w:pPr>
        <w:pStyle w:val="20"/>
        <w:spacing w:line="460" w:lineRule="exact"/>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w:t>
      </w:r>
    </w:p>
    <w:p>
      <w:pPr>
        <w:pStyle w:val="20"/>
        <w:spacing w:line="460" w:lineRule="exact"/>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若我方中标，同意你方将该投标保证金转为履约保证金，若不中标，请贵方在退付投标保证金时转入以下账户：</w:t>
      </w:r>
    </w:p>
    <w:p>
      <w:pPr>
        <w:pStyle w:val="20"/>
        <w:spacing w:line="460" w:lineRule="exact"/>
        <w:ind w:firstLine="960" w:firstLineChars="400"/>
        <w:rPr>
          <w:rFonts w:hAnsi="宋体" w:cs="宋体"/>
          <w:color w:val="000000" w:themeColor="text1"/>
          <w:sz w:val="24"/>
          <w:szCs w:val="24"/>
          <w:highlight w:val="none"/>
          <w:u w:val="singl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开户名称：</w:t>
      </w:r>
      <w:r>
        <w:rPr>
          <w:rFonts w:hint="eastAsia" w:hAnsi="宋体" w:cs="宋体"/>
          <w:color w:val="000000" w:themeColor="text1"/>
          <w:sz w:val="24"/>
          <w:szCs w:val="24"/>
          <w:highlight w:val="none"/>
          <w:u w:val="single"/>
          <w14:textFill>
            <w14:solidFill>
              <w14:schemeClr w14:val="tx1"/>
            </w14:solidFill>
          </w14:textFill>
        </w:rPr>
        <w:t xml:space="preserve">                    </w:t>
      </w:r>
    </w:p>
    <w:p>
      <w:pPr>
        <w:pStyle w:val="20"/>
        <w:spacing w:line="460" w:lineRule="exact"/>
        <w:ind w:firstLine="960" w:firstLineChars="400"/>
        <w:rPr>
          <w:rFonts w:hAnsi="宋体" w:cs="宋体"/>
          <w:color w:val="000000" w:themeColor="text1"/>
          <w:sz w:val="24"/>
          <w:szCs w:val="24"/>
          <w:highlight w:val="none"/>
          <w:u w:val="singl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开户银行：</w:t>
      </w:r>
      <w:r>
        <w:rPr>
          <w:rFonts w:hint="eastAsia" w:hAnsi="宋体" w:cs="宋体"/>
          <w:color w:val="000000" w:themeColor="text1"/>
          <w:sz w:val="24"/>
          <w:szCs w:val="24"/>
          <w:highlight w:val="none"/>
          <w:u w:val="single"/>
          <w14:textFill>
            <w14:solidFill>
              <w14:schemeClr w14:val="tx1"/>
            </w14:solidFill>
          </w14:textFill>
        </w:rPr>
        <w:t xml:space="preserve">                    </w:t>
      </w:r>
    </w:p>
    <w:p>
      <w:pPr>
        <w:pStyle w:val="20"/>
        <w:spacing w:line="460" w:lineRule="exact"/>
        <w:ind w:firstLine="960" w:firstLineChars="400"/>
        <w:rPr>
          <w:rFonts w:hAnsi="宋体" w:cs="宋体"/>
          <w:color w:val="000000" w:themeColor="text1"/>
          <w:sz w:val="24"/>
          <w:szCs w:val="24"/>
          <w:highlight w:val="none"/>
          <w:u w:val="singl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银行账号：</w:t>
      </w:r>
      <w:r>
        <w:rPr>
          <w:rFonts w:hint="eastAsia" w:hAnsi="宋体" w:cs="宋体"/>
          <w:color w:val="000000" w:themeColor="text1"/>
          <w:sz w:val="24"/>
          <w:szCs w:val="24"/>
          <w:highlight w:val="none"/>
          <w:u w:val="single"/>
          <w14:textFill>
            <w14:solidFill>
              <w14:schemeClr w14:val="tx1"/>
            </w14:solidFill>
          </w14:textFill>
        </w:rPr>
        <w:t xml:space="preserve">                    </w:t>
      </w:r>
    </w:p>
    <w:p>
      <w:pPr>
        <w:pStyle w:val="20"/>
        <w:spacing w:line="460" w:lineRule="exact"/>
        <w:ind w:firstLine="948" w:firstLineChars="395"/>
        <w:rPr>
          <w:rFonts w:hAnsi="宋体" w:cs="宋体"/>
          <w:color w:val="000000" w:themeColor="text1"/>
          <w:sz w:val="24"/>
          <w:szCs w:val="24"/>
          <w:highlight w:val="none"/>
          <w14:textFill>
            <w14:solidFill>
              <w14:schemeClr w14:val="tx1"/>
            </w14:solidFill>
          </w14:textFill>
        </w:rPr>
      </w:pPr>
    </w:p>
    <w:p>
      <w:pPr>
        <w:pStyle w:val="20"/>
        <w:spacing w:line="460" w:lineRule="exact"/>
        <w:ind w:firstLine="948" w:firstLineChars="395"/>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投标单位（盖公章）：</w:t>
      </w:r>
    </w:p>
    <w:p>
      <w:pPr>
        <w:pStyle w:val="20"/>
        <w:spacing w:line="460" w:lineRule="exact"/>
        <w:ind w:firstLine="948" w:firstLineChars="395"/>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联系人：</w:t>
      </w:r>
    </w:p>
    <w:p>
      <w:pPr>
        <w:pStyle w:val="20"/>
        <w:spacing w:line="460" w:lineRule="exact"/>
        <w:ind w:firstLine="948" w:firstLineChars="395"/>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地  址：</w:t>
      </w:r>
    </w:p>
    <w:p>
      <w:pPr>
        <w:pStyle w:val="20"/>
        <w:spacing w:line="460" w:lineRule="exact"/>
        <w:ind w:firstLine="948" w:firstLineChars="395"/>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联系电话（手机）：</w:t>
      </w:r>
    </w:p>
    <w:p>
      <w:pPr>
        <w:pStyle w:val="20"/>
        <w:spacing w:line="460" w:lineRule="exact"/>
        <w:ind w:firstLine="420"/>
        <w:rPr>
          <w:rFonts w:hAnsi="宋体" w:cs="宋体"/>
          <w:color w:val="000000" w:themeColor="text1"/>
          <w:sz w:val="24"/>
          <w:szCs w:val="24"/>
          <w:highlight w:val="none"/>
          <w14:textFill>
            <w14:solidFill>
              <w14:schemeClr w14:val="tx1"/>
            </w14:solidFill>
          </w14:textFill>
        </w:rPr>
      </w:pPr>
    </w:p>
    <w:p>
      <w:pPr>
        <w:pStyle w:val="20"/>
        <w:spacing w:line="460" w:lineRule="exact"/>
        <w:jc w:val="center"/>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（①以转帐方式缴纳的投标保证金的，提供由缴纳凭证复印件并盖单位公章；②以非转账方式递交投标保证金的，提供支票或汇票或本票或保函复印件并盖单位公章）</w:t>
      </w:r>
    </w:p>
    <w:p>
      <w:pPr>
        <w:pStyle w:val="20"/>
        <w:spacing w:line="460" w:lineRule="exact"/>
        <w:ind w:firstLine="420"/>
        <w:rPr>
          <w:rFonts w:hAnsi="宋体" w:cs="宋体"/>
          <w:color w:val="000000" w:themeColor="text1"/>
          <w:sz w:val="24"/>
          <w:szCs w:val="24"/>
          <w:highlight w:val="none"/>
          <w:u w:val="single"/>
          <w14:textFill>
            <w14:solidFill>
              <w14:schemeClr w14:val="tx1"/>
            </w14:solidFill>
          </w14:textFill>
        </w:rPr>
      </w:pPr>
    </w:p>
    <w:p>
      <w:pPr>
        <w:pStyle w:val="20"/>
        <w:spacing w:line="300" w:lineRule="exact"/>
        <w:ind w:firstLine="737"/>
        <w:rPr>
          <w:rFonts w:hAnsi="宋体" w:cs="宋体"/>
          <w:color w:val="000000" w:themeColor="text1"/>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br w:type="page"/>
      </w:r>
    </w:p>
    <w:p>
      <w:pPr>
        <w:spacing w:line="400" w:lineRule="exact"/>
        <w:jc w:val="center"/>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法定代表人（负责人）身份证明（格式）</w:t>
      </w:r>
    </w:p>
    <w:p>
      <w:pPr>
        <w:spacing w:line="500" w:lineRule="exact"/>
        <w:ind w:firstLine="480" w:firstLineChars="200"/>
        <w:rPr>
          <w:rFonts w:ascii="宋体" w:hAnsi="宋体" w:cs="宋体"/>
          <w:color w:val="000000" w:themeColor="text1"/>
          <w:sz w:val="24"/>
          <w:highlight w:val="none"/>
          <w:u w:val="single"/>
          <w14:textFill>
            <w14:solidFill>
              <w14:schemeClr w14:val="tx1"/>
            </w14:solidFill>
          </w14:textFill>
        </w:rPr>
      </w:pPr>
    </w:p>
    <w:p>
      <w:pPr>
        <w:spacing w:line="54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投标人名称：</w:t>
      </w:r>
      <w:r>
        <w:rPr>
          <w:rFonts w:hint="eastAsia" w:ascii="宋体" w:hAnsi="宋体" w:cs="宋体"/>
          <w:color w:val="000000" w:themeColor="text1"/>
          <w:sz w:val="24"/>
          <w:highlight w:val="none"/>
          <w:u w:val="single"/>
          <w14:textFill>
            <w14:solidFill>
              <w14:schemeClr w14:val="tx1"/>
            </w14:solidFill>
          </w14:textFill>
        </w:rPr>
        <w:t xml:space="preserve">                                                   </w:t>
      </w:r>
    </w:p>
    <w:p>
      <w:pPr>
        <w:spacing w:line="54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单位性质：</w:t>
      </w:r>
      <w:r>
        <w:rPr>
          <w:rFonts w:hint="eastAsia" w:ascii="宋体" w:hAnsi="宋体" w:cs="宋体"/>
          <w:color w:val="000000" w:themeColor="text1"/>
          <w:sz w:val="24"/>
          <w:highlight w:val="none"/>
          <w:u w:val="single"/>
          <w14:textFill>
            <w14:solidFill>
              <w14:schemeClr w14:val="tx1"/>
            </w14:solidFill>
          </w14:textFill>
        </w:rPr>
        <w:t xml:space="preserve">                                                     </w:t>
      </w:r>
    </w:p>
    <w:p>
      <w:pPr>
        <w:spacing w:line="54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r>
        <w:rPr>
          <w:rFonts w:hint="eastAsia" w:ascii="宋体" w:hAnsi="宋体" w:cs="宋体"/>
          <w:color w:val="000000" w:themeColor="text1"/>
          <w:sz w:val="24"/>
          <w:highlight w:val="none"/>
          <w:u w:val="single"/>
          <w14:textFill>
            <w14:solidFill>
              <w14:schemeClr w14:val="tx1"/>
            </w14:solidFill>
          </w14:textFill>
        </w:rPr>
        <w:t xml:space="preserve">                                                     </w:t>
      </w:r>
    </w:p>
    <w:p>
      <w:pPr>
        <w:spacing w:line="540" w:lineRule="exact"/>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成立时间：</w:t>
      </w:r>
      <w:r>
        <w:rPr>
          <w:rFonts w:hint="eastAsia" w:ascii="宋体" w:hAnsi="宋体" w:cs="宋体"/>
          <w:color w:val="000000" w:themeColor="text1"/>
          <w:sz w:val="24"/>
          <w:highlight w:val="none"/>
          <w:u w:val="single"/>
          <w14:textFill>
            <w14:solidFill>
              <w14:schemeClr w14:val="tx1"/>
            </w14:solidFill>
          </w14:textFill>
        </w:rPr>
        <w:t xml:space="preserve">          年        月        日</w:t>
      </w:r>
    </w:p>
    <w:p>
      <w:pPr>
        <w:spacing w:line="54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经营期限：</w:t>
      </w:r>
      <w:r>
        <w:rPr>
          <w:rFonts w:hint="eastAsia" w:ascii="宋体" w:hAnsi="宋体" w:cs="宋体"/>
          <w:color w:val="000000" w:themeColor="text1"/>
          <w:sz w:val="24"/>
          <w:highlight w:val="none"/>
          <w:u w:val="single"/>
          <w14:textFill>
            <w14:solidFill>
              <w14:schemeClr w14:val="tx1"/>
            </w14:solidFill>
          </w14:textFill>
        </w:rPr>
        <w:t xml:space="preserve">                                                     </w:t>
      </w:r>
    </w:p>
    <w:p>
      <w:pPr>
        <w:spacing w:line="54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姓名：</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性别：</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年龄：</w:t>
      </w:r>
      <w:r>
        <w:rPr>
          <w:rFonts w:hint="eastAsia" w:ascii="宋体" w:hAnsi="宋体" w:cs="宋体"/>
          <w:color w:val="000000" w:themeColor="text1"/>
          <w:sz w:val="24"/>
          <w:highlight w:val="none"/>
          <w:u w:val="single"/>
          <w14:textFill>
            <w14:solidFill>
              <w14:schemeClr w14:val="tx1"/>
            </w14:solidFill>
          </w14:textFill>
        </w:rPr>
        <w:t xml:space="preserve">         </w:t>
      </w:r>
    </w:p>
    <w:p>
      <w:pPr>
        <w:spacing w:line="54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职务：</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身份证：</w:t>
      </w:r>
      <w:r>
        <w:rPr>
          <w:rFonts w:hint="eastAsia" w:ascii="宋体" w:hAnsi="宋体" w:cs="宋体"/>
          <w:color w:val="000000" w:themeColor="text1"/>
          <w:sz w:val="24"/>
          <w:highlight w:val="none"/>
          <w:u w:val="single"/>
          <w14:textFill>
            <w14:solidFill>
              <w14:schemeClr w14:val="tx1"/>
            </w14:solidFill>
          </w14:textFill>
        </w:rPr>
        <w:t xml:space="preserve">                          </w:t>
      </w:r>
    </w:p>
    <w:p>
      <w:pPr>
        <w:spacing w:line="54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系</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（投标人名称）的法定代表人（负责人）。</w:t>
      </w:r>
    </w:p>
    <w:p>
      <w:pPr>
        <w:spacing w:line="54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特此证明。</w:t>
      </w:r>
    </w:p>
    <w:p>
      <w:pPr>
        <w:tabs>
          <w:tab w:val="left" w:leader="hyphen" w:pos="7088"/>
        </w:tabs>
        <w:snapToGrid w:val="0"/>
        <w:spacing w:line="500" w:lineRule="exact"/>
        <w:ind w:firstLine="504" w:firstLineChars="210"/>
        <w:rPr>
          <w:rFonts w:ascii="宋体" w:hAnsi="宋体" w:cs="宋体"/>
          <w:bCs/>
          <w:color w:val="000000" w:themeColor="text1"/>
          <w:sz w:val="24"/>
          <w:highlight w:val="none"/>
          <w14:textFill>
            <w14:solidFill>
              <w14:schemeClr w14:val="tx1"/>
            </w14:solidFill>
          </w14:textFill>
        </w:rPr>
      </w:pPr>
    </w:p>
    <w:p>
      <w:pPr>
        <w:spacing w:line="500" w:lineRule="exac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附：法定代表人（负责人）身份证正背面复印件、营业执照正本或副本复印件（加盖公章）。</w:t>
      </w:r>
    </w:p>
    <w:p>
      <w:pPr>
        <w:pStyle w:val="20"/>
        <w:rPr>
          <w:rFonts w:hAnsi="宋体" w:cs="宋体"/>
          <w:bCs/>
          <w:color w:val="000000" w:themeColor="text1"/>
          <w:sz w:val="24"/>
          <w:szCs w:val="24"/>
          <w:highlight w:val="none"/>
          <w14:textFill>
            <w14:solidFill>
              <w14:schemeClr w14:val="tx1"/>
            </w14:solidFill>
          </w14:textFill>
        </w:rPr>
      </w:pPr>
    </w:p>
    <w:p>
      <w:pPr>
        <w:pStyle w:val="20"/>
        <w:rPr>
          <w:rFonts w:hAnsi="宋体" w:cs="宋体"/>
          <w:bCs/>
          <w:color w:val="000000" w:themeColor="text1"/>
          <w:sz w:val="24"/>
          <w:szCs w:val="24"/>
          <w:highlight w:val="none"/>
          <w14:textFill>
            <w14:solidFill>
              <w14:schemeClr w14:val="tx1"/>
            </w14:solidFill>
          </w14:textFill>
        </w:rPr>
      </w:pPr>
    </w:p>
    <w:p>
      <w:pPr>
        <w:pStyle w:val="20"/>
        <w:rPr>
          <w:rFonts w:hAnsi="宋体" w:cs="宋体"/>
          <w:bCs/>
          <w:color w:val="000000" w:themeColor="text1"/>
          <w:sz w:val="24"/>
          <w:szCs w:val="24"/>
          <w:highlight w:val="none"/>
          <w14:textFill>
            <w14:solidFill>
              <w14:schemeClr w14:val="tx1"/>
            </w14:solidFill>
          </w14:textFill>
        </w:rPr>
      </w:pPr>
    </w:p>
    <w:p>
      <w:pPr>
        <w:pStyle w:val="20"/>
        <w:rPr>
          <w:rFonts w:hAnsi="宋体" w:cs="宋体"/>
          <w:bCs/>
          <w:color w:val="000000" w:themeColor="text1"/>
          <w:sz w:val="24"/>
          <w:szCs w:val="24"/>
          <w:highlight w:val="none"/>
          <w14:textFill>
            <w14:solidFill>
              <w14:schemeClr w14:val="tx1"/>
            </w14:solidFill>
          </w14:textFill>
        </w:rPr>
      </w:pPr>
    </w:p>
    <w:p>
      <w:pPr>
        <w:pStyle w:val="20"/>
        <w:ind w:firstLine="3360" w:firstLineChars="1400"/>
        <w:rPr>
          <w:rFonts w:hAnsi="宋体" w:cs="宋体"/>
          <w:color w:val="000000" w:themeColor="text1"/>
          <w:sz w:val="24"/>
          <w:szCs w:val="24"/>
          <w:highlight w:val="none"/>
          <w:u w:val="singl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投标人（加盖公章）：</w:t>
      </w:r>
      <w:r>
        <w:rPr>
          <w:rFonts w:hint="eastAsia" w:hAnsi="宋体" w:cs="宋体"/>
          <w:color w:val="000000" w:themeColor="text1"/>
          <w:sz w:val="24"/>
          <w:szCs w:val="24"/>
          <w:highlight w:val="none"/>
          <w:u w:val="single"/>
          <w14:textFill>
            <w14:solidFill>
              <w14:schemeClr w14:val="tx1"/>
            </w14:solidFill>
          </w14:textFill>
        </w:rPr>
        <w:t xml:space="preserve">                     </w:t>
      </w:r>
    </w:p>
    <w:p>
      <w:pPr>
        <w:pStyle w:val="20"/>
        <w:rPr>
          <w:rFonts w:hAnsi="宋体" w:cs="宋体"/>
          <w:color w:val="000000" w:themeColor="text1"/>
          <w:sz w:val="24"/>
          <w:szCs w:val="24"/>
          <w:highlight w:val="none"/>
          <w14:textFill>
            <w14:solidFill>
              <w14:schemeClr w14:val="tx1"/>
            </w14:solidFill>
          </w14:textFill>
        </w:rPr>
      </w:pPr>
    </w:p>
    <w:p>
      <w:pPr>
        <w:pStyle w:val="20"/>
        <w:ind w:firstLine="3360" w:firstLineChars="14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投标日期：</w:t>
      </w:r>
      <w:r>
        <w:rPr>
          <w:rFonts w:hint="eastAsia" w:hAnsi="宋体" w:cs="宋体"/>
          <w:color w:val="000000" w:themeColor="text1"/>
          <w:sz w:val="24"/>
          <w:szCs w:val="24"/>
          <w:highlight w:val="none"/>
          <w:u w:val="single"/>
          <w14:textFill>
            <w14:solidFill>
              <w14:schemeClr w14:val="tx1"/>
            </w14:solidFill>
          </w14:textFill>
        </w:rPr>
        <w:t xml:space="preserve">       年    月    日</w:t>
      </w:r>
    </w:p>
    <w:p>
      <w:pPr>
        <w:rPr>
          <w:rFonts w:ascii="宋体" w:hAnsi="宋体" w:cs="宋体"/>
          <w:color w:val="000000" w:themeColor="text1"/>
          <w:sz w:val="24"/>
          <w:highlight w:val="none"/>
          <w14:textFill>
            <w14:solidFill>
              <w14:schemeClr w14:val="tx1"/>
            </w14:solidFill>
          </w14:textFill>
        </w:rPr>
      </w:pPr>
    </w:p>
    <w:p>
      <w:pPr>
        <w:spacing w:line="500" w:lineRule="exact"/>
        <w:rPr>
          <w:rFonts w:ascii="宋体" w:hAnsi="宋体" w:cs="宋体"/>
          <w:bCs/>
          <w:color w:val="000000" w:themeColor="text1"/>
          <w:sz w:val="24"/>
          <w:highlight w:val="none"/>
          <w14:textFill>
            <w14:solidFill>
              <w14:schemeClr w14:val="tx1"/>
            </w14:solidFill>
          </w14:textFill>
        </w:rPr>
      </w:pPr>
    </w:p>
    <w:p>
      <w:pPr>
        <w:spacing w:line="500" w:lineRule="exact"/>
        <w:rPr>
          <w:rFonts w:ascii="宋体" w:hAnsi="宋体" w:cs="宋体"/>
          <w:bCs/>
          <w:color w:val="000000" w:themeColor="text1"/>
          <w:sz w:val="24"/>
          <w:highlight w:val="none"/>
          <w14:textFill>
            <w14:solidFill>
              <w14:schemeClr w14:val="tx1"/>
            </w14:solidFill>
          </w14:textFill>
        </w:rPr>
      </w:pPr>
    </w:p>
    <w:p>
      <w:pPr>
        <w:spacing w:line="500" w:lineRule="exact"/>
        <w:rPr>
          <w:rFonts w:ascii="宋体" w:hAnsi="宋体" w:cs="宋体"/>
          <w:bCs/>
          <w:color w:val="000000" w:themeColor="text1"/>
          <w:sz w:val="24"/>
          <w:highlight w:val="none"/>
          <w14:textFill>
            <w14:solidFill>
              <w14:schemeClr w14:val="tx1"/>
            </w14:solidFill>
          </w14:textFill>
        </w:rPr>
      </w:pPr>
    </w:p>
    <w:p>
      <w:pPr>
        <w:pStyle w:val="20"/>
        <w:spacing w:line="360" w:lineRule="exact"/>
        <w:ind w:left="620" w:hanging="620" w:hangingChars="294"/>
        <w:rPr>
          <w:rFonts w:hAnsi="宋体" w:cs="宋体"/>
          <w:color w:val="000000" w:themeColor="text1"/>
          <w:szCs w:val="21"/>
          <w:highlight w:val="none"/>
          <w14:textFill>
            <w14:solidFill>
              <w14:schemeClr w14:val="tx1"/>
            </w14:solidFill>
          </w14:textFill>
        </w:rPr>
      </w:pPr>
      <w:r>
        <w:rPr>
          <w:rFonts w:hint="eastAsia" w:hAnsi="宋体" w:cs="宋体"/>
          <w:b/>
          <w:color w:val="000000" w:themeColor="text1"/>
          <w:szCs w:val="21"/>
          <w:highlight w:val="none"/>
          <w14:textFill>
            <w14:solidFill>
              <w14:schemeClr w14:val="tx1"/>
            </w14:solidFill>
          </w14:textFill>
        </w:rPr>
        <w:t>说明：</w:t>
      </w:r>
    </w:p>
    <w:p>
      <w:pPr>
        <w:pStyle w:val="20"/>
        <w:spacing w:line="360" w:lineRule="exact"/>
        <w:ind w:left="617" w:hanging="617" w:hangingChars="294"/>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1、未附法定代表人（负责人）身份证正背面复印件、营业执照正本或副本的复印件（加盖公章）的，证明无效。</w:t>
      </w:r>
    </w:p>
    <w:p>
      <w:pPr>
        <w:pStyle w:val="20"/>
        <w:spacing w:line="360" w:lineRule="exact"/>
        <w:ind w:left="617" w:hanging="617" w:hangingChars="294"/>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2、“法定代表人（负责人）身份证明”除在投标文件须附有，法定代表人（负责人）出席开标会议时，应另外随身携带本“法定代表人（负责人）身份证明”原件一份以及本人身份证原件，以备核查。</w:t>
      </w:r>
    </w:p>
    <w:p>
      <w:pPr>
        <w:pStyle w:val="20"/>
        <w:spacing w:line="300" w:lineRule="exact"/>
        <w:ind w:firstLine="737"/>
        <w:rPr>
          <w:rFonts w:hAnsi="宋体" w:cs="宋体"/>
          <w:color w:val="000000" w:themeColor="text1"/>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br w:type="page"/>
      </w:r>
    </w:p>
    <w:p>
      <w:pPr>
        <w:spacing w:line="400" w:lineRule="exact"/>
        <w:jc w:val="center"/>
        <w:rPr>
          <w:rFonts w:ascii="宋体" w:hAnsi="宋体" w:cs="宋体"/>
          <w:b/>
          <w:color w:val="000000" w:themeColor="text1"/>
          <w:sz w:val="32"/>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法定代表人（负责人）授权委托书</w:t>
      </w:r>
      <w:r>
        <w:rPr>
          <w:rFonts w:hint="eastAsia" w:ascii="宋体" w:hAnsi="宋体" w:cs="宋体"/>
          <w:b/>
          <w:color w:val="000000" w:themeColor="text1"/>
          <w:sz w:val="32"/>
          <w:szCs w:val="32"/>
          <w:highlight w:val="none"/>
          <w14:textFill>
            <w14:solidFill>
              <w14:schemeClr w14:val="tx1"/>
            </w14:solidFill>
          </w14:textFill>
        </w:rPr>
        <w:t>（格式）</w:t>
      </w:r>
    </w:p>
    <w:p>
      <w:pPr>
        <w:pStyle w:val="20"/>
        <w:spacing w:line="460" w:lineRule="exact"/>
        <w:rPr>
          <w:rFonts w:hAnsi="宋体" w:cs="宋体"/>
          <w:color w:val="000000" w:themeColor="text1"/>
          <w:sz w:val="24"/>
          <w:szCs w:val="24"/>
          <w:highlight w:val="none"/>
          <w14:textFill>
            <w14:solidFill>
              <w14:schemeClr w14:val="tx1"/>
            </w14:solidFill>
          </w14:textFill>
        </w:rPr>
      </w:pPr>
    </w:p>
    <w:p>
      <w:pPr>
        <w:pStyle w:val="20"/>
        <w:spacing w:line="460" w:lineRule="exact"/>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致：</w:t>
      </w:r>
      <w:r>
        <w:rPr>
          <w:rFonts w:hint="eastAsia" w:hAnsi="宋体" w:cs="宋体"/>
          <w:color w:val="000000" w:themeColor="text1"/>
          <w:sz w:val="24"/>
          <w:szCs w:val="24"/>
          <w:highlight w:val="none"/>
          <w:u w:val="single"/>
          <w14:textFill>
            <w14:solidFill>
              <w14:schemeClr w14:val="tx1"/>
            </w14:solidFill>
          </w14:textFill>
        </w:rPr>
        <w:t xml:space="preserve">          </w:t>
      </w:r>
      <w:r>
        <w:rPr>
          <w:rFonts w:hint="eastAsia" w:hAnsi="宋体" w:cs="宋体"/>
          <w:color w:val="000000" w:themeColor="text1"/>
          <w:sz w:val="24"/>
          <w:szCs w:val="24"/>
          <w:highlight w:val="none"/>
          <w14:textFill>
            <w14:solidFill>
              <w14:schemeClr w14:val="tx1"/>
            </w14:solidFill>
          </w14:textFill>
        </w:rPr>
        <w:t>（采购代理机构名称）：</w:t>
      </w:r>
    </w:p>
    <w:p>
      <w:pPr>
        <w:pStyle w:val="20"/>
        <w:spacing w:line="460" w:lineRule="exact"/>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本授权委托书声明：我</w:t>
      </w:r>
      <w:r>
        <w:rPr>
          <w:rFonts w:hint="eastAsia" w:hAnsi="宋体" w:cs="宋体"/>
          <w:color w:val="000000" w:themeColor="text1"/>
          <w:sz w:val="24"/>
          <w:szCs w:val="24"/>
          <w:highlight w:val="none"/>
          <w:u w:val="single"/>
          <w14:textFill>
            <w14:solidFill>
              <w14:schemeClr w14:val="tx1"/>
            </w14:solidFill>
          </w14:textFill>
        </w:rPr>
        <w:t xml:space="preserve">          </w:t>
      </w:r>
      <w:r>
        <w:rPr>
          <w:rFonts w:hint="eastAsia" w:hAnsi="宋体" w:cs="宋体"/>
          <w:color w:val="000000" w:themeColor="text1"/>
          <w:sz w:val="24"/>
          <w:szCs w:val="24"/>
          <w:highlight w:val="none"/>
          <w14:textFill>
            <w14:solidFill>
              <w14:schemeClr w14:val="tx1"/>
            </w14:solidFill>
          </w14:textFill>
        </w:rPr>
        <w:t>（姓名）系</w:t>
      </w:r>
      <w:r>
        <w:rPr>
          <w:rFonts w:hint="eastAsia" w:hAnsi="宋体" w:cs="宋体"/>
          <w:color w:val="000000" w:themeColor="text1"/>
          <w:sz w:val="24"/>
          <w:szCs w:val="24"/>
          <w:highlight w:val="none"/>
          <w:u w:val="single"/>
          <w14:textFill>
            <w14:solidFill>
              <w14:schemeClr w14:val="tx1"/>
            </w14:solidFill>
          </w14:textFill>
        </w:rPr>
        <w:t>（投标单位名称）</w:t>
      </w:r>
      <w:r>
        <w:rPr>
          <w:rFonts w:hint="eastAsia" w:hAnsi="宋体" w:cs="宋体"/>
          <w:color w:val="000000" w:themeColor="text1"/>
          <w:sz w:val="24"/>
          <w:szCs w:val="24"/>
          <w:highlight w:val="none"/>
          <w14:textFill>
            <w14:solidFill>
              <w14:schemeClr w14:val="tx1"/>
            </w14:solidFill>
          </w14:textFill>
        </w:rPr>
        <w:t>的法定代表人（负责人），现授权委托本单位在职职工</w:t>
      </w:r>
      <w:r>
        <w:rPr>
          <w:rFonts w:hint="eastAsia" w:hAnsi="宋体" w:cs="宋体"/>
          <w:color w:val="000000" w:themeColor="text1"/>
          <w:sz w:val="24"/>
          <w:szCs w:val="24"/>
          <w:highlight w:val="none"/>
          <w:u w:val="single"/>
          <w14:textFill>
            <w14:solidFill>
              <w14:schemeClr w14:val="tx1"/>
            </w14:solidFill>
          </w14:textFill>
        </w:rPr>
        <w:t>（姓名）</w:t>
      </w:r>
      <w:r>
        <w:rPr>
          <w:rFonts w:hint="eastAsia" w:hAnsi="宋体" w:cs="宋体"/>
          <w:color w:val="000000" w:themeColor="text1"/>
          <w:sz w:val="24"/>
          <w:szCs w:val="24"/>
          <w:highlight w:val="none"/>
          <w14:textFill>
            <w14:solidFill>
              <w14:schemeClr w14:val="tx1"/>
            </w14:solidFill>
          </w14:textFill>
        </w:rPr>
        <w:t>为我公司被授权人，以我方的名义参加</w:t>
      </w:r>
      <w:r>
        <w:rPr>
          <w:rFonts w:hint="eastAsia" w:hAnsi="宋体" w:cs="宋体"/>
          <w:color w:val="000000" w:themeColor="text1"/>
          <w:sz w:val="24"/>
          <w:szCs w:val="24"/>
          <w:highlight w:val="none"/>
          <w:u w:val="single"/>
          <w14:textFill>
            <w14:solidFill>
              <w14:schemeClr w14:val="tx1"/>
            </w14:solidFill>
          </w14:textFill>
        </w:rPr>
        <w:t>（</w:t>
      </w:r>
      <w:r>
        <w:rPr>
          <w:rFonts w:hint="eastAsia" w:hAnsi="宋体" w:cs="宋体"/>
          <w:bCs/>
          <w:color w:val="000000" w:themeColor="text1"/>
          <w:sz w:val="24"/>
          <w:szCs w:val="24"/>
          <w:highlight w:val="none"/>
          <w:u w:val="single"/>
          <w14:textFill>
            <w14:solidFill>
              <w14:schemeClr w14:val="tx1"/>
            </w14:solidFill>
          </w14:textFill>
        </w:rPr>
        <w:t>项目名称+项目编号）</w:t>
      </w:r>
      <w:r>
        <w:rPr>
          <w:rFonts w:hint="eastAsia" w:hAnsi="宋体" w:cs="宋体"/>
          <w:color w:val="000000" w:themeColor="text1"/>
          <w:sz w:val="24"/>
          <w:szCs w:val="24"/>
          <w:highlight w:val="none"/>
          <w14:textFill>
            <w14:solidFill>
              <w14:schemeClr w14:val="tx1"/>
            </w14:solidFill>
          </w14:textFill>
        </w:rPr>
        <w:t>的政府采购活动，并代表我方全权办理上述项目的投标、开标、评标、签约等具体事务和签署相关文件。</w:t>
      </w:r>
    </w:p>
    <w:p>
      <w:pPr>
        <w:pStyle w:val="20"/>
        <w:spacing w:line="460" w:lineRule="exact"/>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我方对被授权人的签名事项负全部责任。</w:t>
      </w:r>
    </w:p>
    <w:p>
      <w:pPr>
        <w:pStyle w:val="20"/>
        <w:spacing w:line="460" w:lineRule="exact"/>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被授权人在授权委托书有效期内签署的所有文件不因授权委托的撤销而失效，除非有撤销授权委托的书面通知，本授权委托书自投标开始至合同履行完毕止。</w:t>
      </w:r>
    </w:p>
    <w:p>
      <w:pPr>
        <w:pStyle w:val="20"/>
        <w:spacing w:line="460" w:lineRule="exact"/>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被授权人无转委托权。特此委托。</w:t>
      </w:r>
    </w:p>
    <w:p>
      <w:pPr>
        <w:snapToGrid w:val="0"/>
        <w:spacing w:line="500" w:lineRule="exact"/>
        <w:rPr>
          <w:rFonts w:ascii="宋体" w:hAnsi="宋体" w:cs="宋体"/>
          <w:color w:val="000000" w:themeColor="text1"/>
          <w:sz w:val="24"/>
          <w:highlight w:val="none"/>
          <w14:textFill>
            <w14:solidFill>
              <w14:schemeClr w14:val="tx1"/>
            </w14:solidFill>
          </w14:textFill>
        </w:rPr>
      </w:pPr>
    </w:p>
    <w:p>
      <w:pPr>
        <w:tabs>
          <w:tab w:val="left" w:pos="5040"/>
        </w:tabs>
        <w:snapToGrid w:val="0"/>
        <w:spacing w:line="5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法定代表人（负责人）签字或盖章：</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ab/>
      </w:r>
      <w:r>
        <w:rPr>
          <w:rFonts w:hint="eastAsia" w:ascii="宋体" w:hAnsi="宋体" w:cs="宋体"/>
          <w:color w:val="000000" w:themeColor="text1"/>
          <w:sz w:val="24"/>
          <w:highlight w:val="none"/>
          <w14:textFill>
            <w14:solidFill>
              <w14:schemeClr w14:val="tx1"/>
            </w14:solidFill>
          </w14:textFill>
        </w:rPr>
        <w:t>被授权人签字或盖章：</w:t>
      </w:r>
      <w:r>
        <w:rPr>
          <w:rFonts w:hint="eastAsia" w:ascii="宋体" w:hAnsi="宋体" w:cs="宋体"/>
          <w:color w:val="000000" w:themeColor="text1"/>
          <w:sz w:val="24"/>
          <w:highlight w:val="none"/>
          <w:u w:val="single"/>
          <w14:textFill>
            <w14:solidFill>
              <w14:schemeClr w14:val="tx1"/>
            </w14:solidFill>
          </w14:textFill>
        </w:rPr>
        <w:t xml:space="preserve">         </w:t>
      </w:r>
    </w:p>
    <w:p>
      <w:pPr>
        <w:tabs>
          <w:tab w:val="left" w:pos="5040"/>
        </w:tabs>
        <w:snapToGrid w:val="0"/>
        <w:spacing w:line="5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职务：</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ab/>
      </w:r>
      <w:r>
        <w:rPr>
          <w:rFonts w:hint="eastAsia" w:ascii="宋体" w:hAnsi="宋体" w:cs="宋体"/>
          <w:color w:val="000000" w:themeColor="text1"/>
          <w:sz w:val="24"/>
          <w:highlight w:val="none"/>
          <w14:textFill>
            <w14:solidFill>
              <w14:schemeClr w14:val="tx1"/>
            </w14:solidFill>
          </w14:textFill>
        </w:rPr>
        <w:t>职务：</w:t>
      </w:r>
      <w:r>
        <w:rPr>
          <w:rFonts w:hint="eastAsia" w:ascii="宋体" w:hAnsi="宋体" w:cs="宋体"/>
          <w:color w:val="000000" w:themeColor="text1"/>
          <w:sz w:val="24"/>
          <w:highlight w:val="none"/>
          <w:u w:val="single"/>
          <w14:textFill>
            <w14:solidFill>
              <w14:schemeClr w14:val="tx1"/>
            </w14:solidFill>
          </w14:textFill>
        </w:rPr>
        <w:t xml:space="preserve">                              </w:t>
      </w:r>
    </w:p>
    <w:p>
      <w:pPr>
        <w:tabs>
          <w:tab w:val="left" w:pos="5040"/>
        </w:tabs>
        <w:snapToGrid w:val="0"/>
        <w:spacing w:line="5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授权人身份证号码：</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ab/>
      </w:r>
      <w:r>
        <w:rPr>
          <w:rFonts w:hint="eastAsia" w:ascii="宋体" w:hAnsi="宋体" w:cs="宋体"/>
          <w:color w:val="000000" w:themeColor="text1"/>
          <w:sz w:val="24"/>
          <w:highlight w:val="none"/>
          <w14:textFill>
            <w14:solidFill>
              <w14:schemeClr w14:val="tx1"/>
            </w14:solidFill>
          </w14:textFill>
        </w:rPr>
        <w:t>被授权人身份证号码：</w:t>
      </w:r>
      <w:r>
        <w:rPr>
          <w:rFonts w:hint="eastAsia" w:ascii="宋体" w:hAnsi="宋体" w:cs="宋体"/>
          <w:color w:val="000000" w:themeColor="text1"/>
          <w:sz w:val="24"/>
          <w:highlight w:val="none"/>
          <w:u w:val="single"/>
          <w14:textFill>
            <w14:solidFill>
              <w14:schemeClr w14:val="tx1"/>
            </w14:solidFill>
          </w14:textFill>
        </w:rPr>
        <w:t xml:space="preserve">                </w:t>
      </w:r>
    </w:p>
    <w:p>
      <w:pPr>
        <w:pStyle w:val="20"/>
        <w:spacing w:line="500" w:lineRule="exact"/>
        <w:rPr>
          <w:rFonts w:hAnsi="宋体" w:cs="宋体"/>
          <w:color w:val="000000" w:themeColor="text1"/>
          <w:sz w:val="24"/>
          <w:szCs w:val="24"/>
          <w:highlight w:val="none"/>
          <w14:textFill>
            <w14:solidFill>
              <w14:schemeClr w14:val="tx1"/>
            </w14:solidFill>
          </w14:textFill>
        </w:rPr>
      </w:pPr>
    </w:p>
    <w:p>
      <w:pPr>
        <w:pStyle w:val="20"/>
        <w:spacing w:line="400" w:lineRule="exact"/>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附：法定代表人（负责人）身份证正背面复印件、委托代理人身份证正背面复印件（加盖公章）。</w:t>
      </w:r>
    </w:p>
    <w:p>
      <w:pPr>
        <w:pStyle w:val="20"/>
        <w:spacing w:line="400" w:lineRule="exact"/>
        <w:rPr>
          <w:rFonts w:hAnsi="宋体" w:cs="宋体"/>
          <w:color w:val="000000" w:themeColor="text1"/>
          <w:sz w:val="24"/>
          <w:szCs w:val="24"/>
          <w:highlight w:val="none"/>
          <w14:textFill>
            <w14:solidFill>
              <w14:schemeClr w14:val="tx1"/>
            </w14:solidFill>
          </w14:textFill>
        </w:rPr>
      </w:pPr>
    </w:p>
    <w:p>
      <w:pPr>
        <w:pStyle w:val="20"/>
        <w:spacing w:line="400" w:lineRule="exact"/>
        <w:rPr>
          <w:rFonts w:hAnsi="宋体" w:cs="宋体"/>
          <w:color w:val="000000" w:themeColor="text1"/>
          <w:sz w:val="24"/>
          <w:szCs w:val="24"/>
          <w:highlight w:val="none"/>
          <w14:textFill>
            <w14:solidFill>
              <w14:schemeClr w14:val="tx1"/>
            </w14:solidFill>
          </w14:textFill>
        </w:rPr>
      </w:pPr>
    </w:p>
    <w:p>
      <w:pPr>
        <w:pStyle w:val="20"/>
        <w:rPr>
          <w:rFonts w:hAnsi="宋体" w:cs="宋体"/>
          <w:bCs/>
          <w:color w:val="000000" w:themeColor="text1"/>
          <w:sz w:val="24"/>
          <w:szCs w:val="24"/>
          <w:highlight w:val="none"/>
          <w14:textFill>
            <w14:solidFill>
              <w14:schemeClr w14:val="tx1"/>
            </w14:solidFill>
          </w14:textFill>
        </w:rPr>
      </w:pPr>
    </w:p>
    <w:p>
      <w:pPr>
        <w:pStyle w:val="20"/>
        <w:ind w:firstLine="3360" w:firstLineChars="1400"/>
        <w:rPr>
          <w:rFonts w:hAnsi="宋体" w:cs="宋体"/>
          <w:color w:val="000000" w:themeColor="text1"/>
          <w:sz w:val="24"/>
          <w:szCs w:val="24"/>
          <w:highlight w:val="none"/>
          <w:u w:val="singl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投标人（加盖公章）：</w:t>
      </w:r>
      <w:r>
        <w:rPr>
          <w:rFonts w:hint="eastAsia" w:hAnsi="宋体" w:cs="宋体"/>
          <w:color w:val="000000" w:themeColor="text1"/>
          <w:sz w:val="24"/>
          <w:szCs w:val="24"/>
          <w:highlight w:val="none"/>
          <w:u w:val="single"/>
          <w14:textFill>
            <w14:solidFill>
              <w14:schemeClr w14:val="tx1"/>
            </w14:solidFill>
          </w14:textFill>
        </w:rPr>
        <w:t xml:space="preserve">                         </w:t>
      </w:r>
    </w:p>
    <w:p>
      <w:pPr>
        <w:pStyle w:val="20"/>
        <w:rPr>
          <w:rFonts w:hint="eastAsia" w:hAnsi="宋体" w:eastAsia="宋体" w:cs="宋体"/>
          <w:color w:val="000000" w:themeColor="text1"/>
          <w:sz w:val="24"/>
          <w:szCs w:val="24"/>
          <w:highlight w:val="none"/>
          <w:lang w:val="en-US" w:eastAsia="zh-CN"/>
          <w14:textFill>
            <w14:solidFill>
              <w14:schemeClr w14:val="tx1"/>
            </w14:solidFill>
          </w14:textFill>
        </w:rPr>
      </w:pPr>
      <w:r>
        <w:rPr>
          <w:rFonts w:hint="eastAsia" w:hAnsi="宋体" w:cs="宋体"/>
          <w:color w:val="000000" w:themeColor="text1"/>
          <w:sz w:val="24"/>
          <w:szCs w:val="24"/>
          <w:highlight w:val="none"/>
          <w:lang w:val="en-US" w:eastAsia="zh-CN"/>
          <w14:textFill>
            <w14:solidFill>
              <w14:schemeClr w14:val="tx1"/>
            </w14:solidFill>
          </w14:textFill>
        </w:rPr>
        <w:t xml:space="preserve"> </w:t>
      </w:r>
    </w:p>
    <w:p>
      <w:pPr>
        <w:pStyle w:val="20"/>
        <w:ind w:firstLine="3360" w:firstLineChars="14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投标日期：</w:t>
      </w:r>
      <w:r>
        <w:rPr>
          <w:rFonts w:hint="eastAsia" w:hAnsi="宋体" w:cs="宋体"/>
          <w:color w:val="000000" w:themeColor="text1"/>
          <w:sz w:val="24"/>
          <w:szCs w:val="24"/>
          <w:highlight w:val="none"/>
          <w:u w:val="single"/>
          <w14:textFill>
            <w14:solidFill>
              <w14:schemeClr w14:val="tx1"/>
            </w14:solidFill>
          </w14:textFill>
        </w:rPr>
        <w:t xml:space="preserve">                        </w:t>
      </w:r>
      <w:r>
        <w:rPr>
          <w:rFonts w:hint="eastAsia" w:hAnsi="宋体" w:cs="宋体"/>
          <w:color w:val="000000" w:themeColor="text1"/>
          <w:sz w:val="24"/>
          <w:szCs w:val="24"/>
          <w:highlight w:val="none"/>
          <w:u w:val="single"/>
          <w:lang w:val="en-US" w:eastAsia="zh-CN"/>
          <w14:textFill>
            <w14:solidFill>
              <w14:schemeClr w14:val="tx1"/>
            </w14:solidFill>
          </w14:textFill>
        </w:rPr>
        <w:t xml:space="preserve"> </w:t>
      </w:r>
      <w:r>
        <w:rPr>
          <w:rFonts w:hint="eastAsia" w:hAnsi="宋体" w:cs="宋体"/>
          <w:color w:val="000000" w:themeColor="text1"/>
          <w:sz w:val="24"/>
          <w:szCs w:val="24"/>
          <w:highlight w:val="none"/>
          <w:u w:val="single"/>
          <w14:textFill>
            <w14:solidFill>
              <w14:schemeClr w14:val="tx1"/>
            </w14:solidFill>
          </w14:textFill>
        </w:rPr>
        <w:t xml:space="preserve">          </w:t>
      </w:r>
    </w:p>
    <w:p>
      <w:pPr>
        <w:rPr>
          <w:rFonts w:ascii="宋体" w:hAnsi="宋体" w:cs="宋体"/>
          <w:color w:val="000000" w:themeColor="text1"/>
          <w:sz w:val="24"/>
          <w:highlight w:val="none"/>
          <w14:textFill>
            <w14:solidFill>
              <w14:schemeClr w14:val="tx1"/>
            </w14:solidFill>
          </w14:textFill>
        </w:rPr>
      </w:pPr>
    </w:p>
    <w:p>
      <w:pPr>
        <w:pStyle w:val="20"/>
        <w:spacing w:line="400" w:lineRule="exact"/>
        <w:rPr>
          <w:rFonts w:hAnsi="宋体" w:cs="宋体"/>
          <w:color w:val="000000" w:themeColor="text1"/>
          <w:sz w:val="24"/>
          <w:szCs w:val="24"/>
          <w:highlight w:val="none"/>
          <w14:textFill>
            <w14:solidFill>
              <w14:schemeClr w14:val="tx1"/>
            </w14:solidFill>
          </w14:textFill>
        </w:rPr>
      </w:pPr>
    </w:p>
    <w:p>
      <w:pPr>
        <w:pStyle w:val="20"/>
        <w:spacing w:line="400" w:lineRule="exact"/>
        <w:rPr>
          <w:rFonts w:hAnsi="宋体" w:cs="宋体"/>
          <w:color w:val="000000" w:themeColor="text1"/>
          <w:sz w:val="24"/>
          <w:szCs w:val="24"/>
          <w:highlight w:val="none"/>
          <w14:textFill>
            <w14:solidFill>
              <w14:schemeClr w14:val="tx1"/>
            </w14:solidFill>
          </w14:textFill>
        </w:rPr>
      </w:pPr>
    </w:p>
    <w:p>
      <w:pPr>
        <w:pStyle w:val="20"/>
        <w:spacing w:line="400" w:lineRule="exact"/>
        <w:rPr>
          <w:rFonts w:hAnsi="宋体" w:cs="宋体"/>
          <w:color w:val="000000" w:themeColor="text1"/>
          <w:sz w:val="24"/>
          <w:szCs w:val="24"/>
          <w:highlight w:val="none"/>
          <w14:textFill>
            <w14:solidFill>
              <w14:schemeClr w14:val="tx1"/>
            </w14:solidFill>
          </w14:textFill>
        </w:rPr>
      </w:pPr>
    </w:p>
    <w:p>
      <w:pPr>
        <w:pStyle w:val="20"/>
        <w:spacing w:line="360" w:lineRule="exact"/>
        <w:ind w:left="620" w:hanging="620" w:hangingChars="294"/>
        <w:rPr>
          <w:rFonts w:hAnsi="宋体" w:cs="宋体"/>
          <w:b/>
          <w:color w:val="000000" w:themeColor="text1"/>
          <w:szCs w:val="21"/>
          <w:highlight w:val="none"/>
          <w14:textFill>
            <w14:solidFill>
              <w14:schemeClr w14:val="tx1"/>
            </w14:solidFill>
          </w14:textFill>
        </w:rPr>
      </w:pPr>
      <w:r>
        <w:rPr>
          <w:rFonts w:hint="eastAsia" w:hAnsi="宋体" w:cs="宋体"/>
          <w:b/>
          <w:color w:val="000000" w:themeColor="text1"/>
          <w:szCs w:val="21"/>
          <w:highlight w:val="none"/>
          <w14:textFill>
            <w14:solidFill>
              <w14:schemeClr w14:val="tx1"/>
            </w14:solidFill>
          </w14:textFill>
        </w:rPr>
        <w:t>说明：</w:t>
      </w:r>
    </w:p>
    <w:p>
      <w:pPr>
        <w:pStyle w:val="20"/>
        <w:spacing w:line="360" w:lineRule="exact"/>
        <w:ind w:left="617" w:hanging="617" w:hangingChars="294"/>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1、未附法定代表人（负责人）身份证正背面复印件、委托代理人身份证正背面复印件（加盖公章）的，授权委托书无效。</w:t>
      </w:r>
    </w:p>
    <w:p>
      <w:pPr>
        <w:pStyle w:val="20"/>
        <w:spacing w:line="360" w:lineRule="exact"/>
        <w:ind w:left="617" w:hanging="617" w:hangingChars="294"/>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2、“法定代表人（负责人）授权委托书”除在投标文件须附有，授权委托代理人出席开标会议时，应另外随身携带本“法定代表人（负责人）授权委托书”原件一份以及本人身份证原件，以备核查。</w:t>
      </w:r>
    </w:p>
    <w:p>
      <w:pPr>
        <w:spacing w:line="300" w:lineRule="exact"/>
        <w:ind w:left="360" w:hanging="360" w:hangingChars="15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br w:type="page"/>
      </w:r>
    </w:p>
    <w:p>
      <w:pPr>
        <w:spacing w:line="320" w:lineRule="exact"/>
        <w:ind w:left="315" w:hanging="315" w:hangingChars="150"/>
        <w:rPr>
          <w:rFonts w:ascii="宋体" w:hAnsi="宋体" w:cs="宋体"/>
          <w:bCs/>
          <w:color w:val="000000" w:themeColor="text1"/>
          <w:highlight w:val="none"/>
          <w14:textFill>
            <w14:solidFill>
              <w14:schemeClr w14:val="tx1"/>
            </w14:solidFill>
          </w14:textFill>
        </w:rPr>
      </w:pPr>
    </w:p>
    <w:p>
      <w:pPr>
        <w:pStyle w:val="20"/>
        <w:jc w:val="center"/>
        <w:rPr>
          <w:rFonts w:hAnsi="宋体" w:cs="宋体"/>
          <w:b/>
          <w:color w:val="000000" w:themeColor="text1"/>
          <w:sz w:val="32"/>
          <w:highlight w:val="none"/>
          <w14:textFill>
            <w14:solidFill>
              <w14:schemeClr w14:val="tx1"/>
            </w14:solidFill>
          </w14:textFill>
        </w:rPr>
      </w:pPr>
      <w:r>
        <w:rPr>
          <w:rFonts w:hint="eastAsia" w:hAnsi="宋体" w:cs="宋体"/>
          <w:b/>
          <w:color w:val="000000" w:themeColor="text1"/>
          <w:sz w:val="32"/>
          <w:highlight w:val="none"/>
          <w14:textFill>
            <w14:solidFill>
              <w14:schemeClr w14:val="tx1"/>
            </w14:solidFill>
          </w14:textFill>
        </w:rPr>
        <w:t>商务条款响应表（格式）</w:t>
      </w:r>
    </w:p>
    <w:p>
      <w:pPr>
        <w:pStyle w:val="20"/>
        <w:ind w:firstLine="3373" w:firstLineChars="1200"/>
        <w:rPr>
          <w:rFonts w:hAnsi="宋体" w:cs="宋体"/>
          <w:b/>
          <w:color w:val="000000" w:themeColor="text1"/>
          <w:sz w:val="28"/>
          <w:szCs w:val="28"/>
          <w:highlight w:val="none"/>
          <w14:textFill>
            <w14:solidFill>
              <w14:schemeClr w14:val="tx1"/>
            </w14:solidFill>
          </w14:textFill>
        </w:rPr>
      </w:pPr>
      <w:r>
        <w:rPr>
          <w:rFonts w:hint="eastAsia" w:hAnsi="宋体" w:cs="宋体"/>
          <w:b/>
          <w:color w:val="000000" w:themeColor="text1"/>
          <w:sz w:val="28"/>
          <w:szCs w:val="28"/>
          <w:highlight w:val="none"/>
          <w14:textFill>
            <w14:solidFill>
              <w14:schemeClr w14:val="tx1"/>
            </w14:solidFill>
          </w14:textFill>
        </w:rPr>
        <w:t>一般商务条款响应表</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5830"/>
        <w:gridCol w:w="1119"/>
        <w:gridCol w:w="1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1" w:type="dxa"/>
            <w:vAlign w:val="center"/>
          </w:tcPr>
          <w:p>
            <w:pPr>
              <w:snapToGrid w:val="0"/>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序号</w:t>
            </w:r>
          </w:p>
        </w:tc>
        <w:tc>
          <w:tcPr>
            <w:tcW w:w="5830" w:type="dxa"/>
            <w:vAlign w:val="center"/>
          </w:tcPr>
          <w:p>
            <w:pPr>
              <w:snapToGrid w:val="0"/>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商务条款要求</w:t>
            </w:r>
          </w:p>
        </w:tc>
        <w:tc>
          <w:tcPr>
            <w:tcW w:w="1119" w:type="dxa"/>
            <w:vAlign w:val="center"/>
          </w:tcPr>
          <w:p>
            <w:pPr>
              <w:snapToGrid w:val="0"/>
              <w:ind w:left="-105" w:leftChars="-50" w:right="-105" w:rightChars="-50"/>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是否响应</w:t>
            </w:r>
          </w:p>
        </w:tc>
        <w:tc>
          <w:tcPr>
            <w:tcW w:w="1723" w:type="dxa"/>
            <w:vAlign w:val="center"/>
          </w:tcPr>
          <w:p>
            <w:pPr>
              <w:snapToGrid w:val="0"/>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1" w:type="dxa"/>
            <w:vAlign w:val="center"/>
          </w:tcPr>
          <w:p>
            <w:pPr>
              <w:snapToGrid w:val="0"/>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5830" w:type="dxa"/>
            <w:vAlign w:val="center"/>
          </w:tcPr>
          <w:p>
            <w:pPr>
              <w:snapToGrid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完全理解并接受合同条款要求</w:t>
            </w:r>
          </w:p>
        </w:tc>
        <w:tc>
          <w:tcPr>
            <w:tcW w:w="1119" w:type="dxa"/>
            <w:vAlign w:val="center"/>
          </w:tcPr>
          <w:p>
            <w:pPr>
              <w:pStyle w:val="186"/>
              <w:keepNext w:val="0"/>
              <w:adjustRightInd/>
              <w:snapToGrid w:val="0"/>
              <w:spacing w:before="0" w:after="0" w:line="240" w:lineRule="auto"/>
              <w:textAlignment w:val="auto"/>
              <w:rPr>
                <w:rFonts w:ascii="宋体" w:hAnsi="宋体" w:cs="宋体"/>
                <w:color w:val="000000" w:themeColor="text1"/>
                <w:spacing w:val="0"/>
                <w:kern w:val="2"/>
                <w:highlight w:val="none"/>
                <w14:textFill>
                  <w14:solidFill>
                    <w14:schemeClr w14:val="tx1"/>
                  </w14:solidFill>
                </w14:textFill>
              </w:rPr>
            </w:pPr>
          </w:p>
        </w:tc>
        <w:tc>
          <w:tcPr>
            <w:tcW w:w="1723" w:type="dxa"/>
            <w:vAlign w:val="center"/>
          </w:tcPr>
          <w:p>
            <w:pPr>
              <w:snapToGrid w:val="0"/>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1" w:type="dxa"/>
            <w:vAlign w:val="center"/>
          </w:tcPr>
          <w:p>
            <w:pPr>
              <w:snapToGrid w:val="0"/>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5830" w:type="dxa"/>
            <w:vAlign w:val="center"/>
          </w:tcPr>
          <w:p>
            <w:pPr>
              <w:snapToGrid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完全理解并接受对合格投标人、合格的货物、工程和服务要求</w:t>
            </w:r>
          </w:p>
        </w:tc>
        <w:tc>
          <w:tcPr>
            <w:tcW w:w="1119" w:type="dxa"/>
            <w:vAlign w:val="center"/>
          </w:tcPr>
          <w:p>
            <w:pPr>
              <w:pStyle w:val="186"/>
              <w:keepNext w:val="0"/>
              <w:adjustRightInd/>
              <w:snapToGrid w:val="0"/>
              <w:spacing w:before="0" w:after="0" w:line="240" w:lineRule="auto"/>
              <w:textAlignment w:val="auto"/>
              <w:rPr>
                <w:rFonts w:ascii="宋体" w:hAnsi="宋体" w:cs="宋体"/>
                <w:color w:val="000000" w:themeColor="text1"/>
                <w:spacing w:val="0"/>
                <w:kern w:val="2"/>
                <w:highlight w:val="none"/>
                <w14:textFill>
                  <w14:solidFill>
                    <w14:schemeClr w14:val="tx1"/>
                  </w14:solidFill>
                </w14:textFill>
              </w:rPr>
            </w:pPr>
          </w:p>
        </w:tc>
        <w:tc>
          <w:tcPr>
            <w:tcW w:w="1723" w:type="dxa"/>
            <w:vAlign w:val="center"/>
          </w:tcPr>
          <w:p>
            <w:pPr>
              <w:snapToGrid w:val="0"/>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1" w:type="dxa"/>
            <w:vAlign w:val="center"/>
          </w:tcPr>
          <w:p>
            <w:pPr>
              <w:snapToGrid w:val="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5830" w:type="dxa"/>
            <w:vAlign w:val="center"/>
          </w:tcPr>
          <w:p>
            <w:pPr>
              <w:snapToGrid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完全理解并接受对投标人的各项须知、规约要求和责任义务</w:t>
            </w:r>
          </w:p>
        </w:tc>
        <w:tc>
          <w:tcPr>
            <w:tcW w:w="1119" w:type="dxa"/>
            <w:vAlign w:val="center"/>
          </w:tcPr>
          <w:p>
            <w:pPr>
              <w:snapToGrid w:val="0"/>
              <w:jc w:val="center"/>
              <w:rPr>
                <w:rFonts w:ascii="宋体" w:hAnsi="宋体" w:cs="宋体"/>
                <w:color w:val="000000" w:themeColor="text1"/>
                <w:sz w:val="24"/>
                <w:highlight w:val="none"/>
                <w14:textFill>
                  <w14:solidFill>
                    <w14:schemeClr w14:val="tx1"/>
                  </w14:solidFill>
                </w14:textFill>
              </w:rPr>
            </w:pPr>
          </w:p>
        </w:tc>
        <w:tc>
          <w:tcPr>
            <w:tcW w:w="1723" w:type="dxa"/>
            <w:vAlign w:val="center"/>
          </w:tcPr>
          <w:p>
            <w:pPr>
              <w:snapToGrid w:val="0"/>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1" w:type="dxa"/>
            <w:vAlign w:val="center"/>
          </w:tcPr>
          <w:p>
            <w:pPr>
              <w:snapToGrid w:val="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w:t>
            </w:r>
          </w:p>
        </w:tc>
        <w:tc>
          <w:tcPr>
            <w:tcW w:w="5830" w:type="dxa"/>
            <w:vAlign w:val="center"/>
          </w:tcPr>
          <w:p>
            <w:pPr>
              <w:pStyle w:val="20"/>
              <w:snapToGrid w:val="0"/>
              <w:ind w:left="2"/>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投标有效期：投标截止日期后60天。</w:t>
            </w:r>
          </w:p>
          <w:p>
            <w:pPr>
              <w:pStyle w:val="20"/>
              <w:snapToGrid w:val="0"/>
              <w:ind w:left="2"/>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[注：投标保证金有效期应比投标有效期延长25日。]</w:t>
            </w:r>
          </w:p>
        </w:tc>
        <w:tc>
          <w:tcPr>
            <w:tcW w:w="1119" w:type="dxa"/>
            <w:vAlign w:val="center"/>
          </w:tcPr>
          <w:p>
            <w:pPr>
              <w:snapToGrid w:val="0"/>
              <w:jc w:val="center"/>
              <w:rPr>
                <w:rFonts w:ascii="宋体" w:hAnsi="宋体" w:cs="宋体"/>
                <w:color w:val="000000" w:themeColor="text1"/>
                <w:sz w:val="24"/>
                <w:highlight w:val="none"/>
                <w14:textFill>
                  <w14:solidFill>
                    <w14:schemeClr w14:val="tx1"/>
                  </w14:solidFill>
                </w14:textFill>
              </w:rPr>
            </w:pPr>
          </w:p>
        </w:tc>
        <w:tc>
          <w:tcPr>
            <w:tcW w:w="1723" w:type="dxa"/>
            <w:vAlign w:val="center"/>
          </w:tcPr>
          <w:p>
            <w:pPr>
              <w:snapToGrid w:val="0"/>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1" w:type="dxa"/>
            <w:vAlign w:val="center"/>
          </w:tcPr>
          <w:p>
            <w:pPr>
              <w:snapToGrid w:val="0"/>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w:t>
            </w:r>
          </w:p>
        </w:tc>
        <w:tc>
          <w:tcPr>
            <w:tcW w:w="5830" w:type="dxa"/>
            <w:vAlign w:val="center"/>
          </w:tcPr>
          <w:p>
            <w:pPr>
              <w:snapToGrid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报价内容均涵盖报价要求之一切费用和伴随服务</w:t>
            </w:r>
          </w:p>
        </w:tc>
        <w:tc>
          <w:tcPr>
            <w:tcW w:w="1119" w:type="dxa"/>
            <w:vAlign w:val="center"/>
          </w:tcPr>
          <w:p>
            <w:pPr>
              <w:snapToGrid w:val="0"/>
              <w:jc w:val="center"/>
              <w:rPr>
                <w:rFonts w:ascii="宋体" w:hAnsi="宋体" w:cs="宋体"/>
                <w:color w:val="000000" w:themeColor="text1"/>
                <w:sz w:val="24"/>
                <w:highlight w:val="none"/>
                <w14:textFill>
                  <w14:solidFill>
                    <w14:schemeClr w14:val="tx1"/>
                  </w14:solidFill>
                </w14:textFill>
              </w:rPr>
            </w:pPr>
          </w:p>
        </w:tc>
        <w:tc>
          <w:tcPr>
            <w:tcW w:w="1723" w:type="dxa"/>
            <w:vAlign w:val="center"/>
          </w:tcPr>
          <w:p>
            <w:pPr>
              <w:pStyle w:val="186"/>
              <w:keepNext w:val="0"/>
              <w:adjustRightInd/>
              <w:snapToGrid w:val="0"/>
              <w:spacing w:before="0" w:after="0" w:line="240" w:lineRule="auto"/>
              <w:textAlignment w:val="auto"/>
              <w:rPr>
                <w:rFonts w:ascii="宋体" w:hAnsi="宋体" w:cs="宋体"/>
                <w:color w:val="000000" w:themeColor="text1"/>
                <w:spacing w:val="0"/>
                <w:kern w:val="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1" w:type="dxa"/>
            <w:vAlign w:val="center"/>
          </w:tcPr>
          <w:p>
            <w:pPr>
              <w:snapToGrid w:val="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w:t>
            </w:r>
          </w:p>
        </w:tc>
        <w:tc>
          <w:tcPr>
            <w:tcW w:w="5830" w:type="dxa"/>
            <w:vAlign w:val="center"/>
          </w:tcPr>
          <w:p>
            <w:pPr>
              <w:snapToGrid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所提供的报价不高于本公司目前的报价水平</w:t>
            </w:r>
          </w:p>
        </w:tc>
        <w:tc>
          <w:tcPr>
            <w:tcW w:w="1119" w:type="dxa"/>
            <w:vAlign w:val="center"/>
          </w:tcPr>
          <w:p>
            <w:pPr>
              <w:snapToGrid w:val="0"/>
              <w:jc w:val="center"/>
              <w:rPr>
                <w:rFonts w:ascii="宋体" w:hAnsi="宋体" w:cs="宋体"/>
                <w:color w:val="000000" w:themeColor="text1"/>
                <w:sz w:val="24"/>
                <w:highlight w:val="none"/>
                <w14:textFill>
                  <w14:solidFill>
                    <w14:schemeClr w14:val="tx1"/>
                  </w14:solidFill>
                </w14:textFill>
              </w:rPr>
            </w:pPr>
          </w:p>
        </w:tc>
        <w:tc>
          <w:tcPr>
            <w:tcW w:w="1723" w:type="dxa"/>
            <w:vAlign w:val="center"/>
          </w:tcPr>
          <w:p>
            <w:pPr>
              <w:snapToGrid w:val="0"/>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1" w:type="dxa"/>
            <w:vAlign w:val="center"/>
          </w:tcPr>
          <w:p>
            <w:pPr>
              <w:snapToGrid w:val="0"/>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w:t>
            </w:r>
          </w:p>
        </w:tc>
        <w:tc>
          <w:tcPr>
            <w:tcW w:w="5830" w:type="dxa"/>
            <w:vAlign w:val="center"/>
          </w:tcPr>
          <w:p>
            <w:pPr>
              <w:snapToGrid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交货时间（安装、调试、培训完</w:t>
            </w:r>
            <w:r>
              <w:rPr>
                <w:rFonts w:hint="eastAsia" w:ascii="宋体" w:hAnsi="宋体" w:cs="宋体"/>
                <w:color w:val="000000" w:themeColor="text1"/>
                <w:szCs w:val="21"/>
                <w:highlight w:val="none"/>
                <w14:textFill>
                  <w14:solidFill>
                    <w14:schemeClr w14:val="tx1"/>
                  </w14:solidFill>
                </w14:textFill>
              </w:rPr>
              <w:t>）</w:t>
            </w:r>
          </w:p>
        </w:tc>
        <w:tc>
          <w:tcPr>
            <w:tcW w:w="1119" w:type="dxa"/>
            <w:vAlign w:val="center"/>
          </w:tcPr>
          <w:p>
            <w:pPr>
              <w:snapToGrid w:val="0"/>
              <w:jc w:val="center"/>
              <w:rPr>
                <w:rFonts w:ascii="宋体" w:hAnsi="宋体" w:cs="宋体"/>
                <w:color w:val="000000" w:themeColor="text1"/>
                <w:sz w:val="24"/>
                <w:highlight w:val="none"/>
                <w14:textFill>
                  <w14:solidFill>
                    <w14:schemeClr w14:val="tx1"/>
                  </w14:solidFill>
                </w14:textFill>
              </w:rPr>
            </w:pPr>
          </w:p>
        </w:tc>
        <w:tc>
          <w:tcPr>
            <w:tcW w:w="1723" w:type="dxa"/>
            <w:vAlign w:val="center"/>
          </w:tcPr>
          <w:p>
            <w:pPr>
              <w:snapToGrid w:val="0"/>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1" w:type="dxa"/>
            <w:vAlign w:val="center"/>
          </w:tcPr>
          <w:p>
            <w:pPr>
              <w:snapToGrid w:val="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w:t>
            </w:r>
          </w:p>
        </w:tc>
        <w:tc>
          <w:tcPr>
            <w:tcW w:w="5830" w:type="dxa"/>
            <w:vAlign w:val="center"/>
          </w:tcPr>
          <w:p>
            <w:pPr>
              <w:snapToGrid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GB"/>
                <w14:textFill>
                  <w14:solidFill>
                    <w14:schemeClr w14:val="tx1"/>
                  </w14:solidFill>
                </w14:textFill>
              </w:rPr>
              <w:t>同意接受合同范本所列述的各项条款</w:t>
            </w:r>
          </w:p>
        </w:tc>
        <w:tc>
          <w:tcPr>
            <w:tcW w:w="1119" w:type="dxa"/>
            <w:vAlign w:val="center"/>
          </w:tcPr>
          <w:p>
            <w:pPr>
              <w:snapToGrid w:val="0"/>
              <w:jc w:val="center"/>
              <w:rPr>
                <w:rFonts w:ascii="宋体" w:hAnsi="宋体" w:cs="宋体"/>
                <w:color w:val="000000" w:themeColor="text1"/>
                <w:sz w:val="24"/>
                <w:highlight w:val="none"/>
                <w14:textFill>
                  <w14:solidFill>
                    <w14:schemeClr w14:val="tx1"/>
                  </w14:solidFill>
                </w14:textFill>
              </w:rPr>
            </w:pPr>
          </w:p>
        </w:tc>
        <w:tc>
          <w:tcPr>
            <w:tcW w:w="1723" w:type="dxa"/>
            <w:vAlign w:val="center"/>
          </w:tcPr>
          <w:p>
            <w:pPr>
              <w:pStyle w:val="186"/>
              <w:keepNext w:val="0"/>
              <w:adjustRightInd/>
              <w:snapToGrid w:val="0"/>
              <w:spacing w:before="0" w:after="0" w:line="240" w:lineRule="auto"/>
              <w:textAlignment w:val="auto"/>
              <w:rPr>
                <w:rFonts w:ascii="宋体" w:hAnsi="宋体" w:cs="宋体"/>
                <w:color w:val="000000" w:themeColor="text1"/>
                <w:spacing w:val="0"/>
                <w:kern w:val="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1" w:type="dxa"/>
            <w:vAlign w:val="center"/>
          </w:tcPr>
          <w:p>
            <w:pPr>
              <w:snapToGrid w:val="0"/>
              <w:ind w:firstLine="120" w:firstLineChars="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w:t>
            </w:r>
          </w:p>
        </w:tc>
        <w:tc>
          <w:tcPr>
            <w:tcW w:w="5830" w:type="dxa"/>
            <w:vAlign w:val="center"/>
          </w:tcPr>
          <w:p>
            <w:pPr>
              <w:snapToGrid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同意按本项目要求缴付相关款项</w:t>
            </w:r>
          </w:p>
        </w:tc>
        <w:tc>
          <w:tcPr>
            <w:tcW w:w="1119" w:type="dxa"/>
            <w:vAlign w:val="center"/>
          </w:tcPr>
          <w:p>
            <w:pPr>
              <w:snapToGrid w:val="0"/>
              <w:jc w:val="center"/>
              <w:rPr>
                <w:rFonts w:ascii="宋体" w:hAnsi="宋体" w:cs="宋体"/>
                <w:color w:val="000000" w:themeColor="text1"/>
                <w:sz w:val="24"/>
                <w:highlight w:val="none"/>
                <w14:textFill>
                  <w14:solidFill>
                    <w14:schemeClr w14:val="tx1"/>
                  </w14:solidFill>
                </w14:textFill>
              </w:rPr>
            </w:pPr>
          </w:p>
        </w:tc>
        <w:tc>
          <w:tcPr>
            <w:tcW w:w="1723" w:type="dxa"/>
            <w:vAlign w:val="center"/>
          </w:tcPr>
          <w:p>
            <w:pPr>
              <w:pStyle w:val="186"/>
              <w:keepNext w:val="0"/>
              <w:adjustRightInd/>
              <w:snapToGrid w:val="0"/>
              <w:spacing w:before="0" w:after="0" w:line="240" w:lineRule="auto"/>
              <w:textAlignment w:val="auto"/>
              <w:rPr>
                <w:rFonts w:ascii="宋体" w:hAnsi="宋体" w:cs="宋体"/>
                <w:color w:val="000000" w:themeColor="text1"/>
                <w:spacing w:val="0"/>
                <w:kern w:val="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1" w:type="dxa"/>
            <w:vAlign w:val="center"/>
          </w:tcPr>
          <w:p>
            <w:pPr>
              <w:snapToGrid w:val="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w:t>
            </w:r>
          </w:p>
        </w:tc>
        <w:tc>
          <w:tcPr>
            <w:tcW w:w="5830" w:type="dxa"/>
            <w:vAlign w:val="center"/>
          </w:tcPr>
          <w:p>
            <w:pPr>
              <w:pStyle w:val="27"/>
              <w:snapToGrid w:val="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同意采购方以任何形式对我方投标文件内容的真实性和有效性进行审查、验证</w:t>
            </w:r>
          </w:p>
        </w:tc>
        <w:tc>
          <w:tcPr>
            <w:tcW w:w="1119" w:type="dxa"/>
            <w:vAlign w:val="center"/>
          </w:tcPr>
          <w:p>
            <w:pPr>
              <w:pStyle w:val="185"/>
              <w:snapToGrid w:val="0"/>
              <w:rPr>
                <w:rFonts w:ascii="宋体" w:hAnsi="宋体" w:cs="宋体"/>
                <w:color w:val="000000" w:themeColor="text1"/>
                <w:highlight w:val="none"/>
                <w14:textFill>
                  <w14:solidFill>
                    <w14:schemeClr w14:val="tx1"/>
                  </w14:solidFill>
                </w14:textFill>
              </w:rPr>
            </w:pPr>
          </w:p>
        </w:tc>
        <w:tc>
          <w:tcPr>
            <w:tcW w:w="1723" w:type="dxa"/>
            <w:vAlign w:val="center"/>
          </w:tcPr>
          <w:p>
            <w:pPr>
              <w:pStyle w:val="186"/>
              <w:keepNext w:val="0"/>
              <w:adjustRightInd/>
              <w:snapToGrid w:val="0"/>
              <w:spacing w:before="0" w:after="0" w:line="240" w:lineRule="auto"/>
              <w:jc w:val="both"/>
              <w:textAlignment w:val="auto"/>
              <w:rPr>
                <w:rFonts w:ascii="宋体" w:hAnsi="宋体" w:cs="宋体"/>
                <w:color w:val="000000" w:themeColor="text1"/>
                <w:spacing w:val="0"/>
                <w:kern w:val="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1" w:type="dxa"/>
            <w:vAlign w:val="center"/>
          </w:tcPr>
          <w:p>
            <w:pPr>
              <w:snapToGrid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12</w:t>
            </w:r>
          </w:p>
        </w:tc>
        <w:tc>
          <w:tcPr>
            <w:tcW w:w="5830" w:type="dxa"/>
            <w:vAlign w:val="center"/>
          </w:tcPr>
          <w:p>
            <w:pPr>
              <w:snapToGrid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其它商务条款偏离说明：</w:t>
            </w:r>
          </w:p>
        </w:tc>
        <w:tc>
          <w:tcPr>
            <w:tcW w:w="1119" w:type="dxa"/>
            <w:vAlign w:val="center"/>
          </w:tcPr>
          <w:p>
            <w:pPr>
              <w:pStyle w:val="185"/>
              <w:snapToGrid w:val="0"/>
              <w:rPr>
                <w:rFonts w:ascii="宋体" w:hAnsi="宋体" w:cs="宋体"/>
                <w:color w:val="000000" w:themeColor="text1"/>
                <w:highlight w:val="none"/>
                <w14:textFill>
                  <w14:solidFill>
                    <w14:schemeClr w14:val="tx1"/>
                  </w14:solidFill>
                </w14:textFill>
              </w:rPr>
            </w:pPr>
          </w:p>
        </w:tc>
        <w:tc>
          <w:tcPr>
            <w:tcW w:w="1723" w:type="dxa"/>
            <w:vAlign w:val="center"/>
          </w:tcPr>
          <w:p>
            <w:pPr>
              <w:pStyle w:val="186"/>
              <w:keepNext w:val="0"/>
              <w:adjustRightInd/>
              <w:snapToGrid w:val="0"/>
              <w:spacing w:before="0" w:after="0" w:line="240" w:lineRule="auto"/>
              <w:jc w:val="both"/>
              <w:textAlignment w:val="auto"/>
              <w:rPr>
                <w:rFonts w:ascii="宋体" w:hAnsi="宋体" w:cs="宋体"/>
                <w:color w:val="000000" w:themeColor="text1"/>
                <w:spacing w:val="0"/>
                <w:kern w:val="2"/>
                <w:highlight w:val="none"/>
                <w14:textFill>
                  <w14:solidFill>
                    <w14:schemeClr w14:val="tx1"/>
                  </w14:solidFill>
                </w14:textFill>
              </w:rPr>
            </w:pPr>
          </w:p>
        </w:tc>
      </w:tr>
    </w:tbl>
    <w:p>
      <w:pPr>
        <w:pStyle w:val="20"/>
        <w:spacing w:line="400" w:lineRule="exact"/>
        <w:jc w:val="left"/>
        <w:rPr>
          <w:rFonts w:hAnsi="宋体" w:cs="宋体"/>
          <w:b/>
          <w:color w:val="000000" w:themeColor="text1"/>
          <w:sz w:val="24"/>
          <w:szCs w:val="24"/>
          <w:highlight w:val="none"/>
          <w:u w:val="single"/>
          <w14:textFill>
            <w14:solidFill>
              <w14:schemeClr w14:val="tx1"/>
            </w14:solidFill>
          </w14:textFill>
        </w:rPr>
      </w:pPr>
    </w:p>
    <w:p>
      <w:pPr>
        <w:pStyle w:val="20"/>
        <w:spacing w:line="600" w:lineRule="exact"/>
        <w:ind w:firstLine="3060"/>
        <w:rPr>
          <w:rFonts w:hAnsi="宋体" w:cs="宋体"/>
          <w:color w:val="000000" w:themeColor="text1"/>
          <w:sz w:val="24"/>
          <w:szCs w:val="24"/>
          <w:highlight w:val="none"/>
          <w:u w:val="singl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投标人（加盖单位公章）：</w:t>
      </w:r>
      <w:r>
        <w:rPr>
          <w:rFonts w:hint="eastAsia" w:hAnsi="宋体" w:cs="宋体"/>
          <w:color w:val="000000" w:themeColor="text1"/>
          <w:sz w:val="24"/>
          <w:szCs w:val="24"/>
          <w:highlight w:val="none"/>
          <w:u w:val="single"/>
          <w14:textFill>
            <w14:solidFill>
              <w14:schemeClr w14:val="tx1"/>
            </w14:solidFill>
          </w14:textFill>
        </w:rPr>
        <w:t xml:space="preserve">                            </w:t>
      </w:r>
    </w:p>
    <w:p>
      <w:pPr>
        <w:pStyle w:val="20"/>
        <w:spacing w:line="600" w:lineRule="exact"/>
        <w:ind w:firstLine="306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法定代表人（负责人）或委托代理人签名：</w:t>
      </w:r>
      <w:r>
        <w:rPr>
          <w:rFonts w:hint="eastAsia" w:hAnsi="宋体" w:cs="宋体"/>
          <w:color w:val="000000" w:themeColor="text1"/>
          <w:sz w:val="24"/>
          <w:szCs w:val="24"/>
          <w:highlight w:val="none"/>
          <w:u w:val="single"/>
          <w14:textFill>
            <w14:solidFill>
              <w14:schemeClr w14:val="tx1"/>
            </w14:solidFill>
          </w14:textFill>
        </w:rPr>
        <w:t xml:space="preserve">       </w:t>
      </w:r>
      <w:r>
        <w:rPr>
          <w:rFonts w:hint="eastAsia" w:hAnsi="宋体" w:cs="宋体"/>
          <w:color w:val="000000" w:themeColor="text1"/>
          <w:sz w:val="24"/>
          <w:szCs w:val="24"/>
          <w:highlight w:val="none"/>
          <w:u w:val="single"/>
          <w:lang w:val="en-US" w:eastAsia="zh-CN"/>
          <w14:textFill>
            <w14:solidFill>
              <w14:schemeClr w14:val="tx1"/>
            </w14:solidFill>
          </w14:textFill>
        </w:rPr>
        <w:t xml:space="preserve"> </w:t>
      </w:r>
      <w:r>
        <w:rPr>
          <w:rFonts w:hint="eastAsia" w:hAnsi="宋体" w:cs="宋体"/>
          <w:color w:val="000000" w:themeColor="text1"/>
          <w:sz w:val="24"/>
          <w:szCs w:val="24"/>
          <w:highlight w:val="none"/>
          <w:u w:val="single"/>
          <w14:textFill>
            <w14:solidFill>
              <w14:schemeClr w14:val="tx1"/>
            </w14:solidFill>
          </w14:textFill>
        </w:rPr>
        <w:t xml:space="preserve">      </w:t>
      </w:r>
    </w:p>
    <w:p>
      <w:pPr>
        <w:pStyle w:val="20"/>
        <w:spacing w:line="600" w:lineRule="exact"/>
        <w:ind w:firstLine="3060"/>
        <w:rPr>
          <w:rFonts w:hAnsi="宋体" w:cs="宋体"/>
          <w:color w:val="000000" w:themeColor="text1"/>
          <w:highlight w:val="none"/>
          <w:u w:val="singl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投标日期：</w:t>
      </w:r>
      <w:r>
        <w:rPr>
          <w:rFonts w:hint="eastAsia" w:hAnsi="宋体" w:cs="宋体"/>
          <w:color w:val="000000" w:themeColor="text1"/>
          <w:sz w:val="24"/>
          <w:szCs w:val="24"/>
          <w:highlight w:val="none"/>
          <w:u w:val="single"/>
          <w14:textFill>
            <w14:solidFill>
              <w14:schemeClr w14:val="tx1"/>
            </w14:solidFill>
          </w14:textFill>
        </w:rPr>
        <w:t xml:space="preserve">                                       </w:t>
      </w:r>
      <w:r>
        <w:rPr>
          <w:rFonts w:hint="eastAsia" w:hAnsi="宋体" w:cs="宋体"/>
          <w:color w:val="000000" w:themeColor="text1"/>
          <w:sz w:val="24"/>
          <w:szCs w:val="24"/>
          <w:highlight w:val="none"/>
          <w:u w:val="single"/>
          <w:lang w:val="en-US" w:eastAsia="zh-CN"/>
          <w14:textFill>
            <w14:solidFill>
              <w14:schemeClr w14:val="tx1"/>
            </w14:solidFill>
          </w14:textFill>
        </w:rPr>
        <w:t xml:space="preserve">   </w:t>
      </w:r>
    </w:p>
    <w:p>
      <w:pPr>
        <w:spacing w:line="320" w:lineRule="exact"/>
        <w:ind w:left="944" w:hanging="944" w:hangingChars="448"/>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说明：</w:t>
      </w:r>
    </w:p>
    <w:p>
      <w:pPr>
        <w:pStyle w:val="20"/>
        <w:spacing w:line="320" w:lineRule="exact"/>
        <w:ind w:left="315" w:hanging="315" w:hangingChars="150"/>
        <w:jc w:val="left"/>
        <w:rPr>
          <w:rFonts w:hAnsi="宋体" w:cs="宋体"/>
          <w:color w:val="000000" w:themeColor="text1"/>
          <w:highlight w:val="none"/>
          <w:lang w:val="en-GB"/>
          <w14:textFill>
            <w14:solidFill>
              <w14:schemeClr w14:val="tx1"/>
            </w14:solidFill>
          </w14:textFill>
        </w:rPr>
      </w:pPr>
      <w:r>
        <w:rPr>
          <w:rFonts w:hint="eastAsia" w:hAnsi="宋体" w:cs="宋体"/>
          <w:color w:val="000000" w:themeColor="text1"/>
          <w:highlight w:val="none"/>
          <w:lang w:val="en-GB"/>
          <w14:textFill>
            <w14:solidFill>
              <w14:schemeClr w14:val="tx1"/>
            </w14:solidFill>
          </w14:textFill>
        </w:rPr>
        <w:t>1、对于上述要求，如投标人完全响应，则请在“是否响应”栏内打“√”，空白或打“×”视为偏离，请在</w:t>
      </w:r>
      <w:r>
        <w:rPr>
          <w:rFonts w:hint="eastAsia" w:hAnsi="宋体" w:cs="宋体"/>
          <w:color w:val="000000" w:themeColor="text1"/>
          <w:highlight w:val="none"/>
          <w14:textFill>
            <w14:solidFill>
              <w14:schemeClr w14:val="tx1"/>
            </w14:solidFill>
          </w14:textFill>
        </w:rPr>
        <w:t>“偏离说明”</w:t>
      </w:r>
      <w:r>
        <w:rPr>
          <w:rFonts w:hint="eastAsia" w:hAnsi="宋体" w:cs="宋体"/>
          <w:color w:val="000000" w:themeColor="text1"/>
          <w:highlight w:val="none"/>
          <w:lang w:val="en-GB"/>
          <w14:textFill>
            <w14:solidFill>
              <w14:schemeClr w14:val="tx1"/>
            </w14:solidFill>
          </w14:textFill>
        </w:rPr>
        <w:t>栏内扼要说明偏离情况。</w:t>
      </w:r>
    </w:p>
    <w:p>
      <w:pPr>
        <w:pStyle w:val="20"/>
        <w:spacing w:line="320" w:lineRule="exact"/>
        <w:ind w:left="315" w:hanging="315" w:hangingChars="150"/>
        <w:jc w:val="left"/>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2、特别对有具体重要要求的指标，投标人必须说有具体内容。如果仅注明“符合”、“满足”或简单复制招标文件中的要求，该投标文件视为无效。</w:t>
      </w:r>
    </w:p>
    <w:p>
      <w:pPr>
        <w:pStyle w:val="20"/>
        <w:spacing w:line="320" w:lineRule="exact"/>
        <w:ind w:left="315" w:hanging="315" w:hangingChars="150"/>
        <w:jc w:val="left"/>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lang w:val="en-GB"/>
          <w14:textFill>
            <w14:solidFill>
              <w14:schemeClr w14:val="tx1"/>
            </w14:solidFill>
          </w14:textFill>
        </w:rPr>
        <w:t>3、本表内容</w:t>
      </w:r>
      <w:r>
        <w:rPr>
          <w:rFonts w:hint="eastAsia" w:hAnsi="宋体" w:cs="宋体"/>
          <w:color w:val="000000" w:themeColor="text1"/>
          <w:highlight w:val="none"/>
          <w14:textFill>
            <w14:solidFill>
              <w14:schemeClr w14:val="tx1"/>
            </w14:solidFill>
          </w14:textFill>
        </w:rPr>
        <w:t>不得</w:t>
      </w:r>
      <w:r>
        <w:rPr>
          <w:rFonts w:hint="eastAsia" w:hAnsi="宋体" w:cs="宋体"/>
          <w:color w:val="000000" w:themeColor="text1"/>
          <w:highlight w:val="none"/>
          <w:lang w:val="en-GB"/>
          <w14:textFill>
            <w14:solidFill>
              <w14:schemeClr w14:val="tx1"/>
            </w14:solidFill>
          </w14:textFill>
        </w:rPr>
        <w:t>擅自修改，否则</w:t>
      </w:r>
      <w:r>
        <w:rPr>
          <w:rFonts w:hint="eastAsia" w:hAnsi="宋体" w:cs="宋体"/>
          <w:color w:val="000000" w:themeColor="text1"/>
          <w:highlight w:val="none"/>
          <w14:textFill>
            <w14:solidFill>
              <w14:schemeClr w14:val="tx1"/>
            </w14:solidFill>
          </w14:textFill>
        </w:rPr>
        <w:t>该投标文件视为无效。</w:t>
      </w:r>
      <w:r>
        <w:rPr>
          <w:rFonts w:hint="eastAsia" w:hAnsi="宋体" w:cs="宋体"/>
          <w:color w:val="000000" w:themeColor="text1"/>
          <w:highlight w:val="none"/>
          <w14:textFill>
            <w14:solidFill>
              <w14:schemeClr w14:val="tx1"/>
            </w14:solidFill>
          </w14:textFill>
        </w:rPr>
        <w:br w:type="page"/>
      </w:r>
    </w:p>
    <w:p>
      <w:pPr>
        <w:pStyle w:val="20"/>
        <w:spacing w:line="400" w:lineRule="exact"/>
        <w:ind w:left="315" w:hanging="315" w:hangingChars="150"/>
        <w:jc w:val="left"/>
        <w:rPr>
          <w:rFonts w:hAnsi="宋体" w:cs="宋体"/>
          <w:color w:val="000000" w:themeColor="text1"/>
          <w:highlight w:val="none"/>
          <w14:textFill>
            <w14:solidFill>
              <w14:schemeClr w14:val="tx1"/>
            </w14:solidFill>
          </w14:textFill>
        </w:rPr>
      </w:pPr>
    </w:p>
    <w:p>
      <w:pPr>
        <w:jc w:val="center"/>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技术要求响应表（格式）</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7"/>
        <w:gridCol w:w="1939"/>
        <w:gridCol w:w="2674"/>
        <w:gridCol w:w="2599"/>
        <w:gridCol w:w="1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17" w:type="dxa"/>
            <w:vAlign w:val="center"/>
          </w:tcPr>
          <w:p>
            <w:pPr>
              <w:pStyle w:val="20"/>
              <w:snapToGrid w:val="0"/>
              <w:ind w:left="-105" w:leftChars="-50" w:right="-105" w:rightChars="-50"/>
              <w:jc w:val="center"/>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序号</w:t>
            </w:r>
          </w:p>
        </w:tc>
        <w:tc>
          <w:tcPr>
            <w:tcW w:w="1939" w:type="dxa"/>
            <w:vAlign w:val="center"/>
          </w:tcPr>
          <w:p>
            <w:pPr>
              <w:pStyle w:val="20"/>
              <w:snapToGrid w:val="0"/>
              <w:jc w:val="center"/>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采购内容</w:t>
            </w:r>
          </w:p>
        </w:tc>
        <w:tc>
          <w:tcPr>
            <w:tcW w:w="2674" w:type="dxa"/>
            <w:vAlign w:val="center"/>
          </w:tcPr>
          <w:p>
            <w:pPr>
              <w:pStyle w:val="20"/>
              <w:snapToGrid w:val="0"/>
              <w:jc w:val="center"/>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原技术规范主要条款要求</w:t>
            </w:r>
          </w:p>
        </w:tc>
        <w:tc>
          <w:tcPr>
            <w:tcW w:w="2599" w:type="dxa"/>
            <w:vAlign w:val="center"/>
          </w:tcPr>
          <w:p>
            <w:pPr>
              <w:pStyle w:val="20"/>
              <w:snapToGrid w:val="0"/>
              <w:jc w:val="center"/>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投标文件具体响应</w:t>
            </w:r>
          </w:p>
        </w:tc>
        <w:tc>
          <w:tcPr>
            <w:tcW w:w="1143" w:type="dxa"/>
            <w:vAlign w:val="center"/>
          </w:tcPr>
          <w:p>
            <w:pPr>
              <w:pStyle w:val="20"/>
              <w:snapToGrid w:val="0"/>
              <w:jc w:val="center"/>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技术偏离情况说明(＋/-/=)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17" w:type="dxa"/>
            <w:vAlign w:val="center"/>
          </w:tcPr>
          <w:p>
            <w:pPr>
              <w:pStyle w:val="20"/>
              <w:snapToGrid w:val="0"/>
              <w:jc w:val="center"/>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w:t>
            </w:r>
          </w:p>
        </w:tc>
        <w:tc>
          <w:tcPr>
            <w:tcW w:w="1939" w:type="dxa"/>
            <w:vAlign w:val="center"/>
          </w:tcPr>
          <w:p>
            <w:pPr>
              <w:pStyle w:val="20"/>
              <w:snapToGrid w:val="0"/>
              <w:jc w:val="center"/>
              <w:rPr>
                <w:rFonts w:hAnsi="宋体" w:cs="宋体"/>
                <w:color w:val="000000" w:themeColor="text1"/>
                <w:highlight w:val="none"/>
                <w14:textFill>
                  <w14:solidFill>
                    <w14:schemeClr w14:val="tx1"/>
                  </w14:solidFill>
                </w14:textFill>
              </w:rPr>
            </w:pPr>
          </w:p>
        </w:tc>
        <w:tc>
          <w:tcPr>
            <w:tcW w:w="2674" w:type="dxa"/>
            <w:vAlign w:val="center"/>
          </w:tcPr>
          <w:p>
            <w:pPr>
              <w:pStyle w:val="20"/>
              <w:snapToGrid w:val="0"/>
              <w:jc w:val="center"/>
              <w:rPr>
                <w:rFonts w:hAnsi="宋体" w:cs="宋体"/>
                <w:color w:val="000000" w:themeColor="text1"/>
                <w:highlight w:val="none"/>
                <w14:textFill>
                  <w14:solidFill>
                    <w14:schemeClr w14:val="tx1"/>
                  </w14:solidFill>
                </w14:textFill>
              </w:rPr>
            </w:pPr>
          </w:p>
        </w:tc>
        <w:tc>
          <w:tcPr>
            <w:tcW w:w="2599" w:type="dxa"/>
            <w:vAlign w:val="center"/>
          </w:tcPr>
          <w:p>
            <w:pPr>
              <w:pStyle w:val="20"/>
              <w:snapToGrid w:val="0"/>
              <w:jc w:val="center"/>
              <w:rPr>
                <w:rFonts w:hAnsi="宋体" w:cs="宋体"/>
                <w:color w:val="000000" w:themeColor="text1"/>
                <w:highlight w:val="none"/>
                <w14:textFill>
                  <w14:solidFill>
                    <w14:schemeClr w14:val="tx1"/>
                  </w14:solidFill>
                </w14:textFill>
              </w:rPr>
            </w:pPr>
          </w:p>
        </w:tc>
        <w:tc>
          <w:tcPr>
            <w:tcW w:w="1143" w:type="dxa"/>
            <w:vAlign w:val="center"/>
          </w:tcPr>
          <w:p>
            <w:pPr>
              <w:pStyle w:val="20"/>
              <w:snapToGrid w:val="0"/>
              <w:jc w:val="center"/>
              <w:rPr>
                <w:rFonts w:hAnsi="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17" w:type="dxa"/>
            <w:vAlign w:val="center"/>
          </w:tcPr>
          <w:p>
            <w:pPr>
              <w:pStyle w:val="20"/>
              <w:snapToGrid w:val="0"/>
              <w:jc w:val="center"/>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2</w:t>
            </w:r>
          </w:p>
        </w:tc>
        <w:tc>
          <w:tcPr>
            <w:tcW w:w="1939" w:type="dxa"/>
            <w:vAlign w:val="center"/>
          </w:tcPr>
          <w:p>
            <w:pPr>
              <w:pStyle w:val="20"/>
              <w:snapToGrid w:val="0"/>
              <w:jc w:val="center"/>
              <w:rPr>
                <w:rFonts w:hAnsi="宋体" w:cs="宋体"/>
                <w:color w:val="000000" w:themeColor="text1"/>
                <w:highlight w:val="none"/>
                <w14:textFill>
                  <w14:solidFill>
                    <w14:schemeClr w14:val="tx1"/>
                  </w14:solidFill>
                </w14:textFill>
              </w:rPr>
            </w:pPr>
          </w:p>
        </w:tc>
        <w:tc>
          <w:tcPr>
            <w:tcW w:w="2674" w:type="dxa"/>
            <w:vAlign w:val="center"/>
          </w:tcPr>
          <w:p>
            <w:pPr>
              <w:pStyle w:val="20"/>
              <w:snapToGrid w:val="0"/>
              <w:jc w:val="center"/>
              <w:rPr>
                <w:rFonts w:hAnsi="宋体" w:cs="宋体"/>
                <w:color w:val="000000" w:themeColor="text1"/>
                <w:highlight w:val="none"/>
                <w14:textFill>
                  <w14:solidFill>
                    <w14:schemeClr w14:val="tx1"/>
                  </w14:solidFill>
                </w14:textFill>
              </w:rPr>
            </w:pPr>
          </w:p>
        </w:tc>
        <w:tc>
          <w:tcPr>
            <w:tcW w:w="2599" w:type="dxa"/>
            <w:vAlign w:val="center"/>
          </w:tcPr>
          <w:p>
            <w:pPr>
              <w:pStyle w:val="20"/>
              <w:snapToGrid w:val="0"/>
              <w:jc w:val="center"/>
              <w:rPr>
                <w:rFonts w:hAnsi="宋体" w:cs="宋体"/>
                <w:color w:val="000000" w:themeColor="text1"/>
                <w:highlight w:val="none"/>
                <w14:textFill>
                  <w14:solidFill>
                    <w14:schemeClr w14:val="tx1"/>
                  </w14:solidFill>
                </w14:textFill>
              </w:rPr>
            </w:pPr>
          </w:p>
        </w:tc>
        <w:tc>
          <w:tcPr>
            <w:tcW w:w="1143" w:type="dxa"/>
            <w:vAlign w:val="center"/>
          </w:tcPr>
          <w:p>
            <w:pPr>
              <w:pStyle w:val="20"/>
              <w:snapToGrid w:val="0"/>
              <w:jc w:val="center"/>
              <w:rPr>
                <w:rFonts w:hAnsi="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17" w:type="dxa"/>
            <w:vAlign w:val="center"/>
          </w:tcPr>
          <w:p>
            <w:pPr>
              <w:pStyle w:val="20"/>
              <w:snapToGrid w:val="0"/>
              <w:jc w:val="center"/>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3</w:t>
            </w:r>
          </w:p>
        </w:tc>
        <w:tc>
          <w:tcPr>
            <w:tcW w:w="1939" w:type="dxa"/>
            <w:vAlign w:val="center"/>
          </w:tcPr>
          <w:p>
            <w:pPr>
              <w:pStyle w:val="20"/>
              <w:snapToGrid w:val="0"/>
              <w:jc w:val="center"/>
              <w:rPr>
                <w:rFonts w:hAnsi="宋体" w:cs="宋体"/>
                <w:color w:val="000000" w:themeColor="text1"/>
                <w:highlight w:val="none"/>
                <w14:textFill>
                  <w14:solidFill>
                    <w14:schemeClr w14:val="tx1"/>
                  </w14:solidFill>
                </w14:textFill>
              </w:rPr>
            </w:pPr>
          </w:p>
        </w:tc>
        <w:tc>
          <w:tcPr>
            <w:tcW w:w="2674" w:type="dxa"/>
            <w:vAlign w:val="center"/>
          </w:tcPr>
          <w:p>
            <w:pPr>
              <w:pStyle w:val="20"/>
              <w:snapToGrid w:val="0"/>
              <w:jc w:val="center"/>
              <w:rPr>
                <w:rFonts w:hAnsi="宋体" w:cs="宋体"/>
                <w:color w:val="000000" w:themeColor="text1"/>
                <w:highlight w:val="none"/>
                <w14:textFill>
                  <w14:solidFill>
                    <w14:schemeClr w14:val="tx1"/>
                  </w14:solidFill>
                </w14:textFill>
              </w:rPr>
            </w:pPr>
          </w:p>
        </w:tc>
        <w:tc>
          <w:tcPr>
            <w:tcW w:w="2599" w:type="dxa"/>
            <w:vAlign w:val="center"/>
          </w:tcPr>
          <w:p>
            <w:pPr>
              <w:pStyle w:val="20"/>
              <w:snapToGrid w:val="0"/>
              <w:jc w:val="center"/>
              <w:rPr>
                <w:rFonts w:hAnsi="宋体" w:cs="宋体"/>
                <w:color w:val="000000" w:themeColor="text1"/>
                <w:highlight w:val="none"/>
                <w14:textFill>
                  <w14:solidFill>
                    <w14:schemeClr w14:val="tx1"/>
                  </w14:solidFill>
                </w14:textFill>
              </w:rPr>
            </w:pPr>
          </w:p>
        </w:tc>
        <w:tc>
          <w:tcPr>
            <w:tcW w:w="1143" w:type="dxa"/>
            <w:vAlign w:val="center"/>
          </w:tcPr>
          <w:p>
            <w:pPr>
              <w:pStyle w:val="20"/>
              <w:snapToGrid w:val="0"/>
              <w:jc w:val="center"/>
              <w:rPr>
                <w:rFonts w:hAnsi="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17" w:type="dxa"/>
            <w:vAlign w:val="center"/>
          </w:tcPr>
          <w:p>
            <w:pPr>
              <w:pStyle w:val="20"/>
              <w:snapToGrid w:val="0"/>
              <w:jc w:val="center"/>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w:t>
            </w:r>
          </w:p>
        </w:tc>
        <w:tc>
          <w:tcPr>
            <w:tcW w:w="1939" w:type="dxa"/>
            <w:vAlign w:val="center"/>
          </w:tcPr>
          <w:p>
            <w:pPr>
              <w:pStyle w:val="20"/>
              <w:snapToGrid w:val="0"/>
              <w:jc w:val="center"/>
              <w:rPr>
                <w:rFonts w:hAnsi="宋体" w:cs="宋体"/>
                <w:color w:val="000000" w:themeColor="text1"/>
                <w:highlight w:val="none"/>
                <w14:textFill>
                  <w14:solidFill>
                    <w14:schemeClr w14:val="tx1"/>
                  </w14:solidFill>
                </w14:textFill>
              </w:rPr>
            </w:pPr>
          </w:p>
        </w:tc>
        <w:tc>
          <w:tcPr>
            <w:tcW w:w="2674" w:type="dxa"/>
            <w:vAlign w:val="center"/>
          </w:tcPr>
          <w:p>
            <w:pPr>
              <w:pStyle w:val="20"/>
              <w:snapToGrid w:val="0"/>
              <w:jc w:val="center"/>
              <w:rPr>
                <w:rFonts w:hAnsi="宋体" w:cs="宋体"/>
                <w:color w:val="000000" w:themeColor="text1"/>
                <w:highlight w:val="none"/>
                <w14:textFill>
                  <w14:solidFill>
                    <w14:schemeClr w14:val="tx1"/>
                  </w14:solidFill>
                </w14:textFill>
              </w:rPr>
            </w:pPr>
          </w:p>
        </w:tc>
        <w:tc>
          <w:tcPr>
            <w:tcW w:w="2599" w:type="dxa"/>
            <w:vAlign w:val="center"/>
          </w:tcPr>
          <w:p>
            <w:pPr>
              <w:pStyle w:val="20"/>
              <w:snapToGrid w:val="0"/>
              <w:jc w:val="center"/>
              <w:rPr>
                <w:rFonts w:hAnsi="宋体" w:cs="宋体"/>
                <w:color w:val="000000" w:themeColor="text1"/>
                <w:highlight w:val="none"/>
                <w14:textFill>
                  <w14:solidFill>
                    <w14:schemeClr w14:val="tx1"/>
                  </w14:solidFill>
                </w14:textFill>
              </w:rPr>
            </w:pPr>
          </w:p>
        </w:tc>
        <w:tc>
          <w:tcPr>
            <w:tcW w:w="1143" w:type="dxa"/>
            <w:vAlign w:val="center"/>
          </w:tcPr>
          <w:p>
            <w:pPr>
              <w:pStyle w:val="20"/>
              <w:snapToGrid w:val="0"/>
              <w:jc w:val="center"/>
              <w:rPr>
                <w:rFonts w:hAnsi="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17" w:type="dxa"/>
            <w:vAlign w:val="center"/>
          </w:tcPr>
          <w:p>
            <w:pPr>
              <w:pStyle w:val="20"/>
              <w:snapToGrid w:val="0"/>
              <w:jc w:val="center"/>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5</w:t>
            </w:r>
          </w:p>
        </w:tc>
        <w:tc>
          <w:tcPr>
            <w:tcW w:w="1939" w:type="dxa"/>
            <w:vAlign w:val="center"/>
          </w:tcPr>
          <w:p>
            <w:pPr>
              <w:pStyle w:val="20"/>
              <w:snapToGrid w:val="0"/>
              <w:jc w:val="center"/>
              <w:rPr>
                <w:rFonts w:hAnsi="宋体" w:cs="宋体"/>
                <w:color w:val="000000" w:themeColor="text1"/>
                <w:highlight w:val="none"/>
                <w14:textFill>
                  <w14:solidFill>
                    <w14:schemeClr w14:val="tx1"/>
                  </w14:solidFill>
                </w14:textFill>
              </w:rPr>
            </w:pPr>
          </w:p>
        </w:tc>
        <w:tc>
          <w:tcPr>
            <w:tcW w:w="2674" w:type="dxa"/>
            <w:vAlign w:val="center"/>
          </w:tcPr>
          <w:p>
            <w:pPr>
              <w:pStyle w:val="20"/>
              <w:snapToGrid w:val="0"/>
              <w:jc w:val="center"/>
              <w:rPr>
                <w:rFonts w:hAnsi="宋体" w:cs="宋体"/>
                <w:color w:val="000000" w:themeColor="text1"/>
                <w:highlight w:val="none"/>
                <w14:textFill>
                  <w14:solidFill>
                    <w14:schemeClr w14:val="tx1"/>
                  </w14:solidFill>
                </w14:textFill>
              </w:rPr>
            </w:pPr>
          </w:p>
        </w:tc>
        <w:tc>
          <w:tcPr>
            <w:tcW w:w="2599" w:type="dxa"/>
            <w:vAlign w:val="center"/>
          </w:tcPr>
          <w:p>
            <w:pPr>
              <w:pStyle w:val="20"/>
              <w:snapToGrid w:val="0"/>
              <w:jc w:val="center"/>
              <w:rPr>
                <w:rFonts w:hAnsi="宋体" w:cs="宋体"/>
                <w:color w:val="000000" w:themeColor="text1"/>
                <w:highlight w:val="none"/>
                <w14:textFill>
                  <w14:solidFill>
                    <w14:schemeClr w14:val="tx1"/>
                  </w14:solidFill>
                </w14:textFill>
              </w:rPr>
            </w:pPr>
          </w:p>
        </w:tc>
        <w:tc>
          <w:tcPr>
            <w:tcW w:w="1143" w:type="dxa"/>
            <w:vAlign w:val="center"/>
          </w:tcPr>
          <w:p>
            <w:pPr>
              <w:pStyle w:val="20"/>
              <w:snapToGrid w:val="0"/>
              <w:jc w:val="center"/>
              <w:rPr>
                <w:rFonts w:hAnsi="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17" w:type="dxa"/>
            <w:vAlign w:val="center"/>
          </w:tcPr>
          <w:p>
            <w:pPr>
              <w:pStyle w:val="20"/>
              <w:snapToGrid w:val="0"/>
              <w:jc w:val="center"/>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w:t>
            </w:r>
          </w:p>
        </w:tc>
        <w:tc>
          <w:tcPr>
            <w:tcW w:w="1939" w:type="dxa"/>
            <w:vAlign w:val="center"/>
          </w:tcPr>
          <w:p>
            <w:pPr>
              <w:pStyle w:val="20"/>
              <w:snapToGrid w:val="0"/>
              <w:jc w:val="center"/>
              <w:rPr>
                <w:rFonts w:hAnsi="宋体" w:cs="宋体"/>
                <w:color w:val="000000" w:themeColor="text1"/>
                <w:highlight w:val="none"/>
                <w14:textFill>
                  <w14:solidFill>
                    <w14:schemeClr w14:val="tx1"/>
                  </w14:solidFill>
                </w14:textFill>
              </w:rPr>
            </w:pPr>
          </w:p>
        </w:tc>
        <w:tc>
          <w:tcPr>
            <w:tcW w:w="2674" w:type="dxa"/>
            <w:vAlign w:val="center"/>
          </w:tcPr>
          <w:p>
            <w:pPr>
              <w:pStyle w:val="20"/>
              <w:snapToGrid w:val="0"/>
              <w:jc w:val="center"/>
              <w:rPr>
                <w:rFonts w:hAnsi="宋体" w:cs="宋体"/>
                <w:color w:val="000000" w:themeColor="text1"/>
                <w:highlight w:val="none"/>
                <w14:textFill>
                  <w14:solidFill>
                    <w14:schemeClr w14:val="tx1"/>
                  </w14:solidFill>
                </w14:textFill>
              </w:rPr>
            </w:pPr>
          </w:p>
        </w:tc>
        <w:tc>
          <w:tcPr>
            <w:tcW w:w="2599" w:type="dxa"/>
            <w:vAlign w:val="center"/>
          </w:tcPr>
          <w:p>
            <w:pPr>
              <w:pStyle w:val="20"/>
              <w:snapToGrid w:val="0"/>
              <w:jc w:val="center"/>
              <w:rPr>
                <w:rFonts w:hAnsi="宋体" w:cs="宋体"/>
                <w:color w:val="000000" w:themeColor="text1"/>
                <w:highlight w:val="none"/>
                <w14:textFill>
                  <w14:solidFill>
                    <w14:schemeClr w14:val="tx1"/>
                  </w14:solidFill>
                </w14:textFill>
              </w:rPr>
            </w:pPr>
          </w:p>
        </w:tc>
        <w:tc>
          <w:tcPr>
            <w:tcW w:w="1143" w:type="dxa"/>
            <w:vAlign w:val="center"/>
          </w:tcPr>
          <w:p>
            <w:pPr>
              <w:pStyle w:val="20"/>
              <w:snapToGrid w:val="0"/>
              <w:jc w:val="center"/>
              <w:rPr>
                <w:rFonts w:hAnsi="宋体" w:cs="宋体"/>
                <w:color w:val="000000" w:themeColor="text1"/>
                <w:highlight w:val="none"/>
                <w14:textFill>
                  <w14:solidFill>
                    <w14:schemeClr w14:val="tx1"/>
                  </w14:solidFill>
                </w14:textFill>
              </w:rPr>
            </w:pPr>
          </w:p>
        </w:tc>
      </w:tr>
    </w:tbl>
    <w:p>
      <w:pPr>
        <w:rPr>
          <w:rFonts w:ascii="宋体" w:hAnsi="宋体" w:cs="宋体"/>
          <w:color w:val="000000" w:themeColor="text1"/>
          <w:highlight w:val="none"/>
          <w14:textFill>
            <w14:solidFill>
              <w14:schemeClr w14:val="tx1"/>
            </w14:solidFill>
          </w14:textFill>
        </w:rPr>
      </w:pPr>
    </w:p>
    <w:p>
      <w:pPr>
        <w:rPr>
          <w:rFonts w:ascii="宋体" w:hAnsi="宋体" w:cs="宋体"/>
          <w:color w:val="000000" w:themeColor="text1"/>
          <w:highlight w:val="none"/>
          <w14:textFill>
            <w14:solidFill>
              <w14:schemeClr w14:val="tx1"/>
            </w14:solidFill>
          </w14:textFill>
        </w:rPr>
      </w:pPr>
    </w:p>
    <w:p>
      <w:pPr>
        <w:rPr>
          <w:rFonts w:ascii="宋体" w:hAnsi="宋体" w:cs="宋体"/>
          <w:color w:val="000000" w:themeColor="text1"/>
          <w:highlight w:val="none"/>
          <w14:textFill>
            <w14:solidFill>
              <w14:schemeClr w14:val="tx1"/>
            </w14:solidFill>
          </w14:textFill>
        </w:rPr>
      </w:pPr>
    </w:p>
    <w:p>
      <w:pPr>
        <w:rPr>
          <w:rFonts w:ascii="宋体" w:hAnsi="宋体" w:cs="宋体"/>
          <w:color w:val="000000" w:themeColor="text1"/>
          <w:highlight w:val="none"/>
          <w14:textFill>
            <w14:solidFill>
              <w14:schemeClr w14:val="tx1"/>
            </w14:solidFill>
          </w14:textFill>
        </w:rPr>
      </w:pPr>
    </w:p>
    <w:p>
      <w:pPr>
        <w:pStyle w:val="20"/>
        <w:spacing w:line="600" w:lineRule="exact"/>
        <w:ind w:firstLine="3060"/>
        <w:rPr>
          <w:rFonts w:hAnsi="宋体" w:cs="宋体"/>
          <w:color w:val="000000" w:themeColor="text1"/>
          <w:sz w:val="24"/>
          <w:szCs w:val="24"/>
          <w:highlight w:val="none"/>
          <w:u w:val="singl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投标人（加盖公章）：</w:t>
      </w:r>
      <w:r>
        <w:rPr>
          <w:rFonts w:hint="eastAsia" w:hAnsi="宋体" w:cs="宋体"/>
          <w:color w:val="000000" w:themeColor="text1"/>
          <w:sz w:val="24"/>
          <w:szCs w:val="24"/>
          <w:highlight w:val="none"/>
          <w:u w:val="single"/>
          <w14:textFill>
            <w14:solidFill>
              <w14:schemeClr w14:val="tx1"/>
            </w14:solidFill>
          </w14:textFill>
        </w:rPr>
        <w:t xml:space="preserve">                           </w:t>
      </w:r>
      <w:r>
        <w:rPr>
          <w:rFonts w:hint="eastAsia" w:hAnsi="宋体" w:cs="宋体"/>
          <w:color w:val="000000" w:themeColor="text1"/>
          <w:sz w:val="24"/>
          <w:szCs w:val="24"/>
          <w:highlight w:val="none"/>
          <w:u w:val="single"/>
          <w:lang w:val="en-US" w:eastAsia="zh-CN"/>
          <w14:textFill>
            <w14:solidFill>
              <w14:schemeClr w14:val="tx1"/>
            </w14:solidFill>
          </w14:textFill>
        </w:rPr>
        <w:t xml:space="preserve">    </w:t>
      </w:r>
      <w:r>
        <w:rPr>
          <w:rFonts w:hint="eastAsia" w:hAnsi="宋体" w:cs="宋体"/>
          <w:color w:val="000000" w:themeColor="text1"/>
          <w:sz w:val="24"/>
          <w:szCs w:val="24"/>
          <w:highlight w:val="none"/>
          <w:u w:val="single"/>
          <w14:textFill>
            <w14:solidFill>
              <w14:schemeClr w14:val="tx1"/>
            </w14:solidFill>
          </w14:textFill>
        </w:rPr>
        <w:t xml:space="preserve">  </w:t>
      </w:r>
    </w:p>
    <w:p>
      <w:pPr>
        <w:pStyle w:val="20"/>
        <w:spacing w:line="600" w:lineRule="exact"/>
        <w:ind w:firstLine="306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法定代表人（负责人）或委托代理人（签名）：</w:t>
      </w:r>
      <w:r>
        <w:rPr>
          <w:rFonts w:hint="eastAsia" w:hAnsi="宋体" w:cs="宋体"/>
          <w:color w:val="000000" w:themeColor="text1"/>
          <w:sz w:val="24"/>
          <w:szCs w:val="24"/>
          <w:highlight w:val="none"/>
          <w:u w:val="single"/>
          <w14:textFill>
            <w14:solidFill>
              <w14:schemeClr w14:val="tx1"/>
            </w14:solidFill>
          </w14:textFill>
        </w:rPr>
        <w:t xml:space="preserve">                  </w:t>
      </w:r>
    </w:p>
    <w:p>
      <w:pPr>
        <w:pStyle w:val="20"/>
        <w:spacing w:line="600" w:lineRule="exact"/>
        <w:ind w:firstLine="3060"/>
        <w:rPr>
          <w:rFonts w:hint="default" w:hAnsi="宋体" w:eastAsia="宋体" w:cs="宋体"/>
          <w:color w:val="000000" w:themeColor="text1"/>
          <w:sz w:val="24"/>
          <w:szCs w:val="24"/>
          <w:highlight w:val="none"/>
          <w:u w:val="single"/>
          <w:lang w:val="en-US" w:eastAsia="zh-CN"/>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投标日期：</w:t>
      </w:r>
      <w:r>
        <w:rPr>
          <w:rFonts w:hint="eastAsia" w:hAnsi="宋体" w:cs="宋体"/>
          <w:color w:val="000000" w:themeColor="text1"/>
          <w:sz w:val="24"/>
          <w:szCs w:val="24"/>
          <w:highlight w:val="none"/>
          <w:u w:val="single"/>
          <w14:textFill>
            <w14:solidFill>
              <w14:schemeClr w14:val="tx1"/>
            </w14:solidFill>
          </w14:textFill>
        </w:rPr>
        <w:t xml:space="preserve">                                       </w:t>
      </w:r>
      <w:r>
        <w:rPr>
          <w:rFonts w:hint="eastAsia" w:hAnsi="宋体" w:cs="宋体"/>
          <w:color w:val="000000" w:themeColor="text1"/>
          <w:sz w:val="24"/>
          <w:szCs w:val="24"/>
          <w:highlight w:val="none"/>
          <w:u w:val="single"/>
          <w:lang w:val="en-US" w:eastAsia="zh-CN"/>
          <w14:textFill>
            <w14:solidFill>
              <w14:schemeClr w14:val="tx1"/>
            </w14:solidFill>
          </w14:textFill>
        </w:rPr>
        <w:t xml:space="preserve">    </w:t>
      </w:r>
    </w:p>
    <w:p>
      <w:pPr>
        <w:rPr>
          <w:rFonts w:ascii="宋体" w:hAnsi="宋体" w:cs="宋体"/>
          <w:color w:val="000000" w:themeColor="text1"/>
          <w:highlight w:val="none"/>
          <w14:textFill>
            <w14:solidFill>
              <w14:schemeClr w14:val="tx1"/>
            </w14:solidFill>
          </w14:textFill>
        </w:rPr>
      </w:pPr>
    </w:p>
    <w:p>
      <w:pPr>
        <w:rPr>
          <w:rFonts w:ascii="宋体" w:hAnsi="宋体" w:cs="宋体"/>
          <w:color w:val="000000" w:themeColor="text1"/>
          <w:highlight w:val="none"/>
          <w14:textFill>
            <w14:solidFill>
              <w14:schemeClr w14:val="tx1"/>
            </w14:solidFill>
          </w14:textFill>
        </w:rPr>
      </w:pPr>
    </w:p>
    <w:p>
      <w:pPr>
        <w:rPr>
          <w:rFonts w:ascii="宋体" w:hAnsi="宋体" w:cs="宋体"/>
          <w:color w:val="000000" w:themeColor="text1"/>
          <w:highlight w:val="none"/>
          <w14:textFill>
            <w14:solidFill>
              <w14:schemeClr w14:val="tx1"/>
            </w14:solidFill>
          </w14:textFill>
        </w:rPr>
      </w:pPr>
    </w:p>
    <w:p>
      <w:pPr>
        <w:rPr>
          <w:rFonts w:ascii="宋体" w:hAnsi="宋体" w:cs="宋体"/>
          <w:color w:val="000000" w:themeColor="text1"/>
          <w:highlight w:val="none"/>
          <w14:textFill>
            <w14:solidFill>
              <w14:schemeClr w14:val="tx1"/>
            </w14:solidFill>
          </w14:textFill>
        </w:rPr>
      </w:pPr>
    </w:p>
    <w:p>
      <w:pPr>
        <w:rPr>
          <w:rFonts w:ascii="宋体" w:hAnsi="宋体" w:cs="宋体"/>
          <w:color w:val="000000" w:themeColor="text1"/>
          <w:highlight w:val="none"/>
          <w14:textFill>
            <w14:solidFill>
              <w14:schemeClr w14:val="tx1"/>
            </w14:solidFill>
          </w14:textFill>
        </w:rPr>
      </w:pPr>
    </w:p>
    <w:p>
      <w:pPr>
        <w:rPr>
          <w:rFonts w:ascii="宋体" w:hAnsi="宋体" w:cs="宋体"/>
          <w:color w:val="000000" w:themeColor="text1"/>
          <w:highlight w:val="none"/>
          <w14:textFill>
            <w14:solidFill>
              <w14:schemeClr w14:val="tx1"/>
            </w14:solidFill>
          </w14:textFill>
        </w:rPr>
      </w:pPr>
    </w:p>
    <w:p>
      <w:pPr>
        <w:pStyle w:val="20"/>
        <w:spacing w:line="360" w:lineRule="exact"/>
        <w:jc w:val="left"/>
        <w:rPr>
          <w:rFonts w:hAnsi="宋体" w:cs="宋体"/>
          <w:b/>
          <w:bCs/>
          <w:color w:val="000000" w:themeColor="text1"/>
          <w:highlight w:val="none"/>
          <w14:textFill>
            <w14:solidFill>
              <w14:schemeClr w14:val="tx1"/>
            </w14:solidFill>
          </w14:textFill>
        </w:rPr>
      </w:pPr>
      <w:r>
        <w:rPr>
          <w:rFonts w:hint="eastAsia" w:hAnsi="宋体" w:cs="宋体"/>
          <w:b/>
          <w:bCs/>
          <w:color w:val="000000" w:themeColor="text1"/>
          <w:highlight w:val="none"/>
          <w14:textFill>
            <w14:solidFill>
              <w14:schemeClr w14:val="tx1"/>
            </w14:solidFill>
          </w14:textFill>
        </w:rPr>
        <w:t>说明：</w:t>
      </w:r>
    </w:p>
    <w:p>
      <w:pPr>
        <w:pStyle w:val="20"/>
        <w:spacing w:line="360" w:lineRule="exact"/>
        <w:ind w:left="315" w:hanging="315" w:hangingChars="150"/>
        <w:jc w:val="left"/>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投标人必须仔细阅读招标文件中所有技术规范条款和相关功能要求，并对所有技术规范和功能偏离的条目列入响应表。投标人必须根据所投产品和服务的实际情况如实填写，评标委员会如发现有虚假描述的，或仅注明“符合”、“满足”或简单复制招标文件要求，该投标文件视为无效。</w:t>
      </w:r>
    </w:p>
    <w:p>
      <w:pPr>
        <w:pStyle w:val="20"/>
        <w:spacing w:line="360" w:lineRule="exact"/>
        <w:ind w:left="315" w:hanging="315" w:hangingChars="150"/>
        <w:jc w:val="left"/>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2、投标人根据项目要求添加的设备、材料等也请列出。</w:t>
      </w:r>
    </w:p>
    <w:p>
      <w:pPr>
        <w:pStyle w:val="20"/>
        <w:spacing w:line="360" w:lineRule="exact"/>
        <w:ind w:left="315" w:hanging="315" w:hangingChars="150"/>
        <w:jc w:val="left"/>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3、是否偏离用符号“+、=、-”分别表示正偏离、完全响应、负偏离。</w:t>
      </w:r>
    </w:p>
    <w:p>
      <w:pPr>
        <w:spacing w:line="400" w:lineRule="exac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br w:type="page"/>
      </w:r>
    </w:p>
    <w:p>
      <w:pPr>
        <w:jc w:val="center"/>
        <w:rPr>
          <w:rFonts w:ascii="宋体" w:hAnsi="宋体" w:cs="宋体"/>
          <w:b/>
          <w:color w:val="000000" w:themeColor="text1"/>
          <w:sz w:val="32"/>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产品配置清单（格式）</w:t>
      </w:r>
    </w:p>
    <w:tbl>
      <w:tblPr>
        <w:tblStyle w:val="40"/>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5"/>
        <w:gridCol w:w="1681"/>
        <w:gridCol w:w="839"/>
        <w:gridCol w:w="1281"/>
        <w:gridCol w:w="1419"/>
        <w:gridCol w:w="2227"/>
        <w:gridCol w:w="1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3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序号</w:t>
            </w: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产品名称</w:t>
            </w:r>
          </w:p>
        </w:tc>
        <w:tc>
          <w:tcPr>
            <w:tcW w:w="83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品牌</w:t>
            </w:r>
          </w:p>
        </w:tc>
        <w:tc>
          <w:tcPr>
            <w:tcW w:w="128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规格型号</w:t>
            </w: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单位及数量</w:t>
            </w:r>
          </w:p>
        </w:tc>
        <w:tc>
          <w:tcPr>
            <w:tcW w:w="222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性能及指标</w:t>
            </w: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产地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35" w:type="dxa"/>
            <w:tcBorders>
              <w:top w:val="single" w:color="auto" w:sz="4" w:space="0"/>
              <w:left w:val="single" w:color="auto" w:sz="4" w:space="0"/>
              <w:bottom w:val="single" w:color="auto" w:sz="4" w:space="0"/>
              <w:right w:val="single" w:color="auto" w:sz="4" w:space="0"/>
            </w:tcBorders>
            <w:vAlign w:val="center"/>
          </w:tcPr>
          <w:p>
            <w:pPr>
              <w:pStyle w:val="20"/>
              <w:snapToGrid w:val="0"/>
              <w:jc w:val="center"/>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w:t>
            </w: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themeColor="text1"/>
                <w:sz w:val="24"/>
                <w:highlight w:val="none"/>
                <w14:textFill>
                  <w14:solidFill>
                    <w14:schemeClr w14:val="tx1"/>
                  </w14:solidFill>
                </w14:textFill>
              </w:rPr>
            </w:pPr>
          </w:p>
        </w:tc>
        <w:tc>
          <w:tcPr>
            <w:tcW w:w="83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themeColor="text1"/>
                <w:sz w:val="24"/>
                <w:highlight w:val="none"/>
                <w14:textFill>
                  <w14:solidFill>
                    <w14:schemeClr w14:val="tx1"/>
                  </w14:solidFill>
                </w14:textFill>
              </w:rPr>
            </w:pPr>
          </w:p>
        </w:tc>
        <w:tc>
          <w:tcPr>
            <w:tcW w:w="128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themeColor="text1"/>
                <w:sz w:val="24"/>
                <w:highlight w:val="none"/>
                <w14:textFill>
                  <w14:solidFill>
                    <w14:schemeClr w14:val="tx1"/>
                  </w14:solidFill>
                </w14:textFill>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themeColor="text1"/>
                <w:sz w:val="24"/>
                <w:highlight w:val="none"/>
                <w14:textFill>
                  <w14:solidFill>
                    <w14:schemeClr w14:val="tx1"/>
                  </w14:solidFill>
                </w14:textFill>
              </w:rPr>
            </w:pPr>
          </w:p>
        </w:tc>
        <w:tc>
          <w:tcPr>
            <w:tcW w:w="222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themeColor="text1"/>
                <w:sz w:val="24"/>
                <w:highlight w:val="none"/>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35" w:type="dxa"/>
            <w:tcBorders>
              <w:top w:val="single" w:color="auto" w:sz="4" w:space="0"/>
              <w:left w:val="single" w:color="auto" w:sz="4" w:space="0"/>
              <w:bottom w:val="single" w:color="auto" w:sz="4" w:space="0"/>
              <w:right w:val="single" w:color="auto" w:sz="4" w:space="0"/>
            </w:tcBorders>
            <w:vAlign w:val="center"/>
          </w:tcPr>
          <w:p>
            <w:pPr>
              <w:pStyle w:val="20"/>
              <w:snapToGrid w:val="0"/>
              <w:jc w:val="center"/>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2</w:t>
            </w: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themeColor="text1"/>
                <w:sz w:val="24"/>
                <w:highlight w:val="none"/>
                <w14:textFill>
                  <w14:solidFill>
                    <w14:schemeClr w14:val="tx1"/>
                  </w14:solidFill>
                </w14:textFill>
              </w:rPr>
            </w:pPr>
          </w:p>
        </w:tc>
        <w:tc>
          <w:tcPr>
            <w:tcW w:w="83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themeColor="text1"/>
                <w:sz w:val="24"/>
                <w:highlight w:val="none"/>
                <w14:textFill>
                  <w14:solidFill>
                    <w14:schemeClr w14:val="tx1"/>
                  </w14:solidFill>
                </w14:textFill>
              </w:rPr>
            </w:pPr>
          </w:p>
        </w:tc>
        <w:tc>
          <w:tcPr>
            <w:tcW w:w="128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themeColor="text1"/>
                <w:sz w:val="24"/>
                <w:highlight w:val="none"/>
                <w14:textFill>
                  <w14:solidFill>
                    <w14:schemeClr w14:val="tx1"/>
                  </w14:solidFill>
                </w14:textFill>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themeColor="text1"/>
                <w:sz w:val="24"/>
                <w:highlight w:val="none"/>
                <w14:textFill>
                  <w14:solidFill>
                    <w14:schemeClr w14:val="tx1"/>
                  </w14:solidFill>
                </w14:textFill>
              </w:rPr>
            </w:pPr>
          </w:p>
        </w:tc>
        <w:tc>
          <w:tcPr>
            <w:tcW w:w="222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themeColor="text1"/>
                <w:sz w:val="24"/>
                <w:highlight w:val="none"/>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35" w:type="dxa"/>
            <w:tcBorders>
              <w:top w:val="single" w:color="auto" w:sz="4" w:space="0"/>
              <w:left w:val="single" w:color="auto" w:sz="4" w:space="0"/>
              <w:bottom w:val="single" w:color="auto" w:sz="4" w:space="0"/>
              <w:right w:val="single" w:color="auto" w:sz="4" w:space="0"/>
            </w:tcBorders>
            <w:vAlign w:val="center"/>
          </w:tcPr>
          <w:p>
            <w:pPr>
              <w:pStyle w:val="20"/>
              <w:snapToGrid w:val="0"/>
              <w:jc w:val="center"/>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3</w:t>
            </w: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themeColor="text1"/>
                <w:sz w:val="24"/>
                <w:highlight w:val="none"/>
                <w14:textFill>
                  <w14:solidFill>
                    <w14:schemeClr w14:val="tx1"/>
                  </w14:solidFill>
                </w14:textFill>
              </w:rPr>
            </w:pPr>
          </w:p>
        </w:tc>
        <w:tc>
          <w:tcPr>
            <w:tcW w:w="83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themeColor="text1"/>
                <w:sz w:val="24"/>
                <w:highlight w:val="none"/>
                <w14:textFill>
                  <w14:solidFill>
                    <w14:schemeClr w14:val="tx1"/>
                  </w14:solidFill>
                </w14:textFill>
              </w:rPr>
            </w:pPr>
          </w:p>
        </w:tc>
        <w:tc>
          <w:tcPr>
            <w:tcW w:w="128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themeColor="text1"/>
                <w:sz w:val="24"/>
                <w:highlight w:val="none"/>
                <w14:textFill>
                  <w14:solidFill>
                    <w14:schemeClr w14:val="tx1"/>
                  </w14:solidFill>
                </w14:textFill>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themeColor="text1"/>
                <w:sz w:val="24"/>
                <w:highlight w:val="none"/>
                <w14:textFill>
                  <w14:solidFill>
                    <w14:schemeClr w14:val="tx1"/>
                  </w14:solidFill>
                </w14:textFill>
              </w:rPr>
            </w:pPr>
          </w:p>
        </w:tc>
        <w:tc>
          <w:tcPr>
            <w:tcW w:w="222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themeColor="text1"/>
                <w:sz w:val="24"/>
                <w:highlight w:val="none"/>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35" w:type="dxa"/>
            <w:tcBorders>
              <w:top w:val="single" w:color="auto" w:sz="4" w:space="0"/>
              <w:left w:val="single" w:color="auto" w:sz="4" w:space="0"/>
              <w:bottom w:val="single" w:color="auto" w:sz="4" w:space="0"/>
              <w:right w:val="single" w:color="auto" w:sz="4" w:space="0"/>
            </w:tcBorders>
            <w:vAlign w:val="center"/>
          </w:tcPr>
          <w:p>
            <w:pPr>
              <w:pStyle w:val="20"/>
              <w:snapToGrid w:val="0"/>
              <w:jc w:val="center"/>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w:t>
            </w: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themeColor="text1"/>
                <w:sz w:val="24"/>
                <w:highlight w:val="none"/>
                <w14:textFill>
                  <w14:solidFill>
                    <w14:schemeClr w14:val="tx1"/>
                  </w14:solidFill>
                </w14:textFill>
              </w:rPr>
            </w:pPr>
          </w:p>
        </w:tc>
        <w:tc>
          <w:tcPr>
            <w:tcW w:w="83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themeColor="text1"/>
                <w:sz w:val="24"/>
                <w:highlight w:val="none"/>
                <w14:textFill>
                  <w14:solidFill>
                    <w14:schemeClr w14:val="tx1"/>
                  </w14:solidFill>
                </w14:textFill>
              </w:rPr>
            </w:pPr>
          </w:p>
        </w:tc>
        <w:tc>
          <w:tcPr>
            <w:tcW w:w="128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themeColor="text1"/>
                <w:sz w:val="24"/>
                <w:highlight w:val="none"/>
                <w14:textFill>
                  <w14:solidFill>
                    <w14:schemeClr w14:val="tx1"/>
                  </w14:solidFill>
                </w14:textFill>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themeColor="text1"/>
                <w:sz w:val="24"/>
                <w:highlight w:val="none"/>
                <w14:textFill>
                  <w14:solidFill>
                    <w14:schemeClr w14:val="tx1"/>
                  </w14:solidFill>
                </w14:textFill>
              </w:rPr>
            </w:pPr>
          </w:p>
        </w:tc>
        <w:tc>
          <w:tcPr>
            <w:tcW w:w="222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themeColor="text1"/>
                <w:sz w:val="24"/>
                <w:highlight w:val="none"/>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35" w:type="dxa"/>
            <w:tcBorders>
              <w:top w:val="single" w:color="auto" w:sz="4" w:space="0"/>
              <w:left w:val="single" w:color="auto" w:sz="4" w:space="0"/>
              <w:bottom w:val="single" w:color="auto" w:sz="4" w:space="0"/>
              <w:right w:val="single" w:color="auto" w:sz="4" w:space="0"/>
            </w:tcBorders>
            <w:vAlign w:val="center"/>
          </w:tcPr>
          <w:p>
            <w:pPr>
              <w:pStyle w:val="20"/>
              <w:snapToGrid w:val="0"/>
              <w:jc w:val="center"/>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5</w:t>
            </w: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themeColor="text1"/>
                <w:sz w:val="24"/>
                <w:highlight w:val="none"/>
                <w14:textFill>
                  <w14:solidFill>
                    <w14:schemeClr w14:val="tx1"/>
                  </w14:solidFill>
                </w14:textFill>
              </w:rPr>
            </w:pPr>
          </w:p>
        </w:tc>
        <w:tc>
          <w:tcPr>
            <w:tcW w:w="83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themeColor="text1"/>
                <w:sz w:val="24"/>
                <w:highlight w:val="none"/>
                <w14:textFill>
                  <w14:solidFill>
                    <w14:schemeClr w14:val="tx1"/>
                  </w14:solidFill>
                </w14:textFill>
              </w:rPr>
            </w:pPr>
          </w:p>
        </w:tc>
        <w:tc>
          <w:tcPr>
            <w:tcW w:w="128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themeColor="text1"/>
                <w:sz w:val="24"/>
                <w:highlight w:val="none"/>
                <w14:textFill>
                  <w14:solidFill>
                    <w14:schemeClr w14:val="tx1"/>
                  </w14:solidFill>
                </w14:textFill>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themeColor="text1"/>
                <w:sz w:val="24"/>
                <w:highlight w:val="none"/>
                <w14:textFill>
                  <w14:solidFill>
                    <w14:schemeClr w14:val="tx1"/>
                  </w14:solidFill>
                </w14:textFill>
              </w:rPr>
            </w:pPr>
          </w:p>
        </w:tc>
        <w:tc>
          <w:tcPr>
            <w:tcW w:w="222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themeColor="text1"/>
                <w:sz w:val="24"/>
                <w:highlight w:val="none"/>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35" w:type="dxa"/>
            <w:tcBorders>
              <w:top w:val="single" w:color="auto" w:sz="4" w:space="0"/>
              <w:left w:val="single" w:color="auto" w:sz="4" w:space="0"/>
              <w:bottom w:val="single" w:color="auto" w:sz="4" w:space="0"/>
              <w:right w:val="single" w:color="auto" w:sz="4" w:space="0"/>
            </w:tcBorders>
            <w:vAlign w:val="center"/>
          </w:tcPr>
          <w:p>
            <w:pPr>
              <w:pStyle w:val="20"/>
              <w:snapToGrid w:val="0"/>
              <w:jc w:val="center"/>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w:t>
            </w: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themeColor="text1"/>
                <w:sz w:val="24"/>
                <w:highlight w:val="none"/>
                <w14:textFill>
                  <w14:solidFill>
                    <w14:schemeClr w14:val="tx1"/>
                  </w14:solidFill>
                </w14:textFill>
              </w:rPr>
            </w:pPr>
          </w:p>
        </w:tc>
        <w:tc>
          <w:tcPr>
            <w:tcW w:w="83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themeColor="text1"/>
                <w:sz w:val="24"/>
                <w:highlight w:val="none"/>
                <w14:textFill>
                  <w14:solidFill>
                    <w14:schemeClr w14:val="tx1"/>
                  </w14:solidFill>
                </w14:textFill>
              </w:rPr>
            </w:pPr>
          </w:p>
        </w:tc>
        <w:tc>
          <w:tcPr>
            <w:tcW w:w="128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themeColor="text1"/>
                <w:sz w:val="24"/>
                <w:highlight w:val="none"/>
                <w14:textFill>
                  <w14:solidFill>
                    <w14:schemeClr w14:val="tx1"/>
                  </w14:solidFill>
                </w14:textFill>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themeColor="text1"/>
                <w:sz w:val="24"/>
                <w:highlight w:val="none"/>
                <w14:textFill>
                  <w14:solidFill>
                    <w14:schemeClr w14:val="tx1"/>
                  </w14:solidFill>
                </w14:textFill>
              </w:rPr>
            </w:pPr>
          </w:p>
        </w:tc>
        <w:tc>
          <w:tcPr>
            <w:tcW w:w="222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themeColor="text1"/>
                <w:sz w:val="24"/>
                <w:highlight w:val="none"/>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themeColor="text1"/>
                <w:sz w:val="24"/>
                <w:highlight w:val="none"/>
                <w14:textFill>
                  <w14:solidFill>
                    <w14:schemeClr w14:val="tx1"/>
                  </w14:solidFill>
                </w14:textFill>
              </w:rPr>
            </w:pPr>
          </w:p>
        </w:tc>
      </w:tr>
    </w:tbl>
    <w:p>
      <w:pPr>
        <w:rPr>
          <w:rFonts w:ascii="宋体" w:hAnsi="宋体" w:cs="宋体"/>
          <w:color w:val="000000" w:themeColor="text1"/>
          <w:sz w:val="24"/>
          <w:highlight w:val="none"/>
          <w14:textFill>
            <w14:solidFill>
              <w14:schemeClr w14:val="tx1"/>
            </w14:solidFill>
          </w14:textFill>
        </w:rPr>
      </w:pPr>
    </w:p>
    <w:p>
      <w:pPr>
        <w:rPr>
          <w:rFonts w:ascii="宋体" w:hAnsi="宋体" w:cs="宋体"/>
          <w:color w:val="000000" w:themeColor="text1"/>
          <w:sz w:val="24"/>
          <w:highlight w:val="none"/>
          <w14:textFill>
            <w14:solidFill>
              <w14:schemeClr w14:val="tx1"/>
            </w14:solidFill>
          </w14:textFill>
        </w:rPr>
      </w:pPr>
    </w:p>
    <w:p>
      <w:pPr>
        <w:pStyle w:val="20"/>
        <w:spacing w:line="600" w:lineRule="exact"/>
        <w:ind w:firstLine="3060"/>
        <w:rPr>
          <w:rFonts w:hAnsi="宋体" w:cs="宋体"/>
          <w:color w:val="000000" w:themeColor="text1"/>
          <w:sz w:val="24"/>
          <w:szCs w:val="24"/>
          <w:highlight w:val="none"/>
          <w:u w:val="singl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投标人（加盖公章）：</w:t>
      </w:r>
      <w:r>
        <w:rPr>
          <w:rFonts w:hint="eastAsia" w:hAnsi="宋体" w:cs="宋体"/>
          <w:color w:val="000000" w:themeColor="text1"/>
          <w:sz w:val="24"/>
          <w:szCs w:val="24"/>
          <w:highlight w:val="none"/>
          <w:u w:val="single"/>
          <w14:textFill>
            <w14:solidFill>
              <w14:schemeClr w14:val="tx1"/>
            </w14:solidFill>
          </w14:textFill>
        </w:rPr>
        <w:t xml:space="preserve">                      </w:t>
      </w:r>
      <w:r>
        <w:rPr>
          <w:rFonts w:hint="eastAsia" w:hAnsi="宋体" w:cs="宋体"/>
          <w:color w:val="000000" w:themeColor="text1"/>
          <w:sz w:val="24"/>
          <w:szCs w:val="24"/>
          <w:highlight w:val="none"/>
          <w:u w:val="single"/>
          <w:lang w:val="en-US" w:eastAsia="zh-CN"/>
          <w14:textFill>
            <w14:solidFill>
              <w14:schemeClr w14:val="tx1"/>
            </w14:solidFill>
          </w14:textFill>
        </w:rPr>
        <w:t xml:space="preserve">    </w:t>
      </w:r>
      <w:r>
        <w:rPr>
          <w:rFonts w:hint="eastAsia" w:hAnsi="宋体" w:cs="宋体"/>
          <w:color w:val="000000" w:themeColor="text1"/>
          <w:sz w:val="24"/>
          <w:szCs w:val="24"/>
          <w:highlight w:val="none"/>
          <w:u w:val="single"/>
          <w14:textFill>
            <w14:solidFill>
              <w14:schemeClr w14:val="tx1"/>
            </w14:solidFill>
          </w14:textFill>
        </w:rPr>
        <w:t xml:space="preserve">      </w:t>
      </w:r>
    </w:p>
    <w:p>
      <w:pPr>
        <w:pStyle w:val="20"/>
        <w:spacing w:line="600" w:lineRule="exact"/>
        <w:ind w:firstLine="306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法定代表人（负责人）或委托代理人签名：</w:t>
      </w:r>
      <w:r>
        <w:rPr>
          <w:rFonts w:hint="eastAsia" w:hAnsi="宋体" w:cs="宋体"/>
          <w:color w:val="000000" w:themeColor="text1"/>
          <w:sz w:val="24"/>
          <w:szCs w:val="24"/>
          <w:highlight w:val="none"/>
          <w:u w:val="single"/>
          <w14:textFill>
            <w14:solidFill>
              <w14:schemeClr w14:val="tx1"/>
            </w14:solidFill>
          </w14:textFill>
        </w:rPr>
        <w:t xml:space="preserve">              </w:t>
      </w:r>
    </w:p>
    <w:p>
      <w:pPr>
        <w:pStyle w:val="20"/>
        <w:spacing w:line="600" w:lineRule="exact"/>
        <w:ind w:firstLine="3060"/>
        <w:rPr>
          <w:rFonts w:hAnsi="宋体" w:cs="宋体"/>
          <w:color w:val="000000" w:themeColor="text1"/>
          <w:sz w:val="24"/>
          <w:szCs w:val="24"/>
          <w:highlight w:val="none"/>
          <w:u w:val="singl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投标日期：</w:t>
      </w:r>
      <w:r>
        <w:rPr>
          <w:rFonts w:hint="eastAsia" w:hAnsi="宋体" w:cs="宋体"/>
          <w:color w:val="000000" w:themeColor="text1"/>
          <w:sz w:val="24"/>
          <w:szCs w:val="24"/>
          <w:highlight w:val="none"/>
          <w:u w:val="single"/>
          <w14:textFill>
            <w14:solidFill>
              <w14:schemeClr w14:val="tx1"/>
            </w14:solidFill>
          </w14:textFill>
        </w:rPr>
        <w:t xml:space="preserve">                                   </w:t>
      </w:r>
      <w:r>
        <w:rPr>
          <w:rFonts w:hint="eastAsia" w:hAnsi="宋体" w:cs="宋体"/>
          <w:color w:val="000000" w:themeColor="text1"/>
          <w:sz w:val="24"/>
          <w:szCs w:val="24"/>
          <w:highlight w:val="none"/>
          <w:u w:val="single"/>
          <w:lang w:val="en-US" w:eastAsia="zh-CN"/>
          <w14:textFill>
            <w14:solidFill>
              <w14:schemeClr w14:val="tx1"/>
            </w14:solidFill>
          </w14:textFill>
        </w:rPr>
        <w:t xml:space="preserve">     </w:t>
      </w:r>
      <w:r>
        <w:rPr>
          <w:rFonts w:hint="eastAsia" w:hAnsi="宋体" w:cs="宋体"/>
          <w:color w:val="000000" w:themeColor="text1"/>
          <w:sz w:val="24"/>
          <w:szCs w:val="24"/>
          <w:highlight w:val="none"/>
          <w:u w:val="single"/>
          <w14:textFill>
            <w14:solidFill>
              <w14:schemeClr w14:val="tx1"/>
            </w14:solidFill>
          </w14:textFill>
        </w:rPr>
        <w:t xml:space="preserve">  </w:t>
      </w:r>
    </w:p>
    <w:p>
      <w:pPr>
        <w:spacing w:line="400" w:lineRule="exact"/>
        <w:ind w:firstLine="210" w:firstLineChars="100"/>
        <w:rPr>
          <w:rFonts w:ascii="宋体" w:hAnsi="宋体" w:cs="宋体"/>
          <w:color w:val="000000" w:themeColor="text1"/>
          <w:highlight w:val="none"/>
          <w:u w:val="single"/>
          <w14:textFill>
            <w14:solidFill>
              <w14:schemeClr w14:val="tx1"/>
            </w14:solidFill>
          </w14:textFill>
        </w:rPr>
      </w:pPr>
    </w:p>
    <w:p>
      <w:pPr>
        <w:spacing w:line="460" w:lineRule="exact"/>
        <w:ind w:left="482" w:hanging="482" w:hangingChars="150"/>
        <w:jc w:val="center"/>
        <w:rPr>
          <w:rFonts w:ascii="宋体" w:hAnsi="宋体" w:cs="宋体"/>
          <w:b/>
          <w:bCs/>
          <w:color w:val="000000" w:themeColor="text1"/>
          <w:sz w:val="32"/>
          <w:szCs w:val="32"/>
          <w:highlight w:val="none"/>
          <w14:textFill>
            <w14:solidFill>
              <w14:schemeClr w14:val="tx1"/>
            </w14:solidFill>
          </w14:textFill>
        </w:rPr>
      </w:pPr>
    </w:p>
    <w:p>
      <w:pPr>
        <w:spacing w:line="460" w:lineRule="exact"/>
        <w:ind w:left="482" w:hanging="482" w:hangingChars="150"/>
        <w:jc w:val="center"/>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br w:type="page"/>
      </w:r>
      <w:r>
        <w:rPr>
          <w:rFonts w:hint="eastAsia" w:ascii="宋体" w:hAnsi="宋体" w:cs="宋体"/>
          <w:b/>
          <w:bCs/>
          <w:color w:val="000000" w:themeColor="text1"/>
          <w:sz w:val="32"/>
          <w:szCs w:val="32"/>
          <w:highlight w:val="none"/>
          <w14:textFill>
            <w14:solidFill>
              <w14:schemeClr w14:val="tx1"/>
            </w14:solidFill>
          </w14:textFill>
        </w:rPr>
        <w:t>售后服务方案</w:t>
      </w:r>
    </w:p>
    <w:p>
      <w:pPr>
        <w:spacing w:line="460" w:lineRule="exact"/>
        <w:ind w:left="482" w:hanging="482" w:hangingChars="15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格式自议，</w:t>
      </w:r>
      <w:r>
        <w:rPr>
          <w:rFonts w:hint="eastAsia" w:ascii="宋体" w:hAnsi="宋体" w:cs="宋体"/>
          <w:color w:val="000000" w:themeColor="text1"/>
          <w:highlight w:val="none"/>
          <w14:textFill>
            <w14:solidFill>
              <w14:schemeClr w14:val="tx1"/>
            </w14:solidFill>
          </w14:textFill>
        </w:rPr>
        <w:t>投标人根据本项目要求及自己的实际情况自行编写，内容包括质保期、本地化服务、技术培训及指导、负责售后维修的主管人员情况、解决故障的响应时间等</w:t>
      </w:r>
      <w:r>
        <w:rPr>
          <w:rFonts w:hint="eastAsia" w:ascii="宋体" w:hAnsi="宋体" w:cs="宋体"/>
          <w:b/>
          <w:bCs/>
          <w:color w:val="000000" w:themeColor="text1"/>
          <w:sz w:val="32"/>
          <w:szCs w:val="32"/>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 xml:space="preserve"> </w:t>
      </w:r>
    </w:p>
    <w:p>
      <w:pPr>
        <w:spacing w:line="460" w:lineRule="exact"/>
        <w:ind w:left="315" w:hanging="315" w:hangingChars="15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br w:type="page"/>
      </w:r>
    </w:p>
    <w:p>
      <w:pPr>
        <w:pStyle w:val="35"/>
        <w:shd w:val="clear" w:color="auto" w:fill="FFFFFF"/>
        <w:spacing w:before="0" w:beforeAutospacing="0" w:after="0" w:afterAutospacing="0" w:line="400" w:lineRule="exact"/>
        <w:rPr>
          <w:bCs/>
          <w:color w:val="000000" w:themeColor="text1"/>
          <w:sz w:val="28"/>
          <w:szCs w:val="28"/>
          <w:highlight w:val="none"/>
          <w14:textFill>
            <w14:solidFill>
              <w14:schemeClr w14:val="tx1"/>
            </w14:solidFill>
          </w14:textFill>
        </w:rPr>
      </w:pPr>
      <w:r>
        <w:rPr>
          <w:rFonts w:hint="eastAsia"/>
          <w:bCs/>
          <w:color w:val="000000" w:themeColor="text1"/>
          <w:sz w:val="28"/>
          <w:szCs w:val="28"/>
          <w:highlight w:val="none"/>
          <w14:textFill>
            <w14:solidFill>
              <w14:schemeClr w14:val="tx1"/>
            </w14:solidFill>
          </w14:textFill>
        </w:rPr>
        <w:t>《中小企业声明函》格式（不符合《政府采购促进中小企业发展暂行办法》的供应商不需填写）</w:t>
      </w:r>
    </w:p>
    <w:p>
      <w:pPr>
        <w:pStyle w:val="35"/>
        <w:shd w:val="clear" w:color="auto" w:fill="FFFFFF"/>
        <w:spacing w:before="0" w:beforeAutospacing="0" w:after="0" w:afterAutospacing="0" w:line="400" w:lineRule="exact"/>
        <w:jc w:val="center"/>
        <w:rPr>
          <w:rStyle w:val="43"/>
          <w:color w:val="000000" w:themeColor="text1"/>
          <w:sz w:val="32"/>
          <w:szCs w:val="32"/>
          <w:highlight w:val="none"/>
          <w14:textFill>
            <w14:solidFill>
              <w14:schemeClr w14:val="tx1"/>
            </w14:solidFill>
          </w14:textFill>
        </w:rPr>
      </w:pPr>
    </w:p>
    <w:p>
      <w:pPr>
        <w:pStyle w:val="35"/>
        <w:shd w:val="clear" w:color="auto" w:fill="FFFFFF"/>
        <w:spacing w:before="0" w:beforeAutospacing="0" w:after="0" w:afterAutospacing="0" w:line="400" w:lineRule="exact"/>
        <w:jc w:val="center"/>
        <w:rPr>
          <w:rStyle w:val="43"/>
          <w:color w:val="000000" w:themeColor="text1"/>
          <w:sz w:val="32"/>
          <w:szCs w:val="32"/>
          <w:highlight w:val="none"/>
          <w14:textFill>
            <w14:solidFill>
              <w14:schemeClr w14:val="tx1"/>
            </w14:solidFill>
          </w14:textFill>
        </w:rPr>
      </w:pPr>
      <w:r>
        <w:rPr>
          <w:rStyle w:val="43"/>
          <w:rFonts w:hint="eastAsia"/>
          <w:color w:val="000000" w:themeColor="text1"/>
          <w:sz w:val="32"/>
          <w:szCs w:val="32"/>
          <w:highlight w:val="none"/>
          <w14:textFill>
            <w14:solidFill>
              <w14:schemeClr w14:val="tx1"/>
            </w14:solidFill>
          </w14:textFill>
        </w:rPr>
        <w:t>中小企业声明函</w:t>
      </w:r>
    </w:p>
    <w:p>
      <w:pPr>
        <w:pStyle w:val="35"/>
        <w:shd w:val="clear" w:color="auto" w:fill="FFFFFF"/>
        <w:spacing w:before="0" w:beforeAutospacing="0" w:after="0" w:afterAutospacing="0" w:line="400" w:lineRule="exact"/>
        <w:jc w:val="center"/>
        <w:rPr>
          <w:color w:val="000000" w:themeColor="text1"/>
          <w:sz w:val="32"/>
          <w:szCs w:val="32"/>
          <w:highlight w:val="none"/>
          <w14:textFill>
            <w14:solidFill>
              <w14:schemeClr w14:val="tx1"/>
            </w14:solidFill>
          </w14:textFill>
        </w:rPr>
      </w:pPr>
    </w:p>
    <w:p>
      <w:pPr>
        <w:pStyle w:val="35"/>
        <w:shd w:val="clear" w:color="auto" w:fill="FFFFFF"/>
        <w:spacing w:before="0" w:beforeAutospacing="0" w:after="0" w:afterAutospacing="0" w:line="460" w:lineRule="exact"/>
        <w:ind w:firstLine="539"/>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本公司郑重声明，根据《政府采购促进中小企业发展暂行办法》（财库〔2011〕181号）的规定，本公司为</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（请填写：中型、小型、微型）企业。即，本公司同时满足以下条件：</w:t>
      </w:r>
    </w:p>
    <w:p>
      <w:pPr>
        <w:pStyle w:val="35"/>
        <w:shd w:val="clear" w:color="auto" w:fill="FFFFFF"/>
        <w:spacing w:before="0" w:beforeAutospacing="0" w:after="0" w:afterAutospacing="0" w:line="460" w:lineRule="exact"/>
        <w:ind w:firstLine="539"/>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1.根据《工业和信息化部、国家统计局、国家发展和改革委员会、财政部关于印发中小企业划型标准规定的通知》（工信部联企业〔2011〕300号）规定的划分标准，本公司为</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（请填写：中型、小型、微型）企业。</w:t>
      </w:r>
    </w:p>
    <w:p>
      <w:pPr>
        <w:pStyle w:val="35"/>
        <w:shd w:val="clear" w:color="auto" w:fill="FFFFFF"/>
        <w:spacing w:before="0" w:beforeAutospacing="0" w:after="0" w:afterAutospacing="0" w:line="460" w:lineRule="exact"/>
        <w:ind w:firstLine="539"/>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2.本公司参加</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单位的</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项目采购活动提供本企业制造的货物，由本企业承担工程、提供服务，或者提供其他</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（请填写：中型、小型、微型）企业制造的货物。本条所称货物不包括使用大型企业注册商标的货物。</w:t>
      </w:r>
    </w:p>
    <w:p>
      <w:pPr>
        <w:pStyle w:val="35"/>
        <w:shd w:val="clear" w:color="auto" w:fill="FFFFFF"/>
        <w:spacing w:before="0" w:beforeAutospacing="0" w:after="0" w:afterAutospacing="0" w:line="460" w:lineRule="exact"/>
        <w:ind w:firstLine="539"/>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本公司对上述声明的真实性负责。如有虚假，将依法承担相应责任。</w:t>
      </w:r>
    </w:p>
    <w:p>
      <w:pPr>
        <w:pStyle w:val="35"/>
        <w:shd w:val="clear" w:color="auto" w:fill="FFFFFF"/>
        <w:spacing w:before="0" w:beforeAutospacing="0" w:after="0" w:afterAutospacing="0" w:line="460" w:lineRule="exact"/>
        <w:ind w:firstLine="539"/>
        <w:rPr>
          <w:color w:val="000000" w:themeColor="text1"/>
          <w:highlight w:val="none"/>
          <w14:textFill>
            <w14:solidFill>
              <w14:schemeClr w14:val="tx1"/>
            </w14:solidFill>
          </w14:textFill>
        </w:rPr>
      </w:pPr>
    </w:p>
    <w:p>
      <w:pPr>
        <w:pStyle w:val="35"/>
        <w:shd w:val="clear" w:color="auto" w:fill="FFFFFF"/>
        <w:spacing w:before="0" w:beforeAutospacing="0" w:after="0" w:afterAutospacing="0" w:line="460" w:lineRule="exact"/>
        <w:ind w:firstLine="414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企业名称（盖章）：</w:t>
      </w:r>
    </w:p>
    <w:p>
      <w:pPr>
        <w:pStyle w:val="35"/>
        <w:shd w:val="clear" w:color="auto" w:fill="FFFFFF"/>
        <w:spacing w:before="0" w:beforeAutospacing="0" w:after="0" w:afterAutospacing="0" w:line="460" w:lineRule="exact"/>
        <w:ind w:firstLine="414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日    期： </w:t>
      </w:r>
    </w:p>
    <w:p>
      <w:pPr>
        <w:spacing w:line="400" w:lineRule="exact"/>
        <w:ind w:firstLine="210" w:firstLineChars="100"/>
        <w:rPr>
          <w:rFonts w:ascii="宋体" w:hAnsi="宋体" w:cs="宋体"/>
          <w:color w:val="000000" w:themeColor="text1"/>
          <w:highlight w:val="none"/>
          <w14:textFill>
            <w14:solidFill>
              <w14:schemeClr w14:val="tx1"/>
            </w14:solidFill>
          </w14:textFill>
        </w:rPr>
      </w:pPr>
    </w:p>
    <w:p>
      <w:pPr>
        <w:spacing w:line="300" w:lineRule="exact"/>
        <w:ind w:left="315" w:hanging="315" w:hangingChars="150"/>
        <w:rPr>
          <w:rFonts w:ascii="宋体" w:hAnsi="宋体" w:cs="宋体"/>
          <w:color w:val="000000" w:themeColor="text1"/>
          <w:highlight w:val="none"/>
          <w14:textFill>
            <w14:solidFill>
              <w14:schemeClr w14:val="tx1"/>
            </w14:solidFill>
          </w14:textFill>
        </w:rPr>
      </w:pPr>
    </w:p>
    <w:p>
      <w:pPr>
        <w:spacing w:line="300" w:lineRule="exact"/>
        <w:ind w:left="315" w:hanging="315" w:hangingChars="150"/>
        <w:rPr>
          <w:rFonts w:ascii="宋体" w:hAnsi="宋体" w:cs="宋体"/>
          <w:color w:val="000000" w:themeColor="text1"/>
          <w:highlight w:val="none"/>
          <w14:textFill>
            <w14:solidFill>
              <w14:schemeClr w14:val="tx1"/>
            </w14:solidFill>
          </w14:textFill>
        </w:rPr>
      </w:pPr>
    </w:p>
    <w:p>
      <w:pPr>
        <w:spacing w:line="300" w:lineRule="exact"/>
        <w:ind w:left="315" w:hanging="315" w:hangingChars="150"/>
        <w:rPr>
          <w:rFonts w:ascii="宋体" w:hAnsi="宋体" w:cs="宋体"/>
          <w:color w:val="000000" w:themeColor="text1"/>
          <w:highlight w:val="none"/>
          <w14:textFill>
            <w14:solidFill>
              <w14:schemeClr w14:val="tx1"/>
            </w14:solidFill>
          </w14:textFill>
        </w:rPr>
      </w:pPr>
    </w:p>
    <w:p>
      <w:pPr>
        <w:spacing w:line="300" w:lineRule="exact"/>
        <w:ind w:left="315" w:hanging="315" w:hangingChars="150"/>
        <w:rPr>
          <w:rFonts w:ascii="宋体" w:hAnsi="宋体" w:cs="宋体"/>
          <w:color w:val="000000" w:themeColor="text1"/>
          <w:highlight w:val="none"/>
          <w14:textFill>
            <w14:solidFill>
              <w14:schemeClr w14:val="tx1"/>
            </w14:solidFill>
          </w14:textFill>
        </w:rPr>
      </w:pPr>
    </w:p>
    <w:p>
      <w:pPr>
        <w:spacing w:line="300" w:lineRule="exact"/>
        <w:ind w:left="315" w:hanging="315" w:hangingChars="150"/>
        <w:rPr>
          <w:rFonts w:ascii="宋体" w:hAnsi="宋体" w:cs="宋体"/>
          <w:color w:val="000000" w:themeColor="text1"/>
          <w:highlight w:val="none"/>
          <w14:textFill>
            <w14:solidFill>
              <w14:schemeClr w14:val="tx1"/>
            </w14:solidFill>
          </w14:textFill>
        </w:rPr>
      </w:pPr>
    </w:p>
    <w:p>
      <w:pPr>
        <w:spacing w:line="300" w:lineRule="exac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br w:type="page"/>
      </w:r>
    </w:p>
    <w:p>
      <w:pPr>
        <w:pStyle w:val="35"/>
        <w:shd w:val="clear" w:color="auto" w:fill="FFFFFF"/>
        <w:spacing w:before="0" w:beforeAutospacing="0" w:after="0" w:afterAutospacing="0" w:line="400" w:lineRule="exact"/>
        <w:rPr>
          <w:bCs/>
          <w:color w:val="000000" w:themeColor="text1"/>
          <w:sz w:val="28"/>
          <w:szCs w:val="28"/>
          <w:highlight w:val="none"/>
          <w14:textFill>
            <w14:solidFill>
              <w14:schemeClr w14:val="tx1"/>
            </w14:solidFill>
          </w14:textFill>
        </w:rPr>
      </w:pPr>
      <w:r>
        <w:rPr>
          <w:rFonts w:hint="eastAsia"/>
          <w:bCs/>
          <w:color w:val="000000" w:themeColor="text1"/>
          <w:sz w:val="28"/>
          <w:szCs w:val="28"/>
          <w:highlight w:val="none"/>
          <w14:textFill>
            <w14:solidFill>
              <w14:schemeClr w14:val="tx1"/>
            </w14:solidFill>
          </w14:textFill>
        </w:rPr>
        <w:t>《小型和微型企业价格扣除明细表》格式（不符合《政府采购促进中小企业发展暂行办法》的供应商不需填写）</w:t>
      </w:r>
    </w:p>
    <w:p>
      <w:pPr>
        <w:pStyle w:val="35"/>
        <w:shd w:val="clear" w:color="auto" w:fill="FFFFFF"/>
        <w:spacing w:before="0" w:beforeAutospacing="0" w:after="0" w:afterAutospacing="0" w:line="400" w:lineRule="exact"/>
        <w:rPr>
          <w:color w:val="000000" w:themeColor="text1"/>
          <w:highlight w:val="none"/>
          <w14:textFill>
            <w14:solidFill>
              <w14:schemeClr w14:val="tx1"/>
            </w14:solidFill>
          </w14:textFill>
        </w:rPr>
      </w:pPr>
    </w:p>
    <w:p>
      <w:pPr>
        <w:pStyle w:val="175"/>
        <w:shd w:val="clear" w:color="auto" w:fill="FFFFFF"/>
        <w:spacing w:before="0" w:beforeAutospacing="0" w:after="0" w:afterAutospacing="0"/>
        <w:ind w:left="1836" w:hanging="1424"/>
        <w:jc w:val="center"/>
        <w:rPr>
          <w:b/>
          <w:color w:val="000000" w:themeColor="text1"/>
          <w:sz w:val="32"/>
          <w:szCs w:val="32"/>
          <w:highlight w:val="none"/>
          <w14:textFill>
            <w14:solidFill>
              <w14:schemeClr w14:val="tx1"/>
            </w14:solidFill>
          </w14:textFill>
        </w:rPr>
      </w:pPr>
      <w:r>
        <w:rPr>
          <w:rFonts w:hint="eastAsia"/>
          <w:b/>
          <w:color w:val="000000" w:themeColor="text1"/>
          <w:sz w:val="32"/>
          <w:szCs w:val="32"/>
          <w:highlight w:val="none"/>
          <w14:textFill>
            <w14:solidFill>
              <w14:schemeClr w14:val="tx1"/>
            </w14:solidFill>
          </w14:textFill>
        </w:rPr>
        <w:t>小型和微型企业价格扣除明细表</w:t>
      </w:r>
    </w:p>
    <w:p>
      <w:pPr>
        <w:pStyle w:val="175"/>
        <w:shd w:val="clear" w:color="auto" w:fill="FFFFFF"/>
        <w:spacing w:before="0" w:beforeAutospacing="0" w:after="0" w:afterAutospacing="0"/>
        <w:rPr>
          <w:b/>
          <w:color w:val="000000" w:themeColor="text1"/>
          <w:highlight w:val="none"/>
          <w14:textFill>
            <w14:solidFill>
              <w14:schemeClr w14:val="tx1"/>
            </w14:solidFill>
          </w14:textFill>
        </w:rPr>
      </w:pPr>
    </w:p>
    <w:p>
      <w:pPr>
        <w:pStyle w:val="175"/>
        <w:shd w:val="clear" w:color="auto" w:fill="FFFFFF"/>
        <w:spacing w:before="0" w:beforeAutospacing="0" w:after="0" w:afterAutospacing="0"/>
        <w:rPr>
          <w:b/>
          <w:color w:val="000000" w:themeColor="text1"/>
          <w:highlight w:val="none"/>
          <w:u w:val="single"/>
          <w14:textFill>
            <w14:solidFill>
              <w14:schemeClr w14:val="tx1"/>
            </w14:solidFill>
          </w14:textFill>
        </w:rPr>
      </w:pPr>
      <w:r>
        <w:rPr>
          <w:rFonts w:hint="eastAsia"/>
          <w:b/>
          <w:color w:val="000000" w:themeColor="text1"/>
          <w:highlight w:val="none"/>
          <w14:textFill>
            <w14:solidFill>
              <w14:schemeClr w14:val="tx1"/>
            </w14:solidFill>
          </w14:textFill>
        </w:rPr>
        <w:t>项目名称：</w:t>
      </w:r>
      <w:r>
        <w:rPr>
          <w:rFonts w:hint="eastAsia"/>
          <w:b/>
          <w:color w:val="000000" w:themeColor="text1"/>
          <w:highlight w:val="none"/>
          <w:u w:val="single"/>
          <w14:textFill>
            <w14:solidFill>
              <w14:schemeClr w14:val="tx1"/>
            </w14:solidFill>
          </w14:textFill>
        </w:rPr>
        <w:t xml:space="preserve">                </w:t>
      </w:r>
    </w:p>
    <w:p>
      <w:pPr>
        <w:pStyle w:val="175"/>
        <w:shd w:val="clear" w:color="auto" w:fill="FFFFFF"/>
        <w:spacing w:before="0" w:beforeAutospacing="0" w:after="0" w:afterAutospacing="0"/>
        <w:rPr>
          <w:b/>
          <w:color w:val="000000" w:themeColor="text1"/>
          <w:highlight w:val="none"/>
          <w:u w:val="single"/>
          <w14:textFill>
            <w14:solidFill>
              <w14:schemeClr w14:val="tx1"/>
            </w14:solidFill>
          </w14:textFill>
        </w:rPr>
      </w:pPr>
      <w:r>
        <w:rPr>
          <w:rFonts w:hint="eastAsia"/>
          <w:b/>
          <w:color w:val="000000" w:themeColor="text1"/>
          <w:highlight w:val="none"/>
          <w14:textFill>
            <w14:solidFill>
              <w14:schemeClr w14:val="tx1"/>
            </w14:solidFill>
          </w14:textFill>
        </w:rPr>
        <w:t>项目编号：</w:t>
      </w:r>
      <w:r>
        <w:rPr>
          <w:rFonts w:hint="eastAsia"/>
          <w:b/>
          <w:color w:val="000000" w:themeColor="text1"/>
          <w:highlight w:val="none"/>
          <w:u w:val="single"/>
          <w14:textFill>
            <w14:solidFill>
              <w14:schemeClr w14:val="tx1"/>
            </w14:solidFill>
          </w14:textFill>
        </w:rPr>
        <w:t xml:space="preserve">                </w:t>
      </w:r>
    </w:p>
    <w:p>
      <w:pPr>
        <w:pStyle w:val="175"/>
        <w:shd w:val="clear" w:color="auto" w:fill="FFFFFF"/>
        <w:spacing w:before="0" w:beforeAutospacing="0" w:after="0" w:afterAutospacing="0"/>
        <w:rPr>
          <w:b/>
          <w:color w:val="000000" w:themeColor="text1"/>
          <w:highlight w:val="none"/>
          <w:u w:val="single"/>
          <w14:textFill>
            <w14:solidFill>
              <w14:schemeClr w14:val="tx1"/>
            </w14:solidFill>
          </w14:textFill>
        </w:rPr>
      </w:pP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
        <w:gridCol w:w="2087"/>
        <w:gridCol w:w="1785"/>
        <w:gridCol w:w="1719"/>
        <w:gridCol w:w="1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31" w:type="dxa"/>
            <w:vAlign w:val="center"/>
          </w:tcPr>
          <w:p>
            <w:pPr>
              <w:pStyle w:val="158"/>
              <w:spacing w:before="0" w:beforeAutospacing="0" w:after="0" w:afterAutospacing="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序号</w:t>
            </w:r>
          </w:p>
        </w:tc>
        <w:tc>
          <w:tcPr>
            <w:tcW w:w="2087" w:type="dxa"/>
            <w:vAlign w:val="center"/>
          </w:tcPr>
          <w:p>
            <w:pPr>
              <w:pStyle w:val="158"/>
              <w:spacing w:before="0" w:beforeAutospacing="0" w:after="0" w:afterAutospacing="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小型和微型企业产品名称</w:t>
            </w:r>
          </w:p>
        </w:tc>
        <w:tc>
          <w:tcPr>
            <w:tcW w:w="1785" w:type="dxa"/>
            <w:vAlign w:val="center"/>
          </w:tcPr>
          <w:p>
            <w:pPr>
              <w:pStyle w:val="158"/>
              <w:spacing w:before="0" w:beforeAutospacing="0" w:after="0" w:afterAutospacing="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金额</w:t>
            </w:r>
          </w:p>
        </w:tc>
        <w:tc>
          <w:tcPr>
            <w:tcW w:w="1719" w:type="dxa"/>
            <w:vAlign w:val="center"/>
          </w:tcPr>
          <w:p>
            <w:pPr>
              <w:pStyle w:val="158"/>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规定价格扣除（6%）</w:t>
            </w:r>
          </w:p>
        </w:tc>
        <w:tc>
          <w:tcPr>
            <w:tcW w:w="1719" w:type="dxa"/>
            <w:vAlign w:val="center"/>
          </w:tcPr>
          <w:p>
            <w:pPr>
              <w:pStyle w:val="158"/>
              <w:spacing w:before="0" w:beforeAutospacing="0" w:after="0" w:afterAutospacing="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相应价格扣除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831" w:type="dxa"/>
            <w:vAlign w:val="center"/>
          </w:tcPr>
          <w:p>
            <w:pPr>
              <w:pStyle w:val="158"/>
              <w:spacing w:before="0" w:beforeAutospacing="0" w:after="0" w:afterAutospacing="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w:t>
            </w:r>
          </w:p>
        </w:tc>
        <w:tc>
          <w:tcPr>
            <w:tcW w:w="2087" w:type="dxa"/>
            <w:vAlign w:val="center"/>
          </w:tcPr>
          <w:p>
            <w:pPr>
              <w:pStyle w:val="158"/>
              <w:spacing w:before="0" w:beforeAutospacing="0" w:after="0" w:afterAutospacing="0"/>
              <w:jc w:val="center"/>
              <w:rPr>
                <w:color w:val="000000" w:themeColor="text1"/>
                <w:highlight w:val="none"/>
                <w14:textFill>
                  <w14:solidFill>
                    <w14:schemeClr w14:val="tx1"/>
                  </w14:solidFill>
                </w14:textFill>
              </w:rPr>
            </w:pPr>
          </w:p>
        </w:tc>
        <w:tc>
          <w:tcPr>
            <w:tcW w:w="1785" w:type="dxa"/>
            <w:vAlign w:val="center"/>
          </w:tcPr>
          <w:p>
            <w:pPr>
              <w:pStyle w:val="158"/>
              <w:spacing w:before="0" w:beforeAutospacing="0" w:after="0" w:afterAutospacing="0"/>
              <w:jc w:val="center"/>
              <w:rPr>
                <w:color w:val="000000" w:themeColor="text1"/>
                <w:highlight w:val="none"/>
                <w14:textFill>
                  <w14:solidFill>
                    <w14:schemeClr w14:val="tx1"/>
                  </w14:solidFill>
                </w14:textFill>
              </w:rPr>
            </w:pPr>
          </w:p>
        </w:tc>
        <w:tc>
          <w:tcPr>
            <w:tcW w:w="1719" w:type="dxa"/>
            <w:vAlign w:val="center"/>
          </w:tcPr>
          <w:p>
            <w:pPr>
              <w:pStyle w:val="158"/>
              <w:spacing w:before="0" w:beforeAutospacing="0" w:after="0" w:afterAutospacing="0"/>
              <w:jc w:val="center"/>
              <w:rPr>
                <w:color w:val="000000" w:themeColor="text1"/>
                <w:highlight w:val="none"/>
                <w14:textFill>
                  <w14:solidFill>
                    <w14:schemeClr w14:val="tx1"/>
                  </w14:solidFill>
                </w14:textFill>
              </w:rPr>
            </w:pPr>
          </w:p>
        </w:tc>
        <w:tc>
          <w:tcPr>
            <w:tcW w:w="1719" w:type="dxa"/>
            <w:vAlign w:val="center"/>
          </w:tcPr>
          <w:p>
            <w:pPr>
              <w:pStyle w:val="158"/>
              <w:spacing w:before="0" w:beforeAutospacing="0" w:after="0" w:afterAutospacing="0"/>
              <w:jc w:val="center"/>
              <w:rPr>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831" w:type="dxa"/>
            <w:vAlign w:val="center"/>
          </w:tcPr>
          <w:p>
            <w:pPr>
              <w:pStyle w:val="158"/>
              <w:spacing w:before="0" w:beforeAutospacing="0" w:after="0" w:afterAutospacing="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w:t>
            </w:r>
          </w:p>
        </w:tc>
        <w:tc>
          <w:tcPr>
            <w:tcW w:w="2087" w:type="dxa"/>
            <w:vAlign w:val="center"/>
          </w:tcPr>
          <w:p>
            <w:pPr>
              <w:pStyle w:val="158"/>
              <w:spacing w:before="0" w:beforeAutospacing="0" w:after="0" w:afterAutospacing="0"/>
              <w:jc w:val="center"/>
              <w:rPr>
                <w:color w:val="000000" w:themeColor="text1"/>
                <w:highlight w:val="none"/>
                <w14:textFill>
                  <w14:solidFill>
                    <w14:schemeClr w14:val="tx1"/>
                  </w14:solidFill>
                </w14:textFill>
              </w:rPr>
            </w:pPr>
          </w:p>
        </w:tc>
        <w:tc>
          <w:tcPr>
            <w:tcW w:w="1785" w:type="dxa"/>
            <w:vAlign w:val="center"/>
          </w:tcPr>
          <w:p>
            <w:pPr>
              <w:pStyle w:val="158"/>
              <w:spacing w:before="0" w:beforeAutospacing="0" w:after="0" w:afterAutospacing="0"/>
              <w:jc w:val="center"/>
              <w:rPr>
                <w:color w:val="000000" w:themeColor="text1"/>
                <w:highlight w:val="none"/>
                <w14:textFill>
                  <w14:solidFill>
                    <w14:schemeClr w14:val="tx1"/>
                  </w14:solidFill>
                </w14:textFill>
              </w:rPr>
            </w:pPr>
          </w:p>
        </w:tc>
        <w:tc>
          <w:tcPr>
            <w:tcW w:w="1719" w:type="dxa"/>
            <w:vAlign w:val="center"/>
          </w:tcPr>
          <w:p>
            <w:pPr>
              <w:pStyle w:val="158"/>
              <w:spacing w:before="0" w:beforeAutospacing="0" w:after="0" w:afterAutospacing="0"/>
              <w:jc w:val="center"/>
              <w:rPr>
                <w:color w:val="000000" w:themeColor="text1"/>
                <w:highlight w:val="none"/>
                <w14:textFill>
                  <w14:solidFill>
                    <w14:schemeClr w14:val="tx1"/>
                  </w14:solidFill>
                </w14:textFill>
              </w:rPr>
            </w:pPr>
          </w:p>
        </w:tc>
        <w:tc>
          <w:tcPr>
            <w:tcW w:w="1719" w:type="dxa"/>
            <w:vAlign w:val="center"/>
          </w:tcPr>
          <w:p>
            <w:pPr>
              <w:pStyle w:val="158"/>
              <w:spacing w:before="0" w:beforeAutospacing="0" w:after="0" w:afterAutospacing="0"/>
              <w:jc w:val="center"/>
              <w:rPr>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831" w:type="dxa"/>
            <w:vAlign w:val="center"/>
          </w:tcPr>
          <w:p>
            <w:pPr>
              <w:pStyle w:val="158"/>
              <w:spacing w:before="0" w:beforeAutospacing="0" w:after="0" w:afterAutospacing="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w:t>
            </w:r>
          </w:p>
        </w:tc>
        <w:tc>
          <w:tcPr>
            <w:tcW w:w="2087" w:type="dxa"/>
            <w:vAlign w:val="center"/>
          </w:tcPr>
          <w:p>
            <w:pPr>
              <w:pStyle w:val="158"/>
              <w:spacing w:before="0" w:beforeAutospacing="0" w:after="0" w:afterAutospacing="0"/>
              <w:jc w:val="center"/>
              <w:rPr>
                <w:color w:val="000000" w:themeColor="text1"/>
                <w:highlight w:val="none"/>
                <w14:textFill>
                  <w14:solidFill>
                    <w14:schemeClr w14:val="tx1"/>
                  </w14:solidFill>
                </w14:textFill>
              </w:rPr>
            </w:pPr>
          </w:p>
        </w:tc>
        <w:tc>
          <w:tcPr>
            <w:tcW w:w="1785" w:type="dxa"/>
            <w:vAlign w:val="center"/>
          </w:tcPr>
          <w:p>
            <w:pPr>
              <w:pStyle w:val="158"/>
              <w:spacing w:before="0" w:beforeAutospacing="0" w:after="0" w:afterAutospacing="0"/>
              <w:jc w:val="center"/>
              <w:rPr>
                <w:color w:val="000000" w:themeColor="text1"/>
                <w:highlight w:val="none"/>
                <w14:textFill>
                  <w14:solidFill>
                    <w14:schemeClr w14:val="tx1"/>
                  </w14:solidFill>
                </w14:textFill>
              </w:rPr>
            </w:pPr>
          </w:p>
        </w:tc>
        <w:tc>
          <w:tcPr>
            <w:tcW w:w="1719" w:type="dxa"/>
            <w:vAlign w:val="center"/>
          </w:tcPr>
          <w:p>
            <w:pPr>
              <w:pStyle w:val="158"/>
              <w:spacing w:before="0" w:beforeAutospacing="0" w:after="0" w:afterAutospacing="0"/>
              <w:jc w:val="center"/>
              <w:rPr>
                <w:color w:val="000000" w:themeColor="text1"/>
                <w:highlight w:val="none"/>
                <w14:textFill>
                  <w14:solidFill>
                    <w14:schemeClr w14:val="tx1"/>
                  </w14:solidFill>
                </w14:textFill>
              </w:rPr>
            </w:pPr>
          </w:p>
        </w:tc>
        <w:tc>
          <w:tcPr>
            <w:tcW w:w="1719" w:type="dxa"/>
            <w:vAlign w:val="center"/>
          </w:tcPr>
          <w:p>
            <w:pPr>
              <w:pStyle w:val="158"/>
              <w:spacing w:before="0" w:beforeAutospacing="0" w:after="0" w:afterAutospacing="0"/>
              <w:jc w:val="center"/>
              <w:rPr>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31" w:type="dxa"/>
            <w:vAlign w:val="center"/>
          </w:tcPr>
          <w:p>
            <w:pPr>
              <w:pStyle w:val="158"/>
              <w:spacing w:before="0" w:beforeAutospacing="0" w:after="0" w:afterAutospacing="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p>
        </w:tc>
        <w:tc>
          <w:tcPr>
            <w:tcW w:w="2087" w:type="dxa"/>
            <w:vAlign w:val="center"/>
          </w:tcPr>
          <w:p>
            <w:pPr>
              <w:pStyle w:val="158"/>
              <w:spacing w:before="0" w:beforeAutospacing="0" w:after="0" w:afterAutospacing="0"/>
              <w:jc w:val="center"/>
              <w:rPr>
                <w:color w:val="000000" w:themeColor="text1"/>
                <w:highlight w:val="none"/>
                <w14:textFill>
                  <w14:solidFill>
                    <w14:schemeClr w14:val="tx1"/>
                  </w14:solidFill>
                </w14:textFill>
              </w:rPr>
            </w:pPr>
          </w:p>
        </w:tc>
        <w:tc>
          <w:tcPr>
            <w:tcW w:w="1785" w:type="dxa"/>
            <w:vAlign w:val="center"/>
          </w:tcPr>
          <w:p>
            <w:pPr>
              <w:pStyle w:val="158"/>
              <w:spacing w:before="0" w:beforeAutospacing="0" w:after="0" w:afterAutospacing="0"/>
              <w:jc w:val="center"/>
              <w:rPr>
                <w:color w:val="000000" w:themeColor="text1"/>
                <w:highlight w:val="none"/>
                <w14:textFill>
                  <w14:solidFill>
                    <w14:schemeClr w14:val="tx1"/>
                  </w14:solidFill>
                </w14:textFill>
              </w:rPr>
            </w:pPr>
          </w:p>
        </w:tc>
        <w:tc>
          <w:tcPr>
            <w:tcW w:w="1719" w:type="dxa"/>
            <w:vAlign w:val="center"/>
          </w:tcPr>
          <w:p>
            <w:pPr>
              <w:pStyle w:val="158"/>
              <w:spacing w:before="0" w:beforeAutospacing="0" w:after="0" w:afterAutospacing="0"/>
              <w:jc w:val="center"/>
              <w:rPr>
                <w:color w:val="000000" w:themeColor="text1"/>
                <w:highlight w:val="none"/>
                <w14:textFill>
                  <w14:solidFill>
                    <w14:schemeClr w14:val="tx1"/>
                  </w14:solidFill>
                </w14:textFill>
              </w:rPr>
            </w:pPr>
          </w:p>
        </w:tc>
        <w:tc>
          <w:tcPr>
            <w:tcW w:w="1719" w:type="dxa"/>
            <w:vAlign w:val="center"/>
          </w:tcPr>
          <w:p>
            <w:pPr>
              <w:pStyle w:val="158"/>
              <w:spacing w:before="0" w:beforeAutospacing="0" w:after="0" w:afterAutospacing="0"/>
              <w:jc w:val="center"/>
              <w:rPr>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831" w:type="dxa"/>
            <w:vAlign w:val="center"/>
          </w:tcPr>
          <w:p>
            <w:pPr>
              <w:pStyle w:val="158"/>
              <w:spacing w:before="0" w:beforeAutospacing="0" w:after="0" w:afterAutospacing="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合计</w:t>
            </w:r>
          </w:p>
        </w:tc>
        <w:tc>
          <w:tcPr>
            <w:tcW w:w="2087" w:type="dxa"/>
            <w:vAlign w:val="center"/>
          </w:tcPr>
          <w:p>
            <w:pPr>
              <w:pStyle w:val="158"/>
              <w:spacing w:before="0" w:beforeAutospacing="0" w:after="0" w:afterAutospacing="0"/>
              <w:jc w:val="center"/>
              <w:rPr>
                <w:color w:val="000000" w:themeColor="text1"/>
                <w:highlight w:val="none"/>
                <w14:textFill>
                  <w14:solidFill>
                    <w14:schemeClr w14:val="tx1"/>
                  </w14:solidFill>
                </w14:textFill>
              </w:rPr>
            </w:pPr>
          </w:p>
        </w:tc>
        <w:tc>
          <w:tcPr>
            <w:tcW w:w="1785" w:type="dxa"/>
            <w:vAlign w:val="center"/>
          </w:tcPr>
          <w:p>
            <w:pPr>
              <w:pStyle w:val="158"/>
              <w:spacing w:before="0" w:beforeAutospacing="0" w:after="0" w:afterAutospacing="0"/>
              <w:jc w:val="center"/>
              <w:rPr>
                <w:color w:val="000000" w:themeColor="text1"/>
                <w:highlight w:val="none"/>
                <w14:textFill>
                  <w14:solidFill>
                    <w14:schemeClr w14:val="tx1"/>
                  </w14:solidFill>
                </w14:textFill>
              </w:rPr>
            </w:pPr>
          </w:p>
        </w:tc>
        <w:tc>
          <w:tcPr>
            <w:tcW w:w="1719" w:type="dxa"/>
            <w:vAlign w:val="center"/>
          </w:tcPr>
          <w:p>
            <w:pPr>
              <w:pStyle w:val="158"/>
              <w:spacing w:before="0" w:beforeAutospacing="0" w:after="0" w:afterAutospacing="0"/>
              <w:jc w:val="center"/>
              <w:rPr>
                <w:color w:val="000000" w:themeColor="text1"/>
                <w:highlight w:val="none"/>
                <w14:textFill>
                  <w14:solidFill>
                    <w14:schemeClr w14:val="tx1"/>
                  </w14:solidFill>
                </w14:textFill>
              </w:rPr>
            </w:pPr>
          </w:p>
        </w:tc>
        <w:tc>
          <w:tcPr>
            <w:tcW w:w="1719" w:type="dxa"/>
            <w:vAlign w:val="center"/>
          </w:tcPr>
          <w:p>
            <w:pPr>
              <w:pStyle w:val="158"/>
              <w:spacing w:before="0" w:beforeAutospacing="0" w:after="0" w:afterAutospacing="0"/>
              <w:jc w:val="center"/>
              <w:rPr>
                <w:color w:val="000000" w:themeColor="text1"/>
                <w:highlight w:val="none"/>
                <w14:textFill>
                  <w14:solidFill>
                    <w14:schemeClr w14:val="tx1"/>
                  </w14:solidFill>
                </w14:textFill>
              </w:rPr>
            </w:pPr>
          </w:p>
        </w:tc>
      </w:tr>
    </w:tbl>
    <w:p>
      <w:pPr>
        <w:pStyle w:val="158"/>
        <w:shd w:val="clear" w:color="auto" w:fill="FFFFFF"/>
        <w:spacing w:before="0" w:beforeAutospacing="0" w:after="0" w:afterAutospacing="0"/>
        <w:rPr>
          <w:color w:val="000000" w:themeColor="text1"/>
          <w:highlight w:val="none"/>
          <w14:textFill>
            <w14:solidFill>
              <w14:schemeClr w14:val="tx1"/>
            </w14:solidFill>
          </w14:textFill>
        </w:rPr>
      </w:pPr>
    </w:p>
    <w:p>
      <w:pPr>
        <w:pStyle w:val="160"/>
        <w:shd w:val="clear" w:color="auto" w:fill="FFFFFF"/>
        <w:spacing w:before="0" w:beforeAutospacing="0" w:after="0" w:afterAutospacing="0"/>
        <w:rPr>
          <w:color w:val="000000" w:themeColor="text1"/>
          <w:highlight w:val="none"/>
          <w14:textFill>
            <w14:solidFill>
              <w14:schemeClr w14:val="tx1"/>
            </w14:solidFill>
          </w14:textFill>
        </w:rPr>
      </w:pPr>
    </w:p>
    <w:p>
      <w:pPr>
        <w:pStyle w:val="160"/>
        <w:shd w:val="clear" w:color="auto" w:fill="FFFFFF"/>
        <w:spacing w:before="0" w:beforeAutospacing="0" w:after="0" w:afterAutospacing="0"/>
        <w:rPr>
          <w:rFonts w:hint="eastAsia"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 xml:space="preserve"> </w:t>
      </w:r>
    </w:p>
    <w:p>
      <w:pPr>
        <w:pStyle w:val="160"/>
        <w:shd w:val="clear" w:color="auto" w:fill="FFFFFF"/>
        <w:spacing w:before="0" w:beforeAutospacing="0" w:after="0" w:afterAutospacing="0"/>
        <w:ind w:firstLine="3780" w:firstLineChars="1575"/>
        <w:rPr>
          <w:color w:val="000000" w:themeColor="text1"/>
          <w:highlight w:val="none"/>
          <w:u w:val="single"/>
          <w14:textFill>
            <w14:solidFill>
              <w14:schemeClr w14:val="tx1"/>
            </w14:solidFill>
          </w14:textFill>
        </w:rPr>
      </w:pPr>
      <w:r>
        <w:rPr>
          <w:rFonts w:hint="eastAsia"/>
          <w:color w:val="000000" w:themeColor="text1"/>
          <w:highlight w:val="none"/>
          <w14:textFill>
            <w14:solidFill>
              <w14:schemeClr w14:val="tx1"/>
            </w14:solidFill>
          </w14:textFill>
        </w:rPr>
        <w:t>投标人（加盖公章）：</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u w:val="single"/>
          <w:lang w:val="en-US" w:eastAsia="zh-CN"/>
          <w14:textFill>
            <w14:solidFill>
              <w14:schemeClr w14:val="tx1"/>
            </w14:solidFill>
          </w14:textFill>
        </w:rPr>
        <w:t xml:space="preserve">  </w:t>
      </w:r>
      <w:r>
        <w:rPr>
          <w:rFonts w:hint="eastAsia"/>
          <w:color w:val="000000" w:themeColor="text1"/>
          <w:highlight w:val="none"/>
          <w:u w:val="single"/>
          <w14:textFill>
            <w14:solidFill>
              <w14:schemeClr w14:val="tx1"/>
            </w14:solidFill>
          </w14:textFill>
        </w:rPr>
        <w:t xml:space="preserve">  </w:t>
      </w:r>
    </w:p>
    <w:p>
      <w:pPr>
        <w:pStyle w:val="160"/>
        <w:shd w:val="clear" w:color="auto" w:fill="FFFFFF"/>
        <w:spacing w:before="0" w:beforeAutospacing="0" w:after="0" w:afterAutospacing="0"/>
        <w:ind w:firstLine="3780" w:firstLineChars="1575"/>
        <w:rPr>
          <w:color w:val="000000" w:themeColor="text1"/>
          <w:highlight w:val="none"/>
          <w14:textFill>
            <w14:solidFill>
              <w14:schemeClr w14:val="tx1"/>
            </w14:solidFill>
          </w14:textFill>
        </w:rPr>
      </w:pPr>
    </w:p>
    <w:p>
      <w:pPr>
        <w:pStyle w:val="160"/>
        <w:shd w:val="clear" w:color="auto" w:fill="FFFFFF"/>
        <w:spacing w:before="0" w:beforeAutospacing="0" w:after="0" w:afterAutospacing="0"/>
        <w:ind w:firstLine="3780" w:firstLineChars="1575"/>
        <w:rPr>
          <w:color w:val="000000" w:themeColor="text1"/>
          <w:highlight w:val="none"/>
          <w:u w:val="single"/>
          <w14:textFill>
            <w14:solidFill>
              <w14:schemeClr w14:val="tx1"/>
            </w14:solidFill>
          </w14:textFill>
        </w:rPr>
      </w:pPr>
      <w:r>
        <w:rPr>
          <w:rFonts w:hint="eastAsia"/>
          <w:color w:val="000000" w:themeColor="text1"/>
          <w:highlight w:val="none"/>
          <w14:textFill>
            <w14:solidFill>
              <w14:schemeClr w14:val="tx1"/>
            </w14:solidFill>
          </w14:textFill>
        </w:rPr>
        <w:t>法定代表人（负责人）或委托代理人（签字）：</w:t>
      </w:r>
      <w:r>
        <w:rPr>
          <w:rFonts w:hint="eastAsia"/>
          <w:color w:val="000000" w:themeColor="text1"/>
          <w:highlight w:val="none"/>
          <w:u w:val="single"/>
          <w14:textFill>
            <w14:solidFill>
              <w14:schemeClr w14:val="tx1"/>
            </w14:solidFill>
          </w14:textFill>
        </w:rPr>
        <w:t xml:space="preserve">             </w:t>
      </w:r>
    </w:p>
    <w:p>
      <w:pPr>
        <w:pStyle w:val="160"/>
        <w:shd w:val="clear" w:color="auto" w:fill="FFFFFF"/>
        <w:spacing w:before="0" w:beforeAutospacing="0" w:after="0" w:afterAutospacing="0"/>
        <w:ind w:firstLine="3780" w:firstLineChars="1575"/>
        <w:rPr>
          <w:color w:val="000000" w:themeColor="text1"/>
          <w:highlight w:val="none"/>
          <w14:textFill>
            <w14:solidFill>
              <w14:schemeClr w14:val="tx1"/>
            </w14:solidFill>
          </w14:textFill>
        </w:rPr>
      </w:pPr>
    </w:p>
    <w:p>
      <w:pPr>
        <w:pStyle w:val="160"/>
        <w:shd w:val="clear" w:color="auto" w:fill="FFFFFF"/>
        <w:spacing w:before="0" w:beforeAutospacing="0" w:after="0" w:afterAutospacing="0"/>
        <w:ind w:firstLine="3780" w:firstLineChars="1575"/>
        <w:rPr>
          <w:color w:val="000000" w:themeColor="text1"/>
          <w:highlight w:val="none"/>
          <w:u w:val="single"/>
          <w14:textFill>
            <w14:solidFill>
              <w14:schemeClr w14:val="tx1"/>
            </w14:solidFill>
          </w14:textFill>
        </w:rPr>
      </w:pPr>
      <w:r>
        <w:rPr>
          <w:rFonts w:hint="eastAsia"/>
          <w:color w:val="000000" w:themeColor="text1"/>
          <w:highlight w:val="none"/>
          <w14:textFill>
            <w14:solidFill>
              <w14:schemeClr w14:val="tx1"/>
            </w14:solidFill>
          </w14:textFill>
        </w:rPr>
        <w:t>投标日期：</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u w:val="single"/>
          <w:lang w:val="en-US" w:eastAsia="zh-CN"/>
          <w14:textFill>
            <w14:solidFill>
              <w14:schemeClr w14:val="tx1"/>
            </w14:solidFill>
          </w14:textFill>
        </w:rPr>
        <w:t xml:space="preserve">  </w:t>
      </w:r>
      <w:r>
        <w:rPr>
          <w:rFonts w:hint="eastAsia"/>
          <w:color w:val="000000" w:themeColor="text1"/>
          <w:highlight w:val="none"/>
          <w:u w:val="single"/>
          <w14:textFill>
            <w14:solidFill>
              <w14:schemeClr w14:val="tx1"/>
            </w14:solidFill>
          </w14:textFill>
        </w:rPr>
        <w:t xml:space="preserve">      </w:t>
      </w:r>
    </w:p>
    <w:p>
      <w:pPr>
        <w:pStyle w:val="160"/>
        <w:shd w:val="clear" w:color="auto" w:fill="FFFFFF"/>
        <w:spacing w:before="0" w:beforeAutospacing="0" w:after="0" w:afterAutospacing="0"/>
        <w:rPr>
          <w:color w:val="000000" w:themeColor="text1"/>
          <w:highlight w:val="none"/>
          <w14:textFill>
            <w14:solidFill>
              <w14:schemeClr w14:val="tx1"/>
            </w14:solidFill>
          </w14:textFill>
        </w:rPr>
      </w:pPr>
    </w:p>
    <w:p>
      <w:pPr>
        <w:pStyle w:val="160"/>
        <w:shd w:val="clear" w:color="auto" w:fill="FFFFFF"/>
        <w:spacing w:before="0" w:beforeAutospacing="0" w:after="0" w:afterAutospacing="0"/>
        <w:rPr>
          <w:color w:val="000000" w:themeColor="text1"/>
          <w:highlight w:val="none"/>
          <w14:textFill>
            <w14:solidFill>
              <w14:schemeClr w14:val="tx1"/>
            </w14:solidFill>
          </w14:textFill>
        </w:rPr>
      </w:pPr>
    </w:p>
    <w:p>
      <w:pPr>
        <w:pStyle w:val="158"/>
        <w:shd w:val="clear" w:color="auto" w:fill="FFFFFF"/>
        <w:spacing w:before="0" w:beforeAutospacing="0" w:after="0" w:afterAutospacing="0" w:line="360" w:lineRule="exact"/>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说明：</w:t>
      </w:r>
    </w:p>
    <w:p>
      <w:pPr>
        <w:pStyle w:val="158"/>
        <w:shd w:val="clear" w:color="auto" w:fill="FFFFFF"/>
        <w:spacing w:before="0" w:beforeAutospacing="0" w:after="0" w:afterAutospacing="0" w:line="360" w:lineRule="exact"/>
        <w:ind w:left="315" w:hanging="315" w:hangingChars="150"/>
        <w:rPr>
          <w:b/>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1、</w:t>
      </w:r>
      <w:r>
        <w:rPr>
          <w:rFonts w:hint="eastAsia"/>
          <w:bCs/>
          <w:color w:val="000000" w:themeColor="text1"/>
          <w:sz w:val="21"/>
          <w:szCs w:val="21"/>
          <w:highlight w:val="none"/>
          <w14:textFill>
            <w14:solidFill>
              <w14:schemeClr w14:val="tx1"/>
            </w14:solidFill>
          </w14:textFill>
        </w:rPr>
        <w:t>小型、微型企业提供中型企业制造的货物的，视同为中型企业，不给予折扣。</w:t>
      </w:r>
    </w:p>
    <w:p>
      <w:pPr>
        <w:pStyle w:val="161"/>
        <w:shd w:val="clear" w:color="auto" w:fill="FFFFFF"/>
        <w:spacing w:before="0" w:beforeAutospacing="0" w:after="0" w:afterAutospacing="0" w:line="360" w:lineRule="exact"/>
        <w:ind w:left="315" w:hanging="315" w:hangingChars="15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2、当一个合同包内有多个属于小型和微型企业产品时，投标人应详细填写并计算出该类产品合计金额。</w:t>
      </w:r>
    </w:p>
    <w:p>
      <w:pPr>
        <w:pStyle w:val="161"/>
        <w:shd w:val="clear" w:color="auto" w:fill="FFFFFF"/>
        <w:spacing w:before="0" w:beforeAutospacing="0" w:after="0" w:afterAutospacing="0" w:line="360" w:lineRule="exact"/>
        <w:ind w:left="315" w:hanging="315" w:hangingChars="15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3、“相应价格扣除”为小型和微型企业产品的投标合计价格×招标文件规定的价格扣除比率的优惠幅度。</w:t>
      </w:r>
    </w:p>
    <w:p>
      <w:pPr>
        <w:pStyle w:val="161"/>
        <w:shd w:val="clear" w:color="auto" w:fill="FFFFFF"/>
        <w:spacing w:before="0" w:beforeAutospacing="0" w:after="0" w:afterAutospacing="0" w:line="360" w:lineRule="exact"/>
        <w:ind w:left="315" w:hanging="315" w:hangingChars="15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4、计算价格扣除时四舍五入取小数点后两位。</w:t>
      </w:r>
    </w:p>
    <w:p>
      <w:pPr>
        <w:spacing w:line="300" w:lineRule="exact"/>
        <w:ind w:left="315" w:hanging="315" w:hangingChars="15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br w:type="page"/>
      </w:r>
    </w:p>
    <w:p>
      <w:pPr>
        <w:pStyle w:val="35"/>
        <w:shd w:val="clear" w:color="auto" w:fill="FFFFFF"/>
        <w:spacing w:before="0" w:beforeAutospacing="0" w:after="0" w:afterAutospacing="0" w:line="400" w:lineRule="exact"/>
        <w:rPr>
          <w:bCs/>
          <w:color w:val="000000" w:themeColor="text1"/>
          <w:sz w:val="28"/>
          <w:szCs w:val="28"/>
          <w:highlight w:val="none"/>
          <w14:textFill>
            <w14:solidFill>
              <w14:schemeClr w14:val="tx1"/>
            </w14:solidFill>
          </w14:textFill>
        </w:rPr>
      </w:pPr>
      <w:r>
        <w:rPr>
          <w:rFonts w:hint="eastAsia"/>
          <w:bCs/>
          <w:color w:val="000000" w:themeColor="text1"/>
          <w:sz w:val="28"/>
          <w:szCs w:val="28"/>
          <w:highlight w:val="none"/>
          <w14:textFill>
            <w14:solidFill>
              <w14:schemeClr w14:val="tx1"/>
            </w14:solidFill>
          </w14:textFill>
        </w:rPr>
        <w:t>《残疾人福利性单位声明函》格式（非残疾人福利性单位无需填写）</w:t>
      </w:r>
    </w:p>
    <w:p>
      <w:pPr>
        <w:spacing w:line="400" w:lineRule="exact"/>
        <w:rPr>
          <w:rFonts w:ascii="宋体" w:hAnsi="宋体" w:cs="宋体"/>
          <w:color w:val="000000" w:themeColor="text1"/>
          <w:highlight w:val="none"/>
          <w14:textFill>
            <w14:solidFill>
              <w14:schemeClr w14:val="tx1"/>
            </w14:solidFill>
          </w14:textFill>
        </w:rPr>
      </w:pPr>
    </w:p>
    <w:p>
      <w:pPr>
        <w:pStyle w:val="175"/>
        <w:shd w:val="clear" w:color="auto" w:fill="FFFFFF"/>
        <w:spacing w:before="0" w:beforeAutospacing="0" w:after="0" w:afterAutospacing="0"/>
        <w:ind w:left="1836" w:hanging="1424"/>
        <w:jc w:val="center"/>
        <w:rPr>
          <w:b/>
          <w:color w:val="000000" w:themeColor="text1"/>
          <w:sz w:val="32"/>
          <w:szCs w:val="32"/>
          <w:highlight w:val="none"/>
          <w14:textFill>
            <w14:solidFill>
              <w14:schemeClr w14:val="tx1"/>
            </w14:solidFill>
          </w14:textFill>
        </w:rPr>
      </w:pPr>
      <w:r>
        <w:rPr>
          <w:rFonts w:hint="eastAsia"/>
          <w:b/>
          <w:color w:val="000000" w:themeColor="text1"/>
          <w:sz w:val="32"/>
          <w:szCs w:val="32"/>
          <w:highlight w:val="none"/>
          <w14:textFill>
            <w14:solidFill>
              <w14:schemeClr w14:val="tx1"/>
            </w14:solidFill>
          </w14:textFill>
        </w:rPr>
        <w:t>残疾人福利性单位声明函</w:t>
      </w:r>
    </w:p>
    <w:p>
      <w:pPr>
        <w:pStyle w:val="35"/>
        <w:shd w:val="clear" w:color="auto" w:fill="FFFFFF"/>
        <w:spacing w:before="0" w:beforeAutospacing="0" w:after="0" w:afterAutospacing="0" w:line="460" w:lineRule="exact"/>
        <w:ind w:firstLine="539"/>
        <w:rPr>
          <w:color w:val="000000" w:themeColor="text1"/>
          <w:highlight w:val="none"/>
          <w14:textFill>
            <w14:solidFill>
              <w14:schemeClr w14:val="tx1"/>
            </w14:solidFill>
          </w14:textFill>
        </w:rPr>
      </w:pPr>
    </w:p>
    <w:p>
      <w:pPr>
        <w:pStyle w:val="35"/>
        <w:shd w:val="clear" w:color="auto" w:fill="FFFFFF"/>
        <w:spacing w:before="0" w:beforeAutospacing="0" w:after="0" w:afterAutospacing="0" w:line="460" w:lineRule="exact"/>
        <w:ind w:firstLine="539"/>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本单位郑重声明，根据《财政部 民政部 中国残疾人联合会关于促进残疾人就业政府采购政策的通知》（财库〔2017〕141号）的规定，本单位为符合条件的残疾人福利性单位，且本单位参加</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单位的</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项目采购活动提供本单位制造的货物（由本单位承担工程/提供服务），或者提供其他残疾人福利性单位制造的货物（不包括使用非残疾人福利性单位注册商标的货物）。</w:t>
      </w:r>
    </w:p>
    <w:p>
      <w:pPr>
        <w:pStyle w:val="35"/>
        <w:shd w:val="clear" w:color="auto" w:fill="FFFFFF"/>
        <w:spacing w:before="0" w:beforeAutospacing="0" w:after="0" w:afterAutospacing="0" w:line="460" w:lineRule="exact"/>
        <w:ind w:firstLine="539"/>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本单位对上述声明的真实性负责。如有虚假，将依法承担相应责任。</w:t>
      </w:r>
    </w:p>
    <w:p>
      <w:pPr>
        <w:pStyle w:val="35"/>
        <w:shd w:val="clear" w:color="auto" w:fill="FFFFFF"/>
        <w:spacing w:before="0" w:beforeAutospacing="0" w:after="0" w:afterAutospacing="0" w:line="460" w:lineRule="exact"/>
        <w:ind w:firstLine="539"/>
        <w:rPr>
          <w:color w:val="000000" w:themeColor="text1"/>
          <w:highlight w:val="none"/>
          <w14:textFill>
            <w14:solidFill>
              <w14:schemeClr w14:val="tx1"/>
            </w14:solidFill>
          </w14:textFill>
        </w:rPr>
      </w:pPr>
    </w:p>
    <w:p>
      <w:pPr>
        <w:pStyle w:val="35"/>
        <w:shd w:val="clear" w:color="auto" w:fill="FFFFFF"/>
        <w:spacing w:before="0" w:beforeAutospacing="0" w:after="0" w:afterAutospacing="0" w:line="460" w:lineRule="exact"/>
        <w:ind w:firstLine="539"/>
        <w:rPr>
          <w:color w:val="000000" w:themeColor="text1"/>
          <w:highlight w:val="none"/>
          <w14:textFill>
            <w14:solidFill>
              <w14:schemeClr w14:val="tx1"/>
            </w14:solidFill>
          </w14:textFill>
        </w:rPr>
      </w:pPr>
    </w:p>
    <w:p>
      <w:pPr>
        <w:pStyle w:val="35"/>
        <w:shd w:val="clear" w:color="auto" w:fill="FFFFFF"/>
        <w:spacing w:before="0" w:beforeAutospacing="0" w:after="0" w:afterAutospacing="0" w:line="460" w:lineRule="exact"/>
        <w:ind w:firstLine="4377" w:firstLineChars="1824"/>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单位名称（盖章）：</w:t>
      </w:r>
    </w:p>
    <w:p>
      <w:pPr>
        <w:pStyle w:val="35"/>
        <w:shd w:val="clear" w:color="auto" w:fill="FFFFFF"/>
        <w:spacing w:before="0" w:beforeAutospacing="0" w:after="0" w:afterAutospacing="0" w:line="460" w:lineRule="exact"/>
        <w:ind w:firstLine="4377" w:firstLineChars="1824"/>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日  期：</w:t>
      </w:r>
    </w:p>
    <w:p>
      <w:pPr>
        <w:pStyle w:val="175"/>
        <w:shd w:val="clear" w:color="auto" w:fill="FFFFFF"/>
        <w:spacing w:before="0" w:beforeAutospacing="0" w:after="0" w:afterAutospacing="0"/>
        <w:rPr>
          <w:b/>
          <w:color w:val="000000" w:themeColor="text1"/>
          <w:highlight w:val="none"/>
          <w14:textFill>
            <w14:solidFill>
              <w14:schemeClr w14:val="tx1"/>
            </w14:solidFill>
          </w14:textFill>
        </w:rPr>
      </w:pPr>
    </w:p>
    <w:p>
      <w:pPr>
        <w:pStyle w:val="175"/>
        <w:shd w:val="clear" w:color="auto" w:fill="FFFFFF"/>
        <w:spacing w:before="0" w:beforeAutospacing="0" w:after="0" w:afterAutospacing="0"/>
        <w:rPr>
          <w:b/>
          <w:color w:val="000000" w:themeColor="text1"/>
          <w:highlight w:val="none"/>
          <w14:textFill>
            <w14:solidFill>
              <w14:schemeClr w14:val="tx1"/>
            </w14:solidFill>
          </w14:textFill>
        </w:rPr>
      </w:pPr>
    </w:p>
    <w:p>
      <w:pPr>
        <w:pStyle w:val="175"/>
        <w:shd w:val="clear" w:color="auto" w:fill="FFFFFF"/>
        <w:spacing w:before="0" w:beforeAutospacing="0" w:after="0" w:afterAutospacing="0"/>
        <w:rPr>
          <w:b/>
          <w:color w:val="000000" w:themeColor="text1"/>
          <w:highlight w:val="none"/>
          <w14:textFill>
            <w14:solidFill>
              <w14:schemeClr w14:val="tx1"/>
            </w14:solidFill>
          </w14:textFill>
        </w:rPr>
      </w:pPr>
    </w:p>
    <w:p>
      <w:pPr>
        <w:pStyle w:val="175"/>
        <w:shd w:val="clear" w:color="auto" w:fill="FFFFFF"/>
        <w:spacing w:before="0" w:beforeAutospacing="0" w:after="0" w:afterAutospacing="0"/>
        <w:rPr>
          <w:b/>
          <w:color w:val="000000" w:themeColor="text1"/>
          <w:highlight w:val="none"/>
          <w14:textFill>
            <w14:solidFill>
              <w14:schemeClr w14:val="tx1"/>
            </w14:solidFill>
          </w14:textFill>
        </w:rPr>
      </w:pPr>
    </w:p>
    <w:p>
      <w:pPr>
        <w:spacing w:line="400" w:lineRule="exact"/>
        <w:rPr>
          <w:rFonts w:ascii="宋体" w:hAnsi="宋体" w:cs="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br w:type="page"/>
      </w:r>
    </w:p>
    <w:p>
      <w:pPr>
        <w:pStyle w:val="35"/>
        <w:shd w:val="clear" w:color="auto" w:fill="FFFFFF"/>
        <w:spacing w:before="0" w:beforeAutospacing="0" w:after="0" w:afterAutospacing="0" w:line="400" w:lineRule="exact"/>
        <w:rPr>
          <w:bCs/>
          <w:color w:val="000000" w:themeColor="text1"/>
          <w:sz w:val="28"/>
          <w:szCs w:val="28"/>
          <w:highlight w:val="none"/>
          <w14:textFill>
            <w14:solidFill>
              <w14:schemeClr w14:val="tx1"/>
            </w14:solidFill>
          </w14:textFill>
        </w:rPr>
      </w:pPr>
      <w:r>
        <w:rPr>
          <w:rFonts w:hint="eastAsia"/>
          <w:bCs/>
          <w:color w:val="000000" w:themeColor="text1"/>
          <w:sz w:val="28"/>
          <w:szCs w:val="28"/>
          <w:highlight w:val="none"/>
          <w14:textFill>
            <w14:solidFill>
              <w14:schemeClr w14:val="tx1"/>
            </w14:solidFill>
          </w14:textFill>
        </w:rPr>
        <w:t>《广西工业产品声明函》格式（不符合桂政办发[2015]78号文要求的，无需提供）</w:t>
      </w:r>
    </w:p>
    <w:p>
      <w:pPr>
        <w:spacing w:line="400" w:lineRule="exact"/>
        <w:rPr>
          <w:rFonts w:ascii="宋体" w:hAnsi="宋体" w:cs="宋体"/>
          <w:color w:val="000000" w:themeColor="text1"/>
          <w:highlight w:val="none"/>
          <w14:textFill>
            <w14:solidFill>
              <w14:schemeClr w14:val="tx1"/>
            </w14:solidFill>
          </w14:textFill>
        </w:rPr>
      </w:pPr>
    </w:p>
    <w:p>
      <w:pPr>
        <w:pStyle w:val="175"/>
        <w:shd w:val="clear" w:color="auto" w:fill="FFFFFF"/>
        <w:spacing w:before="0" w:beforeAutospacing="0" w:after="0" w:afterAutospacing="0"/>
        <w:ind w:left="1836" w:hanging="1424"/>
        <w:jc w:val="center"/>
        <w:rPr>
          <w:b/>
          <w:color w:val="000000" w:themeColor="text1"/>
          <w:sz w:val="32"/>
          <w:szCs w:val="32"/>
          <w:highlight w:val="none"/>
          <w14:textFill>
            <w14:solidFill>
              <w14:schemeClr w14:val="tx1"/>
            </w14:solidFill>
          </w14:textFill>
        </w:rPr>
      </w:pPr>
      <w:r>
        <w:rPr>
          <w:rFonts w:hint="eastAsia"/>
          <w:b/>
          <w:color w:val="000000" w:themeColor="text1"/>
          <w:sz w:val="32"/>
          <w:szCs w:val="32"/>
          <w:highlight w:val="none"/>
          <w14:textFill>
            <w14:solidFill>
              <w14:schemeClr w14:val="tx1"/>
            </w14:solidFill>
          </w14:textFill>
        </w:rPr>
        <w:t>广西工业产品声明函</w:t>
      </w:r>
    </w:p>
    <w:p>
      <w:pPr>
        <w:pStyle w:val="35"/>
        <w:shd w:val="clear" w:color="auto" w:fill="FFFFFF"/>
        <w:spacing w:before="0" w:beforeAutospacing="0" w:after="0" w:afterAutospacing="0" w:line="460" w:lineRule="exact"/>
        <w:ind w:firstLine="48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本公司郑重声明，根据《招标采购促进广西工业产品产销对接实施细则》的规定，本公司在本次投标/投标中或者工程项目中提供的下述产品为广西工业产品，详情如下：</w:t>
      </w:r>
    </w:p>
    <w:tbl>
      <w:tblPr>
        <w:tblStyle w:val="40"/>
        <w:tblW w:w="0" w:type="auto"/>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678"/>
        <w:gridCol w:w="2075"/>
        <w:gridCol w:w="1550"/>
        <w:gridCol w:w="948"/>
        <w:gridCol w:w="2174"/>
        <w:gridCol w:w="1090"/>
        <w:gridCol w:w="77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78" w:type="dxa"/>
            <w:tcBorders>
              <w:top w:val="single" w:color="auto" w:sz="12" w:space="0"/>
              <w:left w:val="single" w:color="auto" w:sz="12" w:space="0"/>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序号</w:t>
            </w:r>
          </w:p>
        </w:tc>
        <w:tc>
          <w:tcPr>
            <w:tcW w:w="2075" w:type="dxa"/>
            <w:tcBorders>
              <w:top w:val="single" w:color="auto" w:sz="12" w:space="0"/>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产品名称</w:t>
            </w:r>
          </w:p>
        </w:tc>
        <w:tc>
          <w:tcPr>
            <w:tcW w:w="1550" w:type="dxa"/>
            <w:tcBorders>
              <w:top w:val="single" w:color="auto" w:sz="12" w:space="0"/>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型号和规格</w:t>
            </w:r>
          </w:p>
        </w:tc>
        <w:tc>
          <w:tcPr>
            <w:tcW w:w="948" w:type="dxa"/>
            <w:tcBorders>
              <w:top w:val="single" w:color="auto" w:sz="12" w:space="0"/>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数量</w:t>
            </w:r>
          </w:p>
        </w:tc>
        <w:tc>
          <w:tcPr>
            <w:tcW w:w="2174" w:type="dxa"/>
            <w:tcBorders>
              <w:top w:val="single" w:color="auto" w:sz="12" w:space="0"/>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制造厂商及原产地</w:t>
            </w:r>
          </w:p>
        </w:tc>
        <w:tc>
          <w:tcPr>
            <w:tcW w:w="1090" w:type="dxa"/>
            <w:tcBorders>
              <w:top w:val="single" w:color="auto" w:sz="12" w:space="0"/>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投标价</w:t>
            </w:r>
          </w:p>
        </w:tc>
        <w:tc>
          <w:tcPr>
            <w:tcW w:w="770" w:type="dxa"/>
            <w:tcBorders>
              <w:top w:val="single" w:color="auto" w:sz="12" w:space="0"/>
              <w:left w:val="nil"/>
              <w:bottom w:val="single" w:color="auto" w:sz="8" w:space="0"/>
              <w:right w:val="single" w:color="auto" w:sz="12" w:space="0"/>
            </w:tcBorders>
            <w:tcMar>
              <w:top w:w="0" w:type="dxa"/>
              <w:left w:w="57" w:type="dxa"/>
              <w:bottom w:w="0" w:type="dxa"/>
              <w:right w:w="57" w:type="dxa"/>
            </w:tcMar>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备注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78" w:type="dxa"/>
            <w:tcBorders>
              <w:top w:val="nil"/>
              <w:left w:val="single" w:color="auto" w:sz="12" w:space="0"/>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w:t>
            </w:r>
          </w:p>
        </w:tc>
        <w:tc>
          <w:tcPr>
            <w:tcW w:w="207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themeColor="text1"/>
                <w:kern w:val="0"/>
                <w:sz w:val="24"/>
                <w:highlight w:val="none"/>
                <w14:textFill>
                  <w14:solidFill>
                    <w14:schemeClr w14:val="tx1"/>
                  </w14:solidFill>
                </w14:textFill>
              </w:rPr>
            </w:pPr>
          </w:p>
        </w:tc>
        <w:tc>
          <w:tcPr>
            <w:tcW w:w="155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themeColor="text1"/>
                <w:kern w:val="0"/>
                <w:sz w:val="24"/>
                <w:highlight w:val="none"/>
                <w14:textFill>
                  <w14:solidFill>
                    <w14:schemeClr w14:val="tx1"/>
                  </w14:solidFill>
                </w14:textFill>
              </w:rPr>
            </w:pPr>
          </w:p>
        </w:tc>
        <w:tc>
          <w:tcPr>
            <w:tcW w:w="94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themeColor="text1"/>
                <w:kern w:val="0"/>
                <w:sz w:val="24"/>
                <w:highlight w:val="none"/>
                <w14:textFill>
                  <w14:solidFill>
                    <w14:schemeClr w14:val="tx1"/>
                  </w14:solidFill>
                </w14:textFill>
              </w:rPr>
            </w:pPr>
          </w:p>
        </w:tc>
        <w:tc>
          <w:tcPr>
            <w:tcW w:w="2174"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themeColor="text1"/>
                <w:kern w:val="0"/>
                <w:sz w:val="24"/>
                <w:highlight w:val="none"/>
                <w14:textFill>
                  <w14:solidFill>
                    <w14:schemeClr w14:val="tx1"/>
                  </w14:solidFill>
                </w14:textFill>
              </w:rPr>
            </w:pPr>
          </w:p>
        </w:tc>
        <w:tc>
          <w:tcPr>
            <w:tcW w:w="109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themeColor="text1"/>
                <w:kern w:val="0"/>
                <w:sz w:val="24"/>
                <w:highlight w:val="none"/>
                <w14:textFill>
                  <w14:solidFill>
                    <w14:schemeClr w14:val="tx1"/>
                  </w14:solidFill>
                </w14:textFill>
              </w:rPr>
            </w:pPr>
          </w:p>
        </w:tc>
        <w:tc>
          <w:tcPr>
            <w:tcW w:w="770" w:type="dxa"/>
            <w:tcBorders>
              <w:top w:val="nil"/>
              <w:left w:val="nil"/>
              <w:bottom w:val="single" w:color="auto" w:sz="8" w:space="0"/>
              <w:right w:val="single" w:color="auto" w:sz="12" w:space="0"/>
            </w:tcBorders>
            <w:tcMar>
              <w:top w:w="0" w:type="dxa"/>
              <w:left w:w="57" w:type="dxa"/>
              <w:bottom w:w="0" w:type="dxa"/>
              <w:right w:w="57" w:type="dxa"/>
            </w:tcMar>
            <w:vAlign w:val="center"/>
          </w:tcPr>
          <w:p>
            <w:pPr>
              <w:widowControl/>
              <w:jc w:val="center"/>
              <w:rPr>
                <w:rFonts w:ascii="宋体" w:hAnsi="宋体" w:cs="宋体"/>
                <w:color w:val="000000" w:themeColor="text1"/>
                <w:kern w:val="0"/>
                <w:sz w:val="24"/>
                <w:highlight w:val="none"/>
                <w14:textFill>
                  <w14:solidFill>
                    <w14:schemeClr w14:val="tx1"/>
                  </w14:solidFill>
                </w14:textFill>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78" w:type="dxa"/>
            <w:tcBorders>
              <w:top w:val="nil"/>
              <w:left w:val="single" w:color="auto" w:sz="12" w:space="0"/>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w:t>
            </w:r>
          </w:p>
        </w:tc>
        <w:tc>
          <w:tcPr>
            <w:tcW w:w="207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themeColor="text1"/>
                <w:kern w:val="0"/>
                <w:sz w:val="24"/>
                <w:highlight w:val="none"/>
                <w14:textFill>
                  <w14:solidFill>
                    <w14:schemeClr w14:val="tx1"/>
                  </w14:solidFill>
                </w14:textFill>
              </w:rPr>
            </w:pPr>
          </w:p>
        </w:tc>
        <w:tc>
          <w:tcPr>
            <w:tcW w:w="155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themeColor="text1"/>
                <w:kern w:val="0"/>
                <w:sz w:val="24"/>
                <w:highlight w:val="none"/>
                <w14:textFill>
                  <w14:solidFill>
                    <w14:schemeClr w14:val="tx1"/>
                  </w14:solidFill>
                </w14:textFill>
              </w:rPr>
            </w:pPr>
          </w:p>
        </w:tc>
        <w:tc>
          <w:tcPr>
            <w:tcW w:w="94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themeColor="text1"/>
                <w:kern w:val="0"/>
                <w:sz w:val="24"/>
                <w:highlight w:val="none"/>
                <w14:textFill>
                  <w14:solidFill>
                    <w14:schemeClr w14:val="tx1"/>
                  </w14:solidFill>
                </w14:textFill>
              </w:rPr>
            </w:pPr>
          </w:p>
        </w:tc>
        <w:tc>
          <w:tcPr>
            <w:tcW w:w="2174"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themeColor="text1"/>
                <w:kern w:val="0"/>
                <w:sz w:val="24"/>
                <w:highlight w:val="none"/>
                <w14:textFill>
                  <w14:solidFill>
                    <w14:schemeClr w14:val="tx1"/>
                  </w14:solidFill>
                </w14:textFill>
              </w:rPr>
            </w:pPr>
          </w:p>
        </w:tc>
        <w:tc>
          <w:tcPr>
            <w:tcW w:w="109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themeColor="text1"/>
                <w:kern w:val="0"/>
                <w:sz w:val="24"/>
                <w:highlight w:val="none"/>
                <w14:textFill>
                  <w14:solidFill>
                    <w14:schemeClr w14:val="tx1"/>
                  </w14:solidFill>
                </w14:textFill>
              </w:rPr>
            </w:pPr>
          </w:p>
        </w:tc>
        <w:tc>
          <w:tcPr>
            <w:tcW w:w="770" w:type="dxa"/>
            <w:tcBorders>
              <w:top w:val="nil"/>
              <w:left w:val="nil"/>
              <w:bottom w:val="single" w:color="auto" w:sz="8" w:space="0"/>
              <w:right w:val="single" w:color="auto" w:sz="12" w:space="0"/>
            </w:tcBorders>
            <w:tcMar>
              <w:top w:w="0" w:type="dxa"/>
              <w:left w:w="57" w:type="dxa"/>
              <w:bottom w:w="0" w:type="dxa"/>
              <w:right w:w="57" w:type="dxa"/>
            </w:tcMar>
            <w:vAlign w:val="center"/>
          </w:tcPr>
          <w:p>
            <w:pPr>
              <w:widowControl/>
              <w:jc w:val="center"/>
              <w:rPr>
                <w:rFonts w:ascii="宋体" w:hAnsi="宋体" w:cs="宋体"/>
                <w:color w:val="000000" w:themeColor="text1"/>
                <w:kern w:val="0"/>
                <w:sz w:val="24"/>
                <w:highlight w:val="none"/>
                <w14:textFill>
                  <w14:solidFill>
                    <w14:schemeClr w14:val="tx1"/>
                  </w14:solidFill>
                </w14:textFill>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78" w:type="dxa"/>
            <w:tcBorders>
              <w:top w:val="nil"/>
              <w:left w:val="single" w:color="auto" w:sz="12" w:space="0"/>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w:t>
            </w:r>
          </w:p>
        </w:tc>
        <w:tc>
          <w:tcPr>
            <w:tcW w:w="207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themeColor="text1"/>
                <w:kern w:val="0"/>
                <w:sz w:val="24"/>
                <w:highlight w:val="none"/>
                <w14:textFill>
                  <w14:solidFill>
                    <w14:schemeClr w14:val="tx1"/>
                  </w14:solidFill>
                </w14:textFill>
              </w:rPr>
            </w:pPr>
          </w:p>
        </w:tc>
        <w:tc>
          <w:tcPr>
            <w:tcW w:w="155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themeColor="text1"/>
                <w:kern w:val="0"/>
                <w:sz w:val="24"/>
                <w:highlight w:val="none"/>
                <w14:textFill>
                  <w14:solidFill>
                    <w14:schemeClr w14:val="tx1"/>
                  </w14:solidFill>
                </w14:textFill>
              </w:rPr>
            </w:pPr>
          </w:p>
        </w:tc>
        <w:tc>
          <w:tcPr>
            <w:tcW w:w="94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themeColor="text1"/>
                <w:kern w:val="0"/>
                <w:sz w:val="24"/>
                <w:highlight w:val="none"/>
                <w14:textFill>
                  <w14:solidFill>
                    <w14:schemeClr w14:val="tx1"/>
                  </w14:solidFill>
                </w14:textFill>
              </w:rPr>
            </w:pPr>
          </w:p>
        </w:tc>
        <w:tc>
          <w:tcPr>
            <w:tcW w:w="2174"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themeColor="text1"/>
                <w:kern w:val="0"/>
                <w:sz w:val="24"/>
                <w:highlight w:val="none"/>
                <w14:textFill>
                  <w14:solidFill>
                    <w14:schemeClr w14:val="tx1"/>
                  </w14:solidFill>
                </w14:textFill>
              </w:rPr>
            </w:pPr>
          </w:p>
        </w:tc>
        <w:tc>
          <w:tcPr>
            <w:tcW w:w="109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themeColor="text1"/>
                <w:kern w:val="0"/>
                <w:sz w:val="24"/>
                <w:highlight w:val="none"/>
                <w14:textFill>
                  <w14:solidFill>
                    <w14:schemeClr w14:val="tx1"/>
                  </w14:solidFill>
                </w14:textFill>
              </w:rPr>
            </w:pPr>
          </w:p>
        </w:tc>
        <w:tc>
          <w:tcPr>
            <w:tcW w:w="770" w:type="dxa"/>
            <w:tcBorders>
              <w:top w:val="nil"/>
              <w:left w:val="nil"/>
              <w:bottom w:val="single" w:color="auto" w:sz="8" w:space="0"/>
              <w:right w:val="single" w:color="auto" w:sz="12" w:space="0"/>
            </w:tcBorders>
            <w:tcMar>
              <w:top w:w="0" w:type="dxa"/>
              <w:left w:w="57" w:type="dxa"/>
              <w:bottom w:w="0" w:type="dxa"/>
              <w:right w:w="57" w:type="dxa"/>
            </w:tcMar>
            <w:vAlign w:val="center"/>
          </w:tcPr>
          <w:p>
            <w:pPr>
              <w:widowControl/>
              <w:jc w:val="center"/>
              <w:rPr>
                <w:rFonts w:ascii="宋体" w:hAnsi="宋体" w:cs="宋体"/>
                <w:color w:val="000000" w:themeColor="text1"/>
                <w:kern w:val="0"/>
                <w:sz w:val="24"/>
                <w:highlight w:val="none"/>
                <w14:textFill>
                  <w14:solidFill>
                    <w14:schemeClr w14:val="tx1"/>
                  </w14:solidFill>
                </w14:textFill>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78" w:type="dxa"/>
            <w:tcBorders>
              <w:top w:val="nil"/>
              <w:left w:val="single" w:color="auto" w:sz="12" w:space="0"/>
              <w:bottom w:val="single" w:color="auto" w:sz="12"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themeColor="text1"/>
                <w:kern w:val="0"/>
                <w:sz w:val="24"/>
                <w:highlight w:val="none"/>
                <w14:textFill>
                  <w14:solidFill>
                    <w14:schemeClr w14:val="tx1"/>
                  </w14:solidFill>
                </w14:textFill>
              </w:rPr>
            </w:pPr>
          </w:p>
        </w:tc>
        <w:tc>
          <w:tcPr>
            <w:tcW w:w="2075" w:type="dxa"/>
            <w:tcBorders>
              <w:top w:val="nil"/>
              <w:left w:val="nil"/>
              <w:bottom w:val="single" w:color="auto" w:sz="12"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广西工业产品合计价格：</w:t>
            </w:r>
          </w:p>
        </w:tc>
        <w:tc>
          <w:tcPr>
            <w:tcW w:w="2498" w:type="dxa"/>
            <w:gridSpan w:val="2"/>
            <w:tcBorders>
              <w:top w:val="nil"/>
              <w:left w:val="nil"/>
              <w:bottom w:val="single" w:color="auto" w:sz="12"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themeColor="text1"/>
                <w:kern w:val="0"/>
                <w:sz w:val="24"/>
                <w:highlight w:val="none"/>
                <w14:textFill>
                  <w14:solidFill>
                    <w14:schemeClr w14:val="tx1"/>
                  </w14:solidFill>
                </w14:textFill>
              </w:rPr>
            </w:pPr>
          </w:p>
        </w:tc>
        <w:tc>
          <w:tcPr>
            <w:tcW w:w="2174" w:type="dxa"/>
            <w:tcBorders>
              <w:top w:val="nil"/>
              <w:left w:val="nil"/>
              <w:bottom w:val="single" w:color="auto" w:sz="12"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占投标总价比例：</w:t>
            </w:r>
          </w:p>
        </w:tc>
        <w:tc>
          <w:tcPr>
            <w:tcW w:w="1860" w:type="dxa"/>
            <w:gridSpan w:val="2"/>
            <w:tcBorders>
              <w:top w:val="nil"/>
              <w:left w:val="nil"/>
              <w:bottom w:val="single" w:color="auto" w:sz="12" w:space="0"/>
              <w:right w:val="single" w:color="auto" w:sz="12" w:space="0"/>
            </w:tcBorders>
            <w:tcMar>
              <w:top w:w="0" w:type="dxa"/>
              <w:left w:w="57" w:type="dxa"/>
              <w:bottom w:w="0" w:type="dxa"/>
              <w:right w:w="57" w:type="dxa"/>
            </w:tcMar>
            <w:vAlign w:val="center"/>
          </w:tcPr>
          <w:p>
            <w:pPr>
              <w:widowControl/>
              <w:jc w:val="center"/>
              <w:rPr>
                <w:rFonts w:ascii="宋体" w:hAnsi="宋体" w:cs="宋体"/>
                <w:color w:val="000000" w:themeColor="text1"/>
                <w:kern w:val="0"/>
                <w:sz w:val="24"/>
                <w:highlight w:val="none"/>
                <w14:textFill>
                  <w14:solidFill>
                    <w14:schemeClr w14:val="tx1"/>
                  </w14:solidFill>
                </w14:textFill>
              </w:rPr>
            </w:pPr>
          </w:p>
        </w:tc>
      </w:tr>
    </w:tbl>
    <w:p>
      <w:pPr>
        <w:pStyle w:val="35"/>
        <w:shd w:val="clear" w:color="auto" w:fill="FFFFFF"/>
        <w:spacing w:before="0" w:beforeAutospacing="0" w:after="0" w:afterAutospacing="0" w:line="460" w:lineRule="exact"/>
        <w:ind w:firstLine="48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本公司对上述声明的真实性负责。如有虚假，将依法承担相应责任。</w:t>
      </w:r>
    </w:p>
    <w:p>
      <w:pPr>
        <w:pStyle w:val="35"/>
        <w:shd w:val="clear" w:color="auto" w:fill="FFFFFF"/>
        <w:spacing w:before="0" w:beforeAutospacing="0" w:after="0" w:afterAutospacing="0" w:line="460" w:lineRule="exact"/>
        <w:ind w:firstLine="480" w:firstLineChars="200"/>
        <w:rPr>
          <w:color w:val="000000" w:themeColor="text1"/>
          <w:highlight w:val="none"/>
          <w14:textFill>
            <w14:solidFill>
              <w14:schemeClr w14:val="tx1"/>
            </w14:solidFill>
          </w14:textFill>
        </w:rPr>
      </w:pPr>
    </w:p>
    <w:p>
      <w:pPr>
        <w:pStyle w:val="35"/>
        <w:shd w:val="clear" w:color="auto" w:fill="FFFFFF"/>
        <w:spacing w:before="0" w:beforeAutospacing="0" w:after="0" w:afterAutospacing="0" w:line="460" w:lineRule="exact"/>
        <w:ind w:firstLine="480" w:firstLineChars="200"/>
        <w:rPr>
          <w:color w:val="000000" w:themeColor="text1"/>
          <w:highlight w:val="none"/>
          <w14:textFill>
            <w14:solidFill>
              <w14:schemeClr w14:val="tx1"/>
            </w14:solidFill>
          </w14:textFill>
        </w:rPr>
      </w:pPr>
    </w:p>
    <w:p>
      <w:pPr>
        <w:pStyle w:val="35"/>
        <w:shd w:val="clear" w:color="auto" w:fill="FFFFFF"/>
        <w:spacing w:before="0" w:beforeAutospacing="0" w:after="0" w:afterAutospacing="0" w:line="460" w:lineRule="exact"/>
        <w:ind w:firstLine="4500" w:firstLineChars="1875"/>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企业名称(盖章)：</w:t>
      </w:r>
    </w:p>
    <w:p>
      <w:pPr>
        <w:pStyle w:val="35"/>
        <w:shd w:val="clear" w:color="auto" w:fill="FFFFFF"/>
        <w:spacing w:before="0" w:beforeAutospacing="0" w:after="0" w:afterAutospacing="0" w:line="460" w:lineRule="exact"/>
        <w:ind w:firstLine="4500" w:firstLineChars="1875"/>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日 期：</w:t>
      </w:r>
    </w:p>
    <w:p>
      <w:pPr>
        <w:spacing w:line="400" w:lineRule="exact"/>
        <w:rPr>
          <w:rFonts w:ascii="宋体" w:hAnsi="宋体" w:cs="宋体"/>
          <w:color w:val="000000" w:themeColor="text1"/>
          <w:highlight w:val="none"/>
          <w14:textFill>
            <w14:solidFill>
              <w14:schemeClr w14:val="tx1"/>
            </w14:solidFill>
          </w14:textFill>
        </w:rPr>
      </w:pPr>
    </w:p>
    <w:p>
      <w:pPr>
        <w:spacing w:line="400" w:lineRule="exact"/>
        <w:rPr>
          <w:rFonts w:ascii="宋体" w:hAnsi="宋体" w:cs="宋体"/>
          <w:color w:val="000000" w:themeColor="text1"/>
          <w:highlight w:val="none"/>
          <w14:textFill>
            <w14:solidFill>
              <w14:schemeClr w14:val="tx1"/>
            </w14:solidFill>
          </w14:textFill>
        </w:rPr>
      </w:pPr>
    </w:p>
    <w:p>
      <w:pPr>
        <w:spacing w:line="400" w:lineRule="exact"/>
        <w:rPr>
          <w:rFonts w:ascii="宋体" w:hAnsi="宋体" w:cs="宋体"/>
          <w:color w:val="000000" w:themeColor="text1"/>
          <w:highlight w:val="none"/>
          <w14:textFill>
            <w14:solidFill>
              <w14:schemeClr w14:val="tx1"/>
            </w14:solidFill>
          </w14:textFill>
        </w:rPr>
      </w:pPr>
    </w:p>
    <w:p>
      <w:pPr>
        <w:spacing w:line="400" w:lineRule="exact"/>
        <w:rPr>
          <w:rFonts w:ascii="宋体" w:hAnsi="宋体" w:cs="宋体"/>
          <w:color w:val="000000" w:themeColor="text1"/>
          <w:highlight w:val="none"/>
          <w14:textFill>
            <w14:solidFill>
              <w14:schemeClr w14:val="tx1"/>
            </w14:solidFill>
          </w14:textFill>
        </w:rPr>
      </w:pPr>
    </w:p>
    <w:p>
      <w:pPr>
        <w:spacing w:line="400" w:lineRule="exact"/>
        <w:rPr>
          <w:rFonts w:ascii="宋体" w:hAnsi="宋体" w:cs="宋体"/>
          <w:color w:val="000000" w:themeColor="text1"/>
          <w:highlight w:val="none"/>
          <w14:textFill>
            <w14:solidFill>
              <w14:schemeClr w14:val="tx1"/>
            </w14:solidFill>
          </w14:textFill>
        </w:rPr>
      </w:pPr>
    </w:p>
    <w:p>
      <w:pPr>
        <w:spacing w:line="400" w:lineRule="exact"/>
        <w:rPr>
          <w:rFonts w:ascii="宋体" w:hAnsi="宋体" w:cs="宋体"/>
          <w:color w:val="000000" w:themeColor="text1"/>
          <w:highlight w:val="none"/>
          <w14:textFill>
            <w14:solidFill>
              <w14:schemeClr w14:val="tx1"/>
            </w14:solidFill>
          </w14:textFill>
        </w:rPr>
      </w:pPr>
    </w:p>
    <w:p>
      <w:pPr>
        <w:spacing w:line="400" w:lineRule="exact"/>
        <w:rPr>
          <w:rFonts w:ascii="宋体" w:hAnsi="宋体" w:cs="宋体"/>
          <w:color w:val="000000" w:themeColor="text1"/>
          <w:highlight w:val="none"/>
          <w14:textFill>
            <w14:solidFill>
              <w14:schemeClr w14:val="tx1"/>
            </w14:solidFill>
          </w14:textFill>
        </w:rPr>
      </w:pPr>
    </w:p>
    <w:p>
      <w:pPr>
        <w:spacing w:line="360" w:lineRule="exact"/>
        <w:ind w:left="620" w:hanging="620" w:hangingChars="294"/>
        <w:rPr>
          <w:rFonts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说明：</w:t>
      </w:r>
    </w:p>
    <w:p>
      <w:pPr>
        <w:spacing w:line="360" w:lineRule="exac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根据《广西壮族自治区人民政府办公厅关于印发招标采购促进广西工业产品产销对接实施细则的通知》的规定，货物服务招标采购评标方法采用综合评分法的，对使用广西工业产品80％以上（含）的投标人，评标时给予一定的政策功能加分。（具体加分情况见第章四章评标办法）</w:t>
      </w:r>
    </w:p>
    <w:p>
      <w:pPr>
        <w:spacing w:line="360" w:lineRule="exac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2发现投标人提供虚假材料，或中标后在与采购单位履约过程中未按投标文件《广西工业产品声明函》中使用广西工业产品或者使用广西工业产品比例小于80%的，按照有关法律法规追究其相关责任。</w:t>
      </w:r>
    </w:p>
    <w:p>
      <w:pPr>
        <w:spacing w:line="400" w:lineRule="exact"/>
        <w:ind w:firstLine="210" w:firstLineChars="100"/>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br w:type="page"/>
      </w:r>
    </w:p>
    <w:p>
      <w:pPr>
        <w:spacing w:line="460" w:lineRule="exact"/>
        <w:ind w:firstLine="2891" w:firstLineChars="900"/>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售后服务方案</w:t>
      </w:r>
    </w:p>
    <w:p>
      <w:pPr>
        <w:spacing w:line="460" w:lineRule="exact"/>
        <w:ind w:left="482" w:hanging="482" w:hangingChars="15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格式自议，</w:t>
      </w:r>
      <w:r>
        <w:rPr>
          <w:rFonts w:hint="eastAsia" w:ascii="宋体" w:hAnsi="宋体" w:cs="宋体"/>
          <w:color w:val="000000" w:themeColor="text1"/>
          <w:highlight w:val="none"/>
          <w14:textFill>
            <w14:solidFill>
              <w14:schemeClr w14:val="tx1"/>
            </w14:solidFill>
          </w14:textFill>
        </w:rPr>
        <w:t>投标人根据本项目要求及自己的实际情况自行编写，内容包括质保期、本地化服务、技术培训及指导、负责售后维修的主管人员情况、解决故障的响应时间等</w:t>
      </w:r>
      <w:r>
        <w:rPr>
          <w:rFonts w:hint="eastAsia" w:ascii="宋体" w:hAnsi="宋体" w:cs="宋体"/>
          <w:b/>
          <w:bCs/>
          <w:color w:val="000000" w:themeColor="text1"/>
          <w:sz w:val="32"/>
          <w:szCs w:val="32"/>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 xml:space="preserve"> </w:t>
      </w:r>
    </w:p>
    <w:p>
      <w:pPr>
        <w:spacing w:line="460" w:lineRule="exact"/>
        <w:jc w:val="left"/>
        <w:rPr>
          <w:rFonts w:ascii="宋体" w:hAnsi="宋体" w:cs="宋体"/>
          <w:color w:val="000000" w:themeColor="text1"/>
          <w:highlight w:val="none"/>
          <w14:textFill>
            <w14:solidFill>
              <w14:schemeClr w14:val="tx1"/>
            </w14:solidFill>
          </w14:textFill>
        </w:rPr>
      </w:pPr>
    </w:p>
    <w:p>
      <w:pPr>
        <w:pStyle w:val="175"/>
        <w:shd w:val="clear" w:color="auto" w:fill="FFFFFF"/>
        <w:spacing w:before="0" w:beforeAutospacing="0" w:after="0" w:afterAutospacing="0"/>
        <w:rPr>
          <w:b/>
          <w:color w:val="000000" w:themeColor="text1"/>
          <w:highlight w:val="none"/>
          <w14:textFill>
            <w14:solidFill>
              <w14:schemeClr w14:val="tx1"/>
            </w14:solidFill>
          </w14:textFill>
        </w:rPr>
      </w:pPr>
    </w:p>
    <w:p>
      <w:pPr>
        <w:pStyle w:val="175"/>
        <w:shd w:val="clear" w:color="auto" w:fill="FFFFFF"/>
        <w:spacing w:before="0" w:beforeAutospacing="0" w:after="0" w:afterAutospacing="0"/>
        <w:rPr>
          <w:b/>
          <w:color w:val="000000" w:themeColor="text1"/>
          <w:highlight w:val="none"/>
          <w14:textFill>
            <w14:solidFill>
              <w14:schemeClr w14:val="tx1"/>
            </w14:solidFill>
          </w14:textFill>
        </w:rPr>
      </w:pPr>
    </w:p>
    <w:p>
      <w:pPr>
        <w:pStyle w:val="175"/>
        <w:shd w:val="clear" w:color="auto" w:fill="FFFFFF"/>
        <w:spacing w:before="0" w:beforeAutospacing="0" w:after="0" w:afterAutospacing="0"/>
        <w:rPr>
          <w:b/>
          <w:color w:val="000000" w:themeColor="text1"/>
          <w:highlight w:val="none"/>
          <w14:textFill>
            <w14:solidFill>
              <w14:schemeClr w14:val="tx1"/>
            </w14:solidFill>
          </w14:textFill>
        </w:rPr>
      </w:pPr>
    </w:p>
    <w:p>
      <w:pPr>
        <w:spacing w:line="400" w:lineRule="exact"/>
        <w:rPr>
          <w:rFonts w:ascii="宋体" w:hAnsi="宋体" w:cs="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br w:type="page"/>
      </w:r>
    </w:p>
    <w:p>
      <w:pPr>
        <w:spacing w:line="400" w:lineRule="exact"/>
        <w:rPr>
          <w:rFonts w:ascii="宋体" w:hAnsi="宋体" w:cs="宋体"/>
          <w:color w:val="000000" w:themeColor="text1"/>
          <w:highlight w:val="none"/>
          <w14:textFill>
            <w14:solidFill>
              <w14:schemeClr w14:val="tx1"/>
            </w14:solidFill>
          </w14:textFill>
        </w:rPr>
      </w:pPr>
    </w:p>
    <w:p>
      <w:pPr>
        <w:spacing w:line="400" w:lineRule="exact"/>
        <w:rPr>
          <w:rFonts w:ascii="宋体" w:hAnsi="宋体" w:cs="宋体"/>
          <w:color w:val="000000" w:themeColor="text1"/>
          <w:highlight w:val="none"/>
          <w14:textFill>
            <w14:solidFill>
              <w14:schemeClr w14:val="tx1"/>
            </w14:solidFill>
          </w14:textFill>
        </w:rPr>
      </w:pPr>
    </w:p>
    <w:p>
      <w:pPr>
        <w:spacing w:line="400" w:lineRule="exact"/>
        <w:rPr>
          <w:rFonts w:ascii="宋体" w:hAnsi="宋体" w:cs="宋体"/>
          <w:color w:val="000000" w:themeColor="text1"/>
          <w:highlight w:val="none"/>
          <w14:textFill>
            <w14:solidFill>
              <w14:schemeClr w14:val="tx1"/>
            </w14:solidFill>
          </w14:textFill>
        </w:rPr>
      </w:pPr>
    </w:p>
    <w:p>
      <w:pPr>
        <w:spacing w:line="400" w:lineRule="exact"/>
        <w:ind w:firstLine="210" w:firstLineChars="100"/>
        <w:rPr>
          <w:rFonts w:ascii="宋体" w:hAnsi="宋体" w:cs="宋体"/>
          <w:color w:val="000000" w:themeColor="text1"/>
          <w:highlight w:val="none"/>
          <w:u w:val="single"/>
          <w14:textFill>
            <w14:solidFill>
              <w14:schemeClr w14:val="tx1"/>
            </w14:solidFill>
          </w14:textFill>
        </w:rPr>
      </w:pPr>
    </w:p>
    <w:p>
      <w:pPr>
        <w:spacing w:line="400" w:lineRule="exact"/>
        <w:ind w:firstLine="210" w:firstLineChars="100"/>
        <w:rPr>
          <w:rFonts w:ascii="宋体" w:hAnsi="宋体" w:cs="宋体"/>
          <w:color w:val="000000" w:themeColor="text1"/>
          <w:highlight w:val="none"/>
          <w:u w:val="single"/>
          <w14:textFill>
            <w14:solidFill>
              <w14:schemeClr w14:val="tx1"/>
            </w14:solidFill>
          </w14:textFill>
        </w:rPr>
      </w:pPr>
    </w:p>
    <w:p>
      <w:pPr>
        <w:spacing w:line="400" w:lineRule="exact"/>
        <w:ind w:firstLine="210" w:firstLineChars="100"/>
        <w:rPr>
          <w:rFonts w:ascii="宋体" w:hAnsi="宋体" w:cs="宋体"/>
          <w:color w:val="000000" w:themeColor="text1"/>
          <w:highlight w:val="none"/>
          <w14:textFill>
            <w14:solidFill>
              <w14:schemeClr w14:val="tx1"/>
            </w14:solidFill>
          </w14:textFill>
        </w:rPr>
      </w:pPr>
    </w:p>
    <w:p>
      <w:pPr>
        <w:pStyle w:val="3"/>
        <w:spacing w:line="560" w:lineRule="exact"/>
        <w:jc w:val="center"/>
        <w:rPr>
          <w:rFonts w:ascii="宋体" w:hAnsi="宋体" w:cs="宋体"/>
          <w:bCs/>
          <w:color w:val="000000" w:themeColor="text1"/>
          <w:sz w:val="44"/>
          <w:highlight w:val="none"/>
          <w14:textFill>
            <w14:solidFill>
              <w14:schemeClr w14:val="tx1"/>
            </w14:solidFill>
          </w14:textFill>
        </w:rPr>
      </w:pPr>
      <w:bookmarkStart w:id="275" w:name="_Toc469842116"/>
      <w:bookmarkStart w:id="276" w:name="_Toc469874208"/>
      <w:bookmarkStart w:id="277" w:name="_Toc230949430"/>
      <w:bookmarkStart w:id="278" w:name="_Toc405943019"/>
      <w:bookmarkStart w:id="279" w:name="_Toc395066561"/>
      <w:bookmarkStart w:id="280" w:name="_Toc230929191"/>
      <w:bookmarkStart w:id="281" w:name="_Toc3074"/>
      <w:bookmarkStart w:id="282" w:name="_Toc207770877"/>
      <w:bookmarkStart w:id="283" w:name="_Toc210184913"/>
      <w:bookmarkStart w:id="284" w:name="_Toc205094828"/>
      <w:bookmarkStart w:id="285" w:name="_Toc206525312"/>
      <w:bookmarkStart w:id="286" w:name="_Toc211355201"/>
      <w:r>
        <w:rPr>
          <w:rFonts w:hint="eastAsia" w:ascii="宋体" w:hAnsi="宋体" w:cs="宋体"/>
          <w:bCs/>
          <w:color w:val="000000" w:themeColor="text1"/>
          <w:sz w:val="44"/>
          <w:highlight w:val="none"/>
          <w14:textFill>
            <w14:solidFill>
              <w14:schemeClr w14:val="tx1"/>
            </w14:solidFill>
          </w14:textFill>
        </w:rPr>
        <w:t>第七章  附件</w:t>
      </w:r>
      <w:bookmarkEnd w:id="275"/>
      <w:bookmarkEnd w:id="276"/>
      <w:bookmarkEnd w:id="277"/>
      <w:bookmarkEnd w:id="278"/>
      <w:bookmarkEnd w:id="279"/>
      <w:bookmarkEnd w:id="280"/>
      <w:bookmarkEnd w:id="281"/>
    </w:p>
    <w:bookmarkEnd w:id="282"/>
    <w:bookmarkEnd w:id="283"/>
    <w:bookmarkEnd w:id="284"/>
    <w:bookmarkEnd w:id="285"/>
    <w:bookmarkEnd w:id="286"/>
    <w:p>
      <w:pPr>
        <w:pStyle w:val="20"/>
        <w:spacing w:line="400" w:lineRule="exact"/>
        <w:rPr>
          <w:rFonts w:hAnsi="宋体" w:cs="宋体"/>
          <w:color w:val="000000" w:themeColor="text1"/>
          <w:highlight w:val="none"/>
          <w14:textFill>
            <w14:solidFill>
              <w14:schemeClr w14:val="tx1"/>
            </w14:solidFill>
          </w14:textFill>
        </w:rPr>
      </w:pPr>
      <w:bookmarkStart w:id="287" w:name="_Toc207770878"/>
      <w:bookmarkStart w:id="288" w:name="_Toc206525311"/>
      <w:bookmarkStart w:id="289" w:name="_Toc211355202"/>
      <w:bookmarkStart w:id="290" w:name="_Toc210184914"/>
    </w:p>
    <w:p>
      <w:pPr>
        <w:pStyle w:val="20"/>
        <w:spacing w:line="400" w:lineRule="exact"/>
        <w:rPr>
          <w:rFonts w:hAnsi="宋体" w:cs="宋体"/>
          <w:b/>
          <w:color w:val="000000" w:themeColor="text1"/>
          <w:szCs w:val="2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br w:type="page"/>
      </w:r>
      <w:bookmarkEnd w:id="287"/>
      <w:bookmarkEnd w:id="288"/>
      <w:bookmarkEnd w:id="289"/>
      <w:bookmarkEnd w:id="290"/>
    </w:p>
    <w:p>
      <w:pPr>
        <w:pStyle w:val="20"/>
        <w:spacing w:line="400" w:lineRule="exact"/>
        <w:rPr>
          <w:rFonts w:hAnsi="宋体" w:cs="宋体"/>
          <w:color w:val="000000" w:themeColor="text1"/>
          <w:sz w:val="28"/>
          <w:szCs w:val="28"/>
          <w:highlight w:val="none"/>
          <w14:textFill>
            <w14:solidFill>
              <w14:schemeClr w14:val="tx1"/>
            </w14:solidFill>
          </w14:textFill>
        </w:rPr>
      </w:pPr>
      <w:r>
        <w:rPr>
          <w:rFonts w:hint="eastAsia" w:hAnsi="宋体" w:cs="宋体"/>
          <w:b/>
          <w:bCs/>
          <w:color w:val="000000" w:themeColor="text1"/>
          <w:sz w:val="28"/>
          <w:szCs w:val="28"/>
          <w:highlight w:val="none"/>
          <w14:textFill>
            <w14:solidFill>
              <w14:schemeClr w14:val="tx1"/>
            </w14:solidFill>
          </w14:textFill>
        </w:rPr>
        <w:t>附件1：</w:t>
      </w:r>
      <w:r>
        <w:rPr>
          <w:rFonts w:hint="eastAsia" w:hAnsi="宋体" w:cs="宋体"/>
          <w:color w:val="000000" w:themeColor="text1"/>
          <w:sz w:val="28"/>
          <w:szCs w:val="28"/>
          <w:highlight w:val="none"/>
          <w14:textFill>
            <w14:solidFill>
              <w14:schemeClr w14:val="tx1"/>
            </w14:solidFill>
          </w14:textFill>
        </w:rPr>
        <w:t>政府采购项目履约保证金退付意见书（格式）</w:t>
      </w:r>
    </w:p>
    <w:p>
      <w:pPr>
        <w:pStyle w:val="20"/>
        <w:spacing w:line="400" w:lineRule="exact"/>
        <w:rPr>
          <w:rFonts w:hAnsi="宋体" w:cs="宋体"/>
          <w:b/>
          <w:color w:val="000000" w:themeColor="text1"/>
          <w:szCs w:val="21"/>
          <w:highlight w:val="none"/>
          <w14:textFill>
            <w14:solidFill>
              <w14:schemeClr w14:val="tx1"/>
            </w14:solidFill>
          </w14:textFill>
        </w:rPr>
      </w:pPr>
    </w:p>
    <w:p>
      <w:pPr>
        <w:pStyle w:val="20"/>
        <w:spacing w:line="400" w:lineRule="exact"/>
        <w:jc w:val="center"/>
        <w:rPr>
          <w:rFonts w:hAnsi="宋体" w:cs="宋体"/>
          <w:b/>
          <w:bCs/>
          <w:color w:val="000000" w:themeColor="text1"/>
          <w:kern w:val="0"/>
          <w:sz w:val="32"/>
          <w:szCs w:val="32"/>
          <w:highlight w:val="none"/>
          <w14:textFill>
            <w14:solidFill>
              <w14:schemeClr w14:val="tx1"/>
            </w14:solidFill>
          </w14:textFill>
        </w:rPr>
      </w:pPr>
      <w:r>
        <w:rPr>
          <w:rFonts w:hint="eastAsia" w:hAnsi="宋体" w:cs="宋体"/>
          <w:b/>
          <w:bCs/>
          <w:color w:val="000000" w:themeColor="text1"/>
          <w:kern w:val="0"/>
          <w:sz w:val="32"/>
          <w:szCs w:val="32"/>
          <w:highlight w:val="none"/>
          <w14:textFill>
            <w14:solidFill>
              <w14:schemeClr w14:val="tx1"/>
            </w14:solidFill>
          </w14:textFill>
        </w:rPr>
        <w:t>政府采购项目履约保证金退付意见书</w:t>
      </w:r>
    </w:p>
    <w:p>
      <w:pPr>
        <w:pStyle w:val="20"/>
        <w:spacing w:line="200" w:lineRule="exact"/>
        <w:rPr>
          <w:rFonts w:hAnsi="宋体" w:cs="宋体"/>
          <w:b/>
          <w:color w:val="000000" w:themeColor="text1"/>
          <w:szCs w:val="21"/>
          <w:highlight w:val="none"/>
          <w14:textFill>
            <w14:solidFill>
              <w14:schemeClr w14:val="tx1"/>
            </w14:solidFill>
          </w14:textFill>
        </w:rPr>
      </w:pPr>
    </w:p>
    <w:tbl>
      <w:tblPr>
        <w:tblStyle w:val="40"/>
        <w:tblW w:w="0" w:type="auto"/>
        <w:tblInd w:w="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156"/>
        <w:gridCol w:w="7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659" w:type="dxa"/>
            <w:vMerge w:val="restart"/>
            <w:vAlign w:val="center"/>
          </w:tcPr>
          <w:p>
            <w:pPr>
              <w:widowControl/>
              <w:snapToGrid w:val="0"/>
              <w:jc w:val="center"/>
              <w:rPr>
                <w:rFonts w:ascii="宋体" w:hAnsi="宋体" w:cs="宋体"/>
                <w:color w:val="000000" w:themeColor="text1"/>
                <w:kern w:val="0"/>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14:textFill>
                  <w14:solidFill>
                    <w14:schemeClr w14:val="tx1"/>
                  </w14:solidFill>
                </w14:textFill>
              </w:rPr>
              <w:t>投标人申请</w:t>
            </w:r>
          </w:p>
        </w:tc>
        <w:tc>
          <w:tcPr>
            <w:tcW w:w="8876" w:type="dxa"/>
            <w:gridSpan w:val="2"/>
            <w:vAlign w:val="center"/>
          </w:tcPr>
          <w:p>
            <w:pPr>
              <w:widowControl/>
              <w:snapToGrid w:val="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采购项目名称：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659" w:type="dxa"/>
            <w:vMerge w:val="continue"/>
            <w:vAlign w:val="center"/>
          </w:tcPr>
          <w:p>
            <w:pPr>
              <w:widowControl/>
              <w:snapToGrid w:val="0"/>
              <w:jc w:val="center"/>
              <w:rPr>
                <w:rFonts w:ascii="宋体" w:hAnsi="宋体" w:cs="宋体"/>
                <w:color w:val="000000" w:themeColor="text1"/>
                <w:kern w:val="0"/>
                <w:sz w:val="30"/>
                <w:szCs w:val="30"/>
                <w:highlight w:val="none"/>
                <w14:textFill>
                  <w14:solidFill>
                    <w14:schemeClr w14:val="tx1"/>
                  </w14:solidFill>
                </w14:textFill>
              </w:rPr>
            </w:pPr>
          </w:p>
        </w:tc>
        <w:tc>
          <w:tcPr>
            <w:tcW w:w="8876" w:type="dxa"/>
            <w:gridSpan w:val="2"/>
            <w:vAlign w:val="center"/>
          </w:tcPr>
          <w:p>
            <w:pPr>
              <w:widowControl/>
              <w:snapToGrid w:val="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采购项目编号：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659" w:type="dxa"/>
            <w:vMerge w:val="continue"/>
            <w:vAlign w:val="center"/>
          </w:tcPr>
          <w:p>
            <w:pPr>
              <w:widowControl/>
              <w:snapToGrid w:val="0"/>
              <w:jc w:val="left"/>
              <w:rPr>
                <w:rFonts w:ascii="宋体" w:hAnsi="宋体" w:cs="宋体"/>
                <w:color w:val="000000" w:themeColor="text1"/>
                <w:kern w:val="0"/>
                <w:sz w:val="32"/>
                <w:szCs w:val="32"/>
                <w:highlight w:val="none"/>
                <w14:textFill>
                  <w14:solidFill>
                    <w14:schemeClr w14:val="tx1"/>
                  </w14:solidFill>
                </w14:textFill>
              </w:rPr>
            </w:pPr>
          </w:p>
        </w:tc>
        <w:tc>
          <w:tcPr>
            <w:tcW w:w="8876" w:type="dxa"/>
            <w:gridSpan w:val="2"/>
            <w:vAlign w:val="center"/>
          </w:tcPr>
          <w:p>
            <w:pPr>
              <w:widowControl/>
              <w:snapToGrid w:val="0"/>
              <w:spacing w:line="400" w:lineRule="exact"/>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履约保证金金额：（大写）</w:t>
            </w:r>
          </w:p>
          <w:p>
            <w:pPr>
              <w:widowControl/>
              <w:snapToGrid w:val="0"/>
              <w:spacing w:line="400" w:lineRule="exact"/>
              <w:ind w:firstLine="1920" w:firstLineChars="8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7" w:hRule="atLeast"/>
        </w:trPr>
        <w:tc>
          <w:tcPr>
            <w:tcW w:w="659" w:type="dxa"/>
            <w:vMerge w:val="continue"/>
            <w:vAlign w:val="center"/>
          </w:tcPr>
          <w:p>
            <w:pPr>
              <w:widowControl/>
              <w:snapToGrid w:val="0"/>
              <w:jc w:val="left"/>
              <w:rPr>
                <w:rFonts w:ascii="宋体" w:hAnsi="宋体" w:cs="宋体"/>
                <w:color w:val="000000" w:themeColor="text1"/>
                <w:kern w:val="0"/>
                <w:sz w:val="32"/>
                <w:szCs w:val="32"/>
                <w:highlight w:val="none"/>
                <w14:textFill>
                  <w14:solidFill>
                    <w14:schemeClr w14:val="tx1"/>
                  </w14:solidFill>
                </w14:textFill>
              </w:rPr>
            </w:pPr>
          </w:p>
        </w:tc>
        <w:tc>
          <w:tcPr>
            <w:tcW w:w="8876" w:type="dxa"/>
            <w:gridSpan w:val="2"/>
            <w:vAlign w:val="center"/>
          </w:tcPr>
          <w:p>
            <w:pPr>
              <w:widowControl/>
              <w:snapToGrid w:val="0"/>
              <w:spacing w:line="400" w:lineRule="exact"/>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该项目</w:t>
            </w:r>
            <w:r>
              <w:rPr>
                <w:rFonts w:hint="eastAsia" w:ascii="宋体" w:hAnsi="宋体" w:cs="宋体"/>
                <w:color w:val="000000" w:themeColor="text1"/>
                <w:sz w:val="24"/>
                <w:highlight w:val="none"/>
                <w14:textFill>
                  <w14:solidFill>
                    <w14:schemeClr w14:val="tx1"/>
                  </w14:solidFill>
                </w14:textFill>
              </w:rPr>
              <w:t>已于</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日验收并交付使用。根据招标文件及政府采购合同规定，该项目的履约保证金期限于</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日已满，</w:t>
            </w:r>
            <w:r>
              <w:rPr>
                <w:rFonts w:hint="eastAsia" w:ascii="宋体" w:hAnsi="宋体" w:cs="宋体"/>
                <w:color w:val="000000" w:themeColor="text1"/>
                <w:kern w:val="0"/>
                <w:sz w:val="24"/>
                <w:highlight w:val="none"/>
                <w14:textFill>
                  <w14:solidFill>
                    <w14:schemeClr w14:val="tx1"/>
                  </w14:solidFill>
                </w14:textFill>
              </w:rPr>
              <w:t>请将履约金退付到以下帐户。</w:t>
            </w:r>
          </w:p>
          <w:p>
            <w:pPr>
              <w:widowControl/>
              <w:snapToGrid w:val="0"/>
              <w:spacing w:line="400" w:lineRule="exact"/>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开户名称：</w:t>
            </w:r>
          </w:p>
          <w:p>
            <w:pPr>
              <w:widowControl/>
              <w:snapToGrid w:val="0"/>
              <w:spacing w:line="400" w:lineRule="exact"/>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帐    号：</w:t>
            </w:r>
          </w:p>
          <w:p>
            <w:pPr>
              <w:widowControl/>
              <w:snapToGrid w:val="0"/>
              <w:spacing w:line="400" w:lineRule="exact"/>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开 户 行：</w:t>
            </w:r>
          </w:p>
          <w:p>
            <w:pPr>
              <w:widowControl/>
              <w:snapToGrid w:val="0"/>
              <w:spacing w:line="400" w:lineRule="exact"/>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联系人及联系电话：</w:t>
            </w:r>
          </w:p>
          <w:p>
            <w:pPr>
              <w:widowControl/>
              <w:snapToGrid w:val="0"/>
              <w:spacing w:line="400" w:lineRule="exact"/>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投标人：（盖章）</w:t>
            </w:r>
          </w:p>
          <w:p>
            <w:pPr>
              <w:widowControl/>
              <w:snapToGrid w:val="0"/>
              <w:spacing w:line="400" w:lineRule="exact"/>
              <w:ind w:firstLine="4291" w:firstLineChars="1788"/>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6" w:hRule="atLeast"/>
        </w:trPr>
        <w:tc>
          <w:tcPr>
            <w:tcW w:w="659" w:type="dxa"/>
            <w:vMerge w:val="restart"/>
            <w:vAlign w:val="center"/>
          </w:tcPr>
          <w:p>
            <w:pPr>
              <w:widowControl/>
              <w:snapToGrid w:val="0"/>
              <w:jc w:val="center"/>
              <w:rPr>
                <w:rFonts w:ascii="宋体" w:hAnsi="宋体" w:cs="宋体"/>
                <w:color w:val="000000" w:themeColor="text1"/>
                <w:kern w:val="0"/>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14:textFill>
                  <w14:solidFill>
                    <w14:schemeClr w14:val="tx1"/>
                  </w14:solidFill>
                </w14:textFill>
              </w:rPr>
              <w:t>采购单位意见</w:t>
            </w:r>
          </w:p>
        </w:tc>
        <w:tc>
          <w:tcPr>
            <w:tcW w:w="1156" w:type="dxa"/>
            <w:vAlign w:val="top"/>
          </w:tcPr>
          <w:p>
            <w:pPr>
              <w:widowControl/>
              <w:snapToGrid w:val="0"/>
              <w:spacing w:line="400" w:lineRule="exact"/>
              <w:ind w:firstLine="4471" w:firstLineChars="1863"/>
              <w:jc w:val="center"/>
              <w:rPr>
                <w:rFonts w:hint="eastAsia" w:ascii="宋体" w:hAnsi="宋体" w:cs="宋体" w:eastAsiaTheme="minorEastAsia"/>
                <w:color w:val="000000" w:themeColor="text1"/>
                <w:kern w:val="0"/>
                <w:sz w:val="24"/>
                <w:szCs w:val="24"/>
                <w:highlight w:val="none"/>
                <w:lang w:val="en-US" w:eastAsia="zh-CN" w:bidi="ar-SA"/>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S经办部门意见</w:t>
            </w:r>
          </w:p>
        </w:tc>
        <w:tc>
          <w:tcPr>
            <w:tcW w:w="7720" w:type="dxa"/>
            <w:vAlign w:val="center"/>
          </w:tcPr>
          <w:p>
            <w:pPr>
              <w:widowControl/>
              <w:snapToGrid w:val="0"/>
              <w:spacing w:line="400" w:lineRule="exact"/>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eastAsia="zh-CN"/>
                <w14:textFill>
                  <w14:solidFill>
                    <w14:schemeClr w14:val="tx1"/>
                  </w14:solidFill>
                </w14:textFill>
              </w:rPr>
              <w:t>意见：项目已安装完结学校验收，拟同意退还履约保证金</w:t>
            </w:r>
            <w:r>
              <w:rPr>
                <w:rFonts w:hint="eastAsia" w:ascii="宋体" w:hAnsi="宋体" w:cs="宋体"/>
                <w:color w:val="000000" w:themeColor="text1"/>
                <w:kern w:val="0"/>
                <w:sz w:val="24"/>
                <w:highlight w:val="none"/>
                <w14:textFill>
                  <w14:solidFill>
                    <w14:schemeClr w14:val="tx1"/>
                  </w14:solidFill>
                </w14:textFill>
              </w:rPr>
              <w:t>。</w:t>
            </w:r>
          </w:p>
          <w:p>
            <w:pPr>
              <w:widowControl/>
              <w:snapToGrid w:val="0"/>
              <w:spacing w:line="400" w:lineRule="exact"/>
              <w:ind w:firstLine="480" w:firstLineChars="200"/>
              <w:jc w:val="left"/>
              <w:rPr>
                <w:rFonts w:ascii="宋体" w:hAnsi="宋体" w:cs="宋体"/>
                <w:color w:val="000000" w:themeColor="text1"/>
                <w:kern w:val="0"/>
                <w:sz w:val="24"/>
                <w:highlight w:val="none"/>
                <w14:textFill>
                  <w14:solidFill>
                    <w14:schemeClr w14:val="tx1"/>
                  </w14:solidFill>
                </w14:textFill>
              </w:rPr>
            </w:pPr>
          </w:p>
          <w:p>
            <w:pPr>
              <w:widowControl/>
              <w:snapToGrid w:val="0"/>
              <w:spacing w:line="400" w:lineRule="exact"/>
              <w:ind w:left="0" w:leftChars="0" w:firstLine="480" w:firstLineChars="200"/>
              <w:jc w:val="both"/>
              <w:rPr>
                <w:rFonts w:hint="eastAsia" w:ascii="宋体" w:hAnsi="宋体" w:cs="宋体"/>
                <w:color w:val="000000" w:themeColor="text1"/>
                <w:kern w:val="0"/>
                <w:sz w:val="24"/>
                <w:highlight w:val="none"/>
                <w:lang w:eastAsia="zh-CN"/>
                <w14:textFill>
                  <w14:solidFill>
                    <w14:schemeClr w14:val="tx1"/>
                  </w14:solidFill>
                </w14:textFill>
              </w:rPr>
            </w:pPr>
            <w:r>
              <w:rPr>
                <w:rFonts w:hint="eastAsia" w:ascii="宋体" w:hAnsi="宋体" w:cs="宋体"/>
                <w:color w:val="000000" w:themeColor="text1"/>
                <w:kern w:val="0"/>
                <w:sz w:val="24"/>
                <w:highlight w:val="none"/>
                <w:lang w:eastAsia="zh-CN"/>
                <w14:textFill>
                  <w14:solidFill>
                    <w14:schemeClr w14:val="tx1"/>
                  </w14:solidFill>
                </w14:textFill>
              </w:rPr>
              <w:t>经办人：</w:t>
            </w:r>
          </w:p>
          <w:p>
            <w:pPr>
              <w:widowControl/>
              <w:snapToGrid w:val="0"/>
              <w:spacing w:line="400" w:lineRule="exact"/>
              <w:ind w:firstLine="5188" w:firstLineChars="2162"/>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659" w:type="dxa"/>
            <w:vMerge w:val="continue"/>
            <w:vAlign w:val="center"/>
          </w:tcPr>
          <w:p>
            <w:pPr>
              <w:widowControl/>
              <w:snapToGrid w:val="0"/>
              <w:jc w:val="center"/>
              <w:rPr>
                <w:rFonts w:ascii="宋体" w:hAnsi="宋体" w:cs="宋体"/>
                <w:color w:val="000000" w:themeColor="text1"/>
                <w:kern w:val="0"/>
                <w:sz w:val="28"/>
                <w:szCs w:val="28"/>
                <w:highlight w:val="none"/>
                <w14:textFill>
                  <w14:solidFill>
                    <w14:schemeClr w14:val="tx1"/>
                  </w14:solidFill>
                </w14:textFill>
              </w:rPr>
            </w:pPr>
          </w:p>
        </w:tc>
        <w:tc>
          <w:tcPr>
            <w:tcW w:w="1156" w:type="dxa"/>
            <w:vAlign w:val="top"/>
          </w:tcPr>
          <w:p>
            <w:pPr>
              <w:widowControl/>
              <w:snapToGrid w:val="0"/>
              <w:spacing w:line="400" w:lineRule="exact"/>
              <w:ind w:firstLine="4471" w:firstLineChars="1863"/>
              <w:jc w:val="center"/>
              <w:rPr>
                <w:rFonts w:hint="eastAsia" w:ascii="宋体" w:hAnsi="宋体" w:cs="宋体" w:eastAsiaTheme="minorEastAsia"/>
                <w:color w:val="000000" w:themeColor="text1"/>
                <w:kern w:val="0"/>
                <w:sz w:val="24"/>
                <w:szCs w:val="24"/>
                <w:highlight w:val="none"/>
                <w:lang w:val="en-US" w:eastAsia="zh-CN" w:bidi="ar-SA"/>
                <w14:textFill>
                  <w14:solidFill>
                    <w14:schemeClr w14:val="tx1"/>
                  </w14:solidFill>
                </w14:textFill>
              </w:rPr>
            </w:pPr>
            <w:r>
              <w:rPr>
                <w:rFonts w:hint="eastAsia" w:ascii="宋体" w:hAnsi="宋体" w:cs="宋体"/>
                <w:color w:val="000000" w:themeColor="text1"/>
                <w:kern w:val="0"/>
                <w:sz w:val="24"/>
                <w:highlight w:val="none"/>
                <w:lang w:eastAsia="zh-CN"/>
                <w14:textFill>
                  <w14:solidFill>
                    <w14:schemeClr w14:val="tx1"/>
                  </w14:solidFill>
                </w14:textFill>
              </w:rPr>
              <w:t>主主管领导审批</w:t>
            </w:r>
          </w:p>
        </w:tc>
        <w:tc>
          <w:tcPr>
            <w:tcW w:w="7720" w:type="dxa"/>
            <w:vAlign w:val="center"/>
          </w:tcPr>
          <w:p>
            <w:pPr>
              <w:widowControl/>
              <w:snapToGrid w:val="0"/>
              <w:spacing w:line="400" w:lineRule="exact"/>
              <w:ind w:firstLine="4471" w:firstLineChars="1863"/>
              <w:jc w:val="left"/>
              <w:rPr>
                <w:rFonts w:hint="eastAsia" w:ascii="宋体" w:hAnsi="宋体" w:cs="宋体"/>
                <w:color w:val="000000" w:themeColor="text1"/>
                <w:kern w:val="0"/>
                <w:sz w:val="24"/>
                <w:highlight w:val="none"/>
                <w:lang w:eastAsia="zh-CN"/>
                <w14:textFill>
                  <w14:solidFill>
                    <w14:schemeClr w14:val="tx1"/>
                  </w14:solidFill>
                </w14:textFill>
              </w:rPr>
            </w:pPr>
          </w:p>
          <w:p>
            <w:pPr>
              <w:widowControl/>
              <w:snapToGrid w:val="0"/>
              <w:spacing w:line="400" w:lineRule="exact"/>
              <w:ind w:firstLine="5188" w:firstLineChars="2162"/>
              <w:jc w:val="left"/>
              <w:rPr>
                <w:rFonts w:hint="eastAsia" w:ascii="宋体" w:hAnsi="宋体" w:cs="宋体"/>
                <w:color w:val="000000" w:themeColor="text1"/>
                <w:kern w:val="0"/>
                <w:sz w:val="24"/>
                <w:highlight w:val="none"/>
                <w:lang w:eastAsia="zh-CN"/>
                <w14:textFill>
                  <w14:solidFill>
                    <w14:schemeClr w14:val="tx1"/>
                  </w14:solidFill>
                </w14:textFill>
              </w:rPr>
            </w:pPr>
            <w:r>
              <w:rPr>
                <w:rFonts w:hint="eastAsia" w:ascii="宋体" w:hAnsi="宋体" w:cs="宋体"/>
                <w:color w:val="000000" w:themeColor="text1"/>
                <w:kern w:val="0"/>
                <w:sz w:val="24"/>
                <w:highlight w:val="none"/>
                <w:lang w:eastAsia="zh-CN"/>
                <w14:textFill>
                  <w14:solidFill>
                    <w14:schemeClr w14:val="tx1"/>
                  </w14:solidFill>
                </w14:textFill>
              </w:rPr>
              <w:t>单位（盖章）：</w:t>
            </w:r>
          </w:p>
          <w:p>
            <w:pPr>
              <w:widowControl/>
              <w:snapToGrid w:val="0"/>
              <w:spacing w:line="400" w:lineRule="exact"/>
              <w:ind w:firstLine="4471" w:firstLineChars="1863"/>
              <w:jc w:val="left"/>
              <w:rPr>
                <w:rFonts w:hint="eastAsia" w:ascii="宋体" w:hAnsi="宋体" w:cs="宋体"/>
                <w:color w:val="000000" w:themeColor="text1"/>
                <w:kern w:val="0"/>
                <w:sz w:val="24"/>
                <w:highlight w:val="none"/>
                <w:lang w:eastAsia="zh-CN"/>
                <w14:textFill>
                  <w14:solidFill>
                    <w14:schemeClr w14:val="tx1"/>
                  </w14:solidFill>
                </w14:textFill>
              </w:rPr>
            </w:pPr>
          </w:p>
          <w:p>
            <w:pPr>
              <w:widowControl/>
              <w:snapToGrid w:val="0"/>
              <w:spacing w:line="400" w:lineRule="exact"/>
              <w:ind w:firstLine="5280" w:firstLineChars="2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eastAsia="zh-CN"/>
                <w14:textFill>
                  <w14:solidFill>
                    <w14:schemeClr w14:val="tx1"/>
                  </w14:solidFill>
                </w14:textFill>
              </w:rPr>
              <w:t>年</w:t>
            </w:r>
            <w:r>
              <w:rPr>
                <w:rFonts w:hint="eastAsia" w:ascii="宋体" w:hAnsi="宋体" w:cs="宋体"/>
                <w:color w:val="000000" w:themeColor="text1"/>
                <w:kern w:val="0"/>
                <w:sz w:val="24"/>
                <w:highlight w:val="none"/>
                <w:lang w:val="en-US" w:eastAsia="zh-CN"/>
                <w14:textFill>
                  <w14:solidFill>
                    <w14:schemeClr w14:val="tx1"/>
                  </w14:solidFill>
                </w14:textFill>
              </w:rPr>
              <w:t xml:space="preserve">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9535" w:type="dxa"/>
            <w:gridSpan w:val="3"/>
            <w:vAlign w:val="center"/>
          </w:tcPr>
          <w:p>
            <w:pPr>
              <w:widowControl/>
              <w:snapToGrid w:val="0"/>
              <w:spacing w:line="360" w:lineRule="exact"/>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备注：</w:t>
            </w:r>
            <w:r>
              <w:rPr>
                <w:rFonts w:hint="eastAsia" w:ascii="宋体" w:hAnsi="宋体" w:cs="宋体"/>
                <w:color w:val="000000" w:themeColor="text1"/>
                <w:spacing w:val="-6"/>
                <w:kern w:val="0"/>
                <w:sz w:val="24"/>
                <w:highlight w:val="none"/>
                <w14:textFill>
                  <w14:solidFill>
                    <w14:schemeClr w14:val="tx1"/>
                  </w14:solidFill>
                </w14:textFill>
              </w:rPr>
              <w:t>附收款收据原件（如有开具时）、银行转帐单复印件</w:t>
            </w:r>
            <w:r>
              <w:rPr>
                <w:rFonts w:hint="eastAsia" w:ascii="宋体" w:hAnsi="宋体" w:cs="宋体"/>
                <w:color w:val="000000" w:themeColor="text1"/>
                <w:kern w:val="0"/>
                <w:sz w:val="24"/>
                <w:highlight w:val="none"/>
                <w14:textFill>
                  <w14:solidFill>
                    <w14:schemeClr w14:val="tx1"/>
                  </w14:solidFill>
                </w14:textFill>
              </w:rPr>
              <w:t>。</w:t>
            </w:r>
          </w:p>
        </w:tc>
      </w:tr>
    </w:tbl>
    <w:p>
      <w:pPr>
        <w:pStyle w:val="20"/>
        <w:spacing w:line="400" w:lineRule="exact"/>
        <w:jc w:val="left"/>
        <w:rPr>
          <w:rFonts w:hAnsi="宋体" w:cs="宋体"/>
          <w:color w:val="000000" w:themeColor="text1"/>
          <w:highlight w:val="none"/>
          <w14:textFill>
            <w14:solidFill>
              <w14:schemeClr w14:val="tx1"/>
            </w14:solidFill>
          </w14:textFill>
        </w:rPr>
      </w:pPr>
    </w:p>
    <w:sectPr>
      <w:footerReference r:id="rId11" w:type="default"/>
      <w:pgSz w:w="11906" w:h="16838"/>
      <w:pgMar w:top="1247" w:right="1247" w:bottom="1418" w:left="1247" w:header="680" w:footer="851" w:gutter="0"/>
      <w:pgNumType w:fmt="decimal" w:start="1"/>
      <w:cols w:space="720" w:num="1"/>
      <w:docGrid w:type="lines"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宋体">
    <w:altName w:val="宋体"/>
    <w:panose1 w:val="00000000000000000000"/>
    <w:charset w:val="86"/>
    <w:family w:val="swiss"/>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Arial (W1)">
    <w:altName w:val="Arial"/>
    <w:panose1 w:val="00000000000000000000"/>
    <w:charset w:val="00"/>
    <w:family w:val="swiss"/>
    <w:pitch w:val="default"/>
    <w:sig w:usb0="00000000" w:usb1="00000000" w:usb2="00000008" w:usb3="00000000" w:csb0="000001FF" w:csb1="00000000"/>
  </w:font>
  <w:font w:name="方正仿宋简体">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82"/>
      <w:rPr>
        <w:rFonts w:hint="eastAsia" w:eastAsia="宋体"/>
        <w:lang w:val="en-US" w:eastAsia="zh-CN"/>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2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framePr w:wrap="around" w:vAnchor="text" w:hAnchor="margin" w:xAlign="center" w:y="1"/>
      <w:rPr>
        <w:rStyle w:val="44"/>
      </w:rPr>
    </w:pPr>
    <w:r>
      <w:fldChar w:fldCharType="begin"/>
    </w:r>
    <w:r>
      <w:rPr>
        <w:rStyle w:val="44"/>
      </w:rPr>
      <w:instrText xml:space="preserve">PAGE  </w:instrText>
    </w:r>
    <w:r>
      <w:fldChar w:fldCharType="separate"/>
    </w:r>
    <w:r>
      <w:rPr>
        <w:rStyle w:val="44"/>
      </w:rPr>
      <w:t>1</w:t>
    </w:r>
    <w:r>
      <w:fldChar w:fldCharType="end"/>
    </w:r>
  </w:p>
  <w:p>
    <w:pPr>
      <w:pStyle w:val="2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2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82"/>
      <w:rPr>
        <w:rFonts w:hint="eastAsia" w:eastAsia="宋体"/>
        <w:lang w:val="en-US" w:eastAsia="zh-CN"/>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2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fill on="f" focussize="0,0"/>
              <v:stroke on="f" weight="0.5pt"/>
              <v:imagedata o:title=""/>
              <o:lock v:ext="edit" aspectratio="f"/>
              <v:textbox inset="0mm,0mm,0mm,0mm" style="mso-fit-shape-to-text:t;">
                <w:txbxContent>
                  <w:p>
                    <w:pPr>
                      <w:pStyle w:val="2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82"/>
      <w:rPr>
        <w:rFonts w:hint="eastAsia" w:eastAsia="宋体"/>
        <w:lang w:val="en-US" w:eastAsia="zh-CN"/>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2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tabs>
        <w:tab w:val="clear" w:pos="8306"/>
      </w:tabs>
      <w:rPr>
        <w:rFonts w:hAnsi="宋体"/>
        <w:szCs w:val="18"/>
      </w:rPr>
    </w:pPr>
    <w:r>
      <w:rPr>
        <w:rFonts w:hint="eastAsia" w:hAnsi="宋体" w:cs="宋体"/>
        <w:szCs w:val="21"/>
      </w:rPr>
      <w:t>网络多媒体设备</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r>
      <w:pict>
        <v:shape id="WordPictureWatermark2" o:spid="_x0000_s2051" o:spt="75" type="#_x0000_t75" style="position:absolute;left:0pt;height:65.05pt;width:53.4pt;mso-position-horizontal:center;mso-position-horizontal-relative:margin;mso-position-vertical:center;mso-position-vertical-relative:margin;z-index:-251658240;mso-width-relative:page;mso-height-relative:page;" filled="f" o:preferrelative="t" stroked="f" coordsize="21600,21600" o:allowincell="f">
          <v:path/>
          <v:fill on="f" focussize="0,0"/>
          <v:stroke on="f" joinstyle="miter"/>
          <v:imagedata r:id="rId1" gain="19661f" blacklevel="22938f" o:title="中意LOGO（1）"/>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ind w:firstLine="1980"/>
      <w:jc w:val="right"/>
      <w:rPr>
        <w:rFonts w:ascii="方正仿宋简体" w:eastAsia="方正仿宋简体"/>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AEE6CAD"/>
    <w:multiLevelType w:val="singleLevel"/>
    <w:tmpl w:val="CAEE6CAD"/>
    <w:lvl w:ilvl="0" w:tentative="0">
      <w:start w:val="1"/>
      <w:numFmt w:val="decimal"/>
      <w:suff w:val="nothing"/>
      <w:lvlText w:val="%1、"/>
      <w:lvlJc w:val="left"/>
    </w:lvl>
  </w:abstractNum>
  <w:abstractNum w:abstractNumId="1">
    <w:nsid w:val="D9C12D3A"/>
    <w:multiLevelType w:val="singleLevel"/>
    <w:tmpl w:val="D9C12D3A"/>
    <w:lvl w:ilvl="0" w:tentative="0">
      <w:start w:val="1"/>
      <w:numFmt w:val="decimal"/>
      <w:suff w:val="space"/>
      <w:lvlText w:val="%1."/>
      <w:lvlJc w:val="left"/>
    </w:lvl>
  </w:abstractNum>
  <w:abstractNum w:abstractNumId="2">
    <w:nsid w:val="09DC7194"/>
    <w:multiLevelType w:val="multilevel"/>
    <w:tmpl w:val="09DC7194"/>
    <w:lvl w:ilvl="0" w:tentative="0">
      <w:start w:val="1"/>
      <w:numFmt w:val="decimal"/>
      <w:pStyle w:val="148"/>
      <w:lvlText w:val="%1"/>
      <w:lvlJc w:val="left"/>
      <w:pPr>
        <w:tabs>
          <w:tab w:val="left" w:pos="709"/>
        </w:tabs>
        <w:ind w:left="709" w:hanging="709"/>
      </w:pPr>
    </w:lvl>
    <w:lvl w:ilvl="1" w:tentative="0">
      <w:start w:val="4"/>
      <w:numFmt w:val="decimal"/>
      <w:lvlText w:val="3.%2"/>
      <w:lvlJc w:val="left"/>
      <w:pPr>
        <w:tabs>
          <w:tab w:val="left" w:pos="709"/>
        </w:tabs>
        <w:ind w:left="709" w:hanging="709"/>
      </w:pPr>
    </w:lvl>
    <w:lvl w:ilvl="2" w:tentative="0">
      <w:start w:val="1"/>
      <w:numFmt w:val="decimal"/>
      <w:lvlText w:val="%1.%2.%3."/>
      <w:lvlJc w:val="left"/>
      <w:pPr>
        <w:tabs>
          <w:tab w:val="left" w:pos="425"/>
        </w:tabs>
        <w:ind w:left="425" w:hanging="425"/>
      </w:pPr>
    </w:lvl>
    <w:lvl w:ilvl="3" w:tentative="0">
      <w:start w:val="1"/>
      <w:numFmt w:val="decimal"/>
      <w:pStyle w:val="6"/>
      <w:lvlText w:val="%1.%2.%3.%4."/>
      <w:lvlJc w:val="left"/>
      <w:pPr>
        <w:tabs>
          <w:tab w:val="left" w:pos="851"/>
        </w:tabs>
        <w:ind w:left="851" w:hanging="851"/>
      </w:pPr>
    </w:lvl>
    <w:lvl w:ilvl="4" w:tentative="0">
      <w:start w:val="1"/>
      <w:numFmt w:val="decimal"/>
      <w:pStyle w:val="7"/>
      <w:lvlText w:val="%1.%2.%3.%4.%5."/>
      <w:lvlJc w:val="left"/>
      <w:pPr>
        <w:tabs>
          <w:tab w:val="left" w:pos="992"/>
        </w:tabs>
        <w:ind w:left="992" w:hanging="992"/>
      </w:pPr>
    </w:lvl>
    <w:lvl w:ilvl="5" w:tentative="0">
      <w:start w:val="1"/>
      <w:numFmt w:val="decimal"/>
      <w:pStyle w:val="2"/>
      <w:lvlText w:val="%1.%2.%3.%4.%5.%6."/>
      <w:lvlJc w:val="left"/>
      <w:pPr>
        <w:tabs>
          <w:tab w:val="left" w:pos="1134"/>
        </w:tabs>
        <w:ind w:left="1134" w:hanging="1134"/>
      </w:pPr>
    </w:lvl>
    <w:lvl w:ilvl="6" w:tentative="0">
      <w:start w:val="1"/>
      <w:numFmt w:val="decimal"/>
      <w:pStyle w:val="9"/>
      <w:lvlText w:val="%1.%2.%3.%4.%5.%6.%7."/>
      <w:lvlJc w:val="left"/>
      <w:pPr>
        <w:tabs>
          <w:tab w:val="left" w:pos="1276"/>
        </w:tabs>
        <w:ind w:left="1276" w:hanging="1276"/>
      </w:pPr>
    </w:lvl>
    <w:lvl w:ilvl="7" w:tentative="0">
      <w:start w:val="1"/>
      <w:numFmt w:val="decimal"/>
      <w:pStyle w:val="10"/>
      <w:lvlText w:val="%1.%2.%3.%4.%5.%6.%7.%8."/>
      <w:lvlJc w:val="left"/>
      <w:pPr>
        <w:tabs>
          <w:tab w:val="left" w:pos="1418"/>
        </w:tabs>
        <w:ind w:left="1418" w:hanging="1418"/>
      </w:pPr>
    </w:lvl>
    <w:lvl w:ilvl="8" w:tentative="0">
      <w:start w:val="1"/>
      <w:numFmt w:val="decimal"/>
      <w:pStyle w:val="11"/>
      <w:lvlText w:val="%1.%2.%3.%4.%5.%6.%7.%8.%9."/>
      <w:lvlJc w:val="left"/>
      <w:pPr>
        <w:tabs>
          <w:tab w:val="left" w:pos="1559"/>
        </w:tabs>
        <w:ind w:left="1559" w:hanging="1559"/>
      </w:pPr>
    </w:lvl>
  </w:abstractNum>
  <w:abstractNum w:abstractNumId="3">
    <w:nsid w:val="116622EE"/>
    <w:multiLevelType w:val="multilevel"/>
    <w:tmpl w:val="116622EE"/>
    <w:lvl w:ilvl="0" w:tentative="0">
      <w:start w:val="1"/>
      <w:numFmt w:val="decimal"/>
      <w:pStyle w:val="12"/>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1A782711"/>
    <w:multiLevelType w:val="multilevel"/>
    <w:tmpl w:val="1A782711"/>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A5A2126"/>
    <w:multiLevelType w:val="singleLevel"/>
    <w:tmpl w:val="5A5A2126"/>
    <w:lvl w:ilvl="0" w:tentative="0">
      <w:start w:val="2"/>
      <w:numFmt w:val="chineseCounting"/>
      <w:suff w:val="nothing"/>
      <w:lvlText w:val="（%1）"/>
      <w:lvlJc w:val="left"/>
    </w:lvl>
  </w:abstractNum>
  <w:abstractNum w:abstractNumId="6">
    <w:nsid w:val="5B624B4C"/>
    <w:multiLevelType w:val="singleLevel"/>
    <w:tmpl w:val="5B624B4C"/>
    <w:lvl w:ilvl="0" w:tentative="0">
      <w:start w:val="6"/>
      <w:numFmt w:val="decimal"/>
      <w:suff w:val="nothing"/>
      <w:lvlText w:val="%1．"/>
      <w:lvlJc w:val="left"/>
    </w:lvl>
  </w:abstractNum>
  <w:num w:numId="1">
    <w:abstractNumId w:val="2"/>
  </w:num>
  <w:num w:numId="2">
    <w:abstractNumId w:val="3"/>
  </w:num>
  <w:num w:numId="3">
    <w:abstractNumId w:val="6"/>
  </w:num>
  <w:num w:numId="4">
    <w:abstractNumId w:val="4"/>
  </w:num>
  <w:num w:numId="5">
    <w:abstractNumId w:val="1"/>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trackRevisions w:val="1"/>
  <w:documentProtection w:edit="forms" w:enforcement="0"/>
  <w:defaultTabStop w:val="420"/>
  <w:doNotHyphenateCaps/>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B9C"/>
    <w:rsid w:val="00000812"/>
    <w:rsid w:val="0000082E"/>
    <w:rsid w:val="00001B22"/>
    <w:rsid w:val="00001F13"/>
    <w:rsid w:val="00002174"/>
    <w:rsid w:val="00002ABE"/>
    <w:rsid w:val="000033D0"/>
    <w:rsid w:val="000041C2"/>
    <w:rsid w:val="00004DA2"/>
    <w:rsid w:val="000057CA"/>
    <w:rsid w:val="000059A1"/>
    <w:rsid w:val="00005A87"/>
    <w:rsid w:val="00005D16"/>
    <w:rsid w:val="00006465"/>
    <w:rsid w:val="0000660C"/>
    <w:rsid w:val="00007046"/>
    <w:rsid w:val="00010AE1"/>
    <w:rsid w:val="00011143"/>
    <w:rsid w:val="00011403"/>
    <w:rsid w:val="000117CD"/>
    <w:rsid w:val="000118E4"/>
    <w:rsid w:val="0001279F"/>
    <w:rsid w:val="00013303"/>
    <w:rsid w:val="0001337F"/>
    <w:rsid w:val="00013749"/>
    <w:rsid w:val="000141DF"/>
    <w:rsid w:val="000151DB"/>
    <w:rsid w:val="00015EA5"/>
    <w:rsid w:val="00015EE2"/>
    <w:rsid w:val="00016388"/>
    <w:rsid w:val="000164FD"/>
    <w:rsid w:val="000165A2"/>
    <w:rsid w:val="000167E7"/>
    <w:rsid w:val="00016E06"/>
    <w:rsid w:val="000205BF"/>
    <w:rsid w:val="000209F9"/>
    <w:rsid w:val="00021D0A"/>
    <w:rsid w:val="000223C0"/>
    <w:rsid w:val="00022421"/>
    <w:rsid w:val="00023234"/>
    <w:rsid w:val="00023607"/>
    <w:rsid w:val="000237B2"/>
    <w:rsid w:val="00024154"/>
    <w:rsid w:val="000242B7"/>
    <w:rsid w:val="00024390"/>
    <w:rsid w:val="0002487B"/>
    <w:rsid w:val="00024DFA"/>
    <w:rsid w:val="00024F15"/>
    <w:rsid w:val="00025A69"/>
    <w:rsid w:val="00025DAA"/>
    <w:rsid w:val="0002757E"/>
    <w:rsid w:val="00027677"/>
    <w:rsid w:val="00027A00"/>
    <w:rsid w:val="00027E3A"/>
    <w:rsid w:val="00027E5A"/>
    <w:rsid w:val="0003073C"/>
    <w:rsid w:val="00031005"/>
    <w:rsid w:val="0003102F"/>
    <w:rsid w:val="00031152"/>
    <w:rsid w:val="0003191F"/>
    <w:rsid w:val="00031D78"/>
    <w:rsid w:val="000334E2"/>
    <w:rsid w:val="00033563"/>
    <w:rsid w:val="00033719"/>
    <w:rsid w:val="00034A52"/>
    <w:rsid w:val="00034AEB"/>
    <w:rsid w:val="0003623D"/>
    <w:rsid w:val="00036347"/>
    <w:rsid w:val="000368F5"/>
    <w:rsid w:val="00037126"/>
    <w:rsid w:val="00037380"/>
    <w:rsid w:val="00037476"/>
    <w:rsid w:val="00037622"/>
    <w:rsid w:val="000402B2"/>
    <w:rsid w:val="00040B80"/>
    <w:rsid w:val="0004167F"/>
    <w:rsid w:val="00044020"/>
    <w:rsid w:val="00044083"/>
    <w:rsid w:val="000449C3"/>
    <w:rsid w:val="00044B52"/>
    <w:rsid w:val="00044B68"/>
    <w:rsid w:val="00045334"/>
    <w:rsid w:val="00045505"/>
    <w:rsid w:val="00045697"/>
    <w:rsid w:val="00045BB8"/>
    <w:rsid w:val="00045DD5"/>
    <w:rsid w:val="00046106"/>
    <w:rsid w:val="000473D9"/>
    <w:rsid w:val="00047852"/>
    <w:rsid w:val="000505A5"/>
    <w:rsid w:val="00050ECC"/>
    <w:rsid w:val="0005135F"/>
    <w:rsid w:val="00051444"/>
    <w:rsid w:val="0005150C"/>
    <w:rsid w:val="00053131"/>
    <w:rsid w:val="000534C0"/>
    <w:rsid w:val="000540D6"/>
    <w:rsid w:val="00055095"/>
    <w:rsid w:val="000552DA"/>
    <w:rsid w:val="000556C2"/>
    <w:rsid w:val="00055CF1"/>
    <w:rsid w:val="00056074"/>
    <w:rsid w:val="00061776"/>
    <w:rsid w:val="0006248E"/>
    <w:rsid w:val="00063FED"/>
    <w:rsid w:val="0006453A"/>
    <w:rsid w:val="00065295"/>
    <w:rsid w:val="00066BA2"/>
    <w:rsid w:val="000674AC"/>
    <w:rsid w:val="00067653"/>
    <w:rsid w:val="00070460"/>
    <w:rsid w:val="00070864"/>
    <w:rsid w:val="00070E59"/>
    <w:rsid w:val="0007107A"/>
    <w:rsid w:val="00071385"/>
    <w:rsid w:val="000718D6"/>
    <w:rsid w:val="00071983"/>
    <w:rsid w:val="00071CE0"/>
    <w:rsid w:val="00072686"/>
    <w:rsid w:val="000729FD"/>
    <w:rsid w:val="000739F8"/>
    <w:rsid w:val="00074A93"/>
    <w:rsid w:val="000754BC"/>
    <w:rsid w:val="0007550A"/>
    <w:rsid w:val="00075C7C"/>
    <w:rsid w:val="00075CC7"/>
    <w:rsid w:val="00075E8A"/>
    <w:rsid w:val="00075EEE"/>
    <w:rsid w:val="00076BF9"/>
    <w:rsid w:val="000804FA"/>
    <w:rsid w:val="00080ABD"/>
    <w:rsid w:val="00080CAD"/>
    <w:rsid w:val="000813E4"/>
    <w:rsid w:val="00082114"/>
    <w:rsid w:val="0008373E"/>
    <w:rsid w:val="000839C7"/>
    <w:rsid w:val="00083AD4"/>
    <w:rsid w:val="00084214"/>
    <w:rsid w:val="00084293"/>
    <w:rsid w:val="000853E2"/>
    <w:rsid w:val="000863E4"/>
    <w:rsid w:val="000863F9"/>
    <w:rsid w:val="00086446"/>
    <w:rsid w:val="00086843"/>
    <w:rsid w:val="00086A4F"/>
    <w:rsid w:val="000872A4"/>
    <w:rsid w:val="00087781"/>
    <w:rsid w:val="00087813"/>
    <w:rsid w:val="00090F2D"/>
    <w:rsid w:val="0009131A"/>
    <w:rsid w:val="0009164E"/>
    <w:rsid w:val="00091A02"/>
    <w:rsid w:val="00091BA7"/>
    <w:rsid w:val="000924A0"/>
    <w:rsid w:val="00092D63"/>
    <w:rsid w:val="00092E93"/>
    <w:rsid w:val="00093A1C"/>
    <w:rsid w:val="00093AC0"/>
    <w:rsid w:val="0009412D"/>
    <w:rsid w:val="000950F4"/>
    <w:rsid w:val="00095866"/>
    <w:rsid w:val="000A10A3"/>
    <w:rsid w:val="000A1815"/>
    <w:rsid w:val="000A1E25"/>
    <w:rsid w:val="000A24C6"/>
    <w:rsid w:val="000A447A"/>
    <w:rsid w:val="000A478C"/>
    <w:rsid w:val="000A5547"/>
    <w:rsid w:val="000A56F3"/>
    <w:rsid w:val="000A5E73"/>
    <w:rsid w:val="000A6004"/>
    <w:rsid w:val="000A6E9A"/>
    <w:rsid w:val="000A6EF5"/>
    <w:rsid w:val="000A7870"/>
    <w:rsid w:val="000B10BC"/>
    <w:rsid w:val="000B14AD"/>
    <w:rsid w:val="000B15E1"/>
    <w:rsid w:val="000B2192"/>
    <w:rsid w:val="000B23AB"/>
    <w:rsid w:val="000B2687"/>
    <w:rsid w:val="000B26A6"/>
    <w:rsid w:val="000B3314"/>
    <w:rsid w:val="000B35AD"/>
    <w:rsid w:val="000B3EFD"/>
    <w:rsid w:val="000B4CE7"/>
    <w:rsid w:val="000B4D50"/>
    <w:rsid w:val="000B4E55"/>
    <w:rsid w:val="000B5217"/>
    <w:rsid w:val="000B5613"/>
    <w:rsid w:val="000B5B8D"/>
    <w:rsid w:val="000B5D05"/>
    <w:rsid w:val="000B5D1F"/>
    <w:rsid w:val="000B6408"/>
    <w:rsid w:val="000B67E1"/>
    <w:rsid w:val="000B75DC"/>
    <w:rsid w:val="000C0DBC"/>
    <w:rsid w:val="000C16FD"/>
    <w:rsid w:val="000C3636"/>
    <w:rsid w:val="000C3AAF"/>
    <w:rsid w:val="000C3F43"/>
    <w:rsid w:val="000C44AB"/>
    <w:rsid w:val="000C4569"/>
    <w:rsid w:val="000C480E"/>
    <w:rsid w:val="000C4B4F"/>
    <w:rsid w:val="000C5B15"/>
    <w:rsid w:val="000C5F10"/>
    <w:rsid w:val="000C6120"/>
    <w:rsid w:val="000C69DC"/>
    <w:rsid w:val="000C69DF"/>
    <w:rsid w:val="000C6D14"/>
    <w:rsid w:val="000D01A1"/>
    <w:rsid w:val="000D214E"/>
    <w:rsid w:val="000D231B"/>
    <w:rsid w:val="000D24C7"/>
    <w:rsid w:val="000D2E65"/>
    <w:rsid w:val="000D31A2"/>
    <w:rsid w:val="000D33FC"/>
    <w:rsid w:val="000D3766"/>
    <w:rsid w:val="000D3EBE"/>
    <w:rsid w:val="000D58FE"/>
    <w:rsid w:val="000D5A0B"/>
    <w:rsid w:val="000D5FEC"/>
    <w:rsid w:val="000D610E"/>
    <w:rsid w:val="000D772A"/>
    <w:rsid w:val="000D7E7D"/>
    <w:rsid w:val="000D7E8F"/>
    <w:rsid w:val="000E0706"/>
    <w:rsid w:val="000E1813"/>
    <w:rsid w:val="000E2979"/>
    <w:rsid w:val="000E31FE"/>
    <w:rsid w:val="000E3FC6"/>
    <w:rsid w:val="000E4622"/>
    <w:rsid w:val="000E4A70"/>
    <w:rsid w:val="000E4F02"/>
    <w:rsid w:val="000E5695"/>
    <w:rsid w:val="000E68DB"/>
    <w:rsid w:val="000E6BC7"/>
    <w:rsid w:val="000E7116"/>
    <w:rsid w:val="000E77F3"/>
    <w:rsid w:val="000E7FA6"/>
    <w:rsid w:val="000F010B"/>
    <w:rsid w:val="000F1CEB"/>
    <w:rsid w:val="000F1FEB"/>
    <w:rsid w:val="000F21AE"/>
    <w:rsid w:val="000F2D0B"/>
    <w:rsid w:val="000F2FF6"/>
    <w:rsid w:val="000F5B19"/>
    <w:rsid w:val="000F5D5C"/>
    <w:rsid w:val="000F5DF0"/>
    <w:rsid w:val="000F621F"/>
    <w:rsid w:val="000F6B3C"/>
    <w:rsid w:val="000F6C7F"/>
    <w:rsid w:val="000F6DF3"/>
    <w:rsid w:val="0010053A"/>
    <w:rsid w:val="00100DCB"/>
    <w:rsid w:val="0010125D"/>
    <w:rsid w:val="001012A8"/>
    <w:rsid w:val="00102015"/>
    <w:rsid w:val="0010236E"/>
    <w:rsid w:val="001029CA"/>
    <w:rsid w:val="0010342C"/>
    <w:rsid w:val="00103577"/>
    <w:rsid w:val="001036BA"/>
    <w:rsid w:val="001039D2"/>
    <w:rsid w:val="00105382"/>
    <w:rsid w:val="001056AF"/>
    <w:rsid w:val="00105C4D"/>
    <w:rsid w:val="00105D8C"/>
    <w:rsid w:val="00105E7E"/>
    <w:rsid w:val="00106299"/>
    <w:rsid w:val="001068AD"/>
    <w:rsid w:val="00106C70"/>
    <w:rsid w:val="00107691"/>
    <w:rsid w:val="00107835"/>
    <w:rsid w:val="00107A33"/>
    <w:rsid w:val="00110B32"/>
    <w:rsid w:val="00110BDB"/>
    <w:rsid w:val="00112092"/>
    <w:rsid w:val="0011238A"/>
    <w:rsid w:val="00113225"/>
    <w:rsid w:val="001134A6"/>
    <w:rsid w:val="00113C11"/>
    <w:rsid w:val="00113C38"/>
    <w:rsid w:val="00114817"/>
    <w:rsid w:val="00115714"/>
    <w:rsid w:val="00116164"/>
    <w:rsid w:val="0011676F"/>
    <w:rsid w:val="001170B9"/>
    <w:rsid w:val="00117BB0"/>
    <w:rsid w:val="00120426"/>
    <w:rsid w:val="00120A0C"/>
    <w:rsid w:val="00120CDE"/>
    <w:rsid w:val="001212A1"/>
    <w:rsid w:val="00121E55"/>
    <w:rsid w:val="00123A95"/>
    <w:rsid w:val="00124074"/>
    <w:rsid w:val="00124612"/>
    <w:rsid w:val="001248FE"/>
    <w:rsid w:val="00125191"/>
    <w:rsid w:val="001254C4"/>
    <w:rsid w:val="001258BB"/>
    <w:rsid w:val="001264ED"/>
    <w:rsid w:val="001304EE"/>
    <w:rsid w:val="00130988"/>
    <w:rsid w:val="00130B01"/>
    <w:rsid w:val="001316AC"/>
    <w:rsid w:val="00131DCC"/>
    <w:rsid w:val="00131FA2"/>
    <w:rsid w:val="0013241A"/>
    <w:rsid w:val="00132618"/>
    <w:rsid w:val="00134518"/>
    <w:rsid w:val="001353F6"/>
    <w:rsid w:val="00135BB5"/>
    <w:rsid w:val="00136ADA"/>
    <w:rsid w:val="00136B60"/>
    <w:rsid w:val="00136FD0"/>
    <w:rsid w:val="0014052C"/>
    <w:rsid w:val="001406D9"/>
    <w:rsid w:val="00140EB6"/>
    <w:rsid w:val="00141ACB"/>
    <w:rsid w:val="001421D0"/>
    <w:rsid w:val="00142452"/>
    <w:rsid w:val="00142783"/>
    <w:rsid w:val="00142B30"/>
    <w:rsid w:val="00143C01"/>
    <w:rsid w:val="00143ED6"/>
    <w:rsid w:val="00144F4E"/>
    <w:rsid w:val="001453A3"/>
    <w:rsid w:val="001455B0"/>
    <w:rsid w:val="00145B35"/>
    <w:rsid w:val="00147333"/>
    <w:rsid w:val="00147648"/>
    <w:rsid w:val="001506C0"/>
    <w:rsid w:val="00150831"/>
    <w:rsid w:val="00150F40"/>
    <w:rsid w:val="00150F94"/>
    <w:rsid w:val="001515E1"/>
    <w:rsid w:val="00151D6E"/>
    <w:rsid w:val="001520C6"/>
    <w:rsid w:val="0015245F"/>
    <w:rsid w:val="00153071"/>
    <w:rsid w:val="001539DB"/>
    <w:rsid w:val="001546AB"/>
    <w:rsid w:val="00154FDB"/>
    <w:rsid w:val="0015531F"/>
    <w:rsid w:val="00155674"/>
    <w:rsid w:val="0015604E"/>
    <w:rsid w:val="0015633D"/>
    <w:rsid w:val="00156429"/>
    <w:rsid w:val="00156AC1"/>
    <w:rsid w:val="001570AE"/>
    <w:rsid w:val="0015730A"/>
    <w:rsid w:val="001576B7"/>
    <w:rsid w:val="00157E2A"/>
    <w:rsid w:val="001601A1"/>
    <w:rsid w:val="00160357"/>
    <w:rsid w:val="00160A84"/>
    <w:rsid w:val="00161B70"/>
    <w:rsid w:val="001622E2"/>
    <w:rsid w:val="001626A2"/>
    <w:rsid w:val="0016292D"/>
    <w:rsid w:val="00162C39"/>
    <w:rsid w:val="00163C2E"/>
    <w:rsid w:val="001647C6"/>
    <w:rsid w:val="00164CBD"/>
    <w:rsid w:val="00165026"/>
    <w:rsid w:val="001657E0"/>
    <w:rsid w:val="0016609B"/>
    <w:rsid w:val="00166EB4"/>
    <w:rsid w:val="00167BFA"/>
    <w:rsid w:val="0017068B"/>
    <w:rsid w:val="00170A37"/>
    <w:rsid w:val="00170E0C"/>
    <w:rsid w:val="00170E0E"/>
    <w:rsid w:val="00171262"/>
    <w:rsid w:val="00171454"/>
    <w:rsid w:val="00171513"/>
    <w:rsid w:val="00171612"/>
    <w:rsid w:val="00171851"/>
    <w:rsid w:val="00171CD7"/>
    <w:rsid w:val="00172648"/>
    <w:rsid w:val="00172927"/>
    <w:rsid w:val="00172C9F"/>
    <w:rsid w:val="00172CEA"/>
    <w:rsid w:val="00172D4A"/>
    <w:rsid w:val="00173414"/>
    <w:rsid w:val="00173820"/>
    <w:rsid w:val="00173F7E"/>
    <w:rsid w:val="00174C06"/>
    <w:rsid w:val="00174D8F"/>
    <w:rsid w:val="00174DAA"/>
    <w:rsid w:val="001761EF"/>
    <w:rsid w:val="00176329"/>
    <w:rsid w:val="00177196"/>
    <w:rsid w:val="0017760E"/>
    <w:rsid w:val="00180EDE"/>
    <w:rsid w:val="00180F91"/>
    <w:rsid w:val="00182DCD"/>
    <w:rsid w:val="00182FB8"/>
    <w:rsid w:val="00184864"/>
    <w:rsid w:val="001859AF"/>
    <w:rsid w:val="00185EBA"/>
    <w:rsid w:val="00186E30"/>
    <w:rsid w:val="00187A74"/>
    <w:rsid w:val="00190338"/>
    <w:rsid w:val="0019063A"/>
    <w:rsid w:val="00190E2E"/>
    <w:rsid w:val="0019120D"/>
    <w:rsid w:val="00191344"/>
    <w:rsid w:val="001914C5"/>
    <w:rsid w:val="00191B59"/>
    <w:rsid w:val="00192318"/>
    <w:rsid w:val="00192A63"/>
    <w:rsid w:val="0019312F"/>
    <w:rsid w:val="00193179"/>
    <w:rsid w:val="001938CA"/>
    <w:rsid w:val="0019473E"/>
    <w:rsid w:val="0019492B"/>
    <w:rsid w:val="00194E10"/>
    <w:rsid w:val="00195009"/>
    <w:rsid w:val="001956D1"/>
    <w:rsid w:val="00195BD3"/>
    <w:rsid w:val="00195C6E"/>
    <w:rsid w:val="00195EE6"/>
    <w:rsid w:val="00195F89"/>
    <w:rsid w:val="00196B2B"/>
    <w:rsid w:val="001971DA"/>
    <w:rsid w:val="00197501"/>
    <w:rsid w:val="001A128E"/>
    <w:rsid w:val="001A1503"/>
    <w:rsid w:val="001A1A05"/>
    <w:rsid w:val="001A1E78"/>
    <w:rsid w:val="001A271A"/>
    <w:rsid w:val="001A2E8C"/>
    <w:rsid w:val="001A4CBA"/>
    <w:rsid w:val="001A4E1A"/>
    <w:rsid w:val="001A5207"/>
    <w:rsid w:val="001A54E5"/>
    <w:rsid w:val="001A66DE"/>
    <w:rsid w:val="001A6E70"/>
    <w:rsid w:val="001A780E"/>
    <w:rsid w:val="001B02D7"/>
    <w:rsid w:val="001B0340"/>
    <w:rsid w:val="001B0903"/>
    <w:rsid w:val="001B0C5D"/>
    <w:rsid w:val="001B0E1D"/>
    <w:rsid w:val="001B1243"/>
    <w:rsid w:val="001B2071"/>
    <w:rsid w:val="001B22A4"/>
    <w:rsid w:val="001B454C"/>
    <w:rsid w:val="001B4C09"/>
    <w:rsid w:val="001B5560"/>
    <w:rsid w:val="001B5A61"/>
    <w:rsid w:val="001B5F7E"/>
    <w:rsid w:val="001B74A4"/>
    <w:rsid w:val="001B7559"/>
    <w:rsid w:val="001C0D90"/>
    <w:rsid w:val="001C27CC"/>
    <w:rsid w:val="001C2DB3"/>
    <w:rsid w:val="001C3061"/>
    <w:rsid w:val="001C347D"/>
    <w:rsid w:val="001C4B17"/>
    <w:rsid w:val="001C5163"/>
    <w:rsid w:val="001C5A78"/>
    <w:rsid w:val="001C5FA0"/>
    <w:rsid w:val="001C6774"/>
    <w:rsid w:val="001C6A17"/>
    <w:rsid w:val="001C71EC"/>
    <w:rsid w:val="001C73ED"/>
    <w:rsid w:val="001C7811"/>
    <w:rsid w:val="001C78C9"/>
    <w:rsid w:val="001C7A88"/>
    <w:rsid w:val="001D0234"/>
    <w:rsid w:val="001D0E7C"/>
    <w:rsid w:val="001D0EB2"/>
    <w:rsid w:val="001D0EDA"/>
    <w:rsid w:val="001D1928"/>
    <w:rsid w:val="001D1FC8"/>
    <w:rsid w:val="001D2D47"/>
    <w:rsid w:val="001D2FB3"/>
    <w:rsid w:val="001D30E5"/>
    <w:rsid w:val="001D30F4"/>
    <w:rsid w:val="001D3C38"/>
    <w:rsid w:val="001D406C"/>
    <w:rsid w:val="001D42D7"/>
    <w:rsid w:val="001D4B38"/>
    <w:rsid w:val="001D4C40"/>
    <w:rsid w:val="001D4CEE"/>
    <w:rsid w:val="001D4EDA"/>
    <w:rsid w:val="001D5077"/>
    <w:rsid w:val="001D7114"/>
    <w:rsid w:val="001D7656"/>
    <w:rsid w:val="001D781D"/>
    <w:rsid w:val="001D7FA5"/>
    <w:rsid w:val="001E0665"/>
    <w:rsid w:val="001E0A8A"/>
    <w:rsid w:val="001E1950"/>
    <w:rsid w:val="001E2BB9"/>
    <w:rsid w:val="001E32A6"/>
    <w:rsid w:val="001E3B86"/>
    <w:rsid w:val="001E3E89"/>
    <w:rsid w:val="001E4288"/>
    <w:rsid w:val="001E466D"/>
    <w:rsid w:val="001E5BBD"/>
    <w:rsid w:val="001E61E7"/>
    <w:rsid w:val="001E67C1"/>
    <w:rsid w:val="001E731E"/>
    <w:rsid w:val="001F05FA"/>
    <w:rsid w:val="001F0D40"/>
    <w:rsid w:val="001F16AA"/>
    <w:rsid w:val="001F1970"/>
    <w:rsid w:val="001F2229"/>
    <w:rsid w:val="001F25CE"/>
    <w:rsid w:val="001F2DB3"/>
    <w:rsid w:val="001F331E"/>
    <w:rsid w:val="001F35A4"/>
    <w:rsid w:val="001F3A11"/>
    <w:rsid w:val="001F4470"/>
    <w:rsid w:val="001F4B6F"/>
    <w:rsid w:val="001F4D9B"/>
    <w:rsid w:val="001F66D3"/>
    <w:rsid w:val="001F6AFE"/>
    <w:rsid w:val="001F7837"/>
    <w:rsid w:val="002002A3"/>
    <w:rsid w:val="00200AC2"/>
    <w:rsid w:val="00200B42"/>
    <w:rsid w:val="00200C3F"/>
    <w:rsid w:val="00201E97"/>
    <w:rsid w:val="00201F8F"/>
    <w:rsid w:val="002031E0"/>
    <w:rsid w:val="002033C3"/>
    <w:rsid w:val="00203E35"/>
    <w:rsid w:val="00204A43"/>
    <w:rsid w:val="00205CBC"/>
    <w:rsid w:val="0020695E"/>
    <w:rsid w:val="00206A92"/>
    <w:rsid w:val="00206AB0"/>
    <w:rsid w:val="00206B04"/>
    <w:rsid w:val="00206B5C"/>
    <w:rsid w:val="0020762F"/>
    <w:rsid w:val="00207CD3"/>
    <w:rsid w:val="00207FBF"/>
    <w:rsid w:val="00210B63"/>
    <w:rsid w:val="002112D1"/>
    <w:rsid w:val="002119C9"/>
    <w:rsid w:val="00211DDE"/>
    <w:rsid w:val="00212106"/>
    <w:rsid w:val="002123D3"/>
    <w:rsid w:val="0021265D"/>
    <w:rsid w:val="00212DBE"/>
    <w:rsid w:val="00213AC6"/>
    <w:rsid w:val="00213B8C"/>
    <w:rsid w:val="00213D5F"/>
    <w:rsid w:val="002144C9"/>
    <w:rsid w:val="00214B50"/>
    <w:rsid w:val="00215DDF"/>
    <w:rsid w:val="00215F00"/>
    <w:rsid w:val="00216365"/>
    <w:rsid w:val="00216572"/>
    <w:rsid w:val="00216A20"/>
    <w:rsid w:val="00217001"/>
    <w:rsid w:val="00220217"/>
    <w:rsid w:val="00220ADE"/>
    <w:rsid w:val="0022145C"/>
    <w:rsid w:val="002214AB"/>
    <w:rsid w:val="00221AFB"/>
    <w:rsid w:val="00221C0C"/>
    <w:rsid w:val="00221DC8"/>
    <w:rsid w:val="00222C87"/>
    <w:rsid w:val="00222FBB"/>
    <w:rsid w:val="0022304D"/>
    <w:rsid w:val="002241D1"/>
    <w:rsid w:val="00224813"/>
    <w:rsid w:val="00224A75"/>
    <w:rsid w:val="00225308"/>
    <w:rsid w:val="00225BFF"/>
    <w:rsid w:val="0022623F"/>
    <w:rsid w:val="00226915"/>
    <w:rsid w:val="00227AEF"/>
    <w:rsid w:val="00230017"/>
    <w:rsid w:val="002310CE"/>
    <w:rsid w:val="002313EC"/>
    <w:rsid w:val="00232C0E"/>
    <w:rsid w:val="0023311E"/>
    <w:rsid w:val="0023353B"/>
    <w:rsid w:val="00233546"/>
    <w:rsid w:val="00233AC7"/>
    <w:rsid w:val="00234EA0"/>
    <w:rsid w:val="002355DD"/>
    <w:rsid w:val="00235A4F"/>
    <w:rsid w:val="002373A0"/>
    <w:rsid w:val="0023753A"/>
    <w:rsid w:val="002408C4"/>
    <w:rsid w:val="00240934"/>
    <w:rsid w:val="00241553"/>
    <w:rsid w:val="00241813"/>
    <w:rsid w:val="00242120"/>
    <w:rsid w:val="00242468"/>
    <w:rsid w:val="00242492"/>
    <w:rsid w:val="00242993"/>
    <w:rsid w:val="00242F24"/>
    <w:rsid w:val="00244203"/>
    <w:rsid w:val="00244220"/>
    <w:rsid w:val="00244274"/>
    <w:rsid w:val="002449F2"/>
    <w:rsid w:val="00244B3F"/>
    <w:rsid w:val="002451E2"/>
    <w:rsid w:val="00245DD8"/>
    <w:rsid w:val="002460B0"/>
    <w:rsid w:val="002460B1"/>
    <w:rsid w:val="002460BE"/>
    <w:rsid w:val="002461AF"/>
    <w:rsid w:val="0024635B"/>
    <w:rsid w:val="00246AA3"/>
    <w:rsid w:val="00247171"/>
    <w:rsid w:val="00247DEE"/>
    <w:rsid w:val="00250B7D"/>
    <w:rsid w:val="00250D3D"/>
    <w:rsid w:val="00252D3F"/>
    <w:rsid w:val="00252FCA"/>
    <w:rsid w:val="0025319A"/>
    <w:rsid w:val="00253A63"/>
    <w:rsid w:val="00253DB3"/>
    <w:rsid w:val="00254AAE"/>
    <w:rsid w:val="00254FFF"/>
    <w:rsid w:val="0025593D"/>
    <w:rsid w:val="00255DA2"/>
    <w:rsid w:val="0025600A"/>
    <w:rsid w:val="00256AF9"/>
    <w:rsid w:val="0025720D"/>
    <w:rsid w:val="002607A9"/>
    <w:rsid w:val="00260ACE"/>
    <w:rsid w:val="00260CA9"/>
    <w:rsid w:val="00260EF2"/>
    <w:rsid w:val="0026148F"/>
    <w:rsid w:val="00261555"/>
    <w:rsid w:val="00262370"/>
    <w:rsid w:val="00262913"/>
    <w:rsid w:val="0026358D"/>
    <w:rsid w:val="00264C66"/>
    <w:rsid w:val="00265109"/>
    <w:rsid w:val="002656E6"/>
    <w:rsid w:val="00265E8C"/>
    <w:rsid w:val="0026604B"/>
    <w:rsid w:val="00266832"/>
    <w:rsid w:val="00266960"/>
    <w:rsid w:val="00267239"/>
    <w:rsid w:val="00267EF7"/>
    <w:rsid w:val="00267EFB"/>
    <w:rsid w:val="00270D3E"/>
    <w:rsid w:val="0027114B"/>
    <w:rsid w:val="002716F7"/>
    <w:rsid w:val="002716FE"/>
    <w:rsid w:val="002719D7"/>
    <w:rsid w:val="002723D3"/>
    <w:rsid w:val="002723D4"/>
    <w:rsid w:val="00272D78"/>
    <w:rsid w:val="0027336E"/>
    <w:rsid w:val="0027337F"/>
    <w:rsid w:val="00274B2B"/>
    <w:rsid w:val="00274F85"/>
    <w:rsid w:val="002751B5"/>
    <w:rsid w:val="00275516"/>
    <w:rsid w:val="002759A2"/>
    <w:rsid w:val="00275A36"/>
    <w:rsid w:val="00275E84"/>
    <w:rsid w:val="00276679"/>
    <w:rsid w:val="00277317"/>
    <w:rsid w:val="00277459"/>
    <w:rsid w:val="00280442"/>
    <w:rsid w:val="00280642"/>
    <w:rsid w:val="00280F38"/>
    <w:rsid w:val="002810C2"/>
    <w:rsid w:val="00281DA3"/>
    <w:rsid w:val="002822CE"/>
    <w:rsid w:val="00282B7A"/>
    <w:rsid w:val="00282E7B"/>
    <w:rsid w:val="00282EF3"/>
    <w:rsid w:val="002849F5"/>
    <w:rsid w:val="002852A4"/>
    <w:rsid w:val="00286082"/>
    <w:rsid w:val="00286C56"/>
    <w:rsid w:val="00286DF2"/>
    <w:rsid w:val="00287155"/>
    <w:rsid w:val="0029095D"/>
    <w:rsid w:val="00291184"/>
    <w:rsid w:val="002914EE"/>
    <w:rsid w:val="00291BA2"/>
    <w:rsid w:val="00291DA4"/>
    <w:rsid w:val="002926A8"/>
    <w:rsid w:val="002929A0"/>
    <w:rsid w:val="00292A86"/>
    <w:rsid w:val="00292B50"/>
    <w:rsid w:val="00293F41"/>
    <w:rsid w:val="00294DD0"/>
    <w:rsid w:val="00295082"/>
    <w:rsid w:val="00296575"/>
    <w:rsid w:val="00296DF4"/>
    <w:rsid w:val="002974A0"/>
    <w:rsid w:val="002A06AB"/>
    <w:rsid w:val="002A0788"/>
    <w:rsid w:val="002A0949"/>
    <w:rsid w:val="002A09AF"/>
    <w:rsid w:val="002A12F3"/>
    <w:rsid w:val="002A18E7"/>
    <w:rsid w:val="002A1B94"/>
    <w:rsid w:val="002A23EC"/>
    <w:rsid w:val="002A25E6"/>
    <w:rsid w:val="002A28DF"/>
    <w:rsid w:val="002A31C0"/>
    <w:rsid w:val="002A510A"/>
    <w:rsid w:val="002A5E2A"/>
    <w:rsid w:val="002A6CCA"/>
    <w:rsid w:val="002A7821"/>
    <w:rsid w:val="002B064A"/>
    <w:rsid w:val="002B069B"/>
    <w:rsid w:val="002B0A5C"/>
    <w:rsid w:val="002B0BEC"/>
    <w:rsid w:val="002B0DAB"/>
    <w:rsid w:val="002B1033"/>
    <w:rsid w:val="002B10D2"/>
    <w:rsid w:val="002B1486"/>
    <w:rsid w:val="002B1D7F"/>
    <w:rsid w:val="002B1FF4"/>
    <w:rsid w:val="002B20C9"/>
    <w:rsid w:val="002B2267"/>
    <w:rsid w:val="002B24FC"/>
    <w:rsid w:val="002B2693"/>
    <w:rsid w:val="002B375B"/>
    <w:rsid w:val="002B3885"/>
    <w:rsid w:val="002B41AA"/>
    <w:rsid w:val="002B4A59"/>
    <w:rsid w:val="002B4D3C"/>
    <w:rsid w:val="002B5510"/>
    <w:rsid w:val="002B5668"/>
    <w:rsid w:val="002B5A1F"/>
    <w:rsid w:val="002B5FD7"/>
    <w:rsid w:val="002B6A0E"/>
    <w:rsid w:val="002B6AE2"/>
    <w:rsid w:val="002B6D32"/>
    <w:rsid w:val="002B7561"/>
    <w:rsid w:val="002B7DCC"/>
    <w:rsid w:val="002C01B3"/>
    <w:rsid w:val="002C0FD5"/>
    <w:rsid w:val="002C1111"/>
    <w:rsid w:val="002C15B2"/>
    <w:rsid w:val="002C26BE"/>
    <w:rsid w:val="002C278B"/>
    <w:rsid w:val="002C34F3"/>
    <w:rsid w:val="002C351E"/>
    <w:rsid w:val="002C3A65"/>
    <w:rsid w:val="002C412B"/>
    <w:rsid w:val="002C4DC8"/>
    <w:rsid w:val="002C52D0"/>
    <w:rsid w:val="002C548B"/>
    <w:rsid w:val="002C5595"/>
    <w:rsid w:val="002C55C9"/>
    <w:rsid w:val="002C560D"/>
    <w:rsid w:val="002C5F4D"/>
    <w:rsid w:val="002C6D3B"/>
    <w:rsid w:val="002C7364"/>
    <w:rsid w:val="002C740D"/>
    <w:rsid w:val="002C7CD4"/>
    <w:rsid w:val="002C7E27"/>
    <w:rsid w:val="002C7E7E"/>
    <w:rsid w:val="002D1C63"/>
    <w:rsid w:val="002D28DB"/>
    <w:rsid w:val="002D2A4A"/>
    <w:rsid w:val="002D36C1"/>
    <w:rsid w:val="002D36EC"/>
    <w:rsid w:val="002D3771"/>
    <w:rsid w:val="002D4102"/>
    <w:rsid w:val="002D4806"/>
    <w:rsid w:val="002D4C24"/>
    <w:rsid w:val="002D4E67"/>
    <w:rsid w:val="002D5132"/>
    <w:rsid w:val="002D59EA"/>
    <w:rsid w:val="002D65FB"/>
    <w:rsid w:val="002D6D6E"/>
    <w:rsid w:val="002E0EB9"/>
    <w:rsid w:val="002E159D"/>
    <w:rsid w:val="002E2F7C"/>
    <w:rsid w:val="002E39A6"/>
    <w:rsid w:val="002E54A2"/>
    <w:rsid w:val="002E57C4"/>
    <w:rsid w:val="002E66A2"/>
    <w:rsid w:val="002E67C3"/>
    <w:rsid w:val="002F0579"/>
    <w:rsid w:val="002F120E"/>
    <w:rsid w:val="002F152F"/>
    <w:rsid w:val="002F2E42"/>
    <w:rsid w:val="002F2E6A"/>
    <w:rsid w:val="002F3AEF"/>
    <w:rsid w:val="002F4A07"/>
    <w:rsid w:val="002F69B4"/>
    <w:rsid w:val="002F7780"/>
    <w:rsid w:val="002F7BDC"/>
    <w:rsid w:val="002F7DC9"/>
    <w:rsid w:val="00300D05"/>
    <w:rsid w:val="00301234"/>
    <w:rsid w:val="003013B8"/>
    <w:rsid w:val="0030180B"/>
    <w:rsid w:val="003028EE"/>
    <w:rsid w:val="00302B0E"/>
    <w:rsid w:val="00302EE2"/>
    <w:rsid w:val="00303D6E"/>
    <w:rsid w:val="00304B00"/>
    <w:rsid w:val="003051F2"/>
    <w:rsid w:val="00305956"/>
    <w:rsid w:val="00305D38"/>
    <w:rsid w:val="00306548"/>
    <w:rsid w:val="00307169"/>
    <w:rsid w:val="003100F3"/>
    <w:rsid w:val="0031153C"/>
    <w:rsid w:val="00311591"/>
    <w:rsid w:val="003118AF"/>
    <w:rsid w:val="0031327A"/>
    <w:rsid w:val="003140CD"/>
    <w:rsid w:val="00314DE9"/>
    <w:rsid w:val="00315108"/>
    <w:rsid w:val="00315E02"/>
    <w:rsid w:val="003179DB"/>
    <w:rsid w:val="00320104"/>
    <w:rsid w:val="0032047D"/>
    <w:rsid w:val="00322194"/>
    <w:rsid w:val="0032340C"/>
    <w:rsid w:val="00323464"/>
    <w:rsid w:val="00323EC9"/>
    <w:rsid w:val="00323FD7"/>
    <w:rsid w:val="00324491"/>
    <w:rsid w:val="0032485B"/>
    <w:rsid w:val="003249F9"/>
    <w:rsid w:val="00324BBA"/>
    <w:rsid w:val="00324D57"/>
    <w:rsid w:val="00326241"/>
    <w:rsid w:val="00326B49"/>
    <w:rsid w:val="00327483"/>
    <w:rsid w:val="003278A9"/>
    <w:rsid w:val="003279D9"/>
    <w:rsid w:val="00330CDC"/>
    <w:rsid w:val="00330DB6"/>
    <w:rsid w:val="00331B9A"/>
    <w:rsid w:val="003321AC"/>
    <w:rsid w:val="00332A77"/>
    <w:rsid w:val="00332E24"/>
    <w:rsid w:val="00333277"/>
    <w:rsid w:val="00333C81"/>
    <w:rsid w:val="003346D3"/>
    <w:rsid w:val="003348EF"/>
    <w:rsid w:val="00335A54"/>
    <w:rsid w:val="003363FC"/>
    <w:rsid w:val="00336838"/>
    <w:rsid w:val="00336AFB"/>
    <w:rsid w:val="00336BB8"/>
    <w:rsid w:val="00336FEB"/>
    <w:rsid w:val="00337C74"/>
    <w:rsid w:val="00340E1D"/>
    <w:rsid w:val="003417FC"/>
    <w:rsid w:val="00341AB3"/>
    <w:rsid w:val="0034287D"/>
    <w:rsid w:val="00343223"/>
    <w:rsid w:val="0034337E"/>
    <w:rsid w:val="00343FCF"/>
    <w:rsid w:val="00344124"/>
    <w:rsid w:val="003442B7"/>
    <w:rsid w:val="00344325"/>
    <w:rsid w:val="003448D0"/>
    <w:rsid w:val="00344ABC"/>
    <w:rsid w:val="003453D1"/>
    <w:rsid w:val="00345901"/>
    <w:rsid w:val="003460CC"/>
    <w:rsid w:val="0034626A"/>
    <w:rsid w:val="00346583"/>
    <w:rsid w:val="003467B8"/>
    <w:rsid w:val="00347868"/>
    <w:rsid w:val="00350989"/>
    <w:rsid w:val="00350CBD"/>
    <w:rsid w:val="00350E3C"/>
    <w:rsid w:val="00351849"/>
    <w:rsid w:val="003527B7"/>
    <w:rsid w:val="00353208"/>
    <w:rsid w:val="00353FA7"/>
    <w:rsid w:val="00354B2B"/>
    <w:rsid w:val="003550E9"/>
    <w:rsid w:val="0035598D"/>
    <w:rsid w:val="00356CBA"/>
    <w:rsid w:val="00357585"/>
    <w:rsid w:val="00357706"/>
    <w:rsid w:val="00357FD6"/>
    <w:rsid w:val="00360419"/>
    <w:rsid w:val="0036123B"/>
    <w:rsid w:val="00361F29"/>
    <w:rsid w:val="00362056"/>
    <w:rsid w:val="003625F6"/>
    <w:rsid w:val="003627ED"/>
    <w:rsid w:val="003634CD"/>
    <w:rsid w:val="003638F6"/>
    <w:rsid w:val="00364006"/>
    <w:rsid w:val="00364171"/>
    <w:rsid w:val="00364878"/>
    <w:rsid w:val="0036487C"/>
    <w:rsid w:val="00364AF4"/>
    <w:rsid w:val="00364C03"/>
    <w:rsid w:val="00365F16"/>
    <w:rsid w:val="00366631"/>
    <w:rsid w:val="003669A2"/>
    <w:rsid w:val="0036724E"/>
    <w:rsid w:val="003672CF"/>
    <w:rsid w:val="003679D2"/>
    <w:rsid w:val="00367B7A"/>
    <w:rsid w:val="00367F94"/>
    <w:rsid w:val="00370D89"/>
    <w:rsid w:val="0037151B"/>
    <w:rsid w:val="00372094"/>
    <w:rsid w:val="003741B4"/>
    <w:rsid w:val="0037513F"/>
    <w:rsid w:val="0037538D"/>
    <w:rsid w:val="0037575E"/>
    <w:rsid w:val="003762FC"/>
    <w:rsid w:val="003765C3"/>
    <w:rsid w:val="003766BD"/>
    <w:rsid w:val="00376866"/>
    <w:rsid w:val="00376DD4"/>
    <w:rsid w:val="003770C3"/>
    <w:rsid w:val="0037730D"/>
    <w:rsid w:val="00377432"/>
    <w:rsid w:val="00377656"/>
    <w:rsid w:val="00377ED9"/>
    <w:rsid w:val="00380DD8"/>
    <w:rsid w:val="00381A8A"/>
    <w:rsid w:val="00381C7A"/>
    <w:rsid w:val="003824A9"/>
    <w:rsid w:val="0038299D"/>
    <w:rsid w:val="00382BD5"/>
    <w:rsid w:val="00383192"/>
    <w:rsid w:val="0038364A"/>
    <w:rsid w:val="00383C7B"/>
    <w:rsid w:val="00383C9D"/>
    <w:rsid w:val="003846F3"/>
    <w:rsid w:val="0038504F"/>
    <w:rsid w:val="00385160"/>
    <w:rsid w:val="0038534A"/>
    <w:rsid w:val="003858BF"/>
    <w:rsid w:val="00386436"/>
    <w:rsid w:val="003872B8"/>
    <w:rsid w:val="00387674"/>
    <w:rsid w:val="003878D1"/>
    <w:rsid w:val="00387B7B"/>
    <w:rsid w:val="00390180"/>
    <w:rsid w:val="003905B7"/>
    <w:rsid w:val="00390F21"/>
    <w:rsid w:val="00391288"/>
    <w:rsid w:val="00392CBC"/>
    <w:rsid w:val="00392E42"/>
    <w:rsid w:val="003930C1"/>
    <w:rsid w:val="00394D65"/>
    <w:rsid w:val="00394DFA"/>
    <w:rsid w:val="003952A9"/>
    <w:rsid w:val="003953AB"/>
    <w:rsid w:val="00395D34"/>
    <w:rsid w:val="00395FE9"/>
    <w:rsid w:val="0039618D"/>
    <w:rsid w:val="003967A5"/>
    <w:rsid w:val="0039696E"/>
    <w:rsid w:val="00396B05"/>
    <w:rsid w:val="00396BF5"/>
    <w:rsid w:val="00396CA7"/>
    <w:rsid w:val="00397B28"/>
    <w:rsid w:val="00397DDE"/>
    <w:rsid w:val="003A012B"/>
    <w:rsid w:val="003A0635"/>
    <w:rsid w:val="003A0A09"/>
    <w:rsid w:val="003A0C1D"/>
    <w:rsid w:val="003A0CFB"/>
    <w:rsid w:val="003A0E73"/>
    <w:rsid w:val="003A0F2C"/>
    <w:rsid w:val="003A136C"/>
    <w:rsid w:val="003A1964"/>
    <w:rsid w:val="003A2719"/>
    <w:rsid w:val="003A2BB8"/>
    <w:rsid w:val="003A2C09"/>
    <w:rsid w:val="003A4D57"/>
    <w:rsid w:val="003A56A1"/>
    <w:rsid w:val="003A5743"/>
    <w:rsid w:val="003A6300"/>
    <w:rsid w:val="003A6340"/>
    <w:rsid w:val="003A650E"/>
    <w:rsid w:val="003A6C9D"/>
    <w:rsid w:val="003A752E"/>
    <w:rsid w:val="003B08F9"/>
    <w:rsid w:val="003B09FA"/>
    <w:rsid w:val="003B0D8F"/>
    <w:rsid w:val="003B1C39"/>
    <w:rsid w:val="003B1F48"/>
    <w:rsid w:val="003B259D"/>
    <w:rsid w:val="003B2C55"/>
    <w:rsid w:val="003B2F49"/>
    <w:rsid w:val="003B3189"/>
    <w:rsid w:val="003B3273"/>
    <w:rsid w:val="003B4496"/>
    <w:rsid w:val="003B5598"/>
    <w:rsid w:val="003B5652"/>
    <w:rsid w:val="003B6144"/>
    <w:rsid w:val="003B6234"/>
    <w:rsid w:val="003B6604"/>
    <w:rsid w:val="003B68F6"/>
    <w:rsid w:val="003B6D03"/>
    <w:rsid w:val="003B7BC3"/>
    <w:rsid w:val="003C05E8"/>
    <w:rsid w:val="003C0768"/>
    <w:rsid w:val="003C112A"/>
    <w:rsid w:val="003C158F"/>
    <w:rsid w:val="003C1660"/>
    <w:rsid w:val="003C280E"/>
    <w:rsid w:val="003C28EB"/>
    <w:rsid w:val="003C3530"/>
    <w:rsid w:val="003C36F2"/>
    <w:rsid w:val="003C3E32"/>
    <w:rsid w:val="003C402B"/>
    <w:rsid w:val="003C4B63"/>
    <w:rsid w:val="003C535B"/>
    <w:rsid w:val="003C5971"/>
    <w:rsid w:val="003C597B"/>
    <w:rsid w:val="003C60C5"/>
    <w:rsid w:val="003C716A"/>
    <w:rsid w:val="003C7426"/>
    <w:rsid w:val="003C794B"/>
    <w:rsid w:val="003C7DCF"/>
    <w:rsid w:val="003C7E9C"/>
    <w:rsid w:val="003D0156"/>
    <w:rsid w:val="003D0D81"/>
    <w:rsid w:val="003D2550"/>
    <w:rsid w:val="003D273A"/>
    <w:rsid w:val="003D2AD8"/>
    <w:rsid w:val="003D332B"/>
    <w:rsid w:val="003D3B52"/>
    <w:rsid w:val="003D4040"/>
    <w:rsid w:val="003D41C4"/>
    <w:rsid w:val="003D4EFC"/>
    <w:rsid w:val="003D500C"/>
    <w:rsid w:val="003D712F"/>
    <w:rsid w:val="003D7A8C"/>
    <w:rsid w:val="003E0348"/>
    <w:rsid w:val="003E055B"/>
    <w:rsid w:val="003E0E9E"/>
    <w:rsid w:val="003E1237"/>
    <w:rsid w:val="003E1AF3"/>
    <w:rsid w:val="003E20FE"/>
    <w:rsid w:val="003E2722"/>
    <w:rsid w:val="003E29F8"/>
    <w:rsid w:val="003E3BE6"/>
    <w:rsid w:val="003E3DB3"/>
    <w:rsid w:val="003E4392"/>
    <w:rsid w:val="003E476C"/>
    <w:rsid w:val="003E490D"/>
    <w:rsid w:val="003E49EF"/>
    <w:rsid w:val="003E4AB0"/>
    <w:rsid w:val="003E53F9"/>
    <w:rsid w:val="003E54F7"/>
    <w:rsid w:val="003E5EEC"/>
    <w:rsid w:val="003E61BF"/>
    <w:rsid w:val="003E6E69"/>
    <w:rsid w:val="003F04C9"/>
    <w:rsid w:val="003F0EA7"/>
    <w:rsid w:val="003F1C78"/>
    <w:rsid w:val="003F1FB6"/>
    <w:rsid w:val="003F2338"/>
    <w:rsid w:val="003F28E6"/>
    <w:rsid w:val="003F2AA3"/>
    <w:rsid w:val="003F32AD"/>
    <w:rsid w:val="003F3E69"/>
    <w:rsid w:val="003F4399"/>
    <w:rsid w:val="003F448B"/>
    <w:rsid w:val="003F4ADE"/>
    <w:rsid w:val="003F4CFE"/>
    <w:rsid w:val="003F6BE9"/>
    <w:rsid w:val="003F6C75"/>
    <w:rsid w:val="003F7E3F"/>
    <w:rsid w:val="004002AB"/>
    <w:rsid w:val="004014C2"/>
    <w:rsid w:val="00401794"/>
    <w:rsid w:val="00401DD1"/>
    <w:rsid w:val="0040236F"/>
    <w:rsid w:val="004025C1"/>
    <w:rsid w:val="00402C5C"/>
    <w:rsid w:val="00403048"/>
    <w:rsid w:val="00403415"/>
    <w:rsid w:val="00403640"/>
    <w:rsid w:val="00403765"/>
    <w:rsid w:val="0040397E"/>
    <w:rsid w:val="00403C51"/>
    <w:rsid w:val="00403D8A"/>
    <w:rsid w:val="00404452"/>
    <w:rsid w:val="00404ED2"/>
    <w:rsid w:val="00405EB5"/>
    <w:rsid w:val="0040736C"/>
    <w:rsid w:val="00410616"/>
    <w:rsid w:val="00411AF4"/>
    <w:rsid w:val="00411D26"/>
    <w:rsid w:val="00412078"/>
    <w:rsid w:val="004139D4"/>
    <w:rsid w:val="00414DE6"/>
    <w:rsid w:val="00416660"/>
    <w:rsid w:val="0041667C"/>
    <w:rsid w:val="00416CD5"/>
    <w:rsid w:val="004174F0"/>
    <w:rsid w:val="00417836"/>
    <w:rsid w:val="004178E8"/>
    <w:rsid w:val="004207F7"/>
    <w:rsid w:val="00422113"/>
    <w:rsid w:val="00422E6F"/>
    <w:rsid w:val="00423F2D"/>
    <w:rsid w:val="00424978"/>
    <w:rsid w:val="00424D55"/>
    <w:rsid w:val="004252BD"/>
    <w:rsid w:val="00426C84"/>
    <w:rsid w:val="00426F9B"/>
    <w:rsid w:val="00427288"/>
    <w:rsid w:val="00427B7D"/>
    <w:rsid w:val="00427CED"/>
    <w:rsid w:val="00427E17"/>
    <w:rsid w:val="00430826"/>
    <w:rsid w:val="0043090F"/>
    <w:rsid w:val="00430976"/>
    <w:rsid w:val="004313D0"/>
    <w:rsid w:val="00431767"/>
    <w:rsid w:val="004318B9"/>
    <w:rsid w:val="00431BC4"/>
    <w:rsid w:val="00432242"/>
    <w:rsid w:val="00432490"/>
    <w:rsid w:val="00432972"/>
    <w:rsid w:val="00434C58"/>
    <w:rsid w:val="0043606F"/>
    <w:rsid w:val="00436264"/>
    <w:rsid w:val="004369E9"/>
    <w:rsid w:val="004370FD"/>
    <w:rsid w:val="0043739E"/>
    <w:rsid w:val="00437DA5"/>
    <w:rsid w:val="00440480"/>
    <w:rsid w:val="0044072F"/>
    <w:rsid w:val="00441169"/>
    <w:rsid w:val="00441608"/>
    <w:rsid w:val="00441ABA"/>
    <w:rsid w:val="004435E7"/>
    <w:rsid w:val="00443660"/>
    <w:rsid w:val="00443769"/>
    <w:rsid w:val="00443EA5"/>
    <w:rsid w:val="004443A4"/>
    <w:rsid w:val="00444905"/>
    <w:rsid w:val="004455F6"/>
    <w:rsid w:val="004468E2"/>
    <w:rsid w:val="0044788F"/>
    <w:rsid w:val="004501F2"/>
    <w:rsid w:val="00450A07"/>
    <w:rsid w:val="00450AE4"/>
    <w:rsid w:val="00450D26"/>
    <w:rsid w:val="00450DD4"/>
    <w:rsid w:val="00450F2F"/>
    <w:rsid w:val="00452EEE"/>
    <w:rsid w:val="00453104"/>
    <w:rsid w:val="0045337B"/>
    <w:rsid w:val="00453A12"/>
    <w:rsid w:val="00453EF1"/>
    <w:rsid w:val="00453F79"/>
    <w:rsid w:val="004547DF"/>
    <w:rsid w:val="00454A03"/>
    <w:rsid w:val="00456110"/>
    <w:rsid w:val="004568A5"/>
    <w:rsid w:val="004570BF"/>
    <w:rsid w:val="00457128"/>
    <w:rsid w:val="00457840"/>
    <w:rsid w:val="00460E42"/>
    <w:rsid w:val="004633AE"/>
    <w:rsid w:val="004633BF"/>
    <w:rsid w:val="004635D1"/>
    <w:rsid w:val="0046461B"/>
    <w:rsid w:val="00464D8C"/>
    <w:rsid w:val="0046511A"/>
    <w:rsid w:val="00466564"/>
    <w:rsid w:val="00466A56"/>
    <w:rsid w:val="00467DD9"/>
    <w:rsid w:val="004707D5"/>
    <w:rsid w:val="004714FA"/>
    <w:rsid w:val="00472B52"/>
    <w:rsid w:val="00472BD7"/>
    <w:rsid w:val="004730C9"/>
    <w:rsid w:val="00473FA0"/>
    <w:rsid w:val="0047411A"/>
    <w:rsid w:val="0047413F"/>
    <w:rsid w:val="00474DAA"/>
    <w:rsid w:val="004758CB"/>
    <w:rsid w:val="00477355"/>
    <w:rsid w:val="0047792B"/>
    <w:rsid w:val="00477C44"/>
    <w:rsid w:val="00480299"/>
    <w:rsid w:val="00481068"/>
    <w:rsid w:val="0048154C"/>
    <w:rsid w:val="00481B59"/>
    <w:rsid w:val="004820C9"/>
    <w:rsid w:val="0048225F"/>
    <w:rsid w:val="0048237B"/>
    <w:rsid w:val="00483583"/>
    <w:rsid w:val="004835E5"/>
    <w:rsid w:val="004839DB"/>
    <w:rsid w:val="00483ECA"/>
    <w:rsid w:val="00483F27"/>
    <w:rsid w:val="00484010"/>
    <w:rsid w:val="00484017"/>
    <w:rsid w:val="00484631"/>
    <w:rsid w:val="00484D02"/>
    <w:rsid w:val="00484E68"/>
    <w:rsid w:val="00485090"/>
    <w:rsid w:val="00486792"/>
    <w:rsid w:val="00486B40"/>
    <w:rsid w:val="004876C5"/>
    <w:rsid w:val="004877AF"/>
    <w:rsid w:val="00487844"/>
    <w:rsid w:val="00487DFD"/>
    <w:rsid w:val="00490114"/>
    <w:rsid w:val="0049069D"/>
    <w:rsid w:val="00490A56"/>
    <w:rsid w:val="00490F6E"/>
    <w:rsid w:val="0049173C"/>
    <w:rsid w:val="0049323C"/>
    <w:rsid w:val="004934FF"/>
    <w:rsid w:val="00494686"/>
    <w:rsid w:val="004947BA"/>
    <w:rsid w:val="00494C94"/>
    <w:rsid w:val="004958BC"/>
    <w:rsid w:val="00496AAC"/>
    <w:rsid w:val="00496B4C"/>
    <w:rsid w:val="00497690"/>
    <w:rsid w:val="00497F93"/>
    <w:rsid w:val="004A0078"/>
    <w:rsid w:val="004A1108"/>
    <w:rsid w:val="004A1761"/>
    <w:rsid w:val="004A1774"/>
    <w:rsid w:val="004A2688"/>
    <w:rsid w:val="004A2A4D"/>
    <w:rsid w:val="004A2B3E"/>
    <w:rsid w:val="004A2D16"/>
    <w:rsid w:val="004A39A5"/>
    <w:rsid w:val="004A3B5F"/>
    <w:rsid w:val="004A3D0E"/>
    <w:rsid w:val="004A3F44"/>
    <w:rsid w:val="004A485B"/>
    <w:rsid w:val="004A48ED"/>
    <w:rsid w:val="004A617F"/>
    <w:rsid w:val="004A65AC"/>
    <w:rsid w:val="004A65FD"/>
    <w:rsid w:val="004B032E"/>
    <w:rsid w:val="004B0B79"/>
    <w:rsid w:val="004B1C87"/>
    <w:rsid w:val="004B1E1A"/>
    <w:rsid w:val="004B1F22"/>
    <w:rsid w:val="004B2570"/>
    <w:rsid w:val="004B2F40"/>
    <w:rsid w:val="004B4B79"/>
    <w:rsid w:val="004B4D85"/>
    <w:rsid w:val="004B530A"/>
    <w:rsid w:val="004B6702"/>
    <w:rsid w:val="004C0B83"/>
    <w:rsid w:val="004C0E52"/>
    <w:rsid w:val="004C1B36"/>
    <w:rsid w:val="004C235C"/>
    <w:rsid w:val="004C346A"/>
    <w:rsid w:val="004C3730"/>
    <w:rsid w:val="004C3AEC"/>
    <w:rsid w:val="004C42E2"/>
    <w:rsid w:val="004C4C7C"/>
    <w:rsid w:val="004C56E3"/>
    <w:rsid w:val="004C5E1F"/>
    <w:rsid w:val="004C675C"/>
    <w:rsid w:val="004C68A3"/>
    <w:rsid w:val="004C6B8C"/>
    <w:rsid w:val="004C6C54"/>
    <w:rsid w:val="004C73DA"/>
    <w:rsid w:val="004D019C"/>
    <w:rsid w:val="004D0314"/>
    <w:rsid w:val="004D044C"/>
    <w:rsid w:val="004D2387"/>
    <w:rsid w:val="004D3080"/>
    <w:rsid w:val="004D3982"/>
    <w:rsid w:val="004D43CE"/>
    <w:rsid w:val="004D4536"/>
    <w:rsid w:val="004D461B"/>
    <w:rsid w:val="004D4738"/>
    <w:rsid w:val="004D51D7"/>
    <w:rsid w:val="004D54C3"/>
    <w:rsid w:val="004D6200"/>
    <w:rsid w:val="004D6EAE"/>
    <w:rsid w:val="004D7B21"/>
    <w:rsid w:val="004E057E"/>
    <w:rsid w:val="004E1228"/>
    <w:rsid w:val="004E1DEE"/>
    <w:rsid w:val="004E1EA0"/>
    <w:rsid w:val="004E2792"/>
    <w:rsid w:val="004E2B1D"/>
    <w:rsid w:val="004E2DE6"/>
    <w:rsid w:val="004E39AC"/>
    <w:rsid w:val="004E3A8B"/>
    <w:rsid w:val="004E4E6A"/>
    <w:rsid w:val="004E565F"/>
    <w:rsid w:val="004E68E5"/>
    <w:rsid w:val="004E77DE"/>
    <w:rsid w:val="004E7BCD"/>
    <w:rsid w:val="004F04BC"/>
    <w:rsid w:val="004F06D5"/>
    <w:rsid w:val="004F08F6"/>
    <w:rsid w:val="004F1D3F"/>
    <w:rsid w:val="004F33F1"/>
    <w:rsid w:val="004F402F"/>
    <w:rsid w:val="004F45C8"/>
    <w:rsid w:val="004F4FD0"/>
    <w:rsid w:val="004F5C77"/>
    <w:rsid w:val="004F64F6"/>
    <w:rsid w:val="004F6DFF"/>
    <w:rsid w:val="004F7201"/>
    <w:rsid w:val="004F7C2E"/>
    <w:rsid w:val="005005EA"/>
    <w:rsid w:val="00500802"/>
    <w:rsid w:val="00500BA8"/>
    <w:rsid w:val="00500E1F"/>
    <w:rsid w:val="00501009"/>
    <w:rsid w:val="00501B08"/>
    <w:rsid w:val="00502146"/>
    <w:rsid w:val="005023FF"/>
    <w:rsid w:val="00503A7B"/>
    <w:rsid w:val="0050433D"/>
    <w:rsid w:val="00504D3E"/>
    <w:rsid w:val="0050525E"/>
    <w:rsid w:val="00505B50"/>
    <w:rsid w:val="00506021"/>
    <w:rsid w:val="0050650E"/>
    <w:rsid w:val="005068AF"/>
    <w:rsid w:val="00506EF0"/>
    <w:rsid w:val="005071B7"/>
    <w:rsid w:val="005074A8"/>
    <w:rsid w:val="005076B2"/>
    <w:rsid w:val="00507A07"/>
    <w:rsid w:val="00511209"/>
    <w:rsid w:val="0051121F"/>
    <w:rsid w:val="00512358"/>
    <w:rsid w:val="005124FD"/>
    <w:rsid w:val="00512741"/>
    <w:rsid w:val="00512897"/>
    <w:rsid w:val="005141B5"/>
    <w:rsid w:val="005146BF"/>
    <w:rsid w:val="00514D6A"/>
    <w:rsid w:val="00515237"/>
    <w:rsid w:val="00515984"/>
    <w:rsid w:val="00515A7E"/>
    <w:rsid w:val="00515D04"/>
    <w:rsid w:val="00515E0F"/>
    <w:rsid w:val="00515FCF"/>
    <w:rsid w:val="00516496"/>
    <w:rsid w:val="005165E3"/>
    <w:rsid w:val="005165FF"/>
    <w:rsid w:val="005172D5"/>
    <w:rsid w:val="005174D9"/>
    <w:rsid w:val="00517562"/>
    <w:rsid w:val="0051762E"/>
    <w:rsid w:val="00517866"/>
    <w:rsid w:val="00520D31"/>
    <w:rsid w:val="005224C7"/>
    <w:rsid w:val="00522BC0"/>
    <w:rsid w:val="0052307D"/>
    <w:rsid w:val="00523183"/>
    <w:rsid w:val="005231ED"/>
    <w:rsid w:val="00523230"/>
    <w:rsid w:val="005235D2"/>
    <w:rsid w:val="00523FBC"/>
    <w:rsid w:val="005240A0"/>
    <w:rsid w:val="005245C8"/>
    <w:rsid w:val="005246ED"/>
    <w:rsid w:val="00524818"/>
    <w:rsid w:val="00524819"/>
    <w:rsid w:val="00525AAE"/>
    <w:rsid w:val="00526728"/>
    <w:rsid w:val="00526F18"/>
    <w:rsid w:val="00530039"/>
    <w:rsid w:val="005300D8"/>
    <w:rsid w:val="00530A8F"/>
    <w:rsid w:val="00530F12"/>
    <w:rsid w:val="00531114"/>
    <w:rsid w:val="005315D2"/>
    <w:rsid w:val="00531809"/>
    <w:rsid w:val="00532FB5"/>
    <w:rsid w:val="00533005"/>
    <w:rsid w:val="0053482E"/>
    <w:rsid w:val="00534F68"/>
    <w:rsid w:val="0053542A"/>
    <w:rsid w:val="00535969"/>
    <w:rsid w:val="00535A73"/>
    <w:rsid w:val="005360A5"/>
    <w:rsid w:val="00536156"/>
    <w:rsid w:val="0053669B"/>
    <w:rsid w:val="0053719D"/>
    <w:rsid w:val="00537E88"/>
    <w:rsid w:val="0054196D"/>
    <w:rsid w:val="00541D7A"/>
    <w:rsid w:val="00541D95"/>
    <w:rsid w:val="00542647"/>
    <w:rsid w:val="00542F03"/>
    <w:rsid w:val="005434E4"/>
    <w:rsid w:val="00543A8C"/>
    <w:rsid w:val="0054454F"/>
    <w:rsid w:val="00545124"/>
    <w:rsid w:val="005456A7"/>
    <w:rsid w:val="00545A1B"/>
    <w:rsid w:val="00545C31"/>
    <w:rsid w:val="00545F6A"/>
    <w:rsid w:val="00546A2F"/>
    <w:rsid w:val="005470F2"/>
    <w:rsid w:val="00547A49"/>
    <w:rsid w:val="00547B98"/>
    <w:rsid w:val="00547E72"/>
    <w:rsid w:val="00551A79"/>
    <w:rsid w:val="00551CA3"/>
    <w:rsid w:val="00552060"/>
    <w:rsid w:val="00552E51"/>
    <w:rsid w:val="0055302A"/>
    <w:rsid w:val="005548BD"/>
    <w:rsid w:val="0055528A"/>
    <w:rsid w:val="00555CC5"/>
    <w:rsid w:val="00556220"/>
    <w:rsid w:val="00556F51"/>
    <w:rsid w:val="005604DB"/>
    <w:rsid w:val="0056172B"/>
    <w:rsid w:val="005625E3"/>
    <w:rsid w:val="00562B55"/>
    <w:rsid w:val="00562C7D"/>
    <w:rsid w:val="00562E21"/>
    <w:rsid w:val="00565321"/>
    <w:rsid w:val="00565AAF"/>
    <w:rsid w:val="00566127"/>
    <w:rsid w:val="00566B22"/>
    <w:rsid w:val="00566BE1"/>
    <w:rsid w:val="00567B2E"/>
    <w:rsid w:val="00567E89"/>
    <w:rsid w:val="00570CD0"/>
    <w:rsid w:val="00570CEB"/>
    <w:rsid w:val="00571843"/>
    <w:rsid w:val="005719A9"/>
    <w:rsid w:val="00572E1A"/>
    <w:rsid w:val="00573207"/>
    <w:rsid w:val="00573AC0"/>
    <w:rsid w:val="00573C51"/>
    <w:rsid w:val="0057494D"/>
    <w:rsid w:val="00575057"/>
    <w:rsid w:val="005755E0"/>
    <w:rsid w:val="0057565D"/>
    <w:rsid w:val="00576E1B"/>
    <w:rsid w:val="00576F3B"/>
    <w:rsid w:val="0057773B"/>
    <w:rsid w:val="00577905"/>
    <w:rsid w:val="0058050A"/>
    <w:rsid w:val="005819E9"/>
    <w:rsid w:val="005820E0"/>
    <w:rsid w:val="005828FF"/>
    <w:rsid w:val="00582C71"/>
    <w:rsid w:val="00582C8A"/>
    <w:rsid w:val="0058360C"/>
    <w:rsid w:val="00583EB8"/>
    <w:rsid w:val="005841B8"/>
    <w:rsid w:val="005846A2"/>
    <w:rsid w:val="0058475E"/>
    <w:rsid w:val="00584853"/>
    <w:rsid w:val="0058530A"/>
    <w:rsid w:val="00585661"/>
    <w:rsid w:val="005874C5"/>
    <w:rsid w:val="00587ADD"/>
    <w:rsid w:val="00587F36"/>
    <w:rsid w:val="005900D8"/>
    <w:rsid w:val="00590583"/>
    <w:rsid w:val="00590A19"/>
    <w:rsid w:val="00590D1A"/>
    <w:rsid w:val="00590D83"/>
    <w:rsid w:val="00591212"/>
    <w:rsid w:val="005913A2"/>
    <w:rsid w:val="005915CE"/>
    <w:rsid w:val="005917D3"/>
    <w:rsid w:val="005917E0"/>
    <w:rsid w:val="005918C1"/>
    <w:rsid w:val="0059200C"/>
    <w:rsid w:val="005923D1"/>
    <w:rsid w:val="005932C8"/>
    <w:rsid w:val="00593969"/>
    <w:rsid w:val="00593BBB"/>
    <w:rsid w:val="005943C9"/>
    <w:rsid w:val="00595226"/>
    <w:rsid w:val="00595469"/>
    <w:rsid w:val="005954EF"/>
    <w:rsid w:val="0059569C"/>
    <w:rsid w:val="00597E58"/>
    <w:rsid w:val="005A0B07"/>
    <w:rsid w:val="005A136E"/>
    <w:rsid w:val="005A161D"/>
    <w:rsid w:val="005A167D"/>
    <w:rsid w:val="005A17AB"/>
    <w:rsid w:val="005A19FF"/>
    <w:rsid w:val="005A2267"/>
    <w:rsid w:val="005A27DE"/>
    <w:rsid w:val="005A2B13"/>
    <w:rsid w:val="005A2DFE"/>
    <w:rsid w:val="005A330D"/>
    <w:rsid w:val="005A493B"/>
    <w:rsid w:val="005A5E49"/>
    <w:rsid w:val="005A62C6"/>
    <w:rsid w:val="005A65EA"/>
    <w:rsid w:val="005A7A71"/>
    <w:rsid w:val="005A7BAD"/>
    <w:rsid w:val="005B0B73"/>
    <w:rsid w:val="005B14AC"/>
    <w:rsid w:val="005B250A"/>
    <w:rsid w:val="005B297B"/>
    <w:rsid w:val="005B2A83"/>
    <w:rsid w:val="005B2F03"/>
    <w:rsid w:val="005B3779"/>
    <w:rsid w:val="005B3E30"/>
    <w:rsid w:val="005B3EC7"/>
    <w:rsid w:val="005B4902"/>
    <w:rsid w:val="005B4F5A"/>
    <w:rsid w:val="005B51D0"/>
    <w:rsid w:val="005B62AC"/>
    <w:rsid w:val="005B6BDF"/>
    <w:rsid w:val="005B6D12"/>
    <w:rsid w:val="005B6F4F"/>
    <w:rsid w:val="005B7B62"/>
    <w:rsid w:val="005B7E63"/>
    <w:rsid w:val="005C06D2"/>
    <w:rsid w:val="005C1800"/>
    <w:rsid w:val="005C1DFB"/>
    <w:rsid w:val="005C2489"/>
    <w:rsid w:val="005C24C2"/>
    <w:rsid w:val="005C2747"/>
    <w:rsid w:val="005C29DE"/>
    <w:rsid w:val="005C37FA"/>
    <w:rsid w:val="005C3839"/>
    <w:rsid w:val="005C3AEC"/>
    <w:rsid w:val="005C40E4"/>
    <w:rsid w:val="005C4EC6"/>
    <w:rsid w:val="005C5076"/>
    <w:rsid w:val="005C5627"/>
    <w:rsid w:val="005C6378"/>
    <w:rsid w:val="005C6DE8"/>
    <w:rsid w:val="005D0940"/>
    <w:rsid w:val="005D0BDD"/>
    <w:rsid w:val="005D0EA3"/>
    <w:rsid w:val="005D15D0"/>
    <w:rsid w:val="005D19BA"/>
    <w:rsid w:val="005D3D68"/>
    <w:rsid w:val="005D4F0E"/>
    <w:rsid w:val="005D5561"/>
    <w:rsid w:val="005D5A37"/>
    <w:rsid w:val="005D5B9C"/>
    <w:rsid w:val="005D5DF1"/>
    <w:rsid w:val="005D6546"/>
    <w:rsid w:val="005D6D29"/>
    <w:rsid w:val="005D7344"/>
    <w:rsid w:val="005E0DC0"/>
    <w:rsid w:val="005E1106"/>
    <w:rsid w:val="005E11B4"/>
    <w:rsid w:val="005E237F"/>
    <w:rsid w:val="005E2674"/>
    <w:rsid w:val="005E29A2"/>
    <w:rsid w:val="005E2E1C"/>
    <w:rsid w:val="005E3EB9"/>
    <w:rsid w:val="005E4794"/>
    <w:rsid w:val="005E5444"/>
    <w:rsid w:val="005E773B"/>
    <w:rsid w:val="005E7E63"/>
    <w:rsid w:val="005E7EDF"/>
    <w:rsid w:val="005F06D5"/>
    <w:rsid w:val="005F0871"/>
    <w:rsid w:val="005F0AFF"/>
    <w:rsid w:val="005F1163"/>
    <w:rsid w:val="005F1509"/>
    <w:rsid w:val="005F2075"/>
    <w:rsid w:val="005F226D"/>
    <w:rsid w:val="005F284F"/>
    <w:rsid w:val="005F2A40"/>
    <w:rsid w:val="005F2C0C"/>
    <w:rsid w:val="005F2FBF"/>
    <w:rsid w:val="005F393A"/>
    <w:rsid w:val="005F3BA5"/>
    <w:rsid w:val="005F4284"/>
    <w:rsid w:val="005F44D0"/>
    <w:rsid w:val="005F4C5A"/>
    <w:rsid w:val="005F4D91"/>
    <w:rsid w:val="005F4DF6"/>
    <w:rsid w:val="005F4FBC"/>
    <w:rsid w:val="005F5EF1"/>
    <w:rsid w:val="005F6270"/>
    <w:rsid w:val="005F668B"/>
    <w:rsid w:val="005F6AC1"/>
    <w:rsid w:val="005F6AE1"/>
    <w:rsid w:val="005F6F26"/>
    <w:rsid w:val="005F7122"/>
    <w:rsid w:val="005F713A"/>
    <w:rsid w:val="005F7A77"/>
    <w:rsid w:val="005F7DA5"/>
    <w:rsid w:val="00600E91"/>
    <w:rsid w:val="006010E8"/>
    <w:rsid w:val="0060156C"/>
    <w:rsid w:val="0060171A"/>
    <w:rsid w:val="00601CBD"/>
    <w:rsid w:val="006028B8"/>
    <w:rsid w:val="00603019"/>
    <w:rsid w:val="006036C4"/>
    <w:rsid w:val="00603DF6"/>
    <w:rsid w:val="006044E8"/>
    <w:rsid w:val="006050B0"/>
    <w:rsid w:val="006052FC"/>
    <w:rsid w:val="006064B7"/>
    <w:rsid w:val="0060675C"/>
    <w:rsid w:val="00606A59"/>
    <w:rsid w:val="00606A66"/>
    <w:rsid w:val="0060787A"/>
    <w:rsid w:val="00610EAB"/>
    <w:rsid w:val="00611413"/>
    <w:rsid w:val="00611E75"/>
    <w:rsid w:val="00612337"/>
    <w:rsid w:val="00612472"/>
    <w:rsid w:val="00613113"/>
    <w:rsid w:val="0061335C"/>
    <w:rsid w:val="00614DCB"/>
    <w:rsid w:val="00615098"/>
    <w:rsid w:val="00615820"/>
    <w:rsid w:val="00615C77"/>
    <w:rsid w:val="00616104"/>
    <w:rsid w:val="006166BF"/>
    <w:rsid w:val="00616D8E"/>
    <w:rsid w:val="00616E3A"/>
    <w:rsid w:val="00616E59"/>
    <w:rsid w:val="006209BD"/>
    <w:rsid w:val="00621FE7"/>
    <w:rsid w:val="00622551"/>
    <w:rsid w:val="00622F8A"/>
    <w:rsid w:val="006231A3"/>
    <w:rsid w:val="00623CE7"/>
    <w:rsid w:val="00625001"/>
    <w:rsid w:val="0062548D"/>
    <w:rsid w:val="006263C0"/>
    <w:rsid w:val="00626ACD"/>
    <w:rsid w:val="006270D7"/>
    <w:rsid w:val="0063082D"/>
    <w:rsid w:val="0063104D"/>
    <w:rsid w:val="0063197C"/>
    <w:rsid w:val="00632CC4"/>
    <w:rsid w:val="006330AA"/>
    <w:rsid w:val="006339F4"/>
    <w:rsid w:val="00633A29"/>
    <w:rsid w:val="00633EB2"/>
    <w:rsid w:val="0063518C"/>
    <w:rsid w:val="00635241"/>
    <w:rsid w:val="00635667"/>
    <w:rsid w:val="00635701"/>
    <w:rsid w:val="006358F4"/>
    <w:rsid w:val="00635EB1"/>
    <w:rsid w:val="0063710A"/>
    <w:rsid w:val="0063786C"/>
    <w:rsid w:val="00637EDC"/>
    <w:rsid w:val="00640050"/>
    <w:rsid w:val="00640145"/>
    <w:rsid w:val="006409E6"/>
    <w:rsid w:val="006410B7"/>
    <w:rsid w:val="00641D64"/>
    <w:rsid w:val="00641E93"/>
    <w:rsid w:val="00643120"/>
    <w:rsid w:val="006433A1"/>
    <w:rsid w:val="00643EBB"/>
    <w:rsid w:val="00643FCB"/>
    <w:rsid w:val="00644F2C"/>
    <w:rsid w:val="00645F24"/>
    <w:rsid w:val="00646219"/>
    <w:rsid w:val="00646D37"/>
    <w:rsid w:val="00647014"/>
    <w:rsid w:val="00647519"/>
    <w:rsid w:val="00647636"/>
    <w:rsid w:val="00647653"/>
    <w:rsid w:val="0064788A"/>
    <w:rsid w:val="00651908"/>
    <w:rsid w:val="006519AA"/>
    <w:rsid w:val="006520F1"/>
    <w:rsid w:val="00652501"/>
    <w:rsid w:val="00653344"/>
    <w:rsid w:val="00653703"/>
    <w:rsid w:val="00655443"/>
    <w:rsid w:val="00655A6E"/>
    <w:rsid w:val="006574E6"/>
    <w:rsid w:val="00657C55"/>
    <w:rsid w:val="00660815"/>
    <w:rsid w:val="00660954"/>
    <w:rsid w:val="006614A5"/>
    <w:rsid w:val="00661E54"/>
    <w:rsid w:val="006620B0"/>
    <w:rsid w:val="00662B70"/>
    <w:rsid w:val="00663F05"/>
    <w:rsid w:val="00664A68"/>
    <w:rsid w:val="0066535E"/>
    <w:rsid w:val="00665CFD"/>
    <w:rsid w:val="00665ECB"/>
    <w:rsid w:val="006663F8"/>
    <w:rsid w:val="00666B1D"/>
    <w:rsid w:val="00666D83"/>
    <w:rsid w:val="00666E15"/>
    <w:rsid w:val="00667225"/>
    <w:rsid w:val="006672F1"/>
    <w:rsid w:val="006717B5"/>
    <w:rsid w:val="006719FB"/>
    <w:rsid w:val="00672F99"/>
    <w:rsid w:val="00673386"/>
    <w:rsid w:val="0067349C"/>
    <w:rsid w:val="00673C5F"/>
    <w:rsid w:val="006746F6"/>
    <w:rsid w:val="006748A7"/>
    <w:rsid w:val="00675E8B"/>
    <w:rsid w:val="00676221"/>
    <w:rsid w:val="00676A0A"/>
    <w:rsid w:val="00677367"/>
    <w:rsid w:val="00677DB3"/>
    <w:rsid w:val="006800FC"/>
    <w:rsid w:val="00680EC3"/>
    <w:rsid w:val="00681671"/>
    <w:rsid w:val="006824CE"/>
    <w:rsid w:val="0068274A"/>
    <w:rsid w:val="006829FB"/>
    <w:rsid w:val="00682FF3"/>
    <w:rsid w:val="006842C0"/>
    <w:rsid w:val="00685BF4"/>
    <w:rsid w:val="006866FB"/>
    <w:rsid w:val="00686C4E"/>
    <w:rsid w:val="00686E04"/>
    <w:rsid w:val="00687974"/>
    <w:rsid w:val="00691CB6"/>
    <w:rsid w:val="00691D79"/>
    <w:rsid w:val="0069259C"/>
    <w:rsid w:val="006934C7"/>
    <w:rsid w:val="006936E7"/>
    <w:rsid w:val="00693D72"/>
    <w:rsid w:val="00693F20"/>
    <w:rsid w:val="006951B5"/>
    <w:rsid w:val="00695ACE"/>
    <w:rsid w:val="00696C8A"/>
    <w:rsid w:val="0069718C"/>
    <w:rsid w:val="00697564"/>
    <w:rsid w:val="00697672"/>
    <w:rsid w:val="00697674"/>
    <w:rsid w:val="00697B59"/>
    <w:rsid w:val="00697EC2"/>
    <w:rsid w:val="00697F36"/>
    <w:rsid w:val="006A0073"/>
    <w:rsid w:val="006A0394"/>
    <w:rsid w:val="006A0727"/>
    <w:rsid w:val="006A07BD"/>
    <w:rsid w:val="006A1D18"/>
    <w:rsid w:val="006A30B0"/>
    <w:rsid w:val="006A3489"/>
    <w:rsid w:val="006A3946"/>
    <w:rsid w:val="006A3D4E"/>
    <w:rsid w:val="006A3E5E"/>
    <w:rsid w:val="006A486A"/>
    <w:rsid w:val="006A4F6E"/>
    <w:rsid w:val="006A5590"/>
    <w:rsid w:val="006A580E"/>
    <w:rsid w:val="006A5F9C"/>
    <w:rsid w:val="006A68BA"/>
    <w:rsid w:val="006A6F47"/>
    <w:rsid w:val="006A7130"/>
    <w:rsid w:val="006A7305"/>
    <w:rsid w:val="006A75E1"/>
    <w:rsid w:val="006A761D"/>
    <w:rsid w:val="006A7B74"/>
    <w:rsid w:val="006B0A00"/>
    <w:rsid w:val="006B0A72"/>
    <w:rsid w:val="006B0AC2"/>
    <w:rsid w:val="006B0B5F"/>
    <w:rsid w:val="006B1E3A"/>
    <w:rsid w:val="006B2498"/>
    <w:rsid w:val="006B2C44"/>
    <w:rsid w:val="006B3769"/>
    <w:rsid w:val="006B3FA1"/>
    <w:rsid w:val="006B42DA"/>
    <w:rsid w:val="006B4466"/>
    <w:rsid w:val="006B47DE"/>
    <w:rsid w:val="006B4EC9"/>
    <w:rsid w:val="006B5093"/>
    <w:rsid w:val="006B544E"/>
    <w:rsid w:val="006B54E6"/>
    <w:rsid w:val="006B5640"/>
    <w:rsid w:val="006B59C3"/>
    <w:rsid w:val="006B5F7A"/>
    <w:rsid w:val="006B616F"/>
    <w:rsid w:val="006B6D92"/>
    <w:rsid w:val="006B76A9"/>
    <w:rsid w:val="006B7907"/>
    <w:rsid w:val="006C119B"/>
    <w:rsid w:val="006C11AA"/>
    <w:rsid w:val="006C129E"/>
    <w:rsid w:val="006C1519"/>
    <w:rsid w:val="006C1D3B"/>
    <w:rsid w:val="006C2328"/>
    <w:rsid w:val="006C2804"/>
    <w:rsid w:val="006C2932"/>
    <w:rsid w:val="006C2CF5"/>
    <w:rsid w:val="006C31C2"/>
    <w:rsid w:val="006C372C"/>
    <w:rsid w:val="006C3A9F"/>
    <w:rsid w:val="006C43E7"/>
    <w:rsid w:val="006C46E2"/>
    <w:rsid w:val="006C4903"/>
    <w:rsid w:val="006C4BAB"/>
    <w:rsid w:val="006C507E"/>
    <w:rsid w:val="006C5B9D"/>
    <w:rsid w:val="006C6169"/>
    <w:rsid w:val="006C6DE9"/>
    <w:rsid w:val="006C757A"/>
    <w:rsid w:val="006C7622"/>
    <w:rsid w:val="006D06B7"/>
    <w:rsid w:val="006D0C72"/>
    <w:rsid w:val="006D1049"/>
    <w:rsid w:val="006D2C64"/>
    <w:rsid w:val="006D3289"/>
    <w:rsid w:val="006D46E9"/>
    <w:rsid w:val="006D7019"/>
    <w:rsid w:val="006D72FE"/>
    <w:rsid w:val="006D7337"/>
    <w:rsid w:val="006D77B0"/>
    <w:rsid w:val="006D7CF4"/>
    <w:rsid w:val="006E008C"/>
    <w:rsid w:val="006E0351"/>
    <w:rsid w:val="006E0C76"/>
    <w:rsid w:val="006E0DBF"/>
    <w:rsid w:val="006E0E00"/>
    <w:rsid w:val="006E0E7C"/>
    <w:rsid w:val="006E1A5F"/>
    <w:rsid w:val="006E1E45"/>
    <w:rsid w:val="006E268D"/>
    <w:rsid w:val="006E28BF"/>
    <w:rsid w:val="006E2919"/>
    <w:rsid w:val="006E3132"/>
    <w:rsid w:val="006E42BB"/>
    <w:rsid w:val="006E4310"/>
    <w:rsid w:val="006E4EFA"/>
    <w:rsid w:val="006E52BC"/>
    <w:rsid w:val="006E6057"/>
    <w:rsid w:val="006E6340"/>
    <w:rsid w:val="006E6423"/>
    <w:rsid w:val="006E6627"/>
    <w:rsid w:val="006E7827"/>
    <w:rsid w:val="006E7D5E"/>
    <w:rsid w:val="006E7E9F"/>
    <w:rsid w:val="006E7EC0"/>
    <w:rsid w:val="006F0C39"/>
    <w:rsid w:val="006F0E56"/>
    <w:rsid w:val="006F147B"/>
    <w:rsid w:val="006F16FE"/>
    <w:rsid w:val="006F21FD"/>
    <w:rsid w:val="006F264E"/>
    <w:rsid w:val="006F3147"/>
    <w:rsid w:val="006F338F"/>
    <w:rsid w:val="006F356D"/>
    <w:rsid w:val="006F37D8"/>
    <w:rsid w:val="006F4AEC"/>
    <w:rsid w:val="006F4C6A"/>
    <w:rsid w:val="006F4E8B"/>
    <w:rsid w:val="006F4EA0"/>
    <w:rsid w:val="006F520B"/>
    <w:rsid w:val="006F5A41"/>
    <w:rsid w:val="006F5C0C"/>
    <w:rsid w:val="006F6338"/>
    <w:rsid w:val="006F63CC"/>
    <w:rsid w:val="006F69CA"/>
    <w:rsid w:val="006F6C89"/>
    <w:rsid w:val="006F70BE"/>
    <w:rsid w:val="007003AC"/>
    <w:rsid w:val="00701B2D"/>
    <w:rsid w:val="00701F7D"/>
    <w:rsid w:val="00702058"/>
    <w:rsid w:val="00702C34"/>
    <w:rsid w:val="00703030"/>
    <w:rsid w:val="00703CF2"/>
    <w:rsid w:val="007040D6"/>
    <w:rsid w:val="007041A8"/>
    <w:rsid w:val="00704A13"/>
    <w:rsid w:val="00705476"/>
    <w:rsid w:val="007056B6"/>
    <w:rsid w:val="00705DD9"/>
    <w:rsid w:val="00706D18"/>
    <w:rsid w:val="00710391"/>
    <w:rsid w:val="00710992"/>
    <w:rsid w:val="00711072"/>
    <w:rsid w:val="00711073"/>
    <w:rsid w:val="0071129F"/>
    <w:rsid w:val="00711F35"/>
    <w:rsid w:val="00711FD8"/>
    <w:rsid w:val="00712671"/>
    <w:rsid w:val="00712F33"/>
    <w:rsid w:val="00713945"/>
    <w:rsid w:val="007139A6"/>
    <w:rsid w:val="00713CAB"/>
    <w:rsid w:val="0071415D"/>
    <w:rsid w:val="00715372"/>
    <w:rsid w:val="0071630D"/>
    <w:rsid w:val="00716628"/>
    <w:rsid w:val="00716F9C"/>
    <w:rsid w:val="0072008E"/>
    <w:rsid w:val="007204AD"/>
    <w:rsid w:val="007207FD"/>
    <w:rsid w:val="00720A4D"/>
    <w:rsid w:val="00720AF7"/>
    <w:rsid w:val="00720E70"/>
    <w:rsid w:val="007215C1"/>
    <w:rsid w:val="007224FC"/>
    <w:rsid w:val="00722D15"/>
    <w:rsid w:val="00723194"/>
    <w:rsid w:val="00725520"/>
    <w:rsid w:val="007264ED"/>
    <w:rsid w:val="00726507"/>
    <w:rsid w:val="00726591"/>
    <w:rsid w:val="00726A9C"/>
    <w:rsid w:val="00726E42"/>
    <w:rsid w:val="00726F42"/>
    <w:rsid w:val="00727040"/>
    <w:rsid w:val="007276CE"/>
    <w:rsid w:val="00727767"/>
    <w:rsid w:val="007277A6"/>
    <w:rsid w:val="007302E0"/>
    <w:rsid w:val="007306F3"/>
    <w:rsid w:val="00730967"/>
    <w:rsid w:val="00730C5C"/>
    <w:rsid w:val="00731E5F"/>
    <w:rsid w:val="00733131"/>
    <w:rsid w:val="00733EFF"/>
    <w:rsid w:val="00734040"/>
    <w:rsid w:val="007340D5"/>
    <w:rsid w:val="0073441A"/>
    <w:rsid w:val="007346B3"/>
    <w:rsid w:val="00734AE6"/>
    <w:rsid w:val="00734F4F"/>
    <w:rsid w:val="00735DD3"/>
    <w:rsid w:val="00736238"/>
    <w:rsid w:val="00737A88"/>
    <w:rsid w:val="00737FC9"/>
    <w:rsid w:val="00740B7E"/>
    <w:rsid w:val="00742071"/>
    <w:rsid w:val="0074276C"/>
    <w:rsid w:val="00742CC1"/>
    <w:rsid w:val="00742D76"/>
    <w:rsid w:val="00742EF9"/>
    <w:rsid w:val="007443D3"/>
    <w:rsid w:val="00745008"/>
    <w:rsid w:val="00745D7D"/>
    <w:rsid w:val="0074636A"/>
    <w:rsid w:val="007466B6"/>
    <w:rsid w:val="00746B82"/>
    <w:rsid w:val="00747F31"/>
    <w:rsid w:val="00750268"/>
    <w:rsid w:val="00750344"/>
    <w:rsid w:val="007504DC"/>
    <w:rsid w:val="00750C22"/>
    <w:rsid w:val="0075115E"/>
    <w:rsid w:val="00751430"/>
    <w:rsid w:val="007525A1"/>
    <w:rsid w:val="00753036"/>
    <w:rsid w:val="0075363C"/>
    <w:rsid w:val="007549D4"/>
    <w:rsid w:val="00755649"/>
    <w:rsid w:val="00755A07"/>
    <w:rsid w:val="0075647A"/>
    <w:rsid w:val="00756877"/>
    <w:rsid w:val="00757C6E"/>
    <w:rsid w:val="00757CBE"/>
    <w:rsid w:val="007610DB"/>
    <w:rsid w:val="007626AB"/>
    <w:rsid w:val="007635A0"/>
    <w:rsid w:val="00763BCB"/>
    <w:rsid w:val="007646C9"/>
    <w:rsid w:val="00764EFA"/>
    <w:rsid w:val="00765A09"/>
    <w:rsid w:val="00765F26"/>
    <w:rsid w:val="007679F9"/>
    <w:rsid w:val="007702DF"/>
    <w:rsid w:val="00770557"/>
    <w:rsid w:val="0077085F"/>
    <w:rsid w:val="007709A7"/>
    <w:rsid w:val="00770BCF"/>
    <w:rsid w:val="0077125B"/>
    <w:rsid w:val="00772912"/>
    <w:rsid w:val="0077297C"/>
    <w:rsid w:val="0077303F"/>
    <w:rsid w:val="007734C8"/>
    <w:rsid w:val="007743A2"/>
    <w:rsid w:val="00774630"/>
    <w:rsid w:val="00775CF0"/>
    <w:rsid w:val="007767DA"/>
    <w:rsid w:val="0077684F"/>
    <w:rsid w:val="007775AB"/>
    <w:rsid w:val="00780DA3"/>
    <w:rsid w:val="00780EE7"/>
    <w:rsid w:val="00781762"/>
    <w:rsid w:val="00782177"/>
    <w:rsid w:val="00782650"/>
    <w:rsid w:val="00783560"/>
    <w:rsid w:val="00783E1C"/>
    <w:rsid w:val="007843A4"/>
    <w:rsid w:val="00786EEE"/>
    <w:rsid w:val="007870C6"/>
    <w:rsid w:val="00787350"/>
    <w:rsid w:val="00787537"/>
    <w:rsid w:val="00787C80"/>
    <w:rsid w:val="00790458"/>
    <w:rsid w:val="0079048A"/>
    <w:rsid w:val="007907B1"/>
    <w:rsid w:val="00790A8C"/>
    <w:rsid w:val="007922C2"/>
    <w:rsid w:val="00792666"/>
    <w:rsid w:val="00792AAE"/>
    <w:rsid w:val="00793D12"/>
    <w:rsid w:val="00794E87"/>
    <w:rsid w:val="00795B67"/>
    <w:rsid w:val="00796181"/>
    <w:rsid w:val="00796762"/>
    <w:rsid w:val="0079715D"/>
    <w:rsid w:val="007973E1"/>
    <w:rsid w:val="007A0E31"/>
    <w:rsid w:val="007A22E6"/>
    <w:rsid w:val="007A24CB"/>
    <w:rsid w:val="007A32F8"/>
    <w:rsid w:val="007A3700"/>
    <w:rsid w:val="007A3712"/>
    <w:rsid w:val="007A37D1"/>
    <w:rsid w:val="007A49CC"/>
    <w:rsid w:val="007A4BD4"/>
    <w:rsid w:val="007A513A"/>
    <w:rsid w:val="007A5A6B"/>
    <w:rsid w:val="007A5E4F"/>
    <w:rsid w:val="007A63E7"/>
    <w:rsid w:val="007A66F6"/>
    <w:rsid w:val="007A6EA5"/>
    <w:rsid w:val="007A717E"/>
    <w:rsid w:val="007A7554"/>
    <w:rsid w:val="007A75F3"/>
    <w:rsid w:val="007B0BBC"/>
    <w:rsid w:val="007B0C24"/>
    <w:rsid w:val="007B0EC5"/>
    <w:rsid w:val="007B1009"/>
    <w:rsid w:val="007B1108"/>
    <w:rsid w:val="007B2625"/>
    <w:rsid w:val="007B2C12"/>
    <w:rsid w:val="007B2E2E"/>
    <w:rsid w:val="007B35B5"/>
    <w:rsid w:val="007B3642"/>
    <w:rsid w:val="007B38D8"/>
    <w:rsid w:val="007B3AE1"/>
    <w:rsid w:val="007B4CFD"/>
    <w:rsid w:val="007B4E15"/>
    <w:rsid w:val="007B50BB"/>
    <w:rsid w:val="007B50C8"/>
    <w:rsid w:val="007B520E"/>
    <w:rsid w:val="007B54B9"/>
    <w:rsid w:val="007B5600"/>
    <w:rsid w:val="007B5CD9"/>
    <w:rsid w:val="007B60E5"/>
    <w:rsid w:val="007C0ACC"/>
    <w:rsid w:val="007C0C09"/>
    <w:rsid w:val="007C0E23"/>
    <w:rsid w:val="007C0EFE"/>
    <w:rsid w:val="007C127E"/>
    <w:rsid w:val="007C1C12"/>
    <w:rsid w:val="007C21F1"/>
    <w:rsid w:val="007C26DD"/>
    <w:rsid w:val="007C2ADB"/>
    <w:rsid w:val="007C2F16"/>
    <w:rsid w:val="007C302D"/>
    <w:rsid w:val="007C32BF"/>
    <w:rsid w:val="007C518E"/>
    <w:rsid w:val="007C6518"/>
    <w:rsid w:val="007C7149"/>
    <w:rsid w:val="007D02A7"/>
    <w:rsid w:val="007D0A93"/>
    <w:rsid w:val="007D25E7"/>
    <w:rsid w:val="007D2986"/>
    <w:rsid w:val="007D362F"/>
    <w:rsid w:val="007D3DB7"/>
    <w:rsid w:val="007D3FE4"/>
    <w:rsid w:val="007D40AD"/>
    <w:rsid w:val="007D4A43"/>
    <w:rsid w:val="007D591E"/>
    <w:rsid w:val="007D593D"/>
    <w:rsid w:val="007D5A04"/>
    <w:rsid w:val="007D5E98"/>
    <w:rsid w:val="007D6057"/>
    <w:rsid w:val="007D76FC"/>
    <w:rsid w:val="007E01C6"/>
    <w:rsid w:val="007E1F1E"/>
    <w:rsid w:val="007E2016"/>
    <w:rsid w:val="007E26E9"/>
    <w:rsid w:val="007E2C77"/>
    <w:rsid w:val="007E3793"/>
    <w:rsid w:val="007E4426"/>
    <w:rsid w:val="007E4AFF"/>
    <w:rsid w:val="007E5BB2"/>
    <w:rsid w:val="007E6228"/>
    <w:rsid w:val="007E6C9C"/>
    <w:rsid w:val="007E6FC6"/>
    <w:rsid w:val="007E7EAB"/>
    <w:rsid w:val="007E7FC5"/>
    <w:rsid w:val="007F00EB"/>
    <w:rsid w:val="007F02BE"/>
    <w:rsid w:val="007F0776"/>
    <w:rsid w:val="007F12C7"/>
    <w:rsid w:val="007F12F8"/>
    <w:rsid w:val="007F13E1"/>
    <w:rsid w:val="007F13FE"/>
    <w:rsid w:val="007F16E1"/>
    <w:rsid w:val="007F1FA8"/>
    <w:rsid w:val="007F2687"/>
    <w:rsid w:val="007F2864"/>
    <w:rsid w:val="007F2877"/>
    <w:rsid w:val="007F37AE"/>
    <w:rsid w:val="007F3D8C"/>
    <w:rsid w:val="007F40D3"/>
    <w:rsid w:val="007F479A"/>
    <w:rsid w:val="007F48EC"/>
    <w:rsid w:val="007F610A"/>
    <w:rsid w:val="007F71FB"/>
    <w:rsid w:val="00801257"/>
    <w:rsid w:val="00801656"/>
    <w:rsid w:val="008017B6"/>
    <w:rsid w:val="00801B13"/>
    <w:rsid w:val="00802022"/>
    <w:rsid w:val="00802050"/>
    <w:rsid w:val="00802142"/>
    <w:rsid w:val="00802625"/>
    <w:rsid w:val="008029CC"/>
    <w:rsid w:val="008030D2"/>
    <w:rsid w:val="008032C0"/>
    <w:rsid w:val="008041C8"/>
    <w:rsid w:val="00804A65"/>
    <w:rsid w:val="008053DD"/>
    <w:rsid w:val="0080608A"/>
    <w:rsid w:val="0080625F"/>
    <w:rsid w:val="00807308"/>
    <w:rsid w:val="00807B65"/>
    <w:rsid w:val="00807E49"/>
    <w:rsid w:val="008109A2"/>
    <w:rsid w:val="00810E03"/>
    <w:rsid w:val="00810EB1"/>
    <w:rsid w:val="0081134F"/>
    <w:rsid w:val="00811384"/>
    <w:rsid w:val="008121FA"/>
    <w:rsid w:val="008126C1"/>
    <w:rsid w:val="00813671"/>
    <w:rsid w:val="00813CAC"/>
    <w:rsid w:val="00814799"/>
    <w:rsid w:val="00814974"/>
    <w:rsid w:val="00814B22"/>
    <w:rsid w:val="00815E1F"/>
    <w:rsid w:val="00817948"/>
    <w:rsid w:val="00817D67"/>
    <w:rsid w:val="0082022E"/>
    <w:rsid w:val="00820B6D"/>
    <w:rsid w:val="00821009"/>
    <w:rsid w:val="0082112D"/>
    <w:rsid w:val="00821752"/>
    <w:rsid w:val="008218D0"/>
    <w:rsid w:val="00821C83"/>
    <w:rsid w:val="00821D9F"/>
    <w:rsid w:val="00821E85"/>
    <w:rsid w:val="008224F2"/>
    <w:rsid w:val="008225C8"/>
    <w:rsid w:val="00823331"/>
    <w:rsid w:val="00823561"/>
    <w:rsid w:val="00824226"/>
    <w:rsid w:val="008245C7"/>
    <w:rsid w:val="008258F4"/>
    <w:rsid w:val="00825C4D"/>
    <w:rsid w:val="00825CA5"/>
    <w:rsid w:val="00826419"/>
    <w:rsid w:val="00826733"/>
    <w:rsid w:val="00827106"/>
    <w:rsid w:val="008279F8"/>
    <w:rsid w:val="00827C37"/>
    <w:rsid w:val="00827CED"/>
    <w:rsid w:val="008301B0"/>
    <w:rsid w:val="00830AAA"/>
    <w:rsid w:val="00831C20"/>
    <w:rsid w:val="00832507"/>
    <w:rsid w:val="0083289C"/>
    <w:rsid w:val="00832EF6"/>
    <w:rsid w:val="00832F60"/>
    <w:rsid w:val="0083354A"/>
    <w:rsid w:val="00833887"/>
    <w:rsid w:val="00833A77"/>
    <w:rsid w:val="00835480"/>
    <w:rsid w:val="00835A83"/>
    <w:rsid w:val="008368B4"/>
    <w:rsid w:val="00836E37"/>
    <w:rsid w:val="00841F3C"/>
    <w:rsid w:val="008428FF"/>
    <w:rsid w:val="00842F28"/>
    <w:rsid w:val="00842F38"/>
    <w:rsid w:val="00843894"/>
    <w:rsid w:val="0084424F"/>
    <w:rsid w:val="00844F98"/>
    <w:rsid w:val="00845C9A"/>
    <w:rsid w:val="00845E9D"/>
    <w:rsid w:val="00845EF1"/>
    <w:rsid w:val="00850E5D"/>
    <w:rsid w:val="00851CC6"/>
    <w:rsid w:val="00852809"/>
    <w:rsid w:val="00853FAD"/>
    <w:rsid w:val="008542C6"/>
    <w:rsid w:val="00854F73"/>
    <w:rsid w:val="00855EC1"/>
    <w:rsid w:val="0085785B"/>
    <w:rsid w:val="00857C64"/>
    <w:rsid w:val="008607E1"/>
    <w:rsid w:val="008608E9"/>
    <w:rsid w:val="00860AF1"/>
    <w:rsid w:val="00860E3B"/>
    <w:rsid w:val="008611A7"/>
    <w:rsid w:val="00861560"/>
    <w:rsid w:val="008619E0"/>
    <w:rsid w:val="0086209C"/>
    <w:rsid w:val="008620AB"/>
    <w:rsid w:val="00862963"/>
    <w:rsid w:val="008629CD"/>
    <w:rsid w:val="00862E2F"/>
    <w:rsid w:val="00863C25"/>
    <w:rsid w:val="00863FAC"/>
    <w:rsid w:val="008653BF"/>
    <w:rsid w:val="00865554"/>
    <w:rsid w:val="008668BF"/>
    <w:rsid w:val="00867AD1"/>
    <w:rsid w:val="00870738"/>
    <w:rsid w:val="008709EC"/>
    <w:rsid w:val="00870CA3"/>
    <w:rsid w:val="00870DEB"/>
    <w:rsid w:val="00870E33"/>
    <w:rsid w:val="00871E4E"/>
    <w:rsid w:val="00872557"/>
    <w:rsid w:val="00872AF9"/>
    <w:rsid w:val="00872B80"/>
    <w:rsid w:val="008745AB"/>
    <w:rsid w:val="00875430"/>
    <w:rsid w:val="008756F2"/>
    <w:rsid w:val="00875A1D"/>
    <w:rsid w:val="0087659E"/>
    <w:rsid w:val="00881937"/>
    <w:rsid w:val="00881A03"/>
    <w:rsid w:val="0088202A"/>
    <w:rsid w:val="00882123"/>
    <w:rsid w:val="0088290E"/>
    <w:rsid w:val="00882C55"/>
    <w:rsid w:val="00882FF4"/>
    <w:rsid w:val="00883BAE"/>
    <w:rsid w:val="00885676"/>
    <w:rsid w:val="0088572B"/>
    <w:rsid w:val="00886ABB"/>
    <w:rsid w:val="00886BD6"/>
    <w:rsid w:val="00887417"/>
    <w:rsid w:val="00887830"/>
    <w:rsid w:val="0089029B"/>
    <w:rsid w:val="00890D39"/>
    <w:rsid w:val="00890DAE"/>
    <w:rsid w:val="00891508"/>
    <w:rsid w:val="008915E8"/>
    <w:rsid w:val="0089163A"/>
    <w:rsid w:val="00891A88"/>
    <w:rsid w:val="00891F5E"/>
    <w:rsid w:val="0089257D"/>
    <w:rsid w:val="00892B6A"/>
    <w:rsid w:val="00892DDE"/>
    <w:rsid w:val="00892E3F"/>
    <w:rsid w:val="008937C6"/>
    <w:rsid w:val="00894218"/>
    <w:rsid w:val="00894393"/>
    <w:rsid w:val="00894AAA"/>
    <w:rsid w:val="00895BFA"/>
    <w:rsid w:val="0089622B"/>
    <w:rsid w:val="00896723"/>
    <w:rsid w:val="0089736A"/>
    <w:rsid w:val="00897544"/>
    <w:rsid w:val="008978DF"/>
    <w:rsid w:val="00897916"/>
    <w:rsid w:val="0089798D"/>
    <w:rsid w:val="008979CA"/>
    <w:rsid w:val="008A0213"/>
    <w:rsid w:val="008A1515"/>
    <w:rsid w:val="008A2685"/>
    <w:rsid w:val="008A3012"/>
    <w:rsid w:val="008A3784"/>
    <w:rsid w:val="008A3A57"/>
    <w:rsid w:val="008A3C65"/>
    <w:rsid w:val="008A3C9E"/>
    <w:rsid w:val="008A3D6E"/>
    <w:rsid w:val="008A3EB1"/>
    <w:rsid w:val="008A4063"/>
    <w:rsid w:val="008A4301"/>
    <w:rsid w:val="008A4411"/>
    <w:rsid w:val="008A455C"/>
    <w:rsid w:val="008A4BCE"/>
    <w:rsid w:val="008A6382"/>
    <w:rsid w:val="008A6B03"/>
    <w:rsid w:val="008B016E"/>
    <w:rsid w:val="008B0991"/>
    <w:rsid w:val="008B102B"/>
    <w:rsid w:val="008B1762"/>
    <w:rsid w:val="008B21E4"/>
    <w:rsid w:val="008B235F"/>
    <w:rsid w:val="008B23C5"/>
    <w:rsid w:val="008B2C78"/>
    <w:rsid w:val="008B318E"/>
    <w:rsid w:val="008B687B"/>
    <w:rsid w:val="008B6942"/>
    <w:rsid w:val="008B74AF"/>
    <w:rsid w:val="008B794B"/>
    <w:rsid w:val="008B7B70"/>
    <w:rsid w:val="008B7EB8"/>
    <w:rsid w:val="008C0E03"/>
    <w:rsid w:val="008C0FF5"/>
    <w:rsid w:val="008C129B"/>
    <w:rsid w:val="008C2696"/>
    <w:rsid w:val="008C2763"/>
    <w:rsid w:val="008C2914"/>
    <w:rsid w:val="008C2B25"/>
    <w:rsid w:val="008C3287"/>
    <w:rsid w:val="008C3782"/>
    <w:rsid w:val="008C3C73"/>
    <w:rsid w:val="008C4206"/>
    <w:rsid w:val="008C431A"/>
    <w:rsid w:val="008C449A"/>
    <w:rsid w:val="008C46A6"/>
    <w:rsid w:val="008C4A3A"/>
    <w:rsid w:val="008C611E"/>
    <w:rsid w:val="008C689C"/>
    <w:rsid w:val="008C75A5"/>
    <w:rsid w:val="008C7749"/>
    <w:rsid w:val="008D05C6"/>
    <w:rsid w:val="008D14CE"/>
    <w:rsid w:val="008D18EA"/>
    <w:rsid w:val="008D1E80"/>
    <w:rsid w:val="008D2160"/>
    <w:rsid w:val="008D2330"/>
    <w:rsid w:val="008D3C25"/>
    <w:rsid w:val="008D42D5"/>
    <w:rsid w:val="008D447F"/>
    <w:rsid w:val="008D47C4"/>
    <w:rsid w:val="008D4AD5"/>
    <w:rsid w:val="008D4EC0"/>
    <w:rsid w:val="008D4F4F"/>
    <w:rsid w:val="008D5506"/>
    <w:rsid w:val="008D55AC"/>
    <w:rsid w:val="008D5CEE"/>
    <w:rsid w:val="008D68AE"/>
    <w:rsid w:val="008D6F47"/>
    <w:rsid w:val="008E087E"/>
    <w:rsid w:val="008E1F75"/>
    <w:rsid w:val="008E2901"/>
    <w:rsid w:val="008E4960"/>
    <w:rsid w:val="008E595A"/>
    <w:rsid w:val="008E598D"/>
    <w:rsid w:val="008E6860"/>
    <w:rsid w:val="008E6FDC"/>
    <w:rsid w:val="008E7979"/>
    <w:rsid w:val="008E7B63"/>
    <w:rsid w:val="008E7F46"/>
    <w:rsid w:val="008F00F4"/>
    <w:rsid w:val="008F0301"/>
    <w:rsid w:val="008F0673"/>
    <w:rsid w:val="008F0DAE"/>
    <w:rsid w:val="008F1439"/>
    <w:rsid w:val="008F184D"/>
    <w:rsid w:val="008F1ADA"/>
    <w:rsid w:val="008F1BFC"/>
    <w:rsid w:val="008F2D9B"/>
    <w:rsid w:val="008F4026"/>
    <w:rsid w:val="008F5493"/>
    <w:rsid w:val="008F549F"/>
    <w:rsid w:val="008F595D"/>
    <w:rsid w:val="008F6535"/>
    <w:rsid w:val="008F69DA"/>
    <w:rsid w:val="008F6C17"/>
    <w:rsid w:val="008F6E5E"/>
    <w:rsid w:val="008F7036"/>
    <w:rsid w:val="008F7268"/>
    <w:rsid w:val="008F72A6"/>
    <w:rsid w:val="008F7562"/>
    <w:rsid w:val="008F7A84"/>
    <w:rsid w:val="008F7E2B"/>
    <w:rsid w:val="009000E5"/>
    <w:rsid w:val="00901DCA"/>
    <w:rsid w:val="009025B8"/>
    <w:rsid w:val="009025D7"/>
    <w:rsid w:val="00902BBF"/>
    <w:rsid w:val="00903CD1"/>
    <w:rsid w:val="00904CED"/>
    <w:rsid w:val="00904E9F"/>
    <w:rsid w:val="0090526E"/>
    <w:rsid w:val="00905E8D"/>
    <w:rsid w:val="00906BC0"/>
    <w:rsid w:val="00906F58"/>
    <w:rsid w:val="00907BF2"/>
    <w:rsid w:val="009106F3"/>
    <w:rsid w:val="00912042"/>
    <w:rsid w:val="00912172"/>
    <w:rsid w:val="0091267F"/>
    <w:rsid w:val="00912CA5"/>
    <w:rsid w:val="00913B51"/>
    <w:rsid w:val="00914683"/>
    <w:rsid w:val="0091576C"/>
    <w:rsid w:val="009157A3"/>
    <w:rsid w:val="00915CB6"/>
    <w:rsid w:val="00915D04"/>
    <w:rsid w:val="0091651F"/>
    <w:rsid w:val="00917308"/>
    <w:rsid w:val="00917858"/>
    <w:rsid w:val="00920249"/>
    <w:rsid w:val="00920B59"/>
    <w:rsid w:val="00921355"/>
    <w:rsid w:val="009218BD"/>
    <w:rsid w:val="009219EB"/>
    <w:rsid w:val="00921C1C"/>
    <w:rsid w:val="009225F3"/>
    <w:rsid w:val="00923103"/>
    <w:rsid w:val="0092317B"/>
    <w:rsid w:val="0092391A"/>
    <w:rsid w:val="00923956"/>
    <w:rsid w:val="00924E0E"/>
    <w:rsid w:val="00924FEE"/>
    <w:rsid w:val="009306F6"/>
    <w:rsid w:val="00930793"/>
    <w:rsid w:val="00932ACC"/>
    <w:rsid w:val="009331C0"/>
    <w:rsid w:val="00933799"/>
    <w:rsid w:val="00934CEA"/>
    <w:rsid w:val="009361DD"/>
    <w:rsid w:val="00936B29"/>
    <w:rsid w:val="00936F46"/>
    <w:rsid w:val="009373AA"/>
    <w:rsid w:val="009374BA"/>
    <w:rsid w:val="00940AA7"/>
    <w:rsid w:val="00941698"/>
    <w:rsid w:val="00941F29"/>
    <w:rsid w:val="00942236"/>
    <w:rsid w:val="009425E7"/>
    <w:rsid w:val="00942B18"/>
    <w:rsid w:val="009434F1"/>
    <w:rsid w:val="009435C3"/>
    <w:rsid w:val="0094407A"/>
    <w:rsid w:val="00944468"/>
    <w:rsid w:val="00944839"/>
    <w:rsid w:val="00945318"/>
    <w:rsid w:val="009456FA"/>
    <w:rsid w:val="00945EC0"/>
    <w:rsid w:val="009465D0"/>
    <w:rsid w:val="00946687"/>
    <w:rsid w:val="00946942"/>
    <w:rsid w:val="00946C93"/>
    <w:rsid w:val="00946D28"/>
    <w:rsid w:val="00947239"/>
    <w:rsid w:val="009507E3"/>
    <w:rsid w:val="00950FFB"/>
    <w:rsid w:val="00951477"/>
    <w:rsid w:val="009528B9"/>
    <w:rsid w:val="00952D77"/>
    <w:rsid w:val="00953B22"/>
    <w:rsid w:val="0095414C"/>
    <w:rsid w:val="00956010"/>
    <w:rsid w:val="00956072"/>
    <w:rsid w:val="009566F5"/>
    <w:rsid w:val="00956710"/>
    <w:rsid w:val="00956843"/>
    <w:rsid w:val="00957230"/>
    <w:rsid w:val="009579FC"/>
    <w:rsid w:val="009601A0"/>
    <w:rsid w:val="009607AD"/>
    <w:rsid w:val="0096080A"/>
    <w:rsid w:val="00960E5B"/>
    <w:rsid w:val="009612D7"/>
    <w:rsid w:val="00961728"/>
    <w:rsid w:val="00961818"/>
    <w:rsid w:val="00963735"/>
    <w:rsid w:val="009637E0"/>
    <w:rsid w:val="00963EB1"/>
    <w:rsid w:val="00964E3B"/>
    <w:rsid w:val="00964F1C"/>
    <w:rsid w:val="0096506E"/>
    <w:rsid w:val="009667A3"/>
    <w:rsid w:val="0096701B"/>
    <w:rsid w:val="0097076E"/>
    <w:rsid w:val="00970838"/>
    <w:rsid w:val="0097117C"/>
    <w:rsid w:val="00971E44"/>
    <w:rsid w:val="009721B3"/>
    <w:rsid w:val="00972AB7"/>
    <w:rsid w:val="00972B8F"/>
    <w:rsid w:val="00972C20"/>
    <w:rsid w:val="00972F40"/>
    <w:rsid w:val="0097428B"/>
    <w:rsid w:val="0097469B"/>
    <w:rsid w:val="00974B48"/>
    <w:rsid w:val="00975438"/>
    <w:rsid w:val="00975FF7"/>
    <w:rsid w:val="009769A9"/>
    <w:rsid w:val="00976AB8"/>
    <w:rsid w:val="00976BFE"/>
    <w:rsid w:val="0097709E"/>
    <w:rsid w:val="00977DEE"/>
    <w:rsid w:val="009805D5"/>
    <w:rsid w:val="00981157"/>
    <w:rsid w:val="0098178A"/>
    <w:rsid w:val="0098185F"/>
    <w:rsid w:val="00981F9C"/>
    <w:rsid w:val="0098410E"/>
    <w:rsid w:val="00984314"/>
    <w:rsid w:val="009848A7"/>
    <w:rsid w:val="00984BE8"/>
    <w:rsid w:val="00984FEA"/>
    <w:rsid w:val="00985DEF"/>
    <w:rsid w:val="00987238"/>
    <w:rsid w:val="00987321"/>
    <w:rsid w:val="00987E88"/>
    <w:rsid w:val="0099156E"/>
    <w:rsid w:val="009929E8"/>
    <w:rsid w:val="00992E69"/>
    <w:rsid w:val="009931AB"/>
    <w:rsid w:val="009937B3"/>
    <w:rsid w:val="00993F1C"/>
    <w:rsid w:val="00995121"/>
    <w:rsid w:val="00995B8C"/>
    <w:rsid w:val="00996458"/>
    <w:rsid w:val="009965B3"/>
    <w:rsid w:val="0099705F"/>
    <w:rsid w:val="0099741C"/>
    <w:rsid w:val="009978BD"/>
    <w:rsid w:val="00997A0B"/>
    <w:rsid w:val="009A092D"/>
    <w:rsid w:val="009A0B5B"/>
    <w:rsid w:val="009A1840"/>
    <w:rsid w:val="009A1A5F"/>
    <w:rsid w:val="009A1B5D"/>
    <w:rsid w:val="009A2DEB"/>
    <w:rsid w:val="009A3B02"/>
    <w:rsid w:val="009A3BAC"/>
    <w:rsid w:val="009A3D89"/>
    <w:rsid w:val="009A502C"/>
    <w:rsid w:val="009A544A"/>
    <w:rsid w:val="009A5D7D"/>
    <w:rsid w:val="009A6967"/>
    <w:rsid w:val="009A6C87"/>
    <w:rsid w:val="009A6F4A"/>
    <w:rsid w:val="009A70B4"/>
    <w:rsid w:val="009B057B"/>
    <w:rsid w:val="009B0630"/>
    <w:rsid w:val="009B082A"/>
    <w:rsid w:val="009B0C26"/>
    <w:rsid w:val="009B1843"/>
    <w:rsid w:val="009B1A5F"/>
    <w:rsid w:val="009B1BAC"/>
    <w:rsid w:val="009B1D51"/>
    <w:rsid w:val="009B22E3"/>
    <w:rsid w:val="009B27CA"/>
    <w:rsid w:val="009B2FCB"/>
    <w:rsid w:val="009B44C5"/>
    <w:rsid w:val="009B4753"/>
    <w:rsid w:val="009B50E8"/>
    <w:rsid w:val="009B58F4"/>
    <w:rsid w:val="009B60D5"/>
    <w:rsid w:val="009B6168"/>
    <w:rsid w:val="009B7563"/>
    <w:rsid w:val="009B7E3C"/>
    <w:rsid w:val="009C19F3"/>
    <w:rsid w:val="009C21F5"/>
    <w:rsid w:val="009C2FAD"/>
    <w:rsid w:val="009C2FF9"/>
    <w:rsid w:val="009C4AFF"/>
    <w:rsid w:val="009C54FF"/>
    <w:rsid w:val="009C6988"/>
    <w:rsid w:val="009C728E"/>
    <w:rsid w:val="009C72E4"/>
    <w:rsid w:val="009C7630"/>
    <w:rsid w:val="009C777A"/>
    <w:rsid w:val="009D1200"/>
    <w:rsid w:val="009D14F9"/>
    <w:rsid w:val="009D19EA"/>
    <w:rsid w:val="009D2150"/>
    <w:rsid w:val="009D232A"/>
    <w:rsid w:val="009D241A"/>
    <w:rsid w:val="009D2522"/>
    <w:rsid w:val="009D2C0D"/>
    <w:rsid w:val="009D46D7"/>
    <w:rsid w:val="009D48A8"/>
    <w:rsid w:val="009D53BB"/>
    <w:rsid w:val="009D60DD"/>
    <w:rsid w:val="009D6382"/>
    <w:rsid w:val="009D6396"/>
    <w:rsid w:val="009D66B6"/>
    <w:rsid w:val="009D734C"/>
    <w:rsid w:val="009D7452"/>
    <w:rsid w:val="009D7568"/>
    <w:rsid w:val="009D7A40"/>
    <w:rsid w:val="009E0070"/>
    <w:rsid w:val="009E0FE4"/>
    <w:rsid w:val="009E1BC6"/>
    <w:rsid w:val="009E1F0A"/>
    <w:rsid w:val="009E20E0"/>
    <w:rsid w:val="009E2404"/>
    <w:rsid w:val="009E2563"/>
    <w:rsid w:val="009E26BE"/>
    <w:rsid w:val="009E3794"/>
    <w:rsid w:val="009E3B09"/>
    <w:rsid w:val="009E3FFE"/>
    <w:rsid w:val="009E45C8"/>
    <w:rsid w:val="009E4BDD"/>
    <w:rsid w:val="009E4DD9"/>
    <w:rsid w:val="009E53E0"/>
    <w:rsid w:val="009E5C9F"/>
    <w:rsid w:val="009E743D"/>
    <w:rsid w:val="009E7759"/>
    <w:rsid w:val="009E799E"/>
    <w:rsid w:val="009E79FC"/>
    <w:rsid w:val="009F02A2"/>
    <w:rsid w:val="009F0882"/>
    <w:rsid w:val="009F0E69"/>
    <w:rsid w:val="009F1AFF"/>
    <w:rsid w:val="009F1BA9"/>
    <w:rsid w:val="009F2295"/>
    <w:rsid w:val="009F25A3"/>
    <w:rsid w:val="009F2CA0"/>
    <w:rsid w:val="009F340D"/>
    <w:rsid w:val="009F3458"/>
    <w:rsid w:val="009F35D3"/>
    <w:rsid w:val="009F39C0"/>
    <w:rsid w:val="009F3AC7"/>
    <w:rsid w:val="009F3BDE"/>
    <w:rsid w:val="009F4C3F"/>
    <w:rsid w:val="009F5580"/>
    <w:rsid w:val="009F5D57"/>
    <w:rsid w:val="009F5F2C"/>
    <w:rsid w:val="009F5FEF"/>
    <w:rsid w:val="009F6988"/>
    <w:rsid w:val="009F74CE"/>
    <w:rsid w:val="00A0079B"/>
    <w:rsid w:val="00A009C1"/>
    <w:rsid w:val="00A00EB7"/>
    <w:rsid w:val="00A013A0"/>
    <w:rsid w:val="00A01C0A"/>
    <w:rsid w:val="00A01FEB"/>
    <w:rsid w:val="00A0249D"/>
    <w:rsid w:val="00A0277C"/>
    <w:rsid w:val="00A02946"/>
    <w:rsid w:val="00A02BDE"/>
    <w:rsid w:val="00A03239"/>
    <w:rsid w:val="00A03693"/>
    <w:rsid w:val="00A0394F"/>
    <w:rsid w:val="00A04457"/>
    <w:rsid w:val="00A04C1C"/>
    <w:rsid w:val="00A051B8"/>
    <w:rsid w:val="00A055A8"/>
    <w:rsid w:val="00A05991"/>
    <w:rsid w:val="00A05B32"/>
    <w:rsid w:val="00A0690D"/>
    <w:rsid w:val="00A069D0"/>
    <w:rsid w:val="00A07BBF"/>
    <w:rsid w:val="00A1115F"/>
    <w:rsid w:val="00A11B68"/>
    <w:rsid w:val="00A11DCC"/>
    <w:rsid w:val="00A12160"/>
    <w:rsid w:val="00A1236C"/>
    <w:rsid w:val="00A12642"/>
    <w:rsid w:val="00A12B10"/>
    <w:rsid w:val="00A12BA2"/>
    <w:rsid w:val="00A136D6"/>
    <w:rsid w:val="00A13C19"/>
    <w:rsid w:val="00A15192"/>
    <w:rsid w:val="00A156C9"/>
    <w:rsid w:val="00A15CE5"/>
    <w:rsid w:val="00A166B5"/>
    <w:rsid w:val="00A16986"/>
    <w:rsid w:val="00A170AA"/>
    <w:rsid w:val="00A17954"/>
    <w:rsid w:val="00A20240"/>
    <w:rsid w:val="00A21F60"/>
    <w:rsid w:val="00A220C0"/>
    <w:rsid w:val="00A2260D"/>
    <w:rsid w:val="00A22833"/>
    <w:rsid w:val="00A23AD7"/>
    <w:rsid w:val="00A252B3"/>
    <w:rsid w:val="00A25446"/>
    <w:rsid w:val="00A2578D"/>
    <w:rsid w:val="00A25E19"/>
    <w:rsid w:val="00A25F3B"/>
    <w:rsid w:val="00A2715E"/>
    <w:rsid w:val="00A272E0"/>
    <w:rsid w:val="00A3024F"/>
    <w:rsid w:val="00A30B85"/>
    <w:rsid w:val="00A3137E"/>
    <w:rsid w:val="00A31887"/>
    <w:rsid w:val="00A31CC0"/>
    <w:rsid w:val="00A32657"/>
    <w:rsid w:val="00A32AC3"/>
    <w:rsid w:val="00A32C5E"/>
    <w:rsid w:val="00A32E8C"/>
    <w:rsid w:val="00A33884"/>
    <w:rsid w:val="00A33FE4"/>
    <w:rsid w:val="00A3407F"/>
    <w:rsid w:val="00A34935"/>
    <w:rsid w:val="00A34ADE"/>
    <w:rsid w:val="00A36A64"/>
    <w:rsid w:val="00A36B38"/>
    <w:rsid w:val="00A37058"/>
    <w:rsid w:val="00A37C68"/>
    <w:rsid w:val="00A40098"/>
    <w:rsid w:val="00A41150"/>
    <w:rsid w:val="00A42B61"/>
    <w:rsid w:val="00A42DD0"/>
    <w:rsid w:val="00A437A4"/>
    <w:rsid w:val="00A437E8"/>
    <w:rsid w:val="00A43ECD"/>
    <w:rsid w:val="00A440D5"/>
    <w:rsid w:val="00A449E9"/>
    <w:rsid w:val="00A45244"/>
    <w:rsid w:val="00A4575A"/>
    <w:rsid w:val="00A45918"/>
    <w:rsid w:val="00A4755E"/>
    <w:rsid w:val="00A47DB1"/>
    <w:rsid w:val="00A50FFF"/>
    <w:rsid w:val="00A510B6"/>
    <w:rsid w:val="00A5182D"/>
    <w:rsid w:val="00A51A8B"/>
    <w:rsid w:val="00A521B6"/>
    <w:rsid w:val="00A523F5"/>
    <w:rsid w:val="00A524D3"/>
    <w:rsid w:val="00A529B3"/>
    <w:rsid w:val="00A52B96"/>
    <w:rsid w:val="00A531D4"/>
    <w:rsid w:val="00A5352B"/>
    <w:rsid w:val="00A535AC"/>
    <w:rsid w:val="00A53A9E"/>
    <w:rsid w:val="00A53F8E"/>
    <w:rsid w:val="00A54AA1"/>
    <w:rsid w:val="00A54FBD"/>
    <w:rsid w:val="00A551DF"/>
    <w:rsid w:val="00A55933"/>
    <w:rsid w:val="00A55A5F"/>
    <w:rsid w:val="00A55C21"/>
    <w:rsid w:val="00A56067"/>
    <w:rsid w:val="00A56550"/>
    <w:rsid w:val="00A56C23"/>
    <w:rsid w:val="00A5700A"/>
    <w:rsid w:val="00A6012D"/>
    <w:rsid w:val="00A60227"/>
    <w:rsid w:val="00A60C09"/>
    <w:rsid w:val="00A617DC"/>
    <w:rsid w:val="00A624E9"/>
    <w:rsid w:val="00A635B5"/>
    <w:rsid w:val="00A64890"/>
    <w:rsid w:val="00A64F29"/>
    <w:rsid w:val="00A64F37"/>
    <w:rsid w:val="00A666D1"/>
    <w:rsid w:val="00A66B2D"/>
    <w:rsid w:val="00A67249"/>
    <w:rsid w:val="00A67807"/>
    <w:rsid w:val="00A70202"/>
    <w:rsid w:val="00A71580"/>
    <w:rsid w:val="00A7183F"/>
    <w:rsid w:val="00A71FA2"/>
    <w:rsid w:val="00A722A3"/>
    <w:rsid w:val="00A728DF"/>
    <w:rsid w:val="00A732CD"/>
    <w:rsid w:val="00A73995"/>
    <w:rsid w:val="00A73BB3"/>
    <w:rsid w:val="00A73E92"/>
    <w:rsid w:val="00A747BE"/>
    <w:rsid w:val="00A74C90"/>
    <w:rsid w:val="00A74C98"/>
    <w:rsid w:val="00A760D8"/>
    <w:rsid w:val="00A77876"/>
    <w:rsid w:val="00A77E0C"/>
    <w:rsid w:val="00A80029"/>
    <w:rsid w:val="00A8154E"/>
    <w:rsid w:val="00A816D5"/>
    <w:rsid w:val="00A81A91"/>
    <w:rsid w:val="00A81C67"/>
    <w:rsid w:val="00A81E70"/>
    <w:rsid w:val="00A81F1F"/>
    <w:rsid w:val="00A8254C"/>
    <w:rsid w:val="00A82B32"/>
    <w:rsid w:val="00A82C2C"/>
    <w:rsid w:val="00A82F84"/>
    <w:rsid w:val="00A83573"/>
    <w:rsid w:val="00A83785"/>
    <w:rsid w:val="00A8386D"/>
    <w:rsid w:val="00A83C5C"/>
    <w:rsid w:val="00A84173"/>
    <w:rsid w:val="00A844B7"/>
    <w:rsid w:val="00A848F6"/>
    <w:rsid w:val="00A84B2A"/>
    <w:rsid w:val="00A858C0"/>
    <w:rsid w:val="00A85D78"/>
    <w:rsid w:val="00A8758B"/>
    <w:rsid w:val="00A903BF"/>
    <w:rsid w:val="00A905AF"/>
    <w:rsid w:val="00A90CB3"/>
    <w:rsid w:val="00A9162F"/>
    <w:rsid w:val="00A91AA2"/>
    <w:rsid w:val="00A91E51"/>
    <w:rsid w:val="00A91F53"/>
    <w:rsid w:val="00A92B82"/>
    <w:rsid w:val="00A93229"/>
    <w:rsid w:val="00A9352B"/>
    <w:rsid w:val="00A9464E"/>
    <w:rsid w:val="00A948D4"/>
    <w:rsid w:val="00A94948"/>
    <w:rsid w:val="00A95844"/>
    <w:rsid w:val="00A973A5"/>
    <w:rsid w:val="00A978AA"/>
    <w:rsid w:val="00AA009B"/>
    <w:rsid w:val="00AA0255"/>
    <w:rsid w:val="00AA11DD"/>
    <w:rsid w:val="00AA1AB1"/>
    <w:rsid w:val="00AA2C20"/>
    <w:rsid w:val="00AA3432"/>
    <w:rsid w:val="00AA36B4"/>
    <w:rsid w:val="00AA433D"/>
    <w:rsid w:val="00AA4B71"/>
    <w:rsid w:val="00AA5192"/>
    <w:rsid w:val="00AA5B89"/>
    <w:rsid w:val="00AA7A68"/>
    <w:rsid w:val="00AB02AC"/>
    <w:rsid w:val="00AB0866"/>
    <w:rsid w:val="00AB0E98"/>
    <w:rsid w:val="00AB22C0"/>
    <w:rsid w:val="00AB2647"/>
    <w:rsid w:val="00AB34FA"/>
    <w:rsid w:val="00AB35FF"/>
    <w:rsid w:val="00AB458F"/>
    <w:rsid w:val="00AB468A"/>
    <w:rsid w:val="00AB46D9"/>
    <w:rsid w:val="00AB53AA"/>
    <w:rsid w:val="00AB6158"/>
    <w:rsid w:val="00AB6C63"/>
    <w:rsid w:val="00AB79D9"/>
    <w:rsid w:val="00AB7DCF"/>
    <w:rsid w:val="00AB7EB3"/>
    <w:rsid w:val="00AC0625"/>
    <w:rsid w:val="00AC06EF"/>
    <w:rsid w:val="00AC0A10"/>
    <w:rsid w:val="00AC0E89"/>
    <w:rsid w:val="00AC1232"/>
    <w:rsid w:val="00AC1F39"/>
    <w:rsid w:val="00AC2228"/>
    <w:rsid w:val="00AC51CC"/>
    <w:rsid w:val="00AC53C8"/>
    <w:rsid w:val="00AC5C8E"/>
    <w:rsid w:val="00AC64BD"/>
    <w:rsid w:val="00AC674E"/>
    <w:rsid w:val="00AC76BB"/>
    <w:rsid w:val="00AC7D77"/>
    <w:rsid w:val="00AD0EE0"/>
    <w:rsid w:val="00AD0FE8"/>
    <w:rsid w:val="00AD184D"/>
    <w:rsid w:val="00AD186D"/>
    <w:rsid w:val="00AD1D7E"/>
    <w:rsid w:val="00AD1E10"/>
    <w:rsid w:val="00AD23BD"/>
    <w:rsid w:val="00AD2B16"/>
    <w:rsid w:val="00AD411A"/>
    <w:rsid w:val="00AD4919"/>
    <w:rsid w:val="00AD4EF6"/>
    <w:rsid w:val="00AD53B2"/>
    <w:rsid w:val="00AD69EE"/>
    <w:rsid w:val="00AD6DCF"/>
    <w:rsid w:val="00AD6F88"/>
    <w:rsid w:val="00AD756C"/>
    <w:rsid w:val="00AD78C9"/>
    <w:rsid w:val="00AD7B9A"/>
    <w:rsid w:val="00AE042C"/>
    <w:rsid w:val="00AE2012"/>
    <w:rsid w:val="00AE250D"/>
    <w:rsid w:val="00AE3E3B"/>
    <w:rsid w:val="00AE4073"/>
    <w:rsid w:val="00AE4F1A"/>
    <w:rsid w:val="00AE562F"/>
    <w:rsid w:val="00AE5FD6"/>
    <w:rsid w:val="00AE73C4"/>
    <w:rsid w:val="00AE7E63"/>
    <w:rsid w:val="00AF0A8F"/>
    <w:rsid w:val="00AF0E9E"/>
    <w:rsid w:val="00AF28C3"/>
    <w:rsid w:val="00AF2B8E"/>
    <w:rsid w:val="00AF3B40"/>
    <w:rsid w:val="00AF427C"/>
    <w:rsid w:val="00AF453E"/>
    <w:rsid w:val="00AF4F8A"/>
    <w:rsid w:val="00AF578E"/>
    <w:rsid w:val="00AF67F8"/>
    <w:rsid w:val="00AF7497"/>
    <w:rsid w:val="00AF789C"/>
    <w:rsid w:val="00AF7AE3"/>
    <w:rsid w:val="00B001F0"/>
    <w:rsid w:val="00B01002"/>
    <w:rsid w:val="00B0119E"/>
    <w:rsid w:val="00B0187C"/>
    <w:rsid w:val="00B02619"/>
    <w:rsid w:val="00B02677"/>
    <w:rsid w:val="00B0267D"/>
    <w:rsid w:val="00B03040"/>
    <w:rsid w:val="00B03139"/>
    <w:rsid w:val="00B03920"/>
    <w:rsid w:val="00B03A9C"/>
    <w:rsid w:val="00B04DB3"/>
    <w:rsid w:val="00B0563E"/>
    <w:rsid w:val="00B05D2D"/>
    <w:rsid w:val="00B05D5C"/>
    <w:rsid w:val="00B07AE7"/>
    <w:rsid w:val="00B07F43"/>
    <w:rsid w:val="00B10053"/>
    <w:rsid w:val="00B1076B"/>
    <w:rsid w:val="00B10BAF"/>
    <w:rsid w:val="00B11A76"/>
    <w:rsid w:val="00B11BC3"/>
    <w:rsid w:val="00B12544"/>
    <w:rsid w:val="00B12ED8"/>
    <w:rsid w:val="00B13BFF"/>
    <w:rsid w:val="00B13C78"/>
    <w:rsid w:val="00B13EB0"/>
    <w:rsid w:val="00B14979"/>
    <w:rsid w:val="00B14A06"/>
    <w:rsid w:val="00B14A09"/>
    <w:rsid w:val="00B159C6"/>
    <w:rsid w:val="00B163F7"/>
    <w:rsid w:val="00B17A91"/>
    <w:rsid w:val="00B17C53"/>
    <w:rsid w:val="00B20608"/>
    <w:rsid w:val="00B21FFA"/>
    <w:rsid w:val="00B22C2C"/>
    <w:rsid w:val="00B23030"/>
    <w:rsid w:val="00B231D7"/>
    <w:rsid w:val="00B232DC"/>
    <w:rsid w:val="00B2400B"/>
    <w:rsid w:val="00B245EF"/>
    <w:rsid w:val="00B2479C"/>
    <w:rsid w:val="00B2572D"/>
    <w:rsid w:val="00B25ACB"/>
    <w:rsid w:val="00B26827"/>
    <w:rsid w:val="00B302C4"/>
    <w:rsid w:val="00B31388"/>
    <w:rsid w:val="00B31798"/>
    <w:rsid w:val="00B31CBC"/>
    <w:rsid w:val="00B31FE6"/>
    <w:rsid w:val="00B3212F"/>
    <w:rsid w:val="00B32B8A"/>
    <w:rsid w:val="00B33945"/>
    <w:rsid w:val="00B34376"/>
    <w:rsid w:val="00B3452A"/>
    <w:rsid w:val="00B34A25"/>
    <w:rsid w:val="00B357E2"/>
    <w:rsid w:val="00B362C8"/>
    <w:rsid w:val="00B36B82"/>
    <w:rsid w:val="00B36BBA"/>
    <w:rsid w:val="00B36BC1"/>
    <w:rsid w:val="00B37271"/>
    <w:rsid w:val="00B37505"/>
    <w:rsid w:val="00B375C5"/>
    <w:rsid w:val="00B400E4"/>
    <w:rsid w:val="00B41084"/>
    <w:rsid w:val="00B412C9"/>
    <w:rsid w:val="00B41440"/>
    <w:rsid w:val="00B41648"/>
    <w:rsid w:val="00B4171A"/>
    <w:rsid w:val="00B42543"/>
    <w:rsid w:val="00B4325E"/>
    <w:rsid w:val="00B43462"/>
    <w:rsid w:val="00B43E26"/>
    <w:rsid w:val="00B43FD3"/>
    <w:rsid w:val="00B440F8"/>
    <w:rsid w:val="00B447CF"/>
    <w:rsid w:val="00B44BB4"/>
    <w:rsid w:val="00B44F3B"/>
    <w:rsid w:val="00B456DA"/>
    <w:rsid w:val="00B45792"/>
    <w:rsid w:val="00B45BAC"/>
    <w:rsid w:val="00B45C4D"/>
    <w:rsid w:val="00B46273"/>
    <w:rsid w:val="00B4723D"/>
    <w:rsid w:val="00B47AC2"/>
    <w:rsid w:val="00B500B6"/>
    <w:rsid w:val="00B5080D"/>
    <w:rsid w:val="00B50DF2"/>
    <w:rsid w:val="00B51972"/>
    <w:rsid w:val="00B5223F"/>
    <w:rsid w:val="00B52686"/>
    <w:rsid w:val="00B54B50"/>
    <w:rsid w:val="00B54C01"/>
    <w:rsid w:val="00B552FB"/>
    <w:rsid w:val="00B56057"/>
    <w:rsid w:val="00B5752F"/>
    <w:rsid w:val="00B57EBE"/>
    <w:rsid w:val="00B605D2"/>
    <w:rsid w:val="00B607FB"/>
    <w:rsid w:val="00B61463"/>
    <w:rsid w:val="00B61DCB"/>
    <w:rsid w:val="00B6325F"/>
    <w:rsid w:val="00B638E6"/>
    <w:rsid w:val="00B64E6C"/>
    <w:rsid w:val="00B65C51"/>
    <w:rsid w:val="00B65D6C"/>
    <w:rsid w:val="00B65DD4"/>
    <w:rsid w:val="00B6672A"/>
    <w:rsid w:val="00B66DBC"/>
    <w:rsid w:val="00B67594"/>
    <w:rsid w:val="00B6780A"/>
    <w:rsid w:val="00B704AD"/>
    <w:rsid w:val="00B70BA8"/>
    <w:rsid w:val="00B70C4A"/>
    <w:rsid w:val="00B70E82"/>
    <w:rsid w:val="00B7118B"/>
    <w:rsid w:val="00B7125B"/>
    <w:rsid w:val="00B71DEE"/>
    <w:rsid w:val="00B72617"/>
    <w:rsid w:val="00B73615"/>
    <w:rsid w:val="00B73E10"/>
    <w:rsid w:val="00B742DF"/>
    <w:rsid w:val="00B74428"/>
    <w:rsid w:val="00B74899"/>
    <w:rsid w:val="00B75447"/>
    <w:rsid w:val="00B76691"/>
    <w:rsid w:val="00B767E0"/>
    <w:rsid w:val="00B76BD0"/>
    <w:rsid w:val="00B76C64"/>
    <w:rsid w:val="00B76DAF"/>
    <w:rsid w:val="00B771C6"/>
    <w:rsid w:val="00B77557"/>
    <w:rsid w:val="00B77EE6"/>
    <w:rsid w:val="00B809C1"/>
    <w:rsid w:val="00B80B1F"/>
    <w:rsid w:val="00B80C79"/>
    <w:rsid w:val="00B81CE8"/>
    <w:rsid w:val="00B82505"/>
    <w:rsid w:val="00B834EA"/>
    <w:rsid w:val="00B83AAE"/>
    <w:rsid w:val="00B83AB8"/>
    <w:rsid w:val="00B83F6D"/>
    <w:rsid w:val="00B8437F"/>
    <w:rsid w:val="00B846A0"/>
    <w:rsid w:val="00B84A47"/>
    <w:rsid w:val="00B84CCF"/>
    <w:rsid w:val="00B85055"/>
    <w:rsid w:val="00B8537C"/>
    <w:rsid w:val="00B854A1"/>
    <w:rsid w:val="00B868CF"/>
    <w:rsid w:val="00B86B92"/>
    <w:rsid w:val="00B86D97"/>
    <w:rsid w:val="00B86E9F"/>
    <w:rsid w:val="00B86F43"/>
    <w:rsid w:val="00B87298"/>
    <w:rsid w:val="00B90990"/>
    <w:rsid w:val="00B91B13"/>
    <w:rsid w:val="00B92212"/>
    <w:rsid w:val="00B92832"/>
    <w:rsid w:val="00B930C7"/>
    <w:rsid w:val="00B94B4E"/>
    <w:rsid w:val="00B95E07"/>
    <w:rsid w:val="00B96254"/>
    <w:rsid w:val="00B96B75"/>
    <w:rsid w:val="00B96F18"/>
    <w:rsid w:val="00B96F37"/>
    <w:rsid w:val="00BA08AD"/>
    <w:rsid w:val="00BA14E1"/>
    <w:rsid w:val="00BA253B"/>
    <w:rsid w:val="00BA2792"/>
    <w:rsid w:val="00BA2B5C"/>
    <w:rsid w:val="00BA37FD"/>
    <w:rsid w:val="00BA3B89"/>
    <w:rsid w:val="00BA4EAD"/>
    <w:rsid w:val="00BA5484"/>
    <w:rsid w:val="00BA553C"/>
    <w:rsid w:val="00BA56D6"/>
    <w:rsid w:val="00BA60EF"/>
    <w:rsid w:val="00BA6726"/>
    <w:rsid w:val="00BA6AFD"/>
    <w:rsid w:val="00BA74EF"/>
    <w:rsid w:val="00BA7EFA"/>
    <w:rsid w:val="00BB026B"/>
    <w:rsid w:val="00BB094B"/>
    <w:rsid w:val="00BB0BF4"/>
    <w:rsid w:val="00BB0D6B"/>
    <w:rsid w:val="00BB1447"/>
    <w:rsid w:val="00BB2B3F"/>
    <w:rsid w:val="00BB40B8"/>
    <w:rsid w:val="00BB448C"/>
    <w:rsid w:val="00BB47FA"/>
    <w:rsid w:val="00BB483C"/>
    <w:rsid w:val="00BB5133"/>
    <w:rsid w:val="00BB6753"/>
    <w:rsid w:val="00BB7452"/>
    <w:rsid w:val="00BC057D"/>
    <w:rsid w:val="00BC0883"/>
    <w:rsid w:val="00BC0C0B"/>
    <w:rsid w:val="00BC0E5B"/>
    <w:rsid w:val="00BC10A3"/>
    <w:rsid w:val="00BC10B5"/>
    <w:rsid w:val="00BC1138"/>
    <w:rsid w:val="00BC249B"/>
    <w:rsid w:val="00BC24A0"/>
    <w:rsid w:val="00BC2644"/>
    <w:rsid w:val="00BC32FF"/>
    <w:rsid w:val="00BC44E6"/>
    <w:rsid w:val="00BC5203"/>
    <w:rsid w:val="00BC5ABA"/>
    <w:rsid w:val="00BC5DFA"/>
    <w:rsid w:val="00BC6471"/>
    <w:rsid w:val="00BC6A0D"/>
    <w:rsid w:val="00BC783D"/>
    <w:rsid w:val="00BD15FA"/>
    <w:rsid w:val="00BD16B0"/>
    <w:rsid w:val="00BD31D9"/>
    <w:rsid w:val="00BD33DF"/>
    <w:rsid w:val="00BD34BE"/>
    <w:rsid w:val="00BD46D6"/>
    <w:rsid w:val="00BD523F"/>
    <w:rsid w:val="00BD5C59"/>
    <w:rsid w:val="00BD672A"/>
    <w:rsid w:val="00BD75DE"/>
    <w:rsid w:val="00BD76E5"/>
    <w:rsid w:val="00BD7941"/>
    <w:rsid w:val="00BE0DFE"/>
    <w:rsid w:val="00BE1241"/>
    <w:rsid w:val="00BE24A1"/>
    <w:rsid w:val="00BE330E"/>
    <w:rsid w:val="00BE35E8"/>
    <w:rsid w:val="00BE36BC"/>
    <w:rsid w:val="00BE3E19"/>
    <w:rsid w:val="00BE4F3E"/>
    <w:rsid w:val="00BE50D5"/>
    <w:rsid w:val="00BE5A39"/>
    <w:rsid w:val="00BE696F"/>
    <w:rsid w:val="00BE6D32"/>
    <w:rsid w:val="00BE745D"/>
    <w:rsid w:val="00BE77FC"/>
    <w:rsid w:val="00BF13BB"/>
    <w:rsid w:val="00BF1BB8"/>
    <w:rsid w:val="00BF2D64"/>
    <w:rsid w:val="00BF3807"/>
    <w:rsid w:val="00BF46B8"/>
    <w:rsid w:val="00BF564B"/>
    <w:rsid w:val="00BF6380"/>
    <w:rsid w:val="00BF6F4F"/>
    <w:rsid w:val="00BF71ED"/>
    <w:rsid w:val="00BF797E"/>
    <w:rsid w:val="00C000AE"/>
    <w:rsid w:val="00C0073D"/>
    <w:rsid w:val="00C02A0F"/>
    <w:rsid w:val="00C031DF"/>
    <w:rsid w:val="00C03385"/>
    <w:rsid w:val="00C03391"/>
    <w:rsid w:val="00C041B1"/>
    <w:rsid w:val="00C0489B"/>
    <w:rsid w:val="00C052A8"/>
    <w:rsid w:val="00C06B90"/>
    <w:rsid w:val="00C078BB"/>
    <w:rsid w:val="00C07DD3"/>
    <w:rsid w:val="00C07FB7"/>
    <w:rsid w:val="00C10550"/>
    <w:rsid w:val="00C1092B"/>
    <w:rsid w:val="00C10975"/>
    <w:rsid w:val="00C10F1A"/>
    <w:rsid w:val="00C10FE8"/>
    <w:rsid w:val="00C11086"/>
    <w:rsid w:val="00C1258B"/>
    <w:rsid w:val="00C127EC"/>
    <w:rsid w:val="00C12826"/>
    <w:rsid w:val="00C12944"/>
    <w:rsid w:val="00C13041"/>
    <w:rsid w:val="00C1340D"/>
    <w:rsid w:val="00C13C38"/>
    <w:rsid w:val="00C13EB8"/>
    <w:rsid w:val="00C13FF3"/>
    <w:rsid w:val="00C1462B"/>
    <w:rsid w:val="00C1546E"/>
    <w:rsid w:val="00C1547F"/>
    <w:rsid w:val="00C157F0"/>
    <w:rsid w:val="00C15C41"/>
    <w:rsid w:val="00C15DA9"/>
    <w:rsid w:val="00C15DDE"/>
    <w:rsid w:val="00C15F81"/>
    <w:rsid w:val="00C15FD4"/>
    <w:rsid w:val="00C17F4B"/>
    <w:rsid w:val="00C20215"/>
    <w:rsid w:val="00C221A5"/>
    <w:rsid w:val="00C225DA"/>
    <w:rsid w:val="00C22632"/>
    <w:rsid w:val="00C22BE8"/>
    <w:rsid w:val="00C22F41"/>
    <w:rsid w:val="00C2373B"/>
    <w:rsid w:val="00C23E9A"/>
    <w:rsid w:val="00C246F7"/>
    <w:rsid w:val="00C24950"/>
    <w:rsid w:val="00C25778"/>
    <w:rsid w:val="00C25F60"/>
    <w:rsid w:val="00C26098"/>
    <w:rsid w:val="00C26A10"/>
    <w:rsid w:val="00C26E44"/>
    <w:rsid w:val="00C27011"/>
    <w:rsid w:val="00C272ED"/>
    <w:rsid w:val="00C2736C"/>
    <w:rsid w:val="00C27B16"/>
    <w:rsid w:val="00C27DEB"/>
    <w:rsid w:val="00C30E3D"/>
    <w:rsid w:val="00C3153F"/>
    <w:rsid w:val="00C31B16"/>
    <w:rsid w:val="00C31DA4"/>
    <w:rsid w:val="00C32371"/>
    <w:rsid w:val="00C323D7"/>
    <w:rsid w:val="00C326D1"/>
    <w:rsid w:val="00C32978"/>
    <w:rsid w:val="00C333F4"/>
    <w:rsid w:val="00C3391D"/>
    <w:rsid w:val="00C33996"/>
    <w:rsid w:val="00C345CB"/>
    <w:rsid w:val="00C364A3"/>
    <w:rsid w:val="00C372CA"/>
    <w:rsid w:val="00C37AF1"/>
    <w:rsid w:val="00C37B85"/>
    <w:rsid w:val="00C37CF8"/>
    <w:rsid w:val="00C37D03"/>
    <w:rsid w:val="00C40EC0"/>
    <w:rsid w:val="00C4105A"/>
    <w:rsid w:val="00C417D4"/>
    <w:rsid w:val="00C43262"/>
    <w:rsid w:val="00C445B7"/>
    <w:rsid w:val="00C447FA"/>
    <w:rsid w:val="00C44973"/>
    <w:rsid w:val="00C450D1"/>
    <w:rsid w:val="00C45D39"/>
    <w:rsid w:val="00C45EFF"/>
    <w:rsid w:val="00C50BA1"/>
    <w:rsid w:val="00C50C75"/>
    <w:rsid w:val="00C522CE"/>
    <w:rsid w:val="00C52687"/>
    <w:rsid w:val="00C53232"/>
    <w:rsid w:val="00C533E5"/>
    <w:rsid w:val="00C5351C"/>
    <w:rsid w:val="00C535C2"/>
    <w:rsid w:val="00C53D90"/>
    <w:rsid w:val="00C54065"/>
    <w:rsid w:val="00C543C4"/>
    <w:rsid w:val="00C5448A"/>
    <w:rsid w:val="00C544DE"/>
    <w:rsid w:val="00C5481E"/>
    <w:rsid w:val="00C54B98"/>
    <w:rsid w:val="00C54D42"/>
    <w:rsid w:val="00C55508"/>
    <w:rsid w:val="00C5579A"/>
    <w:rsid w:val="00C5581B"/>
    <w:rsid w:val="00C5618A"/>
    <w:rsid w:val="00C565A3"/>
    <w:rsid w:val="00C565CE"/>
    <w:rsid w:val="00C567D0"/>
    <w:rsid w:val="00C57B73"/>
    <w:rsid w:val="00C57EC2"/>
    <w:rsid w:val="00C60571"/>
    <w:rsid w:val="00C60792"/>
    <w:rsid w:val="00C61112"/>
    <w:rsid w:val="00C61411"/>
    <w:rsid w:val="00C615FC"/>
    <w:rsid w:val="00C61A81"/>
    <w:rsid w:val="00C62852"/>
    <w:rsid w:val="00C634E9"/>
    <w:rsid w:val="00C63882"/>
    <w:rsid w:val="00C63D55"/>
    <w:rsid w:val="00C63F57"/>
    <w:rsid w:val="00C63FA4"/>
    <w:rsid w:val="00C6544E"/>
    <w:rsid w:val="00C65C46"/>
    <w:rsid w:val="00C65D55"/>
    <w:rsid w:val="00C65DF2"/>
    <w:rsid w:val="00C727A5"/>
    <w:rsid w:val="00C72E35"/>
    <w:rsid w:val="00C73465"/>
    <w:rsid w:val="00C73579"/>
    <w:rsid w:val="00C735F9"/>
    <w:rsid w:val="00C73A8F"/>
    <w:rsid w:val="00C73F44"/>
    <w:rsid w:val="00C74225"/>
    <w:rsid w:val="00C74DC2"/>
    <w:rsid w:val="00C7597F"/>
    <w:rsid w:val="00C75D0D"/>
    <w:rsid w:val="00C768A5"/>
    <w:rsid w:val="00C776BB"/>
    <w:rsid w:val="00C80794"/>
    <w:rsid w:val="00C80DFC"/>
    <w:rsid w:val="00C815E4"/>
    <w:rsid w:val="00C81BFC"/>
    <w:rsid w:val="00C82CD3"/>
    <w:rsid w:val="00C83173"/>
    <w:rsid w:val="00C8495B"/>
    <w:rsid w:val="00C851F6"/>
    <w:rsid w:val="00C859EA"/>
    <w:rsid w:val="00C86823"/>
    <w:rsid w:val="00C86E7C"/>
    <w:rsid w:val="00C86ED4"/>
    <w:rsid w:val="00C87E18"/>
    <w:rsid w:val="00C901AF"/>
    <w:rsid w:val="00C906F8"/>
    <w:rsid w:val="00C90849"/>
    <w:rsid w:val="00C90F85"/>
    <w:rsid w:val="00C915F9"/>
    <w:rsid w:val="00C92A1E"/>
    <w:rsid w:val="00C92D67"/>
    <w:rsid w:val="00C932CF"/>
    <w:rsid w:val="00C938D5"/>
    <w:rsid w:val="00C93AA7"/>
    <w:rsid w:val="00C947A4"/>
    <w:rsid w:val="00C96092"/>
    <w:rsid w:val="00C96FE2"/>
    <w:rsid w:val="00C97835"/>
    <w:rsid w:val="00CA0919"/>
    <w:rsid w:val="00CA171C"/>
    <w:rsid w:val="00CA263E"/>
    <w:rsid w:val="00CA2BCE"/>
    <w:rsid w:val="00CA30CA"/>
    <w:rsid w:val="00CA34C6"/>
    <w:rsid w:val="00CA39D8"/>
    <w:rsid w:val="00CA3CB5"/>
    <w:rsid w:val="00CA3D39"/>
    <w:rsid w:val="00CA3EA6"/>
    <w:rsid w:val="00CA3FF9"/>
    <w:rsid w:val="00CA417B"/>
    <w:rsid w:val="00CA48F6"/>
    <w:rsid w:val="00CA4C66"/>
    <w:rsid w:val="00CA5592"/>
    <w:rsid w:val="00CA630F"/>
    <w:rsid w:val="00CA6F5A"/>
    <w:rsid w:val="00CA72A7"/>
    <w:rsid w:val="00CA7819"/>
    <w:rsid w:val="00CA7EF1"/>
    <w:rsid w:val="00CB05CE"/>
    <w:rsid w:val="00CB08CB"/>
    <w:rsid w:val="00CB0B61"/>
    <w:rsid w:val="00CB248A"/>
    <w:rsid w:val="00CB26C8"/>
    <w:rsid w:val="00CB2758"/>
    <w:rsid w:val="00CB2945"/>
    <w:rsid w:val="00CB2BEA"/>
    <w:rsid w:val="00CB4B27"/>
    <w:rsid w:val="00CB521C"/>
    <w:rsid w:val="00CB5727"/>
    <w:rsid w:val="00CB5DB8"/>
    <w:rsid w:val="00CB62AA"/>
    <w:rsid w:val="00CB742D"/>
    <w:rsid w:val="00CB773C"/>
    <w:rsid w:val="00CB7BA0"/>
    <w:rsid w:val="00CC0501"/>
    <w:rsid w:val="00CC056B"/>
    <w:rsid w:val="00CC0982"/>
    <w:rsid w:val="00CC14AD"/>
    <w:rsid w:val="00CC1FFB"/>
    <w:rsid w:val="00CC2E07"/>
    <w:rsid w:val="00CC34F6"/>
    <w:rsid w:val="00CC4099"/>
    <w:rsid w:val="00CC52A3"/>
    <w:rsid w:val="00CC61FD"/>
    <w:rsid w:val="00CC67FD"/>
    <w:rsid w:val="00CC6DB6"/>
    <w:rsid w:val="00CC77FB"/>
    <w:rsid w:val="00CC7D97"/>
    <w:rsid w:val="00CC7FA3"/>
    <w:rsid w:val="00CC7FF0"/>
    <w:rsid w:val="00CD082F"/>
    <w:rsid w:val="00CD274F"/>
    <w:rsid w:val="00CD2EC8"/>
    <w:rsid w:val="00CD2F4C"/>
    <w:rsid w:val="00CD32C2"/>
    <w:rsid w:val="00CD3F32"/>
    <w:rsid w:val="00CD4FF0"/>
    <w:rsid w:val="00CD502A"/>
    <w:rsid w:val="00CD52BC"/>
    <w:rsid w:val="00CD5451"/>
    <w:rsid w:val="00CD56CA"/>
    <w:rsid w:val="00CD67FE"/>
    <w:rsid w:val="00CD6E13"/>
    <w:rsid w:val="00CD7521"/>
    <w:rsid w:val="00CD7B9C"/>
    <w:rsid w:val="00CE0235"/>
    <w:rsid w:val="00CE0A97"/>
    <w:rsid w:val="00CE14DA"/>
    <w:rsid w:val="00CE3098"/>
    <w:rsid w:val="00CE3550"/>
    <w:rsid w:val="00CE42CD"/>
    <w:rsid w:val="00CE441E"/>
    <w:rsid w:val="00CE4553"/>
    <w:rsid w:val="00CE49E5"/>
    <w:rsid w:val="00CE4B3F"/>
    <w:rsid w:val="00CE4EC7"/>
    <w:rsid w:val="00CE6138"/>
    <w:rsid w:val="00CE7A83"/>
    <w:rsid w:val="00CF0C45"/>
    <w:rsid w:val="00CF0FEF"/>
    <w:rsid w:val="00CF16A5"/>
    <w:rsid w:val="00CF1AA4"/>
    <w:rsid w:val="00CF1C4D"/>
    <w:rsid w:val="00CF2AC4"/>
    <w:rsid w:val="00CF3915"/>
    <w:rsid w:val="00CF40AE"/>
    <w:rsid w:val="00CF42DA"/>
    <w:rsid w:val="00CF5328"/>
    <w:rsid w:val="00CF6F3E"/>
    <w:rsid w:val="00CF78C3"/>
    <w:rsid w:val="00CF7E21"/>
    <w:rsid w:val="00D00977"/>
    <w:rsid w:val="00D0119E"/>
    <w:rsid w:val="00D0171F"/>
    <w:rsid w:val="00D01BD8"/>
    <w:rsid w:val="00D02AEE"/>
    <w:rsid w:val="00D03176"/>
    <w:rsid w:val="00D046E4"/>
    <w:rsid w:val="00D04BDB"/>
    <w:rsid w:val="00D054BD"/>
    <w:rsid w:val="00D05B2D"/>
    <w:rsid w:val="00D071F6"/>
    <w:rsid w:val="00D07804"/>
    <w:rsid w:val="00D079A7"/>
    <w:rsid w:val="00D103A4"/>
    <w:rsid w:val="00D10BA1"/>
    <w:rsid w:val="00D10DD5"/>
    <w:rsid w:val="00D11B0D"/>
    <w:rsid w:val="00D120EE"/>
    <w:rsid w:val="00D1214F"/>
    <w:rsid w:val="00D13940"/>
    <w:rsid w:val="00D13ADC"/>
    <w:rsid w:val="00D13C2B"/>
    <w:rsid w:val="00D13FA6"/>
    <w:rsid w:val="00D14086"/>
    <w:rsid w:val="00D14637"/>
    <w:rsid w:val="00D149CD"/>
    <w:rsid w:val="00D14CA0"/>
    <w:rsid w:val="00D15724"/>
    <w:rsid w:val="00D15EB3"/>
    <w:rsid w:val="00D161AE"/>
    <w:rsid w:val="00D1622A"/>
    <w:rsid w:val="00D163D7"/>
    <w:rsid w:val="00D169D8"/>
    <w:rsid w:val="00D16BC7"/>
    <w:rsid w:val="00D17886"/>
    <w:rsid w:val="00D202F1"/>
    <w:rsid w:val="00D206FF"/>
    <w:rsid w:val="00D2114D"/>
    <w:rsid w:val="00D21598"/>
    <w:rsid w:val="00D22175"/>
    <w:rsid w:val="00D2256D"/>
    <w:rsid w:val="00D225F9"/>
    <w:rsid w:val="00D226D8"/>
    <w:rsid w:val="00D239DC"/>
    <w:rsid w:val="00D23A20"/>
    <w:rsid w:val="00D23E32"/>
    <w:rsid w:val="00D243FA"/>
    <w:rsid w:val="00D24475"/>
    <w:rsid w:val="00D24629"/>
    <w:rsid w:val="00D24AD6"/>
    <w:rsid w:val="00D24C72"/>
    <w:rsid w:val="00D2531A"/>
    <w:rsid w:val="00D25665"/>
    <w:rsid w:val="00D257E0"/>
    <w:rsid w:val="00D258B5"/>
    <w:rsid w:val="00D25CF0"/>
    <w:rsid w:val="00D26AE8"/>
    <w:rsid w:val="00D27815"/>
    <w:rsid w:val="00D3018F"/>
    <w:rsid w:val="00D30D59"/>
    <w:rsid w:val="00D31672"/>
    <w:rsid w:val="00D3168E"/>
    <w:rsid w:val="00D320A4"/>
    <w:rsid w:val="00D3313D"/>
    <w:rsid w:val="00D3376D"/>
    <w:rsid w:val="00D34EE1"/>
    <w:rsid w:val="00D34EED"/>
    <w:rsid w:val="00D35A5B"/>
    <w:rsid w:val="00D36259"/>
    <w:rsid w:val="00D36314"/>
    <w:rsid w:val="00D36A2B"/>
    <w:rsid w:val="00D37C02"/>
    <w:rsid w:val="00D37E5C"/>
    <w:rsid w:val="00D40205"/>
    <w:rsid w:val="00D406B8"/>
    <w:rsid w:val="00D40B44"/>
    <w:rsid w:val="00D4206F"/>
    <w:rsid w:val="00D420BF"/>
    <w:rsid w:val="00D4219D"/>
    <w:rsid w:val="00D42959"/>
    <w:rsid w:val="00D43942"/>
    <w:rsid w:val="00D43C01"/>
    <w:rsid w:val="00D43D5A"/>
    <w:rsid w:val="00D43DE6"/>
    <w:rsid w:val="00D45148"/>
    <w:rsid w:val="00D4579F"/>
    <w:rsid w:val="00D45BE8"/>
    <w:rsid w:val="00D46889"/>
    <w:rsid w:val="00D4720B"/>
    <w:rsid w:val="00D473B7"/>
    <w:rsid w:val="00D4751F"/>
    <w:rsid w:val="00D47F56"/>
    <w:rsid w:val="00D501D2"/>
    <w:rsid w:val="00D50544"/>
    <w:rsid w:val="00D5085F"/>
    <w:rsid w:val="00D50A8D"/>
    <w:rsid w:val="00D50B4D"/>
    <w:rsid w:val="00D50CA3"/>
    <w:rsid w:val="00D5161D"/>
    <w:rsid w:val="00D51965"/>
    <w:rsid w:val="00D52013"/>
    <w:rsid w:val="00D5216A"/>
    <w:rsid w:val="00D52283"/>
    <w:rsid w:val="00D5321A"/>
    <w:rsid w:val="00D53C9A"/>
    <w:rsid w:val="00D55748"/>
    <w:rsid w:val="00D559A1"/>
    <w:rsid w:val="00D55ADA"/>
    <w:rsid w:val="00D56CD3"/>
    <w:rsid w:val="00D57C11"/>
    <w:rsid w:val="00D602D1"/>
    <w:rsid w:val="00D603D4"/>
    <w:rsid w:val="00D607B6"/>
    <w:rsid w:val="00D61872"/>
    <w:rsid w:val="00D618A8"/>
    <w:rsid w:val="00D619EF"/>
    <w:rsid w:val="00D61B32"/>
    <w:rsid w:val="00D61D2F"/>
    <w:rsid w:val="00D62443"/>
    <w:rsid w:val="00D625D7"/>
    <w:rsid w:val="00D62874"/>
    <w:rsid w:val="00D62EF1"/>
    <w:rsid w:val="00D62FEB"/>
    <w:rsid w:val="00D632DF"/>
    <w:rsid w:val="00D63DA9"/>
    <w:rsid w:val="00D65A61"/>
    <w:rsid w:val="00D663BC"/>
    <w:rsid w:val="00D666C9"/>
    <w:rsid w:val="00D668DB"/>
    <w:rsid w:val="00D668FD"/>
    <w:rsid w:val="00D674E0"/>
    <w:rsid w:val="00D703F8"/>
    <w:rsid w:val="00D70D31"/>
    <w:rsid w:val="00D71BC2"/>
    <w:rsid w:val="00D72376"/>
    <w:rsid w:val="00D737B5"/>
    <w:rsid w:val="00D73B38"/>
    <w:rsid w:val="00D73D65"/>
    <w:rsid w:val="00D73D97"/>
    <w:rsid w:val="00D74711"/>
    <w:rsid w:val="00D7528F"/>
    <w:rsid w:val="00D753B5"/>
    <w:rsid w:val="00D75B23"/>
    <w:rsid w:val="00D76114"/>
    <w:rsid w:val="00D7616B"/>
    <w:rsid w:val="00D769BC"/>
    <w:rsid w:val="00D76D34"/>
    <w:rsid w:val="00D76F81"/>
    <w:rsid w:val="00D771D1"/>
    <w:rsid w:val="00D77402"/>
    <w:rsid w:val="00D777EA"/>
    <w:rsid w:val="00D80423"/>
    <w:rsid w:val="00D80AB3"/>
    <w:rsid w:val="00D80D0D"/>
    <w:rsid w:val="00D80E37"/>
    <w:rsid w:val="00D81869"/>
    <w:rsid w:val="00D81BEA"/>
    <w:rsid w:val="00D82003"/>
    <w:rsid w:val="00D82024"/>
    <w:rsid w:val="00D82496"/>
    <w:rsid w:val="00D82755"/>
    <w:rsid w:val="00D82784"/>
    <w:rsid w:val="00D8302A"/>
    <w:rsid w:val="00D83BBC"/>
    <w:rsid w:val="00D83E0A"/>
    <w:rsid w:val="00D847FC"/>
    <w:rsid w:val="00D84B77"/>
    <w:rsid w:val="00D85085"/>
    <w:rsid w:val="00D853A1"/>
    <w:rsid w:val="00D863EA"/>
    <w:rsid w:val="00D8762E"/>
    <w:rsid w:val="00D87F29"/>
    <w:rsid w:val="00D9000E"/>
    <w:rsid w:val="00D90866"/>
    <w:rsid w:val="00D90DC0"/>
    <w:rsid w:val="00D9142D"/>
    <w:rsid w:val="00D9283C"/>
    <w:rsid w:val="00D93C21"/>
    <w:rsid w:val="00D93D20"/>
    <w:rsid w:val="00D93FD8"/>
    <w:rsid w:val="00D93FE8"/>
    <w:rsid w:val="00D953B4"/>
    <w:rsid w:val="00D9608F"/>
    <w:rsid w:val="00D96482"/>
    <w:rsid w:val="00D969B6"/>
    <w:rsid w:val="00D97050"/>
    <w:rsid w:val="00D973C4"/>
    <w:rsid w:val="00D97FFB"/>
    <w:rsid w:val="00DA02DE"/>
    <w:rsid w:val="00DA087B"/>
    <w:rsid w:val="00DA2F38"/>
    <w:rsid w:val="00DA3369"/>
    <w:rsid w:val="00DA344A"/>
    <w:rsid w:val="00DA3A3C"/>
    <w:rsid w:val="00DA415F"/>
    <w:rsid w:val="00DA4181"/>
    <w:rsid w:val="00DA4694"/>
    <w:rsid w:val="00DA4CD3"/>
    <w:rsid w:val="00DA4D61"/>
    <w:rsid w:val="00DA50EC"/>
    <w:rsid w:val="00DA5511"/>
    <w:rsid w:val="00DA5968"/>
    <w:rsid w:val="00DA5E36"/>
    <w:rsid w:val="00DA6841"/>
    <w:rsid w:val="00DA6B3D"/>
    <w:rsid w:val="00DA6FA1"/>
    <w:rsid w:val="00DA71C5"/>
    <w:rsid w:val="00DA737B"/>
    <w:rsid w:val="00DA74EA"/>
    <w:rsid w:val="00DA7859"/>
    <w:rsid w:val="00DA7B83"/>
    <w:rsid w:val="00DA7C8C"/>
    <w:rsid w:val="00DB04C8"/>
    <w:rsid w:val="00DB113C"/>
    <w:rsid w:val="00DB15DC"/>
    <w:rsid w:val="00DB1B48"/>
    <w:rsid w:val="00DB2047"/>
    <w:rsid w:val="00DB234D"/>
    <w:rsid w:val="00DB3C43"/>
    <w:rsid w:val="00DB4302"/>
    <w:rsid w:val="00DB4C1B"/>
    <w:rsid w:val="00DB4F32"/>
    <w:rsid w:val="00DB542D"/>
    <w:rsid w:val="00DB63C5"/>
    <w:rsid w:val="00DB6BE5"/>
    <w:rsid w:val="00DB79B4"/>
    <w:rsid w:val="00DB7C99"/>
    <w:rsid w:val="00DB7DC6"/>
    <w:rsid w:val="00DB7F3D"/>
    <w:rsid w:val="00DB7FA6"/>
    <w:rsid w:val="00DC035A"/>
    <w:rsid w:val="00DC0E51"/>
    <w:rsid w:val="00DC1750"/>
    <w:rsid w:val="00DC17FC"/>
    <w:rsid w:val="00DC1B6F"/>
    <w:rsid w:val="00DC2C09"/>
    <w:rsid w:val="00DC312C"/>
    <w:rsid w:val="00DC35EF"/>
    <w:rsid w:val="00DC40F2"/>
    <w:rsid w:val="00DC48FF"/>
    <w:rsid w:val="00DC5190"/>
    <w:rsid w:val="00DC51E2"/>
    <w:rsid w:val="00DC561C"/>
    <w:rsid w:val="00DC5E3B"/>
    <w:rsid w:val="00DC62D5"/>
    <w:rsid w:val="00DC63FB"/>
    <w:rsid w:val="00DD098C"/>
    <w:rsid w:val="00DD0BDA"/>
    <w:rsid w:val="00DD10A4"/>
    <w:rsid w:val="00DD1F9F"/>
    <w:rsid w:val="00DD2059"/>
    <w:rsid w:val="00DD233B"/>
    <w:rsid w:val="00DD2B9E"/>
    <w:rsid w:val="00DD3DF0"/>
    <w:rsid w:val="00DD3FBB"/>
    <w:rsid w:val="00DD4741"/>
    <w:rsid w:val="00DD7211"/>
    <w:rsid w:val="00DD76C5"/>
    <w:rsid w:val="00DD7C82"/>
    <w:rsid w:val="00DD7EFE"/>
    <w:rsid w:val="00DD7FF9"/>
    <w:rsid w:val="00DE002D"/>
    <w:rsid w:val="00DE0E3D"/>
    <w:rsid w:val="00DE105B"/>
    <w:rsid w:val="00DE12DE"/>
    <w:rsid w:val="00DE1AFF"/>
    <w:rsid w:val="00DE1C3F"/>
    <w:rsid w:val="00DE1D8F"/>
    <w:rsid w:val="00DE1F62"/>
    <w:rsid w:val="00DE253F"/>
    <w:rsid w:val="00DE39AC"/>
    <w:rsid w:val="00DE40B8"/>
    <w:rsid w:val="00DE42F1"/>
    <w:rsid w:val="00DE4CDC"/>
    <w:rsid w:val="00DE5306"/>
    <w:rsid w:val="00DE68F1"/>
    <w:rsid w:val="00DE7A40"/>
    <w:rsid w:val="00DE7B5D"/>
    <w:rsid w:val="00DE7CA4"/>
    <w:rsid w:val="00DF0AB7"/>
    <w:rsid w:val="00DF10EF"/>
    <w:rsid w:val="00DF117A"/>
    <w:rsid w:val="00DF23EF"/>
    <w:rsid w:val="00DF34B7"/>
    <w:rsid w:val="00DF3A19"/>
    <w:rsid w:val="00DF4086"/>
    <w:rsid w:val="00DF4896"/>
    <w:rsid w:val="00DF49C6"/>
    <w:rsid w:val="00DF5308"/>
    <w:rsid w:val="00DF5356"/>
    <w:rsid w:val="00DF540E"/>
    <w:rsid w:val="00DF5A58"/>
    <w:rsid w:val="00DF5DBA"/>
    <w:rsid w:val="00DF6580"/>
    <w:rsid w:val="00DF7EAD"/>
    <w:rsid w:val="00E00102"/>
    <w:rsid w:val="00E003E6"/>
    <w:rsid w:val="00E0043B"/>
    <w:rsid w:val="00E00768"/>
    <w:rsid w:val="00E008F0"/>
    <w:rsid w:val="00E01263"/>
    <w:rsid w:val="00E01A89"/>
    <w:rsid w:val="00E01CA8"/>
    <w:rsid w:val="00E02573"/>
    <w:rsid w:val="00E0273D"/>
    <w:rsid w:val="00E037BE"/>
    <w:rsid w:val="00E0414C"/>
    <w:rsid w:val="00E04AD6"/>
    <w:rsid w:val="00E067D3"/>
    <w:rsid w:val="00E06CCB"/>
    <w:rsid w:val="00E07680"/>
    <w:rsid w:val="00E10739"/>
    <w:rsid w:val="00E1078C"/>
    <w:rsid w:val="00E10C18"/>
    <w:rsid w:val="00E10E01"/>
    <w:rsid w:val="00E111A6"/>
    <w:rsid w:val="00E113F3"/>
    <w:rsid w:val="00E138F7"/>
    <w:rsid w:val="00E15A4E"/>
    <w:rsid w:val="00E1679E"/>
    <w:rsid w:val="00E168FE"/>
    <w:rsid w:val="00E204A7"/>
    <w:rsid w:val="00E209FC"/>
    <w:rsid w:val="00E20ECD"/>
    <w:rsid w:val="00E20FE5"/>
    <w:rsid w:val="00E212C9"/>
    <w:rsid w:val="00E215C6"/>
    <w:rsid w:val="00E230A8"/>
    <w:rsid w:val="00E235AF"/>
    <w:rsid w:val="00E24976"/>
    <w:rsid w:val="00E24D4F"/>
    <w:rsid w:val="00E24E4A"/>
    <w:rsid w:val="00E250FB"/>
    <w:rsid w:val="00E26405"/>
    <w:rsid w:val="00E26868"/>
    <w:rsid w:val="00E31A8E"/>
    <w:rsid w:val="00E31D2E"/>
    <w:rsid w:val="00E323C1"/>
    <w:rsid w:val="00E33A1A"/>
    <w:rsid w:val="00E33D80"/>
    <w:rsid w:val="00E3408A"/>
    <w:rsid w:val="00E34126"/>
    <w:rsid w:val="00E343C5"/>
    <w:rsid w:val="00E345BD"/>
    <w:rsid w:val="00E34D74"/>
    <w:rsid w:val="00E35FAE"/>
    <w:rsid w:val="00E3624D"/>
    <w:rsid w:val="00E36B09"/>
    <w:rsid w:val="00E373FE"/>
    <w:rsid w:val="00E3749D"/>
    <w:rsid w:val="00E375B3"/>
    <w:rsid w:val="00E37611"/>
    <w:rsid w:val="00E4048A"/>
    <w:rsid w:val="00E40523"/>
    <w:rsid w:val="00E4064B"/>
    <w:rsid w:val="00E40785"/>
    <w:rsid w:val="00E40A9C"/>
    <w:rsid w:val="00E4114F"/>
    <w:rsid w:val="00E4236F"/>
    <w:rsid w:val="00E42DDE"/>
    <w:rsid w:val="00E43115"/>
    <w:rsid w:val="00E43313"/>
    <w:rsid w:val="00E43E41"/>
    <w:rsid w:val="00E44004"/>
    <w:rsid w:val="00E440EE"/>
    <w:rsid w:val="00E44241"/>
    <w:rsid w:val="00E444A6"/>
    <w:rsid w:val="00E4498C"/>
    <w:rsid w:val="00E44D62"/>
    <w:rsid w:val="00E4514D"/>
    <w:rsid w:val="00E4571D"/>
    <w:rsid w:val="00E45C5A"/>
    <w:rsid w:val="00E46349"/>
    <w:rsid w:val="00E46956"/>
    <w:rsid w:val="00E47D80"/>
    <w:rsid w:val="00E506AE"/>
    <w:rsid w:val="00E51313"/>
    <w:rsid w:val="00E528EF"/>
    <w:rsid w:val="00E53B71"/>
    <w:rsid w:val="00E54B9D"/>
    <w:rsid w:val="00E54E6E"/>
    <w:rsid w:val="00E54F9B"/>
    <w:rsid w:val="00E55C8E"/>
    <w:rsid w:val="00E5792D"/>
    <w:rsid w:val="00E605A9"/>
    <w:rsid w:val="00E60E96"/>
    <w:rsid w:val="00E60FAC"/>
    <w:rsid w:val="00E61A76"/>
    <w:rsid w:val="00E61D57"/>
    <w:rsid w:val="00E61FE6"/>
    <w:rsid w:val="00E622D4"/>
    <w:rsid w:val="00E62B2E"/>
    <w:rsid w:val="00E631F3"/>
    <w:rsid w:val="00E63338"/>
    <w:rsid w:val="00E640DB"/>
    <w:rsid w:val="00E6440D"/>
    <w:rsid w:val="00E64521"/>
    <w:rsid w:val="00E64740"/>
    <w:rsid w:val="00E65E4C"/>
    <w:rsid w:val="00E663F9"/>
    <w:rsid w:val="00E666B3"/>
    <w:rsid w:val="00E666F0"/>
    <w:rsid w:val="00E66820"/>
    <w:rsid w:val="00E6688D"/>
    <w:rsid w:val="00E669A1"/>
    <w:rsid w:val="00E66CD8"/>
    <w:rsid w:val="00E66E51"/>
    <w:rsid w:val="00E67711"/>
    <w:rsid w:val="00E67D85"/>
    <w:rsid w:val="00E703D8"/>
    <w:rsid w:val="00E7089F"/>
    <w:rsid w:val="00E708C4"/>
    <w:rsid w:val="00E70981"/>
    <w:rsid w:val="00E71B47"/>
    <w:rsid w:val="00E723AD"/>
    <w:rsid w:val="00E7363E"/>
    <w:rsid w:val="00E739C0"/>
    <w:rsid w:val="00E73FFF"/>
    <w:rsid w:val="00E741FC"/>
    <w:rsid w:val="00E74652"/>
    <w:rsid w:val="00E7566A"/>
    <w:rsid w:val="00E76AAF"/>
    <w:rsid w:val="00E76AC6"/>
    <w:rsid w:val="00E76C6D"/>
    <w:rsid w:val="00E7704A"/>
    <w:rsid w:val="00E77448"/>
    <w:rsid w:val="00E775DA"/>
    <w:rsid w:val="00E80061"/>
    <w:rsid w:val="00E80353"/>
    <w:rsid w:val="00E82549"/>
    <w:rsid w:val="00E82CCC"/>
    <w:rsid w:val="00E83C6E"/>
    <w:rsid w:val="00E84391"/>
    <w:rsid w:val="00E8453A"/>
    <w:rsid w:val="00E84549"/>
    <w:rsid w:val="00E856BD"/>
    <w:rsid w:val="00E859B9"/>
    <w:rsid w:val="00E86A09"/>
    <w:rsid w:val="00E874FF"/>
    <w:rsid w:val="00E87855"/>
    <w:rsid w:val="00E908AB"/>
    <w:rsid w:val="00E9104F"/>
    <w:rsid w:val="00E91C10"/>
    <w:rsid w:val="00E91DDB"/>
    <w:rsid w:val="00E91F79"/>
    <w:rsid w:val="00E92511"/>
    <w:rsid w:val="00E927E9"/>
    <w:rsid w:val="00E92F6E"/>
    <w:rsid w:val="00E936FB"/>
    <w:rsid w:val="00E93A10"/>
    <w:rsid w:val="00E93DF0"/>
    <w:rsid w:val="00E93F6B"/>
    <w:rsid w:val="00E941B7"/>
    <w:rsid w:val="00E94375"/>
    <w:rsid w:val="00E94B40"/>
    <w:rsid w:val="00E94B7A"/>
    <w:rsid w:val="00E94C2F"/>
    <w:rsid w:val="00E95CD9"/>
    <w:rsid w:val="00E96DC5"/>
    <w:rsid w:val="00E976A7"/>
    <w:rsid w:val="00EA1C05"/>
    <w:rsid w:val="00EA1E7B"/>
    <w:rsid w:val="00EA2AC2"/>
    <w:rsid w:val="00EA30B9"/>
    <w:rsid w:val="00EA3AE4"/>
    <w:rsid w:val="00EA4295"/>
    <w:rsid w:val="00EA4624"/>
    <w:rsid w:val="00EA540D"/>
    <w:rsid w:val="00EA5569"/>
    <w:rsid w:val="00EA6A42"/>
    <w:rsid w:val="00EA6E23"/>
    <w:rsid w:val="00EB0A52"/>
    <w:rsid w:val="00EB1120"/>
    <w:rsid w:val="00EB13B4"/>
    <w:rsid w:val="00EB18AE"/>
    <w:rsid w:val="00EB1FF2"/>
    <w:rsid w:val="00EB3863"/>
    <w:rsid w:val="00EB3D7A"/>
    <w:rsid w:val="00EB406F"/>
    <w:rsid w:val="00EB46FE"/>
    <w:rsid w:val="00EB4CDF"/>
    <w:rsid w:val="00EB4DF8"/>
    <w:rsid w:val="00EB52FD"/>
    <w:rsid w:val="00EB5B88"/>
    <w:rsid w:val="00EB666E"/>
    <w:rsid w:val="00EC0CE0"/>
    <w:rsid w:val="00EC15D3"/>
    <w:rsid w:val="00EC1AC4"/>
    <w:rsid w:val="00EC1E37"/>
    <w:rsid w:val="00EC2B43"/>
    <w:rsid w:val="00EC35B6"/>
    <w:rsid w:val="00EC469C"/>
    <w:rsid w:val="00EC54FB"/>
    <w:rsid w:val="00EC5816"/>
    <w:rsid w:val="00EC6BA5"/>
    <w:rsid w:val="00EC6DD4"/>
    <w:rsid w:val="00EC6F97"/>
    <w:rsid w:val="00EC7368"/>
    <w:rsid w:val="00EC7794"/>
    <w:rsid w:val="00EC7F99"/>
    <w:rsid w:val="00ED0125"/>
    <w:rsid w:val="00ED02C5"/>
    <w:rsid w:val="00ED0A9F"/>
    <w:rsid w:val="00ED0B31"/>
    <w:rsid w:val="00ED0C2B"/>
    <w:rsid w:val="00ED1877"/>
    <w:rsid w:val="00ED2E51"/>
    <w:rsid w:val="00ED452C"/>
    <w:rsid w:val="00ED4678"/>
    <w:rsid w:val="00ED4C81"/>
    <w:rsid w:val="00ED6838"/>
    <w:rsid w:val="00ED6EBE"/>
    <w:rsid w:val="00ED75E4"/>
    <w:rsid w:val="00ED77DF"/>
    <w:rsid w:val="00EE0125"/>
    <w:rsid w:val="00EE047C"/>
    <w:rsid w:val="00EE089A"/>
    <w:rsid w:val="00EE0D30"/>
    <w:rsid w:val="00EE1B8E"/>
    <w:rsid w:val="00EE222B"/>
    <w:rsid w:val="00EE2246"/>
    <w:rsid w:val="00EE280F"/>
    <w:rsid w:val="00EE2A64"/>
    <w:rsid w:val="00EE2B9E"/>
    <w:rsid w:val="00EE3514"/>
    <w:rsid w:val="00EE3740"/>
    <w:rsid w:val="00EE3A78"/>
    <w:rsid w:val="00EE3AC0"/>
    <w:rsid w:val="00EE3DEB"/>
    <w:rsid w:val="00EE435C"/>
    <w:rsid w:val="00EE4922"/>
    <w:rsid w:val="00EE4B02"/>
    <w:rsid w:val="00EE4C69"/>
    <w:rsid w:val="00EE4E76"/>
    <w:rsid w:val="00EE522D"/>
    <w:rsid w:val="00EE52C8"/>
    <w:rsid w:val="00EE5959"/>
    <w:rsid w:val="00EE62A5"/>
    <w:rsid w:val="00EE6326"/>
    <w:rsid w:val="00EE65A2"/>
    <w:rsid w:val="00EE6B5E"/>
    <w:rsid w:val="00EE7C4D"/>
    <w:rsid w:val="00EE7CA6"/>
    <w:rsid w:val="00EF06BE"/>
    <w:rsid w:val="00EF0BD6"/>
    <w:rsid w:val="00EF0D55"/>
    <w:rsid w:val="00EF0EB5"/>
    <w:rsid w:val="00EF0FD8"/>
    <w:rsid w:val="00EF1206"/>
    <w:rsid w:val="00EF1A6A"/>
    <w:rsid w:val="00EF2135"/>
    <w:rsid w:val="00EF41C0"/>
    <w:rsid w:val="00EF6530"/>
    <w:rsid w:val="00EF6833"/>
    <w:rsid w:val="00EF7810"/>
    <w:rsid w:val="00EF7ABA"/>
    <w:rsid w:val="00EF7ED4"/>
    <w:rsid w:val="00F02D63"/>
    <w:rsid w:val="00F02E7C"/>
    <w:rsid w:val="00F031C4"/>
    <w:rsid w:val="00F03486"/>
    <w:rsid w:val="00F03500"/>
    <w:rsid w:val="00F03F29"/>
    <w:rsid w:val="00F044E2"/>
    <w:rsid w:val="00F04790"/>
    <w:rsid w:val="00F04E3A"/>
    <w:rsid w:val="00F06112"/>
    <w:rsid w:val="00F06390"/>
    <w:rsid w:val="00F0648D"/>
    <w:rsid w:val="00F06ACB"/>
    <w:rsid w:val="00F06C1A"/>
    <w:rsid w:val="00F06E1D"/>
    <w:rsid w:val="00F07087"/>
    <w:rsid w:val="00F07A52"/>
    <w:rsid w:val="00F10AE2"/>
    <w:rsid w:val="00F10DD3"/>
    <w:rsid w:val="00F1107B"/>
    <w:rsid w:val="00F11295"/>
    <w:rsid w:val="00F114ED"/>
    <w:rsid w:val="00F11611"/>
    <w:rsid w:val="00F11BAC"/>
    <w:rsid w:val="00F12486"/>
    <w:rsid w:val="00F124AA"/>
    <w:rsid w:val="00F12508"/>
    <w:rsid w:val="00F149B7"/>
    <w:rsid w:val="00F14BA8"/>
    <w:rsid w:val="00F14C3F"/>
    <w:rsid w:val="00F1529F"/>
    <w:rsid w:val="00F15307"/>
    <w:rsid w:val="00F153EF"/>
    <w:rsid w:val="00F1590C"/>
    <w:rsid w:val="00F16318"/>
    <w:rsid w:val="00F165ED"/>
    <w:rsid w:val="00F16DBB"/>
    <w:rsid w:val="00F17572"/>
    <w:rsid w:val="00F20E44"/>
    <w:rsid w:val="00F212BF"/>
    <w:rsid w:val="00F21CCB"/>
    <w:rsid w:val="00F220A9"/>
    <w:rsid w:val="00F22E5D"/>
    <w:rsid w:val="00F232BE"/>
    <w:rsid w:val="00F234BC"/>
    <w:rsid w:val="00F2570F"/>
    <w:rsid w:val="00F25811"/>
    <w:rsid w:val="00F25E58"/>
    <w:rsid w:val="00F26077"/>
    <w:rsid w:val="00F26EE1"/>
    <w:rsid w:val="00F2704D"/>
    <w:rsid w:val="00F272FC"/>
    <w:rsid w:val="00F30241"/>
    <w:rsid w:val="00F31044"/>
    <w:rsid w:val="00F31C90"/>
    <w:rsid w:val="00F31EB7"/>
    <w:rsid w:val="00F3229C"/>
    <w:rsid w:val="00F32536"/>
    <w:rsid w:val="00F3299C"/>
    <w:rsid w:val="00F343BF"/>
    <w:rsid w:val="00F34CBC"/>
    <w:rsid w:val="00F34F9F"/>
    <w:rsid w:val="00F35027"/>
    <w:rsid w:val="00F35718"/>
    <w:rsid w:val="00F35EB2"/>
    <w:rsid w:val="00F368D8"/>
    <w:rsid w:val="00F36BEE"/>
    <w:rsid w:val="00F374B8"/>
    <w:rsid w:val="00F40276"/>
    <w:rsid w:val="00F40B2C"/>
    <w:rsid w:val="00F4135C"/>
    <w:rsid w:val="00F41F46"/>
    <w:rsid w:val="00F423FF"/>
    <w:rsid w:val="00F42865"/>
    <w:rsid w:val="00F429BC"/>
    <w:rsid w:val="00F43067"/>
    <w:rsid w:val="00F431C2"/>
    <w:rsid w:val="00F43C56"/>
    <w:rsid w:val="00F4414A"/>
    <w:rsid w:val="00F441BF"/>
    <w:rsid w:val="00F44833"/>
    <w:rsid w:val="00F45F8F"/>
    <w:rsid w:val="00F4646F"/>
    <w:rsid w:val="00F46A52"/>
    <w:rsid w:val="00F476D6"/>
    <w:rsid w:val="00F47B51"/>
    <w:rsid w:val="00F47F3B"/>
    <w:rsid w:val="00F501E2"/>
    <w:rsid w:val="00F507BE"/>
    <w:rsid w:val="00F50F2C"/>
    <w:rsid w:val="00F5122B"/>
    <w:rsid w:val="00F515E7"/>
    <w:rsid w:val="00F5317D"/>
    <w:rsid w:val="00F54196"/>
    <w:rsid w:val="00F541E3"/>
    <w:rsid w:val="00F5475A"/>
    <w:rsid w:val="00F54C6B"/>
    <w:rsid w:val="00F55026"/>
    <w:rsid w:val="00F55A62"/>
    <w:rsid w:val="00F565AD"/>
    <w:rsid w:val="00F56CA1"/>
    <w:rsid w:val="00F57421"/>
    <w:rsid w:val="00F575B8"/>
    <w:rsid w:val="00F60593"/>
    <w:rsid w:val="00F60944"/>
    <w:rsid w:val="00F60EAF"/>
    <w:rsid w:val="00F6183E"/>
    <w:rsid w:val="00F6208B"/>
    <w:rsid w:val="00F62505"/>
    <w:rsid w:val="00F656D1"/>
    <w:rsid w:val="00F65F46"/>
    <w:rsid w:val="00F704AA"/>
    <w:rsid w:val="00F7081E"/>
    <w:rsid w:val="00F708D0"/>
    <w:rsid w:val="00F71313"/>
    <w:rsid w:val="00F717EA"/>
    <w:rsid w:val="00F73708"/>
    <w:rsid w:val="00F73BC3"/>
    <w:rsid w:val="00F741B3"/>
    <w:rsid w:val="00F74D51"/>
    <w:rsid w:val="00F750FE"/>
    <w:rsid w:val="00F75A9C"/>
    <w:rsid w:val="00F766BB"/>
    <w:rsid w:val="00F76B23"/>
    <w:rsid w:val="00F77537"/>
    <w:rsid w:val="00F77DE5"/>
    <w:rsid w:val="00F807BA"/>
    <w:rsid w:val="00F80AF4"/>
    <w:rsid w:val="00F81040"/>
    <w:rsid w:val="00F81354"/>
    <w:rsid w:val="00F813D3"/>
    <w:rsid w:val="00F81E2A"/>
    <w:rsid w:val="00F8275A"/>
    <w:rsid w:val="00F8333E"/>
    <w:rsid w:val="00F834AD"/>
    <w:rsid w:val="00F83D99"/>
    <w:rsid w:val="00F8446B"/>
    <w:rsid w:val="00F84F13"/>
    <w:rsid w:val="00F8518A"/>
    <w:rsid w:val="00F852C6"/>
    <w:rsid w:val="00F8590B"/>
    <w:rsid w:val="00F86632"/>
    <w:rsid w:val="00F86EB2"/>
    <w:rsid w:val="00F86FB1"/>
    <w:rsid w:val="00F86FF5"/>
    <w:rsid w:val="00F87307"/>
    <w:rsid w:val="00F8754F"/>
    <w:rsid w:val="00F87931"/>
    <w:rsid w:val="00F87BAB"/>
    <w:rsid w:val="00F90416"/>
    <w:rsid w:val="00F90E80"/>
    <w:rsid w:val="00F9159F"/>
    <w:rsid w:val="00F915C5"/>
    <w:rsid w:val="00F91A15"/>
    <w:rsid w:val="00F91B0A"/>
    <w:rsid w:val="00F93499"/>
    <w:rsid w:val="00F9366B"/>
    <w:rsid w:val="00F9559F"/>
    <w:rsid w:val="00F95748"/>
    <w:rsid w:val="00F96080"/>
    <w:rsid w:val="00F96209"/>
    <w:rsid w:val="00F974B4"/>
    <w:rsid w:val="00F97CB2"/>
    <w:rsid w:val="00F97FBE"/>
    <w:rsid w:val="00FA035C"/>
    <w:rsid w:val="00FA0826"/>
    <w:rsid w:val="00FA0B88"/>
    <w:rsid w:val="00FA0E9C"/>
    <w:rsid w:val="00FA10DC"/>
    <w:rsid w:val="00FA1133"/>
    <w:rsid w:val="00FA3E9F"/>
    <w:rsid w:val="00FA3ED5"/>
    <w:rsid w:val="00FA4116"/>
    <w:rsid w:val="00FA44A8"/>
    <w:rsid w:val="00FA4688"/>
    <w:rsid w:val="00FA49C7"/>
    <w:rsid w:val="00FA52C3"/>
    <w:rsid w:val="00FA5874"/>
    <w:rsid w:val="00FA5A2E"/>
    <w:rsid w:val="00FA5A50"/>
    <w:rsid w:val="00FA6169"/>
    <w:rsid w:val="00FA65C1"/>
    <w:rsid w:val="00FA6776"/>
    <w:rsid w:val="00FA6A76"/>
    <w:rsid w:val="00FA6C53"/>
    <w:rsid w:val="00FA7458"/>
    <w:rsid w:val="00FA7468"/>
    <w:rsid w:val="00FA74B0"/>
    <w:rsid w:val="00FA78C6"/>
    <w:rsid w:val="00FB16D1"/>
    <w:rsid w:val="00FB1BCF"/>
    <w:rsid w:val="00FB22D3"/>
    <w:rsid w:val="00FB2912"/>
    <w:rsid w:val="00FB2F03"/>
    <w:rsid w:val="00FB328E"/>
    <w:rsid w:val="00FB3F5F"/>
    <w:rsid w:val="00FB4305"/>
    <w:rsid w:val="00FB437C"/>
    <w:rsid w:val="00FB5107"/>
    <w:rsid w:val="00FB5316"/>
    <w:rsid w:val="00FB55F6"/>
    <w:rsid w:val="00FB5D33"/>
    <w:rsid w:val="00FB5D6F"/>
    <w:rsid w:val="00FB689A"/>
    <w:rsid w:val="00FB6E15"/>
    <w:rsid w:val="00FB6E7B"/>
    <w:rsid w:val="00FB6F5B"/>
    <w:rsid w:val="00FB7954"/>
    <w:rsid w:val="00FB7D7B"/>
    <w:rsid w:val="00FC0675"/>
    <w:rsid w:val="00FC1332"/>
    <w:rsid w:val="00FC1AFE"/>
    <w:rsid w:val="00FC2380"/>
    <w:rsid w:val="00FC37E7"/>
    <w:rsid w:val="00FC3BDA"/>
    <w:rsid w:val="00FC4596"/>
    <w:rsid w:val="00FC5262"/>
    <w:rsid w:val="00FC60F4"/>
    <w:rsid w:val="00FC6949"/>
    <w:rsid w:val="00FC69B9"/>
    <w:rsid w:val="00FC6E76"/>
    <w:rsid w:val="00FC7C60"/>
    <w:rsid w:val="00FC7D3C"/>
    <w:rsid w:val="00FD0DB3"/>
    <w:rsid w:val="00FD0E70"/>
    <w:rsid w:val="00FD1275"/>
    <w:rsid w:val="00FD1A72"/>
    <w:rsid w:val="00FD2E28"/>
    <w:rsid w:val="00FD33A3"/>
    <w:rsid w:val="00FD33A5"/>
    <w:rsid w:val="00FD446C"/>
    <w:rsid w:val="00FD5F71"/>
    <w:rsid w:val="00FD6345"/>
    <w:rsid w:val="00FD65C4"/>
    <w:rsid w:val="00FE063A"/>
    <w:rsid w:val="00FE0D22"/>
    <w:rsid w:val="00FE0DCE"/>
    <w:rsid w:val="00FE138E"/>
    <w:rsid w:val="00FE1643"/>
    <w:rsid w:val="00FE22BD"/>
    <w:rsid w:val="00FE2C46"/>
    <w:rsid w:val="00FE2D32"/>
    <w:rsid w:val="00FE2F58"/>
    <w:rsid w:val="00FE30C4"/>
    <w:rsid w:val="00FE3858"/>
    <w:rsid w:val="00FE3A80"/>
    <w:rsid w:val="00FE3B79"/>
    <w:rsid w:val="00FE3D7D"/>
    <w:rsid w:val="00FE6A7C"/>
    <w:rsid w:val="00FE6B8A"/>
    <w:rsid w:val="00FF03F2"/>
    <w:rsid w:val="00FF054E"/>
    <w:rsid w:val="00FF19C2"/>
    <w:rsid w:val="00FF1BA6"/>
    <w:rsid w:val="00FF24FB"/>
    <w:rsid w:val="00FF2CDE"/>
    <w:rsid w:val="00FF2D5B"/>
    <w:rsid w:val="00FF31A5"/>
    <w:rsid w:val="00FF4B24"/>
    <w:rsid w:val="00FF50EE"/>
    <w:rsid w:val="00FF5151"/>
    <w:rsid w:val="00FF5A78"/>
    <w:rsid w:val="00FF5AB5"/>
    <w:rsid w:val="00FF61FC"/>
    <w:rsid w:val="00FF68CB"/>
    <w:rsid w:val="00FF6A9E"/>
    <w:rsid w:val="00FF7185"/>
    <w:rsid w:val="00FF7271"/>
    <w:rsid w:val="00FF77E8"/>
    <w:rsid w:val="00FF7B5F"/>
    <w:rsid w:val="0157150B"/>
    <w:rsid w:val="02073628"/>
    <w:rsid w:val="025728BD"/>
    <w:rsid w:val="025C4D0D"/>
    <w:rsid w:val="02BD2230"/>
    <w:rsid w:val="02FB17F1"/>
    <w:rsid w:val="033D0455"/>
    <w:rsid w:val="036B1FE3"/>
    <w:rsid w:val="037A46CB"/>
    <w:rsid w:val="03D7499B"/>
    <w:rsid w:val="05495925"/>
    <w:rsid w:val="057C0907"/>
    <w:rsid w:val="05C920E4"/>
    <w:rsid w:val="06287430"/>
    <w:rsid w:val="068B341A"/>
    <w:rsid w:val="06AC080C"/>
    <w:rsid w:val="06C6436E"/>
    <w:rsid w:val="06F13186"/>
    <w:rsid w:val="074A44BA"/>
    <w:rsid w:val="07787F78"/>
    <w:rsid w:val="080B2E72"/>
    <w:rsid w:val="08E5778F"/>
    <w:rsid w:val="09C753D3"/>
    <w:rsid w:val="09D368E7"/>
    <w:rsid w:val="09D538A4"/>
    <w:rsid w:val="0A0F7213"/>
    <w:rsid w:val="0AA46987"/>
    <w:rsid w:val="0AFF764A"/>
    <w:rsid w:val="0B2D798C"/>
    <w:rsid w:val="0BC10E42"/>
    <w:rsid w:val="0C5E05EE"/>
    <w:rsid w:val="0C6505D6"/>
    <w:rsid w:val="0C8F6209"/>
    <w:rsid w:val="0D437899"/>
    <w:rsid w:val="0DB70EBD"/>
    <w:rsid w:val="0E8858DA"/>
    <w:rsid w:val="0E9618CC"/>
    <w:rsid w:val="0EA34BF3"/>
    <w:rsid w:val="0EAA1DF5"/>
    <w:rsid w:val="0FE8027F"/>
    <w:rsid w:val="0FEF7271"/>
    <w:rsid w:val="103C6D5A"/>
    <w:rsid w:val="110F5F39"/>
    <w:rsid w:val="125E2082"/>
    <w:rsid w:val="128C737A"/>
    <w:rsid w:val="131B6841"/>
    <w:rsid w:val="132D6B7B"/>
    <w:rsid w:val="142622D6"/>
    <w:rsid w:val="14793DFD"/>
    <w:rsid w:val="14C918CA"/>
    <w:rsid w:val="1523426C"/>
    <w:rsid w:val="15A515F4"/>
    <w:rsid w:val="15CB2C05"/>
    <w:rsid w:val="160B469F"/>
    <w:rsid w:val="168261AD"/>
    <w:rsid w:val="169B0C49"/>
    <w:rsid w:val="173F68E4"/>
    <w:rsid w:val="174624C0"/>
    <w:rsid w:val="176F1AE5"/>
    <w:rsid w:val="178A36CF"/>
    <w:rsid w:val="18241B2B"/>
    <w:rsid w:val="18413C00"/>
    <w:rsid w:val="1888226F"/>
    <w:rsid w:val="18A83C69"/>
    <w:rsid w:val="18EE4BAE"/>
    <w:rsid w:val="192B1DDC"/>
    <w:rsid w:val="19CF74F8"/>
    <w:rsid w:val="1A827BFA"/>
    <w:rsid w:val="1A966384"/>
    <w:rsid w:val="1AFC6A79"/>
    <w:rsid w:val="1BB87128"/>
    <w:rsid w:val="1BEF6B50"/>
    <w:rsid w:val="1C670B81"/>
    <w:rsid w:val="1D523A52"/>
    <w:rsid w:val="1D526D56"/>
    <w:rsid w:val="1D5F065A"/>
    <w:rsid w:val="1DAD1E55"/>
    <w:rsid w:val="1DBA3029"/>
    <w:rsid w:val="1DED1AA6"/>
    <w:rsid w:val="1E1F5A59"/>
    <w:rsid w:val="1E6B4064"/>
    <w:rsid w:val="1EC6582E"/>
    <w:rsid w:val="1ED43296"/>
    <w:rsid w:val="1F2F0EE2"/>
    <w:rsid w:val="1FA63AC9"/>
    <w:rsid w:val="1FD56993"/>
    <w:rsid w:val="1FEA0822"/>
    <w:rsid w:val="200611BA"/>
    <w:rsid w:val="20B23BED"/>
    <w:rsid w:val="20F229A2"/>
    <w:rsid w:val="214E485F"/>
    <w:rsid w:val="216F6920"/>
    <w:rsid w:val="21A20C40"/>
    <w:rsid w:val="2220778E"/>
    <w:rsid w:val="2276023A"/>
    <w:rsid w:val="22C10155"/>
    <w:rsid w:val="22EC0ABB"/>
    <w:rsid w:val="22FE0208"/>
    <w:rsid w:val="237A6045"/>
    <w:rsid w:val="24090673"/>
    <w:rsid w:val="249271EB"/>
    <w:rsid w:val="24D14A08"/>
    <w:rsid w:val="24FF38EE"/>
    <w:rsid w:val="25397E54"/>
    <w:rsid w:val="25875CF6"/>
    <w:rsid w:val="26302DC7"/>
    <w:rsid w:val="26DA71CE"/>
    <w:rsid w:val="27EF573E"/>
    <w:rsid w:val="28AE35F1"/>
    <w:rsid w:val="28E2586D"/>
    <w:rsid w:val="29FF726A"/>
    <w:rsid w:val="2A3353AC"/>
    <w:rsid w:val="2A5576D8"/>
    <w:rsid w:val="2AF74800"/>
    <w:rsid w:val="2AF941C5"/>
    <w:rsid w:val="2B825CC0"/>
    <w:rsid w:val="2BC9518B"/>
    <w:rsid w:val="2D2B3EFC"/>
    <w:rsid w:val="2DDD048E"/>
    <w:rsid w:val="2E011306"/>
    <w:rsid w:val="2E781511"/>
    <w:rsid w:val="2E994C23"/>
    <w:rsid w:val="2EC36EC6"/>
    <w:rsid w:val="2F125EC3"/>
    <w:rsid w:val="2F2D52F8"/>
    <w:rsid w:val="2F6904A7"/>
    <w:rsid w:val="2F6F6F32"/>
    <w:rsid w:val="2FED17FC"/>
    <w:rsid w:val="309F26F9"/>
    <w:rsid w:val="31372D16"/>
    <w:rsid w:val="31952DA8"/>
    <w:rsid w:val="32A74610"/>
    <w:rsid w:val="33392E5C"/>
    <w:rsid w:val="334A4F16"/>
    <w:rsid w:val="3389258D"/>
    <w:rsid w:val="33A24F98"/>
    <w:rsid w:val="34471D44"/>
    <w:rsid w:val="3452456F"/>
    <w:rsid w:val="34873E29"/>
    <w:rsid w:val="34A949AA"/>
    <w:rsid w:val="35000AAC"/>
    <w:rsid w:val="352407AB"/>
    <w:rsid w:val="353A7F09"/>
    <w:rsid w:val="35E211C4"/>
    <w:rsid w:val="35FC5DC9"/>
    <w:rsid w:val="3604601A"/>
    <w:rsid w:val="366253F9"/>
    <w:rsid w:val="36F3395F"/>
    <w:rsid w:val="373970AD"/>
    <w:rsid w:val="381148DB"/>
    <w:rsid w:val="38141791"/>
    <w:rsid w:val="384748FE"/>
    <w:rsid w:val="38551496"/>
    <w:rsid w:val="38887329"/>
    <w:rsid w:val="38A15A35"/>
    <w:rsid w:val="38A479DD"/>
    <w:rsid w:val="38D6213D"/>
    <w:rsid w:val="392527B0"/>
    <w:rsid w:val="39C3689A"/>
    <w:rsid w:val="39D94A99"/>
    <w:rsid w:val="3A092A82"/>
    <w:rsid w:val="3A5819A5"/>
    <w:rsid w:val="3A694CFA"/>
    <w:rsid w:val="3B276A32"/>
    <w:rsid w:val="3B742942"/>
    <w:rsid w:val="3C08435F"/>
    <w:rsid w:val="3C23378E"/>
    <w:rsid w:val="3C324279"/>
    <w:rsid w:val="3CB51CB4"/>
    <w:rsid w:val="3CC60A72"/>
    <w:rsid w:val="3CDD00E4"/>
    <w:rsid w:val="3D0834BD"/>
    <w:rsid w:val="3D5E6E83"/>
    <w:rsid w:val="3D997608"/>
    <w:rsid w:val="3DF6165A"/>
    <w:rsid w:val="3E7C35AB"/>
    <w:rsid w:val="3E816C4F"/>
    <w:rsid w:val="3EA32E3D"/>
    <w:rsid w:val="3EFE73B3"/>
    <w:rsid w:val="3F0C378D"/>
    <w:rsid w:val="3F7A1A16"/>
    <w:rsid w:val="3FB262AD"/>
    <w:rsid w:val="40AC3A88"/>
    <w:rsid w:val="415221E1"/>
    <w:rsid w:val="41572FE4"/>
    <w:rsid w:val="41EE6137"/>
    <w:rsid w:val="41F26F7E"/>
    <w:rsid w:val="424756DA"/>
    <w:rsid w:val="42FA6CE3"/>
    <w:rsid w:val="43654793"/>
    <w:rsid w:val="43B64843"/>
    <w:rsid w:val="43E37D75"/>
    <w:rsid w:val="44F913F1"/>
    <w:rsid w:val="44FF2E12"/>
    <w:rsid w:val="45006C59"/>
    <w:rsid w:val="452913C9"/>
    <w:rsid w:val="456E52CE"/>
    <w:rsid w:val="45BD5E20"/>
    <w:rsid w:val="461A79FE"/>
    <w:rsid w:val="46C005C5"/>
    <w:rsid w:val="46E4649F"/>
    <w:rsid w:val="473F1B46"/>
    <w:rsid w:val="476B69E3"/>
    <w:rsid w:val="47B24089"/>
    <w:rsid w:val="483D255E"/>
    <w:rsid w:val="48597E45"/>
    <w:rsid w:val="48A72238"/>
    <w:rsid w:val="497610BA"/>
    <w:rsid w:val="4994117A"/>
    <w:rsid w:val="49C36A40"/>
    <w:rsid w:val="4BB94472"/>
    <w:rsid w:val="4BE83EBD"/>
    <w:rsid w:val="4C162924"/>
    <w:rsid w:val="4C670169"/>
    <w:rsid w:val="4CAE4A1E"/>
    <w:rsid w:val="4CE47985"/>
    <w:rsid w:val="4D6F1545"/>
    <w:rsid w:val="4E061E47"/>
    <w:rsid w:val="4E54668B"/>
    <w:rsid w:val="4E83714D"/>
    <w:rsid w:val="4E91432C"/>
    <w:rsid w:val="500F28A6"/>
    <w:rsid w:val="50204A8F"/>
    <w:rsid w:val="50413B2E"/>
    <w:rsid w:val="50C873A7"/>
    <w:rsid w:val="50DD4ED7"/>
    <w:rsid w:val="51BD5BE1"/>
    <w:rsid w:val="51EC4766"/>
    <w:rsid w:val="5214683A"/>
    <w:rsid w:val="52384C35"/>
    <w:rsid w:val="53592573"/>
    <w:rsid w:val="539F368D"/>
    <w:rsid w:val="54216EB5"/>
    <w:rsid w:val="547A7A84"/>
    <w:rsid w:val="549A6AE7"/>
    <w:rsid w:val="54A241B9"/>
    <w:rsid w:val="553B208E"/>
    <w:rsid w:val="5552364F"/>
    <w:rsid w:val="56A4036E"/>
    <w:rsid w:val="57795BD2"/>
    <w:rsid w:val="57FE23D7"/>
    <w:rsid w:val="58207506"/>
    <w:rsid w:val="585C0C76"/>
    <w:rsid w:val="59403878"/>
    <w:rsid w:val="59D7014B"/>
    <w:rsid w:val="5A6A1F8C"/>
    <w:rsid w:val="5AC265BA"/>
    <w:rsid w:val="5B1A798E"/>
    <w:rsid w:val="5B202B5A"/>
    <w:rsid w:val="5B2718EF"/>
    <w:rsid w:val="5B327ED2"/>
    <w:rsid w:val="5B332720"/>
    <w:rsid w:val="5B97756F"/>
    <w:rsid w:val="5BD64800"/>
    <w:rsid w:val="5BD84B11"/>
    <w:rsid w:val="5C643093"/>
    <w:rsid w:val="5C960AE3"/>
    <w:rsid w:val="5CE609CD"/>
    <w:rsid w:val="5E5917B9"/>
    <w:rsid w:val="5EFD1CE7"/>
    <w:rsid w:val="5F545C48"/>
    <w:rsid w:val="5F771A5E"/>
    <w:rsid w:val="604360DA"/>
    <w:rsid w:val="6068488C"/>
    <w:rsid w:val="60BC49AA"/>
    <w:rsid w:val="60BD7D13"/>
    <w:rsid w:val="60CF7069"/>
    <w:rsid w:val="619D79A4"/>
    <w:rsid w:val="61D70234"/>
    <w:rsid w:val="630569EC"/>
    <w:rsid w:val="632E647D"/>
    <w:rsid w:val="63C055E5"/>
    <w:rsid w:val="642248CA"/>
    <w:rsid w:val="6427672D"/>
    <w:rsid w:val="6453138B"/>
    <w:rsid w:val="649E70CD"/>
    <w:rsid w:val="65A6026B"/>
    <w:rsid w:val="65FD4D2A"/>
    <w:rsid w:val="660126E3"/>
    <w:rsid w:val="66574CEE"/>
    <w:rsid w:val="66ED73E8"/>
    <w:rsid w:val="67224BB9"/>
    <w:rsid w:val="673175F3"/>
    <w:rsid w:val="684F4B88"/>
    <w:rsid w:val="685774F4"/>
    <w:rsid w:val="6A157BA8"/>
    <w:rsid w:val="6A1D040E"/>
    <w:rsid w:val="6AE50061"/>
    <w:rsid w:val="6B606143"/>
    <w:rsid w:val="6C9015CC"/>
    <w:rsid w:val="6C9024A1"/>
    <w:rsid w:val="6CC80F4A"/>
    <w:rsid w:val="6D843430"/>
    <w:rsid w:val="6DF0571F"/>
    <w:rsid w:val="6E7B6257"/>
    <w:rsid w:val="6EE17C8D"/>
    <w:rsid w:val="6EE9715F"/>
    <w:rsid w:val="6F872B77"/>
    <w:rsid w:val="704A4CA0"/>
    <w:rsid w:val="70507CFD"/>
    <w:rsid w:val="7085148B"/>
    <w:rsid w:val="70FF1D0B"/>
    <w:rsid w:val="717950A5"/>
    <w:rsid w:val="71A83A48"/>
    <w:rsid w:val="720603B7"/>
    <w:rsid w:val="72934C3B"/>
    <w:rsid w:val="72E04817"/>
    <w:rsid w:val="72EA44B9"/>
    <w:rsid w:val="72FC3212"/>
    <w:rsid w:val="73671B05"/>
    <w:rsid w:val="73CB7827"/>
    <w:rsid w:val="73E6310E"/>
    <w:rsid w:val="74092D49"/>
    <w:rsid w:val="74605904"/>
    <w:rsid w:val="747248A5"/>
    <w:rsid w:val="749E1FAA"/>
    <w:rsid w:val="759834F1"/>
    <w:rsid w:val="768C03AB"/>
    <w:rsid w:val="76E26C6A"/>
    <w:rsid w:val="76EE7425"/>
    <w:rsid w:val="77531EC5"/>
    <w:rsid w:val="77B340CD"/>
    <w:rsid w:val="77D10BEF"/>
    <w:rsid w:val="77E92831"/>
    <w:rsid w:val="78170D6B"/>
    <w:rsid w:val="785A0A14"/>
    <w:rsid w:val="794541A7"/>
    <w:rsid w:val="795251FD"/>
    <w:rsid w:val="7A2B5809"/>
    <w:rsid w:val="7A4007DC"/>
    <w:rsid w:val="7B311EB2"/>
    <w:rsid w:val="7B3265F8"/>
    <w:rsid w:val="7BEC633D"/>
    <w:rsid w:val="7BEC6D8F"/>
    <w:rsid w:val="7C760791"/>
    <w:rsid w:val="7C7E11D8"/>
    <w:rsid w:val="7CA5265E"/>
    <w:rsid w:val="7CEE4BAF"/>
    <w:rsid w:val="7D0E3115"/>
    <w:rsid w:val="7D7E5A7A"/>
    <w:rsid w:val="7D8C2BA3"/>
    <w:rsid w:val="7DAD7E0E"/>
    <w:rsid w:val="7E1E6C68"/>
    <w:rsid w:val="7EFC42E6"/>
    <w:rsid w:val="7F0C56E0"/>
    <w:rsid w:val="7FB44586"/>
    <w:rsid w:val="7FE645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3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2"/>
    <w:qFormat/>
    <w:uiPriority w:val="0"/>
    <w:pPr>
      <w:keepNext/>
      <w:outlineLvl w:val="0"/>
    </w:pPr>
    <w:rPr>
      <w:b/>
    </w:rPr>
  </w:style>
  <w:style w:type="paragraph" w:styleId="4">
    <w:name w:val="heading 2"/>
    <w:basedOn w:val="1"/>
    <w:next w:val="1"/>
    <w:link w:val="142"/>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131"/>
    <w:qFormat/>
    <w:uiPriority w:val="0"/>
    <w:pPr>
      <w:keepNext/>
      <w:keepLines/>
      <w:spacing w:before="260" w:after="260" w:line="416" w:lineRule="auto"/>
      <w:outlineLvl w:val="2"/>
    </w:pPr>
    <w:rPr>
      <w:b/>
      <w:bCs/>
      <w:sz w:val="32"/>
      <w:szCs w:val="32"/>
    </w:rPr>
  </w:style>
  <w:style w:type="paragraph" w:styleId="6">
    <w:name w:val="heading 4"/>
    <w:basedOn w:val="1"/>
    <w:next w:val="1"/>
    <w:link w:val="68"/>
    <w:qFormat/>
    <w:uiPriority w:val="0"/>
    <w:pPr>
      <w:keepNext/>
      <w:keepLines/>
      <w:numPr>
        <w:ilvl w:val="3"/>
        <w:numId w:val="1"/>
      </w:numPr>
      <w:spacing w:before="280" w:after="290" w:line="376" w:lineRule="auto"/>
      <w:outlineLvl w:val="3"/>
    </w:pPr>
    <w:rPr>
      <w:rFonts w:ascii="Arial" w:hAnsi="Arial" w:eastAsia="黑体"/>
      <w:b/>
      <w:sz w:val="28"/>
      <w:szCs w:val="20"/>
    </w:rPr>
  </w:style>
  <w:style w:type="paragraph" w:styleId="7">
    <w:name w:val="heading 5"/>
    <w:basedOn w:val="1"/>
    <w:next w:val="8"/>
    <w:link w:val="111"/>
    <w:qFormat/>
    <w:uiPriority w:val="0"/>
    <w:pPr>
      <w:keepNext/>
      <w:keepLines/>
      <w:numPr>
        <w:ilvl w:val="4"/>
        <w:numId w:val="1"/>
      </w:numPr>
      <w:spacing w:before="280" w:after="290" w:line="376" w:lineRule="auto"/>
      <w:outlineLvl w:val="4"/>
    </w:pPr>
    <w:rPr>
      <w:b/>
      <w:sz w:val="28"/>
      <w:szCs w:val="20"/>
    </w:rPr>
  </w:style>
  <w:style w:type="paragraph" w:styleId="2">
    <w:name w:val="heading 6"/>
    <w:basedOn w:val="1"/>
    <w:next w:val="1"/>
    <w:link w:val="125"/>
    <w:qFormat/>
    <w:uiPriority w:val="0"/>
    <w:pPr>
      <w:keepNext/>
      <w:keepLines/>
      <w:numPr>
        <w:ilvl w:val="5"/>
        <w:numId w:val="1"/>
      </w:numPr>
      <w:spacing w:before="240" w:after="64" w:line="320" w:lineRule="auto"/>
      <w:outlineLvl w:val="5"/>
    </w:pPr>
    <w:rPr>
      <w:rFonts w:ascii="Arial" w:hAnsi="Arial" w:eastAsia="黑体"/>
      <w:b/>
      <w:sz w:val="24"/>
      <w:szCs w:val="20"/>
    </w:rPr>
  </w:style>
  <w:style w:type="paragraph" w:styleId="9">
    <w:name w:val="heading 7"/>
    <w:basedOn w:val="1"/>
    <w:next w:val="8"/>
    <w:link w:val="84"/>
    <w:qFormat/>
    <w:uiPriority w:val="0"/>
    <w:pPr>
      <w:keepNext/>
      <w:keepLines/>
      <w:numPr>
        <w:ilvl w:val="6"/>
        <w:numId w:val="1"/>
      </w:numPr>
      <w:spacing w:before="240" w:after="64" w:line="320" w:lineRule="auto"/>
      <w:outlineLvl w:val="6"/>
    </w:pPr>
    <w:rPr>
      <w:b/>
      <w:sz w:val="24"/>
      <w:szCs w:val="20"/>
    </w:rPr>
  </w:style>
  <w:style w:type="paragraph" w:styleId="10">
    <w:name w:val="heading 8"/>
    <w:basedOn w:val="1"/>
    <w:next w:val="8"/>
    <w:link w:val="80"/>
    <w:qFormat/>
    <w:uiPriority w:val="0"/>
    <w:pPr>
      <w:keepNext/>
      <w:keepLines/>
      <w:numPr>
        <w:ilvl w:val="7"/>
        <w:numId w:val="1"/>
      </w:numPr>
      <w:spacing w:before="240" w:after="64" w:line="320" w:lineRule="auto"/>
      <w:outlineLvl w:val="7"/>
    </w:pPr>
    <w:rPr>
      <w:rFonts w:ascii="Arial" w:hAnsi="Arial" w:eastAsia="黑体"/>
      <w:sz w:val="24"/>
      <w:szCs w:val="20"/>
    </w:rPr>
  </w:style>
  <w:style w:type="paragraph" w:styleId="11">
    <w:name w:val="heading 9"/>
    <w:basedOn w:val="1"/>
    <w:next w:val="8"/>
    <w:link w:val="116"/>
    <w:qFormat/>
    <w:uiPriority w:val="0"/>
    <w:pPr>
      <w:keepNext/>
      <w:keepLines/>
      <w:numPr>
        <w:ilvl w:val="8"/>
        <w:numId w:val="1"/>
      </w:numPr>
      <w:spacing w:before="240" w:after="64" w:line="320" w:lineRule="auto"/>
      <w:outlineLvl w:val="8"/>
    </w:pPr>
    <w:rPr>
      <w:rFonts w:ascii="Arial" w:hAnsi="Arial" w:eastAsia="黑体"/>
      <w:szCs w:val="20"/>
    </w:rPr>
  </w:style>
  <w:style w:type="character" w:default="1" w:styleId="42">
    <w:name w:val="Default Paragraph Font"/>
    <w:semiHidden/>
    <w:unhideWhenUsed/>
    <w:qFormat/>
    <w:uiPriority w:val="1"/>
  </w:style>
  <w:style w:type="table" w:default="1" w:styleId="40">
    <w:name w:val="Normal Table"/>
    <w:semiHidden/>
    <w:unhideWhenUsed/>
    <w:qFormat/>
    <w:uiPriority w:val="99"/>
    <w:tblPr>
      <w:tblCellMar>
        <w:top w:w="0" w:type="dxa"/>
        <w:left w:w="108" w:type="dxa"/>
        <w:bottom w:w="0" w:type="dxa"/>
        <w:right w:w="108" w:type="dxa"/>
      </w:tblCellMar>
    </w:tblPr>
  </w:style>
  <w:style w:type="paragraph" w:styleId="8">
    <w:name w:val="Normal Indent"/>
    <w:basedOn w:val="1"/>
    <w:link w:val="71"/>
    <w:qFormat/>
    <w:uiPriority w:val="0"/>
    <w:pPr>
      <w:ind w:firstLine="420"/>
    </w:pPr>
    <w:rPr>
      <w:szCs w:val="20"/>
    </w:rPr>
  </w:style>
  <w:style w:type="paragraph" w:styleId="12">
    <w:name w:val="List Number"/>
    <w:basedOn w:val="1"/>
    <w:qFormat/>
    <w:uiPriority w:val="0"/>
    <w:pPr>
      <w:numPr>
        <w:ilvl w:val="0"/>
        <w:numId w:val="2"/>
      </w:numPr>
      <w:contextualSpacing/>
    </w:pPr>
  </w:style>
  <w:style w:type="paragraph" w:styleId="13">
    <w:name w:val="caption"/>
    <w:basedOn w:val="1"/>
    <w:next w:val="1"/>
    <w:qFormat/>
    <w:uiPriority w:val="0"/>
    <w:rPr>
      <w:rFonts w:ascii="Arial" w:hAnsi="Arial" w:eastAsia="黑体" w:cs="Arial"/>
      <w:sz w:val="20"/>
      <w:szCs w:val="20"/>
    </w:rPr>
  </w:style>
  <w:style w:type="paragraph" w:styleId="14">
    <w:name w:val="Document Map"/>
    <w:basedOn w:val="1"/>
    <w:link w:val="138"/>
    <w:semiHidden/>
    <w:qFormat/>
    <w:uiPriority w:val="0"/>
    <w:pPr>
      <w:shd w:val="clear" w:color="auto" w:fill="000080"/>
    </w:pPr>
  </w:style>
  <w:style w:type="paragraph" w:styleId="15">
    <w:name w:val="annotation text"/>
    <w:basedOn w:val="1"/>
    <w:link w:val="51"/>
    <w:semiHidden/>
    <w:qFormat/>
    <w:uiPriority w:val="0"/>
    <w:pPr>
      <w:jc w:val="left"/>
    </w:pPr>
  </w:style>
  <w:style w:type="paragraph" w:styleId="16">
    <w:name w:val="Body Text 3"/>
    <w:basedOn w:val="1"/>
    <w:link w:val="65"/>
    <w:qFormat/>
    <w:uiPriority w:val="0"/>
    <w:pPr>
      <w:widowControl/>
      <w:spacing w:after="120" w:line="360" w:lineRule="auto"/>
      <w:ind w:firstLine="480" w:firstLineChars="200"/>
      <w:jc w:val="left"/>
    </w:pPr>
    <w:rPr>
      <w:rFonts w:ascii="华文中宋" w:hAnsi="华文中宋" w:eastAsia="华文中宋"/>
      <w:kern w:val="0"/>
      <w:sz w:val="16"/>
      <w:szCs w:val="16"/>
    </w:rPr>
  </w:style>
  <w:style w:type="paragraph" w:styleId="17">
    <w:name w:val="Body Text"/>
    <w:basedOn w:val="1"/>
    <w:link w:val="117"/>
    <w:qFormat/>
    <w:uiPriority w:val="0"/>
    <w:pPr>
      <w:spacing w:after="120"/>
    </w:pPr>
    <w:rPr>
      <w:szCs w:val="20"/>
    </w:rPr>
  </w:style>
  <w:style w:type="paragraph" w:styleId="18">
    <w:name w:val="Body Text Indent"/>
    <w:basedOn w:val="1"/>
    <w:link w:val="79"/>
    <w:qFormat/>
    <w:uiPriority w:val="0"/>
    <w:pPr>
      <w:spacing w:line="200" w:lineRule="exact"/>
      <w:ind w:firstLine="301"/>
    </w:pPr>
    <w:rPr>
      <w:rFonts w:ascii="宋体" w:hAnsi="Courier New"/>
      <w:spacing w:val="-4"/>
      <w:sz w:val="18"/>
      <w:szCs w:val="20"/>
    </w:rPr>
  </w:style>
  <w:style w:type="paragraph" w:styleId="19">
    <w:name w:val="List 2"/>
    <w:basedOn w:val="1"/>
    <w:qFormat/>
    <w:uiPriority w:val="0"/>
    <w:pPr>
      <w:adjustRightInd w:val="0"/>
      <w:snapToGrid w:val="0"/>
      <w:spacing w:line="360" w:lineRule="auto"/>
      <w:ind w:left="100" w:leftChars="200" w:hanging="200" w:hangingChars="200"/>
    </w:pPr>
    <w:rPr>
      <w:sz w:val="28"/>
    </w:rPr>
  </w:style>
  <w:style w:type="paragraph" w:styleId="20">
    <w:name w:val="Plain Text"/>
    <w:basedOn w:val="1"/>
    <w:link w:val="97"/>
    <w:qFormat/>
    <w:uiPriority w:val="0"/>
    <w:rPr>
      <w:rFonts w:ascii="宋体" w:hAnsi="Courier New"/>
      <w:szCs w:val="20"/>
    </w:rPr>
  </w:style>
  <w:style w:type="paragraph" w:styleId="21">
    <w:name w:val="Date"/>
    <w:basedOn w:val="1"/>
    <w:next w:val="1"/>
    <w:link w:val="110"/>
    <w:qFormat/>
    <w:uiPriority w:val="0"/>
    <w:pPr>
      <w:ind w:left="100" w:leftChars="2500"/>
    </w:pPr>
    <w:rPr>
      <w:rFonts w:ascii="宋体" w:hAnsi="Courier New" w:cs="Courier New"/>
      <w:szCs w:val="21"/>
    </w:rPr>
  </w:style>
  <w:style w:type="paragraph" w:styleId="22">
    <w:name w:val="Body Text Indent 2"/>
    <w:basedOn w:val="1"/>
    <w:link w:val="124"/>
    <w:qFormat/>
    <w:uiPriority w:val="0"/>
    <w:pPr>
      <w:spacing w:after="120" w:line="480" w:lineRule="auto"/>
      <w:ind w:left="420" w:leftChars="200" w:firstLine="480" w:firstLineChars="200"/>
    </w:pPr>
    <w:rPr>
      <w:rFonts w:ascii="华文中宋" w:hAnsi="华文中宋" w:eastAsia="华文中宋"/>
      <w:kern w:val="0"/>
      <w:sz w:val="24"/>
    </w:rPr>
  </w:style>
  <w:style w:type="paragraph" w:styleId="23">
    <w:name w:val="Balloon Text"/>
    <w:basedOn w:val="1"/>
    <w:link w:val="113"/>
    <w:semiHidden/>
    <w:qFormat/>
    <w:uiPriority w:val="0"/>
    <w:rPr>
      <w:sz w:val="18"/>
      <w:szCs w:val="18"/>
    </w:rPr>
  </w:style>
  <w:style w:type="paragraph" w:styleId="24">
    <w:name w:val="footer"/>
    <w:basedOn w:val="1"/>
    <w:link w:val="108"/>
    <w:qFormat/>
    <w:uiPriority w:val="0"/>
    <w:pPr>
      <w:tabs>
        <w:tab w:val="center" w:pos="4153"/>
        <w:tab w:val="right" w:pos="8306"/>
      </w:tabs>
      <w:snapToGrid w:val="0"/>
      <w:jc w:val="left"/>
    </w:pPr>
    <w:rPr>
      <w:rFonts w:ascii="宋体" w:hAnsi="Courier New"/>
      <w:sz w:val="18"/>
      <w:szCs w:val="20"/>
    </w:rPr>
  </w:style>
  <w:style w:type="paragraph" w:styleId="25">
    <w:name w:val="header"/>
    <w:basedOn w:val="1"/>
    <w:link w:val="143"/>
    <w:qFormat/>
    <w:uiPriority w:val="0"/>
    <w:pPr>
      <w:pBdr>
        <w:bottom w:val="single" w:color="auto" w:sz="6" w:space="1"/>
      </w:pBdr>
      <w:tabs>
        <w:tab w:val="center" w:pos="4153"/>
        <w:tab w:val="right" w:pos="8306"/>
      </w:tabs>
      <w:snapToGrid w:val="0"/>
      <w:jc w:val="center"/>
    </w:pPr>
    <w:rPr>
      <w:rFonts w:ascii="宋体" w:hAnsi="Courier New"/>
      <w:sz w:val="18"/>
      <w:szCs w:val="20"/>
    </w:rPr>
  </w:style>
  <w:style w:type="paragraph" w:styleId="26">
    <w:name w:val="toc 1"/>
    <w:basedOn w:val="1"/>
    <w:next w:val="1"/>
    <w:semiHidden/>
    <w:qFormat/>
    <w:uiPriority w:val="0"/>
    <w:pPr>
      <w:tabs>
        <w:tab w:val="right" w:leader="dot" w:pos="8820"/>
      </w:tabs>
      <w:spacing w:line="500" w:lineRule="exact"/>
      <w:ind w:left="359" w:leftChars="171" w:right="1134" w:firstLine="51" w:firstLineChars="14"/>
      <w:jc w:val="left"/>
    </w:pPr>
    <w:rPr>
      <w:rFonts w:ascii="宋体" w:hAnsi="宋体"/>
      <w:b/>
      <w:bCs/>
      <w:caps/>
      <w:szCs w:val="21"/>
    </w:rPr>
  </w:style>
  <w:style w:type="paragraph" w:styleId="27">
    <w:name w:val="index heading"/>
    <w:basedOn w:val="1"/>
    <w:next w:val="28"/>
    <w:qFormat/>
    <w:uiPriority w:val="0"/>
    <w:rPr>
      <w:szCs w:val="21"/>
    </w:rPr>
  </w:style>
  <w:style w:type="paragraph" w:styleId="28">
    <w:name w:val="index 1"/>
    <w:basedOn w:val="1"/>
    <w:next w:val="1"/>
    <w:semiHidden/>
    <w:qFormat/>
    <w:uiPriority w:val="0"/>
    <w:pPr>
      <w:spacing w:line="360" w:lineRule="auto"/>
    </w:pPr>
    <w:rPr>
      <w:rFonts w:ascii="宋体" w:hAnsi="宋体"/>
      <w:bCs/>
      <w:szCs w:val="21"/>
    </w:rPr>
  </w:style>
  <w:style w:type="paragraph" w:styleId="29">
    <w:name w:val="Subtitle"/>
    <w:basedOn w:val="1"/>
    <w:next w:val="1"/>
    <w:qFormat/>
    <w:uiPriority w:val="0"/>
    <w:pPr>
      <w:spacing w:before="240" w:after="60" w:line="312" w:lineRule="auto"/>
      <w:jc w:val="center"/>
      <w:outlineLvl w:val="1"/>
    </w:pPr>
    <w:rPr>
      <w:rFonts w:ascii="Calibri" w:hAnsi="Calibri" w:eastAsia="Times New Roman"/>
      <w:b/>
      <w:bCs/>
      <w:kern w:val="28"/>
      <w:sz w:val="32"/>
      <w:szCs w:val="32"/>
    </w:rPr>
  </w:style>
  <w:style w:type="paragraph" w:styleId="30">
    <w:name w:val="Body Text Indent 3"/>
    <w:basedOn w:val="1"/>
    <w:link w:val="60"/>
    <w:qFormat/>
    <w:uiPriority w:val="0"/>
    <w:pPr>
      <w:spacing w:after="120"/>
      <w:ind w:left="420" w:leftChars="200"/>
    </w:pPr>
    <w:rPr>
      <w:sz w:val="16"/>
      <w:szCs w:val="16"/>
    </w:rPr>
  </w:style>
  <w:style w:type="paragraph" w:styleId="31">
    <w:name w:val="toc 2"/>
    <w:basedOn w:val="1"/>
    <w:next w:val="1"/>
    <w:semiHidden/>
    <w:qFormat/>
    <w:uiPriority w:val="0"/>
    <w:pPr>
      <w:tabs>
        <w:tab w:val="right" w:leader="dot" w:pos="8280"/>
      </w:tabs>
      <w:spacing w:line="320" w:lineRule="exact"/>
      <w:ind w:left="902"/>
      <w:jc w:val="left"/>
    </w:pPr>
    <w:rPr>
      <w:rFonts w:ascii="宋体" w:hAnsi="宋体"/>
      <w:smallCaps/>
      <w:sz w:val="20"/>
      <w:szCs w:val="20"/>
    </w:rPr>
  </w:style>
  <w:style w:type="paragraph" w:styleId="32">
    <w:name w:val="toc 9"/>
    <w:basedOn w:val="1"/>
    <w:next w:val="1"/>
    <w:unhideWhenUsed/>
    <w:qFormat/>
    <w:uiPriority w:val="0"/>
    <w:pPr>
      <w:ind w:left="1680"/>
      <w:jc w:val="left"/>
    </w:pPr>
    <w:rPr>
      <w:rFonts w:ascii="Calibri" w:hAnsi="Calibri"/>
      <w:sz w:val="18"/>
      <w:szCs w:val="18"/>
    </w:rPr>
  </w:style>
  <w:style w:type="paragraph" w:styleId="33">
    <w:name w:val="Body Text 2"/>
    <w:basedOn w:val="1"/>
    <w:link w:val="123"/>
    <w:qFormat/>
    <w:uiPriority w:val="0"/>
    <w:pPr>
      <w:spacing w:after="120" w:line="480" w:lineRule="auto"/>
    </w:pPr>
  </w:style>
  <w:style w:type="paragraph" w:styleId="34">
    <w:name w:val="HTML Preformatted"/>
    <w:basedOn w:val="1"/>
    <w:link w:val="7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35">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36">
    <w:name w:val="Title"/>
    <w:basedOn w:val="1"/>
    <w:next w:val="1"/>
    <w:link w:val="90"/>
    <w:qFormat/>
    <w:uiPriority w:val="0"/>
    <w:pPr>
      <w:widowControl/>
      <w:spacing w:before="240" w:after="60" w:line="360" w:lineRule="auto"/>
      <w:ind w:firstLine="200" w:firstLineChars="200"/>
      <w:jc w:val="left"/>
      <w:outlineLvl w:val="4"/>
    </w:pPr>
    <w:rPr>
      <w:rFonts w:ascii="Cambria" w:hAnsi="Cambria" w:eastAsia="华文中宋"/>
      <w:b/>
      <w:bCs/>
      <w:kern w:val="28"/>
      <w:sz w:val="24"/>
      <w:szCs w:val="32"/>
      <w:lang w:eastAsia="en-US"/>
    </w:rPr>
  </w:style>
  <w:style w:type="paragraph" w:styleId="37">
    <w:name w:val="annotation subject"/>
    <w:basedOn w:val="15"/>
    <w:next w:val="15"/>
    <w:link w:val="96"/>
    <w:semiHidden/>
    <w:qFormat/>
    <w:uiPriority w:val="0"/>
    <w:rPr>
      <w:b/>
      <w:bCs/>
    </w:rPr>
  </w:style>
  <w:style w:type="paragraph" w:styleId="38">
    <w:name w:val="Body Text First Indent"/>
    <w:basedOn w:val="17"/>
    <w:link w:val="50"/>
    <w:qFormat/>
    <w:uiPriority w:val="0"/>
    <w:pPr>
      <w:ind w:firstLine="420" w:firstLineChars="100"/>
    </w:pPr>
    <w:rPr>
      <w:rFonts w:ascii="华文中宋" w:hAnsi="华文中宋"/>
      <w:szCs w:val="24"/>
    </w:rPr>
  </w:style>
  <w:style w:type="paragraph" w:styleId="39">
    <w:name w:val="Body Text First Indent 2"/>
    <w:basedOn w:val="18"/>
    <w:link w:val="74"/>
    <w:qFormat/>
    <w:uiPriority w:val="0"/>
    <w:pPr>
      <w:spacing w:after="120" w:line="240" w:lineRule="auto"/>
      <w:ind w:left="420" w:leftChars="200" w:firstLine="420" w:firstLineChars="200"/>
    </w:pPr>
    <w:rPr>
      <w:rFonts w:ascii="黑体" w:eastAsia="黑体" w:cs="Courier New"/>
      <w:spacing w:val="0"/>
      <w:kern w:val="0"/>
      <w:sz w:val="20"/>
    </w:rPr>
  </w:style>
  <w:style w:type="table" w:styleId="41">
    <w:name w:val="Table Grid"/>
    <w:basedOn w:val="40"/>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3">
    <w:name w:val="Strong"/>
    <w:qFormat/>
    <w:uiPriority w:val="0"/>
    <w:rPr>
      <w:b/>
      <w:bCs/>
    </w:rPr>
  </w:style>
  <w:style w:type="character" w:styleId="44">
    <w:name w:val="page number"/>
    <w:basedOn w:val="42"/>
    <w:qFormat/>
    <w:uiPriority w:val="0"/>
  </w:style>
  <w:style w:type="character" w:styleId="45">
    <w:name w:val="FollowedHyperlink"/>
    <w:qFormat/>
    <w:uiPriority w:val="0"/>
    <w:rPr>
      <w:color w:val="575656"/>
      <w:u w:val="none"/>
    </w:rPr>
  </w:style>
  <w:style w:type="character" w:styleId="46">
    <w:name w:val="Emphasis"/>
    <w:qFormat/>
    <w:uiPriority w:val="0"/>
  </w:style>
  <w:style w:type="character" w:styleId="47">
    <w:name w:val="Hyperlink"/>
    <w:qFormat/>
    <w:uiPriority w:val="0"/>
    <w:rPr>
      <w:color w:val="575656"/>
      <w:u w:val="none"/>
    </w:rPr>
  </w:style>
  <w:style w:type="character" w:styleId="48">
    <w:name w:val="annotation reference"/>
    <w:semiHidden/>
    <w:qFormat/>
    <w:uiPriority w:val="0"/>
    <w:rPr>
      <w:sz w:val="21"/>
      <w:szCs w:val="21"/>
    </w:rPr>
  </w:style>
  <w:style w:type="character" w:customStyle="1" w:styleId="49">
    <w:name w:val="font101"/>
    <w:qFormat/>
    <w:uiPriority w:val="0"/>
    <w:rPr>
      <w:rFonts w:hint="default" w:ascii="Arial" w:hAnsi="Arial" w:cs="Arial"/>
      <w:color w:val="000000"/>
      <w:sz w:val="21"/>
      <w:szCs w:val="21"/>
      <w:u w:val="none"/>
    </w:rPr>
  </w:style>
  <w:style w:type="character" w:customStyle="1" w:styleId="50">
    <w:name w:val="正文文本首行缩进 字符"/>
    <w:link w:val="38"/>
    <w:qFormat/>
    <w:locked/>
    <w:uiPriority w:val="0"/>
    <w:rPr>
      <w:rFonts w:ascii="华文中宋" w:hAnsi="华文中宋" w:eastAsia="宋体"/>
      <w:kern w:val="2"/>
      <w:sz w:val="21"/>
      <w:szCs w:val="24"/>
      <w:lang w:val="en-US" w:eastAsia="zh-CN" w:bidi="ar-SA"/>
    </w:rPr>
  </w:style>
  <w:style w:type="character" w:customStyle="1" w:styleId="51">
    <w:name w:val="批注文字 字符"/>
    <w:link w:val="15"/>
    <w:qFormat/>
    <w:uiPriority w:val="0"/>
    <w:rPr>
      <w:rFonts w:eastAsia="宋体"/>
      <w:kern w:val="2"/>
      <w:sz w:val="21"/>
      <w:szCs w:val="24"/>
      <w:lang w:val="en-US" w:eastAsia="zh-CN" w:bidi="ar-SA"/>
    </w:rPr>
  </w:style>
  <w:style w:type="character" w:customStyle="1" w:styleId="52">
    <w:name w:val="日期 Char"/>
    <w:semiHidden/>
    <w:qFormat/>
    <w:locked/>
    <w:uiPriority w:val="0"/>
    <w:rPr>
      <w:rFonts w:ascii="宋体" w:hAnsi="Courier New" w:eastAsia="宋体" w:cs="Courier New"/>
      <w:kern w:val="2"/>
      <w:sz w:val="21"/>
      <w:szCs w:val="21"/>
      <w:lang w:val="en-US" w:eastAsia="zh-CN" w:bidi="ar-SA"/>
    </w:rPr>
  </w:style>
  <w:style w:type="character" w:customStyle="1" w:styleId="53">
    <w:name w:val="Char Char14"/>
    <w:qFormat/>
    <w:locked/>
    <w:uiPriority w:val="0"/>
    <w:rPr>
      <w:rFonts w:eastAsia="宋体"/>
      <w:kern w:val="2"/>
      <w:sz w:val="21"/>
      <w:szCs w:val="24"/>
      <w:lang w:val="en-US" w:eastAsia="zh-CN" w:bidi="ar-SA"/>
    </w:rPr>
  </w:style>
  <w:style w:type="character" w:customStyle="1" w:styleId="54">
    <w:name w:val="hwyang Char"/>
    <w:link w:val="55"/>
    <w:qFormat/>
    <w:uiPriority w:val="0"/>
    <w:rPr>
      <w:kern w:val="2"/>
      <w:sz w:val="24"/>
      <w:szCs w:val="24"/>
      <w:lang w:bidi="ar-SA"/>
    </w:rPr>
  </w:style>
  <w:style w:type="paragraph" w:customStyle="1" w:styleId="55">
    <w:name w:val="hwyang"/>
    <w:basedOn w:val="1"/>
    <w:link w:val="54"/>
    <w:qFormat/>
    <w:uiPriority w:val="0"/>
    <w:pPr>
      <w:spacing w:line="360" w:lineRule="auto"/>
      <w:ind w:firstLine="480" w:firstLineChars="200"/>
    </w:pPr>
    <w:rPr>
      <w:sz w:val="24"/>
    </w:rPr>
  </w:style>
  <w:style w:type="character" w:customStyle="1" w:styleId="56">
    <w:name w:val="批注主题 Char"/>
    <w:qFormat/>
    <w:locked/>
    <w:uiPriority w:val="0"/>
    <w:rPr>
      <w:rFonts w:eastAsia="宋体"/>
      <w:b/>
      <w:bCs/>
      <w:kern w:val="2"/>
      <w:sz w:val="21"/>
      <w:szCs w:val="24"/>
      <w:lang w:val="en-US" w:eastAsia="zh-CN" w:bidi="ar-SA"/>
    </w:rPr>
  </w:style>
  <w:style w:type="character" w:customStyle="1" w:styleId="57">
    <w:name w:val="font112"/>
    <w:qFormat/>
    <w:uiPriority w:val="0"/>
    <w:rPr>
      <w:rFonts w:hint="eastAsia" w:ascii="微软雅黑" w:hAnsi="微软雅黑" w:eastAsia="微软雅黑" w:cs="微软雅黑"/>
      <w:b/>
      <w:color w:val="000000"/>
      <w:sz w:val="22"/>
      <w:szCs w:val="22"/>
      <w:u w:val="none"/>
    </w:rPr>
  </w:style>
  <w:style w:type="character" w:customStyle="1" w:styleId="58">
    <w:name w:val="标题 4 Char"/>
    <w:qFormat/>
    <w:locked/>
    <w:uiPriority w:val="0"/>
    <w:rPr>
      <w:rFonts w:ascii="Arial" w:hAnsi="Arial" w:eastAsia="黑体"/>
      <w:b/>
      <w:kern w:val="2"/>
      <w:sz w:val="28"/>
      <w:lang w:val="en-US" w:eastAsia="zh-CN" w:bidi="ar-SA"/>
    </w:rPr>
  </w:style>
  <w:style w:type="character" w:customStyle="1" w:styleId="59">
    <w:name w:val="105v1"/>
    <w:qFormat/>
    <w:uiPriority w:val="0"/>
    <w:rPr>
      <w:rFonts w:hint="default" w:ascii="ˎ̥" w:hAnsi="ˎ̥"/>
      <w:sz w:val="21"/>
      <w:szCs w:val="21"/>
    </w:rPr>
  </w:style>
  <w:style w:type="character" w:customStyle="1" w:styleId="60">
    <w:name w:val="正文文本缩进 3 字符"/>
    <w:link w:val="30"/>
    <w:qFormat/>
    <w:uiPriority w:val="0"/>
    <w:rPr>
      <w:kern w:val="2"/>
      <w:sz w:val="16"/>
      <w:szCs w:val="16"/>
      <w:lang w:bidi="ar-SA"/>
    </w:rPr>
  </w:style>
  <w:style w:type="character" w:customStyle="1" w:styleId="61">
    <w:name w:val="批注文字 Char"/>
    <w:qFormat/>
    <w:uiPriority w:val="0"/>
    <w:rPr>
      <w:rFonts w:eastAsia="宋体"/>
      <w:kern w:val="2"/>
      <w:sz w:val="21"/>
      <w:szCs w:val="24"/>
      <w:lang w:val="en-US" w:eastAsia="zh-CN" w:bidi="ar-SA"/>
    </w:rPr>
  </w:style>
  <w:style w:type="character" w:customStyle="1" w:styleId="62">
    <w:name w:val="标题 1 字符"/>
    <w:link w:val="3"/>
    <w:qFormat/>
    <w:locked/>
    <w:uiPriority w:val="0"/>
    <w:rPr>
      <w:rFonts w:eastAsia="宋体"/>
      <w:b/>
      <w:kern w:val="2"/>
      <w:sz w:val="21"/>
      <w:szCs w:val="24"/>
      <w:lang w:val="en-US" w:eastAsia="zh-CN" w:bidi="ar-SA"/>
    </w:rPr>
  </w:style>
  <w:style w:type="character" w:customStyle="1" w:styleId="63">
    <w:name w:val="正文文本缩进 2 Char"/>
    <w:qFormat/>
    <w:locked/>
    <w:uiPriority w:val="0"/>
    <w:rPr>
      <w:rFonts w:ascii="华文中宋" w:hAnsi="华文中宋" w:eastAsia="华文中宋"/>
      <w:sz w:val="24"/>
      <w:szCs w:val="24"/>
      <w:lang w:val="en-US" w:eastAsia="zh-CN" w:bidi="ar-SA"/>
    </w:rPr>
  </w:style>
  <w:style w:type="character" w:customStyle="1" w:styleId="64">
    <w:name w:val="标题 7 Char"/>
    <w:qFormat/>
    <w:locked/>
    <w:uiPriority w:val="0"/>
    <w:rPr>
      <w:rFonts w:eastAsia="宋体"/>
      <w:b/>
      <w:kern w:val="2"/>
      <w:sz w:val="24"/>
      <w:lang w:val="en-US" w:eastAsia="zh-CN" w:bidi="ar-SA"/>
    </w:rPr>
  </w:style>
  <w:style w:type="character" w:customStyle="1" w:styleId="65">
    <w:name w:val="正文文本 3 字符"/>
    <w:link w:val="16"/>
    <w:qFormat/>
    <w:locked/>
    <w:uiPriority w:val="0"/>
    <w:rPr>
      <w:rFonts w:ascii="华文中宋" w:hAnsi="华文中宋" w:eastAsia="华文中宋"/>
      <w:sz w:val="16"/>
      <w:szCs w:val="16"/>
      <w:lang w:val="en-US" w:eastAsia="zh-CN" w:bidi="ar-SA"/>
    </w:rPr>
  </w:style>
  <w:style w:type="character" w:customStyle="1" w:styleId="66">
    <w:name w:val="Char Char2"/>
    <w:qFormat/>
    <w:uiPriority w:val="0"/>
    <w:rPr>
      <w:rFonts w:ascii="宋体" w:hAnsi="Courier New" w:eastAsia="宋体"/>
      <w:kern w:val="2"/>
      <w:sz w:val="21"/>
      <w:lang w:val="en-US" w:eastAsia="zh-CN" w:bidi="ar-SA"/>
    </w:rPr>
  </w:style>
  <w:style w:type="character" w:customStyle="1" w:styleId="67">
    <w:name w:val="font11"/>
    <w:qFormat/>
    <w:uiPriority w:val="0"/>
    <w:rPr>
      <w:rFonts w:hint="eastAsia" w:ascii="微软雅黑" w:hAnsi="微软雅黑" w:eastAsia="微软雅黑" w:cs="微软雅黑"/>
      <w:color w:val="000000"/>
      <w:sz w:val="22"/>
      <w:szCs w:val="22"/>
      <w:u w:val="none"/>
    </w:rPr>
  </w:style>
  <w:style w:type="character" w:customStyle="1" w:styleId="68">
    <w:name w:val="标题 4 字符"/>
    <w:link w:val="6"/>
    <w:qFormat/>
    <w:locked/>
    <w:uiPriority w:val="0"/>
    <w:rPr>
      <w:rFonts w:ascii="Arial" w:hAnsi="Arial" w:eastAsia="黑体"/>
      <w:b/>
      <w:kern w:val="2"/>
      <w:sz w:val="28"/>
      <w:lang w:bidi="ar-SA"/>
    </w:rPr>
  </w:style>
  <w:style w:type="character" w:customStyle="1" w:styleId="69">
    <w:name w:val="标题 Char"/>
    <w:qFormat/>
    <w:locked/>
    <w:uiPriority w:val="0"/>
    <w:rPr>
      <w:rFonts w:ascii="Cambria" w:hAnsi="Cambria" w:eastAsia="华文中宋"/>
      <w:b/>
      <w:bCs/>
      <w:kern w:val="28"/>
      <w:sz w:val="24"/>
      <w:szCs w:val="32"/>
      <w:lang w:val="en-US" w:eastAsia="en-US" w:bidi="ar-SA"/>
    </w:rPr>
  </w:style>
  <w:style w:type="character" w:customStyle="1" w:styleId="70">
    <w:name w:val="HTML 预设格式 字符"/>
    <w:link w:val="34"/>
    <w:qFormat/>
    <w:uiPriority w:val="0"/>
    <w:rPr>
      <w:rFonts w:ascii="黑体" w:hAnsi="Courier New" w:eastAsia="黑体" w:cs="Courier New"/>
      <w:lang w:val="en-US" w:eastAsia="zh-CN" w:bidi="ar-SA"/>
    </w:rPr>
  </w:style>
  <w:style w:type="character" w:customStyle="1" w:styleId="71">
    <w:name w:val="正文缩进 字符"/>
    <w:link w:val="8"/>
    <w:qFormat/>
    <w:uiPriority w:val="0"/>
    <w:rPr>
      <w:rFonts w:eastAsia="宋体"/>
      <w:kern w:val="2"/>
      <w:sz w:val="21"/>
      <w:lang w:val="en-US" w:eastAsia="zh-CN" w:bidi="ar-SA"/>
    </w:rPr>
  </w:style>
  <w:style w:type="character" w:customStyle="1" w:styleId="72">
    <w:name w:val="No Spacing Char"/>
    <w:link w:val="73"/>
    <w:qFormat/>
    <w:locked/>
    <w:uiPriority w:val="0"/>
    <w:rPr>
      <w:rFonts w:eastAsia="Times New Roman"/>
      <w:sz w:val="22"/>
      <w:szCs w:val="22"/>
      <w:lang w:val="en-US" w:eastAsia="zh-CN" w:bidi="ar-SA"/>
    </w:rPr>
  </w:style>
  <w:style w:type="paragraph" w:customStyle="1" w:styleId="73">
    <w:name w:val="No Spacing1"/>
    <w:link w:val="72"/>
    <w:qFormat/>
    <w:uiPriority w:val="0"/>
    <w:rPr>
      <w:rFonts w:ascii="Times New Roman" w:hAnsi="Times New Roman" w:eastAsia="Times New Roman" w:cs="Times New Roman"/>
      <w:sz w:val="22"/>
      <w:szCs w:val="22"/>
      <w:lang w:val="en-US" w:eastAsia="zh-CN" w:bidi="ar-SA"/>
    </w:rPr>
  </w:style>
  <w:style w:type="character" w:customStyle="1" w:styleId="74">
    <w:name w:val="正文文本首行缩进 2 字符"/>
    <w:link w:val="39"/>
    <w:qFormat/>
    <w:uiPriority w:val="0"/>
    <w:rPr>
      <w:rFonts w:ascii="黑体" w:hAnsi="Courier New" w:eastAsia="黑体" w:cs="Courier New"/>
      <w:lang w:val="en-US" w:eastAsia="zh-CN" w:bidi="ar-SA"/>
    </w:rPr>
  </w:style>
  <w:style w:type="character" w:customStyle="1" w:styleId="75">
    <w:name w:val="正文文本 3 Char"/>
    <w:qFormat/>
    <w:locked/>
    <w:uiPriority w:val="0"/>
    <w:rPr>
      <w:rFonts w:ascii="华文中宋" w:hAnsi="华文中宋" w:eastAsia="华文中宋"/>
      <w:sz w:val="16"/>
      <w:szCs w:val="16"/>
      <w:lang w:val="en-US" w:eastAsia="zh-CN" w:bidi="ar-SA"/>
    </w:rPr>
  </w:style>
  <w:style w:type="character" w:customStyle="1" w:styleId="76">
    <w:name w:val="标题1"/>
    <w:basedOn w:val="42"/>
    <w:qFormat/>
    <w:uiPriority w:val="0"/>
  </w:style>
  <w:style w:type="character" w:customStyle="1" w:styleId="77">
    <w:name w:val="样式 正文缩进 + 首行缩进:  2 字符 Char"/>
    <w:link w:val="78"/>
    <w:qFormat/>
    <w:locked/>
    <w:uiPriority w:val="0"/>
    <w:rPr>
      <w:rFonts w:eastAsia="宋体"/>
      <w:lang w:bidi="ar-SA"/>
    </w:rPr>
  </w:style>
  <w:style w:type="paragraph" w:customStyle="1" w:styleId="78">
    <w:name w:val="样式 正文缩进 + 首行缩进:  2 字符"/>
    <w:basedOn w:val="8"/>
    <w:link w:val="77"/>
    <w:qFormat/>
    <w:uiPriority w:val="0"/>
    <w:pPr>
      <w:spacing w:line="360" w:lineRule="auto"/>
      <w:ind w:firstLine="200" w:firstLineChars="200"/>
    </w:pPr>
    <w:rPr>
      <w:kern w:val="0"/>
      <w:sz w:val="20"/>
    </w:rPr>
  </w:style>
  <w:style w:type="character" w:customStyle="1" w:styleId="79">
    <w:name w:val="正文文本缩进 字符"/>
    <w:link w:val="18"/>
    <w:qFormat/>
    <w:locked/>
    <w:uiPriority w:val="0"/>
    <w:rPr>
      <w:rFonts w:ascii="宋体" w:hAnsi="Courier New" w:eastAsia="宋体"/>
      <w:spacing w:val="-4"/>
      <w:kern w:val="2"/>
      <w:sz w:val="18"/>
      <w:lang w:val="en-US" w:eastAsia="zh-CN" w:bidi="ar-SA"/>
    </w:rPr>
  </w:style>
  <w:style w:type="character" w:customStyle="1" w:styleId="80">
    <w:name w:val="标题 8 字符"/>
    <w:link w:val="10"/>
    <w:qFormat/>
    <w:locked/>
    <w:uiPriority w:val="0"/>
    <w:rPr>
      <w:rFonts w:ascii="Arial" w:hAnsi="Arial" w:eastAsia="黑体"/>
      <w:kern w:val="2"/>
      <w:sz w:val="24"/>
      <w:lang w:bidi="ar-SA"/>
    </w:rPr>
  </w:style>
  <w:style w:type="character" w:customStyle="1" w:styleId="81">
    <w:name w:val="纯文本 Char1"/>
    <w:qFormat/>
    <w:locked/>
    <w:uiPriority w:val="0"/>
    <w:rPr>
      <w:rFonts w:ascii="宋体" w:hAnsi="Courier New" w:eastAsia="宋体"/>
      <w:kern w:val="2"/>
      <w:sz w:val="21"/>
      <w:lang w:val="en-US" w:eastAsia="zh-CN" w:bidi="ar-SA"/>
    </w:rPr>
  </w:style>
  <w:style w:type="character" w:customStyle="1" w:styleId="82">
    <w:name w:val="投标正文 Char"/>
    <w:link w:val="83"/>
    <w:qFormat/>
    <w:uiPriority w:val="0"/>
    <w:rPr>
      <w:rFonts w:ascii="宋体" w:hAnsi="宋体"/>
      <w:kern w:val="2"/>
      <w:sz w:val="24"/>
      <w:szCs w:val="24"/>
      <w:lang w:bidi="ar-SA"/>
    </w:rPr>
  </w:style>
  <w:style w:type="paragraph" w:customStyle="1" w:styleId="83">
    <w:name w:val="投标正文"/>
    <w:basedOn w:val="1"/>
    <w:link w:val="82"/>
    <w:qFormat/>
    <w:uiPriority w:val="0"/>
    <w:pPr>
      <w:adjustRightInd w:val="0"/>
      <w:snapToGrid w:val="0"/>
      <w:spacing w:line="360" w:lineRule="auto"/>
      <w:ind w:firstLine="200" w:firstLineChars="200"/>
    </w:pPr>
    <w:rPr>
      <w:rFonts w:ascii="宋体" w:hAnsi="宋体"/>
      <w:sz w:val="24"/>
    </w:rPr>
  </w:style>
  <w:style w:type="character" w:customStyle="1" w:styleId="84">
    <w:name w:val="标题 7 字符"/>
    <w:link w:val="9"/>
    <w:qFormat/>
    <w:locked/>
    <w:uiPriority w:val="0"/>
    <w:rPr>
      <w:rFonts w:eastAsia="宋体"/>
      <w:b/>
      <w:kern w:val="2"/>
      <w:sz w:val="24"/>
      <w:lang w:bidi="ar-SA"/>
    </w:rPr>
  </w:style>
  <w:style w:type="character" w:customStyle="1" w:styleId="85">
    <w:name w:val="HTML 预设格式 Char"/>
    <w:qFormat/>
    <w:uiPriority w:val="0"/>
    <w:rPr>
      <w:rFonts w:ascii="黑体" w:hAnsi="Courier New" w:eastAsia="黑体" w:cs="Courier New"/>
      <w:lang w:val="en-US" w:eastAsia="zh-CN" w:bidi="ar-SA"/>
    </w:rPr>
  </w:style>
  <w:style w:type="character" w:customStyle="1" w:styleId="86">
    <w:name w:val="正文缩进 Char"/>
    <w:qFormat/>
    <w:uiPriority w:val="0"/>
    <w:rPr>
      <w:rFonts w:eastAsia="宋体"/>
      <w:kern w:val="2"/>
      <w:sz w:val="21"/>
      <w:lang w:val="en-US" w:eastAsia="zh-CN" w:bidi="ar-SA"/>
    </w:rPr>
  </w:style>
  <w:style w:type="character" w:customStyle="1" w:styleId="87">
    <w:name w:val="标准正文 S字符"/>
    <w:link w:val="88"/>
    <w:qFormat/>
    <w:uiPriority w:val="0"/>
    <w:rPr>
      <w:rFonts w:ascii="Calibri" w:hAnsi="Calibri"/>
      <w:kern w:val="2"/>
      <w:sz w:val="24"/>
      <w:szCs w:val="24"/>
      <w:lang w:bidi="ar-SA"/>
    </w:rPr>
  </w:style>
  <w:style w:type="paragraph" w:customStyle="1" w:styleId="88">
    <w:name w:val="标准正文 S"/>
    <w:basedOn w:val="1"/>
    <w:link w:val="87"/>
    <w:qFormat/>
    <w:uiPriority w:val="0"/>
    <w:pPr>
      <w:spacing w:beforeLines="50" w:afterLines="50" w:line="360" w:lineRule="auto"/>
      <w:ind w:firstLine="480"/>
      <w:jc w:val="left"/>
    </w:pPr>
    <w:rPr>
      <w:rFonts w:ascii="Calibri" w:hAnsi="Calibri"/>
      <w:sz w:val="24"/>
    </w:rPr>
  </w:style>
  <w:style w:type="character" w:customStyle="1" w:styleId="89">
    <w:name w:val="标题 9 Char"/>
    <w:qFormat/>
    <w:locked/>
    <w:uiPriority w:val="0"/>
    <w:rPr>
      <w:rFonts w:ascii="Arial" w:hAnsi="Arial" w:eastAsia="黑体"/>
      <w:kern w:val="2"/>
      <w:sz w:val="21"/>
      <w:lang w:val="en-US" w:eastAsia="zh-CN" w:bidi="ar-SA"/>
    </w:rPr>
  </w:style>
  <w:style w:type="character" w:customStyle="1" w:styleId="90">
    <w:name w:val="标题 字符"/>
    <w:link w:val="36"/>
    <w:qFormat/>
    <w:locked/>
    <w:uiPriority w:val="0"/>
    <w:rPr>
      <w:rFonts w:ascii="Cambria" w:hAnsi="Cambria" w:eastAsia="华文中宋"/>
      <w:b/>
      <w:bCs/>
      <w:kern w:val="28"/>
      <w:sz w:val="24"/>
      <w:szCs w:val="32"/>
      <w:lang w:val="en-US" w:eastAsia="en-US" w:bidi="ar-SA"/>
    </w:rPr>
  </w:style>
  <w:style w:type="character" w:customStyle="1" w:styleId="91">
    <w:name w:val="my正文 Char"/>
    <w:link w:val="92"/>
    <w:qFormat/>
    <w:uiPriority w:val="0"/>
    <w:rPr>
      <w:rFonts w:ascii="宋体" w:hAnsi="宋体" w:eastAsia="仿宋_GB2312"/>
      <w:sz w:val="24"/>
      <w:szCs w:val="44"/>
      <w:lang w:bidi="ar-SA"/>
    </w:rPr>
  </w:style>
  <w:style w:type="paragraph" w:customStyle="1" w:styleId="92">
    <w:name w:val="my正文"/>
    <w:basedOn w:val="1"/>
    <w:link w:val="91"/>
    <w:qFormat/>
    <w:uiPriority w:val="0"/>
    <w:pPr>
      <w:spacing w:line="360" w:lineRule="auto"/>
      <w:ind w:firstLine="200" w:firstLineChars="200"/>
      <w:jc w:val="left"/>
    </w:pPr>
    <w:rPr>
      <w:rFonts w:ascii="宋体" w:hAnsi="宋体" w:eastAsia="仿宋_GB2312"/>
      <w:kern w:val="0"/>
      <w:sz w:val="24"/>
      <w:szCs w:val="44"/>
    </w:rPr>
  </w:style>
  <w:style w:type="character" w:customStyle="1" w:styleId="93">
    <w:name w:val="Char Char10"/>
    <w:qFormat/>
    <w:uiPriority w:val="0"/>
    <w:rPr>
      <w:rFonts w:ascii="宋体" w:hAnsi="Courier New" w:eastAsia="宋体" w:cs="Courier New"/>
      <w:szCs w:val="21"/>
    </w:rPr>
  </w:style>
  <w:style w:type="character" w:customStyle="1" w:styleId="94">
    <w:name w:val="页脚 Char"/>
    <w:qFormat/>
    <w:locked/>
    <w:uiPriority w:val="0"/>
    <w:rPr>
      <w:rFonts w:ascii="宋体" w:hAnsi="Courier New" w:eastAsia="宋体"/>
      <w:kern w:val="2"/>
      <w:sz w:val="18"/>
      <w:lang w:val="en-US" w:eastAsia="zh-CN" w:bidi="ar-SA"/>
    </w:rPr>
  </w:style>
  <w:style w:type="character" w:customStyle="1" w:styleId="95">
    <w:name w:val="正文文本 Char"/>
    <w:qFormat/>
    <w:locked/>
    <w:uiPriority w:val="0"/>
    <w:rPr>
      <w:rFonts w:eastAsia="宋体"/>
      <w:kern w:val="2"/>
      <w:sz w:val="21"/>
      <w:lang w:val="en-US" w:eastAsia="zh-CN" w:bidi="ar-SA"/>
    </w:rPr>
  </w:style>
  <w:style w:type="character" w:customStyle="1" w:styleId="96">
    <w:name w:val="批注主题 字符"/>
    <w:link w:val="37"/>
    <w:qFormat/>
    <w:locked/>
    <w:uiPriority w:val="0"/>
    <w:rPr>
      <w:rFonts w:eastAsia="宋体"/>
      <w:b/>
      <w:bCs/>
      <w:kern w:val="2"/>
      <w:sz w:val="21"/>
      <w:szCs w:val="24"/>
      <w:lang w:val="en-US" w:eastAsia="zh-CN" w:bidi="ar-SA"/>
    </w:rPr>
  </w:style>
  <w:style w:type="character" w:customStyle="1" w:styleId="97">
    <w:name w:val="纯文本 字符"/>
    <w:link w:val="20"/>
    <w:qFormat/>
    <w:locked/>
    <w:uiPriority w:val="99"/>
    <w:rPr>
      <w:rFonts w:ascii="宋体" w:hAnsi="Courier New" w:eastAsia="宋体"/>
      <w:kern w:val="2"/>
      <w:sz w:val="21"/>
      <w:lang w:val="en-US" w:eastAsia="zh-CN" w:bidi="ar-SA"/>
    </w:rPr>
  </w:style>
  <w:style w:type="character" w:customStyle="1" w:styleId="98">
    <w:name w:val="标题 1 Char"/>
    <w:qFormat/>
    <w:locked/>
    <w:uiPriority w:val="0"/>
    <w:rPr>
      <w:rFonts w:eastAsia="宋体"/>
      <w:b/>
      <w:kern w:val="2"/>
      <w:sz w:val="21"/>
      <w:szCs w:val="24"/>
      <w:lang w:val="en-US" w:eastAsia="zh-CN" w:bidi="ar-SA"/>
    </w:rPr>
  </w:style>
  <w:style w:type="character" w:customStyle="1" w:styleId="99">
    <w:name w:val="1ji Char"/>
    <w:link w:val="100"/>
    <w:qFormat/>
    <w:uiPriority w:val="0"/>
    <w:rPr>
      <w:rFonts w:ascii="宋体" w:hAnsi="宋体"/>
      <w:b/>
      <w:bCs/>
      <w:kern w:val="44"/>
      <w:sz w:val="36"/>
      <w:szCs w:val="44"/>
      <w:lang w:bidi="ar-SA"/>
    </w:rPr>
  </w:style>
  <w:style w:type="paragraph" w:customStyle="1" w:styleId="100">
    <w:name w:val="1ji"/>
    <w:basedOn w:val="3"/>
    <w:link w:val="99"/>
    <w:qFormat/>
    <w:uiPriority w:val="0"/>
    <w:pPr>
      <w:widowControl/>
      <w:ind w:left="100" w:leftChars="100" w:right="100" w:rightChars="100"/>
      <w:jc w:val="center"/>
    </w:pPr>
    <w:rPr>
      <w:rFonts w:ascii="宋体" w:hAnsi="宋体"/>
      <w:bCs/>
      <w:kern w:val="44"/>
      <w:sz w:val="36"/>
      <w:szCs w:val="44"/>
    </w:rPr>
  </w:style>
  <w:style w:type="character" w:customStyle="1" w:styleId="101">
    <w:name w:val="页眉 Char"/>
    <w:qFormat/>
    <w:locked/>
    <w:uiPriority w:val="0"/>
    <w:rPr>
      <w:rFonts w:ascii="宋体" w:hAnsi="Courier New" w:eastAsia="宋体"/>
      <w:kern w:val="2"/>
      <w:sz w:val="18"/>
      <w:lang w:val="en-US" w:eastAsia="zh-CN" w:bidi="ar-SA"/>
    </w:rPr>
  </w:style>
  <w:style w:type="character" w:customStyle="1" w:styleId="102">
    <w:name w:val="纯文本 Char"/>
    <w:qFormat/>
    <w:locked/>
    <w:uiPriority w:val="0"/>
    <w:rPr>
      <w:rFonts w:ascii="宋体" w:hAnsi="Courier New" w:eastAsia="宋体"/>
      <w:kern w:val="2"/>
      <w:sz w:val="21"/>
      <w:lang w:val="en-US" w:eastAsia="zh-CN" w:bidi="ar-SA"/>
    </w:rPr>
  </w:style>
  <w:style w:type="character" w:customStyle="1" w:styleId="103">
    <w:name w:val="标题 2 Char"/>
    <w:qFormat/>
    <w:locked/>
    <w:uiPriority w:val="0"/>
    <w:rPr>
      <w:rFonts w:ascii="Arial" w:hAnsi="Arial" w:eastAsia="黑体"/>
      <w:b/>
      <w:bCs/>
      <w:kern w:val="2"/>
      <w:sz w:val="32"/>
      <w:szCs w:val="32"/>
      <w:lang w:val="en-US" w:eastAsia="zh-CN" w:bidi="ar-SA"/>
    </w:rPr>
  </w:style>
  <w:style w:type="character" w:customStyle="1" w:styleId="104">
    <w:name w:val="纯文本 Char2"/>
    <w:qFormat/>
    <w:locked/>
    <w:uiPriority w:val="0"/>
    <w:rPr>
      <w:rFonts w:ascii="宋体" w:hAnsi="Courier New" w:eastAsia="宋体"/>
      <w:kern w:val="2"/>
      <w:sz w:val="21"/>
      <w:lang w:val="en-US" w:eastAsia="zh-CN" w:bidi="ar-SA"/>
    </w:rPr>
  </w:style>
  <w:style w:type="character" w:customStyle="1" w:styleId="105">
    <w:name w:val="Char Char16"/>
    <w:qFormat/>
    <w:locked/>
    <w:uiPriority w:val="0"/>
    <w:rPr>
      <w:rFonts w:ascii="宋体" w:hAnsi="Courier New"/>
      <w:lang w:bidi="ar-SA"/>
    </w:rPr>
  </w:style>
  <w:style w:type="character" w:customStyle="1" w:styleId="106">
    <w:name w:val="正文－缩进 Char Char"/>
    <w:link w:val="107"/>
    <w:qFormat/>
    <w:locked/>
    <w:uiPriority w:val="0"/>
    <w:rPr>
      <w:rFonts w:ascii="Arial" w:hAnsi="Arial" w:eastAsia="仿宋_GB2312"/>
      <w:sz w:val="24"/>
      <w:lang w:bidi="ar-SA"/>
    </w:rPr>
  </w:style>
  <w:style w:type="paragraph" w:customStyle="1" w:styleId="107">
    <w:name w:val="正文－缩进"/>
    <w:basedOn w:val="1"/>
    <w:link w:val="106"/>
    <w:qFormat/>
    <w:uiPriority w:val="0"/>
    <w:pPr>
      <w:spacing w:before="120" w:after="120" w:line="360" w:lineRule="auto"/>
      <w:ind w:firstLine="200" w:firstLineChars="200"/>
    </w:pPr>
    <w:rPr>
      <w:rFonts w:ascii="Arial" w:hAnsi="Arial" w:eastAsia="仿宋_GB2312"/>
      <w:kern w:val="0"/>
      <w:sz w:val="24"/>
      <w:szCs w:val="20"/>
    </w:rPr>
  </w:style>
  <w:style w:type="character" w:customStyle="1" w:styleId="108">
    <w:name w:val="页脚 字符"/>
    <w:link w:val="24"/>
    <w:qFormat/>
    <w:locked/>
    <w:uiPriority w:val="0"/>
    <w:rPr>
      <w:rFonts w:ascii="宋体" w:hAnsi="Courier New" w:eastAsia="宋体"/>
      <w:kern w:val="2"/>
      <w:sz w:val="18"/>
      <w:lang w:val="en-US" w:eastAsia="zh-CN" w:bidi="ar-SA"/>
    </w:rPr>
  </w:style>
  <w:style w:type="character" w:customStyle="1" w:styleId="109">
    <w:name w:val="正文文本缩进 3 Char"/>
    <w:qFormat/>
    <w:uiPriority w:val="0"/>
    <w:rPr>
      <w:kern w:val="2"/>
      <w:sz w:val="16"/>
      <w:szCs w:val="16"/>
      <w:lang w:bidi="ar-SA"/>
    </w:rPr>
  </w:style>
  <w:style w:type="character" w:customStyle="1" w:styleId="110">
    <w:name w:val="日期 字符"/>
    <w:link w:val="21"/>
    <w:semiHidden/>
    <w:qFormat/>
    <w:locked/>
    <w:uiPriority w:val="0"/>
    <w:rPr>
      <w:rFonts w:ascii="宋体" w:hAnsi="Courier New" w:eastAsia="宋体" w:cs="Courier New"/>
      <w:kern w:val="2"/>
      <w:sz w:val="21"/>
      <w:szCs w:val="21"/>
      <w:lang w:val="en-US" w:eastAsia="zh-CN" w:bidi="ar-SA"/>
    </w:rPr>
  </w:style>
  <w:style w:type="character" w:customStyle="1" w:styleId="111">
    <w:name w:val="标题 5 字符"/>
    <w:link w:val="7"/>
    <w:qFormat/>
    <w:locked/>
    <w:uiPriority w:val="0"/>
    <w:rPr>
      <w:rFonts w:eastAsia="宋体"/>
      <w:b/>
      <w:kern w:val="2"/>
      <w:sz w:val="28"/>
      <w:lang w:bidi="ar-SA"/>
    </w:rPr>
  </w:style>
  <w:style w:type="character" w:customStyle="1" w:styleId="112">
    <w:name w:val="标题 5 Char"/>
    <w:qFormat/>
    <w:locked/>
    <w:uiPriority w:val="0"/>
    <w:rPr>
      <w:rFonts w:eastAsia="宋体"/>
      <w:b/>
      <w:kern w:val="2"/>
      <w:sz w:val="28"/>
      <w:lang w:val="en-US" w:eastAsia="zh-CN" w:bidi="ar-SA"/>
    </w:rPr>
  </w:style>
  <w:style w:type="character" w:customStyle="1" w:styleId="113">
    <w:name w:val="批注框文本 字符"/>
    <w:link w:val="23"/>
    <w:semiHidden/>
    <w:qFormat/>
    <w:locked/>
    <w:uiPriority w:val="0"/>
    <w:rPr>
      <w:rFonts w:eastAsia="宋体"/>
      <w:kern w:val="2"/>
      <w:sz w:val="18"/>
      <w:szCs w:val="18"/>
      <w:lang w:val="en-US" w:eastAsia="zh-CN" w:bidi="ar-SA"/>
    </w:rPr>
  </w:style>
  <w:style w:type="character" w:customStyle="1" w:styleId="114">
    <w:name w:val="正文首行缩进 2 Char"/>
    <w:qFormat/>
    <w:uiPriority w:val="0"/>
    <w:rPr>
      <w:rFonts w:ascii="黑体" w:hAnsi="Courier New" w:eastAsia="黑体" w:cs="Courier New"/>
      <w:lang w:val="en-US" w:eastAsia="zh-CN" w:bidi="ar-SA"/>
    </w:rPr>
  </w:style>
  <w:style w:type="character" w:customStyle="1" w:styleId="115">
    <w:name w:val="font71"/>
    <w:qFormat/>
    <w:uiPriority w:val="0"/>
    <w:rPr>
      <w:rFonts w:hint="eastAsia" w:ascii="微软雅黑" w:hAnsi="微软雅黑" w:eastAsia="微软雅黑" w:cs="微软雅黑"/>
      <w:color w:val="000000"/>
      <w:sz w:val="22"/>
      <w:szCs w:val="22"/>
      <w:u w:val="none"/>
    </w:rPr>
  </w:style>
  <w:style w:type="character" w:customStyle="1" w:styleId="116">
    <w:name w:val="标题 9 字符"/>
    <w:link w:val="11"/>
    <w:qFormat/>
    <w:locked/>
    <w:uiPriority w:val="0"/>
    <w:rPr>
      <w:rFonts w:ascii="Arial" w:hAnsi="Arial" w:eastAsia="黑体"/>
      <w:kern w:val="2"/>
      <w:sz w:val="21"/>
      <w:lang w:bidi="ar-SA"/>
    </w:rPr>
  </w:style>
  <w:style w:type="character" w:customStyle="1" w:styleId="117">
    <w:name w:val="正文文本 字符"/>
    <w:link w:val="17"/>
    <w:qFormat/>
    <w:locked/>
    <w:uiPriority w:val="0"/>
    <w:rPr>
      <w:rFonts w:eastAsia="宋体"/>
      <w:kern w:val="2"/>
      <w:sz w:val="21"/>
      <w:lang w:val="en-US" w:eastAsia="zh-CN" w:bidi="ar-SA"/>
    </w:rPr>
  </w:style>
  <w:style w:type="character" w:customStyle="1" w:styleId="118">
    <w:name w:val="font41"/>
    <w:qFormat/>
    <w:uiPriority w:val="0"/>
    <w:rPr>
      <w:rFonts w:hint="eastAsia" w:ascii="宋体" w:hAnsi="宋体" w:eastAsia="宋体" w:cs="宋体"/>
      <w:b/>
      <w:color w:val="000000"/>
      <w:sz w:val="24"/>
      <w:szCs w:val="24"/>
      <w:u w:val="none"/>
    </w:rPr>
  </w:style>
  <w:style w:type="character" w:customStyle="1" w:styleId="119">
    <w:name w:val="标题 3 Char"/>
    <w:qFormat/>
    <w:locked/>
    <w:uiPriority w:val="0"/>
    <w:rPr>
      <w:rFonts w:eastAsia="宋体"/>
      <w:b/>
      <w:bCs/>
      <w:kern w:val="2"/>
      <w:sz w:val="32"/>
      <w:szCs w:val="32"/>
      <w:lang w:val="en-US" w:eastAsia="zh-CN" w:bidi="ar-SA"/>
    </w:rPr>
  </w:style>
  <w:style w:type="character" w:customStyle="1" w:styleId="120">
    <w:name w:val="Header Char"/>
    <w:qFormat/>
    <w:locked/>
    <w:uiPriority w:val="0"/>
    <w:rPr>
      <w:rFonts w:cs="Times New Roman"/>
      <w:sz w:val="18"/>
      <w:szCs w:val="18"/>
    </w:rPr>
  </w:style>
  <w:style w:type="character" w:customStyle="1" w:styleId="121">
    <w:name w:val="方案正文 Char"/>
    <w:link w:val="122"/>
    <w:qFormat/>
    <w:uiPriority w:val="0"/>
    <w:rPr>
      <w:rFonts w:ascii="Calibri" w:hAnsi="Calibri"/>
      <w:kern w:val="2"/>
      <w:sz w:val="24"/>
      <w:szCs w:val="24"/>
      <w:lang w:bidi="ar-SA"/>
    </w:rPr>
  </w:style>
  <w:style w:type="paragraph" w:customStyle="1" w:styleId="122">
    <w:name w:val="方案正文"/>
    <w:basedOn w:val="1"/>
    <w:link w:val="121"/>
    <w:qFormat/>
    <w:uiPriority w:val="0"/>
    <w:pPr>
      <w:adjustRightInd w:val="0"/>
      <w:snapToGrid w:val="0"/>
      <w:spacing w:line="360" w:lineRule="auto"/>
      <w:ind w:firstLine="480" w:firstLineChars="200"/>
      <w:jc w:val="left"/>
    </w:pPr>
    <w:rPr>
      <w:rFonts w:ascii="Calibri" w:hAnsi="Calibri"/>
      <w:sz w:val="24"/>
    </w:rPr>
  </w:style>
  <w:style w:type="character" w:customStyle="1" w:styleId="123">
    <w:name w:val="正文文本 2 字符"/>
    <w:link w:val="33"/>
    <w:qFormat/>
    <w:uiPriority w:val="0"/>
    <w:rPr>
      <w:kern w:val="2"/>
      <w:sz w:val="21"/>
      <w:szCs w:val="24"/>
      <w:lang w:bidi="ar-SA"/>
    </w:rPr>
  </w:style>
  <w:style w:type="character" w:customStyle="1" w:styleId="124">
    <w:name w:val="正文文本缩进 2 字符"/>
    <w:link w:val="22"/>
    <w:qFormat/>
    <w:locked/>
    <w:uiPriority w:val="0"/>
    <w:rPr>
      <w:rFonts w:ascii="华文中宋" w:hAnsi="华文中宋" w:eastAsia="华文中宋"/>
      <w:sz w:val="24"/>
      <w:szCs w:val="24"/>
      <w:lang w:val="en-US" w:eastAsia="zh-CN" w:bidi="ar-SA"/>
    </w:rPr>
  </w:style>
  <w:style w:type="character" w:customStyle="1" w:styleId="125">
    <w:name w:val="标题 6 字符"/>
    <w:link w:val="2"/>
    <w:qFormat/>
    <w:locked/>
    <w:uiPriority w:val="0"/>
    <w:rPr>
      <w:rFonts w:ascii="Arial" w:hAnsi="Arial" w:eastAsia="黑体"/>
      <w:b/>
      <w:kern w:val="2"/>
      <w:sz w:val="24"/>
      <w:lang w:bidi="ar-SA"/>
    </w:rPr>
  </w:style>
  <w:style w:type="character" w:customStyle="1" w:styleId="126">
    <w:name w:val="正文首行缩进 Char"/>
    <w:qFormat/>
    <w:locked/>
    <w:uiPriority w:val="0"/>
    <w:rPr>
      <w:rFonts w:ascii="华文中宋" w:hAnsi="华文中宋" w:eastAsia="宋体"/>
      <w:kern w:val="2"/>
      <w:sz w:val="21"/>
      <w:szCs w:val="24"/>
      <w:lang w:val="en-US" w:eastAsia="zh-CN" w:bidi="ar-SA"/>
    </w:rPr>
  </w:style>
  <w:style w:type="character" w:customStyle="1" w:styleId="127">
    <w:name w:val="font51"/>
    <w:qFormat/>
    <w:uiPriority w:val="0"/>
    <w:rPr>
      <w:rFonts w:hint="default" w:ascii="Times New Roman" w:hAnsi="Times New Roman" w:cs="Times New Roman"/>
      <w:b/>
      <w:color w:val="000000"/>
      <w:sz w:val="24"/>
      <w:szCs w:val="24"/>
      <w:u w:val="none"/>
    </w:rPr>
  </w:style>
  <w:style w:type="character" w:customStyle="1" w:styleId="128">
    <w:name w:val="font61"/>
    <w:qFormat/>
    <w:uiPriority w:val="0"/>
    <w:rPr>
      <w:rFonts w:hint="eastAsia" w:ascii="宋体" w:hAnsi="宋体" w:eastAsia="宋体" w:cs="宋体"/>
      <w:color w:val="000000"/>
      <w:sz w:val="24"/>
      <w:szCs w:val="24"/>
      <w:u w:val="none"/>
    </w:rPr>
  </w:style>
  <w:style w:type="character" w:customStyle="1" w:styleId="129">
    <w:name w:val="样式 首行缩进:  2 字符 Char Char"/>
    <w:link w:val="130"/>
    <w:qFormat/>
    <w:locked/>
    <w:uiPriority w:val="0"/>
    <w:rPr>
      <w:sz w:val="24"/>
      <w:lang w:bidi="ar-SA"/>
    </w:rPr>
  </w:style>
  <w:style w:type="paragraph" w:customStyle="1" w:styleId="130">
    <w:name w:val="样式 首行缩进:  2 字符"/>
    <w:basedOn w:val="1"/>
    <w:link w:val="129"/>
    <w:qFormat/>
    <w:uiPriority w:val="0"/>
    <w:pPr>
      <w:spacing w:line="360" w:lineRule="auto"/>
      <w:ind w:firstLine="480" w:firstLineChars="200"/>
    </w:pPr>
    <w:rPr>
      <w:kern w:val="0"/>
      <w:sz w:val="24"/>
      <w:szCs w:val="20"/>
    </w:rPr>
  </w:style>
  <w:style w:type="character" w:customStyle="1" w:styleId="131">
    <w:name w:val="标题 3 字符"/>
    <w:link w:val="5"/>
    <w:qFormat/>
    <w:locked/>
    <w:uiPriority w:val="0"/>
    <w:rPr>
      <w:rFonts w:eastAsia="宋体"/>
      <w:b/>
      <w:bCs/>
      <w:kern w:val="2"/>
      <w:sz w:val="32"/>
      <w:szCs w:val="32"/>
      <w:lang w:val="en-US" w:eastAsia="zh-CN" w:bidi="ar-SA"/>
    </w:rPr>
  </w:style>
  <w:style w:type="character" w:customStyle="1" w:styleId="132">
    <w:name w:val="标题 8 Char"/>
    <w:qFormat/>
    <w:locked/>
    <w:uiPriority w:val="0"/>
    <w:rPr>
      <w:rFonts w:ascii="Arial" w:hAnsi="Arial" w:eastAsia="黑体"/>
      <w:kern w:val="2"/>
      <w:sz w:val="24"/>
      <w:lang w:val="en-US" w:eastAsia="zh-CN" w:bidi="ar-SA"/>
    </w:rPr>
  </w:style>
  <w:style w:type="character" w:customStyle="1" w:styleId="133">
    <w:name w:val="普通文字 Char Char2"/>
    <w:qFormat/>
    <w:uiPriority w:val="0"/>
    <w:rPr>
      <w:rFonts w:ascii="宋体" w:hAnsi="Courier New" w:eastAsia="宋体"/>
      <w:kern w:val="2"/>
      <w:sz w:val="21"/>
      <w:lang w:val="en-US" w:eastAsia="zh-CN" w:bidi="ar-SA"/>
    </w:rPr>
  </w:style>
  <w:style w:type="character" w:customStyle="1" w:styleId="134">
    <w:name w:val="正文文本 2 Char"/>
    <w:qFormat/>
    <w:uiPriority w:val="0"/>
    <w:rPr>
      <w:kern w:val="2"/>
      <w:sz w:val="21"/>
      <w:szCs w:val="24"/>
      <w:lang w:bidi="ar-SA"/>
    </w:rPr>
  </w:style>
  <w:style w:type="character" w:customStyle="1" w:styleId="135">
    <w:name w:val="文档结构图 Char"/>
    <w:qFormat/>
    <w:locked/>
    <w:uiPriority w:val="0"/>
    <w:rPr>
      <w:rFonts w:eastAsia="宋体"/>
      <w:kern w:val="2"/>
      <w:sz w:val="21"/>
      <w:szCs w:val="24"/>
      <w:lang w:val="en-US" w:eastAsia="zh-CN" w:bidi="ar-SA"/>
    </w:rPr>
  </w:style>
  <w:style w:type="character" w:customStyle="1" w:styleId="136">
    <w:name w:val="普通文字 Char Char5"/>
    <w:qFormat/>
    <w:uiPriority w:val="0"/>
    <w:rPr>
      <w:rFonts w:ascii="宋体" w:hAnsi="宋体" w:eastAsia="宋体" w:cs="宋体"/>
      <w:kern w:val="2"/>
      <w:sz w:val="21"/>
      <w:lang w:val="en-US" w:eastAsia="zh-CN" w:bidi="ar-SA"/>
    </w:rPr>
  </w:style>
  <w:style w:type="character" w:customStyle="1" w:styleId="137">
    <w:name w:val="标题 6 Char"/>
    <w:qFormat/>
    <w:locked/>
    <w:uiPriority w:val="0"/>
    <w:rPr>
      <w:rFonts w:ascii="Arial" w:hAnsi="Arial" w:eastAsia="黑体"/>
      <w:b/>
      <w:kern w:val="2"/>
      <w:sz w:val="24"/>
      <w:lang w:val="en-US" w:eastAsia="zh-CN" w:bidi="ar-SA"/>
    </w:rPr>
  </w:style>
  <w:style w:type="character" w:customStyle="1" w:styleId="138">
    <w:name w:val="文档结构图 字符"/>
    <w:link w:val="14"/>
    <w:qFormat/>
    <w:locked/>
    <w:uiPriority w:val="0"/>
    <w:rPr>
      <w:rFonts w:eastAsia="宋体"/>
      <w:kern w:val="2"/>
      <w:sz w:val="21"/>
      <w:szCs w:val="24"/>
      <w:lang w:val="en-US" w:eastAsia="zh-CN" w:bidi="ar-SA"/>
    </w:rPr>
  </w:style>
  <w:style w:type="character" w:customStyle="1" w:styleId="139">
    <w:name w:val="Footer Char"/>
    <w:qFormat/>
    <w:locked/>
    <w:uiPriority w:val="0"/>
    <w:rPr>
      <w:rFonts w:cs="Times New Roman"/>
      <w:sz w:val="18"/>
      <w:szCs w:val="18"/>
    </w:rPr>
  </w:style>
  <w:style w:type="character" w:customStyle="1" w:styleId="140">
    <w:name w:val="font31"/>
    <w:qFormat/>
    <w:uiPriority w:val="0"/>
    <w:rPr>
      <w:rFonts w:hint="default" w:ascii="Times New Roman" w:hAnsi="Times New Roman" w:cs="Times New Roman"/>
      <w:color w:val="000000"/>
      <w:sz w:val="24"/>
      <w:szCs w:val="24"/>
      <w:u w:val="none"/>
    </w:rPr>
  </w:style>
  <w:style w:type="character" w:customStyle="1" w:styleId="141">
    <w:name w:val="正文文本缩进 Char"/>
    <w:qFormat/>
    <w:locked/>
    <w:uiPriority w:val="0"/>
    <w:rPr>
      <w:rFonts w:ascii="宋体" w:hAnsi="Courier New" w:eastAsia="宋体"/>
      <w:spacing w:val="-4"/>
      <w:kern w:val="2"/>
      <w:sz w:val="18"/>
      <w:lang w:val="en-US" w:eastAsia="zh-CN" w:bidi="ar-SA"/>
    </w:rPr>
  </w:style>
  <w:style w:type="character" w:customStyle="1" w:styleId="142">
    <w:name w:val="标题 2 字符"/>
    <w:link w:val="4"/>
    <w:qFormat/>
    <w:locked/>
    <w:uiPriority w:val="0"/>
    <w:rPr>
      <w:rFonts w:ascii="Arial" w:hAnsi="Arial" w:eastAsia="黑体"/>
      <w:b/>
      <w:bCs/>
      <w:kern w:val="2"/>
      <w:sz w:val="32"/>
      <w:szCs w:val="32"/>
      <w:lang w:val="en-US" w:eastAsia="zh-CN" w:bidi="ar-SA"/>
    </w:rPr>
  </w:style>
  <w:style w:type="character" w:customStyle="1" w:styleId="143">
    <w:name w:val="页眉 字符"/>
    <w:link w:val="25"/>
    <w:qFormat/>
    <w:locked/>
    <w:uiPriority w:val="0"/>
    <w:rPr>
      <w:rFonts w:ascii="宋体" w:hAnsi="Courier New" w:eastAsia="宋体"/>
      <w:kern w:val="2"/>
      <w:sz w:val="18"/>
      <w:lang w:val="en-US" w:eastAsia="zh-CN" w:bidi="ar-SA"/>
    </w:rPr>
  </w:style>
  <w:style w:type="character" w:customStyle="1" w:styleId="144">
    <w:name w:val="*正文 Char"/>
    <w:link w:val="145"/>
    <w:qFormat/>
    <w:uiPriority w:val="0"/>
    <w:rPr>
      <w:rFonts w:ascii="宋体" w:hAnsi="宋体"/>
      <w:sz w:val="24"/>
      <w:lang w:bidi="ar-SA"/>
    </w:rPr>
  </w:style>
  <w:style w:type="paragraph" w:customStyle="1" w:styleId="145">
    <w:name w:val="*正文"/>
    <w:basedOn w:val="1"/>
    <w:link w:val="144"/>
    <w:qFormat/>
    <w:uiPriority w:val="0"/>
    <w:pPr>
      <w:spacing w:line="360" w:lineRule="auto"/>
      <w:ind w:firstLine="482"/>
      <w:jc w:val="left"/>
    </w:pPr>
    <w:rPr>
      <w:rFonts w:ascii="宋体" w:hAnsi="宋体"/>
      <w:kern w:val="0"/>
      <w:sz w:val="24"/>
      <w:szCs w:val="20"/>
    </w:rPr>
  </w:style>
  <w:style w:type="paragraph" w:customStyle="1" w:styleId="146">
    <w:name w:val="列表段落1"/>
    <w:basedOn w:val="1"/>
    <w:qFormat/>
    <w:uiPriority w:val="0"/>
    <w:pPr>
      <w:ind w:firstLine="420" w:firstLineChars="200"/>
    </w:pPr>
    <w:rPr>
      <w:rFonts w:ascii="Calibri" w:hAnsi="Calibri" w:cs="Calibri"/>
      <w:szCs w:val="21"/>
    </w:rPr>
  </w:style>
  <w:style w:type="paragraph" w:customStyle="1" w:styleId="147">
    <w:name w:val="默认段落字体 Para Char Char Char Char Char Char Char Char Char Char"/>
    <w:basedOn w:val="1"/>
    <w:qFormat/>
    <w:uiPriority w:val="0"/>
    <w:rPr>
      <w:rFonts w:ascii="楷体_GB2312" w:hAnsi="宋体" w:eastAsia="楷体_GB2312"/>
      <w:spacing w:val="-20"/>
      <w:kern w:val="24"/>
      <w:sz w:val="24"/>
    </w:rPr>
  </w:style>
  <w:style w:type="paragraph" w:customStyle="1" w:styleId="148">
    <w:name w:val="样式1"/>
    <w:basedOn w:val="1"/>
    <w:qFormat/>
    <w:uiPriority w:val="0"/>
    <w:pPr>
      <w:numPr>
        <w:ilvl w:val="0"/>
        <w:numId w:val="1"/>
      </w:numPr>
      <w:adjustRightInd w:val="0"/>
    </w:pPr>
    <w:rPr>
      <w:rFonts w:ascii="宋体" w:hAnsi="宋体"/>
      <w:kern w:val="0"/>
      <w:szCs w:val="21"/>
    </w:rPr>
  </w:style>
  <w:style w:type="paragraph" w:customStyle="1" w:styleId="149">
    <w:name w:val="正1"/>
    <w:basedOn w:val="1"/>
    <w:qFormat/>
    <w:uiPriority w:val="0"/>
    <w:pPr>
      <w:spacing w:line="360" w:lineRule="auto"/>
      <w:ind w:firstLine="480" w:firstLineChars="200"/>
    </w:pPr>
    <w:rPr>
      <w:rFonts w:ascii="'宋体" w:eastAsia="'宋体"/>
      <w:sz w:val="24"/>
      <w:szCs w:val="20"/>
    </w:rPr>
  </w:style>
  <w:style w:type="paragraph" w:customStyle="1" w:styleId="150">
    <w:name w:val="QL1"/>
    <w:basedOn w:val="1"/>
    <w:qFormat/>
    <w:uiPriority w:val="0"/>
    <w:pPr>
      <w:ind w:left="1379" w:hanging="420"/>
    </w:pPr>
    <w:rPr>
      <w:sz w:val="24"/>
    </w:rPr>
  </w:style>
  <w:style w:type="paragraph" w:customStyle="1" w:styleId="151">
    <w:name w:val="Char Char Char"/>
    <w:basedOn w:val="1"/>
    <w:qFormat/>
    <w:uiPriority w:val="0"/>
    <w:rPr>
      <w:rFonts w:ascii="Tahoma" w:hAnsi="Tahoma"/>
      <w:sz w:val="24"/>
      <w:szCs w:val="20"/>
    </w:rPr>
  </w:style>
  <w:style w:type="paragraph" w:customStyle="1" w:styleId="152">
    <w:name w:val="2"/>
    <w:basedOn w:val="1"/>
    <w:next w:val="20"/>
    <w:qFormat/>
    <w:uiPriority w:val="0"/>
    <w:rPr>
      <w:rFonts w:ascii="宋体" w:hAnsi="Courier New"/>
      <w:szCs w:val="20"/>
    </w:rPr>
  </w:style>
  <w:style w:type="paragraph" w:customStyle="1" w:styleId="153">
    <w:name w:val="Char Char"/>
    <w:basedOn w:val="1"/>
    <w:qFormat/>
    <w:uiPriority w:val="0"/>
    <w:rPr>
      <w:rFonts w:ascii="仿宋_GB2312" w:eastAsia="仿宋_GB2312"/>
      <w:b/>
      <w:sz w:val="32"/>
      <w:szCs w:val="32"/>
    </w:rPr>
  </w:style>
  <w:style w:type="paragraph" w:customStyle="1" w:styleId="154">
    <w:name w:val="Char"/>
    <w:basedOn w:val="1"/>
    <w:qFormat/>
    <w:uiPriority w:val="0"/>
    <w:pPr>
      <w:widowControl/>
      <w:spacing w:after="160" w:line="240" w:lineRule="exact"/>
      <w:jc w:val="left"/>
    </w:pPr>
    <w:rPr>
      <w:rFonts w:ascii="Verdana" w:hAnsi="Verdana"/>
      <w:kern w:val="0"/>
      <w:szCs w:val="20"/>
      <w:lang w:eastAsia="en-US"/>
    </w:rPr>
  </w:style>
  <w:style w:type="paragraph" w:customStyle="1" w:styleId="155">
    <w:name w:val="RFI text from 3rd Level"/>
    <w:basedOn w:val="1"/>
    <w:qFormat/>
    <w:uiPriority w:val="0"/>
    <w:pPr>
      <w:widowControl/>
      <w:tabs>
        <w:tab w:val="left" w:pos="1080"/>
      </w:tabs>
      <w:spacing w:beforeLines="50" w:line="360" w:lineRule="auto"/>
    </w:pPr>
    <w:rPr>
      <w:rFonts w:ascii="Arial (W1)" w:hAnsi="Arial (W1)"/>
      <w:bCs/>
      <w:kern w:val="0"/>
      <w:sz w:val="24"/>
      <w:lang w:val="en-GB"/>
    </w:rPr>
  </w:style>
  <w:style w:type="paragraph" w:customStyle="1" w:styleId="156">
    <w:name w:val="样式 样式 样式 样式 标题 2 + 宋体 五号 非加粗 黑色 + 段前: 6 磅 段后: 0 磅 行距: 单倍行距 + 段前:..."/>
    <w:basedOn w:val="1"/>
    <w:qFormat/>
    <w:uiPriority w:val="0"/>
    <w:pPr>
      <w:keepNext/>
      <w:keepLines/>
      <w:adjustRightInd w:val="0"/>
      <w:spacing w:before="240"/>
      <w:jc w:val="left"/>
      <w:outlineLvl w:val="1"/>
    </w:pPr>
    <w:rPr>
      <w:rFonts w:ascii="宋体" w:hAnsi="宋体"/>
      <w:b/>
      <w:bCs/>
      <w:color w:val="000000"/>
      <w:kern w:val="0"/>
      <w:szCs w:val="20"/>
    </w:rPr>
  </w:style>
  <w:style w:type="paragraph" w:customStyle="1" w:styleId="157">
    <w:name w:val="Char Char Char Char Char Char Char Char Char Char Char Char Char Char Char Char"/>
    <w:basedOn w:val="1"/>
    <w:qFormat/>
    <w:uiPriority w:val="0"/>
    <w:pPr>
      <w:tabs>
        <w:tab w:val="left" w:pos="360"/>
      </w:tabs>
      <w:spacing w:line="360" w:lineRule="auto"/>
      <w:ind w:left="482" w:firstLine="200" w:firstLineChars="200"/>
    </w:pPr>
    <w:rPr>
      <w:szCs w:val="20"/>
    </w:rPr>
  </w:style>
  <w:style w:type="paragraph" w:customStyle="1" w:styleId="158">
    <w:name w:val="reader-word-layer reader-word-s1-8"/>
    <w:basedOn w:val="1"/>
    <w:qFormat/>
    <w:uiPriority w:val="0"/>
    <w:pPr>
      <w:widowControl/>
      <w:spacing w:before="100" w:beforeAutospacing="1" w:after="100" w:afterAutospacing="1"/>
      <w:jc w:val="left"/>
    </w:pPr>
    <w:rPr>
      <w:rFonts w:ascii="宋体" w:hAnsi="宋体" w:cs="宋体"/>
      <w:kern w:val="0"/>
      <w:sz w:val="24"/>
    </w:rPr>
  </w:style>
  <w:style w:type="paragraph" w:customStyle="1" w:styleId="159">
    <w:name w:val="_Style 1"/>
    <w:basedOn w:val="1"/>
    <w:qFormat/>
    <w:uiPriority w:val="0"/>
    <w:pPr>
      <w:ind w:firstLine="420" w:firstLineChars="200"/>
    </w:pPr>
    <w:rPr>
      <w:szCs w:val="20"/>
    </w:rPr>
  </w:style>
  <w:style w:type="paragraph" w:customStyle="1" w:styleId="160">
    <w:name w:val="reader-word-layer reader-word-s1-14"/>
    <w:basedOn w:val="1"/>
    <w:qFormat/>
    <w:uiPriority w:val="0"/>
    <w:pPr>
      <w:widowControl/>
      <w:spacing w:before="100" w:beforeAutospacing="1" w:after="100" w:afterAutospacing="1"/>
      <w:jc w:val="left"/>
    </w:pPr>
    <w:rPr>
      <w:rFonts w:ascii="宋体" w:hAnsi="宋体" w:cs="宋体"/>
      <w:kern w:val="0"/>
      <w:sz w:val="24"/>
    </w:rPr>
  </w:style>
  <w:style w:type="paragraph" w:customStyle="1" w:styleId="161">
    <w:name w:val="reader-word-layer reader-word-s1-7"/>
    <w:basedOn w:val="1"/>
    <w:qFormat/>
    <w:uiPriority w:val="0"/>
    <w:pPr>
      <w:widowControl/>
      <w:spacing w:before="100" w:beforeAutospacing="1" w:after="100" w:afterAutospacing="1"/>
      <w:jc w:val="left"/>
    </w:pPr>
    <w:rPr>
      <w:rFonts w:ascii="宋体" w:hAnsi="宋体" w:cs="宋体"/>
      <w:kern w:val="0"/>
      <w:sz w:val="24"/>
    </w:rPr>
  </w:style>
  <w:style w:type="paragraph" w:customStyle="1" w:styleId="162">
    <w:name w:val="Char2 Char Char Char"/>
    <w:basedOn w:val="1"/>
    <w:qFormat/>
    <w:uiPriority w:val="0"/>
    <w:rPr>
      <w:szCs w:val="20"/>
    </w:rPr>
  </w:style>
  <w:style w:type="paragraph" w:customStyle="1" w:styleId="163">
    <w:name w:val="Char Char Char Char"/>
    <w:basedOn w:val="14"/>
    <w:qFormat/>
    <w:uiPriority w:val="0"/>
    <w:pPr>
      <w:adjustRightInd w:val="0"/>
      <w:snapToGrid w:val="0"/>
      <w:spacing w:line="360" w:lineRule="auto"/>
    </w:pPr>
    <w:rPr>
      <w:rFonts w:ascii="Tahoma" w:hAnsi="Tahoma"/>
      <w:sz w:val="24"/>
    </w:rPr>
  </w:style>
  <w:style w:type="paragraph" w:customStyle="1" w:styleId="164">
    <w:name w:val="p18"/>
    <w:basedOn w:val="1"/>
    <w:qFormat/>
    <w:uiPriority w:val="0"/>
    <w:pPr>
      <w:widowControl/>
    </w:pPr>
    <w:rPr>
      <w:rFonts w:ascii="宋体" w:hAnsi="宋体" w:cs="宋体"/>
      <w:kern w:val="0"/>
      <w:szCs w:val="21"/>
    </w:rPr>
  </w:style>
  <w:style w:type="paragraph" w:customStyle="1" w:styleId="165">
    <w:name w:val="默认段落字体 Para Char Char Char Char Char Char Char Char Char1 Char Char Char Char"/>
    <w:basedOn w:val="1"/>
    <w:qFormat/>
    <w:uiPriority w:val="0"/>
    <w:pPr>
      <w:adjustRightInd w:val="0"/>
      <w:snapToGrid w:val="0"/>
      <w:spacing w:line="360" w:lineRule="auto"/>
      <w:ind w:firstLine="200" w:firstLineChars="200"/>
    </w:pPr>
    <w:rPr>
      <w:rFonts w:ascii="Tahoma" w:hAnsi="Tahoma"/>
      <w:sz w:val="24"/>
      <w:szCs w:val="20"/>
    </w:rPr>
  </w:style>
  <w:style w:type="paragraph" w:customStyle="1" w:styleId="166">
    <w:name w:val="Default"/>
    <w:qFormat/>
    <w:uiPriority w:val="0"/>
    <w:pPr>
      <w:autoSpaceDE w:val="0"/>
      <w:autoSpaceDN w:val="0"/>
      <w:adjustRightInd w:val="0"/>
    </w:pPr>
    <w:rPr>
      <w:rFonts w:ascii="宋体" w:hAnsi="宋体" w:eastAsia="宋体" w:cs="宋体"/>
      <w:color w:val="000000"/>
      <w:sz w:val="24"/>
      <w:szCs w:val="24"/>
      <w:lang w:val="en-US" w:eastAsia="zh-CN" w:bidi="ar-SA"/>
    </w:rPr>
  </w:style>
  <w:style w:type="paragraph" w:customStyle="1" w:styleId="167">
    <w:name w:val="_Style 76"/>
    <w:basedOn w:val="1"/>
    <w:qFormat/>
    <w:uiPriority w:val="0"/>
    <w:pPr>
      <w:tabs>
        <w:tab w:val="left" w:pos="360"/>
      </w:tabs>
      <w:spacing w:line="360" w:lineRule="auto"/>
      <w:ind w:left="482" w:firstLine="200" w:firstLineChars="200"/>
    </w:pPr>
    <w:rPr>
      <w:rFonts w:ascii="宋体"/>
      <w:sz w:val="24"/>
    </w:rPr>
  </w:style>
  <w:style w:type="paragraph" w:customStyle="1" w:styleId="168">
    <w:name w:val="Char1"/>
    <w:basedOn w:val="1"/>
    <w:qFormat/>
    <w:uiPriority w:val="0"/>
    <w:pPr>
      <w:tabs>
        <w:tab w:val="left" w:pos="360"/>
      </w:tabs>
    </w:pPr>
  </w:style>
  <w:style w:type="paragraph" w:customStyle="1" w:styleId="169">
    <w:name w:val="reader-word-layer reader-word-s1-5"/>
    <w:basedOn w:val="1"/>
    <w:qFormat/>
    <w:uiPriority w:val="0"/>
    <w:pPr>
      <w:widowControl/>
      <w:spacing w:before="100" w:beforeAutospacing="1" w:after="100" w:afterAutospacing="1"/>
      <w:jc w:val="left"/>
    </w:pPr>
    <w:rPr>
      <w:rFonts w:ascii="宋体" w:hAnsi="宋体" w:cs="宋体"/>
      <w:kern w:val="0"/>
      <w:sz w:val="24"/>
    </w:rPr>
  </w:style>
  <w:style w:type="paragraph" w:customStyle="1" w:styleId="170">
    <w:name w:val="HD正文1"/>
    <w:basedOn w:val="1"/>
    <w:qFormat/>
    <w:uiPriority w:val="0"/>
    <w:pPr>
      <w:spacing w:line="440" w:lineRule="atLeast"/>
      <w:ind w:firstLine="540"/>
    </w:pPr>
    <w:rPr>
      <w:sz w:val="24"/>
    </w:rPr>
  </w:style>
  <w:style w:type="paragraph" w:customStyle="1" w:styleId="171">
    <w:name w:val="QL2"/>
    <w:basedOn w:val="1"/>
    <w:qFormat/>
    <w:uiPriority w:val="0"/>
    <w:pPr>
      <w:ind w:left="1799" w:hanging="420"/>
    </w:pPr>
    <w:rPr>
      <w:sz w:val="24"/>
    </w:rPr>
  </w:style>
  <w:style w:type="paragraph" w:customStyle="1" w:styleId="172">
    <w:name w:val="列表段落11"/>
    <w:basedOn w:val="1"/>
    <w:qFormat/>
    <w:uiPriority w:val="34"/>
    <w:pPr>
      <w:ind w:firstLine="420" w:firstLineChars="200"/>
    </w:pPr>
  </w:style>
  <w:style w:type="paragraph" w:customStyle="1" w:styleId="173">
    <w:name w:val="正文1"/>
    <w:qFormat/>
    <w:uiPriority w:val="0"/>
    <w:pPr>
      <w:widowControl w:val="0"/>
      <w:adjustRightInd w:val="0"/>
      <w:spacing w:line="312" w:lineRule="atLeast"/>
      <w:jc w:val="both"/>
    </w:pPr>
    <w:rPr>
      <w:rFonts w:hint="eastAsia" w:ascii="宋体" w:hAnsi="Times New Roman" w:eastAsia="宋体" w:cs="Times New Roman"/>
      <w:sz w:val="34"/>
      <w:lang w:val="en-US" w:eastAsia="zh-CN" w:bidi="ar-SA"/>
    </w:rPr>
  </w:style>
  <w:style w:type="paragraph" w:customStyle="1" w:styleId="174">
    <w:name w:val="reader-word-layer reader-word-s1-6"/>
    <w:basedOn w:val="1"/>
    <w:qFormat/>
    <w:uiPriority w:val="0"/>
    <w:pPr>
      <w:widowControl/>
      <w:spacing w:before="100" w:beforeAutospacing="1" w:after="100" w:afterAutospacing="1"/>
      <w:jc w:val="left"/>
    </w:pPr>
    <w:rPr>
      <w:rFonts w:ascii="宋体" w:hAnsi="宋体" w:cs="宋体"/>
      <w:kern w:val="0"/>
      <w:sz w:val="24"/>
    </w:rPr>
  </w:style>
  <w:style w:type="paragraph" w:customStyle="1" w:styleId="175">
    <w:name w:val="reader-word-layer reader-word-s1-1"/>
    <w:basedOn w:val="1"/>
    <w:qFormat/>
    <w:uiPriority w:val="0"/>
    <w:pPr>
      <w:widowControl/>
      <w:spacing w:before="100" w:beforeAutospacing="1" w:after="100" w:afterAutospacing="1"/>
      <w:jc w:val="left"/>
    </w:pPr>
    <w:rPr>
      <w:rFonts w:ascii="宋体" w:hAnsi="宋体" w:cs="宋体"/>
      <w:kern w:val="0"/>
      <w:sz w:val="24"/>
    </w:rPr>
  </w:style>
  <w:style w:type="paragraph" w:customStyle="1" w:styleId="176">
    <w:name w:val="Char Char Char Char Char Char Char Char Char Char Char Char"/>
    <w:basedOn w:val="1"/>
    <w:qFormat/>
    <w:uiPriority w:val="0"/>
    <w:pPr>
      <w:widowControl/>
      <w:spacing w:after="160" w:line="240" w:lineRule="exact"/>
      <w:jc w:val="left"/>
    </w:pPr>
  </w:style>
  <w:style w:type="paragraph" w:customStyle="1" w:styleId="177">
    <w:name w:val="列出段落1"/>
    <w:basedOn w:val="1"/>
    <w:qFormat/>
    <w:uiPriority w:val="0"/>
    <w:pPr>
      <w:ind w:firstLine="420" w:firstLineChars="200"/>
    </w:pPr>
    <w:rPr>
      <w:rFonts w:ascii="Calibri" w:hAnsi="Calibri"/>
      <w:szCs w:val="22"/>
    </w:rPr>
  </w:style>
  <w:style w:type="paragraph" w:customStyle="1" w:styleId="178">
    <w:name w:val="Char Char Char Char1"/>
    <w:basedOn w:val="1"/>
    <w:qFormat/>
    <w:uiPriority w:val="0"/>
    <w:rPr>
      <w:rFonts w:ascii="Tahoma" w:hAnsi="Tahoma"/>
      <w:sz w:val="24"/>
      <w:szCs w:val="20"/>
    </w:rPr>
  </w:style>
  <w:style w:type="paragraph" w:customStyle="1" w:styleId="179">
    <w:name w:val="Char3"/>
    <w:basedOn w:val="1"/>
    <w:qFormat/>
    <w:uiPriority w:val="0"/>
    <w:pPr>
      <w:widowControl/>
      <w:spacing w:after="160" w:line="240" w:lineRule="exact"/>
      <w:jc w:val="left"/>
    </w:pPr>
    <w:rPr>
      <w:rFonts w:ascii="Verdana" w:hAnsi="Verdana"/>
      <w:kern w:val="0"/>
      <w:szCs w:val="20"/>
      <w:lang w:eastAsia="en-US"/>
    </w:rPr>
  </w:style>
  <w:style w:type="paragraph" w:customStyle="1" w:styleId="180">
    <w:name w:val="Char Char Char Char Char Char Char Char Char Char Char Char Char Char Char Char1"/>
    <w:basedOn w:val="1"/>
    <w:qFormat/>
    <w:uiPriority w:val="0"/>
    <w:pPr>
      <w:tabs>
        <w:tab w:val="left" w:pos="360"/>
      </w:tabs>
      <w:spacing w:line="360" w:lineRule="auto"/>
      <w:ind w:left="482" w:firstLine="200" w:firstLineChars="200"/>
    </w:pPr>
    <w:rPr>
      <w:rFonts w:ascii="宋体"/>
      <w:sz w:val="24"/>
    </w:rPr>
  </w:style>
  <w:style w:type="paragraph" w:customStyle="1" w:styleId="181">
    <w:name w:val="_Style 2"/>
    <w:qFormat/>
    <w:uiPriority w:val="0"/>
    <w:pPr>
      <w:widowControl w:val="0"/>
      <w:adjustRightInd w:val="0"/>
      <w:snapToGrid w:val="0"/>
      <w:spacing w:line="360" w:lineRule="auto"/>
      <w:jc w:val="both"/>
    </w:pPr>
    <w:rPr>
      <w:rFonts w:ascii="Times New Roman" w:hAnsi="Times New Roman" w:eastAsia="宋体" w:cs="Times New Roman"/>
      <w:kern w:val="2"/>
      <w:sz w:val="21"/>
      <w:szCs w:val="24"/>
      <w:lang w:val="en-US" w:eastAsia="zh-CN" w:bidi="ar-SA"/>
    </w:rPr>
  </w:style>
  <w:style w:type="paragraph" w:customStyle="1" w:styleId="182">
    <w:name w:val="样式 首行缩进:  0.8 厘米1"/>
    <w:basedOn w:val="1"/>
    <w:qFormat/>
    <w:uiPriority w:val="0"/>
    <w:pPr>
      <w:spacing w:before="60" w:after="60" w:line="288" w:lineRule="auto"/>
      <w:ind w:firstLine="454"/>
    </w:pPr>
    <w:rPr>
      <w:rFonts w:cs="宋体"/>
      <w:kern w:val="0"/>
      <w:sz w:val="24"/>
      <w:szCs w:val="20"/>
      <w:lang w:eastAsia="en-US"/>
    </w:rPr>
  </w:style>
  <w:style w:type="paragraph" w:customStyle="1" w:styleId="183">
    <w:name w:val="页脚，偶数页"/>
    <w:basedOn w:val="3"/>
    <w:qFormat/>
    <w:uiPriority w:val="0"/>
    <w:pPr>
      <w:spacing w:before="360" w:after="480"/>
      <w:ind w:firstLine="280" w:firstLineChars="100"/>
    </w:pPr>
    <w:rPr>
      <w:rFonts w:eastAsia="Times New Roman"/>
      <w:szCs w:val="28"/>
    </w:rPr>
  </w:style>
  <w:style w:type="paragraph" w:customStyle="1" w:styleId="184">
    <w:name w:val="正2"/>
    <w:basedOn w:val="149"/>
    <w:qFormat/>
    <w:uiPriority w:val="0"/>
    <w:pPr>
      <w:ind w:firstLine="0" w:firstLineChars="0"/>
    </w:pPr>
    <w:rPr>
      <w:b/>
      <w:bCs/>
    </w:rPr>
  </w:style>
  <w:style w:type="paragraph" w:customStyle="1" w:styleId="185">
    <w:name w:val="题注5"/>
    <w:basedOn w:val="1"/>
    <w:next w:val="13"/>
    <w:qFormat/>
    <w:uiPriority w:val="0"/>
    <w:pPr>
      <w:jc w:val="center"/>
    </w:pPr>
    <w:rPr>
      <w:b/>
      <w:bCs/>
      <w:color w:val="000000"/>
      <w:sz w:val="24"/>
    </w:rPr>
  </w:style>
  <w:style w:type="paragraph" w:customStyle="1" w:styleId="186">
    <w:name w:val="图"/>
    <w:basedOn w:val="1"/>
    <w:qFormat/>
    <w:uiPriority w:val="0"/>
    <w:pPr>
      <w:keepNext/>
      <w:adjustRightInd w:val="0"/>
      <w:spacing w:before="60" w:after="60" w:line="300" w:lineRule="auto"/>
      <w:jc w:val="center"/>
      <w:textAlignment w:val="center"/>
    </w:pPr>
    <w:rPr>
      <w:spacing w:val="20"/>
      <w:kern w:val="0"/>
      <w:sz w:val="24"/>
    </w:rPr>
  </w:style>
  <w:style w:type="paragraph" w:styleId="187">
    <w:name w:val="No Spacing"/>
    <w:qFormat/>
    <w:uiPriority w:val="0"/>
    <w:pPr>
      <w:widowControl w:val="0"/>
      <w:adjustRightInd w:val="0"/>
      <w:snapToGrid w:val="0"/>
      <w:spacing w:line="360" w:lineRule="auto"/>
      <w:jc w:val="both"/>
    </w:pPr>
    <w:rPr>
      <w:rFonts w:ascii="Times New Roman" w:hAnsi="Times New Roman" w:eastAsia="宋体" w:cs="Times New Roman"/>
      <w:kern w:val="2"/>
      <w:sz w:val="21"/>
      <w:szCs w:val="24"/>
      <w:lang w:val="en-US" w:eastAsia="zh-CN" w:bidi="ar-SA"/>
    </w:rPr>
  </w:style>
  <w:style w:type="paragraph" w:customStyle="1" w:styleId="188">
    <w:name w:val="TOC 标题1"/>
    <w:basedOn w:val="3"/>
    <w:next w:val="1"/>
    <w:qFormat/>
    <w:uiPriority w:val="0"/>
    <w:pPr>
      <w:keepLines/>
      <w:widowControl/>
      <w:spacing w:before="480" w:line="276" w:lineRule="auto"/>
      <w:jc w:val="left"/>
      <w:outlineLvl w:val="9"/>
    </w:pPr>
    <w:rPr>
      <w:rFonts w:ascii="Cambria" w:hAnsi="Cambria"/>
      <w:bCs/>
      <w:color w:val="365F91"/>
      <w:kern w:val="0"/>
      <w:sz w:val="28"/>
      <w:szCs w:val="28"/>
    </w:rPr>
  </w:style>
  <w:style w:type="character" w:customStyle="1" w:styleId="189">
    <w:name w:val="纯文本 字符1"/>
    <w:qFormat/>
    <w:uiPriority w:val="0"/>
    <w:rPr>
      <w:rFonts w:ascii="宋体" w:hAnsi="Courier New" w:eastAsia="宋体"/>
    </w:rPr>
  </w:style>
  <w:style w:type="paragraph" w:styleId="19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1"/>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广西中意招标造价咨询有限公司</Company>
  <Pages>71</Pages>
  <Words>8021</Words>
  <Characters>45722</Characters>
  <Lines>381</Lines>
  <Paragraphs>107</Paragraphs>
  <TotalTime>19</TotalTime>
  <ScaleCrop>false</ScaleCrop>
  <LinksUpToDate>false</LinksUpToDate>
  <CharactersWithSpaces>53636</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2020-06-02T15:31:00Z</dcterms:created>
  <dc:creator>Administrator</dc:creator>
  <cp:lastModifiedBy>葛广</cp:lastModifiedBy>
  <cp:lastPrinted>2019-10-21T08:42:00Z</cp:lastPrinted>
  <dcterms:modified xsi:type="dcterms:W3CDTF">2020-06-29T08:49:49Z</dcterms:modified>
  <dc:subject>招标文件</dc:subject>
  <dc:title>（g1-00339)网络多媒体设备采购招标文件（10.25麦改）</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