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b/>
          <w:color w:val="000000" w:themeColor="text1"/>
          <w:sz w:val="66"/>
          <w:szCs w:val="66"/>
          <w14:textFill>
            <w14:solidFill>
              <w14:schemeClr w14:val="tx1"/>
            </w14:solidFill>
          </w14:textFill>
        </w:rPr>
      </w:pPr>
      <w:r>
        <w:rPr>
          <w:rFonts w:hint="eastAsia" w:ascii="宋体" w:hAnsi="宋体" w:cs="宋体"/>
          <w:b/>
          <w:color w:val="000000" w:themeColor="text1"/>
          <w:sz w:val="66"/>
          <w:szCs w:val="66"/>
          <w14:textFill>
            <w14:solidFill>
              <w14:schemeClr w14:val="tx1"/>
            </w14:solidFill>
          </w14:textFill>
        </w:rPr>
        <w:t>广西众联工程项目管理有限公司</w:t>
      </w: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r>
        <w:rPr>
          <w:rFonts w:hint="eastAsia" w:ascii="宋体" w:hAnsi="宋体" w:cs="宋体"/>
        </w:rPr>
        <w:cr/>
      </w:r>
      <w:r>
        <w:rPr>
          <w:rFonts w:hint="eastAsia" w:ascii="宋体" w:hAnsi="宋体" w:cs="宋体"/>
          <w:b/>
          <w:bCs/>
          <w:color w:val="000000" w:themeColor="text1"/>
          <w:sz w:val="84"/>
          <w14:shadow w14:blurRad="50800" w14:dist="38100" w14:dir="2700000" w14:sx="100000" w14:sy="100000" w14:kx="0" w14:ky="0" w14:algn="tl">
            <w14:srgbClr w14:val="000000">
              <w14:alpha w14:val="60000"/>
            </w14:srgbClr>
          </w14:shadow>
          <w14:textFill>
            <w14:solidFill>
              <w14:schemeClr w14:val="tx1"/>
            </w14:solidFill>
          </w14:textFill>
        </w:rPr>
        <w:t>招 标 文 件</w:t>
      </w:r>
      <w:r>
        <w:rPr>
          <w:rFonts w:hint="eastAsia" w:ascii="宋体" w:hAnsi="宋体" w:cs="宋体"/>
          <w:color w:val="000000" w:themeColor="text1"/>
          <w:sz w:val="72"/>
          <w14:textFill>
            <w14:solidFill>
              <w14:schemeClr w14:val="tx1"/>
            </w14:solidFill>
          </w14:textFill>
        </w:rPr>
        <w:cr/>
      </w: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spacing w:line="800" w:lineRule="exact"/>
        <w:ind w:left="3419" w:leftChars="771" w:right="590" w:rightChars="281" w:hanging="1800" w:hangingChars="498"/>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项目名称：网络多媒体设备</w:t>
      </w:r>
    </w:p>
    <w:p>
      <w:pPr>
        <w:spacing w:line="800" w:lineRule="exact"/>
        <w:ind w:firstLine="1619" w:firstLineChars="448"/>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项目编号：WXZC2020-G1-00054-ZLZB</w:t>
      </w:r>
    </w:p>
    <w:p>
      <w:pPr>
        <w:ind w:left="-2" w:leftChars="-1" w:firstLine="1365" w:firstLineChars="650"/>
        <w:rPr>
          <w:rFonts w:ascii="宋体" w:hAnsi="宋体" w:cs="宋体"/>
          <w:color w:val="000000" w:themeColor="text1"/>
          <w14:textFill>
            <w14:solidFill>
              <w14:schemeClr w14:val="tx1"/>
            </w14:solidFill>
          </w14:textFill>
        </w:rPr>
      </w:pPr>
    </w:p>
    <w:p>
      <w:pPr>
        <w:ind w:left="-2" w:leftChars="-1" w:firstLine="1365" w:firstLineChars="650"/>
        <w:rPr>
          <w:rFonts w:ascii="宋体" w:hAnsi="宋体" w:cs="宋体"/>
          <w:color w:val="000000" w:themeColor="text1"/>
          <w14:textFill>
            <w14:solidFill>
              <w14:schemeClr w14:val="tx1"/>
            </w14:solidFill>
          </w14:textFill>
        </w:rPr>
      </w:pPr>
    </w:p>
    <w:p>
      <w:pPr>
        <w:ind w:left="-2" w:leftChars="-1" w:firstLine="1365" w:firstLineChars="650"/>
        <w:rPr>
          <w:rFonts w:ascii="宋体" w:hAnsi="宋体" w:cs="宋体"/>
          <w:color w:val="000000" w:themeColor="text1"/>
          <w14:textFill>
            <w14:solidFill>
              <w14:schemeClr w14:val="tx1"/>
            </w14:solidFill>
          </w14:textFill>
        </w:rPr>
      </w:pPr>
    </w:p>
    <w:p>
      <w:pPr>
        <w:ind w:left="-2" w:leftChars="-1" w:firstLine="1365" w:firstLineChars="650"/>
        <w:rPr>
          <w:rFonts w:ascii="宋体" w:hAnsi="宋体" w:cs="宋体"/>
          <w:color w:val="000000" w:themeColor="text1"/>
          <w14:textFill>
            <w14:solidFill>
              <w14:schemeClr w14:val="tx1"/>
            </w14:solidFill>
          </w14:textFill>
        </w:rPr>
      </w:pPr>
    </w:p>
    <w:p>
      <w:pPr>
        <w:ind w:left="-2" w:leftChars="-1" w:firstLine="1365" w:firstLineChars="650"/>
        <w:rPr>
          <w:rFonts w:ascii="宋体" w:hAnsi="宋体" w:cs="宋体"/>
          <w:color w:val="000000" w:themeColor="text1"/>
          <w14:textFill>
            <w14:solidFill>
              <w14:schemeClr w14:val="tx1"/>
            </w14:solidFill>
          </w14:textFill>
        </w:rPr>
      </w:pPr>
    </w:p>
    <w:p>
      <w:pPr>
        <w:ind w:left="-2" w:leftChars="-1" w:firstLine="1365" w:firstLineChars="650"/>
        <w:rPr>
          <w:rFonts w:ascii="宋体" w:hAnsi="宋体" w:cs="宋体"/>
          <w:color w:val="000000" w:themeColor="text1"/>
          <w14:textFill>
            <w14:solidFill>
              <w14:schemeClr w14:val="tx1"/>
            </w14:solidFill>
          </w14:textFill>
        </w:rPr>
      </w:pPr>
    </w:p>
    <w:p>
      <w:pPr>
        <w:ind w:left="-2" w:leftChars="-1" w:firstLine="1365" w:firstLineChars="650"/>
        <w:rPr>
          <w:rFonts w:ascii="宋体" w:hAnsi="宋体" w:cs="宋体"/>
          <w:color w:val="000000" w:themeColor="text1"/>
          <w14:textFill>
            <w14:solidFill>
              <w14:schemeClr w14:val="tx1"/>
            </w14:solidFill>
          </w14:textFill>
        </w:rPr>
      </w:pPr>
    </w:p>
    <w:p>
      <w:pPr>
        <w:ind w:left="0" w:leftChars="0" w:firstLine="0" w:firstLineChars="0"/>
        <w:rPr>
          <w:rFonts w:ascii="宋体" w:hAnsi="宋体" w:cs="宋体"/>
          <w:color w:val="000000" w:themeColor="text1"/>
          <w14:textFill>
            <w14:solidFill>
              <w14:schemeClr w14:val="tx1"/>
            </w14:solidFill>
          </w14:textFill>
        </w:rPr>
      </w:pPr>
    </w:p>
    <w:p>
      <w:pPr>
        <w:ind w:left="0" w:leftChars="0" w:firstLine="0" w:firstLineChars="0"/>
        <w:rPr>
          <w:rFonts w:ascii="宋体" w:hAnsi="宋体" w:cs="宋体"/>
          <w:color w:val="000000" w:themeColor="text1"/>
          <w14:textFill>
            <w14:solidFill>
              <w14:schemeClr w14:val="tx1"/>
            </w14:solidFill>
          </w14:textFill>
        </w:rPr>
      </w:pPr>
    </w:p>
    <w:p>
      <w:pPr>
        <w:ind w:left="0" w:leftChars="0" w:firstLine="0" w:firstLineChars="0"/>
        <w:rPr>
          <w:rFonts w:ascii="宋体" w:hAnsi="宋体" w:cs="宋体"/>
          <w:color w:val="000000" w:themeColor="text1"/>
          <w14:textFill>
            <w14:solidFill>
              <w14:schemeClr w14:val="tx1"/>
            </w14:solidFill>
          </w14:textFill>
        </w:rPr>
      </w:pPr>
    </w:p>
    <w:p>
      <w:pPr>
        <w:spacing w:line="400" w:lineRule="exact"/>
        <w:ind w:left="-2" w:leftChars="-1" w:firstLine="1365" w:firstLineChars="650"/>
        <w:rPr>
          <w:rFonts w:ascii="宋体" w:hAnsi="宋体" w:cs="宋体"/>
          <w:color w:val="000000" w:themeColor="text1"/>
          <w14:textFill>
            <w14:solidFill>
              <w14:schemeClr w14:val="tx1"/>
            </w14:solidFill>
          </w14:textFill>
        </w:rPr>
      </w:pPr>
    </w:p>
    <w:p>
      <w:pPr>
        <w:spacing w:line="400" w:lineRule="exact"/>
        <w:ind w:firstLine="1439" w:firstLineChars="448"/>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采购人：梧州市万秀区教育局</w:t>
      </w:r>
    </w:p>
    <w:p>
      <w:pPr>
        <w:spacing w:line="400" w:lineRule="exact"/>
        <w:ind w:left="-2" w:leftChars="-1" w:firstLine="1365" w:firstLineChars="650"/>
        <w:rPr>
          <w:rFonts w:ascii="宋体" w:hAnsi="宋体" w:cs="宋体"/>
          <w:color w:val="000000" w:themeColor="text1"/>
          <w14:textFill>
            <w14:solidFill>
              <w14:schemeClr w14:val="tx1"/>
            </w14:solidFill>
          </w14:textFill>
        </w:rPr>
      </w:pPr>
    </w:p>
    <w:p>
      <w:pPr>
        <w:spacing w:line="400" w:lineRule="exact"/>
        <w:ind w:firstLine="1439" w:firstLineChars="448"/>
        <w:rPr>
          <w:rFonts w:ascii="宋体" w:hAnsi="宋体" w:cs="宋体"/>
          <w:b/>
          <w:color w:val="000000" w:themeColor="text1"/>
          <w:spacing w:val="-8"/>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采购代理机构：广西众联工程项目管理有限公司</w:t>
      </w:r>
    </w:p>
    <w:p>
      <w:pPr>
        <w:spacing w:line="400" w:lineRule="exact"/>
        <w:ind w:left="0" w:leftChars="0" w:firstLine="1526" w:firstLineChars="500"/>
        <w:jc w:val="both"/>
        <w:rPr>
          <w:rFonts w:hint="eastAsia" w:ascii="宋体" w:hAnsi="宋体" w:cs="宋体"/>
          <w:b/>
          <w:color w:val="000000" w:themeColor="text1"/>
          <w:spacing w:val="-8"/>
          <w:sz w:val="32"/>
          <w:szCs w:val="32"/>
          <w:lang w:eastAsia="zh-CN"/>
          <w14:textFill>
            <w14:solidFill>
              <w14:schemeClr w14:val="tx1"/>
            </w14:solidFill>
          </w14:textFill>
        </w:rPr>
      </w:pPr>
    </w:p>
    <w:p>
      <w:pPr>
        <w:spacing w:line="400" w:lineRule="exact"/>
        <w:ind w:left="0" w:leftChars="0" w:firstLine="1526" w:firstLineChars="500"/>
        <w:jc w:val="both"/>
        <w:rPr>
          <w:rFonts w:hint="default"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cs="宋体"/>
          <w:b/>
          <w:color w:val="000000" w:themeColor="text1"/>
          <w:spacing w:val="-8"/>
          <w:sz w:val="32"/>
          <w:szCs w:val="32"/>
          <w:lang w:eastAsia="zh-CN"/>
          <w14:textFill>
            <w14:solidFill>
              <w14:schemeClr w14:val="tx1"/>
            </w14:solidFill>
          </w14:textFill>
        </w:rPr>
        <w:t>发布日期：</w:t>
      </w:r>
      <w:r>
        <w:rPr>
          <w:rFonts w:hint="eastAsia" w:ascii="宋体" w:hAnsi="宋体" w:cs="宋体"/>
          <w:b/>
          <w:color w:val="000000" w:themeColor="text1"/>
          <w:spacing w:val="-8"/>
          <w:sz w:val="32"/>
          <w:szCs w:val="32"/>
          <w14:textFill>
            <w14:solidFill>
              <w14:schemeClr w14:val="tx1"/>
            </w14:solidFill>
          </w14:textFill>
        </w:rPr>
        <w:t>2020年</w:t>
      </w:r>
      <w:r>
        <w:rPr>
          <w:rFonts w:hint="eastAsia" w:ascii="宋体" w:hAnsi="宋体" w:cs="宋体"/>
          <w:b/>
          <w:color w:val="000000" w:themeColor="text1"/>
          <w:spacing w:val="-8"/>
          <w:sz w:val="32"/>
          <w:szCs w:val="32"/>
          <w:lang w:val="en-US" w:eastAsia="zh-CN"/>
          <w14:textFill>
            <w14:solidFill>
              <w14:schemeClr w14:val="tx1"/>
            </w14:solidFill>
          </w14:textFill>
        </w:rPr>
        <w:t>6</w:t>
      </w:r>
      <w:r>
        <w:rPr>
          <w:rFonts w:hint="eastAsia" w:ascii="宋体" w:hAnsi="宋体" w:cs="宋体"/>
          <w:b/>
          <w:color w:val="000000" w:themeColor="text1"/>
          <w:spacing w:val="-8"/>
          <w:sz w:val="32"/>
          <w:szCs w:val="32"/>
          <w14:textFill>
            <w14:solidFill>
              <w14:schemeClr w14:val="tx1"/>
            </w14:solidFill>
          </w14:textFill>
        </w:rPr>
        <w:t>月</w:t>
      </w:r>
      <w:r>
        <w:rPr>
          <w:rFonts w:hint="eastAsia" w:ascii="宋体" w:hAnsi="宋体" w:cs="宋体"/>
          <w:b/>
          <w:color w:val="000000" w:themeColor="text1"/>
          <w:spacing w:val="-8"/>
          <w:sz w:val="32"/>
          <w:szCs w:val="32"/>
          <w:lang w:val="en-US" w:eastAsia="zh-CN"/>
          <w14:textFill>
            <w14:solidFill>
              <w14:schemeClr w14:val="tx1"/>
            </w14:solidFill>
          </w14:textFill>
        </w:rPr>
        <w:t xml:space="preserve"> 29 日</w:t>
      </w:r>
    </w:p>
    <w:p>
      <w:pPr>
        <w:spacing w:line="400" w:lineRule="exact"/>
        <w:ind w:left="-2" w:leftChars="-1"/>
        <w:rPr>
          <w:rFonts w:hint="eastAsia" w:ascii="宋体" w:hAnsi="宋体" w:cs="宋体"/>
          <w:color w:val="000000" w:themeColor="text1"/>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418" w:left="1247" w:header="680" w:footer="851" w:gutter="0"/>
          <w:pgNumType w:fmt="decimal" w:start="0"/>
          <w:cols w:space="720" w:num="1"/>
          <w:titlePg/>
          <w:docGrid w:type="lines" w:linePitch="331" w:charSpace="0"/>
        </w:sectPr>
      </w:pPr>
      <w:r>
        <w:rPr>
          <w:rFonts w:hint="eastAsia" w:ascii="宋体" w:hAnsi="宋体" w:cs="宋体"/>
          <w:color w:val="000000" w:themeColor="text1"/>
          <w:highlight w:val="none"/>
          <w:lang w:val="en-US" w:eastAsia="zh-CN"/>
          <w14:textFill>
            <w14:solidFill>
              <w14:schemeClr w14:val="tx1"/>
            </w14:solidFill>
          </w14:textFill>
        </w:rPr>
        <w:t xml:space="preserve"> </w:t>
      </w:r>
    </w:p>
    <w:p>
      <w:pPr>
        <w:pStyle w:val="17"/>
        <w:rPr>
          <w:color w:val="000000" w:themeColor="text1"/>
          <w:highlight w:val="none"/>
          <w14:textFill>
            <w14:solidFill>
              <w14:schemeClr w14:val="tx1"/>
            </w14:solidFill>
          </w14:textFill>
        </w:rPr>
      </w:pPr>
    </w:p>
    <w:p>
      <w:pPr>
        <w:ind w:left="-2" w:leftChars="-1"/>
        <w:jc w:val="center"/>
        <w:rPr>
          <w:rFonts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目  录</w:t>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fldChar w:fldCharType="begin"/>
      </w:r>
      <w:r>
        <w:rPr>
          <w:rStyle w:val="47"/>
          <w:rFonts w:hint="eastAsia" w:cs="宋体"/>
          <w:color w:val="000000" w:themeColor="text1"/>
          <w:sz w:val="30"/>
          <w:szCs w:val="30"/>
          <w:highlight w:val="none"/>
          <w14:textFill>
            <w14:solidFill>
              <w14:schemeClr w14:val="tx1"/>
            </w14:solidFill>
          </w14:textFill>
        </w:rPr>
        <w:instrText xml:space="preserve"> TOC \o "1-1" \h \z \u </w:instrText>
      </w:r>
      <w:r>
        <w:rPr>
          <w:rFonts w:hint="eastAsia" w:cs="宋体"/>
          <w:color w:val="000000" w:themeColor="text1"/>
          <w:sz w:val="30"/>
          <w:szCs w:val="30"/>
          <w:highlight w:val="none"/>
          <w14:textFill>
            <w14:solidFill>
              <w14:schemeClr w14:val="tx1"/>
            </w14:solidFill>
          </w14:textFill>
        </w:rPr>
        <w:fldChar w:fldCharType="separate"/>
      </w: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_Toc15692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第一章  招标公告</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_Toc15692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_Toc21199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第二章  采购内容及要求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_Toc21199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_Toc14015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szCs w:val="21"/>
          <w:highlight w:val="none"/>
          <w14:textFill>
            <w14:solidFill>
              <w14:schemeClr w14:val="tx1"/>
            </w14:solidFill>
          </w14:textFill>
        </w:rPr>
        <w:t>11、在“采购内容及要求”中约定的其他要求。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_Toc14015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_Toc18101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第三章   投标人须知及前附表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_Toc18101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_Toc10224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_Toc10224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_Toc17304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一、总  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_Toc17304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_Toc6789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二、招标文件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_Toc6789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_Toc8257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三、投标文件的编制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_Toc8257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25</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_Toc5877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四、投标文件的递交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_Toc5877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28</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_Toc25813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五、开标、评标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_Toc25813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_Toc18481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六、结果公示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_Toc18481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_Toc20057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七、签订合同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_Toc20057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_Toc9628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八、其他事项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_Toc9628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33</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_Toc13134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第四章  评标方法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_Toc13134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35</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_Toc7607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第五章  政府采购合同（格式）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_Toc7607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_Toc31278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szCs w:val="32"/>
          <w:highlight w:val="none"/>
          <w14:textFill>
            <w14:solidFill>
              <w14:schemeClr w14:val="tx1"/>
            </w14:solidFill>
          </w14:textFill>
        </w:rPr>
        <w:t>项目编号:</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_Toc31278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_Toc20263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szCs w:val="32"/>
          <w:highlight w:val="none"/>
          <w14:textFill>
            <w14:solidFill>
              <w14:schemeClr w14:val="tx1"/>
            </w14:solidFill>
          </w14:textFill>
        </w:rPr>
        <w:t>项目名称：</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_Toc20263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_Toc6352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color w:val="000000" w:themeColor="text1"/>
          <w:szCs w:val="32"/>
          <w:highlight w:val="none"/>
          <w14:textFill>
            <w14:solidFill>
              <w14:schemeClr w14:val="tx1"/>
            </w14:solidFill>
          </w14:textFill>
        </w:rPr>
        <w:t>合同主要条款格式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_Toc6352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41</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_Toc2823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第六章  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_Toc2823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48</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dot" w:pos="9412"/>
          <w:tab w:val="clear" w:pos="8820"/>
        </w:tabs>
        <w:rPr>
          <w:color w:val="000000" w:themeColor="text1"/>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begin"/>
      </w:r>
      <w:r>
        <w:rPr>
          <w:rFonts w:hint="eastAsia" w:cs="宋体"/>
          <w:color w:val="000000" w:themeColor="text1"/>
          <w:szCs w:val="30"/>
          <w:highlight w:val="none"/>
          <w14:textFill>
            <w14:solidFill>
              <w14:schemeClr w14:val="tx1"/>
            </w14:solidFill>
          </w14:textFill>
        </w:rPr>
        <w:instrText xml:space="preserve"> HYPERLINK \l _Toc3074 </w:instrText>
      </w:r>
      <w:r>
        <w:rPr>
          <w:rFonts w:hint="eastAsia" w:cs="宋体"/>
          <w:color w:val="000000" w:themeColor="text1"/>
          <w:szCs w:val="30"/>
          <w:highlight w:val="none"/>
          <w14:textFill>
            <w14:solidFill>
              <w14:schemeClr w14:val="tx1"/>
            </w14:solidFill>
          </w14:textFill>
        </w:rPr>
        <w:fldChar w:fldCharType="separate"/>
      </w:r>
      <w:r>
        <w:rPr>
          <w:rFonts w:hint="eastAsia" w:ascii="宋体" w:hAnsi="宋体" w:cs="宋体"/>
          <w:bCs/>
          <w:color w:val="000000" w:themeColor="text1"/>
          <w:highlight w:val="none"/>
          <w14:textFill>
            <w14:solidFill>
              <w14:schemeClr w14:val="tx1"/>
            </w14:solidFill>
          </w14:textFill>
        </w:rPr>
        <w:t>第七章  附件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_Toc3074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67</w:t>
      </w:r>
      <w:r>
        <w:rPr>
          <w:color w:val="000000" w:themeColor="text1"/>
          <w:highlight w:val="none"/>
          <w14:textFill>
            <w14:solidFill>
              <w14:schemeClr w14:val="tx1"/>
            </w14:solidFill>
          </w14:textFill>
        </w:rPr>
        <w:fldChar w:fldCharType="end"/>
      </w:r>
      <w:r>
        <w:rPr>
          <w:rFonts w:hint="eastAsia" w:cs="宋体"/>
          <w:color w:val="000000" w:themeColor="text1"/>
          <w:szCs w:val="30"/>
          <w:highlight w:val="none"/>
          <w14:textFill>
            <w14:solidFill>
              <w14:schemeClr w14:val="tx1"/>
            </w14:solidFill>
          </w14:textFill>
        </w:rPr>
        <w:fldChar w:fldCharType="end"/>
      </w:r>
    </w:p>
    <w:p>
      <w:pPr>
        <w:pStyle w:val="26"/>
        <w:tabs>
          <w:tab w:val="right" w:leader="hyphen" w:pos="8280"/>
          <w:tab w:val="clear" w:pos="8820"/>
        </w:tabs>
        <w:spacing w:line="360" w:lineRule="auto"/>
        <w:ind w:left="1079" w:leftChars="514" w:right="0" w:firstLine="0" w:firstLineChars="0"/>
        <w:rPr>
          <w:rStyle w:val="47"/>
          <w:rFonts w:cs="宋体"/>
          <w:color w:val="000000" w:themeColor="text1"/>
          <w:sz w:val="36"/>
          <w:szCs w:val="36"/>
          <w:highlight w:val="none"/>
          <w14:textFill>
            <w14:solidFill>
              <w14:schemeClr w14:val="tx1"/>
            </w14:solidFill>
          </w14:textFill>
        </w:rPr>
      </w:pPr>
      <w:r>
        <w:rPr>
          <w:rFonts w:hint="eastAsia" w:cs="宋体"/>
          <w:color w:val="000000" w:themeColor="text1"/>
          <w:szCs w:val="30"/>
          <w:highlight w:val="none"/>
          <w14:textFill>
            <w14:solidFill>
              <w14:schemeClr w14:val="tx1"/>
            </w14:solidFill>
          </w14:textFill>
        </w:rPr>
        <w:fldChar w:fldCharType="end"/>
      </w:r>
    </w:p>
    <w:p>
      <w:pPr>
        <w:rPr>
          <w:rFonts w:ascii="宋体" w:hAnsi="宋体" w:cs="宋体"/>
          <w:color w:val="000000" w:themeColor="text1"/>
          <w:highlight w:val="none"/>
          <w14:textFill>
            <w14:solidFill>
              <w14:schemeClr w14:val="tx1"/>
            </w14:solidFill>
          </w14:textFill>
        </w:rPr>
      </w:pPr>
    </w:p>
    <w:p>
      <w:pPr>
        <w:pStyle w:val="3"/>
        <w:spacing w:line="560" w:lineRule="exact"/>
        <w:jc w:val="center"/>
        <w:rPr>
          <w:rFonts w:hint="eastAsia" w:ascii="宋体" w:hAnsi="宋体" w:cs="宋体"/>
          <w:bCs/>
          <w:color w:val="000000" w:themeColor="text1"/>
          <w:sz w:val="44"/>
          <w:highlight w:val="none"/>
          <w14:textFill>
            <w14:solidFill>
              <w14:schemeClr w14:val="tx1"/>
            </w14:solidFill>
          </w14:textFill>
        </w:rPr>
        <w:sectPr>
          <w:footerReference r:id="rId10" w:type="first"/>
          <w:footerReference r:id="rId9" w:type="default"/>
          <w:pgSz w:w="11906" w:h="16838"/>
          <w:pgMar w:top="1247" w:right="1247" w:bottom="1418" w:left="1247" w:header="680" w:footer="851" w:gutter="0"/>
          <w:pgNumType w:fmt="decimal" w:start="1"/>
          <w:cols w:space="720" w:num="1"/>
          <w:docGrid w:type="lines" w:linePitch="331" w:charSpace="0"/>
        </w:sectPr>
      </w:pPr>
      <w:bookmarkStart w:id="0" w:name="_Toc395066513"/>
      <w:bookmarkStart w:id="1" w:name="_Toc230929093"/>
      <w:bookmarkStart w:id="2" w:name="_Toc185702967"/>
      <w:bookmarkStart w:id="3" w:name="_Toc200308925"/>
      <w:bookmarkStart w:id="4" w:name="_Toc469842065"/>
      <w:bookmarkStart w:id="5" w:name="_Toc405942971"/>
      <w:bookmarkStart w:id="6" w:name="_Toc156106928"/>
      <w:bookmarkStart w:id="7" w:name="_Toc199780445"/>
      <w:bookmarkStart w:id="8" w:name="_Toc230949332"/>
      <w:bookmarkStart w:id="9" w:name="_Toc200268323"/>
      <w:bookmarkStart w:id="10" w:name="_Toc147248395"/>
      <w:bookmarkStart w:id="11" w:name="_Toc469874160"/>
      <w:bookmarkStart w:id="12" w:name="_Toc185702545"/>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13" w:name="_Toc15692"/>
      <w:r>
        <w:rPr>
          <w:rFonts w:hint="eastAsia" w:ascii="宋体" w:hAnsi="宋体" w:cs="宋体"/>
          <w:bCs/>
          <w:color w:val="000000" w:themeColor="text1"/>
          <w:sz w:val="44"/>
          <w:highlight w:val="none"/>
          <w14:textFill>
            <w14:solidFill>
              <w14:schemeClr w14:val="tx1"/>
            </w14:solidFill>
          </w14:textFill>
        </w:rPr>
        <w:t>第一章  招标公告</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20"/>
        <w:spacing w:line="240" w:lineRule="exact"/>
        <w:rPr>
          <w:rFonts w:hAnsi="宋体" w:cs="宋体"/>
          <w:b/>
          <w:color w:val="000000" w:themeColor="text1"/>
          <w:sz w:val="32"/>
          <w:szCs w:val="32"/>
          <w:highlight w:val="none"/>
          <w14:textFill>
            <w14:solidFill>
              <w14:schemeClr w14:val="tx1"/>
            </w14:solidFill>
          </w14:textFill>
        </w:rPr>
      </w:pPr>
    </w:p>
    <w:p>
      <w:pPr>
        <w:pStyle w:val="20"/>
        <w:spacing w:line="360" w:lineRule="exact"/>
        <w:jc w:val="both"/>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 xml:space="preserve"> </w:t>
      </w:r>
      <w:r>
        <w:rPr>
          <w:rFonts w:hint="eastAsia" w:hAnsi="宋体" w:cs="宋体"/>
          <w:b/>
          <w:color w:val="000000" w:themeColor="text1"/>
          <w:sz w:val="32"/>
          <w:szCs w:val="32"/>
          <w:highlight w:val="none"/>
          <w:lang w:val="en-US" w:eastAsia="zh-CN"/>
          <w14:textFill>
            <w14:solidFill>
              <w14:schemeClr w14:val="tx1"/>
            </w14:solidFill>
          </w14:textFill>
        </w:rPr>
        <w:t xml:space="preserve">    </w:t>
      </w:r>
      <w:r>
        <w:rPr>
          <w:rFonts w:hint="eastAsia" w:hAnsi="宋体" w:cs="宋体"/>
          <w:b/>
          <w:color w:val="000000" w:themeColor="text1"/>
          <w:sz w:val="32"/>
          <w:szCs w:val="32"/>
          <w:highlight w:val="none"/>
          <w14:textFill>
            <w14:solidFill>
              <w14:schemeClr w14:val="tx1"/>
            </w14:solidFill>
          </w14:textFill>
        </w:rPr>
        <w:t>网络多媒体设备（WXZC2020-G1-00054-ZLZB）招标公告</w:t>
      </w:r>
    </w:p>
    <w:p>
      <w:pPr>
        <w:pStyle w:val="20"/>
        <w:spacing w:line="350" w:lineRule="exact"/>
        <w:ind w:firstLine="525" w:firstLineChars="250"/>
        <w:rPr>
          <w:rFonts w:hAnsi="宋体" w:cs="宋体"/>
          <w:color w:val="000000" w:themeColor="text1"/>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受采购人梧州市万秀区教育局委托，根据《中华人民共和国政府采购法》、《政府采购货物和服务招标投标管理办法》等有关规定，广西众联工程项目管理有限公司拟对网络多媒体设备项目进行公开招标，诚邀符合资格要求的单位参加投标，现将有关事项公告如下：</w:t>
      </w:r>
    </w:p>
    <w:p>
      <w:pPr>
        <w:pStyle w:val="20"/>
        <w:spacing w:before="66" w:beforeLines="20" w:line="350" w:lineRule="exact"/>
        <w:ind w:firstLine="316" w:firstLineChars="15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一、采购项目</w:t>
      </w:r>
      <w:r>
        <w:rPr>
          <w:rFonts w:hint="eastAsia" w:hAnsi="宋体" w:cs="宋体"/>
          <w:b/>
          <w:bCs/>
          <w:color w:val="000000" w:themeColor="text1"/>
          <w:szCs w:val="21"/>
          <w:highlight w:val="none"/>
          <w14:textFill>
            <w14:solidFill>
              <w14:schemeClr w14:val="tx1"/>
            </w14:solidFill>
          </w14:textFill>
        </w:rPr>
        <w:t>及内容</w:t>
      </w:r>
    </w:p>
    <w:p>
      <w:pPr>
        <w:spacing w:line="350" w:lineRule="exact"/>
        <w:ind w:left="42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hAnsi="宋体" w:cs="宋体"/>
          <w:color w:val="000000" w:themeColor="text1"/>
          <w:szCs w:val="21"/>
          <w:highlight w:val="none"/>
          <w14:textFill>
            <w14:solidFill>
              <w14:schemeClr w14:val="tx1"/>
            </w14:solidFill>
          </w14:textFill>
        </w:rPr>
        <w:t>项目编号：WX</w:t>
      </w:r>
      <w:r>
        <w:rPr>
          <w:rFonts w:hint="eastAsia" w:hAnsi="宋体" w:cs="宋体"/>
          <w:color w:val="000000" w:themeColor="text1"/>
          <w:szCs w:val="21"/>
          <w14:textFill>
            <w14:solidFill>
              <w14:schemeClr w14:val="tx1"/>
            </w14:solidFill>
          </w14:textFill>
        </w:rPr>
        <w:t>ZC2020-G1-00054-ZLZB</w:t>
      </w:r>
      <w:r>
        <w:rPr>
          <w:rFonts w:hint="eastAsia" w:ascii="宋体" w:hAnsi="宋体" w:cs="宋体"/>
          <w:color w:val="000000" w:themeColor="text1"/>
          <w:szCs w:val="21"/>
          <w:lang w:eastAsia="zh-CN"/>
          <w14:textFill>
            <w14:solidFill>
              <w14:schemeClr w14:val="tx1"/>
            </w14:solidFill>
          </w14:textFill>
        </w:rPr>
        <w:t>（采购计划文号：</w:t>
      </w:r>
      <w:r>
        <w:rPr>
          <w:rFonts w:hint="eastAsia" w:ascii="宋体" w:hAnsi="宋体" w:cs="宋体"/>
          <w:color w:val="000000" w:themeColor="text1"/>
          <w:szCs w:val="21"/>
          <w:lang w:val="en-US" w:eastAsia="zh-CN"/>
          <w14:textFill>
            <w14:solidFill>
              <w14:schemeClr w14:val="tx1"/>
            </w14:solidFill>
          </w14:textFill>
        </w:rPr>
        <w:t>WXZC2020-G1-00054-001）</w:t>
      </w:r>
    </w:p>
    <w:p>
      <w:pPr>
        <w:pStyle w:val="20"/>
        <w:spacing w:line="35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项目名称：网络多媒体设备</w:t>
      </w:r>
    </w:p>
    <w:p>
      <w:pPr>
        <w:pStyle w:val="20"/>
        <w:spacing w:line="35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3.预算金额：</w:t>
      </w:r>
      <w:r>
        <w:rPr>
          <w:rFonts w:hint="eastAsia" w:hAnsi="宋体" w:cs="宋体"/>
          <w:color w:val="000000" w:themeColor="text1"/>
          <w:szCs w:val="21"/>
          <w14:textFill>
            <w14:solidFill>
              <w14:schemeClr w14:val="tx1"/>
            </w14:solidFill>
          </w14:textFill>
        </w:rPr>
        <w:t>叁佰万壹元整</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￥3,000,000.00</w:t>
      </w:r>
      <w:r>
        <w:rPr>
          <w:rFonts w:hAnsi="宋体"/>
          <w:color w:val="000000" w:themeColor="text1"/>
          <w14:textFill>
            <w14:solidFill>
              <w14:schemeClr w14:val="tx1"/>
            </w14:solidFill>
          </w14:textFill>
        </w:rPr>
        <w:t>）</w:t>
      </w:r>
    </w:p>
    <w:p>
      <w:pPr>
        <w:pStyle w:val="20"/>
        <w:spacing w:line="350" w:lineRule="exact"/>
        <w:ind w:firstLine="420" w:firstLineChars="200"/>
        <w:rPr>
          <w:rFonts w:hint="default" w:hAnsi="宋体" w:eastAsia="宋体" w:cs="宋体"/>
          <w:color w:val="000000" w:themeColor="text1"/>
          <w:szCs w:val="21"/>
          <w:lang w:val="en-US"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4.最高限价：不设定</w:t>
      </w:r>
    </w:p>
    <w:p>
      <w:pPr>
        <w:pStyle w:val="20"/>
        <w:spacing w:line="35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5</w:t>
      </w:r>
      <w:r>
        <w:rPr>
          <w:rFonts w:hint="eastAsia" w:hAnsi="宋体" w:cs="宋体"/>
          <w:color w:val="000000" w:themeColor="text1"/>
          <w:szCs w:val="21"/>
          <w14:textFill>
            <w14:solidFill>
              <w14:schemeClr w14:val="tx1"/>
            </w14:solidFill>
          </w14:textFill>
        </w:rPr>
        <w:t>．采购项目的名称、数量、简要规格描述或项目基本概况介绍：</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577"/>
        <w:gridCol w:w="145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序号</w:t>
            </w:r>
          </w:p>
        </w:tc>
        <w:tc>
          <w:tcPr>
            <w:tcW w:w="4577"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货物名称</w:t>
            </w:r>
          </w:p>
        </w:tc>
        <w:tc>
          <w:tcPr>
            <w:tcW w:w="1455"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单位</w:t>
            </w:r>
          </w:p>
        </w:tc>
        <w:tc>
          <w:tcPr>
            <w:tcW w:w="1456"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w:t>
            </w:r>
          </w:p>
        </w:tc>
        <w:tc>
          <w:tcPr>
            <w:tcW w:w="4577"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86寸触控一体机</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w:t>
            </w:r>
          </w:p>
        </w:tc>
        <w:tc>
          <w:tcPr>
            <w:tcW w:w="4577"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多媒体设备集中管理控制系统</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w:t>
            </w:r>
          </w:p>
        </w:tc>
        <w:tc>
          <w:tcPr>
            <w:tcW w:w="4577" w:type="dxa"/>
            <w:vAlign w:val="center"/>
          </w:tcPr>
          <w:p>
            <w:pPr>
              <w:widowControl/>
              <w:jc w:val="center"/>
              <w:textAlignment w:val="center"/>
              <w:rPr>
                <w:rFonts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智能翻页笔</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支</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w:t>
            </w:r>
          </w:p>
        </w:tc>
        <w:tc>
          <w:tcPr>
            <w:tcW w:w="4577" w:type="dxa"/>
            <w:vAlign w:val="center"/>
          </w:tcPr>
          <w:p>
            <w:pPr>
              <w:widowControl/>
              <w:jc w:val="center"/>
              <w:textAlignment w:val="center"/>
              <w:rPr>
                <w:rFonts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壁挂式展台</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w:t>
            </w:r>
          </w:p>
        </w:tc>
        <w:tc>
          <w:tcPr>
            <w:tcW w:w="4577"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推拉黑板</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w:t>
            </w:r>
          </w:p>
        </w:tc>
        <w:tc>
          <w:tcPr>
            <w:tcW w:w="4577"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讲桌</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张</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音箱</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麦克风</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线材辅材</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项</w:t>
            </w:r>
          </w:p>
        </w:tc>
        <w:tc>
          <w:tcPr>
            <w:tcW w:w="1456"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10</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安装调试费</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项</w:t>
            </w:r>
          </w:p>
        </w:tc>
        <w:tc>
          <w:tcPr>
            <w:tcW w:w="1456"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bl>
    <w:p>
      <w:pPr>
        <w:pStyle w:val="20"/>
        <w:spacing w:before="66" w:beforeLines="20" w:line="32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如需进一步了解详细内容，详见招标文件。</w:t>
      </w:r>
    </w:p>
    <w:p>
      <w:pPr>
        <w:pStyle w:val="20"/>
        <w:numPr>
          <w:ilvl w:val="0"/>
          <w:numId w:val="3"/>
        </w:numPr>
        <w:spacing w:before="66" w:beforeLines="20" w:line="320" w:lineRule="exact"/>
        <w:ind w:firstLine="420" w:firstLineChars="200"/>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本项目</w:t>
      </w:r>
      <w:r>
        <w:rPr>
          <w:rFonts w:hint="eastAsia" w:hAnsi="宋体" w:cs="宋体"/>
          <w:color w:val="000000" w:themeColor="text1"/>
          <w:szCs w:val="21"/>
          <w:lang w:eastAsia="zh-CN"/>
          <w14:textFill>
            <w14:solidFill>
              <w14:schemeClr w14:val="tx1"/>
            </w14:solidFill>
          </w14:textFill>
        </w:rPr>
        <w:t>不</w:t>
      </w:r>
      <w:r>
        <w:rPr>
          <w:rFonts w:hint="eastAsia" w:hAnsi="宋体" w:cs="宋体"/>
          <w:color w:val="000000" w:themeColor="text1"/>
          <w:szCs w:val="21"/>
          <w14:textFill>
            <w14:solidFill>
              <w14:schemeClr w14:val="tx1"/>
            </w14:solidFill>
          </w14:textFill>
        </w:rPr>
        <w:t>接受联合体投标。</w:t>
      </w:r>
    </w:p>
    <w:p>
      <w:pPr>
        <w:pStyle w:val="20"/>
        <w:spacing w:before="66" w:beforeLines="20" w:line="35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u w:val="single"/>
          <w:lang w:eastAsia="zh-CN"/>
          <w14:textFill>
            <w14:solidFill>
              <w14:schemeClr w14:val="tx1"/>
            </w14:solidFill>
          </w14:textFill>
        </w:rPr>
        <w:t>二</w:t>
      </w:r>
      <w:r>
        <w:rPr>
          <w:rFonts w:hint="eastAsia" w:hAnsi="宋体" w:cs="宋体"/>
          <w:b/>
          <w:color w:val="000000" w:themeColor="text1"/>
          <w:szCs w:val="21"/>
          <w14:textFill>
            <w14:solidFill>
              <w14:schemeClr w14:val="tx1"/>
            </w14:solidFill>
          </w14:textFill>
        </w:rPr>
        <w:t>、合格的</w:t>
      </w:r>
      <w:r>
        <w:rPr>
          <w:rFonts w:hint="eastAsia" w:hAnsi="宋体" w:cs="宋体"/>
          <w:b/>
          <w:bCs/>
          <w:color w:val="000000" w:themeColor="text1"/>
          <w:szCs w:val="21"/>
          <w14:textFill>
            <w14:solidFill>
              <w14:schemeClr w14:val="tx1"/>
            </w14:solidFill>
          </w14:textFill>
        </w:rPr>
        <w:t>投标人资格及要求</w:t>
      </w:r>
    </w:p>
    <w:p>
      <w:pPr>
        <w:spacing w:line="350" w:lineRule="exact"/>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1．基本资格条件：符合《中华人民共和国政府采购法》第二十二条规定的条件；</w:t>
      </w:r>
      <w:r>
        <w:rPr>
          <w:rFonts w:hint="eastAsia" w:ascii="宋体" w:hAnsi="宋体" w:cs="宋体"/>
          <w:bCs/>
          <w:color w:val="000000" w:themeColor="text1"/>
          <w:szCs w:val="21"/>
          <w14:textFill>
            <w14:solidFill>
              <w14:schemeClr w14:val="tx1"/>
            </w14:solidFill>
          </w14:textFill>
        </w:rPr>
        <w:t>在中华人民共和国境内注册的</w:t>
      </w:r>
      <w:r>
        <w:rPr>
          <w:rFonts w:hint="eastAsia" w:ascii="宋体" w:hAnsi="宋体" w:cs="宋体"/>
          <w:color w:val="000000" w:themeColor="text1"/>
          <w14:textFill>
            <w14:solidFill>
              <w14:schemeClr w14:val="tx1"/>
            </w14:solidFill>
          </w14:textFill>
        </w:rPr>
        <w:t>生产或经营本次采购货物及服务的供应商；2016年起未被列入失信被执行人、重大税收违法案件当事人名单、政府采购严重违法失信行为记录名单；</w:t>
      </w:r>
    </w:p>
    <w:p>
      <w:pPr>
        <w:pStyle w:val="17"/>
        <w:spacing w:line="360" w:lineRule="exact"/>
        <w:ind w:firstLine="42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2.落实政府采购政策需满足的资格要求：节约能源、保护环境、扶持不发达地区和少数民族地区、促进中小企业发展、促进监狱企业发展、促进残疾人就业、广西工业产品产销等政府采购政策；</w:t>
      </w:r>
    </w:p>
    <w:p>
      <w:pPr>
        <w:spacing w:line="360" w:lineRule="exact"/>
        <w:ind w:firstLine="420" w:firstLineChars="20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3.本项目的特定资格要求：</w:t>
      </w:r>
      <w:r>
        <w:rPr>
          <w:rFonts w:hint="eastAsia" w:ascii="宋体" w:hAnsi="宋体" w:cs="宋体"/>
          <w:color w:val="000000" w:themeColor="text1"/>
          <w:lang w:eastAsia="zh-CN"/>
          <w14:textFill>
            <w14:solidFill>
              <w14:schemeClr w14:val="tx1"/>
            </w14:solidFill>
          </w14:textFill>
        </w:rPr>
        <w:t>无。</w:t>
      </w:r>
    </w:p>
    <w:p>
      <w:pPr>
        <w:pStyle w:val="20"/>
        <w:spacing w:before="66" w:beforeLines="20" w:line="360" w:lineRule="exact"/>
        <w:ind w:firstLine="422" w:firstLineChars="200"/>
        <w:rPr>
          <w:rFonts w:hint="eastAsia" w:hAnsi="宋体" w:cs="宋体"/>
          <w:b/>
          <w:color w:val="000000" w:themeColor="text1"/>
          <w:szCs w:val="21"/>
          <w14:textFill>
            <w14:solidFill>
              <w14:schemeClr w14:val="tx1"/>
            </w14:solidFill>
          </w14:textFill>
        </w:rPr>
      </w:pPr>
      <w:bookmarkStart w:id="291" w:name="_GoBack"/>
      <w:r>
        <w:rPr>
          <w:rFonts w:hint="eastAsia" w:hAnsi="宋体" w:cs="宋体"/>
          <w:b/>
          <w:bCs/>
          <w:color w:val="000000" w:themeColor="text1"/>
          <w:szCs w:val="21"/>
          <w:lang w:eastAsia="zh-CN"/>
          <w14:textFill>
            <w14:solidFill>
              <w14:schemeClr w14:val="tx1"/>
            </w14:solidFill>
          </w14:textFill>
        </w:rPr>
        <w:t>三</w:t>
      </w:r>
      <w:r>
        <w:rPr>
          <w:rFonts w:hint="eastAsia" w:hAnsi="宋体" w:cs="宋体"/>
          <w:b/>
          <w:bCs/>
          <w:color w:val="000000" w:themeColor="text1"/>
          <w:szCs w:val="21"/>
          <w14:textFill>
            <w14:solidFill>
              <w14:schemeClr w14:val="tx1"/>
            </w14:solidFill>
          </w14:textFill>
        </w:rPr>
        <w:t>、</w:t>
      </w:r>
      <w:r>
        <w:rPr>
          <w:rFonts w:hint="eastAsia" w:hAnsi="宋体" w:cs="宋体"/>
          <w:b/>
          <w:color w:val="000000" w:themeColor="text1"/>
          <w:szCs w:val="21"/>
          <w14:textFill>
            <w14:solidFill>
              <w14:schemeClr w14:val="tx1"/>
            </w14:solidFill>
          </w14:textFill>
        </w:rPr>
        <w:t>获取招标文件</w:t>
      </w:r>
    </w:p>
    <w:p>
      <w:pPr>
        <w:pStyle w:val="35"/>
        <w:keepNext w:val="0"/>
        <w:keepLines w:val="0"/>
        <w:widowControl/>
        <w:suppressLineNumbers w:val="0"/>
        <w:shd w:val="clear" w:fill="FFFFFF"/>
        <w:spacing w:before="0" w:beforeAutospacing="0" w:after="0" w:afterAutospacing="0" w:line="350" w:lineRule="atLeast"/>
        <w:ind w:left="0" w:right="0" w:firstLine="42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1．招标公告期限：2020年6月</w:t>
      </w:r>
      <w:r>
        <w:rPr>
          <w:rFonts w:hint="eastAsia" w:cs="宋体"/>
          <w:i w:val="0"/>
          <w:caps w:val="0"/>
          <w:color w:val="000000"/>
          <w:spacing w:val="0"/>
          <w:sz w:val="21"/>
          <w:szCs w:val="21"/>
          <w:shd w:val="clear" w:fill="FFFFFF"/>
          <w:lang w:val="en-US" w:eastAsia="zh-CN"/>
        </w:rPr>
        <w:t>30</w:t>
      </w:r>
      <w:r>
        <w:rPr>
          <w:rFonts w:hint="eastAsia" w:ascii="宋体" w:hAnsi="宋体" w:eastAsia="宋体" w:cs="宋体"/>
          <w:i w:val="0"/>
          <w:caps w:val="0"/>
          <w:color w:val="000000"/>
          <w:spacing w:val="0"/>
          <w:sz w:val="21"/>
          <w:szCs w:val="21"/>
          <w:shd w:val="clear" w:fill="FFFFFF"/>
        </w:rPr>
        <w:t>日至2020年</w:t>
      </w:r>
      <w:r>
        <w:rPr>
          <w:rFonts w:hint="eastAsia" w:cs="宋体"/>
          <w:i w:val="0"/>
          <w:caps w:val="0"/>
          <w:color w:val="000000"/>
          <w:spacing w:val="0"/>
          <w:sz w:val="21"/>
          <w:szCs w:val="21"/>
          <w:shd w:val="clear" w:fill="FFFFFF"/>
          <w:lang w:val="en-US" w:eastAsia="zh-CN"/>
        </w:rPr>
        <w:t>7</w:t>
      </w:r>
      <w:r>
        <w:rPr>
          <w:rFonts w:hint="eastAsia" w:ascii="宋体" w:hAnsi="宋体" w:eastAsia="宋体" w:cs="宋体"/>
          <w:i w:val="0"/>
          <w:caps w:val="0"/>
          <w:color w:val="000000"/>
          <w:spacing w:val="0"/>
          <w:sz w:val="21"/>
          <w:szCs w:val="21"/>
          <w:shd w:val="clear" w:fill="FFFFFF"/>
        </w:rPr>
        <w:t>月</w:t>
      </w:r>
      <w:r>
        <w:rPr>
          <w:rFonts w:hint="eastAsia" w:cs="宋体"/>
          <w:i w:val="0"/>
          <w:caps w:val="0"/>
          <w:color w:val="000000"/>
          <w:spacing w:val="0"/>
          <w:sz w:val="21"/>
          <w:szCs w:val="21"/>
          <w:shd w:val="clear" w:fill="FFFFFF"/>
          <w:lang w:val="en-US" w:eastAsia="zh-CN"/>
        </w:rPr>
        <w:t>20</w:t>
      </w:r>
      <w:r>
        <w:rPr>
          <w:rFonts w:hint="eastAsia" w:ascii="宋体" w:hAnsi="宋体" w:eastAsia="宋体" w:cs="宋体"/>
          <w:i w:val="0"/>
          <w:caps w:val="0"/>
          <w:color w:val="000000"/>
          <w:spacing w:val="0"/>
          <w:sz w:val="21"/>
          <w:szCs w:val="21"/>
          <w:shd w:val="clear" w:fill="FFFFFF"/>
        </w:rPr>
        <w:t>日</w:t>
      </w:r>
    </w:p>
    <w:p>
      <w:pPr>
        <w:pStyle w:val="35"/>
        <w:keepNext w:val="0"/>
        <w:keepLines w:val="0"/>
        <w:widowControl/>
        <w:suppressLineNumbers w:val="0"/>
        <w:shd w:val="clear" w:fill="FFFFFF"/>
        <w:spacing w:before="0" w:beforeAutospacing="0" w:after="0" w:afterAutospacing="0" w:line="3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2．获取招标文件时间：自2020年6月</w:t>
      </w:r>
      <w:r>
        <w:rPr>
          <w:rFonts w:hint="eastAsia" w:cs="宋体"/>
          <w:i w:val="0"/>
          <w:caps w:val="0"/>
          <w:color w:val="000000"/>
          <w:spacing w:val="0"/>
          <w:sz w:val="21"/>
          <w:szCs w:val="21"/>
          <w:shd w:val="clear" w:fill="FFFFFF"/>
          <w:lang w:val="en-US" w:eastAsia="zh-CN"/>
        </w:rPr>
        <w:t>30</w:t>
      </w:r>
      <w:r>
        <w:rPr>
          <w:rFonts w:hint="eastAsia" w:ascii="宋体" w:hAnsi="宋体" w:eastAsia="宋体" w:cs="宋体"/>
          <w:i w:val="0"/>
          <w:caps w:val="0"/>
          <w:color w:val="000000"/>
          <w:spacing w:val="0"/>
          <w:sz w:val="21"/>
          <w:szCs w:val="21"/>
          <w:shd w:val="clear" w:fill="FFFFFF"/>
        </w:rPr>
        <w:t>日发布招标公告起至2020年</w:t>
      </w:r>
      <w:r>
        <w:rPr>
          <w:rFonts w:hint="eastAsia" w:cs="宋体"/>
          <w:i w:val="0"/>
          <w:caps w:val="0"/>
          <w:color w:val="000000"/>
          <w:spacing w:val="0"/>
          <w:sz w:val="21"/>
          <w:szCs w:val="21"/>
          <w:shd w:val="clear" w:fill="FFFFFF"/>
          <w:lang w:val="en-US" w:eastAsia="zh-CN"/>
        </w:rPr>
        <w:t>7</w:t>
      </w:r>
      <w:r>
        <w:rPr>
          <w:rFonts w:hint="eastAsia" w:ascii="宋体" w:hAnsi="宋体" w:eastAsia="宋体" w:cs="宋体"/>
          <w:i w:val="0"/>
          <w:caps w:val="0"/>
          <w:color w:val="000000"/>
          <w:spacing w:val="0"/>
          <w:sz w:val="21"/>
          <w:szCs w:val="21"/>
          <w:shd w:val="clear" w:fill="FFFFFF"/>
        </w:rPr>
        <w:t>月</w:t>
      </w:r>
      <w:r>
        <w:rPr>
          <w:rFonts w:hint="eastAsia" w:cs="宋体"/>
          <w:i w:val="0"/>
          <w:caps w:val="0"/>
          <w:color w:val="000000"/>
          <w:spacing w:val="0"/>
          <w:sz w:val="21"/>
          <w:szCs w:val="21"/>
          <w:shd w:val="clear" w:fill="FFFFFF"/>
          <w:lang w:val="en-US" w:eastAsia="zh-CN"/>
        </w:rPr>
        <w:t>20</w:t>
      </w:r>
      <w:r>
        <w:rPr>
          <w:rFonts w:hint="eastAsia" w:ascii="宋体" w:hAnsi="宋体" w:eastAsia="宋体" w:cs="宋体"/>
          <w:i w:val="0"/>
          <w:caps w:val="0"/>
          <w:color w:val="000000"/>
          <w:spacing w:val="0"/>
          <w:sz w:val="21"/>
          <w:szCs w:val="21"/>
          <w:shd w:val="clear" w:fill="FFFFFF"/>
        </w:rPr>
        <w:t>日18时00分止</w:t>
      </w:r>
    </w:p>
    <w:p>
      <w:pPr>
        <w:keepNext w:val="0"/>
        <w:keepLines w:val="0"/>
        <w:widowControl/>
        <w:suppressLineNumbers w:val="0"/>
        <w:shd w:val="clear" w:fill="FFFFFF"/>
        <w:spacing w:before="0" w:beforeAutospacing="0" w:after="0" w:afterAutospacing="0" w:line="400" w:lineRule="exact"/>
        <w:ind w:left="0" w:right="0" w:firstLine="0"/>
        <w:jc w:val="left"/>
        <w:rPr>
          <w:rFonts w:hint="default" w:ascii="Arial" w:hAnsi="Arial" w:eastAsia="Arial" w:cs="Arial"/>
          <w:i w:val="0"/>
          <w:caps w:val="0"/>
          <w:color w:val="000000"/>
          <w:spacing w:val="0"/>
          <w:sz w:val="18"/>
          <w:szCs w:val="18"/>
        </w:rPr>
      </w:pPr>
      <w:r>
        <w:rPr>
          <w:rFonts w:hint="eastAsia" w:hAnsi="宋体" w:cs="宋体"/>
          <w:b/>
          <w:color w:val="000000" w:themeColor="text1"/>
          <w:szCs w:val="21"/>
          <w:lang w:val="en-US" w:eastAsia="zh-CN"/>
          <w14:textFill>
            <w14:solidFill>
              <w14:schemeClr w14:val="tx1"/>
            </w14:solidFill>
          </w14:textFill>
        </w:rPr>
        <w:t xml:space="preserve">    </w:t>
      </w:r>
      <w:r>
        <w:rPr>
          <w:rFonts w:hint="eastAsia" w:ascii="宋体" w:hAnsi="宋体" w:cs="宋体"/>
          <w:i w:val="0"/>
          <w:caps w:val="0"/>
          <w:color w:val="000000"/>
          <w:spacing w:val="0"/>
          <w:kern w:val="0"/>
          <w:sz w:val="21"/>
          <w:szCs w:val="21"/>
          <w:shd w:val="clear" w:fill="FFFFFF"/>
          <w:lang w:val="en-US" w:eastAsia="zh-CN" w:bidi="ar"/>
        </w:rPr>
        <w:t>3</w:t>
      </w:r>
      <w:r>
        <w:rPr>
          <w:rFonts w:hint="eastAsia" w:ascii="宋体" w:hAnsi="宋体" w:eastAsia="宋体" w:cs="宋体"/>
          <w:i w:val="0"/>
          <w:caps w:val="0"/>
          <w:color w:val="000000"/>
          <w:spacing w:val="0"/>
          <w:kern w:val="0"/>
          <w:sz w:val="21"/>
          <w:szCs w:val="21"/>
          <w:shd w:val="clear" w:fill="FFFFFF"/>
          <w:lang w:val="en-US" w:eastAsia="zh-CN" w:bidi="ar"/>
        </w:rPr>
        <w:t>.获取方式：在公告期限内①登录广西壮族自治区政府采购网、梧州市公共资源交易中心网（以上网站均可）下载招标文件；②成功下载招标文件后，将采购文件工本费250元（售后不退）以转账或电汇等非现金形式交到以下账户。（请务必在银行单据用途或空白栏上注明事由“项目编号+文件工本费”字样。）</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开户名称：广西众联工程项目管理有限公司</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开户银行：中国光大银行股份有限公司南宁民主支行</w:t>
      </w:r>
    </w:p>
    <w:p>
      <w:pPr>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银行账号：78900188000167866</w:t>
      </w:r>
    </w:p>
    <w:p>
      <w:pPr>
        <w:keepNext w:val="0"/>
        <w:keepLines w:val="0"/>
        <w:widowControl/>
        <w:suppressLineNumbers w:val="0"/>
        <w:shd w:val="clear" w:fill="FFFFFF"/>
        <w:spacing w:before="0" w:beforeAutospacing="0" w:after="0" w:afterAutospacing="0" w:line="320" w:lineRule="exact"/>
        <w:ind w:left="0" w:right="0" w:firstLine="420"/>
        <w:jc w:val="left"/>
        <w:rPr>
          <w:rFonts w:hint="default" w:ascii="Arial" w:hAnsi="Arial" w:eastAsia="Arial" w:cs="Arial"/>
          <w:i w:val="0"/>
          <w:caps w:val="0"/>
          <w:color w:val="000000"/>
          <w:spacing w:val="0"/>
          <w:sz w:val="18"/>
          <w:szCs w:val="18"/>
        </w:rPr>
      </w:pPr>
      <w:r>
        <w:rPr>
          <w:rFonts w:hint="eastAsia" w:ascii="宋体" w:hAnsi="宋体" w:cs="宋体"/>
          <w:i w:val="0"/>
          <w:caps w:val="0"/>
          <w:color w:val="000000"/>
          <w:spacing w:val="0"/>
          <w:kern w:val="0"/>
          <w:sz w:val="21"/>
          <w:szCs w:val="21"/>
          <w:shd w:val="clear" w:fill="FFFFFF"/>
          <w:lang w:val="en-US" w:eastAsia="zh-CN" w:bidi="ar"/>
        </w:rPr>
        <w:t>4</w:t>
      </w:r>
      <w:r>
        <w:rPr>
          <w:rFonts w:hint="eastAsia" w:ascii="宋体" w:hAnsi="宋体" w:eastAsia="宋体" w:cs="宋体"/>
          <w:i w:val="0"/>
          <w:caps w:val="0"/>
          <w:color w:val="000000"/>
          <w:spacing w:val="0"/>
          <w:kern w:val="0"/>
          <w:sz w:val="21"/>
          <w:szCs w:val="21"/>
          <w:shd w:val="clear" w:fill="FFFFFF"/>
          <w:lang w:val="en-US" w:eastAsia="zh-CN" w:bidi="ar"/>
        </w:rPr>
        <w:t>.供应商应在采购文件规定的获取时间内获取采购文件并将采购文件工本费以转账或电汇等非现金形式交到指定账户的方为报名成功，不接受逾期转入工本费或没有转入工本费的供应商。</w:t>
      </w:r>
    </w:p>
    <w:p>
      <w:pPr>
        <w:pStyle w:val="35"/>
        <w:keepNext w:val="0"/>
        <w:keepLines w:val="0"/>
        <w:widowControl/>
        <w:suppressLineNumbers w:val="0"/>
        <w:shd w:val="clear" w:fill="FFFFFF"/>
        <w:spacing w:before="62" w:beforeAutospacing="0" w:after="0" w:afterAutospacing="0" w:line="320" w:lineRule="exact"/>
        <w:ind w:left="0" w:right="0" w:firstLine="422"/>
        <w:jc w:val="both"/>
        <w:rPr>
          <w:rFonts w:hint="eastAsia" w:ascii="宋体" w:hAnsi="宋体" w:eastAsia="宋体" w:cs="宋体"/>
          <w:i w:val="0"/>
          <w:caps w:val="0"/>
          <w:color w:val="000000"/>
          <w:spacing w:val="0"/>
          <w:sz w:val="21"/>
          <w:szCs w:val="21"/>
        </w:rPr>
      </w:pPr>
      <w:r>
        <w:rPr>
          <w:rFonts w:hint="eastAsia" w:cs="宋体"/>
          <w:b/>
          <w:i w:val="0"/>
          <w:caps w:val="0"/>
          <w:color w:val="000000"/>
          <w:spacing w:val="0"/>
          <w:sz w:val="21"/>
          <w:szCs w:val="21"/>
          <w:shd w:val="clear" w:fill="FFFFFF"/>
          <w:lang w:eastAsia="zh-CN"/>
        </w:rPr>
        <w:t>四</w:t>
      </w:r>
      <w:r>
        <w:rPr>
          <w:rFonts w:hint="eastAsia" w:ascii="宋体" w:hAnsi="宋体" w:eastAsia="宋体" w:cs="宋体"/>
          <w:b/>
          <w:i w:val="0"/>
          <w:caps w:val="0"/>
          <w:color w:val="000000"/>
          <w:spacing w:val="0"/>
          <w:sz w:val="21"/>
          <w:szCs w:val="21"/>
          <w:shd w:val="clear" w:fill="FFFFFF"/>
        </w:rPr>
        <w:t>、投标截止时间和地点</w:t>
      </w:r>
    </w:p>
    <w:p>
      <w:pPr>
        <w:pStyle w:val="35"/>
        <w:keepNext w:val="0"/>
        <w:keepLines w:val="0"/>
        <w:widowControl/>
        <w:suppressLineNumbers w:val="0"/>
        <w:shd w:val="clear" w:fill="FFFFFF"/>
        <w:spacing w:before="0" w:beforeAutospacing="0" w:after="0" w:afterAutospacing="0" w:line="320" w:lineRule="exact"/>
        <w:ind w:left="0" w:right="0" w:firstLine="420"/>
        <w:jc w:val="both"/>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投标人应于投标截止时间2020年7月2</w:t>
      </w:r>
      <w:r>
        <w:rPr>
          <w:rFonts w:hint="eastAsia"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日上午9时30分整前，将投标文件密封提交到梧州市公共资源交易中心开标厅（地址：梧州市长洲区三龙大道72号红岭大厦8楼，具体开标室见现场LED指引），逾期送达或未按要求密封标记的投标文件，将予以拒收。</w:t>
      </w:r>
    </w:p>
    <w:p>
      <w:pPr>
        <w:pStyle w:val="35"/>
        <w:keepNext w:val="0"/>
        <w:keepLines w:val="0"/>
        <w:widowControl/>
        <w:suppressLineNumbers w:val="0"/>
        <w:shd w:val="clear" w:fill="FFFFFF"/>
        <w:spacing w:before="62" w:beforeAutospacing="0" w:after="0" w:afterAutospacing="0" w:line="320" w:lineRule="exact"/>
        <w:ind w:left="0" w:right="0" w:firstLine="422"/>
        <w:jc w:val="both"/>
        <w:rPr>
          <w:rFonts w:hint="eastAsia" w:ascii="宋体" w:hAnsi="宋体" w:eastAsia="宋体" w:cs="宋体"/>
          <w:i w:val="0"/>
          <w:caps w:val="0"/>
          <w:color w:val="000000"/>
          <w:spacing w:val="0"/>
          <w:sz w:val="21"/>
          <w:szCs w:val="21"/>
        </w:rPr>
      </w:pPr>
      <w:r>
        <w:rPr>
          <w:rFonts w:hint="eastAsia" w:cs="宋体"/>
          <w:b/>
          <w:i w:val="0"/>
          <w:caps w:val="0"/>
          <w:color w:val="000000"/>
          <w:spacing w:val="0"/>
          <w:sz w:val="21"/>
          <w:szCs w:val="21"/>
          <w:shd w:val="clear" w:fill="FFFFFF"/>
          <w:lang w:eastAsia="zh-CN"/>
        </w:rPr>
        <w:t>五</w:t>
      </w:r>
      <w:r>
        <w:rPr>
          <w:rFonts w:hint="eastAsia" w:ascii="宋体" w:hAnsi="宋体" w:eastAsia="宋体" w:cs="宋体"/>
          <w:b/>
          <w:i w:val="0"/>
          <w:caps w:val="0"/>
          <w:color w:val="000000"/>
          <w:spacing w:val="0"/>
          <w:sz w:val="21"/>
          <w:szCs w:val="21"/>
          <w:shd w:val="clear" w:fill="FFFFFF"/>
        </w:rPr>
        <w:t>、开标时间和地点</w:t>
      </w:r>
    </w:p>
    <w:p>
      <w:pPr>
        <w:pStyle w:val="35"/>
        <w:keepNext w:val="0"/>
        <w:keepLines w:val="0"/>
        <w:widowControl/>
        <w:suppressLineNumbers w:val="0"/>
        <w:shd w:val="clear" w:fill="FFFFFF"/>
        <w:spacing w:before="0" w:beforeAutospacing="0" w:after="0" w:afterAutospacing="0" w:line="320" w:lineRule="exac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本次招标将于2020年7月2</w:t>
      </w:r>
      <w:r>
        <w:rPr>
          <w:rFonts w:hint="eastAsia"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日上午9时30分整，在梧州市公共资源交易中心开标厅开标（地址：梧州市长洲区三龙大道72号红岭大厦8楼，具体开标室见现场LED指引），如投标人派代表参加开标会的，须按招标文件要求携带相关证明文件以证明其出席开标会。</w:t>
      </w:r>
    </w:p>
    <w:p>
      <w:pPr>
        <w:pStyle w:val="20"/>
        <w:spacing w:before="66" w:beforeLines="20" w:line="320" w:lineRule="exact"/>
        <w:ind w:firstLine="422" w:firstLineChars="200"/>
        <w:rPr>
          <w:rFonts w:hint="eastAsia" w:ascii="宋体" w:hAnsi="宋体" w:cs="宋体"/>
          <w:b w:val="0"/>
          <w:bCs/>
          <w:color w:val="000000" w:themeColor="text1"/>
          <w:sz w:val="21"/>
          <w:szCs w:val="21"/>
          <w:lang w:eastAsia="zh-CN"/>
          <w14:textFill>
            <w14:solidFill>
              <w14:schemeClr w14:val="tx1"/>
            </w14:solidFill>
          </w14:textFill>
        </w:rPr>
      </w:pPr>
      <w:r>
        <w:rPr>
          <w:rFonts w:hint="eastAsia" w:hAnsi="宋体" w:cs="宋体"/>
          <w:b/>
          <w:color w:val="000000" w:themeColor="text1"/>
          <w:szCs w:val="21"/>
          <w:lang w:eastAsia="zh-CN"/>
          <w14:textFill>
            <w14:solidFill>
              <w14:schemeClr w14:val="tx1"/>
            </w14:solidFill>
          </w14:textFill>
        </w:rPr>
        <w:t>六</w:t>
      </w:r>
      <w:r>
        <w:rPr>
          <w:rFonts w:hint="eastAsia" w:ascii="宋体" w:hAnsi="宋体" w:cs="宋体"/>
          <w:b/>
          <w:color w:val="000000" w:themeColor="text1"/>
          <w:sz w:val="21"/>
          <w:szCs w:val="21"/>
          <w:lang w:eastAsia="zh-CN"/>
          <w14:textFill>
            <w14:solidFill>
              <w14:schemeClr w14:val="tx1"/>
            </w14:solidFill>
          </w14:textFill>
        </w:rPr>
        <w:t>、投标保证金</w:t>
      </w:r>
    </w:p>
    <w:p>
      <w:pPr>
        <w:pStyle w:val="20"/>
        <w:spacing w:before="66" w:beforeLines="20" w:line="32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 xml:space="preserve">1. </w:t>
      </w:r>
      <w:r>
        <w:rPr>
          <w:rFonts w:hint="eastAsia" w:hAnsi="宋体" w:cs="宋体"/>
          <w:color w:val="000000" w:themeColor="text1"/>
          <w14:textFill>
            <w14:solidFill>
              <w14:schemeClr w14:val="tx1"/>
            </w14:solidFill>
          </w14:textFill>
        </w:rPr>
        <w:t>投标保证金金额</w:t>
      </w:r>
      <w:r>
        <w:rPr>
          <w:rFonts w:hint="eastAsia" w:hAnsi="宋体" w:cs="宋体"/>
          <w:color w:val="000000" w:themeColor="text1"/>
          <w:szCs w:val="21"/>
          <w14:textFill>
            <w14:solidFill>
              <w14:schemeClr w14:val="tx1"/>
            </w14:solidFill>
          </w14:textFill>
        </w:rPr>
        <w:t>(人民币)：陆万元整（￥60,000.00）。</w:t>
      </w:r>
    </w:p>
    <w:p>
      <w:pPr>
        <w:spacing w:line="32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2．递交方式：从投标人对公账户转账到以下专用账户或以支票、汇票、本票、保函非现金形式缴纳投标保证金。</w:t>
      </w:r>
    </w:p>
    <w:p>
      <w:pPr>
        <w:spacing w:line="32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开户名称：广西众联工程项目管理有限公司</w:t>
      </w:r>
    </w:p>
    <w:p>
      <w:pPr>
        <w:spacing w:line="32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开户银行：中国光大银行股份有限公司南宁民主支行</w:t>
      </w:r>
    </w:p>
    <w:p>
      <w:pPr>
        <w:spacing w:line="32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银行账号：78900188000167866</w:t>
      </w:r>
    </w:p>
    <w:p>
      <w:pPr>
        <w:spacing w:line="320" w:lineRule="exact"/>
        <w:ind w:firstLine="420" w:firstLineChars="200"/>
        <w:rPr>
          <w:rFonts w:hAnsi="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3．交纳截止时间：①以转帐方式缴纳投标保证金的必须在投标截止时间之前到达专用帐户。②以其他非现金方式递交投标保证金的应在投标截止时间之前提交。</w:t>
      </w:r>
    </w:p>
    <w:p>
      <w:pPr>
        <w:pStyle w:val="20"/>
        <w:spacing w:before="66" w:beforeLines="20" w:line="320" w:lineRule="exact"/>
        <w:ind w:firstLine="422" w:firstLineChars="200"/>
        <w:rPr>
          <w:rFonts w:hAnsi="宋体" w:cs="宋体"/>
          <w:b/>
          <w:color w:val="000000" w:themeColor="text1"/>
          <w:szCs w:val="21"/>
          <w14:textFill>
            <w14:solidFill>
              <w14:schemeClr w14:val="tx1"/>
            </w14:solidFill>
          </w14:textFill>
        </w:rPr>
      </w:pPr>
      <w:r>
        <w:rPr>
          <w:rFonts w:hint="eastAsia" w:hAnsi="宋体" w:cs="宋体"/>
          <w:b/>
          <w:color w:val="000000" w:themeColor="text1"/>
          <w:szCs w:val="21"/>
          <w:lang w:eastAsia="zh-CN"/>
          <w14:textFill>
            <w14:solidFill>
              <w14:schemeClr w14:val="tx1"/>
            </w14:solidFill>
          </w14:textFill>
        </w:rPr>
        <w:t>七</w:t>
      </w:r>
      <w:r>
        <w:rPr>
          <w:rFonts w:hint="eastAsia" w:hAnsi="宋体" w:cs="宋体"/>
          <w:b/>
          <w:color w:val="000000" w:themeColor="text1"/>
          <w:szCs w:val="21"/>
          <w14:textFill>
            <w14:solidFill>
              <w14:schemeClr w14:val="tx1"/>
            </w14:solidFill>
          </w14:textFill>
        </w:rPr>
        <w:t>、对本次招标提出询问，请按以下方式联系。</w:t>
      </w:r>
    </w:p>
    <w:p>
      <w:pPr>
        <w:pStyle w:val="20"/>
        <w:spacing w:line="35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1．采购人：梧州市万秀区教育局</w:t>
      </w:r>
    </w:p>
    <w:p>
      <w:pPr>
        <w:pStyle w:val="20"/>
        <w:snapToGrid w:val="0"/>
        <w:spacing w:line="350" w:lineRule="exact"/>
        <w:ind w:firstLine="420" w:firstLineChars="200"/>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地址：</w:t>
      </w:r>
      <w:r>
        <w:rPr>
          <w:color w:val="000000" w:themeColor="text1"/>
          <w14:textFill>
            <w14:solidFill>
              <w14:schemeClr w14:val="tx1"/>
            </w14:solidFill>
          </w14:textFill>
        </w:rPr>
        <w:t>梧州市</w:t>
      </w:r>
      <w:r>
        <w:rPr>
          <w:rFonts w:hint="eastAsia"/>
          <w:color w:val="000000" w:themeColor="text1"/>
          <w14:textFill>
            <w14:solidFill>
              <w14:schemeClr w14:val="tx1"/>
            </w14:solidFill>
          </w14:textFill>
        </w:rPr>
        <w:t>新兴一</w:t>
      </w:r>
      <w:r>
        <w:rPr>
          <w:color w:val="000000" w:themeColor="text1"/>
          <w14:textFill>
            <w14:solidFill>
              <w14:schemeClr w14:val="tx1"/>
            </w14:solidFill>
          </w14:textFill>
        </w:rPr>
        <w:t>路</w:t>
      </w:r>
      <w:r>
        <w:rPr>
          <w:rFonts w:hint="eastAsia"/>
          <w:color w:val="000000" w:themeColor="text1"/>
          <w14:textFill>
            <w14:solidFill>
              <w14:schemeClr w14:val="tx1"/>
            </w14:solidFill>
          </w14:textFill>
        </w:rPr>
        <w:t>60</w:t>
      </w:r>
      <w:r>
        <w:rPr>
          <w:color w:val="000000" w:themeColor="text1"/>
          <w14:textFill>
            <w14:solidFill>
              <w14:schemeClr w14:val="tx1"/>
            </w14:solidFill>
          </w14:textFill>
        </w:rPr>
        <w:t>号</w:t>
      </w:r>
    </w:p>
    <w:p>
      <w:pPr>
        <w:pStyle w:val="20"/>
        <w:spacing w:line="350" w:lineRule="exact"/>
        <w:ind w:firstLine="420" w:firstLineChars="200"/>
        <w:rPr>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联系人：林先生   联系电话：0774-3953050</w:t>
      </w:r>
    </w:p>
    <w:p>
      <w:pPr>
        <w:pStyle w:val="20"/>
        <w:spacing w:line="35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2．采购代理机构：广西众联工程项目管理有限公司</w:t>
      </w:r>
    </w:p>
    <w:p>
      <w:pPr>
        <w:pStyle w:val="20"/>
        <w:spacing w:line="35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联系地址：梧州市新兴三路30号神冠豪都B栋1单元22层</w:t>
      </w:r>
    </w:p>
    <w:p>
      <w:pPr>
        <w:pStyle w:val="20"/>
        <w:spacing w:line="350" w:lineRule="exact"/>
        <w:ind w:firstLine="420" w:firstLineChars="2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联系人及电话：孟琳富 ，18176880255</w:t>
      </w:r>
    </w:p>
    <w:p>
      <w:pPr>
        <w:keepNext w:val="0"/>
        <w:keepLines w:val="0"/>
        <w:pageBreakBefore w:val="0"/>
        <w:widowControl w:val="0"/>
        <w:kinsoku/>
        <w:wordWrap/>
        <w:overflowPunct/>
        <w:topLinePunct w:val="0"/>
        <w:autoSpaceDE/>
        <w:autoSpaceDN/>
        <w:bidi w:val="0"/>
        <w:adjustRightInd/>
        <w:spacing w:line="360" w:lineRule="exact"/>
        <w:ind w:left="0" w:right="0" w:rightChars="0" w:firstLine="420" w:firstLineChars="200"/>
        <w:textAlignment w:val="auto"/>
        <w:rPr>
          <w:rFonts w:hint="eastAsia" w:hAnsi="宋体"/>
          <w:b/>
          <w:color w:val="auto"/>
          <w:szCs w:val="21"/>
          <w:lang w:eastAsia="zh-CN"/>
        </w:rPr>
      </w:pPr>
      <w:r>
        <w:rPr>
          <w:rFonts w:hint="eastAsia" w:ascii="宋体" w:hAnsi="宋体" w:eastAsia="宋体" w:cs="宋体"/>
          <w:i w:val="0"/>
          <w:caps w:val="0"/>
          <w:color w:val="000000"/>
          <w:spacing w:val="0"/>
          <w:sz w:val="21"/>
          <w:szCs w:val="21"/>
          <w:shd w:val="clear" w:fill="FFFFFF"/>
        </w:rPr>
        <w:t>3．监督部门：梧州市财政局政府采购监督管理科（电话：0774-3866434）</w:t>
      </w:r>
    </w:p>
    <w:p>
      <w:pPr>
        <w:keepNext w:val="0"/>
        <w:keepLines w:val="0"/>
        <w:pageBreakBefore w:val="0"/>
        <w:widowControl w:val="0"/>
        <w:kinsoku/>
        <w:wordWrap/>
        <w:overflowPunct/>
        <w:topLinePunct w:val="0"/>
        <w:autoSpaceDE/>
        <w:autoSpaceDN/>
        <w:bidi w:val="0"/>
        <w:adjustRightInd/>
        <w:spacing w:line="360" w:lineRule="exact"/>
        <w:ind w:left="0" w:right="0" w:rightChars="0" w:firstLine="422" w:firstLineChars="200"/>
        <w:textAlignment w:val="auto"/>
        <w:rPr>
          <w:rFonts w:hAnsi="宋体"/>
          <w:b/>
          <w:color w:val="auto"/>
          <w:szCs w:val="21"/>
        </w:rPr>
      </w:pPr>
      <w:r>
        <w:rPr>
          <w:rFonts w:hint="eastAsia" w:hAnsi="宋体"/>
          <w:b/>
          <w:color w:val="auto"/>
          <w:szCs w:val="21"/>
          <w:lang w:eastAsia="zh-CN"/>
        </w:rPr>
        <w:t>八</w:t>
      </w:r>
      <w:r>
        <w:rPr>
          <w:rFonts w:hint="eastAsia" w:hAnsi="宋体"/>
          <w:b/>
          <w:color w:val="auto"/>
          <w:szCs w:val="21"/>
        </w:rPr>
        <w:t>、网上公告媒体查询：</w:t>
      </w:r>
    </w:p>
    <w:p>
      <w:pPr>
        <w:numPr>
          <w:ilvl w:val="0"/>
          <w:numId w:val="0"/>
        </w:numPr>
        <w:wordWrap w:val="0"/>
        <w:autoSpaceDE w:val="0"/>
        <w:autoSpaceDN w:val="0"/>
        <w:adjustRightInd w:val="0"/>
        <w:snapToGrid w:val="0"/>
        <w:spacing w:line="360" w:lineRule="exact"/>
        <w:ind w:firstLine="420" w:firstLineChars="200"/>
      </w:pPr>
      <w:r>
        <w:rPr>
          <w:rFonts w:hint="eastAsia" w:hAnsi="宋体"/>
          <w:color w:val="auto"/>
          <w:szCs w:val="21"/>
          <w:lang w:val="en-US" w:eastAsia="zh-CN"/>
        </w:rPr>
        <w:t>中国政府采购网（www.ccgp.gov.cn）、广西壮族自治区政府采购网(www.gxzfcg.gov.cn)、梧州市政府采购网（www.wuzhou.gov.cn:8090/zfcgw）、</w:t>
      </w:r>
      <w:r>
        <w:rPr>
          <w:rFonts w:hint="eastAsia" w:ascii="宋体" w:hAnsi="宋体" w:eastAsia="宋体" w:cs="宋体"/>
          <w:color w:val="auto"/>
          <w:sz w:val="21"/>
          <w:szCs w:val="21"/>
        </w:rPr>
        <w:t>梧州市公共资源交易中心网（http://www.wzggzy.cn/gxwzzbw/）。</w:t>
      </w:r>
    </w:p>
    <w:p>
      <w:pPr>
        <w:spacing w:line="350" w:lineRule="exact"/>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梧州市万秀区教育局</w:t>
      </w:r>
    </w:p>
    <w:p>
      <w:pPr>
        <w:spacing w:line="350" w:lineRule="exact"/>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广西众联工程项目管理有限公司</w:t>
      </w:r>
    </w:p>
    <w:p>
      <w:pPr>
        <w:spacing w:line="350" w:lineRule="exact"/>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2020年 </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28</w:t>
      </w:r>
      <w:r>
        <w:rPr>
          <w:rFonts w:hint="eastAsia" w:ascii="宋体" w:hAnsi="宋体" w:cs="宋体"/>
          <w:color w:val="000000" w:themeColor="text1"/>
          <w:szCs w:val="21"/>
          <w14:textFill>
            <w14:solidFill>
              <w14:schemeClr w14:val="tx1"/>
            </w14:solidFill>
          </w14:textFill>
        </w:rPr>
        <w:t>日</w:t>
      </w:r>
    </w:p>
    <w:p>
      <w:pPr>
        <w:pStyle w:val="20"/>
        <w:spacing w:line="400" w:lineRule="exac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br w:type="page"/>
      </w:r>
    </w:p>
    <w:bookmarkEnd w:id="291"/>
    <w:p>
      <w:pPr>
        <w:pStyle w:val="20"/>
        <w:spacing w:line="400" w:lineRule="exact"/>
        <w:rPr>
          <w:rFonts w:hAnsi="宋体" w:cs="宋体"/>
          <w:color w:val="000000" w:themeColor="text1"/>
          <w14:textFill>
            <w14:solidFill>
              <w14:schemeClr w14:val="tx1"/>
            </w14:solidFill>
          </w14:textFill>
        </w:rPr>
      </w:pPr>
    </w:p>
    <w:p>
      <w:pPr>
        <w:pStyle w:val="20"/>
        <w:spacing w:line="400" w:lineRule="exact"/>
        <w:rPr>
          <w:rFonts w:hAnsi="宋体" w:cs="宋体"/>
          <w:color w:val="000000" w:themeColor="text1"/>
          <w14:textFill>
            <w14:solidFill>
              <w14:schemeClr w14:val="tx1"/>
            </w14:solidFill>
          </w14:textFill>
        </w:rPr>
      </w:pPr>
    </w:p>
    <w:p>
      <w:pPr>
        <w:pStyle w:val="3"/>
        <w:spacing w:line="560" w:lineRule="exact"/>
        <w:jc w:val="center"/>
        <w:rPr>
          <w:rFonts w:ascii="宋体" w:hAnsi="宋体" w:cs="宋体"/>
          <w:bCs/>
          <w:color w:val="000000" w:themeColor="text1"/>
          <w:sz w:val="44"/>
          <w14:textFill>
            <w14:solidFill>
              <w14:schemeClr w14:val="tx1"/>
            </w14:solidFill>
          </w14:textFill>
        </w:rPr>
      </w:pPr>
      <w:bookmarkStart w:id="14" w:name="_Toc185702586"/>
      <w:bookmarkStart w:id="15" w:name="_Toc469874203"/>
      <w:bookmarkStart w:id="16" w:name="_Toc405943013"/>
      <w:bookmarkStart w:id="17" w:name="_Toc199780485"/>
      <w:bookmarkStart w:id="18" w:name="_Toc185703008"/>
      <w:bookmarkStart w:id="19" w:name="_Toc230949373"/>
      <w:bookmarkStart w:id="20" w:name="_Toc200308966"/>
      <w:bookmarkStart w:id="21" w:name="_Toc230929134"/>
      <w:bookmarkStart w:id="22" w:name="_Toc469842111"/>
      <w:bookmarkStart w:id="23" w:name="_Toc200268363"/>
      <w:bookmarkStart w:id="24" w:name="_Toc156106969"/>
      <w:bookmarkStart w:id="25" w:name="_Toc147248434"/>
      <w:bookmarkStart w:id="26" w:name="_Toc395066555"/>
      <w:bookmarkStart w:id="27" w:name="_Toc21199"/>
      <w:r>
        <w:rPr>
          <w:rFonts w:hint="eastAsia" w:ascii="宋体" w:hAnsi="宋体" w:cs="宋体"/>
          <w:bCs/>
          <w:color w:val="000000" w:themeColor="text1"/>
          <w:sz w:val="44"/>
          <w14:textFill>
            <w14:solidFill>
              <w14:schemeClr w14:val="tx1"/>
            </w14:solidFill>
          </w14:textFill>
        </w:rPr>
        <w:t xml:space="preserve">第二章  </w:t>
      </w:r>
      <w:bookmarkEnd w:id="14"/>
      <w:bookmarkEnd w:id="15"/>
      <w:bookmarkEnd w:id="16"/>
      <w:bookmarkEnd w:id="17"/>
      <w:bookmarkEnd w:id="18"/>
      <w:bookmarkEnd w:id="19"/>
      <w:bookmarkEnd w:id="20"/>
      <w:bookmarkEnd w:id="21"/>
      <w:bookmarkEnd w:id="22"/>
      <w:bookmarkEnd w:id="23"/>
      <w:bookmarkEnd w:id="24"/>
      <w:bookmarkEnd w:id="25"/>
      <w:bookmarkEnd w:id="26"/>
      <w:r>
        <w:rPr>
          <w:rFonts w:hint="eastAsia" w:ascii="宋体" w:hAnsi="宋体" w:cs="宋体"/>
          <w:bCs/>
          <w:color w:val="000000" w:themeColor="text1"/>
          <w:sz w:val="44"/>
          <w14:textFill>
            <w14:solidFill>
              <w14:schemeClr w14:val="tx1"/>
            </w14:solidFill>
          </w14:textFill>
        </w:rPr>
        <w:t>采购内容及要求</w:t>
      </w:r>
      <w:bookmarkEnd w:id="27"/>
    </w:p>
    <w:p>
      <w:pPr>
        <w:pStyle w:val="20"/>
        <w:spacing w:line="400" w:lineRule="exact"/>
        <w:rPr>
          <w:rFonts w:hAnsi="宋体" w:cs="宋体"/>
          <w:color w:val="000000" w:themeColor="text1"/>
          <w14:textFill>
            <w14:solidFill>
              <w14:schemeClr w14:val="tx1"/>
            </w14:solidFill>
          </w14:textFill>
        </w:rPr>
      </w:pPr>
    </w:p>
    <w:p>
      <w:pPr>
        <w:spacing w:line="300" w:lineRule="exact"/>
        <w:ind w:left="629" w:hanging="629"/>
        <w:rPr>
          <w:rFonts w:ascii="宋体" w:hAnsi="宋体" w:cs="宋体"/>
          <w:color w:val="000000" w:themeColor="text1"/>
          <w14:textFill>
            <w14:solidFill>
              <w14:schemeClr w14:val="tx1"/>
            </w14:solidFill>
          </w14:textFill>
        </w:rPr>
      </w:pPr>
    </w:p>
    <w:p>
      <w:pPr>
        <w:spacing w:line="340" w:lineRule="exact"/>
        <w:ind w:right="97" w:rightChars="46"/>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说明：</w:t>
      </w:r>
    </w:p>
    <w:p>
      <w:pPr>
        <w:spacing w:line="400" w:lineRule="exact"/>
        <w:ind w:right="97" w:rightChars="46" w:firstLine="315" w:firstLineChars="15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1、采购清单中的品牌型号如注明为参考品牌型号的，则仅起参考作用，投标人可选用其他品牌型号替代。标明的专有技术、专利产品、特定品牌的字样只起说明作用，任何与其同等的技术均应被认为符合招标文件要求，但这些替代的品牌型号要实质上相当于或优于参考品牌型号及其技术参数性能（配置）要求。</w:t>
      </w:r>
    </w:p>
    <w:p>
      <w:pPr>
        <w:spacing w:line="400" w:lineRule="exact"/>
        <w:ind w:right="97" w:rightChars="46"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2、采购清单中已注明为参考品牌型号的货物及技术参数性能（配置）不明确或有误的，或投标人选用其他品牌型号替代的，请以详细、正确的品牌型号、技术参数性能（配置）同时填写报价表和技术要求响应表。</w:t>
      </w:r>
    </w:p>
    <w:p>
      <w:pPr>
        <w:spacing w:line="400" w:lineRule="exact"/>
        <w:ind w:right="97" w:rightChars="46"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3、凡在“技术参数及性能（配置）要求”中表述为“标配”或“标准配置”的设备，投标人应在报价表中将其标配参数详细列明，否则该报价无效。</w:t>
      </w:r>
    </w:p>
    <w:p>
      <w:pPr>
        <w:spacing w:line="400" w:lineRule="exact"/>
        <w:ind w:right="97" w:rightChars="46" w:firstLine="210" w:firstLine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4、投标人必须自行为其提供的产品侵犯其他投标人或专利人的专利成果承担相应法律责任；同时，具有产品专利的投标人应在其投标文件中提供与其自有产品专利相关的有效证明材料，否则，不能就其产品的专利在本项目采购过程中被侵权问题提出异议。</w:t>
      </w:r>
    </w:p>
    <w:p>
      <w:pPr>
        <w:spacing w:line="400" w:lineRule="exact"/>
        <w:ind w:right="97" w:rightChars="46" w:firstLine="210" w:firstLineChars="100"/>
        <w:rPr>
          <w:rFonts w:hint="eastAsia"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5、拟采购的产品属于《节能产品政府采购品目清单》范围内以“★”标注产品的，应当依据国家确定的认证机构出具的、处于有效期之内的节能产品认证证书，对获得证书的产品实施政府强制采购。拟采购的产品属于《节能产品政府采购品目清单》范围内非“★”标注的和《环境标志产品政府采购品目清单》范围内产品的，应当依据国家确定的认证机构出具的、处于有效期之内的节能产品、环境标志产品认证证书，对获得证书的产品实施政府优先采购。投标人须提供产品认证证书复印件并加盖投标人公章。截标后，采购代理机构在中国政府采购网（www.ccgp.gov.cn）认证结果信息发布平台对投标产品的证书信息进行查询，如查询结果为无效，将不享受相关政府采购政策。</w:t>
      </w:r>
    </w:p>
    <w:p>
      <w:pPr>
        <w:pStyle w:val="17"/>
        <w:ind w:firstLine="420" w:firstLineChars="200"/>
        <w:rPr>
          <w:rFonts w:hint="eastAsia" w:eastAsia="宋体"/>
          <w:color w:val="000000" w:themeColor="text1"/>
          <w:lang w:val="en-US" w:eastAsia="zh-CN"/>
          <w14:textFill>
            <w14:solidFill>
              <w14:schemeClr w14:val="tx1"/>
            </w14:solidFill>
          </w14:textFill>
        </w:rPr>
      </w:pPr>
      <w:r>
        <w:rPr>
          <w:rFonts w:hint="eastAsia" w:ascii="宋体" w:hAnsi="宋体" w:cs="宋体"/>
          <w:bCs/>
          <w:color w:val="000000" w:themeColor="text1"/>
          <w:lang w:val="en-US" w:eastAsia="zh-CN"/>
          <w14:textFill>
            <w14:solidFill>
              <w14:schemeClr w14:val="tx1"/>
            </w14:solidFill>
          </w14:textFill>
        </w:rPr>
        <w:t>6、</w:t>
      </w:r>
      <w:r>
        <w:rPr>
          <w:rFonts w:hint="eastAsia" w:ascii="宋体" w:hAnsi="宋体" w:cs="宋体"/>
          <w:bCs/>
          <w:color w:val="000000" w:themeColor="text1"/>
          <w14:textFill>
            <w14:solidFill>
              <w14:schemeClr w14:val="tx1"/>
            </w14:solidFill>
          </w14:textFill>
        </w:rPr>
        <w:t>本项目核</w:t>
      </w:r>
      <w:r>
        <w:rPr>
          <w:rFonts w:hint="eastAsia" w:ascii="宋体" w:hAnsi="宋体" w:cs="宋体"/>
          <w:bCs/>
          <w:color w:val="000000" w:themeColor="text1"/>
          <w:sz w:val="21"/>
          <w:szCs w:val="21"/>
          <w14:textFill>
            <w14:solidFill>
              <w14:schemeClr w14:val="tx1"/>
            </w14:solidFill>
          </w14:textFill>
        </w:rPr>
        <w:t>心产品为</w:t>
      </w:r>
      <w:r>
        <w:rPr>
          <w:rFonts w:hint="eastAsia" w:ascii="宋体" w:hAnsi="宋体" w:cs="宋体"/>
          <w:bCs/>
          <w:color w:val="000000" w:themeColor="text1"/>
          <w:sz w:val="21"/>
          <w:szCs w:val="21"/>
          <w:lang w:eastAsia="zh-CN"/>
          <w14:textFill>
            <w14:solidFill>
              <w14:schemeClr w14:val="tx1"/>
            </w14:solidFill>
          </w14:textFill>
        </w:rPr>
        <w:t>“</w:t>
      </w:r>
      <w:r>
        <w:rPr>
          <w:rFonts w:hint="eastAsia" w:ascii="宋体" w:hAnsi="宋体" w:cs="宋体"/>
          <w:color w:val="000000" w:themeColor="text1"/>
          <w:kern w:val="0"/>
          <w:sz w:val="21"/>
          <w:szCs w:val="21"/>
          <w:lang w:bidi="ar"/>
          <w14:textFill>
            <w14:solidFill>
              <w14:schemeClr w14:val="tx1"/>
            </w14:solidFill>
          </w14:textFill>
        </w:rPr>
        <w:t>86寸触控一体机</w:t>
      </w:r>
      <w:r>
        <w:rPr>
          <w:rFonts w:hint="eastAsia" w:ascii="宋体" w:hAnsi="宋体" w:cs="宋体"/>
          <w:color w:val="000000" w:themeColor="text1"/>
          <w:kern w:val="0"/>
          <w:sz w:val="21"/>
          <w:szCs w:val="21"/>
          <w:lang w:eastAsia="zh-CN" w:bidi="ar"/>
          <w14:textFill>
            <w14:solidFill>
              <w14:schemeClr w14:val="tx1"/>
            </w14:solidFill>
          </w14:textFill>
        </w:rPr>
        <w:t>”。</w:t>
      </w: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spacing w:line="340" w:lineRule="exact"/>
        <w:ind w:right="97" w:rightChars="46" w:firstLine="413" w:firstLineChars="197"/>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br w:type="page"/>
      </w:r>
    </w:p>
    <w:p>
      <w:pPr>
        <w:ind w:right="97" w:rightChars="46"/>
        <w:jc w:val="center"/>
        <w:rPr>
          <w:rFonts w:ascii="宋体" w:hAnsi="宋体" w:cs="宋体"/>
          <w:bCs/>
          <w:color w:val="000000" w:themeColor="text1"/>
          <w:sz w:val="44"/>
          <w14:textFill>
            <w14:solidFill>
              <w14:schemeClr w14:val="tx1"/>
            </w14:solidFill>
          </w14:textFill>
        </w:rPr>
      </w:pPr>
      <w:r>
        <w:rPr>
          <w:rFonts w:hint="eastAsia" w:ascii="宋体" w:hAnsi="宋体" w:cs="宋体"/>
          <w:bCs/>
          <w:color w:val="000000" w:themeColor="text1"/>
          <w:sz w:val="44"/>
          <w14:textFill>
            <w14:solidFill>
              <w14:schemeClr w14:val="tx1"/>
            </w14:solidFill>
          </w14:textFill>
        </w:rPr>
        <w:t>采购内容及要求</w:t>
      </w:r>
    </w:p>
    <w:p>
      <w:pPr>
        <w:numPr>
          <w:ilvl w:val="0"/>
          <w:numId w:val="4"/>
        </w:numPr>
        <w:spacing w:before="165" w:beforeLines="50" w:line="400" w:lineRule="exact"/>
        <w:rPr>
          <w:rFonts w:ascii="宋体" w:hAnsi="宋体" w:cs="宋体"/>
          <w:b/>
          <w:bCs/>
          <w:color w:val="000000" w:themeColor="text1"/>
          <w:sz w:val="30"/>
          <w:szCs w:val="30"/>
          <w14:textFill>
            <w14:solidFill>
              <w14:schemeClr w14:val="tx1"/>
            </w14:solidFill>
          </w14:textFill>
        </w:rPr>
      </w:pPr>
      <w:bookmarkStart w:id="28" w:name="OLE_LINK3"/>
      <w:bookmarkStart w:id="29" w:name="OLE_LINK2"/>
      <w:r>
        <w:rPr>
          <w:rFonts w:hint="eastAsia" w:ascii="宋体" w:hAnsi="宋体" w:cs="宋体"/>
          <w:b/>
          <w:bCs/>
          <w:color w:val="000000" w:themeColor="text1"/>
          <w:sz w:val="30"/>
          <w:szCs w:val="30"/>
          <w14:textFill>
            <w14:solidFill>
              <w14:schemeClr w14:val="tx1"/>
            </w14:solidFill>
          </w14:textFill>
        </w:rPr>
        <w:t>采购内容清单及技术要求</w:t>
      </w:r>
    </w:p>
    <w:tbl>
      <w:tblPr>
        <w:tblStyle w:val="40"/>
        <w:tblW w:w="0" w:type="auto"/>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654"/>
        <w:gridCol w:w="6628"/>
        <w:gridCol w:w="70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77" w:type="dxa"/>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序号</w:t>
            </w:r>
          </w:p>
        </w:tc>
        <w:tc>
          <w:tcPr>
            <w:tcW w:w="654" w:type="dxa"/>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设备名称</w:t>
            </w:r>
          </w:p>
        </w:tc>
        <w:tc>
          <w:tcPr>
            <w:tcW w:w="6628" w:type="dxa"/>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规格参数</w:t>
            </w:r>
          </w:p>
        </w:tc>
        <w:tc>
          <w:tcPr>
            <w:tcW w:w="709" w:type="dxa"/>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数量</w:t>
            </w:r>
          </w:p>
        </w:tc>
        <w:tc>
          <w:tcPr>
            <w:tcW w:w="859" w:type="dxa"/>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86寸触控一体机</w:t>
            </w:r>
          </w:p>
        </w:tc>
        <w:tc>
          <w:tcPr>
            <w:tcW w:w="6628" w:type="dxa"/>
            <w:shd w:val="clear" w:color="000000" w:fill="FFFFFF"/>
            <w:vAlign w:val="center"/>
          </w:tcPr>
          <w:p>
            <w:pPr>
              <w:widowControl/>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一、显示性能要求：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★1、屏幕尺寸：≥86英寸，具备防眩光效果，显示技术：LED液晶屏(显示比例16:9)；对比度≥5000：1，可视角度≥178°；图像物理高清分辨率1920×1080。液晶屏类型：节能型LED A规液晶屏，中标供应商在正式供货时需提供A规屏证明材料并加盖交互智能平板厂家公章，否则不予验收。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2、书写屏采用全钢化防眩光玻璃，防划防撞能承受重物撞击。</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3、整机前置面板电视开关、电脑开关和节能待机按键三合一，操作便捷，提升老师上课操作效率。</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整机面板具备至少3路前置USB3.0接口,且前置USB接口全部支持Windows及Android双系统读取，将U盘插入任意前置USB接口，均能被Windows及Android系统识别，防止老师误操作，投标文件中需提供国家认可的第三方质量监督检验机构出具的关于“双系统共用USB接口”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5、触摸中控菜单上的通道信号源名称支持自定义，方便老师自行自定义和快速识别，投标文件中需提供国家认可的第三方质量监督检验机构出具的关于“通道信号源名称支持自定义”功能的检验报告复印件。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★6、整机前置面板一键调整PPT画面比例：可通过机身前置面板实体按键对PPT课件实现一键切换画面显示比例，方便教师灵活授课。</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7、端口要求：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1）输入端子:≥1路VGA；≥1路Audio；≥1路AV；≥1路YPbPr；≥1路HDMI。</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2）输出：≥1路耳机，≥1路同轴。</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8、整机无需外接无线网卡，在内置嵌入式系统下接入无线网络，切换到windows系统下可同时实现无线上网功能，不需手动重复设置，投标文件中需提供国家认可的第三方质量监督检验机构出具的关于“无线上网”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9、为防止课间学生操作，设备可设置锁定屏幕触摸、实体按键，除可通过遥控器及软件菜单实现该功能，老师还可通过整机前置面板的实体按键，以组合按键（至少涉及3个按键）的形式锁定/解锁，方便老师使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10、音乐课工具：整机处于任意通道下，在屏幕侧边可调出节拍器功能，可自由调整节拍类型，适应更多课堂场景。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11、快速通道跳转：整机处于非内置PC通道下，在屏幕侧边可调出PC通道按钮，支持用户一键回到PC通道；同时支持用户自定义设置常用快捷通道，可从侧边栏一键进入该通道，提升老师教学效率。投标文件中需提供国家认可的第三方质量监督检验机构出具的关于“快速通道跳转”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12、屏幕显示灰度分辨等级达到128灰阶及以上，保证画面显示效果细腻，投标文件中需提供国家认可的第三方质量监督检验机构出具的关于“灰阶分辨等级”相关功能的检验报告复印件。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★13、内置非独立外扩展的拾音麦克风（不接受外接麦克风），方便录制老师人声，投标文件中需提供国家认可的第三方质量监督检验机构出具的关于“内置非独立拾音麦克风”相关功能的检验报告复印件。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14、智能亮度调节：整机能感应并自动调节屏幕亮度来达到在不同光照环境下的最佳显示效果，此功能可自行开启或关闭。</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15、黑板关闭自动节能：当整机安装到推拉黑板中时，关闭推拉黑板，整机将在短时间内自动进入黑屏节能模式。</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16、整机处于任意通道下，在屏幕表面任意位置都可通过手势快速调出触摸便捷菜单，实现十笔即时批注、手势擦除、截图、快捷白板、任意通道放大等功能，方便配合视频展台等外接设备进行辅助教学。</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★17、支持智能U盘锁功能，整机可设置触摸及按键自动锁定，保证无关人士无法自由操作，需要使用时只需插入USB key即可解锁，投标文件中需提供国家认可的第三方质量监督检验机构出具的关于“智能U盘锁”相关功能的检验报告复印件。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★18、支持用户在嵌入式系统下自定义侧边菜单，适应不同老师的使用习惯：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 侧边菜单栏：支持自定义侧边菜单的显示位置与有效通道；用户可根据不同教学场景，设置侧边菜单中显示的功能应用及其有效通道，在Android、PC或其他通道下快捷调取快捷白板、批注、截图、冻屏等功能，并支持根据用户习惯任意调整显示顺序。</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 快速切换Android/PC通道：用户可自定义在任意通道下通过侧边菜单中的主页键功能，快速进入Android或PC通道的系统桌面。</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 快捷小工具：支持自定义侧边菜单中的小工具功能，用户在任意通道下可调取板中板、聚光灯、倒计日等小工具，并支持根据用户习惯任意调整显示顺序。</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★19、整机具备童锁功能，该功能一旦开启能够有效保护机器设备不被恶意操作，投标文件中需提供国家认可的第三方质量监督检验机构出具的关于“童锁”相关功能的检验报告复印件。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★20、为提升教学效率，要求通信方式为USB，投标文件中需提供国家认可的第三方质量监督检验机构出具的关于“通信方式”相关的检验报告复印件。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二、整体设计要求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1、内置一体化设计，外部无任何可见内部功能模块的连接线。</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2、采用铝合金面框（散热性能好，坚固耐用，有效保护触摸单元），弧形转角采用无尖锐边缘连接。</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无需借助PC，整机可一键进行硬件自检，包括对触摸框、PC模块、光感系统等模块进行检测，并针对不同模块给出问题原因提示，投标文件中需提供国家认可的第三方质量监督检验机构出具关于“硬件自检”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★4、设备支持DBX音效，支持用户在菜单中开启/关闭DBX-TV中总恒音、总绚音的功能，投标文件中需提供国家认可的第三方质量监督检验机构出具关于“DBX音效”功能的检验报告复印件。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内置触摸中控菜单，将信号源通道切换、亮度对比度调节、声音图像调节等整合到同一菜单下，无须实体按键，在任意显示通道下均可通过手势在屏幕上调取该触摸菜单，方便快捷。整机屏幕采用钢化玻璃，使用1.04kg钢球，在2m处自由落体撞击整机液晶显示屏幕的钢化玻璃，产品无损伤破裂，功能无异常。</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6、当整机外接电脑设备并连接触摸线使用时，外接电脑可直接读取插在整机上的U盘，并识别连接至整机的翻页笔、无线键鼠等USB连接设备。</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当外接电脑设备时，如整机处于关机上电状态，则接上外接电脑后自动开机。如整机处于正常使用状态，则设备能自动识别并切换到对应的VGA/HDMI信号源通道，且断开后能回到上一通道。自动跳转前支持选择确认，待确认后再跳转。设备具备智能温控功能，能够实时监测设备温度变化，并可根据不同温度变化显示不同颜色进行提示。</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8、配备无线智能遥控：人性化设计具备电视遥控功能和电脑键盘常用的F1—F12功能键及Alt+F4、Alt+Tab、Space、Enter、windows等快捷按键，可实现一键开启交互白板软件、一键锁定/解锁触摸及整机实体按键、一键冻结屏幕等功能。投标文件中需提供国家认可的第三方质量监督检验机构出具的关于“无线智能遥控”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9、设备支持通过前置按键一键启动录屏功能，可将屏幕中显示的课件、音频等内容与老师人声同步录制，方便制作教学视频，投标文件中需提供国家认可的第三方质量监督检验机构出具的关于“按键一键启动录屏”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10、在PC系统出现异常或需要清除PC数据时，可插入带激活文件的U盘，在嵌入式系统的设置界面中启动PC一键还原功能，将PC系统恢复至出厂状态，投标文件中需提供国家认可的第三方质量监督检验机构出具的关于“一键还原”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11、内置非独立外扩展的摄像头（不接受外接摄像头），像素至少500万，支持二维码扫码识别功能，帮助用户调用在线资源，投标文件中需提供国家认可的第三方质量监督检验机构出具的关于“内置非独立外扩展摄像头”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★12、互动教学课堂系统：投标文件中需提供国家认可的第三方质量监督检验机构出具的关于“互动教学课堂系统”相关功能的检验报告复印件。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1、任意通道下，支持手机扫描二维码，实现互动答题功能。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2、任意通道下，支持老师发起单选题、多选题、抢答题等。</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3、任意通道下，学生可通过手机移动端发送信息至智能平板展示，增加课堂互动方式。</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三、触摸性能要求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1、采用红外触控技术，支持在Windows与安卓系统中进行十点触控及十点书写。</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2、书写方式：手指或笔触摸。</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3、定位分辨率：32767*32767。</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4、触摸精准性：整机屏幕触摸有效识别高度小于4.5mm,即触摸物体距离玻璃外表面高度低于4.5mm时，触摸屏识别为点击操作，保证触摸精准。</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5、触摸屏具有防遮挡功能，触摸接收器在单点或多点遮挡后仍能正常书写，确保老师课堂操作的流畅性。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6、触摸屏具有防光干扰功能，能在照度80K LUX（勒克司）环境下仍能正常工作。投标文件中需提供国家认可的第三方质量监督检验机构出具的关于“防光干扰强度”相关功能的检验报告复印件。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四、嵌入式安卓系统要求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1、无PC状态下，支持在嵌入式系统下直接启动视频展台，可进行批注、旋转及截图，且支持二分屏或四分屏同时展示展台内容，可任意更换分屏幕画面内容。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无PC状态下，嵌入式安卓操作系统支持超级计算器功能，可进行初级计算、方程（组）智能求解、自动求导求积分等操作，投标文件中需提供国家认可的第三方质量监督检验机构出具的关于“超级计算器”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3、换色功能：老师在嵌入式系统上选中笔迹或形状后，可选择不同颜色，对笔迹或形状进行换色，区别各类内容，突出重点。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4、在嵌入式安卓操作系统下，能对TV多媒体USB所读取到的课件文件进行自动归类，可快速分类查找office文档、视频、图片等文件，检索后可直接在界面中打开。</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5、整机部署一根网线，即可实现Windows及Android系统同时联网。</w:t>
            </w:r>
          </w:p>
          <w:p>
            <w:pPr>
              <w:widowControl/>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 xml:space="preserve">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五、内置电脑模块参数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采用模块化电脑方案，抽拉内置式，采用120pin或以上接口，实现无单独接线的插拔，采用按压式卡扣，无需工具即可快速拆卸电脑模块。投标文件中需提供国家认可的第三方质量监督检验机构出具的关于“接口数量”相关功能的检验报告复印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2.主板采用H310芯片组，搭载Intel 8代 酷睿系列 i5 CPU同级别或以上配置；</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3.内存：8G笔记本内存或以上配置；</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4.硬盘：256G或以上SSD固态硬盘；</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5.具有独立非外扩展的电脑USB接口：电脑上至少具备3个USB3.0 TypeA接口，1个USB TypeC接口（支持TypeC接口的U盘插入使用）。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6.机身采用热浸镀锌金属材质，确保封闭空间内有效散热。</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7.具有标准PC防盗锁孔，确保电脑模块安全防盗。</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8.内置蓝牙：在Windows系统下，整机可通过蓝牙模块与蓝牙音箱连接，通过蓝牙音箱播放整机音频。</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9. 内置双频(2.4G&amp;5G) WiFi网卡，支持IEEE 802.11a/b/g/n/ac标准；内置有线网卡：10M/100M/1000M</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10.具有独立非外扩展的视频输出接口：≥1路VGA ；≥1路HDMI ；≥1路DP。</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六、安全可靠性要求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1、整机在0℃—40℃环境下可正常工作，在-20℃—60℃的环境下可正常贮存且贮存后功能无损。</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2、一体机产品阻燃等级为V-0级，有效避免产品意外燃烧，保证教师安全。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3、具有防雷击4级要求，产品在雷雨天气也能正常使用，保证老师课堂教学不受环境影响。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4、机身外壳达到防盐雾十级要求，避免长期使用过程中生锈老化。</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5、智能温控：屏温显示在无PC状态下能够实时显示屏体温度；智能温控具备有效监控、预警、断电保护功能；高温报警在工作温度过高时会自动采取降温措施及蜂鸣预警。</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七、备授课一体化软件：本项备授课一体化软件，须处于同一个软件环境下实现，不接受多套软件叠加操作参加投标，中标供应商在正式供货时必须提供相应软件著作权证明复印件并加盖软件品牌厂家公章，否则不予验收通过。</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1、支持老师个人账号注册登录使用，也可通过USB key进行身份快速识别登录。</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2、支持分组管理云课件，用户可自定义分组名称，并根据需要将课件分类管理。</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3、支持用户一键云同步所有已在软件中打开编辑的课件，无需逐一保存，节省备课时间。同时对于未同步成功的课件，软件将进行提示，保障所有课件都为最新修改内容。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4、支持用户在软件中打开pptx格式文件，且用户可在软件中自由编辑原文件中的图片、文字、表格等元素，并支持修改原文件中的动画。方便老师利用软件互动功能在原有PPT基础上修改课件。</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5、快捷抠图：无需借助专业图片处理软件，即可在白板软件中对导入的图片进行快捷抠图、去背景，处理后的图片主体边缘没有明显毛边，可导出保存成PNG格式。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6、支持课件页面预览、页面跳转及上下翻页。</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7、放大镜：支持调用放大镜工具进行局部画面放大，可设置放大比例及聚光灯效果。</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8、汉字工具：支持在田字格上书写汉字并自动识别为印刷体，可展示该汉字的读音、笔画顺序、笔画数量等。支持用户反馈汉字错误，保证字库正确性。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9、拼音工具：支持在拼音格中输入拼音字母，可展示该字母的标准四声读音以及笔画。</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10、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11、智能选词填空：支持创建智能选词填空游戏，教师可随意编辑填空题题干以及相应的答案选项，将选项拖到对应题干空白处，系统将自动判别答案是否正确。系统需提供不少于9种游戏模板供老师选择，且模板样式支持自定义修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★12、智能配对游戏：支持创建配对游戏，教师可随意将知识点进行配对。当开始配对游戏时，拖动知识点进行配对，系统将自动判断是否正确。系统至少提供10种游戏模版，且模版样式支持自定义修改。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13、分组竞争游戏：支持创建分组竞争游戏，教师可设置正确项／干扰项，让两组学生开展竞争游戏。系统提供不少于3种难度、10种游戏模版选择，且模版样式支持自定义修改。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★14、数学公式编辑器：支持复杂数学公式输入，提供不少于20个数学符号及模板，输出的公式内容支持不同颜色标记及二次编辑。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15、立体几何：</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a)支持绘制立方体、圆柱体等立体几何图形。</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b)支持任意调节立体几何图形的尺寸，改变长宽高比例。</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c)支持沿任意方向旋转立体几何。</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d)支持为长方体6个面分别涂色，并且可通过任意旋转观察涂色与未涂色的表面。</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e)支持立体图形吸附功能：移动立体图形相互靠近时，可智能识别并吸附，便于老师精确操作组合图形。</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16、数学画板功能：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a)支持在白板中插入在线画板，授课时可以一键打开,方便老师配合课件内容进行讲解。</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b)提供超过500个数学画板资源，覆盖小学、初中、高中学段数学学科主要知识点，并按照知识点分类，便于老师查找。</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c)画板资源互动性强，利于老师讲解抽象知识点，如小学阶段的四边形互相转换资源，可支持点击，动态切换四边形形态；中学阶段的平方差公式资源，可支持图形展示平方差公式计算原理，并可改变数值，重复演示。</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d)支持老师创建个人画板，除了点、线、面等基础元素以外，画板还可提供线段中点、椭圆焦点、极坐标方程等数十种数学常用工具，保证老师日常备授课所需。创建完成后，老师可一键将画板插入白板，与课件无缝连接。</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17、化学方程式编辑器：支持化学方程式快速编辑，当输入一个化学元素时，软件界面将自动显示出和该元素相关的多个常用化学反应方程式，老师可直接选择使用。插入后的化学方程式可重新编辑。</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★18、古诗词资源：</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a)提供覆盖小学、初中、高中的古诗词、古文资源，包含原文、翻译、背景介绍、作者介绍、朗诵音频等。</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b)支持用户根据年级、朝代、诗人等进行分类查找，也可直接搜索诗词、古文名称或作者名查找。</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 c)提供不少于</w:t>
            </w:r>
            <w:r>
              <w:rPr>
                <w:rFonts w:ascii="宋体" w:hAnsi="宋体" w:cs="宋体"/>
                <w:color w:val="000000" w:themeColor="text1"/>
                <w:kern w:val="0"/>
                <w:sz w:val="20"/>
                <w:szCs w:val="20"/>
                <w:highlight w:val="none"/>
                <w:lang w:bidi="ar"/>
                <w14:textFill>
                  <w14:solidFill>
                    <w14:schemeClr w14:val="tx1"/>
                  </w14:solidFill>
                </w14:textFill>
              </w:rPr>
              <w:t>8</w:t>
            </w:r>
            <w:r>
              <w:rPr>
                <w:rFonts w:hint="eastAsia" w:ascii="宋体" w:hAnsi="宋体" w:cs="宋体"/>
                <w:color w:val="000000" w:themeColor="text1"/>
                <w:kern w:val="0"/>
                <w:sz w:val="20"/>
                <w:szCs w:val="20"/>
                <w:highlight w:val="none"/>
                <w:lang w:bidi="ar"/>
                <w14:textFill>
                  <w14:solidFill>
                    <w14:schemeClr w14:val="tx1"/>
                  </w14:solidFill>
                </w14:textFill>
              </w:rPr>
              <w:t>种古诗词专用背景模板，老师可贴合古诗词意境选择合适背景进行教学。</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d)每篇古诗词、古文均提供原文及翻译、背景介绍、作者介绍等，同时支持一键跳转打开网页，展示对应的背景或作者介绍。</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e)支持老师备课时对原文进行注释、标重点等操作，方便老师讲解重点字词。</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f)提供原文朗读功能，全部诗词、古文均配备专业朗读配音，且支持老师在备课时对朗读音频进行打点操作，上课时可播放提前选择好的片段。</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19、3D星球模型：提供3D立体星球模型，包括地球、太阳、火星、水星、木星、金星、土星、海王星，支持360°自由旋转、缩放展示。地球教学工具：提供立体地球教学工具，清晰展现地球表面的六大板块、降水分布、气温分布、气候分布、人口分布、表层洋流等内容，且支持三维、二维切换展示，方便地理学科教学。</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20、思维导图：提供思维导图、鱼骨图及组织结构图编辑功能，可轻松增删或拖拽编辑内容节点，并支持在节点上插入图片、视频、课件页面链接。支持思维导图逐级、逐个节点展开，并可任意缩放，满足不同演示需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21、工具自定义：支持自定义设置授课模式白板工具按钮，老师可自行选择符合自身教学需要的教学工具，且教学工具自定义结果可与课件内容云端同步保存。</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22、美术画板：支持美术画板工具，提供毛笔、油画笔等，可实现模拟调色盘功能，老师可自由选择不同颜色进行混合调色，搭配出任意色彩。</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八、大小屏互动系统</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1.可与交互智能平板实现无线连接，可对连接的设备进行密码的权限管理。</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2.支持横屏及竖屏双模式，满足不同用户的使用习惯。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3.支持手机投屏，可通过该软件将手机屏幕画面实时投影到大屏上。</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支持模拟电脑触摸板功能，能够对智能平板进行远程控制，支持鼠标左键/右键、双指滚轮，并有常用快捷键按键集成，如一键关闭窗口、一键切换窗口、一键回到桌面、一键打开键盘等。同时可通过对移动端实现聚光灯、双向批注及撤销功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5.支持移动展台功能，可一键对试卷、课本等实物进行拍摄，将实物照片一键上传至智能平板中，并可通过移动端实现激光笔、聚光灯、双向批注及撤销功能，其中批注功能支持3种或以上颜色。同时，还能将实物照片一键在白板教学软件里打开，进行双向批注、缩放、旋转等操作。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九、PPT授课工具</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1.无需打开其他任何软件，播放ppt时即可实现书写、擦除功能。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2.无需打开其他任何软件，播放ppt时即可支持课件页面预览、页面跳转及上下翻页。</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3.无需打开其他任何软件，播放ppt时即可支持板中板功能：支持调用板中板辅助教学，可直接批注及加页，不影响课件主画面。</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★4.无需打开其他任何软件，播放ppt时即可支持将课件及板书内容直接生成二维码分享，且扫码后支持在手机端生成二维码进行再次分享，支持点赞；支持发送课件链接至邮箱，方便教师下载保存课件板书内容。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5.无需打开其他任何软件，播放ppt时即可在ppt内调用放大镜、聚光灯小工具。</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十、教学信息管理平台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1.后台采用B/S架构设计，支持学校管理者在Windows、Linux、Android、IOS等多种不同的操作系统上通过网页浏览器登陆进行操作，可统计全校老师软件活跃数据、学生点评及课件上传等数据。</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2.学校管理者登录后即可在平台首页查看校园评课数据、学生点评数据、校本课件数量等统计数据，以及可以看到这些数据与全省均值的对比情况，方便管理者快速了解教师工作情况及校园整体信息化情况。</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3.环比统计：各项数据支持一周、半月、全月环比展示，管理者可随时了解不同时间段内数据变化情况，方便了解教师教学状态变化情况。</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4.数据排名：支持学校管理者查看不同时间段内数据排名，包括评课评分榜、课堂点评班级排名、校本课件上传排名，便于管理者激励全校教师。</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5.班级氛围：支持统计全校班级的课堂行为评价数据，并根据总分排名展示，方便管理者了解不同班级的课堂行为情况。</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十一、教师信息化技能培训平台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1.提供可支持多端接入的教师信息化技能提升内容的培训平台。该平台必须具备招标所需一体机厂家提供的教学软件知识内容培训。</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2.平台支持在电脑、pad、手机等多种终端登录使用。平台同时具备微信公众号，定期推送课程，方便老师碎片化时间学习。</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3.在平台内，具备为教师准备的常用信息化教学工具培训内容，全面提升教师信息化教学技能。包括ppt、Flash、电子白板软件、微课软件、大小屏互动软件等信息化教学工具的培训内容。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4.平台课程主要以视频方式呈现，多个视频形成体系化的课程，且视频内容短小精悍、易学易懂。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5.课程浏览页面需具备基本的讲师介绍、课程介绍、课程目录、课程相关软件下载，可直接看到课程的在学人数，且支持课程分享到各大主流社交平台。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十二、学生评价与家校互通系统</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1.支持邀请家长入班，使家长可查看到自己的孩子在学校的各种表现。 软件支持同一账号下，老师/家长双重身份切换，满足既是老师又是学生家长的人群需求。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2.学生行为评价系统，能实现学校管理中心、教师管理中心、课堂表现评价、家校互联互通等相关功能，功能及操作均在同一软件平台同一账号体系实现。支持多个用户管理同一个班级，从而满足一个班级有班主任和多个任课用户的实际情况。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★3.支持查看课堂表现评价统计报表，按饼状图形式展现学生课堂表现情况，支持查看班级或学生个人的评价情况，并可具体查看到每一条评价的原因、对象，便于用户做统计分析。</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4.根据评价得分情况，对应小组或学生的头像装饰会升级变化，以游戏化方式激励学生积极参与课堂互动。为提高课堂趣味性，软件支持随机抽选学生进行评价。</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十三、其他要求：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1.为确保货物质量及原厂品质，中标供应商在正式供货时必须提供生产厂家针对此项目的售后服务保证原件、供货证明原件，否则采购方将不予验收通过。</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打“★”号条款为重要技术参数，投标人必须满足否则中标无效。中标公示期内若有其他投标人质疑情况下，中标单位必须提供与标书技术要求及功能符合的全部样品一套至用户处进行整体性能与标书文件核对，协助质疑答复。</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2</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多媒体设备集中管理控制系统</w:t>
            </w:r>
          </w:p>
        </w:tc>
        <w:tc>
          <w:tcPr>
            <w:tcW w:w="6628" w:type="dxa"/>
            <w:shd w:val="clear" w:color="000000" w:fill="FFFFFF"/>
            <w:vAlign w:val="center"/>
          </w:tcPr>
          <w:p>
            <w:pPr>
              <w:widowControl/>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 xml:space="preserve">1、管理平台采用B/S混合云架构设计，无需本地额外部署服务器等设备即可实现对教学信息化设备运行数据的监测2、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3、平台支持对全校智慧教室的教学信息化设备进行集中运维管理和策略部署，支持与交互智能教学设备、学生智能终端等教学设备的底层系统无缝对接。★4、管理平台实时监测已连接的交互智能设备状态，支持不少于10台设备的略缩预览以及单设备全屏查看；可远程监测交互智能设备开关机状态、CPU温度、CPU使用率、硬盘空间、硬盘使用状况、内存容量、内存使用率、受控端系统版本、设备ID等设备数据。5、管理平台可对局域网内的交互智能终端进行远程实时控制，能够监测设备当前运行界面，并远程对设备操作界面进行控制。6、管理平台可控制连接广域网的交互智能设备整机关机、开机和重启；可批量设定智能设备开关机的执行时间，并支持自定义日循环执行，预约定时执行。7、管理平台可远程对选定的交互智能设备推送动态文字滚动公告，可对公告文字的颜色、粗体以及播放次数、推送时间进行设置。8、管理平台可远程开启指定交互智能设备倒计日功能并设定倒计日截止日期，便于重大教学安排的提醒提示。★9、管理平台支持批量对交互智能设备进行软件远程部署，配套专用教学软件批量部署支持静默安装。10、管理平台提供巡课值守模式，自动轮循显示处于运行状态的交互智能设备使用界面。11、管理平台实时显示交互智能设备异常的告警提示，并同步将异常信息推送至管理员移动端工作平台。12、管理平台根据设备日常运行状况综合生成设备健康值，可查看设备健康值排名并进行正序、反序排列。智能学生终端管理13、管理平台支持创建多种管理策略，满足不同使用场景教学管理需求，可对已有管理策略进行编辑删除。14、平台可设置智能学生终端网络访问白名单，学生通过学生终端仅能访问白名单列表授权网址，规范学生上网行为。15、平台可对应用使用进行管理，管理员可管理学生在非教学时段可以启用的应用，规范学生非教学时段使用行为。16、平台可对智能学生终端教学界面模式和桌面壁纸进行自定义设置，便于学校进行校园整体视觉形象规划及塑造班级个性化教学环境。17、平台可管理智能学生终端外接数据接口的通信权限、蓝牙功能、音频外设接口使用权限，规范学生终端使用。18、平台可设定开启学生终端护眼模式的时间计划，支持全校部署时间计划。19、运行数据模块显示当前学生终端在线率以及终端管理有效率，同时包含在线终端数量、接入系统平台的终端数量和学校所有终端数量，展现全校使用情况。★20、终端列表可查看终端信息，包含终端型号、系统版本号、Mac地址、SN号、在线状态、所属学生、所在班级、应用管理策略、配置生效状态、剩余电量等基本信息。管理员可增删终端并依据基础信息快速筛选搜索设备，提高管理效率。 </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3</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智能翻页笔</w:t>
            </w:r>
          </w:p>
        </w:tc>
        <w:tc>
          <w:tcPr>
            <w:tcW w:w="6628" w:type="dxa"/>
            <w:shd w:val="clear" w:color="000000" w:fill="FFFFFF"/>
            <w:vAlign w:val="center"/>
          </w:tcPr>
          <w:p>
            <w:pPr>
              <w:widowControl/>
              <w:numPr>
                <w:ilvl w:val="0"/>
                <w:numId w:val="5"/>
              </w:numPr>
              <w:jc w:val="left"/>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采用笔型设计，具有三个遥控按键（上下翻页和功能键），既可用于触  摸书写，也可用于远程操控。</w:t>
            </w:r>
          </w:p>
          <w:p>
            <w:pPr>
              <w:widowControl/>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2. 采用2.4G无线连接技术，无线接收距离最大可达15米。</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 无线接收器采用微型nano设计，并能收纳在笔上，整洁美观。</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 使用单节7号电池驱动，并带自动休眠节电设计。</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 单接收器设计，android、windows双系统同时响应。只需安装一个接收器，双系统都能响应智能笔的操作指令。</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 支持白板课件、PPT、PDF等多种格式的课件进行远程无线翻页。</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 功能按键可通过长按/短按实现两种快捷功能，方便教师操作。</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8. 支持自定义按键功能，可选功能包括：一键启动任意通道批注、一键启动/退出PPT播放、一键启动PPT批注、一键启动任意通道冻结与放大屏幕内容。</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壁挂式展台</w:t>
            </w:r>
          </w:p>
        </w:tc>
        <w:tc>
          <w:tcPr>
            <w:tcW w:w="6628" w:type="dxa"/>
            <w:shd w:val="clear" w:color="000000" w:fill="FFFFFF"/>
            <w:vAlign w:val="center"/>
          </w:tcPr>
          <w:p>
            <w:pPr>
              <w:widowControl/>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1、采用壁挂机箱设计，整机尺寸：250*380*60(mm)</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为了延长视频展台使用寿命，保证教学过程中不受光源变化等因素影响，防止镜头频繁聚焦使图像抖动闪烁，导致体验感差，本机使用不低于800万像素高清定焦COMS镜头，采用高强度环保材质机身，不少于10种分辨率可选择，最高依次为3000*4000（拍照像素1200万）、3264*2448、2592*1944、1920*1080P等，高清像素画面帧率可达到15帧，可拍摄≥A4画幅文本、图像等；</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3、采用单根USB线实现展台供电、高清图像数据传输需求，整机自带磨砂均光罩LED10粒补光灯，光线不足时可进行亮度补充，亮度均匀，采用四级触摸循环调光设计；</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4、解像度：≥1200TV线；图像特技：亮度、对比度、清晰度、饱和度、锐度、逆光对比、色彩调整、伽马、图像增益等；</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5、24位图像真彩色，自动补光；多种获取图片格式JPG，TIF，PNG，BMP等；输出格式为：PDF、TXT、DOC；</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软件参数：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1.开启一键快速进入视频展台拍摄模式（启动时间小于2秒），减少用户在电脑桌面搜寻视频展台软件界面，配有8个一级分列菜单，分别是开启视频展台、调取PPT、视频录屏录像并可选择区域、图像对比、快速抓图、一键桌面、一键退出等快捷功能键，中文对应标注，软件每个界面都具有快速导航跳转功能，方便用户快速进行功能切换，可返回可退出界面；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通过软件视频展示可以实现动态即时旋转和视频显示内容能够以鼠标所在点为中心，可以实现画面360°手势流畅无极旋转；实时按照5%梯度进行无级自由缩放达2000%，软件底部快捷功能键带画中画（大小摄像头可以一键互换）、放大、缩小、分辨率选择、视频窗口冻结、一键全屏、实际大小等快捷功能，可实现色彩、对比度、亮度调节、光学展台变焦控制（需带光学镜头）等；</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3.可以在任意界面上（包括视频展台、PPT、网页界面等）自由划线标注，批注流畅，支持16位255种彩色标注，透明度可设，可保存、局部擦除、全屏擦除; 支持在电脑的任意画面下进行批注并保存，批注流畅线条清晰无锯齿纹，批注栏可隐藏和打开；双击可实现左右功能栏移位互换；</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支持同屏多画面对比教学功能：具有1、2、3、4、16画面同屏展示并可相互间实时切换、分别控制放大、缩小、旋转、保存、文字输入和白板标注，进行逐一对比教学；每一个小屏画面均可同时实时调取展台视频即时画面，最多可16屏同时实时视频展示，并可单独旋转，缩放，编辑；每一个分屏均可实现视频与图片的互相切换；内置图像和文本双模式一键切换，贴切用户使用习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5.聚光灯模式，可用于突出和强调重点内容，聚光区域可进行自由拖动并且调节画面大小；内置式展台使用故障排查排除功能，在用户使用过程中能轻松处理基本故障；</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6.具有课件制作扫描和文档采集管理功能：支持自动连续扫描拍照，时间速度可设；支持局部框选拍照，拍照画面大小随意设置、保存；内置电子文档识别文字功能（OCR）,文字识别率高，方便编辑使用；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7.可做动态视频录制，录像格式为AVI，录像画面大小可以框选调节，可将电脑桌面和展台画面切换录制，带内置远距离高保真麦克风录音功能，方便进行微课制作；</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5</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推拉黑板</w:t>
            </w:r>
          </w:p>
        </w:tc>
        <w:tc>
          <w:tcPr>
            <w:tcW w:w="6628" w:type="dxa"/>
            <w:shd w:val="clear" w:color="000000" w:fill="FFFFFF"/>
            <w:vAlign w:val="center"/>
          </w:tcPr>
          <w:p>
            <w:pPr>
              <w:widowControl/>
              <w:jc w:val="left"/>
              <w:textAlignment w:val="cente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外观基本尺寸：400cm*130cm*10cm(根据电子白板尺寸或一体机尺寸调整黑板尺寸)，复合黑板前边二块活动绿板，后边二块固定绿板；</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整体需保证与电子白板尺寸或一体机尺寸有效对接；并可根据学校实际情况进行调整电子白板或一体机偏左/偏右安装方式及黑板的尺寸；活动黑板可锁定位置；推拉顺畅（自如），无卡挤现象和尖锐的摩擦声，稳定性好；可以实现对活动黑板的锁定；统一锁，统一钥匙，一把钥匙开所有的锁；</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1、书写面材质:材料采用优质烤漆钢板，板面基板厚度≥0.3mm, 表面贴覆写水溶性粉笔绿膜，整板无拼接，不变形；颜色：深绿色；无明显眩光，不反光，有效保护学生视力；人性化设计：黑板设有不会被擦掉的暗线，暗线横纵间距为2.5-5厘米，且暗线未在板面上突出影响书写；</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书写性：用水溶性粉笔、液体粉笔书写，手感流畅、摩擦力适度，笔记均匀、线条明显，易写易擦；</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擦拭性：用板擦往复擦拭两遍，无明显残留字迹，无粉尘飞扬；</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2、★黑板滑轮:每块移动黑板必须安装优质滑轮，数目≥12个，正吊滑轮双轨道上下均匀安装，看面不漏轨道、滑轮、螺钉；</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3、★缓冲垫:黑板左右两侧边框内部安装缓冲垫，隐藏式安装，活动板拉开闭合后与两侧外框无明显缝隙,每侧安装数目≥2个；</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4、内芯材料:选用吸音、高强度、防潮阻燃聚苯乙烯板，厚度15mm；</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5、★背板:材料为优质镀锌蓝色彩涂板，厚度≥0.2mm；采用环保型双组份聚氨酯胶水，自动化流水线覆板作业，牵引、滴胶、刷胶、压固、切割下料一次完成，背板纵向间隔80mm压有加强筋，胶水60秒钟即100%固化定型，确保粘接牢固板面平整；</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6、★边框材料:高级电泳香槟色铝合金；外框上下左右边框规格均为外框≥50mm*100mm，边框轨道后半部分必须为管状结构提高框架硬度，上轨道为双U型轨道使活动板滑动时受力均匀；活动板T型垂直吊装，不接受其它轨道结构及偏装设计;内边框≥38mm*20mm；连接可靠牢固，接缝平整、光滑；包角材料:抗疲劳ABS工程塑料，模具一次成型；</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7、配套耗材数量及要求</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（1）水溶性粉笔4盒（每套黑板），白色2盒及彩色2盒。</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展色度：白色&gt;90，湿写白度&gt;95，各色干湿写字迹清晰；</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可擦性：用润湿板擦来回两次擦拭可清除字迹，且不留痕迹，两月后擦拭完均不留痕迹；</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易用性：干湿写书写润滑度均保持流畅，无顿挫感，书写时不脱块，不易折断；</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安全性：环保无尘、无毒、无害、不刺激皮肤，沾到衣服及皮肤上均可轻松清洁。</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规格： 20支/盒</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2）专用笔套3支（每套黑板），银、黄、红、蓝，四种颜色，均用ABS工程材料制造；有移动组件控制粉笔推出自如，定位可靠，书写过程中不出现倒退现象；更换粉笔很方便，易操作；笔套直径小于12mm，以便老师不改变使用习惯；</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（3）板擦1个（每套黑板），海棉黄色，主体蓝色，心型吸水棉采用高级PVA材料制造，超强吸水能力及清洁能力，且抗变形；外壳使用ABS工程材料制造、抗划伤及变形，有舒适的握感；规格：11.9*7.1*6.2（cm）。</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4）清洗装置1个（每套黑板），所有配件均采用高级PP工程材料；清洗网板抗压、耐用，呈阶梯凹形结构设计，供两种板擦清洗，有利于洗附粉笔污垢，清洗与擦拭过程均手不沾水；安装背板可将装置悬挂于黑板边墙壁上，取挂方便；</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（5）专用收纳盒1个（每套黑板）使用ABS工程材料制造，抗划伤及变形；结构合理，密封性强，便于集中收藏与保管，利于教室的整洁；</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8、★质保及售后:</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3年质保服务，7×24现场服务；</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讲桌</w:t>
            </w:r>
          </w:p>
        </w:tc>
        <w:tc>
          <w:tcPr>
            <w:tcW w:w="6628" w:type="dxa"/>
            <w:shd w:val="clear" w:color="000000" w:fill="FFFFFF"/>
            <w:vAlign w:val="center"/>
          </w:tcPr>
          <w:p>
            <w:pPr>
              <w:widowControl/>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讲桌采用钢木结合构造，桌体上部份采用圆弧设计，装配左右前方木质扶手，重点部门采用一次冲压成形技术，讲台整体颜色为双色搭配，讲台前面配有粘贴LOGO位置，所有钣金部分均采用激光切割加工，所有尖角倒圆角不小于R3，保证使用者和给护者不划伤。</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2、钢板厚度不小于1.2mm优质冷轧钢板,讲台为上下分体式结构，实木扶手。</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3、产品尺寸：900*600*900，上柜有储物抽屉，下柜有储物柜功能。桌体下层四解圆弧设计，内部采用分层设计，放放置课本作业及教具等物品。关闭后，所有东西都隐藏在讲台内部。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4、安全：讲台整体设有安全角度，防止夹伤，挤伤，划伤等</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7</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音箱</w:t>
            </w:r>
          </w:p>
        </w:tc>
        <w:tc>
          <w:tcPr>
            <w:tcW w:w="6628" w:type="dxa"/>
            <w:shd w:val="clear" w:color="000000" w:fill="FFFFFF"/>
            <w:vAlign w:val="center"/>
          </w:tcPr>
          <w:p>
            <w:pPr>
              <w:widowControl/>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1、采用功放及有源音箱一体化设计。</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2、双音箱配对，保证声音还原度。</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3、支持安卓手机通过蓝牙无线连接音箱，实现控制有源音箱的音量、设置蓝牙名称、设置蓝牙密码等功能，方便教师对音箱的管控。</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4、端口：电源*1、Line in*1、Line out*1、U盘接口*1。</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5、支持专业无线麦克风接收技术数字U段无线麦克风扩音接收，有效避开wifi干扰。</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6、配置独立音频数字信号处理芯片，支持啸叫抑制功能。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7、支持蓝牙无线接收，方便老师分享移动设备上的音频。蓝牙支持密码模式，防止学生连接。</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麦克风</w:t>
            </w:r>
          </w:p>
        </w:tc>
        <w:tc>
          <w:tcPr>
            <w:tcW w:w="6628" w:type="dxa"/>
            <w:shd w:val="clear" w:color="000000" w:fill="FFFFFF"/>
            <w:vAlign w:val="center"/>
          </w:tcPr>
          <w:p>
            <w:pPr>
              <w:widowControl/>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 麦克风集音频发射处理器、天线、电池、拾音麦克风于一体，配合一体化有源音箱，无需任何外接辅助设备即可实现本地扩声功能。</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2、麦克风距离音箱最大有效工作距离≥10米，保证全教室覆盖。</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3、麦克风提供电容触摸按键，可显示电量，保持长按进入静音模式。</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4、麦克风和功放音箱之间采用数字U段传输技术，有效避免环境中2.4G信号干扰，例如蓝牙及WIFI设备。</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5、支持智能红外对码及UHF对码，开机即可在2s内快速完成与教学扩声音箱对码，无需繁琐操作。可与移动音箱或录播主机对码连接。</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6、采用触点磁吸式充电方式，支持快速充电与超低功耗工作模式，课间充电10分钟，实现80分钟续航。</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9</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线材辅材</w:t>
            </w:r>
          </w:p>
        </w:tc>
        <w:tc>
          <w:tcPr>
            <w:tcW w:w="6628" w:type="dxa"/>
            <w:shd w:val="clear" w:color="000000" w:fill="FFFFFF"/>
            <w:vAlign w:val="center"/>
          </w:tcPr>
          <w:p>
            <w:pPr>
              <w:widowControl/>
              <w:jc w:val="center"/>
              <w:textAlignment w:val="center"/>
              <w:rPr>
                <w:rFonts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含优质空气开关、品牌电源插座、纯铜电源线等线材设备以及相关的周边设备、音视频线接头及相关配件（对所有施工材料包干）。</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477"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10</w:t>
            </w:r>
          </w:p>
        </w:tc>
        <w:tc>
          <w:tcPr>
            <w:tcW w:w="654"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安装调试</w:t>
            </w:r>
          </w:p>
        </w:tc>
        <w:tc>
          <w:tcPr>
            <w:tcW w:w="6628"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安装调试</w:t>
            </w:r>
          </w:p>
        </w:tc>
        <w:tc>
          <w:tcPr>
            <w:tcW w:w="70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68</w:t>
            </w:r>
          </w:p>
        </w:tc>
        <w:tc>
          <w:tcPr>
            <w:tcW w:w="859" w:type="dxa"/>
            <w:shd w:val="clear" w:color="000000" w:fill="FFFFFF"/>
            <w:vAlign w:val="center"/>
          </w:tcPr>
          <w:p>
            <w:pPr>
              <w:widowControl/>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项</w:t>
            </w:r>
          </w:p>
        </w:tc>
      </w:tr>
    </w:tbl>
    <w:p>
      <w:pPr>
        <w:widowControl/>
        <w:rPr>
          <w:rFonts w:ascii="宋体" w:hAnsi="宋体" w:cs="宋体"/>
          <w:color w:val="000000" w:themeColor="text1"/>
          <w:kern w:val="0"/>
          <w:szCs w:val="21"/>
          <w14:textFill>
            <w14:solidFill>
              <w14:schemeClr w14:val="tx1"/>
            </w14:solidFill>
          </w14:textFill>
        </w:rPr>
      </w:pPr>
    </w:p>
    <w:p>
      <w:pPr>
        <w:spacing w:before="165" w:beforeLines="50" w:line="400" w:lineRule="exact"/>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二、商务条件</w:t>
      </w:r>
    </w:p>
    <w:bookmarkEnd w:id="28"/>
    <w:bookmarkEnd w:id="29"/>
    <w:p>
      <w:pPr>
        <w:spacing w:line="440" w:lineRule="exact"/>
        <w:rPr>
          <w:rFonts w:ascii="宋体" w:hAnsi="宋体" w:cs="宋体"/>
          <w:color w:val="000000" w:themeColor="text1"/>
          <w:szCs w:val="21"/>
          <w14:textFill>
            <w14:solidFill>
              <w14:schemeClr w14:val="tx1"/>
            </w14:solidFill>
          </w14:textFill>
        </w:rPr>
      </w:pPr>
      <w:bookmarkStart w:id="30" w:name="_Toc230949333"/>
      <w:bookmarkStart w:id="31" w:name="_Toc147248396"/>
      <w:bookmarkStart w:id="32" w:name="_Toc156106929"/>
      <w:bookmarkStart w:id="33" w:name="_Toc469874161"/>
      <w:bookmarkStart w:id="34" w:name="_Toc199780446"/>
      <w:bookmarkStart w:id="35" w:name="_Toc469842066"/>
      <w:bookmarkStart w:id="36" w:name="_Toc185702968"/>
      <w:bookmarkStart w:id="37" w:name="_Toc395066514"/>
      <w:bookmarkStart w:id="38" w:name="_Toc405942972"/>
      <w:bookmarkStart w:id="39" w:name="_Toc200268324"/>
      <w:bookmarkStart w:id="40" w:name="_Toc230929094"/>
      <w:bookmarkStart w:id="41" w:name="_Toc200308926"/>
      <w:bookmarkStart w:id="42" w:name="_Toc185702546"/>
      <w:r>
        <w:rPr>
          <w:rFonts w:hint="eastAsia" w:ascii="宋体" w:hAnsi="宋体" w:cs="宋体"/>
          <w:color w:val="000000" w:themeColor="text1"/>
          <w:szCs w:val="21"/>
          <w14:textFill>
            <w14:solidFill>
              <w14:schemeClr w14:val="tx1"/>
            </w14:solidFill>
          </w14:textFill>
        </w:rPr>
        <w:t>1、报价包含货物、运费、安装调试、售后服务、人员培训、税金及其它所有费用的总和。</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2、签订合同时间:发出中标通知书后30日内。</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3、交货（含安装、调试、培训时间）：签订合同即日起30个日历天内完成安装、调试、培训工作。</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4、交货地点：采购人指定地点。</w:t>
      </w:r>
    </w:p>
    <w:p>
      <w:pPr>
        <w:widowControl/>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5、售后服务响应：供货方须到采购方提供的现场免费安装、调试设备，进行操作试验，直至运行正常，技术人员提供免费的现场操作及维护培训。</w:t>
      </w:r>
    </w:p>
    <w:p>
      <w:pPr>
        <w:widowControl/>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6、质保期：整机系统包括部件和人工的保修期为安装验收合格之日起不得少于12个月。</w:t>
      </w:r>
    </w:p>
    <w:p>
      <w:pPr>
        <w:widowControl/>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付款方式：乙方交货给甲方经验收合格后，乙方先向甲方开出合同总额合法发票。甲方收到发票，向财政部门申请资金，待财政资金划拨到甲方账户后，七个工作日内支付合同总额的95%给乙方，余下5%作为质保金，在验收合格一年后</w:t>
      </w:r>
      <w:r>
        <w:rPr>
          <w:rFonts w:hint="eastAsia" w:ascii="宋体" w:hAnsi="宋体"/>
          <w:color w:val="000000" w:themeColor="text1"/>
          <w:szCs w:val="21"/>
          <w14:textFill>
            <w14:solidFill>
              <w14:schemeClr w14:val="tx1"/>
            </w14:solidFill>
          </w14:textFill>
        </w:rPr>
        <w:t>付清（无息）。</w:t>
      </w:r>
    </w:p>
    <w:p>
      <w:pPr>
        <w:widowControl/>
        <w:snapToGrid w:val="0"/>
        <w:spacing w:line="440" w:lineRule="exac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8、验收方式：符合相关验收标准，如验收过程中，采购单位发现存在不符相关标准的，供应商应无条件置换。</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9、中标人应保证所供产品是全新的、未使用过的，并完全符合合同规定的质量、规格的要求。</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10、中标人须按国家有关规定实行“三包”，免费送货上门。</w:t>
      </w:r>
    </w:p>
    <w:p>
      <w:pPr>
        <w:pStyle w:val="3"/>
        <w:spacing w:line="560" w:lineRule="exact"/>
        <w:rPr>
          <w:rFonts w:ascii="宋体" w:hAnsi="宋体" w:cs="宋体"/>
          <w:bCs/>
          <w:color w:val="000000" w:themeColor="text1"/>
          <w:sz w:val="44"/>
          <w14:textFill>
            <w14:solidFill>
              <w14:schemeClr w14:val="tx1"/>
            </w14:solidFill>
          </w14:textFill>
        </w:rPr>
      </w:pPr>
      <w:bookmarkStart w:id="43" w:name="_Toc14015"/>
      <w:bookmarkStart w:id="44" w:name="_Toc20631"/>
      <w:r>
        <w:rPr>
          <w:rFonts w:hint="eastAsia" w:ascii="宋体" w:hAnsi="宋体" w:cs="宋体"/>
          <w:b w:val="0"/>
          <w:bCs/>
          <w:color w:val="000000" w:themeColor="text1"/>
          <w:szCs w:val="21"/>
          <w14:textFill>
            <w14:solidFill>
              <w14:schemeClr w14:val="tx1"/>
            </w14:solidFill>
          </w14:textFill>
        </w:rPr>
        <w:t>11、在“采购内容及要求”中约定的其他要求。</w:t>
      </w:r>
      <w:r>
        <w:rPr>
          <w:rFonts w:hint="eastAsia" w:ascii="宋体" w:hAnsi="宋体" w:cs="宋体"/>
          <w:bCs/>
          <w:color w:val="000000" w:themeColor="text1"/>
          <w:sz w:val="44"/>
          <w14:textFill>
            <w14:solidFill>
              <w14:schemeClr w14:val="tx1"/>
            </w14:solidFill>
          </w14:textFill>
        </w:rPr>
        <w:br w:type="page"/>
      </w:r>
      <w:bookmarkEnd w:id="43"/>
      <w:bookmarkEnd w:id="44"/>
    </w:p>
    <w:p>
      <w:pPr>
        <w:pStyle w:val="3"/>
        <w:spacing w:line="560" w:lineRule="exact"/>
        <w:jc w:val="center"/>
        <w:rPr>
          <w:rFonts w:ascii="宋体" w:hAnsi="宋体" w:cs="宋体"/>
          <w:bCs/>
          <w:color w:val="000000" w:themeColor="text1"/>
          <w:sz w:val="44"/>
          <w14:textFill>
            <w14:solidFill>
              <w14:schemeClr w14:val="tx1"/>
            </w14:solidFill>
          </w14:textFill>
        </w:rPr>
      </w:pPr>
      <w:bookmarkStart w:id="45" w:name="_Toc18101"/>
      <w:r>
        <w:rPr>
          <w:rFonts w:hint="eastAsia" w:ascii="宋体" w:hAnsi="宋体" w:cs="宋体"/>
          <w:bCs/>
          <w:color w:val="000000" w:themeColor="text1"/>
          <w:sz w:val="44"/>
          <w14:textFill>
            <w14:solidFill>
              <w14:schemeClr w14:val="tx1"/>
            </w14:solidFill>
          </w14:textFill>
        </w:rPr>
        <w:t>第三章   投标人须知及前附表</w:t>
      </w:r>
      <w:bookmarkEnd w:id="30"/>
      <w:bookmarkEnd w:id="31"/>
      <w:bookmarkEnd w:id="32"/>
      <w:bookmarkEnd w:id="33"/>
      <w:bookmarkEnd w:id="34"/>
      <w:bookmarkEnd w:id="35"/>
      <w:bookmarkEnd w:id="36"/>
      <w:bookmarkEnd w:id="37"/>
      <w:bookmarkEnd w:id="38"/>
      <w:bookmarkEnd w:id="39"/>
      <w:bookmarkEnd w:id="40"/>
      <w:bookmarkEnd w:id="41"/>
      <w:bookmarkEnd w:id="42"/>
      <w:bookmarkEnd w:id="45"/>
    </w:p>
    <w:p>
      <w:pPr>
        <w:pStyle w:val="20"/>
        <w:spacing w:line="400" w:lineRule="exact"/>
        <w:rPr>
          <w:rFonts w:hAnsi="宋体" w:cs="宋体"/>
          <w:b/>
          <w:color w:val="000000" w:themeColor="text1"/>
          <w14:textFill>
            <w14:solidFill>
              <w14:schemeClr w14:val="tx1"/>
            </w14:solidFill>
          </w14:textFill>
        </w:rPr>
      </w:pPr>
    </w:p>
    <w:p>
      <w:pPr>
        <w:pStyle w:val="20"/>
        <w:spacing w:line="400" w:lineRule="exact"/>
        <w:rPr>
          <w:rFonts w:hAnsi="宋体" w:cs="宋体"/>
          <w:b/>
          <w:color w:val="000000" w:themeColor="text1"/>
          <w14:textFill>
            <w14:solidFill>
              <w14:schemeClr w14:val="tx1"/>
            </w14:solidFill>
          </w14:textFill>
        </w:rPr>
      </w:pPr>
    </w:p>
    <w:p>
      <w:pPr>
        <w:pStyle w:val="31"/>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cr/>
      </w:r>
      <w:r>
        <w:rPr>
          <w:rFonts w:hint="eastAsia" w:cs="宋体"/>
          <w:color w:val="000000" w:themeColor="text1"/>
          <w14:textFill>
            <w14:solidFill>
              <w14:schemeClr w14:val="tx1"/>
            </w14:solidFill>
          </w14:textFill>
        </w:rPr>
        <w:br w:type="page"/>
      </w:r>
    </w:p>
    <w:p>
      <w:pPr>
        <w:pStyle w:val="3"/>
        <w:spacing w:line="400" w:lineRule="exact"/>
        <w:jc w:val="center"/>
        <w:rPr>
          <w:rFonts w:ascii="宋体" w:hAnsi="宋体" w:cs="宋体"/>
          <w:bCs/>
          <w:color w:val="000000" w:themeColor="text1"/>
          <w:sz w:val="32"/>
          <w14:textFill>
            <w14:solidFill>
              <w14:schemeClr w14:val="tx1"/>
            </w14:solidFill>
          </w14:textFill>
        </w:rPr>
      </w:pPr>
      <w:bookmarkStart w:id="46" w:name="_Toc395066515"/>
      <w:bookmarkStart w:id="47" w:name="_Toc185702547"/>
      <w:bookmarkStart w:id="48" w:name="_Toc200268237"/>
      <w:bookmarkStart w:id="49" w:name="_Toc10224"/>
      <w:bookmarkStart w:id="50" w:name="_Toc469909314"/>
      <w:bookmarkStart w:id="51" w:name="_Toc469874162"/>
      <w:bookmarkStart w:id="52" w:name="_Toc405942973"/>
      <w:r>
        <w:rPr>
          <w:rFonts w:hint="eastAsia" w:ascii="宋体" w:hAnsi="宋体" w:cs="宋体"/>
          <w:bCs/>
          <w:color w:val="000000" w:themeColor="text1"/>
          <w:sz w:val="32"/>
          <w14:textFill>
            <w14:solidFill>
              <w14:schemeClr w14:val="tx1"/>
            </w14:solidFill>
          </w14:textFill>
        </w:rPr>
        <w:t>投标人须知前附表</w:t>
      </w:r>
      <w:bookmarkEnd w:id="46"/>
      <w:bookmarkEnd w:id="47"/>
      <w:bookmarkEnd w:id="48"/>
      <w:bookmarkEnd w:id="49"/>
      <w:bookmarkEnd w:id="50"/>
      <w:bookmarkEnd w:id="51"/>
      <w:bookmarkEnd w:id="52"/>
    </w:p>
    <w:p>
      <w:pPr>
        <w:pStyle w:val="20"/>
        <w:spacing w:line="200" w:lineRule="exact"/>
        <w:rPr>
          <w:rFonts w:hAnsi="宋体" w:cs="宋体"/>
          <w:color w:val="000000" w:themeColor="text1"/>
          <w14:textFill>
            <w14:solidFill>
              <w14:schemeClr w14:val="tx1"/>
            </w14:solidFill>
          </w14:textFill>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716"/>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81" w:type="dxa"/>
            <w:vAlign w:val="center"/>
          </w:tcPr>
          <w:p>
            <w:pPr>
              <w:pStyle w:val="152"/>
              <w:snapToGrid w:val="0"/>
              <w:ind w:left="-105" w:leftChars="-50" w:right="-105" w:rightChars="-5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序号</w:t>
            </w:r>
          </w:p>
        </w:tc>
        <w:tc>
          <w:tcPr>
            <w:tcW w:w="716" w:type="dxa"/>
            <w:vAlign w:val="center"/>
          </w:tcPr>
          <w:p>
            <w:pPr>
              <w:pStyle w:val="152"/>
              <w:snapToGrid w:val="0"/>
              <w:ind w:left="-105" w:leftChars="-50" w:right="-105" w:rightChars="-5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条款号</w:t>
            </w:r>
          </w:p>
        </w:tc>
        <w:tc>
          <w:tcPr>
            <w:tcW w:w="8120" w:type="dxa"/>
            <w:vAlign w:val="center"/>
          </w:tcPr>
          <w:p>
            <w:pPr>
              <w:pStyle w:val="152"/>
              <w:snapToGrid w:val="0"/>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716"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8120" w:type="dxa"/>
            <w:vAlign w:val="center"/>
          </w:tcPr>
          <w:p>
            <w:pPr>
              <w:pStyle w:val="152"/>
              <w:snapToGrid w:val="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1.项目名称：网络多媒体设备</w:t>
            </w:r>
          </w:p>
          <w:p>
            <w:pPr>
              <w:pStyle w:val="152"/>
              <w:snapToGrid w:val="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2.项目编号：WXZC2020-G1-00054-ZLZB</w:t>
            </w:r>
          </w:p>
          <w:p>
            <w:pPr>
              <w:pStyle w:val="20"/>
              <w:snapToGrid w:val="0"/>
              <w:spacing w:line="240" w:lineRule="exact"/>
              <w:ind w:left="1050" w:hanging="1050" w:hangingChars="500"/>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3.采购内容：</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577"/>
              <w:gridCol w:w="145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序号</w:t>
                  </w:r>
                </w:p>
              </w:tc>
              <w:tc>
                <w:tcPr>
                  <w:tcW w:w="4577"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货物名称</w:t>
                  </w:r>
                </w:p>
              </w:tc>
              <w:tc>
                <w:tcPr>
                  <w:tcW w:w="1455"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单位</w:t>
                  </w:r>
                </w:p>
              </w:tc>
              <w:tc>
                <w:tcPr>
                  <w:tcW w:w="1456"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w:t>
                  </w:r>
                </w:p>
              </w:tc>
              <w:tc>
                <w:tcPr>
                  <w:tcW w:w="4577"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86寸触控一体机</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w:t>
                  </w:r>
                </w:p>
              </w:tc>
              <w:tc>
                <w:tcPr>
                  <w:tcW w:w="4577"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多媒体设备集中管理控制系统</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w:t>
                  </w:r>
                </w:p>
              </w:tc>
              <w:tc>
                <w:tcPr>
                  <w:tcW w:w="4577" w:type="dxa"/>
                  <w:vAlign w:val="center"/>
                </w:tcPr>
                <w:p>
                  <w:pPr>
                    <w:widowControl/>
                    <w:jc w:val="center"/>
                    <w:textAlignment w:val="center"/>
                    <w:rPr>
                      <w:rFonts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智能翻页笔</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支</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w:t>
                  </w:r>
                </w:p>
              </w:tc>
              <w:tc>
                <w:tcPr>
                  <w:tcW w:w="4577" w:type="dxa"/>
                  <w:vAlign w:val="center"/>
                </w:tcPr>
                <w:p>
                  <w:pPr>
                    <w:widowControl/>
                    <w:jc w:val="center"/>
                    <w:textAlignment w:val="center"/>
                    <w:rPr>
                      <w:rFonts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壁挂式展台</w:t>
                  </w:r>
                </w:p>
              </w:tc>
              <w:tc>
                <w:tcPr>
                  <w:tcW w:w="1455"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台</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w:t>
                  </w:r>
                </w:p>
              </w:tc>
              <w:tc>
                <w:tcPr>
                  <w:tcW w:w="4577"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推拉黑板</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6</w:t>
                  </w:r>
                </w:p>
              </w:tc>
              <w:tc>
                <w:tcPr>
                  <w:tcW w:w="4577"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讲桌</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张</w:t>
                  </w:r>
                </w:p>
              </w:tc>
              <w:tc>
                <w:tcPr>
                  <w:tcW w:w="1456" w:type="dxa"/>
                  <w:vAlign w:val="center"/>
                </w:tcPr>
                <w:p>
                  <w:pPr>
                    <w:widowControl/>
                    <w:jc w:val="center"/>
                    <w:textAlignment w:val="center"/>
                    <w:rPr>
                      <w:rFonts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音箱</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麦克风</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套</w:t>
                  </w:r>
                </w:p>
              </w:tc>
              <w:tc>
                <w:tcPr>
                  <w:tcW w:w="1456"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线材辅材</w:t>
                  </w:r>
                </w:p>
              </w:tc>
              <w:tc>
                <w:tcPr>
                  <w:tcW w:w="1455"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项</w:t>
                  </w:r>
                </w:p>
              </w:tc>
              <w:tc>
                <w:tcPr>
                  <w:tcW w:w="1456"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Align w:val="center"/>
                </w:tcPr>
                <w:p>
                  <w:pPr>
                    <w:pStyle w:val="20"/>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10</w:t>
                  </w:r>
                </w:p>
              </w:tc>
              <w:tc>
                <w:tcPr>
                  <w:tcW w:w="4577" w:type="dxa"/>
                  <w:vAlign w:val="center"/>
                </w:tcPr>
                <w:p>
                  <w:pPr>
                    <w:widowControl/>
                    <w:jc w:val="center"/>
                    <w:textAlignment w:val="center"/>
                    <w:rPr>
                      <w:rFonts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安装调试</w:t>
                  </w:r>
                </w:p>
              </w:tc>
              <w:tc>
                <w:tcPr>
                  <w:tcW w:w="1455" w:type="dxa"/>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项</w:t>
                  </w:r>
                </w:p>
              </w:tc>
              <w:tc>
                <w:tcPr>
                  <w:tcW w:w="1456" w:type="dxa"/>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68</w:t>
                  </w:r>
                </w:p>
              </w:tc>
            </w:tr>
          </w:tbl>
          <w:p>
            <w:pPr>
              <w:pStyle w:val="20"/>
              <w:spacing w:before="66" w:beforeLines="20" w:line="28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如需进一步了解详细内容，详见招标文件。</w:t>
            </w:r>
          </w:p>
          <w:p>
            <w:pPr>
              <w:pStyle w:val="20"/>
              <w:spacing w:before="66" w:beforeLines="20" w:line="24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采购预算金额：叁佰万元整</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￥3000000.00</w:t>
            </w:r>
            <w:r>
              <w:rPr>
                <w:rFonts w:hAnsi="宋体"/>
                <w:color w:val="000000" w:themeColor="text1"/>
                <w:highlight w:val="none"/>
                <w14:textFill>
                  <w14:solidFill>
                    <w14:schemeClr w14:val="tx1"/>
                  </w14:solidFill>
                </w14:textFill>
              </w:rPr>
              <w:t>）</w:t>
            </w:r>
            <w:r>
              <w:rPr>
                <w:rFonts w:hint="eastAsia" w:hAnsi="宋体" w:cs="宋体"/>
                <w:color w:val="000000" w:themeColor="text1"/>
                <w:szCs w:val="21"/>
                <w:highlight w:val="none"/>
                <w14:textFill>
                  <w14:solidFill>
                    <w14:schemeClr w14:val="tx1"/>
                  </w14:solidFill>
                </w14:textFill>
              </w:rPr>
              <w:t>。</w:t>
            </w:r>
          </w:p>
          <w:p>
            <w:pPr>
              <w:pStyle w:val="20"/>
              <w:spacing w:before="66" w:beforeLines="20" w:line="24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最高限价：不设定；</w:t>
            </w:r>
          </w:p>
          <w:p>
            <w:pPr>
              <w:pStyle w:val="20"/>
              <w:spacing w:before="66" w:beforeLines="20" w:line="24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8120" w:type="dxa"/>
            <w:vAlign w:val="center"/>
          </w:tcPr>
          <w:p>
            <w:pPr>
              <w:pStyle w:val="20"/>
              <w:snapToGrid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采购人：梧州市万秀区教育局</w:t>
            </w:r>
          </w:p>
          <w:p>
            <w:pPr>
              <w:pStyle w:val="20"/>
              <w:snapToGrid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地址：梧州市新兴一路60号</w:t>
            </w:r>
          </w:p>
          <w:p>
            <w:pPr>
              <w:pStyle w:val="20"/>
              <w:snapToGrid w:val="0"/>
              <w:rPr>
                <w:rFonts w:hAnsi="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联系人：林先生   联系电话：0774-3953050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8120" w:type="dxa"/>
            <w:vAlign w:val="center"/>
          </w:tcPr>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采购代理机构：广西众联工程项目管理有限公司</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地  址：梧州市新兴三路30号神冠豪都B栋1单元22层</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联系人及电话：孟工 ，18176880255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8120" w:type="dxa"/>
            <w:vAlign w:val="center"/>
          </w:tcPr>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监督部门：梧州市万秀区政府采购工作领导小组办公室</w:t>
            </w:r>
          </w:p>
          <w:p>
            <w:pPr>
              <w:pStyle w:val="152"/>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电    话：</w:t>
            </w:r>
            <w:r>
              <w:rPr>
                <w:rFonts w:hint="eastAsia" w:hAnsi="宋体" w:cs="宋体"/>
                <w:color w:val="000000" w:themeColor="text1"/>
                <w:kern w:val="0"/>
                <w:szCs w:val="21"/>
                <w:highlight w:val="none"/>
                <w14:textFill>
                  <w14:solidFill>
                    <w14:schemeClr w14:val="tx1"/>
                  </w14:solidFill>
                </w14:textFill>
              </w:rPr>
              <w:t>0774-2826908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w:t>
            </w:r>
          </w:p>
        </w:tc>
        <w:tc>
          <w:tcPr>
            <w:tcW w:w="8120" w:type="dxa"/>
            <w:vAlign w:val="center"/>
          </w:tcPr>
          <w:p>
            <w:pPr>
              <w:snapToGrid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合格的投标人资格及要求：</w:t>
            </w:r>
          </w:p>
          <w:p>
            <w:pPr>
              <w:pStyle w:val="152"/>
              <w:snapToGrid w:val="0"/>
              <w:ind w:left="315" w:hanging="315" w:hangingChars="15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1．基本资格条件：符合《中华人民共和国政府采购法》第二十二条规定的条件；在中华人民共和国境内注册的生产或经营本次采购货物及服务的供应商；2016年起未被列入失信被执行人、重大税收违法案件当事人名单、政府采购严重违法失信行为记录名单；</w:t>
            </w:r>
          </w:p>
          <w:p>
            <w:pPr>
              <w:pStyle w:val="152"/>
              <w:snapToGrid w:val="0"/>
              <w:ind w:left="315" w:hanging="315" w:hangingChars="15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2．按招标公告的规定获取了招标文件；</w:t>
            </w:r>
          </w:p>
          <w:p>
            <w:pPr>
              <w:pStyle w:val="152"/>
              <w:snapToGrid w:val="0"/>
              <w:ind w:left="315" w:hanging="315" w:hangingChars="150"/>
              <w:rPr>
                <w:rFonts w:hAnsi="宋体" w:cs="宋体"/>
                <w:bCs/>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3．本项目不接受联合体投标。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投标文件的份数：</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1、投标文件：正本1份，副本4份。</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2、投标文件电子版：投标人在递交投标文件时同时递交投标文件电子版。</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①投标文件电子版内容：报价文件、资格资信证明文件、商务文件、技术文件。</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②投标文件电子版份数：1份。</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③投标文件电子版形式：可编辑的word文档格式。</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④投标文件电子版密封形式：投标文件电子版U盘与投标文件纸质版文件一并装入投标文件袋内。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w:t>
            </w:r>
          </w:p>
        </w:tc>
        <w:tc>
          <w:tcPr>
            <w:tcW w:w="8120" w:type="dxa"/>
            <w:vAlign w:val="center"/>
          </w:tcPr>
          <w:p>
            <w:pPr>
              <w:pStyle w:val="20"/>
              <w:snapToGrid w:val="0"/>
              <w:ind w:leftChars="-18" w:hanging="37" w:hangingChars="18"/>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投标人就第二章“采购内容及要求”中的项目和服务内容可能发生的所有费用作唯一完整报价。（本项目只允许递交一个方案的报价，不接受任何有选择性的报价。）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投标有效期：投标截止日期后60天。</w:t>
            </w:r>
          </w:p>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[注：投标保证金</w:t>
            </w:r>
            <w:r>
              <w:rPr>
                <w:rFonts w:hint="eastAsia" w:hAnsi="宋体" w:cs="宋体"/>
                <w:color w:val="000000" w:themeColor="text1"/>
                <w:kern w:val="0"/>
                <w:szCs w:val="21"/>
                <w:highlight w:val="none"/>
                <w14:textFill>
                  <w14:solidFill>
                    <w14:schemeClr w14:val="tx1"/>
                  </w14:solidFill>
                </w14:textFill>
              </w:rPr>
              <w:t>有效期应比投标有效期延长25日。</w:t>
            </w:r>
            <w:r>
              <w:rPr>
                <w:rFonts w:hint="eastAsia"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14.1</w:t>
            </w:r>
          </w:p>
        </w:tc>
        <w:tc>
          <w:tcPr>
            <w:tcW w:w="8120" w:type="dxa"/>
            <w:vAlign w:val="center"/>
          </w:tcPr>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投标保证金金额(人民币)：</w:t>
            </w:r>
            <w:r>
              <w:rPr>
                <w:rFonts w:hint="eastAsia" w:hAnsi="宋体" w:cs="宋体"/>
                <w:color w:val="000000" w:themeColor="text1"/>
                <w:szCs w:val="21"/>
                <w:highlight w:val="none"/>
                <w14:textFill>
                  <w14:solidFill>
                    <w14:schemeClr w14:val="tx1"/>
                  </w14:solidFill>
                </w14:textFill>
              </w:rPr>
              <w:t>陆万元整（￥60,000.00）</w:t>
            </w:r>
            <w:r>
              <w:rPr>
                <w:rFonts w:hint="eastAsia" w:ascii="宋体" w:hAnsi="宋体" w:cs="宋体"/>
                <w:color w:val="000000" w:themeColor="text1"/>
                <w:szCs w:val="21"/>
                <w:highlight w:val="none"/>
                <w14:textFill>
                  <w14:solidFill>
                    <w14:schemeClr w14:val="tx1"/>
                  </w14:solidFill>
                </w14:textFill>
              </w:rPr>
              <w:t>。</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2．递交方式：从投标人对公账户转账到以下专用账户或以支票、汇票、本票、保函非现金形式缴纳投标保证金。</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开户名称：广西众联工程项目管理有限公司</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开户银行：中国光大银行股份有限公司南宁民主支行</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银行账号：78900188000167866</w:t>
            </w:r>
          </w:p>
          <w:p>
            <w:pPr>
              <w:snapToGrid w:val="0"/>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3．交纳截止时间：①以转帐方式缴纳投标保证金的必须在投标截止时间之前到达专用帐户。②以其他非现金方式递交投标保证金的应在投标截止时间之前提交。</w:t>
            </w:r>
          </w:p>
          <w:p>
            <w:pPr>
              <w:snapToGrid w:val="0"/>
              <w:ind w:left="315" w:hanging="315" w:hangingChars="1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办理投标保证金手续时，请务必注明事由</w:t>
            </w:r>
            <w:r>
              <w:rPr>
                <w:rFonts w:hint="eastAsia" w:ascii="宋体" w:hAnsi="宋体" w:cs="宋体"/>
                <w:color w:val="000000" w:themeColor="text1"/>
                <w:highlight w:val="none"/>
                <w:u w:val="single"/>
                <w14:textFill>
                  <w14:solidFill>
                    <w14:schemeClr w14:val="tx1"/>
                  </w14:solidFill>
                </w14:textFill>
              </w:rPr>
              <w:t>“项目编号＋投标保证金</w:t>
            </w:r>
            <w:r>
              <w:rPr>
                <w:rFonts w:hint="eastAsia" w:ascii="宋体" w:hAnsi="宋体" w:cs="宋体"/>
                <w:color w:val="000000" w:themeColor="text1"/>
                <w:szCs w:val="21"/>
                <w:highlight w:val="none"/>
                <w:u w:val="single"/>
                <w14:textFill>
                  <w14:solidFill>
                    <w14:schemeClr w14:val="tx1"/>
                  </w14:solidFill>
                </w14:textFill>
              </w:rPr>
              <w:t>（如有分标，须列出分标号）</w:t>
            </w:r>
            <w:r>
              <w:rPr>
                <w:rFonts w:hint="eastAsia" w:ascii="宋体" w:hAnsi="宋体" w:cs="宋体"/>
                <w:color w:val="000000" w:themeColor="text1"/>
                <w:highlight w:val="none"/>
                <w:u w:val="singl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字样，经查实投标保证金没有在规定时间到账的，其投标无效。</w:t>
            </w:r>
          </w:p>
          <w:p>
            <w:pPr>
              <w:pStyle w:val="20"/>
              <w:snapToGrid w:val="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[注：投标人如需开具收据的，请在开标会议结束后自行到广西众联工程项目管理有限公司财务部开具投标保证金收据。]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1．投标截止时间：</w:t>
            </w:r>
            <w:r>
              <w:rPr>
                <w:rFonts w:hint="eastAsia" w:hAnsi="宋体" w:cs="宋体"/>
                <w:bCs/>
                <w:color w:val="000000" w:themeColor="text1"/>
                <w:szCs w:val="21"/>
                <w:highlight w:val="none"/>
                <w14:textFill>
                  <w14:solidFill>
                    <w14:schemeClr w14:val="tx1"/>
                  </w14:solidFill>
                </w14:textFill>
              </w:rPr>
              <w:t xml:space="preserve">2019年 </w:t>
            </w:r>
            <w:r>
              <w:rPr>
                <w:rFonts w:hint="eastAsia" w:hAnsi="宋体" w:cs="宋体"/>
                <w:bCs/>
                <w:color w:val="000000" w:themeColor="text1"/>
                <w:szCs w:val="21"/>
                <w:highlight w:val="none"/>
                <w:lang w:val="en-US" w:eastAsia="zh-CN"/>
                <w14:textFill>
                  <w14:solidFill>
                    <w14:schemeClr w14:val="tx1"/>
                  </w14:solidFill>
                </w14:textFill>
              </w:rPr>
              <w:t>7</w:t>
            </w:r>
            <w:r>
              <w:rPr>
                <w:rFonts w:hint="eastAsia" w:hAnsi="宋体" w:cs="宋体"/>
                <w:bCs/>
                <w:color w:val="000000" w:themeColor="text1"/>
                <w:szCs w:val="21"/>
                <w:highlight w:val="none"/>
                <w14:textFill>
                  <w14:solidFill>
                    <w14:schemeClr w14:val="tx1"/>
                  </w14:solidFill>
                </w14:textFill>
              </w:rPr>
              <w:t xml:space="preserve"> 月 </w:t>
            </w:r>
            <w:r>
              <w:rPr>
                <w:rFonts w:hint="eastAsia" w:hAnsi="宋体" w:cs="宋体"/>
                <w:bCs/>
                <w:color w:val="000000" w:themeColor="text1"/>
                <w:szCs w:val="21"/>
                <w:highlight w:val="none"/>
                <w:lang w:val="en-US" w:eastAsia="zh-CN"/>
                <w14:textFill>
                  <w14:solidFill>
                    <w14:schemeClr w14:val="tx1"/>
                  </w14:solidFill>
                </w14:textFill>
              </w:rPr>
              <w:t>22</w:t>
            </w:r>
            <w:r>
              <w:rPr>
                <w:rFonts w:hint="eastAsia" w:hAnsi="宋体" w:cs="宋体"/>
                <w:bCs/>
                <w:color w:val="000000" w:themeColor="text1"/>
                <w:szCs w:val="21"/>
                <w:highlight w:val="none"/>
                <w14:textFill>
                  <w14:solidFill>
                    <w14:schemeClr w14:val="tx1"/>
                  </w14:solidFill>
                </w14:textFill>
              </w:rPr>
              <w:t xml:space="preserve">日 </w:t>
            </w:r>
            <w:r>
              <w:rPr>
                <w:rFonts w:hint="eastAsia" w:hAnsi="宋体" w:cs="宋体"/>
                <w:bCs/>
                <w:color w:val="000000" w:themeColor="text1"/>
                <w:szCs w:val="21"/>
                <w:highlight w:val="none"/>
                <w:lang w:eastAsia="zh-CN"/>
                <w14:textFill>
                  <w14:solidFill>
                    <w14:schemeClr w14:val="tx1"/>
                  </w14:solidFill>
                </w14:textFill>
              </w:rPr>
              <w:t>上午</w:t>
            </w:r>
            <w:r>
              <w:rPr>
                <w:rFonts w:hint="eastAsia" w:hAnsi="宋体" w:cs="宋体"/>
                <w:bCs/>
                <w:color w:val="000000" w:themeColor="text1"/>
                <w:szCs w:val="21"/>
                <w:highlight w:val="none"/>
                <w14:textFill>
                  <w14:solidFill>
                    <w14:schemeClr w14:val="tx1"/>
                  </w14:solidFill>
                </w14:textFill>
              </w:rPr>
              <w:t xml:space="preserve"> </w:t>
            </w:r>
            <w:r>
              <w:rPr>
                <w:rFonts w:hint="eastAsia" w:hAnsi="宋体" w:cs="宋体"/>
                <w:bCs/>
                <w:color w:val="000000" w:themeColor="text1"/>
                <w:szCs w:val="21"/>
                <w:highlight w:val="none"/>
                <w:lang w:val="en-US" w:eastAsia="zh-CN"/>
                <w14:textFill>
                  <w14:solidFill>
                    <w14:schemeClr w14:val="tx1"/>
                  </w14:solidFill>
                </w14:textFill>
              </w:rPr>
              <w:t>9</w:t>
            </w:r>
            <w:r>
              <w:rPr>
                <w:rFonts w:hint="eastAsia" w:hAnsi="宋体" w:cs="宋体"/>
                <w:bCs/>
                <w:color w:val="000000" w:themeColor="text1"/>
                <w:szCs w:val="21"/>
                <w:highlight w:val="none"/>
                <w14:textFill>
                  <w14:solidFill>
                    <w14:schemeClr w14:val="tx1"/>
                  </w14:solidFill>
                </w14:textFill>
              </w:rPr>
              <w:t xml:space="preserve"> 时 </w:t>
            </w:r>
            <w:r>
              <w:rPr>
                <w:rFonts w:hint="eastAsia" w:hAnsi="宋体" w:cs="宋体"/>
                <w:bCs/>
                <w:color w:val="000000" w:themeColor="text1"/>
                <w:szCs w:val="21"/>
                <w:highlight w:val="none"/>
                <w:lang w:val="en-US" w:eastAsia="zh-CN"/>
                <w14:textFill>
                  <w14:solidFill>
                    <w14:schemeClr w14:val="tx1"/>
                  </w14:solidFill>
                </w14:textFill>
              </w:rPr>
              <w:t>30</w:t>
            </w:r>
            <w:r>
              <w:rPr>
                <w:rFonts w:hint="eastAsia" w:hAnsi="宋体" w:cs="宋体"/>
                <w:bCs/>
                <w:color w:val="000000" w:themeColor="text1"/>
                <w:szCs w:val="21"/>
                <w:highlight w:val="none"/>
                <w14:textFill>
                  <w14:solidFill>
                    <w14:schemeClr w14:val="tx1"/>
                  </w14:solidFill>
                </w14:textFill>
              </w:rPr>
              <w:t xml:space="preserve"> 分</w:t>
            </w:r>
            <w:r>
              <w:rPr>
                <w:rFonts w:hint="eastAsia" w:hAnsi="宋体" w:cs="宋体"/>
                <w:color w:val="000000" w:themeColor="text1"/>
                <w:szCs w:val="21"/>
                <w:highlight w:val="none"/>
                <w14:textFill>
                  <w14:solidFill>
                    <w14:schemeClr w14:val="tx1"/>
                  </w14:solidFill>
                </w14:textFill>
              </w:rPr>
              <w:t>整</w:t>
            </w:r>
          </w:p>
          <w:p>
            <w:pPr>
              <w:pStyle w:val="20"/>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2．投标文件递交地点：</w:t>
            </w:r>
            <w:r>
              <w:rPr>
                <w:rFonts w:hint="eastAsia" w:hAnsi="宋体"/>
                <w:color w:val="000000" w:themeColor="text1"/>
                <w:szCs w:val="21"/>
                <w:highlight w:val="none"/>
                <w14:textFill>
                  <w14:solidFill>
                    <w14:schemeClr w14:val="tx1"/>
                  </w14:solidFill>
                </w14:textFill>
              </w:rPr>
              <w:t>梧州市公共资源交易中心(梧州市政府采购中心)8楼开标厅（地址：梧州市长洲区三龙大道红岭大厦，具体开标室见现场LED指引）</w:t>
            </w:r>
          </w:p>
          <w:p>
            <w:pPr>
              <w:pStyle w:val="20"/>
              <w:snapToGrid w:val="0"/>
              <w:ind w:left="2"/>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3．逾期送达或未按要求密封标记的投标文件，采购人或采购代理机构将予以拒收。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18.1</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1．开标时间：</w:t>
            </w:r>
            <w:r>
              <w:rPr>
                <w:rFonts w:hint="eastAsia" w:hAnsi="宋体" w:cs="宋体"/>
                <w:bCs/>
                <w:color w:val="000000" w:themeColor="text1"/>
                <w:szCs w:val="21"/>
                <w:highlight w:val="none"/>
                <w14:textFill>
                  <w14:solidFill>
                    <w14:schemeClr w14:val="tx1"/>
                  </w14:solidFill>
                </w14:textFill>
              </w:rPr>
              <w:t xml:space="preserve">2019年 </w:t>
            </w:r>
            <w:r>
              <w:rPr>
                <w:rFonts w:hint="eastAsia" w:hAnsi="宋体" w:cs="宋体"/>
                <w:bCs/>
                <w:color w:val="000000" w:themeColor="text1"/>
                <w:szCs w:val="21"/>
                <w:highlight w:val="none"/>
                <w:lang w:val="en-US" w:eastAsia="zh-CN"/>
                <w14:textFill>
                  <w14:solidFill>
                    <w14:schemeClr w14:val="tx1"/>
                  </w14:solidFill>
                </w14:textFill>
              </w:rPr>
              <w:t>7</w:t>
            </w:r>
            <w:r>
              <w:rPr>
                <w:rFonts w:hint="eastAsia" w:hAnsi="宋体" w:cs="宋体"/>
                <w:bCs/>
                <w:color w:val="000000" w:themeColor="text1"/>
                <w:szCs w:val="21"/>
                <w:highlight w:val="none"/>
                <w14:textFill>
                  <w14:solidFill>
                    <w14:schemeClr w14:val="tx1"/>
                  </w14:solidFill>
                </w14:textFill>
              </w:rPr>
              <w:t xml:space="preserve"> 月 </w:t>
            </w:r>
            <w:r>
              <w:rPr>
                <w:rFonts w:hint="eastAsia" w:hAnsi="宋体" w:cs="宋体"/>
                <w:bCs/>
                <w:color w:val="000000" w:themeColor="text1"/>
                <w:szCs w:val="21"/>
                <w:highlight w:val="none"/>
                <w:lang w:val="en-US" w:eastAsia="zh-CN"/>
                <w14:textFill>
                  <w14:solidFill>
                    <w14:schemeClr w14:val="tx1"/>
                  </w14:solidFill>
                </w14:textFill>
              </w:rPr>
              <w:t>22</w:t>
            </w:r>
            <w:r>
              <w:rPr>
                <w:rFonts w:hint="eastAsia" w:hAnsi="宋体" w:cs="宋体"/>
                <w:bCs/>
                <w:color w:val="000000" w:themeColor="text1"/>
                <w:szCs w:val="21"/>
                <w:highlight w:val="none"/>
                <w14:textFill>
                  <w14:solidFill>
                    <w14:schemeClr w14:val="tx1"/>
                  </w14:solidFill>
                </w14:textFill>
              </w:rPr>
              <w:t xml:space="preserve">日 </w:t>
            </w:r>
            <w:r>
              <w:rPr>
                <w:rFonts w:hint="eastAsia" w:hAnsi="宋体" w:cs="宋体"/>
                <w:bCs/>
                <w:color w:val="000000" w:themeColor="text1"/>
                <w:szCs w:val="21"/>
                <w:highlight w:val="none"/>
                <w:lang w:eastAsia="zh-CN"/>
                <w14:textFill>
                  <w14:solidFill>
                    <w14:schemeClr w14:val="tx1"/>
                  </w14:solidFill>
                </w14:textFill>
              </w:rPr>
              <w:t>上午</w:t>
            </w:r>
            <w:r>
              <w:rPr>
                <w:rFonts w:hint="eastAsia" w:hAnsi="宋体" w:cs="宋体"/>
                <w:bCs/>
                <w:color w:val="000000" w:themeColor="text1"/>
                <w:szCs w:val="21"/>
                <w:highlight w:val="none"/>
                <w14:textFill>
                  <w14:solidFill>
                    <w14:schemeClr w14:val="tx1"/>
                  </w14:solidFill>
                </w14:textFill>
              </w:rPr>
              <w:t xml:space="preserve"> </w:t>
            </w:r>
            <w:r>
              <w:rPr>
                <w:rFonts w:hint="eastAsia" w:hAnsi="宋体" w:cs="宋体"/>
                <w:bCs/>
                <w:color w:val="000000" w:themeColor="text1"/>
                <w:szCs w:val="21"/>
                <w:highlight w:val="none"/>
                <w:lang w:val="en-US" w:eastAsia="zh-CN"/>
                <w14:textFill>
                  <w14:solidFill>
                    <w14:schemeClr w14:val="tx1"/>
                  </w14:solidFill>
                </w14:textFill>
              </w:rPr>
              <w:t>9</w:t>
            </w:r>
            <w:r>
              <w:rPr>
                <w:rFonts w:hint="eastAsia" w:hAnsi="宋体" w:cs="宋体"/>
                <w:bCs/>
                <w:color w:val="000000" w:themeColor="text1"/>
                <w:szCs w:val="21"/>
                <w:highlight w:val="none"/>
                <w14:textFill>
                  <w14:solidFill>
                    <w14:schemeClr w14:val="tx1"/>
                  </w14:solidFill>
                </w14:textFill>
              </w:rPr>
              <w:t xml:space="preserve"> 时 </w:t>
            </w:r>
            <w:r>
              <w:rPr>
                <w:rFonts w:hint="eastAsia" w:hAnsi="宋体" w:cs="宋体"/>
                <w:bCs/>
                <w:color w:val="000000" w:themeColor="text1"/>
                <w:szCs w:val="21"/>
                <w:highlight w:val="none"/>
                <w:lang w:val="en-US" w:eastAsia="zh-CN"/>
                <w14:textFill>
                  <w14:solidFill>
                    <w14:schemeClr w14:val="tx1"/>
                  </w14:solidFill>
                </w14:textFill>
              </w:rPr>
              <w:t>30</w:t>
            </w:r>
            <w:r>
              <w:rPr>
                <w:rFonts w:hint="eastAsia" w:hAnsi="宋体" w:cs="宋体"/>
                <w:bCs/>
                <w:color w:val="000000" w:themeColor="text1"/>
                <w:szCs w:val="21"/>
                <w:highlight w:val="none"/>
                <w14:textFill>
                  <w14:solidFill>
                    <w14:schemeClr w14:val="tx1"/>
                  </w14:solidFill>
                </w14:textFill>
              </w:rPr>
              <w:t xml:space="preserve"> 分</w:t>
            </w:r>
            <w:r>
              <w:rPr>
                <w:rFonts w:hint="eastAsia" w:hAnsi="宋体" w:cs="宋体"/>
                <w:color w:val="000000" w:themeColor="text1"/>
                <w:szCs w:val="21"/>
                <w:highlight w:val="none"/>
                <w14:textFill>
                  <w14:solidFill>
                    <w14:schemeClr w14:val="tx1"/>
                  </w14:solidFill>
                </w14:textFill>
              </w:rPr>
              <w:t>整</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2．开标地点：</w:t>
            </w:r>
            <w:r>
              <w:rPr>
                <w:rFonts w:hint="eastAsia" w:hAnsi="宋体"/>
                <w:color w:val="000000" w:themeColor="text1"/>
                <w:szCs w:val="21"/>
                <w:highlight w:val="none"/>
                <w14:textFill>
                  <w14:solidFill>
                    <w14:schemeClr w14:val="tx1"/>
                  </w14:solidFill>
                </w14:textFill>
              </w:rPr>
              <w:t>梧州市公共资源交易中心(梧州市政府采购中心)8楼开标厅（地址：梧州市长洲区三龙大道红岭大厦，具体开标室见现场LED指引）</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3．投标人派授权委托代理人或由法定代表人（</w:t>
            </w:r>
            <w:r>
              <w:rPr>
                <w:rFonts w:hint="eastAsia" w:hAnsi="宋体"/>
                <w:color w:val="000000" w:themeColor="text1"/>
                <w:szCs w:val="2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）参加开标会议的，必须携带以下证件参加。</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(1)如法定代表人（或负责人）参加开标会时出示：法定代表人（或负责人）身份证明书及法定代表人本人第二代身份证原件。</w:t>
            </w:r>
          </w:p>
          <w:p>
            <w:pPr>
              <w:pStyle w:val="20"/>
              <w:snapToGrid w:val="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(2)如委托代理人参加开标会时出示：法定代表人（或负责人）授权委托书及委托代理人本人第二代身份证原件。</w:t>
            </w:r>
          </w:p>
          <w:p>
            <w:pPr>
              <w:pStyle w:val="20"/>
              <w:snapToGrid w:val="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(3)投标保证金声明（原件）；以非转账方式递交磋商保证金的，提供支票或汇票或本票或保函原件由采购代理机构保存。未成交服务商的原件，将在成交通知书发出后5个工作日内退还。成交服务商的原件，</w:t>
            </w:r>
            <w:r>
              <w:rPr>
                <w:rFonts w:hAnsi="宋体" w:cs="宋体"/>
                <w:color w:val="000000" w:themeColor="text1"/>
                <w:highlight w:val="none"/>
                <w14:textFill>
                  <w14:solidFill>
                    <w14:schemeClr w14:val="tx1"/>
                  </w14:solidFill>
                </w14:textFill>
              </w:rPr>
              <w:t>自签订合同并缴纳履约保证金后退还。</w:t>
            </w:r>
          </w:p>
          <w:p>
            <w:pPr>
              <w:pStyle w:val="20"/>
              <w:snapToGrid w:val="0"/>
              <w:ind w:left="315" w:hanging="315" w:hangingChars="1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(4)购买招标文件的证明文件</w:t>
            </w:r>
          </w:p>
          <w:p>
            <w:pPr>
              <w:pStyle w:val="20"/>
              <w:snapToGrid w:val="0"/>
              <w:ind w:left="315" w:hanging="315" w:hangingChars="1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注：以上文件均需加盖公章）。</w:t>
            </w:r>
          </w:p>
          <w:p>
            <w:pPr>
              <w:pStyle w:val="20"/>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4．采购人或代理机构将核对投标人的相关证明文件上的信息是否一致。如信息不一致的或未按要求签字或签字和加盖公章的，将被拒绝接收其投标文件。</w:t>
            </w:r>
          </w:p>
          <w:p>
            <w:pPr>
              <w:pStyle w:val="20"/>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5．若提交投标文件的投标人不参加开标会议的，视同认可开标结果。</w:t>
            </w:r>
          </w:p>
          <w:p>
            <w:pPr>
              <w:pStyle w:val="20"/>
              <w:snapToGrid w:val="0"/>
              <w:spacing w:line="28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（法人授权委托书、法定代表人（</w:t>
            </w:r>
            <w:r>
              <w:rPr>
                <w:rFonts w:hint="eastAsia" w:hAnsi="宋体"/>
                <w:color w:val="000000" w:themeColor="text1"/>
                <w:szCs w:val="2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）身份证明、投标保证金声明格式见第六章）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716"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w:t>
            </w:r>
          </w:p>
        </w:tc>
        <w:tc>
          <w:tcPr>
            <w:tcW w:w="8120" w:type="dxa"/>
            <w:vAlign w:val="center"/>
          </w:tcPr>
          <w:p>
            <w:pPr>
              <w:pStyle w:val="20"/>
              <w:snapToGrid w:val="0"/>
              <w:ind w:left="1037" w:hanging="1037" w:hangingChars="4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评标方法：</w:t>
            </w:r>
            <w:r>
              <w:rPr>
                <w:rFonts w:hint="eastAsia" w:hAnsi="宋体" w:cs="宋体"/>
                <w:b/>
                <w:color w:val="000000" w:themeColor="text1"/>
                <w:szCs w:val="21"/>
                <w:highlight w:val="none"/>
                <w14:textFill>
                  <w14:solidFill>
                    <w14:schemeClr w14:val="tx1"/>
                  </w14:solidFill>
                </w14:textFill>
              </w:rPr>
              <w:t>综合评分法</w:t>
            </w:r>
            <w:r>
              <w:rPr>
                <w:rFonts w:hint="eastAsia" w:hAnsi="宋体" w:cs="宋体"/>
                <w:color w:val="000000" w:themeColor="text1"/>
                <w:szCs w:val="21"/>
                <w:highlight w:val="none"/>
                <w14:textFill>
                  <w14:solidFill>
                    <w14:schemeClr w14:val="tx1"/>
                  </w14:solidFill>
                </w14:textFill>
              </w:rPr>
              <w:t>（详见第四章评标方法）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716" w:type="dxa"/>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25</w:t>
            </w:r>
          </w:p>
        </w:tc>
        <w:tc>
          <w:tcPr>
            <w:tcW w:w="8120" w:type="dxa"/>
            <w:vAlign w:val="center"/>
          </w:tcPr>
          <w:p>
            <w:pPr>
              <w:pStyle w:val="20"/>
              <w:snapToGrid w:val="0"/>
              <w:spacing w:line="360" w:lineRule="exact"/>
              <w:ind w:firstLine="5"/>
              <w:rPr>
                <w:rFonts w:hAnsi="宋体" w:cs="宋体"/>
                <w:bCs/>
                <w:color w:val="000000" w:themeColor="text1"/>
                <w:highlight w:val="none"/>
                <w14:textFill>
                  <w14:solidFill>
                    <w14:schemeClr w14:val="tx1"/>
                  </w14:solidFill>
                </w14:textFill>
              </w:rPr>
            </w:pPr>
            <w:r>
              <w:rPr>
                <w:rFonts w:hAnsi="宋体" w:cs="宋体"/>
                <w:bCs/>
                <w:color w:val="000000" w:themeColor="text1"/>
                <w:highlight w:val="none"/>
                <w14:textFill>
                  <w14:solidFill>
                    <w14:schemeClr w14:val="tx1"/>
                  </w14:solidFill>
                </w14:textFill>
              </w:rPr>
              <w:t>履约保证金递交及退还：</w:t>
            </w:r>
          </w:p>
          <w:p>
            <w:pPr>
              <w:pStyle w:val="152"/>
              <w:snapToGrid w:val="0"/>
              <w:spacing w:line="360" w:lineRule="exact"/>
              <w:rPr>
                <w:rFonts w:hAnsi="宋体" w:cs="宋体"/>
                <w:b/>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1、递交金额：</w:t>
            </w:r>
            <w:r>
              <w:rPr>
                <w:rFonts w:hint="eastAsia" w:hAnsi="宋体" w:cs="宋体"/>
                <w:b/>
                <w:bCs/>
                <w:color w:val="000000" w:themeColor="text1"/>
                <w:szCs w:val="21"/>
                <w:highlight w:val="none"/>
                <w:u w:val="single"/>
                <w14:textFill>
                  <w14:solidFill>
                    <w14:schemeClr w14:val="tx1"/>
                  </w14:solidFill>
                </w14:textFill>
              </w:rPr>
              <w:t xml:space="preserve">合同金额的5% </w:t>
            </w:r>
            <w:r>
              <w:rPr>
                <w:rFonts w:hint="eastAsia" w:hAnsi="宋体" w:cs="宋体"/>
                <w:b/>
                <w:bCs/>
                <w:color w:val="000000" w:themeColor="text1"/>
                <w:szCs w:val="21"/>
                <w:highlight w:val="none"/>
                <w14:textFill>
                  <w14:solidFill>
                    <w14:schemeClr w14:val="tx1"/>
                  </w14:solidFill>
                </w14:textFill>
              </w:rPr>
              <w:t>。</w:t>
            </w:r>
          </w:p>
          <w:p>
            <w:pPr>
              <w:pStyle w:val="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①履约保证金的形式：转账。</w:t>
            </w:r>
          </w:p>
          <w:p>
            <w:pPr>
              <w:pStyle w:val="20"/>
              <w:rPr>
                <w:color w:val="000000" w:themeColor="text1"/>
                <w:highlight w:val="none"/>
                <w14:textFill>
                  <w14:solidFill>
                    <w14:schemeClr w14:val="tx1"/>
                  </w14:solidFill>
                </w14:textFill>
              </w:rPr>
            </w:pPr>
            <w:r>
              <w:rPr>
                <w:rFonts w:hAnsi="宋体" w:cs="宋体"/>
                <w:bCs/>
                <w:color w:val="000000" w:themeColor="text1"/>
                <w:highlight w:val="none"/>
                <w14:textFill>
                  <w14:solidFill>
                    <w14:schemeClr w14:val="tx1"/>
                  </w14:solidFill>
                </w14:textFill>
              </w:rPr>
              <w:t>②</w:t>
            </w:r>
            <w:r>
              <w:rPr>
                <w:color w:val="000000" w:themeColor="text1"/>
                <w:highlight w:val="none"/>
                <w14:textFill>
                  <w14:solidFill>
                    <w14:schemeClr w14:val="tx1"/>
                  </w14:solidFill>
                </w14:textFill>
              </w:rPr>
              <w:t>履约保证金的缴纳方式：在收到</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通知书后，</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须在 15 个工作日内</w:t>
            </w:r>
            <w:r>
              <w:rPr>
                <w:rFonts w:hint="eastAsia"/>
                <w:color w:val="000000" w:themeColor="text1"/>
                <w:highlight w:val="none"/>
                <w14:textFill>
                  <w14:solidFill>
                    <w14:schemeClr w14:val="tx1"/>
                  </w14:solidFill>
                </w14:textFill>
              </w:rPr>
              <w:t>联系</w:t>
            </w:r>
            <w:r>
              <w:rPr>
                <w:color w:val="000000" w:themeColor="text1"/>
                <w:highlight w:val="none"/>
                <w14:textFill>
                  <w14:solidFill>
                    <w14:schemeClr w14:val="tx1"/>
                  </w14:solidFill>
                </w14:textFill>
              </w:rPr>
              <w:t>采购人提交履约保证金，否则视为其放弃</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资格。</w:t>
            </w:r>
          </w:p>
          <w:p>
            <w:pPr>
              <w:pStyle w:val="20"/>
              <w:snapToGrid w:val="0"/>
              <w:ind w:left="312" w:leftChars="2" w:hanging="308" w:hangingChars="147"/>
              <w:rPr>
                <w:rFonts w:hAnsi="宋体" w:cs="宋体"/>
                <w:color w:val="000000" w:themeColor="text1"/>
                <w:szCs w:val="21"/>
                <w:highlight w:val="none"/>
                <w14:textFill>
                  <w14:solidFill>
                    <w14:schemeClr w14:val="tx1"/>
                  </w14:solidFill>
                </w14:textFill>
              </w:rPr>
            </w:pPr>
            <w:r>
              <w:rPr>
                <w:rFonts w:hAnsi="宋体" w:cs="宋体"/>
                <w:bCs/>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退还：自项目验收合格之日起5个工作日内，</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按第七章附件“履约保证金退付意见书”的要求至采购人财务部办理退还履约保证金手续，不付利息。因采购人或采购代理机构原因导致无法及时退还时，每逾期退还一天按履约保证金万分之一支付违约金给</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人，但因</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自身原因导致无法及时退还的除外。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716" w:type="dxa"/>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26</w:t>
            </w:r>
          </w:p>
        </w:tc>
        <w:tc>
          <w:tcPr>
            <w:tcW w:w="8120" w:type="dxa"/>
            <w:vAlign w:val="center"/>
          </w:tcPr>
          <w:p>
            <w:pPr>
              <w:pStyle w:val="152"/>
              <w:snapToGrid w:val="0"/>
              <w:ind w:left="1049" w:hanging="1049"/>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签订合同：自中标通知书发出之日起30日内凭中标通知书与采购人签订政府采购合同，延期自误。</w:t>
            </w:r>
          </w:p>
          <w:p>
            <w:pPr>
              <w:pStyle w:val="152"/>
              <w:snapToGrid w:val="0"/>
              <w:ind w:left="398" w:hanging="398"/>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[采购合同必须与本招标文件中的合同书格式(包括内容和结构)相一致，不能改变主要条款。]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w:t>
            </w:r>
          </w:p>
        </w:tc>
        <w:tc>
          <w:tcPr>
            <w:tcW w:w="716" w:type="dxa"/>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27</w:t>
            </w:r>
          </w:p>
        </w:tc>
        <w:tc>
          <w:tcPr>
            <w:tcW w:w="8120" w:type="dxa"/>
            <w:vAlign w:val="center"/>
          </w:tcPr>
          <w:p>
            <w:pPr>
              <w:pStyle w:val="152"/>
              <w:snapToGrid w:val="0"/>
              <w:ind w:left="306" w:hanging="306"/>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本项目服务费：</w:t>
            </w:r>
            <w:r>
              <w:rPr>
                <w:rFonts w:hint="eastAsia" w:hAnsi="宋体" w:cs="宋体"/>
                <w:color w:val="000000" w:themeColor="text1"/>
                <w:highlight w:val="none"/>
                <w14:textFill>
                  <w14:solidFill>
                    <w14:schemeClr w14:val="tx1"/>
                  </w14:solidFill>
                </w14:textFill>
              </w:rPr>
              <w:t>由中标人在领取中标通知书前向广西众联工程项目管理有限公司一次性付清代理服务费及开标费，否则视为其放弃中标资格。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1" w:type="dxa"/>
            <w:vMerge w:val="restart"/>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w:t>
            </w:r>
          </w:p>
        </w:tc>
        <w:tc>
          <w:tcPr>
            <w:tcW w:w="716" w:type="dxa"/>
            <w:vMerge w:val="restart"/>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33</w:t>
            </w:r>
          </w:p>
        </w:tc>
        <w:tc>
          <w:tcPr>
            <w:tcW w:w="8120" w:type="dxa"/>
            <w:vAlign w:val="center"/>
          </w:tcPr>
          <w:p>
            <w:pPr>
              <w:snapToGrid w:val="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本项目需要落实的政府采购政策：</w:t>
            </w:r>
            <w:r>
              <w:rPr>
                <w:rFonts w:hint="eastAsia" w:ascii="宋体" w:hAnsi="宋体" w:cs="宋体"/>
                <w:color w:val="000000" w:themeColor="text1"/>
                <w:kern w:val="0"/>
                <w:szCs w:val="21"/>
                <w:highlight w:val="none"/>
                <w14:textFill>
                  <w14:solidFill>
                    <w14:schemeClr w14:val="tx1"/>
                  </w14:solidFill>
                </w14:textFill>
              </w:rPr>
              <w:t>节能环保，促进中小企业发展，促进监狱企业发展，促进残疾人就业，广西工业产品产销等政府采购政策。</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拟采购的产品属于《节能产品政府采购品目清单》范围内以“★”标注产品的，应当依据国家确定的认证机构出具的、处于有效期之内的节能产品认证证书，对获得证书的产品实施政府强制采购。拟采购的产品属于《节能产品政府采购品目清单》范围内非“★”标注的和《环境标志产品政府采购品目清单》范围内产品的，应当依据国家确定的认证机构出具的、处于有效期之内的节能产品、环境标志产品认证证书，对获得证书的产品实施政府优先采购。</w:t>
            </w:r>
            <w:r>
              <w:rPr>
                <w:rFonts w:hint="eastAsia" w:hAnsi="宋体" w:cs="宋体"/>
                <w:bCs/>
                <w:color w:val="000000" w:themeColor="text1"/>
                <w:highlight w:val="none"/>
                <w14:textFill>
                  <w14:solidFill>
                    <w14:schemeClr w14:val="tx1"/>
                  </w14:solidFill>
                </w14:textFill>
              </w:rPr>
              <w:t>投标</w:t>
            </w:r>
            <w:r>
              <w:rPr>
                <w:rFonts w:hint="eastAsia" w:hAnsi="宋体" w:cs="宋体"/>
                <w:color w:val="000000" w:themeColor="text1"/>
                <w:szCs w:val="21"/>
                <w:highlight w:val="none"/>
                <w14:textFill>
                  <w14:solidFill>
                    <w14:schemeClr w14:val="tx1"/>
                  </w14:solidFill>
                </w14:textFill>
              </w:rPr>
              <w:t>人须提供产品认证证书复印件并加盖</w:t>
            </w:r>
            <w:r>
              <w:rPr>
                <w:rFonts w:hint="eastAsia" w:hAnsi="宋体" w:cs="宋体"/>
                <w:bCs/>
                <w:color w:val="000000" w:themeColor="text1"/>
                <w:highlight w:val="none"/>
                <w14:textFill>
                  <w14:solidFill>
                    <w14:schemeClr w14:val="tx1"/>
                  </w14:solidFill>
                </w14:textFill>
              </w:rPr>
              <w:t>投标</w:t>
            </w:r>
            <w:r>
              <w:rPr>
                <w:rFonts w:hint="eastAsia" w:hAnsi="宋体" w:cs="宋体"/>
                <w:color w:val="000000" w:themeColor="text1"/>
                <w:szCs w:val="21"/>
                <w:highlight w:val="none"/>
                <w14:textFill>
                  <w14:solidFill>
                    <w14:schemeClr w14:val="tx1"/>
                  </w14:solidFill>
                </w14:textFill>
              </w:rPr>
              <w:t>人公章。截标后，采购代理机构在中国政府采购网（www.ccgp.gov.cn）认证结果信息发布平台对</w:t>
            </w:r>
            <w:r>
              <w:rPr>
                <w:rFonts w:hint="eastAsia" w:hAnsi="宋体" w:cs="宋体"/>
                <w:bCs/>
                <w:color w:val="000000" w:themeColor="text1"/>
                <w:highlight w:val="none"/>
                <w14:textFill>
                  <w14:solidFill>
                    <w14:schemeClr w14:val="tx1"/>
                  </w14:solidFill>
                </w14:textFill>
              </w:rPr>
              <w:t>投标</w:t>
            </w:r>
            <w:r>
              <w:rPr>
                <w:rFonts w:hint="eastAsia" w:hAnsi="宋体" w:cs="宋体"/>
                <w:color w:val="000000" w:themeColor="text1"/>
                <w:szCs w:val="21"/>
                <w:highlight w:val="none"/>
                <w14:textFill>
                  <w14:solidFill>
                    <w14:schemeClr w14:val="tx1"/>
                  </w14:solidFill>
                </w14:textFill>
              </w:rPr>
              <w:t>产品的证书信息进行查询，如查询结果为无效，将不享受相关政府采购政策。</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2．根据《政府采购促进中小企业发展暂行办法》的通知，本项目</w:t>
            </w:r>
            <w:r>
              <w:rPr>
                <w:rFonts w:hint="eastAsia" w:hAnsi="宋体" w:cs="宋体"/>
                <w:bCs/>
                <w:color w:val="000000" w:themeColor="text1"/>
                <w:szCs w:val="21"/>
                <w:highlight w:val="none"/>
                <w14:textFill>
                  <w14:solidFill>
                    <w14:schemeClr w14:val="tx1"/>
                  </w14:solidFill>
                </w14:textFill>
              </w:rPr>
              <w:t>将对提供</w:t>
            </w:r>
            <w:r>
              <w:rPr>
                <w:rFonts w:hint="eastAsia" w:hAnsi="宋体" w:cs="宋体"/>
                <w:color w:val="000000" w:themeColor="text1"/>
                <w:szCs w:val="21"/>
                <w:highlight w:val="none"/>
                <w14:textFill>
                  <w14:solidFill>
                    <w14:schemeClr w14:val="tx1"/>
                  </w14:solidFill>
                </w14:textFill>
              </w:rPr>
              <w:t>小型或微型企业</w:t>
            </w:r>
            <w:r>
              <w:rPr>
                <w:rFonts w:hint="eastAsia" w:hAnsi="宋体" w:cs="宋体"/>
                <w:bCs/>
                <w:color w:val="000000" w:themeColor="text1"/>
                <w:szCs w:val="21"/>
                <w:highlight w:val="none"/>
                <w14:textFill>
                  <w14:solidFill>
                    <w14:schemeClr w14:val="tx1"/>
                  </w14:solidFill>
                </w14:textFill>
              </w:rPr>
              <w:t>产品或服务的价格</w:t>
            </w:r>
            <w:r>
              <w:rPr>
                <w:rFonts w:hint="eastAsia" w:hAnsi="宋体" w:cs="宋体"/>
                <w:color w:val="000000" w:themeColor="text1"/>
                <w:szCs w:val="21"/>
                <w:highlight w:val="none"/>
                <w14:textFill>
                  <w14:solidFill>
                    <w14:schemeClr w14:val="tx1"/>
                  </w14:solidFill>
                </w14:textFill>
              </w:rPr>
              <w:t>评标时格给予一定的价格扣除。</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3．根据财政部、司法部关于政府采购支持监狱企业发展有关问题的通知（财库[2014]68号），监狱企业视同小型、微型企业，享受小型、微型企业政策，评标时投标价格给予一定的价格扣除。</w:t>
            </w:r>
          </w:p>
          <w:p>
            <w:pPr>
              <w:snapToGrid w:val="0"/>
              <w:ind w:left="315" w:hanging="315" w:hangingChars="15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根据财政部、民政部、中国残疾人联合会三部门发布的关于促进残疾人就业政府采购政策的通知（财库〔2017〕141号），残疾人福利性单位视同小型、微型企业，享受小型、微型企业政策，评标时投标价格给予一定的价格扣除。投标人既属于残疾人福利性单位又属于小型、微型企业的，其只能享受投标价格一次性的扣除，不重复享受政策。</w:t>
            </w:r>
          </w:p>
          <w:p>
            <w:pPr>
              <w:pStyle w:val="152"/>
              <w:snapToGrid w:val="0"/>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根据《广西壮族自治区人民政府办公厅关于印发招标采购促进广西工业产品产销对接实施细则的通知》的规定，货物服务招标采购评标方法采用综合评分法的，对使用广西工业产品80％以上（含）的投标人，评标时给予一定的政策功能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1" w:type="dxa"/>
            <w:vMerge w:val="continue"/>
            <w:vAlign w:val="center"/>
          </w:tcPr>
          <w:p>
            <w:pPr>
              <w:snapToGrid w:val="0"/>
              <w:jc w:val="center"/>
              <w:rPr>
                <w:rFonts w:ascii="宋体" w:hAnsi="宋体" w:cs="宋体"/>
                <w:color w:val="000000" w:themeColor="text1"/>
                <w:szCs w:val="21"/>
                <w:highlight w:val="none"/>
                <w14:textFill>
                  <w14:solidFill>
                    <w14:schemeClr w14:val="tx1"/>
                  </w14:solidFill>
                </w14:textFill>
              </w:rPr>
            </w:pPr>
          </w:p>
        </w:tc>
        <w:tc>
          <w:tcPr>
            <w:tcW w:w="716" w:type="dxa"/>
            <w:vMerge w:val="continue"/>
            <w:vAlign w:val="center"/>
          </w:tcPr>
          <w:p>
            <w:pPr>
              <w:pStyle w:val="20"/>
              <w:snapToGrid w:val="0"/>
              <w:ind w:left="1037" w:hanging="1037" w:hangingChars="494"/>
              <w:jc w:val="center"/>
              <w:rPr>
                <w:rFonts w:hAnsi="宋体" w:cs="宋体"/>
                <w:color w:val="000000" w:themeColor="text1"/>
                <w:szCs w:val="21"/>
                <w:highlight w:val="none"/>
                <w14:textFill>
                  <w14:solidFill>
                    <w14:schemeClr w14:val="tx1"/>
                  </w14:solidFill>
                </w14:textFill>
              </w:rPr>
            </w:pPr>
          </w:p>
        </w:tc>
        <w:tc>
          <w:tcPr>
            <w:tcW w:w="8120" w:type="dxa"/>
            <w:vAlign w:val="center"/>
          </w:tcPr>
          <w:p>
            <w:pPr>
              <w:pStyle w:val="15"/>
              <w:snapToGrid w:val="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政府采购合同审核、备案：</w:t>
            </w:r>
          </w:p>
          <w:p>
            <w:pPr>
              <w:pStyle w:val="15"/>
              <w:snapToGrid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1．政府采购合同自签订之日起7个工作日内，采购单位必须将政府采购合同报送梧州市万秀区政府采购工作领导小组办公室备案。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1" w:type="dxa"/>
            <w:vAlign w:val="center"/>
          </w:tcPr>
          <w:p>
            <w:pPr>
              <w:snapToGrid w:val="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w:t>
            </w:r>
          </w:p>
        </w:tc>
        <w:tc>
          <w:tcPr>
            <w:tcW w:w="8836" w:type="dxa"/>
            <w:gridSpan w:val="2"/>
            <w:vAlign w:val="center"/>
          </w:tcPr>
          <w:p>
            <w:pPr>
              <w:pStyle w:val="15"/>
              <w:snapToGrid w:val="0"/>
              <w:ind w:left="15" w:leftChars="7"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信用信息使用规则：投标截止后，采购代理机构将对各投标人的企业信用进行查询，作为采购人在资格性审查阶段的评审依据。对在中国政府采购网(www.ccgp.gov.cn)列入“政府采购严重违法失信行为记录名单”和在信用中国网（www.creditchina.gov.cn/）列入“失信被执行人”、“重大税收违法案件当事人名单”、“政府采购严重违法失信名单”且在处罚期限内的投标人，视为存在不良信用记录，投标将被否决。</w:t>
            </w:r>
          </w:p>
        </w:tc>
      </w:tr>
    </w:tbl>
    <w:p>
      <w:pPr>
        <w:pStyle w:val="20"/>
        <w:spacing w:line="400" w:lineRule="exac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p>
    <w:p>
      <w:pPr>
        <w:pStyle w:val="20"/>
        <w:spacing w:line="400" w:lineRule="exact"/>
        <w:jc w:val="center"/>
        <w:rPr>
          <w:rFonts w:hAnsi="宋体" w:cs="宋体"/>
          <w:b/>
          <w:color w:val="000000" w:themeColor="text1"/>
          <w:sz w:val="32"/>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投标人须知</w:t>
      </w:r>
    </w:p>
    <w:p>
      <w:pPr>
        <w:pStyle w:val="20"/>
        <w:spacing w:line="400" w:lineRule="exact"/>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53" w:name="_Toc17304"/>
      <w:bookmarkStart w:id="54" w:name="_Toc185702548"/>
      <w:bookmarkStart w:id="55" w:name="_Toc395066516"/>
      <w:bookmarkStart w:id="56" w:name="_Toc405942974"/>
      <w:bookmarkStart w:id="57" w:name="_Toc200268238"/>
      <w:bookmarkStart w:id="58" w:name="_Toc469874163"/>
      <w:bookmarkStart w:id="59" w:name="_Toc469909315"/>
      <w:r>
        <w:rPr>
          <w:rFonts w:hint="eastAsia" w:ascii="宋体" w:hAnsi="宋体" w:cs="宋体"/>
          <w:color w:val="000000" w:themeColor="text1"/>
          <w:highlight w:val="none"/>
          <w14:textFill>
            <w14:solidFill>
              <w14:schemeClr w14:val="tx1"/>
            </w14:solidFill>
          </w14:textFill>
        </w:rPr>
        <w:t>一、总  则</w:t>
      </w:r>
      <w:bookmarkEnd w:id="53"/>
      <w:bookmarkEnd w:id="54"/>
      <w:bookmarkEnd w:id="55"/>
      <w:bookmarkEnd w:id="56"/>
      <w:bookmarkEnd w:id="57"/>
      <w:bookmarkEnd w:id="58"/>
      <w:bookmarkEnd w:id="59"/>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60" w:name="_Toc185702549"/>
      <w:bookmarkStart w:id="61" w:name="_Toc200268239"/>
      <w:bookmarkStart w:id="62" w:name="_Toc469874164"/>
      <w:bookmarkStart w:id="63" w:name="_Toc395066517"/>
      <w:bookmarkStart w:id="64" w:name="_Toc405942975"/>
      <w:r>
        <w:rPr>
          <w:rFonts w:hint="eastAsia" w:ascii="宋体" w:hAnsi="宋体" w:eastAsia="宋体" w:cs="宋体"/>
          <w:color w:val="000000" w:themeColor="text1"/>
          <w:sz w:val="21"/>
          <w:szCs w:val="21"/>
          <w:highlight w:val="none"/>
          <w14:textFill>
            <w14:solidFill>
              <w14:schemeClr w14:val="tx1"/>
            </w14:solidFill>
          </w14:textFill>
        </w:rPr>
        <w:t>1、</w:t>
      </w:r>
      <w:bookmarkEnd w:id="60"/>
      <w:bookmarkEnd w:id="61"/>
      <w:r>
        <w:rPr>
          <w:rFonts w:hint="eastAsia" w:ascii="宋体" w:hAnsi="宋体" w:eastAsia="宋体" w:cs="宋体"/>
          <w:color w:val="000000" w:themeColor="text1"/>
          <w:sz w:val="21"/>
          <w:szCs w:val="21"/>
          <w:highlight w:val="none"/>
          <w14:textFill>
            <w14:solidFill>
              <w14:schemeClr w14:val="tx1"/>
            </w14:solidFill>
          </w14:textFill>
        </w:rPr>
        <w:t>项目基本情况、适用范围及定义</w:t>
      </w:r>
      <w:bookmarkEnd w:id="62"/>
      <w:bookmarkEnd w:id="63"/>
      <w:bookmarkEnd w:id="64"/>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bookmarkStart w:id="65" w:name="_Toc200268240"/>
      <w:bookmarkStart w:id="66" w:name="_Toc185702550"/>
      <w:r>
        <w:rPr>
          <w:rFonts w:hint="eastAsia" w:hAnsi="宋体" w:cs="宋体"/>
          <w:color w:val="000000" w:themeColor="text1"/>
          <w:szCs w:val="21"/>
          <w:highlight w:val="none"/>
          <w14:textFill>
            <w14:solidFill>
              <w14:schemeClr w14:val="tx1"/>
            </w14:solidFill>
          </w14:textFill>
        </w:rPr>
        <w:t>1.1项目基本情况：见须知前附表。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1.2采购人：见须知前附表。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1.3采购代理机构：见须知前附表。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1.4监督部门：见须知前附表。</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1.5适用范围：本招标文件仅适用于本次招标中所述项目的货物、服务类政府采购项目的招标、投标、评标、定标、验收、合同履约、付款等行为，法律、法规另有规定的，从其规定。</w:t>
      </w:r>
    </w:p>
    <w:p>
      <w:pPr>
        <w:pStyle w:val="20"/>
        <w:spacing w:line="39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1.6定义：</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1.6.1“采购人”系指梧州市万秀区教育局。</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1.6.2“采购代理机构”系指广西众联工程项目管理有限公司。</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1.6.3“投标人”系指按要求在公告规定的招标文件获取时间内获取文件及缴纳工本费且提交“投标文件”参加政府采购活动的投标人。在投标阶段称为潜在投标人或投标人；在签订和履行合同阶段称为中标</w:t>
      </w:r>
      <w:r>
        <w:rPr>
          <w:rFonts w:hint="eastAsia" w:hAnsi="宋体" w:cs="宋体"/>
          <w:bCs/>
          <w:color w:val="000000" w:themeColor="text1"/>
          <w:highlight w:val="none"/>
          <w14:textFill>
            <w14:solidFill>
              <w14:schemeClr w14:val="tx1"/>
            </w14:solidFill>
          </w14:textFill>
        </w:rPr>
        <w:t>人</w:t>
      </w:r>
      <w:r>
        <w:rPr>
          <w:rFonts w:hint="eastAsia" w:hAnsi="宋体" w:cs="宋体"/>
          <w:color w:val="000000" w:themeColor="text1"/>
          <w:szCs w:val="21"/>
          <w:highlight w:val="none"/>
          <w14:textFill>
            <w14:solidFill>
              <w14:schemeClr w14:val="tx1"/>
            </w14:solidFill>
          </w14:textFill>
        </w:rPr>
        <w:t>。</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1.6.4“产品”系指投标人按招标文件规定向采购人提供的一切货物、设备、机械、仪器仪表、备品备件、工具、手册及其它有关技术资料和材料。</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1.6.5“服务”系指招标文件规定投标人须承担的安装、调试、技术协助、校准、培训以及其他类似的义务。</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1.6.6“投标文件”系指投标人根据本招标文件要求，编制包含报价、技术和服务等所有内容的文件。</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1.6.7“公章”系指投标人</w:t>
      </w:r>
      <w:r>
        <w:rPr>
          <w:rFonts w:hint="eastAsia" w:hAnsi="宋体" w:cs="宋体"/>
          <w:color w:val="000000" w:themeColor="text1"/>
          <w:spacing w:val="8"/>
          <w:szCs w:val="21"/>
          <w:highlight w:val="none"/>
          <w14:textFill>
            <w14:solidFill>
              <w14:schemeClr w14:val="tx1"/>
            </w14:solidFill>
          </w14:textFill>
        </w:rPr>
        <w:t>用自己法定主体行为名称制作的签名印章</w:t>
      </w:r>
      <w:r>
        <w:rPr>
          <w:rFonts w:hint="eastAsia" w:hAnsi="宋体" w:cs="宋体"/>
          <w:color w:val="000000" w:themeColor="text1"/>
          <w:szCs w:val="21"/>
          <w:highlight w:val="none"/>
          <w14:textFill>
            <w14:solidFill>
              <w14:schemeClr w14:val="tx1"/>
            </w14:solidFill>
          </w14:textFill>
        </w:rPr>
        <w:t>，不包含</w:t>
      </w:r>
      <w:r>
        <w:rPr>
          <w:rFonts w:hint="eastAsia" w:hAnsi="宋体" w:cs="宋体"/>
          <w:bCs/>
          <w:color w:val="000000" w:themeColor="text1"/>
          <w:szCs w:val="21"/>
          <w:highlight w:val="none"/>
          <w14:textFill>
            <w14:solidFill>
              <w14:schemeClr w14:val="tx1"/>
            </w14:solidFill>
          </w14:textFill>
        </w:rPr>
        <w:t>其他替代章（如业务专用章、合同专用章、报价专用章等）</w:t>
      </w:r>
      <w:r>
        <w:rPr>
          <w:rFonts w:hint="eastAsia" w:hAnsi="宋体" w:cs="宋体"/>
          <w:color w:val="000000" w:themeColor="text1"/>
          <w:szCs w:val="21"/>
          <w:highlight w:val="none"/>
          <w14:textFill>
            <w14:solidFill>
              <w14:schemeClr w14:val="tx1"/>
            </w14:solidFill>
          </w14:textFill>
        </w:rPr>
        <w:t>。</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1.6.8本项目在《中国政府采购网》、《广西壮族自治区政府采购网》、《梧州市政府采购网》、《梧州市公共资源交易中心网》网站发布公告。</w:t>
      </w:r>
    </w:p>
    <w:p>
      <w:pPr>
        <w:pStyle w:val="20"/>
        <w:spacing w:line="390" w:lineRule="exact"/>
        <w:ind w:left="630" w:hanging="630" w:hangingChars="3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1.6.9标注“▲”的条款或要求系指实质性条款或实质性要求，必须满足，否则投标将被否决。</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67" w:name="_Toc469874165"/>
      <w:bookmarkStart w:id="68" w:name="_Toc395066518"/>
      <w:bookmarkStart w:id="69" w:name="_Toc405942976"/>
      <w:r>
        <w:rPr>
          <w:rFonts w:hint="eastAsia" w:hAnsi="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2、</w:t>
      </w:r>
      <w:bookmarkEnd w:id="65"/>
      <w:bookmarkEnd w:id="66"/>
      <w:bookmarkEnd w:id="67"/>
      <w:bookmarkEnd w:id="68"/>
      <w:bookmarkEnd w:id="69"/>
      <w:r>
        <w:rPr>
          <w:rFonts w:hint="eastAsia" w:ascii="宋体" w:hAnsi="宋体" w:eastAsia="宋体" w:cs="宋体"/>
          <w:color w:val="000000" w:themeColor="text1"/>
          <w:sz w:val="21"/>
          <w:szCs w:val="21"/>
          <w:highlight w:val="none"/>
          <w14:textFill>
            <w14:solidFill>
              <w14:schemeClr w14:val="tx1"/>
            </w14:solidFill>
          </w14:textFill>
        </w:rPr>
        <w:t>合格的投标人资格及要求</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应符合须知前附表第5项所规定的要求。</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2.2对在2016年起在中国政府采购网(www.ccgp.gov.cn)列入“政府采购严重违法失信行为记录名单”和在</w:t>
      </w:r>
      <w:r>
        <w:rPr>
          <w:rFonts w:hint="eastAsia" w:hAnsi="宋体" w:cs="宋体"/>
          <w:bCs/>
          <w:color w:val="000000" w:themeColor="text1"/>
          <w:highlight w:val="none"/>
          <w14:textFill>
            <w14:solidFill>
              <w14:schemeClr w14:val="tx1"/>
            </w14:solidFill>
          </w14:textFill>
        </w:rPr>
        <w:t>信用中国网（www.creditchina.gov.cn/）列入“失信被执行人”、</w:t>
      </w:r>
      <w:r>
        <w:rPr>
          <w:rFonts w:hint="eastAsia" w:hAnsi="宋体" w:cs="宋体"/>
          <w:color w:val="000000" w:themeColor="text1"/>
          <w:highlight w:val="none"/>
          <w14:textFill>
            <w14:solidFill>
              <w14:schemeClr w14:val="tx1"/>
            </w14:solidFill>
          </w14:textFill>
        </w:rPr>
        <w:t>“重大税收违法案件当事人名单”、“政府采购严重违法失信名单”</w:t>
      </w:r>
      <w:r>
        <w:rPr>
          <w:rFonts w:hint="eastAsia" w:hAnsi="宋体" w:cs="宋体"/>
          <w:bCs/>
          <w:color w:val="000000" w:themeColor="text1"/>
          <w:highlight w:val="none"/>
          <w14:textFill>
            <w14:solidFill>
              <w14:schemeClr w14:val="tx1"/>
            </w14:solidFill>
          </w14:textFill>
        </w:rPr>
        <w:t>的投标人</w:t>
      </w:r>
      <w:r>
        <w:rPr>
          <w:rFonts w:hint="eastAsia" w:hAnsi="宋体" w:cs="宋体"/>
          <w:color w:val="000000" w:themeColor="text1"/>
          <w:highlight w:val="none"/>
          <w14:textFill>
            <w14:solidFill>
              <w14:schemeClr w14:val="tx1"/>
            </w14:solidFill>
          </w14:textFill>
        </w:rPr>
        <w:t>不得参与本项目政府采购活动。</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2.3投标人不得直接或间接地与为本次采购的项目内容进行设计、编制规范和其他文件的咨询公司、采购代理机构或其附属机构有任何关联。 </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2.4投标人应在投标文件中须主动填报参加政府采购活动前三年内在经营活动中有无重大违法记录（含其授权服务的分公司等）。</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w:t>
      </w:r>
      <w:r>
        <w:rPr>
          <w:rFonts w:hint="eastAsia" w:hAnsi="宋体" w:cs="宋体"/>
          <w:color w:val="000000" w:themeColor="text1"/>
          <w:szCs w:val="21"/>
          <w:highlight w:val="none"/>
          <w14:textFill>
            <w14:solidFill>
              <w14:schemeClr w14:val="tx1"/>
            </w14:solidFill>
          </w14:textFill>
        </w:rPr>
        <w:t>符合</w:t>
      </w:r>
      <w:r>
        <w:rPr>
          <w:rFonts w:hint="eastAsia" w:hAnsi="宋体" w:cs="宋体"/>
          <w:color w:val="000000" w:themeColor="text1"/>
          <w:highlight w:val="none"/>
          <w14:textFill>
            <w14:solidFill>
              <w14:schemeClr w14:val="tx1"/>
            </w14:solidFill>
          </w14:textFill>
        </w:rPr>
        <w:t>投标人资格的投标人应承担投标及履约中应承担的全部责任与义务。</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2.6凡两家或以上投标人参加同一项目采购，有如下情形的，一经发现，将视为串标处理：</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（1）为同一法人代表的；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（2）为同一股东控股的；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（3）其中一家公司为其他公司最大股东的。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（4）不同投标人的投标文件由同一单位或者个人编制；</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（5）不同投标人委托同一单位或者个人办理投标事宜；</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（6）不同投标人的投标文件载明的项目管理成员（项目经办人）为同一人；</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（7）不同投标人的投标文件异常一致或者投标报价呈规律性差异；</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（8）不同投标人的投标文件相互混装；</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（9）不同投标人的投标保证金从同一单位或者个人的账户转出。</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70" w:name="_Toc185702551"/>
      <w:bookmarkStart w:id="71" w:name="_Toc395066519"/>
      <w:bookmarkStart w:id="72" w:name="_Toc469874166"/>
      <w:bookmarkStart w:id="73" w:name="_Toc200268241"/>
      <w:bookmarkStart w:id="74" w:name="_Toc405942977"/>
      <w:r>
        <w:rPr>
          <w:rFonts w:hint="eastAsia" w:ascii="宋体" w:hAnsi="宋体" w:eastAsia="宋体" w:cs="宋体"/>
          <w:color w:val="000000" w:themeColor="text1"/>
          <w:sz w:val="21"/>
          <w:szCs w:val="21"/>
          <w:highlight w:val="none"/>
          <w14:textFill>
            <w14:solidFill>
              <w14:schemeClr w14:val="tx1"/>
            </w14:solidFill>
          </w14:textFill>
        </w:rPr>
        <w:t>3、投标费用</w:t>
      </w:r>
      <w:bookmarkEnd w:id="70"/>
      <w:bookmarkEnd w:id="71"/>
      <w:bookmarkEnd w:id="72"/>
      <w:bookmarkEnd w:id="73"/>
      <w:bookmarkEnd w:id="74"/>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3.1投标人应自行承担所有与编写和提交投标文件有关的费用，不论投标结果如何，采购人或采购代理机构在</w:t>
      </w:r>
      <w:r>
        <w:rPr>
          <w:rFonts w:hint="eastAsia" w:hAnsi="宋体" w:cs="宋体"/>
          <w:color w:val="000000" w:themeColor="text1"/>
          <w:szCs w:val="21"/>
          <w:highlight w:val="none"/>
          <w14:textFill>
            <w14:solidFill>
              <w14:schemeClr w14:val="tx1"/>
            </w14:solidFill>
          </w14:textFill>
        </w:rPr>
        <w:t>任何</w:t>
      </w:r>
      <w:r>
        <w:rPr>
          <w:rFonts w:hint="eastAsia" w:hAnsi="宋体" w:cs="宋体"/>
          <w:color w:val="000000" w:themeColor="text1"/>
          <w:highlight w:val="none"/>
          <w14:textFill>
            <w14:solidFill>
              <w14:schemeClr w14:val="tx1"/>
            </w14:solidFill>
          </w14:textFill>
        </w:rPr>
        <w:t>情况下无义务和责任承担此类费用。</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75" w:name="_Toc469874167"/>
      <w:r>
        <w:rPr>
          <w:rFonts w:hint="eastAsia" w:ascii="宋体" w:hAnsi="宋体" w:eastAsia="宋体" w:cs="宋体"/>
          <w:color w:val="000000" w:themeColor="text1"/>
          <w:sz w:val="21"/>
          <w:szCs w:val="21"/>
          <w:highlight w:val="none"/>
          <w14:textFill>
            <w14:solidFill>
              <w14:schemeClr w14:val="tx1"/>
            </w14:solidFill>
          </w14:textFill>
        </w:rPr>
        <w:t>4、转包与分包</w:t>
      </w:r>
      <w:bookmarkEnd w:id="75"/>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4.1本项目不允许转包。</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4.2本项目不可以分包。</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4.3如</w:t>
      </w:r>
      <w:r>
        <w:rPr>
          <w:rFonts w:hint="eastAsia" w:hAnsi="宋体" w:cs="宋体"/>
          <w:color w:val="000000" w:themeColor="text1"/>
          <w:szCs w:val="21"/>
          <w:highlight w:val="none"/>
          <w14:textFill>
            <w14:solidFill>
              <w14:schemeClr w14:val="tx1"/>
            </w14:solidFill>
          </w14:textFill>
        </w:rPr>
        <w:t>中标</w:t>
      </w:r>
      <w:r>
        <w:rPr>
          <w:rFonts w:hint="eastAsia" w:hAnsi="宋体" w:cs="宋体"/>
          <w:color w:val="000000" w:themeColor="text1"/>
          <w:highlight w:val="none"/>
          <w14:textFill>
            <w14:solidFill>
              <w14:schemeClr w14:val="tx1"/>
            </w14:solidFill>
          </w14:textFill>
        </w:rPr>
        <w:t>人出现转包或分包情形，按相关规定报送梧州市万秀区政府采购工作领导小组办公室。</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76" w:name="_Toc254970532"/>
      <w:bookmarkStart w:id="77" w:name="_Toc469874168"/>
      <w:bookmarkStart w:id="78" w:name="_Toc254970673"/>
      <w:bookmarkStart w:id="79" w:name="_Toc4726"/>
      <w:r>
        <w:rPr>
          <w:rFonts w:hint="eastAsia" w:ascii="宋体" w:hAnsi="宋体" w:eastAsia="宋体" w:cs="宋体"/>
          <w:color w:val="000000" w:themeColor="text1"/>
          <w:sz w:val="21"/>
          <w:szCs w:val="21"/>
          <w:highlight w:val="none"/>
          <w14:textFill>
            <w14:solidFill>
              <w14:schemeClr w14:val="tx1"/>
            </w14:solidFill>
          </w14:textFill>
        </w:rPr>
        <w:t>5、特别说明：</w:t>
      </w:r>
      <w:bookmarkEnd w:id="76"/>
      <w:bookmarkEnd w:id="77"/>
      <w:bookmarkEnd w:id="78"/>
      <w:bookmarkEnd w:id="79"/>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5.1</w:t>
      </w:r>
      <w:r>
        <w:rPr>
          <w:rFonts w:hint="eastAsia" w:hAnsi="宋体" w:cs="宋体"/>
          <w:color w:val="000000" w:themeColor="text1"/>
          <w:szCs w:val="21"/>
          <w:highlight w:val="none"/>
          <w14:textFill>
            <w14:solidFill>
              <w14:schemeClr w14:val="tx1"/>
            </w14:solidFill>
          </w14:textFill>
        </w:rPr>
        <w:t>关联投标人不得参加同一合同项下政府采购活动，否则投标文件将被视为无效。</w:t>
      </w:r>
      <w:r>
        <w:rPr>
          <w:rFonts w:hint="eastAsia" w:hAnsi="宋体" w:cs="宋体"/>
          <w:color w:val="000000" w:themeColor="text1"/>
          <w:highlight w:val="none"/>
          <w14:textFill>
            <w14:solidFill>
              <w14:schemeClr w14:val="tx1"/>
            </w14:solidFill>
          </w14:textFill>
        </w:rPr>
        <w:t>单位负责人为同一人或者存在直接控股、管理关系的不同的投标人，不得参加同一合同项下的政府采购活动；生产厂商授权给投标人后自己不得参加同一合同项下的政府采购活动；生产厂商对同一品牌同一型号的货物，仅能委托一个代理商参加投标。</w:t>
      </w:r>
      <w:r>
        <w:rPr>
          <w:rFonts w:hint="eastAsia" w:hAnsi="宋体" w:cs="宋体"/>
          <w:color w:val="000000" w:themeColor="text1"/>
          <w:szCs w:val="21"/>
          <w:highlight w:val="none"/>
          <w14:textFill>
            <w14:solidFill>
              <w14:schemeClr w14:val="tx1"/>
            </w14:solidFill>
          </w14:textFill>
        </w:rPr>
        <w:t>除单一来源采购项目外，为采购项目提供整体设计、规范编制或者项目管理、监理、检测等服务的投标人，不得再参加该采购项目的其他采购活动</w:t>
      </w:r>
      <w:r>
        <w:rPr>
          <w:rFonts w:hint="eastAsia" w:hAnsi="宋体" w:cs="宋体"/>
          <w:color w:val="000000" w:themeColor="text1"/>
          <w:highlight w:val="none"/>
          <w14:textFill>
            <w14:solidFill>
              <w14:schemeClr w14:val="tx1"/>
            </w14:solidFill>
          </w14:textFill>
        </w:rPr>
        <w:t>。</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5.2投标人投标所使用的资格、信誉、荣誉、业绩与企业认证必须为本法人所拥有。投标人投标所使用的采购</w:t>
      </w:r>
      <w:r>
        <w:rPr>
          <w:rFonts w:hint="eastAsia" w:hAnsi="宋体" w:cs="宋体"/>
          <w:color w:val="000000" w:themeColor="text1"/>
          <w:szCs w:val="21"/>
          <w:highlight w:val="none"/>
          <w14:textFill>
            <w14:solidFill>
              <w14:schemeClr w14:val="tx1"/>
            </w14:solidFill>
          </w14:textFill>
        </w:rPr>
        <w:t>项目</w:t>
      </w:r>
      <w:r>
        <w:rPr>
          <w:rFonts w:hint="eastAsia" w:hAnsi="宋体" w:cs="宋体"/>
          <w:color w:val="000000" w:themeColor="text1"/>
          <w:highlight w:val="none"/>
          <w14:textFill>
            <w14:solidFill>
              <w14:schemeClr w14:val="tx1"/>
            </w14:solidFill>
          </w14:textFill>
        </w:rPr>
        <w:t>实施人员必须为本法人员工（或控股公司正式员工）。</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5.3</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应仔细阅读招标文件的所有内容，按照招标文件的要求提交投标文件，并对所提供的全部资料的真实性承担法律责任。</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5.4投标人在投标活动中提供任何虚假材料，其投标无效，并报政府采购监管部门查处；中标后发现的，中标人须依照《中华人民共和国消费者权益保护法》第49条之规定双倍赔偿采购人，且民事赔偿并不免除违法投标人的行政与刑事责任。</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80" w:name="_Toc469874169"/>
      <w:bookmarkStart w:id="81" w:name="_Toc254970674"/>
      <w:bookmarkStart w:id="82" w:name="_Toc27239"/>
      <w:bookmarkStart w:id="83" w:name="_Toc254970533"/>
      <w:r>
        <w:rPr>
          <w:rFonts w:hint="eastAsia" w:ascii="宋体" w:hAnsi="宋体" w:eastAsia="宋体" w:cs="宋体"/>
          <w:color w:val="000000" w:themeColor="text1"/>
          <w:sz w:val="21"/>
          <w:szCs w:val="21"/>
          <w:highlight w:val="none"/>
          <w14:textFill>
            <w14:solidFill>
              <w14:schemeClr w14:val="tx1"/>
            </w14:solidFill>
          </w14:textFill>
        </w:rPr>
        <w:t>6、询问、质疑和投诉</w:t>
      </w:r>
      <w:bookmarkEnd w:id="80"/>
      <w:bookmarkEnd w:id="81"/>
      <w:bookmarkEnd w:id="82"/>
      <w:bookmarkEnd w:id="83"/>
    </w:p>
    <w:p>
      <w:pPr>
        <w:pStyle w:val="20"/>
        <w:spacing w:line="390" w:lineRule="exact"/>
        <w:ind w:left="420" w:hanging="420" w:hangingChars="200"/>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6.1询问。</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如发现招标文件内容有误或</w:t>
      </w:r>
      <w:r>
        <w:rPr>
          <w:rFonts w:hint="eastAsia" w:hAnsi="宋体" w:cs="宋体"/>
          <w:color w:val="000000" w:themeColor="text1"/>
          <w:kern w:val="0"/>
          <w:szCs w:val="21"/>
          <w:highlight w:val="none"/>
          <w14:textFill>
            <w14:solidFill>
              <w14:schemeClr w14:val="tx1"/>
            </w14:solidFill>
          </w14:textFill>
        </w:rPr>
        <w:t>对政府采购活动事项有疑问的，</w:t>
      </w:r>
      <w:r>
        <w:rPr>
          <w:rFonts w:hint="eastAsia" w:hAnsi="宋体" w:cs="宋体"/>
          <w:color w:val="000000" w:themeColor="text1"/>
          <w:highlight w:val="none"/>
          <w14:textFill>
            <w14:solidFill>
              <w14:schemeClr w14:val="tx1"/>
            </w14:solidFill>
          </w14:textFill>
        </w:rPr>
        <w:t>应在投标截止日期</w:t>
      </w:r>
      <w:r>
        <w:rPr>
          <w:rFonts w:hint="eastAsia" w:hAnsi="宋体" w:cs="宋体"/>
          <w:color w:val="000000" w:themeColor="text1"/>
          <w:highlight w:val="none"/>
          <w:u w:val="single"/>
          <w14:textFill>
            <w14:solidFill>
              <w14:schemeClr w14:val="tx1"/>
            </w14:solidFill>
          </w14:textFill>
        </w:rPr>
        <w:t>10日前</w:t>
      </w:r>
      <w:r>
        <w:rPr>
          <w:rFonts w:hint="eastAsia" w:hAnsi="宋体" w:cs="宋体"/>
          <w:color w:val="000000" w:themeColor="text1"/>
          <w:highlight w:val="none"/>
          <w14:textFill>
            <w14:solidFill>
              <w14:schemeClr w14:val="tx1"/>
            </w14:solidFill>
          </w14:textFill>
        </w:rPr>
        <w:t>的正常工作时间以书面形式</w:t>
      </w:r>
      <w:r>
        <w:rPr>
          <w:rFonts w:hint="eastAsia" w:hAnsi="宋体" w:cs="宋体"/>
          <w:color w:val="000000" w:themeColor="text1"/>
          <w:kern w:val="0"/>
          <w:szCs w:val="21"/>
          <w:highlight w:val="none"/>
          <w14:textFill>
            <w14:solidFill>
              <w14:schemeClr w14:val="tx1"/>
            </w14:solidFill>
          </w14:textFill>
        </w:rPr>
        <w:t>向采购人或采购代理机构提出询问、澄清。采购人或采购代理机构自收到之日起3个工作日内对投标人依法提出的询问作出答复，但答复的内容不得涉及商业秘密。</w:t>
      </w:r>
    </w:p>
    <w:p>
      <w:pPr>
        <w:pStyle w:val="20"/>
        <w:spacing w:line="400" w:lineRule="exact"/>
        <w:ind w:left="420" w:hanging="420" w:hangingChars="200"/>
        <w:rPr>
          <w:rFonts w:hAnsi="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6.2</w:t>
      </w:r>
      <w:r>
        <w:rPr>
          <w:rFonts w:hint="eastAsia" w:hAnsi="宋体"/>
          <w:color w:val="000000" w:themeColor="text1"/>
          <w:szCs w:val="21"/>
          <w:highlight w:val="none"/>
          <w14:textFill>
            <w14:solidFill>
              <w14:schemeClr w14:val="tx1"/>
            </w14:solidFill>
          </w14:textFill>
        </w:rPr>
        <w:t>质疑。</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6.2.1供应商认为招标文件、采购过程、中标或者成交结果使自己的权益受到损害的，可以在知道或者应知其权益受到损害之日起</w:t>
      </w:r>
      <w:r>
        <w:rPr>
          <w:rFonts w:hAnsi="宋体"/>
          <w:color w:val="000000" w:themeColor="text1"/>
          <w:szCs w:val="21"/>
          <w:highlight w:val="none"/>
          <w14:textFill>
            <w14:solidFill>
              <w14:schemeClr w14:val="tx1"/>
            </w14:solidFill>
          </w14:textFill>
        </w:rPr>
        <w:t>7</w:t>
      </w:r>
      <w:r>
        <w:rPr>
          <w:rFonts w:hint="eastAsia" w:hAnsi="宋体"/>
          <w:color w:val="000000" w:themeColor="text1"/>
          <w:szCs w:val="21"/>
          <w:highlight w:val="none"/>
          <w14:textFill>
            <w14:solidFill>
              <w14:schemeClr w14:val="tx1"/>
            </w14:solidFill>
          </w14:textFill>
        </w:rPr>
        <w:t>个工作日内，以书面形式向采购人、采购代理机构提出质疑。供应商必须在法定质疑期内一次性提出针对同一采购程序环节的质疑。</w:t>
      </w:r>
    </w:p>
    <w:p>
      <w:pPr>
        <w:pStyle w:val="20"/>
        <w:spacing w:line="400" w:lineRule="exact"/>
        <w:ind w:left="630" w:hanging="630" w:hangingChars="300"/>
        <w:rPr>
          <w:rFonts w:hAnsi="宋体" w:cs="宋体"/>
          <w:color w:val="000000" w:themeColor="text1"/>
          <w:kern w:val="0"/>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6.2.2提出质疑的供应商应当是参与所质疑项目采购活动的供应商。潜在供应商已依法获取其可质疑的招标文件的，可以对招标文件提出质疑。对招标文件提出质疑的，应当在获取招标</w:t>
      </w:r>
      <w:r>
        <w:rPr>
          <w:rFonts w:hint="eastAsia" w:hAnsi="宋体" w:cs="宋体"/>
          <w:color w:val="000000" w:themeColor="text1"/>
          <w:kern w:val="0"/>
          <w:szCs w:val="21"/>
          <w:highlight w:val="none"/>
          <w14:textFill>
            <w14:solidFill>
              <w14:schemeClr w14:val="tx1"/>
            </w14:solidFill>
          </w14:textFill>
        </w:rPr>
        <w:t>文件或者招标文件公告期限届满之日起</w:t>
      </w:r>
      <w:r>
        <w:rPr>
          <w:rFonts w:hAnsi="宋体" w:cs="宋体"/>
          <w:color w:val="000000" w:themeColor="text1"/>
          <w:kern w:val="0"/>
          <w:szCs w:val="21"/>
          <w:highlight w:val="none"/>
          <w14:textFill>
            <w14:solidFill>
              <w14:schemeClr w14:val="tx1"/>
            </w14:solidFill>
          </w14:textFill>
        </w:rPr>
        <w:t>7</w:t>
      </w:r>
      <w:r>
        <w:rPr>
          <w:rFonts w:hint="eastAsia" w:hAnsi="宋体" w:cs="宋体"/>
          <w:color w:val="000000" w:themeColor="text1"/>
          <w:kern w:val="0"/>
          <w:szCs w:val="21"/>
          <w:highlight w:val="none"/>
          <w14:textFill>
            <w14:solidFill>
              <w14:schemeClr w14:val="tx1"/>
            </w14:solidFill>
          </w14:textFill>
        </w:rPr>
        <w:t>个工作日内提出。</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6.2.3供应商提出质疑应当提交质疑函和必要的证明材料。质疑函应按财政部发布的《政府采购供应商质疑函范本》编制。</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6.2.4采购人、采购代理机构</w:t>
      </w:r>
      <w:r>
        <w:rPr>
          <w:rFonts w:hAnsi="宋体"/>
          <w:color w:val="000000" w:themeColor="text1"/>
          <w:szCs w:val="21"/>
          <w:highlight w:val="none"/>
          <w14:textFill>
            <w14:solidFill>
              <w14:schemeClr w14:val="tx1"/>
            </w14:solidFill>
          </w14:textFill>
        </w:rPr>
        <w:t>只接受纸质材料形式的质疑，不接受电子送达的质疑材料，即不接受以传真、电子邮件、移动通信等即时收悉的特定系统作为送达媒介的质疑材料。</w:t>
      </w:r>
      <w:r>
        <w:rPr>
          <w:rFonts w:hint="eastAsia" w:hAnsi="宋体"/>
          <w:color w:val="000000" w:themeColor="text1"/>
          <w:szCs w:val="21"/>
          <w:highlight w:val="none"/>
          <w14:textFill>
            <w14:solidFill>
              <w14:schemeClr w14:val="tx1"/>
            </w14:solidFill>
          </w14:textFill>
        </w:rPr>
        <w:t>采购人、采购代理机构接收质疑函的</w:t>
      </w:r>
      <w:r>
        <w:rPr>
          <w:rFonts w:hint="eastAsia" w:hAnsi="宋体" w:cs="宋体"/>
          <w:color w:val="000000" w:themeColor="text1"/>
          <w:kern w:val="0"/>
          <w:szCs w:val="21"/>
          <w:highlight w:val="none"/>
          <w14:textFill>
            <w14:solidFill>
              <w14:schemeClr w14:val="tx1"/>
            </w14:solidFill>
          </w14:textFill>
        </w:rPr>
        <w:t>联系部门、联系电话和通讯地址详见</w:t>
      </w:r>
      <w:r>
        <w:rPr>
          <w:rFonts w:hint="eastAsia" w:hAnsi="宋体" w:cs="宋体"/>
          <w:color w:val="000000" w:themeColor="text1"/>
          <w:highlight w:val="none"/>
          <w14:textFill>
            <w14:solidFill>
              <w14:schemeClr w14:val="tx1"/>
            </w14:solidFill>
          </w14:textFill>
        </w:rPr>
        <w:t>招标</w:t>
      </w:r>
      <w:r>
        <w:rPr>
          <w:rFonts w:hint="eastAsia" w:hAnsi="宋体" w:cs="宋体"/>
          <w:color w:val="000000" w:themeColor="text1"/>
          <w:kern w:val="0"/>
          <w:szCs w:val="21"/>
          <w:highlight w:val="none"/>
          <w14:textFill>
            <w14:solidFill>
              <w14:schemeClr w14:val="tx1"/>
            </w14:solidFill>
          </w14:textFill>
        </w:rPr>
        <w:t>公告。</w:t>
      </w:r>
    </w:p>
    <w:p>
      <w:pPr>
        <w:pStyle w:val="20"/>
        <w:spacing w:line="400" w:lineRule="exact"/>
        <w:ind w:left="630" w:hanging="630" w:hangingChars="3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6.2.5采购人、采购代理机构</w:t>
      </w:r>
      <w:r>
        <w:rPr>
          <w:rFonts w:hAnsi="宋体"/>
          <w:color w:val="000000" w:themeColor="text1"/>
          <w:szCs w:val="21"/>
          <w:highlight w:val="none"/>
          <w14:textFill>
            <w14:solidFill>
              <w14:schemeClr w14:val="tx1"/>
            </w14:solidFill>
          </w14:textFill>
        </w:rPr>
        <w:t>在收到</w:t>
      </w:r>
      <w:r>
        <w:rPr>
          <w:rFonts w:hint="eastAsia" w:hAnsi="宋体"/>
          <w:color w:val="000000" w:themeColor="text1"/>
          <w:szCs w:val="21"/>
          <w:highlight w:val="none"/>
          <w14:textFill>
            <w14:solidFill>
              <w14:schemeClr w14:val="tx1"/>
            </w14:solidFill>
          </w14:textFill>
        </w:rPr>
        <w:t>供应商</w:t>
      </w:r>
      <w:r>
        <w:rPr>
          <w:rFonts w:hAnsi="宋体"/>
          <w:color w:val="000000" w:themeColor="text1"/>
          <w:szCs w:val="21"/>
          <w:highlight w:val="none"/>
          <w14:textFill>
            <w14:solidFill>
              <w14:schemeClr w14:val="tx1"/>
            </w14:solidFill>
          </w14:textFill>
        </w:rPr>
        <w:t>的质疑</w:t>
      </w:r>
      <w:r>
        <w:rPr>
          <w:rFonts w:hint="eastAsia" w:hAnsi="宋体"/>
          <w:color w:val="000000" w:themeColor="text1"/>
          <w:szCs w:val="21"/>
          <w:highlight w:val="none"/>
          <w14:textFill>
            <w14:solidFill>
              <w14:schemeClr w14:val="tx1"/>
            </w14:solidFill>
          </w14:textFill>
        </w:rPr>
        <w:t>函</w:t>
      </w:r>
      <w:r>
        <w:rPr>
          <w:rFonts w:hAnsi="宋体"/>
          <w:color w:val="000000" w:themeColor="text1"/>
          <w:szCs w:val="21"/>
          <w:highlight w:val="none"/>
          <w14:textFill>
            <w14:solidFill>
              <w14:schemeClr w14:val="tx1"/>
            </w14:solidFill>
          </w14:textFill>
        </w:rPr>
        <w:t>后</w:t>
      </w:r>
      <w:r>
        <w:rPr>
          <w:rFonts w:hint="eastAsia" w:hAnsi="宋体"/>
          <w:color w:val="000000" w:themeColor="text1"/>
          <w:szCs w:val="21"/>
          <w:highlight w:val="none"/>
          <w14:textFill>
            <w14:solidFill>
              <w14:schemeClr w14:val="tx1"/>
            </w14:solidFill>
          </w14:textFill>
        </w:rPr>
        <w:t>7</w:t>
      </w:r>
      <w:r>
        <w:rPr>
          <w:rFonts w:hAnsi="宋体"/>
          <w:color w:val="000000" w:themeColor="text1"/>
          <w:szCs w:val="21"/>
          <w:highlight w:val="none"/>
          <w14:textFill>
            <w14:solidFill>
              <w14:schemeClr w14:val="tx1"/>
            </w14:solidFill>
          </w14:textFill>
        </w:rPr>
        <w:t>个工作日内作出答复，并以书面形式通知质疑供应商和其他有关供应商</w:t>
      </w:r>
      <w:r>
        <w:rPr>
          <w:rFonts w:hint="eastAsia" w:hAnsi="宋体"/>
          <w:color w:val="000000" w:themeColor="text1"/>
          <w:szCs w:val="21"/>
          <w:highlight w:val="none"/>
          <w14:textFill>
            <w14:solidFill>
              <w14:schemeClr w14:val="tx1"/>
            </w14:solidFill>
          </w14:textFill>
        </w:rPr>
        <w:t>。</w:t>
      </w:r>
      <w:r>
        <w:rPr>
          <w:rFonts w:hAnsi="宋体"/>
          <w:color w:val="000000" w:themeColor="text1"/>
          <w:szCs w:val="21"/>
          <w:highlight w:val="none"/>
          <w14:textFill>
            <w14:solidFill>
              <w14:schemeClr w14:val="tx1"/>
            </w14:solidFill>
          </w14:textFill>
        </w:rPr>
        <w:t>但答复的内容不得涉及商业秘密。</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6.3投诉。</w:t>
      </w:r>
      <w:r>
        <w:rPr>
          <w:rFonts w:hint="eastAsia" w:hAnsi="宋体" w:cs="宋体"/>
          <w:color w:val="000000" w:themeColor="text1"/>
          <w:kern w:val="0"/>
          <w:szCs w:val="21"/>
          <w:highlight w:val="none"/>
          <w14:textFill>
            <w14:solidFill>
              <w14:schemeClr w14:val="tx1"/>
            </w14:solidFill>
          </w14:textFill>
        </w:rPr>
        <w:t>质疑供应商对采购人、采购代理机构的答复不满意，或者采购人、采购代理机构未在规定时间内作出答复的，可以在答复期满后</w:t>
      </w:r>
      <w:r>
        <w:rPr>
          <w:rFonts w:hAnsi="宋体" w:cs="宋体"/>
          <w:color w:val="000000" w:themeColor="text1"/>
          <w:kern w:val="0"/>
          <w:szCs w:val="21"/>
          <w:highlight w:val="none"/>
          <w14:textFill>
            <w14:solidFill>
              <w14:schemeClr w14:val="tx1"/>
            </w14:solidFill>
          </w14:textFill>
        </w:rPr>
        <w:t>15</w:t>
      </w:r>
      <w:r>
        <w:rPr>
          <w:rFonts w:hint="eastAsia" w:hAnsi="宋体" w:cs="宋体"/>
          <w:color w:val="000000" w:themeColor="text1"/>
          <w:kern w:val="0"/>
          <w:szCs w:val="21"/>
          <w:highlight w:val="none"/>
          <w14:textFill>
            <w14:solidFill>
              <w14:schemeClr w14:val="tx1"/>
            </w14:solidFill>
          </w14:textFill>
        </w:rPr>
        <w:t>个工作日内向</w:t>
      </w:r>
      <w:r>
        <w:rPr>
          <w:rFonts w:hint="eastAsia" w:hAnsi="宋体"/>
          <w:color w:val="000000" w:themeColor="text1"/>
          <w:highlight w:val="none"/>
          <w14:textFill>
            <w14:solidFill>
              <w14:schemeClr w14:val="tx1"/>
            </w14:solidFill>
          </w14:textFill>
        </w:rPr>
        <w:t>本级财政部门</w:t>
      </w:r>
      <w:r>
        <w:rPr>
          <w:rFonts w:hint="eastAsia" w:hAnsi="宋体" w:cs="宋体"/>
          <w:color w:val="000000" w:themeColor="text1"/>
          <w:kern w:val="0"/>
          <w:szCs w:val="21"/>
          <w:highlight w:val="none"/>
          <w14:textFill>
            <w14:solidFill>
              <w14:schemeClr w14:val="tx1"/>
            </w14:solidFill>
          </w14:textFill>
        </w:rPr>
        <w:t>提起投诉。</w:t>
      </w: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84" w:name="_Toc6789"/>
      <w:bookmarkStart w:id="85" w:name="_Toc405942978"/>
      <w:bookmarkStart w:id="86" w:name="_Toc469909316"/>
      <w:bookmarkStart w:id="87" w:name="_Toc185702552"/>
      <w:bookmarkStart w:id="88" w:name="_Toc200268242"/>
      <w:bookmarkStart w:id="89" w:name="_Toc469874170"/>
      <w:bookmarkStart w:id="90" w:name="_Toc395066520"/>
      <w:r>
        <w:rPr>
          <w:rFonts w:hint="eastAsia" w:ascii="宋体" w:hAnsi="宋体" w:cs="宋体"/>
          <w:color w:val="000000" w:themeColor="text1"/>
          <w:highlight w:val="none"/>
          <w14:textFill>
            <w14:solidFill>
              <w14:schemeClr w14:val="tx1"/>
            </w14:solidFill>
          </w14:textFill>
        </w:rPr>
        <w:t>二、招标文件</w:t>
      </w:r>
      <w:bookmarkEnd w:id="84"/>
      <w:bookmarkEnd w:id="85"/>
      <w:bookmarkEnd w:id="86"/>
      <w:bookmarkEnd w:id="87"/>
      <w:bookmarkEnd w:id="88"/>
      <w:bookmarkEnd w:id="89"/>
      <w:bookmarkEnd w:id="90"/>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91" w:name="_Toc405942979"/>
      <w:bookmarkStart w:id="92" w:name="_Toc469874171"/>
      <w:bookmarkStart w:id="93" w:name="_Toc200268243"/>
      <w:bookmarkStart w:id="94" w:name="_Toc185702553"/>
      <w:bookmarkStart w:id="95" w:name="_Toc395066521"/>
      <w:r>
        <w:rPr>
          <w:rFonts w:hint="eastAsia" w:ascii="宋体" w:hAnsi="宋体" w:eastAsia="宋体" w:cs="宋体"/>
          <w:color w:val="000000" w:themeColor="text1"/>
          <w:sz w:val="21"/>
          <w:szCs w:val="21"/>
          <w:highlight w:val="none"/>
          <w14:textFill>
            <w14:solidFill>
              <w14:schemeClr w14:val="tx1"/>
            </w14:solidFill>
          </w14:textFill>
        </w:rPr>
        <w:t>7、招标文件的构成</w:t>
      </w:r>
      <w:bookmarkEnd w:id="91"/>
      <w:bookmarkEnd w:id="92"/>
      <w:bookmarkEnd w:id="93"/>
      <w:bookmarkEnd w:id="94"/>
      <w:bookmarkEnd w:id="95"/>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7.1</w:t>
      </w:r>
      <w:r>
        <w:rPr>
          <w:rFonts w:hint="eastAsia" w:hAnsi="宋体" w:cs="宋体"/>
          <w:color w:val="000000" w:themeColor="text1"/>
          <w:szCs w:val="21"/>
          <w:highlight w:val="none"/>
          <w14:textFill>
            <w14:solidFill>
              <w14:schemeClr w14:val="tx1"/>
            </w14:solidFill>
          </w14:textFill>
        </w:rPr>
        <w:t>招标文件</w:t>
      </w:r>
      <w:r>
        <w:rPr>
          <w:rFonts w:hint="eastAsia" w:hAnsi="宋体" w:cs="宋体"/>
          <w:color w:val="000000" w:themeColor="text1"/>
          <w:highlight w:val="none"/>
          <w14:textFill>
            <w14:solidFill>
              <w14:schemeClr w14:val="tx1"/>
            </w14:solidFill>
          </w14:textFill>
        </w:rPr>
        <w:t>由下列文件以及在采购过程中发出的更改、修正和补充文件组成：</w:t>
      </w:r>
    </w:p>
    <w:p>
      <w:pPr>
        <w:pStyle w:val="20"/>
        <w:spacing w:line="400" w:lineRule="exact"/>
        <w:ind w:firstLine="426"/>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第一章  招标公告</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第二章  采购内容及要求</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第三章  投标人须知及前附表</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第四章  评标方法</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第五章  政府采购合同（格式）</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第六章  投标文件（格式）</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第七章  附件</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96" w:name="_Toc405942980"/>
      <w:bookmarkStart w:id="97" w:name="_Toc469874172"/>
      <w:bookmarkStart w:id="98" w:name="_Toc395066522"/>
      <w:bookmarkStart w:id="99" w:name="_Toc200268244"/>
      <w:bookmarkStart w:id="100" w:name="_Toc185702554"/>
      <w:r>
        <w:rPr>
          <w:rFonts w:hint="eastAsia" w:ascii="宋体" w:hAnsi="宋体" w:eastAsia="宋体" w:cs="宋体"/>
          <w:color w:val="000000" w:themeColor="text1"/>
          <w:sz w:val="21"/>
          <w:szCs w:val="21"/>
          <w:highlight w:val="none"/>
          <w14:textFill>
            <w14:solidFill>
              <w14:schemeClr w14:val="tx1"/>
            </w14:solidFill>
          </w14:textFill>
        </w:rPr>
        <w:t>8、招标文件的澄清和修改</w:t>
      </w:r>
      <w:bookmarkEnd w:id="96"/>
      <w:bookmarkEnd w:id="97"/>
      <w:bookmarkEnd w:id="98"/>
      <w:bookmarkEnd w:id="99"/>
      <w:bookmarkEnd w:id="100"/>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8.1采购人或者采购代理机构可以对已发出的招标文件进行必要的澄清或者修改，如澄清或者修改的内容可能影响投标文件编制的，在投标截止时间至少15日前，在政府采购信息发布媒体发布更正公告，不足15日的，采购人或者采购代理机构应当顺延提交投标文件的截止时间。</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8.2采购人、采购</w:t>
      </w:r>
      <w:r>
        <w:rPr>
          <w:rFonts w:hint="eastAsia" w:hAnsi="宋体" w:cs="宋体"/>
          <w:color w:val="000000" w:themeColor="text1"/>
          <w:szCs w:val="21"/>
          <w:highlight w:val="none"/>
          <w14:textFill>
            <w14:solidFill>
              <w14:schemeClr w14:val="tx1"/>
            </w14:solidFill>
          </w14:textFill>
        </w:rPr>
        <w:t>代理</w:t>
      </w:r>
      <w:r>
        <w:rPr>
          <w:rFonts w:hint="eastAsia" w:hAnsi="宋体" w:cs="宋体"/>
          <w:color w:val="000000" w:themeColor="text1"/>
          <w:highlight w:val="none"/>
          <w14:textFill>
            <w14:solidFill>
              <w14:schemeClr w14:val="tx1"/>
            </w14:solidFill>
          </w14:textFill>
        </w:rPr>
        <w:t>机构可视具体情况延长投标截止时间和开标时间的，在投标文件截止时间</w:t>
      </w:r>
      <w:r>
        <w:rPr>
          <w:rFonts w:hint="eastAsia" w:hAnsi="宋体" w:cs="宋体"/>
          <w:color w:val="000000" w:themeColor="text1"/>
          <w:highlight w:val="none"/>
          <w:u w:val="single"/>
          <w14:textFill>
            <w14:solidFill>
              <w14:schemeClr w14:val="tx1"/>
            </w14:solidFill>
          </w14:textFill>
        </w:rPr>
        <w:t>3日</w:t>
      </w:r>
      <w:r>
        <w:rPr>
          <w:rFonts w:hint="eastAsia" w:hAnsi="宋体" w:cs="宋体"/>
          <w:color w:val="000000" w:themeColor="text1"/>
          <w:highlight w:val="none"/>
          <w14:textFill>
            <w14:solidFill>
              <w14:schemeClr w14:val="tx1"/>
            </w14:solidFill>
          </w14:textFill>
        </w:rPr>
        <w:t>前，在政府采购信息发布媒体发布变更公告。</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8.3所有与本项目相关的澄清、修改、补遗的内容作为招标文件的组成部分。该所有通知文件在政府采购信息媒体发布之日起，视为投标人已收到该通知。</w:t>
      </w:r>
      <w:r>
        <w:rPr>
          <w:rFonts w:hint="eastAsia" w:hAnsi="宋体" w:cs="宋体"/>
          <w:color w:val="000000" w:themeColor="text1"/>
          <w:szCs w:val="21"/>
          <w:highlight w:val="none"/>
          <w14:textFill>
            <w14:solidFill>
              <w14:schemeClr w14:val="tx1"/>
            </w14:solidFill>
          </w14:textFill>
        </w:rPr>
        <w:t>投标人未及时关注网站上发布的通知文件造成的损失，由投标人负责。</w:t>
      </w:r>
    </w:p>
    <w:p>
      <w:pPr>
        <w:pStyle w:val="20"/>
        <w:spacing w:line="400" w:lineRule="exact"/>
        <w:ind w:firstLine="420"/>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01" w:name="_Toc469909317"/>
      <w:bookmarkStart w:id="102" w:name="_Toc405942981"/>
      <w:bookmarkStart w:id="103" w:name="_Toc469874173"/>
      <w:bookmarkStart w:id="104" w:name="_Toc200268245"/>
      <w:bookmarkStart w:id="105" w:name="_Toc395066523"/>
      <w:bookmarkStart w:id="106" w:name="_Toc185702555"/>
      <w:bookmarkStart w:id="107" w:name="_Toc8257"/>
      <w:r>
        <w:rPr>
          <w:rFonts w:hint="eastAsia" w:ascii="宋体" w:hAnsi="宋体" w:cs="宋体"/>
          <w:color w:val="000000" w:themeColor="text1"/>
          <w:highlight w:val="none"/>
          <w14:textFill>
            <w14:solidFill>
              <w14:schemeClr w14:val="tx1"/>
            </w14:solidFill>
          </w14:textFill>
        </w:rPr>
        <w:t>三、投标文件的编制</w:t>
      </w:r>
      <w:bookmarkEnd w:id="101"/>
      <w:bookmarkEnd w:id="102"/>
      <w:bookmarkEnd w:id="103"/>
      <w:bookmarkEnd w:id="104"/>
      <w:bookmarkEnd w:id="105"/>
      <w:bookmarkEnd w:id="106"/>
      <w:bookmarkEnd w:id="107"/>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08" w:name="_Toc185702556"/>
      <w:bookmarkStart w:id="109" w:name="_Toc405942982"/>
      <w:bookmarkStart w:id="110" w:name="_Toc469874174"/>
      <w:bookmarkStart w:id="111" w:name="_Toc200268246"/>
      <w:bookmarkStart w:id="112" w:name="_Toc395066524"/>
      <w:r>
        <w:rPr>
          <w:rFonts w:hint="eastAsia" w:ascii="宋体" w:hAnsi="宋体" w:eastAsia="宋体" w:cs="宋体"/>
          <w:color w:val="000000" w:themeColor="text1"/>
          <w:sz w:val="21"/>
          <w:szCs w:val="21"/>
          <w:highlight w:val="none"/>
          <w14:textFill>
            <w14:solidFill>
              <w14:schemeClr w14:val="tx1"/>
            </w14:solidFill>
          </w14:textFill>
        </w:rPr>
        <w:t>9、</w:t>
      </w:r>
      <w:bookmarkEnd w:id="108"/>
      <w:bookmarkEnd w:id="109"/>
      <w:bookmarkEnd w:id="110"/>
      <w:bookmarkEnd w:id="111"/>
      <w:bookmarkEnd w:id="112"/>
      <w:r>
        <w:rPr>
          <w:rFonts w:hint="eastAsia" w:ascii="宋体" w:hAnsi="宋体" w:eastAsia="宋体" w:cs="宋体"/>
          <w:color w:val="000000" w:themeColor="text1"/>
          <w:sz w:val="21"/>
          <w:szCs w:val="21"/>
          <w:highlight w:val="none"/>
          <w14:textFill>
            <w14:solidFill>
              <w14:schemeClr w14:val="tx1"/>
            </w14:solidFill>
          </w14:textFill>
        </w:rPr>
        <w:t>投标文件的组成</w:t>
      </w:r>
    </w:p>
    <w:p>
      <w:pPr>
        <w:pStyle w:val="20"/>
        <w:spacing w:line="400" w:lineRule="exact"/>
        <w:ind w:left="420" w:hanging="420" w:hangingChars="200"/>
        <w:rPr>
          <w:rFonts w:hAnsi="宋体" w:cs="宋体"/>
          <w:color w:val="000000" w:themeColor="text1"/>
          <w:spacing w:val="-2"/>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spacing w:val="-2"/>
          <w:szCs w:val="21"/>
          <w:highlight w:val="none"/>
          <w14:textFill>
            <w14:solidFill>
              <w14:schemeClr w14:val="tx1"/>
            </w14:solidFill>
          </w14:textFill>
        </w:rPr>
        <w:t>9.1</w:t>
      </w:r>
      <w:r>
        <w:rPr>
          <w:rFonts w:hint="eastAsia" w:hAnsi="宋体" w:cs="宋体"/>
          <w:color w:val="000000" w:themeColor="text1"/>
          <w:szCs w:val="21"/>
          <w:highlight w:val="none"/>
          <w14:textFill>
            <w14:solidFill>
              <w14:schemeClr w14:val="tx1"/>
            </w14:solidFill>
          </w14:textFill>
        </w:rPr>
        <w:t>投标人应按下列说明及第六章投标文件格式要求编写和提供。应递交的有关文件如未特别注明为复印件的，须提供原件。原件、复印件均须加盖投标人公章</w:t>
      </w:r>
      <w:r>
        <w:rPr>
          <w:rFonts w:hint="eastAsia" w:hAnsi="宋体" w:cs="宋体"/>
          <w:bCs/>
          <w:color w:val="000000" w:themeColor="text1"/>
          <w:szCs w:val="21"/>
          <w:highlight w:val="none"/>
          <w14:textFill>
            <w14:solidFill>
              <w14:schemeClr w14:val="tx1"/>
            </w14:solidFill>
          </w14:textFill>
        </w:rPr>
        <w:t>。</w:t>
      </w:r>
    </w:p>
    <w:p>
      <w:pPr>
        <w:pStyle w:val="20"/>
        <w:spacing w:line="400" w:lineRule="exact"/>
        <w:ind w:firstLine="422" w:firstLineChars="200"/>
        <w:rPr>
          <w:rFonts w:hAnsi="宋体" w:cs="宋体"/>
          <w:color w:val="000000" w:themeColor="text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一、报价文件</w:t>
      </w:r>
      <w:r>
        <w:rPr>
          <w:rFonts w:hint="eastAsia" w:hAnsi="宋体" w:cs="宋体"/>
          <w:color w:val="000000" w:themeColor="text1"/>
          <w:highlight w:val="none"/>
          <w14:textFill>
            <w14:solidFill>
              <w14:schemeClr w14:val="tx1"/>
            </w14:solidFill>
          </w14:textFill>
        </w:rPr>
        <w:t>（第1～3项为必须提供）</w:t>
      </w:r>
    </w:p>
    <w:p>
      <w:pPr>
        <w:snapToGrid w:val="0"/>
        <w:spacing w:line="40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1、开标一览表</w:t>
      </w:r>
    </w:p>
    <w:p>
      <w:pPr>
        <w:snapToGrid w:val="0"/>
        <w:spacing w:line="40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投标</w:t>
      </w:r>
      <w:r>
        <w:rPr>
          <w:rFonts w:hint="eastAsia" w:ascii="宋体" w:hAnsi="宋体" w:cs="宋体"/>
          <w:color w:val="000000" w:themeColor="text1"/>
          <w:highlight w:val="none"/>
          <w14:textFill>
            <w14:solidFill>
              <w14:schemeClr w14:val="tx1"/>
            </w14:solidFill>
          </w14:textFill>
        </w:rPr>
        <w:t>函</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3、投标报价明细表</w:t>
      </w:r>
    </w:p>
    <w:p>
      <w:pPr>
        <w:snapToGrid w:val="0"/>
        <w:spacing w:line="400" w:lineRule="exact"/>
        <w:ind w:firstLine="420" w:firstLineChars="200"/>
        <w:jc w:val="left"/>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4、投标人符合政府采购政策价格扣除证明材料（如有，由投标人根据自己实际情况提供）</w:t>
      </w:r>
    </w:p>
    <w:p>
      <w:pPr>
        <w:pStyle w:val="20"/>
        <w:spacing w:line="400" w:lineRule="exact"/>
        <w:ind w:right="-126" w:rightChars="-60" w:firstLine="422" w:firstLineChars="200"/>
        <w:rPr>
          <w:rFonts w:hAnsi="宋体" w:cs="宋体"/>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二、资格资信证明文件</w:t>
      </w:r>
      <w:r>
        <w:rPr>
          <w:rFonts w:hint="eastAsia" w:hAnsi="宋体" w:cs="宋体"/>
          <w:color w:val="000000" w:themeColor="text1"/>
          <w:highlight w:val="none"/>
          <w14:textFill>
            <w14:solidFill>
              <w14:schemeClr w14:val="tx1"/>
            </w14:solidFill>
          </w14:textFill>
        </w:rPr>
        <w:t>（第1～9项必须提供，其中第5项委托代理时必须提供且按要求签字盖章</w:t>
      </w:r>
      <w:r>
        <w:rPr>
          <w:rFonts w:hint="eastAsia" w:hAnsi="宋体"/>
          <w:bCs/>
          <w:color w:val="000000" w:themeColor="text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w:t>
      </w:r>
    </w:p>
    <w:p>
      <w:pPr>
        <w:pStyle w:val="20"/>
        <w:spacing w:line="400" w:lineRule="exact"/>
        <w:ind w:right="-126" w:rightChars="-60"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1、投标声明书；</w:t>
      </w:r>
    </w:p>
    <w:p>
      <w:pPr>
        <w:pStyle w:val="20"/>
        <w:spacing w:line="400" w:lineRule="exact"/>
        <w:ind w:firstLine="42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2、投标保证金声明或支票、汇票、本票、保函等非转账形式保证金证明复印件；</w:t>
      </w:r>
    </w:p>
    <w:p>
      <w:pPr>
        <w:pStyle w:val="20"/>
        <w:spacing w:line="400" w:lineRule="exact"/>
        <w:ind w:firstLine="42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3、购买招标文件证明复印件；</w:t>
      </w:r>
    </w:p>
    <w:p>
      <w:pPr>
        <w:pStyle w:val="20"/>
        <w:spacing w:line="400" w:lineRule="exact"/>
        <w:ind w:firstLine="42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4、法定代表人（或负责人）身份证明原件；</w:t>
      </w:r>
    </w:p>
    <w:p>
      <w:pPr>
        <w:pStyle w:val="20"/>
        <w:spacing w:line="400" w:lineRule="exact"/>
        <w:ind w:firstLine="42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5、法定代表人（</w:t>
      </w:r>
      <w:r>
        <w:rPr>
          <w:rFonts w:hint="eastAsia" w:hAnsi="宋体"/>
          <w:bCs/>
          <w:color w:val="000000" w:themeColor="text1"/>
          <w:highlight w:val="none"/>
          <w14:textFill>
            <w14:solidFill>
              <w14:schemeClr w14:val="tx1"/>
            </w14:solidFill>
          </w14:textFill>
        </w:rPr>
        <w:t>或负责人</w:t>
      </w:r>
      <w:r>
        <w:rPr>
          <w:rFonts w:hint="eastAsia" w:hAnsi="宋体" w:cs="宋体"/>
          <w:bCs/>
          <w:color w:val="000000" w:themeColor="text1"/>
          <w:highlight w:val="none"/>
          <w14:textFill>
            <w14:solidFill>
              <w14:schemeClr w14:val="tx1"/>
            </w14:solidFill>
          </w14:textFill>
        </w:rPr>
        <w:t>）授权委托书原件（如委托代理人参加投标时）；</w:t>
      </w:r>
    </w:p>
    <w:p>
      <w:pPr>
        <w:pStyle w:val="20"/>
        <w:spacing w:line="400" w:lineRule="exact"/>
        <w:ind w:left="718" w:leftChars="192" w:hanging="315" w:hangingChars="150"/>
        <w:rPr>
          <w:rFonts w:hint="eastAsia" w:hAnsi="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6、</w:t>
      </w:r>
      <w:r>
        <w:rPr>
          <w:rFonts w:hint="eastAsia" w:hAnsi="宋体"/>
          <w:bCs/>
          <w:color w:val="000000" w:themeColor="text1"/>
          <w:highlight w:val="none"/>
          <w14:textFill>
            <w14:solidFill>
              <w14:schemeClr w14:val="tx1"/>
            </w14:solidFill>
          </w14:textFill>
        </w:rPr>
        <w:t>投标人有效的营业执照正本或副本复印件或事业单位法人证书复印件（如投标人为事业单位）；</w:t>
      </w:r>
    </w:p>
    <w:p>
      <w:pPr>
        <w:snapToGrid w:val="0"/>
        <w:spacing w:line="40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lang w:eastAsia="zh-CN"/>
          <w14:textFill>
            <w14:solidFill>
              <w14:schemeClr w14:val="tx1"/>
            </w14:solidFill>
          </w14:textFill>
        </w:rPr>
        <w:t>2020年3月1日</w:t>
      </w:r>
      <w:r>
        <w:rPr>
          <w:rFonts w:hint="eastAsia" w:ascii="宋体" w:hAnsi="宋体" w:cs="宋体"/>
          <w:color w:val="000000" w:themeColor="text1"/>
          <w:szCs w:val="21"/>
          <w:highlight w:val="none"/>
          <w14:textFill>
            <w14:solidFill>
              <w14:schemeClr w14:val="tx1"/>
            </w14:solidFill>
          </w14:textFill>
        </w:rPr>
        <w:t>以来，投标人连续三个月（如属新成立的公司不足三个月的递交工商注册之月起的纳税证明）投标人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pStyle w:val="20"/>
        <w:spacing w:line="400" w:lineRule="exact"/>
        <w:ind w:left="17" w:leftChars="8" w:firstLine="384" w:firstLineChars="183"/>
        <w:rPr>
          <w:rFonts w:hint="eastAsia" w:hAnsi="宋体"/>
          <w:bCs/>
          <w:color w:val="000000" w:themeColor="text1"/>
          <w:highlight w:val="none"/>
          <w14:textFill>
            <w14:solidFill>
              <w14:schemeClr w14:val="tx1"/>
            </w14:solidFill>
          </w14:textFill>
        </w:rPr>
      </w:pPr>
      <w:r>
        <w:rPr>
          <w:rFonts w:hint="eastAsia" w:hAnsi="宋体" w:cs="宋体"/>
          <w:color w:val="000000" w:themeColor="text1"/>
          <w:szCs w:val="21"/>
          <w:highlight w:val="none"/>
          <w:lang w:val="en-US" w:eastAsia="zh-CN"/>
          <w14:textFill>
            <w14:solidFill>
              <w14:schemeClr w14:val="tx1"/>
            </w14:solidFill>
          </w14:textFill>
        </w:rPr>
        <w:t>8、</w:t>
      </w:r>
      <w:r>
        <w:rPr>
          <w:rFonts w:hint="eastAsia" w:hAnsi="宋体" w:cs="宋体"/>
          <w:color w:val="000000" w:themeColor="text1"/>
          <w:szCs w:val="21"/>
          <w:highlight w:val="none"/>
          <w:lang w:eastAsia="zh-CN"/>
          <w14:textFill>
            <w14:solidFill>
              <w14:schemeClr w14:val="tx1"/>
            </w14:solidFill>
          </w14:textFill>
        </w:rPr>
        <w:t>2020年3月1日</w:t>
      </w:r>
      <w:r>
        <w:rPr>
          <w:rFonts w:hint="eastAsia" w:ascii="宋体" w:hAnsi="宋体" w:cs="宋体"/>
          <w:color w:val="000000" w:themeColor="text1"/>
          <w:szCs w:val="21"/>
          <w:highlight w:val="none"/>
          <w14:textFill>
            <w14:solidFill>
              <w14:schemeClr w14:val="tx1"/>
            </w14:solidFill>
          </w14:textFill>
        </w:rPr>
        <w:t>以来，投标人连续三个月(如属新成立的公司不足三个月的递交工商注册之月起的社保证明)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pStyle w:val="20"/>
        <w:ind w:firstLine="420" w:firstLineChars="200"/>
        <w:rPr>
          <w:rFonts w:hAnsi="宋体" w:cs="宋体"/>
          <w:bCs/>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w:t>
      </w:r>
      <w:r>
        <w:rPr>
          <w:rFonts w:hint="eastAsia" w:hAnsi="宋体" w:cs="宋体"/>
          <w:bCs/>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投标人201</w:t>
      </w:r>
      <w:r>
        <w:rPr>
          <w:rFonts w:hint="eastAsia" w:ascii="宋体" w:hAnsi="宋体" w:cs="宋体"/>
          <w:color w:val="000000" w:themeColor="text1"/>
          <w:szCs w:val="21"/>
          <w:highlight w:val="none"/>
          <w:lang w:val="en-US"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年度财务报表（至少包括利润损益表和资产负债表,新成立的公司按实际情况提供一个季度或一个月的财务报表）；</w:t>
      </w:r>
    </w:p>
    <w:p>
      <w:pPr>
        <w:pStyle w:val="20"/>
        <w:spacing w:line="400" w:lineRule="exact"/>
        <w:ind w:firstLine="422" w:firstLineChars="20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三、商务文件</w:t>
      </w:r>
      <w:r>
        <w:rPr>
          <w:rFonts w:hint="eastAsia" w:hAnsi="宋体" w:cs="宋体"/>
          <w:color w:val="000000" w:themeColor="text1"/>
          <w:szCs w:val="21"/>
          <w:highlight w:val="none"/>
          <w14:textFill>
            <w14:solidFill>
              <w14:schemeClr w14:val="tx1"/>
            </w14:solidFill>
          </w14:textFill>
        </w:rPr>
        <w:t>（第1～2项为必须提供）</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1、商务条款响应表</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2、售后服务方案（投标人根据本项目要求及自己的实际情况自行编写，内容包括质保期、本地化服务、技术培训及指导、负责售后维修的主管人员情况、解决故障的响应时间等）</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3、投标人符合政府采购政策加分条件证明材料（如有，请提供）</w:t>
      </w:r>
    </w:p>
    <w:p>
      <w:pPr>
        <w:snapToGrid w:val="0"/>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w:t>
      </w:r>
      <w:r>
        <w:rPr>
          <w:rFonts w:hint="eastAsia" w:ascii="宋体" w:hAnsi="宋体" w:cs="宋体"/>
          <w:color w:val="000000" w:themeColor="text1"/>
          <w:highlight w:val="none"/>
          <w14:textFill>
            <w14:solidFill>
              <w14:schemeClr w14:val="tx1"/>
            </w14:solidFill>
          </w14:textFill>
        </w:rPr>
        <w:t>认为需要提供的其它资料</w:t>
      </w:r>
      <w:r>
        <w:rPr>
          <w:rFonts w:hint="eastAsia" w:ascii="宋体" w:hAnsi="宋体" w:cs="宋体"/>
          <w:color w:val="000000" w:themeColor="text1"/>
          <w:szCs w:val="21"/>
          <w:highlight w:val="none"/>
          <w14:textFill>
            <w14:solidFill>
              <w14:schemeClr w14:val="tx1"/>
            </w14:solidFill>
          </w14:textFill>
        </w:rPr>
        <w:t>（如有，由投标人根据自己实际情况提供）</w:t>
      </w:r>
    </w:p>
    <w:p>
      <w:pPr>
        <w:pStyle w:val="20"/>
        <w:spacing w:line="400" w:lineRule="exact"/>
        <w:ind w:firstLine="422" w:firstLineChars="20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四、技术文件</w:t>
      </w:r>
      <w:r>
        <w:rPr>
          <w:rFonts w:hint="eastAsia" w:hAnsi="宋体" w:cs="宋体"/>
          <w:color w:val="000000" w:themeColor="text1"/>
          <w:szCs w:val="21"/>
          <w:highlight w:val="none"/>
          <w14:textFill>
            <w14:solidFill>
              <w14:schemeClr w14:val="tx1"/>
            </w14:solidFill>
          </w14:textFill>
        </w:rPr>
        <w:t>（第1～2项为必须提供，其他根据采购要求提供）</w:t>
      </w:r>
    </w:p>
    <w:p>
      <w:pPr>
        <w:pStyle w:val="20"/>
        <w:spacing w:line="400" w:lineRule="exact"/>
        <w:ind w:left="840" w:leftChars="20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1、技术要求响应表</w:t>
      </w:r>
    </w:p>
    <w:p>
      <w:pPr>
        <w:pStyle w:val="20"/>
        <w:spacing w:line="400" w:lineRule="exact"/>
        <w:ind w:left="840" w:leftChars="20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2、产品配置清单（均不含报价）</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w:t>
      </w:r>
      <w:r>
        <w:rPr>
          <w:rFonts w:hint="eastAsia" w:hAnsi="宋体" w:cs="宋体"/>
          <w:bCs/>
          <w:color w:val="000000" w:themeColor="text1"/>
          <w:kern w:val="0"/>
          <w:szCs w:val="21"/>
          <w:highlight w:val="none"/>
          <w14:textFill>
            <w14:solidFill>
              <w14:schemeClr w14:val="tx1"/>
            </w14:solidFill>
          </w14:textFill>
        </w:rPr>
        <w:t>证明货物和手续合格性的证明文件：</w:t>
      </w:r>
      <w:r>
        <w:rPr>
          <w:rFonts w:hint="eastAsia" w:hAnsi="宋体" w:cs="宋体"/>
          <w:color w:val="000000" w:themeColor="text1"/>
          <w:highlight w:val="none"/>
          <w14:textFill>
            <w14:solidFill>
              <w14:schemeClr w14:val="tx1"/>
            </w14:solidFill>
          </w14:textFill>
        </w:rPr>
        <w:t>生产、销售许可证（如国家实行强制性要求的）；产品样本、使用保养说明书、图纸、货物制造检测标准等技术资料；产品注册证、产品认证、检测报告、鉴定证书、</w:t>
      </w:r>
      <w:r>
        <w:rPr>
          <w:rFonts w:hint="eastAsia" w:hAnsi="宋体" w:cs="宋体"/>
          <w:bCs/>
          <w:color w:val="000000" w:themeColor="text1"/>
          <w:highlight w:val="none"/>
          <w14:textFill>
            <w14:solidFill>
              <w14:schemeClr w14:val="tx1"/>
            </w14:solidFill>
          </w14:textFill>
        </w:rPr>
        <w:t>进口产品合法进口手续证明、</w:t>
      </w:r>
      <w:r>
        <w:rPr>
          <w:rFonts w:hint="eastAsia" w:hAnsi="宋体" w:cs="宋体"/>
          <w:color w:val="000000" w:themeColor="text1"/>
          <w:highlight w:val="none"/>
          <w14:textFill>
            <w14:solidFill>
              <w14:schemeClr w14:val="tx1"/>
            </w14:solidFill>
          </w14:textFill>
        </w:rPr>
        <w:t>产品获奖证书等。</w:t>
      </w:r>
    </w:p>
    <w:p>
      <w:pPr>
        <w:pStyle w:val="20"/>
        <w:spacing w:line="400" w:lineRule="exact"/>
        <w:ind w:left="840" w:leftChars="20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r>
        <w:rPr>
          <w:rFonts w:hint="eastAsia" w:hAnsi="宋体" w:cs="宋体"/>
          <w:color w:val="000000" w:themeColor="text1"/>
          <w:szCs w:val="21"/>
          <w:highlight w:val="none"/>
          <w14:textFill>
            <w14:solidFill>
              <w14:schemeClr w14:val="tx1"/>
            </w14:solidFill>
          </w14:textFill>
        </w:rPr>
        <w:t>、投标人</w:t>
      </w:r>
      <w:r>
        <w:rPr>
          <w:rFonts w:hint="eastAsia" w:hAnsi="宋体" w:cs="宋体"/>
          <w:color w:val="000000" w:themeColor="text1"/>
          <w:highlight w:val="none"/>
          <w14:textFill>
            <w14:solidFill>
              <w14:schemeClr w14:val="tx1"/>
            </w14:solidFill>
          </w14:textFill>
        </w:rPr>
        <w:t>认为需要提供的其它资料</w:t>
      </w:r>
      <w:r>
        <w:rPr>
          <w:rFonts w:hint="eastAsia" w:hAnsi="宋体" w:cs="宋体"/>
          <w:color w:val="000000" w:themeColor="text1"/>
          <w:szCs w:val="21"/>
          <w:highlight w:val="none"/>
          <w14:textFill>
            <w14:solidFill>
              <w14:schemeClr w14:val="tx1"/>
            </w14:solidFill>
          </w14:textFill>
        </w:rPr>
        <w:t>（如有，由投标人根据自己实际情况提供）</w:t>
      </w:r>
    </w:p>
    <w:p>
      <w:pPr>
        <w:pStyle w:val="20"/>
        <w:spacing w:line="400" w:lineRule="exact"/>
        <w:ind w:hanging="5"/>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9.2投标人应完整、真实、准确的填写招标文件中规定的所有内容，对投标文件所提供的全部资料的真实性承担法律责任，并无条件接受招标采购单位及政府采购监督管理部门等对其中任何资料进行核实的要求。</w:t>
      </w:r>
    </w:p>
    <w:p>
      <w:pPr>
        <w:pStyle w:val="20"/>
        <w:spacing w:line="400" w:lineRule="exact"/>
        <w:ind w:hanging="5"/>
        <w:rPr>
          <w:rFonts w:hAnsi="宋体" w:cs="宋体"/>
          <w:b/>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9.3如果因为投标人投标文件填报的内容不详，或没有提供招标文件中所要求的全部资料及数据，由此造成的后果，其责任由投标人承担。</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13" w:name="_Toc469874175"/>
      <w:bookmarkStart w:id="114" w:name="_Toc200268247"/>
      <w:bookmarkStart w:id="115" w:name="_Toc185702557"/>
      <w:bookmarkStart w:id="116" w:name="_Toc405942983"/>
      <w:bookmarkStart w:id="117" w:name="_Toc395066525"/>
      <w:r>
        <w:rPr>
          <w:rFonts w:hint="eastAsia" w:ascii="宋体" w:hAnsi="宋体" w:eastAsia="宋体" w:cs="宋体"/>
          <w:color w:val="000000" w:themeColor="text1"/>
          <w:sz w:val="21"/>
          <w:szCs w:val="21"/>
          <w:highlight w:val="none"/>
          <w14:textFill>
            <w14:solidFill>
              <w14:schemeClr w14:val="tx1"/>
            </w14:solidFill>
          </w14:textFill>
        </w:rPr>
        <w:t>10、</w:t>
      </w:r>
      <w:bookmarkEnd w:id="113"/>
      <w:bookmarkEnd w:id="114"/>
      <w:bookmarkEnd w:id="115"/>
      <w:bookmarkEnd w:id="116"/>
      <w:bookmarkEnd w:id="117"/>
      <w:r>
        <w:rPr>
          <w:rFonts w:hint="eastAsia" w:ascii="宋体" w:hAnsi="宋体" w:eastAsia="宋体" w:cs="宋体"/>
          <w:color w:val="000000" w:themeColor="text1"/>
          <w:sz w:val="21"/>
          <w:szCs w:val="21"/>
          <w:highlight w:val="none"/>
          <w14:textFill>
            <w14:solidFill>
              <w14:schemeClr w14:val="tx1"/>
            </w14:solidFill>
          </w14:textFill>
        </w:rPr>
        <w:t>投标文件编制要求</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bookmarkStart w:id="118" w:name="_Toc185702558"/>
      <w:r>
        <w:rPr>
          <w:rFonts w:hint="eastAsia" w:hAnsi="宋体" w:cs="宋体"/>
          <w:color w:val="000000" w:themeColor="text1"/>
          <w:highlight w:val="none"/>
          <w14:textFill>
            <w14:solidFill>
              <w14:schemeClr w14:val="tx1"/>
            </w14:solidFill>
          </w14:textFill>
        </w:rPr>
        <w:t>10.1投标人应当按照招标文件的要求编制投标文件。投标文件应当对招标文件提出的要求和条件作出明确响应。</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10.2投标</w:t>
      </w:r>
      <w:r>
        <w:rPr>
          <w:rFonts w:hint="eastAsia" w:hAnsi="宋体" w:cs="宋体"/>
          <w:color w:val="000000" w:themeColor="text1"/>
          <w:szCs w:val="21"/>
          <w:highlight w:val="none"/>
          <w14:textFill>
            <w14:solidFill>
              <w14:schemeClr w14:val="tx1"/>
            </w14:solidFill>
          </w14:textFill>
        </w:rPr>
        <w:t>文件</w:t>
      </w:r>
      <w:r>
        <w:rPr>
          <w:rFonts w:hint="eastAsia" w:hAnsi="宋体" w:cs="宋体"/>
          <w:color w:val="000000" w:themeColor="text1"/>
          <w:highlight w:val="none"/>
          <w14:textFill>
            <w14:solidFill>
              <w14:schemeClr w14:val="tx1"/>
            </w14:solidFill>
          </w14:textFill>
        </w:rPr>
        <w:t>的份数：见本章须知前附表第6项规定。投标文件的封面应注明“正本”、“副本”字样。</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投标文件电子版：投标人在递交投标文件时同时递交投标文件电子版。</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①投标文件电子版内容：报价文件、资格资信证明文件、商务文件、技术文件。</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②投标文件电子版份数：1份。</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③投标文件电子版形式：可编辑的word文档格式。</w:t>
      </w:r>
    </w:p>
    <w:p>
      <w:pPr>
        <w:pStyle w:val="20"/>
        <w:spacing w:line="400" w:lineRule="exact"/>
        <w:ind w:left="525" w:leftChars="200" w:hanging="105" w:hanging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④投标文件电子版密封形式：投标文件电子版U盘与投标文件纸质版文件一并装入投标文件袋内。</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10.3投标文件正本、副本以胶装方式装订成册。</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10.4投标人应编制完整的页码、目录。投标文件正本必须打印或用不褪色的墨水填写。副本可以为正本的复印件，正本与副本</w:t>
      </w:r>
      <w:r>
        <w:rPr>
          <w:rFonts w:hint="eastAsia" w:hAnsi="宋体" w:cs="宋体"/>
          <w:color w:val="000000" w:themeColor="text1"/>
          <w:szCs w:val="21"/>
          <w:highlight w:val="none"/>
          <w14:textFill>
            <w14:solidFill>
              <w14:schemeClr w14:val="tx1"/>
            </w14:solidFill>
          </w14:textFill>
        </w:rPr>
        <w:t>不一致时，以正本为准。</w:t>
      </w:r>
    </w:p>
    <w:p>
      <w:pPr>
        <w:pStyle w:val="20"/>
        <w:spacing w:line="400" w:lineRule="exact"/>
        <w:ind w:left="420" w:hanging="420"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r>
        <w:rPr>
          <w:rFonts w:hint="eastAsia" w:hAnsi="宋体" w:cs="宋体"/>
          <w:color w:val="000000" w:themeColor="text1"/>
          <w:spacing w:val="-4"/>
          <w:szCs w:val="21"/>
          <w:highlight w:val="none"/>
          <w14:textFill>
            <w14:solidFill>
              <w14:schemeClr w14:val="tx1"/>
            </w14:solidFill>
          </w14:textFill>
        </w:rPr>
        <w:t>.5</w:t>
      </w:r>
      <w:r>
        <w:rPr>
          <w:rFonts w:hint="eastAsia" w:hAnsi="宋体" w:cs="宋体"/>
          <w:color w:val="000000" w:themeColor="text1"/>
          <w:szCs w:val="21"/>
          <w:highlight w:val="none"/>
          <w14:textFill>
            <w14:solidFill>
              <w14:schemeClr w14:val="tx1"/>
            </w14:solidFill>
          </w14:textFill>
        </w:rPr>
        <w:t>投标文件须由投标人在规定位置盖章并由法定代表人（</w:t>
      </w:r>
      <w:r>
        <w:rPr>
          <w:rFonts w:hint="eastAsia" w:hAnsi="宋体"/>
          <w:bCs/>
          <w:color w:val="000000" w:themeColor="text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）或法定代表人（</w:t>
      </w:r>
      <w:r>
        <w:rPr>
          <w:rFonts w:hint="eastAsia" w:hAnsi="宋体"/>
          <w:bCs/>
          <w:color w:val="000000" w:themeColor="text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）的授权委托人签署，投标人应写全称。</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10.6</w:t>
      </w:r>
      <w:r>
        <w:rPr>
          <w:rFonts w:hint="eastAsia" w:hAnsi="宋体" w:cs="宋体"/>
          <w:color w:val="000000" w:themeColor="text1"/>
          <w:szCs w:val="21"/>
          <w:highlight w:val="none"/>
          <w14:textFill>
            <w14:solidFill>
              <w14:schemeClr w14:val="tx1"/>
            </w14:solidFill>
          </w14:textFill>
        </w:rPr>
        <w:t>投标文件不得涂改，若有修改错漏处，须加盖投标人公章或者法定代表人（</w:t>
      </w:r>
      <w:r>
        <w:rPr>
          <w:rFonts w:hint="eastAsia" w:hAnsi="宋体"/>
          <w:bCs/>
          <w:color w:val="000000" w:themeColor="text1"/>
          <w:highlight w:val="none"/>
          <w14:textFill>
            <w14:solidFill>
              <w14:schemeClr w14:val="tx1"/>
            </w14:solidFill>
          </w14:textFill>
        </w:rPr>
        <w:t>或负责人</w:t>
      </w:r>
      <w:r>
        <w:rPr>
          <w:rFonts w:hint="eastAsia" w:hAnsi="宋体" w:cs="宋体"/>
          <w:color w:val="000000" w:themeColor="text1"/>
          <w:szCs w:val="21"/>
          <w:highlight w:val="none"/>
          <w14:textFill>
            <w14:solidFill>
              <w14:schemeClr w14:val="tx1"/>
            </w14:solidFill>
          </w14:textFill>
        </w:rPr>
        <w:t>）或授权委托人签字。投标文件未按要求填写所引起的投标无效由投标人负责。</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10.7</w:t>
      </w:r>
      <w:r>
        <w:rPr>
          <w:rFonts w:hint="eastAsia" w:hAnsi="宋体" w:cs="宋体"/>
          <w:color w:val="000000" w:themeColor="text1"/>
          <w:szCs w:val="21"/>
          <w:highlight w:val="none"/>
          <w14:textFill>
            <w14:solidFill>
              <w14:schemeClr w14:val="tx1"/>
            </w14:solidFill>
          </w14:textFill>
        </w:rPr>
        <w:t>投标文件内容不完整、漏读或者查找不到相关内容导致投标文件被视为无效的后果由投标人自行负责。</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19" w:name="_Toc469874176"/>
      <w:bookmarkStart w:id="120" w:name="_Toc405942984"/>
      <w:bookmarkStart w:id="121" w:name="_Toc395066526"/>
      <w:bookmarkStart w:id="122" w:name="_Toc200268248"/>
      <w:r>
        <w:rPr>
          <w:rFonts w:hint="eastAsia" w:ascii="宋体" w:hAnsi="宋体" w:eastAsia="宋体" w:cs="宋体"/>
          <w:color w:val="000000" w:themeColor="text1"/>
          <w:sz w:val="21"/>
          <w:szCs w:val="21"/>
          <w:highlight w:val="none"/>
          <w14:textFill>
            <w14:solidFill>
              <w14:schemeClr w14:val="tx1"/>
            </w14:solidFill>
          </w14:textFill>
        </w:rPr>
        <w:t>11、</w:t>
      </w:r>
      <w:bookmarkEnd w:id="118"/>
      <w:bookmarkEnd w:id="119"/>
      <w:bookmarkEnd w:id="120"/>
      <w:bookmarkEnd w:id="121"/>
      <w:bookmarkEnd w:id="122"/>
      <w:r>
        <w:rPr>
          <w:rFonts w:hint="eastAsia" w:ascii="宋体" w:hAnsi="宋体" w:eastAsia="宋体" w:cs="宋体"/>
          <w:color w:val="000000" w:themeColor="text1"/>
          <w:sz w:val="21"/>
          <w:szCs w:val="21"/>
          <w:highlight w:val="none"/>
          <w14:textFill>
            <w14:solidFill>
              <w14:schemeClr w14:val="tx1"/>
            </w14:solidFill>
          </w14:textFill>
        </w:rPr>
        <w:t>投标文件的语言及计量单位</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bookmarkStart w:id="123" w:name="_Toc200268249"/>
      <w:bookmarkStart w:id="124" w:name="_Toc185702559"/>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11.1语言。投标人提交的投标文件以及投标人与采购人、采购代理机构就有关投标的所有来往函电，</w:t>
      </w:r>
      <w:r>
        <w:rPr>
          <w:rFonts w:hint="eastAsia" w:hAnsi="宋体" w:cs="宋体"/>
          <w:color w:val="000000" w:themeColor="text1"/>
          <w:szCs w:val="21"/>
          <w:highlight w:val="none"/>
          <w14:textFill>
            <w14:solidFill>
              <w14:schemeClr w14:val="tx1"/>
            </w14:solidFill>
          </w14:textFill>
        </w:rPr>
        <w:t>均应以中文汉语书写。</w:t>
      </w:r>
      <w:r>
        <w:rPr>
          <w:rFonts w:hint="eastAsia" w:hAnsi="宋体" w:cs="宋体"/>
          <w:color w:val="000000" w:themeColor="text1"/>
          <w:highlight w:val="none"/>
          <w14:textFill>
            <w14:solidFill>
              <w14:schemeClr w14:val="tx1"/>
            </w14:solidFill>
          </w14:textFill>
        </w:rPr>
        <w:t>除签名、盖章、专用名称等特殊情形外，以中文汉语以外的文字表述的投标文件视同未提供。</w:t>
      </w:r>
    </w:p>
    <w:p>
      <w:pPr>
        <w:pStyle w:val="20"/>
        <w:spacing w:line="380" w:lineRule="exact"/>
        <w:ind w:left="525" w:hanging="525" w:hangingChars="25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11.2</w:t>
      </w:r>
      <w:r>
        <w:rPr>
          <w:rFonts w:hint="eastAsia" w:hAnsi="宋体" w:cs="宋体"/>
          <w:color w:val="000000" w:themeColor="text1"/>
          <w:szCs w:val="21"/>
          <w:highlight w:val="none"/>
          <w14:textFill>
            <w14:solidFill>
              <w14:schemeClr w14:val="tx1"/>
            </w14:solidFill>
          </w14:textFill>
        </w:rPr>
        <w:t>计量单位。招标文件已有明确规定的，投标使用招标文件规定的计量单位；招标文件没有规定的，应采用中华人民共和国法定计量单位，否则视为无效投标。</w:t>
      </w:r>
    </w:p>
    <w:bookmarkEnd w:id="123"/>
    <w:bookmarkEnd w:id="124"/>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25" w:name="_Toc185702560"/>
      <w:bookmarkStart w:id="126" w:name="_Toc200268250"/>
      <w:bookmarkStart w:id="127" w:name="_Toc469874177"/>
      <w:bookmarkStart w:id="128" w:name="_Toc405942986"/>
      <w:bookmarkStart w:id="129" w:name="_Toc395066528"/>
      <w:r>
        <w:rPr>
          <w:rFonts w:hint="eastAsia" w:hAnsi="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12、投标报价</w:t>
      </w:r>
      <w:bookmarkEnd w:id="125"/>
      <w:bookmarkEnd w:id="126"/>
      <w:bookmarkEnd w:id="127"/>
      <w:bookmarkEnd w:id="128"/>
      <w:bookmarkEnd w:id="129"/>
    </w:p>
    <w:p>
      <w:pPr>
        <w:pStyle w:val="20"/>
        <w:spacing w:line="400" w:lineRule="exact"/>
        <w:ind w:left="525" w:hanging="525" w:hangingChars="250"/>
        <w:rPr>
          <w:rFonts w:hAnsi="宋体" w:cs="宋体"/>
          <w:color w:val="000000" w:themeColor="text1"/>
          <w:szCs w:val="21"/>
          <w:highlight w:val="none"/>
          <w14:textFill>
            <w14:solidFill>
              <w14:schemeClr w14:val="tx1"/>
            </w14:solidFill>
          </w14:textFill>
        </w:rPr>
      </w:pPr>
      <w:bookmarkStart w:id="130" w:name="_Toc395066532"/>
      <w:bookmarkStart w:id="131" w:name="_Toc185702564"/>
      <w:bookmarkStart w:id="132" w:name="_Toc469874178"/>
      <w:bookmarkStart w:id="133" w:name="_Toc200268253"/>
      <w:bookmarkStart w:id="134" w:name="_Toc405942990"/>
      <w:r>
        <w:rPr>
          <w:rFonts w:hint="eastAsia" w:hAnsi="宋体" w:cs="宋体"/>
          <w:color w:val="000000" w:themeColor="text1"/>
          <w:highlight w:val="none"/>
          <w14:textFill>
            <w14:solidFill>
              <w14:schemeClr w14:val="tx1"/>
            </w14:solidFill>
          </w14:textFill>
        </w:rPr>
        <w:t>12.1</w:t>
      </w:r>
      <w:r>
        <w:rPr>
          <w:rFonts w:hint="eastAsia" w:hAnsi="宋体" w:cs="宋体"/>
          <w:color w:val="000000" w:themeColor="text1"/>
          <w:szCs w:val="21"/>
          <w:highlight w:val="none"/>
          <w14:textFill>
            <w14:solidFill>
              <w14:schemeClr w14:val="tx1"/>
            </w14:solidFill>
          </w14:textFill>
        </w:rPr>
        <w:t>投标报价：</w:t>
      </w:r>
      <w:r>
        <w:rPr>
          <w:rFonts w:hint="eastAsia" w:hAnsi="宋体" w:cs="宋体"/>
          <w:color w:val="000000" w:themeColor="text1"/>
          <w:highlight w:val="none"/>
          <w14:textFill>
            <w14:solidFill>
              <w14:schemeClr w14:val="tx1"/>
            </w14:solidFill>
          </w14:textFill>
        </w:rPr>
        <w:t>投标人就第二章“采购内容及要求”中的项目和服务内容可能发生的所有费用作唯一完整报价。（本项目只允许递交一个方案的报价，不接受任何有选择性的报价。）</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12.2投标人所提供的货物和服务均应以人民币报价，若同时以人民币及外币报价的，以人民币报价为准。</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12.3投标人的投标报价是履行合同的最终价格。应包括“第二章采购内容及要求”的内容、责任范围以及合同条款规定的价格。</w:t>
      </w:r>
      <w:r>
        <w:rPr>
          <w:rFonts w:hint="eastAsia" w:hAnsi="宋体" w:cs="宋体"/>
          <w:color w:val="000000" w:themeColor="text1"/>
          <w:kern w:val="1"/>
          <w:szCs w:val="21"/>
          <w:highlight w:val="none"/>
          <w14:textFill>
            <w14:solidFill>
              <w14:schemeClr w14:val="tx1"/>
            </w14:solidFill>
          </w14:textFill>
        </w:rPr>
        <w:t>对于招标文件中未列明，而投标人认为必需的费用也需列入总报价。在合同实施时，采购人将不予支付中标人没有列入的项目费用，并认为此项目的费用已包括在总报价中。</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12.4如有《投标报价明细表》，填写时应响应下列要求：</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（1）对于报价免费的项目必须标明“免费”；</w:t>
      </w:r>
    </w:p>
    <w:p>
      <w:pPr>
        <w:pStyle w:val="20"/>
        <w:spacing w:line="40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r>
        <w:rPr>
          <w:rFonts w:hint="eastAsia" w:hAnsi="宋体" w:cs="宋体"/>
          <w:color w:val="000000" w:themeColor="text1"/>
          <w:kern w:val="0"/>
          <w:szCs w:val="21"/>
          <w:highlight w:val="none"/>
          <w14:textFill>
            <w14:solidFill>
              <w14:schemeClr w14:val="tx1"/>
            </w14:solidFill>
          </w14:textFill>
        </w:rPr>
        <w:t>投标报价</w:t>
      </w:r>
      <w:r>
        <w:rPr>
          <w:rFonts w:hint="eastAsia" w:hAnsi="宋体" w:cs="宋体"/>
          <w:color w:val="000000" w:themeColor="text1"/>
          <w:highlight w:val="none"/>
          <w14:textFill>
            <w14:solidFill>
              <w14:schemeClr w14:val="tx1"/>
            </w14:solidFill>
          </w14:textFill>
        </w:rPr>
        <w:t>包含货物、服务、安装调试、随配附件、备品备件、工具、辅助材料、货物运抵指定交货地点安装的各种费用售后服务、税金及其它所有成本费用的总和（其中：安装附件所涉及的费用应包括完整的安装、调试，各种接口及连接件、施工材料、辅助材料、支架、线材及人工费用），投标人漏项报价的或有选择的或有条件的报价，其投标文件将视为无效。</w:t>
      </w:r>
    </w:p>
    <w:p>
      <w:pPr>
        <w:pStyle w:val="20"/>
        <w:spacing w:line="38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12.5投标人所填报的产品内容如存在有漏项的情况且在评标时被接受，则将被认定为该遗漏项已包含在投标报价中，采购人对其漏报的项目不追加任何货款。</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13、投标的有效期</w:t>
      </w:r>
      <w:bookmarkEnd w:id="130"/>
      <w:bookmarkEnd w:id="131"/>
      <w:bookmarkEnd w:id="132"/>
      <w:bookmarkEnd w:id="133"/>
      <w:bookmarkEnd w:id="134"/>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13.1投标</w:t>
      </w:r>
      <w:r>
        <w:rPr>
          <w:rFonts w:hint="eastAsia" w:hAnsi="宋体" w:cs="宋体"/>
          <w:color w:val="000000" w:themeColor="text1"/>
          <w:szCs w:val="21"/>
          <w:highlight w:val="none"/>
          <w14:textFill>
            <w14:solidFill>
              <w14:schemeClr w14:val="tx1"/>
            </w14:solidFill>
          </w14:textFill>
        </w:rPr>
        <w:t>有效期</w:t>
      </w: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spacing w:val="-2"/>
          <w:szCs w:val="21"/>
          <w:highlight w:val="none"/>
          <w14:textFill>
            <w14:solidFill>
              <w14:schemeClr w14:val="tx1"/>
            </w14:solidFill>
          </w14:textFill>
        </w:rPr>
        <w:t>投标</w:t>
      </w:r>
      <w:r>
        <w:rPr>
          <w:rFonts w:hint="eastAsia" w:hAnsi="宋体" w:cs="宋体"/>
          <w:color w:val="000000" w:themeColor="text1"/>
          <w:highlight w:val="none"/>
          <w14:textFill>
            <w14:solidFill>
              <w14:schemeClr w14:val="tx1"/>
            </w14:solidFill>
          </w14:textFill>
        </w:rPr>
        <w:t>文件从投标截止日起60天内有效。有效期不足的投标文件视为无效。</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13.2在特殊情况下，采购人、采购代理机构可于投标有效期满之前要求投标人同意延长有效期，要求与答复均应以书面形式。投标人可以拒绝上述要求而其投标保证金不被没收，不同意延期的投标人的投标保证金将在中标通知书发出后5个工作日内无息退还。同意延期的投标人根据原截止期应负之权利及责任相应也延至新的截止期，但不能要求对原投标文件（经评标小组确认有效且没有超出投标文件的范围或改变投标的实质内容的澄清或说明作为投标文件的组成部分）作任何改变，并同意在延长的投标有效期内遵循本投标文件，在延长的投标有效期满之前继续具有约束力。</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35" w:name="_Toc200268254"/>
      <w:bookmarkStart w:id="136" w:name="_Toc185702565"/>
      <w:bookmarkStart w:id="137" w:name="_Toc395066533"/>
      <w:bookmarkStart w:id="138" w:name="_Toc469874179"/>
      <w:bookmarkStart w:id="139" w:name="_Toc405942991"/>
      <w:r>
        <w:rPr>
          <w:rFonts w:hint="eastAsia" w:ascii="宋体" w:hAnsi="宋体" w:eastAsia="宋体" w:cs="宋体"/>
          <w:color w:val="000000" w:themeColor="text1"/>
          <w:sz w:val="21"/>
          <w:szCs w:val="21"/>
          <w:highlight w:val="none"/>
          <w14:textFill>
            <w14:solidFill>
              <w14:schemeClr w14:val="tx1"/>
            </w14:solidFill>
          </w14:textFill>
        </w:rPr>
        <w:t>14、</w:t>
      </w:r>
      <w:bookmarkEnd w:id="135"/>
      <w:bookmarkEnd w:id="136"/>
      <w:bookmarkEnd w:id="137"/>
      <w:bookmarkEnd w:id="138"/>
      <w:bookmarkEnd w:id="139"/>
      <w:r>
        <w:rPr>
          <w:rFonts w:hint="eastAsia" w:ascii="宋体" w:hAnsi="宋体" w:eastAsia="宋体" w:cs="宋体"/>
          <w:color w:val="000000" w:themeColor="text1"/>
          <w:sz w:val="21"/>
          <w:szCs w:val="21"/>
          <w:highlight w:val="none"/>
          <w14:textFill>
            <w14:solidFill>
              <w14:schemeClr w14:val="tx1"/>
            </w14:solidFill>
          </w14:textFill>
        </w:rPr>
        <w:t>投标保证金</w:t>
      </w:r>
    </w:p>
    <w:p>
      <w:pPr>
        <w:pStyle w:val="20"/>
        <w:spacing w:line="400" w:lineRule="exact"/>
        <w:ind w:left="525" w:hanging="525" w:hangingChars="250"/>
        <w:rPr>
          <w:rFonts w:hAnsi="宋体" w:cs="宋体"/>
          <w:color w:val="000000" w:themeColor="text1"/>
          <w:spacing w:val="-4"/>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w:t>
      </w:r>
      <w:r>
        <w:rPr>
          <w:rFonts w:hint="eastAsia" w:hAnsi="宋体" w:cs="宋体"/>
          <w:color w:val="000000" w:themeColor="text1"/>
          <w:spacing w:val="-4"/>
          <w:highlight w:val="none"/>
          <w14:textFill>
            <w14:solidFill>
              <w14:schemeClr w14:val="tx1"/>
            </w14:solidFill>
          </w14:textFill>
        </w:rPr>
        <w:t>14.1</w:t>
      </w:r>
      <w:r>
        <w:rPr>
          <w:rFonts w:hint="eastAsia" w:hAnsi="宋体" w:cs="宋体"/>
          <w:color w:val="000000" w:themeColor="text1"/>
          <w:szCs w:val="21"/>
          <w:highlight w:val="none"/>
          <w14:textFill>
            <w14:solidFill>
              <w14:schemeClr w14:val="tx1"/>
            </w14:solidFill>
          </w14:textFill>
        </w:rPr>
        <w:t>投标人应按本章</w:t>
      </w:r>
      <w:r>
        <w:rPr>
          <w:rFonts w:hint="eastAsia" w:hAnsi="宋体" w:cs="宋体"/>
          <w:color w:val="000000" w:themeColor="text1"/>
          <w:spacing w:val="-4"/>
          <w:highlight w:val="none"/>
          <w14:textFill>
            <w14:solidFill>
              <w14:schemeClr w14:val="tx1"/>
            </w14:solidFill>
          </w14:textFill>
        </w:rPr>
        <w:t>须知前附表第9项规定的金额和期限交纳投标保证金</w:t>
      </w:r>
      <w:r>
        <w:rPr>
          <w:rFonts w:hint="eastAsia" w:hAnsi="宋体" w:cs="宋体"/>
          <w:color w:val="000000" w:themeColor="text1"/>
          <w:szCs w:val="21"/>
          <w:highlight w:val="none"/>
          <w14:textFill>
            <w14:solidFill>
              <w14:schemeClr w14:val="tx1"/>
            </w14:solidFill>
          </w14:textFill>
        </w:rPr>
        <w:t>，投标保证金作为投标文件的组成部分</w:t>
      </w:r>
      <w:r>
        <w:rPr>
          <w:rFonts w:hint="eastAsia" w:hAnsi="宋体" w:cs="宋体"/>
          <w:color w:val="000000" w:themeColor="text1"/>
          <w:highlight w:val="none"/>
          <w14:textFill>
            <w14:solidFill>
              <w14:schemeClr w14:val="tx1"/>
            </w14:solidFill>
          </w14:textFill>
        </w:rPr>
        <w:t>。未按规定交纳投标保证金或未提供相关递交证明的，将视其为不响应投标条件而予以拒绝。</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14.2落标人办理退投标保证金手续时，须向</w:t>
      </w:r>
      <w:r>
        <w:rPr>
          <w:rFonts w:hint="eastAsia" w:hAnsi="宋体" w:cs="宋体"/>
          <w:color w:val="000000" w:themeColor="text1"/>
          <w:highlight w:val="none"/>
          <w:u w:val="single"/>
          <w14:textFill>
            <w14:solidFill>
              <w14:schemeClr w14:val="tx1"/>
            </w14:solidFill>
          </w14:textFill>
        </w:rPr>
        <w:t>采购代理机构财务部</w:t>
      </w:r>
      <w:r>
        <w:rPr>
          <w:rFonts w:hint="eastAsia" w:hAnsi="宋体" w:cs="宋体"/>
          <w:color w:val="000000" w:themeColor="text1"/>
          <w:highlight w:val="none"/>
          <w14:textFill>
            <w14:solidFill>
              <w14:schemeClr w14:val="tx1"/>
            </w14:solidFill>
          </w14:textFill>
        </w:rPr>
        <w:t>递交“投标保证金声明原件”申请</w:t>
      </w:r>
      <w:r>
        <w:rPr>
          <w:rFonts w:hAnsi="宋体" w:cs="宋体"/>
          <w:color w:val="000000" w:themeColor="text1"/>
          <w:highlight w:val="none"/>
          <w14:textFill>
            <w14:solidFill>
              <w14:schemeClr w14:val="tx1"/>
            </w14:solidFill>
          </w14:textFill>
        </w:rPr>
        <w:t>退还。</w:t>
      </w:r>
      <w:r>
        <w:rPr>
          <w:rFonts w:hAnsi="宋体" w:cs="宋体"/>
          <w:color w:val="000000" w:themeColor="text1"/>
          <w:highlight w:val="none"/>
          <w:u w:val="single"/>
          <w14:textFill>
            <w14:solidFill>
              <w14:schemeClr w14:val="tx1"/>
            </w14:solidFill>
          </w14:textFill>
        </w:rPr>
        <w:t>采购代理机构财务部</w:t>
      </w:r>
      <w:r>
        <w:rPr>
          <w:rFonts w:hAnsi="宋体" w:cs="宋体"/>
          <w:color w:val="000000" w:themeColor="text1"/>
          <w:highlight w:val="none"/>
          <w14:textFill>
            <w14:solidFill>
              <w14:schemeClr w14:val="tx1"/>
            </w14:solidFill>
          </w14:textFill>
        </w:rPr>
        <w:t>收到退还申请</w:t>
      </w:r>
      <w:r>
        <w:rPr>
          <w:rFonts w:hint="eastAsia" w:hAnsi="宋体" w:cs="宋体"/>
          <w:color w:val="000000" w:themeColor="text1"/>
          <w:highlight w:val="none"/>
          <w14:textFill>
            <w14:solidFill>
              <w14:schemeClr w14:val="tx1"/>
            </w14:solidFill>
          </w14:textFill>
        </w:rPr>
        <w:t>，将在中标通知书发出后5个工作日内无息原额退还，但因投标人自身原因导致无法及时退还的除外。</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14.3中标人的投标保证金,</w:t>
      </w:r>
      <w:r>
        <w:rPr>
          <w:rFonts w:hAnsi="宋体" w:cs="宋体"/>
          <w:color w:val="000000" w:themeColor="text1"/>
          <w:highlight w:val="none"/>
          <w14:textFill>
            <w14:solidFill>
              <w14:schemeClr w14:val="tx1"/>
            </w14:solidFill>
          </w14:textFill>
        </w:rPr>
        <w:t>自签订合同并缴纳履约保证金后</w:t>
      </w:r>
      <w:r>
        <w:rPr>
          <w:rFonts w:hint="eastAsia" w:hAnsi="宋体" w:cs="宋体"/>
          <w:color w:val="000000" w:themeColor="text1"/>
          <w:highlight w:val="none"/>
          <w14:textFill>
            <w14:solidFill>
              <w14:schemeClr w14:val="tx1"/>
            </w14:solidFill>
          </w14:textFill>
        </w:rPr>
        <w:t>5个工作日内无息原额退还，但因投标人自身原因导致无法及时退还的除外。</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14.4如有质疑或投诉，将在质疑和投诉处理完毕后无息原额退还。</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14.5有下列情形之一的，投标人的投标保证金不予退还：</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（1）在投标有效期内撤销其投标文件的；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（2）在投标过程中弄虚作假，提供虚假材料的；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（3）除因不可抗力或招标文件认可的情形以外，中标人无正当理由不与采购人签订合同的；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（4）将中标项目转让给他人；</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（5）拒绝履行合同义务的；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（6）其他严重扰乱招投标程序的；</w:t>
      </w:r>
    </w:p>
    <w:p>
      <w:pPr>
        <w:pStyle w:val="20"/>
        <w:spacing w:line="390" w:lineRule="exact"/>
        <w:ind w:left="420" w:left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（7）招标文件规定的其他情形。</w:t>
      </w:r>
    </w:p>
    <w:p>
      <w:pPr>
        <w:pStyle w:val="20"/>
        <w:spacing w:line="390" w:lineRule="exact"/>
        <w:ind w:left="420" w:leftChars="200"/>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40" w:name="_Toc5877"/>
      <w:r>
        <w:rPr>
          <w:rFonts w:hint="eastAsia" w:ascii="宋体" w:hAnsi="宋体" w:cs="宋体"/>
          <w:color w:val="000000" w:themeColor="text1"/>
          <w:highlight w:val="none"/>
          <w14:textFill>
            <w14:solidFill>
              <w14:schemeClr w14:val="tx1"/>
            </w14:solidFill>
          </w14:textFill>
        </w:rPr>
        <w:t>四、投标文件的递交</w:t>
      </w:r>
      <w:bookmarkEnd w:id="140"/>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41" w:name="_Toc405942992"/>
      <w:bookmarkStart w:id="142" w:name="_Toc469874180"/>
      <w:bookmarkStart w:id="143" w:name="_Toc200268255"/>
      <w:bookmarkStart w:id="144" w:name="_Toc395066534"/>
      <w:bookmarkStart w:id="145" w:name="_Toc185702566"/>
      <w:r>
        <w:rPr>
          <w:rFonts w:hint="eastAsia" w:ascii="宋体" w:hAnsi="宋体" w:eastAsia="宋体" w:cs="宋体"/>
          <w:color w:val="000000" w:themeColor="text1"/>
          <w:sz w:val="21"/>
          <w:szCs w:val="21"/>
          <w:highlight w:val="none"/>
          <w14:textFill>
            <w14:solidFill>
              <w14:schemeClr w14:val="tx1"/>
            </w14:solidFill>
          </w14:textFill>
        </w:rPr>
        <w:t>15、</w:t>
      </w:r>
      <w:bookmarkEnd w:id="141"/>
      <w:bookmarkEnd w:id="142"/>
      <w:bookmarkEnd w:id="143"/>
      <w:bookmarkEnd w:id="144"/>
      <w:bookmarkEnd w:id="145"/>
      <w:r>
        <w:rPr>
          <w:rFonts w:hint="eastAsia" w:ascii="宋体" w:hAnsi="宋体" w:eastAsia="宋体" w:cs="宋体"/>
          <w:color w:val="000000" w:themeColor="text1"/>
          <w:sz w:val="21"/>
          <w:szCs w:val="21"/>
          <w:highlight w:val="none"/>
          <w14:textFill>
            <w14:solidFill>
              <w14:schemeClr w14:val="tx1"/>
            </w14:solidFill>
          </w14:textFill>
        </w:rPr>
        <w:t>投标文件包装、密封与标记</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15.1投标文件所有正本、副本、投标文件电子版一并包装在一个密封袋内加以密封，均</w:t>
      </w:r>
      <w:r>
        <w:rPr>
          <w:rFonts w:hint="eastAsia" w:hAnsi="宋体" w:cs="宋体"/>
          <w:color w:val="000000" w:themeColor="text1"/>
          <w:kern w:val="0"/>
          <w:szCs w:val="21"/>
          <w:highlight w:val="none"/>
          <w14:textFill>
            <w14:solidFill>
              <w14:schemeClr w14:val="tx1"/>
            </w14:solidFill>
          </w14:textFill>
        </w:rPr>
        <w:t>在</w:t>
      </w:r>
      <w:r>
        <w:rPr>
          <w:rFonts w:hint="eastAsia" w:hAnsi="宋体" w:cs="宋体"/>
          <w:color w:val="000000" w:themeColor="text1"/>
          <w:highlight w:val="none"/>
          <w14:textFill>
            <w14:solidFill>
              <w14:schemeClr w14:val="tx1"/>
            </w14:solidFill>
          </w14:textFill>
        </w:rPr>
        <w:t>封贴处密封签章</w:t>
      </w:r>
      <w:r>
        <w:rPr>
          <w:rFonts w:hint="eastAsia" w:hAnsi="宋体" w:cs="宋体"/>
          <w:color w:val="000000" w:themeColor="text1"/>
          <w:spacing w:val="-2"/>
          <w:szCs w:val="21"/>
          <w:highlight w:val="none"/>
          <w14:textFill>
            <w14:solidFill>
              <w14:schemeClr w14:val="tx1"/>
            </w14:solidFill>
          </w14:textFill>
        </w:rPr>
        <w:t>（公章/密封章/法定代表人（</w:t>
      </w:r>
      <w:r>
        <w:rPr>
          <w:rFonts w:hint="eastAsia" w:hAnsi="宋体"/>
          <w:color w:val="000000" w:themeColor="text1"/>
          <w:kern w:val="0"/>
          <w:szCs w:val="21"/>
          <w:highlight w:val="none"/>
          <w14:textFill>
            <w14:solidFill>
              <w14:schemeClr w14:val="tx1"/>
            </w14:solidFill>
          </w14:textFill>
        </w:rPr>
        <w:t>或负责人</w:t>
      </w:r>
      <w:r>
        <w:rPr>
          <w:rFonts w:hint="eastAsia" w:hAnsi="宋体" w:cs="宋体"/>
          <w:color w:val="000000" w:themeColor="text1"/>
          <w:spacing w:val="-2"/>
          <w:szCs w:val="21"/>
          <w:highlight w:val="none"/>
          <w14:textFill>
            <w14:solidFill>
              <w14:schemeClr w14:val="tx1"/>
            </w14:solidFill>
          </w14:textFill>
        </w:rPr>
        <w:t>）</w:t>
      </w:r>
      <w:r>
        <w:rPr>
          <w:rFonts w:hint="eastAsia" w:hAnsi="宋体" w:cs="宋体"/>
          <w:color w:val="000000" w:themeColor="text1"/>
          <w:kern w:val="0"/>
          <w:szCs w:val="21"/>
          <w:highlight w:val="none"/>
          <w14:textFill>
            <w14:solidFill>
              <w14:schemeClr w14:val="tx1"/>
            </w14:solidFill>
          </w14:textFill>
        </w:rPr>
        <w:t>签字</w:t>
      </w:r>
      <w:r>
        <w:rPr>
          <w:rFonts w:hint="eastAsia" w:hAnsi="宋体" w:cs="宋体"/>
          <w:color w:val="000000" w:themeColor="text1"/>
          <w:spacing w:val="-2"/>
          <w:szCs w:val="21"/>
          <w:highlight w:val="none"/>
          <w14:textFill>
            <w14:solidFill>
              <w14:schemeClr w14:val="tx1"/>
            </w14:solidFill>
          </w14:textFill>
        </w:rPr>
        <w:t>/委托代理人签字均可）</w:t>
      </w:r>
      <w:r>
        <w:rPr>
          <w:rFonts w:hint="eastAsia" w:hAnsi="宋体" w:cs="宋体"/>
          <w:color w:val="000000" w:themeColor="text1"/>
          <w:highlight w:val="none"/>
          <w14:textFill>
            <w14:solidFill>
              <w14:schemeClr w14:val="tx1"/>
            </w14:solidFill>
          </w14:textFill>
        </w:rPr>
        <w:t>。</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15.2密封袋（信封）封面应注明：</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项目名称：</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项目编号：</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投标人名称（加盖公章）：</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投标人地址：</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法定代表人（</w:t>
      </w:r>
      <w:r>
        <w:rPr>
          <w:rFonts w:hint="eastAsia" w:hAnsi="宋体"/>
          <w:color w:val="000000" w:themeColor="text1"/>
          <w:kern w:val="0"/>
          <w:szCs w:val="21"/>
          <w:highlight w:val="none"/>
          <w14:textFill>
            <w14:solidFill>
              <w14:schemeClr w14:val="tx1"/>
            </w14:solidFill>
          </w14:textFill>
        </w:rPr>
        <w:t>或负责人</w:t>
      </w:r>
      <w:r>
        <w:rPr>
          <w:rFonts w:hint="eastAsia" w:hAnsi="宋体" w:cs="宋体"/>
          <w:color w:val="000000" w:themeColor="text1"/>
          <w:highlight w:val="none"/>
          <w14:textFill>
            <w14:solidFill>
              <w14:schemeClr w14:val="tx1"/>
            </w14:solidFill>
          </w14:textFill>
        </w:rPr>
        <w:t>）或其委托理人（签名）：</w:t>
      </w:r>
      <w:r>
        <w:rPr>
          <w:rFonts w:hint="eastAsia" w:hAnsi="宋体" w:cs="宋体"/>
          <w:color w:val="000000" w:themeColor="text1"/>
          <w:highlight w:val="none"/>
          <w:u w:val="single"/>
          <w14:textFill>
            <w14:solidFill>
              <w14:schemeClr w14:val="tx1"/>
            </w14:solidFill>
          </w14:textFill>
        </w:rPr>
        <w:t xml:space="preserve">            </w:t>
      </w:r>
    </w:p>
    <w:p>
      <w:pPr>
        <w:pStyle w:val="20"/>
        <w:spacing w:line="400" w:lineRule="exact"/>
        <w:ind w:firstLine="12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u w:val="single"/>
          <w14:textFill>
            <w14:solidFill>
              <w14:schemeClr w14:val="tx1"/>
            </w14:solidFill>
          </w14:textFill>
        </w:rPr>
        <w:t>在      年    月    日    时    分开标时启封</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15.3投标人在递交投标文件时，未按本须知要求密封、标记的，采购代理机构有权拒收，拒收所产生的后果由投标人自负。</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46" w:name="_Toc395066536"/>
      <w:bookmarkStart w:id="147" w:name="_Toc405942994"/>
      <w:bookmarkStart w:id="148" w:name="_Toc200268257"/>
      <w:bookmarkStart w:id="149" w:name="_Toc185702568"/>
      <w:bookmarkStart w:id="150" w:name="_Toc469874182"/>
      <w:r>
        <w:rPr>
          <w:rFonts w:hint="eastAsia" w:ascii="宋体" w:hAnsi="宋体" w:eastAsia="宋体" w:cs="宋体"/>
          <w:color w:val="000000" w:themeColor="text1"/>
          <w:sz w:val="21"/>
          <w:szCs w:val="21"/>
          <w:highlight w:val="none"/>
          <w14:textFill>
            <w14:solidFill>
              <w14:schemeClr w14:val="tx1"/>
            </w14:solidFill>
          </w14:textFill>
        </w:rPr>
        <w:t>16、</w:t>
      </w:r>
      <w:bookmarkEnd w:id="146"/>
      <w:bookmarkEnd w:id="147"/>
      <w:bookmarkEnd w:id="148"/>
      <w:bookmarkEnd w:id="149"/>
      <w:bookmarkEnd w:id="150"/>
      <w:r>
        <w:rPr>
          <w:rFonts w:hint="eastAsia" w:ascii="宋体" w:hAnsi="宋体" w:eastAsia="宋体" w:cs="宋体"/>
          <w:color w:val="000000" w:themeColor="text1"/>
          <w:sz w:val="21"/>
          <w:szCs w:val="21"/>
          <w:highlight w:val="none"/>
          <w14:textFill>
            <w14:solidFill>
              <w14:schemeClr w14:val="tx1"/>
            </w14:solidFill>
          </w14:textFill>
        </w:rPr>
        <w:t>投标截止时间、地点</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16.1投标人必须在本章须知前附表第10项规定的投标截止时间及地点递交</w:t>
      </w:r>
      <w:r>
        <w:rPr>
          <w:rFonts w:hint="eastAsia" w:hAnsi="宋体" w:cs="宋体"/>
          <w:color w:val="000000" w:themeColor="text1"/>
          <w:spacing w:val="-4"/>
          <w:highlight w:val="none"/>
          <w14:textFill>
            <w14:solidFill>
              <w14:schemeClr w14:val="tx1"/>
            </w14:solidFill>
          </w14:textFill>
        </w:rPr>
        <w:t>投标文件。</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16.2若遇到参加投标的投标人过多造成部分投标人在截止时间前已抵达开标现场但未能签到的情况，投标人递交投标文件的时间以其进入招标文件规定的开标场所的时间为准。</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16.3属下列情形</w:t>
      </w:r>
      <w:r>
        <w:rPr>
          <w:rFonts w:hint="eastAsia" w:hAnsi="宋体" w:cs="宋体"/>
          <w:color w:val="000000" w:themeColor="text1"/>
          <w:spacing w:val="-4"/>
          <w:highlight w:val="none"/>
          <w14:textFill>
            <w14:solidFill>
              <w14:schemeClr w14:val="tx1"/>
            </w14:solidFill>
          </w14:textFill>
        </w:rPr>
        <w:t>之一</w:t>
      </w:r>
      <w:r>
        <w:rPr>
          <w:rFonts w:hint="eastAsia" w:hAnsi="宋体" w:cs="宋体"/>
          <w:color w:val="000000" w:themeColor="text1"/>
          <w:highlight w:val="none"/>
          <w14:textFill>
            <w14:solidFill>
              <w14:schemeClr w14:val="tx1"/>
            </w14:solidFill>
          </w14:textFill>
        </w:rPr>
        <w:t>的，采购人或采购代理机构应当拒绝接收投标人的投标文件：</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① 投标文件在规定的投标截止时间之后送到达的；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② 投标文件未送达指定的递交地点的；</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③ 投标文件未按招标文件要求封装标记的；</w:t>
      </w:r>
    </w:p>
    <w:p>
      <w:pPr>
        <w:pStyle w:val="20"/>
        <w:spacing w:line="390" w:lineRule="exact"/>
        <w:ind w:left="420" w:left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④ 应标样品未与投标文件一并递交的或未按招标文件要求递交的（若招标文件要求递交样品的）；</w:t>
      </w:r>
    </w:p>
    <w:p>
      <w:pPr>
        <w:pStyle w:val="20"/>
        <w:spacing w:line="390" w:lineRule="exact"/>
        <w:ind w:left="420" w:leftChars="200"/>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 xml:space="preserve">⑤ </w:t>
      </w:r>
      <w:r>
        <w:rPr>
          <w:rFonts w:hint="eastAsia" w:hAnsi="宋体" w:cs="宋体"/>
          <w:color w:val="000000" w:themeColor="text1"/>
          <w:highlight w:val="none"/>
          <w14:textFill>
            <w14:solidFill>
              <w14:schemeClr w14:val="tx1"/>
            </w14:solidFill>
          </w14:textFill>
        </w:rPr>
        <w:t>投标人</w:t>
      </w:r>
      <w:r>
        <w:rPr>
          <w:rFonts w:hAnsi="宋体" w:cs="宋体"/>
          <w:color w:val="000000" w:themeColor="text1"/>
          <w:highlight w:val="none"/>
          <w14:textFill>
            <w14:solidFill>
              <w14:schemeClr w14:val="tx1"/>
            </w14:solidFill>
          </w14:textFill>
        </w:rPr>
        <w:t>递交</w:t>
      </w:r>
      <w:r>
        <w:rPr>
          <w:rFonts w:hint="eastAsia" w:hAnsi="宋体" w:cs="宋体"/>
          <w:color w:val="000000" w:themeColor="text1"/>
          <w:highlight w:val="none"/>
          <w14:textFill>
            <w14:solidFill>
              <w14:schemeClr w14:val="tx1"/>
            </w14:solidFill>
          </w14:textFill>
        </w:rPr>
        <w:t>投标文件</w:t>
      </w:r>
      <w:r>
        <w:rPr>
          <w:rFonts w:hAnsi="宋体" w:cs="宋体"/>
          <w:color w:val="000000" w:themeColor="text1"/>
          <w:highlight w:val="none"/>
          <w14:textFill>
            <w14:solidFill>
              <w14:schemeClr w14:val="tx1"/>
            </w14:solidFill>
          </w14:textFill>
        </w:rPr>
        <w:t>时未同时携带</w:t>
      </w:r>
      <w:r>
        <w:rPr>
          <w:rFonts w:hint="eastAsia" w:hAnsi="宋体" w:cs="宋体"/>
          <w:color w:val="000000" w:themeColor="text1"/>
          <w:highlight w:val="none"/>
          <w14:textFill>
            <w14:solidFill>
              <w14:schemeClr w14:val="tx1"/>
            </w14:solidFill>
          </w14:textFill>
        </w:rPr>
        <w:t>投标人</w:t>
      </w:r>
      <w:r>
        <w:rPr>
          <w:rFonts w:hAnsi="宋体" w:cs="宋体"/>
          <w:color w:val="000000" w:themeColor="text1"/>
          <w:highlight w:val="none"/>
          <w14:textFill>
            <w14:solidFill>
              <w14:schemeClr w14:val="tx1"/>
            </w14:solidFill>
          </w14:textFill>
        </w:rPr>
        <w:t>须知前附表第11项规定的证件文件进行核验的。</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51" w:name="_Toc469874183"/>
      <w:bookmarkStart w:id="152" w:name="_Toc395066537"/>
      <w:bookmarkStart w:id="153" w:name="_Toc200268258"/>
      <w:bookmarkStart w:id="154" w:name="_Toc185702569"/>
      <w:bookmarkStart w:id="155" w:name="_Toc405942995"/>
      <w:r>
        <w:rPr>
          <w:rFonts w:hint="eastAsia" w:ascii="宋体" w:hAnsi="宋体" w:eastAsia="宋体" w:cs="宋体"/>
          <w:color w:val="000000" w:themeColor="text1"/>
          <w:sz w:val="21"/>
          <w:szCs w:val="21"/>
          <w:highlight w:val="none"/>
          <w14:textFill>
            <w14:solidFill>
              <w14:schemeClr w14:val="tx1"/>
            </w14:solidFill>
          </w14:textFill>
        </w:rPr>
        <w:t>17、</w:t>
      </w:r>
      <w:bookmarkEnd w:id="151"/>
      <w:bookmarkEnd w:id="152"/>
      <w:bookmarkEnd w:id="153"/>
      <w:bookmarkEnd w:id="154"/>
      <w:bookmarkEnd w:id="155"/>
      <w:r>
        <w:rPr>
          <w:rFonts w:hint="eastAsia" w:ascii="宋体" w:hAnsi="宋体" w:eastAsia="宋体" w:cs="宋体"/>
          <w:color w:val="000000" w:themeColor="text1"/>
          <w:sz w:val="21"/>
          <w:szCs w:val="21"/>
          <w:highlight w:val="none"/>
          <w14:textFill>
            <w14:solidFill>
              <w14:schemeClr w14:val="tx1"/>
            </w14:solidFill>
          </w14:textFill>
        </w:rPr>
        <w:t>投标文件的修改及撤回</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17.1投标人在投标截止时间前，可以对所递交的投标文件进行补充、修改或者撤回，并书面通知采购人或者采购代理机构。</w:t>
      </w:r>
    </w:p>
    <w:p>
      <w:pPr>
        <w:pStyle w:val="20"/>
        <w:spacing w:line="400" w:lineRule="exact"/>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17.2</w:t>
      </w:r>
      <w:r>
        <w:rPr>
          <w:rFonts w:hint="eastAsia" w:hAnsi="宋体" w:cs="宋体"/>
          <w:color w:val="000000" w:themeColor="text1"/>
          <w:szCs w:val="21"/>
          <w:highlight w:val="none"/>
          <w14:textFill>
            <w14:solidFill>
              <w14:schemeClr w14:val="tx1"/>
            </w14:solidFill>
          </w14:textFill>
        </w:rPr>
        <w:t>投标人撤回或修改投标文件的书面通知应由投标人法定代表人（或负责人）或其授权代表签字确认；修改后重新递交的投标文件应当在封套上标明“修改（补充）投标文件”字样并密封，在投标截止时间前送达。投标截止时间后，投标人不得撤回、修改投标文件。</w:t>
      </w:r>
    </w:p>
    <w:p>
      <w:pPr>
        <w:pStyle w:val="20"/>
        <w:spacing w:line="400" w:lineRule="exact"/>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56" w:name="_Toc395066539"/>
      <w:bookmarkStart w:id="157" w:name="_Toc405942997"/>
      <w:bookmarkStart w:id="158" w:name="_Toc185702571"/>
      <w:bookmarkStart w:id="159" w:name="_Toc200268260"/>
      <w:bookmarkStart w:id="160" w:name="_Toc469909319"/>
      <w:bookmarkStart w:id="161" w:name="_Toc469874185"/>
      <w:bookmarkStart w:id="162" w:name="_Toc25813"/>
      <w:r>
        <w:rPr>
          <w:rFonts w:hint="eastAsia" w:ascii="宋体" w:hAnsi="宋体" w:cs="宋体"/>
          <w:color w:val="000000" w:themeColor="text1"/>
          <w:highlight w:val="none"/>
          <w14:textFill>
            <w14:solidFill>
              <w14:schemeClr w14:val="tx1"/>
            </w14:solidFill>
          </w14:textFill>
        </w:rPr>
        <w:t>五、开标、评</w:t>
      </w:r>
      <w:bookmarkEnd w:id="156"/>
      <w:bookmarkEnd w:id="157"/>
      <w:bookmarkEnd w:id="158"/>
      <w:bookmarkEnd w:id="159"/>
      <w:bookmarkEnd w:id="160"/>
      <w:bookmarkEnd w:id="161"/>
      <w:r>
        <w:rPr>
          <w:rFonts w:hint="eastAsia" w:ascii="宋体" w:hAnsi="宋体" w:cs="宋体"/>
          <w:color w:val="000000" w:themeColor="text1"/>
          <w:highlight w:val="none"/>
          <w14:textFill>
            <w14:solidFill>
              <w14:schemeClr w14:val="tx1"/>
            </w14:solidFill>
          </w14:textFill>
        </w:rPr>
        <w:t>标</w:t>
      </w:r>
      <w:bookmarkEnd w:id="162"/>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18、开标</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bookmarkStart w:id="163" w:name="_Toc185702573"/>
      <w:bookmarkStart w:id="164" w:name="_Toc200268262"/>
      <w:r>
        <w:rPr>
          <w:rFonts w:hint="eastAsia" w:hAnsi="宋体" w:cs="宋体"/>
          <w:color w:val="000000" w:themeColor="text1"/>
          <w:highlight w:val="none"/>
          <w14:textFill>
            <w14:solidFill>
              <w14:schemeClr w14:val="tx1"/>
            </w14:solidFill>
          </w14:textFill>
        </w:rPr>
        <w:t>18.1</w:t>
      </w:r>
      <w:r>
        <w:rPr>
          <w:rFonts w:hint="eastAsia" w:hAnsi="宋体" w:cs="宋体"/>
          <w:color w:val="000000" w:themeColor="text1"/>
          <w:szCs w:val="21"/>
          <w:highlight w:val="none"/>
          <w14:textFill>
            <w14:solidFill>
              <w14:schemeClr w14:val="tx1"/>
            </w14:solidFill>
          </w14:textFill>
        </w:rPr>
        <w:t>本项目</w:t>
      </w:r>
      <w:r>
        <w:rPr>
          <w:rFonts w:hint="eastAsia" w:hAnsi="宋体" w:cs="宋体"/>
          <w:color w:val="000000" w:themeColor="text1"/>
          <w:highlight w:val="none"/>
          <w14:textFill>
            <w14:solidFill>
              <w14:schemeClr w14:val="tx1"/>
            </w14:solidFill>
          </w14:textFill>
        </w:rPr>
        <w:t>将在本章须知前附表第11项规定的时间和地点进行开标。</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18.2投标人的法定代表人（</w:t>
      </w:r>
      <w:r>
        <w:rPr>
          <w:rFonts w:hint="eastAsia" w:hAnsi="宋体" w:cs="宋体"/>
          <w:color w:val="000000" w:themeColor="text1"/>
          <w:szCs w:val="21"/>
          <w:highlight w:val="none"/>
          <w14:textFill>
            <w14:solidFill>
              <w14:schemeClr w14:val="tx1"/>
            </w14:solidFill>
          </w14:textFill>
        </w:rPr>
        <w:t>或负责人</w:t>
      </w:r>
      <w:r>
        <w:rPr>
          <w:rFonts w:hint="eastAsia" w:hAnsi="宋体" w:cs="宋体"/>
          <w:color w:val="000000" w:themeColor="text1"/>
          <w:highlight w:val="none"/>
          <w14:textFill>
            <w14:solidFill>
              <w14:schemeClr w14:val="tx1"/>
            </w14:solidFill>
          </w14:textFill>
        </w:rPr>
        <w:t>）或其委托代理人参加开标会并签到，</w:t>
      </w:r>
      <w:r>
        <w:rPr>
          <w:rFonts w:hint="eastAsia" w:hAnsi="宋体" w:cs="宋体"/>
          <w:color w:val="000000" w:themeColor="text1"/>
          <w:szCs w:val="21"/>
          <w:highlight w:val="none"/>
          <w14:textFill>
            <w14:solidFill>
              <w14:schemeClr w14:val="tx1"/>
            </w14:solidFill>
          </w14:textFill>
        </w:rPr>
        <w:t>未到场或未按时签到的，视同认可开标结果。</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18.3开标程序：</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（1）由采购代理机构主持开标会。</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介绍参加开标会的人员名单。</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（3）宣读投标纪律，告知应当回避的情形，提请有关人员回避。</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（4）由全体投标人代表或者其推选的代表检查投标文件的密封情况并签字确认；</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w:t>
      </w:r>
      <w:r>
        <w:rPr>
          <w:rFonts w:hint="eastAsia" w:hAnsi="宋体" w:cs="宋体"/>
          <w:color w:val="000000" w:themeColor="text1"/>
          <w:highlight w:val="none"/>
          <w14:textFill>
            <w14:solidFill>
              <w14:schemeClr w14:val="tx1"/>
            </w14:solidFill>
          </w14:textFill>
        </w:rPr>
        <w:t>经确认密封完好的投标文件，由采购代理机构工作人员当众拆封，宣读“开标一览表”的投标人名称、投标价格和招标文件规定的需要宣布的其他内容。</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（6）开标过程和开标记录由参加开标的各投标人代表和相关工作人员签字确认。投标人代表未到场签字确认或者拒绝签字确认的，视为认可开标过程和结果。</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（7）投标人代表对</w:t>
      </w:r>
      <w:bookmarkStart w:id="165" w:name="OLE_LINK4"/>
      <w:r>
        <w:rPr>
          <w:rFonts w:hint="eastAsia" w:hAnsi="宋体" w:cs="宋体"/>
          <w:color w:val="000000" w:themeColor="text1"/>
          <w:szCs w:val="21"/>
          <w:highlight w:val="none"/>
          <w14:textFill>
            <w14:solidFill>
              <w14:schemeClr w14:val="tx1"/>
            </w14:solidFill>
          </w14:textFill>
        </w:rPr>
        <w:t>开标过程和开标记录</w:t>
      </w:r>
      <w:bookmarkEnd w:id="165"/>
      <w:r>
        <w:rPr>
          <w:rFonts w:hint="eastAsia" w:hAnsi="宋体" w:cs="宋体"/>
          <w:color w:val="000000" w:themeColor="text1"/>
          <w:szCs w:val="21"/>
          <w:highlight w:val="none"/>
          <w14:textFill>
            <w14:solidFill>
              <w14:schemeClr w14:val="tx1"/>
            </w14:solidFill>
          </w14:textFill>
        </w:rPr>
        <w:t>有疑义，以及认为采购人、采购代理机构相关工作人员有需要回避的情形的，应当场提出询问或者回避申请。</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（8）宣布开标会议结束。</w:t>
      </w:r>
    </w:p>
    <w:bookmarkEnd w:id="163"/>
    <w:bookmarkEnd w:id="164"/>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66" w:name="_Toc185702576"/>
      <w:bookmarkStart w:id="167" w:name="_Toc200268265"/>
      <w:r>
        <w:rPr>
          <w:rFonts w:hint="eastAsia" w:ascii="宋体" w:hAnsi="宋体" w:eastAsia="宋体" w:cs="宋体"/>
          <w:color w:val="000000" w:themeColor="text1"/>
          <w:sz w:val="21"/>
          <w:szCs w:val="21"/>
          <w:highlight w:val="none"/>
          <w14:textFill>
            <w14:solidFill>
              <w14:schemeClr w14:val="tx1"/>
            </w14:solidFill>
          </w14:textFill>
        </w:rPr>
        <w:t>19、组建评标委员会</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19.1采购人和采购代理机构依法组建评标委员会（以下简称评审小组），评审小组由采购人代表和评审专家组成，成员人数为5人以上（含5人）单数，其中评审专家不少于成员总数的三分之二。评审专家在政府采购评审专家库内相关专业技术、经济等方面的专家名单中随机抽取。</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19.2</w:t>
      </w:r>
      <w:r>
        <w:rPr>
          <w:rFonts w:hint="eastAsia" w:hAnsi="宋体" w:cs="宋体"/>
          <w:color w:val="000000" w:themeColor="text1"/>
          <w:highlight w:val="none"/>
          <w14:textFill>
            <w14:solidFill>
              <w14:schemeClr w14:val="tx1"/>
            </w14:solidFill>
          </w14:textFill>
        </w:rPr>
        <w:t>评标委员会必须公平、公正、客观，不带任何倾向性和启发性；不得向外界透露任何与评标有关的内容；任何单位和个人不得干扰、影响评标的正常进行；评标委员会及有关工作人员不得私下与投标人接触。评标专家发现本人与参加采购活动的投标人有利害关系的，应当主动提出回避。</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20、评标</w:t>
      </w:r>
    </w:p>
    <w:p>
      <w:pPr>
        <w:pStyle w:val="20"/>
        <w:spacing w:line="400" w:lineRule="exact"/>
        <w:ind w:left="422" w:hanging="422" w:hangingChars="200"/>
        <w:rPr>
          <w:rFonts w:hAnsi="宋体" w:cs="宋体"/>
          <w:b/>
          <w:bCs/>
          <w:color w:val="000000" w:themeColor="text1"/>
          <w:highlight w:val="none"/>
          <w14:textFill>
            <w14:solidFill>
              <w14:schemeClr w14:val="tx1"/>
            </w14:solidFill>
          </w14:textFill>
        </w:rPr>
      </w:pPr>
      <w:bookmarkStart w:id="168" w:name="_Toc395066541"/>
      <w:bookmarkStart w:id="169" w:name="_Toc469874187"/>
      <w:bookmarkStart w:id="170" w:name="_Toc405942999"/>
      <w:r>
        <w:rPr>
          <w:rFonts w:hint="eastAsia" w:hAnsi="宋体" w:cs="宋体"/>
          <w:b/>
          <w:bCs/>
          <w:color w:val="000000" w:themeColor="text1"/>
          <w:highlight w:val="none"/>
          <w14:textFill>
            <w14:solidFill>
              <w14:schemeClr w14:val="tx1"/>
            </w14:solidFill>
          </w14:textFill>
        </w:rPr>
        <w:t>20.1</w:t>
      </w:r>
      <w:bookmarkEnd w:id="168"/>
      <w:bookmarkEnd w:id="169"/>
      <w:bookmarkEnd w:id="170"/>
      <w:r>
        <w:rPr>
          <w:rFonts w:hint="eastAsia" w:hAnsi="宋体" w:cs="宋体"/>
          <w:b/>
          <w:bCs/>
          <w:color w:val="000000" w:themeColor="text1"/>
          <w:highlight w:val="none"/>
          <w14:textFill>
            <w14:solidFill>
              <w14:schemeClr w14:val="tx1"/>
            </w14:solidFill>
          </w14:textFill>
        </w:rPr>
        <w:t>资格性审查</w:t>
      </w:r>
    </w:p>
    <w:p>
      <w:pPr>
        <w:pStyle w:val="20"/>
        <w:spacing w:line="400" w:lineRule="exact"/>
        <w:ind w:left="630" w:hanging="630" w:hangingChars="3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20.1.1开标结束后，由采购人</w:t>
      </w:r>
      <w:r>
        <w:rPr>
          <w:rFonts w:hint="eastAsia" w:hAnsi="宋体" w:cs="宋体"/>
          <w:bCs/>
          <w:color w:val="000000" w:themeColor="text1"/>
          <w:highlight w:val="none"/>
          <w14:textFill>
            <w14:solidFill>
              <w14:schemeClr w14:val="tx1"/>
            </w14:solidFill>
          </w14:textFill>
        </w:rPr>
        <w:t>依据法律法规和招标文件的规定对投标人的资格</w:t>
      </w:r>
      <w:r>
        <w:rPr>
          <w:rFonts w:hint="eastAsia" w:hAnsi="宋体" w:cs="宋体"/>
          <w:color w:val="000000" w:themeColor="text1"/>
          <w:highlight w:val="none"/>
          <w14:textFill>
            <w14:solidFill>
              <w14:schemeClr w14:val="tx1"/>
            </w14:solidFill>
          </w14:textFill>
        </w:rPr>
        <w:t>进行审查，以确定投标人是否具备投标资格。它所涉及到的主要文件和内容为本章投标人须知第9条所述的资格资信证明文件内容。如果投标人不具备投标资格，不满足招标文件所规定的资格条件或缺少任何一项或有任何一项不合格的，视为资格审查不合格，其不再进入评审。</w:t>
      </w:r>
    </w:p>
    <w:p>
      <w:pPr>
        <w:pStyle w:val="20"/>
        <w:spacing w:line="400" w:lineRule="exact"/>
        <w:ind w:left="422" w:hanging="422" w:hangingChars="200"/>
        <w:rPr>
          <w:rFonts w:hAnsi="宋体" w:cs="宋体"/>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20.2投标文件</w:t>
      </w:r>
      <w:r>
        <w:rPr>
          <w:rFonts w:hint="eastAsia" w:hAnsi="宋体" w:cs="宋体"/>
          <w:b/>
          <w:color w:val="000000" w:themeColor="text1"/>
          <w:highlight w:val="none"/>
          <w14:textFill>
            <w14:solidFill>
              <w14:schemeClr w14:val="tx1"/>
            </w14:solidFill>
          </w14:textFill>
        </w:rPr>
        <w:t>符合性检查。</w:t>
      </w:r>
      <w:r>
        <w:rPr>
          <w:rFonts w:hint="eastAsia" w:hAnsi="宋体" w:cs="宋体"/>
          <w:color w:val="000000" w:themeColor="text1"/>
          <w:highlight w:val="none"/>
          <w14:textFill>
            <w14:solidFill>
              <w14:schemeClr w14:val="tx1"/>
            </w14:solidFill>
          </w14:textFill>
        </w:rPr>
        <w:t>评标委员会应当对符合资格的投标人的投标文件进行符合性审查，以确定其是否满足招标文件的实质性要求。依据招标文件的规定，从投标文件的有效性、完整性和对招标文件的响应程度进行审查，以确定是否符合对招标文件的实质性要求作出响应（采购人可根据具体项目的情况对实质性要求作特别的规定）。实质性偏离是指：(1)实质性影响合同的范围、质量和履行；(2)实质性违背招标文件，限制了采购人的权利和中标</w:t>
      </w:r>
      <w:r>
        <w:rPr>
          <w:rFonts w:hint="eastAsia" w:hAnsi="宋体" w:cs="宋体"/>
          <w:bCs/>
          <w:color w:val="000000" w:themeColor="text1"/>
          <w:highlight w:val="none"/>
          <w14:textFill>
            <w14:solidFill>
              <w14:schemeClr w14:val="tx1"/>
            </w14:solidFill>
          </w14:textFill>
        </w:rPr>
        <w:t>人</w:t>
      </w:r>
      <w:r>
        <w:rPr>
          <w:rFonts w:hint="eastAsia" w:hAnsi="宋体" w:cs="宋体"/>
          <w:color w:val="000000" w:themeColor="text1"/>
          <w:highlight w:val="none"/>
          <w14:textFill>
            <w14:solidFill>
              <w14:schemeClr w14:val="tx1"/>
            </w14:solidFill>
          </w14:textFill>
        </w:rPr>
        <w:t>合同项下的义务；(3)不公正地影响了其它作出实质性响应的投标人的竞争地位。没有对招标文件作出实质性响应的投标文件将不进行评审，其投标将被拒绝。</w:t>
      </w:r>
    </w:p>
    <w:p>
      <w:pPr>
        <w:pStyle w:val="20"/>
        <w:spacing w:line="400" w:lineRule="exact"/>
        <w:ind w:left="422" w:hanging="422" w:hangingChars="200"/>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20.3</w:t>
      </w:r>
      <w:r>
        <w:rPr>
          <w:rFonts w:hint="eastAsia" w:hAnsi="宋体" w:cs="宋体"/>
          <w:b/>
          <w:bCs/>
          <w:color w:val="000000" w:themeColor="text1"/>
          <w:szCs w:val="21"/>
          <w:highlight w:val="none"/>
          <w14:textFill>
            <w14:solidFill>
              <w14:schemeClr w14:val="tx1"/>
            </w14:solidFill>
          </w14:textFill>
        </w:rPr>
        <w:t>澄清有关问题、算术性修正。</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 对于投标文件中含义不明确、同类问题表述不一致或者有明显文字和计算错误的内容，评标委员会应当以书面形式要求投标人作出必要的澄清、说明或者补正。</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 投标人的澄清、说明或者补正应当采用书面形式，并加盖公章，或者由法定代表人（或负责人）或其授权的代表签字。投标人的澄清、说明或者补正不得超出投标文件的范围或者改变投标文件的实质性内容。</w:t>
      </w:r>
    </w:p>
    <w:p>
      <w:pPr>
        <w:pStyle w:val="20"/>
        <w:spacing w:line="400" w:lineRule="exact"/>
        <w:ind w:firstLine="42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w:t>
      </w:r>
      <w:r>
        <w:rPr>
          <w:rFonts w:hint="eastAsia" w:hAnsi="宋体" w:cs="宋体"/>
          <w:color w:val="000000" w:themeColor="text1"/>
          <w:kern w:val="0"/>
          <w:szCs w:val="21"/>
          <w:highlight w:val="none"/>
          <w14:textFill>
            <w14:solidFill>
              <w14:schemeClr w14:val="tx1"/>
            </w14:solidFill>
          </w14:textFill>
        </w:rPr>
        <w:t xml:space="preserve"> 投标文件报价出现前后不一致的，除招标文件另有规定外，按照下列规定修正</w:t>
      </w:r>
      <w:r>
        <w:rPr>
          <w:rFonts w:hint="eastAsia" w:hAnsi="宋体" w:cs="宋体"/>
          <w:color w:val="000000" w:themeColor="text1"/>
          <w:szCs w:val="21"/>
          <w:highlight w:val="none"/>
          <w14:textFill>
            <w14:solidFill>
              <w14:schemeClr w14:val="tx1"/>
            </w14:solidFill>
          </w14:textFill>
        </w:rPr>
        <w:t>：</w:t>
      </w:r>
    </w:p>
    <w:p>
      <w:pPr>
        <w:pStyle w:val="20"/>
        <w:spacing w:line="400" w:lineRule="exact"/>
        <w:ind w:left="900" w:hanging="30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 xml:space="preserve">① </w:t>
      </w:r>
      <w:r>
        <w:rPr>
          <w:rFonts w:hint="eastAsia" w:hAnsi="宋体" w:cs="宋体"/>
          <w:color w:val="000000" w:themeColor="text1"/>
          <w:highlight w:val="none"/>
          <w14:textFill>
            <w14:solidFill>
              <w14:schemeClr w14:val="tx1"/>
            </w14:solidFill>
          </w14:textFill>
        </w:rPr>
        <w:t>投标文件中</w:t>
      </w:r>
      <w:r>
        <w:rPr>
          <w:rFonts w:hint="eastAsia" w:hAnsi="宋体" w:cs="宋体"/>
          <w:bCs/>
          <w:color w:val="000000" w:themeColor="text1"/>
          <w:highlight w:val="none"/>
          <w14:textFill>
            <w14:solidFill>
              <w14:schemeClr w14:val="tx1"/>
            </w14:solidFill>
          </w14:textFill>
        </w:rPr>
        <w:t>开标一览表（报价表）内容</w:t>
      </w:r>
      <w:r>
        <w:rPr>
          <w:rFonts w:hint="eastAsia" w:hAnsi="宋体" w:cs="宋体"/>
          <w:color w:val="000000" w:themeColor="text1"/>
          <w:highlight w:val="none"/>
          <w14:textFill>
            <w14:solidFill>
              <w14:schemeClr w14:val="tx1"/>
            </w14:solidFill>
          </w14:textFill>
        </w:rPr>
        <w:t>与投标文件中相应内容不一致的，以开标一览表（报价表）为准。</w:t>
      </w:r>
    </w:p>
    <w:p>
      <w:pPr>
        <w:pStyle w:val="20"/>
        <w:spacing w:line="400" w:lineRule="exact"/>
        <w:ind w:left="900" w:hanging="30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②</w:t>
      </w:r>
      <w:r>
        <w:rPr>
          <w:rFonts w:hint="eastAsia" w:hAnsi="宋体" w:cs="宋体"/>
          <w:color w:val="000000" w:themeColor="text1"/>
          <w:highlight w:val="none"/>
          <w14:textFill>
            <w14:solidFill>
              <w14:schemeClr w14:val="tx1"/>
            </w14:solidFill>
          </w14:textFill>
        </w:rPr>
        <w:t xml:space="preserve"> 大写金额和小写金额不一致时</w:t>
      </w:r>
      <w:r>
        <w:rPr>
          <w:rFonts w:hint="eastAsia" w:hAnsi="宋体" w:cs="宋体"/>
          <w:bCs/>
          <w:color w:val="000000" w:themeColor="text1"/>
          <w:highlight w:val="none"/>
          <w14:textFill>
            <w14:solidFill>
              <w14:schemeClr w14:val="tx1"/>
            </w14:solidFill>
          </w14:textFill>
        </w:rPr>
        <w:t>，以大写金额为准。</w:t>
      </w:r>
    </w:p>
    <w:p>
      <w:pPr>
        <w:pStyle w:val="20"/>
        <w:spacing w:line="400" w:lineRule="exact"/>
        <w:ind w:left="900" w:hanging="300"/>
        <w:rPr>
          <w:rFonts w:hAnsi="宋体" w:cs="宋体"/>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③</w:t>
      </w:r>
      <w:r>
        <w:rPr>
          <w:rFonts w:hint="eastAsia" w:hAnsi="宋体" w:cs="宋体"/>
          <w:color w:val="000000" w:themeColor="text1"/>
          <w:highlight w:val="none"/>
          <w14:textFill>
            <w14:solidFill>
              <w14:schemeClr w14:val="tx1"/>
            </w14:solidFill>
          </w14:textFill>
        </w:rPr>
        <w:t>单价金额小数点或者百分比有明显错位的，以开标一览表的总价为准，并修改单价；</w:t>
      </w:r>
    </w:p>
    <w:p>
      <w:pPr>
        <w:pStyle w:val="20"/>
        <w:spacing w:line="400" w:lineRule="exact"/>
        <w:ind w:left="900" w:hanging="300"/>
        <w:rPr>
          <w:rFonts w:hAnsi="宋体" w:cs="宋体"/>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④</w:t>
      </w:r>
      <w:r>
        <w:rPr>
          <w:rFonts w:hint="eastAsia" w:hAnsi="宋体" w:cs="宋体"/>
          <w:color w:val="000000" w:themeColor="text1"/>
          <w:highlight w:val="none"/>
          <w14:textFill>
            <w14:solidFill>
              <w14:schemeClr w14:val="tx1"/>
            </w14:solidFill>
          </w14:textFill>
        </w:rPr>
        <w:t>总价金额与按单价汇总金额不一致的，以单价金额计算结果为准。</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同时出现两种以上不一致的，按照前款规定的顺序修正。修正后的报价或内容按照第22.2（2）条款的规定经投标人确认后产生约束力，投标人不确认的，其投标无效。</w:t>
      </w:r>
    </w:p>
    <w:p>
      <w:pPr>
        <w:pStyle w:val="20"/>
        <w:spacing w:line="400" w:lineRule="exact"/>
        <w:ind w:left="422" w:hanging="422" w:hangingChars="200"/>
        <w:rPr>
          <w:rFonts w:hAnsi="宋体" w:cs="宋体"/>
          <w:color w:val="000000" w:themeColor="text1"/>
          <w:szCs w:val="2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20.4比较</w:t>
      </w:r>
      <w:r>
        <w:rPr>
          <w:rFonts w:hint="eastAsia" w:hAnsi="宋体" w:cs="宋体"/>
          <w:b/>
          <w:bCs/>
          <w:color w:val="000000" w:themeColor="text1"/>
          <w:szCs w:val="21"/>
          <w:highlight w:val="none"/>
          <w14:textFill>
            <w14:solidFill>
              <w14:schemeClr w14:val="tx1"/>
            </w14:solidFill>
          </w14:textFill>
        </w:rPr>
        <w:t>与评价。</w:t>
      </w:r>
      <w:r>
        <w:rPr>
          <w:rFonts w:hint="eastAsia" w:hAnsi="宋体" w:cs="宋体"/>
          <w:bCs/>
          <w:color w:val="000000" w:themeColor="text1"/>
          <w:szCs w:val="21"/>
          <w:highlight w:val="none"/>
          <w14:textFill>
            <w14:solidFill>
              <w14:schemeClr w14:val="tx1"/>
            </w14:solidFill>
          </w14:textFill>
        </w:rPr>
        <w:t>本项目采用</w:t>
      </w:r>
      <w:r>
        <w:rPr>
          <w:rFonts w:hint="eastAsia" w:hAnsi="宋体" w:cs="宋体"/>
          <w:bCs/>
          <w:color w:val="000000" w:themeColor="text1"/>
          <w:szCs w:val="21"/>
          <w:highlight w:val="none"/>
          <w:u w:val="single"/>
          <w14:textFill>
            <w14:solidFill>
              <w14:schemeClr w14:val="tx1"/>
            </w14:solidFill>
          </w14:textFill>
        </w:rPr>
        <w:t>综合评分法</w:t>
      </w:r>
      <w:r>
        <w:rPr>
          <w:rFonts w:hint="eastAsia" w:hAnsi="宋体" w:cs="宋体"/>
          <w:bCs/>
          <w:color w:val="000000" w:themeColor="text1"/>
          <w:szCs w:val="21"/>
          <w:highlight w:val="none"/>
          <w14:textFill>
            <w14:solidFill>
              <w14:schemeClr w14:val="tx1"/>
            </w14:solidFill>
          </w14:textFill>
        </w:rPr>
        <w:t>（详见第四章）。评审小组按照招标文件中规定的评标方法和标准，对符合性审查合格</w:t>
      </w:r>
      <w:r>
        <w:rPr>
          <w:rFonts w:hint="eastAsia" w:hAnsi="宋体" w:cs="宋体"/>
          <w:color w:val="000000" w:themeColor="text1"/>
          <w:szCs w:val="21"/>
          <w:highlight w:val="none"/>
          <w14:textFill>
            <w14:solidFill>
              <w14:schemeClr w14:val="tx1"/>
            </w14:solidFill>
          </w14:textFill>
        </w:rPr>
        <w:t>的投标文件进行商务和技术评估，综合比较与评价。</w:t>
      </w:r>
    </w:p>
    <w:p>
      <w:pPr>
        <w:pStyle w:val="20"/>
        <w:spacing w:line="400" w:lineRule="exact"/>
        <w:ind w:left="422" w:hanging="422" w:hangingChars="200"/>
        <w:rPr>
          <w:rFonts w:hAnsi="宋体" w:cs="宋体"/>
          <w:bCs/>
          <w:color w:val="000000" w:themeColor="text1"/>
          <w:spacing w:val="-2"/>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20.</w:t>
      </w:r>
      <w:r>
        <w:rPr>
          <w:rFonts w:hint="eastAsia" w:hAnsi="宋体" w:cs="宋体"/>
          <w:b/>
          <w:bCs/>
          <w:color w:val="000000" w:themeColor="text1"/>
          <w:spacing w:val="-2"/>
          <w:szCs w:val="21"/>
          <w:highlight w:val="none"/>
          <w14:textFill>
            <w14:solidFill>
              <w14:schemeClr w14:val="tx1"/>
            </w14:solidFill>
          </w14:textFill>
        </w:rPr>
        <w:t>5推荐</w:t>
      </w:r>
      <w:r>
        <w:rPr>
          <w:rFonts w:hint="eastAsia" w:hAnsi="宋体" w:cs="宋体"/>
          <w:b/>
          <w:bCs/>
          <w:color w:val="000000" w:themeColor="text1"/>
          <w:szCs w:val="21"/>
          <w:highlight w:val="none"/>
          <w14:textFill>
            <w14:solidFill>
              <w14:schemeClr w14:val="tx1"/>
            </w14:solidFill>
          </w14:textFill>
        </w:rPr>
        <w:t>中标</w:t>
      </w:r>
      <w:r>
        <w:rPr>
          <w:rFonts w:hint="eastAsia" w:hAnsi="宋体" w:cs="宋体"/>
          <w:b/>
          <w:bCs/>
          <w:color w:val="000000" w:themeColor="text1"/>
          <w:spacing w:val="-2"/>
          <w:szCs w:val="21"/>
          <w:highlight w:val="none"/>
          <w14:textFill>
            <w14:solidFill>
              <w14:schemeClr w14:val="tx1"/>
            </w14:solidFill>
          </w14:textFill>
        </w:rPr>
        <w:t>候选</w:t>
      </w:r>
      <w:r>
        <w:rPr>
          <w:rFonts w:hint="eastAsia" w:hAnsi="宋体" w:cs="宋体"/>
          <w:b/>
          <w:bCs/>
          <w:color w:val="000000" w:themeColor="text1"/>
          <w:szCs w:val="21"/>
          <w:highlight w:val="none"/>
          <w14:textFill>
            <w14:solidFill>
              <w14:schemeClr w14:val="tx1"/>
            </w14:solidFill>
          </w14:textFill>
        </w:rPr>
        <w:t>人</w:t>
      </w:r>
      <w:r>
        <w:rPr>
          <w:rFonts w:hint="eastAsia" w:hAnsi="宋体" w:cs="宋体"/>
          <w:b/>
          <w:bCs/>
          <w:color w:val="000000" w:themeColor="text1"/>
          <w:spacing w:val="-2"/>
          <w:szCs w:val="21"/>
          <w:highlight w:val="none"/>
          <w14:textFill>
            <w14:solidFill>
              <w14:schemeClr w14:val="tx1"/>
            </w14:solidFill>
          </w14:textFill>
        </w:rPr>
        <w:t>名单并编写评审报告。</w:t>
      </w:r>
      <w:r>
        <w:rPr>
          <w:rFonts w:hint="eastAsia" w:hAnsi="宋体" w:cs="宋体"/>
          <w:color w:val="000000" w:themeColor="text1"/>
          <w:spacing w:val="-2"/>
          <w:szCs w:val="21"/>
          <w:highlight w:val="none"/>
          <w14:textFill>
            <w14:solidFill>
              <w14:schemeClr w14:val="tx1"/>
            </w14:solidFill>
          </w14:textFill>
        </w:rPr>
        <w:t>评标委员会</w:t>
      </w:r>
      <w:r>
        <w:rPr>
          <w:rFonts w:hint="eastAsia" w:hAnsi="宋体" w:cs="宋体"/>
          <w:bCs/>
          <w:color w:val="000000" w:themeColor="text1"/>
          <w:spacing w:val="-2"/>
          <w:szCs w:val="21"/>
          <w:highlight w:val="none"/>
          <w14:textFill>
            <w14:solidFill>
              <w14:schemeClr w14:val="tx1"/>
            </w14:solidFill>
          </w14:textFill>
        </w:rPr>
        <w:t>根据评分办法的中标标准及推荐原则推荐中标候选</w:t>
      </w:r>
      <w:r>
        <w:rPr>
          <w:rFonts w:hint="eastAsia" w:hAnsi="宋体" w:cs="宋体"/>
          <w:bCs/>
          <w:color w:val="000000" w:themeColor="text1"/>
          <w:szCs w:val="21"/>
          <w:highlight w:val="none"/>
          <w14:textFill>
            <w14:solidFill>
              <w14:schemeClr w14:val="tx1"/>
            </w14:solidFill>
          </w14:textFill>
        </w:rPr>
        <w:t>人</w:t>
      </w:r>
      <w:r>
        <w:rPr>
          <w:rFonts w:hint="eastAsia" w:hAnsi="宋体" w:cs="宋体"/>
          <w:bCs/>
          <w:color w:val="000000" w:themeColor="text1"/>
          <w:spacing w:val="-2"/>
          <w:szCs w:val="21"/>
          <w:highlight w:val="none"/>
          <w14:textFill>
            <w14:solidFill>
              <w14:schemeClr w14:val="tx1"/>
            </w14:solidFill>
          </w14:textFill>
        </w:rPr>
        <w:t>名单</w:t>
      </w:r>
      <w:bookmarkStart w:id="171" w:name="_Toc211355145"/>
      <w:r>
        <w:rPr>
          <w:rFonts w:hint="eastAsia" w:hAnsi="宋体" w:cs="宋体"/>
          <w:bCs/>
          <w:color w:val="000000" w:themeColor="text1"/>
          <w:spacing w:val="-2"/>
          <w:szCs w:val="21"/>
          <w:highlight w:val="none"/>
          <w14:textFill>
            <w14:solidFill>
              <w14:schemeClr w14:val="tx1"/>
            </w14:solidFill>
          </w14:textFill>
        </w:rPr>
        <w:t>，在评审工作完</w:t>
      </w:r>
      <w:r>
        <w:rPr>
          <w:rFonts w:hint="eastAsia" w:hAnsi="宋体" w:cs="宋体"/>
          <w:color w:val="000000" w:themeColor="text1"/>
          <w:spacing w:val="-2"/>
          <w:szCs w:val="21"/>
          <w:highlight w:val="none"/>
          <w14:textFill>
            <w14:solidFill>
              <w14:schemeClr w14:val="tx1"/>
            </w14:solidFill>
          </w14:textFill>
        </w:rPr>
        <w:t>成后，向采购人提交书面评审报告。</w:t>
      </w:r>
    </w:p>
    <w:p>
      <w:pPr>
        <w:pStyle w:val="20"/>
        <w:spacing w:line="400" w:lineRule="exact"/>
        <w:ind w:left="420" w:hanging="420" w:hanging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20.6采购代理机构对评审过程和评分、评审结论进行核对和复核，如有错漏，请当事评委进行校正，按校正后的结果</w:t>
      </w:r>
      <w:r>
        <w:rPr>
          <w:rFonts w:hint="eastAsia" w:hAnsi="宋体" w:cs="宋体"/>
          <w:bCs/>
          <w:color w:val="000000" w:themeColor="text1"/>
          <w:spacing w:val="-2"/>
          <w:szCs w:val="21"/>
          <w:highlight w:val="none"/>
          <w14:textFill>
            <w14:solidFill>
              <w14:schemeClr w14:val="tx1"/>
            </w14:solidFill>
          </w14:textFill>
        </w:rPr>
        <w:t>推荐</w:t>
      </w:r>
      <w:r>
        <w:rPr>
          <w:rFonts w:hint="eastAsia" w:hAnsi="宋体" w:cs="宋体"/>
          <w:bCs/>
          <w:color w:val="000000" w:themeColor="text1"/>
          <w:szCs w:val="21"/>
          <w:highlight w:val="none"/>
          <w14:textFill>
            <w14:solidFill>
              <w14:schemeClr w14:val="tx1"/>
            </w14:solidFill>
          </w14:textFill>
        </w:rPr>
        <w:t>中标</w:t>
      </w:r>
      <w:r>
        <w:rPr>
          <w:rFonts w:hint="eastAsia" w:hAnsi="宋体" w:cs="宋体"/>
          <w:bCs/>
          <w:color w:val="000000" w:themeColor="text1"/>
          <w:spacing w:val="-2"/>
          <w:szCs w:val="21"/>
          <w:highlight w:val="none"/>
          <w14:textFill>
            <w14:solidFill>
              <w14:schemeClr w14:val="tx1"/>
            </w14:solidFill>
          </w14:textFill>
        </w:rPr>
        <w:t>候选</w:t>
      </w:r>
      <w:r>
        <w:rPr>
          <w:rFonts w:hint="eastAsia" w:hAnsi="宋体" w:cs="宋体"/>
          <w:bCs/>
          <w:color w:val="000000" w:themeColor="text1"/>
          <w:szCs w:val="21"/>
          <w:highlight w:val="none"/>
          <w14:textFill>
            <w14:solidFill>
              <w14:schemeClr w14:val="tx1"/>
            </w14:solidFill>
          </w14:textFill>
        </w:rPr>
        <w:t>人</w:t>
      </w:r>
      <w:r>
        <w:rPr>
          <w:rFonts w:hint="eastAsia" w:hAnsi="宋体" w:cs="宋体"/>
          <w:bCs/>
          <w:color w:val="000000" w:themeColor="text1"/>
          <w:spacing w:val="-2"/>
          <w:szCs w:val="21"/>
          <w:highlight w:val="none"/>
          <w14:textFill>
            <w14:solidFill>
              <w14:schemeClr w14:val="tx1"/>
            </w14:solidFill>
          </w14:textFill>
        </w:rPr>
        <w:t>名单</w:t>
      </w:r>
      <w:r>
        <w:rPr>
          <w:rFonts w:hint="eastAsia" w:hAnsi="宋体" w:cs="宋体"/>
          <w:color w:val="000000" w:themeColor="text1"/>
          <w:szCs w:val="21"/>
          <w:highlight w:val="none"/>
          <w14:textFill>
            <w14:solidFill>
              <w14:schemeClr w14:val="tx1"/>
            </w14:solidFill>
          </w14:textFill>
        </w:rPr>
        <w:t>。</w:t>
      </w:r>
    </w:p>
    <w:p>
      <w:pPr>
        <w:pStyle w:val="20"/>
        <w:spacing w:line="400" w:lineRule="exact"/>
        <w:ind w:left="525" w:hanging="525" w:hangingChars="250"/>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20.7</w:t>
      </w:r>
      <w:r>
        <w:rPr>
          <w:rFonts w:hint="eastAsia" w:hAnsi="宋体" w:cs="宋体"/>
          <w:color w:val="000000" w:themeColor="text1"/>
          <w:kern w:val="0"/>
          <w:szCs w:val="21"/>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bookmarkEnd w:id="171"/>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72" w:name="_Toc211355146"/>
      <w:bookmarkStart w:id="173" w:name="_Toc185702574"/>
      <w:bookmarkStart w:id="174" w:name="_Toc395066543"/>
      <w:bookmarkStart w:id="175" w:name="_Toc200268263"/>
      <w:bookmarkStart w:id="176" w:name="_Toc405943001"/>
      <w:bookmarkStart w:id="177" w:name="_Toc469874189"/>
      <w:r>
        <w:rPr>
          <w:rFonts w:hint="eastAsia" w:ascii="宋体" w:hAnsi="宋体" w:eastAsia="宋体" w:cs="宋体"/>
          <w:color w:val="000000" w:themeColor="text1"/>
          <w:sz w:val="21"/>
          <w:szCs w:val="21"/>
          <w:highlight w:val="none"/>
          <w14:textFill>
            <w14:solidFill>
              <w14:schemeClr w14:val="tx1"/>
            </w14:solidFill>
          </w14:textFill>
        </w:rPr>
        <w:t>21、无效投标</w:t>
      </w:r>
      <w:bookmarkEnd w:id="172"/>
      <w:bookmarkEnd w:id="173"/>
      <w:bookmarkEnd w:id="174"/>
      <w:bookmarkEnd w:id="175"/>
      <w:bookmarkEnd w:id="176"/>
      <w:r>
        <w:rPr>
          <w:rFonts w:hint="eastAsia" w:ascii="宋体" w:hAnsi="宋体" w:eastAsia="宋体" w:cs="宋体"/>
          <w:color w:val="000000" w:themeColor="text1"/>
          <w:sz w:val="21"/>
          <w:szCs w:val="21"/>
          <w:highlight w:val="none"/>
          <w14:textFill>
            <w14:solidFill>
              <w14:schemeClr w14:val="tx1"/>
            </w14:solidFill>
          </w14:textFill>
        </w:rPr>
        <w:t>的情形</w:t>
      </w:r>
      <w:bookmarkEnd w:id="177"/>
    </w:p>
    <w:p>
      <w:pPr>
        <w:pStyle w:val="20"/>
        <w:spacing w:line="400" w:lineRule="exact"/>
        <w:ind w:left="420" w:hanging="420" w:hangingChars="20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21.1</w:t>
      </w:r>
      <w:r>
        <w:rPr>
          <w:rFonts w:hint="eastAsia" w:hAnsi="宋体" w:cs="宋体"/>
          <w:color w:val="000000" w:themeColor="text1"/>
          <w:spacing w:val="-4"/>
          <w:szCs w:val="21"/>
          <w:highlight w:val="none"/>
          <w14:textFill>
            <w14:solidFill>
              <w14:schemeClr w14:val="tx1"/>
            </w14:solidFill>
          </w14:textFill>
        </w:rPr>
        <w:t>实质上</w:t>
      </w:r>
      <w:r>
        <w:rPr>
          <w:rFonts w:hint="eastAsia" w:hAnsi="宋体" w:cs="宋体"/>
          <w:bCs/>
          <w:color w:val="000000" w:themeColor="text1"/>
          <w:szCs w:val="21"/>
          <w:highlight w:val="none"/>
          <w14:textFill>
            <w14:solidFill>
              <w14:schemeClr w14:val="tx1"/>
            </w14:solidFill>
          </w14:textFill>
        </w:rPr>
        <w:t>没有响应招标文件要求的投标将被视为无效投标，投标人不得通过修正或撤销不符合招标文件要求的偏离或保留从而使其投标成为实质上响应的投标。但经评标委员会认定属于投标人疏忽、笔误所造成的差错，该差错未实质性改变招标文件的内容的，应当允许其在评审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21.2投标人存在下列情况之一的，投标无效：</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（1）未按照招标文件的规定提交投标保证金的；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（2）按照招标文件的规定时间获取招标文件并缴纳招标文件工本费的；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（3）投标文件未按招标文件要求签署、盖章或加盖手指印的；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未按</w:t>
      </w:r>
      <w:r>
        <w:rPr>
          <w:rFonts w:hint="eastAsia" w:ascii="宋体" w:hAnsi="宋体" w:cs="宋体"/>
          <w:bCs/>
          <w:color w:val="000000" w:themeColor="text1"/>
          <w:szCs w:val="21"/>
          <w:highlight w:val="none"/>
          <w14:textFill>
            <w14:solidFill>
              <w14:schemeClr w14:val="tx1"/>
            </w14:solidFill>
          </w14:textFill>
        </w:rPr>
        <w:t>招标</w:t>
      </w:r>
      <w:r>
        <w:rPr>
          <w:rFonts w:hint="eastAsia" w:ascii="宋体" w:hAnsi="宋体" w:cs="宋体"/>
          <w:color w:val="000000" w:themeColor="text1"/>
          <w:szCs w:val="21"/>
          <w:highlight w:val="none"/>
          <w14:textFill>
            <w14:solidFill>
              <w14:schemeClr w14:val="tx1"/>
            </w14:solidFill>
          </w14:textFill>
        </w:rPr>
        <w:t>文件规定提交</w:t>
      </w:r>
      <w:r>
        <w:rPr>
          <w:rFonts w:hint="eastAsia" w:ascii="宋体" w:hAnsi="宋体" w:cs="宋体"/>
          <w:bCs/>
          <w:color w:val="000000" w:themeColor="text1"/>
          <w:szCs w:val="21"/>
          <w:highlight w:val="none"/>
          <w14:textFill>
            <w14:solidFill>
              <w14:schemeClr w14:val="tx1"/>
            </w14:solidFill>
          </w14:textFill>
        </w:rPr>
        <w:t>投标</w:t>
      </w:r>
      <w:r>
        <w:rPr>
          <w:rFonts w:hint="eastAsia" w:ascii="宋体" w:hAnsi="宋体" w:cs="宋体"/>
          <w:color w:val="000000" w:themeColor="text1"/>
          <w:szCs w:val="21"/>
          <w:highlight w:val="none"/>
          <w14:textFill>
            <w14:solidFill>
              <w14:schemeClr w14:val="tx1"/>
            </w14:solidFill>
          </w14:textFill>
        </w:rPr>
        <w:t>文件份数及</w:t>
      </w:r>
      <w:r>
        <w:rPr>
          <w:rFonts w:hint="eastAsia" w:ascii="宋体" w:hAnsi="宋体" w:cs="宋体"/>
          <w:bCs/>
          <w:color w:val="000000" w:themeColor="text1"/>
          <w:szCs w:val="21"/>
          <w:highlight w:val="none"/>
          <w14:textFill>
            <w14:solidFill>
              <w14:schemeClr w14:val="tx1"/>
            </w14:solidFill>
          </w14:textFill>
        </w:rPr>
        <w:t>投标</w:t>
      </w:r>
      <w:r>
        <w:rPr>
          <w:rFonts w:hint="eastAsia" w:ascii="宋体" w:hAnsi="宋体" w:cs="宋体"/>
          <w:color w:val="000000" w:themeColor="text1"/>
          <w:szCs w:val="21"/>
          <w:highlight w:val="none"/>
          <w14:textFill>
            <w14:solidFill>
              <w14:schemeClr w14:val="tx1"/>
            </w14:solidFill>
          </w14:textFill>
        </w:rPr>
        <w:t>文件电子版的；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（5）不具备招标文件中规定的资格要求的；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（6）报价超过招标文件中规定的预算金额或者最高限价的；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（7）投标文件含有采购人不能接受的附加条件的；</w:t>
      </w:r>
    </w:p>
    <w:p>
      <w:pPr>
        <w:spacing w:line="400" w:lineRule="exact"/>
        <w:ind w:firstLine="42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（8）法律、法规和招标文件规定的其他无效情形。</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21.3在技术评审时，投标人存在下列情形之一的，投标无效：</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（1）未提供或未如实提供投标货物的技术参数（技术规格标准）或参数注册（检测）证明，或者投标文件标明的响应或偏离与事实不符或虚假投标的（含中标后查实的）；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（2）明显不符合招标文件要求的规格型号、质量标准的；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（3）允许偏离的技术、性能指标或者辅助功能项目发生负偏离达招标文件规定情形的；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（4）投标技术方案不明确，存在一个或一个以上备选（替代）投标方案的；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（5）与其他参加本次投标投标人的投标文件（技术文件）的文字表述内容相同连续20行以上或者差错相同2处以上（含2处）的。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（6）未按招标采购内容及要求提供证明材料的。</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21.4在报价评审时，投标人存在下列情形之一的，作无效投标处理：</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（1）未采用人民币报价或者未按照招标文件标明的币种报价的；</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（2）投标报价具有选择性，或者开标价格与投标文件承诺的优惠（折扣）价格不一致的；</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（3）投标报价明细表总额与开标一览表总价不一致的；</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395" w:firstLineChars="196"/>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（5）经评标委员会认定，投标报价出现恶意竞争、不合理或违反实质性条款的属于无效报价。</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21.5投标人有下列情形之一的视为投标人相互串通投标，作无效投标处理：</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(1)不同投标人的投标文件由同一单位或者个人编制；或不同投标人报名的IP地址一致的；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(2)不同投标人委托同一单位或者个人办理投标事宜；</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(3)不同的投标人的投标文件载明的项目管理员为同一个人；</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(4)不同投标人的投标文件异常一致或投标报价呈规律性差异；</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(5)不同投标人的投标文件相互混装；</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(6)不同投标人的投标保证金从同一单位或者个人账户转出。</w:t>
      </w:r>
    </w:p>
    <w:p>
      <w:pPr>
        <w:pStyle w:val="20"/>
        <w:spacing w:line="400" w:lineRule="exact"/>
        <w:ind w:left="404" w:hanging="404" w:hangingChars="20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21.6被拒绝的投标文件为无效。</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1）属下列情形之一的，采购人应当拒绝接收投标人的投标文件：</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（1）在本章第16.1条规定的投标截止时间之后送达的；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（2）未送达至本章第16.1条指定的递交投标文件地点的；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2）属下列情形之一的，采购人应当拒绝接收投标人的投标样品：</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（1）在本章第16.1条规定的递交投标样品截止时间之后送达的；</w:t>
      </w:r>
    </w:p>
    <w:p>
      <w:pPr>
        <w:pStyle w:val="18"/>
        <w:snapToGrid w:val="0"/>
        <w:spacing w:line="400" w:lineRule="exact"/>
        <w:ind w:firstLine="404"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（2）未送达至本章第16.1条指定的递交投标样品地点的。</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78" w:name="_Toc185702575"/>
      <w:bookmarkStart w:id="179" w:name="_Toc211355147"/>
      <w:bookmarkStart w:id="180" w:name="_Toc405943002"/>
      <w:bookmarkStart w:id="181" w:name="_Toc395066544"/>
      <w:bookmarkStart w:id="182" w:name="_Toc469874190"/>
      <w:bookmarkStart w:id="183" w:name="_Toc200268264"/>
      <w:r>
        <w:rPr>
          <w:rFonts w:hint="eastAsia" w:ascii="宋体" w:hAnsi="宋体" w:eastAsia="宋体" w:cs="宋体"/>
          <w:color w:val="000000" w:themeColor="text1"/>
          <w:sz w:val="21"/>
          <w:szCs w:val="21"/>
          <w:highlight w:val="none"/>
          <w14:textFill>
            <w14:solidFill>
              <w14:schemeClr w14:val="tx1"/>
            </w14:solidFill>
          </w14:textFill>
        </w:rPr>
        <w:t>22、废标</w:t>
      </w:r>
      <w:bookmarkEnd w:id="178"/>
      <w:bookmarkEnd w:id="179"/>
      <w:bookmarkEnd w:id="180"/>
      <w:bookmarkEnd w:id="181"/>
      <w:bookmarkEnd w:id="182"/>
      <w:bookmarkEnd w:id="183"/>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22.1在招标采购中，出现下列情形之一的，应予废标：</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（1）符合专业条件的投标人或者对招标文件作实质响应的投标人不足三家的；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（2）出现影响采购公正的违法、违规行为的；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（3）投标人的报价均超过了采购预算，采购人不能支付的；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（4）因重大变故，采购任务取消的。</w:t>
      </w:r>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废标后，采购人应当将废标理由通知所有投标人。</w:t>
      </w:r>
    </w:p>
    <w:p>
      <w:pPr>
        <w:pStyle w:val="20"/>
        <w:spacing w:line="400" w:lineRule="exact"/>
        <w:ind w:left="435"/>
        <w:rPr>
          <w:rFonts w:hAnsi="宋体" w:cs="宋体"/>
          <w:b/>
          <w:bCs/>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84" w:name="_Toc469874191"/>
      <w:bookmarkStart w:id="185" w:name="_Toc469909320"/>
      <w:bookmarkStart w:id="186" w:name="_Toc405943003"/>
      <w:bookmarkStart w:id="187" w:name="_Toc395066545"/>
      <w:bookmarkStart w:id="188" w:name="_Toc18481"/>
      <w:r>
        <w:rPr>
          <w:rFonts w:hint="eastAsia" w:ascii="宋体" w:hAnsi="宋体" w:cs="宋体"/>
          <w:color w:val="000000" w:themeColor="text1"/>
          <w:highlight w:val="none"/>
          <w14:textFill>
            <w14:solidFill>
              <w14:schemeClr w14:val="tx1"/>
            </w14:solidFill>
          </w14:textFill>
        </w:rPr>
        <w:t>六</w:t>
      </w:r>
      <w:bookmarkEnd w:id="166"/>
      <w:r>
        <w:rPr>
          <w:rFonts w:hint="eastAsia" w:ascii="宋体" w:hAnsi="宋体" w:cs="宋体"/>
          <w:color w:val="000000" w:themeColor="text1"/>
          <w:highlight w:val="none"/>
          <w14:textFill>
            <w14:solidFill>
              <w14:schemeClr w14:val="tx1"/>
            </w14:solidFill>
          </w14:textFill>
        </w:rPr>
        <w:t>、</w:t>
      </w:r>
      <w:bookmarkEnd w:id="167"/>
      <w:bookmarkEnd w:id="184"/>
      <w:bookmarkEnd w:id="185"/>
      <w:bookmarkEnd w:id="186"/>
      <w:bookmarkEnd w:id="187"/>
      <w:r>
        <w:rPr>
          <w:rFonts w:hint="eastAsia" w:ascii="宋体" w:hAnsi="宋体" w:cs="宋体"/>
          <w:color w:val="000000" w:themeColor="text1"/>
          <w:highlight w:val="none"/>
          <w14:textFill>
            <w14:solidFill>
              <w14:schemeClr w14:val="tx1"/>
            </w14:solidFill>
          </w14:textFill>
        </w:rPr>
        <w:t>结果公示</w:t>
      </w:r>
      <w:bookmarkEnd w:id="188"/>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189" w:name="_Toc200268266"/>
      <w:bookmarkStart w:id="190" w:name="_Toc185702577"/>
      <w:bookmarkStart w:id="191" w:name="_Toc405943004"/>
      <w:bookmarkStart w:id="192" w:name="_Toc469874192"/>
      <w:bookmarkStart w:id="193" w:name="_Toc395066546"/>
      <w:r>
        <w:rPr>
          <w:rFonts w:hint="eastAsia" w:ascii="宋体" w:hAnsi="宋体" w:eastAsia="宋体" w:cs="宋体"/>
          <w:color w:val="000000" w:themeColor="text1"/>
          <w:sz w:val="21"/>
          <w:szCs w:val="21"/>
          <w:highlight w:val="none"/>
          <w14:textFill>
            <w14:solidFill>
              <w14:schemeClr w14:val="tx1"/>
            </w14:solidFill>
          </w14:textFill>
        </w:rPr>
        <w:t>23、</w:t>
      </w:r>
      <w:bookmarkEnd w:id="189"/>
      <w:bookmarkEnd w:id="190"/>
      <w:bookmarkEnd w:id="191"/>
      <w:bookmarkEnd w:id="192"/>
      <w:bookmarkEnd w:id="193"/>
      <w:r>
        <w:rPr>
          <w:rFonts w:hint="eastAsia" w:ascii="宋体" w:hAnsi="宋体" w:eastAsia="宋体" w:cs="宋体"/>
          <w:color w:val="000000" w:themeColor="text1"/>
          <w:sz w:val="21"/>
          <w:szCs w:val="21"/>
          <w:highlight w:val="none"/>
          <w14:textFill>
            <w14:solidFill>
              <w14:schemeClr w14:val="tx1"/>
            </w14:solidFill>
          </w14:textFill>
        </w:rPr>
        <w:t>确定中标人</w:t>
      </w:r>
    </w:p>
    <w:p>
      <w:pPr>
        <w:pStyle w:val="20"/>
        <w:spacing w:line="400" w:lineRule="exact"/>
        <w:ind w:left="525" w:hanging="525" w:hangingChars="250"/>
        <w:rPr>
          <w:rFonts w:hAnsi="宋体" w:cs="宋体"/>
          <w:color w:val="000000" w:themeColor="text1"/>
          <w:szCs w:val="21"/>
          <w:highlight w:val="none"/>
          <w14:textFill>
            <w14:solidFill>
              <w14:schemeClr w14:val="tx1"/>
            </w14:solidFill>
          </w14:textFill>
        </w:rPr>
      </w:pPr>
      <w:bookmarkStart w:id="194" w:name="_Toc469874193"/>
      <w:bookmarkStart w:id="195" w:name="_Toc395066547"/>
      <w:bookmarkStart w:id="196" w:name="_Toc185702578"/>
      <w:bookmarkStart w:id="197" w:name="_Toc405943005"/>
      <w:bookmarkStart w:id="198" w:name="_Toc200268267"/>
      <w:r>
        <w:rPr>
          <w:rFonts w:hint="eastAsia" w:hAnsi="宋体" w:cs="宋体"/>
          <w:color w:val="000000" w:themeColor="text1"/>
          <w:szCs w:val="21"/>
          <w:highlight w:val="none"/>
          <w14:textFill>
            <w14:solidFill>
              <w14:schemeClr w14:val="tx1"/>
            </w14:solidFill>
          </w14:textFill>
        </w:rPr>
        <w:t>23.1</w:t>
      </w:r>
      <w:r>
        <w:rPr>
          <w:rFonts w:hint="eastAsia" w:hAnsi="宋体" w:cs="宋体"/>
          <w:color w:val="000000" w:themeColor="text1"/>
          <w:highlight w:val="none"/>
          <w14:textFill>
            <w14:solidFill>
              <w14:schemeClr w14:val="tx1"/>
            </w14:solidFill>
          </w14:textFill>
        </w:rPr>
        <w:t>采购代理机构将在评标结束后2个工作日内将评审报告送采购人。采购人自收到评标报告之日起5个工作日内，在评审报告确定的中标候选人名单中按顺序确定中标人。</w:t>
      </w:r>
      <w:r>
        <w:rPr>
          <w:rFonts w:hint="eastAsia" w:hAnsi="宋体" w:cs="宋体"/>
          <w:color w:val="000000" w:themeColor="text1"/>
          <w:szCs w:val="21"/>
          <w:highlight w:val="none"/>
          <w14:textFill>
            <w14:solidFill>
              <w14:schemeClr w14:val="tx1"/>
            </w14:solidFill>
          </w14:textFill>
        </w:rPr>
        <w:t>中标候选人并列的，由采购人或者采购人委托评标委员会按照招标文件规定的方式确定中标人。</w:t>
      </w:r>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23.2若中标人因不可抗力或者自身原因不能履行采购合同的，</w:t>
      </w:r>
      <w:r>
        <w:rPr>
          <w:rFonts w:hint="eastAsia" w:hAnsi="宋体" w:cs="宋体"/>
          <w:color w:val="000000" w:themeColor="text1"/>
          <w:highlight w:val="none"/>
          <w14:textFill>
            <w14:solidFill>
              <w14:schemeClr w14:val="tx1"/>
            </w14:solidFill>
          </w14:textFill>
        </w:rPr>
        <w:t>采购人可以按照中标候选人推荐原则的候选人名单排序，确定下一个候选人为中标人</w:t>
      </w:r>
      <w:r>
        <w:rPr>
          <w:rFonts w:hint="eastAsia" w:hAnsi="宋体" w:cs="宋体"/>
          <w:bCs/>
          <w:color w:val="000000" w:themeColor="text1"/>
          <w:highlight w:val="none"/>
          <w14:textFill>
            <w14:solidFill>
              <w14:schemeClr w14:val="tx1"/>
            </w14:solidFill>
          </w14:textFill>
        </w:rPr>
        <w:t>，以此类推。</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24、发布中标公告、中标通知</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24.1自中标人确定后2个工作日内，采购代理机构将在</w:t>
      </w:r>
      <w:r>
        <w:rPr>
          <w:rFonts w:hint="eastAsia" w:hAnsi="宋体" w:cs="宋体"/>
          <w:color w:val="000000" w:themeColor="text1"/>
          <w:szCs w:val="21"/>
          <w:highlight w:val="none"/>
          <w14:textFill>
            <w14:solidFill>
              <w14:schemeClr w14:val="tx1"/>
            </w14:solidFill>
          </w14:textFill>
        </w:rPr>
        <w:t>政府采购信息发布媒体上公告</w:t>
      </w:r>
      <w:r>
        <w:rPr>
          <w:rFonts w:hint="eastAsia" w:hAnsi="宋体" w:cs="宋体"/>
          <w:color w:val="000000" w:themeColor="text1"/>
          <w:highlight w:val="none"/>
          <w14:textFill>
            <w14:solidFill>
              <w14:schemeClr w14:val="tx1"/>
            </w14:solidFill>
          </w14:textFill>
        </w:rPr>
        <w:t>中标结果。</w:t>
      </w:r>
    </w:p>
    <w:p>
      <w:pPr>
        <w:pStyle w:val="20"/>
        <w:spacing w:line="400" w:lineRule="exact"/>
        <w:ind w:left="505" w:hanging="505" w:hangingChars="250"/>
        <w:rPr>
          <w:rFonts w:hAnsi="宋体" w:cs="宋体"/>
          <w:color w:val="000000" w:themeColor="text1"/>
          <w:spacing w:val="-4"/>
          <w:szCs w:val="21"/>
          <w:highlight w:val="none"/>
          <w14:textFill>
            <w14:solidFill>
              <w14:schemeClr w14:val="tx1"/>
            </w14:solidFill>
          </w14:textFill>
        </w:rPr>
      </w:pPr>
      <w:r>
        <w:rPr>
          <w:rFonts w:hint="eastAsia" w:hAnsi="宋体" w:cs="宋体"/>
          <w:color w:val="000000" w:themeColor="text1"/>
          <w:spacing w:val="-4"/>
          <w:szCs w:val="21"/>
          <w:highlight w:val="none"/>
          <w14:textFill>
            <w14:solidFill>
              <w14:schemeClr w14:val="tx1"/>
            </w14:solidFill>
          </w14:textFill>
        </w:rPr>
        <w:t>24.2</w:t>
      </w:r>
      <w:r>
        <w:rPr>
          <w:rFonts w:hint="eastAsia" w:hAnsi="宋体" w:cs="宋体"/>
          <w:color w:val="000000" w:themeColor="text1"/>
          <w:highlight w:val="none"/>
          <w14:textFill>
            <w14:solidFill>
              <w14:schemeClr w14:val="tx1"/>
            </w14:solidFill>
          </w14:textFill>
        </w:rPr>
        <w:t>采购人或采购代理机构</w:t>
      </w:r>
      <w:r>
        <w:rPr>
          <w:rFonts w:hint="eastAsia" w:hAnsi="宋体" w:cs="宋体"/>
          <w:color w:val="000000" w:themeColor="text1"/>
          <w:spacing w:val="-4"/>
          <w:szCs w:val="21"/>
          <w:highlight w:val="none"/>
          <w14:textFill>
            <w14:solidFill>
              <w14:schemeClr w14:val="tx1"/>
            </w14:solidFill>
          </w14:textFill>
        </w:rPr>
        <w:t>在发布中标</w:t>
      </w:r>
      <w:r>
        <w:rPr>
          <w:rFonts w:hint="eastAsia" w:hAnsi="宋体" w:cs="宋体"/>
          <w:color w:val="000000" w:themeColor="text1"/>
          <w:highlight w:val="none"/>
          <w14:textFill>
            <w14:solidFill>
              <w14:schemeClr w14:val="tx1"/>
            </w14:solidFill>
          </w14:textFill>
        </w:rPr>
        <w:t>结果</w:t>
      </w:r>
      <w:r>
        <w:rPr>
          <w:rFonts w:hint="eastAsia" w:hAnsi="宋体" w:cs="宋体"/>
          <w:color w:val="000000" w:themeColor="text1"/>
          <w:spacing w:val="-4"/>
          <w:szCs w:val="21"/>
          <w:highlight w:val="none"/>
          <w14:textFill>
            <w14:solidFill>
              <w14:schemeClr w14:val="tx1"/>
            </w14:solidFill>
          </w14:textFill>
        </w:rPr>
        <w:t>的同时向中标人发出中标通知书。中标人应自接到通知之日起5个工作日内办理领取中标通知书手续，延期自误。</w:t>
      </w:r>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199" w:name="_Toc20057"/>
      <w:r>
        <w:rPr>
          <w:rFonts w:hint="eastAsia" w:ascii="宋体" w:hAnsi="宋体" w:cs="宋体"/>
          <w:color w:val="000000" w:themeColor="text1"/>
          <w:highlight w:val="none"/>
          <w14:textFill>
            <w14:solidFill>
              <w14:schemeClr w14:val="tx1"/>
            </w14:solidFill>
          </w14:textFill>
        </w:rPr>
        <w:t>七、签订合同</w:t>
      </w:r>
      <w:bookmarkEnd w:id="199"/>
    </w:p>
    <w:bookmarkEnd w:id="194"/>
    <w:bookmarkEnd w:id="195"/>
    <w:bookmarkEnd w:id="196"/>
    <w:bookmarkEnd w:id="197"/>
    <w:bookmarkEnd w:id="198"/>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00" w:name="_Toc147250544"/>
      <w:bookmarkStart w:id="201" w:name="_Toc200268268"/>
      <w:bookmarkStart w:id="202" w:name="_Toc147250342"/>
      <w:bookmarkStart w:id="203" w:name="_Toc185702579"/>
      <w:bookmarkStart w:id="204" w:name="_Toc147250388"/>
      <w:r>
        <w:rPr>
          <w:rFonts w:hint="eastAsia" w:ascii="宋体" w:hAnsi="宋体" w:eastAsia="宋体" w:cs="宋体"/>
          <w:color w:val="000000" w:themeColor="text1"/>
          <w:sz w:val="21"/>
          <w:szCs w:val="21"/>
          <w:highlight w:val="none"/>
          <w14:textFill>
            <w14:solidFill>
              <w14:schemeClr w14:val="tx1"/>
            </w14:solidFill>
          </w14:textFill>
        </w:rPr>
        <w:t>25、履约保证金</w:t>
      </w:r>
    </w:p>
    <w:p>
      <w:pPr>
        <w:pStyle w:val="20"/>
        <w:spacing w:line="400" w:lineRule="exact"/>
        <w:ind w:left="505" w:hanging="505" w:hangingChars="2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pacing w:val="-4"/>
          <w:highlight w:val="none"/>
          <w14:textFill>
            <w14:solidFill>
              <w14:schemeClr w14:val="tx1"/>
            </w14:solidFill>
          </w14:textFill>
        </w:rPr>
        <w:t xml:space="preserve">25.1 </w:t>
      </w:r>
      <w:r>
        <w:rPr>
          <w:rFonts w:hint="eastAsia" w:hAnsi="宋体" w:cs="宋体"/>
          <w:bCs/>
          <w:color w:val="000000" w:themeColor="text1"/>
          <w:szCs w:val="21"/>
          <w:highlight w:val="none"/>
          <w14:textFill>
            <w14:solidFill>
              <w14:schemeClr w14:val="tx1"/>
            </w14:solidFill>
          </w14:textFill>
        </w:rPr>
        <w:t>履约保证金金额：</w:t>
      </w:r>
      <w:r>
        <w:rPr>
          <w:rFonts w:hint="eastAsia" w:hAnsi="宋体" w:cs="宋体"/>
          <w:b/>
          <w:bCs/>
          <w:color w:val="000000" w:themeColor="text1"/>
          <w:szCs w:val="21"/>
          <w:highlight w:val="none"/>
          <w:u w:val="single"/>
          <w14:textFill>
            <w14:solidFill>
              <w14:schemeClr w14:val="tx1"/>
            </w14:solidFill>
          </w14:textFill>
        </w:rPr>
        <w:t>合同金额的5%</w:t>
      </w:r>
      <w:r>
        <w:rPr>
          <w:rFonts w:hint="eastAsia" w:hAnsi="宋体" w:cs="宋体"/>
          <w:b/>
          <w:bCs/>
          <w:color w:val="000000" w:themeColor="text1"/>
          <w:szCs w:val="21"/>
          <w:highlight w:val="none"/>
          <w14:textFill>
            <w14:solidFill>
              <w14:schemeClr w14:val="tx1"/>
            </w14:solidFill>
          </w14:textFill>
        </w:rPr>
        <w:t xml:space="preserve"> 。</w:t>
      </w:r>
    </w:p>
    <w:p>
      <w:pPr>
        <w:pStyle w:val="20"/>
        <w:spacing w:line="400" w:lineRule="exact"/>
        <w:ind w:left="525" w:hanging="525" w:hangingChars="250"/>
        <w:rPr>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w:t xml:space="preserve">25.2 </w:t>
      </w:r>
      <w:r>
        <w:rPr>
          <w:color w:val="000000" w:themeColor="text1"/>
          <w:highlight w:val="none"/>
          <w14:textFill>
            <w14:solidFill>
              <w14:schemeClr w14:val="tx1"/>
            </w14:solidFill>
          </w14:textFill>
        </w:rPr>
        <w:t>履约保证金的递交方式：在收到</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通知书后，</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须在 15 个工作日内</w:t>
      </w:r>
      <w:r>
        <w:rPr>
          <w:rFonts w:hint="eastAsia"/>
          <w:color w:val="000000" w:themeColor="text1"/>
          <w:highlight w:val="none"/>
          <w14:textFill>
            <w14:solidFill>
              <w14:schemeClr w14:val="tx1"/>
            </w14:solidFill>
          </w14:textFill>
        </w:rPr>
        <w:t>联系</w:t>
      </w:r>
      <w:r>
        <w:rPr>
          <w:color w:val="000000" w:themeColor="text1"/>
          <w:highlight w:val="none"/>
          <w14:textFill>
            <w14:solidFill>
              <w14:schemeClr w14:val="tx1"/>
            </w14:solidFill>
          </w14:textFill>
        </w:rPr>
        <w:t>采购人提交履约保证金，否则视为其放弃</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资格。</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25.2</w:t>
      </w:r>
      <w:r>
        <w:rPr>
          <w:rFonts w:hint="eastAsia" w:hAnsi="宋体" w:cs="宋体"/>
          <w:color w:val="000000" w:themeColor="text1"/>
          <w:szCs w:val="21"/>
          <w:highlight w:val="none"/>
          <w14:textFill>
            <w14:solidFill>
              <w14:schemeClr w14:val="tx1"/>
            </w14:solidFill>
          </w14:textFill>
        </w:rPr>
        <w:t>履约保证金作为违约金的一部分及用于补偿采购方因中标人不能完成其合同义务而蒙受的损失。</w:t>
      </w:r>
      <w:r>
        <w:rPr>
          <w:rFonts w:hint="eastAsia" w:hAnsi="宋体" w:cs="宋体"/>
          <w:color w:val="000000" w:themeColor="text1"/>
          <w:highlight w:val="none"/>
          <w14:textFill>
            <w14:solidFill>
              <w14:schemeClr w14:val="tx1"/>
            </w14:solidFill>
          </w14:textFill>
        </w:rPr>
        <w:t>如中标人不按双方签订的合同规定履约，则对其全部履约保证金不予退还，履约保证金不足以赔偿损失的，按实际损失赔偿。</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25.3在履约保证金到期退还日期前，若中标人的开户名称、开户银行、帐号有变动的，请以书面形式通知采购代理机构，否则由此产生的后果由中标人自负。</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25.4</w:t>
      </w:r>
      <w:r>
        <w:rPr>
          <w:color w:val="000000" w:themeColor="text1"/>
          <w:highlight w:val="none"/>
          <w14:textFill>
            <w14:solidFill>
              <w14:schemeClr w14:val="tx1"/>
            </w14:solidFill>
          </w14:textFill>
        </w:rPr>
        <w:t>自项目验收合格之日起5个工作日内，</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按第七章附件“履约保证金退付意见书”的要求至采购人财务部办理退还履约保证金手续，不付利息。因采购人或采购代理机构原因导致无法及时退还时，每逾期退还一天按履约保证金万分之一支付违约金给</w:t>
      </w:r>
      <w:r>
        <w:rPr>
          <w:rFonts w:hint="eastAsia"/>
          <w:color w:val="000000" w:themeColor="text1"/>
          <w:highlight w:val="none"/>
          <w14:textFill>
            <w14:solidFill>
              <w14:schemeClr w14:val="tx1"/>
            </w14:solidFill>
          </w14:textFill>
        </w:rPr>
        <w:t>中标</w:t>
      </w:r>
      <w:r>
        <w:rPr>
          <w:color w:val="000000" w:themeColor="text1"/>
          <w:highlight w:val="none"/>
          <w14:textFill>
            <w14:solidFill>
              <w14:schemeClr w14:val="tx1"/>
            </w14:solidFill>
          </w14:textFill>
        </w:rPr>
        <w:t>人，但因</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自身原因导致无法及时退还的除外。</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26、签订合同</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26.1中标人应当自中标通知书发出之日起30日内，凭中标通知书按照招标文件和中标人投标文件的规定，与采购人签订书面合同。所签订的合同不得对招标文件确定的事项和中标人投标文件作实质性修改。</w:t>
      </w:r>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26.2</w:t>
      </w:r>
      <w:r>
        <w:rPr>
          <w:rFonts w:hint="eastAsia" w:hAnsi="宋体" w:cs="宋体"/>
          <w:color w:val="000000" w:themeColor="text1"/>
          <w:spacing w:val="-4"/>
          <w:szCs w:val="21"/>
          <w:highlight w:val="none"/>
          <w14:textFill>
            <w14:solidFill>
              <w14:schemeClr w14:val="tx1"/>
            </w14:solidFill>
          </w14:textFill>
        </w:rPr>
        <w:t>除不可抗力等因素外，中标通知书发出后，</w:t>
      </w:r>
      <w:r>
        <w:rPr>
          <w:rFonts w:hint="eastAsia" w:hAnsi="宋体" w:cs="宋体"/>
          <w:color w:val="000000" w:themeColor="text1"/>
          <w:highlight w:val="none"/>
          <w14:textFill>
            <w14:solidFill>
              <w14:schemeClr w14:val="tx1"/>
            </w14:solidFill>
          </w14:textFill>
        </w:rPr>
        <w:t>中标人拒绝签订政府采购合同的，应当承担相应的法律责任。中标人拒绝与采购人签订政府采购合同的，采购人可以按照评审报告推荐的候选人名单排序，确定下一候选人为中标人并签订政府采购合同，也可以重新开展采购活动。拒绝签订政府采购合同的中标人不得参加对该项目重新开展的采购活动。采购人有权将违约投标人的不良行为报政府采购监管部门。</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26.3由于中标人放弃中标或未按规定签订合同，造成本项目的合同中标价提高（指采购人选择第二中标候选人导致中标金额高于违约人的中标价），所超出违约人的中标价部分由违约人承担赔偿责任。</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26.4政府采购合同必须与招标文件第五章格式(包括内容和结构)相一致，不能改变主要条款。</w:t>
      </w:r>
    </w:p>
    <w:bookmarkEnd w:id="200"/>
    <w:bookmarkEnd w:id="201"/>
    <w:bookmarkEnd w:id="202"/>
    <w:bookmarkEnd w:id="203"/>
    <w:bookmarkEnd w:id="204"/>
    <w:p>
      <w:pPr>
        <w:pStyle w:val="20"/>
        <w:spacing w:line="400" w:lineRule="exact"/>
        <w:ind w:firstLine="420"/>
        <w:rPr>
          <w:rFonts w:hAnsi="宋体" w:cs="宋体"/>
          <w:color w:val="000000" w:themeColor="text1"/>
          <w:highlight w:val="none"/>
          <w14:textFill>
            <w14:solidFill>
              <w14:schemeClr w14:val="tx1"/>
            </w14:solidFill>
          </w14:textFill>
        </w:rPr>
      </w:pPr>
    </w:p>
    <w:p>
      <w:pPr>
        <w:pStyle w:val="3"/>
        <w:spacing w:line="400" w:lineRule="exact"/>
        <w:jc w:val="center"/>
        <w:rPr>
          <w:rFonts w:ascii="宋体" w:hAnsi="宋体" w:cs="宋体"/>
          <w:color w:val="000000" w:themeColor="text1"/>
          <w:highlight w:val="none"/>
          <w14:textFill>
            <w14:solidFill>
              <w14:schemeClr w14:val="tx1"/>
            </w14:solidFill>
          </w14:textFill>
        </w:rPr>
      </w:pPr>
      <w:bookmarkStart w:id="205" w:name="_Toc200268271"/>
      <w:bookmarkStart w:id="206" w:name="_Toc405943009"/>
      <w:bookmarkStart w:id="207" w:name="_Toc395066551"/>
      <w:bookmarkStart w:id="208" w:name="_Toc469874198"/>
      <w:bookmarkStart w:id="209" w:name="_Toc469909322"/>
      <w:bookmarkStart w:id="210" w:name="_Toc185702582"/>
      <w:bookmarkStart w:id="211" w:name="_Toc9628"/>
      <w:r>
        <w:rPr>
          <w:rFonts w:hint="eastAsia" w:ascii="宋体" w:hAnsi="宋体" w:cs="宋体"/>
          <w:color w:val="000000" w:themeColor="text1"/>
          <w:highlight w:val="none"/>
          <w14:textFill>
            <w14:solidFill>
              <w14:schemeClr w14:val="tx1"/>
            </w14:solidFill>
          </w14:textFill>
        </w:rPr>
        <w:t>八、其他事项</w:t>
      </w:r>
      <w:bookmarkEnd w:id="205"/>
      <w:bookmarkEnd w:id="206"/>
      <w:bookmarkEnd w:id="207"/>
      <w:bookmarkEnd w:id="208"/>
      <w:bookmarkEnd w:id="209"/>
      <w:bookmarkEnd w:id="210"/>
      <w:bookmarkEnd w:id="211"/>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12" w:name="_Toc395066552"/>
      <w:bookmarkStart w:id="213" w:name="_Toc185702583"/>
      <w:bookmarkStart w:id="214" w:name="_Toc200268272"/>
      <w:bookmarkStart w:id="215" w:name="_Toc405943010"/>
      <w:bookmarkStart w:id="216" w:name="_Toc469874199"/>
      <w:r>
        <w:rPr>
          <w:rFonts w:hint="eastAsia" w:ascii="宋体" w:hAnsi="宋体" w:eastAsia="宋体" w:cs="宋体"/>
          <w:color w:val="000000" w:themeColor="text1"/>
          <w:sz w:val="21"/>
          <w:szCs w:val="21"/>
          <w:highlight w:val="none"/>
          <w14:textFill>
            <w14:solidFill>
              <w14:schemeClr w14:val="tx1"/>
            </w14:solidFill>
          </w14:textFill>
        </w:rPr>
        <w:t>27、服务费</w:t>
      </w:r>
      <w:bookmarkEnd w:id="212"/>
      <w:bookmarkEnd w:id="213"/>
      <w:bookmarkEnd w:id="214"/>
      <w:bookmarkEnd w:id="215"/>
      <w:bookmarkEnd w:id="216"/>
    </w:p>
    <w:p>
      <w:pPr>
        <w:pStyle w:val="20"/>
        <w:spacing w:line="400" w:lineRule="exact"/>
        <w:ind w:left="525" w:hanging="525" w:hangingChars="250"/>
        <w:rPr>
          <w:rFonts w:hAnsi="宋体" w:cs="宋体"/>
          <w:bCs/>
          <w:color w:val="000000" w:themeColor="text1"/>
          <w:highlight w:val="none"/>
          <w14:textFill>
            <w14:solidFill>
              <w14:schemeClr w14:val="tx1"/>
            </w14:solidFill>
          </w14:textFill>
        </w:rPr>
      </w:pPr>
      <w:bookmarkStart w:id="217" w:name="_Toc200268273"/>
      <w:bookmarkStart w:id="218" w:name="_Toc469874200"/>
      <w:bookmarkStart w:id="219" w:name="_Toc405943011"/>
      <w:bookmarkStart w:id="220" w:name="_Toc185702584"/>
      <w:bookmarkStart w:id="221" w:name="_Toc395066553"/>
      <w:r>
        <w:rPr>
          <w:rFonts w:hint="eastAsia" w:hAnsi="宋体" w:cs="宋体"/>
          <w:bCs/>
          <w:color w:val="000000" w:themeColor="text1"/>
          <w:highlight w:val="none"/>
          <w14:textFill>
            <w14:solidFill>
              <w14:schemeClr w14:val="tx1"/>
            </w14:solidFill>
          </w14:textFill>
        </w:rPr>
        <w:t>27.1本项目服务费：</w:t>
      </w:r>
      <w:r>
        <w:rPr>
          <w:rFonts w:hint="eastAsia" w:hAnsi="宋体" w:cs="宋体"/>
          <w:color w:val="000000" w:themeColor="text1"/>
          <w:highlight w:val="none"/>
          <w14:textFill>
            <w14:solidFill>
              <w14:schemeClr w14:val="tx1"/>
            </w14:solidFill>
          </w14:textFill>
        </w:rPr>
        <w:t>由中标人在领取中标通知书前向广西众联工程项目管理有限公司一次性付清代理服务费及开标费，否则视为其放弃中标资格。</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27.2代理服务费参考下述标准按差额定率累进法计算，具体标准如下：</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760"/>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260" w:type="dxa"/>
          </w:tcPr>
          <w:p>
            <w:pPr>
              <w:pStyle w:val="20"/>
              <w:snapToGrid w:val="0"/>
              <w:ind w:firstLine="2100" w:firstLineChars="1000"/>
              <w:rPr>
                <w:rFonts w:hAnsi="宋体" w:cs="宋体"/>
                <w:color w:val="000000" w:themeColor="text1"/>
                <w:highlight w:val="none"/>
                <w14:textFill>
                  <w14:solidFill>
                    <w14:schemeClr w14:val="tx1"/>
                  </w14:solidFill>
                </w14:textFill>
              </w:rPr>
            </w:pPr>
            <w:r>
              <w:rPr>
                <w:rFonts w:hAnsi="宋体" w:cs="宋体"/>
                <w:color w:val="000000" w:themeColor="text1"/>
                <w:highlight w:val="none"/>
                <w14:textFill>
                  <w14:solidFill>
                    <w14:schemeClr w14:val="tx1"/>
                  </w14:solidFill>
                </w14:textFill>
              </w:rPr>
              <mc:AlternateContent>
                <mc:Choice Requires="wpg">
                  <w:drawing>
                    <wp:anchor distT="0" distB="0" distL="114300" distR="114300" simplePos="0" relativeHeight="251658240" behindDoc="0" locked="0" layoutInCell="1" allowOverlap="1">
                      <wp:simplePos x="0" y="0"/>
                      <wp:positionH relativeFrom="column">
                        <wp:posOffset>-73025</wp:posOffset>
                      </wp:positionH>
                      <wp:positionV relativeFrom="paragraph">
                        <wp:posOffset>-1270</wp:posOffset>
                      </wp:positionV>
                      <wp:extent cx="2075180" cy="682625"/>
                      <wp:effectExtent l="6985" t="12700" r="13335" b="9525"/>
                      <wp:wrapNone/>
                      <wp:docPr id="1" name="__TH_G22五号27"/>
                      <wp:cNvGraphicFramePr/>
                      <a:graphic xmlns:a="http://schemas.openxmlformats.org/drawingml/2006/main">
                        <a:graphicData uri="http://schemas.microsoft.com/office/word/2010/wordprocessingGroup">
                          <wpg:wgp>
                            <wpg:cNvGrpSpPr/>
                            <wpg:grpSpPr>
                              <a:xfrm>
                                <a:off x="0" y="0"/>
                                <a:ext cx="2075180" cy="682625"/>
                                <a:chOff x="959" y="1984"/>
                                <a:chExt cx="2534" cy="1072"/>
                              </a:xfrm>
                            </wpg:grpSpPr>
                            <wps:wsp>
                              <wps:cNvPr id="2" name="__TH_L25"/>
                              <wps:cNvCnPr>
                                <a:cxnSpLocks noChangeShapeType="1"/>
                              </wps:cNvCnPr>
                              <wps:spPr bwMode="auto">
                                <a:xfrm>
                                  <a:off x="2226" y="1984"/>
                                  <a:ext cx="1267" cy="1072"/>
                                </a:xfrm>
                                <a:prstGeom prst="line">
                                  <a:avLst/>
                                </a:prstGeom>
                                <a:noFill/>
                                <a:ln w="6350">
                                  <a:solidFill>
                                    <a:srgbClr val="000000"/>
                                  </a:solidFill>
                                  <a:round/>
                                </a:ln>
                              </wps:spPr>
                              <wps:bodyPr/>
                            </wps:wsp>
                            <wps:wsp>
                              <wps:cNvPr id="3" name="__TH_L26"/>
                              <wps:cNvCnPr>
                                <a:cxnSpLocks noChangeShapeType="1"/>
                              </wps:cNvCnPr>
                              <wps:spPr bwMode="auto">
                                <a:xfrm>
                                  <a:off x="959" y="2520"/>
                                  <a:ext cx="2534" cy="536"/>
                                </a:xfrm>
                                <a:prstGeom prst="line">
                                  <a:avLst/>
                                </a:prstGeom>
                                <a:noFill/>
                                <a:ln w="6350">
                                  <a:solidFill>
                                    <a:srgbClr val="000000"/>
                                  </a:solidFill>
                                  <a:round/>
                                </a:ln>
                              </wps:spPr>
                              <wps:bodyPr/>
                            </wps:wsp>
                          </wpg:wgp>
                        </a:graphicData>
                      </a:graphic>
                    </wp:anchor>
                  </w:drawing>
                </mc:Choice>
                <mc:Fallback>
                  <w:pict>
                    <v:group id="__TH_G22五号27" o:spid="_x0000_s1026" o:spt="203" style="position:absolute;left:0pt;margin-left:-5.75pt;margin-top:-0.1pt;height:53.75pt;width:163.4pt;z-index:251658240;mso-width-relative:page;mso-height-relative:page;" coordorigin="959,1984" coordsize="2534,1072" o:gfxdata="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NdKdgAAAAJ&#10;AQAADwAAAAAAAAABACAAAAAiAAAAZHJzL2Rvd25yZXYueG1sUEsBAhQAFAAAAAgAh07iQDk1MkdV&#10;AgAAVwYAAA4AAAAAAAAAAQAgAAAAJwEAAGRycy9lMm9Eb2MueG1sUEsFBgAAAAAGAAYAWQEAAO4F&#10;AAAAAA==&#10;">
                      <o:lock v:ext="edit" aspectratio="f"/>
                      <v:line id="__TH_L25" o:spid="_x0000_s1026" o:spt="20" style="position:absolute;left:2226;top:1984;height:1072;width:1267;"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26" o:spid="_x0000_s1026" o:spt="20" style="position:absolute;left:959;top:2520;height:536;width:2534;"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hAnsi="宋体" w:cs="宋体"/>
                <w:color w:val="000000" w:themeColor="text1"/>
                <w:highlight w:val="none"/>
                <w14:textFill>
                  <w14:solidFill>
                    <w14:schemeClr w14:val="tx1"/>
                  </w14:solidFill>
                </w14:textFill>
              </w:rPr>
              <w:t>服务类型</w:t>
            </w:r>
          </w:p>
          <w:p>
            <w:pPr>
              <w:pStyle w:val="20"/>
              <w:snapToGrid w:val="0"/>
              <w:ind w:firstLine="63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费  率</w:t>
            </w:r>
          </w:p>
          <w:p>
            <w:pPr>
              <w:pStyle w:val="20"/>
              <w:snapToGrid w:val="0"/>
              <w:rPr>
                <w:rFonts w:hAnsi="宋体" w:cs="宋体"/>
                <w:color w:val="000000" w:themeColor="text1"/>
                <w:highlight w:val="none"/>
                <w14:textFill>
                  <w14:solidFill>
                    <w14:schemeClr w14:val="tx1"/>
                  </w14:solidFill>
                </w14:textFill>
              </w:rPr>
            </w:pPr>
          </w:p>
          <w:p>
            <w:pPr>
              <w:pStyle w:val="20"/>
              <w:snapToGrid w:val="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成交金额（万元）</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货物招标</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服务招标</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100以下</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1.5%</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100-500</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0.8%</w:t>
            </w:r>
          </w:p>
        </w:tc>
        <w:tc>
          <w:tcPr>
            <w:tcW w:w="1760"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0.7%</w:t>
            </w:r>
          </w:p>
        </w:tc>
      </w:tr>
    </w:tbl>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例如：某货物招标代理业务中标金额为200万元，计算招标代理服务收费额如下：</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100万元×1.5%=1.5万元</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（200-100）万元×1.1%=1.1万元</w:t>
      </w:r>
    </w:p>
    <w:p>
      <w:pPr>
        <w:pStyle w:val="20"/>
        <w:spacing w:line="40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合计收费 = 1.5 + 1.1 = 2.6（万元）</w:t>
      </w:r>
    </w:p>
    <w:p>
      <w:pPr>
        <w:pStyle w:val="20"/>
        <w:spacing w:line="400" w:lineRule="exact"/>
        <w:ind w:left="525" w:hanging="525" w:hangingChars="2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27.3上述款项，请现金现存或转账电汇转入下列银行帐户。</w:t>
      </w:r>
    </w:p>
    <w:p>
      <w:pPr>
        <w:pStyle w:val="20"/>
        <w:spacing w:line="400" w:lineRule="exact"/>
        <w:ind w:firstLine="840" w:firstLineChars="4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开户名称：广西众联工程项目管理有限公司</w:t>
      </w:r>
    </w:p>
    <w:p>
      <w:pPr>
        <w:spacing w:line="350" w:lineRule="exact"/>
        <w:ind w:firstLine="840" w:firstLineChars="4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开户银行：中国光大银行股份有限公司南宁民主支行</w:t>
      </w:r>
    </w:p>
    <w:p>
      <w:pPr>
        <w:spacing w:line="350" w:lineRule="exact"/>
        <w:ind w:firstLine="840" w:firstLineChars="4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银行账号：78900188000167866</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28、解释权</w:t>
      </w:r>
      <w:bookmarkEnd w:id="217"/>
      <w:bookmarkEnd w:id="218"/>
      <w:bookmarkEnd w:id="219"/>
      <w:bookmarkEnd w:id="220"/>
      <w:bookmarkEnd w:id="221"/>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28.1本</w:t>
      </w:r>
      <w:r>
        <w:rPr>
          <w:rFonts w:hint="eastAsia" w:hAnsi="宋体" w:cs="宋体"/>
          <w:color w:val="000000" w:themeColor="text1"/>
          <w:szCs w:val="21"/>
          <w:highlight w:val="none"/>
          <w14:textFill>
            <w14:solidFill>
              <w14:schemeClr w14:val="tx1"/>
            </w14:solidFill>
          </w14:textFill>
        </w:rPr>
        <w:t>招标文件</w:t>
      </w:r>
      <w:r>
        <w:rPr>
          <w:rFonts w:hint="eastAsia" w:hAnsi="宋体" w:cs="宋体"/>
          <w:color w:val="000000" w:themeColor="text1"/>
          <w:highlight w:val="none"/>
          <w14:textFill>
            <w14:solidFill>
              <w14:schemeClr w14:val="tx1"/>
            </w14:solidFill>
          </w14:textFill>
        </w:rPr>
        <w:t>是根据国家有关法律、法规以及政府采购管理有关规定和参照国际惯例编制，解释权属本采购代理机构。</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22" w:name="_Toc469874201"/>
      <w:r>
        <w:rPr>
          <w:rFonts w:hint="eastAsia" w:ascii="宋体" w:hAnsi="宋体" w:eastAsia="宋体" w:cs="宋体"/>
          <w:color w:val="000000" w:themeColor="text1"/>
          <w:sz w:val="21"/>
          <w:szCs w:val="21"/>
          <w:highlight w:val="none"/>
          <w14:textFill>
            <w14:solidFill>
              <w14:schemeClr w14:val="tx1"/>
            </w14:solidFill>
          </w14:textFill>
        </w:rPr>
        <w:t>29、知识产权</w:t>
      </w:r>
      <w:bookmarkEnd w:id="222"/>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29.1所有投标人的投标文件以及在本项目的知识成果（包括知识产权在内的任何权利）均归采购人所有，不予退还。投标人并保证所交付的知识成果不侵犯第三人的任何合法权益。</w:t>
      </w:r>
    </w:p>
    <w:p>
      <w:pPr>
        <w:pStyle w:val="4"/>
        <w:spacing w:before="0" w:after="0" w:line="400" w:lineRule="exact"/>
        <w:rPr>
          <w:rFonts w:ascii="宋体" w:hAnsi="宋体" w:eastAsia="宋体" w:cs="宋体"/>
          <w:color w:val="000000" w:themeColor="text1"/>
          <w:sz w:val="21"/>
          <w:szCs w:val="21"/>
          <w:highlight w:val="none"/>
          <w14:textFill>
            <w14:solidFill>
              <w14:schemeClr w14:val="tx1"/>
            </w14:solidFill>
          </w14:textFill>
        </w:rPr>
      </w:pPr>
      <w:bookmarkStart w:id="223" w:name="_Toc469874202"/>
      <w:r>
        <w:rPr>
          <w:rFonts w:hint="eastAsia" w:ascii="宋体" w:hAnsi="宋体" w:eastAsia="宋体" w:cs="宋体"/>
          <w:color w:val="000000" w:themeColor="text1"/>
          <w:sz w:val="21"/>
          <w:szCs w:val="21"/>
          <w:highlight w:val="none"/>
          <w14:textFill>
            <w14:solidFill>
              <w14:schemeClr w14:val="tx1"/>
            </w14:solidFill>
          </w14:textFill>
        </w:rPr>
        <w:t>30、需要补充的其他内容</w:t>
      </w:r>
      <w:bookmarkEnd w:id="223"/>
    </w:p>
    <w:p>
      <w:pPr>
        <w:pStyle w:val="20"/>
        <w:spacing w:line="400" w:lineRule="exact"/>
        <w:ind w:left="420" w:hanging="420" w:hanging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30.1需要</w:t>
      </w:r>
      <w:r>
        <w:rPr>
          <w:rFonts w:hint="eastAsia" w:hAnsi="宋体" w:cs="宋体"/>
          <w:color w:val="000000" w:themeColor="text1"/>
          <w:szCs w:val="21"/>
          <w:highlight w:val="none"/>
          <w14:textFill>
            <w14:solidFill>
              <w14:schemeClr w14:val="tx1"/>
            </w14:solidFill>
          </w14:textFill>
        </w:rPr>
        <w:t>补充</w:t>
      </w:r>
      <w:r>
        <w:rPr>
          <w:rFonts w:hint="eastAsia" w:hAnsi="宋体" w:cs="宋体"/>
          <w:color w:val="000000" w:themeColor="text1"/>
          <w:highlight w:val="none"/>
          <w14:textFill>
            <w14:solidFill>
              <w14:schemeClr w14:val="tx1"/>
            </w14:solidFill>
          </w14:textFill>
        </w:rPr>
        <w:t>的其他内容：见本章须知前附表。</w:t>
      </w:r>
    </w:p>
    <w:p>
      <w:pPr>
        <w:pStyle w:val="20"/>
        <w:spacing w:line="390" w:lineRule="exact"/>
        <w:ind w:left="420" w:hanging="420" w:hangingChars="200"/>
        <w:rPr>
          <w:rFonts w:hAnsi="宋体" w:cs="宋体"/>
          <w:color w:val="000000" w:themeColor="text1"/>
          <w:highlight w:val="none"/>
          <w14:textFill>
            <w14:solidFill>
              <w14:schemeClr w14:val="tx1"/>
            </w14:solidFill>
          </w14:textFill>
        </w:rPr>
      </w:pPr>
    </w:p>
    <w:p>
      <w:pPr>
        <w:pStyle w:val="20"/>
        <w:tabs>
          <w:tab w:val="left" w:pos="6695"/>
        </w:tabs>
        <w:spacing w:line="340" w:lineRule="exact"/>
        <w:ind w:firstLine="42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224" w:name="_Toc147248436"/>
      <w:bookmarkStart w:id="225" w:name="_Toc156106971"/>
      <w:bookmarkStart w:id="226" w:name="_Toc199780487"/>
      <w:bookmarkStart w:id="227" w:name="_Toc230929136"/>
      <w:bookmarkStart w:id="228" w:name="_Toc230949375"/>
      <w:bookmarkStart w:id="229" w:name="_Toc395066557"/>
      <w:bookmarkStart w:id="230" w:name="_Toc200308968"/>
      <w:bookmarkStart w:id="231" w:name="_Toc405943015"/>
      <w:bookmarkStart w:id="232" w:name="_Toc469842113"/>
      <w:bookmarkStart w:id="233" w:name="_Toc200268365"/>
      <w:bookmarkStart w:id="234" w:name="_Toc185702588"/>
      <w:bookmarkStart w:id="235" w:name="_Toc185703010"/>
      <w:bookmarkStart w:id="236" w:name="_Toc469874205"/>
      <w:bookmarkStart w:id="237" w:name="_Toc13134"/>
      <w:r>
        <w:rPr>
          <w:rFonts w:hint="eastAsia" w:ascii="宋体" w:hAnsi="宋体" w:cs="宋体"/>
          <w:bCs/>
          <w:color w:val="000000" w:themeColor="text1"/>
          <w:sz w:val="44"/>
          <w:highlight w:val="none"/>
          <w14:textFill>
            <w14:solidFill>
              <w14:schemeClr w14:val="tx1"/>
            </w14:solidFill>
          </w14:textFill>
        </w:rPr>
        <w:t>第四章  评标</w:t>
      </w:r>
      <w:bookmarkEnd w:id="224"/>
      <w:bookmarkEnd w:id="225"/>
      <w:r>
        <w:rPr>
          <w:rFonts w:hint="eastAsia" w:ascii="宋体" w:hAnsi="宋体" w:cs="宋体"/>
          <w:bCs/>
          <w:color w:val="000000" w:themeColor="text1"/>
          <w:sz w:val="44"/>
          <w:highlight w:val="none"/>
          <w14:textFill>
            <w14:solidFill>
              <w14:schemeClr w14:val="tx1"/>
            </w14:solidFill>
          </w14:textFill>
        </w:rPr>
        <w:t>方法</w:t>
      </w:r>
      <w:bookmarkEnd w:id="226"/>
      <w:bookmarkEnd w:id="227"/>
      <w:bookmarkEnd w:id="228"/>
      <w:bookmarkEnd w:id="229"/>
      <w:bookmarkEnd w:id="230"/>
      <w:bookmarkEnd w:id="231"/>
      <w:bookmarkEnd w:id="232"/>
      <w:bookmarkEnd w:id="233"/>
      <w:bookmarkEnd w:id="234"/>
      <w:bookmarkEnd w:id="235"/>
      <w:bookmarkEnd w:id="236"/>
      <w:bookmarkEnd w:id="237"/>
    </w:p>
    <w:p>
      <w:pPr>
        <w:pStyle w:val="20"/>
        <w:spacing w:line="400" w:lineRule="exact"/>
        <w:rPr>
          <w:rFonts w:hAnsi="宋体" w:cs="宋体"/>
          <w:color w:val="000000" w:themeColor="text1"/>
          <w:highlight w:val="none"/>
          <w14:textFill>
            <w14:solidFill>
              <w14:schemeClr w14:val="tx1"/>
            </w14:solidFill>
          </w14:textFill>
        </w:rPr>
      </w:pPr>
    </w:p>
    <w:p>
      <w:pPr>
        <w:pStyle w:val="20"/>
        <w:spacing w:line="0" w:lineRule="atLeast"/>
        <w:jc w:val="center"/>
        <w:rPr>
          <w:rFonts w:hAnsi="宋体" w:cs="宋体"/>
          <w:b/>
          <w:bCs/>
          <w:color w:val="000000" w:themeColor="text1"/>
          <w:sz w:val="32"/>
          <w:szCs w:val="32"/>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r>
        <w:rPr>
          <w:rFonts w:hint="eastAsia" w:hAnsi="宋体" w:cs="宋体"/>
          <w:b/>
          <w:bCs/>
          <w:color w:val="000000" w:themeColor="text1"/>
          <w:sz w:val="32"/>
          <w:szCs w:val="32"/>
          <w:highlight w:val="none"/>
          <w14:textFill>
            <w14:solidFill>
              <w14:schemeClr w14:val="tx1"/>
            </w14:solidFill>
          </w14:textFill>
        </w:rPr>
        <w:t>评标方法</w:t>
      </w:r>
    </w:p>
    <w:p>
      <w:pPr>
        <w:pStyle w:val="20"/>
        <w:spacing w:before="66" w:beforeLines="20" w:line="0" w:lineRule="atLeast"/>
        <w:rPr>
          <w:rFonts w:hAnsi="宋体" w:cs="宋体"/>
          <w:b/>
          <w:bCs/>
          <w:color w:val="000000" w:themeColor="text1"/>
          <w:sz w:val="28"/>
          <w:szCs w:val="28"/>
          <w:highlight w:val="none"/>
          <w14:textFill>
            <w14:solidFill>
              <w14:schemeClr w14:val="tx1"/>
            </w14:solidFill>
          </w14:textFill>
        </w:rPr>
      </w:pPr>
      <w:bookmarkStart w:id="238" w:name="_Toc469909326"/>
      <w:bookmarkStart w:id="239" w:name="_Toc469874206"/>
      <w:bookmarkStart w:id="240" w:name="_Toc395066558"/>
      <w:bookmarkStart w:id="241" w:name="_Toc469842114"/>
      <w:bookmarkStart w:id="242" w:name="_Toc405943016"/>
      <w:bookmarkStart w:id="243" w:name="_Toc469950028"/>
      <w:r>
        <w:rPr>
          <w:rFonts w:hint="eastAsia" w:hAnsi="宋体" w:cs="宋体"/>
          <w:b/>
          <w:bCs/>
          <w:color w:val="000000" w:themeColor="text1"/>
          <w:sz w:val="28"/>
          <w:szCs w:val="28"/>
          <w:highlight w:val="none"/>
          <w14:textFill>
            <w14:solidFill>
              <w14:schemeClr w14:val="tx1"/>
            </w14:solidFill>
          </w14:textFill>
        </w:rPr>
        <w:t>一、评标方法及依据</w:t>
      </w:r>
    </w:p>
    <w:p>
      <w:pPr>
        <w:pStyle w:val="20"/>
        <w:spacing w:before="33" w:beforeLines="10" w:line="0" w:lineRule="atLeast"/>
        <w:ind w:firstLine="431"/>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1、本项目采用评标方法：综合评分法，</w:t>
      </w:r>
      <w:r>
        <w:rPr>
          <w:rFonts w:hint="eastAsia" w:hAnsi="宋体" w:cs="宋体"/>
          <w:color w:val="000000" w:themeColor="text1"/>
          <w:kern w:val="0"/>
          <w:szCs w:val="21"/>
          <w:highlight w:val="none"/>
          <w14:textFill>
            <w14:solidFill>
              <w14:schemeClr w14:val="tx1"/>
            </w14:solidFill>
          </w14:textFill>
        </w:rPr>
        <w:t>是指招标文件满足招标文件全部实质性要求，且按照评审因素的量化指标评审得分最高的投标人作为中标候选人或者中标人的评标方法。</w:t>
      </w:r>
    </w:p>
    <w:p>
      <w:pPr>
        <w:pStyle w:val="20"/>
        <w:spacing w:before="33" w:beforeLines="10" w:line="0" w:lineRule="atLeast"/>
        <w:ind w:firstLine="431"/>
        <w:rPr>
          <w:rFonts w:hAnsi="宋体" w:cs="宋体"/>
          <w:bCs/>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2、本项目采用不公开方式评标，评审依据为</w:t>
      </w:r>
      <w:r>
        <w:rPr>
          <w:rFonts w:hint="eastAsia" w:hAnsi="宋体" w:cs="宋体"/>
          <w:color w:val="000000" w:themeColor="text1"/>
          <w:highlight w:val="none"/>
          <w14:textFill>
            <w14:solidFill>
              <w14:schemeClr w14:val="tx1"/>
            </w14:solidFill>
          </w14:textFill>
        </w:rPr>
        <w:t>招标文件、变更公告或文件（如有）、投标文件、澄清及答复。</w:t>
      </w:r>
    </w:p>
    <w:p>
      <w:pPr>
        <w:pStyle w:val="20"/>
        <w:spacing w:before="66" w:beforeLines="20" w:line="0" w:lineRule="atLeast"/>
        <w:rPr>
          <w:rFonts w:hAnsi="宋体" w:cs="宋体"/>
          <w:b/>
          <w:bCs/>
          <w:color w:val="000000" w:themeColor="text1"/>
          <w:sz w:val="28"/>
          <w:szCs w:val="28"/>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二、评标标准</w:t>
      </w:r>
    </w:p>
    <w:p>
      <w:pPr>
        <w:pStyle w:val="20"/>
        <w:spacing w:line="0" w:lineRule="atLeast"/>
        <w:ind w:firstLine="430"/>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（一）投标报价政策性扣除</w:t>
      </w:r>
    </w:p>
    <w:p>
      <w:pPr>
        <w:pStyle w:val="20"/>
        <w:spacing w:before="33" w:beforeLines="10" w:line="0" w:lineRule="atLeast"/>
        <w:ind w:firstLine="43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若投标人符合以下情形之一的，对其投标报价将给予相应比例的扣除，用扣除后的价格参与评审。未按要求填写和提供有效证明或相关内容表述不清的，不得享受价格扣除。</w:t>
      </w:r>
    </w:p>
    <w:p>
      <w:pPr>
        <w:pStyle w:val="20"/>
        <w:numPr>
          <w:ilvl w:val="0"/>
          <w:numId w:val="6"/>
        </w:numPr>
        <w:spacing w:before="33" w:beforeLines="10" w:line="0" w:lineRule="atLeast"/>
        <w:ind w:firstLine="430"/>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kern w:val="0"/>
          <w:szCs w:val="21"/>
          <w:highlight w:val="none"/>
          <w14:textFill>
            <w14:solidFill>
              <w14:schemeClr w14:val="tx1"/>
            </w14:solidFill>
          </w14:textFill>
        </w:rPr>
        <w:t>本项目</w:t>
      </w:r>
      <w:r>
        <w:rPr>
          <w:rFonts w:hint="eastAsia" w:hAnsi="宋体" w:cs="宋体"/>
          <w:bCs/>
          <w:color w:val="000000" w:themeColor="text1"/>
          <w:kern w:val="0"/>
          <w:szCs w:val="21"/>
          <w:highlight w:val="none"/>
          <w14:textFill>
            <w14:solidFill>
              <w14:schemeClr w14:val="tx1"/>
            </w14:solidFill>
          </w14:textFill>
        </w:rPr>
        <w:t>将对提供</w:t>
      </w:r>
      <w:r>
        <w:rPr>
          <w:rFonts w:hint="eastAsia" w:hAnsi="宋体" w:cs="宋体"/>
          <w:color w:val="000000" w:themeColor="text1"/>
          <w:kern w:val="0"/>
          <w:szCs w:val="21"/>
          <w:highlight w:val="none"/>
          <w14:textFill>
            <w14:solidFill>
              <w14:schemeClr w14:val="tx1"/>
            </w14:solidFill>
          </w14:textFill>
        </w:rPr>
        <w:t>小型或微型企业</w:t>
      </w:r>
      <w:r>
        <w:rPr>
          <w:rFonts w:hint="eastAsia" w:hAnsi="宋体" w:cs="宋体"/>
          <w:bCs/>
          <w:color w:val="000000" w:themeColor="text1"/>
          <w:kern w:val="0"/>
          <w:szCs w:val="21"/>
          <w:highlight w:val="none"/>
          <w14:textFill>
            <w14:solidFill>
              <w14:schemeClr w14:val="tx1"/>
            </w14:solidFill>
          </w14:textFill>
        </w:rPr>
        <w:t>产品或服务的价格给予</w:t>
      </w:r>
      <w:r>
        <w:rPr>
          <w:rFonts w:hint="eastAsia" w:hAnsi="宋体" w:cs="宋体"/>
          <w:b/>
          <w:bCs/>
          <w:color w:val="000000" w:themeColor="text1"/>
          <w:kern w:val="0"/>
          <w:szCs w:val="21"/>
          <w:highlight w:val="none"/>
          <w14:textFill>
            <w14:solidFill>
              <w14:schemeClr w14:val="tx1"/>
            </w14:solidFill>
          </w14:textFill>
        </w:rPr>
        <w:t>6</w:t>
      </w:r>
      <w:r>
        <w:rPr>
          <w:rFonts w:hint="eastAsia" w:hAnsi="宋体" w:cs="宋体"/>
          <w:b/>
          <w:color w:val="000000" w:themeColor="text1"/>
          <w:kern w:val="0"/>
          <w:szCs w:val="21"/>
          <w:highlight w:val="none"/>
          <w14:textFill>
            <w14:solidFill>
              <w14:schemeClr w14:val="tx1"/>
            </w14:solidFill>
          </w14:textFill>
        </w:rPr>
        <w:t>％</w:t>
      </w:r>
      <w:r>
        <w:rPr>
          <w:rFonts w:hint="eastAsia" w:hAnsi="宋体" w:cs="宋体"/>
          <w:bCs/>
          <w:color w:val="000000" w:themeColor="text1"/>
          <w:kern w:val="0"/>
          <w:szCs w:val="21"/>
          <w:highlight w:val="none"/>
          <w14:textFill>
            <w14:solidFill>
              <w14:schemeClr w14:val="tx1"/>
            </w14:solidFill>
          </w14:textFill>
        </w:rPr>
        <w:t>的扣除（具体要求详见《中小企业声明函》（格式见第六章）），《中小企业声明函》需提供原件</w:t>
      </w:r>
      <w:r>
        <w:rPr>
          <w:rFonts w:hint="eastAsia" w:hAnsi="宋体" w:cs="宋体"/>
          <w:color w:val="000000" w:themeColor="text1"/>
          <w:kern w:val="0"/>
          <w:szCs w:val="21"/>
          <w:highlight w:val="none"/>
          <w14:textFill>
            <w14:solidFill>
              <w14:schemeClr w14:val="tx1"/>
            </w14:solidFill>
          </w14:textFill>
        </w:rPr>
        <w:t>。</w:t>
      </w:r>
    </w:p>
    <w:p>
      <w:pPr>
        <w:pStyle w:val="20"/>
        <w:spacing w:before="33" w:beforeLines="10" w:line="0" w:lineRule="atLeast"/>
        <w:ind w:firstLine="420" w:firstLineChars="20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投标人符合《关于政府采购支持监狱企业发展有关问题的通知》(财库[2014]68号)规定被认定为监狱企业的，提供由省级以上监狱管理局、戒毒管理局(含新疆生产建设兵团)出具的属于监狱企业的证明文件（复印件应加盖</w:t>
      </w:r>
      <w:r>
        <w:rPr>
          <w:rFonts w:hint="eastAsia" w:hAnsi="宋体" w:cs="宋体"/>
          <w:color w:val="000000" w:themeColor="text1"/>
          <w:highlight w:val="none"/>
          <w14:textFill>
            <w14:solidFill>
              <w14:schemeClr w14:val="tx1"/>
            </w14:solidFill>
          </w14:textFill>
        </w:rPr>
        <w:t>投标人公章）</w:t>
      </w:r>
      <w:r>
        <w:rPr>
          <w:rFonts w:hint="eastAsia" w:hAnsi="宋体" w:cs="宋体"/>
          <w:color w:val="000000" w:themeColor="text1"/>
          <w:szCs w:val="21"/>
          <w:highlight w:val="none"/>
          <w14:textFill>
            <w14:solidFill>
              <w14:schemeClr w14:val="tx1"/>
            </w14:solidFill>
          </w14:textFill>
        </w:rPr>
        <w:t>，</w:t>
      </w:r>
      <w:r>
        <w:rPr>
          <w:rFonts w:hint="eastAsia" w:hAnsi="宋体" w:cs="宋体"/>
          <w:bCs/>
          <w:color w:val="000000" w:themeColor="text1"/>
          <w:szCs w:val="21"/>
          <w:highlight w:val="none"/>
          <w14:textFill>
            <w14:solidFill>
              <w14:schemeClr w14:val="tx1"/>
            </w14:solidFill>
          </w14:textFill>
        </w:rPr>
        <w:t>将对最终报价给予</w:t>
      </w:r>
      <w:r>
        <w:rPr>
          <w:rFonts w:hint="eastAsia" w:hAnsi="宋体" w:cs="宋体"/>
          <w:b/>
          <w:bCs/>
          <w:color w:val="000000" w:themeColor="text1"/>
          <w:szCs w:val="21"/>
          <w:highlight w:val="none"/>
          <w14:textFill>
            <w14:solidFill>
              <w14:schemeClr w14:val="tx1"/>
            </w14:solidFill>
          </w14:textFill>
        </w:rPr>
        <w:t>6</w:t>
      </w:r>
      <w:r>
        <w:rPr>
          <w:rFonts w:hint="eastAsia" w:hAnsi="宋体" w:cs="宋体"/>
          <w:b/>
          <w:color w:val="000000" w:themeColor="text1"/>
          <w:szCs w:val="21"/>
          <w:highlight w:val="none"/>
          <w14:textFill>
            <w14:solidFill>
              <w14:schemeClr w14:val="tx1"/>
            </w14:solidFill>
          </w14:textFill>
        </w:rPr>
        <w:t>％</w:t>
      </w:r>
      <w:r>
        <w:rPr>
          <w:rFonts w:hint="eastAsia" w:hAnsi="宋体" w:cs="宋体"/>
          <w:bCs/>
          <w:color w:val="000000" w:themeColor="text1"/>
          <w:szCs w:val="21"/>
          <w:highlight w:val="none"/>
          <w14:textFill>
            <w14:solidFill>
              <w14:schemeClr w14:val="tx1"/>
            </w14:solidFill>
          </w14:textFill>
        </w:rPr>
        <w:t>的扣除</w:t>
      </w:r>
      <w:r>
        <w:rPr>
          <w:rFonts w:hint="eastAsia" w:hAnsi="宋体" w:cs="宋体"/>
          <w:color w:val="000000" w:themeColor="text1"/>
          <w:szCs w:val="21"/>
          <w:highlight w:val="none"/>
          <w14:textFill>
            <w14:solidFill>
              <w14:schemeClr w14:val="tx1"/>
            </w14:solidFill>
          </w14:textFill>
        </w:rPr>
        <w:t>。</w:t>
      </w:r>
    </w:p>
    <w:p>
      <w:pPr>
        <w:pStyle w:val="20"/>
        <w:spacing w:before="33" w:beforeLines="10" w:line="0" w:lineRule="atLeast"/>
        <w:ind w:firstLine="430"/>
        <w:rPr>
          <w:rFonts w:hAnsi="宋体" w:cs="宋体"/>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3、</w:t>
      </w:r>
      <w:r>
        <w:rPr>
          <w:rFonts w:hint="eastAsia" w:hAnsi="宋体" w:cs="宋体"/>
          <w:color w:val="000000" w:themeColor="text1"/>
          <w:szCs w:val="21"/>
          <w:highlight w:val="none"/>
          <w14:textFill>
            <w14:solidFill>
              <w14:schemeClr w14:val="tx1"/>
            </w14:solidFill>
          </w14:textFill>
        </w:rPr>
        <w:t>投标人符合《关于促进残疾人就业政府采购政策的通知》（财库〔2017〕141号）规定，提供提供《残疾人福利性单位声明函》（</w:t>
      </w:r>
      <w:r>
        <w:rPr>
          <w:rFonts w:hint="eastAsia" w:hAnsi="宋体" w:cs="宋体"/>
          <w:bCs/>
          <w:color w:val="000000" w:themeColor="text1"/>
          <w:szCs w:val="21"/>
          <w:highlight w:val="none"/>
          <w14:textFill>
            <w14:solidFill>
              <w14:schemeClr w14:val="tx1"/>
            </w14:solidFill>
          </w14:textFill>
        </w:rPr>
        <w:t>格式见第六章</w:t>
      </w:r>
      <w:r>
        <w:rPr>
          <w:rFonts w:hint="eastAsia" w:hAnsi="宋体" w:cs="宋体"/>
          <w:color w:val="000000" w:themeColor="text1"/>
          <w:szCs w:val="21"/>
          <w:highlight w:val="none"/>
          <w14:textFill>
            <w14:solidFill>
              <w14:schemeClr w14:val="tx1"/>
            </w14:solidFill>
          </w14:textFill>
        </w:rPr>
        <w:t>），享受小型、微型企业政策，评标时投标价格给予</w:t>
      </w:r>
      <w:r>
        <w:rPr>
          <w:rFonts w:hint="eastAsia" w:hAnsi="宋体" w:cs="宋体"/>
          <w:b/>
          <w:color w:val="000000" w:themeColor="text1"/>
          <w:szCs w:val="21"/>
          <w:highlight w:val="none"/>
          <w14:textFill>
            <w14:solidFill>
              <w14:schemeClr w14:val="tx1"/>
            </w14:solidFill>
          </w14:textFill>
        </w:rPr>
        <w:t>6％</w:t>
      </w:r>
      <w:r>
        <w:rPr>
          <w:rFonts w:hint="eastAsia" w:hAnsi="宋体" w:cs="宋体"/>
          <w:color w:val="000000" w:themeColor="text1"/>
          <w:szCs w:val="21"/>
          <w:highlight w:val="none"/>
          <w14:textFill>
            <w14:solidFill>
              <w14:schemeClr w14:val="tx1"/>
            </w14:solidFill>
          </w14:textFill>
        </w:rPr>
        <w:t>的扣除。残疾人福利性单位属于小型、微型企业的，不重复享受政策。</w:t>
      </w:r>
    </w:p>
    <w:p>
      <w:pPr>
        <w:pStyle w:val="20"/>
        <w:spacing w:before="33" w:beforeLines="10" w:line="0" w:lineRule="atLeast"/>
        <w:ind w:firstLine="43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投标人属两种情形以上的，其只能享受投标价格一次性6％的扣除，不重复享受政策。</w:t>
      </w:r>
    </w:p>
    <w:p>
      <w:pPr>
        <w:pStyle w:val="20"/>
        <w:spacing w:before="33" w:beforeLines="10" w:line="0" w:lineRule="atLeast"/>
        <w:ind w:firstLine="430"/>
        <w:rPr>
          <w:rFonts w:hAnsi="宋体" w:cs="宋体"/>
          <w:bCs/>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除上述情况外，投标人评审价格 = 投标报价。</w:t>
      </w:r>
      <w:r>
        <w:rPr>
          <w:rFonts w:hint="eastAsia" w:hAnsi="宋体" w:cs="宋体"/>
          <w:color w:val="000000" w:themeColor="text1"/>
          <w:szCs w:val="21"/>
          <w:highlight w:val="none"/>
          <w14:textFill>
            <w14:solidFill>
              <w14:schemeClr w14:val="tx1"/>
            </w14:solidFill>
          </w14:textFill>
        </w:rPr>
        <w:t>扣除后的投标报价将仅作为评审价排序，</w:t>
      </w:r>
      <w:r>
        <w:rPr>
          <w:rFonts w:hint="eastAsia" w:hAnsi="宋体" w:cs="宋体"/>
          <w:bCs/>
          <w:color w:val="000000" w:themeColor="text1"/>
          <w:szCs w:val="21"/>
          <w:highlight w:val="none"/>
          <w14:textFill>
            <w14:solidFill>
              <w14:schemeClr w14:val="tx1"/>
            </w14:solidFill>
          </w14:textFill>
        </w:rPr>
        <w:t>最终中标价为投标人的投标报价。</w:t>
      </w:r>
    </w:p>
    <w:p>
      <w:pPr>
        <w:pStyle w:val="20"/>
        <w:spacing w:before="33" w:beforeLines="10" w:line="0" w:lineRule="atLeast"/>
        <w:ind w:firstLine="430"/>
        <w:rPr>
          <w:rFonts w:hAnsi="宋体" w:cs="宋体"/>
          <w:b/>
          <w:bCs/>
          <w:color w:val="000000" w:themeColor="text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注：小型、微型企业提供中型企业制造的货物的，视同为中型企业。</w:t>
      </w:r>
    </w:p>
    <w:bookmarkEnd w:id="238"/>
    <w:bookmarkEnd w:id="239"/>
    <w:bookmarkEnd w:id="240"/>
    <w:bookmarkEnd w:id="241"/>
    <w:bookmarkEnd w:id="242"/>
    <w:bookmarkEnd w:id="243"/>
    <w:p>
      <w:pPr>
        <w:pStyle w:val="20"/>
        <w:numPr>
          <w:ilvl w:val="0"/>
          <w:numId w:val="7"/>
        </w:numPr>
        <w:spacing w:line="0" w:lineRule="atLeast"/>
        <w:ind w:firstLine="430"/>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计分办法（按四舍五入取至百分位）：</w:t>
      </w:r>
    </w:p>
    <w:tbl>
      <w:tblPr>
        <w:tblStyle w:val="4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306"/>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464" w:type="dxa"/>
            <w:gridSpan w:val="3"/>
          </w:tcPr>
          <w:p>
            <w:pPr>
              <w:autoSpaceDE w:val="0"/>
              <w:autoSpaceDN w:val="0"/>
              <w:adjustRightInd w:val="0"/>
              <w:spacing w:line="440" w:lineRule="exact"/>
              <w:jc w:val="center"/>
              <w:rPr>
                <w:rFonts w:hAnsi="宋体"/>
                <w:b/>
                <w:color w:val="000000" w:themeColor="text1"/>
                <w:szCs w:val="21"/>
                <w:highlight w:val="none"/>
                <w14:textFill>
                  <w14:solidFill>
                    <w14:schemeClr w14:val="tx1"/>
                  </w14:solidFill>
                </w14:textFill>
              </w:rPr>
            </w:pPr>
            <w:r>
              <w:rPr>
                <w:rFonts w:hint="eastAsia" w:hAnsi="宋体" w:cs="黑体"/>
                <w:b/>
                <w:color w:val="000000" w:themeColor="text1"/>
                <w:kern w:val="0"/>
                <w:szCs w:val="21"/>
                <w:highlight w:val="none"/>
                <w14:textFill>
                  <w14:solidFill>
                    <w14:schemeClr w14:val="tx1"/>
                  </w14:solidFill>
                </w14:textFill>
              </w:rPr>
              <w:t>详细评审标准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29" w:type="dxa"/>
            <w:gridSpan w:val="2"/>
            <w:vAlign w:val="center"/>
          </w:tcPr>
          <w:p>
            <w:pPr>
              <w:spacing w:line="440" w:lineRule="exact"/>
              <w:jc w:val="center"/>
              <w:rPr>
                <w:rFonts w:hAnsi="宋体"/>
                <w:b/>
                <w:color w:val="000000" w:themeColor="text1"/>
                <w:szCs w:val="21"/>
                <w:highlight w:val="none"/>
                <w14:textFill>
                  <w14:solidFill>
                    <w14:schemeClr w14:val="tx1"/>
                  </w14:solidFill>
                </w14:textFill>
              </w:rPr>
            </w:pPr>
            <w:r>
              <w:rPr>
                <w:rFonts w:hint="eastAsia" w:hAnsi="宋体"/>
                <w:b/>
                <w:color w:val="000000" w:themeColor="text1"/>
                <w:szCs w:val="21"/>
                <w:highlight w:val="none"/>
                <w14:textFill>
                  <w14:solidFill>
                    <w14:schemeClr w14:val="tx1"/>
                  </w14:solidFill>
                </w14:textFill>
              </w:rPr>
              <w:t>价</w:t>
            </w:r>
            <w:r>
              <w:rPr>
                <w:rFonts w:hint="eastAsia" w:hAnsi="宋体"/>
                <w:b/>
                <w:color w:val="000000" w:themeColor="text1"/>
                <w:szCs w:val="21"/>
                <w:highlight w:val="none"/>
                <w:lang w:eastAsia="zh-CN"/>
                <w14:textFill>
                  <w14:solidFill>
                    <w14:schemeClr w14:val="tx1"/>
                  </w14:solidFill>
                </w14:textFill>
              </w:rPr>
              <w:t>格</w:t>
            </w:r>
            <w:r>
              <w:rPr>
                <w:rFonts w:hint="eastAsia" w:hAnsi="宋体"/>
                <w:b/>
                <w:color w:val="000000" w:themeColor="text1"/>
                <w:szCs w:val="21"/>
                <w:highlight w:val="none"/>
                <w14:textFill>
                  <w14:solidFill>
                    <w14:schemeClr w14:val="tx1"/>
                  </w14:solidFill>
                </w14:textFill>
              </w:rPr>
              <w:t>分</w:t>
            </w:r>
          </w:p>
          <w:p>
            <w:pPr>
              <w:spacing w:line="440" w:lineRule="exact"/>
              <w:jc w:val="center"/>
              <w:rPr>
                <w:rFonts w:hAnsi="宋体"/>
                <w:b/>
                <w:color w:val="000000" w:themeColor="text1"/>
                <w:szCs w:val="21"/>
                <w:highlight w:val="none"/>
                <w14:textFill>
                  <w14:solidFill>
                    <w14:schemeClr w14:val="tx1"/>
                  </w14:solidFill>
                </w14:textFill>
              </w:rPr>
            </w:pPr>
            <w:r>
              <w:rPr>
                <w:rFonts w:hint="eastAsia" w:hAnsi="宋体"/>
                <w:b/>
                <w:color w:val="000000" w:themeColor="text1"/>
                <w:szCs w:val="21"/>
                <w:highlight w:val="none"/>
                <w14:textFill>
                  <w14:solidFill>
                    <w14:schemeClr w14:val="tx1"/>
                  </w14:solidFill>
                </w14:textFill>
              </w:rPr>
              <w:t>（</w:t>
            </w:r>
            <w:r>
              <w:rPr>
                <w:rFonts w:hAnsi="宋体"/>
                <w:b/>
                <w:color w:val="000000" w:themeColor="text1"/>
                <w:szCs w:val="21"/>
                <w:highlight w:val="none"/>
                <w14:textFill>
                  <w14:solidFill>
                    <w14:schemeClr w14:val="tx1"/>
                  </w14:solidFill>
                </w14:textFill>
              </w:rPr>
              <w:t>30</w:t>
            </w:r>
            <w:r>
              <w:rPr>
                <w:rFonts w:hint="eastAsia" w:hAnsi="宋体"/>
                <w:b/>
                <w:color w:val="000000" w:themeColor="text1"/>
                <w:szCs w:val="21"/>
                <w:highlight w:val="none"/>
                <w14:textFill>
                  <w14:solidFill>
                    <w14:schemeClr w14:val="tx1"/>
                  </w14:solidFill>
                </w14:textFill>
              </w:rPr>
              <w:t>分）</w:t>
            </w:r>
          </w:p>
        </w:tc>
        <w:tc>
          <w:tcPr>
            <w:tcW w:w="6835" w:type="dxa"/>
            <w:vAlign w:val="center"/>
          </w:tcPr>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按照《政府采购促进中小企业发展暂行办法》（财库[2011]181号）规定：</w:t>
            </w:r>
          </w:p>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 xml:space="preserve"> ①对投标人认定为小型和微型企业或所投所有产品为小型、微型企业产品的（以投标文件提供的符合规定的有关证明材料为准），投标价给予6%的扣除，扣除后的价格为评标报价，即评标报价=投标报价×（1-6%）；</w:t>
            </w:r>
          </w:p>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 xml:space="preserve"> ②除上述情况外，评标报价=投标报价。</w:t>
            </w:r>
          </w:p>
          <w:p>
            <w:pPr>
              <w:spacing w:line="440" w:lineRule="exact"/>
              <w:rPr>
                <w:rFonts w:hAnsi="宋体"/>
                <w:bCs/>
                <w:color w:val="000000" w:themeColor="text1"/>
                <w:szCs w:val="21"/>
                <w:highlight w:val="none"/>
                <w14:textFill>
                  <w14:solidFill>
                    <w14:schemeClr w14:val="tx1"/>
                  </w14:solidFill>
                </w14:textFill>
              </w:rPr>
            </w:pPr>
            <w:r>
              <w:rPr>
                <w:rFonts w:hint="eastAsia" w:hAnsi="宋体"/>
                <w:b/>
                <w:bCs/>
                <w:color w:val="000000" w:themeColor="text1"/>
                <w:szCs w:val="21"/>
                <w:highlight w:val="none"/>
                <w14:textFill>
                  <w14:solidFill>
                    <w14:schemeClr w14:val="tx1"/>
                  </w14:solidFill>
                </w14:textFill>
              </w:rPr>
              <w:t>注：</w:t>
            </w:r>
            <w:r>
              <w:rPr>
                <w:rFonts w:hint="eastAsia" w:hAnsi="宋体"/>
                <w:bCs/>
                <w:color w:val="000000" w:themeColor="text1"/>
                <w:szCs w:val="21"/>
                <w:highlight w:val="none"/>
                <w14:textFill>
                  <w14:solidFill>
                    <w14:schemeClr w14:val="tx1"/>
                  </w14:solidFill>
                </w14:textFill>
              </w:rPr>
              <w:t>根据财政部、司法部关于政府采购支持监狱企业发展有关问题的通知（财库[2014]68号），监狱企业视同小型、微型企业，享受小型、微型企业评审中价格扣除的政府采购政策。</w:t>
            </w:r>
            <w:r>
              <w:rPr>
                <w:rFonts w:hint="eastAsia" w:hAnsi="宋体"/>
                <w:bCs/>
                <w:color w:val="000000" w:themeColor="text1"/>
                <w:highlight w:val="none"/>
                <w14:textFill>
                  <w14:solidFill>
                    <w14:schemeClr w14:val="tx1"/>
                  </w14:solidFill>
                </w14:textFill>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r>
              <w:rPr>
                <w:rFonts w:hint="eastAsia" w:hAnsi="宋体"/>
                <w:b/>
                <w:bCs/>
                <w:color w:val="000000" w:themeColor="text1"/>
                <w:szCs w:val="21"/>
                <w:highlight w:val="none"/>
                <w14:textFill>
                  <w14:solidFill>
                    <w14:schemeClr w14:val="tx1"/>
                  </w14:solidFill>
                </w14:textFill>
              </w:rPr>
              <w:t>如小型、微型企业提供中型企业制造的货物的，视同为中型企业。</w:t>
            </w:r>
          </w:p>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一、</w:t>
            </w:r>
            <w:r>
              <w:rPr>
                <w:rFonts w:hint="eastAsia" w:hAnsi="宋体"/>
                <w:color w:val="000000" w:themeColor="text1"/>
                <w:szCs w:val="21"/>
                <w:highlight w:val="none"/>
                <w14:textFill>
                  <w14:solidFill>
                    <w14:schemeClr w14:val="tx1"/>
                  </w14:solidFill>
                </w14:textFill>
              </w:rPr>
              <w:t>以经初步审查后的有效报价的最低价作为评标基准价</w:t>
            </w:r>
            <w:r>
              <w:rPr>
                <w:rFonts w:hint="eastAsia" w:hAnsi="宋体"/>
                <w:bCs/>
                <w:color w:val="000000" w:themeColor="text1"/>
                <w:szCs w:val="21"/>
                <w:highlight w:val="none"/>
                <w14:textFill>
                  <w14:solidFill>
                    <w14:schemeClr w14:val="tx1"/>
                  </w14:solidFill>
                </w14:textFill>
              </w:rPr>
              <w:t>。</w:t>
            </w:r>
          </w:p>
          <w:p>
            <w:pPr>
              <w:spacing w:line="44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二、</w:t>
            </w:r>
            <w:r>
              <w:rPr>
                <w:rFonts w:hint="eastAsia" w:hAnsi="宋体"/>
                <w:bCs/>
                <w:color w:val="000000" w:themeColor="text1"/>
                <w:szCs w:val="21"/>
                <w:highlight w:val="none"/>
                <w14:textFill>
                  <w14:solidFill>
                    <w14:schemeClr w14:val="tx1"/>
                  </w14:solidFill>
                </w14:textFill>
              </w:rPr>
              <w:t>某投标人价格分=（评标基准价/某投标人评标报价）×</w:t>
            </w:r>
            <w:r>
              <w:rPr>
                <w:rFonts w:hAnsi="宋体"/>
                <w:bCs/>
                <w:color w:val="000000" w:themeColor="text1"/>
                <w:szCs w:val="21"/>
                <w:highlight w:val="none"/>
                <w14:textFill>
                  <w14:solidFill>
                    <w14:schemeClr w14:val="tx1"/>
                  </w14:solidFill>
                </w14:textFill>
              </w:rPr>
              <w:t>30</w:t>
            </w:r>
          </w:p>
          <w:p>
            <w:pPr>
              <w:spacing w:line="440" w:lineRule="exact"/>
              <w:rPr>
                <w:rFonts w:hAnsi="宋体"/>
                <w:bCs/>
                <w:color w:val="000000" w:themeColor="text1"/>
                <w:szCs w:val="2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三、</w:t>
            </w:r>
            <w:r>
              <w:rPr>
                <w:rFonts w:hint="eastAsia" w:hAnsi="宋体"/>
                <w:bCs/>
                <w:color w:val="000000" w:themeColor="text1"/>
                <w:szCs w:val="21"/>
                <w:highlight w:val="none"/>
                <w14:textFill>
                  <w14:solidFill>
                    <w14:schemeClr w14:val="tx1"/>
                  </w14:solidFill>
                </w14:textFill>
              </w:rPr>
              <w:t>在评标过程中，评标委员会发现投标人的投标报价明显低于其他投标人的投标报价或者明显低于上限控制价（</w:t>
            </w:r>
            <w:r>
              <w:rPr>
                <w:rFonts w:hint="eastAsia" w:hAnsi="宋体"/>
                <w:color w:val="000000" w:themeColor="text1"/>
                <w:szCs w:val="21"/>
                <w:highlight w:val="none"/>
                <w14:textFill>
                  <w14:solidFill>
                    <w14:schemeClr w14:val="tx1"/>
                  </w14:solidFill>
                </w14:textFill>
              </w:rPr>
              <w:t>与上限</w:t>
            </w:r>
            <w:r>
              <w:rPr>
                <w:rFonts w:hAnsi="宋体"/>
                <w:color w:val="000000" w:themeColor="text1"/>
                <w:szCs w:val="21"/>
                <w:highlight w:val="none"/>
                <w14:textFill>
                  <w14:solidFill>
                    <w14:schemeClr w14:val="tx1"/>
                  </w14:solidFill>
                </w14:textFill>
              </w:rPr>
              <w:t>控制价</w:t>
            </w:r>
            <w:r>
              <w:rPr>
                <w:rFonts w:hint="eastAsia" w:hAnsi="宋体"/>
                <w:color w:val="000000" w:themeColor="text1"/>
                <w:szCs w:val="21"/>
                <w:highlight w:val="none"/>
                <w14:textFill>
                  <w14:solidFill>
                    <w14:schemeClr w14:val="tx1"/>
                  </w14:solidFill>
                </w14:textFill>
              </w:rPr>
              <w:t>相比较的让利幅度≥</w:t>
            </w:r>
            <w:r>
              <w:rPr>
                <w:rFonts w:hAnsi="宋体"/>
                <w:color w:val="000000" w:themeColor="text1"/>
                <w:szCs w:val="21"/>
                <w:highlight w:val="none"/>
                <w14:textFill>
                  <w14:solidFill>
                    <w14:schemeClr w14:val="tx1"/>
                  </w14:solidFill>
                </w14:textFill>
              </w:rPr>
              <w:t>20%</w:t>
            </w:r>
            <w:r>
              <w:rPr>
                <w:rFonts w:hint="eastAsia" w:hAnsi="宋体"/>
                <w:bCs/>
                <w:color w:val="000000" w:themeColor="text1"/>
                <w:szCs w:val="21"/>
                <w:highlight w:val="none"/>
                <w14:textFill>
                  <w14:solidFill>
                    <w14:schemeClr w14:val="tx1"/>
                  </w14:solidFill>
                </w14:textFill>
              </w:rPr>
              <w:t>）的，有理由怀疑其投标报价可能低于其成本的，应当要求该投标人做出书面说明并提供相关证明材料。投标人不能合理说明或者不能提供相关证明材料的，视作该投标人以低于成本报价投标，报价分做0分处理。</w:t>
            </w:r>
          </w:p>
          <w:p>
            <w:pPr>
              <w:spacing w:line="440" w:lineRule="exact"/>
              <w:rPr>
                <w:rFonts w:hAnsi="宋体"/>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相关证明材料为：</w:t>
            </w:r>
            <w:r>
              <w:rPr>
                <w:rFonts w:hint="eastAsia" w:hAnsi="宋体"/>
                <w:snapToGrid w:val="0"/>
                <w:color w:val="000000" w:themeColor="text1"/>
                <w:kern w:val="0"/>
                <w:szCs w:val="21"/>
                <w:highlight w:val="none"/>
                <w14:textFill>
                  <w14:solidFill>
                    <w14:schemeClr w14:val="tx1"/>
                  </w14:solidFill>
                </w14:textFill>
              </w:rPr>
              <w:t>①201</w:t>
            </w:r>
            <w:r>
              <w:rPr>
                <w:rFonts w:hAnsi="宋体"/>
                <w:snapToGrid w:val="0"/>
                <w:color w:val="000000" w:themeColor="text1"/>
                <w:kern w:val="0"/>
                <w:szCs w:val="21"/>
                <w:highlight w:val="none"/>
                <w14:textFill>
                  <w14:solidFill>
                    <w14:schemeClr w14:val="tx1"/>
                  </w14:solidFill>
                </w14:textFill>
              </w:rPr>
              <w:t>6</w:t>
            </w:r>
            <w:r>
              <w:rPr>
                <w:rFonts w:hint="eastAsia" w:hAnsi="宋体"/>
                <w:snapToGrid w:val="0"/>
                <w:color w:val="000000" w:themeColor="text1"/>
                <w:kern w:val="0"/>
                <w:szCs w:val="21"/>
                <w:highlight w:val="none"/>
                <w14:textFill>
                  <w14:solidFill>
                    <w14:schemeClr w14:val="tx1"/>
                  </w14:solidFill>
                </w14:textFill>
              </w:rPr>
              <w:t>年度~201</w:t>
            </w:r>
            <w:r>
              <w:rPr>
                <w:rFonts w:hAnsi="宋体"/>
                <w:snapToGrid w:val="0"/>
                <w:color w:val="000000" w:themeColor="text1"/>
                <w:kern w:val="0"/>
                <w:szCs w:val="21"/>
                <w:highlight w:val="none"/>
                <w14:textFill>
                  <w14:solidFill>
                    <w14:schemeClr w14:val="tx1"/>
                  </w14:solidFill>
                </w14:textFill>
              </w:rPr>
              <w:t>8</w:t>
            </w:r>
            <w:r>
              <w:rPr>
                <w:rFonts w:hint="eastAsia" w:hAnsi="宋体"/>
                <w:snapToGrid w:val="0"/>
                <w:color w:val="000000" w:themeColor="text1"/>
                <w:kern w:val="0"/>
                <w:szCs w:val="21"/>
                <w:highlight w:val="none"/>
                <w14:textFill>
                  <w14:solidFill>
                    <w14:schemeClr w14:val="tx1"/>
                  </w14:solidFill>
                </w14:textFill>
              </w:rPr>
              <w:t>年度经第三方具备审计资质的机构出具的审计报告（包括其固定资产成本及折旧、管理成本、人工费成本（如人员工资、奖金、福利及差旅等费用）、税收等所有成本及利润）复印件（原件现场核查），②投标人在201</w:t>
            </w:r>
            <w:r>
              <w:rPr>
                <w:rFonts w:hAnsi="宋体"/>
                <w:snapToGrid w:val="0"/>
                <w:color w:val="000000" w:themeColor="text1"/>
                <w:kern w:val="0"/>
                <w:szCs w:val="21"/>
                <w:highlight w:val="none"/>
                <w14:textFill>
                  <w14:solidFill>
                    <w14:schemeClr w14:val="tx1"/>
                  </w14:solidFill>
                </w14:textFill>
              </w:rPr>
              <w:t>7</w:t>
            </w:r>
            <w:r>
              <w:rPr>
                <w:rFonts w:hint="eastAsia" w:hAnsi="宋体"/>
                <w:snapToGrid w:val="0"/>
                <w:color w:val="000000" w:themeColor="text1"/>
                <w:kern w:val="0"/>
                <w:szCs w:val="21"/>
                <w:highlight w:val="none"/>
                <w14:textFill>
                  <w14:solidFill>
                    <w14:schemeClr w14:val="tx1"/>
                  </w14:solidFill>
                </w14:textFill>
              </w:rPr>
              <w:t>年</w:t>
            </w:r>
            <w:r>
              <w:rPr>
                <w:rFonts w:hAnsi="宋体"/>
                <w:snapToGrid w:val="0"/>
                <w:color w:val="000000" w:themeColor="text1"/>
                <w:kern w:val="0"/>
                <w:szCs w:val="21"/>
                <w:highlight w:val="none"/>
                <w14:textFill>
                  <w14:solidFill>
                    <w14:schemeClr w14:val="tx1"/>
                  </w14:solidFill>
                </w14:textFill>
              </w:rPr>
              <w:t>1</w:t>
            </w:r>
            <w:r>
              <w:rPr>
                <w:rFonts w:hint="eastAsia" w:hAnsi="宋体"/>
                <w:snapToGrid w:val="0"/>
                <w:color w:val="000000" w:themeColor="text1"/>
                <w:kern w:val="0"/>
                <w:szCs w:val="21"/>
                <w:highlight w:val="none"/>
                <w14:textFill>
                  <w14:solidFill>
                    <w14:schemeClr w14:val="tx1"/>
                  </w14:solidFill>
                </w14:textFill>
              </w:rPr>
              <w:t>月1日至本项目招标公告发布之日至少承接过两个类似业绩的费用成本组成明细（并提供该中标通知书及合同原件现场核查），如不提供或评委认定其资料不能详尽合理说明其成本的，则视为低于投标人成本价报价，报价无效。</w:t>
            </w:r>
          </w:p>
          <w:p>
            <w:pPr>
              <w:pStyle w:val="20"/>
              <w:spacing w:line="440" w:lineRule="exact"/>
              <w:jc w:val="left"/>
              <w:rPr>
                <w:rFonts w:hAnsi="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注：</w:t>
            </w:r>
            <w:r>
              <w:rPr>
                <w:rFonts w:hint="eastAsia" w:hAnsi="宋体"/>
                <w:bCs/>
                <w:color w:val="000000" w:themeColor="text1"/>
                <w:szCs w:val="21"/>
                <w:highlight w:val="none"/>
                <w14:textFill>
                  <w14:solidFill>
                    <w14:schemeClr w14:val="tx1"/>
                  </w14:solidFill>
                </w14:textFill>
              </w:rPr>
              <w:t>计算过程均四舍五入取至小数点后两位。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29" w:type="dxa"/>
            <w:gridSpan w:val="2"/>
            <w:vAlign w:val="center"/>
          </w:tcPr>
          <w:p>
            <w:pPr>
              <w:spacing w:line="440" w:lineRule="exact"/>
              <w:jc w:val="center"/>
              <w:rPr>
                <w:rFonts w:hAnsi="宋体"/>
                <w:b/>
                <w:bCs/>
                <w:color w:val="000000" w:themeColor="text1"/>
                <w:szCs w:val="21"/>
                <w:highlight w:val="none"/>
                <w14:textFill>
                  <w14:solidFill>
                    <w14:schemeClr w14:val="tx1"/>
                  </w14:solidFill>
                </w14:textFill>
              </w:rPr>
            </w:pPr>
            <w:r>
              <w:rPr>
                <w:rFonts w:hint="eastAsia" w:hAnsi="宋体"/>
                <w:b/>
                <w:bCs/>
                <w:color w:val="000000" w:themeColor="text1"/>
                <w:szCs w:val="21"/>
                <w:highlight w:val="none"/>
                <w14:textFill>
                  <w14:solidFill>
                    <w14:schemeClr w14:val="tx1"/>
                  </w14:solidFill>
                </w14:textFill>
              </w:rPr>
              <w:t>产品信誉</w:t>
            </w:r>
            <w:r>
              <w:rPr>
                <w:rFonts w:hAnsi="宋体"/>
                <w:b/>
                <w:bCs/>
                <w:color w:val="000000" w:themeColor="text1"/>
                <w:szCs w:val="21"/>
                <w:highlight w:val="none"/>
                <w14:textFill>
                  <w14:solidFill>
                    <w14:schemeClr w14:val="tx1"/>
                  </w14:solidFill>
                </w14:textFill>
              </w:rPr>
              <w:t>分</w:t>
            </w:r>
          </w:p>
          <w:p>
            <w:pPr>
              <w:spacing w:line="440" w:lineRule="exact"/>
              <w:jc w:val="center"/>
              <w:rPr>
                <w:rFonts w:hAnsi="宋体"/>
                <w:b/>
                <w:bCs/>
                <w:color w:val="000000" w:themeColor="text1"/>
                <w:szCs w:val="21"/>
                <w:highlight w:val="none"/>
                <w14:textFill>
                  <w14:solidFill>
                    <w14:schemeClr w14:val="tx1"/>
                  </w14:solidFill>
                </w14:textFill>
              </w:rPr>
            </w:pPr>
            <w:r>
              <w:rPr>
                <w:rFonts w:hint="eastAsia" w:hAnsi="宋体"/>
                <w:b/>
                <w:bCs/>
                <w:color w:val="000000" w:themeColor="text1"/>
                <w:szCs w:val="21"/>
                <w:highlight w:val="none"/>
                <w14:textFill>
                  <w14:solidFill>
                    <w14:schemeClr w14:val="tx1"/>
                  </w14:solidFill>
                </w14:textFill>
              </w:rPr>
              <w:t>（</w:t>
            </w:r>
            <w:r>
              <w:rPr>
                <w:rFonts w:hAnsi="宋体"/>
                <w:b/>
                <w:bCs/>
                <w:color w:val="000000" w:themeColor="text1"/>
                <w:szCs w:val="21"/>
                <w:highlight w:val="none"/>
                <w14:textFill>
                  <w14:solidFill>
                    <w14:schemeClr w14:val="tx1"/>
                  </w14:solidFill>
                </w14:textFill>
              </w:rPr>
              <w:t>15</w:t>
            </w:r>
            <w:r>
              <w:rPr>
                <w:rFonts w:hint="eastAsia" w:hAnsi="宋体"/>
                <w:b/>
                <w:bCs/>
                <w:color w:val="000000" w:themeColor="text1"/>
                <w:szCs w:val="21"/>
                <w:highlight w:val="none"/>
                <w14:textFill>
                  <w14:solidFill>
                    <w14:schemeClr w14:val="tx1"/>
                  </w14:solidFill>
                </w14:textFill>
              </w:rPr>
              <w:t>分</w:t>
            </w:r>
            <w:r>
              <w:rPr>
                <w:rFonts w:hAnsi="宋体"/>
                <w:b/>
                <w:bCs/>
                <w:color w:val="000000" w:themeColor="text1"/>
                <w:szCs w:val="21"/>
                <w:highlight w:val="none"/>
                <w14:textFill>
                  <w14:solidFill>
                    <w14:schemeClr w14:val="tx1"/>
                  </w14:solidFill>
                </w14:textFill>
              </w:rPr>
              <w:t>）</w:t>
            </w:r>
          </w:p>
        </w:tc>
        <w:tc>
          <w:tcPr>
            <w:tcW w:w="6835" w:type="dxa"/>
            <w:vAlign w:val="center"/>
          </w:tcPr>
          <w:p>
            <w:pPr>
              <w:spacing w:line="440" w:lineRule="exact"/>
              <w:rPr>
                <w:rFonts w:hAnsi="宋体"/>
                <w:snapToGrid w:val="0"/>
                <w:color w:val="000000" w:themeColor="text1"/>
                <w:kern w:val="0"/>
                <w:szCs w:val="21"/>
                <w:highlight w:val="none"/>
                <w14:textFill>
                  <w14:solidFill>
                    <w14:schemeClr w14:val="tx1"/>
                  </w14:solidFill>
                </w14:textFill>
              </w:rPr>
            </w:pPr>
            <w:r>
              <w:rPr>
                <w:rFonts w:hint="eastAsia" w:hAnsi="宋体"/>
                <w:snapToGrid w:val="0"/>
                <w:color w:val="000000" w:themeColor="text1"/>
                <w:kern w:val="0"/>
                <w:szCs w:val="21"/>
                <w:highlight w:val="none"/>
                <w14:textFill>
                  <w14:solidFill>
                    <w14:schemeClr w14:val="tx1"/>
                  </w14:solidFill>
                </w14:textFill>
              </w:rPr>
              <w:t>(1)</w:t>
            </w:r>
            <w:r>
              <w:rPr>
                <w:rFonts w:hint="eastAsia"/>
                <w:color w:val="000000" w:themeColor="text1"/>
                <w:highlight w:val="none"/>
                <w14:textFill>
                  <w14:solidFill>
                    <w14:schemeClr w14:val="tx1"/>
                  </w14:solidFill>
                </w14:textFill>
              </w:rPr>
              <w:t xml:space="preserve"> </w:t>
            </w:r>
            <w:r>
              <w:rPr>
                <w:rFonts w:hint="eastAsia" w:hAnsi="宋体"/>
                <w:snapToGrid w:val="0"/>
                <w:color w:val="000000" w:themeColor="text1"/>
                <w:kern w:val="0"/>
                <w:szCs w:val="21"/>
                <w:highlight w:val="none"/>
                <w14:textFill>
                  <w14:solidFill>
                    <w14:schemeClr w14:val="tx1"/>
                  </w14:solidFill>
                </w14:textFill>
              </w:rPr>
              <w:t>为确保后期建设的规范对接，保证建设的兼容性、前瞻性，所投核心产品生产厂家应参与制定或产品设计生产符合《多媒体教学工程环境建设规范》，满足得</w:t>
            </w:r>
            <w:r>
              <w:rPr>
                <w:rFonts w:hAnsi="宋体"/>
                <w:snapToGrid w:val="0"/>
                <w:color w:val="000000" w:themeColor="text1"/>
                <w:kern w:val="0"/>
                <w:szCs w:val="21"/>
                <w:highlight w:val="none"/>
                <w14:textFill>
                  <w14:solidFill>
                    <w14:schemeClr w14:val="tx1"/>
                  </w14:solidFill>
                </w14:textFill>
              </w:rPr>
              <w:t>1</w:t>
            </w:r>
            <w:r>
              <w:rPr>
                <w:rFonts w:hint="eastAsia" w:hAnsi="宋体"/>
                <w:snapToGrid w:val="0"/>
                <w:color w:val="000000" w:themeColor="text1"/>
                <w:kern w:val="0"/>
                <w:szCs w:val="21"/>
                <w:highlight w:val="none"/>
                <w14:textFill>
                  <w14:solidFill>
                    <w14:schemeClr w14:val="tx1"/>
                  </w14:solidFill>
                </w14:textFill>
              </w:rPr>
              <w:t>分。（需提供加盖生产厂家公章的证明材料复印件，否则</w:t>
            </w:r>
            <w:r>
              <w:rPr>
                <w:rFonts w:hAnsi="宋体"/>
                <w:snapToGrid w:val="0"/>
                <w:color w:val="000000" w:themeColor="text1"/>
                <w:kern w:val="0"/>
                <w:szCs w:val="21"/>
                <w:highlight w:val="none"/>
                <w14:textFill>
                  <w14:solidFill>
                    <w14:schemeClr w14:val="tx1"/>
                  </w14:solidFill>
                </w14:textFill>
              </w:rPr>
              <w:t>不得分</w:t>
            </w:r>
            <w:r>
              <w:rPr>
                <w:rFonts w:hint="eastAsia" w:hAnsi="宋体"/>
                <w:snapToGrid w:val="0"/>
                <w:color w:val="000000" w:themeColor="text1"/>
                <w:kern w:val="0"/>
                <w:szCs w:val="21"/>
                <w:highlight w:val="none"/>
                <w14:textFill>
                  <w14:solidFill>
                    <w14:schemeClr w14:val="tx1"/>
                  </w14:solidFill>
                </w14:textFill>
              </w:rPr>
              <w:t>）</w:t>
            </w:r>
          </w:p>
          <w:p>
            <w:pPr>
              <w:spacing w:line="440" w:lineRule="exact"/>
              <w:rPr>
                <w:rFonts w:hAnsi="宋体"/>
                <w:snapToGrid w:val="0"/>
                <w:color w:val="000000" w:themeColor="text1"/>
                <w:kern w:val="0"/>
                <w:szCs w:val="21"/>
                <w:highlight w:val="none"/>
                <w14:textFill>
                  <w14:solidFill>
                    <w14:schemeClr w14:val="tx1"/>
                  </w14:solidFill>
                </w14:textFill>
              </w:rPr>
            </w:pPr>
            <w:r>
              <w:rPr>
                <w:rFonts w:hint="eastAsia" w:hAnsi="宋体"/>
                <w:snapToGrid w:val="0"/>
                <w:color w:val="000000" w:themeColor="text1"/>
                <w:kern w:val="0"/>
                <w:szCs w:val="21"/>
                <w:highlight w:val="none"/>
                <w14:textFill>
                  <w14:solidFill>
                    <w14:schemeClr w14:val="tx1"/>
                  </w14:solidFill>
                </w14:textFill>
              </w:rPr>
              <w:t>(2)所投核心产品生产厂家</w:t>
            </w:r>
            <w:r>
              <w:rPr>
                <w:rFonts w:hint="eastAsia" w:hAnsi="宋体"/>
                <w:color w:val="000000" w:themeColor="text1"/>
                <w:szCs w:val="21"/>
                <w:highlight w:val="none"/>
                <w14:textFill>
                  <w14:solidFill>
                    <w14:schemeClr w14:val="tx1"/>
                  </w14:solidFill>
                </w14:textFill>
              </w:rPr>
              <w:t>提供 ISO/IEC27001信息安全管理体系认证证书复印件的</w:t>
            </w:r>
            <w:r>
              <w:rPr>
                <w:rFonts w:hint="eastAsia" w:hAnsi="宋体"/>
                <w:snapToGrid w:val="0"/>
                <w:color w:val="000000" w:themeColor="text1"/>
                <w:kern w:val="0"/>
                <w:szCs w:val="21"/>
                <w:highlight w:val="none"/>
                <w14:textFill>
                  <w14:solidFill>
                    <w14:schemeClr w14:val="tx1"/>
                  </w14:solidFill>
                </w14:textFill>
              </w:rPr>
              <w:t>得2分。（需提供加盖生产厂家公章的证明材料复印件，否则</w:t>
            </w:r>
            <w:r>
              <w:rPr>
                <w:rFonts w:hAnsi="宋体"/>
                <w:snapToGrid w:val="0"/>
                <w:color w:val="000000" w:themeColor="text1"/>
                <w:kern w:val="0"/>
                <w:szCs w:val="21"/>
                <w:highlight w:val="none"/>
                <w14:textFill>
                  <w14:solidFill>
                    <w14:schemeClr w14:val="tx1"/>
                  </w14:solidFill>
                </w14:textFill>
              </w:rPr>
              <w:t>不得分</w:t>
            </w:r>
            <w:r>
              <w:rPr>
                <w:rFonts w:hint="eastAsia" w:hAnsi="宋体"/>
                <w:snapToGrid w:val="0"/>
                <w:color w:val="000000" w:themeColor="text1"/>
                <w:kern w:val="0"/>
                <w:szCs w:val="21"/>
                <w:highlight w:val="none"/>
                <w14:textFill>
                  <w14:solidFill>
                    <w14:schemeClr w14:val="tx1"/>
                  </w14:solidFill>
                </w14:textFill>
              </w:rPr>
              <w:t>）</w:t>
            </w:r>
          </w:p>
          <w:p>
            <w:pPr>
              <w:spacing w:line="440" w:lineRule="exact"/>
              <w:rPr>
                <w:rFonts w:hAnsi="宋体"/>
                <w:snapToGrid w:val="0"/>
                <w:color w:val="000000" w:themeColor="text1"/>
                <w:kern w:val="0"/>
                <w:szCs w:val="21"/>
                <w:highlight w:val="none"/>
                <w14:textFill>
                  <w14:solidFill>
                    <w14:schemeClr w14:val="tx1"/>
                  </w14:solidFill>
                </w14:textFill>
              </w:rPr>
            </w:pPr>
            <w:r>
              <w:rPr>
                <w:rFonts w:hint="eastAsia" w:hAnsi="宋体"/>
                <w:snapToGrid w:val="0"/>
                <w:color w:val="000000" w:themeColor="text1"/>
                <w:kern w:val="0"/>
                <w:szCs w:val="21"/>
                <w:highlight w:val="none"/>
                <w14:textFill>
                  <w14:solidFill>
                    <w14:schemeClr w14:val="tx1"/>
                  </w14:solidFill>
                </w14:textFill>
              </w:rPr>
              <w:t>(3) 所投核心产品生产厂家环绕双声道功能获得由dbx-tv颁布的总音频增强技术许可证的得</w:t>
            </w:r>
            <w:r>
              <w:rPr>
                <w:rFonts w:hAnsi="宋体"/>
                <w:snapToGrid w:val="0"/>
                <w:color w:val="000000" w:themeColor="text1"/>
                <w:kern w:val="0"/>
                <w:szCs w:val="21"/>
                <w:highlight w:val="none"/>
                <w14:textFill>
                  <w14:solidFill>
                    <w14:schemeClr w14:val="tx1"/>
                  </w14:solidFill>
                </w14:textFill>
              </w:rPr>
              <w:t>3</w:t>
            </w:r>
            <w:r>
              <w:rPr>
                <w:rFonts w:hint="eastAsia" w:hAnsi="宋体"/>
                <w:snapToGrid w:val="0"/>
                <w:color w:val="000000" w:themeColor="text1"/>
                <w:kern w:val="0"/>
                <w:szCs w:val="21"/>
                <w:highlight w:val="none"/>
                <w14:textFill>
                  <w14:solidFill>
                    <w14:schemeClr w14:val="tx1"/>
                  </w14:solidFill>
                </w14:textFill>
              </w:rPr>
              <w:t>分。（需提供加盖生产厂家公章的证明材料复印件，否则</w:t>
            </w:r>
            <w:r>
              <w:rPr>
                <w:rFonts w:hAnsi="宋体"/>
                <w:snapToGrid w:val="0"/>
                <w:color w:val="000000" w:themeColor="text1"/>
                <w:kern w:val="0"/>
                <w:szCs w:val="21"/>
                <w:highlight w:val="none"/>
                <w14:textFill>
                  <w14:solidFill>
                    <w14:schemeClr w14:val="tx1"/>
                  </w14:solidFill>
                </w14:textFill>
              </w:rPr>
              <w:t>不得分</w:t>
            </w:r>
            <w:r>
              <w:rPr>
                <w:rFonts w:hint="eastAsia" w:hAnsi="宋体"/>
                <w:snapToGrid w:val="0"/>
                <w:color w:val="000000" w:themeColor="text1"/>
                <w:kern w:val="0"/>
                <w:szCs w:val="21"/>
                <w:highlight w:val="none"/>
                <w14:textFill>
                  <w14:solidFill>
                    <w14:schemeClr w14:val="tx1"/>
                  </w14:solidFill>
                </w14:textFill>
              </w:rPr>
              <w:t>）</w:t>
            </w:r>
          </w:p>
          <w:p>
            <w:pPr>
              <w:spacing w:line="440" w:lineRule="exact"/>
              <w:rPr>
                <w:rFonts w:hAnsi="宋体"/>
                <w:snapToGrid w:val="0"/>
                <w:color w:val="000000" w:themeColor="text1"/>
                <w:kern w:val="0"/>
                <w:szCs w:val="21"/>
                <w:highlight w:val="none"/>
                <w14:textFill>
                  <w14:solidFill>
                    <w14:schemeClr w14:val="tx1"/>
                  </w14:solidFill>
                </w14:textFill>
              </w:rPr>
            </w:pPr>
            <w:r>
              <w:rPr>
                <w:rFonts w:hint="eastAsia" w:hAnsi="宋体"/>
                <w:snapToGrid w:val="0"/>
                <w:color w:val="000000" w:themeColor="text1"/>
                <w:kern w:val="0"/>
                <w:szCs w:val="21"/>
                <w:highlight w:val="none"/>
                <w14:textFill>
                  <w14:solidFill>
                    <w14:schemeClr w14:val="tx1"/>
                  </w14:solidFill>
                </w14:textFill>
              </w:rPr>
              <w:t>(4) 所投核心产品生产厂家获得CMMI软件能力成熟度模型集成证书的得</w:t>
            </w:r>
            <w:r>
              <w:rPr>
                <w:rFonts w:hAnsi="宋体"/>
                <w:snapToGrid w:val="0"/>
                <w:color w:val="000000" w:themeColor="text1"/>
                <w:kern w:val="0"/>
                <w:szCs w:val="21"/>
                <w:highlight w:val="none"/>
                <w14:textFill>
                  <w14:solidFill>
                    <w14:schemeClr w14:val="tx1"/>
                  </w14:solidFill>
                </w14:textFill>
              </w:rPr>
              <w:t>2</w:t>
            </w:r>
            <w:r>
              <w:rPr>
                <w:rFonts w:hint="eastAsia" w:hAnsi="宋体"/>
                <w:snapToGrid w:val="0"/>
                <w:color w:val="000000" w:themeColor="text1"/>
                <w:kern w:val="0"/>
                <w:szCs w:val="21"/>
                <w:highlight w:val="none"/>
                <w14:textFill>
                  <w14:solidFill>
                    <w14:schemeClr w14:val="tx1"/>
                  </w14:solidFill>
                </w14:textFill>
              </w:rPr>
              <w:t>分。（需提供加盖生产厂家公章的证明材料复印件，否则</w:t>
            </w:r>
            <w:r>
              <w:rPr>
                <w:rFonts w:hAnsi="宋体"/>
                <w:snapToGrid w:val="0"/>
                <w:color w:val="000000" w:themeColor="text1"/>
                <w:kern w:val="0"/>
                <w:szCs w:val="21"/>
                <w:highlight w:val="none"/>
                <w14:textFill>
                  <w14:solidFill>
                    <w14:schemeClr w14:val="tx1"/>
                  </w14:solidFill>
                </w14:textFill>
              </w:rPr>
              <w:t>不得分</w:t>
            </w:r>
            <w:r>
              <w:rPr>
                <w:rFonts w:hint="eastAsia" w:hAnsi="宋体"/>
                <w:snapToGrid w:val="0"/>
                <w:color w:val="000000" w:themeColor="text1"/>
                <w:kern w:val="0"/>
                <w:szCs w:val="21"/>
                <w:highlight w:val="none"/>
                <w14:textFill>
                  <w14:solidFill>
                    <w14:schemeClr w14:val="tx1"/>
                  </w14:solidFill>
                </w14:textFill>
              </w:rPr>
              <w:t>）</w:t>
            </w:r>
          </w:p>
          <w:p>
            <w:pPr>
              <w:spacing w:line="440" w:lineRule="exact"/>
              <w:rPr>
                <w:rFonts w:hAnsi="宋体"/>
                <w:snapToGrid w:val="0"/>
                <w:color w:val="000000" w:themeColor="text1"/>
                <w:kern w:val="0"/>
                <w:szCs w:val="21"/>
                <w:highlight w:val="none"/>
                <w14:textFill>
                  <w14:solidFill>
                    <w14:schemeClr w14:val="tx1"/>
                  </w14:solidFill>
                </w14:textFill>
              </w:rPr>
            </w:pPr>
            <w:r>
              <w:rPr>
                <w:rFonts w:hint="eastAsia" w:hAnsi="宋体"/>
                <w:snapToGrid w:val="0"/>
                <w:color w:val="000000" w:themeColor="text1"/>
                <w:kern w:val="0"/>
                <w:szCs w:val="21"/>
                <w:highlight w:val="none"/>
                <w14:textFill>
                  <w14:solidFill>
                    <w14:schemeClr w14:val="tx1"/>
                  </w14:solidFill>
                </w14:textFill>
              </w:rPr>
              <w:t>（5）所投核心产品之核心组件（内置电脑模块）符合中华人民共和国无线电管理规定和技术标准，具有无线电发射设备型号核准证的得</w:t>
            </w:r>
            <w:r>
              <w:rPr>
                <w:rFonts w:hAnsi="宋体"/>
                <w:snapToGrid w:val="0"/>
                <w:color w:val="000000" w:themeColor="text1"/>
                <w:kern w:val="0"/>
                <w:szCs w:val="21"/>
                <w:highlight w:val="none"/>
                <w14:textFill>
                  <w14:solidFill>
                    <w14:schemeClr w14:val="tx1"/>
                  </w14:solidFill>
                </w14:textFill>
              </w:rPr>
              <w:t>3</w:t>
            </w:r>
            <w:r>
              <w:rPr>
                <w:rFonts w:hint="eastAsia" w:hAnsi="宋体"/>
                <w:snapToGrid w:val="0"/>
                <w:color w:val="000000" w:themeColor="text1"/>
                <w:kern w:val="0"/>
                <w:szCs w:val="21"/>
                <w:highlight w:val="none"/>
                <w14:textFill>
                  <w14:solidFill>
                    <w14:schemeClr w14:val="tx1"/>
                  </w14:solidFill>
                </w14:textFill>
              </w:rPr>
              <w:t>分。（需提供加盖生产厂家公章的证明材料复印件，否则</w:t>
            </w:r>
            <w:r>
              <w:rPr>
                <w:rFonts w:hAnsi="宋体"/>
                <w:snapToGrid w:val="0"/>
                <w:color w:val="000000" w:themeColor="text1"/>
                <w:kern w:val="0"/>
                <w:szCs w:val="21"/>
                <w:highlight w:val="none"/>
                <w14:textFill>
                  <w14:solidFill>
                    <w14:schemeClr w14:val="tx1"/>
                  </w14:solidFill>
                </w14:textFill>
              </w:rPr>
              <w:t>不得分</w:t>
            </w:r>
            <w:r>
              <w:rPr>
                <w:rFonts w:hint="eastAsia" w:hAnsi="宋体"/>
                <w:snapToGrid w:val="0"/>
                <w:color w:val="000000" w:themeColor="text1"/>
                <w:kern w:val="0"/>
                <w:szCs w:val="21"/>
                <w:highlight w:val="none"/>
                <w14:textFill>
                  <w14:solidFill>
                    <w14:schemeClr w14:val="tx1"/>
                  </w14:solidFill>
                </w14:textFill>
              </w:rPr>
              <w:t>）</w:t>
            </w:r>
          </w:p>
          <w:p>
            <w:pPr>
              <w:spacing w:line="440" w:lineRule="exact"/>
              <w:rPr>
                <w:rFonts w:hAnsi="宋体"/>
                <w:snapToGrid w:val="0"/>
                <w:color w:val="000000" w:themeColor="text1"/>
                <w:kern w:val="0"/>
                <w:szCs w:val="21"/>
                <w:highlight w:val="none"/>
                <w14:textFill>
                  <w14:solidFill>
                    <w14:schemeClr w14:val="tx1"/>
                  </w14:solidFill>
                </w14:textFill>
              </w:rPr>
            </w:pPr>
            <w:r>
              <w:rPr>
                <w:rFonts w:hint="eastAsia" w:hAnsi="宋体"/>
                <w:snapToGrid w:val="0"/>
                <w:color w:val="000000" w:themeColor="text1"/>
                <w:kern w:val="0"/>
                <w:szCs w:val="21"/>
                <w:highlight w:val="none"/>
                <w14:textFill>
                  <w14:solidFill>
                    <w14:schemeClr w14:val="tx1"/>
                  </w14:solidFill>
                </w14:textFill>
              </w:rPr>
              <w:t>（6）所投核心产品生产厂家获得</w:t>
            </w:r>
            <w:r>
              <w:rPr>
                <w:rFonts w:hint="eastAsia" w:hAnsi="宋体"/>
                <w:color w:val="000000" w:themeColor="text1"/>
                <w:szCs w:val="21"/>
                <w:highlight w:val="none"/>
                <w14:textFill>
                  <w14:solidFill>
                    <w14:schemeClr w14:val="tx1"/>
                  </w14:solidFill>
                </w14:textFill>
              </w:rPr>
              <w:t>ISO14064温室气体排放认证的</w:t>
            </w:r>
            <w:r>
              <w:rPr>
                <w:rFonts w:hint="eastAsia" w:hAnsi="宋体"/>
                <w:snapToGrid w:val="0"/>
                <w:color w:val="000000" w:themeColor="text1"/>
                <w:kern w:val="0"/>
                <w:szCs w:val="21"/>
                <w:highlight w:val="none"/>
                <w14:textFill>
                  <w14:solidFill>
                    <w14:schemeClr w14:val="tx1"/>
                  </w14:solidFill>
                </w14:textFill>
              </w:rPr>
              <w:t>得</w:t>
            </w:r>
            <w:r>
              <w:rPr>
                <w:rFonts w:hAnsi="宋体"/>
                <w:snapToGrid w:val="0"/>
                <w:color w:val="000000" w:themeColor="text1"/>
                <w:kern w:val="0"/>
                <w:szCs w:val="21"/>
                <w:highlight w:val="none"/>
                <w14:textFill>
                  <w14:solidFill>
                    <w14:schemeClr w14:val="tx1"/>
                  </w14:solidFill>
                </w14:textFill>
              </w:rPr>
              <w:t>2</w:t>
            </w:r>
            <w:r>
              <w:rPr>
                <w:rFonts w:hint="eastAsia" w:hAnsi="宋体"/>
                <w:snapToGrid w:val="0"/>
                <w:color w:val="000000" w:themeColor="text1"/>
                <w:kern w:val="0"/>
                <w:szCs w:val="21"/>
                <w:highlight w:val="none"/>
                <w14:textFill>
                  <w14:solidFill>
                    <w14:schemeClr w14:val="tx1"/>
                  </w14:solidFill>
                </w14:textFill>
              </w:rPr>
              <w:t>分。（需提供加盖生产厂家公章的证明材料复印件，否则</w:t>
            </w:r>
            <w:r>
              <w:rPr>
                <w:rFonts w:hAnsi="宋体"/>
                <w:snapToGrid w:val="0"/>
                <w:color w:val="000000" w:themeColor="text1"/>
                <w:kern w:val="0"/>
                <w:szCs w:val="21"/>
                <w:highlight w:val="none"/>
                <w14:textFill>
                  <w14:solidFill>
                    <w14:schemeClr w14:val="tx1"/>
                  </w14:solidFill>
                </w14:textFill>
              </w:rPr>
              <w:t>不得分</w:t>
            </w:r>
            <w:r>
              <w:rPr>
                <w:rFonts w:hint="eastAsia" w:hAnsi="宋体"/>
                <w:snapToGrid w:val="0"/>
                <w:color w:val="000000" w:themeColor="text1"/>
                <w:kern w:val="0"/>
                <w:szCs w:val="21"/>
                <w:highlight w:val="none"/>
                <w14:textFill>
                  <w14:solidFill>
                    <w14:schemeClr w14:val="tx1"/>
                  </w14:solidFill>
                </w14:textFill>
              </w:rPr>
              <w:t>）</w:t>
            </w:r>
          </w:p>
          <w:p>
            <w:pPr>
              <w:spacing w:line="440" w:lineRule="exact"/>
              <w:rPr>
                <w:rFonts w:hAnsi="宋体"/>
                <w:snapToGrid w:val="0"/>
                <w:color w:val="000000" w:themeColor="text1"/>
                <w:kern w:val="0"/>
                <w:szCs w:val="21"/>
                <w:highlight w:val="none"/>
                <w14:textFill>
                  <w14:solidFill>
                    <w14:schemeClr w14:val="tx1"/>
                  </w14:solidFill>
                </w14:textFill>
              </w:rPr>
            </w:pPr>
            <w:r>
              <w:rPr>
                <w:rFonts w:hint="eastAsia" w:hAnsi="宋体"/>
                <w:snapToGrid w:val="0"/>
                <w:color w:val="000000" w:themeColor="text1"/>
                <w:kern w:val="0"/>
                <w:szCs w:val="21"/>
                <w:highlight w:val="none"/>
                <w14:textFill>
                  <w14:solidFill>
                    <w14:schemeClr w14:val="tx1"/>
                  </w14:solidFill>
                </w14:textFill>
              </w:rPr>
              <w:t>（7）所投核心产品生产厂家符合GB/T 27922-2011售后服务评价体系标准，获得五星级售后服务认证的得</w:t>
            </w:r>
            <w:r>
              <w:rPr>
                <w:rFonts w:hAnsi="宋体"/>
                <w:snapToGrid w:val="0"/>
                <w:color w:val="000000" w:themeColor="text1"/>
                <w:kern w:val="0"/>
                <w:szCs w:val="21"/>
                <w:highlight w:val="none"/>
                <w14:textFill>
                  <w14:solidFill>
                    <w14:schemeClr w14:val="tx1"/>
                  </w14:solidFill>
                </w14:textFill>
              </w:rPr>
              <w:t>2</w:t>
            </w:r>
            <w:r>
              <w:rPr>
                <w:rFonts w:hint="eastAsia" w:hAnsi="宋体"/>
                <w:snapToGrid w:val="0"/>
                <w:color w:val="000000" w:themeColor="text1"/>
                <w:kern w:val="0"/>
                <w:szCs w:val="21"/>
                <w:highlight w:val="none"/>
                <w14:textFill>
                  <w14:solidFill>
                    <w14:schemeClr w14:val="tx1"/>
                  </w14:solidFill>
                </w14:textFill>
              </w:rPr>
              <w:t>分。（需提供加盖生产厂家公章的证明材料复印件，否则</w:t>
            </w:r>
            <w:r>
              <w:rPr>
                <w:rFonts w:hAnsi="宋体"/>
                <w:snapToGrid w:val="0"/>
                <w:color w:val="000000" w:themeColor="text1"/>
                <w:kern w:val="0"/>
                <w:szCs w:val="21"/>
                <w:highlight w:val="none"/>
                <w14:textFill>
                  <w14:solidFill>
                    <w14:schemeClr w14:val="tx1"/>
                  </w14:solidFill>
                </w14:textFill>
              </w:rPr>
              <w:t>不得分</w:t>
            </w:r>
            <w:r>
              <w:rPr>
                <w:rFonts w:hint="eastAsia" w:hAnsi="宋体"/>
                <w:snapToGrid w:val="0"/>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29" w:type="dxa"/>
            <w:gridSpan w:val="2"/>
            <w:vAlign w:val="center"/>
          </w:tcPr>
          <w:p>
            <w:pPr>
              <w:spacing w:line="440" w:lineRule="exact"/>
              <w:jc w:val="center"/>
              <w:rPr>
                <w:rFonts w:hAnsi="宋体"/>
                <w:b/>
                <w:bCs/>
                <w:color w:val="000000" w:themeColor="text1"/>
                <w:szCs w:val="21"/>
                <w:highlight w:val="none"/>
                <w14:textFill>
                  <w14:solidFill>
                    <w14:schemeClr w14:val="tx1"/>
                  </w14:solidFill>
                </w14:textFill>
              </w:rPr>
            </w:pPr>
            <w:r>
              <w:rPr>
                <w:rFonts w:hint="eastAsia" w:hAnsi="宋体"/>
                <w:b/>
                <w:bCs/>
                <w:color w:val="000000" w:themeColor="text1"/>
                <w:szCs w:val="21"/>
                <w:highlight w:val="none"/>
                <w14:textFill>
                  <w14:solidFill>
                    <w14:schemeClr w14:val="tx1"/>
                  </w14:solidFill>
                </w14:textFill>
              </w:rPr>
              <w:t>政策功能</w:t>
            </w:r>
            <w:r>
              <w:rPr>
                <w:rFonts w:hAnsi="宋体"/>
                <w:b/>
                <w:bCs/>
                <w:color w:val="000000" w:themeColor="text1"/>
                <w:szCs w:val="21"/>
                <w:highlight w:val="none"/>
                <w14:textFill>
                  <w14:solidFill>
                    <w14:schemeClr w14:val="tx1"/>
                  </w14:solidFill>
                </w14:textFill>
              </w:rPr>
              <w:t>分</w:t>
            </w:r>
          </w:p>
          <w:p>
            <w:pPr>
              <w:spacing w:line="440" w:lineRule="exact"/>
              <w:jc w:val="center"/>
              <w:rPr>
                <w:rFonts w:hAnsi="宋体"/>
                <w:b/>
                <w:bCs/>
                <w:color w:val="000000" w:themeColor="text1"/>
                <w:szCs w:val="21"/>
                <w:highlight w:val="none"/>
                <w14:textFill>
                  <w14:solidFill>
                    <w14:schemeClr w14:val="tx1"/>
                  </w14:solidFill>
                </w14:textFill>
              </w:rPr>
            </w:pPr>
            <w:r>
              <w:rPr>
                <w:rFonts w:hint="eastAsia" w:hAnsi="宋体"/>
                <w:b/>
                <w:bCs/>
                <w:color w:val="000000" w:themeColor="text1"/>
                <w:szCs w:val="21"/>
                <w:highlight w:val="none"/>
                <w14:textFill>
                  <w14:solidFill>
                    <w14:schemeClr w14:val="tx1"/>
                  </w14:solidFill>
                </w14:textFill>
              </w:rPr>
              <w:t>（</w:t>
            </w:r>
            <w:r>
              <w:rPr>
                <w:rFonts w:hAnsi="宋体"/>
                <w:b/>
                <w:bCs/>
                <w:color w:val="000000" w:themeColor="text1"/>
                <w:szCs w:val="21"/>
                <w:highlight w:val="none"/>
                <w14:textFill>
                  <w14:solidFill>
                    <w14:schemeClr w14:val="tx1"/>
                  </w14:solidFill>
                </w14:textFill>
              </w:rPr>
              <w:t>2</w:t>
            </w:r>
            <w:r>
              <w:rPr>
                <w:rFonts w:hint="eastAsia" w:hAnsi="宋体"/>
                <w:b/>
                <w:bCs/>
                <w:color w:val="000000" w:themeColor="text1"/>
                <w:szCs w:val="21"/>
                <w:highlight w:val="none"/>
                <w14:textFill>
                  <w14:solidFill>
                    <w14:schemeClr w14:val="tx1"/>
                  </w14:solidFill>
                </w14:textFill>
              </w:rPr>
              <w:t>分</w:t>
            </w:r>
            <w:r>
              <w:rPr>
                <w:rFonts w:hAnsi="宋体"/>
                <w:b/>
                <w:bCs/>
                <w:color w:val="000000" w:themeColor="text1"/>
                <w:szCs w:val="21"/>
                <w:highlight w:val="none"/>
                <w14:textFill>
                  <w14:solidFill>
                    <w14:schemeClr w14:val="tx1"/>
                  </w14:solidFill>
                </w14:textFill>
              </w:rPr>
              <w:t>）</w:t>
            </w:r>
          </w:p>
        </w:tc>
        <w:tc>
          <w:tcPr>
            <w:tcW w:w="6835" w:type="dxa"/>
            <w:vAlign w:val="center"/>
          </w:tcPr>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（1）属于财政部《节能产品政府采购品</w:t>
            </w:r>
            <w:r>
              <w:rPr>
                <w:rFonts w:hAnsi="宋体"/>
                <w:bCs/>
                <w:color w:val="000000" w:themeColor="text1"/>
                <w:szCs w:val="21"/>
                <w:highlight w:val="none"/>
                <w14:textFill>
                  <w14:solidFill>
                    <w14:schemeClr w14:val="tx1"/>
                  </w14:solidFill>
                </w14:textFill>
              </w:rPr>
              <w:t>目</w:t>
            </w:r>
            <w:r>
              <w:rPr>
                <w:rFonts w:hint="eastAsia" w:hAnsi="宋体"/>
                <w:bCs/>
                <w:color w:val="000000" w:themeColor="text1"/>
                <w:szCs w:val="21"/>
                <w:highlight w:val="none"/>
                <w14:textFill>
                  <w14:solidFill>
                    <w14:schemeClr w14:val="tx1"/>
                  </w14:solidFill>
                </w14:textFill>
              </w:rPr>
              <w:t>清单》内优先采购的产品</w:t>
            </w:r>
            <w:r>
              <w:rPr>
                <w:rFonts w:ascii="ˎ̥" w:hAnsi="ˎ̥" w:cs="宋体"/>
                <w:bCs/>
                <w:color w:val="000000" w:themeColor="text1"/>
                <w:szCs w:val="21"/>
                <w:highlight w:val="none"/>
                <w14:textFill>
                  <w14:solidFill>
                    <w14:schemeClr w14:val="tx1"/>
                  </w14:solidFill>
                </w14:textFill>
              </w:rPr>
              <w:t>并具有有效的节能产品认证证书的</w:t>
            </w:r>
            <w:r>
              <w:rPr>
                <w:rFonts w:hint="eastAsia" w:hAnsi="宋体"/>
                <w:bCs/>
                <w:color w:val="000000" w:themeColor="text1"/>
                <w:szCs w:val="21"/>
                <w:highlight w:val="none"/>
                <w14:textFill>
                  <w14:solidFill>
                    <w14:schemeClr w14:val="tx1"/>
                  </w14:solidFill>
                </w14:textFill>
              </w:rPr>
              <w:t>，根据其所占项目比例得0-</w:t>
            </w:r>
            <w:r>
              <w:rPr>
                <w:rFonts w:hAnsi="宋体"/>
                <w:bCs/>
                <w:color w:val="000000" w:themeColor="text1"/>
                <w:szCs w:val="21"/>
                <w:highlight w:val="none"/>
                <w14:textFill>
                  <w14:solidFill>
                    <w14:schemeClr w14:val="tx1"/>
                  </w14:solidFill>
                </w14:textFill>
              </w:rPr>
              <w:t>0.5</w:t>
            </w:r>
            <w:r>
              <w:rPr>
                <w:rFonts w:hint="eastAsia" w:hAnsi="宋体"/>
                <w:bCs/>
                <w:color w:val="000000" w:themeColor="text1"/>
                <w:szCs w:val="21"/>
                <w:highlight w:val="none"/>
                <w14:textFill>
                  <w14:solidFill>
                    <w14:schemeClr w14:val="tx1"/>
                  </w14:solidFill>
                </w14:textFill>
              </w:rPr>
              <w:t>分；（</w:t>
            </w:r>
            <w:r>
              <w:rPr>
                <w:rFonts w:hint="eastAsia" w:hAnsi="宋体"/>
                <w:bCs/>
                <w:color w:val="000000" w:themeColor="text1"/>
                <w:highlight w:val="none"/>
                <w14:textFill>
                  <w14:solidFill>
                    <w14:schemeClr w14:val="tx1"/>
                  </w14:solidFill>
                </w14:textFill>
              </w:rPr>
              <w:t>须提供证明材料复印件）</w:t>
            </w:r>
          </w:p>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（2）属于财政部《环境标志产品政府采购品</w:t>
            </w:r>
            <w:r>
              <w:rPr>
                <w:rFonts w:hAnsi="宋体"/>
                <w:bCs/>
                <w:color w:val="000000" w:themeColor="text1"/>
                <w:szCs w:val="21"/>
                <w:highlight w:val="none"/>
                <w14:textFill>
                  <w14:solidFill>
                    <w14:schemeClr w14:val="tx1"/>
                  </w14:solidFill>
                </w14:textFill>
              </w:rPr>
              <w:t>目</w:t>
            </w:r>
            <w:r>
              <w:rPr>
                <w:rFonts w:hint="eastAsia" w:hAnsi="宋体"/>
                <w:bCs/>
                <w:color w:val="000000" w:themeColor="text1"/>
                <w:szCs w:val="21"/>
                <w:highlight w:val="none"/>
                <w14:textFill>
                  <w14:solidFill>
                    <w14:schemeClr w14:val="tx1"/>
                  </w14:solidFill>
                </w14:textFill>
              </w:rPr>
              <w:t>清单》内优先采购的产品</w:t>
            </w:r>
            <w:r>
              <w:rPr>
                <w:rFonts w:ascii="ˎ̥" w:hAnsi="ˎ̥" w:cs="宋体"/>
                <w:bCs/>
                <w:color w:val="000000" w:themeColor="text1"/>
                <w:szCs w:val="21"/>
                <w:highlight w:val="none"/>
                <w14:textFill>
                  <w14:solidFill>
                    <w14:schemeClr w14:val="tx1"/>
                  </w14:solidFill>
                </w14:textFill>
              </w:rPr>
              <w:t>并具有有效的</w:t>
            </w:r>
            <w:r>
              <w:rPr>
                <w:rFonts w:hint="eastAsia" w:ascii="ˎ̥" w:hAnsi="ˎ̥" w:cs="宋体"/>
                <w:bCs/>
                <w:color w:val="000000" w:themeColor="text1"/>
                <w:szCs w:val="21"/>
                <w:highlight w:val="none"/>
                <w14:textFill>
                  <w14:solidFill>
                    <w14:schemeClr w14:val="tx1"/>
                  </w14:solidFill>
                </w14:textFill>
              </w:rPr>
              <w:t>环</w:t>
            </w:r>
            <w:r>
              <w:rPr>
                <w:rFonts w:hint="eastAsia" w:hAnsi="宋体"/>
                <w:bCs/>
                <w:color w:val="000000" w:themeColor="text1"/>
                <w:szCs w:val="21"/>
                <w:highlight w:val="none"/>
                <w14:textFill>
                  <w14:solidFill>
                    <w14:schemeClr w14:val="tx1"/>
                  </w14:solidFill>
                </w14:textFill>
              </w:rPr>
              <w:t>境</w:t>
            </w:r>
            <w:r>
              <w:rPr>
                <w:rFonts w:hint="eastAsia" w:ascii="ˎ̥" w:hAnsi="ˎ̥" w:cs="宋体"/>
                <w:bCs/>
                <w:color w:val="000000" w:themeColor="text1"/>
                <w:szCs w:val="21"/>
                <w:highlight w:val="none"/>
                <w14:textFill>
                  <w14:solidFill>
                    <w14:schemeClr w14:val="tx1"/>
                  </w14:solidFill>
                </w14:textFill>
              </w:rPr>
              <w:t>保护</w:t>
            </w:r>
            <w:r>
              <w:rPr>
                <w:rFonts w:ascii="ˎ̥" w:hAnsi="ˎ̥" w:cs="宋体"/>
                <w:bCs/>
                <w:color w:val="000000" w:themeColor="text1"/>
                <w:szCs w:val="21"/>
                <w:highlight w:val="none"/>
                <w14:textFill>
                  <w14:solidFill>
                    <w14:schemeClr w14:val="tx1"/>
                  </w14:solidFill>
                </w14:textFill>
              </w:rPr>
              <w:t>产品认证证书的</w:t>
            </w:r>
            <w:r>
              <w:rPr>
                <w:rFonts w:hint="eastAsia" w:hAnsi="宋体"/>
                <w:bCs/>
                <w:color w:val="000000" w:themeColor="text1"/>
                <w:szCs w:val="21"/>
                <w:highlight w:val="none"/>
                <w14:textFill>
                  <w14:solidFill>
                    <w14:schemeClr w14:val="tx1"/>
                  </w14:solidFill>
                </w14:textFill>
              </w:rPr>
              <w:t>，根据其所占项目比例得0-</w:t>
            </w:r>
            <w:r>
              <w:rPr>
                <w:rFonts w:hAnsi="宋体"/>
                <w:bCs/>
                <w:color w:val="000000" w:themeColor="text1"/>
                <w:szCs w:val="21"/>
                <w:highlight w:val="none"/>
                <w14:textFill>
                  <w14:solidFill>
                    <w14:schemeClr w14:val="tx1"/>
                  </w14:solidFill>
                </w14:textFill>
              </w:rPr>
              <w:t>0.5</w:t>
            </w:r>
            <w:r>
              <w:rPr>
                <w:rFonts w:hint="eastAsia" w:hAnsi="宋体"/>
                <w:bCs/>
                <w:color w:val="000000" w:themeColor="text1"/>
                <w:szCs w:val="21"/>
                <w:highlight w:val="none"/>
                <w14:textFill>
                  <w14:solidFill>
                    <w14:schemeClr w14:val="tx1"/>
                  </w14:solidFill>
                </w14:textFill>
              </w:rPr>
              <w:t>分；非节能、环保产品的不得分；（</w:t>
            </w:r>
            <w:r>
              <w:rPr>
                <w:rFonts w:hint="eastAsia" w:hAnsi="宋体"/>
                <w:bCs/>
                <w:color w:val="000000" w:themeColor="text1"/>
                <w:highlight w:val="none"/>
                <w14:textFill>
                  <w14:solidFill>
                    <w14:schemeClr w14:val="tx1"/>
                  </w14:solidFill>
                </w14:textFill>
              </w:rPr>
              <w:t>须提供证明材料复印件）</w:t>
            </w:r>
          </w:p>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（3）投标</w:t>
            </w:r>
            <w:r>
              <w:rPr>
                <w:rFonts w:hAnsi="宋体"/>
                <w:bCs/>
                <w:color w:val="000000" w:themeColor="text1"/>
                <w:szCs w:val="21"/>
                <w:highlight w:val="none"/>
                <w14:textFill>
                  <w14:solidFill>
                    <w14:schemeClr w14:val="tx1"/>
                  </w14:solidFill>
                </w14:textFill>
              </w:rPr>
              <w:t>人</w:t>
            </w:r>
            <w:r>
              <w:rPr>
                <w:rFonts w:hint="eastAsia" w:hAnsi="宋体"/>
                <w:bCs/>
                <w:color w:val="000000" w:themeColor="text1"/>
                <w:szCs w:val="21"/>
                <w:highlight w:val="none"/>
                <w14:textFill>
                  <w14:solidFill>
                    <w14:schemeClr w14:val="tx1"/>
                  </w14:solidFill>
                </w14:textFill>
              </w:rPr>
              <w:t xml:space="preserve">使用广西工业产品在80%及以上的得1分。 </w:t>
            </w:r>
          </w:p>
          <w:p>
            <w:pPr>
              <w:spacing w:line="440" w:lineRule="exact"/>
              <w:rPr>
                <w:rFonts w:hAnsi="宋体"/>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r>
              <w:rPr>
                <w:rFonts w:hint="eastAsia" w:hAnsi="宋体"/>
                <w:bCs/>
                <w:color w:val="000000" w:themeColor="text1"/>
                <w:highlight w:val="none"/>
                <w14:textFill>
                  <w14:solidFill>
                    <w14:schemeClr w14:val="tx1"/>
                  </w14:solidFill>
                </w14:textFill>
              </w:rPr>
              <w:t>投标文件中须提供生产企业的工商营业执照复印件和广西工业产品声明函原件。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23" w:type="dxa"/>
            <w:vMerge w:val="restart"/>
            <w:vAlign w:val="center"/>
          </w:tcPr>
          <w:p>
            <w:pPr>
              <w:spacing w:line="44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综合实力分</w:t>
            </w:r>
          </w:p>
        </w:tc>
        <w:tc>
          <w:tcPr>
            <w:tcW w:w="1306" w:type="dxa"/>
            <w:vAlign w:val="center"/>
          </w:tcPr>
          <w:p>
            <w:pPr>
              <w:spacing w:line="380" w:lineRule="exact"/>
              <w:rPr>
                <w:rFonts w:hAnsi="宋体"/>
                <w:color w:val="000000" w:themeColor="text1"/>
                <w:szCs w:val="21"/>
                <w:highlight w:val="none"/>
                <w14:textFill>
                  <w14:solidFill>
                    <w14:schemeClr w14:val="tx1"/>
                  </w14:solidFill>
                </w14:textFill>
              </w:rPr>
            </w:pPr>
            <w:r>
              <w:rPr>
                <w:rFonts w:hint="eastAsia" w:hAnsi="宋体" w:cs="宋体"/>
                <w:bCs/>
                <w:color w:val="000000" w:themeColor="text1"/>
                <w:szCs w:val="21"/>
                <w:highlight w:val="none"/>
                <w14:textFill>
                  <w14:solidFill>
                    <w14:schemeClr w14:val="tx1"/>
                  </w14:solidFill>
                </w14:textFill>
              </w:rPr>
              <w:t>设备技术性能分</w:t>
            </w:r>
            <w:r>
              <w:rPr>
                <w:rFonts w:hint="eastAsia" w:hAnsi="宋体"/>
                <w:color w:val="000000" w:themeColor="text1"/>
                <w:szCs w:val="21"/>
                <w:highlight w:val="none"/>
                <w14:textFill>
                  <w14:solidFill>
                    <w14:schemeClr w14:val="tx1"/>
                  </w14:solidFill>
                </w14:textFill>
              </w:rPr>
              <w:t>（</w:t>
            </w:r>
            <w:r>
              <w:rPr>
                <w:rFonts w:hAnsi="宋体"/>
                <w:color w:val="000000" w:themeColor="text1"/>
                <w:szCs w:val="21"/>
                <w:highlight w:val="none"/>
                <w14:textFill>
                  <w14:solidFill>
                    <w14:schemeClr w14:val="tx1"/>
                  </w14:solidFill>
                </w14:textFill>
              </w:rPr>
              <w:t>30</w:t>
            </w:r>
            <w:r>
              <w:rPr>
                <w:rFonts w:hint="eastAsia" w:hAnsi="宋体"/>
                <w:color w:val="000000" w:themeColor="text1"/>
                <w:szCs w:val="21"/>
                <w:highlight w:val="none"/>
                <w14:textFill>
                  <w14:solidFill>
                    <w14:schemeClr w14:val="tx1"/>
                  </w14:solidFill>
                </w14:textFill>
              </w:rPr>
              <w:t>分）</w:t>
            </w:r>
          </w:p>
        </w:tc>
        <w:tc>
          <w:tcPr>
            <w:tcW w:w="6835" w:type="dxa"/>
            <w:vAlign w:val="center"/>
          </w:tcPr>
          <w:p>
            <w:pPr>
              <w:pStyle w:val="20"/>
              <w:spacing w:line="38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招标货物中核心产品核心产品实质性技术参数（带“★”号参数）对师生使用效果影响大，投标人投标文件中的主要技术参数有一项带“★”号参数不能满足招标文件要求的做无效投标处理。</w:t>
            </w:r>
          </w:p>
          <w:p>
            <w:pPr>
              <w:pStyle w:val="20"/>
              <w:spacing w:line="38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一档（0.1</w:t>
            </w:r>
            <w:r>
              <w:rPr>
                <w:rFonts w:hint="eastAsia" w:hAnsi="宋体"/>
                <w:color w:val="000000" w:themeColor="text1"/>
                <w:highlight w:val="none"/>
                <w14:textFill>
                  <w14:solidFill>
                    <w14:schemeClr w14:val="tx1"/>
                  </w14:solidFill>
                </w14:textFill>
              </w:rPr>
              <w:t>～</w:t>
            </w:r>
            <w:r>
              <w:rPr>
                <w:rFonts w:hAnsi="宋体"/>
                <w:bCs/>
                <w:color w:val="000000" w:themeColor="text1"/>
                <w:szCs w:val="21"/>
                <w:highlight w:val="none"/>
                <w14:textFill>
                  <w14:solidFill>
                    <w14:schemeClr w14:val="tx1"/>
                  </w14:solidFill>
                </w14:textFill>
              </w:rPr>
              <w:t>10</w:t>
            </w:r>
            <w:r>
              <w:rPr>
                <w:rFonts w:hint="eastAsia" w:hAnsi="宋体"/>
                <w:bCs/>
                <w:color w:val="000000" w:themeColor="text1"/>
                <w:szCs w:val="21"/>
                <w:highlight w:val="none"/>
                <w14:textFill>
                  <w14:solidFill>
                    <w14:schemeClr w14:val="tx1"/>
                  </w14:solidFill>
                </w14:textFill>
              </w:rPr>
              <w:t>分）：经评标委员会认可的带“★”号实质性参数有1-</w:t>
            </w:r>
            <w:r>
              <w:rPr>
                <w:rFonts w:hAnsi="宋体"/>
                <w:bCs/>
                <w:color w:val="000000" w:themeColor="text1"/>
                <w:szCs w:val="21"/>
                <w:highlight w:val="none"/>
                <w14:textFill>
                  <w14:solidFill>
                    <w14:schemeClr w14:val="tx1"/>
                  </w14:solidFill>
                </w14:textFill>
              </w:rPr>
              <w:t>6</w:t>
            </w:r>
            <w:r>
              <w:rPr>
                <w:rFonts w:hint="eastAsia" w:hAnsi="宋体"/>
                <w:bCs/>
                <w:color w:val="000000" w:themeColor="text1"/>
                <w:szCs w:val="21"/>
                <w:highlight w:val="none"/>
                <w14:textFill>
                  <w14:solidFill>
                    <w14:schemeClr w14:val="tx1"/>
                  </w14:solidFill>
                </w14:textFill>
              </w:rPr>
              <w:t>项优于采购文件要求或不带“★”号的非实质性参数有1项（含1项）以上低于采购文件要求；</w:t>
            </w:r>
          </w:p>
          <w:p>
            <w:pPr>
              <w:pStyle w:val="20"/>
              <w:spacing w:line="38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二档（</w:t>
            </w:r>
            <w:r>
              <w:rPr>
                <w:rFonts w:hAnsi="宋体"/>
                <w:bCs/>
                <w:color w:val="000000" w:themeColor="text1"/>
                <w:szCs w:val="21"/>
                <w:highlight w:val="none"/>
                <w14:textFill>
                  <w14:solidFill>
                    <w14:schemeClr w14:val="tx1"/>
                  </w14:solidFill>
                </w14:textFill>
              </w:rPr>
              <w:t>10</w:t>
            </w:r>
            <w:r>
              <w:rPr>
                <w:rFonts w:hint="eastAsia" w:hAnsi="宋体"/>
                <w:bCs/>
                <w:color w:val="000000" w:themeColor="text1"/>
                <w:szCs w:val="2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w:t>
            </w:r>
            <w:r>
              <w:rPr>
                <w:rFonts w:hAnsi="宋体"/>
                <w:bCs/>
                <w:color w:val="000000" w:themeColor="text1"/>
                <w:szCs w:val="21"/>
                <w:highlight w:val="none"/>
                <w14:textFill>
                  <w14:solidFill>
                    <w14:schemeClr w14:val="tx1"/>
                  </w14:solidFill>
                </w14:textFill>
              </w:rPr>
              <w:t>20</w:t>
            </w:r>
            <w:r>
              <w:rPr>
                <w:rFonts w:hint="eastAsia" w:hAnsi="宋体"/>
                <w:bCs/>
                <w:color w:val="000000" w:themeColor="text1"/>
                <w:szCs w:val="21"/>
                <w:highlight w:val="none"/>
                <w14:textFill>
                  <w14:solidFill>
                    <w14:schemeClr w14:val="tx1"/>
                  </w14:solidFill>
                </w14:textFill>
              </w:rPr>
              <w:t>分）：经评标委员会认可的带“★”号的实质性参数有</w:t>
            </w:r>
            <w:r>
              <w:rPr>
                <w:rFonts w:hAnsi="宋体"/>
                <w:bCs/>
                <w:color w:val="000000" w:themeColor="text1"/>
                <w:szCs w:val="21"/>
                <w:highlight w:val="none"/>
                <w14:textFill>
                  <w14:solidFill>
                    <w14:schemeClr w14:val="tx1"/>
                  </w14:solidFill>
                </w14:textFill>
              </w:rPr>
              <w:t>7</w:t>
            </w:r>
            <w:r>
              <w:rPr>
                <w:rFonts w:hint="eastAsia" w:hAnsi="宋体"/>
                <w:bCs/>
                <w:color w:val="000000" w:themeColor="text1"/>
                <w:szCs w:val="21"/>
                <w:highlight w:val="none"/>
                <w14:textFill>
                  <w14:solidFill>
                    <w14:schemeClr w14:val="tx1"/>
                  </w14:solidFill>
                </w14:textFill>
              </w:rPr>
              <w:t>-</w:t>
            </w:r>
            <w:r>
              <w:rPr>
                <w:rFonts w:hAnsi="宋体"/>
                <w:bCs/>
                <w:color w:val="000000" w:themeColor="text1"/>
                <w:szCs w:val="21"/>
                <w:highlight w:val="none"/>
                <w14:textFill>
                  <w14:solidFill>
                    <w14:schemeClr w14:val="tx1"/>
                  </w14:solidFill>
                </w14:textFill>
              </w:rPr>
              <w:t>9</w:t>
            </w:r>
            <w:r>
              <w:rPr>
                <w:rFonts w:hint="eastAsia" w:hAnsi="宋体"/>
                <w:bCs/>
                <w:color w:val="000000" w:themeColor="text1"/>
                <w:szCs w:val="21"/>
                <w:highlight w:val="none"/>
                <w14:textFill>
                  <w14:solidFill>
                    <w14:schemeClr w14:val="tx1"/>
                  </w14:solidFill>
                </w14:textFill>
              </w:rPr>
              <w:t>项优于采购文件要求且不带“★”号的非实质性参数有</w:t>
            </w:r>
            <w:r>
              <w:rPr>
                <w:rFonts w:hAnsi="宋体"/>
                <w:bCs/>
                <w:color w:val="000000" w:themeColor="text1"/>
                <w:szCs w:val="21"/>
                <w:highlight w:val="none"/>
                <w14:textFill>
                  <w14:solidFill>
                    <w14:schemeClr w14:val="tx1"/>
                  </w14:solidFill>
                </w14:textFill>
              </w:rPr>
              <w:t>5</w:t>
            </w:r>
            <w:r>
              <w:rPr>
                <w:rFonts w:hint="eastAsia" w:hAnsi="宋体"/>
                <w:bCs/>
                <w:color w:val="000000" w:themeColor="text1"/>
                <w:szCs w:val="21"/>
                <w:highlight w:val="none"/>
                <w14:textFill>
                  <w14:solidFill>
                    <w14:schemeClr w14:val="tx1"/>
                  </w14:solidFill>
                </w14:textFill>
              </w:rPr>
              <w:t>项（含</w:t>
            </w:r>
            <w:r>
              <w:rPr>
                <w:rFonts w:hAnsi="宋体"/>
                <w:bCs/>
                <w:color w:val="000000" w:themeColor="text1"/>
                <w:szCs w:val="21"/>
                <w:highlight w:val="none"/>
                <w14:textFill>
                  <w14:solidFill>
                    <w14:schemeClr w14:val="tx1"/>
                  </w14:solidFill>
                </w14:textFill>
              </w:rPr>
              <w:t>5</w:t>
            </w:r>
            <w:r>
              <w:rPr>
                <w:rFonts w:hint="eastAsia" w:hAnsi="宋体"/>
                <w:bCs/>
                <w:color w:val="000000" w:themeColor="text1"/>
                <w:szCs w:val="21"/>
                <w:highlight w:val="none"/>
                <w14:textFill>
                  <w14:solidFill>
                    <w14:schemeClr w14:val="tx1"/>
                  </w14:solidFill>
                </w14:textFill>
              </w:rPr>
              <w:t>项）以上优于采购文件要求；</w:t>
            </w:r>
          </w:p>
          <w:p>
            <w:pPr>
              <w:pStyle w:val="20"/>
              <w:spacing w:line="38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三档（2</w:t>
            </w:r>
            <w:r>
              <w:rPr>
                <w:rFonts w:hAnsi="宋体"/>
                <w:bCs/>
                <w:color w:val="000000" w:themeColor="text1"/>
                <w:szCs w:val="21"/>
                <w:highlight w:val="none"/>
                <w14:textFill>
                  <w14:solidFill>
                    <w14:schemeClr w14:val="tx1"/>
                  </w14:solidFill>
                </w14:textFill>
              </w:rPr>
              <w:t>0</w:t>
            </w:r>
            <w:r>
              <w:rPr>
                <w:rFonts w:hint="eastAsia" w:hAnsi="宋体"/>
                <w:bCs/>
                <w:color w:val="000000" w:themeColor="text1"/>
                <w:szCs w:val="2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w:t>
            </w:r>
            <w:r>
              <w:rPr>
                <w:rFonts w:hint="eastAsia" w:hAnsi="宋体"/>
                <w:bCs/>
                <w:color w:val="000000" w:themeColor="text1"/>
                <w:szCs w:val="21"/>
                <w:highlight w:val="none"/>
                <w14:textFill>
                  <w14:solidFill>
                    <w14:schemeClr w14:val="tx1"/>
                  </w14:solidFill>
                </w14:textFill>
              </w:rPr>
              <w:t>3</w:t>
            </w:r>
            <w:r>
              <w:rPr>
                <w:rFonts w:hAnsi="宋体"/>
                <w:bCs/>
                <w:color w:val="000000" w:themeColor="text1"/>
                <w:szCs w:val="21"/>
                <w:highlight w:val="none"/>
                <w14:textFill>
                  <w14:solidFill>
                    <w14:schemeClr w14:val="tx1"/>
                  </w14:solidFill>
                </w14:textFill>
              </w:rPr>
              <w:t>0</w:t>
            </w:r>
            <w:r>
              <w:rPr>
                <w:rFonts w:hint="eastAsia" w:hAnsi="宋体"/>
                <w:bCs/>
                <w:color w:val="000000" w:themeColor="text1"/>
                <w:szCs w:val="21"/>
                <w:highlight w:val="none"/>
                <w14:textFill>
                  <w14:solidFill>
                    <w14:schemeClr w14:val="tx1"/>
                  </w14:solidFill>
                </w14:textFill>
              </w:rPr>
              <w:t>分）：经评标委员会认可的带“★”号的实质性参数有10项或以上优于采购文件要求，且不带“★”号的非实质性参数有</w:t>
            </w:r>
            <w:r>
              <w:rPr>
                <w:rFonts w:hAnsi="宋体"/>
                <w:bCs/>
                <w:color w:val="000000" w:themeColor="text1"/>
                <w:szCs w:val="21"/>
                <w:highlight w:val="none"/>
                <w14:textFill>
                  <w14:solidFill>
                    <w14:schemeClr w14:val="tx1"/>
                  </w14:solidFill>
                </w14:textFill>
              </w:rPr>
              <w:t>7</w:t>
            </w:r>
            <w:r>
              <w:rPr>
                <w:rFonts w:hint="eastAsia" w:hAnsi="宋体"/>
                <w:bCs/>
                <w:color w:val="000000" w:themeColor="text1"/>
                <w:szCs w:val="21"/>
                <w:highlight w:val="none"/>
                <w14:textFill>
                  <w14:solidFill>
                    <w14:schemeClr w14:val="tx1"/>
                  </w14:solidFill>
                </w14:textFill>
              </w:rPr>
              <w:t>项（含</w:t>
            </w:r>
            <w:r>
              <w:rPr>
                <w:rFonts w:hAnsi="宋体"/>
                <w:bCs/>
                <w:color w:val="000000" w:themeColor="text1"/>
                <w:szCs w:val="21"/>
                <w:highlight w:val="none"/>
                <w14:textFill>
                  <w14:solidFill>
                    <w14:schemeClr w14:val="tx1"/>
                  </w14:solidFill>
                </w14:textFill>
              </w:rPr>
              <w:t>7</w:t>
            </w:r>
            <w:r>
              <w:rPr>
                <w:rFonts w:hint="eastAsia" w:hAnsi="宋体"/>
                <w:bCs/>
                <w:color w:val="000000" w:themeColor="text1"/>
                <w:szCs w:val="21"/>
                <w:highlight w:val="none"/>
                <w14:textFill>
                  <w14:solidFill>
                    <w14:schemeClr w14:val="tx1"/>
                  </w14:solidFill>
                </w14:textFill>
              </w:rPr>
              <w:t>项）以上优于采购文件要求；</w:t>
            </w:r>
          </w:p>
          <w:p>
            <w:pPr>
              <w:pStyle w:val="20"/>
              <w:spacing w:line="380" w:lineRule="exac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注：带“★”号的实质性参数优于采购文件要求的，投标人需在投标文件中提供对应的证明材料（如产品检测报告、功能截图等）予以佐证，否则不予认可。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23" w:type="dxa"/>
            <w:vMerge w:val="continue"/>
            <w:vAlign w:val="center"/>
          </w:tcPr>
          <w:p>
            <w:pPr>
              <w:spacing w:line="440" w:lineRule="exact"/>
              <w:rPr>
                <w:rFonts w:hAnsi="宋体"/>
                <w:bCs/>
                <w:color w:val="000000" w:themeColor="text1"/>
                <w:szCs w:val="21"/>
                <w:highlight w:val="none"/>
                <w14:textFill>
                  <w14:solidFill>
                    <w14:schemeClr w14:val="tx1"/>
                  </w14:solidFill>
                </w14:textFill>
              </w:rPr>
            </w:pPr>
          </w:p>
        </w:tc>
        <w:tc>
          <w:tcPr>
            <w:tcW w:w="1306" w:type="dxa"/>
            <w:vAlign w:val="center"/>
          </w:tcPr>
          <w:p>
            <w:pPr>
              <w:spacing w:line="380" w:lineRule="exact"/>
              <w:jc w:val="center"/>
              <w:rPr>
                <w:rFonts w:hAnsi="宋体"/>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售后服务分</w:t>
            </w:r>
            <w:r>
              <w:rPr>
                <w:rFonts w:hint="eastAsia" w:hAnsi="宋体"/>
                <w:color w:val="000000" w:themeColor="text1"/>
                <w:szCs w:val="21"/>
                <w:highlight w:val="none"/>
                <w14:textFill>
                  <w14:solidFill>
                    <w14:schemeClr w14:val="tx1"/>
                  </w14:solidFill>
                </w14:textFill>
              </w:rPr>
              <w:t>（</w:t>
            </w:r>
            <w:r>
              <w:rPr>
                <w:rFonts w:hAnsi="宋体"/>
                <w:color w:val="000000" w:themeColor="text1"/>
                <w:szCs w:val="21"/>
                <w:highlight w:val="none"/>
                <w14:textFill>
                  <w14:solidFill>
                    <w14:schemeClr w14:val="tx1"/>
                  </w14:solidFill>
                </w14:textFill>
              </w:rPr>
              <w:t>8</w:t>
            </w:r>
            <w:r>
              <w:rPr>
                <w:rFonts w:hint="eastAsia" w:hAnsi="宋体"/>
                <w:color w:val="000000" w:themeColor="text1"/>
                <w:szCs w:val="21"/>
                <w:highlight w:val="none"/>
                <w14:textFill>
                  <w14:solidFill>
                    <w14:schemeClr w14:val="tx1"/>
                  </w14:solidFill>
                </w14:textFill>
              </w:rPr>
              <w:t>分）</w:t>
            </w:r>
          </w:p>
        </w:tc>
        <w:tc>
          <w:tcPr>
            <w:tcW w:w="6835" w:type="dxa"/>
            <w:vAlign w:val="center"/>
          </w:tcPr>
          <w:p>
            <w:pPr>
              <w:pStyle w:val="164"/>
              <w:spacing w:line="380" w:lineRule="exact"/>
              <w:ind w:firstLine="365" w:firstLineChars="174"/>
              <w:jc w:val="left"/>
              <w:rPr>
                <w:color w:val="000000" w:themeColor="text1"/>
                <w:szCs w:val="20"/>
                <w:highlight w:val="none"/>
                <w14:textFill>
                  <w14:solidFill>
                    <w14:schemeClr w14:val="tx1"/>
                  </w14:solidFill>
                </w14:textFill>
              </w:rPr>
            </w:pPr>
            <w:r>
              <w:rPr>
                <w:rFonts w:hint="eastAsia"/>
                <w:color w:val="000000" w:themeColor="text1"/>
                <w:szCs w:val="20"/>
                <w:highlight w:val="none"/>
                <w14:textFill>
                  <w14:solidFill>
                    <w14:schemeClr w14:val="tx1"/>
                  </w14:solidFill>
                </w14:textFill>
              </w:rPr>
              <w:t>由评标委员会在打分前根据投标人提供的以下材料内容描述的完整性、合理性、真实可行性，并能结合现场实际情况及采购人需求等，在相应的分值区间内独立打分。</w:t>
            </w:r>
          </w:p>
          <w:p>
            <w:pPr>
              <w:pStyle w:val="164"/>
              <w:spacing w:line="380" w:lineRule="exact"/>
              <w:jc w:val="left"/>
              <w:rPr>
                <w:color w:val="000000" w:themeColor="text1"/>
                <w:szCs w:val="20"/>
                <w:highlight w:val="none"/>
                <w14:textFill>
                  <w14:solidFill>
                    <w14:schemeClr w14:val="tx1"/>
                  </w14:solidFill>
                </w14:textFill>
              </w:rPr>
            </w:pPr>
            <w:r>
              <w:rPr>
                <w:rFonts w:hint="eastAsia"/>
                <w:color w:val="000000" w:themeColor="text1"/>
                <w:szCs w:val="20"/>
                <w:highlight w:val="none"/>
                <w14:textFill>
                  <w14:solidFill>
                    <w14:schemeClr w14:val="tx1"/>
                  </w14:solidFill>
                </w14:textFill>
              </w:rPr>
              <w:t>（1）投标文件中售后服务承诺书内容的完整性、可行性0.1</w:t>
            </w:r>
            <w:r>
              <w:rPr>
                <w:rFonts w:hint="eastAsia"/>
                <w:color w:val="000000" w:themeColor="text1"/>
                <w:highlight w:val="none"/>
                <w14:textFill>
                  <w14:solidFill>
                    <w14:schemeClr w14:val="tx1"/>
                  </w14:solidFill>
                </w14:textFill>
              </w:rPr>
              <w:t>～</w:t>
            </w:r>
            <w:r>
              <w:rPr>
                <w:rFonts w:hint="eastAsia"/>
                <w:color w:val="000000" w:themeColor="text1"/>
                <w:szCs w:val="20"/>
                <w:highlight w:val="none"/>
                <w14:textFill>
                  <w14:solidFill>
                    <w14:schemeClr w14:val="tx1"/>
                  </w14:solidFill>
                </w14:textFill>
              </w:rPr>
              <w:t>1.0分；</w:t>
            </w:r>
          </w:p>
          <w:p>
            <w:pPr>
              <w:pStyle w:val="164"/>
              <w:spacing w:line="380" w:lineRule="exact"/>
              <w:jc w:val="left"/>
              <w:rPr>
                <w:color w:val="000000" w:themeColor="text1"/>
                <w:szCs w:val="20"/>
                <w:highlight w:val="none"/>
                <w14:textFill>
                  <w14:solidFill>
                    <w14:schemeClr w14:val="tx1"/>
                  </w14:solidFill>
                </w14:textFill>
              </w:rPr>
            </w:pPr>
            <w:r>
              <w:rPr>
                <w:rFonts w:hint="eastAsia"/>
                <w:color w:val="000000" w:themeColor="text1"/>
                <w:szCs w:val="20"/>
                <w:highlight w:val="none"/>
                <w14:textFill>
                  <w14:solidFill>
                    <w14:schemeClr w14:val="tx1"/>
                  </w14:solidFill>
                </w14:textFill>
              </w:rPr>
              <w:t>（2）横向对比故障发生到达现场时间、故障出现解决方案0.1</w:t>
            </w:r>
            <w:r>
              <w:rPr>
                <w:rFonts w:hint="eastAsia"/>
                <w:color w:val="000000" w:themeColor="text1"/>
                <w:highlight w:val="none"/>
                <w14:textFill>
                  <w14:solidFill>
                    <w14:schemeClr w14:val="tx1"/>
                  </w14:solidFill>
                </w14:textFill>
              </w:rPr>
              <w:t>～</w:t>
            </w:r>
            <w:r>
              <w:rPr>
                <w:rFonts w:hint="eastAsia"/>
                <w:color w:val="000000" w:themeColor="text1"/>
                <w:szCs w:val="20"/>
                <w:highlight w:val="none"/>
                <w14:textFill>
                  <w14:solidFill>
                    <w14:schemeClr w14:val="tx1"/>
                  </w14:solidFill>
                </w14:textFill>
              </w:rPr>
              <w:t>1.0分；</w:t>
            </w:r>
          </w:p>
          <w:p>
            <w:pPr>
              <w:pStyle w:val="164"/>
              <w:spacing w:line="380" w:lineRule="exact"/>
              <w:jc w:val="left"/>
              <w:rPr>
                <w:color w:val="000000" w:themeColor="text1"/>
                <w:szCs w:val="20"/>
                <w:highlight w:val="none"/>
                <w14:textFill>
                  <w14:solidFill>
                    <w14:schemeClr w14:val="tx1"/>
                  </w14:solidFill>
                </w14:textFill>
              </w:rPr>
            </w:pPr>
            <w:r>
              <w:rPr>
                <w:rFonts w:hint="eastAsia"/>
                <w:color w:val="000000" w:themeColor="text1"/>
                <w:szCs w:val="20"/>
                <w:highlight w:val="none"/>
                <w14:textFill>
                  <w14:solidFill>
                    <w14:schemeClr w14:val="tx1"/>
                  </w14:solidFill>
                </w14:textFill>
              </w:rPr>
              <w:t>（3）横向对比各投标人的定期维护（注明时间）、定期回访、免费技术培训方案0.1</w:t>
            </w:r>
            <w:r>
              <w:rPr>
                <w:rFonts w:hint="eastAsia"/>
                <w:color w:val="000000" w:themeColor="text1"/>
                <w:highlight w:val="none"/>
                <w14:textFill>
                  <w14:solidFill>
                    <w14:schemeClr w14:val="tx1"/>
                  </w14:solidFill>
                </w14:textFill>
              </w:rPr>
              <w:t>～</w:t>
            </w:r>
            <w:r>
              <w:rPr>
                <w:rFonts w:hint="eastAsia"/>
                <w:color w:val="000000" w:themeColor="text1"/>
                <w:szCs w:val="20"/>
                <w:highlight w:val="none"/>
                <w14:textFill>
                  <w14:solidFill>
                    <w14:schemeClr w14:val="tx1"/>
                  </w14:solidFill>
                </w14:textFill>
              </w:rPr>
              <w:t>2.0分；</w:t>
            </w:r>
          </w:p>
          <w:p>
            <w:pPr>
              <w:pStyle w:val="164"/>
              <w:spacing w:line="380" w:lineRule="exact"/>
              <w:jc w:val="left"/>
              <w:rPr>
                <w:color w:val="000000" w:themeColor="text1"/>
                <w:szCs w:val="20"/>
                <w:highlight w:val="none"/>
                <w14:textFill>
                  <w14:solidFill>
                    <w14:schemeClr w14:val="tx1"/>
                  </w14:solidFill>
                </w14:textFill>
              </w:rPr>
            </w:pPr>
            <w:r>
              <w:rPr>
                <w:rFonts w:hint="eastAsia"/>
                <w:color w:val="000000" w:themeColor="text1"/>
                <w:szCs w:val="20"/>
                <w:highlight w:val="none"/>
                <w14:textFill>
                  <w14:solidFill>
                    <w14:schemeClr w14:val="tx1"/>
                  </w14:solidFill>
                </w14:textFill>
              </w:rPr>
              <w:t>（4）保修期外维修方案0.1</w:t>
            </w:r>
            <w:r>
              <w:rPr>
                <w:rFonts w:hint="eastAsia"/>
                <w:color w:val="000000" w:themeColor="text1"/>
                <w:highlight w:val="none"/>
                <w14:textFill>
                  <w14:solidFill>
                    <w14:schemeClr w14:val="tx1"/>
                  </w14:solidFill>
                </w14:textFill>
              </w:rPr>
              <w:t>～</w:t>
            </w:r>
            <w:r>
              <w:rPr>
                <w:rFonts w:hint="eastAsia"/>
                <w:color w:val="000000" w:themeColor="text1"/>
                <w:szCs w:val="20"/>
                <w:highlight w:val="none"/>
                <w14:textFill>
                  <w14:solidFill>
                    <w14:schemeClr w14:val="tx1"/>
                  </w14:solidFill>
                </w14:textFill>
              </w:rPr>
              <w:t>2.0分；</w:t>
            </w:r>
          </w:p>
          <w:p>
            <w:pPr>
              <w:pStyle w:val="20"/>
              <w:spacing w:line="380" w:lineRule="exact"/>
              <w:rPr>
                <w:rFonts w:hAnsi="宋体" w:cs="宋体"/>
                <w:color w:val="000000" w:themeColor="text1"/>
                <w:kern w:val="0"/>
                <w:highlight w:val="none"/>
                <w14:textFill>
                  <w14:solidFill>
                    <w14:schemeClr w14:val="tx1"/>
                  </w14:solidFill>
                </w14:textFill>
              </w:rPr>
            </w:pPr>
            <w:r>
              <w:rPr>
                <w:rFonts w:hint="eastAsia"/>
                <w:color w:val="000000" w:themeColor="text1"/>
                <w:highlight w:val="none"/>
                <w14:textFill>
                  <w14:solidFill>
                    <w14:schemeClr w14:val="tx1"/>
                  </w14:solidFill>
                </w14:textFill>
              </w:rPr>
              <w:t>（5）其他优惠措施、投标核心产品厂家在项目所在地（梧州市）有厂家授权售后服务网点，提供厂家授权售后服务网点营业执照复印件、厂家授权售后服务网点的厂家授权证明及厂家授权售后服务网点在生产厂家官网的截图（需与营业执照公司名、地址一致）作为证明材料，且售后网点可进行实地核查的0.1</w:t>
            </w:r>
            <w:r>
              <w:rPr>
                <w:rFonts w:hint="eastAsia" w:hAnsi="宋体"/>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23" w:type="dxa"/>
            <w:vMerge w:val="continue"/>
            <w:vAlign w:val="center"/>
          </w:tcPr>
          <w:p>
            <w:pPr>
              <w:spacing w:line="440" w:lineRule="exact"/>
              <w:rPr>
                <w:rFonts w:hAnsi="宋体"/>
                <w:bCs/>
                <w:color w:val="000000" w:themeColor="text1"/>
                <w:szCs w:val="21"/>
                <w:highlight w:val="none"/>
                <w14:textFill>
                  <w14:solidFill>
                    <w14:schemeClr w14:val="tx1"/>
                  </w14:solidFill>
                </w14:textFill>
              </w:rPr>
            </w:pPr>
          </w:p>
        </w:tc>
        <w:tc>
          <w:tcPr>
            <w:tcW w:w="1306" w:type="dxa"/>
            <w:vAlign w:val="center"/>
          </w:tcPr>
          <w:p>
            <w:pPr>
              <w:spacing w:line="380" w:lineRule="exact"/>
              <w:jc w:val="center"/>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项目实施方案分（</w:t>
            </w:r>
            <w:r>
              <w:rPr>
                <w:rFonts w:hAnsi="宋体"/>
                <w:bCs/>
                <w:color w:val="000000" w:themeColor="text1"/>
                <w:szCs w:val="21"/>
                <w:highlight w:val="none"/>
                <w14:textFill>
                  <w14:solidFill>
                    <w14:schemeClr w14:val="tx1"/>
                  </w14:solidFill>
                </w14:textFill>
              </w:rPr>
              <w:t>15</w:t>
            </w:r>
            <w:r>
              <w:rPr>
                <w:rFonts w:hint="eastAsia" w:hAnsi="宋体"/>
                <w:bCs/>
                <w:color w:val="000000" w:themeColor="text1"/>
                <w:szCs w:val="21"/>
                <w:highlight w:val="none"/>
                <w14:textFill>
                  <w14:solidFill>
                    <w14:schemeClr w14:val="tx1"/>
                  </w14:solidFill>
                </w14:textFill>
              </w:rPr>
              <w:t>分）</w:t>
            </w:r>
          </w:p>
        </w:tc>
        <w:tc>
          <w:tcPr>
            <w:tcW w:w="6835" w:type="dxa"/>
            <w:vAlign w:val="center"/>
          </w:tcPr>
          <w:p>
            <w:pPr>
              <w:pStyle w:val="20"/>
              <w:spacing w:line="38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由评标委员会横向比较投标人编制的项目实施方案内容，集体讨论确定其所属档次后各在相应档次内评分，某投标人该评审项得分为各为评标委员会给分之和的算术平均值。</w:t>
            </w:r>
          </w:p>
          <w:p>
            <w:pPr>
              <w:pStyle w:val="20"/>
              <w:spacing w:line="38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一档（0.1～</w:t>
            </w:r>
            <w:r>
              <w:rPr>
                <w:rFonts w:hAnsi="宋体"/>
                <w:color w:val="000000" w:themeColor="text1"/>
                <w:highlight w:val="none"/>
                <w14:textFill>
                  <w14:solidFill>
                    <w14:schemeClr w14:val="tx1"/>
                  </w14:solidFill>
                </w14:textFill>
              </w:rPr>
              <w:t>5</w:t>
            </w:r>
            <w:r>
              <w:rPr>
                <w:rFonts w:hint="eastAsia" w:hAnsi="宋体"/>
                <w:color w:val="000000" w:themeColor="text1"/>
                <w:highlight w:val="none"/>
                <w14:textFill>
                  <w14:solidFill>
                    <w14:schemeClr w14:val="tx1"/>
                  </w14:solidFill>
                </w14:textFill>
              </w:rPr>
              <w:t>分）：投标人的项目实施方案进度安排、相关保障措施能力、对各项关键工作安排、对本项目的风险预见、风险应对措施、项目管理方案、组织机构安排及分工与职责安排等描述单一，各投标人横向比对无优势。</w:t>
            </w:r>
          </w:p>
          <w:p>
            <w:pPr>
              <w:pStyle w:val="20"/>
              <w:spacing w:line="380" w:lineRule="exact"/>
              <w:ind w:firstLine="42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二档（</w:t>
            </w:r>
            <w:r>
              <w:rPr>
                <w:rFonts w:hAnsi="宋体"/>
                <w:color w:val="000000" w:themeColor="text1"/>
                <w:highlight w:val="none"/>
                <w14:textFill>
                  <w14:solidFill>
                    <w14:schemeClr w14:val="tx1"/>
                  </w14:solidFill>
                </w14:textFill>
              </w:rPr>
              <w:t>5</w:t>
            </w:r>
            <w:r>
              <w:rPr>
                <w:rFonts w:hint="eastAsia" w:hAnsi="宋体"/>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10</w:t>
            </w:r>
            <w:r>
              <w:rPr>
                <w:rFonts w:hint="eastAsia" w:hAnsi="宋体"/>
                <w:color w:val="000000" w:themeColor="text1"/>
                <w:highlight w:val="none"/>
                <w14:textFill>
                  <w14:solidFill>
                    <w14:schemeClr w14:val="tx1"/>
                  </w14:solidFill>
                </w14:textFill>
              </w:rPr>
              <w:t>分）：投标人的项目实施方案进度安排合理较好，且有相关保障措施；对各项关键工作安排较合理；对本项目的风险预见、风险应对措施较好；项目管理方案比较完整,组织机构比较合理，人员有保障，分工与职责比较明确。在与其他投标人的横向比对中较为优秀。</w:t>
            </w:r>
          </w:p>
          <w:p>
            <w:pPr>
              <w:pStyle w:val="20"/>
              <w:spacing w:line="380" w:lineRule="exact"/>
              <w:ind w:firstLine="420" w:firstLineChars="200"/>
              <w:jc w:val="lef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三档（</w:t>
            </w:r>
            <w:r>
              <w:rPr>
                <w:rFonts w:hAnsi="宋体"/>
                <w:color w:val="000000" w:themeColor="text1"/>
                <w:highlight w:val="none"/>
                <w14:textFill>
                  <w14:solidFill>
                    <w14:schemeClr w14:val="tx1"/>
                  </w14:solidFill>
                </w14:textFill>
              </w:rPr>
              <w:t>10</w:t>
            </w:r>
            <w:r>
              <w:rPr>
                <w:rFonts w:hint="eastAsia" w:hAnsi="宋体"/>
                <w:color w:val="000000" w:themeColor="text1"/>
                <w:highlight w:val="none"/>
                <w14:textFill>
                  <w14:solidFill>
                    <w14:schemeClr w14:val="tx1"/>
                  </w14:solidFill>
                </w14:textFill>
              </w:rPr>
              <w:t>.1～1</w:t>
            </w:r>
            <w:r>
              <w:rPr>
                <w:rFonts w:hAnsi="宋体"/>
                <w:color w:val="000000" w:themeColor="text1"/>
                <w:highlight w:val="none"/>
                <w14:textFill>
                  <w14:solidFill>
                    <w14:schemeClr w14:val="tx1"/>
                  </w14:solidFill>
                </w14:textFill>
              </w:rPr>
              <w:t>5</w:t>
            </w:r>
            <w:r>
              <w:rPr>
                <w:rFonts w:hint="eastAsia" w:hAnsi="宋体"/>
                <w:color w:val="000000" w:themeColor="text1"/>
                <w:highlight w:val="none"/>
                <w14:textFill>
                  <w14:solidFill>
                    <w14:schemeClr w14:val="tx1"/>
                  </w14:solidFill>
                </w14:textFill>
              </w:rPr>
              <w:t>分）：投标人的项目实施方案进度安排合理，且相关保障措施到位；对各项关键工作安排合理；对本项目的风险预见、风险应对措施完备，有完善的项目于解决方案；项目管理方案完整,组织机构合理，人员有保障，分工与职责明确；提出具有建设性的方案优化建议，项目方案贴近本项目实际执行内容与要求，横向比对中最为详细、贴切且完整。</w:t>
            </w:r>
          </w:p>
        </w:tc>
      </w:tr>
    </w:tbl>
    <w:p>
      <w:pPr>
        <w:pStyle w:val="20"/>
        <w:spacing w:before="66" w:beforeLines="20" w:line="0" w:lineRule="atLeast"/>
        <w:rPr>
          <w:rFonts w:hAnsi="宋体" w:cs="宋体"/>
          <w:b/>
          <w:bCs/>
          <w:color w:val="000000" w:themeColor="text1"/>
          <w:sz w:val="28"/>
          <w:szCs w:val="28"/>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三、中标标准及中标候选人推荐原则：</w:t>
      </w:r>
    </w:p>
    <w:p>
      <w:pPr>
        <w:spacing w:before="33" w:beforeLines="10" w:line="0" w:lineRule="atLeast"/>
        <w:ind w:left="1050" w:leftChars="200" w:hanging="630" w:hangingChars="30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（一）评标委员会根据评审结果按评审后得分由高到低顺序排列推荐3名中标候选人。得分相同的，按投标报价由低到高顺序排列；得分且投标报价相同的</w:t>
      </w:r>
      <w:r>
        <w:rPr>
          <w:rFonts w:hint="eastAsia" w:ascii="宋体" w:hAnsi="宋体" w:cs="宋体"/>
          <w:color w:val="000000" w:themeColor="text1"/>
          <w:highlight w:val="none"/>
          <w14:textFill>
            <w14:solidFill>
              <w14:schemeClr w14:val="tx1"/>
            </w14:solidFill>
          </w14:textFill>
        </w:rPr>
        <w:t>按技术分高、商务高分顺序排列。投标文件满足招标文件全部实质性要求，且按照评审因素的量化指标评审得分最高的投标人为排名第一的中标候选人。</w:t>
      </w:r>
      <w:r>
        <w:rPr>
          <w:rFonts w:hint="eastAsia" w:ascii="宋体" w:hAnsi="宋体" w:cs="宋体"/>
          <w:color w:val="000000" w:themeColor="text1"/>
          <w:szCs w:val="21"/>
          <w:highlight w:val="none"/>
          <w14:textFill>
            <w14:solidFill>
              <w14:schemeClr w14:val="tx1"/>
            </w14:solidFill>
          </w14:textFill>
        </w:rPr>
        <w:t>中标候选人并列的，由采购人采取随机抽取的方式确定中标人。</w:t>
      </w:r>
    </w:p>
    <w:p>
      <w:pPr>
        <w:spacing w:before="33" w:beforeLines="10" w:line="0" w:lineRule="atLeast"/>
        <w:ind w:left="1050" w:leftChars="200" w:hanging="630" w:hanging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的方式确定，其他同品牌投标人不作为中标候选人。多家投标人提供的核心产品品牌相同的，按以上规定处理。</w:t>
      </w:r>
    </w:p>
    <w:p>
      <w:pPr>
        <w:spacing w:before="33" w:beforeLines="10" w:line="0" w:lineRule="atLeast"/>
        <w:ind w:left="1050" w:leftChars="200" w:hanging="630" w:hanging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采购单位应当确定评标委员会推荐排名第一的中标候选投标人为中标人。排名第一的中标候选投标人放弃中标、因不可抗力提出不能履行合同，或者招标文件规定应当提交履约保证金而在规定的期限内未能提交的，采购单位可以确定排名第二的中标候选投标人为中标人。排名第二的中标候选投标人因前款规定的同样原因不能签订合同的，采购单位可以确定排名第三的中标候选投标人为中标人。</w:t>
      </w:r>
    </w:p>
    <w:p>
      <w:pPr>
        <w:tabs>
          <w:tab w:val="left" w:pos="2512"/>
        </w:tabs>
        <w:spacing w:line="0" w:lineRule="atLeas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20"/>
        <w:spacing w:line="400" w:lineRule="exact"/>
        <w:ind w:left="6"/>
        <w:rPr>
          <w:rFonts w:hAnsi="宋体" w:cs="宋体"/>
          <w:b/>
          <w:bCs/>
          <w:color w:val="000000" w:themeColor="text1"/>
          <w:highlight w:val="none"/>
          <w14:textFill>
            <w14:solidFill>
              <w14:schemeClr w14:val="tx1"/>
            </w14:solidFill>
          </w14:textFill>
        </w:rPr>
      </w:pPr>
    </w:p>
    <w:p>
      <w:pPr>
        <w:pStyle w:val="20"/>
        <w:spacing w:line="400" w:lineRule="exact"/>
        <w:ind w:left="6"/>
        <w:rPr>
          <w:rFonts w:hAnsi="宋体" w:cs="宋体"/>
          <w:b/>
          <w:bCs/>
          <w:color w:val="000000" w:themeColor="text1"/>
          <w:highlight w:val="none"/>
          <w14:textFill>
            <w14:solidFill>
              <w14:schemeClr w14:val="tx1"/>
            </w14:solidFill>
          </w14:textFill>
        </w:rPr>
      </w:pPr>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244" w:name="_Toc185703009"/>
      <w:bookmarkStart w:id="245" w:name="_Toc200308967"/>
      <w:bookmarkStart w:id="246" w:name="_Toc199780486"/>
      <w:bookmarkStart w:id="247" w:name="_Toc147248435"/>
      <w:bookmarkStart w:id="248" w:name="_Toc230949374"/>
      <w:bookmarkStart w:id="249" w:name="_Toc185702587"/>
      <w:bookmarkStart w:id="250" w:name="_Toc405943014"/>
      <w:bookmarkStart w:id="251" w:name="_Toc469874204"/>
      <w:bookmarkStart w:id="252" w:name="_Toc230929135"/>
      <w:bookmarkStart w:id="253" w:name="_Toc395066556"/>
      <w:bookmarkStart w:id="254" w:name="_Toc469842112"/>
      <w:bookmarkStart w:id="255" w:name="_Toc156106970"/>
      <w:bookmarkStart w:id="256" w:name="_Toc7607"/>
      <w:bookmarkStart w:id="257" w:name="_Toc200268364"/>
      <w:r>
        <w:rPr>
          <w:rFonts w:hint="eastAsia" w:ascii="宋体" w:hAnsi="宋体" w:cs="宋体"/>
          <w:bCs/>
          <w:color w:val="000000" w:themeColor="text1"/>
          <w:sz w:val="44"/>
          <w:highlight w:val="none"/>
          <w14:textFill>
            <w14:solidFill>
              <w14:schemeClr w14:val="tx1"/>
            </w14:solidFill>
          </w14:textFill>
        </w:rPr>
        <w:t>第五章  政府采购合同（格式）</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20"/>
        <w:spacing w:line="400" w:lineRule="exact"/>
        <w:ind w:firstLine="4" w:firstLineChars="2"/>
        <w:rPr>
          <w:rFonts w:hAnsi="宋体" w:cs="宋体"/>
          <w:b/>
          <w:bCs/>
          <w:color w:val="000000" w:themeColor="text1"/>
          <w:highlight w:val="none"/>
          <w14:textFill>
            <w14:solidFill>
              <w14:schemeClr w14:val="tx1"/>
            </w14:solidFill>
          </w14:textFill>
        </w:rPr>
      </w:pPr>
    </w:p>
    <w:p>
      <w:pPr>
        <w:pStyle w:val="20"/>
        <w:spacing w:line="400" w:lineRule="exact"/>
        <w:ind w:firstLine="4" w:firstLineChars="2"/>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cr/>
      </w:r>
      <w:r>
        <w:rPr>
          <w:rFonts w:hint="eastAsia" w:hAnsi="宋体" w:cs="宋体"/>
          <w:b/>
          <w:bCs/>
          <w:color w:val="000000" w:themeColor="text1"/>
          <w:szCs w:val="21"/>
          <w:highlight w:val="none"/>
          <w14:textFill>
            <w14:solidFill>
              <w14:schemeClr w14:val="tx1"/>
            </w14:solidFill>
          </w14:textFill>
        </w:rPr>
        <w:t>（注：本合同样本仅供参考，具体内容由采购人和中标人协商确定，但补充和修改不得造成与本章格式内容有实质性的违背。）</w:t>
      </w:r>
    </w:p>
    <w:p>
      <w:pPr>
        <w:pStyle w:val="20"/>
        <w:spacing w:line="300" w:lineRule="exact"/>
        <w:ind w:firstLine="420"/>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cr/>
      </w:r>
      <w:r>
        <w:rPr>
          <w:rFonts w:hint="eastAsia" w:hAnsi="宋体" w:cs="宋体"/>
          <w:b/>
          <w:bCs/>
          <w:color w:val="000000" w:themeColor="text1"/>
          <w:highlight w:val="none"/>
          <w14:textFill>
            <w14:solidFill>
              <w14:schemeClr w14:val="tx1"/>
            </w14:solidFill>
          </w14:textFill>
        </w:rPr>
        <w:cr/>
      </w:r>
      <w:r>
        <w:rPr>
          <w:rFonts w:hint="eastAsia" w:hAnsi="宋体" w:cs="宋体"/>
          <w:b/>
          <w:bCs/>
          <w:color w:val="000000" w:themeColor="text1"/>
          <w:highlight w:val="none"/>
          <w14:textFill>
            <w14:solidFill>
              <w14:schemeClr w14:val="tx1"/>
            </w14:solidFill>
          </w14:textFill>
        </w:rPr>
        <w:cr/>
      </w: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ind w:firstLine="420"/>
        <w:rPr>
          <w:rFonts w:hAnsi="宋体" w:cs="宋体"/>
          <w:b/>
          <w:bCs/>
          <w:color w:val="000000" w:themeColor="text1"/>
          <w:highlight w:val="none"/>
          <w14:textFill>
            <w14:solidFill>
              <w14:schemeClr w14:val="tx1"/>
            </w14:solidFill>
          </w14:textFill>
        </w:rPr>
      </w:pPr>
    </w:p>
    <w:p>
      <w:pPr>
        <w:pStyle w:val="20"/>
        <w:spacing w:line="300" w:lineRule="exact"/>
        <w:rPr>
          <w:rFonts w:hAnsi="宋体" w:cs="宋体"/>
          <w:color w:val="000000" w:themeColor="text1"/>
          <w:sz w:val="52"/>
          <w:szCs w:val="52"/>
          <w:highlight w:val="none"/>
          <w14:textFill>
            <w14:solidFill>
              <w14:schemeClr w14:val="tx1"/>
            </w14:solidFill>
          </w14:textFill>
        </w:rPr>
      </w:pPr>
      <w:bookmarkStart w:id="258" w:name="_Toc30093"/>
    </w:p>
    <w:bookmarkEnd w:id="258"/>
    <w:p>
      <w:pPr>
        <w:snapToGrid w:val="0"/>
        <w:spacing w:before="120" w:after="120" w:line="320" w:lineRule="exact"/>
        <w:ind w:firstLine="2880" w:firstLineChars="900"/>
        <w:outlineLvl w:val="0"/>
        <w:rPr>
          <w:rFonts w:ascii="宋体" w:hAnsi="宋体" w:cs="宋体"/>
          <w:color w:val="000000" w:themeColor="text1"/>
          <w:sz w:val="32"/>
          <w:szCs w:val="32"/>
          <w:highlight w:val="none"/>
          <w14:textFill>
            <w14:solidFill>
              <w14:schemeClr w14:val="tx1"/>
            </w14:solidFill>
          </w14:textFill>
        </w:rPr>
      </w:pPr>
      <w:bookmarkStart w:id="259" w:name="_Toc26342"/>
      <w:bookmarkStart w:id="260" w:name="_Toc6352"/>
      <w:r>
        <w:rPr>
          <w:rFonts w:hint="eastAsia" w:ascii="宋体" w:hAnsi="宋体" w:cs="宋体"/>
          <w:color w:val="000000" w:themeColor="text1"/>
          <w:sz w:val="32"/>
          <w:szCs w:val="32"/>
          <w:highlight w:val="none"/>
          <w14:textFill>
            <w14:solidFill>
              <w14:schemeClr w14:val="tx1"/>
            </w14:solidFill>
          </w14:textFill>
        </w:rPr>
        <w:t>合同主要条款格式</w:t>
      </w:r>
      <w:bookmarkEnd w:id="259"/>
      <w:bookmarkEnd w:id="260"/>
    </w:p>
    <w:p>
      <w:pPr>
        <w:spacing w:line="360" w:lineRule="auto"/>
        <w:ind w:right="105"/>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项目编号:</w:t>
      </w:r>
    </w:p>
    <w:p>
      <w:pPr>
        <w:wordWrap w:val="0"/>
        <w:spacing w:line="360" w:lineRule="auto"/>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项目名称：</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合同签订地点： </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合同签订日期：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auto"/>
        <w:rPr>
          <w:rFonts w:ascii="宋体" w:hAnsi="宋体" w:cs="宋体"/>
          <w:color w:val="000000" w:themeColor="text1"/>
          <w:szCs w:val="21"/>
          <w:highlight w:val="none"/>
          <w14:textFill>
            <w14:solidFill>
              <w14:schemeClr w14:val="tx1"/>
            </w14:solidFill>
          </w14:textFill>
        </w:rPr>
      </w:pP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甲方（采购人）：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uto"/>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乙方（中标供应商）：</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日广西众联工程项目管理有限公司签发的（</w:t>
      </w:r>
      <w:r>
        <w:rPr>
          <w:rFonts w:hint="eastAsia" w:ascii="宋体" w:hAnsi="宋体" w:cs="宋体"/>
          <w:color w:val="000000" w:themeColor="text1"/>
          <w:szCs w:val="21"/>
          <w:highlight w:val="none"/>
          <w:u w:val="single"/>
          <w14:textFill>
            <w14:solidFill>
              <w14:schemeClr w14:val="tx1"/>
            </w14:solidFill>
          </w14:textFill>
        </w:rPr>
        <w:t>项目编号及项目名称</w:t>
      </w:r>
      <w:r>
        <w:rPr>
          <w:rFonts w:hint="eastAsia" w:ascii="宋体" w:hAnsi="宋体" w:cs="宋体"/>
          <w:color w:val="000000" w:themeColor="text1"/>
          <w:szCs w:val="21"/>
          <w:highlight w:val="none"/>
          <w14:textFill>
            <w14:solidFill>
              <w14:schemeClr w14:val="tx1"/>
            </w14:solidFill>
          </w14:textFill>
        </w:rPr>
        <w:t>）中标通知书，甲方接受乙方对本项目的投标，甲、乙双方同意签署本合同（以下简称合同），中标通知书、招标文件及补充、投标文件及澄清为本合同不可分割的部分并与本合同具有同等效力。</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  采购内容</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718"/>
        <w:gridCol w:w="2686"/>
        <w:gridCol w:w="186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货物名称</w:t>
            </w:r>
          </w:p>
        </w:tc>
        <w:tc>
          <w:tcPr>
            <w:tcW w:w="1718"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数量（单位）</w:t>
            </w:r>
          </w:p>
        </w:tc>
        <w:tc>
          <w:tcPr>
            <w:tcW w:w="2686"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品牌、厂家、型号、规格</w:t>
            </w:r>
          </w:p>
        </w:tc>
        <w:tc>
          <w:tcPr>
            <w:tcW w:w="1869"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技术参数</w:t>
            </w:r>
          </w:p>
        </w:tc>
        <w:tc>
          <w:tcPr>
            <w:tcW w:w="1636" w:type="dxa"/>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spacing w:line="360" w:lineRule="auto"/>
              <w:ind w:firstLine="480"/>
              <w:jc w:val="center"/>
              <w:rPr>
                <w:rFonts w:ascii="宋体" w:hAnsi="宋体" w:cs="宋体"/>
                <w:color w:val="000000" w:themeColor="text1"/>
                <w:szCs w:val="21"/>
                <w:highlight w:val="none"/>
                <w14:textFill>
                  <w14:solidFill>
                    <w14:schemeClr w14:val="tx1"/>
                  </w14:solidFill>
                </w14:textFill>
              </w:rPr>
            </w:pPr>
          </w:p>
        </w:tc>
        <w:tc>
          <w:tcPr>
            <w:tcW w:w="1718"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2686"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869"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636" w:type="dxa"/>
          </w:tcPr>
          <w:p>
            <w:pPr>
              <w:spacing w:line="360" w:lineRule="auto"/>
              <w:ind w:firstLine="480"/>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spacing w:line="360" w:lineRule="auto"/>
              <w:ind w:firstLine="480"/>
              <w:jc w:val="center"/>
              <w:rPr>
                <w:rFonts w:ascii="宋体" w:hAnsi="宋体" w:cs="宋体"/>
                <w:color w:val="000000" w:themeColor="text1"/>
                <w:szCs w:val="21"/>
                <w:highlight w:val="none"/>
                <w14:textFill>
                  <w14:solidFill>
                    <w14:schemeClr w14:val="tx1"/>
                  </w14:solidFill>
                </w14:textFill>
              </w:rPr>
            </w:pPr>
          </w:p>
        </w:tc>
        <w:tc>
          <w:tcPr>
            <w:tcW w:w="1718"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2686"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869" w:type="dxa"/>
          </w:tcPr>
          <w:p>
            <w:pPr>
              <w:spacing w:line="360" w:lineRule="auto"/>
              <w:rPr>
                <w:rFonts w:ascii="宋体" w:hAnsi="宋体" w:cs="宋体"/>
                <w:color w:val="000000" w:themeColor="text1"/>
                <w:szCs w:val="21"/>
                <w:highlight w:val="none"/>
                <w14:textFill>
                  <w14:solidFill>
                    <w14:schemeClr w14:val="tx1"/>
                  </w14:solidFill>
                </w14:textFill>
              </w:rPr>
            </w:pPr>
          </w:p>
        </w:tc>
        <w:tc>
          <w:tcPr>
            <w:tcW w:w="1636" w:type="dxa"/>
          </w:tcPr>
          <w:p>
            <w:pPr>
              <w:spacing w:line="360" w:lineRule="auto"/>
              <w:ind w:firstLine="480"/>
              <w:rPr>
                <w:rFonts w:ascii="宋体" w:hAnsi="宋体" w:cs="宋体"/>
                <w:color w:val="000000" w:themeColor="text1"/>
                <w:szCs w:val="21"/>
                <w:highlight w:val="none"/>
                <w14:textFill>
                  <w14:solidFill>
                    <w14:schemeClr w14:val="tx1"/>
                  </w14:solidFill>
                </w14:textFill>
              </w:rPr>
            </w:pPr>
          </w:p>
        </w:tc>
      </w:tr>
    </w:tbl>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  合同金额</w:t>
      </w:r>
    </w:p>
    <w:p>
      <w:pPr>
        <w:spacing w:line="360" w:lineRule="auto"/>
        <w:ind w:left="2"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 本合同金额为人民币（大写）：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hint="eastAsia" w:ascii="宋体" w:hAnsi="宋体" w:cs="宋体"/>
          <w:color w:val="000000" w:themeColor="text1"/>
          <w:szCs w:val="21"/>
          <w:highlight w:val="none"/>
          <w:u w:val="single"/>
          <w14:textFill>
            <w14:solidFill>
              <w14:schemeClr w14:val="tx1"/>
            </w14:solidFill>
          </w14:textFill>
        </w:rPr>
        <w:t>　　　　　　</w:t>
      </w:r>
      <w:r>
        <w:rPr>
          <w:rFonts w:hint="eastAsia" w:ascii="宋体" w:hAnsi="宋体" w:cs="宋体"/>
          <w:color w:val="000000" w:themeColor="text1"/>
          <w:szCs w:val="21"/>
          <w:highlight w:val="none"/>
          <w14:textFill>
            <w14:solidFill>
              <w14:schemeClr w14:val="tx1"/>
            </w14:solidFill>
          </w14:textFill>
        </w:rPr>
        <w:t>）。</w:t>
      </w:r>
    </w:p>
    <w:p>
      <w:pPr>
        <w:tabs>
          <w:tab w:val="left" w:pos="5940"/>
        </w:tabs>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  交货要求</w:t>
      </w:r>
    </w:p>
    <w:p>
      <w:pPr>
        <w:tabs>
          <w:tab w:val="left" w:pos="5220"/>
        </w:tabs>
        <w:spacing w:line="360" w:lineRule="auto"/>
        <w:ind w:firstLine="36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 交货期：</w:t>
      </w:r>
      <w:r>
        <w:rPr>
          <w:rFonts w:hint="eastAsia" w:ascii="宋体" w:hAnsi="宋体" w:cs="宋体"/>
          <w:color w:val="000000" w:themeColor="text1"/>
          <w:szCs w:val="21"/>
          <w:highlight w:val="none"/>
          <w14:textFill>
            <w14:solidFill>
              <w14:schemeClr w14:val="tx1"/>
            </w14:solidFill>
          </w14:textFill>
        </w:rPr>
        <w:t>签订合同即日起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日历日内完成安装、调试、培训工作</w:t>
      </w:r>
    </w:p>
    <w:p>
      <w:pPr>
        <w:spacing w:line="360" w:lineRule="auto"/>
        <w:ind w:firstLine="36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3.2 交货地点：</w:t>
      </w:r>
      <w:r>
        <w:rPr>
          <w:rFonts w:hint="eastAsia" w:ascii="宋体" w:hAnsi="宋体" w:cs="宋体"/>
          <w:color w:val="000000" w:themeColor="text1"/>
          <w:szCs w:val="21"/>
          <w:highlight w:val="none"/>
          <w14:textFill>
            <w14:solidFill>
              <w14:schemeClr w14:val="tx1"/>
            </w14:solidFill>
          </w14:textFill>
        </w:rPr>
        <w:t>采购人指定地点（梧州市区）</w:t>
      </w:r>
    </w:p>
    <w:p>
      <w:pPr>
        <w:tabs>
          <w:tab w:val="left" w:pos="5220"/>
          <w:tab w:val="left" w:pos="6120"/>
        </w:tabs>
        <w:spacing w:line="360" w:lineRule="auto"/>
        <w:ind w:firstLine="36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3.3 交货方式：</w:t>
      </w:r>
      <w:r>
        <w:rPr>
          <w:rFonts w:hint="eastAsia" w:ascii="宋体" w:hAnsi="宋体" w:cs="宋体"/>
          <w:color w:val="000000" w:themeColor="text1"/>
          <w:szCs w:val="21"/>
          <w:highlight w:val="none"/>
          <w14:textFill>
            <w14:solidFill>
              <w14:schemeClr w14:val="tx1"/>
            </w14:solidFill>
          </w14:textFill>
        </w:rPr>
        <w:t>现场安装调试</w:t>
      </w:r>
    </w:p>
    <w:p>
      <w:pPr>
        <w:spacing w:line="360" w:lineRule="auto"/>
        <w:ind w:firstLine="360"/>
        <w:rPr>
          <w:rFonts w:ascii="宋体" w:hAnsi="宋体" w:cs="宋体"/>
          <w:b/>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3.4 </w:t>
      </w:r>
      <w:r>
        <w:rPr>
          <w:rFonts w:hint="eastAsia" w:ascii="宋体" w:hAnsi="宋体" w:cs="宋体"/>
          <w:color w:val="000000" w:themeColor="text1"/>
          <w:szCs w:val="21"/>
          <w:highlight w:val="none"/>
          <w14:textFill>
            <w14:solidFill>
              <w14:schemeClr w14:val="tx1"/>
            </w14:solidFill>
          </w14:textFill>
        </w:rPr>
        <w:t>乙方必须按投标文件承诺的技术参数、性能要求、质量标准等向甲方提供全新、完整、未经使用的货物。</w:t>
      </w:r>
    </w:p>
    <w:p>
      <w:pPr>
        <w:spacing w:line="360" w:lineRule="auto"/>
        <w:ind w:left="358" w:hanging="358" w:hangingChars="170"/>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4.  履约保证金</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4.1履约保证金的递交：</w:t>
      </w:r>
      <w:r>
        <w:rPr>
          <w:rFonts w:hint="eastAsia" w:ascii="宋体" w:hAnsi="宋体" w:cs="宋体"/>
          <w:color w:val="000000" w:themeColor="text1"/>
          <w:szCs w:val="21"/>
          <w:highlight w:val="none"/>
          <w:u w:val="single"/>
          <w14:textFill>
            <w14:solidFill>
              <w14:schemeClr w14:val="tx1"/>
            </w14:solidFill>
          </w14:textFill>
        </w:rPr>
        <w:t>合同金额的5%</w:t>
      </w:r>
      <w:r>
        <w:rPr>
          <w:rFonts w:hint="eastAsia" w:ascii="宋体" w:hAnsi="宋体" w:cs="宋体"/>
          <w:color w:val="000000" w:themeColor="text1"/>
          <w:szCs w:val="21"/>
          <w:highlight w:val="none"/>
          <w14:textFill>
            <w14:solidFill>
              <w14:schemeClr w14:val="tx1"/>
            </w14:solidFill>
          </w14:textFill>
        </w:rPr>
        <w:t xml:space="preserve"> 。在收到中标通知书后，</w:t>
      </w:r>
      <w:r>
        <w:rPr>
          <w:rFonts w:hint="eastAsia"/>
          <w:color w:val="000000" w:themeColor="text1"/>
          <w:highlight w:val="none"/>
          <w14:textFill>
            <w14:solidFill>
              <w14:schemeClr w14:val="tx1"/>
            </w14:solidFill>
          </w14:textFill>
        </w:rPr>
        <w:t>中标人</w:t>
      </w:r>
      <w:r>
        <w:rPr>
          <w:color w:val="000000" w:themeColor="text1"/>
          <w:highlight w:val="none"/>
          <w14:textFill>
            <w14:solidFill>
              <w14:schemeClr w14:val="tx1"/>
            </w14:solidFill>
          </w14:textFill>
        </w:rPr>
        <w:t>须在 15 个工作日内</w:t>
      </w:r>
      <w:r>
        <w:rPr>
          <w:rFonts w:hint="eastAsia"/>
          <w:color w:val="000000" w:themeColor="text1"/>
          <w:highlight w:val="none"/>
          <w14:textFill>
            <w14:solidFill>
              <w14:schemeClr w14:val="tx1"/>
            </w14:solidFill>
          </w14:textFill>
        </w:rPr>
        <w:t>联系</w:t>
      </w:r>
      <w:r>
        <w:rPr>
          <w:color w:val="000000" w:themeColor="text1"/>
          <w:highlight w:val="none"/>
          <w14:textFill>
            <w14:solidFill>
              <w14:schemeClr w14:val="tx1"/>
            </w14:solidFill>
          </w14:textFill>
        </w:rPr>
        <w:t>采购人提交履约保证金</w:t>
      </w:r>
      <w:r>
        <w:rPr>
          <w:rFonts w:hint="eastAsia" w:ascii="宋体" w:hAnsi="宋体" w:cs="宋体"/>
          <w:color w:val="000000" w:themeColor="text1"/>
          <w:szCs w:val="21"/>
          <w:highlight w:val="none"/>
          <w14:textFill>
            <w14:solidFill>
              <w14:schemeClr w14:val="tx1"/>
            </w14:solidFill>
          </w14:textFill>
        </w:rPr>
        <w:t>，否则视为其放弃中标资格。</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 履约保证金作为违约金的一部分用于补偿甲方因乙方不能完成其合同义务而蒙受的损失。如中标人不按双方签订的合同规定履约，则对其全部履约保证金不予退还，履约保证金不足以赔偿损失的，按实际损失赔偿。</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4.3 在履约保证金到期退还日期前，若中标人的开户名称、开户银行、帐号有变动的，请以书面形式通知采购代理机构，否则由此产生的后果由中标人自负。</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4.4 自项目验收合格之日起5个工作日内，中标人按第七章附件“政府采购项目履约保证金退付意见书”的要求至采购人财务部办理退还履约保证金手续。采购人或采购代理机构将在收到退还履约保证金申请后5个工作日内无息原额退还，因采购人或采购代理机构原因导致无法及时退还时，每逾期退还一天按履约保证金万分之一支付违约金给中标人，但因中标人自身原因导致无法及时退还的除外。</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5.  质量保证及售后服务</w:t>
      </w:r>
    </w:p>
    <w:p>
      <w:pPr>
        <w:spacing w:line="360" w:lineRule="auto"/>
        <w:ind w:left="2"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 质量保证期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年（自交货验收合格之日起计）。</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5.2 如乙方提供的货物在使用过程中发生质量问题，乙方接到甲方故障通知后应在</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小时内到达甲方指定现场，按国家及行业标准对故障进行及时处理。</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5.3 乙方提供的货物在质量保证期内因货物本身的质量问题发生故障，乙方应负责免费更换。对达不到技术要求者，根据实际情况，经双方协商，可按以下办法处理：</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（1）更换：由乙方承担所发生的全部费用；</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（2）贬值处理：由甲乙双方合议定价；</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（3）退货处理：乙方应退还甲方支付的合同款，同时应承担与该货物相关的直接费用（运输、保险、检验、合同款利息及银行手续费等）。</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5.5 超过质量保证期的货物，乙方提供终生维修、保养服务，维修时只收部件成本费。</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5.6 乙方随时优惠提供备品备件，优惠提供产品更新、改造服务。</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6.  合同款支付</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　付款方式：乙方交货给甲方经验收合格后，乙方先向甲方开出合同总额合法发票。甲方收到发票，向财政部门申请资金，待财政资金划拨到甲方账户后，七个工作日内支付合同总额的95%给乙方，余下5%作为质保金，在验收合格一年后</w:t>
      </w:r>
      <w:r>
        <w:rPr>
          <w:rFonts w:hint="eastAsia" w:ascii="宋体" w:hAnsi="宋体"/>
          <w:color w:val="000000" w:themeColor="text1"/>
          <w:szCs w:val="21"/>
          <w:highlight w:val="none"/>
          <w14:textFill>
            <w14:solidFill>
              <w14:schemeClr w14:val="tx1"/>
            </w14:solidFill>
          </w14:textFill>
        </w:rPr>
        <w:t>付清（无息）。</w:t>
      </w:r>
    </w:p>
    <w:p>
      <w:pPr>
        <w:spacing w:line="360" w:lineRule="auto"/>
        <w:ind w:firstLine="420"/>
        <w:rPr>
          <w:rFonts w:ascii="宋体" w:hAnsi="宋体" w:cs="宋体"/>
          <w:bCs/>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  当采购数量与实际使用数量不一致时，乙方可以在报经梧州市万秀区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w:t>
      </w:r>
    </w:p>
    <w:p>
      <w:pPr>
        <w:spacing w:line="360" w:lineRule="auto"/>
        <w:ind w:firstLine="360"/>
        <w:rPr>
          <w:rFonts w:ascii="宋体" w:hAnsi="宋体" w:cs="宋体"/>
          <w:bCs/>
          <w:color w:val="000000" w:themeColor="text1"/>
          <w:szCs w:val="21"/>
          <w:highlight w:val="none"/>
          <w:u w:val="singl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6.3 政府</w:t>
      </w:r>
      <w:r>
        <w:rPr>
          <w:rFonts w:hint="eastAsia" w:ascii="宋体" w:hAnsi="宋体" w:cs="宋体"/>
          <w:color w:val="000000" w:themeColor="text1"/>
          <w:szCs w:val="21"/>
          <w:highlight w:val="none"/>
          <w14:textFill>
            <w14:solidFill>
              <w14:schemeClr w14:val="tx1"/>
            </w14:solidFill>
          </w14:textFill>
        </w:rPr>
        <w:t>采购过程中</w:t>
      </w:r>
      <w:r>
        <w:rPr>
          <w:rFonts w:hint="eastAsia" w:ascii="宋体" w:hAnsi="宋体" w:cs="宋体"/>
          <w:bCs/>
          <w:color w:val="000000" w:themeColor="text1"/>
          <w:szCs w:val="21"/>
          <w:highlight w:val="none"/>
          <w14:textFill>
            <w14:solidFill>
              <w14:schemeClr w14:val="tx1"/>
            </w14:solidFill>
          </w14:textFill>
        </w:rPr>
        <w:t>，如采购人、供应商或集中采购机构存在违法行为，政府采购监督管理部门可视情况书面通知采购人暂停采购活动，并延期支付合同款。</w:t>
      </w:r>
    </w:p>
    <w:p>
      <w:pPr>
        <w:spacing w:line="360" w:lineRule="auto"/>
        <w:ind w:left="360" w:hanging="361" w:hangingChars="171"/>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7.  产权</w:t>
      </w:r>
    </w:p>
    <w:p>
      <w:pPr>
        <w:spacing w:line="360" w:lineRule="auto"/>
        <w:ind w:left="2" w:firstLine="359" w:firstLineChars="171"/>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 乙方保证所提供的货物或其任何一部分均不会侵犯任何第三方的专利权、商标权或著作权</w:t>
      </w:r>
      <w:r>
        <w:rPr>
          <w:rFonts w:hint="eastAsia" w:ascii="宋体" w:hAnsi="宋体" w:cs="宋体"/>
          <w:bCs/>
          <w:color w:val="000000" w:themeColor="text1"/>
          <w:szCs w:val="21"/>
          <w:highlight w:val="none"/>
          <w14:textFill>
            <w14:solidFill>
              <w14:schemeClr w14:val="tx1"/>
            </w14:solidFill>
          </w14:textFill>
        </w:rPr>
        <w:t>。</w:t>
      </w:r>
    </w:p>
    <w:p>
      <w:pPr>
        <w:spacing w:line="360" w:lineRule="auto"/>
        <w:ind w:left="2" w:firstLine="359" w:firstLineChars="171"/>
        <w:rPr>
          <w:rFonts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spacing w:line="360" w:lineRule="auto"/>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8.  技术资料</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8.1 甲方向乙方提供货物的有关技术资料。</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8.2 乙方应在采购文件规定的时间向甲方提供使用货物的有关技术资料。</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9.  货物包装、发运及运输</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9.1 乙方应在货物发运前对其进行满足运输距离、防潮、防震、防锈和防破损装卸等要求包装，以保证货物安全运达甲方指定地点。</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9.2 使用说明书、质量检验证明书、保修单据、随配附件和工具以及清单一并附于货物内。</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9.3 乙方在货物发运手续办理完毕后24小时内或货到甲方48小时前通知甲方，以准备接货。</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9.4 货物在交付甲方前发生的风险均由乙方负责。</w:t>
      </w:r>
    </w:p>
    <w:p>
      <w:pPr>
        <w:tabs>
          <w:tab w:val="left" w:pos="0"/>
        </w:tabs>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9.5 货物在规定的交付期限内由乙方送达甲方指定的地点视为交付，乙方同时需通知甲方货物已送达。</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10.  调试和验收</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10.1 乙方将货物运达约定的交货地点后，甲方应在五个工作日内对乙方提交的货物依据招标文件、投标文件要求和国家标准或行业标准进行现场初步验收。对外观、说明书符合要求的，给予签收；对不符合要求或有质量问题的货物不予签收，可立即要求退换，乙方不得拒绝和延误。</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 乙方交货前应对产品作出全面检查和对验收文件进行整理，并列出清单，作为甲方收货验收和使用的技术条件依据，检验的结果应随货物交甲方。</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10.3 甲方对乙方提供的货物在使用前进行调试时，乙方需负责安装并培训甲方的使用操作人员，并协助甲方一起调试，直到符合技术要求，甲方才做最终验收。</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10.4 验收时乙方必须在现场，验收完毕后作出验收结果报告。</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10.5 对技术复杂的货物，甲方可请国家认可的专业检测机构参与验收，并由其出具质量检测报告，相关费用由甲方承担。</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11.  违约责任</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11.1 甲方无正当理由拒收货物的，甲方向乙方偿付拒收合同款总值的百分之五违约金。</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 甲方无故逾期验收或办理合同款支付手续的，甲方应按逾期付款总额每日万分之五向乙方支付违约金。</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11.3 乙方逾期交付货物的，乙方应按逾期交货总额每日万分之五向甲方支付违约金，由甲方从待付合同款中扣除。乙方逾期超过本合同约定交货日期十个工作日以上不能交货的，甲方可解除本合同。乙方因逾期交货十个工作日以上或因其他违约行为导致甲方解除合同的，乙方应向甲方支付合同款总值百分之五的违约金，如造成甲方损失超过违约金的，超出部分由乙方继续承担赔偿责任。</w:t>
      </w:r>
    </w:p>
    <w:p>
      <w:pPr>
        <w:spacing w:line="360" w:lineRule="auto"/>
        <w:ind w:left="2"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12.  不可抗力事件处理</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 在合同有效期内，任何一方因不可抗力事件导致不能履行合同，则合同履行期可延长，其延长期与不可抗力影响期相同。</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12.2 不可抗力事件发生后，应立即通知对方，并寄送有关权威机构出具的证明。</w:t>
      </w:r>
    </w:p>
    <w:p>
      <w:pPr>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12.3 不可抗力事件延续120天以上，双方应通过友好协商，确定是否继续履行合同。</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13.  诉讼</w:t>
      </w:r>
    </w:p>
    <w:p>
      <w:pPr>
        <w:tabs>
          <w:tab w:val="left" w:pos="0"/>
        </w:tabs>
        <w:spacing w:line="360" w:lineRule="auto"/>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 双方在执行合同中所发生的一切争议，应通过协商解决。如协商不成，可向合同签订地法院起诉，合同签订地在此约定为广西梧州市。</w:t>
      </w:r>
    </w:p>
    <w:p>
      <w:pPr>
        <w:spacing w:line="360" w:lineRule="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14.  合同生效及其它</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14.1 合同经双方法定代表人或授权委托代理人签字并加盖单位公章后生效。</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14.2 本合同未尽事宜，遵照《中华人民共和国合同法》有关条文执行。</w:t>
      </w:r>
    </w:p>
    <w:p>
      <w:pPr>
        <w:spacing w:line="360" w:lineRule="auto"/>
        <w:ind w:firstLine="36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14.3 本合同正本一式肆份，具有同等法律效力，甲乙双方各执一份；采购代理机构执一份，政府采购监督管理部门一份，采购人自合同签订之日起七个工作日内报政府采购监督管理部门备案。</w:t>
      </w:r>
    </w:p>
    <w:p>
      <w:pPr>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乙方：</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地址：</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法定代表人：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委托代理人：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电话：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传真：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传真：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开户银行：</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开户名称：</w:t>
      </w:r>
      <w:r>
        <w:rPr>
          <w:rFonts w:hint="eastAsia" w:ascii="宋体" w:hAnsi="宋体" w:cs="宋体"/>
          <w:color w:val="000000" w:themeColor="text1"/>
          <w:szCs w:val="21"/>
          <w:highlight w:val="none"/>
          <w:u w:val="single"/>
          <w14:textFill>
            <w14:solidFill>
              <w14:schemeClr w14:val="tx1"/>
            </w14:solidFill>
          </w14:textFill>
        </w:rPr>
        <w:t xml:space="preserve">                                </w:t>
      </w:r>
    </w:p>
    <w:p>
      <w:pPr>
        <w:snapToGrid w:val="0"/>
        <w:spacing w:line="360" w:lineRule="auto"/>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银行账号：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z w:val="28"/>
          <w:szCs w:val="28"/>
          <w:highlight w:val="none"/>
          <w14:textFill>
            <w14:solidFill>
              <w14:schemeClr w14:val="tx1"/>
            </w14:solidFill>
          </w14:textFill>
        </w:rPr>
        <w:t>合 同 附 件</w:t>
      </w:r>
    </w:p>
    <w:tbl>
      <w:tblPr>
        <w:tblStyle w:val="40"/>
        <w:tblW w:w="0" w:type="auto"/>
        <w:tblInd w:w="0" w:type="dxa"/>
        <w:tblLayout w:type="fixed"/>
        <w:tblCellMar>
          <w:top w:w="0" w:type="dxa"/>
          <w:left w:w="108" w:type="dxa"/>
          <w:bottom w:w="0" w:type="dxa"/>
          <w:right w:w="108" w:type="dxa"/>
        </w:tblCellMar>
      </w:tblPr>
      <w:tblGrid>
        <w:gridCol w:w="4799"/>
        <w:gridCol w:w="4829"/>
      </w:tblGrid>
      <w:tr>
        <w:tblPrEx>
          <w:tblCellMar>
            <w:top w:w="0" w:type="dxa"/>
            <w:left w:w="108" w:type="dxa"/>
            <w:bottom w:w="0" w:type="dxa"/>
            <w:right w:w="108" w:type="dxa"/>
          </w:tblCellMar>
        </w:tblPrEx>
        <w:trPr>
          <w:trHeight w:val="1226" w:hRule="atLeast"/>
        </w:trPr>
        <w:tc>
          <w:tcPr>
            <w:tcW w:w="9628" w:type="dxa"/>
            <w:gridSpan w:val="2"/>
            <w:tcBorders>
              <w:top w:val="single" w:color="auto" w:sz="4" w:space="0"/>
              <w:left w:val="single" w:color="auto" w:sz="4" w:space="0"/>
              <w:right w:val="single" w:color="auto" w:sz="4" w:space="0"/>
            </w:tcBorders>
          </w:tcPr>
          <w:p>
            <w:pPr>
              <w:snapToGrid w:val="0"/>
              <w:spacing w:line="360" w:lineRule="auto"/>
              <w:ind w:firstLine="211"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1.供应商承诺具体事项：</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1360" w:hRule="atLeast"/>
        </w:trPr>
        <w:tc>
          <w:tcPr>
            <w:tcW w:w="9628" w:type="dxa"/>
            <w:gridSpan w:val="2"/>
            <w:tcBorders>
              <w:top w:val="single" w:color="auto" w:sz="4" w:space="0"/>
              <w:left w:val="single" w:color="auto" w:sz="4" w:space="0"/>
              <w:right w:val="single" w:color="auto" w:sz="4" w:space="0"/>
            </w:tcBorders>
          </w:tcPr>
          <w:p>
            <w:pPr>
              <w:snapToGrid w:val="0"/>
              <w:spacing w:line="360" w:lineRule="auto"/>
              <w:ind w:firstLine="211" w:firstLineChars="1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2.其他具体事项：</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1703" w:hRule="atLeast"/>
        </w:trPr>
        <w:tc>
          <w:tcPr>
            <w:tcW w:w="47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甲方（公章）</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年   月   日 </w:t>
            </w:r>
          </w:p>
        </w:tc>
        <w:tc>
          <w:tcPr>
            <w:tcW w:w="48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乙方（公章）</w:t>
            </w: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p>
          <w:p>
            <w:pPr>
              <w:snapToGrid w:val="0"/>
              <w:spacing w:line="360" w:lineRule="auto"/>
              <w:rPr>
                <w:rFonts w:ascii="宋体" w:hAnsi="宋体" w:cs="宋体"/>
                <w:b/>
                <w:color w:val="000000" w:themeColor="text1"/>
                <w:szCs w:val="21"/>
                <w:highlight w:val="none"/>
                <w14:textFill>
                  <w14:solidFill>
                    <w14:schemeClr w14:val="tx1"/>
                  </w14:solidFill>
                </w14:textFill>
              </w:rPr>
            </w:pPr>
          </w:p>
          <w:p>
            <w:pPr>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年   月   日</w:t>
            </w:r>
          </w:p>
        </w:tc>
      </w:tr>
    </w:tbl>
    <w:p>
      <w:pPr>
        <w:snapToGrid w:val="0"/>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注：售后服务事项填不下时可另加附页</w:t>
      </w:r>
    </w:p>
    <w:p>
      <w:pPr>
        <w:snapToGrid w:val="0"/>
        <w:spacing w:line="400" w:lineRule="exact"/>
        <w:rPr>
          <w:rFonts w:ascii="宋体" w:hAnsi="宋体" w:cs="宋体"/>
          <w:b/>
          <w:bCs/>
          <w:color w:val="000000" w:themeColor="text1"/>
          <w:highlight w:val="none"/>
          <w14:textFill>
            <w14:solidFill>
              <w14:schemeClr w14:val="tx1"/>
            </w14:solidFill>
          </w14:textFill>
        </w:rPr>
      </w:pPr>
    </w:p>
    <w:p>
      <w:pPr>
        <w:snapToGrid w:val="0"/>
        <w:rPr>
          <w:rFonts w:ascii="宋体" w:hAnsi="宋体" w:cs="宋体"/>
          <w:color w:val="000000" w:themeColor="text1"/>
          <w:highlight w:val="none"/>
          <w14:textFill>
            <w14:solidFill>
              <w14:schemeClr w14:val="tx1"/>
            </w14:solidFill>
          </w14:textFill>
        </w:rPr>
      </w:pPr>
    </w:p>
    <w:p>
      <w:pPr>
        <w:pStyle w:val="36"/>
        <w:ind w:firstLine="482"/>
        <w:rPr>
          <w:rFonts w:ascii="宋体" w:hAnsi="宋体" w:eastAsia="宋体" w:cs="宋体"/>
          <w:color w:val="000000" w:themeColor="text1"/>
          <w:highlight w:val="none"/>
          <w:lang w:eastAsia="zh-CN"/>
          <w14:textFill>
            <w14:solidFill>
              <w14:schemeClr w14:val="tx1"/>
            </w14:solidFill>
          </w14:textFill>
        </w:rPr>
      </w:pPr>
    </w:p>
    <w:p>
      <w:pPr>
        <w:snapToGrid w:val="0"/>
        <w:ind w:left="420" w:hanging="420" w:hangingChars="200"/>
        <w:rPr>
          <w:rFonts w:ascii="宋体" w:hAnsi="宋体" w:cs="宋体"/>
          <w:color w:val="000000" w:themeColor="text1"/>
          <w:szCs w:val="21"/>
          <w:highlight w:val="none"/>
          <w14:textFill>
            <w14:solidFill>
              <w14:schemeClr w14:val="tx1"/>
            </w14:solidFill>
          </w14:textFill>
        </w:rPr>
      </w:pPr>
    </w:p>
    <w:p>
      <w:pPr>
        <w:snapToGrid w:val="0"/>
        <w:spacing w:line="360" w:lineRule="auto"/>
        <w:jc w:val="center"/>
        <w:rPr>
          <w:rFonts w:ascii="宋体" w:hAnsi="宋体" w:cs="宋体"/>
          <w:b/>
          <w:color w:val="000000" w:themeColor="text1"/>
          <w:sz w:val="28"/>
          <w:szCs w:val="28"/>
          <w:highlight w:val="none"/>
          <w14:textFill>
            <w14:solidFill>
              <w14:schemeClr w14:val="tx1"/>
            </w14:solidFill>
          </w14:textFill>
        </w:rPr>
      </w:pPr>
    </w:p>
    <w:p>
      <w:pPr>
        <w:pStyle w:val="20"/>
        <w:spacing w:line="370" w:lineRule="exact"/>
        <w:rPr>
          <w:rFonts w:hAnsi="宋体" w:cs="宋体"/>
          <w:color w:val="000000" w:themeColor="text1"/>
          <w:highlight w:val="none"/>
          <w14:textFill>
            <w14:solidFill>
              <w14:schemeClr w14:val="tx1"/>
            </w14:solidFill>
          </w14:textFill>
        </w:rPr>
      </w:pPr>
    </w:p>
    <w:p>
      <w:pPr>
        <w:spacing w:before="165" w:beforeLines="50" w:after="662" w:afterLines="200" w:line="340" w:lineRule="exact"/>
        <w:jc w:val="center"/>
        <w:rPr>
          <w:rFonts w:ascii="仿宋_GB2312" w:hAnsi="宋体" w:eastAsia="仿宋_GB2312"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仿宋_GB2312" w:hAnsi="宋体" w:eastAsia="仿宋_GB2312" w:cs="宋体"/>
          <w:b/>
          <w:bCs/>
          <w:color w:val="000000" w:themeColor="text1"/>
          <w:kern w:val="0"/>
          <w:sz w:val="32"/>
          <w:szCs w:val="32"/>
          <w:highlight w:val="none"/>
          <w14:textFill>
            <w14:solidFill>
              <w14:schemeClr w14:val="tx1"/>
            </w14:solidFill>
          </w14:textFill>
        </w:rPr>
        <w:t>广西壮族自治区政府采购项目</w:t>
      </w:r>
      <w:r>
        <w:rPr>
          <w:rFonts w:hint="eastAsia" w:ascii="仿宋_GB2312" w:hAnsi="宋体" w:eastAsia="仿宋_GB2312" w:cs="宋体"/>
          <w:b/>
          <w:color w:val="000000" w:themeColor="text1"/>
          <w:kern w:val="0"/>
          <w:sz w:val="32"/>
          <w:szCs w:val="32"/>
          <w:highlight w:val="none"/>
          <w14:textFill>
            <w14:solidFill>
              <w14:schemeClr w14:val="tx1"/>
            </w14:solidFill>
          </w14:textFill>
        </w:rPr>
        <w:t>合同验收书（格式）</w:t>
      </w:r>
    </w:p>
    <w:p>
      <w:pPr>
        <w:spacing w:line="340" w:lineRule="exact"/>
        <w:ind w:firstLine="420" w:firstLineChars="200"/>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 xml:space="preserve">根据政府采购项目（采购合同编号：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）的约定，我单位对（ 项目名称 ）政府采购项目中标（或成交）供应商（    公司名称      ）提供的货物（或工程、服务）进行了验收，验收情况如下：</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426"/>
        <w:gridCol w:w="2551"/>
        <w:gridCol w:w="98"/>
        <w:gridCol w:w="155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510" w:type="dxa"/>
            <w:gridSpan w:val="2"/>
            <w:vAlign w:val="center"/>
          </w:tcPr>
          <w:p>
            <w:pPr>
              <w:spacing w:line="340" w:lineRule="exact"/>
              <w:jc w:val="center"/>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验收方式：</w:t>
            </w:r>
          </w:p>
        </w:tc>
        <w:tc>
          <w:tcPr>
            <w:tcW w:w="6118" w:type="dxa"/>
            <w:gridSpan w:val="5"/>
            <w:vAlign w:val="center"/>
          </w:tcPr>
          <w:p>
            <w:pPr>
              <w:spacing w:line="340" w:lineRule="exact"/>
              <w:jc w:val="center"/>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□自行验收</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序号</w:t>
            </w: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名</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称</w:t>
            </w: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货物型号规格、标准及配置等（或服务内容、标准）</w:t>
            </w: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数量</w:t>
            </w: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金</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984"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3075"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5" w:type="dxa"/>
            <w:gridSpan w:val="5"/>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合</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计</w:t>
            </w:r>
          </w:p>
        </w:tc>
        <w:tc>
          <w:tcPr>
            <w:tcW w:w="1556" w:type="dxa"/>
            <w:vAlign w:val="center"/>
          </w:tcPr>
          <w:p>
            <w:pPr>
              <w:widowControl/>
              <w:snapToGrid w:val="0"/>
              <w:spacing w:before="100" w:beforeAutospacing="1" w:after="100" w:afterAutospacing="1" w:line="320" w:lineRule="atLeast"/>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1487"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合计大写金额：</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仟</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佰</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拾</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万</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仟</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佰</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拾</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26"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实际供货日期</w:t>
            </w:r>
          </w:p>
        </w:tc>
        <w:tc>
          <w:tcPr>
            <w:tcW w:w="2410" w:type="dxa"/>
            <w:gridSpan w:val="2"/>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c>
          <w:tcPr>
            <w:tcW w:w="2551" w:type="dxa"/>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合同交货验收日期</w:t>
            </w:r>
          </w:p>
        </w:tc>
        <w:tc>
          <w:tcPr>
            <w:tcW w:w="3141" w:type="dxa"/>
            <w:gridSpan w:val="3"/>
            <w:vAlign w:val="center"/>
          </w:tcPr>
          <w:p>
            <w:pPr>
              <w:widowControl/>
              <w:snapToGrid w:val="0"/>
              <w:spacing w:before="100" w:beforeAutospacing="1" w:after="100" w:afterAutospacing="1" w:line="320" w:lineRule="atLeast"/>
              <w:ind w:firstLine="2"/>
              <w:jc w:val="center"/>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26" w:type="dxa"/>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2410" w:type="dxa"/>
            <w:gridSpan w:val="2"/>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2551" w:type="dxa"/>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3141" w:type="dxa"/>
            <w:gridSpan w:val="3"/>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526" w:type="dxa"/>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验收具体内容</w:t>
            </w:r>
          </w:p>
        </w:tc>
        <w:tc>
          <w:tcPr>
            <w:tcW w:w="8102" w:type="dxa"/>
            <w:gridSpan w:val="6"/>
            <w:vAlign w:val="center"/>
          </w:tcPr>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526" w:type="dxa"/>
            <w:vMerge w:val="restart"/>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验收小组意见</w:t>
            </w:r>
          </w:p>
        </w:tc>
        <w:tc>
          <w:tcPr>
            <w:tcW w:w="8102" w:type="dxa"/>
            <w:gridSpan w:val="6"/>
            <w:vAlign w:val="center"/>
          </w:tcPr>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验收结论性意见：</w:t>
            </w:r>
          </w:p>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widowControl/>
              <w:snapToGrid w:val="0"/>
              <w:spacing w:before="100" w:beforeAutospacing="1" w:after="100" w:afterAutospacing="1" w:line="320" w:lineRule="atLeast"/>
              <w:ind w:firstLine="2"/>
              <w:jc w:val="left"/>
              <w:rPr>
                <w:rFonts w:ascii="仿宋_GB2312" w:hAnsi="宋体" w:eastAsia="仿宋_GB2312" w:cs="宋体"/>
                <w:color w:val="000000" w:themeColor="text1"/>
                <w:kern w:val="0"/>
                <w:szCs w:val="21"/>
                <w:highlight w:val="none"/>
                <w14:textFill>
                  <w14:solidFill>
                    <w14:schemeClr w14:val="tx1"/>
                  </w14:solidFill>
                </w14:textFill>
              </w:rPr>
            </w:pPr>
          </w:p>
        </w:tc>
        <w:tc>
          <w:tcPr>
            <w:tcW w:w="8102" w:type="dxa"/>
            <w:gridSpan w:val="6"/>
            <w:vAlign w:val="center"/>
          </w:tcPr>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有异议的意见和说明理由：</w:t>
            </w:r>
          </w:p>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28" w:type="dxa"/>
            <w:gridSpan w:val="7"/>
            <w:vAlign w:val="center"/>
          </w:tcPr>
          <w:p>
            <w:pPr>
              <w:widowControl/>
              <w:snapToGrid w:val="0"/>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9628" w:type="dxa"/>
            <w:gridSpan w:val="7"/>
            <w:vAlign w:val="center"/>
          </w:tcPr>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监督人员或其他相关人员签字：</w:t>
            </w:r>
          </w:p>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9628" w:type="dxa"/>
            <w:gridSpan w:val="7"/>
            <w:vAlign w:val="center"/>
          </w:tcPr>
          <w:p>
            <w:pPr>
              <w:widowControl/>
              <w:spacing w:before="100" w:beforeAutospacing="1" w:after="100" w:afterAutospacing="1" w:line="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中标或者成交供应商负责人签字或盖章：        采购人或受托机构的意见（盖章）：</w:t>
            </w:r>
          </w:p>
          <w:p>
            <w:pPr>
              <w:widowControl/>
              <w:spacing w:before="100" w:beforeAutospacing="1" w:after="100" w:afterAutospacing="1" w:line="320" w:lineRule="atLeast"/>
              <w:jc w:val="left"/>
              <w:rPr>
                <w:rFonts w:ascii="仿宋_GB2312" w:hAnsi="宋体" w:eastAsia="仿宋_GB2312" w:cs="宋体"/>
                <w:color w:val="000000" w:themeColor="text1"/>
                <w:kern w:val="0"/>
                <w:szCs w:val="21"/>
                <w:highlight w:val="none"/>
                <w14:textFill>
                  <w14:solidFill>
                    <w14:schemeClr w14:val="tx1"/>
                  </w14:solidFill>
                </w14:textFill>
              </w:rPr>
            </w:pPr>
            <w:r>
              <w:rPr>
                <w:rFonts w:hint="eastAsia" w:ascii="仿宋_GB2312" w:hAnsi="宋体" w:eastAsia="仿宋_GB2312" w:cs="宋体"/>
                <w:color w:val="000000" w:themeColor="text1"/>
                <w:kern w:val="0"/>
                <w:szCs w:val="21"/>
                <w:highlight w:val="none"/>
                <w14:textFill>
                  <w14:solidFill>
                    <w14:schemeClr w14:val="tx1"/>
                  </w14:solidFill>
                </w14:textFill>
              </w:rPr>
              <w:t xml:space="preserve">联系电话：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年</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月</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日               联系电话： </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年</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月</w:t>
            </w:r>
            <w:r>
              <w:rPr>
                <w:rFonts w:hint="eastAsia" w:ascii="宋体" w:hAnsi="宋体" w:eastAsia="仿宋_GB2312" w:cs="宋体"/>
                <w:color w:val="000000" w:themeColor="text1"/>
                <w:kern w:val="0"/>
                <w:szCs w:val="21"/>
                <w:highlight w:val="none"/>
                <w14:textFill>
                  <w14:solidFill>
                    <w14:schemeClr w14:val="tx1"/>
                  </w14:solidFill>
                </w14:textFill>
              </w:rPr>
              <w:t>  </w:t>
            </w:r>
            <w:r>
              <w:rPr>
                <w:rFonts w:hint="eastAsia" w:ascii="仿宋_GB2312" w:hAnsi="宋体" w:eastAsia="仿宋_GB2312" w:cs="宋体"/>
                <w:color w:val="000000" w:themeColor="text1"/>
                <w:kern w:val="0"/>
                <w:szCs w:val="21"/>
                <w:highlight w:val="none"/>
                <w14:textFill>
                  <w14:solidFill>
                    <w14:schemeClr w14:val="tx1"/>
                  </w14:solidFill>
                </w14:textFill>
              </w:rPr>
              <w:t xml:space="preserve"> 日</w:t>
            </w:r>
          </w:p>
        </w:tc>
      </w:tr>
    </w:tbl>
    <w:p>
      <w:pPr>
        <w:pStyle w:val="3"/>
        <w:spacing w:line="560" w:lineRule="exact"/>
        <w:rPr>
          <w:rFonts w:ascii="宋体" w:hAnsi="宋体" w:cs="宋体"/>
          <w:bCs/>
          <w:color w:val="000000" w:themeColor="text1"/>
          <w:sz w:val="44"/>
          <w:highlight w:val="none"/>
          <w14:textFill>
            <w14:solidFill>
              <w14:schemeClr w14:val="tx1"/>
            </w14:solidFill>
          </w14:textFill>
        </w:rPr>
      </w:pPr>
      <w:bookmarkStart w:id="261" w:name="_Toc230949429"/>
      <w:bookmarkStart w:id="262" w:name="_Toc156106972"/>
      <w:bookmarkStart w:id="263" w:name="_Toc185703035"/>
      <w:bookmarkStart w:id="264" w:name="_Toc395066560"/>
      <w:bookmarkStart w:id="265" w:name="_Toc199780488"/>
      <w:bookmarkStart w:id="266" w:name="_Toc200268410"/>
      <w:bookmarkStart w:id="267" w:name="_Toc469842115"/>
      <w:bookmarkStart w:id="268" w:name="_Toc230929190"/>
      <w:bookmarkStart w:id="269" w:name="_Toc405943018"/>
      <w:bookmarkStart w:id="270" w:name="_Toc469874207"/>
      <w:bookmarkStart w:id="271" w:name="_Toc200309017"/>
      <w:bookmarkStart w:id="272" w:name="_Toc147248437"/>
      <w:bookmarkStart w:id="273" w:name="_Toc185702613"/>
    </w:p>
    <w:p>
      <w:pPr>
        <w:pStyle w:val="3"/>
        <w:spacing w:line="560" w:lineRule="exact"/>
        <w:ind w:firstLine="2209" w:firstLineChars="500"/>
        <w:rPr>
          <w:rFonts w:ascii="宋体" w:hAnsi="宋体" w:cs="宋体"/>
          <w:bCs/>
          <w:color w:val="000000" w:themeColor="text1"/>
          <w:sz w:val="44"/>
          <w:highlight w:val="none"/>
          <w14:textFill>
            <w14:solidFill>
              <w14:schemeClr w14:val="tx1"/>
            </w14:solidFill>
          </w14:textFill>
        </w:rPr>
      </w:pPr>
      <w:bookmarkStart w:id="274" w:name="_Toc2823"/>
      <w:r>
        <w:rPr>
          <w:rFonts w:hint="eastAsia" w:ascii="宋体" w:hAnsi="宋体" w:cs="宋体"/>
          <w:bCs/>
          <w:color w:val="000000" w:themeColor="text1"/>
          <w:sz w:val="44"/>
          <w:highlight w:val="none"/>
          <w14:textFill>
            <w14:solidFill>
              <w14:schemeClr w14:val="tx1"/>
            </w14:solidFill>
          </w14:textFill>
        </w:rPr>
        <w:t>第六章  投标文件（格式）</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spacing w:line="400" w:lineRule="exact"/>
        <w:rPr>
          <w:rFonts w:ascii="宋体" w:hAnsi="宋体" w:cs="宋体"/>
          <w:color w:val="000000" w:themeColor="text1"/>
          <w:highlight w:val="none"/>
          <w14:textFill>
            <w14:solidFill>
              <w14:schemeClr w14:val="tx1"/>
            </w14:solidFill>
          </w14:textFill>
        </w:rPr>
      </w:pPr>
    </w:p>
    <w:p>
      <w:pPr>
        <w:autoSpaceDE w:val="0"/>
        <w:autoSpaceDN w:val="0"/>
        <w:adjustRightIn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说明：</w:t>
      </w:r>
    </w:p>
    <w:p>
      <w:pPr>
        <w:pStyle w:val="20"/>
        <w:spacing w:line="400" w:lineRule="exact"/>
        <w:ind w:left="315" w:hanging="315" w:hangingChars="15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lang w:val="zh-CN"/>
          <w14:textFill>
            <w14:solidFill>
              <w14:schemeClr w14:val="tx1"/>
            </w14:solidFill>
          </w14:textFill>
        </w:rPr>
        <w:t>1、</w:t>
      </w:r>
      <w:r>
        <w:rPr>
          <w:rFonts w:hint="eastAsia" w:hAnsi="宋体" w:cs="宋体"/>
          <w:color w:val="000000" w:themeColor="text1"/>
          <w:szCs w:val="21"/>
          <w:highlight w:val="none"/>
          <w14:textFill>
            <w14:solidFill>
              <w14:schemeClr w14:val="tx1"/>
            </w14:solidFill>
          </w14:textFill>
        </w:rPr>
        <w:t>本章所列的投标文件格式</w:t>
      </w:r>
      <w:r>
        <w:rPr>
          <w:rFonts w:hint="eastAsia" w:hAnsi="宋体" w:cs="宋体"/>
          <w:color w:val="000000" w:themeColor="text1"/>
          <w:szCs w:val="21"/>
          <w:highlight w:val="none"/>
          <w:lang w:val="zh-CN"/>
          <w14:textFill>
            <w14:solidFill>
              <w14:schemeClr w14:val="tx1"/>
            </w14:solidFill>
          </w14:textFill>
        </w:rPr>
        <w:t>，投标人可根据自身情况进行补充和修改、扩展，但补充和修改不得造成与本章格式内容有重大改变。</w:t>
      </w:r>
    </w:p>
    <w:p>
      <w:pPr>
        <w:pStyle w:val="20"/>
        <w:spacing w:line="400" w:lineRule="exact"/>
        <w:ind w:left="315" w:hanging="315" w:hangingChars="150"/>
        <w:rPr>
          <w:rFonts w:hAnsi="宋体" w:cs="宋体"/>
          <w:color w:val="000000" w:themeColor="text1"/>
          <w:szCs w:val="21"/>
          <w:highlight w:val="none"/>
          <w:lang w:val="zh-CN"/>
          <w14:textFill>
            <w14:solidFill>
              <w14:schemeClr w14:val="tx1"/>
            </w14:solidFill>
          </w14:textFill>
        </w:rPr>
      </w:pPr>
      <w:r>
        <w:rPr>
          <w:rFonts w:hint="eastAsia" w:hAnsi="宋体" w:cs="宋体"/>
          <w:color w:val="000000" w:themeColor="text1"/>
          <w:szCs w:val="21"/>
          <w:highlight w:val="none"/>
          <w:lang w:val="zh-CN"/>
          <w14:textFill>
            <w14:solidFill>
              <w14:schemeClr w14:val="tx1"/>
            </w14:solidFill>
          </w14:textFill>
        </w:rPr>
        <w:t>2、</w:t>
      </w:r>
      <w:r>
        <w:rPr>
          <w:rFonts w:hint="eastAsia" w:hAnsi="宋体" w:cs="宋体"/>
          <w:color w:val="000000" w:themeColor="text1"/>
          <w:szCs w:val="21"/>
          <w:highlight w:val="none"/>
          <w14:textFill>
            <w14:solidFill>
              <w14:schemeClr w14:val="tx1"/>
            </w14:solidFill>
          </w14:textFill>
        </w:rPr>
        <w:t>投标</w:t>
      </w:r>
      <w:r>
        <w:rPr>
          <w:rFonts w:hint="eastAsia" w:hAnsi="宋体" w:cs="宋体"/>
          <w:color w:val="000000" w:themeColor="text1"/>
          <w:szCs w:val="21"/>
          <w:highlight w:val="none"/>
          <w:lang w:val="zh-CN"/>
          <w14:textFill>
            <w14:solidFill>
              <w14:schemeClr w14:val="tx1"/>
            </w14:solidFill>
          </w14:textFill>
        </w:rPr>
        <w:t>文件按</w:t>
      </w:r>
      <w:r>
        <w:rPr>
          <w:rFonts w:hint="eastAsia" w:hAnsi="宋体" w:cs="宋体"/>
          <w:color w:val="000000" w:themeColor="text1"/>
          <w:szCs w:val="21"/>
          <w:highlight w:val="none"/>
          <w14:textFill>
            <w14:solidFill>
              <w14:schemeClr w14:val="tx1"/>
            </w14:solidFill>
          </w14:textFill>
        </w:rPr>
        <w:t>投标</w:t>
      </w:r>
      <w:r>
        <w:rPr>
          <w:rFonts w:hint="eastAsia" w:hAnsi="宋体" w:cs="宋体"/>
          <w:color w:val="000000" w:themeColor="text1"/>
          <w:szCs w:val="21"/>
          <w:highlight w:val="none"/>
          <w:lang w:val="zh-CN"/>
          <w14:textFill>
            <w14:solidFill>
              <w14:schemeClr w14:val="tx1"/>
            </w14:solidFill>
          </w14:textFill>
        </w:rPr>
        <w:t>人须知第9条要求提供。</w:t>
      </w:r>
    </w:p>
    <w:p>
      <w:pPr>
        <w:pStyle w:val="20"/>
        <w:spacing w:line="400" w:lineRule="exact"/>
        <w:rPr>
          <w:rFonts w:hAnsi="宋体" w:cs="宋体"/>
          <w:bCs/>
          <w:color w:val="000000" w:themeColor="text1"/>
          <w:szCs w:val="21"/>
          <w:highlight w:val="none"/>
          <w14:textFill>
            <w14:solidFill>
              <w14:schemeClr w14:val="tx1"/>
            </w14:solidFill>
          </w14:textFill>
        </w:rPr>
      </w:pPr>
      <w:r>
        <w:rPr>
          <w:rFonts w:hint="eastAsia" w:hAnsi="宋体" w:cs="宋体"/>
          <w:color w:val="000000" w:themeColor="text1"/>
          <w:szCs w:val="21"/>
          <w:highlight w:val="none"/>
          <w:lang w:val="zh-CN"/>
          <w14:textFill>
            <w14:solidFill>
              <w14:schemeClr w14:val="tx1"/>
            </w14:solidFill>
          </w14:textFill>
        </w:rPr>
        <w:t>3、</w:t>
      </w:r>
      <w:r>
        <w:rPr>
          <w:rFonts w:hint="eastAsia" w:hAnsi="宋体" w:cs="宋体"/>
          <w:color w:val="000000" w:themeColor="text1"/>
          <w:szCs w:val="21"/>
          <w:highlight w:val="none"/>
          <w14:textFill>
            <w14:solidFill>
              <w14:schemeClr w14:val="tx1"/>
            </w14:solidFill>
          </w14:textFill>
        </w:rPr>
        <w:t>目录由投标人自拟</w:t>
      </w:r>
      <w:r>
        <w:rPr>
          <w:rFonts w:hint="eastAsia" w:hAnsi="宋体" w:cs="宋体"/>
          <w:color w:val="000000" w:themeColor="text1"/>
          <w:szCs w:val="21"/>
          <w:highlight w:val="none"/>
          <w:lang w:val="zh-CN"/>
          <w14:textFill>
            <w14:solidFill>
              <w14:schemeClr w14:val="tx1"/>
            </w14:solidFill>
          </w14:textFill>
        </w:rPr>
        <w:t>。</w:t>
      </w:r>
    </w:p>
    <w:p>
      <w:pPr>
        <w:pStyle w:val="20"/>
        <w:spacing w:line="400" w:lineRule="exact"/>
        <w:ind w:left="315" w:hanging="315" w:hangingChars="150"/>
        <w:rPr>
          <w:rFonts w:hAnsi="宋体" w:cs="宋体"/>
          <w:color w:val="000000" w:themeColor="text1"/>
          <w:szCs w:val="2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pStyle w:val="20"/>
        <w:rPr>
          <w:rFonts w:hAnsi="宋体" w:cs="宋体"/>
          <w:color w:val="000000" w:themeColor="text1"/>
          <w:sz w:val="36"/>
          <w:szCs w:val="36"/>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p>
    <w:p>
      <w:pPr>
        <w:pStyle w:val="20"/>
        <w:jc w:val="right"/>
        <w:rPr>
          <w:rFonts w:hAnsi="宋体" w:cs="宋体"/>
          <w:b/>
          <w:color w:val="000000" w:themeColor="text1"/>
          <w:sz w:val="36"/>
          <w:szCs w:val="36"/>
          <w:highlight w:val="none"/>
          <w14:textFill>
            <w14:solidFill>
              <w14:schemeClr w14:val="tx1"/>
            </w14:solidFill>
          </w14:textFill>
        </w:rPr>
      </w:pPr>
      <w:r>
        <w:rPr>
          <w:rFonts w:hint="eastAsia" w:hAnsi="宋体" w:cs="宋体"/>
          <w:b/>
          <w:color w:val="000000" w:themeColor="text1"/>
          <w:sz w:val="36"/>
          <w:szCs w:val="36"/>
          <w:highlight w:val="none"/>
          <w14:textFill>
            <w14:solidFill>
              <w14:schemeClr w14:val="tx1"/>
            </w14:solidFill>
          </w14:textFill>
        </w:rPr>
        <w:t>正本／副本</w:t>
      </w:r>
    </w:p>
    <w:p>
      <w:pPr>
        <w:pStyle w:val="20"/>
        <w:spacing w:line="400" w:lineRule="exact"/>
        <w:jc w:val="center"/>
        <w:rPr>
          <w:rFonts w:hAnsi="宋体" w:cs="宋体"/>
          <w:b/>
          <w:color w:val="000000" w:themeColor="text1"/>
          <w:sz w:val="36"/>
          <w:szCs w:val="36"/>
          <w:highlight w:val="none"/>
          <w14:textFill>
            <w14:solidFill>
              <w14:schemeClr w14:val="tx1"/>
            </w14:solidFill>
          </w14:textFill>
        </w:rPr>
      </w:pPr>
    </w:p>
    <w:p>
      <w:pPr>
        <w:pStyle w:val="20"/>
        <w:spacing w:line="800" w:lineRule="exact"/>
        <w:jc w:val="center"/>
        <w:rPr>
          <w:rFonts w:hAnsi="宋体" w:cs="宋体"/>
          <w:b/>
          <w:color w:val="000000" w:themeColor="text1"/>
          <w:sz w:val="48"/>
          <w:szCs w:val="48"/>
          <w:highlight w:val="none"/>
          <w14:textFill>
            <w14:solidFill>
              <w14:schemeClr w14:val="tx1"/>
            </w14:solidFill>
          </w14:textFill>
        </w:rPr>
      </w:pPr>
      <w:r>
        <w:rPr>
          <w:rFonts w:hint="eastAsia" w:hAnsi="宋体" w:cs="宋体"/>
          <w:b/>
          <w:color w:val="000000" w:themeColor="text1"/>
          <w:sz w:val="48"/>
          <w:szCs w:val="48"/>
          <w:highlight w:val="none"/>
          <w14:textFill>
            <w14:solidFill>
              <w14:schemeClr w14:val="tx1"/>
            </w14:solidFill>
          </w14:textFill>
        </w:rPr>
        <w:t>（项目名称）</w:t>
      </w:r>
    </w:p>
    <w:p>
      <w:pPr>
        <w:pStyle w:val="20"/>
        <w:spacing w:line="800" w:lineRule="exact"/>
        <w:jc w:val="center"/>
        <w:rPr>
          <w:rFonts w:hAnsi="宋体" w:cs="宋体"/>
          <w:b/>
          <w:color w:val="000000" w:themeColor="text1"/>
          <w:sz w:val="48"/>
          <w:szCs w:val="48"/>
          <w:highlight w:val="none"/>
          <w14:textFill>
            <w14:solidFill>
              <w14:schemeClr w14:val="tx1"/>
            </w14:solidFill>
          </w14:textFill>
        </w:rPr>
      </w:pPr>
      <w:r>
        <w:rPr>
          <w:rFonts w:hint="eastAsia" w:hAnsi="宋体" w:cs="宋体"/>
          <w:b/>
          <w:color w:val="000000" w:themeColor="text1"/>
          <w:sz w:val="48"/>
          <w:szCs w:val="48"/>
          <w:highlight w:val="none"/>
          <w14:textFill>
            <w14:solidFill>
              <w14:schemeClr w14:val="tx1"/>
            </w14:solidFill>
          </w14:textFill>
        </w:rPr>
        <w:t>（项目编号）</w:t>
      </w:r>
    </w:p>
    <w:p>
      <w:pPr>
        <w:pStyle w:val="20"/>
        <w:jc w:val="center"/>
        <w:rPr>
          <w:rFonts w:hAnsi="宋体" w:cs="宋体"/>
          <w:b/>
          <w:color w:val="000000" w:themeColor="text1"/>
          <w:sz w:val="36"/>
          <w:szCs w:val="36"/>
          <w:highlight w:val="none"/>
          <w14:textFill>
            <w14:solidFill>
              <w14:schemeClr w14:val="tx1"/>
            </w14:solidFill>
          </w14:textFill>
        </w:rPr>
      </w:pPr>
    </w:p>
    <w:p>
      <w:pPr>
        <w:pStyle w:val="20"/>
        <w:jc w:val="center"/>
        <w:rPr>
          <w:rFonts w:hAnsi="宋体" w:cs="宋体"/>
          <w:b/>
          <w:color w:val="000000" w:themeColor="text1"/>
          <w:sz w:val="72"/>
          <w:szCs w:val="72"/>
          <w:highlight w:val="none"/>
          <w14:textFill>
            <w14:solidFill>
              <w14:schemeClr w14:val="tx1"/>
            </w14:solidFill>
          </w14:textFill>
        </w:rPr>
      </w:pPr>
      <w:r>
        <w:rPr>
          <w:rFonts w:hint="eastAsia" w:hAnsi="宋体" w:cs="宋体"/>
          <w:b/>
          <w:color w:val="000000" w:themeColor="text1"/>
          <w:sz w:val="72"/>
          <w:szCs w:val="72"/>
          <w:highlight w:val="none"/>
          <w14:textFill>
            <w14:solidFill>
              <w14:schemeClr w14:val="tx1"/>
            </w14:solidFill>
          </w14:textFill>
        </w:rPr>
        <w:t>投 标 文 件</w:t>
      </w:r>
    </w:p>
    <w:p>
      <w:pPr>
        <w:pStyle w:val="20"/>
        <w:jc w:val="center"/>
        <w:rPr>
          <w:rFonts w:hAnsi="宋体" w:cs="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t>（法人或其他经济组织适用）</w:t>
      </w: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ind w:firstLine="2570" w:firstLineChars="800"/>
        <w:rPr>
          <w:rFonts w:hAnsi="宋体" w:cs="宋体"/>
          <w:b/>
          <w:color w:val="000000" w:themeColor="text1"/>
          <w:sz w:val="32"/>
          <w:szCs w:val="32"/>
          <w:highlight w:val="none"/>
          <w:u w:val="single"/>
          <w14:textFill>
            <w14:solidFill>
              <w14:schemeClr w14:val="tx1"/>
            </w14:solidFill>
          </w14:textFill>
        </w:rPr>
      </w:pPr>
    </w:p>
    <w:p>
      <w:pPr>
        <w:pStyle w:val="20"/>
        <w:spacing w:line="700" w:lineRule="exact"/>
        <w:ind w:firstLine="720" w:firstLineChars="224"/>
        <w:rPr>
          <w:rFonts w:hAnsi="宋体" w:cs="宋体"/>
          <w:b/>
          <w:color w:val="000000" w:themeColor="text1"/>
          <w:sz w:val="32"/>
          <w:szCs w:val="32"/>
          <w:highlight w:val="none"/>
          <w:u w:val="singl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投标人（名称加盖公章）：</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u w:val="single"/>
          <w:lang w:val="en-US" w:eastAsia="zh-CN"/>
          <w14:textFill>
            <w14:solidFill>
              <w14:schemeClr w14:val="tx1"/>
            </w14:solidFill>
          </w14:textFill>
        </w:rPr>
        <w:t xml:space="preserve">      </w:t>
      </w:r>
      <w:r>
        <w:rPr>
          <w:rFonts w:hint="eastAsia" w:hAnsi="宋体" w:cs="宋体"/>
          <w:b/>
          <w:color w:val="000000" w:themeColor="text1"/>
          <w:sz w:val="32"/>
          <w:szCs w:val="32"/>
          <w:highlight w:val="none"/>
          <w:u w:val="single"/>
          <w14:textFill>
            <w14:solidFill>
              <w14:schemeClr w14:val="tx1"/>
            </w14:solidFill>
          </w14:textFill>
        </w:rPr>
        <w:t xml:space="preserve">    </w:t>
      </w:r>
    </w:p>
    <w:p>
      <w:pPr>
        <w:pStyle w:val="20"/>
        <w:spacing w:line="700" w:lineRule="exact"/>
        <w:ind w:firstLine="720" w:firstLineChars="224"/>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法定代表人（负责人）或其委托理人（签名）：</w:t>
      </w:r>
      <w:r>
        <w:rPr>
          <w:rFonts w:hint="eastAsia" w:hAnsi="宋体" w:cs="宋体"/>
          <w:b/>
          <w:color w:val="000000" w:themeColor="text1"/>
          <w:sz w:val="32"/>
          <w:szCs w:val="32"/>
          <w:highlight w:val="none"/>
          <w:u w:val="single"/>
          <w14:textFill>
            <w14:solidFill>
              <w14:schemeClr w14:val="tx1"/>
            </w14:solidFill>
          </w14:textFill>
        </w:rPr>
        <w:t xml:space="preserve">                 </w:t>
      </w:r>
    </w:p>
    <w:p>
      <w:pPr>
        <w:pStyle w:val="20"/>
        <w:spacing w:line="700" w:lineRule="exact"/>
        <w:ind w:firstLine="720" w:firstLineChars="224"/>
        <w:rPr>
          <w:rFonts w:hAnsi="宋体" w:cs="宋体"/>
          <w:b/>
          <w:color w:val="000000" w:themeColor="text1"/>
          <w:sz w:val="32"/>
          <w:szCs w:val="32"/>
          <w:highlight w:val="none"/>
          <w:u w:val="singl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联系电话：</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u w:val="single"/>
          <w:lang w:val="en-US" w:eastAsia="zh-CN"/>
          <w14:textFill>
            <w14:solidFill>
              <w14:schemeClr w14:val="tx1"/>
            </w14:solidFill>
          </w14:textFill>
        </w:rPr>
        <w:t xml:space="preserve">      </w:t>
      </w:r>
      <w:r>
        <w:rPr>
          <w:rFonts w:hint="eastAsia" w:hAnsi="宋体" w:cs="宋体"/>
          <w:b/>
          <w:color w:val="000000" w:themeColor="text1"/>
          <w:sz w:val="32"/>
          <w:szCs w:val="32"/>
          <w:highlight w:val="none"/>
          <w:u w:val="single"/>
          <w14:textFill>
            <w14:solidFill>
              <w14:schemeClr w14:val="tx1"/>
            </w14:solidFill>
          </w14:textFill>
        </w:rPr>
        <w:t xml:space="preserve">       </w:t>
      </w:r>
    </w:p>
    <w:p>
      <w:pPr>
        <w:pStyle w:val="20"/>
        <w:spacing w:line="700" w:lineRule="exact"/>
        <w:ind w:firstLine="720" w:firstLineChars="224"/>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投标日期：</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14:textFill>
            <w14:solidFill>
              <w14:schemeClr w14:val="tx1"/>
            </w14:solidFill>
          </w14:textFill>
        </w:rPr>
        <w:t>年</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14:textFill>
            <w14:solidFill>
              <w14:schemeClr w14:val="tx1"/>
            </w14:solidFill>
          </w14:textFill>
        </w:rPr>
        <w:t>月</w:t>
      </w:r>
      <w:r>
        <w:rPr>
          <w:rFonts w:hint="eastAsia" w:hAnsi="宋体" w:cs="宋体"/>
          <w:b/>
          <w:color w:val="000000" w:themeColor="text1"/>
          <w:sz w:val="32"/>
          <w:szCs w:val="32"/>
          <w:highlight w:val="none"/>
          <w:u w:val="single"/>
          <w14:textFill>
            <w14:solidFill>
              <w14:schemeClr w14:val="tx1"/>
            </w14:solidFill>
          </w14:textFill>
        </w:rPr>
        <w:t xml:space="preserve">     </w:t>
      </w:r>
      <w:r>
        <w:rPr>
          <w:rFonts w:hint="eastAsia" w:hAnsi="宋体" w:cs="宋体"/>
          <w:b/>
          <w:color w:val="000000" w:themeColor="text1"/>
          <w:sz w:val="32"/>
          <w:szCs w:val="32"/>
          <w:highlight w:val="none"/>
          <w14:textFill>
            <w14:solidFill>
              <w14:schemeClr w14:val="tx1"/>
            </w14:solidFill>
          </w14:textFill>
        </w:rPr>
        <w:t>日</w:t>
      </w:r>
    </w:p>
    <w:p>
      <w:pPr>
        <w:spacing w:line="40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开标一览表（格式）</w:t>
      </w:r>
    </w:p>
    <w:p>
      <w:pPr>
        <w:pStyle w:val="20"/>
        <w:rPr>
          <w:rFonts w:hAnsi="宋体" w:cs="宋体"/>
          <w:color w:val="000000" w:themeColor="text1"/>
          <w:highlight w:val="none"/>
          <w:u w:val="single"/>
          <w14:textFill>
            <w14:solidFill>
              <w14:schemeClr w14:val="tx1"/>
            </w14:solidFill>
          </w14:textFill>
        </w:rPr>
      </w:pPr>
    </w:p>
    <w:p>
      <w:pPr>
        <w:spacing w:line="400" w:lineRule="exact"/>
        <w:rPr>
          <w:rFonts w:ascii="宋体" w:hAnsi="宋体" w:cs="宋体"/>
          <w:b/>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项目名称：</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rPr>
          <w:rFonts w:ascii="宋体" w:hAnsi="宋体" w:cs="宋体"/>
          <w:b/>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rPr>
          <w:rFonts w:ascii="宋体" w:hAnsi="宋体" w:cs="宋体"/>
          <w:b/>
          <w:color w:val="000000" w:themeColor="text1"/>
          <w:sz w:val="24"/>
          <w:highlight w:val="none"/>
          <w:u w:val="single"/>
          <w14:textFill>
            <w14:solidFill>
              <w14:schemeClr w14:val="tx1"/>
            </w14:solidFill>
          </w14:textFill>
        </w:rPr>
      </w:pPr>
    </w:p>
    <w:p>
      <w:pPr>
        <w:spacing w:line="400" w:lineRule="exact"/>
        <w:rPr>
          <w:rFonts w:ascii="宋体" w:hAnsi="宋体" w:cs="宋体"/>
          <w:b/>
          <w:color w:val="000000" w:themeColor="text1"/>
          <w:sz w:val="24"/>
          <w:highlight w:val="none"/>
          <w14:textFill>
            <w14:solidFill>
              <w14:schemeClr w14:val="tx1"/>
            </w14:solidFill>
          </w14:textFill>
        </w:rPr>
      </w:pPr>
    </w:p>
    <w:p>
      <w:pPr>
        <w:spacing w:after="165" w:afterLines="50" w:line="400" w:lineRule="exact"/>
        <w:jc w:val="righ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金额单位：人民币（元）</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913"/>
        <w:gridCol w:w="1109"/>
        <w:gridCol w:w="1349"/>
        <w:gridCol w:w="857"/>
        <w:gridCol w:w="836"/>
        <w:gridCol w:w="122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序号</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产品或服务名称</w:t>
            </w:r>
          </w:p>
        </w:tc>
        <w:tc>
          <w:tcPr>
            <w:tcW w:w="1109" w:type="dxa"/>
            <w:vAlign w:val="center"/>
          </w:tcPr>
          <w:p>
            <w:pPr>
              <w:pStyle w:val="20"/>
              <w:snapToGrid w:val="0"/>
              <w:ind w:left="-105" w:leftChars="-50" w:right="-105" w:rightChars="-5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制造商或服务商</w:t>
            </w: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品牌、规格型号</w:t>
            </w: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单位</w:t>
            </w: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单价（元）</w:t>
            </w: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41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投标报价总计</w:t>
            </w:r>
          </w:p>
        </w:tc>
        <w:tc>
          <w:tcPr>
            <w:tcW w:w="6783" w:type="dxa"/>
            <w:gridSpan w:val="6"/>
            <w:vAlign w:val="center"/>
          </w:tcPr>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交货期</w:t>
            </w:r>
          </w:p>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（安装、调试、培训完）</w:t>
            </w:r>
          </w:p>
        </w:tc>
        <w:tc>
          <w:tcPr>
            <w:tcW w:w="6783"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交货地点</w:t>
            </w:r>
          </w:p>
        </w:tc>
        <w:tc>
          <w:tcPr>
            <w:tcW w:w="6783"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质保期</w:t>
            </w:r>
          </w:p>
        </w:tc>
        <w:tc>
          <w:tcPr>
            <w:tcW w:w="6783"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c>
          <w:tcPr>
            <w:tcW w:w="6783" w:type="dxa"/>
            <w:gridSpan w:val="6"/>
            <w:vAlign w:val="center"/>
          </w:tcPr>
          <w:p>
            <w:pPr>
              <w:snapToGrid w:val="0"/>
              <w:rPr>
                <w:rFonts w:ascii="宋体" w:hAnsi="宋体" w:cs="宋体"/>
                <w:color w:val="000000" w:themeColor="text1"/>
                <w:szCs w:val="21"/>
                <w:highlight w:val="none"/>
                <w14:textFill>
                  <w14:solidFill>
                    <w14:schemeClr w14:val="tx1"/>
                  </w14:solidFill>
                </w14:textFill>
              </w:rPr>
            </w:pPr>
          </w:p>
        </w:tc>
      </w:tr>
    </w:tbl>
    <w:p>
      <w:pPr>
        <w:pStyle w:val="20"/>
        <w:rPr>
          <w:rFonts w:hAnsi="宋体" w:cs="宋体"/>
          <w:bCs/>
          <w:color w:val="000000" w:themeColor="text1"/>
          <w:highlight w:val="none"/>
          <w14:textFill>
            <w14:solidFill>
              <w14:schemeClr w14:val="tx1"/>
            </w14:solidFill>
          </w14:textFill>
        </w:rPr>
      </w:pPr>
    </w:p>
    <w:p>
      <w:pPr>
        <w:pStyle w:val="20"/>
        <w:rPr>
          <w:rFonts w:hAnsi="宋体" w:cs="宋体"/>
          <w:bCs/>
          <w:color w:val="000000" w:themeColor="text1"/>
          <w:highlight w:val="none"/>
          <w14:textFill>
            <w14:solidFill>
              <w14:schemeClr w14:val="tx1"/>
            </w14:solidFill>
          </w14:textFill>
        </w:rPr>
      </w:pPr>
    </w:p>
    <w:p>
      <w:pPr>
        <w:pStyle w:val="20"/>
        <w:ind w:firstLine="2520" w:firstLineChars="900"/>
        <w:rPr>
          <w:rFonts w:hAnsi="宋体" w:cs="宋体"/>
          <w:color w:val="000000" w:themeColor="text1"/>
          <w:sz w:val="28"/>
          <w:szCs w:val="28"/>
          <w:highlight w:val="none"/>
          <w:u w:val="singl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投标人名称（加盖公章）：</w:t>
      </w:r>
      <w:r>
        <w:rPr>
          <w:rFonts w:hint="eastAsia" w:hAnsi="宋体" w:cs="宋体"/>
          <w:color w:val="000000" w:themeColor="text1"/>
          <w:sz w:val="28"/>
          <w:szCs w:val="28"/>
          <w:highlight w:val="none"/>
          <w:u w:val="single"/>
          <w14:textFill>
            <w14:solidFill>
              <w14:schemeClr w14:val="tx1"/>
            </w14:solidFill>
          </w14:textFill>
        </w:rPr>
        <w:t xml:space="preserve">                  </w:t>
      </w:r>
      <w:r>
        <w:rPr>
          <w:rFonts w:hint="eastAsia" w:hAnsi="宋体" w:cs="宋体"/>
          <w:color w:val="000000" w:themeColor="text1"/>
          <w:sz w:val="28"/>
          <w:szCs w:val="28"/>
          <w:highlight w:val="none"/>
          <w:u w:val="single"/>
          <w:lang w:val="en-US" w:eastAsia="zh-CN"/>
          <w14:textFill>
            <w14:solidFill>
              <w14:schemeClr w14:val="tx1"/>
            </w14:solidFill>
          </w14:textFill>
        </w:rPr>
        <w:t xml:space="preserve">    </w:t>
      </w:r>
      <w:r>
        <w:rPr>
          <w:rFonts w:hint="eastAsia" w:hAnsi="宋体" w:cs="宋体"/>
          <w:color w:val="000000" w:themeColor="text1"/>
          <w:sz w:val="28"/>
          <w:szCs w:val="28"/>
          <w:highlight w:val="none"/>
          <w:u w:val="single"/>
          <w14:textFill>
            <w14:solidFill>
              <w14:schemeClr w14:val="tx1"/>
            </w14:solidFill>
          </w14:textFill>
        </w:rPr>
        <w:t xml:space="preserve">   </w:t>
      </w:r>
    </w:p>
    <w:p>
      <w:pPr>
        <w:pStyle w:val="20"/>
        <w:ind w:firstLine="2520" w:firstLineChars="900"/>
        <w:rPr>
          <w:rFonts w:hAnsi="宋体" w:cs="宋体"/>
          <w:color w:val="000000" w:themeColor="text1"/>
          <w:sz w:val="28"/>
          <w:szCs w:val="28"/>
          <w:highlight w:val="none"/>
          <w:u w:val="singl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法定代表人（负责人）或委托代理人签字：</w:t>
      </w:r>
      <w:r>
        <w:rPr>
          <w:rFonts w:hint="eastAsia" w:hAnsi="宋体" w:cs="宋体"/>
          <w:color w:val="000000" w:themeColor="text1"/>
          <w:sz w:val="28"/>
          <w:szCs w:val="28"/>
          <w:highlight w:val="none"/>
          <w:u w:val="single"/>
          <w14:textFill>
            <w14:solidFill>
              <w14:schemeClr w14:val="tx1"/>
            </w14:solidFill>
          </w14:textFill>
        </w:rPr>
        <w:t xml:space="preserve">                </w:t>
      </w:r>
    </w:p>
    <w:p>
      <w:pPr>
        <w:pStyle w:val="20"/>
        <w:ind w:firstLine="2520" w:firstLineChars="900"/>
        <w:rPr>
          <w:rFonts w:hAnsi="宋体" w:cs="宋体"/>
          <w:color w:val="000000" w:themeColor="text1"/>
          <w:sz w:val="28"/>
          <w:szCs w:val="28"/>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t>投标日期：</w:t>
      </w:r>
      <w:r>
        <w:rPr>
          <w:rFonts w:hint="eastAsia" w:hAnsi="宋体" w:cs="宋体"/>
          <w:color w:val="000000" w:themeColor="text1"/>
          <w:sz w:val="28"/>
          <w:szCs w:val="28"/>
          <w:highlight w:val="none"/>
          <w:u w:val="single"/>
          <w14:textFill>
            <w14:solidFill>
              <w14:schemeClr w14:val="tx1"/>
            </w14:solidFill>
          </w14:textFill>
        </w:rPr>
        <w:t xml:space="preserve">       年    月    日</w:t>
      </w:r>
    </w:p>
    <w:p>
      <w:pPr>
        <w:rPr>
          <w:rFonts w:ascii="宋体" w:hAnsi="宋体" w:cs="宋体"/>
          <w:color w:val="000000" w:themeColor="text1"/>
          <w:sz w:val="24"/>
          <w:highlight w:val="none"/>
          <w14:textFill>
            <w14:solidFill>
              <w14:schemeClr w14:val="tx1"/>
            </w14:solidFill>
          </w14:textFill>
        </w:rPr>
      </w:pPr>
    </w:p>
    <w:p>
      <w:pPr>
        <w:spacing w:line="320" w:lineRule="exact"/>
        <w:ind w:left="944" w:hanging="944" w:hangingChars="448"/>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说明：</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1、所有价格均系用人民币表示，单位为元，精确到小数点后两位。</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本表可扩展，并逐页签字及加盖公章，否则，未按要求填写、无签名盖章的，投标无效。</w:t>
      </w:r>
    </w:p>
    <w:p>
      <w:pPr>
        <w:spacing w:line="5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投标函（格式）</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p>
    <w:p>
      <w:pPr>
        <w:pStyle w:val="20"/>
        <w:spacing w:line="52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致：广西众联工程项目管理有限公司</w:t>
      </w:r>
    </w:p>
    <w:p>
      <w:pPr>
        <w:pStyle w:val="20"/>
        <w:spacing w:line="520" w:lineRule="exact"/>
        <w:ind w:firstLine="42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根据贵方</w:t>
      </w:r>
      <w:r>
        <w:rPr>
          <w:rFonts w:hint="eastAsia" w:hAnsi="宋体" w:cs="宋体"/>
          <w:bCs/>
          <w:color w:val="000000" w:themeColor="text1"/>
          <w:sz w:val="24"/>
          <w:szCs w:val="24"/>
          <w:highlight w:val="none"/>
          <w:u w:val="single"/>
          <w14:textFill>
            <w14:solidFill>
              <w14:schemeClr w14:val="tx1"/>
            </w14:solidFill>
          </w14:textFill>
        </w:rPr>
        <w:t>（项目名称及项目编号）</w:t>
      </w:r>
      <w:r>
        <w:rPr>
          <w:rFonts w:hint="eastAsia" w:hAnsi="宋体" w:cs="宋体"/>
          <w:color w:val="000000" w:themeColor="text1"/>
          <w:sz w:val="24"/>
          <w:szCs w:val="24"/>
          <w:highlight w:val="none"/>
          <w14:textFill>
            <w14:solidFill>
              <w14:schemeClr w14:val="tx1"/>
            </w14:solidFill>
          </w14:textFill>
        </w:rPr>
        <w:t>的招标文件全部内容，正式授权下述签字代表</w:t>
      </w:r>
      <w:r>
        <w:rPr>
          <w:rFonts w:hint="eastAsia" w:hAnsi="宋体" w:cs="宋体"/>
          <w:color w:val="000000" w:themeColor="text1"/>
          <w:sz w:val="24"/>
          <w:szCs w:val="24"/>
          <w:highlight w:val="none"/>
          <w:u w:val="single"/>
          <w14:textFill>
            <w14:solidFill>
              <w14:schemeClr w14:val="tx1"/>
            </w14:solidFill>
          </w14:textFill>
        </w:rPr>
        <w:t>（姓名和职务）</w:t>
      </w:r>
      <w:r>
        <w:rPr>
          <w:rFonts w:hint="eastAsia" w:hAnsi="宋体" w:cs="宋体"/>
          <w:color w:val="000000" w:themeColor="text1"/>
          <w:sz w:val="24"/>
          <w:szCs w:val="24"/>
          <w:highlight w:val="none"/>
          <w14:textFill>
            <w14:solidFill>
              <w14:schemeClr w14:val="tx1"/>
            </w14:solidFill>
          </w14:textFill>
        </w:rPr>
        <w:t>经正式授权并代表投标人</w:t>
      </w:r>
      <w:r>
        <w:rPr>
          <w:rFonts w:hint="eastAsia" w:hAnsi="宋体" w:cs="宋体"/>
          <w:color w:val="000000" w:themeColor="text1"/>
          <w:sz w:val="24"/>
          <w:szCs w:val="24"/>
          <w:highlight w:val="none"/>
          <w:u w:val="single"/>
          <w14:textFill>
            <w14:solidFill>
              <w14:schemeClr w14:val="tx1"/>
            </w14:solidFill>
          </w14:textFill>
        </w:rPr>
        <w:t>（投标人名称）</w:t>
      </w:r>
      <w:r>
        <w:rPr>
          <w:rFonts w:hint="eastAsia" w:hAnsi="宋体" w:cs="宋体"/>
          <w:color w:val="000000" w:themeColor="text1"/>
          <w:sz w:val="24"/>
          <w:szCs w:val="24"/>
          <w:highlight w:val="none"/>
          <w14:textFill>
            <w14:solidFill>
              <w14:schemeClr w14:val="tx1"/>
            </w14:solidFill>
          </w14:textFill>
        </w:rPr>
        <w:t>，提交投标文件正本</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份、副本</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份、投标文件电子版</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份。</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据此函，签字代表宣布同意如下：</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1、我方承诺已经具备本项目招标文件规定的基本资格条件和特定资格条件。</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2、我方已详细审查全部招标文件，包括修改文件（如有的话）以及全部参考资料和有关附件，已经了解我方对于招标文件、采购过程、采购结果有依法进行询问、质疑、投诉的权利及相关渠道和要求。</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3、我方在投标之前已经与贵方进行了充分的沟通，完全理解并接受招标文件的各项规定和要求，对招标文件的合理性、合法性不再有异议。</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4、投标文件从投标截止日起</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天内有效。</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5、如中标，本投标文件至本项目合同履行完毕止均保持有效，我方将按谈判文件及政府采购法律、法规的规定履行合同责任和义务。</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6、如果在投标截止时间后的投标有效期内撤销投标文件或者有其他违约行为，贵方可对我方的投标保证金不予退还。</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7、同意向贵方提供贵方可能要求的与本投标有关的任何数据或资料。</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8、我方完全理解贵方不一定要接受最低报价的投标人为中标人。</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9、若贵方需要，我方愿意提供我方作出的一切承诺的证明材料。</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我方将严格遵守《中华人民共和国政府采购法》第七十七条规定，投标人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（1）提供虚假材料谋取中标的；</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（2）采取不正当手段诋毁、排挤其他投标人的；</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（3）与采购人、其他投标人或者采购代理机构恶意串通的；</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（4）向采购人、采购代理机构行贿或者提供其他不正当利益的；</w:t>
      </w:r>
    </w:p>
    <w:p>
      <w:pPr>
        <w:pStyle w:val="20"/>
        <w:spacing w:line="440" w:lineRule="exact"/>
        <w:ind w:firstLine="480" w:firstLineChars="200"/>
        <w:rPr>
          <w:rFonts w:hAnsi="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w:t>
      </w:r>
      <w:r>
        <w:rPr>
          <w:rFonts w:hint="eastAsia" w:hAnsi="宋体"/>
          <w:color w:val="000000" w:themeColor="text1"/>
          <w:sz w:val="24"/>
          <w:szCs w:val="24"/>
          <w:highlight w:val="none"/>
          <w14:textFill>
            <w14:solidFill>
              <w14:schemeClr w14:val="tx1"/>
            </w14:solidFill>
          </w14:textFill>
        </w:rPr>
        <w:t>在招标采购过程中与采购人进行协商谈判的；</w:t>
      </w:r>
    </w:p>
    <w:p>
      <w:pPr>
        <w:pStyle w:val="20"/>
        <w:spacing w:line="52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（6）</w:t>
      </w:r>
      <w:r>
        <w:rPr>
          <w:rFonts w:hint="eastAsia" w:hAnsi="宋体" w:cs="宋体"/>
          <w:color w:val="000000" w:themeColor="text1"/>
          <w:sz w:val="24"/>
          <w:szCs w:val="24"/>
          <w:highlight w:val="none"/>
          <w14:textFill>
            <w14:solidFill>
              <w14:schemeClr w14:val="tx1"/>
            </w14:solidFill>
          </w14:textFill>
        </w:rPr>
        <w:t>拒绝有关部门监督检查或提供虚假情况的。</w:t>
      </w:r>
    </w:p>
    <w:p>
      <w:pPr>
        <w:pStyle w:val="20"/>
        <w:spacing w:line="520" w:lineRule="exact"/>
        <w:rPr>
          <w:rFonts w:hAnsi="宋体" w:cs="宋体"/>
          <w:color w:val="000000" w:themeColor="text1"/>
          <w:sz w:val="24"/>
          <w:szCs w:val="24"/>
          <w:highlight w:val="none"/>
          <w14:textFill>
            <w14:solidFill>
              <w14:schemeClr w14:val="tx1"/>
            </w14:solidFill>
          </w14:textFill>
        </w:rPr>
      </w:pPr>
    </w:p>
    <w:p>
      <w:pPr>
        <w:pStyle w:val="20"/>
        <w:spacing w:line="520" w:lineRule="exact"/>
        <w:ind w:left="101" w:leftChars="48" w:firstLine="595" w:firstLineChars="248"/>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与本投标有关的正式通讯地址为：</w:t>
      </w:r>
    </w:p>
    <w:p>
      <w:pPr>
        <w:pStyle w:val="20"/>
        <w:spacing w:line="520" w:lineRule="exact"/>
        <w:ind w:left="101" w:leftChars="48" w:firstLine="595" w:firstLineChars="248"/>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邮政编码：</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电话、传真或电传：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开户名称：</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开户银行：</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银行帐号：</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720" w:firstLineChars="300"/>
        <w:rPr>
          <w:rFonts w:hAnsi="宋体" w:cs="宋体"/>
          <w:color w:val="000000" w:themeColor="text1"/>
          <w:sz w:val="24"/>
          <w:szCs w:val="24"/>
          <w:highlight w:val="none"/>
          <w14:textFill>
            <w14:solidFill>
              <w14:schemeClr w14:val="tx1"/>
            </w14:solidFill>
          </w14:textFill>
        </w:rPr>
      </w:pPr>
    </w:p>
    <w:p>
      <w:pPr>
        <w:pStyle w:val="20"/>
        <w:spacing w:line="52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2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pStyle w:val="20"/>
        <w:spacing w:line="500" w:lineRule="exact"/>
        <w:ind w:left="101" w:leftChars="48" w:firstLine="595" w:firstLineChars="248"/>
        <w:rPr>
          <w:rFonts w:hAnsi="宋体" w:cs="宋体"/>
          <w:color w:val="000000" w:themeColor="text1"/>
          <w:sz w:val="24"/>
          <w:szCs w:val="24"/>
          <w:highlight w:val="none"/>
          <w14:textFill>
            <w14:solidFill>
              <w14:schemeClr w14:val="tx1"/>
            </w14:solidFill>
          </w14:textFill>
        </w:rPr>
      </w:pPr>
    </w:p>
    <w:p>
      <w:pPr>
        <w:spacing w:line="360" w:lineRule="exact"/>
        <w:ind w:left="316" w:hanging="316" w:hangingChars="15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说明：</w:t>
      </w:r>
      <w:r>
        <w:rPr>
          <w:rFonts w:hint="eastAsia" w:ascii="宋体" w:hAnsi="宋体" w:cs="宋体"/>
          <w:color w:val="000000" w:themeColor="text1"/>
          <w:highlight w:val="none"/>
          <w14:textFill>
            <w14:solidFill>
              <w14:schemeClr w14:val="tx1"/>
            </w14:solidFill>
          </w14:textFill>
        </w:rPr>
        <w:t>投标人必须按以上格式填写，签字并加盖公章，否则，无签名、盖公章的，投标无效。</w:t>
      </w:r>
    </w:p>
    <w:p>
      <w:pPr>
        <w:spacing w:line="300" w:lineRule="exact"/>
        <w:rPr>
          <w:rFonts w:ascii="宋体" w:hAnsi="宋体" w:cs="宋体"/>
          <w:b/>
          <w:color w:val="000000" w:themeColor="text1"/>
          <w:sz w:val="32"/>
          <w:highlight w:val="none"/>
          <w14:textFill>
            <w14:solidFill>
              <w14:schemeClr w14:val="tx1"/>
            </w14:solidFill>
          </w14:textFill>
        </w:rPr>
      </w:pPr>
    </w:p>
    <w:p>
      <w:pPr>
        <w:spacing w:line="30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br w:type="page"/>
      </w:r>
    </w:p>
    <w:p>
      <w:pPr>
        <w:jc w:val="center"/>
        <w:rPr>
          <w:rFonts w:ascii="宋体" w:hAnsi="宋体" w:cs="宋体"/>
          <w:color w:val="000000" w:themeColor="text1"/>
          <w:highlight w:val="none"/>
          <w:u w:val="singl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投标报价明细表（格式）</w:t>
      </w:r>
    </w:p>
    <w:p>
      <w:pPr>
        <w:spacing w:line="40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项目名称：</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rPr>
          <w:rFonts w:ascii="宋体" w:hAnsi="宋体" w:cs="宋体"/>
          <w:b/>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b/>
          <w:color w:val="000000" w:themeColor="text1"/>
          <w:sz w:val="24"/>
          <w:highlight w:val="none"/>
          <w:u w:val="single"/>
          <w14:textFill>
            <w14:solidFill>
              <w14:schemeClr w14:val="tx1"/>
            </w14:solidFill>
          </w14:textFill>
        </w:rPr>
        <w:t xml:space="preserve">                  </w:t>
      </w:r>
    </w:p>
    <w:p>
      <w:pPr>
        <w:spacing w:line="400" w:lineRule="exact"/>
        <w:rPr>
          <w:rFonts w:ascii="宋体" w:hAnsi="宋体" w:cs="宋体"/>
          <w:b/>
          <w:color w:val="000000" w:themeColor="text1"/>
          <w:sz w:val="24"/>
          <w:highlight w:val="none"/>
          <w:u w:val="single"/>
          <w14:textFill>
            <w14:solidFill>
              <w14:schemeClr w14:val="tx1"/>
            </w14:solidFill>
          </w14:textFill>
        </w:rPr>
      </w:pPr>
    </w:p>
    <w:p>
      <w:pPr>
        <w:spacing w:after="165" w:afterLines="50" w:line="400" w:lineRule="exact"/>
        <w:jc w:val="righ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金额单位：人民币（元）</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913"/>
        <w:gridCol w:w="1109"/>
        <w:gridCol w:w="1349"/>
        <w:gridCol w:w="857"/>
        <w:gridCol w:w="836"/>
        <w:gridCol w:w="122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序号</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产品或服务名称</w:t>
            </w:r>
          </w:p>
        </w:tc>
        <w:tc>
          <w:tcPr>
            <w:tcW w:w="1109" w:type="dxa"/>
            <w:vAlign w:val="center"/>
          </w:tcPr>
          <w:p>
            <w:pPr>
              <w:pStyle w:val="20"/>
              <w:snapToGrid w:val="0"/>
              <w:ind w:left="-105" w:leftChars="-50" w:right="-105" w:rightChars="-5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制造商或服务商</w:t>
            </w: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品牌、规格型号</w:t>
            </w: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数量①</w:t>
            </w: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单位</w:t>
            </w: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单价②</w:t>
            </w:r>
          </w:p>
        </w:tc>
        <w:tc>
          <w:tcPr>
            <w:tcW w:w="1582" w:type="dxa"/>
            <w:vAlign w:val="center"/>
          </w:tcPr>
          <w:p>
            <w:pPr>
              <w:spacing w:line="3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单项合计③</w:t>
            </w:r>
          </w:p>
          <w:p>
            <w:pPr>
              <w:spacing w:line="3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582"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582"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w:t>
            </w:r>
          </w:p>
        </w:tc>
        <w:tc>
          <w:tcPr>
            <w:tcW w:w="1913"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10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349"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57"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836"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221"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c>
          <w:tcPr>
            <w:tcW w:w="1582" w:type="dxa"/>
            <w:vAlign w:val="center"/>
          </w:tcPr>
          <w:p>
            <w:pPr>
              <w:pStyle w:val="20"/>
              <w:snapToGrid w:val="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投标报价总计</w:t>
            </w:r>
          </w:p>
        </w:tc>
        <w:tc>
          <w:tcPr>
            <w:tcW w:w="6954" w:type="dxa"/>
            <w:gridSpan w:val="6"/>
            <w:vAlign w:val="center"/>
          </w:tcPr>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大写：</w:t>
            </w:r>
          </w:p>
          <w:p>
            <w:pPr>
              <w:snapToGrid w:val="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交货时间</w:t>
            </w:r>
          </w:p>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（安装、调试、培训完）</w:t>
            </w:r>
          </w:p>
        </w:tc>
        <w:tc>
          <w:tcPr>
            <w:tcW w:w="6954"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交货地点</w:t>
            </w:r>
          </w:p>
        </w:tc>
        <w:tc>
          <w:tcPr>
            <w:tcW w:w="6954"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43" w:type="dxa"/>
            <w:gridSpan w:val="2"/>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质保期</w:t>
            </w:r>
          </w:p>
        </w:tc>
        <w:tc>
          <w:tcPr>
            <w:tcW w:w="6954" w:type="dxa"/>
            <w:gridSpan w:val="6"/>
            <w:vAlign w:val="center"/>
          </w:tcPr>
          <w:p>
            <w:pPr>
              <w:snapToGrid w:val="0"/>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7" w:type="dxa"/>
            <w:gridSpan w:val="8"/>
            <w:vAlign w:val="center"/>
          </w:tcPr>
          <w:p>
            <w:pPr>
              <w:snapToGrid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其中：</w:t>
            </w:r>
          </w:p>
          <w:p>
            <w:pPr>
              <w:spacing w:line="3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属于《节能产品政府采购品目清单》目录内产品的总金额为人民币（大写）：         元（￥            ）；</w:t>
            </w:r>
          </w:p>
          <w:p>
            <w:pPr>
              <w:spacing w:line="3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属于《环境标志产品政府采购品目清单》目录内产品的总金额为人民币（大写）：        元（￥             ）。</w:t>
            </w:r>
          </w:p>
          <w:p>
            <w:pPr>
              <w:spacing w:line="3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pacing w:val="-6"/>
                <w:szCs w:val="21"/>
                <w:highlight w:val="none"/>
                <w14:textFill>
                  <w14:solidFill>
                    <w14:schemeClr w14:val="tx1"/>
                  </w14:solidFill>
                </w14:textFill>
              </w:rPr>
              <w:t>备注：若不属于《节能产品政府采购品目清单》及《环境标志产品政府采购品目清单》目录内产品的，则该处填写“无”字样。</w:t>
            </w:r>
          </w:p>
        </w:tc>
      </w:tr>
    </w:tbl>
    <w:p>
      <w:pPr>
        <w:pStyle w:val="20"/>
        <w:rPr>
          <w:rFonts w:hAnsi="宋体" w:cs="宋体"/>
          <w:color w:val="000000" w:themeColor="text1"/>
          <w:highlight w:val="none"/>
          <w14:textFill>
            <w14:solidFill>
              <w14:schemeClr w14:val="tx1"/>
            </w14:solidFill>
          </w14:textFill>
        </w:rPr>
      </w:pPr>
    </w:p>
    <w:p>
      <w:pPr>
        <w:pStyle w:val="20"/>
        <w:spacing w:line="400" w:lineRule="exact"/>
        <w:ind w:firstLine="3780" w:firstLineChars="1575"/>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00" w:lineRule="exact"/>
        <w:ind w:firstLine="3780" w:firstLineChars="1575"/>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法定代表人（负责人）或委托代理人签字：</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00" w:lineRule="exact"/>
        <w:ind w:firstLine="3780" w:firstLineChars="157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00" w:lineRule="exact"/>
        <w:rPr>
          <w:rFonts w:hAnsi="宋体" w:cs="宋体"/>
          <w:color w:val="000000" w:themeColor="text1"/>
          <w:highlight w:val="none"/>
          <w14:textFill>
            <w14:solidFill>
              <w14:schemeClr w14:val="tx1"/>
            </w14:solidFill>
          </w14:textFill>
        </w:rPr>
      </w:pPr>
    </w:p>
    <w:p>
      <w:pPr>
        <w:pStyle w:val="20"/>
        <w:spacing w:line="400" w:lineRule="exact"/>
        <w:rPr>
          <w:rFonts w:hAnsi="宋体" w:cs="宋体"/>
          <w:color w:val="000000" w:themeColor="text1"/>
          <w:highlight w:val="none"/>
          <w14:textFill>
            <w14:solidFill>
              <w14:schemeClr w14:val="tx1"/>
            </w14:solidFill>
          </w14:textFill>
        </w:rPr>
      </w:pPr>
    </w:p>
    <w:p>
      <w:pPr>
        <w:spacing w:line="320" w:lineRule="exact"/>
        <w:ind w:left="944" w:hanging="944" w:hangingChars="448"/>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说明：</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1、所有价格均系用人民币表示，单位为元，精确到小数点后两位。</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本表可扩展，并逐页签字及加盖公章，否则，未按要求填写、无签名盖章的，投标无效。</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3、报价指本次采购范围内货物价款、货物随配标准附件、包装、运输、装卸、保险、税金、货到位以及安装、调试、检验、售后服务、保修及其他所有成本费用的总和，投标人应综合考虑在报价中。</w:t>
      </w:r>
    </w:p>
    <w:p>
      <w:pPr>
        <w:spacing w:line="320" w:lineRule="exact"/>
        <w:ind w:left="315" w:hanging="315" w:hanging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如全部或部分产品属于《节能产品政府采购品目清单》非“★”标注或《环境标志产品政府采购品目清单》目录范围的，投标人应提供中国政府采购网（www.ccgp.gov.cn）认证结果信息发布平台的证书查询结果和产品认证证书复印件并加盖投标人公章，以便评标委员会作为优先采购或评审的依据。</w:t>
      </w:r>
    </w:p>
    <w:p>
      <w:pPr>
        <w:pStyle w:val="175"/>
        <w:shd w:val="clear" w:color="auto" w:fill="FFFFFF"/>
        <w:spacing w:before="0" w:beforeAutospacing="0" w:after="0" w:afterAutospacing="0"/>
        <w:jc w:val="right"/>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投标声明书（格式）</w:t>
      </w:r>
    </w:p>
    <w:p>
      <w:pPr>
        <w:pStyle w:val="165"/>
        <w:spacing w:line="360" w:lineRule="exact"/>
        <w:ind w:firstLine="480"/>
        <w:rPr>
          <w:rFonts w:ascii="宋体" w:hAnsi="宋体" w:cs="宋体"/>
          <w:color w:val="000000" w:themeColor="text1"/>
          <w:szCs w:val="24"/>
          <w:highlight w:val="none"/>
          <w14:textFill>
            <w14:solidFill>
              <w14:schemeClr w14:val="tx1"/>
            </w14:solidFill>
          </w14:textFill>
        </w:rPr>
      </w:pPr>
    </w:p>
    <w:p>
      <w:pPr>
        <w:spacing w:line="3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致：</w:t>
      </w:r>
      <w:r>
        <w:rPr>
          <w:rFonts w:hint="eastAsia" w:ascii="宋体" w:hAnsi="宋体" w:cs="宋体"/>
          <w:color w:val="000000" w:themeColor="text1"/>
          <w:sz w:val="24"/>
          <w:highlight w:val="none"/>
          <w:u w:val="single"/>
          <w14:textFill>
            <w14:solidFill>
              <w14:schemeClr w14:val="tx1"/>
            </w14:solidFill>
          </w14:textFill>
        </w:rPr>
        <w:t>（采购代理机构名称）</w:t>
      </w:r>
    </w:p>
    <w:p>
      <w:pPr>
        <w:spacing w:line="3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（投标人名称）系中华人民共和国合法企业，经营地址</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（姓名）系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（投标人名称）的法定代表人（负责人），我方愿意参加贵方组织的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（项目名称及项目编号）项目的政府采购活动，为便于贵方公正、择优地确定中标人及其投标产品和服务，我方就本次投标有关事项郑重声明如下： </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1、我方向贵方提交的所有投标文件、资料都是准确的和真实的。</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2、我方不是采购人的附属机构；也不是为本项目提供整体设计、编制规范或者项目管理、监理、检测等服务的投标人或其附属机构。</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3、我方承诺在参加本政府采购项目活动前，没有被纳入政府部门或银行认定的失信名单，我方具有良好的商业信誉。</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我方及由本人承诺在参加本项目的政府采购活动前三年内，在经营活动中没有重大违法记录及不良信用记录。重大违法记录是指投标人因违法经营受到刑事处罚或者责令停产停业、吊销许可证或者执照、较大数额罚款等行政处罚。未被列入失信被执行人、重大税收违法案件当事人名单、政府采购严重违法失信行为记录名单。</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5、我方承诺具有履行本项目合同所必需的设备和专业技术能力。</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6、根据《中华人民共和国政府采购法实施条例》第五十条要求对政府采购合同进行公</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告，但政府采购合同中涉及国家秘密、商业秘密的内容除外。我方就对本次响应文件进行注明如下：（两项内容中必须选择一项）</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我方本次响应文件内容中未涉及商业秘密；</w:t>
      </w: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我方本次响应文件涉及商业秘密的内容有：</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exact"/>
        <w:ind w:firstLine="420"/>
        <w:rPr>
          <w:rFonts w:ascii="宋体" w:hAnsi="宋体" w:cs="宋体"/>
          <w:color w:val="000000" w:themeColor="text1"/>
          <w:sz w:val="24"/>
          <w:highlight w:val="none"/>
          <w14:textFill>
            <w14:solidFill>
              <w14:schemeClr w14:val="tx1"/>
            </w14:solidFill>
          </w14:textFill>
        </w:rPr>
      </w:pPr>
    </w:p>
    <w:p>
      <w:pPr>
        <w:spacing w:line="36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我方对以上声明负全部法律责任。以上事项如有虚假或隐瞒，我方愿意承担一切后果，并不再寻求任何旨在减轻或免除法律责任的辩解。</w:t>
      </w:r>
    </w:p>
    <w:p>
      <w:pPr>
        <w:pStyle w:val="165"/>
        <w:spacing w:line="360" w:lineRule="exact"/>
        <w:ind w:firstLine="480"/>
        <w:rPr>
          <w:rFonts w:ascii="宋体" w:hAnsi="宋体" w:cs="宋体"/>
          <w:color w:val="000000" w:themeColor="text1"/>
          <w:szCs w:val="24"/>
          <w:highlight w:val="none"/>
          <w14:textFill>
            <w14:solidFill>
              <w14:schemeClr w14:val="tx1"/>
            </w14:solidFill>
          </w14:textFill>
        </w:rPr>
      </w:pPr>
    </w:p>
    <w:p>
      <w:pPr>
        <w:pStyle w:val="165"/>
        <w:spacing w:line="360" w:lineRule="exact"/>
        <w:ind w:firstLine="480"/>
        <w:rPr>
          <w:rFonts w:ascii="宋体" w:hAnsi="宋体" w:cs="宋体"/>
          <w:color w:val="000000" w:themeColor="text1"/>
          <w:szCs w:val="24"/>
          <w:highlight w:val="none"/>
          <w14:textFill>
            <w14:solidFill>
              <w14:schemeClr w14:val="tx1"/>
            </w14:solidFill>
          </w14:textFill>
        </w:rPr>
      </w:pPr>
    </w:p>
    <w:p>
      <w:pPr>
        <w:pStyle w:val="165"/>
        <w:spacing w:line="360" w:lineRule="exact"/>
        <w:ind w:firstLine="480"/>
        <w:rPr>
          <w:rFonts w:hint="eastAsia"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cs="宋体"/>
          <w:color w:val="000000" w:themeColor="text1"/>
          <w:szCs w:val="24"/>
          <w:highlight w:val="none"/>
          <w:lang w:val="en-US" w:eastAsia="zh-CN"/>
          <w14:textFill>
            <w14:solidFill>
              <w14:schemeClr w14:val="tx1"/>
            </w14:solidFill>
          </w14:textFill>
        </w:rPr>
        <w:t xml:space="preserve"> </w:t>
      </w: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投标人（加盖公章）：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p>
    <w:p>
      <w:pPr>
        <w:spacing w:line="360" w:lineRule="exact"/>
        <w:ind w:firstLine="4320" w:firstLineChars="18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法定代表人（负责人）签字或盖章：</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p>
    <w:p>
      <w:pPr>
        <w:spacing w:line="360" w:lineRule="exact"/>
        <w:ind w:firstLine="4320" w:firstLineChars="18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Style w:val="20"/>
        <w:spacing w:line="44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highlight w:val="none"/>
          <w:u w:val="singl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投标保证金声明（格式）</w:t>
      </w:r>
    </w:p>
    <w:p>
      <w:pPr>
        <w:pStyle w:val="20"/>
        <w:spacing w:line="4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（如以支票、汇票、本票、保函等非现金形式的，不用填此声明，提供复印件）</w:t>
      </w:r>
    </w:p>
    <w:p>
      <w:pPr>
        <w:pStyle w:val="20"/>
        <w:spacing w:line="46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致：广西众联工程项目管理有限公司</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我方参加</w:t>
      </w:r>
      <w:r>
        <w:rPr>
          <w:rFonts w:hint="eastAsia" w:hAnsi="宋体" w:cs="宋体"/>
          <w:color w:val="000000" w:themeColor="text1"/>
          <w:sz w:val="24"/>
          <w:szCs w:val="24"/>
          <w:highlight w:val="none"/>
          <w:u w:val="single"/>
          <w14:textFill>
            <w14:solidFill>
              <w14:schemeClr w14:val="tx1"/>
            </w14:solidFill>
          </w14:textFill>
        </w:rPr>
        <w:t>（项目名称+编号）</w:t>
      </w:r>
      <w:r>
        <w:rPr>
          <w:rFonts w:hint="eastAsia" w:hAnsi="宋体" w:cs="宋体"/>
          <w:color w:val="000000" w:themeColor="text1"/>
          <w:sz w:val="24"/>
          <w:szCs w:val="24"/>
          <w:highlight w:val="none"/>
          <w14:textFill>
            <w14:solidFill>
              <w14:schemeClr w14:val="tx1"/>
            </w14:solidFill>
          </w14:textFill>
        </w:rPr>
        <w:t>的投标，缴纳投标保证金金额如下：</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投标保证金人民币（大写）</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元整（￥</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元）；</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若我方中标，同意你方将该投标保证金转为履约保证金，若不中标，请贵方在退付投标保证金时转入以下账户：</w:t>
      </w:r>
    </w:p>
    <w:p>
      <w:pPr>
        <w:pStyle w:val="20"/>
        <w:spacing w:line="460" w:lineRule="exact"/>
        <w:ind w:firstLine="960" w:firstLineChars="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开户名称：</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60" w:lineRule="exact"/>
        <w:ind w:firstLine="960" w:firstLineChars="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开户银行：</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60" w:lineRule="exact"/>
        <w:ind w:firstLine="960" w:firstLineChars="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银行账号：</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投标单位（盖公章）：</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联系人：</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  址：</w:t>
      </w:r>
    </w:p>
    <w:p>
      <w:pPr>
        <w:pStyle w:val="20"/>
        <w:spacing w:line="460" w:lineRule="exact"/>
        <w:ind w:firstLine="948" w:firstLineChars="395"/>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联系电话（手机）：</w:t>
      </w:r>
    </w:p>
    <w:p>
      <w:pPr>
        <w:pStyle w:val="20"/>
        <w:spacing w:line="460" w:lineRule="exact"/>
        <w:ind w:firstLine="420"/>
        <w:rPr>
          <w:rFonts w:hAnsi="宋体" w:cs="宋体"/>
          <w:color w:val="000000" w:themeColor="text1"/>
          <w:sz w:val="24"/>
          <w:szCs w:val="24"/>
          <w:highlight w:val="none"/>
          <w14:textFill>
            <w14:solidFill>
              <w14:schemeClr w14:val="tx1"/>
            </w14:solidFill>
          </w14:textFill>
        </w:rPr>
      </w:pPr>
    </w:p>
    <w:p>
      <w:pPr>
        <w:pStyle w:val="20"/>
        <w:spacing w:line="460" w:lineRule="exact"/>
        <w:jc w:val="center"/>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（①以转帐方式缴纳的投标保证金的，提供由缴纳凭证复印件并盖单位公章；②以非转账方式递交投标保证金的，提供支票或汇票或本票或保函复印件并盖单位公章）</w:t>
      </w:r>
    </w:p>
    <w:p>
      <w:pPr>
        <w:pStyle w:val="20"/>
        <w:spacing w:line="460" w:lineRule="exact"/>
        <w:ind w:firstLine="420"/>
        <w:rPr>
          <w:rFonts w:hAnsi="宋体" w:cs="宋体"/>
          <w:color w:val="000000" w:themeColor="text1"/>
          <w:sz w:val="24"/>
          <w:szCs w:val="24"/>
          <w:highlight w:val="none"/>
          <w:u w:val="single"/>
          <w14:textFill>
            <w14:solidFill>
              <w14:schemeClr w14:val="tx1"/>
            </w14:solidFill>
          </w14:textFill>
        </w:rPr>
      </w:pPr>
    </w:p>
    <w:p>
      <w:pPr>
        <w:pStyle w:val="20"/>
        <w:spacing w:line="300" w:lineRule="exact"/>
        <w:ind w:firstLine="737"/>
        <w:rPr>
          <w:rFonts w:hAnsi="宋体" w:cs="宋体"/>
          <w:color w:val="000000" w:themeColor="text1"/>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br w:type="page"/>
      </w:r>
    </w:p>
    <w:p>
      <w:pPr>
        <w:spacing w:line="400" w:lineRule="exact"/>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法定代表人（负责人）身份证明（格式）</w:t>
      </w:r>
    </w:p>
    <w:p>
      <w:pPr>
        <w:spacing w:line="500" w:lineRule="exact"/>
        <w:ind w:firstLine="480" w:firstLineChars="200"/>
        <w:rPr>
          <w:rFonts w:ascii="宋体" w:hAnsi="宋体" w:cs="宋体"/>
          <w:color w:val="000000" w:themeColor="text1"/>
          <w:sz w:val="24"/>
          <w:highlight w:val="none"/>
          <w:u w:val="single"/>
          <w14:textFill>
            <w14:solidFill>
              <w14:schemeClr w14:val="tx1"/>
            </w14:solidFill>
          </w14:textFill>
        </w:rPr>
      </w:pP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单位性质：</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成立时间：</w:t>
      </w:r>
      <w:r>
        <w:rPr>
          <w:rFonts w:hint="eastAsia" w:ascii="宋体" w:hAnsi="宋体" w:cs="宋体"/>
          <w:color w:val="000000" w:themeColor="text1"/>
          <w:sz w:val="24"/>
          <w:highlight w:val="none"/>
          <w:u w:val="single"/>
          <w14:textFill>
            <w14:solidFill>
              <w14:schemeClr w14:val="tx1"/>
            </w14:solidFill>
          </w14:textFill>
        </w:rPr>
        <w:t xml:space="preserve">          年        月        日</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经营期限：</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性别：</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年龄：</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身份证：</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5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系</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（投标人名称）的法定代表人（负责人）。</w:t>
      </w:r>
    </w:p>
    <w:p>
      <w:pPr>
        <w:spacing w:line="5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特此证明。</w:t>
      </w:r>
    </w:p>
    <w:p>
      <w:pPr>
        <w:tabs>
          <w:tab w:val="left" w:leader="hyphen" w:pos="7088"/>
        </w:tabs>
        <w:snapToGrid w:val="0"/>
        <w:spacing w:line="500" w:lineRule="exact"/>
        <w:ind w:firstLine="504" w:firstLineChars="210"/>
        <w:rPr>
          <w:rFonts w:ascii="宋体" w:hAnsi="宋体" w:cs="宋体"/>
          <w:bCs/>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附：法定代表人（负责人）身份证正背面复印件、营业执照正本或副本复印件（加盖公章）。</w:t>
      </w:r>
    </w:p>
    <w:p>
      <w:pPr>
        <w:pStyle w:val="20"/>
        <w:rPr>
          <w:rFonts w:hAnsi="宋体" w:cs="宋体"/>
          <w:bCs/>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ind w:firstLine="3360" w:firstLineChars="1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rPr>
          <w:rFonts w:hAnsi="宋体" w:cs="宋体"/>
          <w:color w:val="000000" w:themeColor="text1"/>
          <w:sz w:val="24"/>
          <w:szCs w:val="24"/>
          <w:highlight w:val="none"/>
          <w14:textFill>
            <w14:solidFill>
              <w14:schemeClr w14:val="tx1"/>
            </w14:solidFill>
          </w14:textFill>
        </w:rPr>
      </w:pPr>
    </w:p>
    <w:p>
      <w:pPr>
        <w:pStyle w:val="20"/>
        <w:ind w:firstLine="3360" w:firstLineChars="1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年    月    日</w:t>
      </w:r>
    </w:p>
    <w:p>
      <w:pPr>
        <w:rPr>
          <w:rFonts w:ascii="宋体" w:hAnsi="宋体" w:cs="宋体"/>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p>
    <w:p>
      <w:pPr>
        <w:spacing w:line="500" w:lineRule="exact"/>
        <w:rPr>
          <w:rFonts w:ascii="宋体" w:hAnsi="宋体" w:cs="宋体"/>
          <w:bCs/>
          <w:color w:val="000000" w:themeColor="text1"/>
          <w:sz w:val="24"/>
          <w:highlight w:val="none"/>
          <w14:textFill>
            <w14:solidFill>
              <w14:schemeClr w14:val="tx1"/>
            </w14:solidFill>
          </w14:textFill>
        </w:rPr>
      </w:pPr>
    </w:p>
    <w:p>
      <w:pPr>
        <w:pStyle w:val="20"/>
        <w:spacing w:line="360" w:lineRule="exact"/>
        <w:ind w:left="620" w:hanging="620" w:hangingChars="294"/>
        <w:rPr>
          <w:rFonts w:hAnsi="宋体" w:cs="宋体"/>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说明：</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1、未附法定代表人（负责人）身份证正背面复印件、营业执照正本或副本的复印件（加盖公章）的，证明无效。</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2、“法定代表人（负责人）身份证明”除在投标文件须附有，法定代表人（负责人）出席开标会议时，应另外随身携带本“法定代表人（负责人）身份证明”原件一份以及本人身份证原件，以备核查。</w:t>
      </w:r>
    </w:p>
    <w:p>
      <w:pPr>
        <w:pStyle w:val="20"/>
        <w:spacing w:line="300" w:lineRule="exact"/>
        <w:ind w:firstLine="737"/>
        <w:rPr>
          <w:rFonts w:hAnsi="宋体" w:cs="宋体"/>
          <w:color w:val="000000" w:themeColor="text1"/>
          <w:highlight w:val="none"/>
          <w14:textFill>
            <w14:solidFill>
              <w14:schemeClr w14:val="tx1"/>
            </w14:solidFill>
          </w14:textFill>
        </w:rPr>
      </w:pPr>
      <w:r>
        <w:rPr>
          <w:rFonts w:hint="eastAsia" w:hAnsi="宋体" w:cs="宋体"/>
          <w:color w:val="000000" w:themeColor="text1"/>
          <w:sz w:val="28"/>
          <w:szCs w:val="28"/>
          <w:highlight w:val="none"/>
          <w14:textFill>
            <w14:solidFill>
              <w14:schemeClr w14:val="tx1"/>
            </w14:solidFill>
          </w14:textFill>
        </w:rPr>
        <w:br w:type="page"/>
      </w:r>
    </w:p>
    <w:p>
      <w:pPr>
        <w:spacing w:line="400" w:lineRule="exact"/>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法定代表人（负责人）授权委托书</w:t>
      </w:r>
      <w:r>
        <w:rPr>
          <w:rFonts w:hint="eastAsia" w:ascii="宋体" w:hAnsi="宋体" w:cs="宋体"/>
          <w:b/>
          <w:color w:val="000000" w:themeColor="text1"/>
          <w:sz w:val="32"/>
          <w:szCs w:val="32"/>
          <w:highlight w:val="none"/>
          <w14:textFill>
            <w14:solidFill>
              <w14:schemeClr w14:val="tx1"/>
            </w14:solidFill>
          </w14:textFill>
        </w:rPr>
        <w:t>（格式）</w:t>
      </w:r>
    </w:p>
    <w:p>
      <w:pPr>
        <w:pStyle w:val="20"/>
        <w:spacing w:line="460" w:lineRule="exact"/>
        <w:rPr>
          <w:rFonts w:hAnsi="宋体" w:cs="宋体"/>
          <w:color w:val="000000" w:themeColor="text1"/>
          <w:sz w:val="24"/>
          <w:szCs w:val="24"/>
          <w:highlight w:val="none"/>
          <w14:textFill>
            <w14:solidFill>
              <w14:schemeClr w14:val="tx1"/>
            </w14:solidFill>
          </w14:textFill>
        </w:rPr>
      </w:pPr>
    </w:p>
    <w:p>
      <w:pPr>
        <w:pStyle w:val="20"/>
        <w:spacing w:line="46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致：</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（采购代理机构名称）：</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本授权委托书声明：我</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（姓名）系</w:t>
      </w:r>
      <w:r>
        <w:rPr>
          <w:rFonts w:hint="eastAsia" w:hAnsi="宋体" w:cs="宋体"/>
          <w:color w:val="000000" w:themeColor="text1"/>
          <w:sz w:val="24"/>
          <w:szCs w:val="24"/>
          <w:highlight w:val="none"/>
          <w:u w:val="single"/>
          <w14:textFill>
            <w14:solidFill>
              <w14:schemeClr w14:val="tx1"/>
            </w14:solidFill>
          </w14:textFill>
        </w:rPr>
        <w:t>（投标单位名称）</w:t>
      </w:r>
      <w:r>
        <w:rPr>
          <w:rFonts w:hint="eastAsia" w:hAnsi="宋体" w:cs="宋体"/>
          <w:color w:val="000000" w:themeColor="text1"/>
          <w:sz w:val="24"/>
          <w:szCs w:val="24"/>
          <w:highlight w:val="none"/>
          <w14:textFill>
            <w14:solidFill>
              <w14:schemeClr w14:val="tx1"/>
            </w14:solidFill>
          </w14:textFill>
        </w:rPr>
        <w:t>的法定代表人（负责人），现授权委托本单位在职职工</w:t>
      </w:r>
      <w:r>
        <w:rPr>
          <w:rFonts w:hint="eastAsia" w:hAnsi="宋体" w:cs="宋体"/>
          <w:color w:val="000000" w:themeColor="text1"/>
          <w:sz w:val="24"/>
          <w:szCs w:val="24"/>
          <w:highlight w:val="none"/>
          <w:u w:val="single"/>
          <w14:textFill>
            <w14:solidFill>
              <w14:schemeClr w14:val="tx1"/>
            </w14:solidFill>
          </w14:textFill>
        </w:rPr>
        <w:t>（姓名）</w:t>
      </w:r>
      <w:r>
        <w:rPr>
          <w:rFonts w:hint="eastAsia" w:hAnsi="宋体" w:cs="宋体"/>
          <w:color w:val="000000" w:themeColor="text1"/>
          <w:sz w:val="24"/>
          <w:szCs w:val="24"/>
          <w:highlight w:val="none"/>
          <w14:textFill>
            <w14:solidFill>
              <w14:schemeClr w14:val="tx1"/>
            </w14:solidFill>
          </w14:textFill>
        </w:rPr>
        <w:t>为我公司被授权人，以我方的名义参加</w:t>
      </w:r>
      <w:r>
        <w:rPr>
          <w:rFonts w:hint="eastAsia" w:hAnsi="宋体" w:cs="宋体"/>
          <w:color w:val="000000" w:themeColor="text1"/>
          <w:sz w:val="24"/>
          <w:szCs w:val="24"/>
          <w:highlight w:val="none"/>
          <w:u w:val="single"/>
          <w14:textFill>
            <w14:solidFill>
              <w14:schemeClr w14:val="tx1"/>
            </w14:solidFill>
          </w14:textFill>
        </w:rPr>
        <w:t>（</w:t>
      </w:r>
      <w:r>
        <w:rPr>
          <w:rFonts w:hint="eastAsia" w:hAnsi="宋体" w:cs="宋体"/>
          <w:bCs/>
          <w:color w:val="000000" w:themeColor="text1"/>
          <w:sz w:val="24"/>
          <w:szCs w:val="24"/>
          <w:highlight w:val="none"/>
          <w:u w:val="single"/>
          <w14:textFill>
            <w14:solidFill>
              <w14:schemeClr w14:val="tx1"/>
            </w14:solidFill>
          </w14:textFill>
        </w:rPr>
        <w:t>项目名称+项目编号）</w:t>
      </w:r>
      <w:r>
        <w:rPr>
          <w:rFonts w:hint="eastAsia" w:hAnsi="宋体" w:cs="宋体"/>
          <w:color w:val="000000" w:themeColor="text1"/>
          <w:sz w:val="24"/>
          <w:szCs w:val="24"/>
          <w:highlight w:val="none"/>
          <w14:textFill>
            <w14:solidFill>
              <w14:schemeClr w14:val="tx1"/>
            </w14:solidFill>
          </w14:textFill>
        </w:rPr>
        <w:t>的政府采购活动，并代表我方全权办理上述项目的投标、开标、评标、签约等具体事务和签署相关文件。</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我方对被授权人的签名事项负全部责任。</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被授权人在授权委托书有效期内签署的所有文件不因授权委托的撤销而失效，除非有撤销授权委托的书面通知，本授权委托书自投标开始至合同履行完毕止。</w:t>
      </w:r>
    </w:p>
    <w:p>
      <w:pPr>
        <w:pStyle w:val="20"/>
        <w:spacing w:line="46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被授权人无转委托权。特此委托。</w:t>
      </w:r>
    </w:p>
    <w:p>
      <w:pPr>
        <w:snapToGrid w:val="0"/>
        <w:spacing w:line="500" w:lineRule="exact"/>
        <w:rPr>
          <w:rFonts w:ascii="宋体" w:hAnsi="宋体" w:cs="宋体"/>
          <w:color w:val="000000" w:themeColor="text1"/>
          <w:sz w:val="24"/>
          <w:highlight w:val="none"/>
          <w14:textFill>
            <w14:solidFill>
              <w14:schemeClr w14:val="tx1"/>
            </w14:solidFill>
          </w14:textFill>
        </w:rPr>
      </w:pPr>
    </w:p>
    <w:p>
      <w:pPr>
        <w:tabs>
          <w:tab w:val="left" w:pos="5040"/>
        </w:tabs>
        <w:snapToGrid w:val="0"/>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法定代表人（负责人）签字或盖章：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被授权人签字或盖章：</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5040"/>
        </w:tabs>
        <w:snapToGrid w:val="0"/>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职务：</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5040"/>
        </w:tabs>
        <w:snapToGrid w:val="0"/>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授权人身份证号码：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被授权人身份证号码：</w:t>
      </w:r>
      <w:r>
        <w:rPr>
          <w:rFonts w:hint="eastAsia" w:ascii="宋体" w:hAnsi="宋体" w:cs="宋体"/>
          <w:color w:val="000000" w:themeColor="text1"/>
          <w:sz w:val="24"/>
          <w:highlight w:val="none"/>
          <w:u w:val="single"/>
          <w14:textFill>
            <w14:solidFill>
              <w14:schemeClr w14:val="tx1"/>
            </w14:solidFill>
          </w14:textFill>
        </w:rPr>
        <w:t xml:space="preserve">                </w:t>
      </w:r>
    </w:p>
    <w:p>
      <w:pPr>
        <w:pStyle w:val="20"/>
        <w:spacing w:line="5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附：法定代表人（负责人）身份证正背面复印件、委托代理人身份证正背面复印件（加盖公章）。</w:t>
      </w: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rPr>
          <w:rFonts w:hAnsi="宋体" w:cs="宋体"/>
          <w:bCs/>
          <w:color w:val="000000" w:themeColor="text1"/>
          <w:sz w:val="24"/>
          <w:szCs w:val="24"/>
          <w:highlight w:val="none"/>
          <w14:textFill>
            <w14:solidFill>
              <w14:schemeClr w14:val="tx1"/>
            </w14:solidFill>
          </w14:textFill>
        </w:rPr>
      </w:pPr>
    </w:p>
    <w:p>
      <w:pPr>
        <w:pStyle w:val="20"/>
        <w:ind w:firstLine="3360" w:firstLineChars="140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 xml:space="preserve"> </w:t>
      </w:r>
    </w:p>
    <w:p>
      <w:pPr>
        <w:pStyle w:val="20"/>
        <w:ind w:firstLine="3360" w:firstLineChars="1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p>
    <w:p>
      <w:pPr>
        <w:rPr>
          <w:rFonts w:ascii="宋体" w:hAnsi="宋体" w:cs="宋体"/>
          <w:color w:val="000000" w:themeColor="text1"/>
          <w:sz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400" w:lineRule="exact"/>
        <w:rPr>
          <w:rFonts w:hAnsi="宋体" w:cs="宋体"/>
          <w:color w:val="000000" w:themeColor="text1"/>
          <w:sz w:val="24"/>
          <w:szCs w:val="24"/>
          <w:highlight w:val="none"/>
          <w14:textFill>
            <w14:solidFill>
              <w14:schemeClr w14:val="tx1"/>
            </w14:solidFill>
          </w14:textFill>
        </w:rPr>
      </w:pPr>
    </w:p>
    <w:p>
      <w:pPr>
        <w:pStyle w:val="20"/>
        <w:spacing w:line="360" w:lineRule="exact"/>
        <w:ind w:left="620" w:hanging="620" w:hangingChars="294"/>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说明：</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1、未附法定代表人（负责人）身份证正背面复印件、委托代理人身份证正背面复印件（加盖公章）的，授权委托书无效。</w:t>
      </w:r>
    </w:p>
    <w:p>
      <w:pPr>
        <w:pStyle w:val="20"/>
        <w:spacing w:line="360" w:lineRule="exact"/>
        <w:ind w:left="617" w:hanging="617" w:hangingChars="294"/>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2、“法定代表人（负责人）授权委托书”除在投标文件须附有，授权委托代理人出席开标会议时，应另外随身携带本“法定代表人（负责人）授权委托书”原件一份以及本人身份证原件，以备核查。</w:t>
      </w:r>
    </w:p>
    <w:p>
      <w:pPr>
        <w:spacing w:line="300" w:lineRule="exact"/>
        <w:ind w:left="360" w:hanging="360" w:hangingChars="1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p>
    <w:p>
      <w:pPr>
        <w:spacing w:line="320" w:lineRule="exact"/>
        <w:ind w:left="315" w:hanging="315" w:hangingChars="150"/>
        <w:rPr>
          <w:rFonts w:ascii="宋体" w:hAnsi="宋体" w:cs="宋体"/>
          <w:bCs/>
          <w:color w:val="000000" w:themeColor="text1"/>
          <w:highlight w:val="none"/>
          <w14:textFill>
            <w14:solidFill>
              <w14:schemeClr w14:val="tx1"/>
            </w14:solidFill>
          </w14:textFill>
        </w:rPr>
      </w:pPr>
    </w:p>
    <w:p>
      <w:pPr>
        <w:pStyle w:val="20"/>
        <w:jc w:val="center"/>
        <w:rPr>
          <w:rFonts w:hAnsi="宋体" w:cs="宋体"/>
          <w:b/>
          <w:color w:val="000000" w:themeColor="text1"/>
          <w:sz w:val="32"/>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商务条款响应表（格式）</w:t>
      </w:r>
    </w:p>
    <w:p>
      <w:pPr>
        <w:pStyle w:val="20"/>
        <w:ind w:firstLine="3373" w:firstLineChars="1200"/>
        <w:rPr>
          <w:rFonts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一般商务条款响应表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830"/>
        <w:gridCol w:w="1119"/>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5830" w:type="dxa"/>
            <w:vAlign w:val="center"/>
          </w:tcPr>
          <w:p>
            <w:pPr>
              <w:snapToGrid w:val="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商务条款要求</w:t>
            </w:r>
          </w:p>
        </w:tc>
        <w:tc>
          <w:tcPr>
            <w:tcW w:w="1119" w:type="dxa"/>
            <w:vAlign w:val="center"/>
          </w:tcPr>
          <w:p>
            <w:pPr>
              <w:snapToGrid w:val="0"/>
              <w:ind w:left="-105" w:leftChars="-50" w:right="-105" w:rightChars="-5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是否响应</w:t>
            </w:r>
          </w:p>
        </w:tc>
        <w:tc>
          <w:tcPr>
            <w:tcW w:w="1723" w:type="dxa"/>
            <w:vAlign w:val="center"/>
          </w:tcPr>
          <w:p>
            <w:pPr>
              <w:snapToGrid w:val="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完全理解并接受合同条款要求</w:t>
            </w:r>
          </w:p>
        </w:tc>
        <w:tc>
          <w:tcPr>
            <w:tcW w:w="1119"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完全理解并接受对合格投标人、合格的货物、工程和服务要求</w:t>
            </w:r>
          </w:p>
        </w:tc>
        <w:tc>
          <w:tcPr>
            <w:tcW w:w="1119"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完全理解并接受对投标人的各项须知、规约要求和责任义务</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5830" w:type="dxa"/>
            <w:vAlign w:val="center"/>
          </w:tcPr>
          <w:p>
            <w:pPr>
              <w:pStyle w:val="20"/>
              <w:snapToGrid w:val="0"/>
              <w:ind w:left="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投标有效期：投标截止日期后60天。</w:t>
            </w:r>
          </w:p>
          <w:p>
            <w:pPr>
              <w:pStyle w:val="20"/>
              <w:snapToGrid w:val="0"/>
              <w:ind w:left="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[注：投标保证金有效期应比投标有效期延长25日。]</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报价内容均涵盖报价要求之一切费用和伴随服务</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所提供的报价不高于本公司目前的报价水平</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交货时间（安装、调试、培训完</w:t>
            </w:r>
            <w:r>
              <w:rPr>
                <w:rFonts w:hint="eastAsia" w:ascii="宋体" w:hAnsi="宋体" w:cs="宋体"/>
                <w:color w:val="000000" w:themeColor="text1"/>
                <w:szCs w:val="21"/>
                <w:highlight w:val="none"/>
                <w14:textFill>
                  <w14:solidFill>
                    <w14:schemeClr w14:val="tx1"/>
                  </w14:solidFill>
                </w14:textFill>
              </w:rPr>
              <w:t>）</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GB"/>
                <w14:textFill>
                  <w14:solidFill>
                    <w14:schemeClr w14:val="tx1"/>
                  </w14:solidFill>
                </w14:textFill>
              </w:rPr>
              <w:t>同意接受合同范本所列述的各项条款</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firstLine="120" w:firstLineChars="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同意按本项目要求缴付相关款项</w:t>
            </w:r>
          </w:p>
        </w:tc>
        <w:tc>
          <w:tcPr>
            <w:tcW w:w="1119" w:type="dxa"/>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5830" w:type="dxa"/>
            <w:vAlign w:val="center"/>
          </w:tcPr>
          <w:p>
            <w:pPr>
              <w:pStyle w:val="27"/>
              <w:snapToGrid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同意采购方以任何形式对我方投标文件内容的真实性和有效性进行审查、验证</w:t>
            </w:r>
          </w:p>
        </w:tc>
        <w:tc>
          <w:tcPr>
            <w:tcW w:w="1119" w:type="dxa"/>
            <w:vAlign w:val="center"/>
          </w:tcPr>
          <w:p>
            <w:pPr>
              <w:pStyle w:val="185"/>
              <w:snapToGrid w:val="0"/>
              <w:rPr>
                <w:rFonts w:ascii="宋体" w:hAnsi="宋体" w:cs="宋体"/>
                <w:color w:val="000000" w:themeColor="text1"/>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jc w:val="both"/>
              <w:textAlignment w:val="auto"/>
              <w:rPr>
                <w:rFonts w:ascii="宋体" w:hAnsi="宋体" w:cs="宋体"/>
                <w:color w:val="000000" w:themeColor="text1"/>
                <w:spacing w:val="0"/>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12</w:t>
            </w:r>
          </w:p>
        </w:tc>
        <w:tc>
          <w:tcPr>
            <w:tcW w:w="5830" w:type="dxa"/>
            <w:vAlign w:val="center"/>
          </w:tcPr>
          <w:p>
            <w:pPr>
              <w:snapToGrid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其它商务条款偏离说明：</w:t>
            </w:r>
          </w:p>
        </w:tc>
        <w:tc>
          <w:tcPr>
            <w:tcW w:w="1119" w:type="dxa"/>
            <w:vAlign w:val="center"/>
          </w:tcPr>
          <w:p>
            <w:pPr>
              <w:pStyle w:val="185"/>
              <w:snapToGrid w:val="0"/>
              <w:rPr>
                <w:rFonts w:ascii="宋体" w:hAnsi="宋体" w:cs="宋体"/>
                <w:color w:val="000000" w:themeColor="text1"/>
                <w:highlight w:val="none"/>
                <w14:textFill>
                  <w14:solidFill>
                    <w14:schemeClr w14:val="tx1"/>
                  </w14:solidFill>
                </w14:textFill>
              </w:rPr>
            </w:pPr>
          </w:p>
        </w:tc>
        <w:tc>
          <w:tcPr>
            <w:tcW w:w="1723" w:type="dxa"/>
            <w:vAlign w:val="center"/>
          </w:tcPr>
          <w:p>
            <w:pPr>
              <w:pStyle w:val="186"/>
              <w:keepNext w:val="0"/>
              <w:adjustRightInd/>
              <w:snapToGrid w:val="0"/>
              <w:spacing w:before="0" w:after="0" w:line="240" w:lineRule="auto"/>
              <w:jc w:val="both"/>
              <w:textAlignment w:val="auto"/>
              <w:rPr>
                <w:rFonts w:ascii="宋体" w:hAnsi="宋体" w:cs="宋体"/>
                <w:color w:val="000000" w:themeColor="text1"/>
                <w:spacing w:val="0"/>
                <w:kern w:val="2"/>
                <w:highlight w:val="none"/>
                <w14:textFill>
                  <w14:solidFill>
                    <w14:schemeClr w14:val="tx1"/>
                  </w14:solidFill>
                </w14:textFill>
              </w:rPr>
            </w:pPr>
          </w:p>
        </w:tc>
      </w:tr>
    </w:tbl>
    <w:p>
      <w:pPr>
        <w:pStyle w:val="20"/>
        <w:spacing w:line="400" w:lineRule="exact"/>
        <w:jc w:val="left"/>
        <w:rPr>
          <w:rFonts w:hAnsi="宋体" w:cs="宋体"/>
          <w:b/>
          <w:color w:val="000000" w:themeColor="text1"/>
          <w:sz w:val="24"/>
          <w:szCs w:val="24"/>
          <w:highlight w:val="none"/>
          <w:u w:val="single"/>
          <w14:textFill>
            <w14:solidFill>
              <w14:schemeClr w14:val="tx1"/>
            </w14:solidFill>
          </w14:textFill>
        </w:rPr>
      </w:pP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投标人（加盖单位公章）：</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p>
    <w:p>
      <w:pPr>
        <w:spacing w:line="320" w:lineRule="exact"/>
        <w:ind w:left="944" w:hanging="944" w:hangingChars="448"/>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说明：</w:t>
      </w:r>
    </w:p>
    <w:p>
      <w:pPr>
        <w:pStyle w:val="20"/>
        <w:spacing w:line="320" w:lineRule="exact"/>
        <w:ind w:left="315" w:hanging="315" w:hangingChars="150"/>
        <w:jc w:val="left"/>
        <w:rPr>
          <w:rFonts w:hAnsi="宋体" w:cs="宋体"/>
          <w:color w:val="000000" w:themeColor="text1"/>
          <w:highlight w:val="none"/>
          <w:lang w:val="en-GB"/>
          <w14:textFill>
            <w14:solidFill>
              <w14:schemeClr w14:val="tx1"/>
            </w14:solidFill>
          </w14:textFill>
        </w:rPr>
      </w:pPr>
      <w:r>
        <w:rPr>
          <w:rFonts w:hint="eastAsia" w:hAnsi="宋体" w:cs="宋体"/>
          <w:color w:val="000000" w:themeColor="text1"/>
          <w:highlight w:val="none"/>
          <w:lang w:val="en-GB"/>
          <w14:textFill>
            <w14:solidFill>
              <w14:schemeClr w14:val="tx1"/>
            </w14:solidFill>
          </w14:textFill>
        </w:rPr>
        <w:t>1、对于上述要求，如投标人完全响应，则请在“是否响应”栏内打“√”，空白或打“×”视为偏离，请在</w:t>
      </w:r>
      <w:r>
        <w:rPr>
          <w:rFonts w:hint="eastAsia" w:hAnsi="宋体" w:cs="宋体"/>
          <w:color w:val="000000" w:themeColor="text1"/>
          <w:highlight w:val="none"/>
          <w14:textFill>
            <w14:solidFill>
              <w14:schemeClr w14:val="tx1"/>
            </w14:solidFill>
          </w14:textFill>
        </w:rPr>
        <w:t>“偏离说明”</w:t>
      </w:r>
      <w:r>
        <w:rPr>
          <w:rFonts w:hint="eastAsia" w:hAnsi="宋体" w:cs="宋体"/>
          <w:color w:val="000000" w:themeColor="text1"/>
          <w:highlight w:val="none"/>
          <w:lang w:val="en-GB"/>
          <w14:textFill>
            <w14:solidFill>
              <w14:schemeClr w14:val="tx1"/>
            </w14:solidFill>
          </w14:textFill>
        </w:rPr>
        <w:t>栏内扼要说明偏离情况。</w:t>
      </w:r>
    </w:p>
    <w:p>
      <w:pPr>
        <w:pStyle w:val="20"/>
        <w:spacing w:line="32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2、特别对有具体重要要求的指标，投标人必须说有具体内容。如果仅注明“符合”、“满足”或简单复制招标文件中的要求，该投标文件视为无效。</w:t>
      </w:r>
    </w:p>
    <w:p>
      <w:pPr>
        <w:pStyle w:val="20"/>
        <w:spacing w:line="32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lang w:val="en-GB"/>
          <w14:textFill>
            <w14:solidFill>
              <w14:schemeClr w14:val="tx1"/>
            </w14:solidFill>
          </w14:textFill>
        </w:rPr>
        <w:t>3、本表内容</w:t>
      </w:r>
      <w:r>
        <w:rPr>
          <w:rFonts w:hint="eastAsia" w:hAnsi="宋体" w:cs="宋体"/>
          <w:color w:val="000000" w:themeColor="text1"/>
          <w:highlight w:val="none"/>
          <w14:textFill>
            <w14:solidFill>
              <w14:schemeClr w14:val="tx1"/>
            </w14:solidFill>
          </w14:textFill>
        </w:rPr>
        <w:t>不得</w:t>
      </w:r>
      <w:r>
        <w:rPr>
          <w:rFonts w:hint="eastAsia" w:hAnsi="宋体" w:cs="宋体"/>
          <w:color w:val="000000" w:themeColor="text1"/>
          <w:highlight w:val="none"/>
          <w:lang w:val="en-GB"/>
          <w14:textFill>
            <w14:solidFill>
              <w14:schemeClr w14:val="tx1"/>
            </w14:solidFill>
          </w14:textFill>
        </w:rPr>
        <w:t>擅自修改，否则</w:t>
      </w:r>
      <w:r>
        <w:rPr>
          <w:rFonts w:hint="eastAsia" w:hAnsi="宋体" w:cs="宋体"/>
          <w:color w:val="000000" w:themeColor="text1"/>
          <w:highlight w:val="none"/>
          <w14:textFill>
            <w14:solidFill>
              <w14:schemeClr w14:val="tx1"/>
            </w14:solidFill>
          </w14:textFill>
        </w:rPr>
        <w:t>该投标文件视为无效。</w:t>
      </w:r>
      <w:r>
        <w:rPr>
          <w:rFonts w:hint="eastAsia" w:hAnsi="宋体" w:cs="宋体"/>
          <w:color w:val="000000" w:themeColor="text1"/>
          <w:highlight w:val="none"/>
          <w14:textFill>
            <w14:solidFill>
              <w14:schemeClr w14:val="tx1"/>
            </w14:solidFill>
          </w14:textFill>
        </w:rPr>
        <w:br w:type="page"/>
      </w:r>
    </w:p>
    <w:p>
      <w:pPr>
        <w:pStyle w:val="20"/>
        <w:spacing w:line="400" w:lineRule="exact"/>
        <w:ind w:left="315" w:hanging="315" w:hangingChars="150"/>
        <w:jc w:val="left"/>
        <w:rPr>
          <w:rFonts w:hAnsi="宋体" w:cs="宋体"/>
          <w:color w:val="000000" w:themeColor="text1"/>
          <w:highlight w:val="none"/>
          <w14:textFill>
            <w14:solidFill>
              <w14:schemeClr w14:val="tx1"/>
            </w14:solidFill>
          </w14:textFill>
        </w:rPr>
      </w:pPr>
    </w:p>
    <w:p>
      <w:pPr>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技术要求响应表（格式）</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39"/>
        <w:gridCol w:w="2674"/>
        <w:gridCol w:w="2599"/>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ind w:left="-105" w:leftChars="-50" w:right="-105" w:rightChars="-5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序号</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采购内容</w:t>
            </w: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原技术规范主要条款要求</w:t>
            </w: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投标文件具体响应</w:t>
            </w: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技术偏离情况说明(＋/-/=)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7" w:type="dxa"/>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p>
        </w:tc>
        <w:tc>
          <w:tcPr>
            <w:tcW w:w="193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674"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2599" w:type="dxa"/>
            <w:vAlign w:val="center"/>
          </w:tcPr>
          <w:p>
            <w:pPr>
              <w:pStyle w:val="20"/>
              <w:snapToGrid w:val="0"/>
              <w:jc w:val="center"/>
              <w:rPr>
                <w:rFonts w:hAnsi="宋体" w:cs="宋体"/>
                <w:color w:val="000000" w:themeColor="text1"/>
                <w:highlight w:val="none"/>
                <w14:textFill>
                  <w14:solidFill>
                    <w14:schemeClr w14:val="tx1"/>
                  </w14:solidFill>
                </w14:textFill>
              </w:rPr>
            </w:pPr>
          </w:p>
        </w:tc>
        <w:tc>
          <w:tcPr>
            <w:tcW w:w="1143" w:type="dxa"/>
            <w:vAlign w:val="center"/>
          </w:tcPr>
          <w:p>
            <w:pPr>
              <w:pStyle w:val="20"/>
              <w:snapToGrid w:val="0"/>
              <w:jc w:val="center"/>
              <w:rPr>
                <w:rFonts w:hAnsi="宋体" w:cs="宋体"/>
                <w:color w:val="000000" w:themeColor="text1"/>
                <w:highlight w:val="none"/>
                <w14:textFill>
                  <w14:solidFill>
                    <w14:schemeClr w14:val="tx1"/>
                  </w14:solidFill>
                </w14:textFill>
              </w:rPr>
            </w:pPr>
          </w:p>
        </w:tc>
      </w:tr>
    </w:tbl>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int="default" w:hAnsi="宋体" w:eastAsia="宋体" w:cs="宋体"/>
          <w:color w:val="000000" w:themeColor="text1"/>
          <w:sz w:val="24"/>
          <w:szCs w:val="24"/>
          <w:highlight w:val="none"/>
          <w:u w:val="single"/>
          <w:lang w:val="en-US"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20"/>
        <w:spacing w:line="360" w:lineRule="exact"/>
        <w:jc w:val="left"/>
        <w:rPr>
          <w:rFonts w:hAnsi="宋体" w:cs="宋体"/>
          <w:b/>
          <w:bCs/>
          <w:color w:val="000000" w:themeColor="text1"/>
          <w:highlight w:val="none"/>
          <w14:textFill>
            <w14:solidFill>
              <w14:schemeClr w14:val="tx1"/>
            </w14:solidFill>
          </w14:textFill>
        </w:rPr>
      </w:pPr>
      <w:r>
        <w:rPr>
          <w:rFonts w:hint="eastAsia" w:hAnsi="宋体" w:cs="宋体"/>
          <w:b/>
          <w:bCs/>
          <w:color w:val="000000" w:themeColor="text1"/>
          <w:highlight w:val="none"/>
          <w14:textFill>
            <w14:solidFill>
              <w14:schemeClr w14:val="tx1"/>
            </w14:solidFill>
          </w14:textFill>
        </w:rPr>
        <w:t>说明：</w:t>
      </w:r>
    </w:p>
    <w:p>
      <w:pPr>
        <w:pStyle w:val="20"/>
        <w:spacing w:line="36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投标人必须仔细阅读招标文件中所有技术规范条款和相关功能要求，并对所有技术规范和功能偏离的条目列入响应表。投标人必须根据所投产品和服务的实际情况如实填写，评标委员会如发现有虚假描述的，或仅注明“符合”、“满足”或简单复制招标文件要求，该投标文件视为无效。</w:t>
      </w:r>
    </w:p>
    <w:p>
      <w:pPr>
        <w:pStyle w:val="20"/>
        <w:spacing w:line="36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2、投标人根据项目要求添加的设备、材料等也请列出。</w:t>
      </w:r>
    </w:p>
    <w:p>
      <w:pPr>
        <w:pStyle w:val="20"/>
        <w:spacing w:line="360" w:lineRule="exact"/>
        <w:ind w:left="315" w:hanging="315" w:hangingChars="150"/>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3、是否偏离用符号“+、=、-”分别表示正偏离、完全响应、负偏离。</w:t>
      </w:r>
    </w:p>
    <w:p>
      <w:pPr>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br w:type="page"/>
      </w:r>
    </w:p>
    <w:p>
      <w:pPr>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产品配置清单（格式）</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产品名称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pStyle w:val="20"/>
              <w:snapToGrid w:val="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highlight w:val="none"/>
                <w14:textFill>
                  <w14:solidFill>
                    <w14:schemeClr w14:val="tx1"/>
                  </w14:solidFill>
                </w14:textFill>
              </w:rPr>
            </w:pPr>
          </w:p>
        </w:tc>
      </w:tr>
    </w:tbl>
    <w:p>
      <w:pPr>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投标人（加盖公章）：</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法定代表人（负责人）或委托代理人签名：</w:t>
      </w:r>
      <w:r>
        <w:rPr>
          <w:rFonts w:hint="eastAsia" w:hAnsi="宋体" w:cs="宋体"/>
          <w:color w:val="000000" w:themeColor="text1"/>
          <w:sz w:val="24"/>
          <w:szCs w:val="24"/>
          <w:highlight w:val="none"/>
          <w:u w:val="single"/>
          <w14:textFill>
            <w14:solidFill>
              <w14:schemeClr w14:val="tx1"/>
            </w14:solidFill>
          </w14:textFill>
        </w:rPr>
        <w:t xml:space="preserve">              </w:t>
      </w:r>
    </w:p>
    <w:p>
      <w:pPr>
        <w:pStyle w:val="20"/>
        <w:spacing w:line="600" w:lineRule="exact"/>
        <w:ind w:firstLine="3060"/>
        <w:rPr>
          <w:rFonts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投标日期：</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400" w:lineRule="exact"/>
        <w:ind w:firstLine="210" w:firstLineChars="100"/>
        <w:rPr>
          <w:rFonts w:ascii="宋体" w:hAnsi="宋体" w:cs="宋体"/>
          <w:color w:val="000000" w:themeColor="text1"/>
          <w:highlight w:val="none"/>
          <w:u w:val="single"/>
          <w14:textFill>
            <w14:solidFill>
              <w14:schemeClr w14:val="tx1"/>
            </w14:solidFill>
          </w14:textFill>
        </w:rPr>
      </w:pPr>
    </w:p>
    <w:p>
      <w:pPr>
        <w:spacing w:line="460" w:lineRule="exact"/>
        <w:ind w:left="482" w:hanging="482" w:hangingChars="150"/>
        <w:jc w:val="center"/>
        <w:rPr>
          <w:rFonts w:ascii="宋体" w:hAnsi="宋体" w:cs="宋体"/>
          <w:b/>
          <w:bCs/>
          <w:color w:val="000000" w:themeColor="text1"/>
          <w:sz w:val="32"/>
          <w:szCs w:val="32"/>
          <w:highlight w:val="none"/>
          <w14:textFill>
            <w14:solidFill>
              <w14:schemeClr w14:val="tx1"/>
            </w14:solidFill>
          </w14:textFill>
        </w:rPr>
      </w:pPr>
    </w:p>
    <w:p>
      <w:pPr>
        <w:spacing w:line="460" w:lineRule="exact"/>
        <w:ind w:left="482" w:hanging="482" w:hangingChars="15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br w:type="page"/>
      </w:r>
      <w:r>
        <w:rPr>
          <w:rFonts w:hint="eastAsia" w:ascii="宋体" w:hAnsi="宋体" w:cs="宋体"/>
          <w:b/>
          <w:bCs/>
          <w:color w:val="000000" w:themeColor="text1"/>
          <w:sz w:val="32"/>
          <w:szCs w:val="32"/>
          <w:highlight w:val="none"/>
          <w14:textFill>
            <w14:solidFill>
              <w14:schemeClr w14:val="tx1"/>
            </w14:solidFill>
          </w14:textFill>
        </w:rPr>
        <w:t>售后服务方案</w:t>
      </w:r>
    </w:p>
    <w:p>
      <w:pPr>
        <w:spacing w:line="460" w:lineRule="exact"/>
        <w:ind w:left="482" w:hanging="482" w:hangingChars="1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格式自议，</w:t>
      </w:r>
      <w:r>
        <w:rPr>
          <w:rFonts w:hint="eastAsia" w:ascii="宋体" w:hAnsi="宋体" w:cs="宋体"/>
          <w:color w:val="000000" w:themeColor="text1"/>
          <w:highlight w:val="none"/>
          <w14:textFill>
            <w14:solidFill>
              <w14:schemeClr w14:val="tx1"/>
            </w14:solidFill>
          </w14:textFill>
        </w:rPr>
        <w:t>投标人根据本项目要求及自己的实际情况自行编写，内容包括质保期、本地化服务、技术培训及指导、负责售后维修的主管人员情况、解决故障的响应时间等</w:t>
      </w: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p>
    <w:p>
      <w:pPr>
        <w:spacing w:line="460" w:lineRule="exact"/>
        <w:ind w:left="315" w:hanging="315" w:hangingChars="15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《中小企业声明函》格式（不符合《政府采购促进中小企业发展暂行办法》的供应商不需填写）</w:t>
      </w:r>
    </w:p>
    <w:p>
      <w:pPr>
        <w:pStyle w:val="35"/>
        <w:shd w:val="clear" w:color="auto" w:fill="FFFFFF"/>
        <w:spacing w:before="0" w:beforeAutospacing="0" w:after="0" w:afterAutospacing="0" w:line="400" w:lineRule="exact"/>
        <w:jc w:val="center"/>
        <w:rPr>
          <w:rStyle w:val="43"/>
          <w:color w:val="000000" w:themeColor="text1"/>
          <w:sz w:val="32"/>
          <w:szCs w:val="32"/>
          <w:highlight w:val="none"/>
          <w14:textFill>
            <w14:solidFill>
              <w14:schemeClr w14:val="tx1"/>
            </w14:solidFill>
          </w14:textFill>
        </w:rPr>
      </w:pPr>
    </w:p>
    <w:p>
      <w:pPr>
        <w:pStyle w:val="35"/>
        <w:shd w:val="clear" w:color="auto" w:fill="FFFFFF"/>
        <w:spacing w:before="0" w:beforeAutospacing="0" w:after="0" w:afterAutospacing="0" w:line="400" w:lineRule="exact"/>
        <w:jc w:val="center"/>
        <w:rPr>
          <w:rStyle w:val="43"/>
          <w:color w:val="000000" w:themeColor="text1"/>
          <w:sz w:val="32"/>
          <w:szCs w:val="32"/>
          <w:highlight w:val="none"/>
          <w14:textFill>
            <w14:solidFill>
              <w14:schemeClr w14:val="tx1"/>
            </w14:solidFill>
          </w14:textFill>
        </w:rPr>
      </w:pPr>
      <w:r>
        <w:rPr>
          <w:rStyle w:val="43"/>
          <w:rFonts w:hint="eastAsia"/>
          <w:color w:val="000000" w:themeColor="text1"/>
          <w:sz w:val="32"/>
          <w:szCs w:val="32"/>
          <w:highlight w:val="none"/>
          <w14:textFill>
            <w14:solidFill>
              <w14:schemeClr w14:val="tx1"/>
            </w14:solidFill>
          </w14:textFill>
        </w:rPr>
        <w:t>中小企业声明函</w:t>
      </w:r>
    </w:p>
    <w:p>
      <w:pPr>
        <w:pStyle w:val="35"/>
        <w:shd w:val="clear" w:color="auto" w:fill="FFFFFF"/>
        <w:spacing w:before="0" w:beforeAutospacing="0" w:after="0" w:afterAutospacing="0" w:line="400" w:lineRule="exact"/>
        <w:jc w:val="center"/>
        <w:rPr>
          <w:color w:val="000000" w:themeColor="text1"/>
          <w:sz w:val="32"/>
          <w:szCs w:val="32"/>
          <w:highlight w:val="none"/>
          <w14:textFill>
            <w14:solidFill>
              <w14:schemeClr w14:val="tx1"/>
            </w14:solidFill>
          </w14:textFill>
        </w:rPr>
      </w:pP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本公司郑重声明，根据《政府采购促进中小企业发展暂行办法》（财库〔2011〕181号）的规定，本公司为</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（请填写：中型、小型、微型）企业。即，本公司同时满足以下条件：</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（请填写：中型、小型、微型）企业。</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2.本公司参加</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单位的</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项目采购活动提供本企业制造的货物，由本企业承担工程、提供服务，或者提供其他</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（请填写：中型、小型、微型）企业制造的货物。本条所称货物不包括使用大型企业注册商标的货物。</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本公司对上述声明的真实性负责。如有虚假，将依法承担相应责任。</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14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企业名称（盖章）：</w:t>
      </w:r>
    </w:p>
    <w:p>
      <w:pPr>
        <w:pStyle w:val="35"/>
        <w:shd w:val="clear" w:color="auto" w:fill="FFFFFF"/>
        <w:spacing w:before="0" w:beforeAutospacing="0" w:after="0" w:afterAutospacing="0" w:line="460" w:lineRule="exact"/>
        <w:ind w:firstLine="414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日    期： </w:t>
      </w:r>
    </w:p>
    <w:p>
      <w:pPr>
        <w:spacing w:line="400" w:lineRule="exact"/>
        <w:ind w:firstLine="210" w:firstLineChars="10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ind w:left="315" w:hanging="315" w:hangingChars="150"/>
        <w:rPr>
          <w:rFonts w:ascii="宋体" w:hAnsi="宋体" w:cs="宋体"/>
          <w:color w:val="000000" w:themeColor="text1"/>
          <w:highlight w:val="none"/>
          <w14:textFill>
            <w14:solidFill>
              <w14:schemeClr w14:val="tx1"/>
            </w14:solidFill>
          </w14:textFill>
        </w:rPr>
      </w:pPr>
    </w:p>
    <w:p>
      <w:pPr>
        <w:spacing w:line="3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《小型和微型企业价格扣除明细表》格式（不符合《政府采购促进中小企业发展暂行办法》的供应商不需填写）</w:t>
      </w:r>
    </w:p>
    <w:p>
      <w:pPr>
        <w:pStyle w:val="35"/>
        <w:shd w:val="clear" w:color="auto" w:fill="FFFFFF"/>
        <w:spacing w:before="0" w:beforeAutospacing="0" w:after="0" w:afterAutospacing="0" w:line="400" w:lineRule="exact"/>
        <w:rPr>
          <w:color w:val="000000" w:themeColor="text1"/>
          <w:highlight w:val="none"/>
          <w14:textFill>
            <w14:solidFill>
              <w14:schemeClr w14:val="tx1"/>
            </w14:solidFill>
          </w14:textFill>
        </w:rPr>
      </w:pPr>
    </w:p>
    <w:p>
      <w:pPr>
        <w:pStyle w:val="175"/>
        <w:shd w:val="clear" w:color="auto" w:fill="FFFFFF"/>
        <w:spacing w:before="0" w:beforeAutospacing="0" w:after="0" w:afterAutospacing="0"/>
        <w:ind w:left="1836" w:hanging="1424"/>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小型和微型企业价格扣除明细表</w:t>
      </w: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u w:val="single"/>
          <w14:textFill>
            <w14:solidFill>
              <w14:schemeClr w14:val="tx1"/>
            </w14:solidFill>
          </w14:textFill>
        </w:rPr>
      </w:pPr>
      <w:r>
        <w:rPr>
          <w:rFonts w:hint="eastAsia"/>
          <w:b/>
          <w:color w:val="000000" w:themeColor="text1"/>
          <w:highlight w:val="none"/>
          <w14:textFill>
            <w14:solidFill>
              <w14:schemeClr w14:val="tx1"/>
            </w14:solidFill>
          </w14:textFill>
        </w:rPr>
        <w:t>项目名称：</w:t>
      </w:r>
      <w:r>
        <w:rPr>
          <w:rFonts w:hint="eastAsia"/>
          <w:b/>
          <w:color w:val="000000" w:themeColor="text1"/>
          <w:highlight w:val="none"/>
          <w:u w:val="single"/>
          <w14:textFill>
            <w14:solidFill>
              <w14:schemeClr w14:val="tx1"/>
            </w14:solidFill>
          </w14:textFill>
        </w:rPr>
        <w:t xml:space="preserve">                </w:t>
      </w:r>
    </w:p>
    <w:p>
      <w:pPr>
        <w:pStyle w:val="175"/>
        <w:shd w:val="clear" w:color="auto" w:fill="FFFFFF"/>
        <w:spacing w:before="0" w:beforeAutospacing="0" w:after="0" w:afterAutospacing="0"/>
        <w:rPr>
          <w:b/>
          <w:color w:val="000000" w:themeColor="text1"/>
          <w:highlight w:val="none"/>
          <w:u w:val="single"/>
          <w14:textFill>
            <w14:solidFill>
              <w14:schemeClr w14:val="tx1"/>
            </w14:solidFill>
          </w14:textFill>
        </w:rPr>
      </w:pPr>
      <w:r>
        <w:rPr>
          <w:rFonts w:hint="eastAsia"/>
          <w:b/>
          <w:color w:val="000000" w:themeColor="text1"/>
          <w:highlight w:val="none"/>
          <w14:textFill>
            <w14:solidFill>
              <w14:schemeClr w14:val="tx1"/>
            </w14:solidFill>
          </w14:textFill>
        </w:rPr>
        <w:t>项目编号：</w:t>
      </w:r>
      <w:r>
        <w:rPr>
          <w:rFonts w:hint="eastAsia"/>
          <w:b/>
          <w:color w:val="000000" w:themeColor="text1"/>
          <w:highlight w:val="none"/>
          <w:u w:val="single"/>
          <w14:textFill>
            <w14:solidFill>
              <w14:schemeClr w14:val="tx1"/>
            </w14:solidFill>
          </w14:textFill>
        </w:rPr>
        <w:t xml:space="preserve">                </w:t>
      </w:r>
    </w:p>
    <w:p>
      <w:pPr>
        <w:pStyle w:val="175"/>
        <w:shd w:val="clear" w:color="auto" w:fill="FFFFFF"/>
        <w:spacing w:before="0" w:beforeAutospacing="0" w:after="0" w:afterAutospacing="0"/>
        <w:rPr>
          <w:b/>
          <w:color w:val="000000" w:themeColor="text1"/>
          <w:highlight w:val="none"/>
          <w:u w:val="single"/>
          <w14:textFill>
            <w14:solidFill>
              <w14:schemeClr w14:val="tx1"/>
            </w14:solidFill>
          </w14:textFill>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087"/>
        <w:gridCol w:w="1785"/>
        <w:gridCol w:w="171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小型和微型企业产品名称</w:t>
            </w: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金额</w:t>
            </w:r>
          </w:p>
        </w:tc>
        <w:tc>
          <w:tcPr>
            <w:tcW w:w="1719" w:type="dxa"/>
            <w:vAlign w:val="center"/>
          </w:tcPr>
          <w:p>
            <w:pPr>
              <w:pStyle w:val="158"/>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规定价格扣除（6%）</w:t>
            </w: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相应价格扣除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合计</w:t>
            </w:r>
          </w:p>
        </w:tc>
        <w:tc>
          <w:tcPr>
            <w:tcW w:w="2087"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85"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c>
          <w:tcPr>
            <w:tcW w:w="1719" w:type="dxa"/>
            <w:vAlign w:val="center"/>
          </w:tcPr>
          <w:p>
            <w:pPr>
              <w:pStyle w:val="158"/>
              <w:spacing w:before="0" w:beforeAutospacing="0" w:after="0" w:afterAutospacing="0"/>
              <w:jc w:val="center"/>
              <w:rPr>
                <w:color w:val="000000" w:themeColor="text1"/>
                <w:highlight w:val="none"/>
                <w14:textFill>
                  <w14:solidFill>
                    <w14:schemeClr w14:val="tx1"/>
                  </w14:solidFill>
                </w14:textFill>
              </w:rPr>
            </w:pPr>
          </w:p>
        </w:tc>
      </w:tr>
    </w:tbl>
    <w:p>
      <w:pPr>
        <w:pStyle w:val="158"/>
        <w:shd w:val="clear" w:color="auto" w:fill="FFFFFF"/>
        <w:spacing w:before="0" w:beforeAutospacing="0" w:after="0" w:afterAutospacing="0"/>
        <w:rPr>
          <w:color w:val="000000" w:themeColor="text1"/>
          <w:highlight w:val="none"/>
          <w14:textFill>
            <w14:solidFill>
              <w14:schemeClr w14:val="tx1"/>
            </w14:solidFill>
          </w14:textFill>
        </w:rPr>
      </w:pPr>
    </w:p>
    <w:p>
      <w:pPr>
        <w:pStyle w:val="160"/>
        <w:shd w:val="clear" w:color="auto" w:fill="FFFFFF"/>
        <w:spacing w:before="0" w:beforeAutospacing="0" w:after="0" w:afterAutospacing="0"/>
        <w:rPr>
          <w:color w:val="000000" w:themeColor="text1"/>
          <w:highlight w:val="none"/>
          <w14:textFill>
            <w14:solidFill>
              <w14:schemeClr w14:val="tx1"/>
            </w14:solidFill>
          </w14:textFill>
        </w:rPr>
      </w:pPr>
    </w:p>
    <w:p>
      <w:pPr>
        <w:pStyle w:val="160"/>
        <w:shd w:val="clear" w:color="auto" w:fill="FFFFFF"/>
        <w:spacing w:before="0" w:beforeAutospacing="0" w:after="0" w:afterAutospacing="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 </w:t>
      </w:r>
    </w:p>
    <w:p>
      <w:pPr>
        <w:pStyle w:val="160"/>
        <w:shd w:val="clear" w:color="auto" w:fill="FFFFFF"/>
        <w:spacing w:before="0" w:beforeAutospacing="0" w:after="0" w:afterAutospacing="0"/>
        <w:ind w:firstLine="3780" w:firstLineChars="1575"/>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投标人（加盖公章）：</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p>
    <w:p>
      <w:pPr>
        <w:pStyle w:val="160"/>
        <w:shd w:val="clear" w:color="auto" w:fill="FFFFFF"/>
        <w:spacing w:before="0" w:beforeAutospacing="0" w:after="0" w:afterAutospacing="0"/>
        <w:ind w:firstLine="3780" w:firstLineChars="1575"/>
        <w:rPr>
          <w:color w:val="000000" w:themeColor="text1"/>
          <w:highlight w:val="none"/>
          <w14:textFill>
            <w14:solidFill>
              <w14:schemeClr w14:val="tx1"/>
            </w14:solidFill>
          </w14:textFill>
        </w:rPr>
      </w:pPr>
    </w:p>
    <w:p>
      <w:pPr>
        <w:pStyle w:val="160"/>
        <w:shd w:val="clear" w:color="auto" w:fill="FFFFFF"/>
        <w:spacing w:before="0" w:beforeAutospacing="0" w:after="0" w:afterAutospacing="0"/>
        <w:ind w:firstLine="3780" w:firstLineChars="1575"/>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法定代表人（负责人）或委托代理人（签字）：</w:t>
      </w:r>
      <w:r>
        <w:rPr>
          <w:rFonts w:hint="eastAsia"/>
          <w:color w:val="000000" w:themeColor="text1"/>
          <w:highlight w:val="none"/>
          <w:u w:val="single"/>
          <w14:textFill>
            <w14:solidFill>
              <w14:schemeClr w14:val="tx1"/>
            </w14:solidFill>
          </w14:textFill>
        </w:rPr>
        <w:t xml:space="preserve">             </w:t>
      </w:r>
    </w:p>
    <w:p>
      <w:pPr>
        <w:pStyle w:val="160"/>
        <w:shd w:val="clear" w:color="auto" w:fill="FFFFFF"/>
        <w:spacing w:before="0" w:beforeAutospacing="0" w:after="0" w:afterAutospacing="0"/>
        <w:ind w:firstLine="3780" w:firstLineChars="1575"/>
        <w:rPr>
          <w:color w:val="000000" w:themeColor="text1"/>
          <w:highlight w:val="none"/>
          <w14:textFill>
            <w14:solidFill>
              <w14:schemeClr w14:val="tx1"/>
            </w14:solidFill>
          </w14:textFill>
        </w:rPr>
      </w:pPr>
    </w:p>
    <w:p>
      <w:pPr>
        <w:pStyle w:val="160"/>
        <w:shd w:val="clear" w:color="auto" w:fill="FFFFFF"/>
        <w:spacing w:before="0" w:beforeAutospacing="0" w:after="0" w:afterAutospacing="0"/>
        <w:ind w:firstLine="3780" w:firstLineChars="1575"/>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投标日期：</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u w:val="single"/>
          <w:lang w:val="en-US" w:eastAsia="zh-CN"/>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p>
    <w:p>
      <w:pPr>
        <w:pStyle w:val="160"/>
        <w:shd w:val="clear" w:color="auto" w:fill="FFFFFF"/>
        <w:spacing w:before="0" w:beforeAutospacing="0" w:after="0" w:afterAutospacing="0"/>
        <w:rPr>
          <w:color w:val="000000" w:themeColor="text1"/>
          <w:highlight w:val="none"/>
          <w14:textFill>
            <w14:solidFill>
              <w14:schemeClr w14:val="tx1"/>
            </w14:solidFill>
          </w14:textFill>
        </w:rPr>
      </w:pPr>
    </w:p>
    <w:p>
      <w:pPr>
        <w:pStyle w:val="160"/>
        <w:shd w:val="clear" w:color="auto" w:fill="FFFFFF"/>
        <w:spacing w:before="0" w:beforeAutospacing="0" w:after="0" w:afterAutospacing="0"/>
        <w:rPr>
          <w:color w:val="000000" w:themeColor="text1"/>
          <w:highlight w:val="none"/>
          <w14:textFill>
            <w14:solidFill>
              <w14:schemeClr w14:val="tx1"/>
            </w14:solidFill>
          </w14:textFill>
        </w:rPr>
      </w:pPr>
    </w:p>
    <w:p>
      <w:pPr>
        <w:pStyle w:val="158"/>
        <w:shd w:val="clear" w:color="auto" w:fill="FFFFFF"/>
        <w:spacing w:before="0" w:beforeAutospacing="0" w:after="0" w:afterAutospacing="0" w:line="360" w:lineRule="exac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说明：</w:t>
      </w:r>
    </w:p>
    <w:p>
      <w:pPr>
        <w:pStyle w:val="158"/>
        <w:shd w:val="clear" w:color="auto" w:fill="FFFFFF"/>
        <w:spacing w:before="0" w:beforeAutospacing="0" w:after="0" w:afterAutospacing="0" w:line="360" w:lineRule="exact"/>
        <w:ind w:left="315" w:hanging="315" w:hangingChars="150"/>
        <w:rPr>
          <w:b/>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w:t>
      </w:r>
      <w:r>
        <w:rPr>
          <w:rFonts w:hint="eastAsia"/>
          <w:bCs/>
          <w:color w:val="000000" w:themeColor="text1"/>
          <w:sz w:val="21"/>
          <w:szCs w:val="21"/>
          <w:highlight w:val="none"/>
          <w14:textFill>
            <w14:solidFill>
              <w14:schemeClr w14:val="tx1"/>
            </w14:solidFill>
          </w14:textFill>
        </w:rPr>
        <w:t>小型、微型企业提供中型企业制造的货物的，视同为中型企业，不给予折扣。</w:t>
      </w:r>
    </w:p>
    <w:p>
      <w:pPr>
        <w:pStyle w:val="161"/>
        <w:shd w:val="clear" w:color="auto" w:fill="FFFFFF"/>
        <w:spacing w:before="0" w:beforeAutospacing="0" w:after="0" w:afterAutospacing="0" w:line="360" w:lineRule="exact"/>
        <w:ind w:left="315" w:hanging="315" w:hangingChars="1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2、当一个合同包内有多个属于小型和微型企业产品时，投标人应详细填写并计算出该类产品合计金额。</w:t>
      </w:r>
    </w:p>
    <w:p>
      <w:pPr>
        <w:pStyle w:val="161"/>
        <w:shd w:val="clear" w:color="auto" w:fill="FFFFFF"/>
        <w:spacing w:before="0" w:beforeAutospacing="0" w:after="0" w:afterAutospacing="0" w:line="360" w:lineRule="exact"/>
        <w:ind w:left="315" w:hanging="315" w:hangingChars="1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3、“相应价格扣除”为小型和微型企业产品的投标合计价格×招标文件规定的价格扣除比率的优惠幅度。</w:t>
      </w:r>
    </w:p>
    <w:p>
      <w:pPr>
        <w:pStyle w:val="161"/>
        <w:shd w:val="clear" w:color="auto" w:fill="FFFFFF"/>
        <w:spacing w:before="0" w:beforeAutospacing="0" w:after="0" w:afterAutospacing="0" w:line="360" w:lineRule="exact"/>
        <w:ind w:left="315" w:hanging="315" w:hangingChars="1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4、计算价格扣除时四舍五入取小数点后两位。</w:t>
      </w:r>
    </w:p>
    <w:p>
      <w:pPr>
        <w:spacing w:line="300" w:lineRule="exact"/>
        <w:ind w:left="315" w:hanging="315" w:hangingChars="1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《残疾人福利性单位声明函》格式（非残疾人福利性单位无需填写）</w:t>
      </w:r>
    </w:p>
    <w:p>
      <w:pPr>
        <w:spacing w:line="400" w:lineRule="exact"/>
        <w:rPr>
          <w:rFonts w:ascii="宋体" w:hAnsi="宋体" w:cs="宋体"/>
          <w:color w:val="000000" w:themeColor="text1"/>
          <w:highlight w:val="none"/>
          <w14:textFill>
            <w14:solidFill>
              <w14:schemeClr w14:val="tx1"/>
            </w14:solidFill>
          </w14:textFill>
        </w:rPr>
      </w:pPr>
    </w:p>
    <w:p>
      <w:pPr>
        <w:pStyle w:val="175"/>
        <w:shd w:val="clear" w:color="auto" w:fill="FFFFFF"/>
        <w:spacing w:before="0" w:beforeAutospacing="0" w:after="0" w:afterAutospacing="0"/>
        <w:ind w:left="1836" w:hanging="1424"/>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残疾人福利性单位声明函</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单位的</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本单位对上述声明的真实性负责。如有虚假，将依法承担相应责任。</w:t>
      </w: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539"/>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377" w:firstLineChars="182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单位名称（盖章）：</w:t>
      </w:r>
    </w:p>
    <w:p>
      <w:pPr>
        <w:pStyle w:val="35"/>
        <w:shd w:val="clear" w:color="auto" w:fill="FFFFFF"/>
        <w:spacing w:before="0" w:beforeAutospacing="0" w:after="0" w:afterAutospacing="0" w:line="460" w:lineRule="exact"/>
        <w:ind w:firstLine="4377" w:firstLineChars="1824"/>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br w:type="page"/>
      </w:r>
    </w:p>
    <w:p>
      <w:pPr>
        <w:pStyle w:val="35"/>
        <w:shd w:val="clear" w:color="auto" w:fill="FFFFFF"/>
        <w:spacing w:before="0" w:beforeAutospacing="0" w:after="0" w:afterAutospacing="0" w:line="400" w:lineRule="exact"/>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《广西工业产品声明函》格式（不符合桂政办发[2015]78号文要求的，无需提供）</w:t>
      </w:r>
    </w:p>
    <w:p>
      <w:pPr>
        <w:spacing w:line="400" w:lineRule="exact"/>
        <w:rPr>
          <w:rFonts w:ascii="宋体" w:hAnsi="宋体" w:cs="宋体"/>
          <w:color w:val="000000" w:themeColor="text1"/>
          <w:highlight w:val="none"/>
          <w14:textFill>
            <w14:solidFill>
              <w14:schemeClr w14:val="tx1"/>
            </w14:solidFill>
          </w14:textFill>
        </w:rPr>
      </w:pPr>
    </w:p>
    <w:p>
      <w:pPr>
        <w:pStyle w:val="175"/>
        <w:shd w:val="clear" w:color="auto" w:fill="FFFFFF"/>
        <w:spacing w:before="0" w:beforeAutospacing="0" w:after="0" w:afterAutospacing="0"/>
        <w:ind w:left="1836" w:hanging="1424"/>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广西工业产品声明函</w:t>
      </w:r>
    </w:p>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tbl>
      <w:tblPr>
        <w:tblStyle w:val="40"/>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78"/>
        <w:gridCol w:w="2075"/>
        <w:gridCol w:w="1550"/>
        <w:gridCol w:w="948"/>
        <w:gridCol w:w="2174"/>
        <w:gridCol w:w="1090"/>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7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产品名称</w:t>
            </w:r>
          </w:p>
        </w:tc>
        <w:tc>
          <w:tcPr>
            <w:tcW w:w="155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型号和规格</w:t>
            </w:r>
          </w:p>
        </w:tc>
        <w:tc>
          <w:tcPr>
            <w:tcW w:w="94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2174"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制造厂商及原产地</w:t>
            </w:r>
          </w:p>
        </w:tc>
        <w:tc>
          <w:tcPr>
            <w:tcW w:w="109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投标价</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20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78" w:type="dxa"/>
            <w:tcBorders>
              <w:top w:val="nil"/>
              <w:left w:val="single" w:color="auto" w:sz="12" w:space="0"/>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075"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广西工业产品合计价格：</w:t>
            </w:r>
          </w:p>
        </w:tc>
        <w:tc>
          <w:tcPr>
            <w:tcW w:w="2498" w:type="dxa"/>
            <w:gridSpan w:val="2"/>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c>
          <w:tcPr>
            <w:tcW w:w="2174"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占投标总价比例：</w:t>
            </w:r>
          </w:p>
        </w:tc>
        <w:tc>
          <w:tcPr>
            <w:tcW w:w="1860"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jc w:val="center"/>
              <w:rPr>
                <w:rFonts w:ascii="宋体" w:hAnsi="宋体" w:cs="宋体"/>
                <w:color w:val="000000" w:themeColor="text1"/>
                <w:kern w:val="0"/>
                <w:sz w:val="24"/>
                <w:highlight w:val="none"/>
                <w14:textFill>
                  <w14:solidFill>
                    <w14:schemeClr w14:val="tx1"/>
                  </w14:solidFill>
                </w14:textFill>
              </w:rPr>
            </w:pPr>
          </w:p>
        </w:tc>
      </w:tr>
    </w:tbl>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本公司对上述声明的真实性负责。如有虚假，将依法承担相应责任。</w:t>
      </w:r>
    </w:p>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80" w:firstLineChars="200"/>
        <w:rPr>
          <w:color w:val="000000" w:themeColor="text1"/>
          <w:highlight w:val="none"/>
          <w14:textFill>
            <w14:solidFill>
              <w14:schemeClr w14:val="tx1"/>
            </w14:solidFill>
          </w14:textFill>
        </w:rPr>
      </w:pPr>
    </w:p>
    <w:p>
      <w:pPr>
        <w:pStyle w:val="35"/>
        <w:shd w:val="clear" w:color="auto" w:fill="FFFFFF"/>
        <w:spacing w:before="0" w:beforeAutospacing="0" w:after="0" w:afterAutospacing="0" w:line="460" w:lineRule="exact"/>
        <w:ind w:firstLine="4500" w:firstLineChars="18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企业名称(盖章)：</w:t>
      </w:r>
    </w:p>
    <w:p>
      <w:pPr>
        <w:pStyle w:val="35"/>
        <w:shd w:val="clear" w:color="auto" w:fill="FFFFFF"/>
        <w:spacing w:before="0" w:beforeAutospacing="0" w:after="0" w:afterAutospacing="0" w:line="460" w:lineRule="exact"/>
        <w:ind w:firstLine="4500" w:firstLineChars="187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360" w:lineRule="exact"/>
        <w:ind w:left="620" w:hanging="620" w:hangingChars="294"/>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说明：</w:t>
      </w:r>
    </w:p>
    <w:p>
      <w:pPr>
        <w:spacing w:line="36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根据《广西壮族自治区人民政府办公厅关于印发招标采购促进广西工业产品产销对接实施细则的通知》的规定，货物服务招标采购评标方法采用综合评分法的，对使用广西工业产品80％以上（含）的投标人，评标时给予一定的政策功能加分。（具体加分情况见第章四章评标办法）</w:t>
      </w:r>
    </w:p>
    <w:p>
      <w:pPr>
        <w:spacing w:line="36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2发现投标人提供虚假材料，或中标后在与采购单位履约过程中未按投标文件《广西工业产品声明函》中使用广西工业产品或者使用广西工业产品比例小于80%的，按照有关法律法规追究其相关责任。</w:t>
      </w:r>
    </w:p>
    <w:p>
      <w:pPr>
        <w:spacing w:line="400" w:lineRule="exact"/>
        <w:ind w:firstLine="210" w:firstLineChars="1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spacing w:line="460" w:lineRule="exact"/>
        <w:ind w:firstLine="2891" w:firstLineChars="9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售后服务方案</w:t>
      </w:r>
    </w:p>
    <w:p>
      <w:pPr>
        <w:spacing w:line="460" w:lineRule="exact"/>
        <w:ind w:left="482" w:hanging="482" w:hangingChars="1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格式自议，</w:t>
      </w:r>
      <w:r>
        <w:rPr>
          <w:rFonts w:hint="eastAsia" w:ascii="宋体" w:hAnsi="宋体" w:cs="宋体"/>
          <w:color w:val="000000" w:themeColor="text1"/>
          <w:highlight w:val="none"/>
          <w14:textFill>
            <w14:solidFill>
              <w14:schemeClr w14:val="tx1"/>
            </w14:solidFill>
          </w14:textFill>
        </w:rPr>
        <w:t>投标人根据本项目要求及自己的实际情况自行编写，内容包括质保期、本地化服务、技术培训及指导、负责售后维修的主管人员情况、解决故障的响应时间等</w:t>
      </w: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p>
    <w:p>
      <w:pPr>
        <w:spacing w:line="460" w:lineRule="exact"/>
        <w:jc w:val="left"/>
        <w:rPr>
          <w:rFonts w:ascii="宋体" w:hAnsi="宋体" w:cs="宋体"/>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pStyle w:val="175"/>
        <w:shd w:val="clear" w:color="auto" w:fill="FFFFFF"/>
        <w:spacing w:before="0" w:beforeAutospacing="0" w:after="0" w:afterAutospacing="0"/>
        <w:rPr>
          <w:b/>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br w:type="page"/>
      </w: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color w:val="000000" w:themeColor="text1"/>
          <w:highlight w:val="none"/>
          <w14:textFill>
            <w14:solidFill>
              <w14:schemeClr w14:val="tx1"/>
            </w14:solidFill>
          </w14:textFill>
        </w:rPr>
      </w:pPr>
    </w:p>
    <w:p>
      <w:pPr>
        <w:spacing w:line="400" w:lineRule="exact"/>
        <w:ind w:firstLine="210" w:firstLineChars="100"/>
        <w:rPr>
          <w:rFonts w:ascii="宋体" w:hAnsi="宋体" w:cs="宋体"/>
          <w:color w:val="000000" w:themeColor="text1"/>
          <w:highlight w:val="none"/>
          <w:u w:val="single"/>
          <w14:textFill>
            <w14:solidFill>
              <w14:schemeClr w14:val="tx1"/>
            </w14:solidFill>
          </w14:textFill>
        </w:rPr>
      </w:pPr>
    </w:p>
    <w:p>
      <w:pPr>
        <w:spacing w:line="400" w:lineRule="exact"/>
        <w:ind w:firstLine="210" w:firstLineChars="100"/>
        <w:rPr>
          <w:rFonts w:ascii="宋体" w:hAnsi="宋体" w:cs="宋体"/>
          <w:color w:val="000000" w:themeColor="text1"/>
          <w:highlight w:val="none"/>
          <w:u w:val="single"/>
          <w14:textFill>
            <w14:solidFill>
              <w14:schemeClr w14:val="tx1"/>
            </w14:solidFill>
          </w14:textFill>
        </w:rPr>
      </w:pPr>
    </w:p>
    <w:p>
      <w:pPr>
        <w:spacing w:line="400" w:lineRule="exact"/>
        <w:ind w:firstLine="210" w:firstLineChars="100"/>
        <w:rPr>
          <w:rFonts w:ascii="宋体" w:hAnsi="宋体" w:cs="宋体"/>
          <w:color w:val="000000" w:themeColor="text1"/>
          <w:highlight w:val="none"/>
          <w14:textFill>
            <w14:solidFill>
              <w14:schemeClr w14:val="tx1"/>
            </w14:solidFill>
          </w14:textFill>
        </w:rPr>
      </w:pPr>
    </w:p>
    <w:p>
      <w:pPr>
        <w:pStyle w:val="3"/>
        <w:spacing w:line="560" w:lineRule="exact"/>
        <w:jc w:val="center"/>
        <w:rPr>
          <w:rFonts w:ascii="宋体" w:hAnsi="宋体" w:cs="宋体"/>
          <w:bCs/>
          <w:color w:val="000000" w:themeColor="text1"/>
          <w:sz w:val="44"/>
          <w:highlight w:val="none"/>
          <w14:textFill>
            <w14:solidFill>
              <w14:schemeClr w14:val="tx1"/>
            </w14:solidFill>
          </w14:textFill>
        </w:rPr>
      </w:pPr>
      <w:bookmarkStart w:id="275" w:name="_Toc469842116"/>
      <w:bookmarkStart w:id="276" w:name="_Toc469874208"/>
      <w:bookmarkStart w:id="277" w:name="_Toc230949430"/>
      <w:bookmarkStart w:id="278" w:name="_Toc405943019"/>
      <w:bookmarkStart w:id="279" w:name="_Toc395066561"/>
      <w:bookmarkStart w:id="280" w:name="_Toc230929191"/>
      <w:bookmarkStart w:id="281" w:name="_Toc3074"/>
      <w:bookmarkStart w:id="282" w:name="_Toc207770877"/>
      <w:bookmarkStart w:id="283" w:name="_Toc210184913"/>
      <w:bookmarkStart w:id="284" w:name="_Toc205094828"/>
      <w:bookmarkStart w:id="285" w:name="_Toc206525312"/>
      <w:bookmarkStart w:id="286" w:name="_Toc211355201"/>
      <w:r>
        <w:rPr>
          <w:rFonts w:hint="eastAsia" w:ascii="宋体" w:hAnsi="宋体" w:cs="宋体"/>
          <w:bCs/>
          <w:color w:val="000000" w:themeColor="text1"/>
          <w:sz w:val="44"/>
          <w:highlight w:val="none"/>
          <w14:textFill>
            <w14:solidFill>
              <w14:schemeClr w14:val="tx1"/>
            </w14:solidFill>
          </w14:textFill>
        </w:rPr>
        <w:t>第七章  附件</w:t>
      </w:r>
      <w:bookmarkEnd w:id="275"/>
      <w:bookmarkEnd w:id="276"/>
      <w:bookmarkEnd w:id="277"/>
      <w:bookmarkEnd w:id="278"/>
      <w:bookmarkEnd w:id="279"/>
      <w:bookmarkEnd w:id="280"/>
      <w:bookmarkEnd w:id="281"/>
    </w:p>
    <w:bookmarkEnd w:id="282"/>
    <w:bookmarkEnd w:id="283"/>
    <w:bookmarkEnd w:id="284"/>
    <w:bookmarkEnd w:id="285"/>
    <w:bookmarkEnd w:id="286"/>
    <w:p>
      <w:pPr>
        <w:pStyle w:val="20"/>
        <w:spacing w:line="400" w:lineRule="exact"/>
        <w:rPr>
          <w:rFonts w:hAnsi="宋体" w:cs="宋体"/>
          <w:color w:val="000000" w:themeColor="text1"/>
          <w:highlight w:val="none"/>
          <w14:textFill>
            <w14:solidFill>
              <w14:schemeClr w14:val="tx1"/>
            </w14:solidFill>
          </w14:textFill>
        </w:rPr>
      </w:pPr>
      <w:bookmarkStart w:id="287" w:name="_Toc207770878"/>
      <w:bookmarkStart w:id="288" w:name="_Toc206525311"/>
      <w:bookmarkStart w:id="289" w:name="_Toc211355202"/>
      <w:bookmarkStart w:id="290" w:name="_Toc210184914"/>
    </w:p>
    <w:p>
      <w:pPr>
        <w:pStyle w:val="20"/>
        <w:spacing w:line="400" w:lineRule="exact"/>
        <w:rPr>
          <w:rFonts w:hAnsi="宋体" w:cs="宋体"/>
          <w:b/>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bookmarkEnd w:id="287"/>
      <w:bookmarkEnd w:id="288"/>
      <w:bookmarkEnd w:id="289"/>
      <w:bookmarkEnd w:id="290"/>
    </w:p>
    <w:p>
      <w:pPr>
        <w:pStyle w:val="20"/>
        <w:spacing w:line="400" w:lineRule="exact"/>
        <w:rPr>
          <w:rFonts w:hAnsi="宋体" w:cs="宋体"/>
          <w:color w:val="000000" w:themeColor="text1"/>
          <w:sz w:val="28"/>
          <w:szCs w:val="28"/>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附件1：</w:t>
      </w:r>
      <w:r>
        <w:rPr>
          <w:rFonts w:hint="eastAsia" w:hAnsi="宋体" w:cs="宋体"/>
          <w:color w:val="000000" w:themeColor="text1"/>
          <w:sz w:val="28"/>
          <w:szCs w:val="28"/>
          <w:highlight w:val="none"/>
          <w14:textFill>
            <w14:solidFill>
              <w14:schemeClr w14:val="tx1"/>
            </w14:solidFill>
          </w14:textFill>
        </w:rPr>
        <w:t>政府采购项目履约保证金退付意见书（格式）</w:t>
      </w:r>
    </w:p>
    <w:p>
      <w:pPr>
        <w:pStyle w:val="20"/>
        <w:spacing w:line="400" w:lineRule="exact"/>
        <w:rPr>
          <w:rFonts w:hAnsi="宋体" w:cs="宋体"/>
          <w:b/>
          <w:color w:val="000000" w:themeColor="text1"/>
          <w:szCs w:val="21"/>
          <w:highlight w:val="none"/>
          <w14:textFill>
            <w14:solidFill>
              <w14:schemeClr w14:val="tx1"/>
            </w14:solidFill>
          </w14:textFill>
        </w:rPr>
      </w:pPr>
    </w:p>
    <w:p>
      <w:pPr>
        <w:pStyle w:val="20"/>
        <w:spacing w:line="400" w:lineRule="exact"/>
        <w:jc w:val="center"/>
        <w:rPr>
          <w:rFonts w:hAnsi="宋体" w:cs="宋体"/>
          <w:b/>
          <w:bCs/>
          <w:color w:val="000000" w:themeColor="text1"/>
          <w:kern w:val="0"/>
          <w:sz w:val="32"/>
          <w:szCs w:val="32"/>
          <w:highlight w:val="none"/>
          <w14:textFill>
            <w14:solidFill>
              <w14:schemeClr w14:val="tx1"/>
            </w14:solidFill>
          </w14:textFill>
        </w:rPr>
      </w:pPr>
      <w:r>
        <w:rPr>
          <w:rFonts w:hint="eastAsia" w:hAnsi="宋体" w:cs="宋体"/>
          <w:b/>
          <w:bCs/>
          <w:color w:val="000000" w:themeColor="text1"/>
          <w:kern w:val="0"/>
          <w:sz w:val="32"/>
          <w:szCs w:val="32"/>
          <w:highlight w:val="none"/>
          <w14:textFill>
            <w14:solidFill>
              <w14:schemeClr w14:val="tx1"/>
            </w14:solidFill>
          </w14:textFill>
        </w:rPr>
        <w:t>政府采购项目履约保证金退付意见书</w:t>
      </w:r>
    </w:p>
    <w:p>
      <w:pPr>
        <w:pStyle w:val="20"/>
        <w:spacing w:line="200" w:lineRule="exact"/>
        <w:rPr>
          <w:rFonts w:hAnsi="宋体" w:cs="宋体"/>
          <w:b/>
          <w:color w:val="000000" w:themeColor="text1"/>
          <w:szCs w:val="21"/>
          <w:highlight w:val="none"/>
          <w14:textFill>
            <w14:solidFill>
              <w14:schemeClr w14:val="tx1"/>
            </w14:solidFill>
          </w14:textFill>
        </w:rPr>
      </w:pPr>
    </w:p>
    <w:tbl>
      <w:tblPr>
        <w:tblStyle w:val="40"/>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56"/>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59" w:type="dxa"/>
            <w:vMerge w:val="restart"/>
            <w:vAlign w:val="center"/>
          </w:tcPr>
          <w:p>
            <w:pPr>
              <w:widowControl/>
              <w:snapToGrid w:val="0"/>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投标人申请</w:t>
            </w:r>
          </w:p>
        </w:tc>
        <w:tc>
          <w:tcPr>
            <w:tcW w:w="8876" w:type="dxa"/>
            <w:gridSpan w:val="2"/>
            <w:vAlign w:val="center"/>
          </w:tcPr>
          <w:p>
            <w:pPr>
              <w:widowControl/>
              <w:snapToGrid w:val="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59" w:type="dxa"/>
            <w:vMerge w:val="continue"/>
            <w:vAlign w:val="center"/>
          </w:tcPr>
          <w:p>
            <w:pPr>
              <w:widowControl/>
              <w:snapToGrid w:val="0"/>
              <w:jc w:val="center"/>
              <w:rPr>
                <w:rFonts w:ascii="宋体" w:hAnsi="宋体" w:cs="宋体"/>
                <w:color w:val="000000" w:themeColor="text1"/>
                <w:kern w:val="0"/>
                <w:sz w:val="30"/>
                <w:szCs w:val="30"/>
                <w:highlight w:val="none"/>
                <w14:textFill>
                  <w14:solidFill>
                    <w14:schemeClr w14:val="tx1"/>
                  </w14:solidFill>
                </w14:textFill>
              </w:rPr>
            </w:pPr>
          </w:p>
        </w:tc>
        <w:tc>
          <w:tcPr>
            <w:tcW w:w="8876" w:type="dxa"/>
            <w:gridSpan w:val="2"/>
            <w:vAlign w:val="center"/>
          </w:tcPr>
          <w:p>
            <w:pPr>
              <w:widowControl/>
              <w:snapToGrid w:val="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59" w:type="dxa"/>
            <w:vMerge w:val="continue"/>
            <w:vAlign w:val="center"/>
          </w:tcPr>
          <w:p>
            <w:pPr>
              <w:widowControl/>
              <w:snapToGrid w:val="0"/>
              <w:jc w:val="left"/>
              <w:rPr>
                <w:rFonts w:ascii="宋体" w:hAnsi="宋体" w:cs="宋体"/>
                <w:color w:val="000000" w:themeColor="text1"/>
                <w:kern w:val="0"/>
                <w:sz w:val="32"/>
                <w:szCs w:val="32"/>
                <w:highlight w:val="none"/>
                <w14:textFill>
                  <w14:solidFill>
                    <w14:schemeClr w14:val="tx1"/>
                  </w14:solidFill>
                </w14:textFill>
              </w:rPr>
            </w:pPr>
          </w:p>
        </w:tc>
        <w:tc>
          <w:tcPr>
            <w:tcW w:w="8876" w:type="dxa"/>
            <w:gridSpan w:val="2"/>
            <w:vAlign w:val="center"/>
          </w:tcPr>
          <w:p>
            <w:pPr>
              <w:widowControl/>
              <w:snapToGrid w:val="0"/>
              <w:spacing w:line="40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履约保证金金额：（大写）</w:t>
            </w:r>
          </w:p>
          <w:p>
            <w:pPr>
              <w:widowControl/>
              <w:snapToGrid w:val="0"/>
              <w:spacing w:line="400" w:lineRule="exact"/>
              <w:ind w:firstLine="1920" w:firstLineChars="8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659" w:type="dxa"/>
            <w:vMerge w:val="continue"/>
            <w:vAlign w:val="center"/>
          </w:tcPr>
          <w:p>
            <w:pPr>
              <w:widowControl/>
              <w:snapToGrid w:val="0"/>
              <w:jc w:val="left"/>
              <w:rPr>
                <w:rFonts w:ascii="宋体" w:hAnsi="宋体" w:cs="宋体"/>
                <w:color w:val="000000" w:themeColor="text1"/>
                <w:kern w:val="0"/>
                <w:sz w:val="32"/>
                <w:szCs w:val="32"/>
                <w:highlight w:val="none"/>
                <w14:textFill>
                  <w14:solidFill>
                    <w14:schemeClr w14:val="tx1"/>
                  </w14:solidFill>
                </w14:textFill>
              </w:rPr>
            </w:pPr>
          </w:p>
        </w:tc>
        <w:tc>
          <w:tcPr>
            <w:tcW w:w="8876" w:type="dxa"/>
            <w:gridSpan w:val="2"/>
            <w:vAlign w:val="center"/>
          </w:tcPr>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该项目</w:t>
            </w:r>
            <w:r>
              <w:rPr>
                <w:rFonts w:hint="eastAsia" w:ascii="宋体" w:hAnsi="宋体" w:cs="宋体"/>
                <w:color w:val="000000" w:themeColor="text1"/>
                <w:sz w:val="24"/>
                <w:highlight w:val="none"/>
                <w14:textFill>
                  <w14:solidFill>
                    <w14:schemeClr w14:val="tx1"/>
                  </w14:solidFill>
                </w14:textFill>
              </w:rPr>
              <w:t>已于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日验收并交付使用。根据招标文件及政府采购合同规定，该项目的履约保证金期限于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日已满，</w:t>
            </w:r>
            <w:r>
              <w:rPr>
                <w:rFonts w:hint="eastAsia" w:ascii="宋体" w:hAnsi="宋体" w:cs="宋体"/>
                <w:color w:val="000000" w:themeColor="text1"/>
                <w:kern w:val="0"/>
                <w:sz w:val="24"/>
                <w:highlight w:val="none"/>
                <w14:textFill>
                  <w14:solidFill>
                    <w14:schemeClr w14:val="tx1"/>
                  </w14:solidFill>
                </w14:textFill>
              </w:rPr>
              <w:t>请将履约金退付到以下帐户。</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开户名称：</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帐    号：</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 户 行：</w:t>
            </w:r>
          </w:p>
          <w:p>
            <w:pPr>
              <w:widowControl/>
              <w:snapToGrid w:val="0"/>
              <w:spacing w:line="40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联系人及联系电话：</w:t>
            </w:r>
          </w:p>
          <w:p>
            <w:pPr>
              <w:widowControl/>
              <w:snapToGrid w:val="0"/>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投标人：（盖章）</w:t>
            </w:r>
          </w:p>
          <w:p>
            <w:pPr>
              <w:widowControl/>
              <w:snapToGrid w:val="0"/>
              <w:spacing w:line="400" w:lineRule="exact"/>
              <w:ind w:firstLine="4291" w:firstLineChars="1788"/>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659" w:type="dxa"/>
            <w:vMerge w:val="restart"/>
            <w:vAlign w:val="center"/>
          </w:tcPr>
          <w:p>
            <w:pPr>
              <w:widowControl/>
              <w:snapToGrid w:val="0"/>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采购单位意见</w:t>
            </w:r>
          </w:p>
        </w:tc>
        <w:tc>
          <w:tcPr>
            <w:tcW w:w="1156" w:type="dxa"/>
            <w:vAlign w:val="top"/>
          </w:tcPr>
          <w:p>
            <w:pPr>
              <w:widowControl/>
              <w:snapToGrid w:val="0"/>
              <w:spacing w:line="400" w:lineRule="exact"/>
              <w:ind w:firstLine="4471" w:firstLineChars="1863"/>
              <w:jc w:val="center"/>
              <w:rPr>
                <w:rFonts w:hint="eastAsia" w:ascii="宋体" w:hAnsi="宋体" w:cs="宋体" w:eastAsiaTheme="minorEastAsia"/>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S经办部门意见</w:t>
            </w:r>
          </w:p>
        </w:tc>
        <w:tc>
          <w:tcPr>
            <w:tcW w:w="7720" w:type="dxa"/>
            <w:vAlign w:val="center"/>
          </w:tcPr>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意见：项目已安装完结学校验收，拟同意退还履约保证金</w:t>
            </w:r>
            <w:r>
              <w:rPr>
                <w:rFonts w:hint="eastAsia" w:ascii="宋体" w:hAnsi="宋体" w:cs="宋体"/>
                <w:color w:val="000000" w:themeColor="text1"/>
                <w:kern w:val="0"/>
                <w:sz w:val="24"/>
                <w:highlight w:val="none"/>
                <w14:textFill>
                  <w14:solidFill>
                    <w14:schemeClr w14:val="tx1"/>
                  </w14:solidFill>
                </w14:textFill>
              </w:rPr>
              <w:t>。</w:t>
            </w:r>
          </w:p>
          <w:p>
            <w:pPr>
              <w:widowControl/>
              <w:snapToGrid w:val="0"/>
              <w:spacing w:line="4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p>
          <w:p>
            <w:pPr>
              <w:widowControl/>
              <w:snapToGrid w:val="0"/>
              <w:spacing w:line="400" w:lineRule="exact"/>
              <w:ind w:left="0" w:leftChars="0" w:firstLine="480" w:firstLineChars="200"/>
              <w:jc w:val="both"/>
              <w:rPr>
                <w:rFonts w:hint="eastAsia" w:ascii="宋体" w:hAnsi="宋体" w:cs="宋体"/>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经办人：</w:t>
            </w:r>
          </w:p>
          <w:p>
            <w:pPr>
              <w:widowControl/>
              <w:snapToGrid w:val="0"/>
              <w:spacing w:line="400" w:lineRule="exact"/>
              <w:ind w:firstLine="5188" w:firstLineChars="2162"/>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659" w:type="dxa"/>
            <w:vMerge w:val="continue"/>
            <w:vAlign w:val="center"/>
          </w:tcPr>
          <w:p>
            <w:pPr>
              <w:widowControl/>
              <w:snapToGrid w:val="0"/>
              <w:jc w:val="center"/>
              <w:rPr>
                <w:rFonts w:ascii="宋体" w:hAnsi="宋体" w:cs="宋体"/>
                <w:color w:val="000000" w:themeColor="text1"/>
                <w:kern w:val="0"/>
                <w:sz w:val="28"/>
                <w:szCs w:val="28"/>
                <w:highlight w:val="none"/>
                <w14:textFill>
                  <w14:solidFill>
                    <w14:schemeClr w14:val="tx1"/>
                  </w14:solidFill>
                </w14:textFill>
              </w:rPr>
            </w:pPr>
          </w:p>
        </w:tc>
        <w:tc>
          <w:tcPr>
            <w:tcW w:w="1156" w:type="dxa"/>
            <w:vAlign w:val="top"/>
          </w:tcPr>
          <w:p>
            <w:pPr>
              <w:widowControl/>
              <w:snapToGrid w:val="0"/>
              <w:spacing w:line="400" w:lineRule="exact"/>
              <w:ind w:firstLine="4471" w:firstLineChars="1863"/>
              <w:jc w:val="center"/>
              <w:rPr>
                <w:rFonts w:hint="eastAsia" w:ascii="宋体" w:hAnsi="宋体" w:cs="宋体" w:eastAsiaTheme="minorEastAsia"/>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主主管领导审批</w:t>
            </w:r>
          </w:p>
        </w:tc>
        <w:tc>
          <w:tcPr>
            <w:tcW w:w="7720" w:type="dxa"/>
            <w:vAlign w:val="center"/>
          </w:tcPr>
          <w:p>
            <w:pPr>
              <w:widowControl/>
              <w:snapToGrid w:val="0"/>
              <w:spacing w:line="400" w:lineRule="exact"/>
              <w:ind w:firstLine="4471" w:firstLineChars="1863"/>
              <w:jc w:val="left"/>
              <w:rPr>
                <w:rFonts w:hint="eastAsia" w:ascii="宋体" w:hAnsi="宋体" w:cs="宋体"/>
                <w:color w:val="000000" w:themeColor="text1"/>
                <w:kern w:val="0"/>
                <w:sz w:val="24"/>
                <w:highlight w:val="none"/>
                <w:lang w:eastAsia="zh-CN"/>
                <w14:textFill>
                  <w14:solidFill>
                    <w14:schemeClr w14:val="tx1"/>
                  </w14:solidFill>
                </w14:textFill>
              </w:rPr>
            </w:pPr>
          </w:p>
          <w:p>
            <w:pPr>
              <w:widowControl/>
              <w:snapToGrid w:val="0"/>
              <w:spacing w:line="400" w:lineRule="exact"/>
              <w:ind w:firstLine="5188" w:firstLineChars="2162"/>
              <w:jc w:val="left"/>
              <w:rPr>
                <w:rFonts w:hint="eastAsia" w:ascii="宋体" w:hAnsi="宋体" w:cs="宋体"/>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单位（盖章）：</w:t>
            </w:r>
          </w:p>
          <w:p>
            <w:pPr>
              <w:widowControl/>
              <w:snapToGrid w:val="0"/>
              <w:spacing w:line="400" w:lineRule="exact"/>
              <w:ind w:firstLine="4471" w:firstLineChars="1863"/>
              <w:jc w:val="left"/>
              <w:rPr>
                <w:rFonts w:hint="eastAsia" w:ascii="宋体" w:hAnsi="宋体" w:cs="宋体"/>
                <w:color w:val="000000" w:themeColor="text1"/>
                <w:kern w:val="0"/>
                <w:sz w:val="24"/>
                <w:highlight w:val="none"/>
                <w:lang w:eastAsia="zh-CN"/>
                <w14:textFill>
                  <w14:solidFill>
                    <w14:schemeClr w14:val="tx1"/>
                  </w14:solidFill>
                </w14:textFill>
              </w:rPr>
            </w:pPr>
          </w:p>
          <w:p>
            <w:pPr>
              <w:widowControl/>
              <w:snapToGrid w:val="0"/>
              <w:spacing w:line="400" w:lineRule="exact"/>
              <w:ind w:firstLine="5280" w:firstLineChars="2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535" w:type="dxa"/>
            <w:gridSpan w:val="3"/>
            <w:vAlign w:val="center"/>
          </w:tcPr>
          <w:p>
            <w:pPr>
              <w:widowControl/>
              <w:snapToGrid w:val="0"/>
              <w:spacing w:line="36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备注：</w:t>
            </w:r>
            <w:r>
              <w:rPr>
                <w:rFonts w:hint="eastAsia" w:ascii="宋体" w:hAnsi="宋体" w:cs="宋体"/>
                <w:color w:val="000000" w:themeColor="text1"/>
                <w:spacing w:val="-6"/>
                <w:kern w:val="0"/>
                <w:sz w:val="24"/>
                <w:highlight w:val="none"/>
                <w14:textFill>
                  <w14:solidFill>
                    <w14:schemeClr w14:val="tx1"/>
                  </w14:solidFill>
                </w14:textFill>
              </w:rPr>
              <w:t>附收款收据原件（如有开具时）、银行转帐单复印件</w:t>
            </w:r>
            <w:r>
              <w:rPr>
                <w:rFonts w:hint="eastAsia" w:ascii="宋体" w:hAnsi="宋体" w:cs="宋体"/>
                <w:color w:val="000000" w:themeColor="text1"/>
                <w:kern w:val="0"/>
                <w:sz w:val="24"/>
                <w:highlight w:val="none"/>
                <w14:textFill>
                  <w14:solidFill>
                    <w14:schemeClr w14:val="tx1"/>
                  </w14:solidFill>
                </w14:textFill>
              </w:rPr>
              <w:t>。</w:t>
            </w:r>
          </w:p>
        </w:tc>
      </w:tr>
    </w:tbl>
    <w:p>
      <w:pPr>
        <w:pStyle w:val="20"/>
        <w:spacing w:line="400" w:lineRule="exact"/>
        <w:jc w:val="left"/>
        <w:rPr>
          <w:rFonts w:hAnsi="宋体" w:cs="宋体"/>
          <w:color w:val="000000" w:themeColor="text1"/>
          <w:highlight w:val="none"/>
          <w14:textFill>
            <w14:solidFill>
              <w14:schemeClr w14:val="tx1"/>
            </w14:solidFill>
          </w14:textFill>
        </w:rPr>
      </w:pPr>
    </w:p>
    <w:sectPr>
      <w:footerReference r:id="rId11" w:type="default"/>
      <w:pgSz w:w="11906" w:h="16838"/>
      <w:pgMar w:top="1247" w:right="1247" w:bottom="1418" w:left="1247" w:header="680" w:footer="851" w:gutter="0"/>
      <w:pgNumType w:fmt="decimal"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宋体">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1)">
    <w:altName w:val="Arial"/>
    <w:panose1 w:val="00000000000000000000"/>
    <w:charset w:val="00"/>
    <w:family w:val="swiss"/>
    <w:pitch w:val="default"/>
    <w:sig w:usb0="00000000" w:usb1="00000000" w:usb2="00000008" w:usb3="00000000" w:csb0="000001FF"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82"/>
      <w:rPr>
        <w:rFonts w:hint="eastAsia" w:eastAsia="宋体"/>
        <w:lang w:val="en-US" w:eastAsia="zh-CN"/>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4"/>
      </w:rPr>
    </w:pPr>
    <w:r>
      <w:fldChar w:fldCharType="begin"/>
    </w:r>
    <w:r>
      <w:rPr>
        <w:rStyle w:val="44"/>
      </w:rPr>
      <w:instrText xml:space="preserve">PAGE  </w:instrText>
    </w:r>
    <w:r>
      <w:fldChar w:fldCharType="separate"/>
    </w:r>
    <w:r>
      <w:rPr>
        <w:rStyle w:val="44"/>
      </w:rPr>
      <w:t>1</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82"/>
      <w:rPr>
        <w:rFonts w:hint="eastAsia" w:eastAsia="宋体"/>
        <w:lang w:val="en-US" w:eastAsia="zh-CN"/>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82"/>
      <w:rPr>
        <w:rFonts w:hint="eastAsia" w:eastAsia="宋体"/>
        <w:lang w:val="en-US"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8306"/>
      </w:tabs>
      <w:rPr>
        <w:rFonts w:hAnsi="宋体"/>
        <w:szCs w:val="18"/>
      </w:rPr>
    </w:pPr>
    <w:r>
      <w:rPr>
        <w:rFonts w:hint="eastAsia" w:hAnsi="宋体" w:cs="宋体"/>
        <w:szCs w:val="21"/>
      </w:rPr>
      <w:t>网络多媒体设备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WordPictureWatermark2" o:spid="_x0000_s2051" o:spt="75" type="#_x0000_t75" style="position:absolute;left:0pt;height:65.05pt;width:53.4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中意LOGO（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EE6CAD"/>
    <w:multiLevelType w:val="singleLevel"/>
    <w:tmpl w:val="CAEE6CAD"/>
    <w:lvl w:ilvl="0" w:tentative="0">
      <w:start w:val="1"/>
      <w:numFmt w:val="decimal"/>
      <w:suff w:val="nothing"/>
      <w:lvlText w:val="%1、"/>
      <w:lvlJc w:val="left"/>
    </w:lvl>
  </w:abstractNum>
  <w:abstractNum w:abstractNumId="1">
    <w:nsid w:val="D9C12D3A"/>
    <w:multiLevelType w:val="singleLevel"/>
    <w:tmpl w:val="D9C12D3A"/>
    <w:lvl w:ilvl="0" w:tentative="0">
      <w:start w:val="1"/>
      <w:numFmt w:val="decimal"/>
      <w:suff w:val="space"/>
      <w:lvlText w:val="%1."/>
      <w:lvlJc w:val="left"/>
    </w:lvl>
  </w:abstractNum>
  <w:abstractNum w:abstractNumId="2">
    <w:nsid w:val="09DC7194"/>
    <w:multiLevelType w:val="multilevel"/>
    <w:tmpl w:val="09DC7194"/>
    <w:lvl w:ilvl="0" w:tentative="0">
      <w:start w:val="1"/>
      <w:numFmt w:val="decimal"/>
      <w:pStyle w:val="148"/>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pStyle w:val="6"/>
      <w:lvlText w:val="%1.%2.%3.%4."/>
      <w:lvlJc w:val="left"/>
      <w:pPr>
        <w:tabs>
          <w:tab w:val="left" w:pos="851"/>
        </w:tabs>
        <w:ind w:left="851" w:hanging="851"/>
      </w:pPr>
    </w:lvl>
    <w:lvl w:ilvl="4" w:tentative="0">
      <w:start w:val="1"/>
      <w:numFmt w:val="decimal"/>
      <w:pStyle w:val="7"/>
      <w:lvlText w:val="%1.%2.%3.%4.%5."/>
      <w:lvlJc w:val="left"/>
      <w:pPr>
        <w:tabs>
          <w:tab w:val="left" w:pos="992"/>
        </w:tabs>
        <w:ind w:left="992" w:hanging="992"/>
      </w:pPr>
    </w:lvl>
    <w:lvl w:ilvl="5" w:tentative="0">
      <w:start w:val="1"/>
      <w:numFmt w:val="decimal"/>
      <w:pStyle w:val="2"/>
      <w:lvlText w:val="%1.%2.%3.%4.%5.%6."/>
      <w:lvlJc w:val="left"/>
      <w:pPr>
        <w:tabs>
          <w:tab w:val="left" w:pos="1134"/>
        </w:tabs>
        <w:ind w:left="1134" w:hanging="1134"/>
      </w:pPr>
    </w:lvl>
    <w:lvl w:ilvl="6" w:tentative="0">
      <w:start w:val="1"/>
      <w:numFmt w:val="decimal"/>
      <w:pStyle w:val="9"/>
      <w:lvlText w:val="%1.%2.%3.%4.%5.%6.%7."/>
      <w:lvlJc w:val="left"/>
      <w:pPr>
        <w:tabs>
          <w:tab w:val="left" w:pos="1276"/>
        </w:tabs>
        <w:ind w:left="1276" w:hanging="1276"/>
      </w:pPr>
    </w:lvl>
    <w:lvl w:ilvl="7" w:tentative="0">
      <w:start w:val="1"/>
      <w:numFmt w:val="decimal"/>
      <w:pStyle w:val="10"/>
      <w:lvlText w:val="%1.%2.%3.%4.%5.%6.%7.%8."/>
      <w:lvlJc w:val="left"/>
      <w:pPr>
        <w:tabs>
          <w:tab w:val="left" w:pos="1418"/>
        </w:tabs>
        <w:ind w:left="1418" w:hanging="1418"/>
      </w:pPr>
    </w:lvl>
    <w:lvl w:ilvl="8" w:tentative="0">
      <w:start w:val="1"/>
      <w:numFmt w:val="decimal"/>
      <w:pStyle w:val="11"/>
      <w:lvlText w:val="%1.%2.%3.%4.%5.%6.%7.%8.%9."/>
      <w:lvlJc w:val="left"/>
      <w:pPr>
        <w:tabs>
          <w:tab w:val="left" w:pos="1559"/>
        </w:tabs>
        <w:ind w:left="1559" w:hanging="1559"/>
      </w:pPr>
    </w:lvl>
  </w:abstractNum>
  <w:abstractNum w:abstractNumId="3">
    <w:nsid w:val="116622EE"/>
    <w:multiLevelType w:val="multilevel"/>
    <w:tmpl w:val="116622EE"/>
    <w:lvl w:ilvl="0" w:tentative="0">
      <w:start w:val="1"/>
      <w:numFmt w:val="decimal"/>
      <w:pStyle w:val="12"/>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A782711"/>
    <w:multiLevelType w:val="multilevel"/>
    <w:tmpl w:val="1A7827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5A2126"/>
    <w:multiLevelType w:val="singleLevel"/>
    <w:tmpl w:val="5A5A2126"/>
    <w:lvl w:ilvl="0" w:tentative="0">
      <w:start w:val="2"/>
      <w:numFmt w:val="chineseCounting"/>
      <w:suff w:val="nothing"/>
      <w:lvlText w:val="（%1）"/>
      <w:lvlJc w:val="left"/>
    </w:lvl>
  </w:abstractNum>
  <w:abstractNum w:abstractNumId="6">
    <w:nsid w:val="5B624B4C"/>
    <w:multiLevelType w:val="singleLevel"/>
    <w:tmpl w:val="5B624B4C"/>
    <w:lvl w:ilvl="0" w:tentative="0">
      <w:start w:val="6"/>
      <w:numFmt w:val="decimal"/>
      <w:suff w:val="nothing"/>
      <w:lvlText w:val="%1．"/>
      <w:lvlJc w:val="left"/>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trackRevisions w:val="1"/>
  <w:documentProtection w:edit="forms" w:enforcement="0"/>
  <w:defaultTabStop w:val="420"/>
  <w:doNotHyphenateCaps/>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9C"/>
    <w:rsid w:val="00000812"/>
    <w:rsid w:val="0000082E"/>
    <w:rsid w:val="00001B22"/>
    <w:rsid w:val="00001F13"/>
    <w:rsid w:val="00002174"/>
    <w:rsid w:val="00002ABE"/>
    <w:rsid w:val="000033D0"/>
    <w:rsid w:val="000041C2"/>
    <w:rsid w:val="00004DA2"/>
    <w:rsid w:val="000057CA"/>
    <w:rsid w:val="000059A1"/>
    <w:rsid w:val="00005A87"/>
    <w:rsid w:val="00005D16"/>
    <w:rsid w:val="00006465"/>
    <w:rsid w:val="0000660C"/>
    <w:rsid w:val="00007046"/>
    <w:rsid w:val="00010AE1"/>
    <w:rsid w:val="00011143"/>
    <w:rsid w:val="00011403"/>
    <w:rsid w:val="000117CD"/>
    <w:rsid w:val="000118E4"/>
    <w:rsid w:val="0001279F"/>
    <w:rsid w:val="00013303"/>
    <w:rsid w:val="0001337F"/>
    <w:rsid w:val="00013749"/>
    <w:rsid w:val="000141DF"/>
    <w:rsid w:val="000151DB"/>
    <w:rsid w:val="00015EA5"/>
    <w:rsid w:val="00015EE2"/>
    <w:rsid w:val="00016388"/>
    <w:rsid w:val="000164FD"/>
    <w:rsid w:val="000165A2"/>
    <w:rsid w:val="000167E7"/>
    <w:rsid w:val="00016E06"/>
    <w:rsid w:val="000205BF"/>
    <w:rsid w:val="000209F9"/>
    <w:rsid w:val="00021D0A"/>
    <w:rsid w:val="000223C0"/>
    <w:rsid w:val="00022421"/>
    <w:rsid w:val="00023234"/>
    <w:rsid w:val="00023607"/>
    <w:rsid w:val="000237B2"/>
    <w:rsid w:val="00024154"/>
    <w:rsid w:val="000242B7"/>
    <w:rsid w:val="00024390"/>
    <w:rsid w:val="0002487B"/>
    <w:rsid w:val="00024DFA"/>
    <w:rsid w:val="00024F15"/>
    <w:rsid w:val="00025A69"/>
    <w:rsid w:val="00025DAA"/>
    <w:rsid w:val="0002757E"/>
    <w:rsid w:val="00027677"/>
    <w:rsid w:val="00027A00"/>
    <w:rsid w:val="00027E3A"/>
    <w:rsid w:val="00027E5A"/>
    <w:rsid w:val="0003073C"/>
    <w:rsid w:val="00031005"/>
    <w:rsid w:val="0003102F"/>
    <w:rsid w:val="00031152"/>
    <w:rsid w:val="0003191F"/>
    <w:rsid w:val="00031D78"/>
    <w:rsid w:val="000334E2"/>
    <w:rsid w:val="00033563"/>
    <w:rsid w:val="00033719"/>
    <w:rsid w:val="00034A52"/>
    <w:rsid w:val="00034AEB"/>
    <w:rsid w:val="0003623D"/>
    <w:rsid w:val="00036347"/>
    <w:rsid w:val="000368F5"/>
    <w:rsid w:val="00037126"/>
    <w:rsid w:val="00037380"/>
    <w:rsid w:val="00037476"/>
    <w:rsid w:val="00037622"/>
    <w:rsid w:val="000402B2"/>
    <w:rsid w:val="00040B80"/>
    <w:rsid w:val="0004167F"/>
    <w:rsid w:val="00044020"/>
    <w:rsid w:val="00044083"/>
    <w:rsid w:val="000449C3"/>
    <w:rsid w:val="00044B52"/>
    <w:rsid w:val="00044B68"/>
    <w:rsid w:val="00045334"/>
    <w:rsid w:val="00045505"/>
    <w:rsid w:val="00045697"/>
    <w:rsid w:val="00045BB8"/>
    <w:rsid w:val="00045DD5"/>
    <w:rsid w:val="00046106"/>
    <w:rsid w:val="000473D9"/>
    <w:rsid w:val="00047852"/>
    <w:rsid w:val="000505A5"/>
    <w:rsid w:val="00050ECC"/>
    <w:rsid w:val="0005135F"/>
    <w:rsid w:val="00051444"/>
    <w:rsid w:val="0005150C"/>
    <w:rsid w:val="00053131"/>
    <w:rsid w:val="000534C0"/>
    <w:rsid w:val="000540D6"/>
    <w:rsid w:val="00055095"/>
    <w:rsid w:val="000552DA"/>
    <w:rsid w:val="000556C2"/>
    <w:rsid w:val="00055CF1"/>
    <w:rsid w:val="00056074"/>
    <w:rsid w:val="00061776"/>
    <w:rsid w:val="0006248E"/>
    <w:rsid w:val="00063FED"/>
    <w:rsid w:val="0006453A"/>
    <w:rsid w:val="00065295"/>
    <w:rsid w:val="00066BA2"/>
    <w:rsid w:val="000674AC"/>
    <w:rsid w:val="00067653"/>
    <w:rsid w:val="00070460"/>
    <w:rsid w:val="00070864"/>
    <w:rsid w:val="00070E59"/>
    <w:rsid w:val="0007107A"/>
    <w:rsid w:val="00071385"/>
    <w:rsid w:val="000718D6"/>
    <w:rsid w:val="00071983"/>
    <w:rsid w:val="00071CE0"/>
    <w:rsid w:val="00072686"/>
    <w:rsid w:val="000729FD"/>
    <w:rsid w:val="000739F8"/>
    <w:rsid w:val="00074A93"/>
    <w:rsid w:val="000754BC"/>
    <w:rsid w:val="0007550A"/>
    <w:rsid w:val="00075C7C"/>
    <w:rsid w:val="00075CC7"/>
    <w:rsid w:val="00075E8A"/>
    <w:rsid w:val="00075EEE"/>
    <w:rsid w:val="00076BF9"/>
    <w:rsid w:val="000804FA"/>
    <w:rsid w:val="00080ABD"/>
    <w:rsid w:val="00080CAD"/>
    <w:rsid w:val="000813E4"/>
    <w:rsid w:val="00082114"/>
    <w:rsid w:val="0008373E"/>
    <w:rsid w:val="000839C7"/>
    <w:rsid w:val="00083AD4"/>
    <w:rsid w:val="00084214"/>
    <w:rsid w:val="00084293"/>
    <w:rsid w:val="000853E2"/>
    <w:rsid w:val="000863E4"/>
    <w:rsid w:val="000863F9"/>
    <w:rsid w:val="00086446"/>
    <w:rsid w:val="00086843"/>
    <w:rsid w:val="00086A4F"/>
    <w:rsid w:val="000872A4"/>
    <w:rsid w:val="00087781"/>
    <w:rsid w:val="00087813"/>
    <w:rsid w:val="00090F2D"/>
    <w:rsid w:val="0009131A"/>
    <w:rsid w:val="0009164E"/>
    <w:rsid w:val="00091A02"/>
    <w:rsid w:val="00091BA7"/>
    <w:rsid w:val="000924A0"/>
    <w:rsid w:val="00092D63"/>
    <w:rsid w:val="00092E93"/>
    <w:rsid w:val="00093A1C"/>
    <w:rsid w:val="00093AC0"/>
    <w:rsid w:val="0009412D"/>
    <w:rsid w:val="000950F4"/>
    <w:rsid w:val="00095866"/>
    <w:rsid w:val="000A10A3"/>
    <w:rsid w:val="000A1815"/>
    <w:rsid w:val="000A1E25"/>
    <w:rsid w:val="000A24C6"/>
    <w:rsid w:val="000A447A"/>
    <w:rsid w:val="000A478C"/>
    <w:rsid w:val="000A5547"/>
    <w:rsid w:val="000A56F3"/>
    <w:rsid w:val="000A5E73"/>
    <w:rsid w:val="000A6004"/>
    <w:rsid w:val="000A6E9A"/>
    <w:rsid w:val="000A6EF5"/>
    <w:rsid w:val="000A7870"/>
    <w:rsid w:val="000B10BC"/>
    <w:rsid w:val="000B14AD"/>
    <w:rsid w:val="000B15E1"/>
    <w:rsid w:val="000B2192"/>
    <w:rsid w:val="000B23AB"/>
    <w:rsid w:val="000B2687"/>
    <w:rsid w:val="000B26A6"/>
    <w:rsid w:val="000B3314"/>
    <w:rsid w:val="000B35AD"/>
    <w:rsid w:val="000B3EFD"/>
    <w:rsid w:val="000B4CE7"/>
    <w:rsid w:val="000B4D50"/>
    <w:rsid w:val="000B4E55"/>
    <w:rsid w:val="000B5217"/>
    <w:rsid w:val="000B5613"/>
    <w:rsid w:val="000B5B8D"/>
    <w:rsid w:val="000B5D05"/>
    <w:rsid w:val="000B5D1F"/>
    <w:rsid w:val="000B6408"/>
    <w:rsid w:val="000B67E1"/>
    <w:rsid w:val="000B75DC"/>
    <w:rsid w:val="000C0DBC"/>
    <w:rsid w:val="000C16FD"/>
    <w:rsid w:val="000C3636"/>
    <w:rsid w:val="000C3AAF"/>
    <w:rsid w:val="000C3F43"/>
    <w:rsid w:val="000C44AB"/>
    <w:rsid w:val="000C4569"/>
    <w:rsid w:val="000C480E"/>
    <w:rsid w:val="000C4B4F"/>
    <w:rsid w:val="000C5B15"/>
    <w:rsid w:val="000C5F10"/>
    <w:rsid w:val="000C6120"/>
    <w:rsid w:val="000C69DC"/>
    <w:rsid w:val="000C69DF"/>
    <w:rsid w:val="000C6D14"/>
    <w:rsid w:val="000D01A1"/>
    <w:rsid w:val="000D214E"/>
    <w:rsid w:val="000D231B"/>
    <w:rsid w:val="000D24C7"/>
    <w:rsid w:val="000D2E65"/>
    <w:rsid w:val="000D31A2"/>
    <w:rsid w:val="000D33FC"/>
    <w:rsid w:val="000D3766"/>
    <w:rsid w:val="000D3EBE"/>
    <w:rsid w:val="000D58FE"/>
    <w:rsid w:val="000D5A0B"/>
    <w:rsid w:val="000D5FEC"/>
    <w:rsid w:val="000D610E"/>
    <w:rsid w:val="000D772A"/>
    <w:rsid w:val="000D7E7D"/>
    <w:rsid w:val="000D7E8F"/>
    <w:rsid w:val="000E0706"/>
    <w:rsid w:val="000E1813"/>
    <w:rsid w:val="000E2979"/>
    <w:rsid w:val="000E31FE"/>
    <w:rsid w:val="000E3FC6"/>
    <w:rsid w:val="000E4622"/>
    <w:rsid w:val="000E4A70"/>
    <w:rsid w:val="000E4F02"/>
    <w:rsid w:val="000E5695"/>
    <w:rsid w:val="000E68DB"/>
    <w:rsid w:val="000E6BC7"/>
    <w:rsid w:val="000E7116"/>
    <w:rsid w:val="000E77F3"/>
    <w:rsid w:val="000E7FA6"/>
    <w:rsid w:val="000F010B"/>
    <w:rsid w:val="000F1CEB"/>
    <w:rsid w:val="000F1FEB"/>
    <w:rsid w:val="000F21AE"/>
    <w:rsid w:val="000F2D0B"/>
    <w:rsid w:val="000F2FF6"/>
    <w:rsid w:val="000F5B19"/>
    <w:rsid w:val="000F5D5C"/>
    <w:rsid w:val="000F5DF0"/>
    <w:rsid w:val="000F621F"/>
    <w:rsid w:val="000F6B3C"/>
    <w:rsid w:val="000F6C7F"/>
    <w:rsid w:val="000F6DF3"/>
    <w:rsid w:val="0010053A"/>
    <w:rsid w:val="00100DCB"/>
    <w:rsid w:val="0010125D"/>
    <w:rsid w:val="001012A8"/>
    <w:rsid w:val="00102015"/>
    <w:rsid w:val="0010236E"/>
    <w:rsid w:val="001029CA"/>
    <w:rsid w:val="0010342C"/>
    <w:rsid w:val="00103577"/>
    <w:rsid w:val="001036BA"/>
    <w:rsid w:val="001039D2"/>
    <w:rsid w:val="00105382"/>
    <w:rsid w:val="001056AF"/>
    <w:rsid w:val="00105C4D"/>
    <w:rsid w:val="00105D8C"/>
    <w:rsid w:val="00105E7E"/>
    <w:rsid w:val="00106299"/>
    <w:rsid w:val="001068AD"/>
    <w:rsid w:val="00106C70"/>
    <w:rsid w:val="00107691"/>
    <w:rsid w:val="00107835"/>
    <w:rsid w:val="00107A33"/>
    <w:rsid w:val="00110B32"/>
    <w:rsid w:val="00110BDB"/>
    <w:rsid w:val="00112092"/>
    <w:rsid w:val="0011238A"/>
    <w:rsid w:val="00113225"/>
    <w:rsid w:val="001134A6"/>
    <w:rsid w:val="00113C11"/>
    <w:rsid w:val="00113C38"/>
    <w:rsid w:val="00114817"/>
    <w:rsid w:val="00115714"/>
    <w:rsid w:val="00116164"/>
    <w:rsid w:val="0011676F"/>
    <w:rsid w:val="001170B9"/>
    <w:rsid w:val="00117BB0"/>
    <w:rsid w:val="00120426"/>
    <w:rsid w:val="00120A0C"/>
    <w:rsid w:val="00120CDE"/>
    <w:rsid w:val="001212A1"/>
    <w:rsid w:val="00121E55"/>
    <w:rsid w:val="00123A95"/>
    <w:rsid w:val="00124074"/>
    <w:rsid w:val="00124612"/>
    <w:rsid w:val="001248FE"/>
    <w:rsid w:val="00125191"/>
    <w:rsid w:val="001254C4"/>
    <w:rsid w:val="001258BB"/>
    <w:rsid w:val="001264ED"/>
    <w:rsid w:val="001304EE"/>
    <w:rsid w:val="00130988"/>
    <w:rsid w:val="00130B01"/>
    <w:rsid w:val="001316AC"/>
    <w:rsid w:val="00131DCC"/>
    <w:rsid w:val="00131FA2"/>
    <w:rsid w:val="0013241A"/>
    <w:rsid w:val="00132618"/>
    <w:rsid w:val="00134518"/>
    <w:rsid w:val="001353F6"/>
    <w:rsid w:val="00135BB5"/>
    <w:rsid w:val="00136ADA"/>
    <w:rsid w:val="00136B60"/>
    <w:rsid w:val="00136FD0"/>
    <w:rsid w:val="0014052C"/>
    <w:rsid w:val="001406D9"/>
    <w:rsid w:val="00140EB6"/>
    <w:rsid w:val="00141ACB"/>
    <w:rsid w:val="001421D0"/>
    <w:rsid w:val="00142452"/>
    <w:rsid w:val="00142783"/>
    <w:rsid w:val="00142B30"/>
    <w:rsid w:val="00143C01"/>
    <w:rsid w:val="00143ED6"/>
    <w:rsid w:val="00144F4E"/>
    <w:rsid w:val="001453A3"/>
    <w:rsid w:val="001455B0"/>
    <w:rsid w:val="00145B35"/>
    <w:rsid w:val="00147333"/>
    <w:rsid w:val="00147648"/>
    <w:rsid w:val="001506C0"/>
    <w:rsid w:val="00150831"/>
    <w:rsid w:val="00150F40"/>
    <w:rsid w:val="00150F94"/>
    <w:rsid w:val="001515E1"/>
    <w:rsid w:val="00151D6E"/>
    <w:rsid w:val="001520C6"/>
    <w:rsid w:val="0015245F"/>
    <w:rsid w:val="00153071"/>
    <w:rsid w:val="001539DB"/>
    <w:rsid w:val="001546AB"/>
    <w:rsid w:val="00154FDB"/>
    <w:rsid w:val="0015531F"/>
    <w:rsid w:val="00155674"/>
    <w:rsid w:val="0015604E"/>
    <w:rsid w:val="0015633D"/>
    <w:rsid w:val="00156429"/>
    <w:rsid w:val="00156AC1"/>
    <w:rsid w:val="001570AE"/>
    <w:rsid w:val="0015730A"/>
    <w:rsid w:val="001576B7"/>
    <w:rsid w:val="00157E2A"/>
    <w:rsid w:val="001601A1"/>
    <w:rsid w:val="00160357"/>
    <w:rsid w:val="00160A84"/>
    <w:rsid w:val="00161B70"/>
    <w:rsid w:val="001622E2"/>
    <w:rsid w:val="001626A2"/>
    <w:rsid w:val="0016292D"/>
    <w:rsid w:val="00162C39"/>
    <w:rsid w:val="00163C2E"/>
    <w:rsid w:val="001647C6"/>
    <w:rsid w:val="00164CBD"/>
    <w:rsid w:val="00165026"/>
    <w:rsid w:val="001657E0"/>
    <w:rsid w:val="0016609B"/>
    <w:rsid w:val="00166EB4"/>
    <w:rsid w:val="00167BFA"/>
    <w:rsid w:val="0017068B"/>
    <w:rsid w:val="00170A37"/>
    <w:rsid w:val="00170E0C"/>
    <w:rsid w:val="00170E0E"/>
    <w:rsid w:val="00171262"/>
    <w:rsid w:val="00171454"/>
    <w:rsid w:val="00171513"/>
    <w:rsid w:val="00171612"/>
    <w:rsid w:val="00171851"/>
    <w:rsid w:val="00171CD7"/>
    <w:rsid w:val="00172648"/>
    <w:rsid w:val="00172927"/>
    <w:rsid w:val="00172C9F"/>
    <w:rsid w:val="00172CEA"/>
    <w:rsid w:val="00172D4A"/>
    <w:rsid w:val="00173414"/>
    <w:rsid w:val="00173820"/>
    <w:rsid w:val="00173F7E"/>
    <w:rsid w:val="00174C06"/>
    <w:rsid w:val="00174D8F"/>
    <w:rsid w:val="00174DAA"/>
    <w:rsid w:val="001761EF"/>
    <w:rsid w:val="00176329"/>
    <w:rsid w:val="00177196"/>
    <w:rsid w:val="0017760E"/>
    <w:rsid w:val="00180EDE"/>
    <w:rsid w:val="00180F91"/>
    <w:rsid w:val="00182DCD"/>
    <w:rsid w:val="00182FB8"/>
    <w:rsid w:val="00184864"/>
    <w:rsid w:val="001859AF"/>
    <w:rsid w:val="00185EBA"/>
    <w:rsid w:val="00186E30"/>
    <w:rsid w:val="00187A74"/>
    <w:rsid w:val="00190338"/>
    <w:rsid w:val="0019063A"/>
    <w:rsid w:val="00190E2E"/>
    <w:rsid w:val="0019120D"/>
    <w:rsid w:val="00191344"/>
    <w:rsid w:val="001914C5"/>
    <w:rsid w:val="00191B59"/>
    <w:rsid w:val="00192318"/>
    <w:rsid w:val="00192A63"/>
    <w:rsid w:val="0019312F"/>
    <w:rsid w:val="00193179"/>
    <w:rsid w:val="001938CA"/>
    <w:rsid w:val="0019473E"/>
    <w:rsid w:val="0019492B"/>
    <w:rsid w:val="00194E10"/>
    <w:rsid w:val="00195009"/>
    <w:rsid w:val="001956D1"/>
    <w:rsid w:val="00195BD3"/>
    <w:rsid w:val="00195C6E"/>
    <w:rsid w:val="00195EE6"/>
    <w:rsid w:val="00195F89"/>
    <w:rsid w:val="00196B2B"/>
    <w:rsid w:val="001971DA"/>
    <w:rsid w:val="00197501"/>
    <w:rsid w:val="001A128E"/>
    <w:rsid w:val="001A1503"/>
    <w:rsid w:val="001A1A05"/>
    <w:rsid w:val="001A1E78"/>
    <w:rsid w:val="001A271A"/>
    <w:rsid w:val="001A2E8C"/>
    <w:rsid w:val="001A4CBA"/>
    <w:rsid w:val="001A4E1A"/>
    <w:rsid w:val="001A5207"/>
    <w:rsid w:val="001A54E5"/>
    <w:rsid w:val="001A66DE"/>
    <w:rsid w:val="001A6E70"/>
    <w:rsid w:val="001A780E"/>
    <w:rsid w:val="001B02D7"/>
    <w:rsid w:val="001B0340"/>
    <w:rsid w:val="001B0903"/>
    <w:rsid w:val="001B0C5D"/>
    <w:rsid w:val="001B0E1D"/>
    <w:rsid w:val="001B1243"/>
    <w:rsid w:val="001B2071"/>
    <w:rsid w:val="001B22A4"/>
    <w:rsid w:val="001B454C"/>
    <w:rsid w:val="001B4C09"/>
    <w:rsid w:val="001B5560"/>
    <w:rsid w:val="001B5A61"/>
    <w:rsid w:val="001B5F7E"/>
    <w:rsid w:val="001B74A4"/>
    <w:rsid w:val="001B7559"/>
    <w:rsid w:val="001C0D90"/>
    <w:rsid w:val="001C27CC"/>
    <w:rsid w:val="001C2DB3"/>
    <w:rsid w:val="001C3061"/>
    <w:rsid w:val="001C347D"/>
    <w:rsid w:val="001C4B17"/>
    <w:rsid w:val="001C5163"/>
    <w:rsid w:val="001C5A78"/>
    <w:rsid w:val="001C5FA0"/>
    <w:rsid w:val="001C6774"/>
    <w:rsid w:val="001C6A17"/>
    <w:rsid w:val="001C71EC"/>
    <w:rsid w:val="001C73ED"/>
    <w:rsid w:val="001C7811"/>
    <w:rsid w:val="001C78C9"/>
    <w:rsid w:val="001C7A88"/>
    <w:rsid w:val="001D0234"/>
    <w:rsid w:val="001D0E7C"/>
    <w:rsid w:val="001D0EB2"/>
    <w:rsid w:val="001D0EDA"/>
    <w:rsid w:val="001D1928"/>
    <w:rsid w:val="001D1FC8"/>
    <w:rsid w:val="001D2D47"/>
    <w:rsid w:val="001D2FB3"/>
    <w:rsid w:val="001D30E5"/>
    <w:rsid w:val="001D30F4"/>
    <w:rsid w:val="001D3C38"/>
    <w:rsid w:val="001D406C"/>
    <w:rsid w:val="001D42D7"/>
    <w:rsid w:val="001D4B38"/>
    <w:rsid w:val="001D4C40"/>
    <w:rsid w:val="001D4CEE"/>
    <w:rsid w:val="001D4EDA"/>
    <w:rsid w:val="001D5077"/>
    <w:rsid w:val="001D7114"/>
    <w:rsid w:val="001D7656"/>
    <w:rsid w:val="001D781D"/>
    <w:rsid w:val="001D7FA5"/>
    <w:rsid w:val="001E0665"/>
    <w:rsid w:val="001E0A8A"/>
    <w:rsid w:val="001E1950"/>
    <w:rsid w:val="001E2BB9"/>
    <w:rsid w:val="001E32A6"/>
    <w:rsid w:val="001E3B86"/>
    <w:rsid w:val="001E3E89"/>
    <w:rsid w:val="001E4288"/>
    <w:rsid w:val="001E466D"/>
    <w:rsid w:val="001E5BBD"/>
    <w:rsid w:val="001E61E7"/>
    <w:rsid w:val="001E67C1"/>
    <w:rsid w:val="001E731E"/>
    <w:rsid w:val="001F05FA"/>
    <w:rsid w:val="001F0D40"/>
    <w:rsid w:val="001F16AA"/>
    <w:rsid w:val="001F1970"/>
    <w:rsid w:val="001F2229"/>
    <w:rsid w:val="001F25CE"/>
    <w:rsid w:val="001F2DB3"/>
    <w:rsid w:val="001F331E"/>
    <w:rsid w:val="001F35A4"/>
    <w:rsid w:val="001F3A11"/>
    <w:rsid w:val="001F4470"/>
    <w:rsid w:val="001F4B6F"/>
    <w:rsid w:val="001F4D9B"/>
    <w:rsid w:val="001F66D3"/>
    <w:rsid w:val="001F6AFE"/>
    <w:rsid w:val="001F7837"/>
    <w:rsid w:val="002002A3"/>
    <w:rsid w:val="00200AC2"/>
    <w:rsid w:val="00200B42"/>
    <w:rsid w:val="00200C3F"/>
    <w:rsid w:val="00201E97"/>
    <w:rsid w:val="00201F8F"/>
    <w:rsid w:val="002031E0"/>
    <w:rsid w:val="002033C3"/>
    <w:rsid w:val="00203E35"/>
    <w:rsid w:val="00204A43"/>
    <w:rsid w:val="00205CBC"/>
    <w:rsid w:val="0020695E"/>
    <w:rsid w:val="00206A92"/>
    <w:rsid w:val="00206AB0"/>
    <w:rsid w:val="00206B04"/>
    <w:rsid w:val="00206B5C"/>
    <w:rsid w:val="0020762F"/>
    <w:rsid w:val="00207CD3"/>
    <w:rsid w:val="00207FBF"/>
    <w:rsid w:val="00210B63"/>
    <w:rsid w:val="002112D1"/>
    <w:rsid w:val="002119C9"/>
    <w:rsid w:val="00211DDE"/>
    <w:rsid w:val="00212106"/>
    <w:rsid w:val="002123D3"/>
    <w:rsid w:val="0021265D"/>
    <w:rsid w:val="00212DBE"/>
    <w:rsid w:val="00213AC6"/>
    <w:rsid w:val="00213B8C"/>
    <w:rsid w:val="00213D5F"/>
    <w:rsid w:val="002144C9"/>
    <w:rsid w:val="00214B50"/>
    <w:rsid w:val="00215DDF"/>
    <w:rsid w:val="00215F00"/>
    <w:rsid w:val="00216365"/>
    <w:rsid w:val="00216572"/>
    <w:rsid w:val="00216A20"/>
    <w:rsid w:val="00217001"/>
    <w:rsid w:val="00220217"/>
    <w:rsid w:val="00220ADE"/>
    <w:rsid w:val="0022145C"/>
    <w:rsid w:val="002214AB"/>
    <w:rsid w:val="00221AFB"/>
    <w:rsid w:val="00221C0C"/>
    <w:rsid w:val="00221DC8"/>
    <w:rsid w:val="00222C87"/>
    <w:rsid w:val="00222FBB"/>
    <w:rsid w:val="0022304D"/>
    <w:rsid w:val="002241D1"/>
    <w:rsid w:val="00224813"/>
    <w:rsid w:val="00224A75"/>
    <w:rsid w:val="00225308"/>
    <w:rsid w:val="00225BFF"/>
    <w:rsid w:val="0022623F"/>
    <w:rsid w:val="00226915"/>
    <w:rsid w:val="00227AEF"/>
    <w:rsid w:val="00230017"/>
    <w:rsid w:val="002310CE"/>
    <w:rsid w:val="002313EC"/>
    <w:rsid w:val="00232C0E"/>
    <w:rsid w:val="0023311E"/>
    <w:rsid w:val="0023353B"/>
    <w:rsid w:val="00233546"/>
    <w:rsid w:val="00233AC7"/>
    <w:rsid w:val="00234EA0"/>
    <w:rsid w:val="002355DD"/>
    <w:rsid w:val="00235A4F"/>
    <w:rsid w:val="002373A0"/>
    <w:rsid w:val="0023753A"/>
    <w:rsid w:val="002408C4"/>
    <w:rsid w:val="00240934"/>
    <w:rsid w:val="00241553"/>
    <w:rsid w:val="00241813"/>
    <w:rsid w:val="00242120"/>
    <w:rsid w:val="00242468"/>
    <w:rsid w:val="00242492"/>
    <w:rsid w:val="00242993"/>
    <w:rsid w:val="00242F24"/>
    <w:rsid w:val="00244203"/>
    <w:rsid w:val="00244220"/>
    <w:rsid w:val="00244274"/>
    <w:rsid w:val="002449F2"/>
    <w:rsid w:val="00244B3F"/>
    <w:rsid w:val="002451E2"/>
    <w:rsid w:val="00245DD8"/>
    <w:rsid w:val="002460B0"/>
    <w:rsid w:val="002460B1"/>
    <w:rsid w:val="002460BE"/>
    <w:rsid w:val="002461AF"/>
    <w:rsid w:val="0024635B"/>
    <w:rsid w:val="00246AA3"/>
    <w:rsid w:val="00247171"/>
    <w:rsid w:val="00247DEE"/>
    <w:rsid w:val="00250B7D"/>
    <w:rsid w:val="00250D3D"/>
    <w:rsid w:val="00252D3F"/>
    <w:rsid w:val="00252FCA"/>
    <w:rsid w:val="0025319A"/>
    <w:rsid w:val="00253A63"/>
    <w:rsid w:val="00253DB3"/>
    <w:rsid w:val="00254AAE"/>
    <w:rsid w:val="00254FFF"/>
    <w:rsid w:val="0025593D"/>
    <w:rsid w:val="00255DA2"/>
    <w:rsid w:val="0025600A"/>
    <w:rsid w:val="00256AF9"/>
    <w:rsid w:val="0025720D"/>
    <w:rsid w:val="002607A9"/>
    <w:rsid w:val="00260ACE"/>
    <w:rsid w:val="00260CA9"/>
    <w:rsid w:val="00260EF2"/>
    <w:rsid w:val="0026148F"/>
    <w:rsid w:val="00261555"/>
    <w:rsid w:val="00262370"/>
    <w:rsid w:val="00262913"/>
    <w:rsid w:val="0026358D"/>
    <w:rsid w:val="00264C66"/>
    <w:rsid w:val="00265109"/>
    <w:rsid w:val="002656E6"/>
    <w:rsid w:val="00265E8C"/>
    <w:rsid w:val="0026604B"/>
    <w:rsid w:val="00266832"/>
    <w:rsid w:val="00266960"/>
    <w:rsid w:val="00267239"/>
    <w:rsid w:val="00267EF7"/>
    <w:rsid w:val="00267EFB"/>
    <w:rsid w:val="00270D3E"/>
    <w:rsid w:val="0027114B"/>
    <w:rsid w:val="002716F7"/>
    <w:rsid w:val="002716FE"/>
    <w:rsid w:val="002719D7"/>
    <w:rsid w:val="002723D3"/>
    <w:rsid w:val="002723D4"/>
    <w:rsid w:val="00272D78"/>
    <w:rsid w:val="0027336E"/>
    <w:rsid w:val="0027337F"/>
    <w:rsid w:val="00274B2B"/>
    <w:rsid w:val="00274F85"/>
    <w:rsid w:val="002751B5"/>
    <w:rsid w:val="00275516"/>
    <w:rsid w:val="002759A2"/>
    <w:rsid w:val="00275A36"/>
    <w:rsid w:val="00275E84"/>
    <w:rsid w:val="00276679"/>
    <w:rsid w:val="00277317"/>
    <w:rsid w:val="00277459"/>
    <w:rsid w:val="00280442"/>
    <w:rsid w:val="00280642"/>
    <w:rsid w:val="00280F38"/>
    <w:rsid w:val="002810C2"/>
    <w:rsid w:val="00281DA3"/>
    <w:rsid w:val="002822CE"/>
    <w:rsid w:val="00282B7A"/>
    <w:rsid w:val="00282E7B"/>
    <w:rsid w:val="00282EF3"/>
    <w:rsid w:val="002849F5"/>
    <w:rsid w:val="002852A4"/>
    <w:rsid w:val="00286082"/>
    <w:rsid w:val="00286C56"/>
    <w:rsid w:val="00286DF2"/>
    <w:rsid w:val="00287155"/>
    <w:rsid w:val="0029095D"/>
    <w:rsid w:val="00291184"/>
    <w:rsid w:val="002914EE"/>
    <w:rsid w:val="00291BA2"/>
    <w:rsid w:val="00291DA4"/>
    <w:rsid w:val="002926A8"/>
    <w:rsid w:val="002929A0"/>
    <w:rsid w:val="00292A86"/>
    <w:rsid w:val="00292B50"/>
    <w:rsid w:val="00293F41"/>
    <w:rsid w:val="00294DD0"/>
    <w:rsid w:val="00295082"/>
    <w:rsid w:val="00296575"/>
    <w:rsid w:val="00296DF4"/>
    <w:rsid w:val="002974A0"/>
    <w:rsid w:val="002A06AB"/>
    <w:rsid w:val="002A0788"/>
    <w:rsid w:val="002A0949"/>
    <w:rsid w:val="002A09AF"/>
    <w:rsid w:val="002A12F3"/>
    <w:rsid w:val="002A18E7"/>
    <w:rsid w:val="002A1B94"/>
    <w:rsid w:val="002A23EC"/>
    <w:rsid w:val="002A25E6"/>
    <w:rsid w:val="002A28DF"/>
    <w:rsid w:val="002A31C0"/>
    <w:rsid w:val="002A510A"/>
    <w:rsid w:val="002A5E2A"/>
    <w:rsid w:val="002A6CCA"/>
    <w:rsid w:val="002A7821"/>
    <w:rsid w:val="002B064A"/>
    <w:rsid w:val="002B069B"/>
    <w:rsid w:val="002B0A5C"/>
    <w:rsid w:val="002B0BEC"/>
    <w:rsid w:val="002B0DAB"/>
    <w:rsid w:val="002B1033"/>
    <w:rsid w:val="002B10D2"/>
    <w:rsid w:val="002B1486"/>
    <w:rsid w:val="002B1D7F"/>
    <w:rsid w:val="002B1FF4"/>
    <w:rsid w:val="002B20C9"/>
    <w:rsid w:val="002B2267"/>
    <w:rsid w:val="002B24FC"/>
    <w:rsid w:val="002B2693"/>
    <w:rsid w:val="002B375B"/>
    <w:rsid w:val="002B3885"/>
    <w:rsid w:val="002B41AA"/>
    <w:rsid w:val="002B4A59"/>
    <w:rsid w:val="002B4D3C"/>
    <w:rsid w:val="002B5510"/>
    <w:rsid w:val="002B5668"/>
    <w:rsid w:val="002B5A1F"/>
    <w:rsid w:val="002B5FD7"/>
    <w:rsid w:val="002B6A0E"/>
    <w:rsid w:val="002B6AE2"/>
    <w:rsid w:val="002B6D32"/>
    <w:rsid w:val="002B7561"/>
    <w:rsid w:val="002B7DCC"/>
    <w:rsid w:val="002C01B3"/>
    <w:rsid w:val="002C0FD5"/>
    <w:rsid w:val="002C1111"/>
    <w:rsid w:val="002C15B2"/>
    <w:rsid w:val="002C26BE"/>
    <w:rsid w:val="002C278B"/>
    <w:rsid w:val="002C34F3"/>
    <w:rsid w:val="002C351E"/>
    <w:rsid w:val="002C3A65"/>
    <w:rsid w:val="002C412B"/>
    <w:rsid w:val="002C4DC8"/>
    <w:rsid w:val="002C52D0"/>
    <w:rsid w:val="002C548B"/>
    <w:rsid w:val="002C5595"/>
    <w:rsid w:val="002C55C9"/>
    <w:rsid w:val="002C560D"/>
    <w:rsid w:val="002C5F4D"/>
    <w:rsid w:val="002C6D3B"/>
    <w:rsid w:val="002C7364"/>
    <w:rsid w:val="002C740D"/>
    <w:rsid w:val="002C7CD4"/>
    <w:rsid w:val="002C7E27"/>
    <w:rsid w:val="002C7E7E"/>
    <w:rsid w:val="002D1C63"/>
    <w:rsid w:val="002D28DB"/>
    <w:rsid w:val="002D2A4A"/>
    <w:rsid w:val="002D36C1"/>
    <w:rsid w:val="002D36EC"/>
    <w:rsid w:val="002D3771"/>
    <w:rsid w:val="002D4102"/>
    <w:rsid w:val="002D4806"/>
    <w:rsid w:val="002D4C24"/>
    <w:rsid w:val="002D4E67"/>
    <w:rsid w:val="002D5132"/>
    <w:rsid w:val="002D59EA"/>
    <w:rsid w:val="002D65FB"/>
    <w:rsid w:val="002D6D6E"/>
    <w:rsid w:val="002E0EB9"/>
    <w:rsid w:val="002E159D"/>
    <w:rsid w:val="002E2F7C"/>
    <w:rsid w:val="002E39A6"/>
    <w:rsid w:val="002E54A2"/>
    <w:rsid w:val="002E57C4"/>
    <w:rsid w:val="002E66A2"/>
    <w:rsid w:val="002E67C3"/>
    <w:rsid w:val="002F0579"/>
    <w:rsid w:val="002F120E"/>
    <w:rsid w:val="002F152F"/>
    <w:rsid w:val="002F2E42"/>
    <w:rsid w:val="002F2E6A"/>
    <w:rsid w:val="002F3AEF"/>
    <w:rsid w:val="002F4A07"/>
    <w:rsid w:val="002F69B4"/>
    <w:rsid w:val="002F7780"/>
    <w:rsid w:val="002F7BDC"/>
    <w:rsid w:val="002F7DC9"/>
    <w:rsid w:val="00300D05"/>
    <w:rsid w:val="00301234"/>
    <w:rsid w:val="003013B8"/>
    <w:rsid w:val="0030180B"/>
    <w:rsid w:val="003028EE"/>
    <w:rsid w:val="00302B0E"/>
    <w:rsid w:val="00302EE2"/>
    <w:rsid w:val="00303D6E"/>
    <w:rsid w:val="00304B00"/>
    <w:rsid w:val="003051F2"/>
    <w:rsid w:val="00305956"/>
    <w:rsid w:val="00305D38"/>
    <w:rsid w:val="00306548"/>
    <w:rsid w:val="00307169"/>
    <w:rsid w:val="003100F3"/>
    <w:rsid w:val="0031153C"/>
    <w:rsid w:val="00311591"/>
    <w:rsid w:val="003118AF"/>
    <w:rsid w:val="0031327A"/>
    <w:rsid w:val="003140CD"/>
    <w:rsid w:val="00314DE9"/>
    <w:rsid w:val="00315108"/>
    <w:rsid w:val="00315E02"/>
    <w:rsid w:val="003179DB"/>
    <w:rsid w:val="00320104"/>
    <w:rsid w:val="0032047D"/>
    <w:rsid w:val="00322194"/>
    <w:rsid w:val="0032340C"/>
    <w:rsid w:val="00323464"/>
    <w:rsid w:val="00323EC9"/>
    <w:rsid w:val="00323FD7"/>
    <w:rsid w:val="00324491"/>
    <w:rsid w:val="0032485B"/>
    <w:rsid w:val="003249F9"/>
    <w:rsid w:val="00324BBA"/>
    <w:rsid w:val="00324D57"/>
    <w:rsid w:val="00326241"/>
    <w:rsid w:val="00326B49"/>
    <w:rsid w:val="00327483"/>
    <w:rsid w:val="003278A9"/>
    <w:rsid w:val="003279D9"/>
    <w:rsid w:val="00330CDC"/>
    <w:rsid w:val="00330DB6"/>
    <w:rsid w:val="00331B9A"/>
    <w:rsid w:val="003321AC"/>
    <w:rsid w:val="00332A77"/>
    <w:rsid w:val="00332E24"/>
    <w:rsid w:val="00333277"/>
    <w:rsid w:val="00333C81"/>
    <w:rsid w:val="003346D3"/>
    <w:rsid w:val="003348EF"/>
    <w:rsid w:val="00335A54"/>
    <w:rsid w:val="003363FC"/>
    <w:rsid w:val="00336838"/>
    <w:rsid w:val="00336AFB"/>
    <w:rsid w:val="00336BB8"/>
    <w:rsid w:val="00336FEB"/>
    <w:rsid w:val="00337C74"/>
    <w:rsid w:val="00340E1D"/>
    <w:rsid w:val="003417FC"/>
    <w:rsid w:val="00341AB3"/>
    <w:rsid w:val="0034287D"/>
    <w:rsid w:val="00343223"/>
    <w:rsid w:val="0034337E"/>
    <w:rsid w:val="00343FCF"/>
    <w:rsid w:val="00344124"/>
    <w:rsid w:val="003442B7"/>
    <w:rsid w:val="00344325"/>
    <w:rsid w:val="003448D0"/>
    <w:rsid w:val="00344ABC"/>
    <w:rsid w:val="003453D1"/>
    <w:rsid w:val="00345901"/>
    <w:rsid w:val="003460CC"/>
    <w:rsid w:val="0034626A"/>
    <w:rsid w:val="00346583"/>
    <w:rsid w:val="003467B8"/>
    <w:rsid w:val="00347868"/>
    <w:rsid w:val="00350989"/>
    <w:rsid w:val="00350CBD"/>
    <w:rsid w:val="00350E3C"/>
    <w:rsid w:val="00351849"/>
    <w:rsid w:val="003527B7"/>
    <w:rsid w:val="00353208"/>
    <w:rsid w:val="00353FA7"/>
    <w:rsid w:val="00354B2B"/>
    <w:rsid w:val="003550E9"/>
    <w:rsid w:val="0035598D"/>
    <w:rsid w:val="00356CBA"/>
    <w:rsid w:val="00357585"/>
    <w:rsid w:val="00357706"/>
    <w:rsid w:val="00357FD6"/>
    <w:rsid w:val="00360419"/>
    <w:rsid w:val="0036123B"/>
    <w:rsid w:val="00361F29"/>
    <w:rsid w:val="00362056"/>
    <w:rsid w:val="003625F6"/>
    <w:rsid w:val="003627ED"/>
    <w:rsid w:val="003634CD"/>
    <w:rsid w:val="003638F6"/>
    <w:rsid w:val="00364006"/>
    <w:rsid w:val="00364171"/>
    <w:rsid w:val="00364878"/>
    <w:rsid w:val="0036487C"/>
    <w:rsid w:val="00364AF4"/>
    <w:rsid w:val="00364C03"/>
    <w:rsid w:val="00365F16"/>
    <w:rsid w:val="00366631"/>
    <w:rsid w:val="003669A2"/>
    <w:rsid w:val="0036724E"/>
    <w:rsid w:val="003672CF"/>
    <w:rsid w:val="003679D2"/>
    <w:rsid w:val="00367B7A"/>
    <w:rsid w:val="00367F94"/>
    <w:rsid w:val="00370D89"/>
    <w:rsid w:val="0037151B"/>
    <w:rsid w:val="00372094"/>
    <w:rsid w:val="003741B4"/>
    <w:rsid w:val="0037513F"/>
    <w:rsid w:val="0037538D"/>
    <w:rsid w:val="0037575E"/>
    <w:rsid w:val="003762FC"/>
    <w:rsid w:val="003765C3"/>
    <w:rsid w:val="003766BD"/>
    <w:rsid w:val="00376866"/>
    <w:rsid w:val="00376DD4"/>
    <w:rsid w:val="003770C3"/>
    <w:rsid w:val="0037730D"/>
    <w:rsid w:val="00377432"/>
    <w:rsid w:val="00377656"/>
    <w:rsid w:val="00377ED9"/>
    <w:rsid w:val="00380DD8"/>
    <w:rsid w:val="00381A8A"/>
    <w:rsid w:val="00381C7A"/>
    <w:rsid w:val="003824A9"/>
    <w:rsid w:val="0038299D"/>
    <w:rsid w:val="00382BD5"/>
    <w:rsid w:val="00383192"/>
    <w:rsid w:val="0038364A"/>
    <w:rsid w:val="00383C7B"/>
    <w:rsid w:val="00383C9D"/>
    <w:rsid w:val="003846F3"/>
    <w:rsid w:val="0038504F"/>
    <w:rsid w:val="00385160"/>
    <w:rsid w:val="0038534A"/>
    <w:rsid w:val="003858BF"/>
    <w:rsid w:val="00386436"/>
    <w:rsid w:val="003872B8"/>
    <w:rsid w:val="00387674"/>
    <w:rsid w:val="003878D1"/>
    <w:rsid w:val="00387B7B"/>
    <w:rsid w:val="00390180"/>
    <w:rsid w:val="003905B7"/>
    <w:rsid w:val="00390F21"/>
    <w:rsid w:val="00391288"/>
    <w:rsid w:val="00392CBC"/>
    <w:rsid w:val="00392E42"/>
    <w:rsid w:val="003930C1"/>
    <w:rsid w:val="00394D65"/>
    <w:rsid w:val="00394DFA"/>
    <w:rsid w:val="003952A9"/>
    <w:rsid w:val="003953AB"/>
    <w:rsid w:val="00395D34"/>
    <w:rsid w:val="00395FE9"/>
    <w:rsid w:val="0039618D"/>
    <w:rsid w:val="003967A5"/>
    <w:rsid w:val="0039696E"/>
    <w:rsid w:val="00396B05"/>
    <w:rsid w:val="00396BF5"/>
    <w:rsid w:val="00396CA7"/>
    <w:rsid w:val="00397B28"/>
    <w:rsid w:val="00397DDE"/>
    <w:rsid w:val="003A012B"/>
    <w:rsid w:val="003A0635"/>
    <w:rsid w:val="003A0A09"/>
    <w:rsid w:val="003A0C1D"/>
    <w:rsid w:val="003A0CFB"/>
    <w:rsid w:val="003A0E73"/>
    <w:rsid w:val="003A0F2C"/>
    <w:rsid w:val="003A136C"/>
    <w:rsid w:val="003A1964"/>
    <w:rsid w:val="003A2719"/>
    <w:rsid w:val="003A2BB8"/>
    <w:rsid w:val="003A2C09"/>
    <w:rsid w:val="003A4D57"/>
    <w:rsid w:val="003A56A1"/>
    <w:rsid w:val="003A5743"/>
    <w:rsid w:val="003A6300"/>
    <w:rsid w:val="003A6340"/>
    <w:rsid w:val="003A650E"/>
    <w:rsid w:val="003A6C9D"/>
    <w:rsid w:val="003A752E"/>
    <w:rsid w:val="003B08F9"/>
    <w:rsid w:val="003B09FA"/>
    <w:rsid w:val="003B0D8F"/>
    <w:rsid w:val="003B1C39"/>
    <w:rsid w:val="003B1F48"/>
    <w:rsid w:val="003B259D"/>
    <w:rsid w:val="003B2C55"/>
    <w:rsid w:val="003B2F49"/>
    <w:rsid w:val="003B3189"/>
    <w:rsid w:val="003B3273"/>
    <w:rsid w:val="003B4496"/>
    <w:rsid w:val="003B5598"/>
    <w:rsid w:val="003B5652"/>
    <w:rsid w:val="003B6144"/>
    <w:rsid w:val="003B6234"/>
    <w:rsid w:val="003B6604"/>
    <w:rsid w:val="003B68F6"/>
    <w:rsid w:val="003B6D03"/>
    <w:rsid w:val="003B7BC3"/>
    <w:rsid w:val="003C05E8"/>
    <w:rsid w:val="003C0768"/>
    <w:rsid w:val="003C112A"/>
    <w:rsid w:val="003C158F"/>
    <w:rsid w:val="003C1660"/>
    <w:rsid w:val="003C280E"/>
    <w:rsid w:val="003C28EB"/>
    <w:rsid w:val="003C3530"/>
    <w:rsid w:val="003C36F2"/>
    <w:rsid w:val="003C3E32"/>
    <w:rsid w:val="003C402B"/>
    <w:rsid w:val="003C4B63"/>
    <w:rsid w:val="003C535B"/>
    <w:rsid w:val="003C5971"/>
    <w:rsid w:val="003C597B"/>
    <w:rsid w:val="003C60C5"/>
    <w:rsid w:val="003C716A"/>
    <w:rsid w:val="003C7426"/>
    <w:rsid w:val="003C794B"/>
    <w:rsid w:val="003C7DCF"/>
    <w:rsid w:val="003C7E9C"/>
    <w:rsid w:val="003D0156"/>
    <w:rsid w:val="003D0D81"/>
    <w:rsid w:val="003D2550"/>
    <w:rsid w:val="003D273A"/>
    <w:rsid w:val="003D2AD8"/>
    <w:rsid w:val="003D332B"/>
    <w:rsid w:val="003D3B52"/>
    <w:rsid w:val="003D4040"/>
    <w:rsid w:val="003D41C4"/>
    <w:rsid w:val="003D4EFC"/>
    <w:rsid w:val="003D500C"/>
    <w:rsid w:val="003D712F"/>
    <w:rsid w:val="003D7A8C"/>
    <w:rsid w:val="003E0348"/>
    <w:rsid w:val="003E055B"/>
    <w:rsid w:val="003E0E9E"/>
    <w:rsid w:val="003E1237"/>
    <w:rsid w:val="003E1AF3"/>
    <w:rsid w:val="003E20FE"/>
    <w:rsid w:val="003E2722"/>
    <w:rsid w:val="003E29F8"/>
    <w:rsid w:val="003E3BE6"/>
    <w:rsid w:val="003E3DB3"/>
    <w:rsid w:val="003E4392"/>
    <w:rsid w:val="003E476C"/>
    <w:rsid w:val="003E490D"/>
    <w:rsid w:val="003E49EF"/>
    <w:rsid w:val="003E4AB0"/>
    <w:rsid w:val="003E53F9"/>
    <w:rsid w:val="003E54F7"/>
    <w:rsid w:val="003E5EEC"/>
    <w:rsid w:val="003E61BF"/>
    <w:rsid w:val="003E6E69"/>
    <w:rsid w:val="003F04C9"/>
    <w:rsid w:val="003F0EA7"/>
    <w:rsid w:val="003F1C78"/>
    <w:rsid w:val="003F1FB6"/>
    <w:rsid w:val="003F2338"/>
    <w:rsid w:val="003F28E6"/>
    <w:rsid w:val="003F2AA3"/>
    <w:rsid w:val="003F32AD"/>
    <w:rsid w:val="003F3E69"/>
    <w:rsid w:val="003F4399"/>
    <w:rsid w:val="003F448B"/>
    <w:rsid w:val="003F4ADE"/>
    <w:rsid w:val="003F4CFE"/>
    <w:rsid w:val="003F6BE9"/>
    <w:rsid w:val="003F6C75"/>
    <w:rsid w:val="003F7E3F"/>
    <w:rsid w:val="004002AB"/>
    <w:rsid w:val="004014C2"/>
    <w:rsid w:val="00401794"/>
    <w:rsid w:val="00401DD1"/>
    <w:rsid w:val="0040236F"/>
    <w:rsid w:val="004025C1"/>
    <w:rsid w:val="00402C5C"/>
    <w:rsid w:val="00403048"/>
    <w:rsid w:val="00403415"/>
    <w:rsid w:val="00403640"/>
    <w:rsid w:val="00403765"/>
    <w:rsid w:val="0040397E"/>
    <w:rsid w:val="00403C51"/>
    <w:rsid w:val="00403D8A"/>
    <w:rsid w:val="00404452"/>
    <w:rsid w:val="00404ED2"/>
    <w:rsid w:val="00405EB5"/>
    <w:rsid w:val="0040736C"/>
    <w:rsid w:val="00410616"/>
    <w:rsid w:val="00411AF4"/>
    <w:rsid w:val="00411D26"/>
    <w:rsid w:val="00412078"/>
    <w:rsid w:val="004139D4"/>
    <w:rsid w:val="00414DE6"/>
    <w:rsid w:val="00416660"/>
    <w:rsid w:val="0041667C"/>
    <w:rsid w:val="00416CD5"/>
    <w:rsid w:val="004174F0"/>
    <w:rsid w:val="00417836"/>
    <w:rsid w:val="004178E8"/>
    <w:rsid w:val="004207F7"/>
    <w:rsid w:val="00422113"/>
    <w:rsid w:val="00422E6F"/>
    <w:rsid w:val="00423F2D"/>
    <w:rsid w:val="00424978"/>
    <w:rsid w:val="00424D55"/>
    <w:rsid w:val="004252BD"/>
    <w:rsid w:val="00426C84"/>
    <w:rsid w:val="00426F9B"/>
    <w:rsid w:val="00427288"/>
    <w:rsid w:val="00427B7D"/>
    <w:rsid w:val="00427CED"/>
    <w:rsid w:val="00427E17"/>
    <w:rsid w:val="00430826"/>
    <w:rsid w:val="0043090F"/>
    <w:rsid w:val="00430976"/>
    <w:rsid w:val="004313D0"/>
    <w:rsid w:val="00431767"/>
    <w:rsid w:val="004318B9"/>
    <w:rsid w:val="00431BC4"/>
    <w:rsid w:val="00432242"/>
    <w:rsid w:val="00432490"/>
    <w:rsid w:val="00432972"/>
    <w:rsid w:val="00434C58"/>
    <w:rsid w:val="0043606F"/>
    <w:rsid w:val="00436264"/>
    <w:rsid w:val="004369E9"/>
    <w:rsid w:val="004370FD"/>
    <w:rsid w:val="0043739E"/>
    <w:rsid w:val="00437DA5"/>
    <w:rsid w:val="00440480"/>
    <w:rsid w:val="0044072F"/>
    <w:rsid w:val="00441169"/>
    <w:rsid w:val="00441608"/>
    <w:rsid w:val="00441ABA"/>
    <w:rsid w:val="004435E7"/>
    <w:rsid w:val="00443660"/>
    <w:rsid w:val="00443769"/>
    <w:rsid w:val="00443EA5"/>
    <w:rsid w:val="004443A4"/>
    <w:rsid w:val="00444905"/>
    <w:rsid w:val="004455F6"/>
    <w:rsid w:val="004468E2"/>
    <w:rsid w:val="0044788F"/>
    <w:rsid w:val="004501F2"/>
    <w:rsid w:val="00450A07"/>
    <w:rsid w:val="00450AE4"/>
    <w:rsid w:val="00450D26"/>
    <w:rsid w:val="00450DD4"/>
    <w:rsid w:val="00450F2F"/>
    <w:rsid w:val="00452EEE"/>
    <w:rsid w:val="00453104"/>
    <w:rsid w:val="0045337B"/>
    <w:rsid w:val="00453A12"/>
    <w:rsid w:val="00453EF1"/>
    <w:rsid w:val="00453F79"/>
    <w:rsid w:val="004547DF"/>
    <w:rsid w:val="00454A03"/>
    <w:rsid w:val="00456110"/>
    <w:rsid w:val="004568A5"/>
    <w:rsid w:val="004570BF"/>
    <w:rsid w:val="00457128"/>
    <w:rsid w:val="00457840"/>
    <w:rsid w:val="00460E42"/>
    <w:rsid w:val="004633AE"/>
    <w:rsid w:val="004633BF"/>
    <w:rsid w:val="004635D1"/>
    <w:rsid w:val="0046461B"/>
    <w:rsid w:val="00464D8C"/>
    <w:rsid w:val="0046511A"/>
    <w:rsid w:val="00466564"/>
    <w:rsid w:val="00466A56"/>
    <w:rsid w:val="00467DD9"/>
    <w:rsid w:val="004707D5"/>
    <w:rsid w:val="004714FA"/>
    <w:rsid w:val="00472B52"/>
    <w:rsid w:val="00472BD7"/>
    <w:rsid w:val="004730C9"/>
    <w:rsid w:val="00473FA0"/>
    <w:rsid w:val="0047411A"/>
    <w:rsid w:val="0047413F"/>
    <w:rsid w:val="00474DAA"/>
    <w:rsid w:val="004758CB"/>
    <w:rsid w:val="00477355"/>
    <w:rsid w:val="0047792B"/>
    <w:rsid w:val="00477C44"/>
    <w:rsid w:val="00480299"/>
    <w:rsid w:val="00481068"/>
    <w:rsid w:val="0048154C"/>
    <w:rsid w:val="00481B59"/>
    <w:rsid w:val="004820C9"/>
    <w:rsid w:val="0048225F"/>
    <w:rsid w:val="0048237B"/>
    <w:rsid w:val="00483583"/>
    <w:rsid w:val="004835E5"/>
    <w:rsid w:val="004839DB"/>
    <w:rsid w:val="00483ECA"/>
    <w:rsid w:val="00483F27"/>
    <w:rsid w:val="00484010"/>
    <w:rsid w:val="00484017"/>
    <w:rsid w:val="00484631"/>
    <w:rsid w:val="00484D02"/>
    <w:rsid w:val="00484E68"/>
    <w:rsid w:val="00485090"/>
    <w:rsid w:val="00486792"/>
    <w:rsid w:val="00486B40"/>
    <w:rsid w:val="004876C5"/>
    <w:rsid w:val="004877AF"/>
    <w:rsid w:val="00487844"/>
    <w:rsid w:val="00487DFD"/>
    <w:rsid w:val="00490114"/>
    <w:rsid w:val="0049069D"/>
    <w:rsid w:val="00490A56"/>
    <w:rsid w:val="00490F6E"/>
    <w:rsid w:val="0049173C"/>
    <w:rsid w:val="0049323C"/>
    <w:rsid w:val="004934FF"/>
    <w:rsid w:val="00494686"/>
    <w:rsid w:val="004947BA"/>
    <w:rsid w:val="00494C94"/>
    <w:rsid w:val="004958BC"/>
    <w:rsid w:val="00496AAC"/>
    <w:rsid w:val="00496B4C"/>
    <w:rsid w:val="00497690"/>
    <w:rsid w:val="00497F93"/>
    <w:rsid w:val="004A0078"/>
    <w:rsid w:val="004A1108"/>
    <w:rsid w:val="004A1761"/>
    <w:rsid w:val="004A1774"/>
    <w:rsid w:val="004A2688"/>
    <w:rsid w:val="004A2A4D"/>
    <w:rsid w:val="004A2B3E"/>
    <w:rsid w:val="004A2D16"/>
    <w:rsid w:val="004A39A5"/>
    <w:rsid w:val="004A3B5F"/>
    <w:rsid w:val="004A3D0E"/>
    <w:rsid w:val="004A3F44"/>
    <w:rsid w:val="004A485B"/>
    <w:rsid w:val="004A48ED"/>
    <w:rsid w:val="004A617F"/>
    <w:rsid w:val="004A65AC"/>
    <w:rsid w:val="004A65FD"/>
    <w:rsid w:val="004B032E"/>
    <w:rsid w:val="004B0B79"/>
    <w:rsid w:val="004B1C87"/>
    <w:rsid w:val="004B1E1A"/>
    <w:rsid w:val="004B1F22"/>
    <w:rsid w:val="004B2570"/>
    <w:rsid w:val="004B2F40"/>
    <w:rsid w:val="004B4B79"/>
    <w:rsid w:val="004B4D85"/>
    <w:rsid w:val="004B530A"/>
    <w:rsid w:val="004B6702"/>
    <w:rsid w:val="004C0B83"/>
    <w:rsid w:val="004C0E52"/>
    <w:rsid w:val="004C1B36"/>
    <w:rsid w:val="004C235C"/>
    <w:rsid w:val="004C346A"/>
    <w:rsid w:val="004C3730"/>
    <w:rsid w:val="004C3AEC"/>
    <w:rsid w:val="004C42E2"/>
    <w:rsid w:val="004C4C7C"/>
    <w:rsid w:val="004C56E3"/>
    <w:rsid w:val="004C5E1F"/>
    <w:rsid w:val="004C675C"/>
    <w:rsid w:val="004C68A3"/>
    <w:rsid w:val="004C6B8C"/>
    <w:rsid w:val="004C6C54"/>
    <w:rsid w:val="004C73DA"/>
    <w:rsid w:val="004D019C"/>
    <w:rsid w:val="004D0314"/>
    <w:rsid w:val="004D044C"/>
    <w:rsid w:val="004D2387"/>
    <w:rsid w:val="004D3080"/>
    <w:rsid w:val="004D3982"/>
    <w:rsid w:val="004D43CE"/>
    <w:rsid w:val="004D4536"/>
    <w:rsid w:val="004D461B"/>
    <w:rsid w:val="004D4738"/>
    <w:rsid w:val="004D51D7"/>
    <w:rsid w:val="004D54C3"/>
    <w:rsid w:val="004D6200"/>
    <w:rsid w:val="004D6EAE"/>
    <w:rsid w:val="004D7B21"/>
    <w:rsid w:val="004E057E"/>
    <w:rsid w:val="004E1228"/>
    <w:rsid w:val="004E1DEE"/>
    <w:rsid w:val="004E1EA0"/>
    <w:rsid w:val="004E2792"/>
    <w:rsid w:val="004E2B1D"/>
    <w:rsid w:val="004E2DE6"/>
    <w:rsid w:val="004E39AC"/>
    <w:rsid w:val="004E3A8B"/>
    <w:rsid w:val="004E4E6A"/>
    <w:rsid w:val="004E565F"/>
    <w:rsid w:val="004E68E5"/>
    <w:rsid w:val="004E77DE"/>
    <w:rsid w:val="004E7BCD"/>
    <w:rsid w:val="004F04BC"/>
    <w:rsid w:val="004F06D5"/>
    <w:rsid w:val="004F08F6"/>
    <w:rsid w:val="004F1D3F"/>
    <w:rsid w:val="004F33F1"/>
    <w:rsid w:val="004F402F"/>
    <w:rsid w:val="004F45C8"/>
    <w:rsid w:val="004F4FD0"/>
    <w:rsid w:val="004F5C77"/>
    <w:rsid w:val="004F64F6"/>
    <w:rsid w:val="004F6DFF"/>
    <w:rsid w:val="004F7201"/>
    <w:rsid w:val="004F7C2E"/>
    <w:rsid w:val="005005EA"/>
    <w:rsid w:val="00500802"/>
    <w:rsid w:val="00500BA8"/>
    <w:rsid w:val="00500E1F"/>
    <w:rsid w:val="00501009"/>
    <w:rsid w:val="00501B08"/>
    <w:rsid w:val="00502146"/>
    <w:rsid w:val="005023FF"/>
    <w:rsid w:val="00503A7B"/>
    <w:rsid w:val="0050433D"/>
    <w:rsid w:val="00504D3E"/>
    <w:rsid w:val="0050525E"/>
    <w:rsid w:val="00505B50"/>
    <w:rsid w:val="00506021"/>
    <w:rsid w:val="0050650E"/>
    <w:rsid w:val="005068AF"/>
    <w:rsid w:val="00506EF0"/>
    <w:rsid w:val="005071B7"/>
    <w:rsid w:val="005074A8"/>
    <w:rsid w:val="005076B2"/>
    <w:rsid w:val="00507A07"/>
    <w:rsid w:val="00511209"/>
    <w:rsid w:val="0051121F"/>
    <w:rsid w:val="00512358"/>
    <w:rsid w:val="005124FD"/>
    <w:rsid w:val="00512741"/>
    <w:rsid w:val="00512897"/>
    <w:rsid w:val="005141B5"/>
    <w:rsid w:val="005146BF"/>
    <w:rsid w:val="00514D6A"/>
    <w:rsid w:val="00515237"/>
    <w:rsid w:val="00515984"/>
    <w:rsid w:val="00515A7E"/>
    <w:rsid w:val="00515D04"/>
    <w:rsid w:val="00515E0F"/>
    <w:rsid w:val="00515FCF"/>
    <w:rsid w:val="00516496"/>
    <w:rsid w:val="005165E3"/>
    <w:rsid w:val="005165FF"/>
    <w:rsid w:val="005172D5"/>
    <w:rsid w:val="005174D9"/>
    <w:rsid w:val="00517562"/>
    <w:rsid w:val="0051762E"/>
    <w:rsid w:val="00517866"/>
    <w:rsid w:val="00520D31"/>
    <w:rsid w:val="005224C7"/>
    <w:rsid w:val="00522BC0"/>
    <w:rsid w:val="0052307D"/>
    <w:rsid w:val="00523183"/>
    <w:rsid w:val="005231ED"/>
    <w:rsid w:val="00523230"/>
    <w:rsid w:val="005235D2"/>
    <w:rsid w:val="00523FBC"/>
    <w:rsid w:val="005240A0"/>
    <w:rsid w:val="005245C8"/>
    <w:rsid w:val="005246ED"/>
    <w:rsid w:val="00524818"/>
    <w:rsid w:val="00524819"/>
    <w:rsid w:val="00525AAE"/>
    <w:rsid w:val="00526728"/>
    <w:rsid w:val="00526F18"/>
    <w:rsid w:val="00530039"/>
    <w:rsid w:val="005300D8"/>
    <w:rsid w:val="00530A8F"/>
    <w:rsid w:val="00530F12"/>
    <w:rsid w:val="00531114"/>
    <w:rsid w:val="005315D2"/>
    <w:rsid w:val="00531809"/>
    <w:rsid w:val="00532FB5"/>
    <w:rsid w:val="00533005"/>
    <w:rsid w:val="0053482E"/>
    <w:rsid w:val="00534F68"/>
    <w:rsid w:val="0053542A"/>
    <w:rsid w:val="00535969"/>
    <w:rsid w:val="00535A73"/>
    <w:rsid w:val="005360A5"/>
    <w:rsid w:val="00536156"/>
    <w:rsid w:val="0053669B"/>
    <w:rsid w:val="0053719D"/>
    <w:rsid w:val="00537E88"/>
    <w:rsid w:val="0054196D"/>
    <w:rsid w:val="00541D7A"/>
    <w:rsid w:val="00541D95"/>
    <w:rsid w:val="00542647"/>
    <w:rsid w:val="00542F03"/>
    <w:rsid w:val="005434E4"/>
    <w:rsid w:val="00543A8C"/>
    <w:rsid w:val="0054454F"/>
    <w:rsid w:val="00545124"/>
    <w:rsid w:val="005456A7"/>
    <w:rsid w:val="00545A1B"/>
    <w:rsid w:val="00545C31"/>
    <w:rsid w:val="00545F6A"/>
    <w:rsid w:val="00546A2F"/>
    <w:rsid w:val="005470F2"/>
    <w:rsid w:val="00547A49"/>
    <w:rsid w:val="00547B98"/>
    <w:rsid w:val="00547E72"/>
    <w:rsid w:val="00551A79"/>
    <w:rsid w:val="00551CA3"/>
    <w:rsid w:val="00552060"/>
    <w:rsid w:val="00552E51"/>
    <w:rsid w:val="0055302A"/>
    <w:rsid w:val="005548BD"/>
    <w:rsid w:val="0055528A"/>
    <w:rsid w:val="00555CC5"/>
    <w:rsid w:val="00556220"/>
    <w:rsid w:val="00556F51"/>
    <w:rsid w:val="005604DB"/>
    <w:rsid w:val="0056172B"/>
    <w:rsid w:val="005625E3"/>
    <w:rsid w:val="00562B55"/>
    <w:rsid w:val="00562C7D"/>
    <w:rsid w:val="00562E21"/>
    <w:rsid w:val="00565321"/>
    <w:rsid w:val="00565AAF"/>
    <w:rsid w:val="00566127"/>
    <w:rsid w:val="00566B22"/>
    <w:rsid w:val="00566BE1"/>
    <w:rsid w:val="00567B2E"/>
    <w:rsid w:val="00567E89"/>
    <w:rsid w:val="00570CD0"/>
    <w:rsid w:val="00570CEB"/>
    <w:rsid w:val="00571843"/>
    <w:rsid w:val="005719A9"/>
    <w:rsid w:val="00572E1A"/>
    <w:rsid w:val="00573207"/>
    <w:rsid w:val="00573AC0"/>
    <w:rsid w:val="00573C51"/>
    <w:rsid w:val="0057494D"/>
    <w:rsid w:val="00575057"/>
    <w:rsid w:val="005755E0"/>
    <w:rsid w:val="0057565D"/>
    <w:rsid w:val="00576E1B"/>
    <w:rsid w:val="00576F3B"/>
    <w:rsid w:val="0057773B"/>
    <w:rsid w:val="00577905"/>
    <w:rsid w:val="0058050A"/>
    <w:rsid w:val="005819E9"/>
    <w:rsid w:val="005820E0"/>
    <w:rsid w:val="005828FF"/>
    <w:rsid w:val="00582C71"/>
    <w:rsid w:val="00582C8A"/>
    <w:rsid w:val="0058360C"/>
    <w:rsid w:val="00583EB8"/>
    <w:rsid w:val="005841B8"/>
    <w:rsid w:val="005846A2"/>
    <w:rsid w:val="0058475E"/>
    <w:rsid w:val="00584853"/>
    <w:rsid w:val="0058530A"/>
    <w:rsid w:val="00585661"/>
    <w:rsid w:val="005874C5"/>
    <w:rsid w:val="00587ADD"/>
    <w:rsid w:val="00587F36"/>
    <w:rsid w:val="005900D8"/>
    <w:rsid w:val="00590583"/>
    <w:rsid w:val="00590A19"/>
    <w:rsid w:val="00590D1A"/>
    <w:rsid w:val="00590D83"/>
    <w:rsid w:val="00591212"/>
    <w:rsid w:val="005913A2"/>
    <w:rsid w:val="005915CE"/>
    <w:rsid w:val="005917D3"/>
    <w:rsid w:val="005917E0"/>
    <w:rsid w:val="005918C1"/>
    <w:rsid w:val="0059200C"/>
    <w:rsid w:val="005923D1"/>
    <w:rsid w:val="005932C8"/>
    <w:rsid w:val="00593969"/>
    <w:rsid w:val="00593BBB"/>
    <w:rsid w:val="005943C9"/>
    <w:rsid w:val="00595226"/>
    <w:rsid w:val="00595469"/>
    <w:rsid w:val="005954EF"/>
    <w:rsid w:val="0059569C"/>
    <w:rsid w:val="00597E58"/>
    <w:rsid w:val="005A0B07"/>
    <w:rsid w:val="005A136E"/>
    <w:rsid w:val="005A161D"/>
    <w:rsid w:val="005A167D"/>
    <w:rsid w:val="005A17AB"/>
    <w:rsid w:val="005A19FF"/>
    <w:rsid w:val="005A2267"/>
    <w:rsid w:val="005A27DE"/>
    <w:rsid w:val="005A2B13"/>
    <w:rsid w:val="005A2DFE"/>
    <w:rsid w:val="005A330D"/>
    <w:rsid w:val="005A493B"/>
    <w:rsid w:val="005A5E49"/>
    <w:rsid w:val="005A62C6"/>
    <w:rsid w:val="005A65EA"/>
    <w:rsid w:val="005A7A71"/>
    <w:rsid w:val="005A7BAD"/>
    <w:rsid w:val="005B0B73"/>
    <w:rsid w:val="005B14AC"/>
    <w:rsid w:val="005B250A"/>
    <w:rsid w:val="005B297B"/>
    <w:rsid w:val="005B2A83"/>
    <w:rsid w:val="005B2F03"/>
    <w:rsid w:val="005B3779"/>
    <w:rsid w:val="005B3E30"/>
    <w:rsid w:val="005B3EC7"/>
    <w:rsid w:val="005B4902"/>
    <w:rsid w:val="005B4F5A"/>
    <w:rsid w:val="005B51D0"/>
    <w:rsid w:val="005B62AC"/>
    <w:rsid w:val="005B6BDF"/>
    <w:rsid w:val="005B6D12"/>
    <w:rsid w:val="005B6F4F"/>
    <w:rsid w:val="005B7B62"/>
    <w:rsid w:val="005B7E63"/>
    <w:rsid w:val="005C06D2"/>
    <w:rsid w:val="005C1800"/>
    <w:rsid w:val="005C1DFB"/>
    <w:rsid w:val="005C2489"/>
    <w:rsid w:val="005C24C2"/>
    <w:rsid w:val="005C2747"/>
    <w:rsid w:val="005C29DE"/>
    <w:rsid w:val="005C37FA"/>
    <w:rsid w:val="005C3839"/>
    <w:rsid w:val="005C3AEC"/>
    <w:rsid w:val="005C40E4"/>
    <w:rsid w:val="005C4EC6"/>
    <w:rsid w:val="005C5076"/>
    <w:rsid w:val="005C5627"/>
    <w:rsid w:val="005C6378"/>
    <w:rsid w:val="005C6DE8"/>
    <w:rsid w:val="005D0940"/>
    <w:rsid w:val="005D0BDD"/>
    <w:rsid w:val="005D0EA3"/>
    <w:rsid w:val="005D15D0"/>
    <w:rsid w:val="005D19BA"/>
    <w:rsid w:val="005D3D68"/>
    <w:rsid w:val="005D4F0E"/>
    <w:rsid w:val="005D5561"/>
    <w:rsid w:val="005D5A37"/>
    <w:rsid w:val="005D5B9C"/>
    <w:rsid w:val="005D5DF1"/>
    <w:rsid w:val="005D6546"/>
    <w:rsid w:val="005D6D29"/>
    <w:rsid w:val="005D7344"/>
    <w:rsid w:val="005E0DC0"/>
    <w:rsid w:val="005E1106"/>
    <w:rsid w:val="005E11B4"/>
    <w:rsid w:val="005E237F"/>
    <w:rsid w:val="005E2674"/>
    <w:rsid w:val="005E29A2"/>
    <w:rsid w:val="005E2E1C"/>
    <w:rsid w:val="005E3EB9"/>
    <w:rsid w:val="005E4794"/>
    <w:rsid w:val="005E5444"/>
    <w:rsid w:val="005E773B"/>
    <w:rsid w:val="005E7E63"/>
    <w:rsid w:val="005E7EDF"/>
    <w:rsid w:val="005F06D5"/>
    <w:rsid w:val="005F0871"/>
    <w:rsid w:val="005F0AFF"/>
    <w:rsid w:val="005F1163"/>
    <w:rsid w:val="005F1509"/>
    <w:rsid w:val="005F2075"/>
    <w:rsid w:val="005F226D"/>
    <w:rsid w:val="005F284F"/>
    <w:rsid w:val="005F2A40"/>
    <w:rsid w:val="005F2C0C"/>
    <w:rsid w:val="005F2FBF"/>
    <w:rsid w:val="005F393A"/>
    <w:rsid w:val="005F3BA5"/>
    <w:rsid w:val="005F4284"/>
    <w:rsid w:val="005F44D0"/>
    <w:rsid w:val="005F4C5A"/>
    <w:rsid w:val="005F4D91"/>
    <w:rsid w:val="005F4DF6"/>
    <w:rsid w:val="005F4FBC"/>
    <w:rsid w:val="005F5EF1"/>
    <w:rsid w:val="005F6270"/>
    <w:rsid w:val="005F668B"/>
    <w:rsid w:val="005F6AC1"/>
    <w:rsid w:val="005F6AE1"/>
    <w:rsid w:val="005F6F26"/>
    <w:rsid w:val="005F7122"/>
    <w:rsid w:val="005F713A"/>
    <w:rsid w:val="005F7A77"/>
    <w:rsid w:val="005F7DA5"/>
    <w:rsid w:val="00600E91"/>
    <w:rsid w:val="006010E8"/>
    <w:rsid w:val="0060156C"/>
    <w:rsid w:val="0060171A"/>
    <w:rsid w:val="00601CBD"/>
    <w:rsid w:val="006028B8"/>
    <w:rsid w:val="00603019"/>
    <w:rsid w:val="006036C4"/>
    <w:rsid w:val="00603DF6"/>
    <w:rsid w:val="006044E8"/>
    <w:rsid w:val="006050B0"/>
    <w:rsid w:val="006052FC"/>
    <w:rsid w:val="006064B7"/>
    <w:rsid w:val="0060675C"/>
    <w:rsid w:val="00606A59"/>
    <w:rsid w:val="00606A66"/>
    <w:rsid w:val="0060787A"/>
    <w:rsid w:val="00610EAB"/>
    <w:rsid w:val="00611413"/>
    <w:rsid w:val="00611E75"/>
    <w:rsid w:val="00612337"/>
    <w:rsid w:val="00612472"/>
    <w:rsid w:val="00613113"/>
    <w:rsid w:val="0061335C"/>
    <w:rsid w:val="00614DCB"/>
    <w:rsid w:val="00615098"/>
    <w:rsid w:val="00615820"/>
    <w:rsid w:val="00615C77"/>
    <w:rsid w:val="00616104"/>
    <w:rsid w:val="006166BF"/>
    <w:rsid w:val="00616D8E"/>
    <w:rsid w:val="00616E3A"/>
    <w:rsid w:val="00616E59"/>
    <w:rsid w:val="006209BD"/>
    <w:rsid w:val="00621FE7"/>
    <w:rsid w:val="00622551"/>
    <w:rsid w:val="00622F8A"/>
    <w:rsid w:val="006231A3"/>
    <w:rsid w:val="00623CE7"/>
    <w:rsid w:val="00625001"/>
    <w:rsid w:val="0062548D"/>
    <w:rsid w:val="006263C0"/>
    <w:rsid w:val="00626ACD"/>
    <w:rsid w:val="006270D7"/>
    <w:rsid w:val="0063082D"/>
    <w:rsid w:val="0063104D"/>
    <w:rsid w:val="0063197C"/>
    <w:rsid w:val="00632CC4"/>
    <w:rsid w:val="006330AA"/>
    <w:rsid w:val="006339F4"/>
    <w:rsid w:val="00633A29"/>
    <w:rsid w:val="00633EB2"/>
    <w:rsid w:val="0063518C"/>
    <w:rsid w:val="00635241"/>
    <w:rsid w:val="00635667"/>
    <w:rsid w:val="00635701"/>
    <w:rsid w:val="006358F4"/>
    <w:rsid w:val="00635EB1"/>
    <w:rsid w:val="0063710A"/>
    <w:rsid w:val="0063786C"/>
    <w:rsid w:val="00637EDC"/>
    <w:rsid w:val="00640050"/>
    <w:rsid w:val="00640145"/>
    <w:rsid w:val="006409E6"/>
    <w:rsid w:val="006410B7"/>
    <w:rsid w:val="00641D64"/>
    <w:rsid w:val="00641E93"/>
    <w:rsid w:val="00643120"/>
    <w:rsid w:val="006433A1"/>
    <w:rsid w:val="00643EBB"/>
    <w:rsid w:val="00643FCB"/>
    <w:rsid w:val="00644F2C"/>
    <w:rsid w:val="00645F24"/>
    <w:rsid w:val="00646219"/>
    <w:rsid w:val="00646D37"/>
    <w:rsid w:val="00647014"/>
    <w:rsid w:val="00647519"/>
    <w:rsid w:val="00647636"/>
    <w:rsid w:val="00647653"/>
    <w:rsid w:val="0064788A"/>
    <w:rsid w:val="00651908"/>
    <w:rsid w:val="006519AA"/>
    <w:rsid w:val="006520F1"/>
    <w:rsid w:val="00652501"/>
    <w:rsid w:val="00653344"/>
    <w:rsid w:val="00653703"/>
    <w:rsid w:val="00655443"/>
    <w:rsid w:val="00655A6E"/>
    <w:rsid w:val="006574E6"/>
    <w:rsid w:val="00657C55"/>
    <w:rsid w:val="00660815"/>
    <w:rsid w:val="00660954"/>
    <w:rsid w:val="006614A5"/>
    <w:rsid w:val="00661E54"/>
    <w:rsid w:val="006620B0"/>
    <w:rsid w:val="00662B70"/>
    <w:rsid w:val="00663F05"/>
    <w:rsid w:val="00664A68"/>
    <w:rsid w:val="0066535E"/>
    <w:rsid w:val="00665CFD"/>
    <w:rsid w:val="00665ECB"/>
    <w:rsid w:val="006663F8"/>
    <w:rsid w:val="00666B1D"/>
    <w:rsid w:val="00666D83"/>
    <w:rsid w:val="00666E15"/>
    <w:rsid w:val="00667225"/>
    <w:rsid w:val="006672F1"/>
    <w:rsid w:val="006717B5"/>
    <w:rsid w:val="006719FB"/>
    <w:rsid w:val="00672F99"/>
    <w:rsid w:val="00673386"/>
    <w:rsid w:val="0067349C"/>
    <w:rsid w:val="00673C5F"/>
    <w:rsid w:val="006746F6"/>
    <w:rsid w:val="006748A7"/>
    <w:rsid w:val="00675E8B"/>
    <w:rsid w:val="00676221"/>
    <w:rsid w:val="00676A0A"/>
    <w:rsid w:val="00677367"/>
    <w:rsid w:val="00677DB3"/>
    <w:rsid w:val="006800FC"/>
    <w:rsid w:val="00680EC3"/>
    <w:rsid w:val="00681671"/>
    <w:rsid w:val="006824CE"/>
    <w:rsid w:val="0068274A"/>
    <w:rsid w:val="006829FB"/>
    <w:rsid w:val="00682FF3"/>
    <w:rsid w:val="006842C0"/>
    <w:rsid w:val="00685BF4"/>
    <w:rsid w:val="006866FB"/>
    <w:rsid w:val="00686C4E"/>
    <w:rsid w:val="00686E04"/>
    <w:rsid w:val="00687974"/>
    <w:rsid w:val="00691CB6"/>
    <w:rsid w:val="00691D79"/>
    <w:rsid w:val="0069259C"/>
    <w:rsid w:val="006934C7"/>
    <w:rsid w:val="006936E7"/>
    <w:rsid w:val="00693D72"/>
    <w:rsid w:val="00693F20"/>
    <w:rsid w:val="006951B5"/>
    <w:rsid w:val="00695ACE"/>
    <w:rsid w:val="00696C8A"/>
    <w:rsid w:val="0069718C"/>
    <w:rsid w:val="00697564"/>
    <w:rsid w:val="00697672"/>
    <w:rsid w:val="00697674"/>
    <w:rsid w:val="00697B59"/>
    <w:rsid w:val="00697EC2"/>
    <w:rsid w:val="00697F36"/>
    <w:rsid w:val="006A0073"/>
    <w:rsid w:val="006A0394"/>
    <w:rsid w:val="006A0727"/>
    <w:rsid w:val="006A07BD"/>
    <w:rsid w:val="006A1D18"/>
    <w:rsid w:val="006A30B0"/>
    <w:rsid w:val="006A3489"/>
    <w:rsid w:val="006A3946"/>
    <w:rsid w:val="006A3D4E"/>
    <w:rsid w:val="006A3E5E"/>
    <w:rsid w:val="006A486A"/>
    <w:rsid w:val="006A4F6E"/>
    <w:rsid w:val="006A5590"/>
    <w:rsid w:val="006A580E"/>
    <w:rsid w:val="006A5F9C"/>
    <w:rsid w:val="006A68BA"/>
    <w:rsid w:val="006A6F47"/>
    <w:rsid w:val="006A7130"/>
    <w:rsid w:val="006A7305"/>
    <w:rsid w:val="006A75E1"/>
    <w:rsid w:val="006A761D"/>
    <w:rsid w:val="006A7B74"/>
    <w:rsid w:val="006B0A00"/>
    <w:rsid w:val="006B0A72"/>
    <w:rsid w:val="006B0AC2"/>
    <w:rsid w:val="006B0B5F"/>
    <w:rsid w:val="006B1E3A"/>
    <w:rsid w:val="006B2498"/>
    <w:rsid w:val="006B2C44"/>
    <w:rsid w:val="006B3769"/>
    <w:rsid w:val="006B3FA1"/>
    <w:rsid w:val="006B42DA"/>
    <w:rsid w:val="006B4466"/>
    <w:rsid w:val="006B47DE"/>
    <w:rsid w:val="006B4EC9"/>
    <w:rsid w:val="006B5093"/>
    <w:rsid w:val="006B544E"/>
    <w:rsid w:val="006B54E6"/>
    <w:rsid w:val="006B5640"/>
    <w:rsid w:val="006B59C3"/>
    <w:rsid w:val="006B5F7A"/>
    <w:rsid w:val="006B616F"/>
    <w:rsid w:val="006B6D92"/>
    <w:rsid w:val="006B76A9"/>
    <w:rsid w:val="006B7907"/>
    <w:rsid w:val="006C119B"/>
    <w:rsid w:val="006C11AA"/>
    <w:rsid w:val="006C129E"/>
    <w:rsid w:val="006C1519"/>
    <w:rsid w:val="006C1D3B"/>
    <w:rsid w:val="006C2328"/>
    <w:rsid w:val="006C2804"/>
    <w:rsid w:val="006C2932"/>
    <w:rsid w:val="006C2CF5"/>
    <w:rsid w:val="006C31C2"/>
    <w:rsid w:val="006C372C"/>
    <w:rsid w:val="006C3A9F"/>
    <w:rsid w:val="006C43E7"/>
    <w:rsid w:val="006C46E2"/>
    <w:rsid w:val="006C4903"/>
    <w:rsid w:val="006C4BAB"/>
    <w:rsid w:val="006C507E"/>
    <w:rsid w:val="006C5B9D"/>
    <w:rsid w:val="006C6169"/>
    <w:rsid w:val="006C6DE9"/>
    <w:rsid w:val="006C757A"/>
    <w:rsid w:val="006C7622"/>
    <w:rsid w:val="006D06B7"/>
    <w:rsid w:val="006D0C72"/>
    <w:rsid w:val="006D1049"/>
    <w:rsid w:val="006D2C64"/>
    <w:rsid w:val="006D3289"/>
    <w:rsid w:val="006D46E9"/>
    <w:rsid w:val="006D7019"/>
    <w:rsid w:val="006D72FE"/>
    <w:rsid w:val="006D7337"/>
    <w:rsid w:val="006D77B0"/>
    <w:rsid w:val="006D7CF4"/>
    <w:rsid w:val="006E008C"/>
    <w:rsid w:val="006E0351"/>
    <w:rsid w:val="006E0C76"/>
    <w:rsid w:val="006E0DBF"/>
    <w:rsid w:val="006E0E00"/>
    <w:rsid w:val="006E0E7C"/>
    <w:rsid w:val="006E1A5F"/>
    <w:rsid w:val="006E1E45"/>
    <w:rsid w:val="006E268D"/>
    <w:rsid w:val="006E28BF"/>
    <w:rsid w:val="006E2919"/>
    <w:rsid w:val="006E3132"/>
    <w:rsid w:val="006E42BB"/>
    <w:rsid w:val="006E4310"/>
    <w:rsid w:val="006E4EFA"/>
    <w:rsid w:val="006E52BC"/>
    <w:rsid w:val="006E6057"/>
    <w:rsid w:val="006E6340"/>
    <w:rsid w:val="006E6423"/>
    <w:rsid w:val="006E6627"/>
    <w:rsid w:val="006E7827"/>
    <w:rsid w:val="006E7D5E"/>
    <w:rsid w:val="006E7E9F"/>
    <w:rsid w:val="006E7EC0"/>
    <w:rsid w:val="006F0C39"/>
    <w:rsid w:val="006F0E56"/>
    <w:rsid w:val="006F147B"/>
    <w:rsid w:val="006F16FE"/>
    <w:rsid w:val="006F21FD"/>
    <w:rsid w:val="006F264E"/>
    <w:rsid w:val="006F3147"/>
    <w:rsid w:val="006F338F"/>
    <w:rsid w:val="006F356D"/>
    <w:rsid w:val="006F37D8"/>
    <w:rsid w:val="006F4AEC"/>
    <w:rsid w:val="006F4C6A"/>
    <w:rsid w:val="006F4E8B"/>
    <w:rsid w:val="006F4EA0"/>
    <w:rsid w:val="006F520B"/>
    <w:rsid w:val="006F5A41"/>
    <w:rsid w:val="006F5C0C"/>
    <w:rsid w:val="006F6338"/>
    <w:rsid w:val="006F63CC"/>
    <w:rsid w:val="006F69CA"/>
    <w:rsid w:val="006F6C89"/>
    <w:rsid w:val="006F70BE"/>
    <w:rsid w:val="007003AC"/>
    <w:rsid w:val="00701B2D"/>
    <w:rsid w:val="00701F7D"/>
    <w:rsid w:val="00702058"/>
    <w:rsid w:val="00702C34"/>
    <w:rsid w:val="00703030"/>
    <w:rsid w:val="00703CF2"/>
    <w:rsid w:val="007040D6"/>
    <w:rsid w:val="007041A8"/>
    <w:rsid w:val="00704A13"/>
    <w:rsid w:val="00705476"/>
    <w:rsid w:val="007056B6"/>
    <w:rsid w:val="00705DD9"/>
    <w:rsid w:val="00706D18"/>
    <w:rsid w:val="00710391"/>
    <w:rsid w:val="00710992"/>
    <w:rsid w:val="00711072"/>
    <w:rsid w:val="00711073"/>
    <w:rsid w:val="0071129F"/>
    <w:rsid w:val="00711F35"/>
    <w:rsid w:val="00711FD8"/>
    <w:rsid w:val="00712671"/>
    <w:rsid w:val="00712F33"/>
    <w:rsid w:val="00713945"/>
    <w:rsid w:val="007139A6"/>
    <w:rsid w:val="00713CAB"/>
    <w:rsid w:val="0071415D"/>
    <w:rsid w:val="00715372"/>
    <w:rsid w:val="0071630D"/>
    <w:rsid w:val="00716628"/>
    <w:rsid w:val="00716F9C"/>
    <w:rsid w:val="0072008E"/>
    <w:rsid w:val="007204AD"/>
    <w:rsid w:val="007207FD"/>
    <w:rsid w:val="00720A4D"/>
    <w:rsid w:val="00720AF7"/>
    <w:rsid w:val="00720E70"/>
    <w:rsid w:val="007215C1"/>
    <w:rsid w:val="007224FC"/>
    <w:rsid w:val="00722D15"/>
    <w:rsid w:val="00723194"/>
    <w:rsid w:val="00725520"/>
    <w:rsid w:val="007264ED"/>
    <w:rsid w:val="00726507"/>
    <w:rsid w:val="00726591"/>
    <w:rsid w:val="00726A9C"/>
    <w:rsid w:val="00726E42"/>
    <w:rsid w:val="00726F42"/>
    <w:rsid w:val="00727040"/>
    <w:rsid w:val="007276CE"/>
    <w:rsid w:val="00727767"/>
    <w:rsid w:val="007277A6"/>
    <w:rsid w:val="007302E0"/>
    <w:rsid w:val="007306F3"/>
    <w:rsid w:val="00730967"/>
    <w:rsid w:val="00730C5C"/>
    <w:rsid w:val="00731E5F"/>
    <w:rsid w:val="00733131"/>
    <w:rsid w:val="00733EFF"/>
    <w:rsid w:val="00734040"/>
    <w:rsid w:val="007340D5"/>
    <w:rsid w:val="0073441A"/>
    <w:rsid w:val="007346B3"/>
    <w:rsid w:val="00734AE6"/>
    <w:rsid w:val="00734F4F"/>
    <w:rsid w:val="00735DD3"/>
    <w:rsid w:val="00736238"/>
    <w:rsid w:val="00737A88"/>
    <w:rsid w:val="00737FC9"/>
    <w:rsid w:val="00740B7E"/>
    <w:rsid w:val="00742071"/>
    <w:rsid w:val="0074276C"/>
    <w:rsid w:val="00742CC1"/>
    <w:rsid w:val="00742D76"/>
    <w:rsid w:val="00742EF9"/>
    <w:rsid w:val="007443D3"/>
    <w:rsid w:val="00745008"/>
    <w:rsid w:val="00745D7D"/>
    <w:rsid w:val="0074636A"/>
    <w:rsid w:val="007466B6"/>
    <w:rsid w:val="00746B82"/>
    <w:rsid w:val="00747F31"/>
    <w:rsid w:val="00750268"/>
    <w:rsid w:val="00750344"/>
    <w:rsid w:val="007504DC"/>
    <w:rsid w:val="00750C22"/>
    <w:rsid w:val="0075115E"/>
    <w:rsid w:val="00751430"/>
    <w:rsid w:val="007525A1"/>
    <w:rsid w:val="00753036"/>
    <w:rsid w:val="0075363C"/>
    <w:rsid w:val="007549D4"/>
    <w:rsid w:val="00755649"/>
    <w:rsid w:val="00755A07"/>
    <w:rsid w:val="0075647A"/>
    <w:rsid w:val="00756877"/>
    <w:rsid w:val="00757C6E"/>
    <w:rsid w:val="00757CBE"/>
    <w:rsid w:val="007610DB"/>
    <w:rsid w:val="007626AB"/>
    <w:rsid w:val="007635A0"/>
    <w:rsid w:val="00763BCB"/>
    <w:rsid w:val="007646C9"/>
    <w:rsid w:val="00764EFA"/>
    <w:rsid w:val="00765A09"/>
    <w:rsid w:val="00765F26"/>
    <w:rsid w:val="007679F9"/>
    <w:rsid w:val="007702DF"/>
    <w:rsid w:val="00770557"/>
    <w:rsid w:val="0077085F"/>
    <w:rsid w:val="007709A7"/>
    <w:rsid w:val="00770BCF"/>
    <w:rsid w:val="0077125B"/>
    <w:rsid w:val="00772912"/>
    <w:rsid w:val="0077297C"/>
    <w:rsid w:val="0077303F"/>
    <w:rsid w:val="007734C8"/>
    <w:rsid w:val="007743A2"/>
    <w:rsid w:val="00774630"/>
    <w:rsid w:val="00775CF0"/>
    <w:rsid w:val="007767DA"/>
    <w:rsid w:val="0077684F"/>
    <w:rsid w:val="007775AB"/>
    <w:rsid w:val="00780DA3"/>
    <w:rsid w:val="00780EE7"/>
    <w:rsid w:val="00781762"/>
    <w:rsid w:val="00782177"/>
    <w:rsid w:val="00782650"/>
    <w:rsid w:val="00783560"/>
    <w:rsid w:val="00783E1C"/>
    <w:rsid w:val="007843A4"/>
    <w:rsid w:val="00786EEE"/>
    <w:rsid w:val="007870C6"/>
    <w:rsid w:val="00787350"/>
    <w:rsid w:val="00787537"/>
    <w:rsid w:val="00787C80"/>
    <w:rsid w:val="00790458"/>
    <w:rsid w:val="0079048A"/>
    <w:rsid w:val="007907B1"/>
    <w:rsid w:val="00790A8C"/>
    <w:rsid w:val="007922C2"/>
    <w:rsid w:val="00792666"/>
    <w:rsid w:val="00792AAE"/>
    <w:rsid w:val="00793D12"/>
    <w:rsid w:val="00794E87"/>
    <w:rsid w:val="00795B67"/>
    <w:rsid w:val="00796181"/>
    <w:rsid w:val="00796762"/>
    <w:rsid w:val="0079715D"/>
    <w:rsid w:val="007973E1"/>
    <w:rsid w:val="007A0E31"/>
    <w:rsid w:val="007A22E6"/>
    <w:rsid w:val="007A24CB"/>
    <w:rsid w:val="007A32F8"/>
    <w:rsid w:val="007A3700"/>
    <w:rsid w:val="007A3712"/>
    <w:rsid w:val="007A37D1"/>
    <w:rsid w:val="007A49CC"/>
    <w:rsid w:val="007A4BD4"/>
    <w:rsid w:val="007A513A"/>
    <w:rsid w:val="007A5A6B"/>
    <w:rsid w:val="007A5E4F"/>
    <w:rsid w:val="007A63E7"/>
    <w:rsid w:val="007A66F6"/>
    <w:rsid w:val="007A6EA5"/>
    <w:rsid w:val="007A717E"/>
    <w:rsid w:val="007A7554"/>
    <w:rsid w:val="007A75F3"/>
    <w:rsid w:val="007B0BBC"/>
    <w:rsid w:val="007B0C24"/>
    <w:rsid w:val="007B0EC5"/>
    <w:rsid w:val="007B1009"/>
    <w:rsid w:val="007B1108"/>
    <w:rsid w:val="007B2625"/>
    <w:rsid w:val="007B2C12"/>
    <w:rsid w:val="007B2E2E"/>
    <w:rsid w:val="007B35B5"/>
    <w:rsid w:val="007B3642"/>
    <w:rsid w:val="007B38D8"/>
    <w:rsid w:val="007B3AE1"/>
    <w:rsid w:val="007B4CFD"/>
    <w:rsid w:val="007B4E15"/>
    <w:rsid w:val="007B50BB"/>
    <w:rsid w:val="007B50C8"/>
    <w:rsid w:val="007B520E"/>
    <w:rsid w:val="007B54B9"/>
    <w:rsid w:val="007B5600"/>
    <w:rsid w:val="007B5CD9"/>
    <w:rsid w:val="007B60E5"/>
    <w:rsid w:val="007C0ACC"/>
    <w:rsid w:val="007C0C09"/>
    <w:rsid w:val="007C0E23"/>
    <w:rsid w:val="007C0EFE"/>
    <w:rsid w:val="007C127E"/>
    <w:rsid w:val="007C1C12"/>
    <w:rsid w:val="007C21F1"/>
    <w:rsid w:val="007C26DD"/>
    <w:rsid w:val="007C2ADB"/>
    <w:rsid w:val="007C2F16"/>
    <w:rsid w:val="007C302D"/>
    <w:rsid w:val="007C32BF"/>
    <w:rsid w:val="007C518E"/>
    <w:rsid w:val="007C6518"/>
    <w:rsid w:val="007C7149"/>
    <w:rsid w:val="007D02A7"/>
    <w:rsid w:val="007D0A93"/>
    <w:rsid w:val="007D25E7"/>
    <w:rsid w:val="007D2986"/>
    <w:rsid w:val="007D362F"/>
    <w:rsid w:val="007D3DB7"/>
    <w:rsid w:val="007D3FE4"/>
    <w:rsid w:val="007D40AD"/>
    <w:rsid w:val="007D4A43"/>
    <w:rsid w:val="007D591E"/>
    <w:rsid w:val="007D593D"/>
    <w:rsid w:val="007D5A04"/>
    <w:rsid w:val="007D5E98"/>
    <w:rsid w:val="007D6057"/>
    <w:rsid w:val="007D76FC"/>
    <w:rsid w:val="007E01C6"/>
    <w:rsid w:val="007E1F1E"/>
    <w:rsid w:val="007E2016"/>
    <w:rsid w:val="007E26E9"/>
    <w:rsid w:val="007E2C77"/>
    <w:rsid w:val="007E3793"/>
    <w:rsid w:val="007E4426"/>
    <w:rsid w:val="007E4AFF"/>
    <w:rsid w:val="007E5BB2"/>
    <w:rsid w:val="007E6228"/>
    <w:rsid w:val="007E6C9C"/>
    <w:rsid w:val="007E6FC6"/>
    <w:rsid w:val="007E7EAB"/>
    <w:rsid w:val="007E7FC5"/>
    <w:rsid w:val="007F00EB"/>
    <w:rsid w:val="007F02BE"/>
    <w:rsid w:val="007F0776"/>
    <w:rsid w:val="007F12C7"/>
    <w:rsid w:val="007F12F8"/>
    <w:rsid w:val="007F13E1"/>
    <w:rsid w:val="007F13FE"/>
    <w:rsid w:val="007F16E1"/>
    <w:rsid w:val="007F1FA8"/>
    <w:rsid w:val="007F2687"/>
    <w:rsid w:val="007F2864"/>
    <w:rsid w:val="007F2877"/>
    <w:rsid w:val="007F37AE"/>
    <w:rsid w:val="007F3D8C"/>
    <w:rsid w:val="007F40D3"/>
    <w:rsid w:val="007F479A"/>
    <w:rsid w:val="007F48EC"/>
    <w:rsid w:val="007F610A"/>
    <w:rsid w:val="007F71FB"/>
    <w:rsid w:val="00801257"/>
    <w:rsid w:val="00801656"/>
    <w:rsid w:val="008017B6"/>
    <w:rsid w:val="00801B13"/>
    <w:rsid w:val="00802022"/>
    <w:rsid w:val="00802050"/>
    <w:rsid w:val="00802142"/>
    <w:rsid w:val="00802625"/>
    <w:rsid w:val="008029CC"/>
    <w:rsid w:val="008030D2"/>
    <w:rsid w:val="008032C0"/>
    <w:rsid w:val="008041C8"/>
    <w:rsid w:val="00804A65"/>
    <w:rsid w:val="008053DD"/>
    <w:rsid w:val="0080608A"/>
    <w:rsid w:val="0080625F"/>
    <w:rsid w:val="00807308"/>
    <w:rsid w:val="00807B65"/>
    <w:rsid w:val="00807E49"/>
    <w:rsid w:val="008109A2"/>
    <w:rsid w:val="00810E03"/>
    <w:rsid w:val="00810EB1"/>
    <w:rsid w:val="0081134F"/>
    <w:rsid w:val="00811384"/>
    <w:rsid w:val="008121FA"/>
    <w:rsid w:val="008126C1"/>
    <w:rsid w:val="00813671"/>
    <w:rsid w:val="00813CAC"/>
    <w:rsid w:val="00814799"/>
    <w:rsid w:val="00814974"/>
    <w:rsid w:val="00814B22"/>
    <w:rsid w:val="00815E1F"/>
    <w:rsid w:val="00817948"/>
    <w:rsid w:val="00817D67"/>
    <w:rsid w:val="0082022E"/>
    <w:rsid w:val="00820B6D"/>
    <w:rsid w:val="00821009"/>
    <w:rsid w:val="0082112D"/>
    <w:rsid w:val="00821752"/>
    <w:rsid w:val="008218D0"/>
    <w:rsid w:val="00821C83"/>
    <w:rsid w:val="00821D9F"/>
    <w:rsid w:val="00821E85"/>
    <w:rsid w:val="008224F2"/>
    <w:rsid w:val="008225C8"/>
    <w:rsid w:val="00823331"/>
    <w:rsid w:val="00823561"/>
    <w:rsid w:val="00824226"/>
    <w:rsid w:val="008245C7"/>
    <w:rsid w:val="008258F4"/>
    <w:rsid w:val="00825C4D"/>
    <w:rsid w:val="00825CA5"/>
    <w:rsid w:val="00826419"/>
    <w:rsid w:val="00826733"/>
    <w:rsid w:val="00827106"/>
    <w:rsid w:val="008279F8"/>
    <w:rsid w:val="00827C37"/>
    <w:rsid w:val="00827CED"/>
    <w:rsid w:val="008301B0"/>
    <w:rsid w:val="00830AAA"/>
    <w:rsid w:val="00831C20"/>
    <w:rsid w:val="00832507"/>
    <w:rsid w:val="0083289C"/>
    <w:rsid w:val="00832EF6"/>
    <w:rsid w:val="00832F60"/>
    <w:rsid w:val="0083354A"/>
    <w:rsid w:val="00833887"/>
    <w:rsid w:val="00833A77"/>
    <w:rsid w:val="00835480"/>
    <w:rsid w:val="00835A83"/>
    <w:rsid w:val="008368B4"/>
    <w:rsid w:val="00836E37"/>
    <w:rsid w:val="00841F3C"/>
    <w:rsid w:val="008428FF"/>
    <w:rsid w:val="00842F28"/>
    <w:rsid w:val="00842F38"/>
    <w:rsid w:val="00843894"/>
    <w:rsid w:val="0084424F"/>
    <w:rsid w:val="00844F98"/>
    <w:rsid w:val="00845C9A"/>
    <w:rsid w:val="00845E9D"/>
    <w:rsid w:val="00845EF1"/>
    <w:rsid w:val="00850E5D"/>
    <w:rsid w:val="00851CC6"/>
    <w:rsid w:val="00852809"/>
    <w:rsid w:val="00853FAD"/>
    <w:rsid w:val="008542C6"/>
    <w:rsid w:val="00854F73"/>
    <w:rsid w:val="00855EC1"/>
    <w:rsid w:val="0085785B"/>
    <w:rsid w:val="00857C64"/>
    <w:rsid w:val="008607E1"/>
    <w:rsid w:val="008608E9"/>
    <w:rsid w:val="00860AF1"/>
    <w:rsid w:val="00860E3B"/>
    <w:rsid w:val="008611A7"/>
    <w:rsid w:val="00861560"/>
    <w:rsid w:val="008619E0"/>
    <w:rsid w:val="0086209C"/>
    <w:rsid w:val="008620AB"/>
    <w:rsid w:val="00862963"/>
    <w:rsid w:val="008629CD"/>
    <w:rsid w:val="00862E2F"/>
    <w:rsid w:val="00863C25"/>
    <w:rsid w:val="00863FAC"/>
    <w:rsid w:val="008653BF"/>
    <w:rsid w:val="00865554"/>
    <w:rsid w:val="008668BF"/>
    <w:rsid w:val="00867AD1"/>
    <w:rsid w:val="00870738"/>
    <w:rsid w:val="008709EC"/>
    <w:rsid w:val="00870CA3"/>
    <w:rsid w:val="00870DEB"/>
    <w:rsid w:val="00870E33"/>
    <w:rsid w:val="00871E4E"/>
    <w:rsid w:val="00872557"/>
    <w:rsid w:val="00872AF9"/>
    <w:rsid w:val="00872B80"/>
    <w:rsid w:val="008745AB"/>
    <w:rsid w:val="00875430"/>
    <w:rsid w:val="008756F2"/>
    <w:rsid w:val="00875A1D"/>
    <w:rsid w:val="0087659E"/>
    <w:rsid w:val="00881937"/>
    <w:rsid w:val="00881A03"/>
    <w:rsid w:val="0088202A"/>
    <w:rsid w:val="00882123"/>
    <w:rsid w:val="0088290E"/>
    <w:rsid w:val="00882C55"/>
    <w:rsid w:val="00882FF4"/>
    <w:rsid w:val="00883BAE"/>
    <w:rsid w:val="00885676"/>
    <w:rsid w:val="0088572B"/>
    <w:rsid w:val="00886ABB"/>
    <w:rsid w:val="00886BD6"/>
    <w:rsid w:val="00887417"/>
    <w:rsid w:val="00887830"/>
    <w:rsid w:val="0089029B"/>
    <w:rsid w:val="00890D39"/>
    <w:rsid w:val="00890DAE"/>
    <w:rsid w:val="00891508"/>
    <w:rsid w:val="008915E8"/>
    <w:rsid w:val="0089163A"/>
    <w:rsid w:val="00891A88"/>
    <w:rsid w:val="00891F5E"/>
    <w:rsid w:val="0089257D"/>
    <w:rsid w:val="00892B6A"/>
    <w:rsid w:val="00892DDE"/>
    <w:rsid w:val="00892E3F"/>
    <w:rsid w:val="008937C6"/>
    <w:rsid w:val="00894218"/>
    <w:rsid w:val="00894393"/>
    <w:rsid w:val="00894AAA"/>
    <w:rsid w:val="00895BFA"/>
    <w:rsid w:val="0089622B"/>
    <w:rsid w:val="00896723"/>
    <w:rsid w:val="0089736A"/>
    <w:rsid w:val="00897544"/>
    <w:rsid w:val="008978DF"/>
    <w:rsid w:val="00897916"/>
    <w:rsid w:val="0089798D"/>
    <w:rsid w:val="008979CA"/>
    <w:rsid w:val="008A0213"/>
    <w:rsid w:val="008A1515"/>
    <w:rsid w:val="008A2685"/>
    <w:rsid w:val="008A3012"/>
    <w:rsid w:val="008A3784"/>
    <w:rsid w:val="008A3A57"/>
    <w:rsid w:val="008A3C65"/>
    <w:rsid w:val="008A3C9E"/>
    <w:rsid w:val="008A3D6E"/>
    <w:rsid w:val="008A3EB1"/>
    <w:rsid w:val="008A4063"/>
    <w:rsid w:val="008A4301"/>
    <w:rsid w:val="008A4411"/>
    <w:rsid w:val="008A455C"/>
    <w:rsid w:val="008A4BCE"/>
    <w:rsid w:val="008A6382"/>
    <w:rsid w:val="008A6B03"/>
    <w:rsid w:val="008B016E"/>
    <w:rsid w:val="008B0991"/>
    <w:rsid w:val="008B102B"/>
    <w:rsid w:val="008B1762"/>
    <w:rsid w:val="008B21E4"/>
    <w:rsid w:val="008B235F"/>
    <w:rsid w:val="008B23C5"/>
    <w:rsid w:val="008B2C78"/>
    <w:rsid w:val="008B318E"/>
    <w:rsid w:val="008B687B"/>
    <w:rsid w:val="008B6942"/>
    <w:rsid w:val="008B74AF"/>
    <w:rsid w:val="008B794B"/>
    <w:rsid w:val="008B7B70"/>
    <w:rsid w:val="008B7EB8"/>
    <w:rsid w:val="008C0E03"/>
    <w:rsid w:val="008C0FF5"/>
    <w:rsid w:val="008C129B"/>
    <w:rsid w:val="008C2696"/>
    <w:rsid w:val="008C2763"/>
    <w:rsid w:val="008C2914"/>
    <w:rsid w:val="008C2B25"/>
    <w:rsid w:val="008C3287"/>
    <w:rsid w:val="008C3782"/>
    <w:rsid w:val="008C3C73"/>
    <w:rsid w:val="008C4206"/>
    <w:rsid w:val="008C431A"/>
    <w:rsid w:val="008C449A"/>
    <w:rsid w:val="008C46A6"/>
    <w:rsid w:val="008C4A3A"/>
    <w:rsid w:val="008C611E"/>
    <w:rsid w:val="008C689C"/>
    <w:rsid w:val="008C75A5"/>
    <w:rsid w:val="008C7749"/>
    <w:rsid w:val="008D05C6"/>
    <w:rsid w:val="008D14CE"/>
    <w:rsid w:val="008D18EA"/>
    <w:rsid w:val="008D1E80"/>
    <w:rsid w:val="008D2160"/>
    <w:rsid w:val="008D2330"/>
    <w:rsid w:val="008D3C25"/>
    <w:rsid w:val="008D42D5"/>
    <w:rsid w:val="008D447F"/>
    <w:rsid w:val="008D47C4"/>
    <w:rsid w:val="008D4AD5"/>
    <w:rsid w:val="008D4EC0"/>
    <w:rsid w:val="008D4F4F"/>
    <w:rsid w:val="008D5506"/>
    <w:rsid w:val="008D55AC"/>
    <w:rsid w:val="008D5CEE"/>
    <w:rsid w:val="008D68AE"/>
    <w:rsid w:val="008D6F47"/>
    <w:rsid w:val="008E087E"/>
    <w:rsid w:val="008E1F75"/>
    <w:rsid w:val="008E2901"/>
    <w:rsid w:val="008E4960"/>
    <w:rsid w:val="008E595A"/>
    <w:rsid w:val="008E598D"/>
    <w:rsid w:val="008E6860"/>
    <w:rsid w:val="008E6FDC"/>
    <w:rsid w:val="008E7979"/>
    <w:rsid w:val="008E7B63"/>
    <w:rsid w:val="008E7F46"/>
    <w:rsid w:val="008F00F4"/>
    <w:rsid w:val="008F0301"/>
    <w:rsid w:val="008F0673"/>
    <w:rsid w:val="008F0DAE"/>
    <w:rsid w:val="008F1439"/>
    <w:rsid w:val="008F184D"/>
    <w:rsid w:val="008F1ADA"/>
    <w:rsid w:val="008F1BFC"/>
    <w:rsid w:val="008F2D9B"/>
    <w:rsid w:val="008F4026"/>
    <w:rsid w:val="008F5493"/>
    <w:rsid w:val="008F549F"/>
    <w:rsid w:val="008F595D"/>
    <w:rsid w:val="008F6535"/>
    <w:rsid w:val="008F69DA"/>
    <w:rsid w:val="008F6C17"/>
    <w:rsid w:val="008F6E5E"/>
    <w:rsid w:val="008F7036"/>
    <w:rsid w:val="008F7268"/>
    <w:rsid w:val="008F72A6"/>
    <w:rsid w:val="008F7562"/>
    <w:rsid w:val="008F7A84"/>
    <w:rsid w:val="008F7E2B"/>
    <w:rsid w:val="009000E5"/>
    <w:rsid w:val="00901DCA"/>
    <w:rsid w:val="009025B8"/>
    <w:rsid w:val="009025D7"/>
    <w:rsid w:val="00902BBF"/>
    <w:rsid w:val="00903CD1"/>
    <w:rsid w:val="00904CED"/>
    <w:rsid w:val="00904E9F"/>
    <w:rsid w:val="0090526E"/>
    <w:rsid w:val="00905E8D"/>
    <w:rsid w:val="00906BC0"/>
    <w:rsid w:val="00906F58"/>
    <w:rsid w:val="00907BF2"/>
    <w:rsid w:val="009106F3"/>
    <w:rsid w:val="00912042"/>
    <w:rsid w:val="00912172"/>
    <w:rsid w:val="0091267F"/>
    <w:rsid w:val="00912CA5"/>
    <w:rsid w:val="00913B51"/>
    <w:rsid w:val="00914683"/>
    <w:rsid w:val="0091576C"/>
    <w:rsid w:val="009157A3"/>
    <w:rsid w:val="00915CB6"/>
    <w:rsid w:val="00915D04"/>
    <w:rsid w:val="0091651F"/>
    <w:rsid w:val="00917308"/>
    <w:rsid w:val="00917858"/>
    <w:rsid w:val="00920249"/>
    <w:rsid w:val="00920B59"/>
    <w:rsid w:val="00921355"/>
    <w:rsid w:val="009218BD"/>
    <w:rsid w:val="009219EB"/>
    <w:rsid w:val="00921C1C"/>
    <w:rsid w:val="009225F3"/>
    <w:rsid w:val="00923103"/>
    <w:rsid w:val="0092317B"/>
    <w:rsid w:val="0092391A"/>
    <w:rsid w:val="00923956"/>
    <w:rsid w:val="00924E0E"/>
    <w:rsid w:val="00924FEE"/>
    <w:rsid w:val="009306F6"/>
    <w:rsid w:val="00930793"/>
    <w:rsid w:val="00932ACC"/>
    <w:rsid w:val="009331C0"/>
    <w:rsid w:val="00933799"/>
    <w:rsid w:val="00934CEA"/>
    <w:rsid w:val="009361DD"/>
    <w:rsid w:val="00936B29"/>
    <w:rsid w:val="00936F46"/>
    <w:rsid w:val="009373AA"/>
    <w:rsid w:val="009374BA"/>
    <w:rsid w:val="00940AA7"/>
    <w:rsid w:val="00941698"/>
    <w:rsid w:val="00941F29"/>
    <w:rsid w:val="00942236"/>
    <w:rsid w:val="009425E7"/>
    <w:rsid w:val="00942B18"/>
    <w:rsid w:val="009434F1"/>
    <w:rsid w:val="009435C3"/>
    <w:rsid w:val="0094407A"/>
    <w:rsid w:val="00944468"/>
    <w:rsid w:val="00944839"/>
    <w:rsid w:val="00945318"/>
    <w:rsid w:val="009456FA"/>
    <w:rsid w:val="00945EC0"/>
    <w:rsid w:val="009465D0"/>
    <w:rsid w:val="00946687"/>
    <w:rsid w:val="00946942"/>
    <w:rsid w:val="00946C93"/>
    <w:rsid w:val="00946D28"/>
    <w:rsid w:val="00947239"/>
    <w:rsid w:val="009507E3"/>
    <w:rsid w:val="00950FFB"/>
    <w:rsid w:val="00951477"/>
    <w:rsid w:val="009528B9"/>
    <w:rsid w:val="00952D77"/>
    <w:rsid w:val="00953B22"/>
    <w:rsid w:val="0095414C"/>
    <w:rsid w:val="00956010"/>
    <w:rsid w:val="00956072"/>
    <w:rsid w:val="009566F5"/>
    <w:rsid w:val="00956710"/>
    <w:rsid w:val="00956843"/>
    <w:rsid w:val="00957230"/>
    <w:rsid w:val="009579FC"/>
    <w:rsid w:val="009601A0"/>
    <w:rsid w:val="009607AD"/>
    <w:rsid w:val="0096080A"/>
    <w:rsid w:val="00960E5B"/>
    <w:rsid w:val="009612D7"/>
    <w:rsid w:val="00961728"/>
    <w:rsid w:val="00961818"/>
    <w:rsid w:val="00963735"/>
    <w:rsid w:val="009637E0"/>
    <w:rsid w:val="00963EB1"/>
    <w:rsid w:val="00964E3B"/>
    <w:rsid w:val="00964F1C"/>
    <w:rsid w:val="0096506E"/>
    <w:rsid w:val="009667A3"/>
    <w:rsid w:val="0096701B"/>
    <w:rsid w:val="0097076E"/>
    <w:rsid w:val="00970838"/>
    <w:rsid w:val="0097117C"/>
    <w:rsid w:val="00971E44"/>
    <w:rsid w:val="009721B3"/>
    <w:rsid w:val="00972AB7"/>
    <w:rsid w:val="00972B8F"/>
    <w:rsid w:val="00972C20"/>
    <w:rsid w:val="00972F40"/>
    <w:rsid w:val="0097428B"/>
    <w:rsid w:val="0097469B"/>
    <w:rsid w:val="00974B48"/>
    <w:rsid w:val="00975438"/>
    <w:rsid w:val="00975FF7"/>
    <w:rsid w:val="009769A9"/>
    <w:rsid w:val="00976AB8"/>
    <w:rsid w:val="00976BFE"/>
    <w:rsid w:val="0097709E"/>
    <w:rsid w:val="00977DEE"/>
    <w:rsid w:val="009805D5"/>
    <w:rsid w:val="00981157"/>
    <w:rsid w:val="0098178A"/>
    <w:rsid w:val="0098185F"/>
    <w:rsid w:val="00981F9C"/>
    <w:rsid w:val="0098410E"/>
    <w:rsid w:val="00984314"/>
    <w:rsid w:val="009848A7"/>
    <w:rsid w:val="00984BE8"/>
    <w:rsid w:val="00984FEA"/>
    <w:rsid w:val="00985DEF"/>
    <w:rsid w:val="00987238"/>
    <w:rsid w:val="00987321"/>
    <w:rsid w:val="00987E88"/>
    <w:rsid w:val="0099156E"/>
    <w:rsid w:val="009929E8"/>
    <w:rsid w:val="00992E69"/>
    <w:rsid w:val="009931AB"/>
    <w:rsid w:val="009937B3"/>
    <w:rsid w:val="00993F1C"/>
    <w:rsid w:val="00995121"/>
    <w:rsid w:val="00995B8C"/>
    <w:rsid w:val="00996458"/>
    <w:rsid w:val="009965B3"/>
    <w:rsid w:val="0099705F"/>
    <w:rsid w:val="0099741C"/>
    <w:rsid w:val="009978BD"/>
    <w:rsid w:val="00997A0B"/>
    <w:rsid w:val="009A092D"/>
    <w:rsid w:val="009A0B5B"/>
    <w:rsid w:val="009A1840"/>
    <w:rsid w:val="009A1A5F"/>
    <w:rsid w:val="009A1B5D"/>
    <w:rsid w:val="009A2DEB"/>
    <w:rsid w:val="009A3B02"/>
    <w:rsid w:val="009A3BAC"/>
    <w:rsid w:val="009A3D89"/>
    <w:rsid w:val="009A502C"/>
    <w:rsid w:val="009A544A"/>
    <w:rsid w:val="009A5D7D"/>
    <w:rsid w:val="009A6967"/>
    <w:rsid w:val="009A6C87"/>
    <w:rsid w:val="009A6F4A"/>
    <w:rsid w:val="009A70B4"/>
    <w:rsid w:val="009B057B"/>
    <w:rsid w:val="009B0630"/>
    <w:rsid w:val="009B082A"/>
    <w:rsid w:val="009B0C26"/>
    <w:rsid w:val="009B1843"/>
    <w:rsid w:val="009B1A5F"/>
    <w:rsid w:val="009B1BAC"/>
    <w:rsid w:val="009B1D51"/>
    <w:rsid w:val="009B22E3"/>
    <w:rsid w:val="009B27CA"/>
    <w:rsid w:val="009B2FCB"/>
    <w:rsid w:val="009B44C5"/>
    <w:rsid w:val="009B4753"/>
    <w:rsid w:val="009B50E8"/>
    <w:rsid w:val="009B58F4"/>
    <w:rsid w:val="009B60D5"/>
    <w:rsid w:val="009B6168"/>
    <w:rsid w:val="009B7563"/>
    <w:rsid w:val="009B7E3C"/>
    <w:rsid w:val="009C19F3"/>
    <w:rsid w:val="009C21F5"/>
    <w:rsid w:val="009C2FAD"/>
    <w:rsid w:val="009C2FF9"/>
    <w:rsid w:val="009C4AFF"/>
    <w:rsid w:val="009C54FF"/>
    <w:rsid w:val="009C6988"/>
    <w:rsid w:val="009C728E"/>
    <w:rsid w:val="009C72E4"/>
    <w:rsid w:val="009C7630"/>
    <w:rsid w:val="009C777A"/>
    <w:rsid w:val="009D1200"/>
    <w:rsid w:val="009D14F9"/>
    <w:rsid w:val="009D19EA"/>
    <w:rsid w:val="009D2150"/>
    <w:rsid w:val="009D232A"/>
    <w:rsid w:val="009D241A"/>
    <w:rsid w:val="009D2522"/>
    <w:rsid w:val="009D2C0D"/>
    <w:rsid w:val="009D46D7"/>
    <w:rsid w:val="009D48A8"/>
    <w:rsid w:val="009D53BB"/>
    <w:rsid w:val="009D60DD"/>
    <w:rsid w:val="009D6382"/>
    <w:rsid w:val="009D6396"/>
    <w:rsid w:val="009D66B6"/>
    <w:rsid w:val="009D734C"/>
    <w:rsid w:val="009D7452"/>
    <w:rsid w:val="009D7568"/>
    <w:rsid w:val="009D7A40"/>
    <w:rsid w:val="009E0070"/>
    <w:rsid w:val="009E0FE4"/>
    <w:rsid w:val="009E1BC6"/>
    <w:rsid w:val="009E1F0A"/>
    <w:rsid w:val="009E20E0"/>
    <w:rsid w:val="009E2404"/>
    <w:rsid w:val="009E2563"/>
    <w:rsid w:val="009E26BE"/>
    <w:rsid w:val="009E3794"/>
    <w:rsid w:val="009E3B09"/>
    <w:rsid w:val="009E3FFE"/>
    <w:rsid w:val="009E45C8"/>
    <w:rsid w:val="009E4BDD"/>
    <w:rsid w:val="009E4DD9"/>
    <w:rsid w:val="009E53E0"/>
    <w:rsid w:val="009E5C9F"/>
    <w:rsid w:val="009E743D"/>
    <w:rsid w:val="009E7759"/>
    <w:rsid w:val="009E799E"/>
    <w:rsid w:val="009E79FC"/>
    <w:rsid w:val="009F02A2"/>
    <w:rsid w:val="009F0882"/>
    <w:rsid w:val="009F0E69"/>
    <w:rsid w:val="009F1AFF"/>
    <w:rsid w:val="009F1BA9"/>
    <w:rsid w:val="009F2295"/>
    <w:rsid w:val="009F25A3"/>
    <w:rsid w:val="009F2CA0"/>
    <w:rsid w:val="009F340D"/>
    <w:rsid w:val="009F3458"/>
    <w:rsid w:val="009F35D3"/>
    <w:rsid w:val="009F39C0"/>
    <w:rsid w:val="009F3AC7"/>
    <w:rsid w:val="009F3BDE"/>
    <w:rsid w:val="009F4C3F"/>
    <w:rsid w:val="009F5580"/>
    <w:rsid w:val="009F5D57"/>
    <w:rsid w:val="009F5F2C"/>
    <w:rsid w:val="009F5FEF"/>
    <w:rsid w:val="009F6988"/>
    <w:rsid w:val="009F74CE"/>
    <w:rsid w:val="00A0079B"/>
    <w:rsid w:val="00A009C1"/>
    <w:rsid w:val="00A00EB7"/>
    <w:rsid w:val="00A013A0"/>
    <w:rsid w:val="00A01C0A"/>
    <w:rsid w:val="00A01FEB"/>
    <w:rsid w:val="00A0249D"/>
    <w:rsid w:val="00A0277C"/>
    <w:rsid w:val="00A02946"/>
    <w:rsid w:val="00A02BDE"/>
    <w:rsid w:val="00A03239"/>
    <w:rsid w:val="00A03693"/>
    <w:rsid w:val="00A0394F"/>
    <w:rsid w:val="00A04457"/>
    <w:rsid w:val="00A04C1C"/>
    <w:rsid w:val="00A051B8"/>
    <w:rsid w:val="00A055A8"/>
    <w:rsid w:val="00A05991"/>
    <w:rsid w:val="00A05B32"/>
    <w:rsid w:val="00A0690D"/>
    <w:rsid w:val="00A069D0"/>
    <w:rsid w:val="00A07BBF"/>
    <w:rsid w:val="00A1115F"/>
    <w:rsid w:val="00A11B68"/>
    <w:rsid w:val="00A11DCC"/>
    <w:rsid w:val="00A12160"/>
    <w:rsid w:val="00A1236C"/>
    <w:rsid w:val="00A12642"/>
    <w:rsid w:val="00A12B10"/>
    <w:rsid w:val="00A12BA2"/>
    <w:rsid w:val="00A136D6"/>
    <w:rsid w:val="00A13C19"/>
    <w:rsid w:val="00A15192"/>
    <w:rsid w:val="00A156C9"/>
    <w:rsid w:val="00A15CE5"/>
    <w:rsid w:val="00A166B5"/>
    <w:rsid w:val="00A16986"/>
    <w:rsid w:val="00A170AA"/>
    <w:rsid w:val="00A17954"/>
    <w:rsid w:val="00A20240"/>
    <w:rsid w:val="00A21F60"/>
    <w:rsid w:val="00A220C0"/>
    <w:rsid w:val="00A2260D"/>
    <w:rsid w:val="00A22833"/>
    <w:rsid w:val="00A23AD7"/>
    <w:rsid w:val="00A252B3"/>
    <w:rsid w:val="00A25446"/>
    <w:rsid w:val="00A2578D"/>
    <w:rsid w:val="00A25E19"/>
    <w:rsid w:val="00A25F3B"/>
    <w:rsid w:val="00A2715E"/>
    <w:rsid w:val="00A272E0"/>
    <w:rsid w:val="00A3024F"/>
    <w:rsid w:val="00A30B85"/>
    <w:rsid w:val="00A3137E"/>
    <w:rsid w:val="00A31887"/>
    <w:rsid w:val="00A31CC0"/>
    <w:rsid w:val="00A32657"/>
    <w:rsid w:val="00A32AC3"/>
    <w:rsid w:val="00A32C5E"/>
    <w:rsid w:val="00A32E8C"/>
    <w:rsid w:val="00A33884"/>
    <w:rsid w:val="00A33FE4"/>
    <w:rsid w:val="00A3407F"/>
    <w:rsid w:val="00A34935"/>
    <w:rsid w:val="00A34ADE"/>
    <w:rsid w:val="00A36A64"/>
    <w:rsid w:val="00A36B38"/>
    <w:rsid w:val="00A37058"/>
    <w:rsid w:val="00A37C68"/>
    <w:rsid w:val="00A40098"/>
    <w:rsid w:val="00A41150"/>
    <w:rsid w:val="00A42B61"/>
    <w:rsid w:val="00A42DD0"/>
    <w:rsid w:val="00A437A4"/>
    <w:rsid w:val="00A437E8"/>
    <w:rsid w:val="00A43ECD"/>
    <w:rsid w:val="00A440D5"/>
    <w:rsid w:val="00A449E9"/>
    <w:rsid w:val="00A45244"/>
    <w:rsid w:val="00A4575A"/>
    <w:rsid w:val="00A45918"/>
    <w:rsid w:val="00A4755E"/>
    <w:rsid w:val="00A47DB1"/>
    <w:rsid w:val="00A50FFF"/>
    <w:rsid w:val="00A510B6"/>
    <w:rsid w:val="00A5182D"/>
    <w:rsid w:val="00A51A8B"/>
    <w:rsid w:val="00A521B6"/>
    <w:rsid w:val="00A523F5"/>
    <w:rsid w:val="00A524D3"/>
    <w:rsid w:val="00A529B3"/>
    <w:rsid w:val="00A52B96"/>
    <w:rsid w:val="00A531D4"/>
    <w:rsid w:val="00A5352B"/>
    <w:rsid w:val="00A535AC"/>
    <w:rsid w:val="00A53A9E"/>
    <w:rsid w:val="00A53F8E"/>
    <w:rsid w:val="00A54AA1"/>
    <w:rsid w:val="00A54FBD"/>
    <w:rsid w:val="00A551DF"/>
    <w:rsid w:val="00A55933"/>
    <w:rsid w:val="00A55A5F"/>
    <w:rsid w:val="00A55C21"/>
    <w:rsid w:val="00A56067"/>
    <w:rsid w:val="00A56550"/>
    <w:rsid w:val="00A56C23"/>
    <w:rsid w:val="00A5700A"/>
    <w:rsid w:val="00A6012D"/>
    <w:rsid w:val="00A60227"/>
    <w:rsid w:val="00A60C09"/>
    <w:rsid w:val="00A617DC"/>
    <w:rsid w:val="00A624E9"/>
    <w:rsid w:val="00A635B5"/>
    <w:rsid w:val="00A64890"/>
    <w:rsid w:val="00A64F29"/>
    <w:rsid w:val="00A64F37"/>
    <w:rsid w:val="00A666D1"/>
    <w:rsid w:val="00A66B2D"/>
    <w:rsid w:val="00A67249"/>
    <w:rsid w:val="00A67807"/>
    <w:rsid w:val="00A70202"/>
    <w:rsid w:val="00A71580"/>
    <w:rsid w:val="00A7183F"/>
    <w:rsid w:val="00A71FA2"/>
    <w:rsid w:val="00A722A3"/>
    <w:rsid w:val="00A728DF"/>
    <w:rsid w:val="00A732CD"/>
    <w:rsid w:val="00A73995"/>
    <w:rsid w:val="00A73BB3"/>
    <w:rsid w:val="00A73E92"/>
    <w:rsid w:val="00A747BE"/>
    <w:rsid w:val="00A74C90"/>
    <w:rsid w:val="00A74C98"/>
    <w:rsid w:val="00A760D8"/>
    <w:rsid w:val="00A77876"/>
    <w:rsid w:val="00A77E0C"/>
    <w:rsid w:val="00A80029"/>
    <w:rsid w:val="00A8154E"/>
    <w:rsid w:val="00A816D5"/>
    <w:rsid w:val="00A81A91"/>
    <w:rsid w:val="00A81C67"/>
    <w:rsid w:val="00A81E70"/>
    <w:rsid w:val="00A81F1F"/>
    <w:rsid w:val="00A8254C"/>
    <w:rsid w:val="00A82B32"/>
    <w:rsid w:val="00A82C2C"/>
    <w:rsid w:val="00A82F84"/>
    <w:rsid w:val="00A83573"/>
    <w:rsid w:val="00A83785"/>
    <w:rsid w:val="00A8386D"/>
    <w:rsid w:val="00A83C5C"/>
    <w:rsid w:val="00A84173"/>
    <w:rsid w:val="00A844B7"/>
    <w:rsid w:val="00A848F6"/>
    <w:rsid w:val="00A84B2A"/>
    <w:rsid w:val="00A858C0"/>
    <w:rsid w:val="00A85D78"/>
    <w:rsid w:val="00A8758B"/>
    <w:rsid w:val="00A903BF"/>
    <w:rsid w:val="00A905AF"/>
    <w:rsid w:val="00A90CB3"/>
    <w:rsid w:val="00A9162F"/>
    <w:rsid w:val="00A91AA2"/>
    <w:rsid w:val="00A91E51"/>
    <w:rsid w:val="00A91F53"/>
    <w:rsid w:val="00A92B82"/>
    <w:rsid w:val="00A93229"/>
    <w:rsid w:val="00A9352B"/>
    <w:rsid w:val="00A9464E"/>
    <w:rsid w:val="00A948D4"/>
    <w:rsid w:val="00A94948"/>
    <w:rsid w:val="00A95844"/>
    <w:rsid w:val="00A973A5"/>
    <w:rsid w:val="00A978AA"/>
    <w:rsid w:val="00AA009B"/>
    <w:rsid w:val="00AA0255"/>
    <w:rsid w:val="00AA11DD"/>
    <w:rsid w:val="00AA1AB1"/>
    <w:rsid w:val="00AA2C20"/>
    <w:rsid w:val="00AA3432"/>
    <w:rsid w:val="00AA36B4"/>
    <w:rsid w:val="00AA433D"/>
    <w:rsid w:val="00AA4B71"/>
    <w:rsid w:val="00AA5192"/>
    <w:rsid w:val="00AA5B89"/>
    <w:rsid w:val="00AA7A68"/>
    <w:rsid w:val="00AB02AC"/>
    <w:rsid w:val="00AB0866"/>
    <w:rsid w:val="00AB0E98"/>
    <w:rsid w:val="00AB22C0"/>
    <w:rsid w:val="00AB2647"/>
    <w:rsid w:val="00AB34FA"/>
    <w:rsid w:val="00AB35FF"/>
    <w:rsid w:val="00AB458F"/>
    <w:rsid w:val="00AB468A"/>
    <w:rsid w:val="00AB46D9"/>
    <w:rsid w:val="00AB53AA"/>
    <w:rsid w:val="00AB6158"/>
    <w:rsid w:val="00AB6C63"/>
    <w:rsid w:val="00AB79D9"/>
    <w:rsid w:val="00AB7DCF"/>
    <w:rsid w:val="00AB7EB3"/>
    <w:rsid w:val="00AC0625"/>
    <w:rsid w:val="00AC06EF"/>
    <w:rsid w:val="00AC0A10"/>
    <w:rsid w:val="00AC0E89"/>
    <w:rsid w:val="00AC1232"/>
    <w:rsid w:val="00AC1F39"/>
    <w:rsid w:val="00AC2228"/>
    <w:rsid w:val="00AC51CC"/>
    <w:rsid w:val="00AC53C8"/>
    <w:rsid w:val="00AC5C8E"/>
    <w:rsid w:val="00AC64BD"/>
    <w:rsid w:val="00AC674E"/>
    <w:rsid w:val="00AC76BB"/>
    <w:rsid w:val="00AC7D77"/>
    <w:rsid w:val="00AD0EE0"/>
    <w:rsid w:val="00AD0FE8"/>
    <w:rsid w:val="00AD184D"/>
    <w:rsid w:val="00AD186D"/>
    <w:rsid w:val="00AD1D7E"/>
    <w:rsid w:val="00AD1E10"/>
    <w:rsid w:val="00AD23BD"/>
    <w:rsid w:val="00AD2B16"/>
    <w:rsid w:val="00AD411A"/>
    <w:rsid w:val="00AD4919"/>
    <w:rsid w:val="00AD4EF6"/>
    <w:rsid w:val="00AD53B2"/>
    <w:rsid w:val="00AD69EE"/>
    <w:rsid w:val="00AD6DCF"/>
    <w:rsid w:val="00AD6F88"/>
    <w:rsid w:val="00AD756C"/>
    <w:rsid w:val="00AD78C9"/>
    <w:rsid w:val="00AD7B9A"/>
    <w:rsid w:val="00AE042C"/>
    <w:rsid w:val="00AE2012"/>
    <w:rsid w:val="00AE250D"/>
    <w:rsid w:val="00AE3E3B"/>
    <w:rsid w:val="00AE4073"/>
    <w:rsid w:val="00AE4F1A"/>
    <w:rsid w:val="00AE562F"/>
    <w:rsid w:val="00AE5FD6"/>
    <w:rsid w:val="00AE73C4"/>
    <w:rsid w:val="00AE7E63"/>
    <w:rsid w:val="00AF0A8F"/>
    <w:rsid w:val="00AF0E9E"/>
    <w:rsid w:val="00AF28C3"/>
    <w:rsid w:val="00AF2B8E"/>
    <w:rsid w:val="00AF3B40"/>
    <w:rsid w:val="00AF427C"/>
    <w:rsid w:val="00AF453E"/>
    <w:rsid w:val="00AF4F8A"/>
    <w:rsid w:val="00AF578E"/>
    <w:rsid w:val="00AF67F8"/>
    <w:rsid w:val="00AF7497"/>
    <w:rsid w:val="00AF789C"/>
    <w:rsid w:val="00AF7AE3"/>
    <w:rsid w:val="00B001F0"/>
    <w:rsid w:val="00B01002"/>
    <w:rsid w:val="00B0119E"/>
    <w:rsid w:val="00B0187C"/>
    <w:rsid w:val="00B02619"/>
    <w:rsid w:val="00B02677"/>
    <w:rsid w:val="00B0267D"/>
    <w:rsid w:val="00B03040"/>
    <w:rsid w:val="00B03139"/>
    <w:rsid w:val="00B03920"/>
    <w:rsid w:val="00B03A9C"/>
    <w:rsid w:val="00B04DB3"/>
    <w:rsid w:val="00B0563E"/>
    <w:rsid w:val="00B05D2D"/>
    <w:rsid w:val="00B05D5C"/>
    <w:rsid w:val="00B07AE7"/>
    <w:rsid w:val="00B07F43"/>
    <w:rsid w:val="00B10053"/>
    <w:rsid w:val="00B1076B"/>
    <w:rsid w:val="00B10BAF"/>
    <w:rsid w:val="00B11A76"/>
    <w:rsid w:val="00B11BC3"/>
    <w:rsid w:val="00B12544"/>
    <w:rsid w:val="00B12ED8"/>
    <w:rsid w:val="00B13BFF"/>
    <w:rsid w:val="00B13C78"/>
    <w:rsid w:val="00B13EB0"/>
    <w:rsid w:val="00B14979"/>
    <w:rsid w:val="00B14A06"/>
    <w:rsid w:val="00B14A09"/>
    <w:rsid w:val="00B159C6"/>
    <w:rsid w:val="00B163F7"/>
    <w:rsid w:val="00B17A91"/>
    <w:rsid w:val="00B17C53"/>
    <w:rsid w:val="00B20608"/>
    <w:rsid w:val="00B21FFA"/>
    <w:rsid w:val="00B22C2C"/>
    <w:rsid w:val="00B23030"/>
    <w:rsid w:val="00B231D7"/>
    <w:rsid w:val="00B232DC"/>
    <w:rsid w:val="00B2400B"/>
    <w:rsid w:val="00B245EF"/>
    <w:rsid w:val="00B2479C"/>
    <w:rsid w:val="00B2572D"/>
    <w:rsid w:val="00B25ACB"/>
    <w:rsid w:val="00B26827"/>
    <w:rsid w:val="00B302C4"/>
    <w:rsid w:val="00B31388"/>
    <w:rsid w:val="00B31798"/>
    <w:rsid w:val="00B31CBC"/>
    <w:rsid w:val="00B31FE6"/>
    <w:rsid w:val="00B3212F"/>
    <w:rsid w:val="00B32B8A"/>
    <w:rsid w:val="00B33945"/>
    <w:rsid w:val="00B34376"/>
    <w:rsid w:val="00B3452A"/>
    <w:rsid w:val="00B34A25"/>
    <w:rsid w:val="00B357E2"/>
    <w:rsid w:val="00B362C8"/>
    <w:rsid w:val="00B36B82"/>
    <w:rsid w:val="00B36BBA"/>
    <w:rsid w:val="00B36BC1"/>
    <w:rsid w:val="00B37271"/>
    <w:rsid w:val="00B37505"/>
    <w:rsid w:val="00B375C5"/>
    <w:rsid w:val="00B400E4"/>
    <w:rsid w:val="00B41084"/>
    <w:rsid w:val="00B412C9"/>
    <w:rsid w:val="00B41440"/>
    <w:rsid w:val="00B41648"/>
    <w:rsid w:val="00B4171A"/>
    <w:rsid w:val="00B42543"/>
    <w:rsid w:val="00B4325E"/>
    <w:rsid w:val="00B43462"/>
    <w:rsid w:val="00B43E26"/>
    <w:rsid w:val="00B43FD3"/>
    <w:rsid w:val="00B440F8"/>
    <w:rsid w:val="00B447CF"/>
    <w:rsid w:val="00B44BB4"/>
    <w:rsid w:val="00B44F3B"/>
    <w:rsid w:val="00B456DA"/>
    <w:rsid w:val="00B45792"/>
    <w:rsid w:val="00B45BAC"/>
    <w:rsid w:val="00B45C4D"/>
    <w:rsid w:val="00B46273"/>
    <w:rsid w:val="00B4723D"/>
    <w:rsid w:val="00B47AC2"/>
    <w:rsid w:val="00B500B6"/>
    <w:rsid w:val="00B5080D"/>
    <w:rsid w:val="00B50DF2"/>
    <w:rsid w:val="00B51972"/>
    <w:rsid w:val="00B5223F"/>
    <w:rsid w:val="00B52686"/>
    <w:rsid w:val="00B54B50"/>
    <w:rsid w:val="00B54C01"/>
    <w:rsid w:val="00B552FB"/>
    <w:rsid w:val="00B56057"/>
    <w:rsid w:val="00B5752F"/>
    <w:rsid w:val="00B57EBE"/>
    <w:rsid w:val="00B605D2"/>
    <w:rsid w:val="00B607FB"/>
    <w:rsid w:val="00B61463"/>
    <w:rsid w:val="00B61DCB"/>
    <w:rsid w:val="00B6325F"/>
    <w:rsid w:val="00B638E6"/>
    <w:rsid w:val="00B64E6C"/>
    <w:rsid w:val="00B65C51"/>
    <w:rsid w:val="00B65D6C"/>
    <w:rsid w:val="00B65DD4"/>
    <w:rsid w:val="00B6672A"/>
    <w:rsid w:val="00B66DBC"/>
    <w:rsid w:val="00B67594"/>
    <w:rsid w:val="00B6780A"/>
    <w:rsid w:val="00B704AD"/>
    <w:rsid w:val="00B70BA8"/>
    <w:rsid w:val="00B70C4A"/>
    <w:rsid w:val="00B70E82"/>
    <w:rsid w:val="00B7118B"/>
    <w:rsid w:val="00B7125B"/>
    <w:rsid w:val="00B71DEE"/>
    <w:rsid w:val="00B72617"/>
    <w:rsid w:val="00B73615"/>
    <w:rsid w:val="00B73E10"/>
    <w:rsid w:val="00B742DF"/>
    <w:rsid w:val="00B74428"/>
    <w:rsid w:val="00B74899"/>
    <w:rsid w:val="00B75447"/>
    <w:rsid w:val="00B76691"/>
    <w:rsid w:val="00B767E0"/>
    <w:rsid w:val="00B76BD0"/>
    <w:rsid w:val="00B76C64"/>
    <w:rsid w:val="00B76DAF"/>
    <w:rsid w:val="00B771C6"/>
    <w:rsid w:val="00B77557"/>
    <w:rsid w:val="00B77EE6"/>
    <w:rsid w:val="00B809C1"/>
    <w:rsid w:val="00B80B1F"/>
    <w:rsid w:val="00B80C79"/>
    <w:rsid w:val="00B81CE8"/>
    <w:rsid w:val="00B82505"/>
    <w:rsid w:val="00B834EA"/>
    <w:rsid w:val="00B83AAE"/>
    <w:rsid w:val="00B83AB8"/>
    <w:rsid w:val="00B83F6D"/>
    <w:rsid w:val="00B8437F"/>
    <w:rsid w:val="00B846A0"/>
    <w:rsid w:val="00B84A47"/>
    <w:rsid w:val="00B84CCF"/>
    <w:rsid w:val="00B85055"/>
    <w:rsid w:val="00B8537C"/>
    <w:rsid w:val="00B854A1"/>
    <w:rsid w:val="00B868CF"/>
    <w:rsid w:val="00B86B92"/>
    <w:rsid w:val="00B86D97"/>
    <w:rsid w:val="00B86E9F"/>
    <w:rsid w:val="00B86F43"/>
    <w:rsid w:val="00B87298"/>
    <w:rsid w:val="00B90990"/>
    <w:rsid w:val="00B91B13"/>
    <w:rsid w:val="00B92212"/>
    <w:rsid w:val="00B92832"/>
    <w:rsid w:val="00B930C7"/>
    <w:rsid w:val="00B94B4E"/>
    <w:rsid w:val="00B95E07"/>
    <w:rsid w:val="00B96254"/>
    <w:rsid w:val="00B96B75"/>
    <w:rsid w:val="00B96F18"/>
    <w:rsid w:val="00B96F37"/>
    <w:rsid w:val="00BA08AD"/>
    <w:rsid w:val="00BA14E1"/>
    <w:rsid w:val="00BA253B"/>
    <w:rsid w:val="00BA2792"/>
    <w:rsid w:val="00BA2B5C"/>
    <w:rsid w:val="00BA37FD"/>
    <w:rsid w:val="00BA3B89"/>
    <w:rsid w:val="00BA4EAD"/>
    <w:rsid w:val="00BA5484"/>
    <w:rsid w:val="00BA553C"/>
    <w:rsid w:val="00BA56D6"/>
    <w:rsid w:val="00BA60EF"/>
    <w:rsid w:val="00BA6726"/>
    <w:rsid w:val="00BA6AFD"/>
    <w:rsid w:val="00BA74EF"/>
    <w:rsid w:val="00BA7EFA"/>
    <w:rsid w:val="00BB026B"/>
    <w:rsid w:val="00BB094B"/>
    <w:rsid w:val="00BB0BF4"/>
    <w:rsid w:val="00BB0D6B"/>
    <w:rsid w:val="00BB1447"/>
    <w:rsid w:val="00BB2B3F"/>
    <w:rsid w:val="00BB40B8"/>
    <w:rsid w:val="00BB448C"/>
    <w:rsid w:val="00BB47FA"/>
    <w:rsid w:val="00BB483C"/>
    <w:rsid w:val="00BB5133"/>
    <w:rsid w:val="00BB6753"/>
    <w:rsid w:val="00BB7452"/>
    <w:rsid w:val="00BC057D"/>
    <w:rsid w:val="00BC0883"/>
    <w:rsid w:val="00BC0C0B"/>
    <w:rsid w:val="00BC0E5B"/>
    <w:rsid w:val="00BC10A3"/>
    <w:rsid w:val="00BC10B5"/>
    <w:rsid w:val="00BC1138"/>
    <w:rsid w:val="00BC249B"/>
    <w:rsid w:val="00BC24A0"/>
    <w:rsid w:val="00BC2644"/>
    <w:rsid w:val="00BC32FF"/>
    <w:rsid w:val="00BC44E6"/>
    <w:rsid w:val="00BC5203"/>
    <w:rsid w:val="00BC5ABA"/>
    <w:rsid w:val="00BC5DFA"/>
    <w:rsid w:val="00BC6471"/>
    <w:rsid w:val="00BC6A0D"/>
    <w:rsid w:val="00BC783D"/>
    <w:rsid w:val="00BD15FA"/>
    <w:rsid w:val="00BD16B0"/>
    <w:rsid w:val="00BD31D9"/>
    <w:rsid w:val="00BD33DF"/>
    <w:rsid w:val="00BD34BE"/>
    <w:rsid w:val="00BD46D6"/>
    <w:rsid w:val="00BD523F"/>
    <w:rsid w:val="00BD5C59"/>
    <w:rsid w:val="00BD672A"/>
    <w:rsid w:val="00BD75DE"/>
    <w:rsid w:val="00BD76E5"/>
    <w:rsid w:val="00BD7941"/>
    <w:rsid w:val="00BE0DFE"/>
    <w:rsid w:val="00BE1241"/>
    <w:rsid w:val="00BE24A1"/>
    <w:rsid w:val="00BE330E"/>
    <w:rsid w:val="00BE35E8"/>
    <w:rsid w:val="00BE36BC"/>
    <w:rsid w:val="00BE3E19"/>
    <w:rsid w:val="00BE4F3E"/>
    <w:rsid w:val="00BE50D5"/>
    <w:rsid w:val="00BE5A39"/>
    <w:rsid w:val="00BE696F"/>
    <w:rsid w:val="00BE6D32"/>
    <w:rsid w:val="00BE745D"/>
    <w:rsid w:val="00BE77FC"/>
    <w:rsid w:val="00BF13BB"/>
    <w:rsid w:val="00BF1BB8"/>
    <w:rsid w:val="00BF2D64"/>
    <w:rsid w:val="00BF3807"/>
    <w:rsid w:val="00BF46B8"/>
    <w:rsid w:val="00BF564B"/>
    <w:rsid w:val="00BF6380"/>
    <w:rsid w:val="00BF6F4F"/>
    <w:rsid w:val="00BF71ED"/>
    <w:rsid w:val="00BF797E"/>
    <w:rsid w:val="00C000AE"/>
    <w:rsid w:val="00C0073D"/>
    <w:rsid w:val="00C02A0F"/>
    <w:rsid w:val="00C031DF"/>
    <w:rsid w:val="00C03385"/>
    <w:rsid w:val="00C03391"/>
    <w:rsid w:val="00C041B1"/>
    <w:rsid w:val="00C0489B"/>
    <w:rsid w:val="00C052A8"/>
    <w:rsid w:val="00C06B90"/>
    <w:rsid w:val="00C078BB"/>
    <w:rsid w:val="00C07DD3"/>
    <w:rsid w:val="00C07FB7"/>
    <w:rsid w:val="00C10550"/>
    <w:rsid w:val="00C1092B"/>
    <w:rsid w:val="00C10975"/>
    <w:rsid w:val="00C10F1A"/>
    <w:rsid w:val="00C10FE8"/>
    <w:rsid w:val="00C11086"/>
    <w:rsid w:val="00C1258B"/>
    <w:rsid w:val="00C127EC"/>
    <w:rsid w:val="00C12826"/>
    <w:rsid w:val="00C12944"/>
    <w:rsid w:val="00C13041"/>
    <w:rsid w:val="00C1340D"/>
    <w:rsid w:val="00C13C38"/>
    <w:rsid w:val="00C13EB8"/>
    <w:rsid w:val="00C13FF3"/>
    <w:rsid w:val="00C1462B"/>
    <w:rsid w:val="00C1546E"/>
    <w:rsid w:val="00C1547F"/>
    <w:rsid w:val="00C157F0"/>
    <w:rsid w:val="00C15C41"/>
    <w:rsid w:val="00C15DA9"/>
    <w:rsid w:val="00C15DDE"/>
    <w:rsid w:val="00C15F81"/>
    <w:rsid w:val="00C15FD4"/>
    <w:rsid w:val="00C17F4B"/>
    <w:rsid w:val="00C20215"/>
    <w:rsid w:val="00C221A5"/>
    <w:rsid w:val="00C225DA"/>
    <w:rsid w:val="00C22632"/>
    <w:rsid w:val="00C22BE8"/>
    <w:rsid w:val="00C22F41"/>
    <w:rsid w:val="00C2373B"/>
    <w:rsid w:val="00C23E9A"/>
    <w:rsid w:val="00C246F7"/>
    <w:rsid w:val="00C24950"/>
    <w:rsid w:val="00C25778"/>
    <w:rsid w:val="00C25F60"/>
    <w:rsid w:val="00C26098"/>
    <w:rsid w:val="00C26A10"/>
    <w:rsid w:val="00C26E44"/>
    <w:rsid w:val="00C27011"/>
    <w:rsid w:val="00C272ED"/>
    <w:rsid w:val="00C2736C"/>
    <w:rsid w:val="00C27B16"/>
    <w:rsid w:val="00C27DEB"/>
    <w:rsid w:val="00C30E3D"/>
    <w:rsid w:val="00C3153F"/>
    <w:rsid w:val="00C31B16"/>
    <w:rsid w:val="00C31DA4"/>
    <w:rsid w:val="00C32371"/>
    <w:rsid w:val="00C323D7"/>
    <w:rsid w:val="00C326D1"/>
    <w:rsid w:val="00C32978"/>
    <w:rsid w:val="00C333F4"/>
    <w:rsid w:val="00C3391D"/>
    <w:rsid w:val="00C33996"/>
    <w:rsid w:val="00C345CB"/>
    <w:rsid w:val="00C364A3"/>
    <w:rsid w:val="00C372CA"/>
    <w:rsid w:val="00C37AF1"/>
    <w:rsid w:val="00C37B85"/>
    <w:rsid w:val="00C37CF8"/>
    <w:rsid w:val="00C37D03"/>
    <w:rsid w:val="00C40EC0"/>
    <w:rsid w:val="00C4105A"/>
    <w:rsid w:val="00C417D4"/>
    <w:rsid w:val="00C43262"/>
    <w:rsid w:val="00C445B7"/>
    <w:rsid w:val="00C447FA"/>
    <w:rsid w:val="00C44973"/>
    <w:rsid w:val="00C450D1"/>
    <w:rsid w:val="00C45D39"/>
    <w:rsid w:val="00C45EFF"/>
    <w:rsid w:val="00C50BA1"/>
    <w:rsid w:val="00C50C75"/>
    <w:rsid w:val="00C522CE"/>
    <w:rsid w:val="00C52687"/>
    <w:rsid w:val="00C53232"/>
    <w:rsid w:val="00C533E5"/>
    <w:rsid w:val="00C5351C"/>
    <w:rsid w:val="00C535C2"/>
    <w:rsid w:val="00C53D90"/>
    <w:rsid w:val="00C54065"/>
    <w:rsid w:val="00C543C4"/>
    <w:rsid w:val="00C5448A"/>
    <w:rsid w:val="00C544DE"/>
    <w:rsid w:val="00C5481E"/>
    <w:rsid w:val="00C54B98"/>
    <w:rsid w:val="00C54D42"/>
    <w:rsid w:val="00C55508"/>
    <w:rsid w:val="00C5579A"/>
    <w:rsid w:val="00C5581B"/>
    <w:rsid w:val="00C5618A"/>
    <w:rsid w:val="00C565A3"/>
    <w:rsid w:val="00C565CE"/>
    <w:rsid w:val="00C567D0"/>
    <w:rsid w:val="00C57B73"/>
    <w:rsid w:val="00C57EC2"/>
    <w:rsid w:val="00C60571"/>
    <w:rsid w:val="00C60792"/>
    <w:rsid w:val="00C61112"/>
    <w:rsid w:val="00C61411"/>
    <w:rsid w:val="00C615FC"/>
    <w:rsid w:val="00C61A81"/>
    <w:rsid w:val="00C62852"/>
    <w:rsid w:val="00C634E9"/>
    <w:rsid w:val="00C63882"/>
    <w:rsid w:val="00C63D55"/>
    <w:rsid w:val="00C63F57"/>
    <w:rsid w:val="00C63FA4"/>
    <w:rsid w:val="00C6544E"/>
    <w:rsid w:val="00C65C46"/>
    <w:rsid w:val="00C65D55"/>
    <w:rsid w:val="00C65DF2"/>
    <w:rsid w:val="00C727A5"/>
    <w:rsid w:val="00C72E35"/>
    <w:rsid w:val="00C73465"/>
    <w:rsid w:val="00C73579"/>
    <w:rsid w:val="00C735F9"/>
    <w:rsid w:val="00C73A8F"/>
    <w:rsid w:val="00C73F44"/>
    <w:rsid w:val="00C74225"/>
    <w:rsid w:val="00C74DC2"/>
    <w:rsid w:val="00C7597F"/>
    <w:rsid w:val="00C75D0D"/>
    <w:rsid w:val="00C768A5"/>
    <w:rsid w:val="00C776BB"/>
    <w:rsid w:val="00C80794"/>
    <w:rsid w:val="00C80DFC"/>
    <w:rsid w:val="00C815E4"/>
    <w:rsid w:val="00C81BFC"/>
    <w:rsid w:val="00C82CD3"/>
    <w:rsid w:val="00C83173"/>
    <w:rsid w:val="00C8495B"/>
    <w:rsid w:val="00C851F6"/>
    <w:rsid w:val="00C859EA"/>
    <w:rsid w:val="00C86823"/>
    <w:rsid w:val="00C86E7C"/>
    <w:rsid w:val="00C86ED4"/>
    <w:rsid w:val="00C87E18"/>
    <w:rsid w:val="00C901AF"/>
    <w:rsid w:val="00C906F8"/>
    <w:rsid w:val="00C90849"/>
    <w:rsid w:val="00C90F85"/>
    <w:rsid w:val="00C915F9"/>
    <w:rsid w:val="00C92A1E"/>
    <w:rsid w:val="00C92D67"/>
    <w:rsid w:val="00C932CF"/>
    <w:rsid w:val="00C938D5"/>
    <w:rsid w:val="00C93AA7"/>
    <w:rsid w:val="00C947A4"/>
    <w:rsid w:val="00C96092"/>
    <w:rsid w:val="00C96FE2"/>
    <w:rsid w:val="00C97835"/>
    <w:rsid w:val="00CA0919"/>
    <w:rsid w:val="00CA171C"/>
    <w:rsid w:val="00CA263E"/>
    <w:rsid w:val="00CA2BCE"/>
    <w:rsid w:val="00CA30CA"/>
    <w:rsid w:val="00CA34C6"/>
    <w:rsid w:val="00CA39D8"/>
    <w:rsid w:val="00CA3CB5"/>
    <w:rsid w:val="00CA3D39"/>
    <w:rsid w:val="00CA3EA6"/>
    <w:rsid w:val="00CA3FF9"/>
    <w:rsid w:val="00CA417B"/>
    <w:rsid w:val="00CA48F6"/>
    <w:rsid w:val="00CA4C66"/>
    <w:rsid w:val="00CA5592"/>
    <w:rsid w:val="00CA630F"/>
    <w:rsid w:val="00CA6F5A"/>
    <w:rsid w:val="00CA72A7"/>
    <w:rsid w:val="00CA7819"/>
    <w:rsid w:val="00CA7EF1"/>
    <w:rsid w:val="00CB05CE"/>
    <w:rsid w:val="00CB08CB"/>
    <w:rsid w:val="00CB0B61"/>
    <w:rsid w:val="00CB248A"/>
    <w:rsid w:val="00CB26C8"/>
    <w:rsid w:val="00CB2758"/>
    <w:rsid w:val="00CB2945"/>
    <w:rsid w:val="00CB2BEA"/>
    <w:rsid w:val="00CB4B27"/>
    <w:rsid w:val="00CB521C"/>
    <w:rsid w:val="00CB5727"/>
    <w:rsid w:val="00CB5DB8"/>
    <w:rsid w:val="00CB62AA"/>
    <w:rsid w:val="00CB742D"/>
    <w:rsid w:val="00CB773C"/>
    <w:rsid w:val="00CB7BA0"/>
    <w:rsid w:val="00CC0501"/>
    <w:rsid w:val="00CC056B"/>
    <w:rsid w:val="00CC0982"/>
    <w:rsid w:val="00CC14AD"/>
    <w:rsid w:val="00CC1FFB"/>
    <w:rsid w:val="00CC2E07"/>
    <w:rsid w:val="00CC34F6"/>
    <w:rsid w:val="00CC4099"/>
    <w:rsid w:val="00CC52A3"/>
    <w:rsid w:val="00CC61FD"/>
    <w:rsid w:val="00CC67FD"/>
    <w:rsid w:val="00CC6DB6"/>
    <w:rsid w:val="00CC77FB"/>
    <w:rsid w:val="00CC7D97"/>
    <w:rsid w:val="00CC7FA3"/>
    <w:rsid w:val="00CC7FF0"/>
    <w:rsid w:val="00CD082F"/>
    <w:rsid w:val="00CD274F"/>
    <w:rsid w:val="00CD2EC8"/>
    <w:rsid w:val="00CD2F4C"/>
    <w:rsid w:val="00CD32C2"/>
    <w:rsid w:val="00CD3F32"/>
    <w:rsid w:val="00CD4FF0"/>
    <w:rsid w:val="00CD502A"/>
    <w:rsid w:val="00CD52BC"/>
    <w:rsid w:val="00CD5451"/>
    <w:rsid w:val="00CD56CA"/>
    <w:rsid w:val="00CD67FE"/>
    <w:rsid w:val="00CD6E13"/>
    <w:rsid w:val="00CD7521"/>
    <w:rsid w:val="00CD7B9C"/>
    <w:rsid w:val="00CE0235"/>
    <w:rsid w:val="00CE0A97"/>
    <w:rsid w:val="00CE14DA"/>
    <w:rsid w:val="00CE3098"/>
    <w:rsid w:val="00CE3550"/>
    <w:rsid w:val="00CE42CD"/>
    <w:rsid w:val="00CE441E"/>
    <w:rsid w:val="00CE4553"/>
    <w:rsid w:val="00CE49E5"/>
    <w:rsid w:val="00CE4B3F"/>
    <w:rsid w:val="00CE4EC7"/>
    <w:rsid w:val="00CE6138"/>
    <w:rsid w:val="00CE7A83"/>
    <w:rsid w:val="00CF0C45"/>
    <w:rsid w:val="00CF0FEF"/>
    <w:rsid w:val="00CF16A5"/>
    <w:rsid w:val="00CF1AA4"/>
    <w:rsid w:val="00CF1C4D"/>
    <w:rsid w:val="00CF2AC4"/>
    <w:rsid w:val="00CF3915"/>
    <w:rsid w:val="00CF40AE"/>
    <w:rsid w:val="00CF42DA"/>
    <w:rsid w:val="00CF5328"/>
    <w:rsid w:val="00CF6F3E"/>
    <w:rsid w:val="00CF78C3"/>
    <w:rsid w:val="00CF7E21"/>
    <w:rsid w:val="00D00977"/>
    <w:rsid w:val="00D0119E"/>
    <w:rsid w:val="00D0171F"/>
    <w:rsid w:val="00D01BD8"/>
    <w:rsid w:val="00D02AEE"/>
    <w:rsid w:val="00D03176"/>
    <w:rsid w:val="00D046E4"/>
    <w:rsid w:val="00D04BDB"/>
    <w:rsid w:val="00D054BD"/>
    <w:rsid w:val="00D05B2D"/>
    <w:rsid w:val="00D071F6"/>
    <w:rsid w:val="00D07804"/>
    <w:rsid w:val="00D079A7"/>
    <w:rsid w:val="00D103A4"/>
    <w:rsid w:val="00D10BA1"/>
    <w:rsid w:val="00D10DD5"/>
    <w:rsid w:val="00D11B0D"/>
    <w:rsid w:val="00D120EE"/>
    <w:rsid w:val="00D1214F"/>
    <w:rsid w:val="00D13940"/>
    <w:rsid w:val="00D13ADC"/>
    <w:rsid w:val="00D13C2B"/>
    <w:rsid w:val="00D13FA6"/>
    <w:rsid w:val="00D14086"/>
    <w:rsid w:val="00D14637"/>
    <w:rsid w:val="00D149CD"/>
    <w:rsid w:val="00D14CA0"/>
    <w:rsid w:val="00D15724"/>
    <w:rsid w:val="00D15EB3"/>
    <w:rsid w:val="00D161AE"/>
    <w:rsid w:val="00D1622A"/>
    <w:rsid w:val="00D163D7"/>
    <w:rsid w:val="00D169D8"/>
    <w:rsid w:val="00D16BC7"/>
    <w:rsid w:val="00D17886"/>
    <w:rsid w:val="00D202F1"/>
    <w:rsid w:val="00D206FF"/>
    <w:rsid w:val="00D2114D"/>
    <w:rsid w:val="00D21598"/>
    <w:rsid w:val="00D22175"/>
    <w:rsid w:val="00D2256D"/>
    <w:rsid w:val="00D225F9"/>
    <w:rsid w:val="00D226D8"/>
    <w:rsid w:val="00D239DC"/>
    <w:rsid w:val="00D23A20"/>
    <w:rsid w:val="00D23E32"/>
    <w:rsid w:val="00D243FA"/>
    <w:rsid w:val="00D24475"/>
    <w:rsid w:val="00D24629"/>
    <w:rsid w:val="00D24AD6"/>
    <w:rsid w:val="00D24C72"/>
    <w:rsid w:val="00D2531A"/>
    <w:rsid w:val="00D25665"/>
    <w:rsid w:val="00D257E0"/>
    <w:rsid w:val="00D258B5"/>
    <w:rsid w:val="00D25CF0"/>
    <w:rsid w:val="00D26AE8"/>
    <w:rsid w:val="00D27815"/>
    <w:rsid w:val="00D3018F"/>
    <w:rsid w:val="00D30D59"/>
    <w:rsid w:val="00D31672"/>
    <w:rsid w:val="00D3168E"/>
    <w:rsid w:val="00D320A4"/>
    <w:rsid w:val="00D3313D"/>
    <w:rsid w:val="00D3376D"/>
    <w:rsid w:val="00D34EE1"/>
    <w:rsid w:val="00D34EED"/>
    <w:rsid w:val="00D35A5B"/>
    <w:rsid w:val="00D36259"/>
    <w:rsid w:val="00D36314"/>
    <w:rsid w:val="00D36A2B"/>
    <w:rsid w:val="00D37C02"/>
    <w:rsid w:val="00D37E5C"/>
    <w:rsid w:val="00D40205"/>
    <w:rsid w:val="00D406B8"/>
    <w:rsid w:val="00D40B44"/>
    <w:rsid w:val="00D4206F"/>
    <w:rsid w:val="00D420BF"/>
    <w:rsid w:val="00D4219D"/>
    <w:rsid w:val="00D42959"/>
    <w:rsid w:val="00D43942"/>
    <w:rsid w:val="00D43C01"/>
    <w:rsid w:val="00D43D5A"/>
    <w:rsid w:val="00D43DE6"/>
    <w:rsid w:val="00D45148"/>
    <w:rsid w:val="00D4579F"/>
    <w:rsid w:val="00D45BE8"/>
    <w:rsid w:val="00D46889"/>
    <w:rsid w:val="00D4720B"/>
    <w:rsid w:val="00D473B7"/>
    <w:rsid w:val="00D4751F"/>
    <w:rsid w:val="00D47F56"/>
    <w:rsid w:val="00D501D2"/>
    <w:rsid w:val="00D50544"/>
    <w:rsid w:val="00D5085F"/>
    <w:rsid w:val="00D50A8D"/>
    <w:rsid w:val="00D50B4D"/>
    <w:rsid w:val="00D50CA3"/>
    <w:rsid w:val="00D5161D"/>
    <w:rsid w:val="00D51965"/>
    <w:rsid w:val="00D52013"/>
    <w:rsid w:val="00D5216A"/>
    <w:rsid w:val="00D52283"/>
    <w:rsid w:val="00D5321A"/>
    <w:rsid w:val="00D53C9A"/>
    <w:rsid w:val="00D55748"/>
    <w:rsid w:val="00D559A1"/>
    <w:rsid w:val="00D55ADA"/>
    <w:rsid w:val="00D56CD3"/>
    <w:rsid w:val="00D57C11"/>
    <w:rsid w:val="00D602D1"/>
    <w:rsid w:val="00D603D4"/>
    <w:rsid w:val="00D607B6"/>
    <w:rsid w:val="00D61872"/>
    <w:rsid w:val="00D618A8"/>
    <w:rsid w:val="00D619EF"/>
    <w:rsid w:val="00D61B32"/>
    <w:rsid w:val="00D61D2F"/>
    <w:rsid w:val="00D62443"/>
    <w:rsid w:val="00D625D7"/>
    <w:rsid w:val="00D62874"/>
    <w:rsid w:val="00D62EF1"/>
    <w:rsid w:val="00D62FEB"/>
    <w:rsid w:val="00D632DF"/>
    <w:rsid w:val="00D63DA9"/>
    <w:rsid w:val="00D65A61"/>
    <w:rsid w:val="00D663BC"/>
    <w:rsid w:val="00D666C9"/>
    <w:rsid w:val="00D668DB"/>
    <w:rsid w:val="00D668FD"/>
    <w:rsid w:val="00D674E0"/>
    <w:rsid w:val="00D703F8"/>
    <w:rsid w:val="00D70D31"/>
    <w:rsid w:val="00D71BC2"/>
    <w:rsid w:val="00D72376"/>
    <w:rsid w:val="00D737B5"/>
    <w:rsid w:val="00D73B38"/>
    <w:rsid w:val="00D73D65"/>
    <w:rsid w:val="00D73D97"/>
    <w:rsid w:val="00D74711"/>
    <w:rsid w:val="00D7528F"/>
    <w:rsid w:val="00D753B5"/>
    <w:rsid w:val="00D75B23"/>
    <w:rsid w:val="00D76114"/>
    <w:rsid w:val="00D7616B"/>
    <w:rsid w:val="00D769BC"/>
    <w:rsid w:val="00D76D34"/>
    <w:rsid w:val="00D76F81"/>
    <w:rsid w:val="00D771D1"/>
    <w:rsid w:val="00D77402"/>
    <w:rsid w:val="00D777EA"/>
    <w:rsid w:val="00D80423"/>
    <w:rsid w:val="00D80AB3"/>
    <w:rsid w:val="00D80D0D"/>
    <w:rsid w:val="00D80E37"/>
    <w:rsid w:val="00D81869"/>
    <w:rsid w:val="00D81BEA"/>
    <w:rsid w:val="00D82003"/>
    <w:rsid w:val="00D82024"/>
    <w:rsid w:val="00D82496"/>
    <w:rsid w:val="00D82755"/>
    <w:rsid w:val="00D82784"/>
    <w:rsid w:val="00D8302A"/>
    <w:rsid w:val="00D83BBC"/>
    <w:rsid w:val="00D83E0A"/>
    <w:rsid w:val="00D847FC"/>
    <w:rsid w:val="00D84B77"/>
    <w:rsid w:val="00D85085"/>
    <w:rsid w:val="00D853A1"/>
    <w:rsid w:val="00D863EA"/>
    <w:rsid w:val="00D8762E"/>
    <w:rsid w:val="00D87F29"/>
    <w:rsid w:val="00D9000E"/>
    <w:rsid w:val="00D90866"/>
    <w:rsid w:val="00D90DC0"/>
    <w:rsid w:val="00D9142D"/>
    <w:rsid w:val="00D9283C"/>
    <w:rsid w:val="00D93C21"/>
    <w:rsid w:val="00D93D20"/>
    <w:rsid w:val="00D93FD8"/>
    <w:rsid w:val="00D93FE8"/>
    <w:rsid w:val="00D953B4"/>
    <w:rsid w:val="00D9608F"/>
    <w:rsid w:val="00D96482"/>
    <w:rsid w:val="00D969B6"/>
    <w:rsid w:val="00D97050"/>
    <w:rsid w:val="00D973C4"/>
    <w:rsid w:val="00D97FFB"/>
    <w:rsid w:val="00DA02DE"/>
    <w:rsid w:val="00DA087B"/>
    <w:rsid w:val="00DA2F38"/>
    <w:rsid w:val="00DA3369"/>
    <w:rsid w:val="00DA344A"/>
    <w:rsid w:val="00DA3A3C"/>
    <w:rsid w:val="00DA415F"/>
    <w:rsid w:val="00DA4181"/>
    <w:rsid w:val="00DA4694"/>
    <w:rsid w:val="00DA4CD3"/>
    <w:rsid w:val="00DA4D61"/>
    <w:rsid w:val="00DA50EC"/>
    <w:rsid w:val="00DA5511"/>
    <w:rsid w:val="00DA5968"/>
    <w:rsid w:val="00DA5E36"/>
    <w:rsid w:val="00DA6841"/>
    <w:rsid w:val="00DA6B3D"/>
    <w:rsid w:val="00DA6FA1"/>
    <w:rsid w:val="00DA71C5"/>
    <w:rsid w:val="00DA737B"/>
    <w:rsid w:val="00DA74EA"/>
    <w:rsid w:val="00DA7859"/>
    <w:rsid w:val="00DA7B83"/>
    <w:rsid w:val="00DA7C8C"/>
    <w:rsid w:val="00DB04C8"/>
    <w:rsid w:val="00DB113C"/>
    <w:rsid w:val="00DB15DC"/>
    <w:rsid w:val="00DB1B48"/>
    <w:rsid w:val="00DB2047"/>
    <w:rsid w:val="00DB234D"/>
    <w:rsid w:val="00DB3C43"/>
    <w:rsid w:val="00DB4302"/>
    <w:rsid w:val="00DB4C1B"/>
    <w:rsid w:val="00DB4F32"/>
    <w:rsid w:val="00DB542D"/>
    <w:rsid w:val="00DB63C5"/>
    <w:rsid w:val="00DB6BE5"/>
    <w:rsid w:val="00DB79B4"/>
    <w:rsid w:val="00DB7C99"/>
    <w:rsid w:val="00DB7DC6"/>
    <w:rsid w:val="00DB7F3D"/>
    <w:rsid w:val="00DB7FA6"/>
    <w:rsid w:val="00DC035A"/>
    <w:rsid w:val="00DC0E51"/>
    <w:rsid w:val="00DC1750"/>
    <w:rsid w:val="00DC17FC"/>
    <w:rsid w:val="00DC1B6F"/>
    <w:rsid w:val="00DC2C09"/>
    <w:rsid w:val="00DC312C"/>
    <w:rsid w:val="00DC35EF"/>
    <w:rsid w:val="00DC40F2"/>
    <w:rsid w:val="00DC48FF"/>
    <w:rsid w:val="00DC5190"/>
    <w:rsid w:val="00DC51E2"/>
    <w:rsid w:val="00DC561C"/>
    <w:rsid w:val="00DC5E3B"/>
    <w:rsid w:val="00DC62D5"/>
    <w:rsid w:val="00DC63FB"/>
    <w:rsid w:val="00DD098C"/>
    <w:rsid w:val="00DD0BDA"/>
    <w:rsid w:val="00DD10A4"/>
    <w:rsid w:val="00DD1F9F"/>
    <w:rsid w:val="00DD2059"/>
    <w:rsid w:val="00DD233B"/>
    <w:rsid w:val="00DD2B9E"/>
    <w:rsid w:val="00DD3DF0"/>
    <w:rsid w:val="00DD3FBB"/>
    <w:rsid w:val="00DD4741"/>
    <w:rsid w:val="00DD7211"/>
    <w:rsid w:val="00DD76C5"/>
    <w:rsid w:val="00DD7C82"/>
    <w:rsid w:val="00DD7EFE"/>
    <w:rsid w:val="00DD7FF9"/>
    <w:rsid w:val="00DE002D"/>
    <w:rsid w:val="00DE0E3D"/>
    <w:rsid w:val="00DE105B"/>
    <w:rsid w:val="00DE12DE"/>
    <w:rsid w:val="00DE1AFF"/>
    <w:rsid w:val="00DE1C3F"/>
    <w:rsid w:val="00DE1D8F"/>
    <w:rsid w:val="00DE1F62"/>
    <w:rsid w:val="00DE253F"/>
    <w:rsid w:val="00DE39AC"/>
    <w:rsid w:val="00DE40B8"/>
    <w:rsid w:val="00DE42F1"/>
    <w:rsid w:val="00DE4CDC"/>
    <w:rsid w:val="00DE5306"/>
    <w:rsid w:val="00DE68F1"/>
    <w:rsid w:val="00DE7A40"/>
    <w:rsid w:val="00DE7B5D"/>
    <w:rsid w:val="00DE7CA4"/>
    <w:rsid w:val="00DF0AB7"/>
    <w:rsid w:val="00DF10EF"/>
    <w:rsid w:val="00DF117A"/>
    <w:rsid w:val="00DF23EF"/>
    <w:rsid w:val="00DF34B7"/>
    <w:rsid w:val="00DF3A19"/>
    <w:rsid w:val="00DF4086"/>
    <w:rsid w:val="00DF4896"/>
    <w:rsid w:val="00DF49C6"/>
    <w:rsid w:val="00DF5308"/>
    <w:rsid w:val="00DF5356"/>
    <w:rsid w:val="00DF540E"/>
    <w:rsid w:val="00DF5A58"/>
    <w:rsid w:val="00DF5DBA"/>
    <w:rsid w:val="00DF6580"/>
    <w:rsid w:val="00DF7EAD"/>
    <w:rsid w:val="00E00102"/>
    <w:rsid w:val="00E003E6"/>
    <w:rsid w:val="00E0043B"/>
    <w:rsid w:val="00E00768"/>
    <w:rsid w:val="00E008F0"/>
    <w:rsid w:val="00E01263"/>
    <w:rsid w:val="00E01A89"/>
    <w:rsid w:val="00E01CA8"/>
    <w:rsid w:val="00E02573"/>
    <w:rsid w:val="00E0273D"/>
    <w:rsid w:val="00E037BE"/>
    <w:rsid w:val="00E0414C"/>
    <w:rsid w:val="00E04AD6"/>
    <w:rsid w:val="00E067D3"/>
    <w:rsid w:val="00E06CCB"/>
    <w:rsid w:val="00E07680"/>
    <w:rsid w:val="00E10739"/>
    <w:rsid w:val="00E1078C"/>
    <w:rsid w:val="00E10C18"/>
    <w:rsid w:val="00E10E01"/>
    <w:rsid w:val="00E111A6"/>
    <w:rsid w:val="00E113F3"/>
    <w:rsid w:val="00E138F7"/>
    <w:rsid w:val="00E15A4E"/>
    <w:rsid w:val="00E1679E"/>
    <w:rsid w:val="00E168FE"/>
    <w:rsid w:val="00E204A7"/>
    <w:rsid w:val="00E209FC"/>
    <w:rsid w:val="00E20ECD"/>
    <w:rsid w:val="00E20FE5"/>
    <w:rsid w:val="00E212C9"/>
    <w:rsid w:val="00E215C6"/>
    <w:rsid w:val="00E230A8"/>
    <w:rsid w:val="00E235AF"/>
    <w:rsid w:val="00E24976"/>
    <w:rsid w:val="00E24D4F"/>
    <w:rsid w:val="00E24E4A"/>
    <w:rsid w:val="00E250FB"/>
    <w:rsid w:val="00E26405"/>
    <w:rsid w:val="00E26868"/>
    <w:rsid w:val="00E31A8E"/>
    <w:rsid w:val="00E31D2E"/>
    <w:rsid w:val="00E323C1"/>
    <w:rsid w:val="00E33A1A"/>
    <w:rsid w:val="00E33D80"/>
    <w:rsid w:val="00E3408A"/>
    <w:rsid w:val="00E34126"/>
    <w:rsid w:val="00E343C5"/>
    <w:rsid w:val="00E345BD"/>
    <w:rsid w:val="00E34D74"/>
    <w:rsid w:val="00E35FAE"/>
    <w:rsid w:val="00E3624D"/>
    <w:rsid w:val="00E36B09"/>
    <w:rsid w:val="00E373FE"/>
    <w:rsid w:val="00E3749D"/>
    <w:rsid w:val="00E375B3"/>
    <w:rsid w:val="00E37611"/>
    <w:rsid w:val="00E4048A"/>
    <w:rsid w:val="00E40523"/>
    <w:rsid w:val="00E4064B"/>
    <w:rsid w:val="00E40785"/>
    <w:rsid w:val="00E40A9C"/>
    <w:rsid w:val="00E4114F"/>
    <w:rsid w:val="00E4236F"/>
    <w:rsid w:val="00E42DDE"/>
    <w:rsid w:val="00E43115"/>
    <w:rsid w:val="00E43313"/>
    <w:rsid w:val="00E43E41"/>
    <w:rsid w:val="00E44004"/>
    <w:rsid w:val="00E440EE"/>
    <w:rsid w:val="00E44241"/>
    <w:rsid w:val="00E444A6"/>
    <w:rsid w:val="00E4498C"/>
    <w:rsid w:val="00E44D62"/>
    <w:rsid w:val="00E4514D"/>
    <w:rsid w:val="00E4571D"/>
    <w:rsid w:val="00E45C5A"/>
    <w:rsid w:val="00E46349"/>
    <w:rsid w:val="00E46956"/>
    <w:rsid w:val="00E47D80"/>
    <w:rsid w:val="00E506AE"/>
    <w:rsid w:val="00E51313"/>
    <w:rsid w:val="00E528EF"/>
    <w:rsid w:val="00E53B71"/>
    <w:rsid w:val="00E54B9D"/>
    <w:rsid w:val="00E54E6E"/>
    <w:rsid w:val="00E54F9B"/>
    <w:rsid w:val="00E55C8E"/>
    <w:rsid w:val="00E5792D"/>
    <w:rsid w:val="00E605A9"/>
    <w:rsid w:val="00E60E96"/>
    <w:rsid w:val="00E60FAC"/>
    <w:rsid w:val="00E61A76"/>
    <w:rsid w:val="00E61D57"/>
    <w:rsid w:val="00E61FE6"/>
    <w:rsid w:val="00E622D4"/>
    <w:rsid w:val="00E62B2E"/>
    <w:rsid w:val="00E631F3"/>
    <w:rsid w:val="00E63338"/>
    <w:rsid w:val="00E640DB"/>
    <w:rsid w:val="00E6440D"/>
    <w:rsid w:val="00E64521"/>
    <w:rsid w:val="00E64740"/>
    <w:rsid w:val="00E65E4C"/>
    <w:rsid w:val="00E663F9"/>
    <w:rsid w:val="00E666B3"/>
    <w:rsid w:val="00E666F0"/>
    <w:rsid w:val="00E66820"/>
    <w:rsid w:val="00E6688D"/>
    <w:rsid w:val="00E669A1"/>
    <w:rsid w:val="00E66CD8"/>
    <w:rsid w:val="00E66E51"/>
    <w:rsid w:val="00E67711"/>
    <w:rsid w:val="00E67D85"/>
    <w:rsid w:val="00E703D8"/>
    <w:rsid w:val="00E7089F"/>
    <w:rsid w:val="00E708C4"/>
    <w:rsid w:val="00E70981"/>
    <w:rsid w:val="00E71B47"/>
    <w:rsid w:val="00E723AD"/>
    <w:rsid w:val="00E7363E"/>
    <w:rsid w:val="00E739C0"/>
    <w:rsid w:val="00E73FFF"/>
    <w:rsid w:val="00E741FC"/>
    <w:rsid w:val="00E74652"/>
    <w:rsid w:val="00E7566A"/>
    <w:rsid w:val="00E76AAF"/>
    <w:rsid w:val="00E76AC6"/>
    <w:rsid w:val="00E76C6D"/>
    <w:rsid w:val="00E7704A"/>
    <w:rsid w:val="00E77448"/>
    <w:rsid w:val="00E775DA"/>
    <w:rsid w:val="00E80061"/>
    <w:rsid w:val="00E80353"/>
    <w:rsid w:val="00E82549"/>
    <w:rsid w:val="00E82CCC"/>
    <w:rsid w:val="00E83C6E"/>
    <w:rsid w:val="00E84391"/>
    <w:rsid w:val="00E8453A"/>
    <w:rsid w:val="00E84549"/>
    <w:rsid w:val="00E856BD"/>
    <w:rsid w:val="00E859B9"/>
    <w:rsid w:val="00E86A09"/>
    <w:rsid w:val="00E874FF"/>
    <w:rsid w:val="00E87855"/>
    <w:rsid w:val="00E908AB"/>
    <w:rsid w:val="00E9104F"/>
    <w:rsid w:val="00E91C10"/>
    <w:rsid w:val="00E91DDB"/>
    <w:rsid w:val="00E91F79"/>
    <w:rsid w:val="00E92511"/>
    <w:rsid w:val="00E927E9"/>
    <w:rsid w:val="00E92F6E"/>
    <w:rsid w:val="00E936FB"/>
    <w:rsid w:val="00E93A10"/>
    <w:rsid w:val="00E93DF0"/>
    <w:rsid w:val="00E93F6B"/>
    <w:rsid w:val="00E941B7"/>
    <w:rsid w:val="00E94375"/>
    <w:rsid w:val="00E94B40"/>
    <w:rsid w:val="00E94B7A"/>
    <w:rsid w:val="00E94C2F"/>
    <w:rsid w:val="00E95CD9"/>
    <w:rsid w:val="00E96DC5"/>
    <w:rsid w:val="00E976A7"/>
    <w:rsid w:val="00EA1C05"/>
    <w:rsid w:val="00EA1E7B"/>
    <w:rsid w:val="00EA2AC2"/>
    <w:rsid w:val="00EA30B9"/>
    <w:rsid w:val="00EA3AE4"/>
    <w:rsid w:val="00EA4295"/>
    <w:rsid w:val="00EA4624"/>
    <w:rsid w:val="00EA540D"/>
    <w:rsid w:val="00EA5569"/>
    <w:rsid w:val="00EA6A42"/>
    <w:rsid w:val="00EA6E23"/>
    <w:rsid w:val="00EB0A52"/>
    <w:rsid w:val="00EB1120"/>
    <w:rsid w:val="00EB13B4"/>
    <w:rsid w:val="00EB18AE"/>
    <w:rsid w:val="00EB1FF2"/>
    <w:rsid w:val="00EB3863"/>
    <w:rsid w:val="00EB3D7A"/>
    <w:rsid w:val="00EB406F"/>
    <w:rsid w:val="00EB46FE"/>
    <w:rsid w:val="00EB4CDF"/>
    <w:rsid w:val="00EB4DF8"/>
    <w:rsid w:val="00EB52FD"/>
    <w:rsid w:val="00EB5B88"/>
    <w:rsid w:val="00EB666E"/>
    <w:rsid w:val="00EC0CE0"/>
    <w:rsid w:val="00EC15D3"/>
    <w:rsid w:val="00EC1AC4"/>
    <w:rsid w:val="00EC1E37"/>
    <w:rsid w:val="00EC2B43"/>
    <w:rsid w:val="00EC35B6"/>
    <w:rsid w:val="00EC469C"/>
    <w:rsid w:val="00EC54FB"/>
    <w:rsid w:val="00EC5816"/>
    <w:rsid w:val="00EC6BA5"/>
    <w:rsid w:val="00EC6DD4"/>
    <w:rsid w:val="00EC6F97"/>
    <w:rsid w:val="00EC7368"/>
    <w:rsid w:val="00EC7794"/>
    <w:rsid w:val="00EC7F99"/>
    <w:rsid w:val="00ED0125"/>
    <w:rsid w:val="00ED02C5"/>
    <w:rsid w:val="00ED0A9F"/>
    <w:rsid w:val="00ED0B31"/>
    <w:rsid w:val="00ED0C2B"/>
    <w:rsid w:val="00ED1877"/>
    <w:rsid w:val="00ED2E51"/>
    <w:rsid w:val="00ED452C"/>
    <w:rsid w:val="00ED4678"/>
    <w:rsid w:val="00ED4C81"/>
    <w:rsid w:val="00ED6838"/>
    <w:rsid w:val="00ED6EBE"/>
    <w:rsid w:val="00ED75E4"/>
    <w:rsid w:val="00ED77DF"/>
    <w:rsid w:val="00EE0125"/>
    <w:rsid w:val="00EE047C"/>
    <w:rsid w:val="00EE089A"/>
    <w:rsid w:val="00EE0D30"/>
    <w:rsid w:val="00EE1B8E"/>
    <w:rsid w:val="00EE222B"/>
    <w:rsid w:val="00EE2246"/>
    <w:rsid w:val="00EE280F"/>
    <w:rsid w:val="00EE2A64"/>
    <w:rsid w:val="00EE2B9E"/>
    <w:rsid w:val="00EE3514"/>
    <w:rsid w:val="00EE3740"/>
    <w:rsid w:val="00EE3A78"/>
    <w:rsid w:val="00EE3AC0"/>
    <w:rsid w:val="00EE3DEB"/>
    <w:rsid w:val="00EE435C"/>
    <w:rsid w:val="00EE4922"/>
    <w:rsid w:val="00EE4B02"/>
    <w:rsid w:val="00EE4C69"/>
    <w:rsid w:val="00EE4E76"/>
    <w:rsid w:val="00EE522D"/>
    <w:rsid w:val="00EE52C8"/>
    <w:rsid w:val="00EE5959"/>
    <w:rsid w:val="00EE62A5"/>
    <w:rsid w:val="00EE6326"/>
    <w:rsid w:val="00EE65A2"/>
    <w:rsid w:val="00EE6B5E"/>
    <w:rsid w:val="00EE7C4D"/>
    <w:rsid w:val="00EE7CA6"/>
    <w:rsid w:val="00EF06BE"/>
    <w:rsid w:val="00EF0BD6"/>
    <w:rsid w:val="00EF0D55"/>
    <w:rsid w:val="00EF0EB5"/>
    <w:rsid w:val="00EF0FD8"/>
    <w:rsid w:val="00EF1206"/>
    <w:rsid w:val="00EF1A6A"/>
    <w:rsid w:val="00EF2135"/>
    <w:rsid w:val="00EF41C0"/>
    <w:rsid w:val="00EF6530"/>
    <w:rsid w:val="00EF6833"/>
    <w:rsid w:val="00EF7810"/>
    <w:rsid w:val="00EF7ABA"/>
    <w:rsid w:val="00EF7ED4"/>
    <w:rsid w:val="00F02D63"/>
    <w:rsid w:val="00F02E7C"/>
    <w:rsid w:val="00F031C4"/>
    <w:rsid w:val="00F03486"/>
    <w:rsid w:val="00F03500"/>
    <w:rsid w:val="00F03F29"/>
    <w:rsid w:val="00F044E2"/>
    <w:rsid w:val="00F04790"/>
    <w:rsid w:val="00F04E3A"/>
    <w:rsid w:val="00F06112"/>
    <w:rsid w:val="00F06390"/>
    <w:rsid w:val="00F0648D"/>
    <w:rsid w:val="00F06ACB"/>
    <w:rsid w:val="00F06C1A"/>
    <w:rsid w:val="00F06E1D"/>
    <w:rsid w:val="00F07087"/>
    <w:rsid w:val="00F07A52"/>
    <w:rsid w:val="00F10AE2"/>
    <w:rsid w:val="00F10DD3"/>
    <w:rsid w:val="00F1107B"/>
    <w:rsid w:val="00F11295"/>
    <w:rsid w:val="00F114ED"/>
    <w:rsid w:val="00F11611"/>
    <w:rsid w:val="00F11BAC"/>
    <w:rsid w:val="00F12486"/>
    <w:rsid w:val="00F124AA"/>
    <w:rsid w:val="00F12508"/>
    <w:rsid w:val="00F149B7"/>
    <w:rsid w:val="00F14BA8"/>
    <w:rsid w:val="00F14C3F"/>
    <w:rsid w:val="00F1529F"/>
    <w:rsid w:val="00F15307"/>
    <w:rsid w:val="00F153EF"/>
    <w:rsid w:val="00F1590C"/>
    <w:rsid w:val="00F16318"/>
    <w:rsid w:val="00F165ED"/>
    <w:rsid w:val="00F16DBB"/>
    <w:rsid w:val="00F17572"/>
    <w:rsid w:val="00F20E44"/>
    <w:rsid w:val="00F212BF"/>
    <w:rsid w:val="00F21CCB"/>
    <w:rsid w:val="00F220A9"/>
    <w:rsid w:val="00F22E5D"/>
    <w:rsid w:val="00F232BE"/>
    <w:rsid w:val="00F234BC"/>
    <w:rsid w:val="00F2570F"/>
    <w:rsid w:val="00F25811"/>
    <w:rsid w:val="00F25E58"/>
    <w:rsid w:val="00F26077"/>
    <w:rsid w:val="00F26EE1"/>
    <w:rsid w:val="00F2704D"/>
    <w:rsid w:val="00F272FC"/>
    <w:rsid w:val="00F30241"/>
    <w:rsid w:val="00F31044"/>
    <w:rsid w:val="00F31C90"/>
    <w:rsid w:val="00F31EB7"/>
    <w:rsid w:val="00F3229C"/>
    <w:rsid w:val="00F32536"/>
    <w:rsid w:val="00F3299C"/>
    <w:rsid w:val="00F343BF"/>
    <w:rsid w:val="00F34CBC"/>
    <w:rsid w:val="00F34F9F"/>
    <w:rsid w:val="00F35027"/>
    <w:rsid w:val="00F35718"/>
    <w:rsid w:val="00F35EB2"/>
    <w:rsid w:val="00F368D8"/>
    <w:rsid w:val="00F36BEE"/>
    <w:rsid w:val="00F374B8"/>
    <w:rsid w:val="00F40276"/>
    <w:rsid w:val="00F40B2C"/>
    <w:rsid w:val="00F4135C"/>
    <w:rsid w:val="00F41F46"/>
    <w:rsid w:val="00F423FF"/>
    <w:rsid w:val="00F42865"/>
    <w:rsid w:val="00F429BC"/>
    <w:rsid w:val="00F43067"/>
    <w:rsid w:val="00F431C2"/>
    <w:rsid w:val="00F43C56"/>
    <w:rsid w:val="00F4414A"/>
    <w:rsid w:val="00F441BF"/>
    <w:rsid w:val="00F44833"/>
    <w:rsid w:val="00F45F8F"/>
    <w:rsid w:val="00F4646F"/>
    <w:rsid w:val="00F46A52"/>
    <w:rsid w:val="00F476D6"/>
    <w:rsid w:val="00F47B51"/>
    <w:rsid w:val="00F47F3B"/>
    <w:rsid w:val="00F501E2"/>
    <w:rsid w:val="00F507BE"/>
    <w:rsid w:val="00F50F2C"/>
    <w:rsid w:val="00F5122B"/>
    <w:rsid w:val="00F515E7"/>
    <w:rsid w:val="00F5317D"/>
    <w:rsid w:val="00F54196"/>
    <w:rsid w:val="00F541E3"/>
    <w:rsid w:val="00F5475A"/>
    <w:rsid w:val="00F54C6B"/>
    <w:rsid w:val="00F55026"/>
    <w:rsid w:val="00F55A62"/>
    <w:rsid w:val="00F565AD"/>
    <w:rsid w:val="00F56CA1"/>
    <w:rsid w:val="00F57421"/>
    <w:rsid w:val="00F575B8"/>
    <w:rsid w:val="00F60593"/>
    <w:rsid w:val="00F60944"/>
    <w:rsid w:val="00F60EAF"/>
    <w:rsid w:val="00F6183E"/>
    <w:rsid w:val="00F6208B"/>
    <w:rsid w:val="00F62505"/>
    <w:rsid w:val="00F656D1"/>
    <w:rsid w:val="00F65F46"/>
    <w:rsid w:val="00F704AA"/>
    <w:rsid w:val="00F7081E"/>
    <w:rsid w:val="00F708D0"/>
    <w:rsid w:val="00F71313"/>
    <w:rsid w:val="00F717EA"/>
    <w:rsid w:val="00F73708"/>
    <w:rsid w:val="00F73BC3"/>
    <w:rsid w:val="00F741B3"/>
    <w:rsid w:val="00F74D51"/>
    <w:rsid w:val="00F750FE"/>
    <w:rsid w:val="00F75A9C"/>
    <w:rsid w:val="00F766BB"/>
    <w:rsid w:val="00F76B23"/>
    <w:rsid w:val="00F77537"/>
    <w:rsid w:val="00F77DE5"/>
    <w:rsid w:val="00F807BA"/>
    <w:rsid w:val="00F80AF4"/>
    <w:rsid w:val="00F81040"/>
    <w:rsid w:val="00F81354"/>
    <w:rsid w:val="00F813D3"/>
    <w:rsid w:val="00F81E2A"/>
    <w:rsid w:val="00F8275A"/>
    <w:rsid w:val="00F8333E"/>
    <w:rsid w:val="00F834AD"/>
    <w:rsid w:val="00F83D99"/>
    <w:rsid w:val="00F8446B"/>
    <w:rsid w:val="00F84F13"/>
    <w:rsid w:val="00F8518A"/>
    <w:rsid w:val="00F852C6"/>
    <w:rsid w:val="00F8590B"/>
    <w:rsid w:val="00F86632"/>
    <w:rsid w:val="00F86EB2"/>
    <w:rsid w:val="00F86FB1"/>
    <w:rsid w:val="00F86FF5"/>
    <w:rsid w:val="00F87307"/>
    <w:rsid w:val="00F8754F"/>
    <w:rsid w:val="00F87931"/>
    <w:rsid w:val="00F87BAB"/>
    <w:rsid w:val="00F90416"/>
    <w:rsid w:val="00F90E80"/>
    <w:rsid w:val="00F9159F"/>
    <w:rsid w:val="00F915C5"/>
    <w:rsid w:val="00F91A15"/>
    <w:rsid w:val="00F91B0A"/>
    <w:rsid w:val="00F93499"/>
    <w:rsid w:val="00F9366B"/>
    <w:rsid w:val="00F9559F"/>
    <w:rsid w:val="00F95748"/>
    <w:rsid w:val="00F96080"/>
    <w:rsid w:val="00F96209"/>
    <w:rsid w:val="00F974B4"/>
    <w:rsid w:val="00F97CB2"/>
    <w:rsid w:val="00F97FBE"/>
    <w:rsid w:val="00FA035C"/>
    <w:rsid w:val="00FA0826"/>
    <w:rsid w:val="00FA0B88"/>
    <w:rsid w:val="00FA0E9C"/>
    <w:rsid w:val="00FA10DC"/>
    <w:rsid w:val="00FA1133"/>
    <w:rsid w:val="00FA3E9F"/>
    <w:rsid w:val="00FA3ED5"/>
    <w:rsid w:val="00FA4116"/>
    <w:rsid w:val="00FA44A8"/>
    <w:rsid w:val="00FA4688"/>
    <w:rsid w:val="00FA49C7"/>
    <w:rsid w:val="00FA52C3"/>
    <w:rsid w:val="00FA5874"/>
    <w:rsid w:val="00FA5A2E"/>
    <w:rsid w:val="00FA5A50"/>
    <w:rsid w:val="00FA6169"/>
    <w:rsid w:val="00FA65C1"/>
    <w:rsid w:val="00FA6776"/>
    <w:rsid w:val="00FA6A76"/>
    <w:rsid w:val="00FA6C53"/>
    <w:rsid w:val="00FA7458"/>
    <w:rsid w:val="00FA7468"/>
    <w:rsid w:val="00FA74B0"/>
    <w:rsid w:val="00FA78C6"/>
    <w:rsid w:val="00FB16D1"/>
    <w:rsid w:val="00FB1BCF"/>
    <w:rsid w:val="00FB22D3"/>
    <w:rsid w:val="00FB2912"/>
    <w:rsid w:val="00FB2F03"/>
    <w:rsid w:val="00FB328E"/>
    <w:rsid w:val="00FB3F5F"/>
    <w:rsid w:val="00FB4305"/>
    <w:rsid w:val="00FB437C"/>
    <w:rsid w:val="00FB5107"/>
    <w:rsid w:val="00FB5316"/>
    <w:rsid w:val="00FB55F6"/>
    <w:rsid w:val="00FB5D33"/>
    <w:rsid w:val="00FB5D6F"/>
    <w:rsid w:val="00FB689A"/>
    <w:rsid w:val="00FB6E15"/>
    <w:rsid w:val="00FB6E7B"/>
    <w:rsid w:val="00FB6F5B"/>
    <w:rsid w:val="00FB7954"/>
    <w:rsid w:val="00FB7D7B"/>
    <w:rsid w:val="00FC0675"/>
    <w:rsid w:val="00FC1332"/>
    <w:rsid w:val="00FC1AFE"/>
    <w:rsid w:val="00FC2380"/>
    <w:rsid w:val="00FC37E7"/>
    <w:rsid w:val="00FC3BDA"/>
    <w:rsid w:val="00FC4596"/>
    <w:rsid w:val="00FC5262"/>
    <w:rsid w:val="00FC60F4"/>
    <w:rsid w:val="00FC6949"/>
    <w:rsid w:val="00FC69B9"/>
    <w:rsid w:val="00FC6E76"/>
    <w:rsid w:val="00FC7C60"/>
    <w:rsid w:val="00FC7D3C"/>
    <w:rsid w:val="00FD0DB3"/>
    <w:rsid w:val="00FD0E70"/>
    <w:rsid w:val="00FD1275"/>
    <w:rsid w:val="00FD1A72"/>
    <w:rsid w:val="00FD2E28"/>
    <w:rsid w:val="00FD33A3"/>
    <w:rsid w:val="00FD33A5"/>
    <w:rsid w:val="00FD446C"/>
    <w:rsid w:val="00FD5F71"/>
    <w:rsid w:val="00FD6345"/>
    <w:rsid w:val="00FD65C4"/>
    <w:rsid w:val="00FE063A"/>
    <w:rsid w:val="00FE0D22"/>
    <w:rsid w:val="00FE0DCE"/>
    <w:rsid w:val="00FE138E"/>
    <w:rsid w:val="00FE1643"/>
    <w:rsid w:val="00FE22BD"/>
    <w:rsid w:val="00FE2C46"/>
    <w:rsid w:val="00FE2D32"/>
    <w:rsid w:val="00FE2F58"/>
    <w:rsid w:val="00FE30C4"/>
    <w:rsid w:val="00FE3858"/>
    <w:rsid w:val="00FE3A80"/>
    <w:rsid w:val="00FE3B79"/>
    <w:rsid w:val="00FE3D7D"/>
    <w:rsid w:val="00FE6A7C"/>
    <w:rsid w:val="00FE6B8A"/>
    <w:rsid w:val="00FF03F2"/>
    <w:rsid w:val="00FF054E"/>
    <w:rsid w:val="00FF19C2"/>
    <w:rsid w:val="00FF1BA6"/>
    <w:rsid w:val="00FF24FB"/>
    <w:rsid w:val="00FF2CDE"/>
    <w:rsid w:val="00FF2D5B"/>
    <w:rsid w:val="00FF31A5"/>
    <w:rsid w:val="00FF4B24"/>
    <w:rsid w:val="00FF50EE"/>
    <w:rsid w:val="00FF5151"/>
    <w:rsid w:val="00FF5A78"/>
    <w:rsid w:val="00FF5AB5"/>
    <w:rsid w:val="00FF61FC"/>
    <w:rsid w:val="00FF68CB"/>
    <w:rsid w:val="00FF6A9E"/>
    <w:rsid w:val="00FF7185"/>
    <w:rsid w:val="00FF7271"/>
    <w:rsid w:val="00FF77E8"/>
    <w:rsid w:val="00FF7B5F"/>
    <w:rsid w:val="0157150B"/>
    <w:rsid w:val="02073628"/>
    <w:rsid w:val="025728BD"/>
    <w:rsid w:val="025C4D0D"/>
    <w:rsid w:val="02BD2230"/>
    <w:rsid w:val="02FB17F1"/>
    <w:rsid w:val="033D0455"/>
    <w:rsid w:val="036B1FE3"/>
    <w:rsid w:val="037A46CB"/>
    <w:rsid w:val="03D7499B"/>
    <w:rsid w:val="05495925"/>
    <w:rsid w:val="057C0907"/>
    <w:rsid w:val="05C920E4"/>
    <w:rsid w:val="06287430"/>
    <w:rsid w:val="068B341A"/>
    <w:rsid w:val="06AC080C"/>
    <w:rsid w:val="06C6436E"/>
    <w:rsid w:val="06F13186"/>
    <w:rsid w:val="074A44BA"/>
    <w:rsid w:val="07787F78"/>
    <w:rsid w:val="080B2E72"/>
    <w:rsid w:val="08E5778F"/>
    <w:rsid w:val="09C753D3"/>
    <w:rsid w:val="09D368E7"/>
    <w:rsid w:val="09D538A4"/>
    <w:rsid w:val="0A0F7213"/>
    <w:rsid w:val="0AA46987"/>
    <w:rsid w:val="0AFF764A"/>
    <w:rsid w:val="0B2D798C"/>
    <w:rsid w:val="0BC10E42"/>
    <w:rsid w:val="0C5E05EE"/>
    <w:rsid w:val="0C6505D6"/>
    <w:rsid w:val="0C8F6209"/>
    <w:rsid w:val="0D437899"/>
    <w:rsid w:val="0DB70EBD"/>
    <w:rsid w:val="0E8858DA"/>
    <w:rsid w:val="0E9618CC"/>
    <w:rsid w:val="0EA34BF3"/>
    <w:rsid w:val="0EAA1DF5"/>
    <w:rsid w:val="0FE8027F"/>
    <w:rsid w:val="0FEF7271"/>
    <w:rsid w:val="103C6D5A"/>
    <w:rsid w:val="110F5F39"/>
    <w:rsid w:val="125E2082"/>
    <w:rsid w:val="128C737A"/>
    <w:rsid w:val="131B6841"/>
    <w:rsid w:val="132D6B7B"/>
    <w:rsid w:val="142622D6"/>
    <w:rsid w:val="14793DFD"/>
    <w:rsid w:val="14C918CA"/>
    <w:rsid w:val="1523426C"/>
    <w:rsid w:val="15A515F4"/>
    <w:rsid w:val="15CB2C05"/>
    <w:rsid w:val="160B469F"/>
    <w:rsid w:val="168261AD"/>
    <w:rsid w:val="169B0C49"/>
    <w:rsid w:val="173F68E4"/>
    <w:rsid w:val="174624C0"/>
    <w:rsid w:val="176F1AE5"/>
    <w:rsid w:val="178A36CF"/>
    <w:rsid w:val="18241B2B"/>
    <w:rsid w:val="18413C00"/>
    <w:rsid w:val="1888226F"/>
    <w:rsid w:val="18A83C69"/>
    <w:rsid w:val="18EE4BAE"/>
    <w:rsid w:val="192B1DDC"/>
    <w:rsid w:val="19CF74F8"/>
    <w:rsid w:val="1A827BFA"/>
    <w:rsid w:val="1A966384"/>
    <w:rsid w:val="1AFC6A79"/>
    <w:rsid w:val="1BB87128"/>
    <w:rsid w:val="1BEF6B50"/>
    <w:rsid w:val="1C670B81"/>
    <w:rsid w:val="1D523A52"/>
    <w:rsid w:val="1D526D56"/>
    <w:rsid w:val="1D5F065A"/>
    <w:rsid w:val="1DAD1E55"/>
    <w:rsid w:val="1DBA3029"/>
    <w:rsid w:val="1DED1AA6"/>
    <w:rsid w:val="1E1F5A59"/>
    <w:rsid w:val="1E6B4064"/>
    <w:rsid w:val="1EC6582E"/>
    <w:rsid w:val="1ED43296"/>
    <w:rsid w:val="1F2F0EE2"/>
    <w:rsid w:val="1FA63AC9"/>
    <w:rsid w:val="1FD56993"/>
    <w:rsid w:val="1FEA0822"/>
    <w:rsid w:val="200611BA"/>
    <w:rsid w:val="20B23BED"/>
    <w:rsid w:val="20F229A2"/>
    <w:rsid w:val="214E485F"/>
    <w:rsid w:val="216F6920"/>
    <w:rsid w:val="21A20C40"/>
    <w:rsid w:val="2220778E"/>
    <w:rsid w:val="2276023A"/>
    <w:rsid w:val="22C10155"/>
    <w:rsid w:val="22EC0ABB"/>
    <w:rsid w:val="22FE0208"/>
    <w:rsid w:val="237A6045"/>
    <w:rsid w:val="24090673"/>
    <w:rsid w:val="249271EB"/>
    <w:rsid w:val="24D14A08"/>
    <w:rsid w:val="24FF38EE"/>
    <w:rsid w:val="25397E54"/>
    <w:rsid w:val="25875CF6"/>
    <w:rsid w:val="26302DC7"/>
    <w:rsid w:val="26DA71CE"/>
    <w:rsid w:val="27EF573E"/>
    <w:rsid w:val="28AE35F1"/>
    <w:rsid w:val="28E2586D"/>
    <w:rsid w:val="29FF726A"/>
    <w:rsid w:val="2A3353AC"/>
    <w:rsid w:val="2A5576D8"/>
    <w:rsid w:val="2AF74800"/>
    <w:rsid w:val="2AF941C5"/>
    <w:rsid w:val="2B825CC0"/>
    <w:rsid w:val="2BC9518B"/>
    <w:rsid w:val="2D2B3EFC"/>
    <w:rsid w:val="2DDD048E"/>
    <w:rsid w:val="2E011306"/>
    <w:rsid w:val="2E781511"/>
    <w:rsid w:val="2E994C23"/>
    <w:rsid w:val="2EC36EC6"/>
    <w:rsid w:val="2F125EC3"/>
    <w:rsid w:val="2F2D52F8"/>
    <w:rsid w:val="2F6904A7"/>
    <w:rsid w:val="2F6F6F32"/>
    <w:rsid w:val="2FED17FC"/>
    <w:rsid w:val="309F26F9"/>
    <w:rsid w:val="31372D16"/>
    <w:rsid w:val="31952DA8"/>
    <w:rsid w:val="32A74610"/>
    <w:rsid w:val="33392E5C"/>
    <w:rsid w:val="334A4F16"/>
    <w:rsid w:val="3389258D"/>
    <w:rsid w:val="33A24F98"/>
    <w:rsid w:val="34471D44"/>
    <w:rsid w:val="3452456F"/>
    <w:rsid w:val="34873E29"/>
    <w:rsid w:val="34A949AA"/>
    <w:rsid w:val="35000AAC"/>
    <w:rsid w:val="352407AB"/>
    <w:rsid w:val="353A7F09"/>
    <w:rsid w:val="35E211C4"/>
    <w:rsid w:val="35FC5DC9"/>
    <w:rsid w:val="3604601A"/>
    <w:rsid w:val="366253F9"/>
    <w:rsid w:val="36F3395F"/>
    <w:rsid w:val="373970AD"/>
    <w:rsid w:val="381148DB"/>
    <w:rsid w:val="38141791"/>
    <w:rsid w:val="384748FE"/>
    <w:rsid w:val="38551496"/>
    <w:rsid w:val="38887329"/>
    <w:rsid w:val="38A15A35"/>
    <w:rsid w:val="38A479DD"/>
    <w:rsid w:val="38D6213D"/>
    <w:rsid w:val="392527B0"/>
    <w:rsid w:val="39C3689A"/>
    <w:rsid w:val="39D94A99"/>
    <w:rsid w:val="3A092A82"/>
    <w:rsid w:val="3A5819A5"/>
    <w:rsid w:val="3A694CFA"/>
    <w:rsid w:val="3B276A32"/>
    <w:rsid w:val="3B742942"/>
    <w:rsid w:val="3C08435F"/>
    <w:rsid w:val="3C23378E"/>
    <w:rsid w:val="3C324279"/>
    <w:rsid w:val="3CB51CB4"/>
    <w:rsid w:val="3CC60A72"/>
    <w:rsid w:val="3CDD00E4"/>
    <w:rsid w:val="3D0834BD"/>
    <w:rsid w:val="3D5E6E83"/>
    <w:rsid w:val="3D997608"/>
    <w:rsid w:val="3DF6165A"/>
    <w:rsid w:val="3E7C35AB"/>
    <w:rsid w:val="3E816C4F"/>
    <w:rsid w:val="3EA32E3D"/>
    <w:rsid w:val="3EFE73B3"/>
    <w:rsid w:val="3F0C378D"/>
    <w:rsid w:val="3F7A1A16"/>
    <w:rsid w:val="3FB262AD"/>
    <w:rsid w:val="40AC3A88"/>
    <w:rsid w:val="415221E1"/>
    <w:rsid w:val="41572FE4"/>
    <w:rsid w:val="41EE6137"/>
    <w:rsid w:val="41F26F7E"/>
    <w:rsid w:val="424756DA"/>
    <w:rsid w:val="42FA6CE3"/>
    <w:rsid w:val="43654793"/>
    <w:rsid w:val="43B64843"/>
    <w:rsid w:val="43E37D75"/>
    <w:rsid w:val="44F913F1"/>
    <w:rsid w:val="44FF2E12"/>
    <w:rsid w:val="45006C59"/>
    <w:rsid w:val="452913C9"/>
    <w:rsid w:val="456E52CE"/>
    <w:rsid w:val="45BD5E20"/>
    <w:rsid w:val="461A79FE"/>
    <w:rsid w:val="46C005C5"/>
    <w:rsid w:val="46E4649F"/>
    <w:rsid w:val="473F1B46"/>
    <w:rsid w:val="476B69E3"/>
    <w:rsid w:val="47B24089"/>
    <w:rsid w:val="483D255E"/>
    <w:rsid w:val="48597E45"/>
    <w:rsid w:val="48A72238"/>
    <w:rsid w:val="497610BA"/>
    <w:rsid w:val="4994117A"/>
    <w:rsid w:val="49C36A40"/>
    <w:rsid w:val="4BB94472"/>
    <w:rsid w:val="4BE83EBD"/>
    <w:rsid w:val="4C162924"/>
    <w:rsid w:val="4C670169"/>
    <w:rsid w:val="4CAE4A1E"/>
    <w:rsid w:val="4CE47985"/>
    <w:rsid w:val="4D6F1545"/>
    <w:rsid w:val="4E061E47"/>
    <w:rsid w:val="4E54668B"/>
    <w:rsid w:val="4E83714D"/>
    <w:rsid w:val="4E91432C"/>
    <w:rsid w:val="500F28A6"/>
    <w:rsid w:val="50204A8F"/>
    <w:rsid w:val="50413B2E"/>
    <w:rsid w:val="50C873A7"/>
    <w:rsid w:val="50DD4ED7"/>
    <w:rsid w:val="51BD5BE1"/>
    <w:rsid w:val="51EC4766"/>
    <w:rsid w:val="5214683A"/>
    <w:rsid w:val="52384C35"/>
    <w:rsid w:val="53592573"/>
    <w:rsid w:val="539F368D"/>
    <w:rsid w:val="54216EB5"/>
    <w:rsid w:val="547A7A84"/>
    <w:rsid w:val="549A6AE7"/>
    <w:rsid w:val="54A241B9"/>
    <w:rsid w:val="553B208E"/>
    <w:rsid w:val="5552364F"/>
    <w:rsid w:val="56A4036E"/>
    <w:rsid w:val="57795BD2"/>
    <w:rsid w:val="57FE23D7"/>
    <w:rsid w:val="58207506"/>
    <w:rsid w:val="585C0C76"/>
    <w:rsid w:val="59403878"/>
    <w:rsid w:val="59D7014B"/>
    <w:rsid w:val="5A6A1F8C"/>
    <w:rsid w:val="5AC265BA"/>
    <w:rsid w:val="5B1A798E"/>
    <w:rsid w:val="5B202B5A"/>
    <w:rsid w:val="5B2718EF"/>
    <w:rsid w:val="5B327ED2"/>
    <w:rsid w:val="5B332720"/>
    <w:rsid w:val="5B97756F"/>
    <w:rsid w:val="5BD64800"/>
    <w:rsid w:val="5BD84B11"/>
    <w:rsid w:val="5C643093"/>
    <w:rsid w:val="5C960AE3"/>
    <w:rsid w:val="5CE609CD"/>
    <w:rsid w:val="5E5917B9"/>
    <w:rsid w:val="5EFD1CE7"/>
    <w:rsid w:val="5F545C48"/>
    <w:rsid w:val="5F771A5E"/>
    <w:rsid w:val="604360DA"/>
    <w:rsid w:val="6068488C"/>
    <w:rsid w:val="60BC49AA"/>
    <w:rsid w:val="60BD7D13"/>
    <w:rsid w:val="60CF7069"/>
    <w:rsid w:val="619D79A4"/>
    <w:rsid w:val="61D70234"/>
    <w:rsid w:val="630569EC"/>
    <w:rsid w:val="632E647D"/>
    <w:rsid w:val="63C055E5"/>
    <w:rsid w:val="642248CA"/>
    <w:rsid w:val="6427672D"/>
    <w:rsid w:val="6453138B"/>
    <w:rsid w:val="649E70CD"/>
    <w:rsid w:val="65A6026B"/>
    <w:rsid w:val="65FD4D2A"/>
    <w:rsid w:val="660126E3"/>
    <w:rsid w:val="66574CEE"/>
    <w:rsid w:val="66ED73E8"/>
    <w:rsid w:val="67224BB9"/>
    <w:rsid w:val="673175F3"/>
    <w:rsid w:val="684F4B88"/>
    <w:rsid w:val="685774F4"/>
    <w:rsid w:val="6A157BA8"/>
    <w:rsid w:val="6A1D040E"/>
    <w:rsid w:val="6AE50061"/>
    <w:rsid w:val="6B606143"/>
    <w:rsid w:val="6C9015CC"/>
    <w:rsid w:val="6C9024A1"/>
    <w:rsid w:val="6CC80F4A"/>
    <w:rsid w:val="6D843430"/>
    <w:rsid w:val="6DF0571F"/>
    <w:rsid w:val="6E7B6257"/>
    <w:rsid w:val="6EE17C8D"/>
    <w:rsid w:val="6EE9715F"/>
    <w:rsid w:val="6F872B77"/>
    <w:rsid w:val="704A4CA0"/>
    <w:rsid w:val="70507CFD"/>
    <w:rsid w:val="7085148B"/>
    <w:rsid w:val="70FF1D0B"/>
    <w:rsid w:val="717950A5"/>
    <w:rsid w:val="71A83A48"/>
    <w:rsid w:val="720603B7"/>
    <w:rsid w:val="72934C3B"/>
    <w:rsid w:val="72E04817"/>
    <w:rsid w:val="72EA44B9"/>
    <w:rsid w:val="72FC3212"/>
    <w:rsid w:val="73671B05"/>
    <w:rsid w:val="73CB7827"/>
    <w:rsid w:val="73E6310E"/>
    <w:rsid w:val="74092D49"/>
    <w:rsid w:val="74605904"/>
    <w:rsid w:val="747248A5"/>
    <w:rsid w:val="749E1FAA"/>
    <w:rsid w:val="759834F1"/>
    <w:rsid w:val="768C03AB"/>
    <w:rsid w:val="76E26C6A"/>
    <w:rsid w:val="76EE7425"/>
    <w:rsid w:val="77531EC5"/>
    <w:rsid w:val="77B340CD"/>
    <w:rsid w:val="77D10BEF"/>
    <w:rsid w:val="77E92831"/>
    <w:rsid w:val="78170D6B"/>
    <w:rsid w:val="785A0A14"/>
    <w:rsid w:val="794541A7"/>
    <w:rsid w:val="795251FD"/>
    <w:rsid w:val="7A2B5809"/>
    <w:rsid w:val="7A4007DC"/>
    <w:rsid w:val="7B311EB2"/>
    <w:rsid w:val="7B3265F8"/>
    <w:rsid w:val="7BEC633D"/>
    <w:rsid w:val="7BEC6D8F"/>
    <w:rsid w:val="7C760791"/>
    <w:rsid w:val="7C7E11D8"/>
    <w:rsid w:val="7CA5265E"/>
    <w:rsid w:val="7CEE4BAF"/>
    <w:rsid w:val="7D0E3115"/>
    <w:rsid w:val="7D7E5A7A"/>
    <w:rsid w:val="7D8C2BA3"/>
    <w:rsid w:val="7DAD7E0E"/>
    <w:rsid w:val="7E1E6C68"/>
    <w:rsid w:val="7EFC42E6"/>
    <w:rsid w:val="7F0C56E0"/>
    <w:rsid w:val="7FB44586"/>
    <w:rsid w:val="7FE6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outlineLvl w:val="0"/>
    </w:pPr>
    <w:rPr>
      <w:b/>
    </w:rPr>
  </w:style>
  <w:style w:type="paragraph" w:styleId="4">
    <w:name w:val="heading 2"/>
    <w:basedOn w:val="1"/>
    <w:next w:val="1"/>
    <w:link w:val="14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31"/>
    <w:qFormat/>
    <w:uiPriority w:val="0"/>
    <w:pPr>
      <w:keepNext/>
      <w:keepLines/>
      <w:spacing w:before="260" w:after="260" w:line="416" w:lineRule="auto"/>
      <w:outlineLvl w:val="2"/>
    </w:pPr>
    <w:rPr>
      <w:b/>
      <w:bCs/>
      <w:sz w:val="32"/>
      <w:szCs w:val="32"/>
    </w:rPr>
  </w:style>
  <w:style w:type="paragraph" w:styleId="6">
    <w:name w:val="heading 4"/>
    <w:basedOn w:val="1"/>
    <w:next w:val="1"/>
    <w:link w:val="68"/>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111"/>
    <w:qFormat/>
    <w:uiPriority w:val="0"/>
    <w:pPr>
      <w:keepNext/>
      <w:keepLines/>
      <w:numPr>
        <w:ilvl w:val="4"/>
        <w:numId w:val="1"/>
      </w:numPr>
      <w:spacing w:before="280" w:after="290" w:line="376" w:lineRule="auto"/>
      <w:outlineLvl w:val="4"/>
    </w:pPr>
    <w:rPr>
      <w:b/>
      <w:sz w:val="28"/>
      <w:szCs w:val="20"/>
    </w:rPr>
  </w:style>
  <w:style w:type="paragraph" w:styleId="2">
    <w:name w:val="heading 6"/>
    <w:basedOn w:val="1"/>
    <w:next w:val="1"/>
    <w:link w:val="125"/>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8"/>
    <w:link w:val="84"/>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8"/>
    <w:link w:val="8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8"/>
    <w:link w:val="11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71"/>
    <w:qFormat/>
    <w:uiPriority w:val="0"/>
    <w:pPr>
      <w:ind w:firstLine="420"/>
    </w:pPr>
    <w:rPr>
      <w:szCs w:val="20"/>
    </w:rPr>
  </w:style>
  <w:style w:type="paragraph" w:styleId="12">
    <w:name w:val="List Number"/>
    <w:basedOn w:val="1"/>
    <w:qFormat/>
    <w:uiPriority w:val="0"/>
    <w:pPr>
      <w:numPr>
        <w:ilvl w:val="0"/>
        <w:numId w:val="2"/>
      </w:numPr>
      <w:contextualSpacing/>
    </w:p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138"/>
    <w:semiHidden/>
    <w:qFormat/>
    <w:uiPriority w:val="0"/>
    <w:pPr>
      <w:shd w:val="clear" w:color="auto" w:fill="000080"/>
    </w:pPr>
  </w:style>
  <w:style w:type="paragraph" w:styleId="15">
    <w:name w:val="annotation text"/>
    <w:basedOn w:val="1"/>
    <w:link w:val="51"/>
    <w:semiHidden/>
    <w:qFormat/>
    <w:uiPriority w:val="0"/>
    <w:pPr>
      <w:jc w:val="left"/>
    </w:pPr>
  </w:style>
  <w:style w:type="paragraph" w:styleId="16">
    <w:name w:val="Body Text 3"/>
    <w:basedOn w:val="1"/>
    <w:link w:val="65"/>
    <w:qFormat/>
    <w:uiPriority w:val="0"/>
    <w:pPr>
      <w:widowControl/>
      <w:spacing w:after="120" w:line="360" w:lineRule="auto"/>
      <w:ind w:firstLine="480" w:firstLineChars="200"/>
      <w:jc w:val="left"/>
    </w:pPr>
    <w:rPr>
      <w:rFonts w:ascii="华文中宋" w:hAnsi="华文中宋" w:eastAsia="华文中宋"/>
      <w:kern w:val="0"/>
      <w:sz w:val="16"/>
      <w:szCs w:val="16"/>
    </w:rPr>
  </w:style>
  <w:style w:type="paragraph" w:styleId="17">
    <w:name w:val="Body Text"/>
    <w:basedOn w:val="1"/>
    <w:link w:val="117"/>
    <w:qFormat/>
    <w:uiPriority w:val="0"/>
    <w:pPr>
      <w:spacing w:after="120"/>
    </w:pPr>
    <w:rPr>
      <w:szCs w:val="20"/>
    </w:rPr>
  </w:style>
  <w:style w:type="paragraph" w:styleId="18">
    <w:name w:val="Body Text Indent"/>
    <w:basedOn w:val="1"/>
    <w:link w:val="79"/>
    <w:qFormat/>
    <w:uiPriority w:val="0"/>
    <w:pPr>
      <w:spacing w:line="200" w:lineRule="exact"/>
      <w:ind w:firstLine="301"/>
    </w:pPr>
    <w:rPr>
      <w:rFonts w:ascii="宋体" w:hAnsi="Courier New"/>
      <w:spacing w:val="-4"/>
      <w:sz w:val="18"/>
      <w:szCs w:val="20"/>
    </w:rPr>
  </w:style>
  <w:style w:type="paragraph" w:styleId="19">
    <w:name w:val="List 2"/>
    <w:basedOn w:val="1"/>
    <w:qFormat/>
    <w:uiPriority w:val="0"/>
    <w:pPr>
      <w:adjustRightInd w:val="0"/>
      <w:snapToGrid w:val="0"/>
      <w:spacing w:line="360" w:lineRule="auto"/>
      <w:ind w:left="100" w:leftChars="200" w:hanging="200" w:hangingChars="200"/>
    </w:pPr>
    <w:rPr>
      <w:sz w:val="28"/>
    </w:rPr>
  </w:style>
  <w:style w:type="paragraph" w:styleId="20">
    <w:name w:val="Plain Text"/>
    <w:basedOn w:val="1"/>
    <w:link w:val="97"/>
    <w:qFormat/>
    <w:uiPriority w:val="0"/>
    <w:rPr>
      <w:rFonts w:ascii="宋体" w:hAnsi="Courier New"/>
      <w:szCs w:val="20"/>
    </w:rPr>
  </w:style>
  <w:style w:type="paragraph" w:styleId="21">
    <w:name w:val="Date"/>
    <w:basedOn w:val="1"/>
    <w:next w:val="1"/>
    <w:link w:val="110"/>
    <w:qFormat/>
    <w:uiPriority w:val="0"/>
    <w:pPr>
      <w:ind w:left="100" w:leftChars="2500"/>
    </w:pPr>
    <w:rPr>
      <w:rFonts w:ascii="宋体" w:hAnsi="Courier New" w:cs="Courier New"/>
      <w:szCs w:val="21"/>
    </w:rPr>
  </w:style>
  <w:style w:type="paragraph" w:styleId="22">
    <w:name w:val="Body Text Indent 2"/>
    <w:basedOn w:val="1"/>
    <w:link w:val="124"/>
    <w:qFormat/>
    <w:uiPriority w:val="0"/>
    <w:pPr>
      <w:spacing w:after="120" w:line="480" w:lineRule="auto"/>
      <w:ind w:left="420" w:leftChars="200" w:firstLine="480" w:firstLineChars="200"/>
    </w:pPr>
    <w:rPr>
      <w:rFonts w:ascii="华文中宋" w:hAnsi="华文中宋" w:eastAsia="华文中宋"/>
      <w:kern w:val="0"/>
      <w:sz w:val="24"/>
    </w:rPr>
  </w:style>
  <w:style w:type="paragraph" w:styleId="23">
    <w:name w:val="Balloon Text"/>
    <w:basedOn w:val="1"/>
    <w:link w:val="113"/>
    <w:semiHidden/>
    <w:qFormat/>
    <w:uiPriority w:val="0"/>
    <w:rPr>
      <w:sz w:val="18"/>
      <w:szCs w:val="18"/>
    </w:rPr>
  </w:style>
  <w:style w:type="paragraph" w:styleId="24">
    <w:name w:val="footer"/>
    <w:basedOn w:val="1"/>
    <w:link w:val="108"/>
    <w:qFormat/>
    <w:uiPriority w:val="0"/>
    <w:pPr>
      <w:tabs>
        <w:tab w:val="center" w:pos="4153"/>
        <w:tab w:val="right" w:pos="8306"/>
      </w:tabs>
      <w:snapToGrid w:val="0"/>
      <w:jc w:val="left"/>
    </w:pPr>
    <w:rPr>
      <w:rFonts w:ascii="宋体" w:hAnsi="Courier New"/>
      <w:sz w:val="18"/>
      <w:szCs w:val="20"/>
    </w:rPr>
  </w:style>
  <w:style w:type="paragraph" w:styleId="25">
    <w:name w:val="header"/>
    <w:basedOn w:val="1"/>
    <w:link w:val="143"/>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26">
    <w:name w:val="toc 1"/>
    <w:basedOn w:val="1"/>
    <w:next w:val="1"/>
    <w:semiHidden/>
    <w:qFormat/>
    <w:uiPriority w:val="0"/>
    <w:pPr>
      <w:tabs>
        <w:tab w:val="right" w:leader="dot" w:pos="8820"/>
      </w:tabs>
      <w:spacing w:line="500" w:lineRule="exact"/>
      <w:ind w:left="359" w:leftChars="171" w:right="1134" w:firstLine="51" w:firstLineChars="14"/>
      <w:jc w:val="left"/>
    </w:pPr>
    <w:rPr>
      <w:rFonts w:ascii="宋体" w:hAnsi="宋体"/>
      <w:b/>
      <w:bCs/>
      <w:caps/>
      <w:szCs w:val="21"/>
    </w:rPr>
  </w:style>
  <w:style w:type="paragraph" w:styleId="27">
    <w:name w:val="index heading"/>
    <w:basedOn w:val="1"/>
    <w:next w:val="28"/>
    <w:qFormat/>
    <w:uiPriority w:val="0"/>
    <w:rPr>
      <w:szCs w:val="21"/>
    </w:rPr>
  </w:style>
  <w:style w:type="paragraph" w:styleId="28">
    <w:name w:val="index 1"/>
    <w:basedOn w:val="1"/>
    <w:next w:val="1"/>
    <w:semiHidden/>
    <w:qFormat/>
    <w:uiPriority w:val="0"/>
    <w:pPr>
      <w:spacing w:line="360" w:lineRule="auto"/>
    </w:pPr>
    <w:rPr>
      <w:rFonts w:ascii="宋体" w:hAnsi="宋体"/>
      <w:bCs/>
      <w:szCs w:val="21"/>
    </w:rPr>
  </w:style>
  <w:style w:type="paragraph" w:styleId="29">
    <w:name w:val="Subtitle"/>
    <w:basedOn w:val="1"/>
    <w:next w:val="1"/>
    <w:qFormat/>
    <w:uiPriority w:val="0"/>
    <w:pPr>
      <w:spacing w:before="240" w:after="60" w:line="312" w:lineRule="auto"/>
      <w:jc w:val="center"/>
      <w:outlineLvl w:val="1"/>
    </w:pPr>
    <w:rPr>
      <w:rFonts w:ascii="Calibri" w:hAnsi="Calibri" w:eastAsia="Times New Roman"/>
      <w:b/>
      <w:bCs/>
      <w:kern w:val="28"/>
      <w:sz w:val="32"/>
      <w:szCs w:val="32"/>
    </w:rPr>
  </w:style>
  <w:style w:type="paragraph" w:styleId="30">
    <w:name w:val="Body Text Indent 3"/>
    <w:basedOn w:val="1"/>
    <w:link w:val="60"/>
    <w:qFormat/>
    <w:uiPriority w:val="0"/>
    <w:pPr>
      <w:spacing w:after="120"/>
      <w:ind w:left="420" w:leftChars="200"/>
    </w:pPr>
    <w:rPr>
      <w:sz w:val="16"/>
      <w:szCs w:val="16"/>
    </w:rPr>
  </w:style>
  <w:style w:type="paragraph" w:styleId="31">
    <w:name w:val="toc 2"/>
    <w:basedOn w:val="1"/>
    <w:next w:val="1"/>
    <w:semiHidden/>
    <w:qFormat/>
    <w:uiPriority w:val="0"/>
    <w:pPr>
      <w:tabs>
        <w:tab w:val="right" w:leader="dot" w:pos="8280"/>
      </w:tabs>
      <w:spacing w:line="320" w:lineRule="exact"/>
      <w:ind w:left="902"/>
      <w:jc w:val="left"/>
    </w:pPr>
    <w:rPr>
      <w:rFonts w:ascii="宋体" w:hAnsi="宋体"/>
      <w:smallCaps/>
      <w:sz w:val="20"/>
      <w:szCs w:val="20"/>
    </w:rPr>
  </w:style>
  <w:style w:type="paragraph" w:styleId="32">
    <w:name w:val="toc 9"/>
    <w:basedOn w:val="1"/>
    <w:next w:val="1"/>
    <w:unhideWhenUsed/>
    <w:qFormat/>
    <w:uiPriority w:val="0"/>
    <w:pPr>
      <w:ind w:left="1680"/>
      <w:jc w:val="left"/>
    </w:pPr>
    <w:rPr>
      <w:rFonts w:ascii="Calibri" w:hAnsi="Calibri"/>
      <w:sz w:val="18"/>
      <w:szCs w:val="18"/>
    </w:rPr>
  </w:style>
  <w:style w:type="paragraph" w:styleId="33">
    <w:name w:val="Body Text 2"/>
    <w:basedOn w:val="1"/>
    <w:link w:val="123"/>
    <w:qFormat/>
    <w:uiPriority w:val="0"/>
    <w:pPr>
      <w:spacing w:after="120" w:line="480" w:lineRule="auto"/>
    </w:pPr>
  </w:style>
  <w:style w:type="paragraph" w:styleId="34">
    <w:name w:val="HTML Preformatted"/>
    <w:basedOn w:val="1"/>
    <w:link w:val="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Title"/>
    <w:basedOn w:val="1"/>
    <w:next w:val="1"/>
    <w:link w:val="90"/>
    <w:qFormat/>
    <w:uiPriority w:val="0"/>
    <w:pPr>
      <w:widowControl/>
      <w:spacing w:before="240" w:after="60" w:line="360" w:lineRule="auto"/>
      <w:ind w:firstLine="200" w:firstLineChars="200"/>
      <w:jc w:val="left"/>
      <w:outlineLvl w:val="4"/>
    </w:pPr>
    <w:rPr>
      <w:rFonts w:ascii="Cambria" w:hAnsi="Cambria" w:eastAsia="华文中宋"/>
      <w:b/>
      <w:bCs/>
      <w:kern w:val="28"/>
      <w:sz w:val="24"/>
      <w:szCs w:val="32"/>
      <w:lang w:eastAsia="en-US"/>
    </w:rPr>
  </w:style>
  <w:style w:type="paragraph" w:styleId="37">
    <w:name w:val="annotation subject"/>
    <w:basedOn w:val="15"/>
    <w:next w:val="15"/>
    <w:link w:val="96"/>
    <w:semiHidden/>
    <w:qFormat/>
    <w:uiPriority w:val="0"/>
    <w:rPr>
      <w:b/>
      <w:bCs/>
    </w:rPr>
  </w:style>
  <w:style w:type="paragraph" w:styleId="38">
    <w:name w:val="Body Text First Indent"/>
    <w:basedOn w:val="17"/>
    <w:link w:val="50"/>
    <w:qFormat/>
    <w:uiPriority w:val="0"/>
    <w:pPr>
      <w:ind w:firstLine="420" w:firstLineChars="100"/>
    </w:pPr>
    <w:rPr>
      <w:rFonts w:ascii="华文中宋" w:hAnsi="华文中宋"/>
      <w:szCs w:val="24"/>
    </w:rPr>
  </w:style>
  <w:style w:type="paragraph" w:styleId="39">
    <w:name w:val="Body Text First Indent 2"/>
    <w:basedOn w:val="18"/>
    <w:link w:val="74"/>
    <w:qFormat/>
    <w:uiPriority w:val="0"/>
    <w:pPr>
      <w:spacing w:after="120" w:line="240" w:lineRule="auto"/>
      <w:ind w:left="420" w:leftChars="200" w:firstLine="420" w:firstLineChars="200"/>
    </w:pPr>
    <w:rPr>
      <w:rFonts w:ascii="黑体" w:eastAsia="黑体" w:cs="Courier New"/>
      <w:spacing w:val="0"/>
      <w:kern w:val="0"/>
      <w:sz w:val="20"/>
    </w:rPr>
  </w:style>
  <w:style w:type="table" w:styleId="41">
    <w:name w:val="Table Grid"/>
    <w:basedOn w:val="4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575656"/>
      <w:u w:val="none"/>
    </w:rPr>
  </w:style>
  <w:style w:type="character" w:styleId="46">
    <w:name w:val="Emphasis"/>
    <w:qFormat/>
    <w:uiPriority w:val="0"/>
  </w:style>
  <w:style w:type="character" w:styleId="47">
    <w:name w:val="Hyperlink"/>
    <w:qFormat/>
    <w:uiPriority w:val="0"/>
    <w:rPr>
      <w:color w:val="575656"/>
      <w:u w:val="none"/>
    </w:rPr>
  </w:style>
  <w:style w:type="character" w:styleId="48">
    <w:name w:val="annotation reference"/>
    <w:semiHidden/>
    <w:qFormat/>
    <w:uiPriority w:val="0"/>
    <w:rPr>
      <w:sz w:val="21"/>
      <w:szCs w:val="21"/>
    </w:rPr>
  </w:style>
  <w:style w:type="character" w:customStyle="1" w:styleId="49">
    <w:name w:val="font101"/>
    <w:qFormat/>
    <w:uiPriority w:val="0"/>
    <w:rPr>
      <w:rFonts w:hint="default" w:ascii="Arial" w:hAnsi="Arial" w:cs="Arial"/>
      <w:color w:val="000000"/>
      <w:sz w:val="21"/>
      <w:szCs w:val="21"/>
      <w:u w:val="none"/>
    </w:rPr>
  </w:style>
  <w:style w:type="character" w:customStyle="1" w:styleId="50">
    <w:name w:val="正文文本首行缩进 字符"/>
    <w:link w:val="38"/>
    <w:qFormat/>
    <w:locked/>
    <w:uiPriority w:val="0"/>
    <w:rPr>
      <w:rFonts w:ascii="华文中宋" w:hAnsi="华文中宋" w:eastAsia="宋体"/>
      <w:kern w:val="2"/>
      <w:sz w:val="21"/>
      <w:szCs w:val="24"/>
      <w:lang w:val="en-US" w:eastAsia="zh-CN" w:bidi="ar-SA"/>
    </w:rPr>
  </w:style>
  <w:style w:type="character" w:customStyle="1" w:styleId="51">
    <w:name w:val="批注文字 字符"/>
    <w:link w:val="15"/>
    <w:qFormat/>
    <w:uiPriority w:val="0"/>
    <w:rPr>
      <w:rFonts w:eastAsia="宋体"/>
      <w:kern w:val="2"/>
      <w:sz w:val="21"/>
      <w:szCs w:val="24"/>
      <w:lang w:val="en-US" w:eastAsia="zh-CN" w:bidi="ar-SA"/>
    </w:rPr>
  </w:style>
  <w:style w:type="character" w:customStyle="1" w:styleId="52">
    <w:name w:val="日期 Char"/>
    <w:semiHidden/>
    <w:qFormat/>
    <w:locked/>
    <w:uiPriority w:val="0"/>
    <w:rPr>
      <w:rFonts w:ascii="宋体" w:hAnsi="Courier New" w:eastAsia="宋体" w:cs="Courier New"/>
      <w:kern w:val="2"/>
      <w:sz w:val="21"/>
      <w:szCs w:val="21"/>
      <w:lang w:val="en-US" w:eastAsia="zh-CN" w:bidi="ar-SA"/>
    </w:rPr>
  </w:style>
  <w:style w:type="character" w:customStyle="1" w:styleId="53">
    <w:name w:val="Char Char14"/>
    <w:qFormat/>
    <w:locked/>
    <w:uiPriority w:val="0"/>
    <w:rPr>
      <w:rFonts w:eastAsia="宋体"/>
      <w:kern w:val="2"/>
      <w:sz w:val="21"/>
      <w:szCs w:val="24"/>
      <w:lang w:val="en-US" w:eastAsia="zh-CN" w:bidi="ar-SA"/>
    </w:rPr>
  </w:style>
  <w:style w:type="character" w:customStyle="1" w:styleId="54">
    <w:name w:val="hwyang Char"/>
    <w:link w:val="55"/>
    <w:qFormat/>
    <w:uiPriority w:val="0"/>
    <w:rPr>
      <w:kern w:val="2"/>
      <w:sz w:val="24"/>
      <w:szCs w:val="24"/>
      <w:lang w:bidi="ar-SA"/>
    </w:rPr>
  </w:style>
  <w:style w:type="paragraph" w:customStyle="1" w:styleId="55">
    <w:name w:val="hwyang"/>
    <w:basedOn w:val="1"/>
    <w:link w:val="54"/>
    <w:qFormat/>
    <w:uiPriority w:val="0"/>
    <w:pPr>
      <w:spacing w:line="360" w:lineRule="auto"/>
      <w:ind w:firstLine="480" w:firstLineChars="200"/>
    </w:pPr>
    <w:rPr>
      <w:sz w:val="24"/>
    </w:rPr>
  </w:style>
  <w:style w:type="character" w:customStyle="1" w:styleId="56">
    <w:name w:val="批注主题 Char"/>
    <w:qFormat/>
    <w:locked/>
    <w:uiPriority w:val="0"/>
    <w:rPr>
      <w:rFonts w:eastAsia="宋体"/>
      <w:b/>
      <w:bCs/>
      <w:kern w:val="2"/>
      <w:sz w:val="21"/>
      <w:szCs w:val="24"/>
      <w:lang w:val="en-US" w:eastAsia="zh-CN" w:bidi="ar-SA"/>
    </w:rPr>
  </w:style>
  <w:style w:type="character" w:customStyle="1" w:styleId="57">
    <w:name w:val="font112"/>
    <w:qFormat/>
    <w:uiPriority w:val="0"/>
    <w:rPr>
      <w:rFonts w:hint="eastAsia" w:ascii="微软雅黑" w:hAnsi="微软雅黑" w:eastAsia="微软雅黑" w:cs="微软雅黑"/>
      <w:b/>
      <w:color w:val="000000"/>
      <w:sz w:val="22"/>
      <w:szCs w:val="22"/>
      <w:u w:val="none"/>
    </w:rPr>
  </w:style>
  <w:style w:type="character" w:customStyle="1" w:styleId="58">
    <w:name w:val="标题 4 Char"/>
    <w:qFormat/>
    <w:locked/>
    <w:uiPriority w:val="0"/>
    <w:rPr>
      <w:rFonts w:ascii="Arial" w:hAnsi="Arial" w:eastAsia="黑体"/>
      <w:b/>
      <w:kern w:val="2"/>
      <w:sz w:val="28"/>
      <w:lang w:val="en-US" w:eastAsia="zh-CN" w:bidi="ar-SA"/>
    </w:rPr>
  </w:style>
  <w:style w:type="character" w:customStyle="1" w:styleId="59">
    <w:name w:val="105v1"/>
    <w:qFormat/>
    <w:uiPriority w:val="0"/>
    <w:rPr>
      <w:rFonts w:hint="default" w:ascii="ˎ̥" w:hAnsi="ˎ̥"/>
      <w:sz w:val="21"/>
      <w:szCs w:val="21"/>
    </w:rPr>
  </w:style>
  <w:style w:type="character" w:customStyle="1" w:styleId="60">
    <w:name w:val="正文文本缩进 3 字符"/>
    <w:link w:val="30"/>
    <w:qFormat/>
    <w:uiPriority w:val="0"/>
    <w:rPr>
      <w:kern w:val="2"/>
      <w:sz w:val="16"/>
      <w:szCs w:val="16"/>
      <w:lang w:bidi="ar-SA"/>
    </w:rPr>
  </w:style>
  <w:style w:type="character" w:customStyle="1" w:styleId="61">
    <w:name w:val="批注文字 Char"/>
    <w:qFormat/>
    <w:uiPriority w:val="0"/>
    <w:rPr>
      <w:rFonts w:eastAsia="宋体"/>
      <w:kern w:val="2"/>
      <w:sz w:val="21"/>
      <w:szCs w:val="24"/>
      <w:lang w:val="en-US" w:eastAsia="zh-CN" w:bidi="ar-SA"/>
    </w:rPr>
  </w:style>
  <w:style w:type="character" w:customStyle="1" w:styleId="62">
    <w:name w:val="标题 1 字符"/>
    <w:link w:val="3"/>
    <w:qFormat/>
    <w:locked/>
    <w:uiPriority w:val="0"/>
    <w:rPr>
      <w:rFonts w:eastAsia="宋体"/>
      <w:b/>
      <w:kern w:val="2"/>
      <w:sz w:val="21"/>
      <w:szCs w:val="24"/>
      <w:lang w:val="en-US" w:eastAsia="zh-CN" w:bidi="ar-SA"/>
    </w:rPr>
  </w:style>
  <w:style w:type="character" w:customStyle="1" w:styleId="63">
    <w:name w:val="正文文本缩进 2 Char"/>
    <w:qFormat/>
    <w:locked/>
    <w:uiPriority w:val="0"/>
    <w:rPr>
      <w:rFonts w:ascii="华文中宋" w:hAnsi="华文中宋" w:eastAsia="华文中宋"/>
      <w:sz w:val="24"/>
      <w:szCs w:val="24"/>
      <w:lang w:val="en-US" w:eastAsia="zh-CN" w:bidi="ar-SA"/>
    </w:rPr>
  </w:style>
  <w:style w:type="character" w:customStyle="1" w:styleId="64">
    <w:name w:val="标题 7 Char"/>
    <w:qFormat/>
    <w:locked/>
    <w:uiPriority w:val="0"/>
    <w:rPr>
      <w:rFonts w:eastAsia="宋体"/>
      <w:b/>
      <w:kern w:val="2"/>
      <w:sz w:val="24"/>
      <w:lang w:val="en-US" w:eastAsia="zh-CN" w:bidi="ar-SA"/>
    </w:rPr>
  </w:style>
  <w:style w:type="character" w:customStyle="1" w:styleId="65">
    <w:name w:val="正文文本 3 字符"/>
    <w:link w:val="16"/>
    <w:qFormat/>
    <w:locked/>
    <w:uiPriority w:val="0"/>
    <w:rPr>
      <w:rFonts w:ascii="华文中宋" w:hAnsi="华文中宋" w:eastAsia="华文中宋"/>
      <w:sz w:val="16"/>
      <w:szCs w:val="16"/>
      <w:lang w:val="en-US" w:eastAsia="zh-CN" w:bidi="ar-SA"/>
    </w:rPr>
  </w:style>
  <w:style w:type="character" w:customStyle="1" w:styleId="66">
    <w:name w:val="Char Char2"/>
    <w:qFormat/>
    <w:uiPriority w:val="0"/>
    <w:rPr>
      <w:rFonts w:ascii="宋体" w:hAnsi="Courier New" w:eastAsia="宋体"/>
      <w:kern w:val="2"/>
      <w:sz w:val="21"/>
      <w:lang w:val="en-US" w:eastAsia="zh-CN" w:bidi="ar-SA"/>
    </w:rPr>
  </w:style>
  <w:style w:type="character" w:customStyle="1" w:styleId="67">
    <w:name w:val="font11"/>
    <w:qFormat/>
    <w:uiPriority w:val="0"/>
    <w:rPr>
      <w:rFonts w:hint="eastAsia" w:ascii="微软雅黑" w:hAnsi="微软雅黑" w:eastAsia="微软雅黑" w:cs="微软雅黑"/>
      <w:color w:val="000000"/>
      <w:sz w:val="22"/>
      <w:szCs w:val="22"/>
      <w:u w:val="none"/>
    </w:rPr>
  </w:style>
  <w:style w:type="character" w:customStyle="1" w:styleId="68">
    <w:name w:val="标题 4 字符"/>
    <w:link w:val="6"/>
    <w:qFormat/>
    <w:locked/>
    <w:uiPriority w:val="0"/>
    <w:rPr>
      <w:rFonts w:ascii="Arial" w:hAnsi="Arial" w:eastAsia="黑体"/>
      <w:b/>
      <w:kern w:val="2"/>
      <w:sz w:val="28"/>
      <w:lang w:bidi="ar-SA"/>
    </w:rPr>
  </w:style>
  <w:style w:type="character" w:customStyle="1" w:styleId="69">
    <w:name w:val="标题 Char"/>
    <w:qFormat/>
    <w:locked/>
    <w:uiPriority w:val="0"/>
    <w:rPr>
      <w:rFonts w:ascii="Cambria" w:hAnsi="Cambria" w:eastAsia="华文中宋"/>
      <w:b/>
      <w:bCs/>
      <w:kern w:val="28"/>
      <w:sz w:val="24"/>
      <w:szCs w:val="32"/>
      <w:lang w:val="en-US" w:eastAsia="en-US" w:bidi="ar-SA"/>
    </w:rPr>
  </w:style>
  <w:style w:type="character" w:customStyle="1" w:styleId="70">
    <w:name w:val="HTML 预设格式 字符"/>
    <w:link w:val="34"/>
    <w:qFormat/>
    <w:uiPriority w:val="0"/>
    <w:rPr>
      <w:rFonts w:ascii="黑体" w:hAnsi="Courier New" w:eastAsia="黑体" w:cs="Courier New"/>
      <w:lang w:val="en-US" w:eastAsia="zh-CN" w:bidi="ar-SA"/>
    </w:rPr>
  </w:style>
  <w:style w:type="character" w:customStyle="1" w:styleId="71">
    <w:name w:val="正文缩进 字符"/>
    <w:link w:val="8"/>
    <w:qFormat/>
    <w:uiPriority w:val="0"/>
    <w:rPr>
      <w:rFonts w:eastAsia="宋体"/>
      <w:kern w:val="2"/>
      <w:sz w:val="21"/>
      <w:lang w:val="en-US" w:eastAsia="zh-CN" w:bidi="ar-SA"/>
    </w:rPr>
  </w:style>
  <w:style w:type="character" w:customStyle="1" w:styleId="72">
    <w:name w:val="No Spacing Char"/>
    <w:link w:val="73"/>
    <w:qFormat/>
    <w:locked/>
    <w:uiPriority w:val="0"/>
    <w:rPr>
      <w:rFonts w:eastAsia="Times New Roman"/>
      <w:sz w:val="22"/>
      <w:szCs w:val="22"/>
      <w:lang w:val="en-US" w:eastAsia="zh-CN" w:bidi="ar-SA"/>
    </w:rPr>
  </w:style>
  <w:style w:type="paragraph" w:customStyle="1" w:styleId="73">
    <w:name w:val="No Spacing1"/>
    <w:link w:val="72"/>
    <w:qFormat/>
    <w:uiPriority w:val="0"/>
    <w:rPr>
      <w:rFonts w:ascii="Times New Roman" w:hAnsi="Times New Roman" w:eastAsia="Times New Roman" w:cs="Times New Roman"/>
      <w:sz w:val="22"/>
      <w:szCs w:val="22"/>
      <w:lang w:val="en-US" w:eastAsia="zh-CN" w:bidi="ar-SA"/>
    </w:rPr>
  </w:style>
  <w:style w:type="character" w:customStyle="1" w:styleId="74">
    <w:name w:val="正文文本首行缩进 2 字符"/>
    <w:link w:val="39"/>
    <w:qFormat/>
    <w:uiPriority w:val="0"/>
    <w:rPr>
      <w:rFonts w:ascii="黑体" w:hAnsi="Courier New" w:eastAsia="黑体" w:cs="Courier New"/>
      <w:lang w:val="en-US" w:eastAsia="zh-CN" w:bidi="ar-SA"/>
    </w:rPr>
  </w:style>
  <w:style w:type="character" w:customStyle="1" w:styleId="75">
    <w:name w:val="正文文本 3 Char"/>
    <w:qFormat/>
    <w:locked/>
    <w:uiPriority w:val="0"/>
    <w:rPr>
      <w:rFonts w:ascii="华文中宋" w:hAnsi="华文中宋" w:eastAsia="华文中宋"/>
      <w:sz w:val="16"/>
      <w:szCs w:val="16"/>
      <w:lang w:val="en-US" w:eastAsia="zh-CN" w:bidi="ar-SA"/>
    </w:rPr>
  </w:style>
  <w:style w:type="character" w:customStyle="1" w:styleId="76">
    <w:name w:val="标题1"/>
    <w:basedOn w:val="42"/>
    <w:qFormat/>
    <w:uiPriority w:val="0"/>
  </w:style>
  <w:style w:type="character" w:customStyle="1" w:styleId="77">
    <w:name w:val="样式 正文缩进 + 首行缩进:  2 字符 Char"/>
    <w:link w:val="78"/>
    <w:qFormat/>
    <w:locked/>
    <w:uiPriority w:val="0"/>
    <w:rPr>
      <w:rFonts w:eastAsia="宋体"/>
      <w:lang w:bidi="ar-SA"/>
    </w:rPr>
  </w:style>
  <w:style w:type="paragraph" w:customStyle="1" w:styleId="78">
    <w:name w:val="样式 正文缩进 + 首行缩进:  2 字符"/>
    <w:basedOn w:val="8"/>
    <w:link w:val="77"/>
    <w:qFormat/>
    <w:uiPriority w:val="0"/>
    <w:pPr>
      <w:spacing w:line="360" w:lineRule="auto"/>
      <w:ind w:firstLine="200" w:firstLineChars="200"/>
    </w:pPr>
    <w:rPr>
      <w:kern w:val="0"/>
      <w:sz w:val="20"/>
    </w:rPr>
  </w:style>
  <w:style w:type="character" w:customStyle="1" w:styleId="79">
    <w:name w:val="正文文本缩进 字符"/>
    <w:link w:val="18"/>
    <w:qFormat/>
    <w:locked/>
    <w:uiPriority w:val="0"/>
    <w:rPr>
      <w:rFonts w:ascii="宋体" w:hAnsi="Courier New" w:eastAsia="宋体"/>
      <w:spacing w:val="-4"/>
      <w:kern w:val="2"/>
      <w:sz w:val="18"/>
      <w:lang w:val="en-US" w:eastAsia="zh-CN" w:bidi="ar-SA"/>
    </w:rPr>
  </w:style>
  <w:style w:type="character" w:customStyle="1" w:styleId="80">
    <w:name w:val="标题 8 字符"/>
    <w:link w:val="10"/>
    <w:qFormat/>
    <w:locked/>
    <w:uiPriority w:val="0"/>
    <w:rPr>
      <w:rFonts w:ascii="Arial" w:hAnsi="Arial" w:eastAsia="黑体"/>
      <w:kern w:val="2"/>
      <w:sz w:val="24"/>
      <w:lang w:bidi="ar-SA"/>
    </w:rPr>
  </w:style>
  <w:style w:type="character" w:customStyle="1" w:styleId="81">
    <w:name w:val="纯文本 Char1"/>
    <w:qFormat/>
    <w:locked/>
    <w:uiPriority w:val="0"/>
    <w:rPr>
      <w:rFonts w:ascii="宋体" w:hAnsi="Courier New" w:eastAsia="宋体"/>
      <w:kern w:val="2"/>
      <w:sz w:val="21"/>
      <w:lang w:val="en-US" w:eastAsia="zh-CN" w:bidi="ar-SA"/>
    </w:rPr>
  </w:style>
  <w:style w:type="character" w:customStyle="1" w:styleId="82">
    <w:name w:val="投标正文 Char"/>
    <w:link w:val="83"/>
    <w:qFormat/>
    <w:uiPriority w:val="0"/>
    <w:rPr>
      <w:rFonts w:ascii="宋体" w:hAnsi="宋体"/>
      <w:kern w:val="2"/>
      <w:sz w:val="24"/>
      <w:szCs w:val="24"/>
      <w:lang w:bidi="ar-SA"/>
    </w:rPr>
  </w:style>
  <w:style w:type="paragraph" w:customStyle="1" w:styleId="83">
    <w:name w:val="投标正文"/>
    <w:basedOn w:val="1"/>
    <w:link w:val="82"/>
    <w:qFormat/>
    <w:uiPriority w:val="0"/>
    <w:pPr>
      <w:adjustRightInd w:val="0"/>
      <w:snapToGrid w:val="0"/>
      <w:spacing w:line="360" w:lineRule="auto"/>
      <w:ind w:firstLine="200" w:firstLineChars="200"/>
    </w:pPr>
    <w:rPr>
      <w:rFonts w:ascii="宋体" w:hAnsi="宋体"/>
      <w:sz w:val="24"/>
    </w:rPr>
  </w:style>
  <w:style w:type="character" w:customStyle="1" w:styleId="84">
    <w:name w:val="标题 7 字符"/>
    <w:link w:val="9"/>
    <w:qFormat/>
    <w:locked/>
    <w:uiPriority w:val="0"/>
    <w:rPr>
      <w:rFonts w:eastAsia="宋体"/>
      <w:b/>
      <w:kern w:val="2"/>
      <w:sz w:val="24"/>
      <w:lang w:bidi="ar-SA"/>
    </w:rPr>
  </w:style>
  <w:style w:type="character" w:customStyle="1" w:styleId="85">
    <w:name w:val="HTML 预设格式 Char"/>
    <w:qFormat/>
    <w:uiPriority w:val="0"/>
    <w:rPr>
      <w:rFonts w:ascii="黑体" w:hAnsi="Courier New" w:eastAsia="黑体" w:cs="Courier New"/>
      <w:lang w:val="en-US" w:eastAsia="zh-CN" w:bidi="ar-SA"/>
    </w:rPr>
  </w:style>
  <w:style w:type="character" w:customStyle="1" w:styleId="86">
    <w:name w:val="正文缩进 Char"/>
    <w:qFormat/>
    <w:uiPriority w:val="0"/>
    <w:rPr>
      <w:rFonts w:eastAsia="宋体"/>
      <w:kern w:val="2"/>
      <w:sz w:val="21"/>
      <w:lang w:val="en-US" w:eastAsia="zh-CN" w:bidi="ar-SA"/>
    </w:rPr>
  </w:style>
  <w:style w:type="character" w:customStyle="1" w:styleId="87">
    <w:name w:val="标准正文 S字符"/>
    <w:link w:val="88"/>
    <w:qFormat/>
    <w:uiPriority w:val="0"/>
    <w:rPr>
      <w:rFonts w:ascii="Calibri" w:hAnsi="Calibri"/>
      <w:kern w:val="2"/>
      <w:sz w:val="24"/>
      <w:szCs w:val="24"/>
      <w:lang w:bidi="ar-SA"/>
    </w:rPr>
  </w:style>
  <w:style w:type="paragraph" w:customStyle="1" w:styleId="88">
    <w:name w:val="标准正文 S"/>
    <w:basedOn w:val="1"/>
    <w:link w:val="87"/>
    <w:qFormat/>
    <w:uiPriority w:val="0"/>
    <w:pPr>
      <w:spacing w:beforeLines="50" w:afterLines="50" w:line="360" w:lineRule="auto"/>
      <w:ind w:firstLine="480"/>
      <w:jc w:val="left"/>
    </w:pPr>
    <w:rPr>
      <w:rFonts w:ascii="Calibri" w:hAnsi="Calibri"/>
      <w:sz w:val="24"/>
    </w:rPr>
  </w:style>
  <w:style w:type="character" w:customStyle="1" w:styleId="89">
    <w:name w:val="标题 9 Char"/>
    <w:qFormat/>
    <w:locked/>
    <w:uiPriority w:val="0"/>
    <w:rPr>
      <w:rFonts w:ascii="Arial" w:hAnsi="Arial" w:eastAsia="黑体"/>
      <w:kern w:val="2"/>
      <w:sz w:val="21"/>
      <w:lang w:val="en-US" w:eastAsia="zh-CN" w:bidi="ar-SA"/>
    </w:rPr>
  </w:style>
  <w:style w:type="character" w:customStyle="1" w:styleId="90">
    <w:name w:val="标题 字符"/>
    <w:link w:val="36"/>
    <w:qFormat/>
    <w:locked/>
    <w:uiPriority w:val="0"/>
    <w:rPr>
      <w:rFonts w:ascii="Cambria" w:hAnsi="Cambria" w:eastAsia="华文中宋"/>
      <w:b/>
      <w:bCs/>
      <w:kern w:val="28"/>
      <w:sz w:val="24"/>
      <w:szCs w:val="32"/>
      <w:lang w:val="en-US" w:eastAsia="en-US" w:bidi="ar-SA"/>
    </w:rPr>
  </w:style>
  <w:style w:type="character" w:customStyle="1" w:styleId="91">
    <w:name w:val="my正文 Char"/>
    <w:link w:val="92"/>
    <w:qFormat/>
    <w:uiPriority w:val="0"/>
    <w:rPr>
      <w:rFonts w:ascii="宋体" w:hAnsi="宋体" w:eastAsia="仿宋_GB2312"/>
      <w:sz w:val="24"/>
      <w:szCs w:val="44"/>
      <w:lang w:bidi="ar-SA"/>
    </w:rPr>
  </w:style>
  <w:style w:type="paragraph" w:customStyle="1" w:styleId="92">
    <w:name w:val="my正文"/>
    <w:basedOn w:val="1"/>
    <w:link w:val="91"/>
    <w:qFormat/>
    <w:uiPriority w:val="0"/>
    <w:pPr>
      <w:spacing w:line="360" w:lineRule="auto"/>
      <w:ind w:firstLine="200" w:firstLineChars="200"/>
      <w:jc w:val="left"/>
    </w:pPr>
    <w:rPr>
      <w:rFonts w:ascii="宋体" w:hAnsi="宋体" w:eastAsia="仿宋_GB2312"/>
      <w:kern w:val="0"/>
      <w:sz w:val="24"/>
      <w:szCs w:val="44"/>
    </w:rPr>
  </w:style>
  <w:style w:type="character" w:customStyle="1" w:styleId="93">
    <w:name w:val="Char Char10"/>
    <w:qFormat/>
    <w:uiPriority w:val="0"/>
    <w:rPr>
      <w:rFonts w:ascii="宋体" w:hAnsi="Courier New" w:eastAsia="宋体" w:cs="Courier New"/>
      <w:szCs w:val="21"/>
    </w:rPr>
  </w:style>
  <w:style w:type="character" w:customStyle="1" w:styleId="94">
    <w:name w:val="页脚 Char"/>
    <w:qFormat/>
    <w:locked/>
    <w:uiPriority w:val="0"/>
    <w:rPr>
      <w:rFonts w:ascii="宋体" w:hAnsi="Courier New" w:eastAsia="宋体"/>
      <w:kern w:val="2"/>
      <w:sz w:val="18"/>
      <w:lang w:val="en-US" w:eastAsia="zh-CN" w:bidi="ar-SA"/>
    </w:rPr>
  </w:style>
  <w:style w:type="character" w:customStyle="1" w:styleId="95">
    <w:name w:val="正文文本 Char"/>
    <w:qFormat/>
    <w:locked/>
    <w:uiPriority w:val="0"/>
    <w:rPr>
      <w:rFonts w:eastAsia="宋体"/>
      <w:kern w:val="2"/>
      <w:sz w:val="21"/>
      <w:lang w:val="en-US" w:eastAsia="zh-CN" w:bidi="ar-SA"/>
    </w:rPr>
  </w:style>
  <w:style w:type="character" w:customStyle="1" w:styleId="96">
    <w:name w:val="批注主题 字符"/>
    <w:link w:val="37"/>
    <w:qFormat/>
    <w:locked/>
    <w:uiPriority w:val="0"/>
    <w:rPr>
      <w:rFonts w:eastAsia="宋体"/>
      <w:b/>
      <w:bCs/>
      <w:kern w:val="2"/>
      <w:sz w:val="21"/>
      <w:szCs w:val="24"/>
      <w:lang w:val="en-US" w:eastAsia="zh-CN" w:bidi="ar-SA"/>
    </w:rPr>
  </w:style>
  <w:style w:type="character" w:customStyle="1" w:styleId="97">
    <w:name w:val="纯文本 字符"/>
    <w:link w:val="20"/>
    <w:qFormat/>
    <w:locked/>
    <w:uiPriority w:val="99"/>
    <w:rPr>
      <w:rFonts w:ascii="宋体" w:hAnsi="Courier New" w:eastAsia="宋体"/>
      <w:kern w:val="2"/>
      <w:sz w:val="21"/>
      <w:lang w:val="en-US" w:eastAsia="zh-CN" w:bidi="ar-SA"/>
    </w:rPr>
  </w:style>
  <w:style w:type="character" w:customStyle="1" w:styleId="98">
    <w:name w:val="标题 1 Char"/>
    <w:qFormat/>
    <w:locked/>
    <w:uiPriority w:val="0"/>
    <w:rPr>
      <w:rFonts w:eastAsia="宋体"/>
      <w:b/>
      <w:kern w:val="2"/>
      <w:sz w:val="21"/>
      <w:szCs w:val="24"/>
      <w:lang w:val="en-US" w:eastAsia="zh-CN" w:bidi="ar-SA"/>
    </w:rPr>
  </w:style>
  <w:style w:type="character" w:customStyle="1" w:styleId="99">
    <w:name w:val="1ji Char"/>
    <w:link w:val="100"/>
    <w:qFormat/>
    <w:uiPriority w:val="0"/>
    <w:rPr>
      <w:rFonts w:ascii="宋体" w:hAnsi="宋体"/>
      <w:b/>
      <w:bCs/>
      <w:kern w:val="44"/>
      <w:sz w:val="36"/>
      <w:szCs w:val="44"/>
      <w:lang w:bidi="ar-SA"/>
    </w:rPr>
  </w:style>
  <w:style w:type="paragraph" w:customStyle="1" w:styleId="100">
    <w:name w:val="1ji"/>
    <w:basedOn w:val="3"/>
    <w:link w:val="99"/>
    <w:qFormat/>
    <w:uiPriority w:val="0"/>
    <w:pPr>
      <w:widowControl/>
      <w:ind w:left="100" w:leftChars="100" w:right="100" w:rightChars="100"/>
      <w:jc w:val="center"/>
    </w:pPr>
    <w:rPr>
      <w:rFonts w:ascii="宋体" w:hAnsi="宋体"/>
      <w:bCs/>
      <w:kern w:val="44"/>
      <w:sz w:val="36"/>
      <w:szCs w:val="44"/>
    </w:rPr>
  </w:style>
  <w:style w:type="character" w:customStyle="1" w:styleId="101">
    <w:name w:val="页眉 Char"/>
    <w:qFormat/>
    <w:locked/>
    <w:uiPriority w:val="0"/>
    <w:rPr>
      <w:rFonts w:ascii="宋体" w:hAnsi="Courier New" w:eastAsia="宋体"/>
      <w:kern w:val="2"/>
      <w:sz w:val="18"/>
      <w:lang w:val="en-US" w:eastAsia="zh-CN" w:bidi="ar-SA"/>
    </w:rPr>
  </w:style>
  <w:style w:type="character" w:customStyle="1" w:styleId="102">
    <w:name w:val="纯文本 Char"/>
    <w:qFormat/>
    <w:locked/>
    <w:uiPriority w:val="0"/>
    <w:rPr>
      <w:rFonts w:ascii="宋体" w:hAnsi="Courier New" w:eastAsia="宋体"/>
      <w:kern w:val="2"/>
      <w:sz w:val="21"/>
      <w:lang w:val="en-US" w:eastAsia="zh-CN" w:bidi="ar-SA"/>
    </w:rPr>
  </w:style>
  <w:style w:type="character" w:customStyle="1" w:styleId="103">
    <w:name w:val="标题 2 Char"/>
    <w:qFormat/>
    <w:locked/>
    <w:uiPriority w:val="0"/>
    <w:rPr>
      <w:rFonts w:ascii="Arial" w:hAnsi="Arial" w:eastAsia="黑体"/>
      <w:b/>
      <w:bCs/>
      <w:kern w:val="2"/>
      <w:sz w:val="32"/>
      <w:szCs w:val="32"/>
      <w:lang w:val="en-US" w:eastAsia="zh-CN" w:bidi="ar-SA"/>
    </w:rPr>
  </w:style>
  <w:style w:type="character" w:customStyle="1" w:styleId="104">
    <w:name w:val="纯文本 Char2"/>
    <w:qFormat/>
    <w:locked/>
    <w:uiPriority w:val="0"/>
    <w:rPr>
      <w:rFonts w:ascii="宋体" w:hAnsi="Courier New" w:eastAsia="宋体"/>
      <w:kern w:val="2"/>
      <w:sz w:val="21"/>
      <w:lang w:val="en-US" w:eastAsia="zh-CN" w:bidi="ar-SA"/>
    </w:rPr>
  </w:style>
  <w:style w:type="character" w:customStyle="1" w:styleId="105">
    <w:name w:val="Char Char16"/>
    <w:qFormat/>
    <w:locked/>
    <w:uiPriority w:val="0"/>
    <w:rPr>
      <w:rFonts w:ascii="宋体" w:hAnsi="Courier New"/>
      <w:lang w:bidi="ar-SA"/>
    </w:rPr>
  </w:style>
  <w:style w:type="character" w:customStyle="1" w:styleId="106">
    <w:name w:val="正文－缩进 Char Char"/>
    <w:link w:val="107"/>
    <w:qFormat/>
    <w:locked/>
    <w:uiPriority w:val="0"/>
    <w:rPr>
      <w:rFonts w:ascii="Arial" w:hAnsi="Arial" w:eastAsia="仿宋_GB2312"/>
      <w:sz w:val="24"/>
      <w:lang w:bidi="ar-SA"/>
    </w:rPr>
  </w:style>
  <w:style w:type="paragraph" w:customStyle="1" w:styleId="107">
    <w:name w:val="正文－缩进"/>
    <w:basedOn w:val="1"/>
    <w:link w:val="106"/>
    <w:qFormat/>
    <w:uiPriority w:val="0"/>
    <w:pPr>
      <w:spacing w:before="120" w:after="120" w:line="360" w:lineRule="auto"/>
      <w:ind w:firstLine="200" w:firstLineChars="200"/>
    </w:pPr>
    <w:rPr>
      <w:rFonts w:ascii="Arial" w:hAnsi="Arial" w:eastAsia="仿宋_GB2312"/>
      <w:kern w:val="0"/>
      <w:sz w:val="24"/>
      <w:szCs w:val="20"/>
    </w:rPr>
  </w:style>
  <w:style w:type="character" w:customStyle="1" w:styleId="108">
    <w:name w:val="页脚 字符"/>
    <w:link w:val="24"/>
    <w:qFormat/>
    <w:locked/>
    <w:uiPriority w:val="0"/>
    <w:rPr>
      <w:rFonts w:ascii="宋体" w:hAnsi="Courier New" w:eastAsia="宋体"/>
      <w:kern w:val="2"/>
      <w:sz w:val="18"/>
      <w:lang w:val="en-US" w:eastAsia="zh-CN" w:bidi="ar-SA"/>
    </w:rPr>
  </w:style>
  <w:style w:type="character" w:customStyle="1" w:styleId="109">
    <w:name w:val="正文文本缩进 3 Char"/>
    <w:qFormat/>
    <w:uiPriority w:val="0"/>
    <w:rPr>
      <w:kern w:val="2"/>
      <w:sz w:val="16"/>
      <w:szCs w:val="16"/>
      <w:lang w:bidi="ar-SA"/>
    </w:rPr>
  </w:style>
  <w:style w:type="character" w:customStyle="1" w:styleId="110">
    <w:name w:val="日期 字符"/>
    <w:link w:val="21"/>
    <w:semiHidden/>
    <w:qFormat/>
    <w:locked/>
    <w:uiPriority w:val="0"/>
    <w:rPr>
      <w:rFonts w:ascii="宋体" w:hAnsi="Courier New" w:eastAsia="宋体" w:cs="Courier New"/>
      <w:kern w:val="2"/>
      <w:sz w:val="21"/>
      <w:szCs w:val="21"/>
      <w:lang w:val="en-US" w:eastAsia="zh-CN" w:bidi="ar-SA"/>
    </w:rPr>
  </w:style>
  <w:style w:type="character" w:customStyle="1" w:styleId="111">
    <w:name w:val="标题 5 字符"/>
    <w:link w:val="7"/>
    <w:qFormat/>
    <w:locked/>
    <w:uiPriority w:val="0"/>
    <w:rPr>
      <w:rFonts w:eastAsia="宋体"/>
      <w:b/>
      <w:kern w:val="2"/>
      <w:sz w:val="28"/>
      <w:lang w:bidi="ar-SA"/>
    </w:rPr>
  </w:style>
  <w:style w:type="character" w:customStyle="1" w:styleId="112">
    <w:name w:val="标题 5 Char"/>
    <w:qFormat/>
    <w:locked/>
    <w:uiPriority w:val="0"/>
    <w:rPr>
      <w:rFonts w:eastAsia="宋体"/>
      <w:b/>
      <w:kern w:val="2"/>
      <w:sz w:val="28"/>
      <w:lang w:val="en-US" w:eastAsia="zh-CN" w:bidi="ar-SA"/>
    </w:rPr>
  </w:style>
  <w:style w:type="character" w:customStyle="1" w:styleId="113">
    <w:name w:val="批注框文本 字符"/>
    <w:link w:val="23"/>
    <w:semiHidden/>
    <w:qFormat/>
    <w:locked/>
    <w:uiPriority w:val="0"/>
    <w:rPr>
      <w:rFonts w:eastAsia="宋体"/>
      <w:kern w:val="2"/>
      <w:sz w:val="18"/>
      <w:szCs w:val="18"/>
      <w:lang w:val="en-US" w:eastAsia="zh-CN" w:bidi="ar-SA"/>
    </w:rPr>
  </w:style>
  <w:style w:type="character" w:customStyle="1" w:styleId="114">
    <w:name w:val="正文首行缩进 2 Char"/>
    <w:qFormat/>
    <w:uiPriority w:val="0"/>
    <w:rPr>
      <w:rFonts w:ascii="黑体" w:hAnsi="Courier New" w:eastAsia="黑体" w:cs="Courier New"/>
      <w:lang w:val="en-US" w:eastAsia="zh-CN" w:bidi="ar-SA"/>
    </w:rPr>
  </w:style>
  <w:style w:type="character" w:customStyle="1" w:styleId="115">
    <w:name w:val="font71"/>
    <w:qFormat/>
    <w:uiPriority w:val="0"/>
    <w:rPr>
      <w:rFonts w:hint="eastAsia" w:ascii="微软雅黑" w:hAnsi="微软雅黑" w:eastAsia="微软雅黑" w:cs="微软雅黑"/>
      <w:color w:val="000000"/>
      <w:sz w:val="22"/>
      <w:szCs w:val="22"/>
      <w:u w:val="none"/>
    </w:rPr>
  </w:style>
  <w:style w:type="character" w:customStyle="1" w:styleId="116">
    <w:name w:val="标题 9 字符"/>
    <w:link w:val="11"/>
    <w:qFormat/>
    <w:locked/>
    <w:uiPriority w:val="0"/>
    <w:rPr>
      <w:rFonts w:ascii="Arial" w:hAnsi="Arial" w:eastAsia="黑体"/>
      <w:kern w:val="2"/>
      <w:sz w:val="21"/>
      <w:lang w:bidi="ar-SA"/>
    </w:rPr>
  </w:style>
  <w:style w:type="character" w:customStyle="1" w:styleId="117">
    <w:name w:val="正文文本 字符"/>
    <w:link w:val="17"/>
    <w:qFormat/>
    <w:locked/>
    <w:uiPriority w:val="0"/>
    <w:rPr>
      <w:rFonts w:eastAsia="宋体"/>
      <w:kern w:val="2"/>
      <w:sz w:val="21"/>
      <w:lang w:val="en-US" w:eastAsia="zh-CN" w:bidi="ar-SA"/>
    </w:rPr>
  </w:style>
  <w:style w:type="character" w:customStyle="1" w:styleId="118">
    <w:name w:val="font41"/>
    <w:qFormat/>
    <w:uiPriority w:val="0"/>
    <w:rPr>
      <w:rFonts w:hint="eastAsia" w:ascii="宋体" w:hAnsi="宋体" w:eastAsia="宋体" w:cs="宋体"/>
      <w:b/>
      <w:color w:val="000000"/>
      <w:sz w:val="24"/>
      <w:szCs w:val="24"/>
      <w:u w:val="none"/>
    </w:rPr>
  </w:style>
  <w:style w:type="character" w:customStyle="1" w:styleId="119">
    <w:name w:val="标题 3 Char"/>
    <w:qFormat/>
    <w:locked/>
    <w:uiPriority w:val="0"/>
    <w:rPr>
      <w:rFonts w:eastAsia="宋体"/>
      <w:b/>
      <w:bCs/>
      <w:kern w:val="2"/>
      <w:sz w:val="32"/>
      <w:szCs w:val="32"/>
      <w:lang w:val="en-US" w:eastAsia="zh-CN" w:bidi="ar-SA"/>
    </w:rPr>
  </w:style>
  <w:style w:type="character" w:customStyle="1" w:styleId="120">
    <w:name w:val="Header Char"/>
    <w:qFormat/>
    <w:locked/>
    <w:uiPriority w:val="0"/>
    <w:rPr>
      <w:rFonts w:cs="Times New Roman"/>
      <w:sz w:val="18"/>
      <w:szCs w:val="18"/>
    </w:rPr>
  </w:style>
  <w:style w:type="character" w:customStyle="1" w:styleId="121">
    <w:name w:val="方案正文 Char"/>
    <w:link w:val="122"/>
    <w:qFormat/>
    <w:uiPriority w:val="0"/>
    <w:rPr>
      <w:rFonts w:ascii="Calibri" w:hAnsi="Calibri"/>
      <w:kern w:val="2"/>
      <w:sz w:val="24"/>
      <w:szCs w:val="24"/>
      <w:lang w:bidi="ar-SA"/>
    </w:rPr>
  </w:style>
  <w:style w:type="paragraph" w:customStyle="1" w:styleId="122">
    <w:name w:val="方案正文"/>
    <w:basedOn w:val="1"/>
    <w:link w:val="121"/>
    <w:qFormat/>
    <w:uiPriority w:val="0"/>
    <w:pPr>
      <w:adjustRightInd w:val="0"/>
      <w:snapToGrid w:val="0"/>
      <w:spacing w:line="360" w:lineRule="auto"/>
      <w:ind w:firstLine="480" w:firstLineChars="200"/>
      <w:jc w:val="left"/>
    </w:pPr>
    <w:rPr>
      <w:rFonts w:ascii="Calibri" w:hAnsi="Calibri"/>
      <w:sz w:val="24"/>
    </w:rPr>
  </w:style>
  <w:style w:type="character" w:customStyle="1" w:styleId="123">
    <w:name w:val="正文文本 2 字符"/>
    <w:link w:val="33"/>
    <w:qFormat/>
    <w:uiPriority w:val="0"/>
    <w:rPr>
      <w:kern w:val="2"/>
      <w:sz w:val="21"/>
      <w:szCs w:val="24"/>
      <w:lang w:bidi="ar-SA"/>
    </w:rPr>
  </w:style>
  <w:style w:type="character" w:customStyle="1" w:styleId="124">
    <w:name w:val="正文文本缩进 2 字符"/>
    <w:link w:val="22"/>
    <w:qFormat/>
    <w:locked/>
    <w:uiPriority w:val="0"/>
    <w:rPr>
      <w:rFonts w:ascii="华文中宋" w:hAnsi="华文中宋" w:eastAsia="华文中宋"/>
      <w:sz w:val="24"/>
      <w:szCs w:val="24"/>
      <w:lang w:val="en-US" w:eastAsia="zh-CN" w:bidi="ar-SA"/>
    </w:rPr>
  </w:style>
  <w:style w:type="character" w:customStyle="1" w:styleId="125">
    <w:name w:val="标题 6 字符"/>
    <w:link w:val="2"/>
    <w:qFormat/>
    <w:locked/>
    <w:uiPriority w:val="0"/>
    <w:rPr>
      <w:rFonts w:ascii="Arial" w:hAnsi="Arial" w:eastAsia="黑体"/>
      <w:b/>
      <w:kern w:val="2"/>
      <w:sz w:val="24"/>
      <w:lang w:bidi="ar-SA"/>
    </w:rPr>
  </w:style>
  <w:style w:type="character" w:customStyle="1" w:styleId="126">
    <w:name w:val="正文首行缩进 Char"/>
    <w:qFormat/>
    <w:locked/>
    <w:uiPriority w:val="0"/>
    <w:rPr>
      <w:rFonts w:ascii="华文中宋" w:hAnsi="华文中宋" w:eastAsia="宋体"/>
      <w:kern w:val="2"/>
      <w:sz w:val="21"/>
      <w:szCs w:val="24"/>
      <w:lang w:val="en-US" w:eastAsia="zh-CN" w:bidi="ar-SA"/>
    </w:rPr>
  </w:style>
  <w:style w:type="character" w:customStyle="1" w:styleId="127">
    <w:name w:val="font51"/>
    <w:qFormat/>
    <w:uiPriority w:val="0"/>
    <w:rPr>
      <w:rFonts w:hint="default" w:ascii="Times New Roman" w:hAnsi="Times New Roman" w:cs="Times New Roman"/>
      <w:b/>
      <w:color w:val="000000"/>
      <w:sz w:val="24"/>
      <w:szCs w:val="24"/>
      <w:u w:val="none"/>
    </w:rPr>
  </w:style>
  <w:style w:type="character" w:customStyle="1" w:styleId="128">
    <w:name w:val="font61"/>
    <w:qFormat/>
    <w:uiPriority w:val="0"/>
    <w:rPr>
      <w:rFonts w:hint="eastAsia" w:ascii="宋体" w:hAnsi="宋体" w:eastAsia="宋体" w:cs="宋体"/>
      <w:color w:val="000000"/>
      <w:sz w:val="24"/>
      <w:szCs w:val="24"/>
      <w:u w:val="none"/>
    </w:rPr>
  </w:style>
  <w:style w:type="character" w:customStyle="1" w:styleId="129">
    <w:name w:val="样式 首行缩进:  2 字符 Char Char"/>
    <w:link w:val="130"/>
    <w:qFormat/>
    <w:locked/>
    <w:uiPriority w:val="0"/>
    <w:rPr>
      <w:sz w:val="24"/>
      <w:lang w:bidi="ar-SA"/>
    </w:rPr>
  </w:style>
  <w:style w:type="paragraph" w:customStyle="1" w:styleId="130">
    <w:name w:val="样式 首行缩进:  2 字符"/>
    <w:basedOn w:val="1"/>
    <w:link w:val="129"/>
    <w:qFormat/>
    <w:uiPriority w:val="0"/>
    <w:pPr>
      <w:spacing w:line="360" w:lineRule="auto"/>
      <w:ind w:firstLine="480" w:firstLineChars="200"/>
    </w:pPr>
    <w:rPr>
      <w:kern w:val="0"/>
      <w:sz w:val="24"/>
      <w:szCs w:val="20"/>
    </w:rPr>
  </w:style>
  <w:style w:type="character" w:customStyle="1" w:styleId="131">
    <w:name w:val="标题 3 字符"/>
    <w:link w:val="5"/>
    <w:qFormat/>
    <w:locked/>
    <w:uiPriority w:val="0"/>
    <w:rPr>
      <w:rFonts w:eastAsia="宋体"/>
      <w:b/>
      <w:bCs/>
      <w:kern w:val="2"/>
      <w:sz w:val="32"/>
      <w:szCs w:val="32"/>
      <w:lang w:val="en-US" w:eastAsia="zh-CN" w:bidi="ar-SA"/>
    </w:rPr>
  </w:style>
  <w:style w:type="character" w:customStyle="1" w:styleId="132">
    <w:name w:val="标题 8 Char"/>
    <w:qFormat/>
    <w:locked/>
    <w:uiPriority w:val="0"/>
    <w:rPr>
      <w:rFonts w:ascii="Arial" w:hAnsi="Arial" w:eastAsia="黑体"/>
      <w:kern w:val="2"/>
      <w:sz w:val="24"/>
      <w:lang w:val="en-US" w:eastAsia="zh-CN" w:bidi="ar-SA"/>
    </w:rPr>
  </w:style>
  <w:style w:type="character" w:customStyle="1" w:styleId="133">
    <w:name w:val="普通文字 Char Char2"/>
    <w:qFormat/>
    <w:uiPriority w:val="0"/>
    <w:rPr>
      <w:rFonts w:ascii="宋体" w:hAnsi="Courier New" w:eastAsia="宋体"/>
      <w:kern w:val="2"/>
      <w:sz w:val="21"/>
      <w:lang w:val="en-US" w:eastAsia="zh-CN" w:bidi="ar-SA"/>
    </w:rPr>
  </w:style>
  <w:style w:type="character" w:customStyle="1" w:styleId="134">
    <w:name w:val="正文文本 2 Char"/>
    <w:qFormat/>
    <w:uiPriority w:val="0"/>
    <w:rPr>
      <w:kern w:val="2"/>
      <w:sz w:val="21"/>
      <w:szCs w:val="24"/>
      <w:lang w:bidi="ar-SA"/>
    </w:rPr>
  </w:style>
  <w:style w:type="character" w:customStyle="1" w:styleId="135">
    <w:name w:val="文档结构图 Char"/>
    <w:qFormat/>
    <w:locked/>
    <w:uiPriority w:val="0"/>
    <w:rPr>
      <w:rFonts w:eastAsia="宋体"/>
      <w:kern w:val="2"/>
      <w:sz w:val="21"/>
      <w:szCs w:val="24"/>
      <w:lang w:val="en-US" w:eastAsia="zh-CN" w:bidi="ar-SA"/>
    </w:rPr>
  </w:style>
  <w:style w:type="character" w:customStyle="1" w:styleId="136">
    <w:name w:val="普通文字 Char Char5"/>
    <w:qFormat/>
    <w:uiPriority w:val="0"/>
    <w:rPr>
      <w:rFonts w:ascii="宋体" w:hAnsi="宋体" w:eastAsia="宋体" w:cs="宋体"/>
      <w:kern w:val="2"/>
      <w:sz w:val="21"/>
      <w:lang w:val="en-US" w:eastAsia="zh-CN" w:bidi="ar-SA"/>
    </w:rPr>
  </w:style>
  <w:style w:type="character" w:customStyle="1" w:styleId="137">
    <w:name w:val="标题 6 Char"/>
    <w:qFormat/>
    <w:locked/>
    <w:uiPriority w:val="0"/>
    <w:rPr>
      <w:rFonts w:ascii="Arial" w:hAnsi="Arial" w:eastAsia="黑体"/>
      <w:b/>
      <w:kern w:val="2"/>
      <w:sz w:val="24"/>
      <w:lang w:val="en-US" w:eastAsia="zh-CN" w:bidi="ar-SA"/>
    </w:rPr>
  </w:style>
  <w:style w:type="character" w:customStyle="1" w:styleId="138">
    <w:name w:val="文档结构图 字符"/>
    <w:link w:val="14"/>
    <w:qFormat/>
    <w:locked/>
    <w:uiPriority w:val="0"/>
    <w:rPr>
      <w:rFonts w:eastAsia="宋体"/>
      <w:kern w:val="2"/>
      <w:sz w:val="21"/>
      <w:szCs w:val="24"/>
      <w:lang w:val="en-US" w:eastAsia="zh-CN" w:bidi="ar-SA"/>
    </w:rPr>
  </w:style>
  <w:style w:type="character" w:customStyle="1" w:styleId="139">
    <w:name w:val="Footer Char"/>
    <w:qFormat/>
    <w:locked/>
    <w:uiPriority w:val="0"/>
    <w:rPr>
      <w:rFonts w:cs="Times New Roman"/>
      <w:sz w:val="18"/>
      <w:szCs w:val="18"/>
    </w:rPr>
  </w:style>
  <w:style w:type="character" w:customStyle="1" w:styleId="140">
    <w:name w:val="font31"/>
    <w:qFormat/>
    <w:uiPriority w:val="0"/>
    <w:rPr>
      <w:rFonts w:hint="default" w:ascii="Times New Roman" w:hAnsi="Times New Roman" w:cs="Times New Roman"/>
      <w:color w:val="000000"/>
      <w:sz w:val="24"/>
      <w:szCs w:val="24"/>
      <w:u w:val="none"/>
    </w:rPr>
  </w:style>
  <w:style w:type="character" w:customStyle="1" w:styleId="141">
    <w:name w:val="正文文本缩进 Char"/>
    <w:qFormat/>
    <w:locked/>
    <w:uiPriority w:val="0"/>
    <w:rPr>
      <w:rFonts w:ascii="宋体" w:hAnsi="Courier New" w:eastAsia="宋体"/>
      <w:spacing w:val="-4"/>
      <w:kern w:val="2"/>
      <w:sz w:val="18"/>
      <w:lang w:val="en-US" w:eastAsia="zh-CN" w:bidi="ar-SA"/>
    </w:rPr>
  </w:style>
  <w:style w:type="character" w:customStyle="1" w:styleId="142">
    <w:name w:val="标题 2 字符"/>
    <w:link w:val="4"/>
    <w:qFormat/>
    <w:locked/>
    <w:uiPriority w:val="0"/>
    <w:rPr>
      <w:rFonts w:ascii="Arial" w:hAnsi="Arial" w:eastAsia="黑体"/>
      <w:b/>
      <w:bCs/>
      <w:kern w:val="2"/>
      <w:sz w:val="32"/>
      <w:szCs w:val="32"/>
      <w:lang w:val="en-US" w:eastAsia="zh-CN" w:bidi="ar-SA"/>
    </w:rPr>
  </w:style>
  <w:style w:type="character" w:customStyle="1" w:styleId="143">
    <w:name w:val="页眉 字符"/>
    <w:link w:val="25"/>
    <w:qFormat/>
    <w:locked/>
    <w:uiPriority w:val="0"/>
    <w:rPr>
      <w:rFonts w:ascii="宋体" w:hAnsi="Courier New" w:eastAsia="宋体"/>
      <w:kern w:val="2"/>
      <w:sz w:val="18"/>
      <w:lang w:val="en-US" w:eastAsia="zh-CN" w:bidi="ar-SA"/>
    </w:rPr>
  </w:style>
  <w:style w:type="character" w:customStyle="1" w:styleId="144">
    <w:name w:val="*正文 Char"/>
    <w:link w:val="145"/>
    <w:qFormat/>
    <w:uiPriority w:val="0"/>
    <w:rPr>
      <w:rFonts w:ascii="宋体" w:hAnsi="宋体"/>
      <w:sz w:val="24"/>
      <w:lang w:bidi="ar-SA"/>
    </w:rPr>
  </w:style>
  <w:style w:type="paragraph" w:customStyle="1" w:styleId="145">
    <w:name w:val="*正文"/>
    <w:basedOn w:val="1"/>
    <w:link w:val="144"/>
    <w:qFormat/>
    <w:uiPriority w:val="0"/>
    <w:pPr>
      <w:spacing w:line="360" w:lineRule="auto"/>
      <w:ind w:firstLine="482"/>
      <w:jc w:val="left"/>
    </w:pPr>
    <w:rPr>
      <w:rFonts w:ascii="宋体" w:hAnsi="宋体"/>
      <w:kern w:val="0"/>
      <w:sz w:val="24"/>
      <w:szCs w:val="20"/>
    </w:rPr>
  </w:style>
  <w:style w:type="paragraph" w:customStyle="1" w:styleId="146">
    <w:name w:val="列表段落1"/>
    <w:basedOn w:val="1"/>
    <w:qFormat/>
    <w:uiPriority w:val="0"/>
    <w:pPr>
      <w:ind w:firstLine="420" w:firstLineChars="200"/>
    </w:pPr>
    <w:rPr>
      <w:rFonts w:ascii="Calibri" w:hAnsi="Calibri" w:cs="Calibri"/>
      <w:szCs w:val="21"/>
    </w:rPr>
  </w:style>
  <w:style w:type="paragraph" w:customStyle="1" w:styleId="147">
    <w:name w:val="默认段落字体 Para Char Char Char Char Char Char Char Char Char Char"/>
    <w:basedOn w:val="1"/>
    <w:qFormat/>
    <w:uiPriority w:val="0"/>
    <w:rPr>
      <w:rFonts w:ascii="楷体_GB2312" w:hAnsi="宋体" w:eastAsia="楷体_GB2312"/>
      <w:spacing w:val="-20"/>
      <w:kern w:val="24"/>
      <w:sz w:val="24"/>
    </w:rPr>
  </w:style>
  <w:style w:type="paragraph" w:customStyle="1" w:styleId="148">
    <w:name w:val="样式1"/>
    <w:basedOn w:val="1"/>
    <w:qFormat/>
    <w:uiPriority w:val="0"/>
    <w:pPr>
      <w:numPr>
        <w:ilvl w:val="0"/>
        <w:numId w:val="1"/>
      </w:numPr>
      <w:adjustRightInd w:val="0"/>
    </w:pPr>
    <w:rPr>
      <w:rFonts w:ascii="宋体" w:hAnsi="宋体"/>
      <w:kern w:val="0"/>
      <w:szCs w:val="21"/>
    </w:rPr>
  </w:style>
  <w:style w:type="paragraph" w:customStyle="1" w:styleId="149">
    <w:name w:val="正1"/>
    <w:basedOn w:val="1"/>
    <w:qFormat/>
    <w:uiPriority w:val="0"/>
    <w:pPr>
      <w:spacing w:line="360" w:lineRule="auto"/>
      <w:ind w:firstLine="480" w:firstLineChars="200"/>
    </w:pPr>
    <w:rPr>
      <w:rFonts w:ascii="'宋体" w:eastAsia="'宋体"/>
      <w:sz w:val="24"/>
      <w:szCs w:val="20"/>
    </w:rPr>
  </w:style>
  <w:style w:type="paragraph" w:customStyle="1" w:styleId="150">
    <w:name w:val="QL1"/>
    <w:basedOn w:val="1"/>
    <w:qFormat/>
    <w:uiPriority w:val="0"/>
    <w:pPr>
      <w:ind w:left="1379" w:hanging="420"/>
    </w:pPr>
    <w:rPr>
      <w:sz w:val="24"/>
    </w:rPr>
  </w:style>
  <w:style w:type="paragraph" w:customStyle="1" w:styleId="151">
    <w:name w:val="Char Char Char"/>
    <w:basedOn w:val="1"/>
    <w:qFormat/>
    <w:uiPriority w:val="0"/>
    <w:rPr>
      <w:rFonts w:ascii="Tahoma" w:hAnsi="Tahoma"/>
      <w:sz w:val="24"/>
      <w:szCs w:val="20"/>
    </w:rPr>
  </w:style>
  <w:style w:type="paragraph" w:customStyle="1" w:styleId="152">
    <w:name w:val="2"/>
    <w:basedOn w:val="1"/>
    <w:next w:val="20"/>
    <w:qFormat/>
    <w:uiPriority w:val="0"/>
    <w:rPr>
      <w:rFonts w:ascii="宋体" w:hAnsi="Courier New"/>
      <w:szCs w:val="20"/>
    </w:rPr>
  </w:style>
  <w:style w:type="paragraph" w:customStyle="1" w:styleId="153">
    <w:name w:val="Char Char"/>
    <w:basedOn w:val="1"/>
    <w:qFormat/>
    <w:uiPriority w:val="0"/>
    <w:rPr>
      <w:rFonts w:ascii="仿宋_GB2312" w:eastAsia="仿宋_GB2312"/>
      <w:b/>
      <w:sz w:val="32"/>
      <w:szCs w:val="32"/>
    </w:rPr>
  </w:style>
  <w:style w:type="paragraph" w:customStyle="1" w:styleId="154">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55">
    <w:name w:val="RFI text from 3rd Level"/>
    <w:basedOn w:val="1"/>
    <w:qFormat/>
    <w:uiPriority w:val="0"/>
    <w:pPr>
      <w:widowControl/>
      <w:tabs>
        <w:tab w:val="left" w:pos="1080"/>
      </w:tabs>
      <w:spacing w:beforeLines="50" w:line="360" w:lineRule="auto"/>
    </w:pPr>
    <w:rPr>
      <w:rFonts w:ascii="Arial (W1)" w:hAnsi="Arial (W1)"/>
      <w:bCs/>
      <w:kern w:val="0"/>
      <w:sz w:val="24"/>
      <w:lang w:val="en-GB"/>
    </w:rPr>
  </w:style>
  <w:style w:type="paragraph" w:customStyle="1" w:styleId="156">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157">
    <w:name w:val="Char Char Char Char Char Char Char Char Char Char Char Char Char Char Char Char"/>
    <w:basedOn w:val="1"/>
    <w:qFormat/>
    <w:uiPriority w:val="0"/>
    <w:pPr>
      <w:tabs>
        <w:tab w:val="left" w:pos="360"/>
      </w:tabs>
      <w:spacing w:line="360" w:lineRule="auto"/>
      <w:ind w:left="482" w:firstLine="200" w:firstLineChars="200"/>
    </w:pPr>
    <w:rPr>
      <w:szCs w:val="20"/>
    </w:rPr>
  </w:style>
  <w:style w:type="paragraph" w:customStyle="1" w:styleId="15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59">
    <w:name w:val="_Style 1"/>
    <w:basedOn w:val="1"/>
    <w:qFormat/>
    <w:uiPriority w:val="0"/>
    <w:pPr>
      <w:ind w:firstLine="420" w:firstLineChars="200"/>
    </w:pPr>
    <w:rPr>
      <w:szCs w:val="20"/>
    </w:rPr>
  </w:style>
  <w:style w:type="paragraph" w:customStyle="1" w:styleId="160">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Char2 Char Char Char"/>
    <w:basedOn w:val="1"/>
    <w:qFormat/>
    <w:uiPriority w:val="0"/>
    <w:rPr>
      <w:szCs w:val="20"/>
    </w:rPr>
  </w:style>
  <w:style w:type="paragraph" w:customStyle="1" w:styleId="163">
    <w:name w:val="Char Char Char Char"/>
    <w:basedOn w:val="14"/>
    <w:qFormat/>
    <w:uiPriority w:val="0"/>
    <w:pPr>
      <w:adjustRightInd w:val="0"/>
      <w:snapToGrid w:val="0"/>
      <w:spacing w:line="360" w:lineRule="auto"/>
    </w:pPr>
    <w:rPr>
      <w:rFonts w:ascii="Tahoma" w:hAnsi="Tahoma"/>
      <w:sz w:val="24"/>
    </w:rPr>
  </w:style>
  <w:style w:type="paragraph" w:customStyle="1" w:styleId="164">
    <w:name w:val="p18"/>
    <w:basedOn w:val="1"/>
    <w:qFormat/>
    <w:uiPriority w:val="0"/>
    <w:pPr>
      <w:widowControl/>
    </w:pPr>
    <w:rPr>
      <w:rFonts w:ascii="宋体" w:hAnsi="宋体" w:cs="宋体"/>
      <w:kern w:val="0"/>
      <w:szCs w:val="21"/>
    </w:rPr>
  </w:style>
  <w:style w:type="paragraph" w:customStyle="1" w:styleId="165">
    <w:name w:val="默认段落字体 Para Char Char Char Char Char Char Char Char Char1 Char Char Char Char"/>
    <w:basedOn w:val="1"/>
    <w:qFormat/>
    <w:uiPriority w:val="0"/>
    <w:pPr>
      <w:adjustRightInd w:val="0"/>
      <w:snapToGrid w:val="0"/>
      <w:spacing w:line="360" w:lineRule="auto"/>
      <w:ind w:firstLine="200" w:firstLineChars="200"/>
    </w:pPr>
    <w:rPr>
      <w:rFonts w:ascii="Tahoma" w:hAnsi="Tahoma"/>
      <w:sz w:val="24"/>
      <w:szCs w:val="20"/>
    </w:rPr>
  </w:style>
  <w:style w:type="paragraph" w:customStyle="1" w:styleId="166">
    <w:name w:val="Default"/>
    <w:qForma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167">
    <w:name w:val="_Style 76"/>
    <w:basedOn w:val="1"/>
    <w:qFormat/>
    <w:uiPriority w:val="0"/>
    <w:pPr>
      <w:tabs>
        <w:tab w:val="left" w:pos="360"/>
      </w:tabs>
      <w:spacing w:line="360" w:lineRule="auto"/>
      <w:ind w:left="482" w:firstLine="200" w:firstLineChars="200"/>
    </w:pPr>
    <w:rPr>
      <w:rFonts w:ascii="宋体"/>
      <w:sz w:val="24"/>
    </w:rPr>
  </w:style>
  <w:style w:type="paragraph" w:customStyle="1" w:styleId="168">
    <w:name w:val="Char1"/>
    <w:basedOn w:val="1"/>
    <w:qFormat/>
    <w:uiPriority w:val="0"/>
    <w:pPr>
      <w:tabs>
        <w:tab w:val="left" w:pos="360"/>
      </w:tabs>
    </w:pPr>
  </w:style>
  <w:style w:type="paragraph" w:customStyle="1" w:styleId="169">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
    <w:name w:val="HD正文1"/>
    <w:basedOn w:val="1"/>
    <w:qFormat/>
    <w:uiPriority w:val="0"/>
    <w:pPr>
      <w:spacing w:line="440" w:lineRule="atLeast"/>
      <w:ind w:firstLine="540"/>
    </w:pPr>
    <w:rPr>
      <w:sz w:val="24"/>
    </w:rPr>
  </w:style>
  <w:style w:type="paragraph" w:customStyle="1" w:styleId="171">
    <w:name w:val="QL2"/>
    <w:basedOn w:val="1"/>
    <w:qFormat/>
    <w:uiPriority w:val="0"/>
    <w:pPr>
      <w:ind w:left="1799" w:hanging="420"/>
    </w:pPr>
    <w:rPr>
      <w:sz w:val="24"/>
    </w:rPr>
  </w:style>
  <w:style w:type="paragraph" w:customStyle="1" w:styleId="172">
    <w:name w:val="列表段落11"/>
    <w:basedOn w:val="1"/>
    <w:qFormat/>
    <w:uiPriority w:val="34"/>
    <w:pPr>
      <w:ind w:firstLine="420" w:firstLineChars="200"/>
    </w:pPr>
  </w:style>
  <w:style w:type="paragraph" w:customStyle="1" w:styleId="173">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174">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6">
    <w:name w:val="Char Char Char Char Char Char Char Char Char Char Char Char"/>
    <w:basedOn w:val="1"/>
    <w:qFormat/>
    <w:uiPriority w:val="0"/>
    <w:pPr>
      <w:widowControl/>
      <w:spacing w:after="160" w:line="240" w:lineRule="exact"/>
      <w:jc w:val="left"/>
    </w:pPr>
  </w:style>
  <w:style w:type="paragraph" w:customStyle="1" w:styleId="177">
    <w:name w:val="列出段落1"/>
    <w:basedOn w:val="1"/>
    <w:qFormat/>
    <w:uiPriority w:val="0"/>
    <w:pPr>
      <w:ind w:firstLine="420" w:firstLineChars="200"/>
    </w:pPr>
    <w:rPr>
      <w:rFonts w:ascii="Calibri" w:hAnsi="Calibri"/>
      <w:szCs w:val="22"/>
    </w:rPr>
  </w:style>
  <w:style w:type="paragraph" w:customStyle="1" w:styleId="178">
    <w:name w:val="Char Char Char Char1"/>
    <w:basedOn w:val="1"/>
    <w:qFormat/>
    <w:uiPriority w:val="0"/>
    <w:rPr>
      <w:rFonts w:ascii="Tahoma" w:hAnsi="Tahoma"/>
      <w:sz w:val="24"/>
      <w:szCs w:val="20"/>
    </w:rPr>
  </w:style>
  <w:style w:type="paragraph" w:customStyle="1" w:styleId="179">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180">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81">
    <w:name w:val="_Style 2"/>
    <w:qFormat/>
    <w:uiPriority w:val="0"/>
    <w:pPr>
      <w:widowControl w:val="0"/>
      <w:adjustRightInd w:val="0"/>
      <w:snapToGrid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182">
    <w:name w:val="样式 首行缩进:  0.8 厘米1"/>
    <w:basedOn w:val="1"/>
    <w:qFormat/>
    <w:uiPriority w:val="0"/>
    <w:pPr>
      <w:spacing w:before="60" w:after="60" w:line="288" w:lineRule="auto"/>
      <w:ind w:firstLine="454"/>
    </w:pPr>
    <w:rPr>
      <w:rFonts w:cs="宋体"/>
      <w:kern w:val="0"/>
      <w:sz w:val="24"/>
      <w:szCs w:val="20"/>
      <w:lang w:eastAsia="en-US"/>
    </w:rPr>
  </w:style>
  <w:style w:type="paragraph" w:customStyle="1" w:styleId="183">
    <w:name w:val="页脚，偶数页"/>
    <w:basedOn w:val="3"/>
    <w:qFormat/>
    <w:uiPriority w:val="0"/>
    <w:pPr>
      <w:spacing w:before="360" w:after="480"/>
      <w:ind w:firstLine="280" w:firstLineChars="100"/>
    </w:pPr>
    <w:rPr>
      <w:rFonts w:eastAsia="Times New Roman"/>
      <w:szCs w:val="28"/>
    </w:rPr>
  </w:style>
  <w:style w:type="paragraph" w:customStyle="1" w:styleId="184">
    <w:name w:val="正2"/>
    <w:basedOn w:val="149"/>
    <w:qFormat/>
    <w:uiPriority w:val="0"/>
    <w:pPr>
      <w:ind w:firstLine="0" w:firstLineChars="0"/>
    </w:pPr>
    <w:rPr>
      <w:b/>
      <w:bCs/>
    </w:rPr>
  </w:style>
  <w:style w:type="paragraph" w:customStyle="1" w:styleId="185">
    <w:name w:val="题注5"/>
    <w:basedOn w:val="1"/>
    <w:next w:val="13"/>
    <w:qFormat/>
    <w:uiPriority w:val="0"/>
    <w:pPr>
      <w:jc w:val="center"/>
    </w:pPr>
    <w:rPr>
      <w:b/>
      <w:bCs/>
      <w:color w:val="000000"/>
      <w:sz w:val="24"/>
    </w:rPr>
  </w:style>
  <w:style w:type="paragraph" w:customStyle="1" w:styleId="186">
    <w:name w:val="图"/>
    <w:basedOn w:val="1"/>
    <w:qFormat/>
    <w:uiPriority w:val="0"/>
    <w:pPr>
      <w:keepNext/>
      <w:adjustRightInd w:val="0"/>
      <w:spacing w:before="60" w:after="60" w:line="300" w:lineRule="auto"/>
      <w:jc w:val="center"/>
      <w:textAlignment w:val="center"/>
    </w:pPr>
    <w:rPr>
      <w:spacing w:val="20"/>
      <w:kern w:val="0"/>
      <w:sz w:val="24"/>
    </w:rPr>
  </w:style>
  <w:style w:type="paragraph" w:styleId="187">
    <w:name w:val="No Spacing"/>
    <w:qFormat/>
    <w:uiPriority w:val="0"/>
    <w:pPr>
      <w:widowControl w:val="0"/>
      <w:adjustRightInd w:val="0"/>
      <w:snapToGrid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188">
    <w:name w:val="TOC 标题1"/>
    <w:basedOn w:val="3"/>
    <w:next w:val="1"/>
    <w:qFormat/>
    <w:uiPriority w:val="0"/>
    <w:pPr>
      <w:keepLines/>
      <w:widowControl/>
      <w:spacing w:before="480" w:line="276" w:lineRule="auto"/>
      <w:jc w:val="left"/>
      <w:outlineLvl w:val="9"/>
    </w:pPr>
    <w:rPr>
      <w:rFonts w:ascii="Cambria" w:hAnsi="Cambria"/>
      <w:bCs/>
      <w:color w:val="365F91"/>
      <w:kern w:val="0"/>
      <w:sz w:val="28"/>
      <w:szCs w:val="28"/>
    </w:rPr>
  </w:style>
  <w:style w:type="character" w:customStyle="1" w:styleId="189">
    <w:name w:val="纯文本 字符1"/>
    <w:qFormat/>
    <w:uiPriority w:val="0"/>
    <w:rPr>
      <w:rFonts w:ascii="宋体" w:hAnsi="Courier New" w:eastAsia="宋体"/>
    </w:rPr>
  </w:style>
  <w:style w:type="paragraph" w:styleId="19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广西中意招标造价咨询有限公司</Company>
  <Pages>71</Pages>
  <Words>8021</Words>
  <Characters>45722</Characters>
  <Lines>381</Lines>
  <Paragraphs>107</Paragraphs>
  <TotalTime>19</TotalTime>
  <ScaleCrop>false</ScaleCrop>
  <LinksUpToDate>false</LinksUpToDate>
  <CharactersWithSpaces>53636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2020-06-02T15:31:00Z</dcterms:created>
  <dc:creator>Administrator</dc:creator>
  <cp:lastModifiedBy>葛广</cp:lastModifiedBy>
  <cp:lastPrinted>2019-10-21T08:42:00Z</cp:lastPrinted>
  <dcterms:modified xsi:type="dcterms:W3CDTF">2020-06-29T08:49:49Z</dcterms:modified>
  <dc:subject>招标文件</dc:subject>
  <dc:title>（g1-00339)网络多媒体设备采购招标文件（10.25麦改）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