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hint="eastAsia" w:ascii="仿宋" w:hAnsi="仿宋" w:eastAsia="仿宋" w:cs="仿宋"/>
          <w:b/>
          <w:bCs/>
          <w:sz w:val="28"/>
          <w:szCs w:val="28"/>
          <w:lang w:eastAsia="zh-CN"/>
        </w:rPr>
      </w:pPr>
      <w:bookmarkStart w:id="0" w:name="_Hlk87120059"/>
      <w:r>
        <w:rPr>
          <w:rFonts w:hint="eastAsia" w:ascii="仿宋" w:hAnsi="仿宋" w:eastAsia="仿宋" w:cs="仿宋"/>
          <w:b/>
          <w:bCs/>
          <w:sz w:val="28"/>
          <w:szCs w:val="28"/>
        </w:rPr>
        <w:t>关于富川瑶族自治县民族中学食堂设备采购</w:t>
      </w:r>
      <w:r>
        <w:rPr>
          <w:rFonts w:hint="eastAsia" w:ascii="仿宋" w:hAnsi="仿宋" w:eastAsia="仿宋" w:cs="仿宋"/>
          <w:b/>
          <w:bCs/>
          <w:sz w:val="28"/>
          <w:szCs w:val="28"/>
          <w:lang w:eastAsia="zh-CN"/>
        </w:rPr>
        <w:t>（</w:t>
      </w:r>
      <w:r>
        <w:rPr>
          <w:rFonts w:hint="eastAsia" w:ascii="仿宋" w:hAnsi="仿宋" w:eastAsia="仿宋" w:cs="仿宋"/>
          <w:b/>
          <w:bCs/>
          <w:sz w:val="28"/>
          <w:szCs w:val="28"/>
          <w:lang w:val="en-US" w:eastAsia="zh-CN"/>
        </w:rPr>
        <w:t>重</w:t>
      </w:r>
      <w:r>
        <w:rPr>
          <w:rFonts w:hint="eastAsia" w:ascii="仿宋" w:hAnsi="仿宋" w:eastAsia="仿宋" w:cs="仿宋"/>
          <w:b/>
          <w:bCs/>
          <w:sz w:val="28"/>
          <w:szCs w:val="28"/>
          <w:lang w:eastAsia="zh-CN"/>
        </w:rPr>
        <w:t>）</w:t>
      </w:r>
    </w:p>
    <w:p>
      <w:pPr>
        <w:spacing w:line="360" w:lineRule="auto"/>
        <w:jc w:val="center"/>
        <w:rPr>
          <w:rFonts w:ascii="仿宋" w:hAnsi="仿宋" w:eastAsia="仿宋" w:cs="仿宋"/>
          <w:b/>
          <w:bCs/>
          <w:sz w:val="28"/>
          <w:szCs w:val="28"/>
        </w:rPr>
      </w:pPr>
      <w:r>
        <w:rPr>
          <w:rFonts w:hint="eastAsia" w:ascii="仿宋" w:hAnsi="仿宋" w:eastAsia="仿宋" w:cs="仿宋"/>
          <w:b/>
          <w:bCs/>
          <w:sz w:val="28"/>
          <w:szCs w:val="28"/>
        </w:rPr>
        <w:t>（项目编号：HZZC2022-G1-230219-HCZX）</w:t>
      </w:r>
    </w:p>
    <w:p>
      <w:pPr>
        <w:spacing w:line="360" w:lineRule="auto"/>
        <w:jc w:val="center"/>
        <w:rPr>
          <w:rFonts w:ascii="仿宋" w:hAnsi="仿宋" w:eastAsia="仿宋" w:cs="仿宋"/>
          <w:b/>
          <w:bCs/>
          <w:sz w:val="28"/>
          <w:szCs w:val="28"/>
        </w:rPr>
      </w:pPr>
      <w:r>
        <w:rPr>
          <w:rFonts w:hint="eastAsia" w:ascii="仿宋" w:hAnsi="仿宋" w:eastAsia="仿宋" w:cs="仿宋"/>
          <w:b/>
          <w:bCs/>
          <w:sz w:val="28"/>
          <w:szCs w:val="28"/>
        </w:rPr>
        <w:t>质疑答复的函</w:t>
      </w:r>
    </w:p>
    <w:bookmarkEnd w:id="0"/>
    <w:p>
      <w:pPr>
        <w:spacing w:line="360" w:lineRule="auto"/>
        <w:rPr>
          <w:rFonts w:ascii="仿宋" w:hAnsi="仿宋" w:eastAsia="仿宋" w:cs="仿宋"/>
          <w:b/>
          <w:bCs/>
          <w:sz w:val="28"/>
          <w:szCs w:val="28"/>
        </w:rPr>
      </w:pPr>
      <w:r>
        <w:rPr>
          <w:rFonts w:hint="eastAsia" w:ascii="仿宋" w:hAnsi="仿宋" w:eastAsia="仿宋" w:cs="仿宋"/>
          <w:b/>
          <w:bCs/>
          <w:sz w:val="28"/>
          <w:szCs w:val="28"/>
        </w:rPr>
        <w:t>一、质疑人基本信息</w:t>
      </w:r>
    </w:p>
    <w:p>
      <w:pPr>
        <w:spacing w:line="360" w:lineRule="auto"/>
        <w:rPr>
          <w:rFonts w:hint="eastAsia" w:ascii="仿宋" w:hAnsi="仿宋" w:eastAsia="仿宋" w:cs="仿宋"/>
          <w:color w:val="auto"/>
          <w:sz w:val="24"/>
          <w:szCs w:val="24"/>
        </w:rPr>
      </w:pPr>
      <w:r>
        <w:rPr>
          <w:rFonts w:hint="eastAsia" w:ascii="仿宋" w:hAnsi="仿宋" w:eastAsia="仿宋" w:cs="仿宋"/>
          <w:sz w:val="24"/>
          <w:szCs w:val="24"/>
        </w:rPr>
        <w:t>质疑人</w:t>
      </w:r>
      <w:r>
        <w:rPr>
          <w:rFonts w:hint="eastAsia" w:ascii="仿宋" w:hAnsi="仿宋" w:eastAsia="仿宋" w:cs="仿宋"/>
          <w:color w:val="auto"/>
          <w:sz w:val="24"/>
          <w:szCs w:val="24"/>
        </w:rPr>
        <w:t>：</w:t>
      </w:r>
      <w:r>
        <w:rPr>
          <w:rFonts w:hint="eastAsia" w:ascii="仿宋" w:hAnsi="仿宋" w:eastAsia="仿宋" w:cs="仿宋"/>
          <w:color w:val="auto"/>
          <w:sz w:val="24"/>
          <w:szCs w:val="24"/>
          <w:u w:val="single"/>
        </w:rPr>
        <w:t>福建金辉翔厨具设备有限公司</w:t>
      </w:r>
    </w:p>
    <w:p>
      <w:pPr>
        <w:spacing w:line="360" w:lineRule="auto"/>
        <w:rPr>
          <w:rFonts w:hint="eastAsia" w:ascii="仿宋" w:hAnsi="仿宋" w:eastAsia="仿宋" w:cs="仿宋"/>
          <w:color w:val="auto"/>
          <w:sz w:val="24"/>
          <w:szCs w:val="24"/>
          <w:u w:val="single"/>
          <w:lang w:val="en-US" w:eastAsia="zh-CN"/>
        </w:rPr>
      </w:pPr>
      <w:r>
        <w:rPr>
          <w:rFonts w:hint="eastAsia" w:ascii="仿宋" w:hAnsi="仿宋" w:eastAsia="仿宋" w:cs="仿宋"/>
          <w:color w:val="auto"/>
          <w:sz w:val="24"/>
          <w:szCs w:val="24"/>
        </w:rPr>
        <w:t>地址：</w:t>
      </w:r>
      <w:r>
        <w:rPr>
          <w:rFonts w:hint="eastAsia" w:ascii="仿宋" w:hAnsi="仿宋" w:eastAsia="仿宋" w:cs="仿宋"/>
          <w:color w:val="auto"/>
          <w:sz w:val="24"/>
          <w:szCs w:val="24"/>
          <w:u w:val="single"/>
          <w:lang w:val="en-US" w:eastAsia="zh-CN"/>
        </w:rPr>
        <w:t>福建省泉州经济技术开发区善丰路14号3号楼</w:t>
      </w:r>
    </w:p>
    <w:p>
      <w:pPr>
        <w:spacing w:line="360" w:lineRule="auto"/>
        <w:rPr>
          <w:rFonts w:hint="eastAsia" w:ascii="仿宋" w:hAnsi="仿宋" w:eastAsia="仿宋" w:cs="仿宋"/>
          <w:color w:val="auto"/>
          <w:sz w:val="24"/>
          <w:szCs w:val="24"/>
          <w:u w:val="single"/>
          <w:lang w:val="en-US" w:eastAsia="zh-CN"/>
        </w:rPr>
      </w:pPr>
      <w:r>
        <w:rPr>
          <w:rFonts w:hint="eastAsia" w:ascii="仿宋" w:hAnsi="仿宋" w:eastAsia="仿宋" w:cs="仿宋"/>
          <w:color w:val="auto"/>
          <w:sz w:val="24"/>
          <w:szCs w:val="24"/>
        </w:rPr>
        <w:t>联系人：</w:t>
      </w:r>
      <w:r>
        <w:rPr>
          <w:rFonts w:hint="eastAsia" w:ascii="仿宋" w:hAnsi="仿宋" w:eastAsia="仿宋" w:cs="仿宋"/>
          <w:color w:val="auto"/>
          <w:sz w:val="24"/>
          <w:szCs w:val="24"/>
          <w:u w:val="single"/>
          <w:lang w:val="en-US" w:eastAsia="zh-CN"/>
        </w:rPr>
        <w:t>王诗娜</w:t>
      </w:r>
      <w:r>
        <w:rPr>
          <w:rFonts w:hint="eastAsia" w:ascii="仿宋" w:hAnsi="仿宋" w:eastAsia="仿宋" w:cs="仿宋"/>
          <w:color w:val="auto"/>
          <w:sz w:val="24"/>
          <w:szCs w:val="24"/>
          <w:u w:val="single"/>
        </w:rPr>
        <w:t xml:space="preserve">   联系方式：18750423649</w:t>
      </w:r>
    </w:p>
    <w:p>
      <w:pPr>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312" w:beforeAutospacing="0" w:after="0" w:afterAutospacing="0" w:line="360" w:lineRule="auto"/>
        <w:ind w:left="0" w:right="0" w:firstLine="0"/>
        <w:jc w:val="left"/>
        <w:rPr>
          <w:rFonts w:hint="eastAsia" w:ascii="仿宋" w:hAnsi="仿宋" w:eastAsia="仿宋" w:cs="仿宋"/>
          <w:i w:val="0"/>
          <w:caps w:val="0"/>
          <w:color w:val="auto"/>
          <w:spacing w:val="0"/>
          <w:sz w:val="24"/>
          <w:szCs w:val="24"/>
        </w:rPr>
      </w:pPr>
      <w:r>
        <w:rPr>
          <w:rFonts w:hint="eastAsia" w:ascii="仿宋" w:hAnsi="仿宋" w:eastAsia="仿宋" w:cs="仿宋"/>
          <w:color w:val="auto"/>
          <w:sz w:val="24"/>
          <w:szCs w:val="24"/>
          <w:u w:val="single"/>
        </w:rPr>
        <w:t>福建金辉翔厨具设备有限公司</w:t>
      </w:r>
      <w:r>
        <w:rPr>
          <w:rFonts w:hint="eastAsia" w:ascii="仿宋" w:hAnsi="仿宋" w:eastAsia="仿宋" w:cs="仿宋"/>
          <w:i w:val="0"/>
          <w:caps w:val="0"/>
          <w:color w:val="auto"/>
          <w:spacing w:val="0"/>
          <w:kern w:val="0"/>
          <w:sz w:val="24"/>
          <w:szCs w:val="24"/>
          <w:shd w:val="clear" w:color="auto" w:fill="FFFFFF"/>
          <w:lang w:val="en-US" w:eastAsia="zh-CN" w:bidi="ar"/>
        </w:rPr>
        <w:t>（质疑供应商名称）：</w:t>
      </w:r>
    </w:p>
    <w:p>
      <w:pPr>
        <w:widowControl/>
        <w:spacing w:line="360" w:lineRule="auto"/>
        <w:ind w:firstLine="480" w:firstLineChars="200"/>
        <w:jc w:val="left"/>
        <w:rPr>
          <w:rFonts w:hint="eastAsia" w:ascii="仿宋" w:hAnsi="仿宋" w:eastAsia="仿宋" w:cs="仿宋"/>
          <w:bCs/>
          <w:color w:val="auto"/>
          <w:sz w:val="24"/>
          <w:szCs w:val="24"/>
          <w:highlight w:val="none"/>
          <w:u w:val="single"/>
          <w:lang w:val="en-US" w:eastAsia="zh-CN"/>
        </w:rPr>
      </w:pPr>
      <w:r>
        <w:rPr>
          <w:rFonts w:hint="eastAsia" w:ascii="仿宋" w:hAnsi="仿宋" w:eastAsia="仿宋" w:cs="仿宋"/>
          <w:bCs/>
          <w:color w:val="auto"/>
          <w:sz w:val="24"/>
          <w:szCs w:val="24"/>
          <w:highlight w:val="none"/>
          <w:lang w:val="en-US" w:eastAsia="zh-CN"/>
        </w:rPr>
        <w:t>我公司于</w:t>
      </w:r>
      <w:r>
        <w:rPr>
          <w:rFonts w:hint="eastAsia" w:ascii="仿宋" w:hAnsi="仿宋" w:eastAsia="仿宋" w:cs="仿宋"/>
          <w:bCs/>
          <w:color w:val="auto"/>
          <w:sz w:val="24"/>
          <w:szCs w:val="24"/>
          <w:highlight w:val="none"/>
          <w:u w:val="single"/>
          <w:lang w:val="en-US" w:eastAsia="zh-CN"/>
        </w:rPr>
        <w:t>2022年11月28日09时00分</w:t>
      </w:r>
      <w:r>
        <w:rPr>
          <w:rFonts w:hint="eastAsia" w:ascii="仿宋" w:hAnsi="仿宋" w:eastAsia="仿宋" w:cs="仿宋"/>
          <w:bCs/>
          <w:color w:val="auto"/>
          <w:sz w:val="24"/>
          <w:szCs w:val="24"/>
          <w:highlight w:val="none"/>
          <w:lang w:val="en-US" w:eastAsia="zh-CN"/>
        </w:rPr>
        <w:t>收到贵方以</w:t>
      </w:r>
      <w:r>
        <w:rPr>
          <w:rFonts w:hint="eastAsia" w:ascii="仿宋" w:hAnsi="仿宋" w:eastAsia="仿宋" w:cs="仿宋"/>
          <w:bCs/>
          <w:color w:val="auto"/>
          <w:sz w:val="24"/>
          <w:szCs w:val="24"/>
          <w:highlight w:val="none"/>
          <w:u w:val="single"/>
          <w:lang w:val="en-US" w:eastAsia="zh-CN"/>
        </w:rPr>
        <w:t xml:space="preserve"> 顺丰快递 </w:t>
      </w:r>
      <w:r>
        <w:rPr>
          <w:rFonts w:hint="eastAsia" w:ascii="仿宋" w:hAnsi="仿宋" w:eastAsia="仿宋" w:cs="仿宋"/>
          <w:bCs/>
          <w:color w:val="auto"/>
          <w:sz w:val="24"/>
          <w:szCs w:val="24"/>
          <w:highlight w:val="none"/>
          <w:lang w:val="en-US" w:eastAsia="zh-CN"/>
        </w:rPr>
        <w:t>方式送达的关于我公司代理的</w:t>
      </w:r>
      <w:r>
        <w:rPr>
          <w:rFonts w:hint="eastAsia" w:ascii="仿宋" w:hAnsi="仿宋" w:eastAsia="仿宋" w:cs="仿宋"/>
          <w:bCs/>
          <w:color w:val="auto"/>
          <w:sz w:val="24"/>
          <w:szCs w:val="24"/>
          <w:highlight w:val="none"/>
          <w:u w:val="single"/>
          <w:lang w:val="en-US" w:eastAsia="zh-CN"/>
        </w:rPr>
        <w:t>富川瑶族自治县民族中学食堂设备采购采购项目（重）（项目名称）（项目编号：</w:t>
      </w:r>
    </w:p>
    <w:p>
      <w:pPr>
        <w:widowControl/>
        <w:spacing w:line="360" w:lineRule="auto"/>
        <w:jc w:val="left"/>
        <w:rPr>
          <w:rFonts w:hint="eastAsia"/>
          <w:color w:val="auto"/>
          <w:sz w:val="28"/>
          <w:szCs w:val="28"/>
          <w:lang w:val="en-US" w:eastAsia="zh-CN"/>
        </w:rPr>
      </w:pPr>
      <w:r>
        <w:rPr>
          <w:rFonts w:hint="eastAsia" w:ascii="仿宋" w:hAnsi="仿宋" w:eastAsia="仿宋" w:cs="仿宋"/>
          <w:bCs/>
          <w:color w:val="auto"/>
          <w:sz w:val="24"/>
          <w:szCs w:val="24"/>
          <w:highlight w:val="none"/>
          <w:u w:val="single"/>
          <w:lang w:val="en-US" w:eastAsia="zh-CN"/>
        </w:rPr>
        <w:t>HZZC2022-G1-230219-HCZX）</w:t>
      </w:r>
      <w:r>
        <w:rPr>
          <w:rFonts w:hint="eastAsia" w:ascii="仿宋" w:hAnsi="仿宋" w:eastAsia="仿宋" w:cs="仿宋"/>
          <w:bCs/>
          <w:color w:val="auto"/>
          <w:sz w:val="24"/>
          <w:szCs w:val="24"/>
          <w:highlight w:val="none"/>
          <w:lang w:val="en-US" w:eastAsia="zh-CN"/>
        </w:rPr>
        <w:t>的质疑函原件。我公司对贵方所提出的质疑内容高度重视，已第一时间报送采购单位。为了保证本次政府采购项目的公平、公正，我公司于2022年12月06日15时30分组织原评标委员会协助答复质疑，现根据原评标委员会及采购人的意见答复如下：</w:t>
      </w:r>
    </w:p>
    <w:p>
      <w:pPr>
        <w:spacing w:line="360" w:lineRule="auto"/>
        <w:rPr>
          <w:rFonts w:ascii="仿宋" w:hAnsi="仿宋" w:eastAsia="仿宋" w:cs="仿宋"/>
          <w:b/>
          <w:bCs/>
          <w:color w:val="auto"/>
          <w:sz w:val="28"/>
          <w:szCs w:val="28"/>
        </w:rPr>
      </w:pPr>
      <w:r>
        <w:rPr>
          <w:rFonts w:hint="eastAsia" w:ascii="仿宋" w:hAnsi="仿宋" w:eastAsia="仿宋" w:cs="仿宋"/>
          <w:b/>
          <w:bCs/>
          <w:color w:val="auto"/>
          <w:sz w:val="28"/>
          <w:szCs w:val="28"/>
        </w:rPr>
        <w:t>二、质疑事项</w:t>
      </w:r>
    </w:p>
    <w:p>
      <w:pPr>
        <w:spacing w:line="360" w:lineRule="auto"/>
        <w:ind w:firstLine="562" w:firstLineChars="200"/>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8"/>
          <w:szCs w:val="28"/>
        </w:rPr>
        <w:t>质疑事项</w:t>
      </w:r>
      <w:r>
        <w:rPr>
          <w:rFonts w:ascii="仿宋" w:hAnsi="仿宋" w:eastAsia="仿宋" w:cs="仿宋"/>
          <w:b/>
          <w:bCs/>
          <w:color w:val="auto"/>
          <w:sz w:val="28"/>
          <w:szCs w:val="28"/>
        </w:rPr>
        <w:t>1</w:t>
      </w:r>
      <w:r>
        <w:rPr>
          <w:rFonts w:hint="eastAsia" w:ascii="仿宋" w:hAnsi="仿宋" w:eastAsia="仿宋" w:cs="仿宋"/>
          <w:b/>
          <w:bCs/>
          <w:color w:val="auto"/>
          <w:sz w:val="28"/>
          <w:szCs w:val="28"/>
        </w:rPr>
        <w:t>：</w:t>
      </w:r>
      <w:bookmarkStart w:id="1" w:name="_Hlk107647966"/>
      <w:r>
        <w:rPr>
          <w:rFonts w:hint="eastAsia" w:ascii="仿宋" w:hAnsi="仿宋" w:eastAsia="仿宋" w:cs="仿宋"/>
          <w:b w:val="0"/>
          <w:bCs w:val="0"/>
          <w:color w:val="auto"/>
          <w:sz w:val="24"/>
          <w:szCs w:val="24"/>
        </w:rPr>
        <w:t>中标供应商“富川嘉盛建筑工程有限公司”中小企业声明函(货物)第1项其中的留样小样品冷柜产品制造商为东莞市</w:t>
      </w:r>
      <w:r>
        <w:rPr>
          <w:rFonts w:hint="eastAsia" w:ascii="仿宋" w:hAnsi="仿宋" w:eastAsia="仿宋" w:cs="仿宋"/>
          <w:b w:val="0"/>
          <w:bCs w:val="0"/>
          <w:color w:val="auto"/>
          <w:sz w:val="24"/>
          <w:szCs w:val="24"/>
          <w:highlight w:val="none"/>
        </w:rPr>
        <w:t>深业厨具有限公司，我公司质疑中标供应商“富川嘉盛建筑工程有限公司”所投留样小样品冷柜产品制造商东莞市深业厨具有限公司不具备国家强制性产品CCC认证资质条件，所投留样小样品冷柜产品违反法律、行政法规、《 强制性产品认证管理规定》</w:t>
      </w:r>
      <w:r>
        <w:rPr>
          <w:rFonts w:hint="eastAsia" w:ascii="仿宋" w:hAnsi="仿宋" w:eastAsia="仿宋" w:cs="仿宋"/>
          <w:b w:val="0"/>
          <w:bCs w:val="0"/>
          <w:color w:val="auto"/>
          <w:sz w:val="24"/>
          <w:szCs w:val="24"/>
          <w:highlight w:val="none"/>
          <w:lang w:eastAsia="zh-CN"/>
        </w:rPr>
        <w:t>。</w:t>
      </w:r>
    </w:p>
    <w:p>
      <w:pPr>
        <w:spacing w:line="360" w:lineRule="auto"/>
        <w:ind w:firstLine="562" w:firstLineChars="200"/>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bCs/>
          <w:color w:val="auto"/>
          <w:sz w:val="28"/>
          <w:szCs w:val="28"/>
          <w:highlight w:val="none"/>
        </w:rPr>
        <w:t>质疑事项1答复：</w:t>
      </w:r>
      <w:r>
        <w:rPr>
          <w:rFonts w:hint="eastAsia" w:ascii="仿宋" w:hAnsi="仿宋" w:eastAsia="仿宋" w:cs="仿宋"/>
          <w:b w:val="0"/>
          <w:bCs w:val="0"/>
          <w:color w:val="auto"/>
          <w:sz w:val="24"/>
          <w:szCs w:val="24"/>
          <w:highlight w:val="none"/>
        </w:rPr>
        <w:t>依据国家市场监督管理总局发布的现行《强制性产品认证管理规定》之强制性产品认证目录描述与界定表( 2020年修订)，</w:t>
      </w:r>
      <w:r>
        <w:rPr>
          <w:rFonts w:hint="eastAsia" w:ascii="仿宋" w:hAnsi="仿宋" w:eastAsia="仿宋" w:cs="仿宋"/>
          <w:b w:val="0"/>
          <w:bCs w:val="0"/>
          <w:color w:val="auto"/>
          <w:sz w:val="24"/>
          <w:szCs w:val="24"/>
          <w:highlight w:val="none"/>
          <w:lang w:eastAsia="zh-CN"/>
        </w:rPr>
        <w:t>“留样小样品冷柜”</w:t>
      </w:r>
      <w:r>
        <w:rPr>
          <w:rFonts w:hint="eastAsia" w:ascii="仿宋" w:hAnsi="仿宋" w:eastAsia="仿宋" w:cs="仿宋"/>
          <w:b w:val="0"/>
          <w:bCs w:val="0"/>
          <w:color w:val="auto"/>
          <w:sz w:val="24"/>
          <w:szCs w:val="24"/>
          <w:highlight w:val="none"/>
          <w:lang w:val="en-US" w:eastAsia="zh-CN"/>
        </w:rPr>
        <w:t>属于</w:t>
      </w:r>
      <w:r>
        <w:rPr>
          <w:rFonts w:hint="eastAsia" w:ascii="仿宋" w:hAnsi="仿宋" w:eastAsia="仿宋" w:cs="仿宋"/>
          <w:b w:val="0"/>
          <w:bCs w:val="0"/>
          <w:color w:val="auto"/>
          <w:sz w:val="24"/>
          <w:szCs w:val="24"/>
          <w:highlight w:val="none"/>
        </w:rPr>
        <w:t>强制性产品认证目录内的产品，通过</w:t>
      </w:r>
      <w:r>
        <w:rPr>
          <w:rFonts w:hint="eastAsia" w:ascii="仿宋" w:hAnsi="仿宋" w:eastAsia="仿宋" w:cs="仿宋"/>
          <w:b w:val="0"/>
          <w:bCs w:val="0"/>
          <w:color w:val="auto"/>
          <w:sz w:val="24"/>
          <w:szCs w:val="24"/>
          <w:highlight w:val="none"/>
          <w:lang w:val="en-US" w:eastAsia="zh-CN"/>
        </w:rPr>
        <w:t>在</w:t>
      </w:r>
      <w:r>
        <w:rPr>
          <w:rFonts w:hint="eastAsia" w:ascii="仿宋" w:hAnsi="仿宋" w:eastAsia="仿宋" w:cs="仿宋"/>
          <w:b w:val="0"/>
          <w:bCs w:val="0"/>
          <w:color w:val="auto"/>
          <w:sz w:val="24"/>
          <w:szCs w:val="24"/>
          <w:highlight w:val="none"/>
        </w:rPr>
        <w:t>国家市场监督管理总局网站查询核实</w:t>
      </w: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lang w:val="en-US" w:eastAsia="zh-CN"/>
        </w:rPr>
        <w:t>制造商东莞市深业厨具有限公司确实未取得3C认证证书，该项质疑成立。</w:t>
      </w:r>
    </w:p>
    <w:bookmarkEnd w:id="1"/>
    <w:p>
      <w:pPr>
        <w:spacing w:line="360" w:lineRule="auto"/>
        <w:ind w:firstLine="562" w:firstLineChars="200"/>
        <w:rPr>
          <w:rFonts w:hint="eastAsia" w:ascii="仿宋" w:hAnsi="仿宋" w:eastAsia="仿宋" w:cs="仿宋"/>
          <w:b w:val="0"/>
          <w:bCs w:val="0"/>
          <w:color w:val="auto"/>
          <w:sz w:val="24"/>
          <w:szCs w:val="24"/>
          <w:highlight w:val="none"/>
          <w:lang w:eastAsia="zh-CN"/>
        </w:rPr>
      </w:pPr>
      <w:bookmarkStart w:id="2" w:name="_Hlk109072341"/>
      <w:r>
        <w:rPr>
          <w:rFonts w:hint="eastAsia" w:ascii="仿宋" w:hAnsi="仿宋" w:eastAsia="仿宋" w:cs="仿宋"/>
          <w:b/>
          <w:bCs/>
          <w:color w:val="auto"/>
          <w:sz w:val="28"/>
          <w:szCs w:val="28"/>
          <w:highlight w:val="none"/>
        </w:rPr>
        <w:t>质疑事项</w:t>
      </w:r>
      <w:r>
        <w:rPr>
          <w:rFonts w:ascii="仿宋" w:hAnsi="仿宋" w:eastAsia="仿宋" w:cs="仿宋"/>
          <w:b/>
          <w:bCs/>
          <w:color w:val="auto"/>
          <w:sz w:val="28"/>
          <w:szCs w:val="28"/>
          <w:highlight w:val="none"/>
        </w:rPr>
        <w:t>2</w:t>
      </w:r>
      <w:r>
        <w:rPr>
          <w:rFonts w:hint="eastAsia" w:ascii="仿宋" w:hAnsi="仿宋" w:eastAsia="仿宋" w:cs="仿宋"/>
          <w:b/>
          <w:bCs/>
          <w:color w:val="auto"/>
          <w:sz w:val="28"/>
          <w:szCs w:val="28"/>
          <w:highlight w:val="none"/>
        </w:rPr>
        <w:t>:</w:t>
      </w:r>
      <w:r>
        <w:rPr>
          <w:rFonts w:hint="eastAsia" w:ascii="仿宋" w:hAnsi="仿宋" w:eastAsia="仿宋" w:cs="仿宋"/>
          <w:b w:val="0"/>
          <w:bCs w:val="0"/>
          <w:color w:val="auto"/>
          <w:sz w:val="24"/>
          <w:szCs w:val="24"/>
          <w:highlight w:val="none"/>
        </w:rPr>
        <w:t>中标供应商“富川嘉盛建筑工程有限公司”中小企业声明函(货物)第1项其中的厨房风机净化器启动器产品制造商为东莞市深业厨具有限公司，我公司质疑中标供应商“富川嘉盛建筑工程有限公司”所投所投厨房风机净化器启动器产品制造商东莞市深业厨具有限公司不具备国家强制性产品CCC认证资质条件，所投厨房风机净化器启动器产品违反法律、行政法规、《强制性产品认证管理规定》</w:t>
      </w:r>
      <w:r>
        <w:rPr>
          <w:rFonts w:hint="eastAsia" w:ascii="仿宋" w:hAnsi="仿宋" w:eastAsia="仿宋" w:cs="仿宋"/>
          <w:b w:val="0"/>
          <w:bCs w:val="0"/>
          <w:color w:val="auto"/>
          <w:sz w:val="24"/>
          <w:szCs w:val="24"/>
          <w:highlight w:val="none"/>
          <w:lang w:eastAsia="zh-CN"/>
        </w:rPr>
        <w:t>。</w:t>
      </w:r>
    </w:p>
    <w:bookmarkEnd w:id="2"/>
    <w:p>
      <w:pPr>
        <w:pStyle w:val="2"/>
        <w:spacing w:line="360" w:lineRule="auto"/>
        <w:rPr>
          <w:rFonts w:hint="eastAsia" w:ascii="仿宋" w:hAnsi="仿宋" w:eastAsia="仿宋" w:cs="仿宋"/>
          <w:b w:val="0"/>
          <w:bCs w:val="0"/>
          <w:color w:val="auto"/>
          <w:sz w:val="28"/>
          <w:szCs w:val="28"/>
          <w:highlight w:val="none"/>
        </w:rPr>
      </w:pPr>
      <w:r>
        <w:rPr>
          <w:rFonts w:hint="eastAsia" w:ascii="仿宋" w:hAnsi="仿宋" w:eastAsia="仿宋" w:cs="仿宋"/>
          <w:b/>
          <w:bCs/>
          <w:color w:val="auto"/>
          <w:sz w:val="28"/>
          <w:szCs w:val="28"/>
          <w:highlight w:val="none"/>
        </w:rPr>
        <w:t>质疑</w:t>
      </w:r>
      <w:r>
        <w:rPr>
          <w:rFonts w:hint="eastAsia" w:ascii="仿宋" w:hAnsi="仿宋" w:eastAsia="仿宋" w:cs="仿宋"/>
          <w:b/>
          <w:bCs/>
          <w:color w:val="auto"/>
          <w:sz w:val="28"/>
          <w:szCs w:val="28"/>
          <w:highlight w:val="none"/>
          <w:lang w:val="en-US" w:eastAsia="zh-CN"/>
        </w:rPr>
        <w:t>事项2</w:t>
      </w:r>
      <w:r>
        <w:rPr>
          <w:rFonts w:hint="eastAsia" w:ascii="仿宋" w:hAnsi="仿宋" w:eastAsia="仿宋" w:cs="仿宋"/>
          <w:b/>
          <w:bCs/>
          <w:color w:val="auto"/>
          <w:sz w:val="28"/>
          <w:szCs w:val="28"/>
          <w:highlight w:val="none"/>
        </w:rPr>
        <w:t>答复：</w:t>
      </w:r>
      <w:r>
        <w:rPr>
          <w:rFonts w:hint="eastAsia" w:ascii="仿宋" w:hAnsi="仿宋" w:eastAsia="仿宋" w:cs="仿宋"/>
          <w:b w:val="0"/>
          <w:bCs w:val="0"/>
          <w:color w:val="auto"/>
          <w:sz w:val="24"/>
          <w:szCs w:val="24"/>
          <w:highlight w:val="none"/>
        </w:rPr>
        <w:t>依据国家市场监督管理总局发布的现行《强制性产品认证管理规定》之强制性产品认证目录描述与界定表( 2020年修订)，“厨房风机净化器启动器”属于强制性产品认证目录内的产品，通过</w:t>
      </w:r>
      <w:r>
        <w:rPr>
          <w:rFonts w:hint="eastAsia" w:ascii="仿宋" w:hAnsi="仿宋" w:eastAsia="仿宋" w:cs="仿宋"/>
          <w:b w:val="0"/>
          <w:bCs w:val="0"/>
          <w:color w:val="auto"/>
          <w:sz w:val="24"/>
          <w:szCs w:val="24"/>
          <w:highlight w:val="none"/>
          <w:lang w:val="en-US" w:eastAsia="zh-CN"/>
        </w:rPr>
        <w:t>在</w:t>
      </w:r>
      <w:r>
        <w:rPr>
          <w:rFonts w:hint="eastAsia" w:ascii="仿宋" w:hAnsi="仿宋" w:eastAsia="仿宋" w:cs="仿宋"/>
          <w:b w:val="0"/>
          <w:bCs w:val="0"/>
          <w:color w:val="auto"/>
          <w:sz w:val="24"/>
          <w:szCs w:val="24"/>
          <w:highlight w:val="none"/>
        </w:rPr>
        <w:t>国家市场监督管理总局网站查询核实，制造商东莞市深业厨具有限公司</w:t>
      </w:r>
      <w:r>
        <w:rPr>
          <w:rFonts w:hint="eastAsia" w:ascii="仿宋" w:hAnsi="仿宋" w:eastAsia="仿宋" w:cs="仿宋"/>
          <w:b w:val="0"/>
          <w:bCs w:val="0"/>
          <w:color w:val="auto"/>
          <w:sz w:val="24"/>
          <w:szCs w:val="24"/>
          <w:highlight w:val="none"/>
          <w:lang w:val="en-US" w:eastAsia="zh-CN"/>
        </w:rPr>
        <w:t>确实</w:t>
      </w:r>
      <w:r>
        <w:rPr>
          <w:rFonts w:hint="eastAsia" w:ascii="仿宋" w:hAnsi="仿宋" w:eastAsia="仿宋" w:cs="仿宋"/>
          <w:b w:val="0"/>
          <w:bCs w:val="0"/>
          <w:color w:val="auto"/>
          <w:sz w:val="24"/>
          <w:szCs w:val="24"/>
          <w:highlight w:val="none"/>
        </w:rPr>
        <w:t>未取得</w:t>
      </w:r>
      <w:r>
        <w:rPr>
          <w:rFonts w:hint="eastAsia" w:ascii="仿宋" w:hAnsi="仿宋" w:eastAsia="仿宋" w:cs="仿宋"/>
          <w:b w:val="0"/>
          <w:bCs w:val="0"/>
          <w:color w:val="auto"/>
          <w:sz w:val="24"/>
          <w:szCs w:val="24"/>
          <w:highlight w:val="none"/>
          <w:lang w:val="en-US" w:eastAsia="zh-CN"/>
        </w:rPr>
        <w:t>3C认证证书</w:t>
      </w:r>
      <w:r>
        <w:rPr>
          <w:rFonts w:hint="eastAsia" w:ascii="仿宋" w:hAnsi="仿宋" w:eastAsia="仿宋" w:cs="仿宋"/>
          <w:b w:val="0"/>
          <w:bCs w:val="0"/>
          <w:color w:val="auto"/>
          <w:sz w:val="24"/>
          <w:szCs w:val="24"/>
          <w:highlight w:val="none"/>
        </w:rPr>
        <w:t>，该项质疑成立。</w:t>
      </w:r>
    </w:p>
    <w:p>
      <w:pPr>
        <w:spacing w:line="360" w:lineRule="auto"/>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根据《政府采购质疑和投诉办法》（财政部令第94号）第十六条“采购人、采购代理机构认为供应商质疑不成立，或者成立但未对中标、成交结果构成影响的，继续开展采购活动；认为供应商质疑成立且影响或者可能影响中标、成交结果的，按照下列情况处理：（二）对采购过程、中标或者成交结果提出的质疑，合格供应商符合法定数量时，可以从合格的中标或者成交候选人中另行确定中标、成交供应商的，应当依法另行确定中标、成交供应商；否则应当重新开展采购活动”，</w:t>
      </w:r>
    </w:p>
    <w:p>
      <w:pPr>
        <w:spacing w:line="360" w:lineRule="auto"/>
        <w:ind w:firstLine="480" w:firstLineChars="200"/>
        <w:rPr>
          <w:rFonts w:hint="eastAsia" w:ascii="仿宋" w:hAnsi="仿宋" w:eastAsia="仿宋" w:cs="仿宋"/>
          <w:b/>
          <w:bCs/>
          <w:color w:val="auto"/>
          <w:sz w:val="24"/>
          <w:szCs w:val="24"/>
          <w:highlight w:val="none"/>
          <w:lang w:eastAsia="zh-CN"/>
        </w:rPr>
      </w:pPr>
      <w:r>
        <w:rPr>
          <w:rFonts w:hint="eastAsia" w:ascii="仿宋" w:hAnsi="仿宋" w:eastAsia="仿宋" w:cs="仿宋"/>
          <w:bCs/>
          <w:color w:val="auto"/>
          <w:kern w:val="2"/>
          <w:sz w:val="24"/>
          <w:szCs w:val="24"/>
          <w:highlight w:val="none"/>
          <w:lang w:val="en-US" w:eastAsia="zh-CN" w:bidi="ar-SA"/>
        </w:rPr>
        <w:t>原评标委员会就上述采购产品3C认证事宜，对该项目所有响应文件进行重新复核，通过在国家市场监督管理总局网站查询核实，“排风机16寸”</w:t>
      </w:r>
      <w:r>
        <w:rPr>
          <w:rFonts w:hint="eastAsia" w:ascii="仿宋" w:hAnsi="仿宋" w:eastAsia="仿宋" w:cs="仿宋"/>
          <w:b w:val="0"/>
          <w:bCs w:val="0"/>
          <w:color w:val="auto"/>
          <w:sz w:val="24"/>
          <w:szCs w:val="24"/>
          <w:highlight w:val="none"/>
          <w:lang w:val="en-US" w:eastAsia="zh-CN"/>
        </w:rPr>
        <w:t>属于</w:t>
      </w:r>
      <w:r>
        <w:rPr>
          <w:rFonts w:hint="eastAsia" w:ascii="仿宋" w:hAnsi="仿宋" w:eastAsia="仿宋" w:cs="仿宋"/>
          <w:b w:val="0"/>
          <w:bCs w:val="0"/>
          <w:color w:val="auto"/>
          <w:sz w:val="24"/>
          <w:szCs w:val="24"/>
          <w:highlight w:val="none"/>
        </w:rPr>
        <w:t>强制性产品认证目录内的产品</w:t>
      </w:r>
      <w:r>
        <w:rPr>
          <w:rFonts w:hint="eastAsia" w:ascii="仿宋" w:hAnsi="仿宋" w:eastAsia="仿宋" w:cs="仿宋"/>
          <w:b w:val="0"/>
          <w:bCs w:val="0"/>
          <w:color w:val="auto"/>
          <w:sz w:val="24"/>
          <w:szCs w:val="24"/>
          <w:highlight w:val="none"/>
          <w:lang w:eastAsia="zh-CN"/>
        </w:rPr>
        <w:t>，贵单位</w:t>
      </w:r>
      <w:r>
        <w:rPr>
          <w:rFonts w:hint="eastAsia" w:ascii="仿宋" w:hAnsi="仿宋" w:eastAsia="仿宋" w:cs="仿宋"/>
          <w:bCs/>
          <w:color w:val="auto"/>
          <w:kern w:val="2"/>
          <w:sz w:val="24"/>
          <w:szCs w:val="24"/>
          <w:highlight w:val="none"/>
          <w:lang w:val="en-US" w:eastAsia="zh-CN" w:bidi="ar-SA"/>
        </w:rPr>
        <w:t>“排风机16寸”</w:t>
      </w:r>
      <w:r>
        <w:rPr>
          <w:rFonts w:hint="eastAsia" w:ascii="仿宋" w:hAnsi="仿宋" w:eastAsia="仿宋" w:cs="仿宋"/>
          <w:b w:val="0"/>
          <w:bCs w:val="0"/>
          <w:color w:val="auto"/>
          <w:sz w:val="24"/>
          <w:szCs w:val="24"/>
          <w:highlight w:val="none"/>
        </w:rPr>
        <w:t>产品制造商为江西省九洲澳普通风设备有限公司</w:t>
      </w:r>
      <w:r>
        <w:rPr>
          <w:rFonts w:hint="eastAsia" w:ascii="仿宋" w:hAnsi="仿宋" w:eastAsia="仿宋" w:cs="仿宋"/>
          <w:b w:val="0"/>
          <w:bCs w:val="0"/>
          <w:color w:val="auto"/>
          <w:sz w:val="24"/>
          <w:szCs w:val="24"/>
          <w:highlight w:val="none"/>
          <w:lang w:eastAsia="zh-CN"/>
        </w:rPr>
        <w:t>，未取得</w:t>
      </w:r>
      <w:r>
        <w:rPr>
          <w:rFonts w:hint="eastAsia" w:ascii="仿宋" w:hAnsi="仿宋" w:eastAsia="仿宋" w:cs="仿宋"/>
          <w:b w:val="0"/>
          <w:bCs w:val="0"/>
          <w:color w:val="auto"/>
          <w:sz w:val="24"/>
          <w:szCs w:val="24"/>
          <w:highlight w:val="none"/>
          <w:lang w:val="en-US" w:eastAsia="zh-CN"/>
        </w:rPr>
        <w:t>3C认证证书，</w:t>
      </w:r>
      <w:r>
        <w:rPr>
          <w:rFonts w:hint="eastAsia" w:ascii="仿宋" w:hAnsi="仿宋" w:eastAsia="仿宋" w:cs="仿宋"/>
          <w:b w:val="0"/>
          <w:bCs w:val="0"/>
          <w:color w:val="auto"/>
          <w:sz w:val="24"/>
          <w:szCs w:val="24"/>
          <w:highlight w:val="none"/>
        </w:rPr>
        <w:t>违反法律、行政法规、《 强制性产品认证管理规定》</w:t>
      </w:r>
      <w:r>
        <w:rPr>
          <w:rFonts w:hint="eastAsia" w:ascii="仿宋" w:hAnsi="仿宋" w:eastAsia="仿宋" w:cs="仿宋"/>
          <w:b w:val="0"/>
          <w:bCs w:val="0"/>
          <w:color w:val="auto"/>
          <w:sz w:val="24"/>
          <w:szCs w:val="24"/>
          <w:highlight w:val="none"/>
          <w:lang w:eastAsia="zh-CN"/>
        </w:rPr>
        <w:t>。</w:t>
      </w:r>
    </w:p>
    <w:p>
      <w:pPr>
        <w:pStyle w:val="2"/>
        <w:spacing w:line="360" w:lineRule="auto"/>
        <w:rPr>
          <w:rFonts w:hint="eastAsia" w:ascii="仿宋" w:hAnsi="仿宋" w:eastAsia="仿宋" w:cs="仿宋"/>
          <w:color w:val="auto"/>
          <w:highlight w:val="none"/>
          <w:lang w:eastAsia="zh-CN"/>
        </w:rPr>
      </w:pPr>
      <w:r>
        <w:rPr>
          <w:rFonts w:hint="eastAsia" w:ascii="仿宋" w:hAnsi="仿宋" w:eastAsia="仿宋" w:cs="仿宋"/>
          <w:bCs/>
          <w:color w:val="auto"/>
          <w:kern w:val="2"/>
          <w:sz w:val="24"/>
          <w:szCs w:val="24"/>
          <w:highlight w:val="none"/>
          <w:lang w:val="en-US" w:eastAsia="zh-CN" w:bidi="ar-SA"/>
        </w:rPr>
        <w:t>经核实，各投标人所投产品中均存在未取得3C认证证书的情况。故该项目</w:t>
      </w:r>
      <w:r>
        <w:rPr>
          <w:rFonts w:hint="eastAsia" w:ascii="仿宋" w:hAnsi="仿宋" w:eastAsia="仿宋" w:cs="仿宋"/>
          <w:color w:val="auto"/>
          <w:sz w:val="24"/>
          <w:szCs w:val="24"/>
          <w:highlight w:val="none"/>
          <w:lang w:val="en-US" w:eastAsia="zh-CN"/>
        </w:rPr>
        <w:t>没有合格供应商，</w:t>
      </w:r>
      <w:r>
        <w:rPr>
          <w:rFonts w:hint="eastAsia" w:ascii="仿宋" w:hAnsi="仿宋" w:eastAsia="仿宋" w:cs="仿宋"/>
          <w:bCs/>
          <w:color w:val="auto"/>
          <w:kern w:val="2"/>
          <w:sz w:val="24"/>
          <w:szCs w:val="24"/>
          <w:highlight w:val="none"/>
          <w:lang w:val="en-US" w:eastAsia="zh-CN" w:bidi="ar-SA"/>
        </w:rPr>
        <w:t>原评标委员会</w:t>
      </w:r>
      <w:r>
        <w:rPr>
          <w:rFonts w:hint="eastAsia" w:ascii="仿宋" w:hAnsi="仿宋" w:eastAsia="仿宋" w:cs="仿宋"/>
          <w:color w:val="auto"/>
          <w:sz w:val="24"/>
          <w:szCs w:val="24"/>
          <w:highlight w:val="none"/>
          <w:lang w:val="en-US" w:eastAsia="zh-CN"/>
        </w:rPr>
        <w:t>判断中标结果无效，本项目按废标处理。</w:t>
      </w:r>
    </w:p>
    <w:p>
      <w:pPr>
        <w:spacing w:line="360" w:lineRule="auto"/>
        <w:ind w:firstLine="480" w:firstLineChars="200"/>
        <w:rPr>
          <w:rFonts w:hint="eastAsia" w:ascii="仿宋" w:hAnsi="仿宋" w:eastAsia="仿宋" w:cs="仿宋"/>
          <w:color w:val="auto"/>
          <w:highlight w:val="none"/>
          <w:lang w:eastAsia="zh-CN"/>
        </w:rPr>
      </w:pPr>
      <w:bookmarkStart w:id="3" w:name="_GoBack"/>
      <w:r>
        <w:rPr>
          <w:rFonts w:hint="eastAsia" w:ascii="仿宋" w:hAnsi="仿宋" w:eastAsia="仿宋" w:cs="仿宋"/>
          <w:color w:val="auto"/>
          <w:sz w:val="24"/>
          <w:szCs w:val="24"/>
          <w:highlight w:val="none"/>
          <w:lang w:eastAsia="zh-CN"/>
        </w:rPr>
        <w:t>综合上述质疑答复：取消</w:t>
      </w:r>
      <w:r>
        <w:rPr>
          <w:rFonts w:hint="eastAsia" w:ascii="仿宋" w:hAnsi="仿宋" w:eastAsia="仿宋" w:cs="仿宋"/>
          <w:color w:val="auto"/>
          <w:sz w:val="24"/>
          <w:szCs w:val="24"/>
          <w:highlight w:val="none"/>
          <w:lang w:val="en-US" w:eastAsia="zh-CN"/>
        </w:rPr>
        <w:t>中标人</w:t>
      </w:r>
      <w:r>
        <w:rPr>
          <w:rFonts w:hint="eastAsia" w:ascii="仿宋" w:hAnsi="仿宋" w:eastAsia="仿宋" w:cs="仿宋"/>
          <w:color w:val="auto"/>
          <w:sz w:val="24"/>
          <w:szCs w:val="24"/>
          <w:highlight w:val="none"/>
          <w:lang w:eastAsia="zh-CN"/>
        </w:rPr>
        <w:t>资格，</w:t>
      </w:r>
      <w:r>
        <w:rPr>
          <w:rFonts w:hint="eastAsia" w:ascii="仿宋" w:hAnsi="仿宋" w:eastAsia="仿宋" w:cs="仿宋"/>
          <w:color w:val="auto"/>
          <w:sz w:val="24"/>
          <w:szCs w:val="24"/>
          <w:highlight w:val="none"/>
          <w:lang w:val="en-US" w:eastAsia="zh-CN"/>
        </w:rPr>
        <w:t>中标</w:t>
      </w:r>
      <w:r>
        <w:rPr>
          <w:rFonts w:hint="eastAsia" w:ascii="仿宋" w:hAnsi="仿宋" w:eastAsia="仿宋" w:cs="仿宋"/>
          <w:color w:val="auto"/>
          <w:sz w:val="24"/>
          <w:szCs w:val="24"/>
          <w:highlight w:val="none"/>
          <w:lang w:eastAsia="zh-CN"/>
        </w:rPr>
        <w:t>结果</w:t>
      </w:r>
      <w:r>
        <w:rPr>
          <w:rFonts w:hint="eastAsia" w:ascii="仿宋" w:hAnsi="仿宋" w:eastAsia="仿宋" w:cs="仿宋"/>
          <w:color w:val="auto"/>
          <w:sz w:val="24"/>
          <w:szCs w:val="24"/>
          <w:highlight w:val="none"/>
          <w:lang w:val="en-US" w:eastAsia="zh-CN"/>
        </w:rPr>
        <w:t>无效</w:t>
      </w:r>
      <w:r>
        <w:rPr>
          <w:rFonts w:hint="eastAsia" w:ascii="仿宋" w:hAnsi="仿宋" w:eastAsia="仿宋" w:cs="仿宋"/>
          <w:color w:val="auto"/>
          <w:sz w:val="24"/>
          <w:szCs w:val="24"/>
          <w:highlight w:val="none"/>
          <w:lang w:eastAsia="zh-CN"/>
        </w:rPr>
        <w:t>。</w:t>
      </w:r>
    </w:p>
    <w:bookmarkEnd w:id="3"/>
    <w:p>
      <w:pPr>
        <w:pStyle w:val="2"/>
        <w:rPr>
          <w:rFonts w:hint="eastAsia"/>
          <w:color w:val="auto"/>
          <w:highlight w:val="none"/>
          <w:lang w:eastAsia="zh-CN"/>
        </w:rPr>
      </w:pPr>
    </w:p>
    <w:p>
      <w:pPr>
        <w:spacing w:line="360" w:lineRule="auto"/>
        <w:ind w:firstLine="480" w:firstLineChars="200"/>
        <w:rPr>
          <w:rFonts w:ascii="仿宋" w:hAnsi="仿宋" w:eastAsia="仿宋" w:cs="仿宋"/>
          <w:sz w:val="24"/>
          <w:szCs w:val="24"/>
        </w:rPr>
      </w:pPr>
      <w:r>
        <w:rPr>
          <w:rFonts w:ascii="仿宋" w:hAnsi="仿宋" w:eastAsia="仿宋" w:cs="仿宋"/>
          <w:color w:val="auto"/>
          <w:sz w:val="24"/>
          <w:szCs w:val="24"/>
          <w:highlight w:val="none"/>
        </w:rPr>
        <w:t>以上内容为我公司针对质疑人提出的质疑</w:t>
      </w:r>
      <w:r>
        <w:rPr>
          <w:rFonts w:hint="eastAsia" w:ascii="仿宋" w:hAnsi="仿宋" w:eastAsia="仿宋" w:cs="仿宋"/>
          <w:color w:val="auto"/>
          <w:sz w:val="24"/>
          <w:szCs w:val="24"/>
          <w:highlight w:val="none"/>
        </w:rPr>
        <w:t>内容</w:t>
      </w:r>
      <w:r>
        <w:rPr>
          <w:rFonts w:ascii="仿宋" w:hAnsi="仿宋" w:eastAsia="仿宋" w:cs="仿宋"/>
          <w:color w:val="auto"/>
          <w:sz w:val="24"/>
          <w:szCs w:val="24"/>
        </w:rPr>
        <w:t>作出的答复，根据《政府采购质疑和投诉办法》（财政部令第94号），如质疑</w:t>
      </w:r>
      <w:r>
        <w:rPr>
          <w:rFonts w:hint="eastAsia" w:ascii="仿宋" w:hAnsi="仿宋" w:eastAsia="仿宋" w:cs="仿宋"/>
          <w:color w:val="auto"/>
          <w:sz w:val="24"/>
          <w:szCs w:val="24"/>
        </w:rPr>
        <w:t>人</w:t>
      </w:r>
      <w:r>
        <w:rPr>
          <w:rFonts w:ascii="仿宋" w:hAnsi="仿宋" w:eastAsia="仿宋" w:cs="仿宋"/>
          <w:color w:val="auto"/>
          <w:sz w:val="24"/>
          <w:szCs w:val="24"/>
        </w:rPr>
        <w:t>对采购人、采购代理机构的答复不满意，可以在答复期满后15个工作日内向</w:t>
      </w:r>
      <w:r>
        <w:rPr>
          <w:rFonts w:hint="eastAsia" w:ascii="仿宋" w:hAnsi="仿宋" w:eastAsia="仿宋" w:cs="仿宋"/>
          <w:color w:val="auto"/>
          <w:sz w:val="24"/>
          <w:szCs w:val="24"/>
        </w:rPr>
        <w:t>财政监管</w:t>
      </w:r>
      <w:r>
        <w:rPr>
          <w:rFonts w:ascii="仿宋" w:hAnsi="仿宋" w:eastAsia="仿宋" w:cs="仿宋"/>
          <w:color w:val="auto"/>
          <w:sz w:val="24"/>
          <w:szCs w:val="24"/>
        </w:rPr>
        <w:t>部门进行投诉。感谢质</w:t>
      </w:r>
      <w:r>
        <w:rPr>
          <w:rFonts w:ascii="仿宋" w:hAnsi="仿宋" w:eastAsia="仿宋" w:cs="仿宋"/>
          <w:sz w:val="24"/>
          <w:szCs w:val="24"/>
        </w:rPr>
        <w:t>疑人对本公司工作的关心和支持！</w:t>
      </w:r>
    </w:p>
    <w:p>
      <w:pPr>
        <w:spacing w:line="360" w:lineRule="auto"/>
        <w:ind w:firstLine="3360" w:firstLineChars="1200"/>
        <w:jc w:val="left"/>
        <w:rPr>
          <w:rFonts w:ascii="仿宋" w:hAnsi="仿宋" w:eastAsia="仿宋" w:cs="仿宋"/>
          <w:sz w:val="28"/>
          <w:szCs w:val="28"/>
        </w:rPr>
      </w:pPr>
      <w:r>
        <w:rPr>
          <w:rFonts w:ascii="仿宋" w:hAnsi="仿宋" w:eastAsia="仿宋" w:cs="仿宋"/>
          <w:sz w:val="28"/>
          <w:szCs w:val="28"/>
        </w:rPr>
        <w:t>采购代理机构：</w:t>
      </w:r>
      <w:r>
        <w:rPr>
          <w:rFonts w:ascii="仿宋" w:hAnsi="仿宋" w:eastAsia="仿宋" w:cs="仿宋"/>
          <w:sz w:val="28"/>
          <w:szCs w:val="28"/>
          <w:u w:val="single"/>
        </w:rPr>
        <w:t xml:space="preserve"> </w:t>
      </w:r>
      <w:r>
        <w:rPr>
          <w:rFonts w:hint="eastAsia" w:ascii="仿宋" w:hAnsi="仿宋" w:eastAsia="仿宋" w:cs="仿宋"/>
          <w:sz w:val="28"/>
          <w:szCs w:val="28"/>
          <w:u w:val="single"/>
        </w:rPr>
        <w:t>广西汉昌工程咨询有限公司</w:t>
      </w:r>
    </w:p>
    <w:p>
      <w:pPr>
        <w:spacing w:line="360" w:lineRule="auto"/>
        <w:ind w:firstLine="5513" w:firstLineChars="1969"/>
        <w:jc w:val="left"/>
        <w:rPr>
          <w:rFonts w:ascii="仿宋" w:hAnsi="仿宋" w:eastAsia="仿宋" w:cs="仿宋"/>
          <w:color w:val="auto"/>
          <w:sz w:val="28"/>
          <w:szCs w:val="28"/>
        </w:rPr>
      </w:pPr>
      <w:r>
        <w:rPr>
          <w:rFonts w:ascii="仿宋" w:hAnsi="仿宋" w:eastAsia="仿宋" w:cs="仿宋"/>
          <w:color w:val="auto"/>
          <w:sz w:val="28"/>
          <w:szCs w:val="28"/>
        </w:rPr>
        <w:t>2022年</w:t>
      </w:r>
      <w:r>
        <w:rPr>
          <w:rFonts w:hint="eastAsia" w:ascii="仿宋" w:hAnsi="仿宋" w:eastAsia="仿宋" w:cs="仿宋"/>
          <w:color w:val="auto"/>
          <w:sz w:val="28"/>
          <w:szCs w:val="28"/>
          <w:lang w:val="en-US" w:eastAsia="zh-CN"/>
        </w:rPr>
        <w:t>12</w:t>
      </w:r>
      <w:r>
        <w:rPr>
          <w:rFonts w:ascii="仿宋" w:hAnsi="仿宋" w:eastAsia="仿宋" w:cs="仿宋"/>
          <w:color w:val="auto"/>
          <w:sz w:val="28"/>
          <w:szCs w:val="28"/>
        </w:rPr>
        <w:t>月</w:t>
      </w:r>
      <w:r>
        <w:rPr>
          <w:rFonts w:hint="eastAsia" w:ascii="仿宋" w:hAnsi="仿宋" w:eastAsia="仿宋" w:cs="仿宋"/>
          <w:color w:val="auto"/>
          <w:sz w:val="28"/>
          <w:szCs w:val="28"/>
          <w:lang w:val="en-US" w:eastAsia="zh-CN"/>
        </w:rPr>
        <w:t>06</w:t>
      </w:r>
      <w:r>
        <w:rPr>
          <w:rFonts w:ascii="仿宋" w:hAnsi="仿宋" w:eastAsia="仿宋" w:cs="仿宋"/>
          <w:color w:val="auto"/>
          <w:sz w:val="28"/>
          <w:szCs w:val="28"/>
        </w:rPr>
        <w:t>日</w:t>
      </w:r>
    </w:p>
    <w:sectPr>
      <w:pgSz w:w="11906" w:h="16838"/>
      <w:pgMar w:top="1440" w:right="1230" w:bottom="1440" w:left="123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TY3MGEzZGFhYmUwM2FkMWJmYzQwODNkMzVjM2VlN2IifQ=="/>
  </w:docVars>
  <w:rsids>
    <w:rsidRoot w:val="7CB9365D"/>
    <w:rsid w:val="00027260"/>
    <w:rsid w:val="0004623C"/>
    <w:rsid w:val="00085284"/>
    <w:rsid w:val="000B41B7"/>
    <w:rsid w:val="000B786D"/>
    <w:rsid w:val="00123FE2"/>
    <w:rsid w:val="001254ED"/>
    <w:rsid w:val="00137CF5"/>
    <w:rsid w:val="001663D7"/>
    <w:rsid w:val="00171714"/>
    <w:rsid w:val="0017773D"/>
    <w:rsid w:val="0018075A"/>
    <w:rsid w:val="001E2759"/>
    <w:rsid w:val="002544F2"/>
    <w:rsid w:val="002828B3"/>
    <w:rsid w:val="0029614C"/>
    <w:rsid w:val="00296AEB"/>
    <w:rsid w:val="002E4B58"/>
    <w:rsid w:val="00345561"/>
    <w:rsid w:val="00377784"/>
    <w:rsid w:val="00436347"/>
    <w:rsid w:val="00440D2C"/>
    <w:rsid w:val="00576FFF"/>
    <w:rsid w:val="0060112C"/>
    <w:rsid w:val="0061234D"/>
    <w:rsid w:val="00666E8B"/>
    <w:rsid w:val="00667166"/>
    <w:rsid w:val="00681A37"/>
    <w:rsid w:val="0068345B"/>
    <w:rsid w:val="00687BC0"/>
    <w:rsid w:val="006900C1"/>
    <w:rsid w:val="006B07C2"/>
    <w:rsid w:val="006B5CD0"/>
    <w:rsid w:val="006D62D5"/>
    <w:rsid w:val="00713CB4"/>
    <w:rsid w:val="00735C66"/>
    <w:rsid w:val="007B0CC8"/>
    <w:rsid w:val="007B598D"/>
    <w:rsid w:val="0080211E"/>
    <w:rsid w:val="00814272"/>
    <w:rsid w:val="008230C9"/>
    <w:rsid w:val="00847C08"/>
    <w:rsid w:val="00851D3B"/>
    <w:rsid w:val="008A65DC"/>
    <w:rsid w:val="008B5690"/>
    <w:rsid w:val="008F7977"/>
    <w:rsid w:val="00956039"/>
    <w:rsid w:val="009C4B17"/>
    <w:rsid w:val="00A61F41"/>
    <w:rsid w:val="00A7195B"/>
    <w:rsid w:val="00A926DF"/>
    <w:rsid w:val="00AD5859"/>
    <w:rsid w:val="00B348DD"/>
    <w:rsid w:val="00BC5755"/>
    <w:rsid w:val="00BC5C34"/>
    <w:rsid w:val="00BC6063"/>
    <w:rsid w:val="00BF58BC"/>
    <w:rsid w:val="00C236E4"/>
    <w:rsid w:val="00C457F6"/>
    <w:rsid w:val="00C6592C"/>
    <w:rsid w:val="00C734CA"/>
    <w:rsid w:val="00C74CDF"/>
    <w:rsid w:val="00C83192"/>
    <w:rsid w:val="00CA304A"/>
    <w:rsid w:val="00CC2360"/>
    <w:rsid w:val="00CF3407"/>
    <w:rsid w:val="00D024A1"/>
    <w:rsid w:val="00D25C8C"/>
    <w:rsid w:val="00D36C44"/>
    <w:rsid w:val="00D70211"/>
    <w:rsid w:val="00DB1345"/>
    <w:rsid w:val="00DC0428"/>
    <w:rsid w:val="00DF1FA4"/>
    <w:rsid w:val="00E324EB"/>
    <w:rsid w:val="00E3739A"/>
    <w:rsid w:val="00E432B5"/>
    <w:rsid w:val="00E629C0"/>
    <w:rsid w:val="00E810DB"/>
    <w:rsid w:val="00EB4991"/>
    <w:rsid w:val="00F20859"/>
    <w:rsid w:val="00F52D49"/>
    <w:rsid w:val="00F80464"/>
    <w:rsid w:val="00FA2541"/>
    <w:rsid w:val="00FA4DC8"/>
    <w:rsid w:val="00FC3158"/>
    <w:rsid w:val="00FD1897"/>
    <w:rsid w:val="00FF2A48"/>
    <w:rsid w:val="00FF67C3"/>
    <w:rsid w:val="010605ED"/>
    <w:rsid w:val="01655A05"/>
    <w:rsid w:val="01690E40"/>
    <w:rsid w:val="01C97829"/>
    <w:rsid w:val="04967E6D"/>
    <w:rsid w:val="0C6E6C36"/>
    <w:rsid w:val="10A62073"/>
    <w:rsid w:val="12670A24"/>
    <w:rsid w:val="13221903"/>
    <w:rsid w:val="13C44C47"/>
    <w:rsid w:val="192E2A37"/>
    <w:rsid w:val="1A732DC0"/>
    <w:rsid w:val="1AD579B2"/>
    <w:rsid w:val="1B3A130E"/>
    <w:rsid w:val="1E59377D"/>
    <w:rsid w:val="20794C1D"/>
    <w:rsid w:val="2298217D"/>
    <w:rsid w:val="23DE425B"/>
    <w:rsid w:val="2672733E"/>
    <w:rsid w:val="279C6510"/>
    <w:rsid w:val="28EF39F1"/>
    <w:rsid w:val="29527D6A"/>
    <w:rsid w:val="343724E6"/>
    <w:rsid w:val="356F1E4A"/>
    <w:rsid w:val="36ED6067"/>
    <w:rsid w:val="38AE71BB"/>
    <w:rsid w:val="39744017"/>
    <w:rsid w:val="3A6A630A"/>
    <w:rsid w:val="3AA372CE"/>
    <w:rsid w:val="3C010547"/>
    <w:rsid w:val="3CC74098"/>
    <w:rsid w:val="3F382310"/>
    <w:rsid w:val="3F844779"/>
    <w:rsid w:val="41180F49"/>
    <w:rsid w:val="414B2F36"/>
    <w:rsid w:val="43F4120C"/>
    <w:rsid w:val="46902C0D"/>
    <w:rsid w:val="49DE2BDA"/>
    <w:rsid w:val="4A1E58F2"/>
    <w:rsid w:val="4B633C80"/>
    <w:rsid w:val="560F4094"/>
    <w:rsid w:val="5DAD7FE5"/>
    <w:rsid w:val="5E8B2BE6"/>
    <w:rsid w:val="6B74349B"/>
    <w:rsid w:val="6DCD714F"/>
    <w:rsid w:val="6DEB22A9"/>
    <w:rsid w:val="742D4B6C"/>
    <w:rsid w:val="76225315"/>
    <w:rsid w:val="762F1844"/>
    <w:rsid w:val="7633454A"/>
    <w:rsid w:val="79880AA2"/>
    <w:rsid w:val="7C292F75"/>
    <w:rsid w:val="7CB9365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qFormat="1" w:unhideWhenUsed="0" w:uiPriority="0" w:semiHidden="0" w:name="Strong"/>
    <w:lsdException w:qFormat="1" w:unhideWhenUsed="0" w:uiPriority="2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1"/>
    <w:basedOn w:val="1"/>
    <w:next w:val="1"/>
    <w:qFormat/>
    <w:uiPriority w:val="0"/>
    <w:pPr>
      <w:spacing w:beforeAutospacing="1" w:afterAutospacing="1"/>
      <w:jc w:val="left"/>
      <w:outlineLvl w:val="0"/>
    </w:pPr>
    <w:rPr>
      <w:rFonts w:hint="eastAsia" w:ascii="宋体" w:hAnsi="宋体" w:eastAsia="宋体" w:cs="Times New Roman"/>
      <w:b/>
      <w:bCs/>
      <w:kern w:val="44"/>
      <w:sz w:val="48"/>
      <w:szCs w:val="48"/>
    </w:rPr>
  </w:style>
  <w:style w:type="paragraph" w:styleId="4">
    <w:name w:val="heading 3"/>
    <w:basedOn w:val="1"/>
    <w:next w:val="1"/>
    <w:qFormat/>
    <w:uiPriority w:val="0"/>
    <w:pPr>
      <w:keepNext/>
      <w:keepLines/>
      <w:spacing w:line="415" w:lineRule="auto"/>
      <w:outlineLvl w:val="2"/>
    </w:pPr>
    <w:rPr>
      <w:b/>
      <w:bCs/>
      <w:sz w:val="32"/>
      <w:szCs w:val="32"/>
    </w:rPr>
  </w:style>
  <w:style w:type="character" w:default="1" w:styleId="7">
    <w:name w:val="Default Paragraph Font"/>
    <w:semiHidden/>
    <w:unhideWhenUsed/>
    <w:qFormat/>
    <w:uiPriority w:val="1"/>
  </w:style>
  <w:style w:type="table" w:default="1" w:styleId="11">
    <w:name w:val="Normal Table"/>
    <w:semiHidden/>
    <w:unhideWhenUsed/>
    <w:qFormat/>
    <w:uiPriority w:val="99"/>
    <w:tblPr>
      <w:tblLayout w:type="fixed"/>
      <w:tblCellMar>
        <w:top w:w="0" w:type="dxa"/>
        <w:left w:w="108" w:type="dxa"/>
        <w:bottom w:w="0" w:type="dxa"/>
        <w:right w:w="108" w:type="dxa"/>
      </w:tblCellMar>
    </w:tblPr>
  </w:style>
  <w:style w:type="paragraph" w:styleId="2">
    <w:name w:val="Normal Indent"/>
    <w:basedOn w:val="1"/>
    <w:next w:val="1"/>
    <w:qFormat/>
    <w:uiPriority w:val="0"/>
    <w:pPr>
      <w:ind w:firstLine="420"/>
    </w:pPr>
    <w:rPr>
      <w:szCs w:val="20"/>
    </w:rPr>
  </w:style>
  <w:style w:type="paragraph" w:styleId="5">
    <w:name w:val="footer"/>
    <w:basedOn w:val="1"/>
    <w:next w:val="1"/>
    <w:qFormat/>
    <w:uiPriority w:val="99"/>
    <w:pPr>
      <w:tabs>
        <w:tab w:val="center" w:pos="4140"/>
        <w:tab w:val="right" w:pos="8300"/>
      </w:tabs>
      <w:snapToGrid w:val="0"/>
      <w:jc w:val="left"/>
    </w:pPr>
    <w:rPr>
      <w:rFonts w:ascii="Times New Roman" w:hAnsi="Times New Roman" w:eastAsia="宋体" w:cs="Times New Roman"/>
      <w:sz w:val="18"/>
      <w:szCs w:val="18"/>
    </w:rPr>
  </w:style>
  <w:style w:type="paragraph" w:styleId="6">
    <w:name w:val="header"/>
    <w:basedOn w:val="1"/>
    <w:link w:val="15"/>
    <w:qFormat/>
    <w:uiPriority w:val="0"/>
    <w:pPr>
      <w:pBdr>
        <w:bottom w:val="single" w:color="auto" w:sz="6" w:space="1"/>
      </w:pBdr>
      <w:tabs>
        <w:tab w:val="center" w:pos="4153"/>
        <w:tab w:val="right" w:pos="8306"/>
      </w:tabs>
      <w:snapToGrid w:val="0"/>
      <w:jc w:val="center"/>
    </w:pPr>
    <w:rPr>
      <w:sz w:val="18"/>
      <w:szCs w:val="18"/>
    </w:rPr>
  </w:style>
  <w:style w:type="character" w:styleId="8">
    <w:name w:val="Strong"/>
    <w:basedOn w:val="7"/>
    <w:qFormat/>
    <w:uiPriority w:val="0"/>
    <w:rPr>
      <w:b/>
    </w:rPr>
  </w:style>
  <w:style w:type="character" w:styleId="9">
    <w:name w:val="Emphasis"/>
    <w:basedOn w:val="7"/>
    <w:qFormat/>
    <w:uiPriority w:val="20"/>
    <w:rPr>
      <w:i/>
    </w:rPr>
  </w:style>
  <w:style w:type="character" w:styleId="10">
    <w:name w:val="Hyperlink"/>
    <w:basedOn w:val="7"/>
    <w:unhideWhenUsed/>
    <w:qFormat/>
    <w:uiPriority w:val="99"/>
    <w:rPr>
      <w:color w:val="0000FF"/>
      <w:u w:val="single"/>
    </w:rPr>
  </w:style>
  <w:style w:type="paragraph" w:customStyle="1" w:styleId="12">
    <w:name w:val="表格文字"/>
    <w:basedOn w:val="1"/>
    <w:qFormat/>
    <w:uiPriority w:val="0"/>
    <w:pPr>
      <w:spacing w:before="25" w:after="25"/>
      <w:jc w:val="left"/>
    </w:pPr>
    <w:rPr>
      <w:bCs/>
      <w:spacing w:val="10"/>
      <w:kern w:val="0"/>
      <w:sz w:val="24"/>
      <w:szCs w:val="20"/>
    </w:rPr>
  </w:style>
  <w:style w:type="paragraph" w:customStyle="1" w:styleId="13">
    <w:name w:val="正文段"/>
    <w:basedOn w:val="1"/>
    <w:qFormat/>
    <w:uiPriority w:val="0"/>
    <w:pPr>
      <w:widowControl/>
      <w:snapToGrid w:val="0"/>
      <w:spacing w:afterLines="50"/>
      <w:ind w:firstLine="200" w:firstLineChars="200"/>
    </w:pPr>
    <w:rPr>
      <w:kern w:val="0"/>
      <w:sz w:val="24"/>
      <w:szCs w:val="20"/>
    </w:rPr>
  </w:style>
  <w:style w:type="paragraph" w:customStyle="1" w:styleId="14">
    <w:name w:val="正文1"/>
    <w:qFormat/>
    <w:uiPriority w:val="0"/>
    <w:pPr>
      <w:jc w:val="both"/>
    </w:pPr>
    <w:rPr>
      <w:rFonts w:ascii="Times New Roman" w:hAnsi="Times New Roman" w:eastAsia="宋体" w:cs="Times New Roman"/>
      <w:kern w:val="2"/>
      <w:sz w:val="21"/>
      <w:szCs w:val="21"/>
      <w:lang w:val="en-US" w:eastAsia="zh-CN" w:bidi="ar-SA"/>
    </w:rPr>
  </w:style>
  <w:style w:type="character" w:customStyle="1" w:styleId="15">
    <w:name w:val="页眉 字符"/>
    <w:basedOn w:val="7"/>
    <w:link w:val="6"/>
    <w:qFormat/>
    <w:uiPriority w:val="0"/>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Pages>
  <Words>1498</Words>
  <Characters>1592</Characters>
  <Lines>19</Lines>
  <Paragraphs>5</Paragraphs>
  <TotalTime>5</TotalTime>
  <ScaleCrop>false</ScaleCrop>
  <LinksUpToDate>false</LinksUpToDate>
  <CharactersWithSpaces>1602</CharactersWithSpaces>
  <Application>WPS Office_10.8.2.6543_F1E327BC-269C-435d-A152-05C5408002CA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2022-08-29T09:30:00Z</dcterms:created>
  <dc:creator>Lenovo</dc:creator>
  <cp:lastModifiedBy>hzws22001</cp:lastModifiedBy>
  <cp:lastPrinted>2021-09-16T02:46:00Z</cp:lastPrinted>
  <dcterms:modified xsi:type="dcterms:W3CDTF">2022-12-06T10:42:10Z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2052-10.8.2.6543</vt:lpwstr>
  </property>
  <property fmtid="{D5CDD505-2E9C-101B-9397-08002B2CF9AE}" pid="3" name="ICV">
    <vt:lpwstr>C274DDEF10AA4C288512BE0E06AFBE98</vt:lpwstr>
  </property>
</Properties>
</file>