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00" w:lineRule="exact"/>
        <w:ind w:left="631" w:leftChars="-674" w:hanging="2046" w:hangingChars="637"/>
        <w:jc w:val="center"/>
        <w:textAlignment w:val="auto"/>
        <w:rPr>
          <w:rFonts w:hint="eastAsia" w:ascii="宋体" w:hAnsi="宋体" w:eastAsia="宋体" w:cs="宋体"/>
          <w:b/>
          <w:bCs/>
          <w:color w:val="auto"/>
          <w:sz w:val="24"/>
          <w:highlight w:val="none"/>
          <w:lang w:eastAsia="zh-CN"/>
        </w:rPr>
      </w:pPr>
      <w:bookmarkStart w:id="0" w:name="_Toc35393621"/>
      <w:bookmarkStart w:id="1" w:name="_Toc28359079"/>
      <w:bookmarkStart w:id="2" w:name="_Hlk24379207"/>
      <w:bookmarkStart w:id="3" w:name="_Toc28359002"/>
      <w:bookmarkStart w:id="4" w:name="_Toc35393790"/>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lang w:eastAsia="zh-CN"/>
        </w:rPr>
        <w:t>北京中泽融信管理咨询有限公司</w:t>
      </w:r>
      <w:r>
        <w:rPr>
          <w:rFonts w:hint="eastAsia" w:ascii="宋体" w:hAnsi="宋体" w:eastAsia="宋体" w:cs="宋体"/>
          <w:b/>
          <w:bCs/>
          <w:color w:val="auto"/>
          <w:sz w:val="32"/>
          <w:szCs w:val="32"/>
          <w:highlight w:val="none"/>
          <w:lang w:eastAsia="zh-CN"/>
        </w:rPr>
        <w:t>关于</w:t>
      </w:r>
      <w:r>
        <w:rPr>
          <w:rFonts w:hint="eastAsia" w:ascii="宋体" w:hAnsi="宋体" w:cs="宋体"/>
          <w:b/>
          <w:bCs/>
          <w:color w:val="auto"/>
          <w:sz w:val="32"/>
          <w:szCs w:val="32"/>
          <w:highlight w:val="none"/>
          <w:lang w:eastAsia="zh-CN"/>
        </w:rPr>
        <w:t>广西百色市</w:t>
      </w:r>
      <w:r>
        <w:rPr>
          <w:rFonts w:hint="eastAsia" w:ascii="宋体" w:hAnsi="宋体" w:cs="宋体"/>
          <w:b/>
          <w:bCs/>
          <w:color w:val="auto"/>
          <w:sz w:val="32"/>
          <w:szCs w:val="32"/>
          <w:highlight w:val="none"/>
          <w:lang w:val="en-US" w:eastAsia="zh-CN"/>
        </w:rPr>
        <w:t>西林县</w:t>
      </w:r>
      <w:r>
        <w:rPr>
          <w:rFonts w:hint="eastAsia" w:ascii="宋体" w:hAnsi="宋体" w:cs="宋体"/>
          <w:b/>
          <w:bCs/>
          <w:color w:val="auto"/>
          <w:sz w:val="32"/>
          <w:szCs w:val="32"/>
          <w:highlight w:val="none"/>
          <w:lang w:eastAsia="zh-CN"/>
        </w:rPr>
        <w:t>国家储备林建设（一期）PPP项目</w:t>
      </w:r>
      <w:r>
        <w:rPr>
          <w:rFonts w:hint="eastAsia" w:ascii="宋体" w:hAnsi="宋体" w:eastAsia="宋体" w:cs="宋体"/>
          <w:b/>
          <w:bCs/>
          <w:color w:val="auto"/>
          <w:sz w:val="32"/>
          <w:szCs w:val="32"/>
          <w:highlight w:val="none"/>
          <w:lang w:eastAsia="zh-CN"/>
        </w:rPr>
        <w:t>的</w:t>
      </w:r>
      <w:r>
        <w:rPr>
          <w:rFonts w:hint="eastAsia" w:ascii="宋体" w:hAnsi="宋体" w:cs="宋体"/>
          <w:b/>
          <w:bCs/>
          <w:color w:val="auto"/>
          <w:sz w:val="32"/>
          <w:szCs w:val="32"/>
          <w:highlight w:val="none"/>
          <w:lang w:eastAsia="zh-CN"/>
        </w:rPr>
        <w:t>资格预审公告</w:t>
      </w:r>
    </w:p>
    <w:tbl>
      <w:tblPr>
        <w:tblStyle w:val="11"/>
        <w:tblW w:w="992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20"/>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118" w:hRule="atLeast"/>
          <w:jc w:val="center"/>
        </w:trPr>
        <w:tc>
          <w:tcPr>
            <w:tcW w:w="9920" w:type="dxa"/>
            <w:vAlign w:val="top"/>
          </w:tcPr>
          <w:p>
            <w:pPr>
              <w:widowControl w:val="0"/>
              <w:spacing w:before="141" w:line="360" w:lineRule="auto"/>
              <w:ind w:left="119"/>
              <w:jc w:val="left"/>
              <w:rPr>
                <w:rFonts w:ascii="宋体" w:hAnsi="宋体" w:eastAsia="宋体" w:cs="宋体"/>
                <w:kern w:val="0"/>
                <w:sz w:val="24"/>
                <w:szCs w:val="24"/>
              </w:rPr>
            </w:pPr>
            <w:r>
              <w:rPr>
                <w:rFonts w:ascii="宋体" w:hAnsi="宋体" w:eastAsia="宋体" w:cs="宋体"/>
                <w:spacing w:val="-3"/>
                <w:kern w:val="0"/>
                <w:sz w:val="24"/>
                <w:szCs w:val="24"/>
              </w:rPr>
              <w:t>项</w:t>
            </w:r>
            <w:r>
              <w:rPr>
                <w:rFonts w:ascii="宋体" w:hAnsi="宋体" w:eastAsia="宋体" w:cs="宋体"/>
                <w:spacing w:val="-2"/>
                <w:kern w:val="0"/>
                <w:sz w:val="24"/>
                <w:szCs w:val="24"/>
              </w:rPr>
              <w:t>目概况</w:t>
            </w:r>
          </w:p>
          <w:p>
            <w:pPr>
              <w:widowControl w:val="0"/>
              <w:spacing w:before="150" w:line="360" w:lineRule="auto"/>
              <w:ind w:left="115" w:right="116" w:firstLine="421"/>
              <w:jc w:val="left"/>
              <w:rPr>
                <w:rFonts w:ascii="宋体" w:hAnsi="宋体" w:eastAsia="宋体" w:cs="宋体"/>
                <w:kern w:val="0"/>
                <w:sz w:val="24"/>
                <w:szCs w:val="24"/>
              </w:rPr>
            </w:pPr>
            <w:r>
              <w:rPr>
                <w:rFonts w:hint="eastAsia" w:ascii="宋体" w:hAnsi="宋体" w:eastAsia="宋体" w:cs="宋体"/>
                <w:spacing w:val="8"/>
                <w:kern w:val="0"/>
                <w:sz w:val="24"/>
                <w:szCs w:val="24"/>
                <w:lang w:eastAsia="zh-CN"/>
              </w:rPr>
              <w:t>广西百色市西林县国家储备林建设（一期）PPP项目</w:t>
            </w:r>
            <w:r>
              <w:rPr>
                <w:rFonts w:ascii="宋体" w:hAnsi="宋体" w:eastAsia="宋体" w:cs="宋体"/>
                <w:spacing w:val="5"/>
                <w:kern w:val="0"/>
                <w:sz w:val="24"/>
                <w:szCs w:val="24"/>
              </w:rPr>
              <w:t>的潜在资格预审申请人应在全国公</w:t>
            </w:r>
            <w:r>
              <w:rPr>
                <w:rFonts w:ascii="宋体" w:hAnsi="宋体" w:eastAsia="宋体" w:cs="宋体"/>
                <w:spacing w:val="4"/>
                <w:kern w:val="0"/>
                <w:sz w:val="24"/>
                <w:szCs w:val="24"/>
              </w:rPr>
              <w:t>共资源交易平台(广西·百色)</w:t>
            </w:r>
            <w:r>
              <w:rPr>
                <w:rFonts w:hint="eastAsia" w:ascii="宋体" w:hAnsi="宋体" w:eastAsia="宋体" w:cs="宋体"/>
                <w:spacing w:val="4"/>
                <w:kern w:val="0"/>
                <w:sz w:val="24"/>
                <w:szCs w:val="24"/>
                <w:lang w:eastAsia="zh-CN"/>
              </w:rPr>
              <w:t>（http://ggzy.jgswj.gxzf.gov.cn/bsggzy/）</w:t>
            </w:r>
            <w:r>
              <w:rPr>
                <w:rFonts w:ascii="宋体" w:hAnsi="宋体" w:eastAsia="宋体" w:cs="宋体"/>
                <w:spacing w:val="2"/>
                <w:kern w:val="0"/>
                <w:sz w:val="24"/>
                <w:szCs w:val="24"/>
              </w:rPr>
              <w:t>下载资格预审文件，并</w:t>
            </w:r>
            <w:r>
              <w:rPr>
                <w:rFonts w:ascii="宋体" w:hAnsi="宋体" w:eastAsia="宋体" w:cs="宋体"/>
                <w:spacing w:val="-16"/>
                <w:kern w:val="0"/>
                <w:sz w:val="24"/>
                <w:szCs w:val="24"/>
              </w:rPr>
              <w:t>于</w:t>
            </w:r>
            <w:r>
              <w:rPr>
                <w:rFonts w:ascii="宋体" w:hAnsi="宋体" w:eastAsia="宋体" w:cs="宋体"/>
                <w:spacing w:val="-13"/>
                <w:kern w:val="0"/>
                <w:sz w:val="24"/>
                <w:szCs w:val="24"/>
              </w:rPr>
              <w:t xml:space="preserve"> 2022 年</w:t>
            </w:r>
            <w:r>
              <w:rPr>
                <w:rFonts w:hint="eastAsia" w:ascii="宋体" w:hAnsi="宋体" w:cs="宋体"/>
                <w:spacing w:val="-13"/>
                <w:kern w:val="0"/>
                <w:sz w:val="24"/>
                <w:szCs w:val="24"/>
                <w:lang w:val="en-US" w:eastAsia="zh-CN"/>
              </w:rPr>
              <w:t>11</w:t>
            </w:r>
            <w:r>
              <w:rPr>
                <w:rFonts w:ascii="宋体" w:hAnsi="宋体" w:eastAsia="宋体" w:cs="宋体"/>
                <w:spacing w:val="-13"/>
                <w:kern w:val="0"/>
                <w:sz w:val="24"/>
                <w:szCs w:val="24"/>
              </w:rPr>
              <w:t xml:space="preserve"> </w:t>
            </w:r>
            <w:r>
              <w:rPr>
                <w:rFonts w:hint="eastAsia" w:ascii="宋体" w:hAnsi="宋体" w:eastAsia="宋体" w:cs="宋体"/>
                <w:spacing w:val="-13"/>
                <w:kern w:val="0"/>
                <w:sz w:val="24"/>
                <w:szCs w:val="24"/>
                <w:lang w:val="en-US" w:eastAsia="zh-CN"/>
              </w:rPr>
              <w:t xml:space="preserve"> </w:t>
            </w:r>
            <w:r>
              <w:rPr>
                <w:rFonts w:ascii="宋体" w:hAnsi="宋体" w:eastAsia="宋体" w:cs="宋体"/>
                <w:spacing w:val="-13"/>
                <w:kern w:val="0"/>
                <w:sz w:val="24"/>
                <w:szCs w:val="24"/>
              </w:rPr>
              <w:t>月</w:t>
            </w:r>
            <w:r>
              <w:rPr>
                <w:rFonts w:hint="eastAsia" w:ascii="宋体" w:hAnsi="宋体" w:cs="宋体"/>
                <w:spacing w:val="-13"/>
                <w:kern w:val="0"/>
                <w:sz w:val="24"/>
                <w:szCs w:val="24"/>
                <w:lang w:val="en-US" w:eastAsia="zh-CN"/>
              </w:rPr>
              <w:t>22</w:t>
            </w:r>
            <w:r>
              <w:rPr>
                <w:rFonts w:ascii="宋体" w:hAnsi="宋体" w:eastAsia="宋体" w:cs="宋体"/>
                <w:spacing w:val="-13"/>
                <w:kern w:val="0"/>
                <w:sz w:val="24"/>
                <w:szCs w:val="24"/>
              </w:rPr>
              <w:t xml:space="preserve">日 </w:t>
            </w:r>
            <w:r>
              <w:rPr>
                <w:rFonts w:hint="eastAsia" w:ascii="宋体" w:hAnsi="宋体" w:eastAsia="宋体" w:cs="宋体"/>
                <w:spacing w:val="-13"/>
                <w:kern w:val="0"/>
                <w:sz w:val="24"/>
                <w:szCs w:val="24"/>
                <w:lang w:val="en-US" w:eastAsia="zh-CN"/>
              </w:rPr>
              <w:t xml:space="preserve"> </w:t>
            </w:r>
            <w:r>
              <w:rPr>
                <w:rFonts w:hint="eastAsia" w:ascii="宋体" w:hAnsi="宋体" w:cs="宋体"/>
                <w:spacing w:val="-13"/>
                <w:kern w:val="0"/>
                <w:sz w:val="24"/>
                <w:szCs w:val="24"/>
                <w:lang w:val="en-US" w:eastAsia="zh-CN"/>
              </w:rPr>
              <w:t>09</w:t>
            </w:r>
            <w:r>
              <w:rPr>
                <w:rFonts w:hint="eastAsia" w:ascii="宋体" w:hAnsi="宋体" w:eastAsia="宋体" w:cs="宋体"/>
                <w:spacing w:val="-13"/>
                <w:kern w:val="0"/>
                <w:sz w:val="24"/>
                <w:szCs w:val="24"/>
                <w:lang w:val="en-US" w:eastAsia="zh-CN"/>
              </w:rPr>
              <w:t xml:space="preserve"> </w:t>
            </w:r>
            <w:r>
              <w:rPr>
                <w:rFonts w:ascii="宋体" w:hAnsi="宋体" w:eastAsia="宋体" w:cs="宋体"/>
                <w:spacing w:val="-13"/>
                <w:kern w:val="0"/>
                <w:sz w:val="24"/>
                <w:szCs w:val="24"/>
              </w:rPr>
              <w:t>时</w:t>
            </w:r>
            <w:r>
              <w:rPr>
                <w:rFonts w:hint="eastAsia" w:ascii="宋体" w:hAnsi="宋体" w:cs="宋体"/>
                <w:spacing w:val="-13"/>
                <w:kern w:val="0"/>
                <w:sz w:val="24"/>
                <w:szCs w:val="24"/>
                <w:lang w:val="en-US" w:eastAsia="zh-CN"/>
              </w:rPr>
              <w:t>30</w:t>
            </w:r>
            <w:r>
              <w:rPr>
                <w:rFonts w:hint="eastAsia" w:ascii="宋体" w:hAnsi="宋体" w:eastAsia="宋体" w:cs="宋体"/>
                <w:spacing w:val="-13"/>
                <w:kern w:val="0"/>
                <w:sz w:val="24"/>
                <w:szCs w:val="24"/>
                <w:lang w:val="en-US" w:eastAsia="zh-CN"/>
              </w:rPr>
              <w:t xml:space="preserve"> </w:t>
            </w:r>
            <w:r>
              <w:rPr>
                <w:rFonts w:ascii="宋体" w:hAnsi="宋体" w:eastAsia="宋体" w:cs="宋体"/>
                <w:spacing w:val="-13"/>
                <w:kern w:val="0"/>
                <w:sz w:val="24"/>
                <w:szCs w:val="24"/>
              </w:rPr>
              <w:t>分 (北京时间) 前提交申请文件。</w:t>
            </w:r>
          </w:p>
        </w:tc>
      </w:tr>
    </w:tbl>
    <w:p>
      <w:pPr>
        <w:keepNext/>
        <w:keepLines/>
        <w:spacing w:before="260" w:after="260"/>
        <w:outlineLvl w:val="1"/>
        <w:rPr>
          <w:rFonts w:ascii="宋体" w:hAnsi="宋体" w:eastAsia="宋体" w:cs="宋体"/>
          <w:b/>
          <w:bCs/>
          <w:sz w:val="32"/>
          <w:szCs w:val="21"/>
          <w:lang w:val="en-US" w:eastAsia="zh-CN" w:bidi="ar-SA"/>
        </w:rPr>
      </w:pPr>
      <w:bookmarkStart w:id="5" w:name="_Toc31744"/>
      <w:r>
        <w:rPr>
          <w:rFonts w:ascii="Cambria" w:hAnsi="Cambria" w:eastAsia="宋体" w:cs="Times New Roman"/>
          <w:b/>
          <w:bCs/>
          <w:sz w:val="32"/>
          <w:szCs w:val="32"/>
          <w:lang w:val="en-US" w:eastAsia="zh-CN" w:bidi="ar-SA"/>
        </w:rPr>
        <w:t>一、项目基本情况</w:t>
      </w:r>
      <w:bookmarkEnd w:id="5"/>
    </w:p>
    <w:p>
      <w:pPr>
        <w:widowControl/>
        <w:spacing w:before="151" w:line="360" w:lineRule="auto"/>
        <w:ind w:firstLine="239" w:firstLineChars="100"/>
        <w:jc w:val="left"/>
        <w:rPr>
          <w:rFonts w:ascii="宋体" w:hAnsi="宋体" w:eastAsia="宋体" w:cs="宋体"/>
          <w:kern w:val="0"/>
          <w:sz w:val="24"/>
        </w:rPr>
      </w:pPr>
      <w:r>
        <w:rPr>
          <w:rFonts w:hint="eastAsia" w:ascii="宋体" w:hAnsi="宋体" w:eastAsia="宋体" w:cs="宋体"/>
          <w:b/>
          <w:bCs/>
          <w:spacing w:val="-1"/>
          <w:kern w:val="0"/>
          <w:sz w:val="24"/>
        </w:rPr>
        <w:t>1.项</w:t>
      </w:r>
      <w:r>
        <w:rPr>
          <w:rFonts w:hint="eastAsia" w:ascii="宋体" w:hAnsi="宋体" w:eastAsia="宋体" w:cs="宋体"/>
          <w:b/>
          <w:bCs/>
          <w:kern w:val="0"/>
          <w:sz w:val="24"/>
        </w:rPr>
        <w:t>目名称：</w:t>
      </w:r>
      <w:r>
        <w:rPr>
          <w:rFonts w:hint="eastAsia" w:ascii="宋体" w:hAnsi="宋体" w:eastAsia="宋体" w:cs="宋体"/>
          <w:kern w:val="0"/>
          <w:sz w:val="24"/>
        </w:rPr>
        <w:t>广西百色市西林县国家储备林建设（一期）PPP项目</w:t>
      </w:r>
    </w:p>
    <w:p>
      <w:pPr>
        <w:widowControl/>
        <w:spacing w:before="150" w:line="360" w:lineRule="auto"/>
        <w:ind w:firstLine="233" w:firstLineChars="100"/>
        <w:jc w:val="left"/>
        <w:rPr>
          <w:rFonts w:ascii="宋体" w:hAnsi="宋体" w:eastAsia="宋体" w:cs="宋体"/>
          <w:kern w:val="0"/>
          <w:sz w:val="24"/>
        </w:rPr>
      </w:pPr>
      <w:r>
        <w:rPr>
          <w:rFonts w:hint="eastAsia" w:ascii="宋体" w:hAnsi="宋体" w:eastAsia="宋体" w:cs="宋体"/>
          <w:b/>
          <w:bCs/>
          <w:spacing w:val="-4"/>
          <w:kern w:val="0"/>
          <w:sz w:val="24"/>
        </w:rPr>
        <w:t>2.项目编号：BSZC2022-G3-300151-BJZZ</w:t>
      </w:r>
    </w:p>
    <w:p>
      <w:pPr>
        <w:widowControl/>
        <w:spacing w:before="151" w:line="360" w:lineRule="auto"/>
        <w:ind w:firstLine="239" w:firstLineChars="100"/>
        <w:jc w:val="left"/>
        <w:rPr>
          <w:rFonts w:ascii="Times New Roman" w:hAnsi="Times New Roman" w:eastAsia="宋体" w:cs="Times New Roman"/>
          <w:kern w:val="0"/>
          <w:sz w:val="24"/>
        </w:rPr>
      </w:pPr>
      <w:r>
        <w:rPr>
          <w:rFonts w:hint="eastAsia" w:ascii="宋体" w:hAnsi="宋体" w:eastAsia="宋体" w:cs="宋体"/>
          <w:b/>
          <w:bCs/>
          <w:spacing w:val="-1"/>
          <w:kern w:val="0"/>
          <w:sz w:val="24"/>
        </w:rPr>
        <w:t>3.采购方式：</w:t>
      </w:r>
      <w:r>
        <w:rPr>
          <w:rFonts w:hint="eastAsia" w:ascii="宋体" w:hAnsi="宋体" w:eastAsia="宋体" w:cs="宋体"/>
          <w:spacing w:val="-1"/>
          <w:kern w:val="0"/>
          <w:sz w:val="24"/>
        </w:rPr>
        <w:t>公开招标</w:t>
      </w:r>
    </w:p>
    <w:p>
      <w:pPr>
        <w:widowControl/>
        <w:spacing w:before="149" w:line="360" w:lineRule="auto"/>
        <w:ind w:firstLine="241" w:firstLineChars="100"/>
        <w:jc w:val="left"/>
        <w:rPr>
          <w:rFonts w:ascii="宋体" w:hAnsi="宋体" w:eastAsia="宋体" w:cs="宋体"/>
          <w:kern w:val="0"/>
          <w:sz w:val="24"/>
        </w:rPr>
      </w:pPr>
      <w:r>
        <w:rPr>
          <w:rFonts w:hint="eastAsia" w:ascii="宋体" w:hAnsi="宋体" w:eastAsia="宋体" w:cs="宋体"/>
          <w:b/>
          <w:bCs/>
          <w:kern w:val="0"/>
          <w:sz w:val="24"/>
        </w:rPr>
        <w:t>4.采购条件</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1.本采购项目可行性研究报告已经西林县发展和改革局批复（西发改〔2022〕40号），并由西林县人民政府批准采用政府和社会资本合作（PPP）模式实施。项目物有所值评价及财政承受能力论证经财政部门审核并出具审核意见；</w:t>
      </w:r>
      <w:r>
        <w:rPr>
          <w:rFonts w:hint="eastAsia" w:ascii="宋体" w:hAnsi="宋体" w:eastAsia="宋体" w:cs="宋体"/>
          <w:color w:val="000000"/>
          <w:kern w:val="0"/>
          <w:sz w:val="24"/>
        </w:rPr>
        <w:t>项目实施方案编制已经西林县人民政府批复（西政函〔2022〕106号）。</w:t>
      </w:r>
      <w:r>
        <w:rPr>
          <w:rFonts w:hint="eastAsia" w:ascii="宋体" w:hAnsi="宋体" w:eastAsia="宋体" w:cs="宋体"/>
          <w:kern w:val="0"/>
          <w:sz w:val="24"/>
        </w:rPr>
        <w:t>采购人为西林县人民政府授权的项目实施机构西林县林业局。项目已具备采购条件，现对该项目的潜在社会资本方进行资格预审，特邀请有意向的潜在社会资本方（以下简称“申请人”）向西林县林业局提出资格预审申请。</w:t>
      </w:r>
    </w:p>
    <w:p>
      <w:pPr>
        <w:widowControl/>
        <w:spacing w:line="360" w:lineRule="auto"/>
        <w:ind w:firstLine="480" w:firstLineChars="200"/>
        <w:jc w:val="left"/>
        <w:rPr>
          <w:rFonts w:ascii="宋体" w:hAnsi="宋体" w:eastAsia="宋体" w:cs="宋体"/>
          <w:kern w:val="0"/>
          <w:sz w:val="24"/>
        </w:rPr>
      </w:pPr>
      <w:r>
        <w:rPr>
          <w:rFonts w:hint="eastAsia" w:ascii="宋体" w:hAnsi="宋体" w:eastAsia="宋体" w:cs="宋体"/>
          <w:kern w:val="0"/>
          <w:sz w:val="24"/>
        </w:rPr>
        <w:t>2.本公告所称社会资本方是指：按国家法律、法规、规章和规范性文件要求，可以参与政府和社会资本合作（PPP）项目的市场主体。</w:t>
      </w:r>
    </w:p>
    <w:p>
      <w:pPr>
        <w:widowControl/>
        <w:spacing w:line="360" w:lineRule="auto"/>
        <w:jc w:val="left"/>
        <w:rPr>
          <w:rFonts w:ascii="宋体" w:hAnsi="宋体" w:eastAsia="宋体" w:cs="宋体"/>
          <w:kern w:val="0"/>
          <w:sz w:val="24"/>
          <w14:textOutline w14:w="3835" w14:cap="flat" w14:cmpd="sng" w14:algn="ctr">
            <w14:solidFill>
              <w14:srgbClr w14:val="000000"/>
            </w14:solidFill>
            <w14:prstDash w14:val="solid"/>
            <w14:miter w14:val="0"/>
          </w14:textOutline>
        </w:rPr>
      </w:pPr>
      <w:r>
        <w:rPr>
          <w:rFonts w:hint="eastAsia" w:ascii="宋体" w:hAnsi="宋体" w:eastAsia="宋体" w:cs="宋体"/>
          <w:kern w:val="0"/>
          <w:sz w:val="24"/>
          <w14:textOutline w14:w="3835" w14:cap="flat" w14:cmpd="sng" w14:algn="ctr">
            <w14:solidFill>
              <w14:srgbClr w14:val="000000"/>
            </w14:solidFill>
            <w14:prstDash w14:val="solid"/>
            <w14:miter w14:val="0"/>
          </w14:textOutline>
        </w:rPr>
        <w:t>5.项目概况及采购需求</w:t>
      </w:r>
    </w:p>
    <w:p>
      <w:pPr>
        <w:widowControl/>
        <w:spacing w:line="360" w:lineRule="auto"/>
        <w:ind w:firstLine="232" w:firstLineChars="100"/>
        <w:jc w:val="left"/>
        <w:rPr>
          <w:rFonts w:ascii="宋体" w:hAnsi="宋体" w:eastAsia="宋体" w:cs="宋体"/>
          <w:kern w:val="0"/>
          <w:sz w:val="24"/>
        </w:rPr>
      </w:pPr>
      <w:r>
        <w:rPr>
          <w:rFonts w:hint="eastAsia" w:ascii="宋体" w:hAnsi="宋体" w:eastAsia="宋体" w:cs="宋体"/>
          <w:spacing w:val="-4"/>
          <w:kern w:val="0"/>
          <w:sz w:val="24"/>
        </w:rPr>
        <w:t>5.1 项目概况及采购需求</w:t>
      </w:r>
    </w:p>
    <w:p>
      <w:pPr>
        <w:widowControl/>
        <w:spacing w:before="149" w:line="360" w:lineRule="auto"/>
        <w:ind w:firstLine="238" w:firstLineChars="100"/>
        <w:jc w:val="left"/>
        <w:rPr>
          <w:rFonts w:ascii="宋体" w:hAnsi="宋体" w:eastAsia="宋体" w:cs="宋体"/>
          <w:kern w:val="0"/>
          <w:sz w:val="24"/>
        </w:rPr>
      </w:pPr>
      <w:r>
        <w:rPr>
          <w:rFonts w:hint="eastAsia" w:ascii="宋体" w:hAnsi="宋体" w:eastAsia="宋体" w:cs="宋体"/>
          <w:spacing w:val="-1"/>
          <w:kern w:val="0"/>
          <w:sz w:val="24"/>
        </w:rPr>
        <w:t>5.1.1 项目</w:t>
      </w:r>
      <w:r>
        <w:rPr>
          <w:rFonts w:hint="eastAsia" w:ascii="宋体" w:hAnsi="宋体" w:eastAsia="宋体" w:cs="宋体"/>
          <w:kern w:val="0"/>
          <w:sz w:val="24"/>
        </w:rPr>
        <w:t>区位</w:t>
      </w:r>
    </w:p>
    <w:p>
      <w:pPr>
        <w:widowControl/>
        <w:spacing w:before="149" w:line="360" w:lineRule="auto"/>
        <w:ind w:left="121" w:right="108" w:firstLine="421"/>
        <w:jc w:val="both"/>
        <w:rPr>
          <w:rFonts w:ascii="宋体" w:hAnsi="宋体" w:eastAsia="宋体" w:cs="宋体"/>
          <w:color w:val="000000"/>
          <w:kern w:val="0"/>
          <w:sz w:val="24"/>
        </w:rPr>
      </w:pPr>
      <w:r>
        <w:rPr>
          <w:rFonts w:hint="eastAsia" w:ascii="宋体" w:hAnsi="宋体" w:eastAsia="宋体" w:cs="宋体"/>
          <w:color w:val="000000"/>
          <w:kern w:val="0"/>
          <w:sz w:val="24"/>
        </w:rPr>
        <w:t>本项目的建设范围为：西林县所辖的</w:t>
      </w:r>
      <w:r>
        <w:rPr>
          <w:rFonts w:ascii="宋体" w:hAnsi="宋体" w:eastAsia="宋体" w:cs="宋体"/>
          <w:color w:val="000000"/>
          <w:kern w:val="0"/>
          <w:sz w:val="24"/>
        </w:rPr>
        <w:t>8个乡镇，分别为：八达镇、</w:t>
      </w:r>
      <w:r>
        <w:rPr>
          <w:rFonts w:hint="eastAsia" w:ascii="宋体" w:hAnsi="宋体" w:eastAsia="宋体" w:cs="宋体"/>
          <w:color w:val="000000"/>
          <w:kern w:val="0"/>
          <w:sz w:val="24"/>
        </w:rPr>
        <w:t>古障镇、马蚌镇、那劳镇、那佐乡、普合乡、西平乡、足别乡。详见资格预审文件“第四章</w:t>
      </w:r>
      <w:r>
        <w:rPr>
          <w:rFonts w:ascii="宋体" w:hAnsi="宋体" w:eastAsia="宋体" w:cs="宋体"/>
          <w:color w:val="000000"/>
          <w:kern w:val="0"/>
          <w:sz w:val="24"/>
        </w:rPr>
        <w:t xml:space="preserve"> </w:t>
      </w:r>
      <w:r>
        <w:rPr>
          <w:rFonts w:hint="eastAsia" w:ascii="宋体" w:hAnsi="宋体" w:eastAsia="宋体" w:cs="宋体"/>
          <w:color w:val="000000"/>
          <w:kern w:val="0"/>
          <w:sz w:val="24"/>
        </w:rPr>
        <w:t>采购需求”。</w:t>
      </w:r>
    </w:p>
    <w:p>
      <w:pPr>
        <w:widowControl/>
        <w:spacing w:line="360" w:lineRule="auto"/>
        <w:ind w:firstLine="238" w:firstLineChars="100"/>
        <w:jc w:val="left"/>
        <w:rPr>
          <w:rFonts w:ascii="宋体" w:hAnsi="宋体" w:eastAsia="宋体" w:cs="宋体"/>
          <w:kern w:val="0"/>
          <w:sz w:val="24"/>
        </w:rPr>
      </w:pPr>
      <w:r>
        <w:rPr>
          <w:rFonts w:hint="eastAsia" w:ascii="宋体" w:hAnsi="宋体" w:eastAsia="宋体" w:cs="宋体"/>
          <w:spacing w:val="-1"/>
          <w:kern w:val="0"/>
          <w:sz w:val="24"/>
        </w:rPr>
        <w:t>5.1.2 合作</w:t>
      </w:r>
      <w:r>
        <w:rPr>
          <w:rFonts w:hint="eastAsia" w:ascii="宋体" w:hAnsi="宋体" w:eastAsia="宋体" w:cs="宋体"/>
          <w:kern w:val="0"/>
          <w:sz w:val="24"/>
        </w:rPr>
        <w:t>内容包括</w:t>
      </w:r>
    </w:p>
    <w:p>
      <w:pPr>
        <w:widowControl/>
        <w:spacing w:line="360" w:lineRule="auto"/>
        <w:ind w:firstLine="420"/>
        <w:jc w:val="both"/>
        <w:rPr>
          <w:rFonts w:ascii="宋体" w:hAnsi="宋体" w:eastAsia="宋体" w:cs="宋体"/>
          <w:kern w:val="0"/>
          <w:sz w:val="24"/>
        </w:rPr>
      </w:pPr>
      <w:r>
        <w:rPr>
          <w:rFonts w:hint="eastAsia" w:ascii="宋体" w:hAnsi="宋体" w:eastAsia="宋体" w:cs="宋体"/>
          <w:color w:val="000000"/>
          <w:kern w:val="0"/>
          <w:sz w:val="24"/>
        </w:rPr>
        <w:t>本项目由实施机构通过公开招标选择具有投资、建设、运营管理能力的社会资本方，由政府方出资代表和社会资本方共同出资成立项目公司。本项目储备林建设总规模6666.7公顷，合作内容主要包括国家储备林基地建设和林下经济建设两部分。国家储备林基地建设主要通过林地林木流转杉木、桉树、马尾松、油茶（经济林）现有林，开展森林抚育和现有林改培，以及配套营林基础设施建设（包含维修林区道路602千米、维修防火线502千米、新建管护房160平方米、</w:t>
      </w:r>
      <w:r>
        <w:rPr>
          <w:rFonts w:hint="eastAsia" w:ascii="宋体" w:hAnsi="宋体" w:eastAsia="宋体" w:cs="宋体"/>
          <w:kern w:val="0"/>
          <w:sz w:val="24"/>
        </w:rPr>
        <w:t>购置配套林业机械设备26套、森林消防设备9套、智慧林业系统建设等）；林下经济建设主要是开展林下种植百部等药材以及食用菌共150公顷。详见资格预审文件“第四章 采购需求”。</w:t>
      </w:r>
    </w:p>
    <w:p>
      <w:pPr>
        <w:widowControl/>
        <w:spacing w:line="360" w:lineRule="auto"/>
        <w:ind w:firstLine="240" w:firstLineChars="100"/>
        <w:jc w:val="both"/>
        <w:rPr>
          <w:rFonts w:ascii="宋体" w:hAnsi="宋体" w:eastAsia="宋体" w:cs="宋体"/>
          <w:kern w:val="0"/>
          <w:sz w:val="24"/>
        </w:rPr>
      </w:pPr>
      <w:r>
        <w:rPr>
          <w:rFonts w:hint="eastAsia" w:ascii="宋体" w:hAnsi="宋体" w:eastAsia="宋体" w:cs="宋体"/>
          <w:kern w:val="0"/>
          <w:sz w:val="24"/>
        </w:rPr>
        <w:t>5.1.3 项目投资估算</w:t>
      </w:r>
    </w:p>
    <w:p>
      <w:pPr>
        <w:widowControl/>
        <w:spacing w:line="360" w:lineRule="auto"/>
        <w:ind w:firstLine="420"/>
        <w:jc w:val="both"/>
        <w:rPr>
          <w:rFonts w:ascii="宋体" w:hAnsi="宋体" w:eastAsia="宋体" w:cs="宋体"/>
          <w:kern w:val="0"/>
          <w:sz w:val="24"/>
        </w:rPr>
      </w:pPr>
      <w:r>
        <w:rPr>
          <w:rFonts w:hint="eastAsia" w:ascii="宋体" w:hAnsi="宋体" w:eastAsia="宋体" w:cs="宋体"/>
          <w:kern w:val="0"/>
          <w:sz w:val="24"/>
        </w:rPr>
        <w:t>本项目PPP模式下动态总投资为128,371.33万元，其中项目资本金29,871.33万元，剩余所需建设资金98,500.00万元，由项目公司自行筹资解决。</w:t>
      </w:r>
    </w:p>
    <w:p>
      <w:pPr>
        <w:widowControl/>
        <w:spacing w:line="360" w:lineRule="auto"/>
        <w:ind w:firstLine="238" w:firstLineChars="100"/>
        <w:jc w:val="left"/>
        <w:rPr>
          <w:rFonts w:ascii="宋体" w:hAnsi="宋体" w:eastAsia="宋体" w:cs="宋体"/>
          <w:kern w:val="0"/>
          <w:sz w:val="24"/>
        </w:rPr>
      </w:pPr>
      <w:r>
        <w:rPr>
          <w:rFonts w:hint="eastAsia" w:ascii="宋体" w:hAnsi="宋体" w:eastAsia="宋体" w:cs="宋体"/>
          <w:spacing w:val="-1"/>
          <w:kern w:val="0"/>
          <w:sz w:val="24"/>
        </w:rPr>
        <w:t>5.1.4 合作</w:t>
      </w:r>
      <w:r>
        <w:rPr>
          <w:rFonts w:hint="eastAsia" w:ascii="宋体" w:hAnsi="宋体" w:eastAsia="宋体" w:cs="宋体"/>
          <w:kern w:val="0"/>
          <w:sz w:val="24"/>
        </w:rPr>
        <w:t>期限</w:t>
      </w:r>
    </w:p>
    <w:p>
      <w:pPr>
        <w:widowControl/>
        <w:spacing w:before="1" w:line="360" w:lineRule="auto"/>
        <w:ind w:left="460"/>
        <w:jc w:val="left"/>
        <w:rPr>
          <w:rFonts w:ascii="宋体" w:hAnsi="宋体" w:eastAsia="宋体" w:cs="宋体"/>
          <w:kern w:val="0"/>
          <w:sz w:val="24"/>
        </w:rPr>
      </w:pPr>
      <w:r>
        <w:rPr>
          <w:rFonts w:hint="eastAsia" w:ascii="宋体" w:hAnsi="宋体" w:eastAsia="宋体" w:cs="宋体"/>
          <w:kern w:val="0"/>
          <w:sz w:val="24"/>
        </w:rPr>
        <w:t>本项目合作期限30年，其中建设期8年，运营期22年。</w:t>
      </w:r>
    </w:p>
    <w:p>
      <w:pPr>
        <w:widowControl/>
        <w:spacing w:before="1" w:line="360" w:lineRule="auto"/>
        <w:ind w:firstLine="238" w:firstLineChars="100"/>
        <w:jc w:val="left"/>
        <w:rPr>
          <w:rFonts w:ascii="宋体" w:hAnsi="宋体" w:eastAsia="宋体" w:cs="宋体"/>
          <w:kern w:val="0"/>
          <w:sz w:val="24"/>
        </w:rPr>
      </w:pPr>
      <w:r>
        <w:rPr>
          <w:rFonts w:hint="eastAsia" w:ascii="宋体" w:hAnsi="宋体" w:eastAsia="宋体" w:cs="宋体"/>
          <w:spacing w:val="-1"/>
          <w:kern w:val="0"/>
          <w:sz w:val="24"/>
        </w:rPr>
        <w:t>5.1.5 项目</w:t>
      </w:r>
      <w:r>
        <w:rPr>
          <w:rFonts w:hint="eastAsia" w:ascii="宋体" w:hAnsi="宋体" w:eastAsia="宋体" w:cs="宋体"/>
          <w:kern w:val="0"/>
          <w:sz w:val="24"/>
        </w:rPr>
        <w:t>回报机制</w:t>
      </w:r>
    </w:p>
    <w:p>
      <w:pPr>
        <w:widowControl/>
        <w:spacing w:line="360" w:lineRule="auto"/>
        <w:ind w:firstLine="480" w:firstLineChars="200"/>
        <w:jc w:val="left"/>
        <w:rPr>
          <w:rFonts w:ascii="宋体" w:hAnsi="宋体" w:eastAsia="宋体" w:cs="宋体"/>
          <w:kern w:val="0"/>
          <w:sz w:val="24"/>
        </w:rPr>
      </w:pPr>
      <w:r>
        <w:rPr>
          <w:rFonts w:hint="eastAsia" w:ascii="宋体" w:hAnsi="宋体" w:eastAsia="宋体" w:cs="宋体"/>
          <w:kern w:val="0"/>
          <w:sz w:val="24"/>
        </w:rPr>
        <w:t>可行性缺口补助，政府根据绩效评价结果按效付费。</w:t>
      </w:r>
    </w:p>
    <w:p>
      <w:pPr>
        <w:widowControl/>
        <w:spacing w:line="360" w:lineRule="auto"/>
        <w:ind w:firstLine="240" w:firstLineChars="100"/>
        <w:jc w:val="left"/>
        <w:rPr>
          <w:rFonts w:ascii="宋体" w:hAnsi="宋体" w:eastAsia="宋体" w:cs="宋体"/>
          <w:kern w:val="0"/>
          <w:sz w:val="24"/>
        </w:rPr>
      </w:pPr>
      <w:r>
        <w:rPr>
          <w:rFonts w:hint="eastAsia" w:ascii="宋体" w:hAnsi="宋体" w:eastAsia="宋体" w:cs="宋体"/>
          <w:kern w:val="0"/>
          <w:sz w:val="24"/>
        </w:rPr>
        <w:t>5.2 采购范围</w:t>
      </w:r>
    </w:p>
    <w:p>
      <w:pPr>
        <w:widowControl/>
        <w:spacing w:line="360" w:lineRule="auto"/>
        <w:ind w:firstLine="240" w:firstLineChars="100"/>
        <w:jc w:val="both"/>
        <w:rPr>
          <w:rFonts w:ascii="宋体" w:hAnsi="宋体" w:eastAsia="宋体" w:cs="宋体"/>
          <w:kern w:val="0"/>
          <w:sz w:val="24"/>
        </w:rPr>
      </w:pPr>
      <w:r>
        <w:rPr>
          <w:rFonts w:hint="eastAsia" w:ascii="宋体" w:hAnsi="宋体" w:eastAsia="宋体" w:cs="宋体"/>
          <w:kern w:val="0"/>
          <w:sz w:val="24"/>
        </w:rPr>
        <w:t>5.2.1 本次采购范围为</w:t>
      </w:r>
      <w:r>
        <w:rPr>
          <w:rFonts w:hint="eastAsia" w:ascii="宋体" w:hAnsi="宋体" w:eastAsia="宋体" w:cs="宋体"/>
          <w:kern w:val="0"/>
          <w:sz w:val="24"/>
          <w:u w:val="single"/>
        </w:rPr>
        <w:t>广西百色市西林县国家储备林建设（一期）PPP项目</w:t>
      </w:r>
      <w:r>
        <w:rPr>
          <w:rFonts w:hint="eastAsia" w:ascii="宋体" w:hAnsi="宋体" w:eastAsia="宋体" w:cs="宋体"/>
          <w:kern w:val="0"/>
          <w:sz w:val="24"/>
        </w:rPr>
        <w:t>的社会资本方，具体操作模式见本公告5.2.2款。</w:t>
      </w:r>
    </w:p>
    <w:p>
      <w:pPr>
        <w:widowControl/>
        <w:spacing w:line="360" w:lineRule="auto"/>
        <w:ind w:firstLine="240" w:firstLineChars="100"/>
        <w:jc w:val="both"/>
        <w:rPr>
          <w:rFonts w:ascii="宋体" w:hAnsi="宋体" w:eastAsia="宋体" w:cs="宋体"/>
          <w:kern w:val="0"/>
          <w:sz w:val="24"/>
        </w:rPr>
      </w:pPr>
      <w:r>
        <w:rPr>
          <w:rFonts w:hint="eastAsia" w:ascii="宋体" w:hAnsi="宋体" w:eastAsia="宋体" w:cs="宋体"/>
          <w:kern w:val="0"/>
          <w:sz w:val="24"/>
        </w:rPr>
        <w:t>5.2.2 本项目采用政府和社会资本合作，具体操作模式为BOT（建设-运营-移交）模式。申请人中标后，政府将按法律、法规、政策及合同规定授予申请人投资、建设、运营本项目的经营权，包括投资建设权、运营期的经营权、附属设施经营权等。申请人作为社会资本方应按《中华人民共和国公司法》及其他相关法律、法规、政策和合同规定组建项目公司，由项目公司对项目的筹划、资金筹措、建设实施、运营管理、债务偿还、资产管理和项目移交等全过程负责，并在PPP项目合同规定的经营期满后，按照PPP项目合同的约定将</w:t>
      </w:r>
      <w:bookmarkStart w:id="6" w:name="_Hlk16596273"/>
      <w:r>
        <w:rPr>
          <w:rFonts w:hint="eastAsia" w:ascii="宋体" w:hAnsi="宋体" w:eastAsia="宋体" w:cs="宋体"/>
          <w:kern w:val="0"/>
          <w:sz w:val="24"/>
        </w:rPr>
        <w:t>项目范围内的项目范围内满足国家和行业规定森林覆盖率、林木存活率等储备林移交标准的国家储备林基地、项目范围内营造林基础设施</w:t>
      </w:r>
      <w:bookmarkEnd w:id="6"/>
      <w:r>
        <w:rPr>
          <w:rFonts w:hint="eastAsia" w:ascii="宋体" w:hAnsi="宋体" w:eastAsia="宋体" w:cs="宋体"/>
          <w:kern w:val="0"/>
          <w:sz w:val="24"/>
        </w:rPr>
        <w:t>及相关资料等按合同约定完好无偿、无债务、无抵押的移交给西林县人民政府或其指定机构。</w:t>
      </w:r>
    </w:p>
    <w:p>
      <w:pPr>
        <w:widowControl/>
        <w:spacing w:line="360" w:lineRule="auto"/>
        <w:ind w:firstLine="240" w:firstLineChars="100"/>
        <w:jc w:val="both"/>
        <w:rPr>
          <w:rFonts w:ascii="宋体" w:hAnsi="宋体" w:eastAsia="宋体" w:cs="宋体"/>
          <w:kern w:val="0"/>
          <w:sz w:val="24"/>
        </w:rPr>
      </w:pPr>
      <w:r>
        <w:rPr>
          <w:rFonts w:hint="eastAsia" w:ascii="宋体" w:hAnsi="宋体" w:eastAsia="宋体" w:cs="宋体"/>
          <w:kern w:val="0"/>
          <w:sz w:val="24"/>
        </w:rPr>
        <w:t>5.2.3项目资本金为29,871.33万元，政府出资2,987.13万元，占项目资本金比例的10%；社会资本出资为26,884.20万元，占项目资本金比例的90%。</w:t>
      </w:r>
    </w:p>
    <w:p>
      <w:pPr>
        <w:widowControl/>
        <w:spacing w:line="360" w:lineRule="auto"/>
        <w:ind w:firstLine="240" w:firstLineChars="100"/>
        <w:jc w:val="both"/>
        <w:rPr>
          <w:rFonts w:ascii="宋体" w:hAnsi="宋体" w:eastAsia="宋体" w:cs="宋体"/>
          <w:kern w:val="0"/>
          <w:sz w:val="24"/>
        </w:rPr>
      </w:pPr>
      <w:r>
        <w:rPr>
          <w:rFonts w:hint="eastAsia" w:ascii="宋体" w:hAnsi="宋体" w:eastAsia="宋体" w:cs="宋体"/>
          <w:kern w:val="0"/>
          <w:sz w:val="24"/>
        </w:rPr>
        <w:t>5.2.4资金来源</w:t>
      </w:r>
    </w:p>
    <w:p>
      <w:pPr>
        <w:widowControl/>
        <w:spacing w:line="360" w:lineRule="auto"/>
        <w:ind w:firstLine="420"/>
        <w:jc w:val="both"/>
        <w:rPr>
          <w:rFonts w:ascii="宋体" w:hAnsi="宋体" w:eastAsia="宋体" w:cs="宋体"/>
          <w:kern w:val="0"/>
          <w:sz w:val="24"/>
        </w:rPr>
      </w:pPr>
      <w:r>
        <w:rPr>
          <w:rFonts w:hint="eastAsia" w:ascii="宋体" w:hAnsi="宋体" w:eastAsia="宋体" w:cs="宋体"/>
          <w:kern w:val="0"/>
          <w:sz w:val="24"/>
        </w:rPr>
        <w:t>（1）政府出资资本金来源于财政一般公共预算支出；</w:t>
      </w:r>
    </w:p>
    <w:p>
      <w:pPr>
        <w:widowControl/>
        <w:spacing w:line="360" w:lineRule="auto"/>
        <w:ind w:firstLine="420"/>
        <w:jc w:val="both"/>
        <w:rPr>
          <w:rFonts w:ascii="宋体" w:hAnsi="宋体" w:eastAsia="宋体" w:cs="宋体"/>
          <w:kern w:val="0"/>
          <w:sz w:val="24"/>
        </w:rPr>
      </w:pPr>
      <w:r>
        <w:rPr>
          <w:rFonts w:hint="eastAsia" w:ascii="宋体" w:hAnsi="宋体" w:eastAsia="宋体" w:cs="宋体"/>
          <w:kern w:val="0"/>
          <w:sz w:val="24"/>
        </w:rPr>
        <w:t>（2）社会资本方出资资本金来源于自有资金；</w:t>
      </w:r>
    </w:p>
    <w:p>
      <w:pPr>
        <w:widowControl/>
        <w:spacing w:before="69" w:line="360" w:lineRule="auto"/>
        <w:ind w:left="36" w:firstLine="423"/>
        <w:jc w:val="left"/>
        <w:rPr>
          <w:rFonts w:ascii="宋体" w:hAnsi="宋体" w:eastAsia="宋体" w:cs="宋体"/>
          <w:kern w:val="0"/>
          <w:sz w:val="24"/>
        </w:rPr>
      </w:pPr>
      <w:r>
        <w:rPr>
          <w:rFonts w:hint="eastAsia" w:ascii="宋体" w:hAnsi="宋体" w:eastAsia="宋体" w:cs="宋体"/>
          <w:kern w:val="0"/>
          <w:sz w:val="24"/>
        </w:rPr>
        <w:t>（3）缺口资金由项目公司通过银行贷款等形式筹集。</w:t>
      </w:r>
    </w:p>
    <w:p>
      <w:pPr>
        <w:keepNext/>
        <w:keepLines/>
        <w:spacing w:before="260" w:after="260"/>
        <w:outlineLvl w:val="1"/>
        <w:rPr>
          <w:rFonts w:ascii="宋体" w:hAnsi="宋体" w:eastAsia="宋体" w:cs="宋体"/>
          <w:b/>
          <w:bCs/>
          <w:sz w:val="21"/>
          <w:szCs w:val="21"/>
          <w:lang w:val="en-US" w:eastAsia="zh-CN" w:bidi="ar-SA"/>
        </w:rPr>
      </w:pPr>
      <w:bookmarkStart w:id="7" w:name="_Toc2901"/>
      <w:r>
        <w:rPr>
          <w:rFonts w:ascii="Cambria" w:hAnsi="Cambria" w:eastAsia="宋体" w:cs="Times New Roman"/>
          <w:b/>
          <w:bCs/>
          <w:kern w:val="0"/>
          <w:sz w:val="32"/>
          <w:szCs w:val="32"/>
          <w:lang w:val="en-US" w:eastAsia="zh-CN" w:bidi="ar-SA"/>
        </w:rPr>
        <w:t>二、申请人的资格要求</w:t>
      </w:r>
      <w:bookmarkEnd w:id="7"/>
      <w:r>
        <w:rPr>
          <w:rFonts w:ascii="宋体" w:hAnsi="宋体" w:eastAsia="宋体" w:cs="宋体"/>
          <w:b/>
          <w:bCs/>
          <w:spacing w:val="1"/>
          <w:sz w:val="21"/>
          <w:szCs w:val="21"/>
          <w:lang w:val="en-US" w:eastAsia="zh-CN" w:bidi="ar-SA"/>
          <w14:textOutline w14:w="3835" w14:cap="flat" w14:cmpd="sng" w14:algn="ctr">
            <w14:solidFill>
              <w14:srgbClr w14:val="000000"/>
            </w14:solidFill>
            <w14:prstDash w14:val="solid"/>
            <w14:miter w14:val="0"/>
          </w14:textOutline>
        </w:rPr>
        <w:t xml:space="preserve"> </w:t>
      </w:r>
      <w:r>
        <w:rPr>
          <w:rFonts w:ascii="宋体" w:hAnsi="宋体" w:eastAsia="宋体" w:cs="宋体"/>
          <w:b/>
          <w:bCs/>
          <w:sz w:val="21"/>
          <w:szCs w:val="21"/>
          <w:lang w:val="en-US" w:eastAsia="zh-CN" w:bidi="ar-SA"/>
        </w:rPr>
        <w:t xml:space="preserve">                                </w:t>
      </w:r>
    </w:p>
    <w:p>
      <w:pPr>
        <w:widowControl/>
        <w:spacing w:line="360" w:lineRule="auto"/>
        <w:ind w:firstLine="482" w:firstLineChars="200"/>
        <w:jc w:val="both"/>
        <w:rPr>
          <w:rFonts w:ascii="宋体" w:hAnsi="宋体" w:eastAsia="宋体" w:cs="Times New Roman"/>
          <w:color w:val="auto"/>
          <w:kern w:val="0"/>
          <w:sz w:val="24"/>
        </w:rPr>
      </w:pPr>
      <w:r>
        <w:rPr>
          <w:rFonts w:hint="eastAsia" w:ascii="宋体" w:hAnsi="宋体" w:eastAsia="宋体" w:cs="Times New Roman"/>
          <w:b/>
          <w:bCs/>
          <w:color w:val="auto"/>
          <w:kern w:val="0"/>
          <w:sz w:val="24"/>
        </w:rPr>
        <w:t>1.申请人参加本次政府采购活动除应当符合《中华人民共和国府采购法》第二十二条的规定：</w:t>
      </w:r>
    </w:p>
    <w:p>
      <w:pPr>
        <w:widowControl/>
        <w:spacing w:line="360" w:lineRule="auto"/>
        <w:ind w:firstLine="482" w:firstLineChars="200"/>
        <w:jc w:val="both"/>
        <w:rPr>
          <w:rFonts w:ascii="宋体" w:hAnsi="宋体" w:eastAsia="宋体" w:cs="Times New Roman"/>
          <w:b/>
          <w:bCs/>
          <w:kern w:val="0"/>
          <w:sz w:val="24"/>
        </w:rPr>
      </w:pPr>
      <w:r>
        <w:rPr>
          <w:rFonts w:hint="eastAsia" w:ascii="宋体" w:hAnsi="宋体" w:eastAsia="宋体" w:cs="Times New Roman"/>
          <w:b/>
          <w:bCs/>
          <w:kern w:val="0"/>
          <w:sz w:val="24"/>
        </w:rPr>
        <w:t>2.本次资格预审要求申请人具备的资格条件主体要求包括：</w:t>
      </w:r>
    </w:p>
    <w:p>
      <w:pPr>
        <w:widowControl/>
        <w:spacing w:line="360" w:lineRule="auto"/>
        <w:ind w:firstLine="480" w:firstLineChars="200"/>
        <w:jc w:val="both"/>
        <w:rPr>
          <w:rFonts w:ascii="宋体" w:hAnsi="宋体" w:eastAsia="宋体" w:cs="Times New Roman"/>
          <w:kern w:val="0"/>
          <w:sz w:val="24"/>
        </w:rPr>
      </w:pPr>
      <w:r>
        <w:rPr>
          <w:rFonts w:hint="eastAsia" w:ascii="宋体" w:hAnsi="宋体" w:eastAsia="宋体" w:cs="Times New Roman"/>
          <w:kern w:val="0"/>
          <w:sz w:val="24"/>
        </w:rPr>
        <w:t>2</w:t>
      </w:r>
      <w:r>
        <w:rPr>
          <w:rFonts w:ascii="宋体" w:hAnsi="宋体" w:eastAsia="宋体" w:cs="Times New Roman"/>
          <w:kern w:val="0"/>
          <w:sz w:val="24"/>
        </w:rPr>
        <w:t xml:space="preserve">.1 </w:t>
      </w:r>
      <w:r>
        <w:rPr>
          <w:rFonts w:hint="eastAsia" w:ascii="宋体" w:hAnsi="宋体" w:eastAsia="宋体" w:cs="Times New Roman"/>
          <w:kern w:val="0"/>
          <w:sz w:val="24"/>
        </w:rPr>
        <w:t>在中国境内依法注册的企业法人，且合法存续，没有处于被吊销营业执照、责令关闭或者被撤销等不良状态，且有良好的信誉的企业；</w:t>
      </w:r>
    </w:p>
    <w:p>
      <w:pPr>
        <w:widowControl/>
        <w:spacing w:line="360" w:lineRule="auto"/>
        <w:ind w:firstLine="480" w:firstLineChars="200"/>
        <w:jc w:val="both"/>
        <w:rPr>
          <w:rFonts w:ascii="宋体" w:hAnsi="宋体" w:eastAsia="宋体" w:cs="Times New Roman"/>
          <w:kern w:val="0"/>
          <w:sz w:val="24"/>
        </w:rPr>
      </w:pPr>
      <w:r>
        <w:rPr>
          <w:rFonts w:ascii="宋体" w:hAnsi="宋体" w:eastAsia="宋体" w:cs="Times New Roman"/>
          <w:kern w:val="0"/>
          <w:sz w:val="24"/>
        </w:rPr>
        <w:t xml:space="preserve">2.2 </w:t>
      </w:r>
      <w:r>
        <w:rPr>
          <w:rFonts w:hint="eastAsia" w:ascii="宋体" w:hAnsi="宋体" w:eastAsia="宋体" w:cs="Times New Roman"/>
          <w:kern w:val="0"/>
          <w:sz w:val="24"/>
        </w:rPr>
        <w:t>具有有效的三证合一的营业执照；</w:t>
      </w:r>
    </w:p>
    <w:p>
      <w:pPr>
        <w:widowControl/>
        <w:spacing w:line="360" w:lineRule="auto"/>
        <w:ind w:firstLine="480" w:firstLineChars="200"/>
        <w:jc w:val="both"/>
        <w:rPr>
          <w:rFonts w:ascii="宋体" w:hAnsi="宋体" w:eastAsia="宋体" w:cs="Times New Roman"/>
          <w:kern w:val="0"/>
          <w:sz w:val="24"/>
        </w:rPr>
      </w:pPr>
      <w:r>
        <w:rPr>
          <w:rFonts w:hint="eastAsia" w:ascii="宋体" w:hAnsi="宋体" w:eastAsia="宋体" w:cs="Times New Roman"/>
          <w:kern w:val="0"/>
          <w:sz w:val="24"/>
        </w:rPr>
        <w:t>2.3法定代表人参加投标的必须有法定代表人身份证，法定代表人授权委托人参加投标的必须有法定代表人授权委托书及被授权委托人身份证；</w:t>
      </w:r>
    </w:p>
    <w:p>
      <w:pPr>
        <w:widowControl/>
        <w:spacing w:line="360" w:lineRule="auto"/>
        <w:ind w:firstLine="482" w:firstLineChars="200"/>
        <w:jc w:val="both"/>
        <w:rPr>
          <w:rFonts w:ascii="宋体" w:hAnsi="宋体" w:eastAsia="宋体" w:cs="Times New Roman"/>
          <w:b/>
          <w:bCs/>
          <w:kern w:val="0"/>
          <w:sz w:val="24"/>
        </w:rPr>
      </w:pPr>
      <w:r>
        <w:rPr>
          <w:rFonts w:hint="eastAsia" w:ascii="宋体" w:hAnsi="宋体" w:eastAsia="宋体" w:cs="Times New Roman"/>
          <w:b/>
          <w:bCs/>
          <w:kern w:val="0"/>
          <w:sz w:val="24"/>
        </w:rPr>
        <w:t>3.申请人不得存在下列情形之一：</w:t>
      </w:r>
    </w:p>
    <w:p>
      <w:pPr>
        <w:widowControl/>
        <w:spacing w:line="360" w:lineRule="auto"/>
        <w:ind w:firstLine="480" w:firstLineChars="200"/>
        <w:jc w:val="both"/>
        <w:rPr>
          <w:rFonts w:ascii="宋体" w:hAnsi="宋体" w:eastAsia="宋体" w:cs="Times New Roman"/>
          <w:kern w:val="0"/>
          <w:sz w:val="24"/>
        </w:rPr>
      </w:pPr>
      <w:r>
        <w:rPr>
          <w:rFonts w:hint="eastAsia" w:ascii="宋体" w:hAnsi="宋体" w:eastAsia="宋体" w:cs="Times New Roman"/>
          <w:kern w:val="0"/>
          <w:sz w:val="24"/>
        </w:rPr>
        <w:t xml:space="preserve">3.1为本级政府所属融资平台公司、融资平台公司参股并能对其经营活动构成实质性影响的国有企业及其他控股国有企业（符合《国务院办公厅转发财政部、国家发展改革委、中国人民银行关于在公共服务领域推广政府和社会资本合作模式的指导意见的通知》（国办发〔2015〕42号）文件规定的除外）； </w:t>
      </w:r>
    </w:p>
    <w:p>
      <w:pPr>
        <w:widowControl/>
        <w:spacing w:line="360" w:lineRule="auto"/>
        <w:ind w:firstLine="420"/>
        <w:jc w:val="both"/>
        <w:rPr>
          <w:rFonts w:ascii="宋体" w:hAnsi="宋体" w:eastAsia="宋体" w:cs="Times New Roman"/>
          <w:kern w:val="0"/>
          <w:sz w:val="24"/>
        </w:rPr>
      </w:pPr>
      <w:r>
        <w:rPr>
          <w:rFonts w:ascii="宋体" w:hAnsi="宋体" w:eastAsia="宋体" w:cs="Times New Roman"/>
          <w:kern w:val="0"/>
          <w:sz w:val="24"/>
        </w:rPr>
        <w:t>3.2</w:t>
      </w:r>
      <w:r>
        <w:rPr>
          <w:rFonts w:hint="eastAsia" w:ascii="宋体" w:hAnsi="宋体" w:eastAsia="宋体" w:cs="Times New Roman"/>
          <w:kern w:val="0"/>
          <w:sz w:val="24"/>
        </w:rPr>
        <w:t>为本项目提供咨询服务的；</w:t>
      </w:r>
    </w:p>
    <w:p>
      <w:pPr>
        <w:widowControl/>
        <w:spacing w:line="360" w:lineRule="auto"/>
        <w:ind w:firstLine="420"/>
        <w:jc w:val="both"/>
        <w:rPr>
          <w:rFonts w:ascii="宋体" w:hAnsi="宋体" w:eastAsia="宋体" w:cs="Times New Roman"/>
          <w:kern w:val="0"/>
          <w:sz w:val="24"/>
        </w:rPr>
      </w:pPr>
      <w:r>
        <w:rPr>
          <w:rFonts w:ascii="宋体" w:hAnsi="宋体" w:eastAsia="宋体" w:cs="Times New Roman"/>
          <w:kern w:val="0"/>
          <w:sz w:val="24"/>
        </w:rPr>
        <w:t>3.3</w:t>
      </w:r>
      <w:r>
        <w:rPr>
          <w:rFonts w:hint="eastAsia" w:ascii="宋体" w:hAnsi="宋体" w:eastAsia="宋体" w:cs="Times New Roman"/>
          <w:kern w:val="0"/>
          <w:sz w:val="24"/>
        </w:rPr>
        <w:t>为本项目提供采购代理服务的；</w:t>
      </w:r>
    </w:p>
    <w:p>
      <w:pPr>
        <w:widowControl/>
        <w:spacing w:line="360" w:lineRule="auto"/>
        <w:ind w:firstLine="420"/>
        <w:jc w:val="both"/>
        <w:rPr>
          <w:rFonts w:ascii="宋体" w:hAnsi="宋体" w:eastAsia="宋体" w:cs="Times New Roman"/>
          <w:kern w:val="0"/>
          <w:sz w:val="24"/>
        </w:rPr>
      </w:pPr>
      <w:r>
        <w:rPr>
          <w:rFonts w:ascii="宋体" w:hAnsi="宋体" w:eastAsia="宋体" w:cs="Times New Roman"/>
          <w:kern w:val="0"/>
          <w:sz w:val="24"/>
        </w:rPr>
        <w:t>3.4</w:t>
      </w:r>
      <w:r>
        <w:rPr>
          <w:rFonts w:hint="eastAsia" w:ascii="宋体" w:hAnsi="宋体" w:eastAsia="宋体" w:cs="Times New Roman"/>
          <w:kern w:val="0"/>
          <w:sz w:val="24"/>
        </w:rPr>
        <w:t>被责令停业的；</w:t>
      </w:r>
    </w:p>
    <w:p>
      <w:pPr>
        <w:widowControl/>
        <w:spacing w:line="360" w:lineRule="auto"/>
        <w:ind w:firstLine="420"/>
        <w:jc w:val="both"/>
        <w:rPr>
          <w:rFonts w:ascii="宋体" w:hAnsi="宋体" w:eastAsia="宋体" w:cs="Times New Roman"/>
          <w:kern w:val="0"/>
          <w:sz w:val="24"/>
        </w:rPr>
      </w:pPr>
      <w:r>
        <w:rPr>
          <w:rFonts w:ascii="宋体" w:hAnsi="宋体" w:eastAsia="宋体" w:cs="Times New Roman"/>
          <w:kern w:val="0"/>
          <w:sz w:val="24"/>
        </w:rPr>
        <w:t>3.5</w:t>
      </w:r>
      <w:r>
        <w:rPr>
          <w:rFonts w:hint="eastAsia" w:ascii="宋体" w:hAnsi="宋体" w:eastAsia="宋体" w:cs="Times New Roman"/>
          <w:kern w:val="0"/>
          <w:sz w:val="24"/>
        </w:rPr>
        <w:t>被暂停或取消投标资格的；</w:t>
      </w:r>
    </w:p>
    <w:p>
      <w:pPr>
        <w:widowControl/>
        <w:spacing w:line="360" w:lineRule="auto"/>
        <w:ind w:firstLine="420"/>
        <w:jc w:val="both"/>
        <w:rPr>
          <w:rFonts w:ascii="宋体" w:hAnsi="宋体" w:eastAsia="宋体" w:cs="Times New Roman"/>
          <w:kern w:val="0"/>
          <w:sz w:val="24"/>
        </w:rPr>
      </w:pPr>
      <w:r>
        <w:rPr>
          <w:rFonts w:ascii="宋体" w:hAnsi="宋体" w:eastAsia="宋体" w:cs="Times New Roman"/>
          <w:kern w:val="0"/>
          <w:sz w:val="24"/>
        </w:rPr>
        <w:t>3.6</w:t>
      </w:r>
      <w:r>
        <w:rPr>
          <w:rFonts w:hint="eastAsia" w:ascii="宋体" w:hAnsi="宋体" w:eastAsia="宋体" w:cs="Times New Roman"/>
          <w:kern w:val="0"/>
          <w:sz w:val="24"/>
        </w:rPr>
        <w:t>财产被接管或冻结的；</w:t>
      </w:r>
    </w:p>
    <w:p>
      <w:pPr>
        <w:widowControl/>
        <w:spacing w:line="360" w:lineRule="auto"/>
        <w:ind w:firstLine="420"/>
        <w:jc w:val="both"/>
        <w:rPr>
          <w:rFonts w:ascii="宋体" w:hAnsi="宋体" w:eastAsia="宋体" w:cs="Times New Roman"/>
          <w:kern w:val="0"/>
          <w:sz w:val="24"/>
        </w:rPr>
      </w:pPr>
      <w:r>
        <w:rPr>
          <w:rFonts w:ascii="宋体" w:hAnsi="宋体" w:eastAsia="宋体" w:cs="Times New Roman"/>
          <w:kern w:val="0"/>
          <w:sz w:val="24"/>
        </w:rPr>
        <w:t>3.7</w:t>
      </w:r>
      <w:r>
        <w:rPr>
          <w:rFonts w:hint="eastAsia" w:ascii="宋体" w:hAnsi="宋体" w:eastAsia="宋体" w:cs="Times New Roman"/>
          <w:kern w:val="0"/>
          <w:sz w:val="24"/>
        </w:rPr>
        <w:t>其他有关法律、行政法规及部门规章禁止的。</w:t>
      </w:r>
    </w:p>
    <w:p>
      <w:pPr>
        <w:widowControl/>
        <w:spacing w:line="360" w:lineRule="auto"/>
        <w:ind w:firstLine="420"/>
        <w:jc w:val="both"/>
        <w:rPr>
          <w:rFonts w:ascii="宋体" w:hAnsi="宋体" w:eastAsia="宋体" w:cs="Times New Roman"/>
          <w:b/>
          <w:bCs/>
          <w:kern w:val="0"/>
          <w:sz w:val="24"/>
        </w:rPr>
      </w:pPr>
      <w:r>
        <w:rPr>
          <w:rFonts w:hint="eastAsia" w:ascii="宋体" w:hAnsi="宋体" w:eastAsia="宋体" w:cs="Times New Roman"/>
          <w:b/>
          <w:bCs/>
          <w:kern w:val="0"/>
          <w:sz w:val="24"/>
        </w:rPr>
        <w:t>4.财务要求</w:t>
      </w:r>
    </w:p>
    <w:p>
      <w:pPr>
        <w:widowControl/>
        <w:spacing w:line="360" w:lineRule="auto"/>
        <w:ind w:firstLine="420"/>
        <w:jc w:val="both"/>
        <w:rPr>
          <w:rFonts w:ascii="宋体" w:hAnsi="宋体" w:eastAsia="宋体" w:cs="Times New Roman"/>
          <w:color w:val="000000"/>
          <w:kern w:val="0"/>
          <w:sz w:val="24"/>
        </w:rPr>
      </w:pPr>
      <w:r>
        <w:rPr>
          <w:rFonts w:ascii="宋体" w:hAnsi="宋体" w:eastAsia="宋体" w:cs="Times New Roman"/>
          <w:color w:val="000000"/>
          <w:kern w:val="0"/>
          <w:sz w:val="24"/>
        </w:rPr>
        <w:t>4.1</w:t>
      </w:r>
      <w:r>
        <w:rPr>
          <w:rFonts w:hint="eastAsia" w:ascii="宋体" w:hAnsi="宋体" w:eastAsia="宋体" w:cs="Times New Roman"/>
          <w:color w:val="000000"/>
          <w:kern w:val="0"/>
          <w:sz w:val="24"/>
        </w:rPr>
        <w:t>具有良好的商业信誉和健全的财务会计制度：提供近三年（2019-2021年度）经会计师事务所或审计机构审计的财务审计报告，包括资产负债表、现金流量表、利润表和财务情况说明书并附会计事务所或审计机构的营业执照及执业资格证书。近三年内新成立企业（以营业执照成立日期为准）提供成立年度至今经会计师事务所或其他审计机构审计的财务报表及审计报告，新成立且暂无审计报告的提供公司财务报表或公司财务情况说明。</w:t>
      </w:r>
    </w:p>
    <w:p>
      <w:pPr>
        <w:widowControl/>
        <w:spacing w:line="360" w:lineRule="auto"/>
        <w:ind w:firstLine="420"/>
        <w:jc w:val="both"/>
        <w:rPr>
          <w:rFonts w:ascii="宋体" w:hAnsi="宋体" w:eastAsia="宋体" w:cs="Times New Roman"/>
          <w:kern w:val="0"/>
          <w:sz w:val="24"/>
        </w:rPr>
      </w:pPr>
      <w:r>
        <w:rPr>
          <w:rFonts w:ascii="宋体" w:hAnsi="宋体" w:eastAsia="宋体" w:cs="Times New Roman"/>
          <w:kern w:val="0"/>
          <w:sz w:val="24"/>
        </w:rPr>
        <w:t>4.2</w:t>
      </w:r>
      <w:r>
        <w:rPr>
          <w:rFonts w:hint="eastAsia" w:ascii="宋体" w:hAnsi="宋体" w:eastAsia="宋体" w:cs="Times New Roman"/>
          <w:kern w:val="0"/>
          <w:sz w:val="24"/>
        </w:rPr>
        <w:t>投融资能力</w:t>
      </w:r>
    </w:p>
    <w:p>
      <w:pPr>
        <w:widowControl/>
        <w:spacing w:line="360" w:lineRule="auto"/>
        <w:ind w:firstLine="420"/>
        <w:jc w:val="both"/>
        <w:rPr>
          <w:rFonts w:ascii="宋体" w:hAnsi="宋体" w:eastAsia="宋体" w:cs="Times New Roman"/>
          <w:kern w:val="0"/>
          <w:sz w:val="24"/>
        </w:rPr>
      </w:pPr>
      <w:r>
        <w:rPr>
          <w:rFonts w:hint="eastAsia" w:ascii="宋体" w:hAnsi="宋体" w:eastAsia="宋体" w:cs="Times New Roman"/>
          <w:kern w:val="0"/>
          <w:sz w:val="24"/>
        </w:rPr>
        <w:t>申请人应具备多渠道融资的资源和经验，需提供不低于</w:t>
      </w:r>
      <w:r>
        <w:rPr>
          <w:rFonts w:ascii="宋体" w:hAnsi="宋体" w:eastAsia="宋体" w:cs="Times New Roman"/>
          <w:kern w:val="0"/>
          <w:sz w:val="24"/>
        </w:rPr>
        <w:t>12.84</w:t>
      </w:r>
      <w:r>
        <w:rPr>
          <w:rFonts w:hint="eastAsia" w:ascii="宋体" w:hAnsi="宋体" w:eastAsia="宋体" w:cs="Times New Roman"/>
          <w:kern w:val="0"/>
          <w:sz w:val="24"/>
        </w:rPr>
        <w:t>亿元的投融资能力证明资料</w:t>
      </w:r>
      <w:r>
        <w:rPr>
          <w:rFonts w:hint="eastAsia" w:ascii="宋体" w:hAnsi="宋体" w:eastAsia="宋体" w:cs="Times New Roman"/>
          <w:color w:val="auto"/>
          <w:kern w:val="0"/>
          <w:sz w:val="24"/>
        </w:rPr>
        <w:t>(不</w:t>
      </w:r>
      <w:r>
        <w:rPr>
          <w:rFonts w:ascii="宋体" w:hAnsi="宋体" w:eastAsia="宋体" w:cs="Times New Roman"/>
          <w:color w:val="auto"/>
          <w:kern w:val="0"/>
          <w:sz w:val="24"/>
        </w:rPr>
        <w:t>限于本项目</w:t>
      </w:r>
      <w:r>
        <w:rPr>
          <w:rFonts w:hint="eastAsia" w:ascii="宋体" w:hAnsi="宋体" w:eastAsia="宋体" w:cs="Times New Roman"/>
          <w:color w:val="auto"/>
          <w:kern w:val="0"/>
          <w:sz w:val="24"/>
        </w:rPr>
        <w:t>)</w:t>
      </w:r>
      <w:r>
        <w:rPr>
          <w:rFonts w:hint="eastAsia" w:ascii="宋体" w:hAnsi="宋体" w:eastAsia="宋体" w:cs="Times New Roman"/>
          <w:kern w:val="0"/>
          <w:sz w:val="24"/>
        </w:rPr>
        <w:t>。</w:t>
      </w:r>
    </w:p>
    <w:p>
      <w:pPr>
        <w:widowControl/>
        <w:spacing w:line="360" w:lineRule="auto"/>
        <w:ind w:firstLine="420"/>
        <w:jc w:val="both"/>
        <w:rPr>
          <w:rFonts w:ascii="宋体" w:hAnsi="宋体" w:eastAsia="宋体" w:cs="Times New Roman"/>
          <w:kern w:val="0"/>
          <w:sz w:val="24"/>
        </w:rPr>
      </w:pPr>
      <w:r>
        <w:rPr>
          <w:rFonts w:hint="eastAsia" w:ascii="宋体" w:hAnsi="宋体" w:eastAsia="宋体" w:cs="Times New Roman"/>
          <w:kern w:val="0"/>
          <w:sz w:val="24"/>
        </w:rPr>
        <w:t>（</w:t>
      </w:r>
      <w:r>
        <w:rPr>
          <w:rFonts w:ascii="宋体" w:hAnsi="宋体" w:eastAsia="宋体" w:cs="Times New Roman"/>
          <w:kern w:val="0"/>
          <w:sz w:val="24"/>
        </w:rPr>
        <w:t>1</w:t>
      </w:r>
      <w:r>
        <w:rPr>
          <w:rFonts w:hint="eastAsia" w:ascii="宋体" w:hAnsi="宋体" w:eastAsia="宋体" w:cs="Times New Roman"/>
          <w:kern w:val="0"/>
          <w:sz w:val="24"/>
        </w:rPr>
        <w:t>）投融资能力证明资料为银行及非银行金融机构（基金、信托、证券）的合法有效的授信额度证明或融资意向函或银行及非银行金融机构（基金、信托、证券）出具的存款证明（时点在距资格预审会议开标前1个月内</w:t>
      </w:r>
      <w:r>
        <w:rPr>
          <w:rFonts w:hint="eastAsia" w:ascii="宋体" w:hAnsi="宋体" w:eastAsia="宋体" w:cs="Times New Roman"/>
          <w:color w:val="auto"/>
          <w:kern w:val="0"/>
          <w:sz w:val="24"/>
        </w:rPr>
        <w:t>或处</w:t>
      </w:r>
      <w:r>
        <w:rPr>
          <w:rFonts w:ascii="宋体" w:hAnsi="宋体" w:eastAsia="宋体" w:cs="Times New Roman"/>
          <w:color w:val="auto"/>
          <w:kern w:val="0"/>
          <w:sz w:val="24"/>
        </w:rPr>
        <w:t>于证明材料有效期内</w:t>
      </w:r>
      <w:r>
        <w:rPr>
          <w:rFonts w:hint="eastAsia" w:ascii="宋体" w:hAnsi="宋体" w:eastAsia="宋体" w:cs="Times New Roman"/>
          <w:kern w:val="0"/>
          <w:sz w:val="24"/>
        </w:rPr>
        <w:t>）。</w:t>
      </w:r>
    </w:p>
    <w:p>
      <w:pPr>
        <w:widowControl/>
        <w:spacing w:line="360" w:lineRule="auto"/>
        <w:ind w:firstLine="420"/>
        <w:jc w:val="both"/>
        <w:rPr>
          <w:rFonts w:ascii="宋体" w:hAnsi="宋体" w:eastAsia="宋体" w:cs="Times New Roman"/>
          <w:kern w:val="0"/>
          <w:sz w:val="24"/>
        </w:rPr>
      </w:pPr>
      <w:r>
        <w:rPr>
          <w:rFonts w:hint="eastAsia" w:ascii="宋体" w:hAnsi="宋体" w:eastAsia="宋体" w:cs="Times New Roman"/>
          <w:color w:val="000000"/>
          <w:kern w:val="0"/>
          <w:sz w:val="24"/>
        </w:rPr>
        <w:t>（</w:t>
      </w:r>
      <w:r>
        <w:rPr>
          <w:rFonts w:ascii="宋体" w:hAnsi="宋体" w:eastAsia="宋体" w:cs="Times New Roman"/>
          <w:color w:val="000000"/>
          <w:kern w:val="0"/>
          <w:sz w:val="24"/>
        </w:rPr>
        <w:t>2</w:t>
      </w:r>
      <w:r>
        <w:rPr>
          <w:rFonts w:hint="eastAsia" w:ascii="宋体" w:hAnsi="宋体" w:eastAsia="宋体" w:cs="Times New Roman"/>
          <w:color w:val="000000"/>
          <w:kern w:val="0"/>
          <w:sz w:val="24"/>
        </w:rPr>
        <w:t>）申请人可以提供上述三项中的投融资能力证明材料（不同银行可累加，存款证明和授信额度可累加）。</w:t>
      </w:r>
    </w:p>
    <w:p>
      <w:pPr>
        <w:widowControl/>
        <w:spacing w:line="360" w:lineRule="auto"/>
        <w:ind w:firstLine="420"/>
        <w:jc w:val="both"/>
        <w:rPr>
          <w:rFonts w:ascii="宋体" w:hAnsi="宋体" w:eastAsia="宋体" w:cs="Times New Roman"/>
          <w:kern w:val="0"/>
          <w:sz w:val="24"/>
        </w:rPr>
      </w:pPr>
      <w:r>
        <w:rPr>
          <w:rFonts w:hint="eastAsia" w:ascii="宋体" w:hAnsi="宋体" w:eastAsia="宋体" w:cs="Times New Roman"/>
          <w:kern w:val="0"/>
          <w:sz w:val="24"/>
        </w:rPr>
        <w:t>（</w:t>
      </w:r>
      <w:r>
        <w:rPr>
          <w:rFonts w:ascii="宋体" w:hAnsi="宋体" w:eastAsia="宋体" w:cs="Times New Roman"/>
          <w:kern w:val="0"/>
          <w:sz w:val="24"/>
        </w:rPr>
        <w:t>3）申请人需提供银行征信报告，报告显示其无违约行为、无不良信用记录，时点在</w:t>
      </w:r>
      <w:r>
        <w:rPr>
          <w:rFonts w:hint="eastAsia" w:ascii="宋体" w:hAnsi="宋体" w:eastAsia="宋体" w:cs="Times New Roman"/>
          <w:kern w:val="0"/>
          <w:sz w:val="24"/>
        </w:rPr>
        <w:t>距资格预审会议开标前</w:t>
      </w:r>
      <w:r>
        <w:rPr>
          <w:rFonts w:ascii="宋体" w:hAnsi="宋体" w:eastAsia="宋体" w:cs="Times New Roman"/>
          <w:kern w:val="0"/>
          <w:sz w:val="24"/>
        </w:rPr>
        <w:t>1个月内。</w:t>
      </w:r>
    </w:p>
    <w:p>
      <w:pPr>
        <w:widowControl/>
        <w:spacing w:line="360" w:lineRule="auto"/>
        <w:ind w:firstLine="420"/>
        <w:jc w:val="left"/>
        <w:rPr>
          <w:rFonts w:ascii="宋体" w:hAnsi="宋体" w:eastAsia="宋体" w:cs="Times New Roman"/>
          <w:color w:val="000000"/>
          <w:kern w:val="0"/>
          <w:sz w:val="24"/>
        </w:rPr>
      </w:pPr>
      <w:r>
        <w:rPr>
          <w:rFonts w:hint="eastAsia" w:ascii="宋体" w:hAnsi="宋体" w:eastAsia="宋体" w:cs="Times New Roman"/>
          <w:b/>
          <w:bCs/>
          <w:kern w:val="0"/>
          <w:sz w:val="24"/>
        </w:rPr>
        <w:t>5.</w:t>
      </w:r>
      <w:r>
        <w:rPr>
          <w:rFonts w:ascii="宋体" w:hAnsi="宋体" w:eastAsia="宋体" w:cs="Times New Roman"/>
          <w:b/>
          <w:bCs/>
          <w:kern w:val="0"/>
          <w:sz w:val="24"/>
        </w:rPr>
        <w:t xml:space="preserve"> </w:t>
      </w:r>
      <w:r>
        <w:rPr>
          <w:rFonts w:hint="eastAsia" w:ascii="宋体" w:hAnsi="宋体" w:eastAsia="宋体" w:cs="Times New Roman"/>
          <w:b/>
          <w:bCs/>
          <w:color w:val="000000"/>
          <w:kern w:val="0"/>
          <w:sz w:val="24"/>
        </w:rPr>
        <w:t>商业信誉及法律要求</w:t>
      </w:r>
    </w:p>
    <w:p>
      <w:pPr>
        <w:widowControl/>
        <w:spacing w:line="360" w:lineRule="auto"/>
        <w:ind w:firstLine="420"/>
        <w:jc w:val="both"/>
        <w:rPr>
          <w:rFonts w:hint="eastAsia" w:ascii="宋体" w:hAnsi="宋体" w:eastAsia="宋体" w:cs="Times New Roman"/>
          <w:color w:val="FF0000"/>
          <w:kern w:val="0"/>
          <w:sz w:val="24"/>
          <w:lang w:eastAsia="zh-CN"/>
        </w:rPr>
      </w:pPr>
      <w:r>
        <w:rPr>
          <w:rFonts w:hint="eastAsia" w:ascii="宋体" w:hAnsi="宋体" w:eastAsia="宋体" w:cs="Times New Roman"/>
          <w:color w:val="000000"/>
          <w:kern w:val="0"/>
          <w:sz w:val="24"/>
        </w:rPr>
        <w:t>自</w:t>
      </w:r>
      <w:r>
        <w:rPr>
          <w:rFonts w:ascii="宋体" w:hAnsi="宋体" w:eastAsia="宋体" w:cs="Times New Roman"/>
          <w:color w:val="000000"/>
          <w:kern w:val="0"/>
          <w:sz w:val="24"/>
        </w:rPr>
        <w:t>2019</w:t>
      </w:r>
      <w:r>
        <w:rPr>
          <w:rFonts w:hint="eastAsia" w:ascii="宋体" w:hAnsi="宋体" w:eastAsia="宋体" w:cs="Times New Roman"/>
          <w:color w:val="000000"/>
          <w:kern w:val="0"/>
          <w:sz w:val="24"/>
        </w:rPr>
        <w:t>年</w:t>
      </w:r>
      <w:r>
        <w:rPr>
          <w:rFonts w:ascii="宋体" w:hAnsi="宋体" w:eastAsia="宋体" w:cs="Times New Roman"/>
          <w:color w:val="000000"/>
          <w:kern w:val="0"/>
          <w:sz w:val="24"/>
        </w:rPr>
        <w:t>1</w:t>
      </w:r>
      <w:r>
        <w:rPr>
          <w:rFonts w:hint="eastAsia" w:ascii="宋体" w:hAnsi="宋体" w:eastAsia="宋体" w:cs="Times New Roman"/>
          <w:color w:val="000000"/>
          <w:kern w:val="0"/>
          <w:sz w:val="24"/>
        </w:rPr>
        <w:t>月</w:t>
      </w:r>
      <w:r>
        <w:rPr>
          <w:rFonts w:ascii="宋体" w:hAnsi="宋体" w:eastAsia="宋体" w:cs="Times New Roman"/>
          <w:color w:val="000000"/>
          <w:kern w:val="0"/>
          <w:sz w:val="24"/>
        </w:rPr>
        <w:t>1</w:t>
      </w:r>
      <w:r>
        <w:rPr>
          <w:rFonts w:hint="eastAsia" w:ascii="宋体" w:hAnsi="宋体" w:eastAsia="宋体" w:cs="Times New Roman"/>
          <w:color w:val="000000"/>
          <w:kern w:val="0"/>
          <w:sz w:val="24"/>
        </w:rPr>
        <w:t>日以来，申请人没有任何直接由于经营者的过失或疏忽，而在任何大型合同中严重违约或被解除协议的情况；不是无力清偿债务者、没有处于受监管状态、没有破产或停业清理或清算，其资产或业务没有处于被法院查封、冻结或采取其他强制措施的状态，其经营活动没有被中止，并且没有因上述事件而成为法律诉讼、仲裁对象。</w:t>
      </w:r>
    </w:p>
    <w:p>
      <w:pPr>
        <w:widowControl/>
        <w:spacing w:line="360" w:lineRule="auto"/>
        <w:ind w:firstLine="420"/>
        <w:jc w:val="both"/>
        <w:rPr>
          <w:rFonts w:ascii="宋体" w:hAnsi="宋体" w:eastAsia="宋体" w:cs="Times New Roman"/>
          <w:color w:val="000000"/>
          <w:kern w:val="0"/>
          <w:sz w:val="24"/>
        </w:rPr>
      </w:pPr>
      <w:r>
        <w:rPr>
          <w:rFonts w:ascii="宋体" w:hAnsi="宋体" w:eastAsia="宋体" w:cs="Times New Roman"/>
          <w:color w:val="000000"/>
          <w:kern w:val="0"/>
          <w:sz w:val="24"/>
        </w:rPr>
        <w:t>5.</w:t>
      </w:r>
      <w:r>
        <w:rPr>
          <w:rFonts w:hint="eastAsia" w:ascii="宋体" w:hAnsi="宋体" w:eastAsia="宋体" w:cs="Times New Roman"/>
          <w:color w:val="000000"/>
          <w:kern w:val="0"/>
          <w:sz w:val="24"/>
          <w:lang w:val="en-US" w:eastAsia="zh-CN"/>
        </w:rPr>
        <w:t>1</w:t>
      </w:r>
      <w:r>
        <w:rPr>
          <w:rFonts w:hint="eastAsia" w:ascii="宋体" w:hAnsi="宋体" w:eastAsia="宋体" w:cs="Times New Roman"/>
          <w:color w:val="000000"/>
          <w:kern w:val="0"/>
          <w:sz w:val="24"/>
        </w:rPr>
        <w:t xml:space="preserve"> </w:t>
      </w:r>
      <w:bookmarkStart w:id="8" w:name="_Hlk72691521"/>
      <w:r>
        <w:rPr>
          <w:rFonts w:hint="eastAsia" w:ascii="宋体" w:hAnsi="宋体" w:eastAsia="宋体" w:cs="Times New Roman"/>
          <w:color w:val="000000"/>
          <w:kern w:val="0"/>
          <w:sz w:val="24"/>
        </w:rPr>
        <w:t>申请人在“信用中国”网站（http://www.creditchina.gov.cn/）中未被列入失信被执行人名单（如查询结果显示“很抱歉，没有找到您搜索的数据”，视为未被列入失信被执行人名单）；在国家企业信用信息公示系统（http://www.gsxt.gov.cn/）中未被列入严重违法失信企业名单（如查询结果显示“查询到0条信息”，视为未被列入严重违法失信企业名单）。查询时间为：获取资格预审文件当日至递交资格预审文件前的任意时间</w:t>
      </w:r>
      <w:bookmarkEnd w:id="8"/>
      <w:r>
        <w:rPr>
          <w:rFonts w:hint="eastAsia" w:ascii="宋体" w:hAnsi="宋体" w:eastAsia="宋体" w:cs="Times New Roman"/>
          <w:color w:val="000000"/>
          <w:kern w:val="0"/>
          <w:sz w:val="24"/>
        </w:rPr>
        <w:t>。“中国裁判文书网”查询截图,查询内容</w:t>
      </w:r>
      <w:r>
        <w:rPr>
          <w:rFonts w:ascii="宋体" w:hAnsi="宋体" w:eastAsia="宋体" w:cs="Times New Roman"/>
          <w:color w:val="000000"/>
          <w:kern w:val="0"/>
          <w:sz w:val="24"/>
        </w:rPr>
        <w:t>:</w:t>
      </w:r>
      <w:r>
        <w:rPr>
          <w:rFonts w:hint="eastAsia" w:ascii="宋体" w:hAnsi="宋体" w:eastAsia="宋体" w:cs="Times New Roman"/>
          <w:color w:val="000000"/>
          <w:kern w:val="0"/>
          <w:sz w:val="24"/>
        </w:rPr>
        <w:t>企业及其企业法定代表人行贿、受贿犯罪档案记录；查询时间为：获取资格预审文件当日至递交资格预审文件前的任意时间。</w:t>
      </w:r>
    </w:p>
    <w:p>
      <w:pPr>
        <w:widowControl/>
        <w:spacing w:line="360" w:lineRule="auto"/>
        <w:ind w:firstLine="420"/>
        <w:jc w:val="both"/>
        <w:rPr>
          <w:rFonts w:ascii="宋体" w:hAnsi="宋体" w:eastAsia="宋体" w:cs="Times New Roman"/>
          <w:kern w:val="0"/>
          <w:sz w:val="24"/>
        </w:rPr>
      </w:pPr>
      <w:r>
        <w:rPr>
          <w:rFonts w:hint="eastAsia" w:ascii="宋体" w:hAnsi="宋体" w:eastAsia="宋体" w:cs="Times New Roman"/>
          <w:b/>
          <w:bCs/>
          <w:kern w:val="0"/>
          <w:sz w:val="24"/>
        </w:rPr>
        <w:t>7.单位负责人为同一人或者存在控股、管理关系的不同单位，不得同时参加本项目的资格预审申请。否则，相关申请均不予通过评审。</w:t>
      </w:r>
    </w:p>
    <w:p>
      <w:pPr>
        <w:widowControl/>
        <w:spacing w:line="360" w:lineRule="auto"/>
        <w:ind w:firstLine="420"/>
        <w:jc w:val="both"/>
        <w:rPr>
          <w:rFonts w:ascii="宋体" w:hAnsi="宋体" w:eastAsia="宋体" w:cs="Times New Roman"/>
          <w:b/>
          <w:bCs/>
          <w:kern w:val="0"/>
          <w:sz w:val="24"/>
        </w:rPr>
      </w:pPr>
      <w:r>
        <w:rPr>
          <w:rFonts w:hint="eastAsia" w:ascii="宋体" w:hAnsi="宋体" w:eastAsia="宋体" w:cs="Times New Roman"/>
          <w:b/>
          <w:bCs/>
          <w:kern w:val="0"/>
          <w:sz w:val="24"/>
        </w:rPr>
        <w:t>8.采购人将视具体情况，按照规定组织对符合条件的社会资本的资格条件进行考察核实，申请人应予以配合。</w:t>
      </w:r>
    </w:p>
    <w:p>
      <w:pPr>
        <w:widowControl/>
        <w:spacing w:line="360" w:lineRule="auto"/>
        <w:ind w:firstLine="420"/>
        <w:jc w:val="both"/>
        <w:rPr>
          <w:rFonts w:ascii="宋体" w:hAnsi="宋体" w:eastAsia="宋体" w:cs="Times New Roman"/>
          <w:b/>
          <w:bCs/>
          <w:kern w:val="0"/>
          <w:sz w:val="24"/>
        </w:rPr>
      </w:pPr>
      <w:r>
        <w:rPr>
          <w:rFonts w:hint="eastAsia" w:ascii="宋体" w:hAnsi="宋体" w:eastAsia="宋体" w:cs="Times New Roman"/>
          <w:b/>
          <w:bCs/>
          <w:kern w:val="0"/>
          <w:sz w:val="24"/>
        </w:rPr>
        <w:t>9</w:t>
      </w:r>
      <w:r>
        <w:rPr>
          <w:rFonts w:ascii="宋体" w:hAnsi="宋体" w:eastAsia="宋体" w:cs="Times New Roman"/>
          <w:b/>
          <w:bCs/>
          <w:kern w:val="0"/>
          <w:sz w:val="24"/>
        </w:rPr>
        <w:t>.本项目不接受联合体申请。</w:t>
      </w:r>
    </w:p>
    <w:p>
      <w:pPr>
        <w:keepNext/>
        <w:keepLines/>
        <w:spacing w:before="260" w:after="260"/>
        <w:outlineLvl w:val="1"/>
        <w:rPr>
          <w:rFonts w:ascii="宋体" w:hAnsi="宋体" w:eastAsia="宋体" w:cs="宋体"/>
          <w:b/>
          <w:bCs/>
          <w:sz w:val="32"/>
          <w:szCs w:val="21"/>
          <w:lang w:val="en-US" w:eastAsia="zh-CN" w:bidi="ar-SA"/>
        </w:rPr>
      </w:pPr>
      <w:bookmarkStart w:id="9" w:name="_Toc14824"/>
      <w:r>
        <w:rPr>
          <w:rFonts w:ascii="Cambria" w:hAnsi="Cambria" w:eastAsia="宋体" w:cs="Times New Roman"/>
          <w:b/>
          <w:bCs/>
          <w:sz w:val="32"/>
          <w:szCs w:val="32"/>
          <w:lang w:val="en-US" w:eastAsia="zh-CN" w:bidi="ar-SA"/>
        </w:rPr>
        <w:t>三、领取资格预审文件</w:t>
      </w:r>
      <w:bookmarkEnd w:id="9"/>
    </w:p>
    <w:p>
      <w:pPr>
        <w:widowControl/>
        <w:spacing w:before="150" w:line="360" w:lineRule="auto"/>
        <w:ind w:left="36" w:right="140" w:firstLine="424"/>
        <w:jc w:val="left"/>
        <w:rPr>
          <w:rFonts w:ascii="宋体" w:hAnsi="宋体" w:eastAsia="宋体" w:cs="宋体"/>
          <w:kern w:val="0"/>
          <w:sz w:val="24"/>
        </w:rPr>
      </w:pPr>
      <w:r>
        <w:rPr>
          <w:rFonts w:hint="eastAsia" w:ascii="宋体" w:hAnsi="宋体" w:eastAsia="宋体" w:cs="宋体"/>
          <w:spacing w:val="-14"/>
          <w:kern w:val="0"/>
          <w:sz w:val="24"/>
        </w:rPr>
        <w:t>1.</w:t>
      </w:r>
      <w:r>
        <w:rPr>
          <w:rFonts w:ascii="宋体" w:hAnsi="宋体" w:eastAsia="宋体" w:cs="宋体"/>
          <w:spacing w:val="-14"/>
          <w:kern w:val="0"/>
          <w:sz w:val="24"/>
        </w:rPr>
        <w:t>获取时</w:t>
      </w:r>
      <w:r>
        <w:rPr>
          <w:rFonts w:ascii="宋体" w:hAnsi="宋体" w:eastAsia="宋体" w:cs="宋体"/>
          <w:spacing w:val="-9"/>
          <w:kern w:val="0"/>
          <w:sz w:val="24"/>
        </w:rPr>
        <w:t>间</w:t>
      </w:r>
      <w:r>
        <w:rPr>
          <w:rFonts w:ascii="宋体" w:hAnsi="宋体" w:eastAsia="宋体" w:cs="宋体"/>
          <w:spacing w:val="-7"/>
          <w:kern w:val="0"/>
          <w:sz w:val="24"/>
        </w:rPr>
        <w:t>： 2022 年</w:t>
      </w:r>
      <w:r>
        <w:rPr>
          <w:rFonts w:hint="eastAsia" w:ascii="宋体" w:hAnsi="宋体" w:cs="宋体"/>
          <w:spacing w:val="-7"/>
          <w:kern w:val="0"/>
          <w:sz w:val="24"/>
          <w:lang w:val="en-US" w:eastAsia="zh-CN"/>
        </w:rPr>
        <w:t>10</w:t>
      </w:r>
      <w:r>
        <w:rPr>
          <w:rFonts w:hint="eastAsia" w:ascii="宋体" w:hAnsi="宋体" w:eastAsia="宋体" w:cs="宋体"/>
          <w:spacing w:val="-7"/>
          <w:kern w:val="0"/>
          <w:sz w:val="24"/>
        </w:rPr>
        <w:t xml:space="preserve">  </w:t>
      </w:r>
      <w:r>
        <w:rPr>
          <w:rFonts w:ascii="宋体" w:hAnsi="宋体" w:eastAsia="宋体" w:cs="宋体"/>
          <w:spacing w:val="-7"/>
          <w:kern w:val="0"/>
          <w:sz w:val="24"/>
        </w:rPr>
        <w:t>月</w:t>
      </w:r>
      <w:r>
        <w:rPr>
          <w:rFonts w:hint="eastAsia" w:ascii="宋体" w:hAnsi="宋体" w:cs="宋体"/>
          <w:spacing w:val="-7"/>
          <w:kern w:val="0"/>
          <w:sz w:val="24"/>
          <w:lang w:val="en-US" w:eastAsia="zh-CN"/>
        </w:rPr>
        <w:t>31</w:t>
      </w:r>
      <w:r>
        <w:rPr>
          <w:rFonts w:hint="eastAsia" w:ascii="宋体" w:hAnsi="宋体" w:eastAsia="宋体" w:cs="宋体"/>
          <w:spacing w:val="-7"/>
          <w:kern w:val="0"/>
          <w:sz w:val="24"/>
        </w:rPr>
        <w:t xml:space="preserve"> </w:t>
      </w:r>
      <w:r>
        <w:rPr>
          <w:rFonts w:ascii="宋体" w:hAnsi="宋体" w:eastAsia="宋体" w:cs="宋体"/>
          <w:spacing w:val="-7"/>
          <w:kern w:val="0"/>
          <w:sz w:val="24"/>
        </w:rPr>
        <w:t>日至</w:t>
      </w:r>
      <w:r>
        <w:rPr>
          <w:rFonts w:hint="eastAsia" w:ascii="宋体" w:hAnsi="宋体" w:eastAsia="宋体" w:cs="宋体"/>
          <w:spacing w:val="-7"/>
          <w:kern w:val="0"/>
          <w:sz w:val="24"/>
        </w:rPr>
        <w:t>资格预审申请文件</w:t>
      </w:r>
      <w:r>
        <w:rPr>
          <w:rFonts w:ascii="宋体" w:hAnsi="宋体" w:eastAsia="宋体" w:cs="宋体"/>
          <w:spacing w:val="-7"/>
          <w:kern w:val="0"/>
          <w:sz w:val="24"/>
        </w:rPr>
        <w:t>递交的截止时间止，由潜在投标人登录全国公共资源交易</w:t>
      </w:r>
      <w:r>
        <w:rPr>
          <w:rFonts w:ascii="宋体" w:hAnsi="宋体" w:eastAsia="宋体" w:cs="宋体"/>
          <w:kern w:val="0"/>
          <w:sz w:val="24"/>
        </w:rPr>
        <w:t xml:space="preserve"> </w:t>
      </w:r>
      <w:r>
        <w:rPr>
          <w:rFonts w:ascii="宋体" w:hAnsi="宋体" w:eastAsia="宋体" w:cs="宋体"/>
          <w:spacing w:val="-1"/>
          <w:kern w:val="0"/>
          <w:sz w:val="24"/>
        </w:rPr>
        <w:t>平台(广西·百色)  (</w:t>
      </w:r>
      <w:r>
        <w:rPr>
          <w:rFonts w:ascii="宋体" w:hAnsi="宋体" w:eastAsia="宋体" w:cs="宋体"/>
          <w:kern w:val="0"/>
          <w:sz w:val="24"/>
        </w:rPr>
        <w:t>http</w:t>
      </w:r>
      <w:r>
        <w:rPr>
          <w:rFonts w:ascii="宋体" w:hAnsi="宋体" w:eastAsia="宋体" w:cs="宋体"/>
          <w:spacing w:val="-1"/>
          <w:kern w:val="0"/>
          <w:sz w:val="24"/>
        </w:rPr>
        <w:t>://</w:t>
      </w:r>
      <w:r>
        <w:rPr>
          <w:rFonts w:ascii="宋体" w:hAnsi="宋体" w:eastAsia="宋体" w:cs="宋体"/>
          <w:kern w:val="0"/>
          <w:sz w:val="24"/>
        </w:rPr>
        <w:t>ggzy</w:t>
      </w:r>
      <w:r>
        <w:rPr>
          <w:rFonts w:ascii="宋体" w:hAnsi="宋体" w:eastAsia="宋体" w:cs="宋体"/>
          <w:spacing w:val="-1"/>
          <w:kern w:val="0"/>
          <w:sz w:val="24"/>
        </w:rPr>
        <w:t>.</w:t>
      </w:r>
      <w:r>
        <w:rPr>
          <w:rFonts w:ascii="宋体" w:hAnsi="宋体" w:eastAsia="宋体" w:cs="宋体"/>
          <w:kern w:val="0"/>
          <w:sz w:val="24"/>
        </w:rPr>
        <w:t>jgswj</w:t>
      </w:r>
      <w:r>
        <w:rPr>
          <w:rFonts w:ascii="宋体" w:hAnsi="宋体" w:eastAsia="宋体" w:cs="宋体"/>
          <w:spacing w:val="-1"/>
          <w:kern w:val="0"/>
          <w:sz w:val="24"/>
        </w:rPr>
        <w:t>.</w:t>
      </w:r>
      <w:r>
        <w:rPr>
          <w:rFonts w:ascii="宋体" w:hAnsi="宋体" w:eastAsia="宋体" w:cs="宋体"/>
          <w:kern w:val="0"/>
          <w:sz w:val="24"/>
        </w:rPr>
        <w:t>gxzf</w:t>
      </w:r>
      <w:r>
        <w:rPr>
          <w:rFonts w:ascii="宋体" w:hAnsi="宋体" w:eastAsia="宋体" w:cs="宋体"/>
          <w:spacing w:val="-1"/>
          <w:kern w:val="0"/>
          <w:sz w:val="24"/>
        </w:rPr>
        <w:t>.</w:t>
      </w:r>
      <w:r>
        <w:rPr>
          <w:rFonts w:ascii="宋体" w:hAnsi="宋体" w:eastAsia="宋体" w:cs="宋体"/>
          <w:kern w:val="0"/>
          <w:sz w:val="24"/>
        </w:rPr>
        <w:t>gov.cn/bsggzy/) 网站免费下载招标文件电子版。</w:t>
      </w:r>
    </w:p>
    <w:p>
      <w:pPr>
        <w:widowControl/>
        <w:spacing w:line="360" w:lineRule="auto"/>
        <w:ind w:left="460"/>
        <w:jc w:val="left"/>
        <w:rPr>
          <w:rFonts w:ascii="Times New Roman" w:hAnsi="Times New Roman" w:eastAsia="宋体" w:cs="Times New Roman"/>
          <w:kern w:val="0"/>
          <w:sz w:val="24"/>
        </w:rPr>
      </w:pPr>
      <w:r>
        <w:rPr>
          <w:rFonts w:hint="eastAsia" w:ascii="宋体" w:hAnsi="宋体" w:eastAsia="宋体" w:cs="宋体"/>
          <w:spacing w:val="-13"/>
          <w:kern w:val="0"/>
          <w:sz w:val="24"/>
        </w:rPr>
        <w:t>2.</w:t>
      </w:r>
      <w:r>
        <w:rPr>
          <w:rFonts w:ascii="宋体" w:hAnsi="宋体" w:eastAsia="宋体" w:cs="宋体"/>
          <w:spacing w:val="-13"/>
          <w:kern w:val="0"/>
          <w:sz w:val="24"/>
        </w:rPr>
        <w:t>获</w:t>
      </w:r>
      <w:r>
        <w:rPr>
          <w:rFonts w:ascii="宋体" w:hAnsi="宋体" w:eastAsia="宋体" w:cs="宋体"/>
          <w:spacing w:val="-10"/>
          <w:kern w:val="0"/>
          <w:sz w:val="24"/>
        </w:rPr>
        <w:t>取方式： 网上下载。</w:t>
      </w:r>
    </w:p>
    <w:p>
      <w:pPr>
        <w:keepNext/>
        <w:keepLines/>
        <w:spacing w:before="260" w:after="260"/>
        <w:outlineLvl w:val="1"/>
        <w:rPr>
          <w:rFonts w:ascii="Cambria" w:hAnsi="Cambria" w:eastAsia="宋体" w:cs="Times New Roman"/>
          <w:b/>
          <w:bCs/>
          <w:sz w:val="32"/>
          <w:szCs w:val="32"/>
          <w:lang w:val="en-US" w:eastAsia="zh-CN" w:bidi="ar-SA"/>
        </w:rPr>
      </w:pPr>
      <w:bookmarkStart w:id="10" w:name="_Toc5934"/>
      <w:r>
        <w:rPr>
          <w:rFonts w:ascii="Cambria" w:hAnsi="Cambria" w:eastAsia="宋体" w:cs="Times New Roman"/>
          <w:b/>
          <w:bCs/>
          <w:sz w:val="32"/>
          <w:szCs w:val="32"/>
          <w:lang w:val="en-US" w:eastAsia="zh-CN" w:bidi="ar-SA"/>
        </w:rPr>
        <w:t>四、资格预审申请文件的组成及格式</w:t>
      </w:r>
      <w:bookmarkEnd w:id="10"/>
    </w:p>
    <w:p>
      <w:pPr>
        <w:widowControl/>
        <w:spacing w:before="147" w:line="360" w:lineRule="auto"/>
        <w:ind w:firstLine="476" w:firstLineChars="200"/>
        <w:jc w:val="left"/>
        <w:rPr>
          <w:rFonts w:ascii="宋体" w:hAnsi="宋体" w:eastAsia="宋体" w:cs="宋体"/>
          <w:kern w:val="0"/>
          <w:sz w:val="24"/>
        </w:rPr>
      </w:pPr>
      <w:r>
        <w:rPr>
          <w:rFonts w:ascii="宋体" w:hAnsi="宋体" w:eastAsia="宋体" w:cs="宋体"/>
          <w:spacing w:val="-1"/>
          <w:kern w:val="0"/>
          <w:sz w:val="24"/>
        </w:rPr>
        <w:t>资格预审申请文件需包含的内容及具体格式要求详见</w:t>
      </w:r>
      <w:r>
        <w:rPr>
          <w:rFonts w:hint="eastAsia" w:ascii="宋体" w:hAnsi="宋体" w:eastAsia="宋体" w:cs="宋体"/>
          <w:spacing w:val="-1"/>
          <w:kern w:val="0"/>
          <w:sz w:val="24"/>
        </w:rPr>
        <w:t>第五章“资格预审申请文件格式”</w:t>
      </w:r>
      <w:r>
        <w:rPr>
          <w:rFonts w:ascii="宋体" w:hAnsi="宋体" w:eastAsia="宋体" w:cs="宋体"/>
          <w:kern w:val="0"/>
          <w:sz w:val="24"/>
        </w:rPr>
        <w:t>。</w:t>
      </w:r>
    </w:p>
    <w:p>
      <w:pPr>
        <w:keepNext/>
        <w:keepLines/>
        <w:spacing w:before="260" w:after="260" w:line="360" w:lineRule="auto"/>
        <w:outlineLvl w:val="1"/>
        <w:rPr>
          <w:rFonts w:ascii="宋体" w:hAnsi="宋体" w:eastAsia="宋体" w:cs="宋体"/>
          <w:b/>
          <w:bCs/>
          <w:sz w:val="32"/>
          <w:szCs w:val="21"/>
          <w:lang w:val="en-US" w:eastAsia="zh-CN" w:bidi="ar-SA"/>
        </w:rPr>
      </w:pPr>
      <w:bookmarkStart w:id="11" w:name="_Toc2123"/>
      <w:r>
        <w:rPr>
          <w:rFonts w:ascii="Cambria" w:hAnsi="Cambria" w:eastAsia="宋体" w:cs="Times New Roman"/>
          <w:b/>
          <w:bCs/>
          <w:sz w:val="32"/>
          <w:szCs w:val="32"/>
          <w:lang w:val="en-US" w:eastAsia="zh-CN" w:bidi="ar-SA"/>
        </w:rPr>
        <w:t>五、资格预审的审查标准及方法</w:t>
      </w:r>
      <w:bookmarkEnd w:id="11"/>
    </w:p>
    <w:p>
      <w:pPr>
        <w:widowControl/>
        <w:spacing w:before="150" w:line="360" w:lineRule="auto"/>
        <w:ind w:left="473"/>
        <w:jc w:val="left"/>
        <w:rPr>
          <w:rFonts w:ascii="宋体" w:hAnsi="宋体" w:eastAsia="宋体" w:cs="宋体"/>
          <w:kern w:val="0"/>
          <w:sz w:val="24"/>
        </w:rPr>
      </w:pPr>
      <w:r>
        <w:rPr>
          <w:rFonts w:ascii="宋体" w:hAnsi="宋体" w:eastAsia="宋体" w:cs="宋体"/>
          <w:spacing w:val="-4"/>
          <w:kern w:val="0"/>
          <w:position w:val="14"/>
          <w:sz w:val="24"/>
        </w:rPr>
        <w:t>1.本次</w:t>
      </w:r>
      <w:r>
        <w:rPr>
          <w:rFonts w:ascii="宋体" w:hAnsi="宋体" w:eastAsia="宋体" w:cs="宋体"/>
          <w:spacing w:val="-2"/>
          <w:kern w:val="0"/>
          <w:position w:val="14"/>
          <w:sz w:val="24"/>
        </w:rPr>
        <w:t>资格预审采用合格制。</w:t>
      </w:r>
    </w:p>
    <w:p>
      <w:pPr>
        <w:widowControl/>
        <w:spacing w:line="360" w:lineRule="auto"/>
        <w:ind w:left="460"/>
        <w:jc w:val="left"/>
        <w:rPr>
          <w:rFonts w:ascii="宋体" w:hAnsi="宋体" w:eastAsia="宋体" w:cs="宋体"/>
          <w:kern w:val="0"/>
          <w:sz w:val="21"/>
          <w:szCs w:val="21"/>
        </w:rPr>
      </w:pPr>
      <w:r>
        <w:rPr>
          <w:rFonts w:ascii="宋体" w:hAnsi="宋体" w:eastAsia="宋体" w:cs="宋体"/>
          <w:spacing w:val="-1"/>
          <w:kern w:val="0"/>
          <w:sz w:val="24"/>
        </w:rPr>
        <w:t>2.审查标准:详见资格预审文件第三章“资格审查办法”。</w:t>
      </w:r>
    </w:p>
    <w:p>
      <w:pPr>
        <w:keepNext/>
        <w:keepLines/>
        <w:spacing w:before="260" w:after="260" w:line="360" w:lineRule="auto"/>
        <w:outlineLvl w:val="1"/>
        <w:rPr>
          <w:rFonts w:ascii="宋体" w:hAnsi="宋体" w:eastAsia="宋体" w:cs="宋体"/>
          <w:b/>
          <w:bCs/>
          <w:sz w:val="32"/>
          <w:szCs w:val="21"/>
          <w:lang w:val="en-US" w:eastAsia="zh-CN" w:bidi="ar-SA"/>
        </w:rPr>
      </w:pPr>
      <w:bookmarkStart w:id="12" w:name="_Toc3669"/>
      <w:r>
        <w:rPr>
          <w:rFonts w:ascii="Cambria" w:hAnsi="Cambria" w:eastAsia="宋体" w:cs="Times New Roman"/>
          <w:b/>
          <w:bCs/>
          <w:sz w:val="32"/>
          <w:szCs w:val="32"/>
          <w:lang w:val="en-US" w:eastAsia="zh-CN" w:bidi="ar-SA"/>
        </w:rPr>
        <w:t>六、拟邀请参加投标的供应商数量</w:t>
      </w:r>
      <w:bookmarkEnd w:id="12"/>
    </w:p>
    <w:p>
      <w:pPr>
        <w:widowControl/>
        <w:spacing w:before="150" w:line="360" w:lineRule="auto"/>
        <w:ind w:left="455"/>
        <w:jc w:val="left"/>
        <w:rPr>
          <w:rFonts w:ascii="宋体" w:hAnsi="宋体" w:eastAsia="宋体" w:cs="宋体"/>
          <w:kern w:val="0"/>
          <w:sz w:val="24"/>
        </w:rPr>
      </w:pPr>
      <w:r>
        <w:rPr>
          <w:rFonts w:ascii="宋体" w:hAnsi="宋体" w:eastAsia="宋体" w:cs="宋体"/>
          <w:spacing w:val="-1"/>
          <w:kern w:val="0"/>
          <w:sz w:val="24"/>
        </w:rPr>
        <w:t>邀请</w:t>
      </w:r>
      <w:r>
        <w:rPr>
          <w:rFonts w:ascii="宋体" w:hAnsi="宋体" w:eastAsia="宋体" w:cs="宋体"/>
          <w:kern w:val="0"/>
          <w:sz w:val="24"/>
        </w:rPr>
        <w:t>全部通过资格预审的供应商参加投标。</w:t>
      </w:r>
    </w:p>
    <w:p>
      <w:pPr>
        <w:keepNext/>
        <w:keepLines/>
        <w:spacing w:before="260" w:after="260"/>
        <w:outlineLvl w:val="1"/>
        <w:rPr>
          <w:rFonts w:ascii="Cambria" w:hAnsi="Cambria" w:eastAsia="宋体" w:cs="Times New Roman"/>
          <w:b/>
          <w:bCs/>
          <w:sz w:val="32"/>
          <w:szCs w:val="32"/>
          <w:lang w:val="en-US" w:eastAsia="zh-CN" w:bidi="ar-SA"/>
        </w:rPr>
      </w:pPr>
      <w:bookmarkStart w:id="13" w:name="_Toc21377"/>
      <w:r>
        <w:rPr>
          <w:rFonts w:ascii="Cambria" w:hAnsi="Cambria" w:eastAsia="宋体" w:cs="Times New Roman"/>
          <w:b/>
          <w:bCs/>
          <w:sz w:val="32"/>
          <w:szCs w:val="32"/>
          <w:lang w:val="en-US" w:eastAsia="zh-CN" w:bidi="ar-SA"/>
        </w:rPr>
        <w:t>七、申请文件提交</w:t>
      </w:r>
      <w:bookmarkEnd w:id="13"/>
    </w:p>
    <w:p>
      <w:pPr>
        <w:widowControl/>
        <w:spacing w:line="360" w:lineRule="auto"/>
        <w:ind w:firstLine="420"/>
        <w:jc w:val="both"/>
        <w:rPr>
          <w:rFonts w:ascii="宋体" w:hAnsi="宋体" w:eastAsia="宋体" w:cs="宋体"/>
          <w:kern w:val="0"/>
          <w:sz w:val="24"/>
        </w:rPr>
      </w:pPr>
      <w:r>
        <w:rPr>
          <w:rFonts w:hint="eastAsia" w:ascii="宋体" w:hAnsi="宋体" w:eastAsia="宋体" w:cs="宋体"/>
          <w:kern w:val="0"/>
          <w:sz w:val="24"/>
        </w:rPr>
        <w:t xml:space="preserve">1.应在 2022 年 </w:t>
      </w:r>
      <w:r>
        <w:rPr>
          <w:rFonts w:hint="eastAsia" w:ascii="宋体" w:hAnsi="宋体" w:cs="宋体"/>
          <w:kern w:val="0"/>
          <w:sz w:val="24"/>
          <w:lang w:val="en-US" w:eastAsia="zh-CN"/>
        </w:rPr>
        <w:t>11</w:t>
      </w:r>
      <w:r>
        <w:rPr>
          <w:rFonts w:hint="eastAsia" w:ascii="宋体" w:hAnsi="宋体" w:eastAsia="宋体" w:cs="宋体"/>
          <w:kern w:val="0"/>
          <w:sz w:val="24"/>
        </w:rPr>
        <w:t xml:space="preserve"> 月</w:t>
      </w:r>
      <w:r>
        <w:rPr>
          <w:rFonts w:hint="eastAsia" w:ascii="宋体" w:hAnsi="宋体" w:cs="宋体"/>
          <w:kern w:val="0"/>
          <w:sz w:val="24"/>
          <w:lang w:val="en-US" w:eastAsia="zh-CN"/>
        </w:rPr>
        <w:t>22</w:t>
      </w:r>
      <w:r>
        <w:rPr>
          <w:rFonts w:hint="eastAsia" w:ascii="宋体" w:hAnsi="宋体" w:eastAsia="宋体" w:cs="宋体"/>
          <w:kern w:val="0"/>
          <w:sz w:val="24"/>
        </w:rPr>
        <w:t xml:space="preserve">  日</w:t>
      </w:r>
      <w:r>
        <w:rPr>
          <w:rFonts w:hint="eastAsia" w:ascii="宋体" w:hAnsi="宋体" w:cs="宋体"/>
          <w:kern w:val="0"/>
          <w:sz w:val="24"/>
          <w:lang w:val="en-US" w:eastAsia="zh-CN"/>
        </w:rPr>
        <w:t>09</w:t>
      </w:r>
      <w:r>
        <w:rPr>
          <w:rFonts w:hint="eastAsia" w:ascii="宋体" w:hAnsi="宋体" w:eastAsia="宋体" w:cs="宋体"/>
          <w:kern w:val="0"/>
          <w:sz w:val="24"/>
        </w:rPr>
        <w:t xml:space="preserve"> 点</w:t>
      </w:r>
      <w:r>
        <w:rPr>
          <w:rFonts w:hint="eastAsia" w:ascii="宋体" w:hAnsi="宋体" w:cs="宋体"/>
          <w:kern w:val="0"/>
          <w:sz w:val="24"/>
          <w:lang w:val="en-US" w:eastAsia="zh-CN"/>
        </w:rPr>
        <w:t>30</w:t>
      </w:r>
      <w:r>
        <w:rPr>
          <w:rFonts w:hint="eastAsia" w:ascii="宋体" w:hAnsi="宋体" w:eastAsia="宋体" w:cs="宋体"/>
          <w:kern w:val="0"/>
          <w:sz w:val="24"/>
        </w:rPr>
        <w:t xml:space="preserve">分（北京时间）前，将申请文件提交至百色市公共资源交易中心开标室（地址：百色市园博园政务中心三楼，具体安排详见电子大屏幕场地安排表）。 </w:t>
      </w:r>
    </w:p>
    <w:p>
      <w:pPr>
        <w:widowControl/>
        <w:spacing w:line="360" w:lineRule="auto"/>
        <w:ind w:firstLine="420"/>
        <w:jc w:val="both"/>
        <w:rPr>
          <w:rFonts w:ascii="宋体" w:hAnsi="宋体" w:eastAsia="宋体" w:cs="宋体"/>
          <w:kern w:val="0"/>
          <w:sz w:val="24"/>
        </w:rPr>
      </w:pPr>
      <w:r>
        <w:rPr>
          <w:rFonts w:hint="eastAsia" w:ascii="宋体" w:hAnsi="宋体" w:eastAsia="宋体" w:cs="宋体"/>
          <w:kern w:val="0"/>
          <w:sz w:val="24"/>
        </w:rPr>
        <w:t xml:space="preserve">2.递交资格预审申请文件需出示的材料： </w:t>
      </w:r>
    </w:p>
    <w:p>
      <w:pPr>
        <w:widowControl/>
        <w:spacing w:line="360" w:lineRule="auto"/>
        <w:ind w:firstLine="420"/>
        <w:jc w:val="both"/>
        <w:rPr>
          <w:rFonts w:ascii="宋体" w:hAnsi="宋体" w:eastAsia="宋体" w:cs="宋体"/>
          <w:kern w:val="0"/>
          <w:sz w:val="24"/>
        </w:rPr>
      </w:pPr>
      <w:r>
        <w:rPr>
          <w:rFonts w:hint="eastAsia" w:ascii="宋体" w:hAnsi="宋体" w:eastAsia="宋体" w:cs="宋体"/>
          <w:kern w:val="0"/>
          <w:sz w:val="24"/>
        </w:rPr>
        <w:t xml:space="preserve">2.1申请人应出示：社会资本方法定代表人本人身份证原件及复印件（或委托代理人授权书原件，委托代理人身份证原件及复印件）、营业执照复印件、组织机构代码证复印件（三证合一的申请人提供含有统一社会信用代码的营业执照即可）。 </w:t>
      </w:r>
    </w:p>
    <w:p>
      <w:pPr>
        <w:widowControl/>
        <w:spacing w:line="360" w:lineRule="auto"/>
        <w:ind w:firstLine="420"/>
        <w:jc w:val="both"/>
        <w:rPr>
          <w:rFonts w:ascii="宋体" w:hAnsi="宋体" w:eastAsia="宋体" w:cs="宋体"/>
          <w:kern w:val="0"/>
          <w:sz w:val="24"/>
          <w:u w:val="single"/>
        </w:rPr>
      </w:pPr>
      <w:r>
        <w:rPr>
          <w:rFonts w:hint="eastAsia" w:ascii="宋体" w:hAnsi="宋体" w:eastAsia="宋体" w:cs="宋体"/>
          <w:kern w:val="0"/>
          <w:sz w:val="24"/>
        </w:rPr>
        <w:t>2.2逾期送达的或者未送达指定地点或者不按照资格预审文件要求密封的申请文件，采购人拒收。</w:t>
      </w:r>
    </w:p>
    <w:p>
      <w:pPr>
        <w:keepNext/>
        <w:keepLines/>
        <w:spacing w:before="260" w:after="260"/>
        <w:outlineLvl w:val="1"/>
        <w:rPr>
          <w:rFonts w:ascii="宋体" w:hAnsi="宋体" w:eastAsia="宋体" w:cs="宋体"/>
          <w:b/>
          <w:bCs/>
          <w:sz w:val="32"/>
          <w:szCs w:val="21"/>
          <w:lang w:val="en-US" w:eastAsia="zh-CN" w:bidi="ar-SA"/>
        </w:rPr>
      </w:pPr>
      <w:bookmarkStart w:id="14" w:name="_Toc5073"/>
      <w:r>
        <w:rPr>
          <w:rFonts w:ascii="Cambria" w:hAnsi="Cambria" w:eastAsia="宋体" w:cs="Times New Roman"/>
          <w:b/>
          <w:bCs/>
          <w:sz w:val="32"/>
          <w:szCs w:val="32"/>
          <w:lang w:val="en-US" w:eastAsia="zh-CN" w:bidi="ar-SA"/>
        </w:rPr>
        <w:t>八、资格预审日期</w:t>
      </w:r>
      <w:bookmarkEnd w:id="14"/>
    </w:p>
    <w:p>
      <w:pPr>
        <w:widowControl/>
        <w:spacing w:before="89" w:line="360" w:lineRule="auto"/>
        <w:ind w:left="466"/>
        <w:jc w:val="left"/>
        <w:rPr>
          <w:rFonts w:ascii="宋体" w:hAnsi="宋体" w:eastAsia="宋体" w:cs="宋体"/>
          <w:kern w:val="0"/>
          <w:sz w:val="21"/>
          <w:szCs w:val="21"/>
        </w:rPr>
      </w:pPr>
      <w:r>
        <w:rPr>
          <w:rFonts w:ascii="宋体" w:hAnsi="宋体" w:eastAsia="宋体" w:cs="宋体"/>
          <w:spacing w:val="-10"/>
          <w:kern w:val="0"/>
          <w:sz w:val="24"/>
        </w:rPr>
        <w:t>资</w:t>
      </w:r>
      <w:r>
        <w:rPr>
          <w:rFonts w:ascii="宋体" w:hAnsi="宋体" w:eastAsia="宋体" w:cs="宋体"/>
          <w:spacing w:val="-7"/>
          <w:kern w:val="0"/>
          <w:sz w:val="24"/>
        </w:rPr>
        <w:t xml:space="preserve">格预审日期为申请文件提交截止时间至 </w:t>
      </w:r>
      <w:r>
        <w:rPr>
          <w:rFonts w:hint="eastAsia" w:ascii="宋体" w:hAnsi="宋体" w:eastAsia="宋体" w:cs="宋体"/>
          <w:kern w:val="0"/>
          <w:sz w:val="24"/>
        </w:rPr>
        <w:t xml:space="preserve">2022 年 </w:t>
      </w:r>
      <w:r>
        <w:rPr>
          <w:rFonts w:hint="eastAsia" w:ascii="宋体" w:hAnsi="宋体" w:cs="宋体"/>
          <w:kern w:val="0"/>
          <w:sz w:val="24"/>
          <w:lang w:val="en-US" w:eastAsia="zh-CN"/>
        </w:rPr>
        <w:t>11</w:t>
      </w:r>
      <w:r>
        <w:rPr>
          <w:rFonts w:hint="eastAsia" w:ascii="宋体" w:hAnsi="宋体" w:eastAsia="宋体" w:cs="宋体"/>
          <w:kern w:val="0"/>
          <w:sz w:val="24"/>
        </w:rPr>
        <w:t xml:space="preserve"> 月</w:t>
      </w:r>
      <w:r>
        <w:rPr>
          <w:rFonts w:hint="eastAsia" w:ascii="宋体" w:hAnsi="宋体" w:cs="宋体"/>
          <w:kern w:val="0"/>
          <w:sz w:val="24"/>
          <w:lang w:val="en-US" w:eastAsia="zh-CN"/>
        </w:rPr>
        <w:t>22</w:t>
      </w:r>
      <w:r>
        <w:rPr>
          <w:rFonts w:hint="eastAsia" w:ascii="宋体" w:hAnsi="宋体" w:eastAsia="宋体" w:cs="宋体"/>
          <w:kern w:val="0"/>
          <w:sz w:val="24"/>
        </w:rPr>
        <w:t xml:space="preserve">  日</w:t>
      </w:r>
      <w:r>
        <w:rPr>
          <w:rFonts w:hint="eastAsia" w:ascii="宋体" w:hAnsi="宋体" w:cs="宋体"/>
          <w:kern w:val="0"/>
          <w:sz w:val="24"/>
          <w:lang w:val="en-US" w:eastAsia="zh-CN"/>
        </w:rPr>
        <w:t>09</w:t>
      </w:r>
      <w:r>
        <w:rPr>
          <w:rFonts w:hint="eastAsia" w:ascii="宋体" w:hAnsi="宋体" w:eastAsia="宋体" w:cs="宋体"/>
          <w:kern w:val="0"/>
          <w:sz w:val="24"/>
        </w:rPr>
        <w:t xml:space="preserve"> 点</w:t>
      </w:r>
      <w:r>
        <w:rPr>
          <w:rFonts w:hint="eastAsia" w:ascii="宋体" w:hAnsi="宋体" w:cs="宋体"/>
          <w:kern w:val="0"/>
          <w:sz w:val="24"/>
          <w:lang w:val="en-US" w:eastAsia="zh-CN"/>
        </w:rPr>
        <w:t>30</w:t>
      </w:r>
      <w:r>
        <w:rPr>
          <w:rFonts w:hint="eastAsia" w:ascii="宋体" w:hAnsi="宋体" w:eastAsia="宋体" w:cs="宋体"/>
          <w:kern w:val="0"/>
          <w:sz w:val="24"/>
        </w:rPr>
        <w:t>分</w:t>
      </w:r>
      <w:r>
        <w:rPr>
          <w:rFonts w:ascii="宋体" w:hAnsi="宋体" w:eastAsia="宋体" w:cs="宋体"/>
          <w:spacing w:val="-7"/>
          <w:kern w:val="0"/>
          <w:sz w:val="24"/>
        </w:rPr>
        <w:t>。</w:t>
      </w:r>
    </w:p>
    <w:p>
      <w:pPr>
        <w:keepNext/>
        <w:keepLines/>
        <w:spacing w:before="260" w:after="260"/>
        <w:outlineLvl w:val="1"/>
        <w:rPr>
          <w:rFonts w:ascii="宋体" w:hAnsi="宋体" w:eastAsia="宋体" w:cs="宋体"/>
          <w:b/>
          <w:bCs/>
          <w:sz w:val="32"/>
          <w:szCs w:val="21"/>
          <w:lang w:val="en-US" w:eastAsia="zh-CN" w:bidi="ar-SA"/>
        </w:rPr>
      </w:pPr>
      <w:bookmarkStart w:id="15" w:name="_Toc8791"/>
      <w:r>
        <w:rPr>
          <w:rFonts w:ascii="Cambria" w:hAnsi="Cambria" w:eastAsia="宋体" w:cs="Times New Roman"/>
          <w:b/>
          <w:bCs/>
          <w:sz w:val="32"/>
          <w:szCs w:val="32"/>
          <w:lang w:val="en-US" w:eastAsia="zh-CN" w:bidi="ar-SA"/>
        </w:rPr>
        <w:t>九、公告期限</w:t>
      </w:r>
      <w:bookmarkEnd w:id="15"/>
    </w:p>
    <w:p>
      <w:pPr>
        <w:widowControl/>
        <w:spacing w:before="92" w:line="360" w:lineRule="auto"/>
        <w:ind w:left="492"/>
        <w:jc w:val="left"/>
        <w:rPr>
          <w:rFonts w:ascii="宋体" w:hAnsi="宋体" w:eastAsia="宋体" w:cs="宋体"/>
          <w:spacing w:val="-8"/>
          <w:kern w:val="0"/>
          <w:sz w:val="24"/>
        </w:rPr>
      </w:pPr>
      <w:r>
        <w:rPr>
          <w:rFonts w:ascii="宋体" w:hAnsi="宋体" w:eastAsia="宋体" w:cs="宋体"/>
          <w:spacing w:val="-16"/>
          <w:kern w:val="0"/>
          <w:sz w:val="24"/>
        </w:rPr>
        <w:t>自</w:t>
      </w:r>
      <w:r>
        <w:rPr>
          <w:rFonts w:ascii="宋体" w:hAnsi="宋体" w:eastAsia="宋体" w:cs="宋体"/>
          <w:spacing w:val="-8"/>
          <w:kern w:val="0"/>
          <w:sz w:val="24"/>
        </w:rPr>
        <w:t>本公告发布之日起 5 个工作日。</w:t>
      </w:r>
    </w:p>
    <w:p>
      <w:pPr>
        <w:keepNext/>
        <w:keepLines/>
        <w:spacing w:before="260" w:after="260"/>
        <w:outlineLvl w:val="1"/>
        <w:rPr>
          <w:rFonts w:ascii="Cambria" w:hAnsi="Cambria" w:eastAsia="宋体" w:cs="Times New Roman"/>
          <w:b/>
          <w:bCs/>
          <w:sz w:val="32"/>
          <w:szCs w:val="32"/>
          <w:lang w:val="en-US" w:eastAsia="zh-CN" w:bidi="ar-SA"/>
        </w:rPr>
      </w:pPr>
      <w:bookmarkStart w:id="16" w:name="_Toc19345"/>
      <w:r>
        <w:rPr>
          <w:rFonts w:ascii="Cambria" w:hAnsi="Cambria" w:eastAsia="宋体" w:cs="Times New Roman"/>
          <w:b/>
          <w:bCs/>
          <w:sz w:val="32"/>
          <w:szCs w:val="32"/>
          <w:lang w:val="en-US" w:eastAsia="zh-CN" w:bidi="ar-SA"/>
        </w:rPr>
        <w:t>十、其他补充事宜</w:t>
      </w:r>
      <w:bookmarkEnd w:id="16"/>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1.投标人应随时关注全国公共资源交易平台（广西·百色）站及业务系统发出的文件澄清与更正通知内容，如因投标人未及时上网查询，后果由投标人自己承担。资格预审条件详见资格预审文件。</w:t>
      </w:r>
    </w:p>
    <w:p>
      <w:pPr>
        <w:spacing w:after="120" w:line="360" w:lineRule="auto"/>
        <w:ind w:left="0" w:leftChars="0" w:firstLine="480" w:firstLineChars="200"/>
        <w:rPr>
          <w:rFonts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2.特别说明：①疫情期间，申请人持“投标人（供应商）承诺书”或“各交易活动参与人承诺书”入场（格式在《百色市公共资源交易中心疫情防控期间进场交易项目服务指南》下载）。②根据现行疫情防控的要求，进入百色市政务服务中心大楼的人员需要佩戴口罩，做好个人防护，在通过一楼大门的闸机时，配合进行体温检测、查验健康码、行程码和疫苗接种码。请投标人至少提前30分钟到百色市政务服务中心一楼大门，排队依次通过闸机检测进入大厅，如投标人未按要求提供以上材料或者拒绝配合检查导致无法按时到达开标现场的，后果自负。 </w:t>
      </w:r>
    </w:p>
    <w:p>
      <w:pPr>
        <w:widowControl/>
        <w:spacing w:line="360" w:lineRule="auto"/>
        <w:ind w:firstLine="480" w:firstLineChars="200"/>
        <w:jc w:val="both"/>
        <w:rPr>
          <w:rFonts w:ascii="宋体" w:hAnsi="宋体" w:eastAsia="宋体" w:cs="宋体"/>
          <w:kern w:val="0"/>
          <w:sz w:val="21"/>
          <w:szCs w:val="21"/>
        </w:rPr>
      </w:pPr>
      <w:r>
        <w:rPr>
          <w:rFonts w:hint="eastAsia" w:ascii="宋体" w:hAnsi="宋体" w:eastAsia="宋体" w:cs="宋体"/>
          <w:kern w:val="0"/>
          <w:sz w:val="24"/>
        </w:rPr>
        <w:t>3.本项目资格预审采用合格制，公告期满后，采购人将按规定组织评审小组对提交资格预审申请的申请人进行审查，择优选择合格的资格预审申请人，通过审查的申请人名单将在中国政府采购网(http://www.ccgp.gov.cn)、广西壮族自治区政府采购网(http://zfcg.gxzf.gov.cn)、全国公共资源交易平台（广西·百色）(http://ggzy.jgswj.gxzf.gov.cn/bsggzy/）上发布。未参加或未通过的申请人不得参与下一阶段投标。</w:t>
      </w:r>
    </w:p>
    <w:p>
      <w:pPr>
        <w:keepNext/>
        <w:keepLines/>
        <w:spacing w:before="260" w:after="260" w:line="360" w:lineRule="auto"/>
        <w:outlineLvl w:val="1"/>
        <w:rPr>
          <w:rFonts w:ascii="Cambria" w:hAnsi="Cambria" w:eastAsia="宋体" w:cs="Times New Roman"/>
          <w:b/>
          <w:bCs/>
          <w:sz w:val="32"/>
          <w:szCs w:val="32"/>
          <w:lang w:val="en-US" w:eastAsia="zh-CN" w:bidi="ar-SA"/>
        </w:rPr>
      </w:pPr>
      <w:bookmarkStart w:id="17" w:name="_Toc18418"/>
      <w:r>
        <w:rPr>
          <w:rFonts w:ascii="Cambria" w:hAnsi="Cambria" w:eastAsia="宋体" w:cs="Times New Roman"/>
          <w:b/>
          <w:bCs/>
          <w:sz w:val="32"/>
          <w:szCs w:val="32"/>
          <w:lang w:val="en-US" w:eastAsia="zh-CN" w:bidi="ar-SA"/>
        </w:rPr>
        <w:t>十一、凡对本次资格预审提出询问，请按以下方式联系</w:t>
      </w:r>
      <w:bookmarkEnd w:id="17"/>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1.采购人信息</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名称：西林县林业局</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地址：西林县鲤城新区政兴路11号</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联系人：王力玉</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联系方式：0776-8682052</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2.采购代理机构信息</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名称：北京中泽融信管理咨询有限公司</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地址：百色市右江区前程路4号长乐星城第二幢2层</w:t>
      </w:r>
    </w:p>
    <w:p>
      <w:pPr>
        <w:widowControl/>
        <w:spacing w:line="360" w:lineRule="auto"/>
        <w:ind w:firstLine="480" w:firstLineChars="200"/>
        <w:jc w:val="both"/>
        <w:rPr>
          <w:rFonts w:ascii="宋体" w:hAnsi="宋体" w:eastAsia="宋体" w:cs="宋体"/>
          <w:kern w:val="0"/>
          <w:sz w:val="24"/>
        </w:rPr>
      </w:pPr>
      <w:r>
        <w:rPr>
          <w:rFonts w:hint="eastAsia" w:ascii="宋体" w:hAnsi="宋体" w:eastAsia="宋体" w:cs="宋体"/>
          <w:kern w:val="0"/>
          <w:sz w:val="24"/>
        </w:rPr>
        <w:t>项目联系人：周工 /庞工</w:t>
      </w:r>
    </w:p>
    <w:p>
      <w:pPr>
        <w:spacing w:line="360" w:lineRule="auto"/>
        <w:ind w:firstLine="480" w:firstLineChars="200"/>
        <w:jc w:val="both"/>
        <w:rPr>
          <w:rFonts w:ascii="宋体" w:hAnsi="宋体" w:eastAsia="宋体" w:cs="宋体"/>
          <w:spacing w:val="-6"/>
          <w:position w:val="14"/>
        </w:rPr>
      </w:pPr>
      <w:r>
        <w:rPr>
          <w:rFonts w:hint="eastAsia" w:ascii="宋体" w:hAnsi="宋体" w:eastAsia="宋体" w:cs="宋体"/>
          <w:kern w:val="0"/>
          <w:sz w:val="24"/>
        </w:rPr>
        <w:t>联系方式：18313910522 /15125762722</w:t>
      </w:r>
    </w:p>
    <w:p>
      <w:pPr>
        <w:spacing w:line="360" w:lineRule="auto"/>
        <w:ind w:right="-512" w:rightChars="-244"/>
        <w:jc w:val="both"/>
        <w:rPr>
          <w:rFonts w:ascii="宋体" w:hAnsi="宋体"/>
        </w:rPr>
      </w:pPr>
    </w:p>
    <w:p>
      <w:pPr>
        <w:pStyle w:val="6"/>
        <w:spacing w:line="480" w:lineRule="auto"/>
        <w:ind w:right="-512" w:rightChars="-244"/>
        <w:rPr>
          <w:rFonts w:hint="eastAsia" w:ascii="宋体" w:hAnsi="宋体" w:eastAsia="宋体" w:cs="宋体"/>
          <w:b/>
          <w:bCs/>
          <w:color w:val="auto"/>
          <w:sz w:val="24"/>
          <w:highlight w:val="none"/>
        </w:rPr>
      </w:pPr>
    </w:p>
    <w:bookmarkEnd w:id="0"/>
    <w:bookmarkEnd w:id="1"/>
    <w:bookmarkEnd w:id="2"/>
    <w:bookmarkEnd w:id="3"/>
    <w:bookmarkEnd w:id="4"/>
    <w:p>
      <w:pPr>
        <w:pStyle w:val="7"/>
        <w:spacing w:line="360" w:lineRule="auto"/>
        <w:ind w:right="-512" w:rightChars="-244"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 xml:space="preserve">                     </w:t>
      </w:r>
      <w:r>
        <w:rPr>
          <w:rFonts w:hint="eastAsia" w:ascii="宋体" w:hAnsi="宋体" w:cs="宋体"/>
          <w:bCs/>
          <w:color w:val="auto"/>
          <w:kern w:val="2"/>
          <w:sz w:val="24"/>
          <w:szCs w:val="24"/>
          <w:highlight w:val="none"/>
          <w:lang w:val="en-US" w:eastAsia="zh-CN" w:bidi="ar-SA"/>
        </w:rPr>
        <w:t xml:space="preserve"> </w:t>
      </w:r>
      <w:r>
        <w:rPr>
          <w:rFonts w:hint="eastAsia" w:ascii="宋体" w:hAnsi="宋体" w:eastAsia="宋体" w:cs="宋体"/>
          <w:bCs/>
          <w:color w:val="auto"/>
          <w:kern w:val="2"/>
          <w:sz w:val="24"/>
          <w:szCs w:val="24"/>
          <w:highlight w:val="none"/>
          <w:lang w:val="en-US" w:eastAsia="zh-CN" w:bidi="ar-SA"/>
        </w:rPr>
        <w:t xml:space="preserve">       </w:t>
      </w:r>
      <w:r>
        <w:rPr>
          <w:rFonts w:hint="eastAsia" w:ascii="宋体" w:hAnsi="宋体" w:cs="宋体"/>
          <w:bCs/>
          <w:color w:val="auto"/>
          <w:kern w:val="2"/>
          <w:sz w:val="24"/>
          <w:szCs w:val="24"/>
          <w:highlight w:val="none"/>
          <w:lang w:val="en-US" w:eastAsia="zh-CN" w:bidi="ar-SA"/>
        </w:rPr>
        <w:t xml:space="preserve">   </w:t>
      </w:r>
      <w:r>
        <w:rPr>
          <w:rFonts w:hint="eastAsia" w:ascii="宋体" w:hAnsi="宋体" w:eastAsia="宋体" w:cs="宋体"/>
          <w:bCs/>
          <w:color w:val="auto"/>
          <w:kern w:val="2"/>
          <w:sz w:val="24"/>
          <w:szCs w:val="24"/>
          <w:highlight w:val="none"/>
          <w:lang w:val="en-US" w:eastAsia="zh-CN" w:bidi="ar-SA"/>
        </w:rPr>
        <w:t xml:space="preserve"> 北京中泽融信管理咨询有限公司</w:t>
      </w:r>
    </w:p>
    <w:p>
      <w:pPr>
        <w:spacing w:line="360" w:lineRule="auto"/>
        <w:ind w:right="-512" w:rightChars="-244" w:firstLine="240" w:firstLineChars="100"/>
        <w:jc w:val="both"/>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 xml:space="preserve">       </w:t>
      </w:r>
    </w:p>
    <w:p>
      <w:pPr>
        <w:ind w:right="-512" w:rightChars="-244"/>
        <w:rPr>
          <w:sz w:val="24"/>
          <w:szCs w:val="24"/>
        </w:rPr>
      </w:pPr>
      <w:r>
        <w:rPr>
          <w:rFonts w:hint="eastAsia" w:ascii="宋体" w:hAnsi="宋体" w:eastAsia="宋体" w:cs="宋体"/>
          <w:bCs/>
          <w:color w:val="auto"/>
          <w:kern w:val="2"/>
          <w:sz w:val="24"/>
          <w:szCs w:val="24"/>
          <w:highlight w:val="none"/>
          <w:lang w:val="en-US" w:eastAsia="zh-CN" w:bidi="ar-SA"/>
        </w:rPr>
        <w:t xml:space="preserve">                         </w:t>
      </w:r>
      <w:r>
        <w:rPr>
          <w:rFonts w:hint="eastAsia" w:ascii="宋体" w:hAnsi="宋体" w:cs="宋体"/>
          <w:bCs/>
          <w:color w:val="auto"/>
          <w:kern w:val="2"/>
          <w:sz w:val="24"/>
          <w:szCs w:val="24"/>
          <w:highlight w:val="none"/>
          <w:lang w:val="en-US" w:eastAsia="zh-CN" w:bidi="ar-SA"/>
        </w:rPr>
        <w:t xml:space="preserve">                </w:t>
      </w:r>
      <w:r>
        <w:rPr>
          <w:rFonts w:hint="eastAsia" w:ascii="宋体" w:hAnsi="宋体" w:eastAsia="宋体" w:cs="宋体"/>
          <w:bCs/>
          <w:color w:val="auto"/>
          <w:kern w:val="2"/>
          <w:sz w:val="24"/>
          <w:szCs w:val="24"/>
          <w:highlight w:val="none"/>
          <w:lang w:val="en-US" w:eastAsia="zh-CN" w:bidi="ar-SA"/>
        </w:rPr>
        <w:t xml:space="preserve"> 2022年 </w:t>
      </w:r>
      <w:r>
        <w:rPr>
          <w:rFonts w:hint="eastAsia" w:ascii="宋体" w:hAnsi="宋体" w:cs="宋体"/>
          <w:bCs/>
          <w:color w:val="auto"/>
          <w:kern w:val="2"/>
          <w:sz w:val="24"/>
          <w:szCs w:val="24"/>
          <w:highlight w:val="none"/>
          <w:lang w:val="en-US" w:eastAsia="zh-CN" w:bidi="ar-SA"/>
        </w:rPr>
        <w:t>10</w:t>
      </w:r>
      <w:r>
        <w:rPr>
          <w:rFonts w:hint="eastAsia" w:ascii="宋体" w:hAnsi="宋体" w:eastAsia="宋体" w:cs="宋体"/>
          <w:bCs/>
          <w:color w:val="auto"/>
          <w:kern w:val="2"/>
          <w:sz w:val="24"/>
          <w:szCs w:val="24"/>
          <w:highlight w:val="none"/>
          <w:lang w:val="en-US" w:eastAsia="zh-CN" w:bidi="ar-SA"/>
        </w:rPr>
        <w:t>月</w:t>
      </w:r>
      <w:r>
        <w:rPr>
          <w:rFonts w:hint="eastAsia" w:ascii="宋体" w:hAnsi="宋体" w:cs="宋体"/>
          <w:bCs/>
          <w:color w:val="auto"/>
          <w:kern w:val="2"/>
          <w:sz w:val="24"/>
          <w:szCs w:val="24"/>
          <w:highlight w:val="none"/>
          <w:lang w:val="en-US" w:eastAsia="zh-CN" w:bidi="ar-SA"/>
        </w:rPr>
        <w:t xml:space="preserve"> 13</w:t>
      </w:r>
      <w:r>
        <w:rPr>
          <w:rFonts w:hint="eastAsia" w:ascii="宋体" w:hAnsi="宋体" w:eastAsia="宋体" w:cs="宋体"/>
          <w:bCs/>
          <w:color w:val="auto"/>
          <w:kern w:val="2"/>
          <w:sz w:val="24"/>
          <w:szCs w:val="24"/>
          <w:highlight w:val="none"/>
          <w:lang w:val="en-US" w:eastAsia="zh-CN" w:bidi="ar-SA"/>
        </w:rPr>
        <w:t xml:space="preserve"> 日</w:t>
      </w:r>
      <w:bookmarkStart w:id="18" w:name="_GoBack"/>
      <w:bookmarkEnd w:id="1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Ђˎ̥">
    <w:altName w:val="Times New Roman"/>
    <w:panose1 w:val="00000000000000000000"/>
    <w:charset w:val="00"/>
    <w:family w:val="auto"/>
    <w:pitch w:val="default"/>
    <w:sig w:usb0="00000000" w:usb1="00000000" w:usb2="00000000" w:usb3="00000000" w:csb0="00040001" w:csb1="00000000"/>
  </w:font>
  <w:font w:name="Verdana">
    <w:panose1 w:val="020B0604030504040204"/>
    <w:charset w:val="00"/>
    <w:family w:val="auto"/>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U2NGEyZGU3MjU5Y2EzYmM3MThmNjM2ZjVkODI4MzAifQ=="/>
  </w:docVars>
  <w:rsids>
    <w:rsidRoot w:val="00000000"/>
    <w:rsid w:val="072F55B4"/>
    <w:rsid w:val="20674406"/>
    <w:rsid w:val="22975032"/>
    <w:rsid w:val="25063411"/>
    <w:rsid w:val="362B1A89"/>
    <w:rsid w:val="3C3B4A0F"/>
    <w:rsid w:val="51CA7BCF"/>
    <w:rsid w:val="563D62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2"/>
    <w:basedOn w:val="1"/>
    <w:next w:val="1"/>
    <w:link w:val="13"/>
    <w:qFormat/>
    <w:uiPriority w:val="0"/>
    <w:pPr>
      <w:keepNext/>
      <w:keepLines/>
      <w:spacing w:before="260" w:after="260" w:line="416" w:lineRule="auto"/>
      <w:outlineLvl w:val="1"/>
    </w:pPr>
    <w:rPr>
      <w:rFonts w:ascii="Arial" w:hAnsi="Arial" w:eastAsia="黑体"/>
      <w:b/>
      <w:bCs/>
      <w:kern w:val="0"/>
      <w:sz w:val="32"/>
      <w:szCs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firstLineChars="200"/>
    </w:pPr>
    <w:rPr>
      <w:rFonts w:ascii="黑体" w:eastAsia="黑体" w:cs="Courier New"/>
      <w:sz w:val="20"/>
    </w:rPr>
  </w:style>
  <w:style w:type="paragraph" w:styleId="3">
    <w:name w:val="Body Text Indent"/>
    <w:basedOn w:val="1"/>
    <w:next w:val="4"/>
    <w:qFormat/>
    <w:uiPriority w:val="99"/>
    <w:pPr>
      <w:adjustRightInd w:val="0"/>
      <w:spacing w:line="360" w:lineRule="atLeast"/>
      <w:ind w:firstLine="830" w:firstLineChars="352"/>
      <w:jc w:val="both"/>
      <w:textAlignment w:val="baseline"/>
    </w:pPr>
    <w:rPr>
      <w:rFonts w:ascii="Ђˎ̥" w:hAnsi="Verdana" w:eastAsia="Ђˎ̥" w:cs="Times New Roman"/>
      <w:sz w:val="32"/>
      <w:szCs w:val="20"/>
      <w:lang w:val="en-US" w:bidi="ar-SA"/>
    </w:rPr>
  </w:style>
  <w:style w:type="paragraph" w:styleId="4">
    <w:name w:val="envelope return"/>
    <w:basedOn w:val="1"/>
    <w:qFormat/>
    <w:uiPriority w:val="0"/>
    <w:pPr>
      <w:widowControl/>
      <w:adjustRightInd w:val="0"/>
      <w:snapToGrid w:val="0"/>
      <w:spacing w:after="200"/>
    </w:pPr>
    <w:rPr>
      <w:rFonts w:ascii="Arial" w:hAnsi="Arial" w:eastAsia="微软雅黑"/>
    </w:rPr>
  </w:style>
  <w:style w:type="paragraph" w:styleId="6">
    <w:name w:val="table of authorities"/>
    <w:basedOn w:val="1"/>
    <w:next w:val="1"/>
    <w:qFormat/>
    <w:uiPriority w:val="0"/>
    <w:pPr>
      <w:ind w:left="420" w:leftChars="200"/>
    </w:pPr>
  </w:style>
  <w:style w:type="paragraph" w:styleId="7">
    <w:name w:val="toa heading"/>
    <w:basedOn w:val="1"/>
    <w:next w:val="1"/>
    <w:qFormat/>
    <w:uiPriority w:val="0"/>
    <w:rPr>
      <w:rFonts w:ascii="Arial" w:hAnsi="Arial"/>
      <w:sz w:val="24"/>
    </w:rPr>
  </w:style>
  <w:style w:type="paragraph" w:styleId="10">
    <w:name w:val="List Paragraph"/>
    <w:basedOn w:val="1"/>
    <w:qFormat/>
    <w:uiPriority w:val="34"/>
    <w:pPr>
      <w:ind w:firstLine="420" w:firstLineChars="200"/>
    </w:pPr>
    <w:rPr>
      <w:rFonts w:ascii="Calibri" w:hAnsi="Calibri" w:eastAsia="宋体"/>
      <w:kern w:val="2"/>
    </w:rPr>
  </w:style>
  <w:style w:type="table" w:customStyle="1" w:styleId="11">
    <w:name w:val="Table Normal"/>
    <w:unhideWhenUsed/>
    <w:qFormat/>
    <w:uiPriority w:val="2"/>
    <w:pPr>
      <w:widowControl w:val="0"/>
    </w:pPr>
    <w:rPr>
      <w:rFonts w:asciiTheme="minorHAnsi" w:hAnsiTheme="minorHAnsi" w:eastAsiaTheme="minorEastAsia" w:cstheme="minorBidi"/>
      <w:sz w:val="22"/>
      <w:szCs w:val="22"/>
      <w:lang w:eastAsia="en-US"/>
    </w:rPr>
    <w:tblPr>
      <w:tblCellMar>
        <w:top w:w="0" w:type="dxa"/>
        <w:left w:w="0" w:type="dxa"/>
        <w:bottom w:w="0" w:type="dxa"/>
        <w:right w:w="0" w:type="dxa"/>
      </w:tblCellMar>
    </w:tblPr>
  </w:style>
  <w:style w:type="character" w:customStyle="1" w:styleId="12">
    <w:name w:val="标题 2 字符"/>
    <w:basedOn w:val="9"/>
    <w:link w:val="5"/>
    <w:qFormat/>
    <w:uiPriority w:val="0"/>
    <w:rPr>
      <w:rFonts w:ascii="Arial" w:hAnsi="Arial" w:eastAsia="黑体"/>
      <w:b/>
      <w:bCs/>
      <w:kern w:val="0"/>
      <w:sz w:val="32"/>
      <w:szCs w:val="32"/>
    </w:rPr>
  </w:style>
  <w:style w:type="character" w:customStyle="1" w:styleId="13">
    <w:name w:val="标题 2 Char"/>
    <w:basedOn w:val="9"/>
    <w:link w:val="5"/>
    <w:qFormat/>
    <w:uiPriority w:val="0"/>
    <w:rPr>
      <w:rFonts w:asciiTheme="majorHAnsi" w:hAnsiTheme="majorHAnsi" w:eastAsiaTheme="majorEastAsia" w:cstheme="majorBidi"/>
      <w:b/>
      <w:bCs/>
      <w:kern w:val="0"/>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4117</Words>
  <Characters>4632</Characters>
  <Lines>0</Lines>
  <Paragraphs>0</Paragraphs>
  <TotalTime>0</TotalTime>
  <ScaleCrop>false</ScaleCrop>
  <LinksUpToDate>false</LinksUpToDate>
  <CharactersWithSpaces>4818</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2022-09-13T03:20:00Z</dcterms:created>
  <dc:creator>Admin</dc:creator>
  <cp:lastModifiedBy>Withfoam</cp:lastModifiedBy>
  <cp:lastPrinted>2022-10-19T10:15:00Z</cp:lastPrinted>
  <dcterms:modified xsi:type="dcterms:W3CDTF">2022-10-31T09:42:15Z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88F4B61F7F3F476786F28A4698130A87</vt:lpwstr>
  </property>
</Properties>
</file>