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广西中信恒泰工程顾问有限公司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田阳县人民医院内科综合大楼项目-中央空调系统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项目编号：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BSZC2021-G1-210022-GXZX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）的更正公告（一）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一、项目基本情况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1.原公告的采购项目编号：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BSZC2021-G1-210022-GXZX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2.原公告的采购项目名称：田阳县人民医院内科综合大楼项目-中央空调系统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3.首次公告日期：2021年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二、更正信息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1.更正事项：□采购公告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采购文件 □采购结果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239" w:leftChars="114" w:right="0" w:firstLine="240" w:firstLineChars="100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2.更正内容：（1）原招标文件</w:t>
      </w:r>
      <w:bookmarkStart w:id="0" w:name="_Toc254970548"/>
      <w:bookmarkStart w:id="1" w:name="_Toc19686832"/>
      <w:bookmarkStart w:id="2" w:name="_Toc330456896"/>
      <w:bookmarkStart w:id="3" w:name="_Toc254970689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第四章  评标方法及评标标准</w:t>
      </w:r>
      <w:bookmarkEnd w:id="0"/>
      <w:bookmarkEnd w:id="1"/>
      <w:bookmarkEnd w:id="2"/>
      <w:bookmarkEnd w:id="3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“三、评标标准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5信誉及业绩分（满分17 分）”；现更正为“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三、评标标准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5信誉分（满分17 分）”；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（2）施工图纸已经以数据电文形式补充上传，请各潜在投标人在百色市公共资源交易中心网（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instrText xml:space="preserve"> HYPERLINK "http://www.bsggzy.org.cn）下载招标文件电子版（逾期下载无效"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http://www.bsggzy.org.cn）自行下载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3.更正日期：2021年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2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24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三、其他补充事宜：</w:t>
      </w:r>
      <w:bookmarkStart w:id="8" w:name="_GoBack"/>
      <w:bookmarkEnd w:id="8"/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本项目的投标截止时间及文件递交截止时间、投标保证金缴纳截止时间延期，具体时间另行通知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四、凡对本次公告内容提出询问，请按以下方式联系。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1.采购人信息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名 称：百色市田阳区人民医院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地址：百色市田阳区田州镇解放西路 26 号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联系方式：李蔚兰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/0776-3228630</w:t>
      </w:r>
      <w:bookmarkStart w:id="4" w:name="_Toc28359009"/>
      <w:bookmarkStart w:id="5" w:name="_Toc28359086"/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2.采购代理机构信息</w:t>
      </w:r>
      <w:bookmarkEnd w:id="4"/>
      <w:bookmarkEnd w:id="5"/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名 称：广西中信恒泰工程顾问有限公司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　址：百色市右江区前程路4号长乐星城第1幢14层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联系方式：</w:t>
      </w:r>
      <w:bookmarkStart w:id="6" w:name="_Toc28359010"/>
      <w:bookmarkStart w:id="7" w:name="_Toc28359087"/>
      <w:r>
        <w:rPr>
          <w:rFonts w:hint="eastAsia" w:ascii="宋体" w:hAnsi="宋体" w:eastAsia="宋体" w:cs="宋体"/>
          <w:color w:val="000000"/>
          <w:sz w:val="24"/>
          <w:szCs w:val="24"/>
        </w:rPr>
        <w:t>0776-2963005/15278697970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3.项目联系方式</w:t>
      </w:r>
      <w:bookmarkEnd w:id="6"/>
      <w:bookmarkEnd w:id="7"/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项目联系人：梁晓倩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电　话：0776-2963005/15278697970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4.监督部门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名    称：百色市田阳区政府采购服务中心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电    话：0776-3280823</w:t>
      </w:r>
    </w:p>
    <w:p>
      <w:pPr>
        <w:snapToGrid w:val="0"/>
        <w:spacing w:line="440" w:lineRule="atLeast"/>
        <w:ind w:firstLine="3360" w:firstLineChars="1400"/>
        <w:jc w:val="both"/>
        <w:rPr>
          <w:rFonts w:hint="eastAsia"/>
        </w:rPr>
      </w:pPr>
      <w:r>
        <w:rPr>
          <w:rFonts w:hint="eastAsia" w:ascii="宋体" w:hAnsi="宋体" w:cs="宋体"/>
          <w:color w:val="000000"/>
          <w:sz w:val="24"/>
          <w:szCs w:val="24"/>
        </w:rPr>
        <w:t>广西中信恒泰工程顾问有限公司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60" w:lineRule="auto"/>
        <w:ind w:firstLine="3360" w:firstLineChars="140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日期：202</w:t>
      </w: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年 2 月 24日</w:t>
      </w:r>
    </w:p>
    <w:p>
      <w:pPr>
        <w:pStyle w:val="2"/>
        <w:rPr>
          <w:rFonts w:hint="eastAsia"/>
          <w:lang w:eastAsia="zh-CN"/>
        </w:rPr>
      </w:pPr>
    </w:p>
    <w:sectPr>
      <w:pgSz w:w="11900" w:h="16840"/>
      <w:pgMar w:top="1417" w:right="1417" w:bottom="1417" w:left="1417" w:header="0" w:footer="0" w:gutter="0"/>
      <w:cols w:space="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41284"/>
    <w:rsid w:val="0BB41284"/>
    <w:rsid w:val="0F6C3832"/>
    <w:rsid w:val="13935216"/>
    <w:rsid w:val="1C2F2D1A"/>
    <w:rsid w:val="37C74B5F"/>
    <w:rsid w:val="3B5953C1"/>
    <w:rsid w:val="539E28D3"/>
    <w:rsid w:val="554664D5"/>
    <w:rsid w:val="5D116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2021-02-18T02:19:00Z</dcterms:created>
  <dc:creator>姚不圆</dc:creator>
  <cp:lastModifiedBy>Administrator</cp:lastModifiedBy>
  <dcterms:modified xsi:type="dcterms:W3CDTF">2021-02-24T08:43:20Z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