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before="33" w:beforeLines="10" w:line="400" w:lineRule="exact"/>
        <w:rPr>
          <w:rFonts w:ascii="宋体" w:hAnsi="宋体" w:cs="宋体"/>
          <w:b/>
          <w:bCs/>
          <w:spacing w:val="80"/>
          <w:sz w:val="30"/>
          <w:highlight w:val="none"/>
        </w:rPr>
      </w:pPr>
      <w:permStart w:id="0" w:edGrp="everyone"/>
      <w:permEnd w:id="0"/>
      <w:bookmarkStart w:id="33" w:name="_GoBack"/>
      <w:bookmarkEnd w:id="33"/>
    </w:p>
    <w:p>
      <w:pPr>
        <w:pStyle w:val="6"/>
        <w:jc w:val="center"/>
        <w:rPr>
          <w:rFonts w:hAnsi="宋体" w:cs="宋体"/>
          <w:b/>
          <w:bCs/>
          <w:spacing w:val="80"/>
          <w:sz w:val="64"/>
          <w:highlight w:val="none"/>
        </w:rPr>
      </w:pPr>
      <w:r>
        <w:rPr>
          <w:rFonts w:hint="eastAsia" w:hAnsi="宋体" w:cs="宋体"/>
          <w:b/>
          <w:bCs/>
          <w:spacing w:val="80"/>
          <w:sz w:val="64"/>
          <w:highlight w:val="none"/>
        </w:rPr>
        <w:t>南宁市西乡塘区政府采购</w:t>
      </w:r>
    </w:p>
    <w:p>
      <w:pPr>
        <w:pStyle w:val="6"/>
        <w:jc w:val="center"/>
        <w:rPr>
          <w:rFonts w:hAnsi="宋体" w:cs="宋体"/>
          <w:b/>
          <w:bCs/>
          <w:sz w:val="44"/>
          <w:szCs w:val="44"/>
          <w:highlight w:val="none"/>
        </w:rPr>
      </w:pPr>
    </w:p>
    <w:p>
      <w:pPr>
        <w:pStyle w:val="6"/>
        <w:jc w:val="center"/>
        <w:rPr>
          <w:rFonts w:hAnsi="宋体" w:cs="宋体"/>
          <w:b/>
          <w:bCs/>
          <w:sz w:val="44"/>
          <w:szCs w:val="44"/>
          <w:highlight w:val="none"/>
        </w:rPr>
      </w:pPr>
    </w:p>
    <w:p>
      <w:pPr>
        <w:pStyle w:val="6"/>
        <w:jc w:val="center"/>
        <w:rPr>
          <w:rFonts w:hAnsi="宋体" w:cs="宋体"/>
          <w:b/>
          <w:bCs/>
          <w:sz w:val="72"/>
          <w:highlight w:val="none"/>
        </w:rPr>
      </w:pPr>
      <w:r>
        <w:rPr>
          <w:rFonts w:hint="eastAsia" w:hAnsi="宋体" w:cs="宋体"/>
          <w:sz w:val="96"/>
          <w:szCs w:val="96"/>
          <w:highlight w:val="none"/>
        </w:rPr>
        <w:t>公开招标文件</w:t>
      </w:r>
    </w:p>
    <w:p>
      <w:pPr>
        <w:jc w:val="center"/>
        <w:rPr>
          <w:rFonts w:ascii="宋体" w:hAnsi="宋体" w:cs="宋体"/>
          <w:b/>
          <w:sz w:val="36"/>
          <w:szCs w:val="36"/>
          <w:highlight w:val="none"/>
        </w:rPr>
      </w:pPr>
      <w:r>
        <w:rPr>
          <w:rFonts w:hint="eastAsia" w:ascii="宋体" w:hAnsi="宋体" w:cs="宋体"/>
          <w:b/>
          <w:sz w:val="36"/>
          <w:szCs w:val="36"/>
          <w:highlight w:val="none"/>
        </w:rPr>
        <w:t>(服务类、交易)</w:t>
      </w:r>
    </w:p>
    <w:p>
      <w:pPr>
        <w:pStyle w:val="6"/>
        <w:rPr>
          <w:rFonts w:hAnsi="宋体" w:cs="宋体"/>
          <w:highlight w:val="none"/>
        </w:rPr>
      </w:pPr>
    </w:p>
    <w:p>
      <w:pPr>
        <w:pStyle w:val="6"/>
        <w:rPr>
          <w:rFonts w:hAnsi="宋体" w:cs="宋体"/>
          <w:highlight w:val="none"/>
        </w:rPr>
      </w:pPr>
    </w:p>
    <w:p>
      <w:pPr>
        <w:pStyle w:val="6"/>
        <w:rPr>
          <w:rFonts w:hAnsi="宋体" w:cs="宋体"/>
          <w:highlight w:val="none"/>
        </w:rPr>
      </w:pPr>
    </w:p>
    <w:p>
      <w:pPr>
        <w:pStyle w:val="6"/>
        <w:rPr>
          <w:rFonts w:hAnsi="宋体" w:cs="宋体"/>
          <w:highlight w:val="none"/>
        </w:rPr>
      </w:pPr>
    </w:p>
    <w:p>
      <w:pPr>
        <w:pStyle w:val="6"/>
        <w:rPr>
          <w:rFonts w:hAnsi="宋体" w:cs="宋体"/>
          <w:highlight w:val="none"/>
        </w:rPr>
      </w:pPr>
    </w:p>
    <w:p>
      <w:pPr>
        <w:pStyle w:val="6"/>
        <w:rPr>
          <w:rFonts w:hAnsi="宋体" w:cs="宋体"/>
          <w:highlight w:val="none"/>
        </w:rPr>
      </w:pPr>
    </w:p>
    <w:p>
      <w:pPr>
        <w:pStyle w:val="6"/>
        <w:rPr>
          <w:rFonts w:hAnsi="宋体" w:cs="宋体"/>
          <w:highlight w:val="none"/>
        </w:rPr>
      </w:pPr>
    </w:p>
    <w:p>
      <w:pPr>
        <w:pStyle w:val="6"/>
        <w:rPr>
          <w:rFonts w:hAnsi="宋体" w:cs="宋体"/>
          <w:highlight w:val="none"/>
        </w:rPr>
      </w:pPr>
    </w:p>
    <w:p>
      <w:pPr>
        <w:pStyle w:val="6"/>
        <w:rPr>
          <w:rFonts w:hAnsi="宋体" w:cs="宋体"/>
          <w:highlight w:val="none"/>
        </w:rPr>
      </w:pPr>
    </w:p>
    <w:p>
      <w:pPr>
        <w:rPr>
          <w:rFonts w:ascii="宋体" w:hAnsi="宋体" w:cs="宋体"/>
          <w:b/>
          <w:sz w:val="36"/>
          <w:szCs w:val="36"/>
          <w:highlight w:val="none"/>
        </w:rPr>
      </w:pPr>
      <w:r>
        <w:rPr>
          <w:rFonts w:hint="eastAsia" w:ascii="宋体" w:hAnsi="宋体" w:cs="宋体"/>
          <w:b/>
          <w:sz w:val="36"/>
          <w:szCs w:val="36"/>
          <w:highlight w:val="none"/>
        </w:rPr>
        <w:t>项目名称：</w:t>
      </w:r>
      <w:r>
        <w:rPr>
          <w:rFonts w:hint="eastAsia" w:ascii="宋体" w:hAnsi="宋体" w:cs="宋体"/>
          <w:b/>
          <w:bCs/>
          <w:sz w:val="36"/>
          <w:szCs w:val="36"/>
          <w:highlight w:val="none"/>
        </w:rPr>
        <w:t>坛洛镇第二卫生院养老服务中心及3个乡镇敬老院公建民营运营方采购项目</w:t>
      </w:r>
    </w:p>
    <w:p>
      <w:pPr>
        <w:rPr>
          <w:rFonts w:ascii="宋体" w:hAnsi="宋体" w:cs="宋体"/>
          <w:b/>
          <w:sz w:val="36"/>
          <w:szCs w:val="36"/>
          <w:highlight w:val="none"/>
        </w:rPr>
      </w:pPr>
      <w:r>
        <w:rPr>
          <w:rFonts w:hint="eastAsia" w:ascii="宋体" w:hAnsi="宋体" w:cs="宋体"/>
          <w:b/>
          <w:sz w:val="36"/>
          <w:szCs w:val="36"/>
          <w:highlight w:val="none"/>
        </w:rPr>
        <w:t>项目编号：NNZC2020-G3-7012-JGJD</w:t>
      </w:r>
    </w:p>
    <w:p>
      <w:pPr>
        <w:pStyle w:val="6"/>
        <w:rPr>
          <w:rFonts w:hAnsi="宋体" w:cs="宋体"/>
          <w:b/>
          <w:bCs/>
          <w:sz w:val="32"/>
          <w:highlight w:val="none"/>
        </w:rPr>
      </w:pPr>
    </w:p>
    <w:p>
      <w:pPr>
        <w:rPr>
          <w:rFonts w:ascii="宋体" w:hAnsi="宋体" w:cs="宋体"/>
          <w:b/>
          <w:bCs/>
          <w:sz w:val="32"/>
          <w:szCs w:val="20"/>
          <w:highlight w:val="none"/>
        </w:rPr>
      </w:pPr>
    </w:p>
    <w:p>
      <w:pPr>
        <w:jc w:val="center"/>
        <w:rPr>
          <w:rFonts w:ascii="宋体" w:hAnsi="宋体" w:cs="宋体"/>
          <w:b/>
          <w:sz w:val="36"/>
          <w:szCs w:val="36"/>
          <w:highlight w:val="none"/>
        </w:rPr>
      </w:pPr>
      <w:r>
        <w:rPr>
          <w:rFonts w:hint="eastAsia" w:ascii="宋体" w:hAnsi="宋体" w:cs="宋体"/>
          <w:b/>
          <w:sz w:val="36"/>
          <w:szCs w:val="36"/>
          <w:highlight w:val="none"/>
        </w:rPr>
        <w:t>采购人：南宁市西乡塘区民政局</w:t>
      </w:r>
    </w:p>
    <w:p>
      <w:pPr>
        <w:jc w:val="center"/>
        <w:rPr>
          <w:rFonts w:ascii="宋体" w:hAnsi="宋体" w:cs="宋体"/>
          <w:b/>
          <w:bCs/>
          <w:sz w:val="36"/>
          <w:highlight w:val="none"/>
        </w:rPr>
      </w:pPr>
      <w:r>
        <w:rPr>
          <w:rFonts w:hint="eastAsia" w:ascii="宋体" w:hAnsi="宋体" w:cs="宋体"/>
          <w:b/>
          <w:sz w:val="36"/>
          <w:szCs w:val="36"/>
          <w:highlight w:val="none"/>
        </w:rPr>
        <w:t>采购代理机构：</w:t>
      </w:r>
      <w:r>
        <w:rPr>
          <w:rFonts w:hint="eastAsia" w:ascii="宋体" w:hAnsi="宋体" w:cs="宋体"/>
          <w:b/>
          <w:bCs/>
          <w:sz w:val="36"/>
          <w:highlight w:val="none"/>
        </w:rPr>
        <w:t>广西建设工程机电设备招标中心有限公司</w:t>
      </w:r>
    </w:p>
    <w:p>
      <w:pPr>
        <w:jc w:val="center"/>
        <w:rPr>
          <w:rFonts w:ascii="宋体" w:hAnsi="宋体" w:cs="宋体"/>
          <w:b/>
          <w:bCs/>
          <w:w w:val="95"/>
          <w:sz w:val="32"/>
          <w:highlight w:val="none"/>
        </w:rPr>
      </w:pPr>
    </w:p>
    <w:p>
      <w:pPr>
        <w:widowControl/>
        <w:jc w:val="center"/>
        <w:rPr>
          <w:rFonts w:ascii="宋体" w:hAnsi="宋体" w:cs="宋体"/>
          <w:b/>
          <w:sz w:val="36"/>
          <w:szCs w:val="36"/>
          <w:highlight w:val="none"/>
        </w:rPr>
        <w:sectPr>
          <w:footerReference r:id="rId3" w:type="default"/>
          <w:pgSz w:w="11906" w:h="16838"/>
          <w:pgMar w:top="1134" w:right="1134" w:bottom="1134" w:left="1134" w:header="720" w:footer="720" w:gutter="0"/>
          <w:pgNumType w:start="0"/>
          <w:cols w:space="720" w:num="1"/>
          <w:docGrid w:type="lines" w:linePitch="331" w:charSpace="0"/>
        </w:sectPr>
      </w:pPr>
      <w:bookmarkStart w:id="0" w:name="CgwjmbEntity：NY_0"/>
      <w:r>
        <w:rPr>
          <w:rFonts w:hint="eastAsia" w:ascii="宋体" w:hAnsi="宋体" w:cs="宋体"/>
          <w:b/>
          <w:sz w:val="36"/>
          <w:szCs w:val="36"/>
          <w:highlight w:val="none"/>
        </w:rPr>
        <w:t>2020年</w:t>
      </w:r>
      <w:r>
        <w:rPr>
          <w:rFonts w:hint="eastAsia" w:ascii="宋体" w:hAnsi="宋体" w:cs="宋体"/>
          <w:b/>
          <w:sz w:val="36"/>
          <w:szCs w:val="36"/>
          <w:highlight w:val="none"/>
          <w:lang w:val="en-US" w:eastAsia="zh-CN"/>
        </w:rPr>
        <w:t>12</w:t>
      </w:r>
      <w:r>
        <w:rPr>
          <w:rFonts w:hint="eastAsia" w:ascii="宋体" w:hAnsi="宋体" w:cs="宋体"/>
          <w:b/>
          <w:sz w:val="36"/>
          <w:szCs w:val="36"/>
          <w:highlight w:val="none"/>
        </w:rPr>
        <w:t>月</w:t>
      </w:r>
      <w:bookmarkEnd w:id="0"/>
    </w:p>
    <w:p>
      <w:pPr>
        <w:pStyle w:val="6"/>
        <w:rPr>
          <w:rFonts w:hAnsi="宋体" w:cs="宋体"/>
          <w:highlight w:val="none"/>
        </w:rPr>
      </w:pPr>
    </w:p>
    <w:p>
      <w:pPr>
        <w:pStyle w:val="6"/>
        <w:jc w:val="center"/>
        <w:rPr>
          <w:rFonts w:hAnsi="宋体" w:cs="宋体"/>
          <w:b/>
          <w:sz w:val="48"/>
          <w:szCs w:val="48"/>
          <w:highlight w:val="none"/>
        </w:rPr>
      </w:pPr>
      <w:r>
        <w:rPr>
          <w:rFonts w:hint="eastAsia" w:hAnsi="宋体" w:cs="宋体"/>
          <w:b/>
          <w:sz w:val="48"/>
          <w:szCs w:val="48"/>
          <w:highlight w:val="none"/>
        </w:rPr>
        <w:t>目     录</w:t>
      </w:r>
    </w:p>
    <w:p>
      <w:pPr>
        <w:pStyle w:val="10"/>
        <w:rPr>
          <w:rFonts w:ascii="宋体" w:hAnsi="宋体" w:cs="宋体"/>
          <w:bCs w:val="0"/>
          <w:caps w:val="0"/>
          <w:sz w:val="48"/>
          <w:szCs w:val="48"/>
          <w:highlight w:val="none"/>
        </w:rPr>
      </w:pPr>
    </w:p>
    <w:p>
      <w:pPr>
        <w:pStyle w:val="10"/>
        <w:tabs>
          <w:tab w:val="right" w:leader="dot" w:pos="9638"/>
        </w:tabs>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b w:val="0"/>
          <w:bCs w:val="0"/>
          <w:caps w:val="0"/>
          <w:sz w:val="24"/>
          <w:szCs w:val="24"/>
          <w:highlight w:val="none"/>
        </w:rPr>
        <w:instrText xml:space="preserve"> TOC \o "1-3" \h \z \u </w:instrText>
      </w:r>
      <w:r>
        <w:rPr>
          <w:rFonts w:hint="eastAsia" w:ascii="宋体" w:hAnsi="宋体" w:cs="宋体"/>
          <w:sz w:val="24"/>
          <w:szCs w:val="24"/>
          <w:highlight w:val="none"/>
        </w:rPr>
        <w:fldChar w:fldCharType="separate"/>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_Toc17063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第一章  招标公告</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_Toc17063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2</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10"/>
        <w:tabs>
          <w:tab w:val="right" w:leader="dot" w:pos="9638"/>
        </w:tabs>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_Toc5991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第二章  服务需求一览表</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_Toc5991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6</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10"/>
        <w:tabs>
          <w:tab w:val="right" w:leader="dot" w:pos="9638"/>
        </w:tabs>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_Toc26896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第三章  评标方法</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_Toc26896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43</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10"/>
        <w:tabs>
          <w:tab w:val="right" w:leader="dot" w:pos="9638"/>
        </w:tabs>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_Toc30030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第四章  投标人须知</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_Toc30030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48</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_Toc14870 </w:instrText>
      </w:r>
      <w:r>
        <w:rPr>
          <w:rFonts w:hint="eastAsia" w:ascii="宋体" w:hAnsi="宋体" w:cs="宋体"/>
          <w:sz w:val="24"/>
          <w:highlight w:val="none"/>
        </w:rPr>
        <w:fldChar w:fldCharType="separate"/>
      </w:r>
      <w:r>
        <w:rPr>
          <w:rFonts w:hint="eastAsia" w:ascii="宋体" w:hAnsi="宋体" w:cs="宋体"/>
          <w:sz w:val="24"/>
          <w:highlight w:val="none"/>
        </w:rPr>
        <w:t>一    总则</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_Toc14870 </w:instrText>
      </w:r>
      <w:r>
        <w:rPr>
          <w:rFonts w:hint="eastAsia" w:ascii="宋体" w:hAnsi="宋体" w:cs="宋体"/>
          <w:sz w:val="24"/>
          <w:highlight w:val="none"/>
        </w:rPr>
        <w:fldChar w:fldCharType="separate"/>
      </w:r>
      <w:r>
        <w:rPr>
          <w:rFonts w:hint="eastAsia" w:ascii="宋体" w:hAnsi="宋体" w:cs="宋体"/>
          <w:sz w:val="24"/>
          <w:highlight w:val="none"/>
        </w:rPr>
        <w:t>51</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_Toc10148 </w:instrText>
      </w:r>
      <w:r>
        <w:rPr>
          <w:rFonts w:hint="eastAsia" w:ascii="宋体" w:hAnsi="宋体" w:cs="宋体"/>
          <w:sz w:val="24"/>
          <w:highlight w:val="none"/>
        </w:rPr>
        <w:fldChar w:fldCharType="separate"/>
      </w:r>
      <w:r>
        <w:rPr>
          <w:rFonts w:hint="eastAsia" w:ascii="宋体" w:hAnsi="宋体" w:cs="宋体"/>
          <w:sz w:val="24"/>
          <w:highlight w:val="none"/>
        </w:rPr>
        <w:t>二    公开招标文件</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_Toc10148 </w:instrText>
      </w:r>
      <w:r>
        <w:rPr>
          <w:rFonts w:hint="eastAsia" w:ascii="宋体" w:hAnsi="宋体" w:cs="宋体"/>
          <w:sz w:val="24"/>
          <w:highlight w:val="none"/>
        </w:rPr>
        <w:fldChar w:fldCharType="separate"/>
      </w:r>
      <w:r>
        <w:rPr>
          <w:rFonts w:hint="eastAsia" w:ascii="宋体" w:hAnsi="宋体" w:cs="宋体"/>
          <w:sz w:val="24"/>
          <w:highlight w:val="none"/>
        </w:rPr>
        <w:t>55</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_Toc505 </w:instrText>
      </w:r>
      <w:r>
        <w:rPr>
          <w:rFonts w:hint="eastAsia" w:ascii="宋体" w:hAnsi="宋体" w:cs="宋体"/>
          <w:sz w:val="24"/>
          <w:highlight w:val="none"/>
        </w:rPr>
        <w:fldChar w:fldCharType="separate"/>
      </w:r>
      <w:r>
        <w:rPr>
          <w:rFonts w:hint="eastAsia" w:ascii="宋体" w:hAnsi="宋体" w:cs="宋体"/>
          <w:sz w:val="24"/>
          <w:highlight w:val="none"/>
        </w:rPr>
        <w:t>三    投标文件</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_Toc505 </w:instrText>
      </w:r>
      <w:r>
        <w:rPr>
          <w:rFonts w:hint="eastAsia" w:ascii="宋体" w:hAnsi="宋体" w:cs="宋体"/>
          <w:sz w:val="24"/>
          <w:highlight w:val="none"/>
        </w:rPr>
        <w:fldChar w:fldCharType="separate"/>
      </w:r>
      <w:r>
        <w:rPr>
          <w:rFonts w:hint="eastAsia" w:ascii="宋体" w:hAnsi="宋体" w:cs="宋体"/>
          <w:sz w:val="24"/>
          <w:highlight w:val="none"/>
        </w:rPr>
        <w:t>56</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_Toc17904 </w:instrText>
      </w:r>
      <w:r>
        <w:rPr>
          <w:rFonts w:hint="eastAsia" w:ascii="宋体" w:hAnsi="宋体" w:cs="宋体"/>
          <w:sz w:val="24"/>
          <w:highlight w:val="none"/>
        </w:rPr>
        <w:fldChar w:fldCharType="separate"/>
      </w:r>
      <w:r>
        <w:rPr>
          <w:rFonts w:hint="eastAsia" w:ascii="宋体" w:hAnsi="宋体" w:cs="宋体"/>
          <w:sz w:val="24"/>
          <w:highlight w:val="none"/>
        </w:rPr>
        <w:t>四    投标</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_Toc17904 </w:instrText>
      </w:r>
      <w:r>
        <w:rPr>
          <w:rFonts w:hint="eastAsia" w:ascii="宋体" w:hAnsi="宋体" w:cs="宋体"/>
          <w:sz w:val="24"/>
          <w:highlight w:val="none"/>
        </w:rPr>
        <w:fldChar w:fldCharType="separate"/>
      </w:r>
      <w:r>
        <w:rPr>
          <w:rFonts w:hint="eastAsia" w:ascii="宋体" w:hAnsi="宋体" w:cs="宋体"/>
          <w:sz w:val="24"/>
          <w:highlight w:val="none"/>
        </w:rPr>
        <w:t>59</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_Toc3419 </w:instrText>
      </w:r>
      <w:r>
        <w:rPr>
          <w:rFonts w:hint="eastAsia" w:ascii="宋体" w:hAnsi="宋体" w:cs="宋体"/>
          <w:sz w:val="24"/>
          <w:highlight w:val="none"/>
        </w:rPr>
        <w:fldChar w:fldCharType="separate"/>
      </w:r>
      <w:r>
        <w:rPr>
          <w:rFonts w:hint="eastAsia" w:ascii="宋体" w:hAnsi="宋体" w:cs="宋体"/>
          <w:sz w:val="24"/>
          <w:highlight w:val="none"/>
        </w:rPr>
        <w:t>五    开标、资格审查与评标</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_Toc3419 </w:instrText>
      </w:r>
      <w:r>
        <w:rPr>
          <w:rFonts w:hint="eastAsia" w:ascii="宋体" w:hAnsi="宋体" w:cs="宋体"/>
          <w:sz w:val="24"/>
          <w:highlight w:val="none"/>
        </w:rPr>
        <w:fldChar w:fldCharType="separate"/>
      </w:r>
      <w:r>
        <w:rPr>
          <w:rFonts w:hint="eastAsia" w:ascii="宋体" w:hAnsi="宋体" w:cs="宋体"/>
          <w:sz w:val="24"/>
          <w:highlight w:val="none"/>
        </w:rPr>
        <w:t>59</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_Toc6297 </w:instrText>
      </w:r>
      <w:r>
        <w:rPr>
          <w:rFonts w:hint="eastAsia" w:ascii="宋体" w:hAnsi="宋体" w:cs="宋体"/>
          <w:sz w:val="24"/>
          <w:highlight w:val="none"/>
        </w:rPr>
        <w:fldChar w:fldCharType="separate"/>
      </w:r>
      <w:r>
        <w:rPr>
          <w:rFonts w:hint="eastAsia" w:ascii="宋体" w:hAnsi="宋体" w:cs="宋体"/>
          <w:sz w:val="24"/>
          <w:highlight w:val="none"/>
        </w:rPr>
        <w:t>六    合同授予</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_Toc6297 </w:instrText>
      </w:r>
      <w:r>
        <w:rPr>
          <w:rFonts w:hint="eastAsia" w:ascii="宋体" w:hAnsi="宋体" w:cs="宋体"/>
          <w:sz w:val="24"/>
          <w:highlight w:val="none"/>
        </w:rPr>
        <w:fldChar w:fldCharType="separate"/>
      </w:r>
      <w:r>
        <w:rPr>
          <w:rFonts w:hint="eastAsia" w:ascii="宋体" w:hAnsi="宋体" w:cs="宋体"/>
          <w:sz w:val="24"/>
          <w:highlight w:val="none"/>
        </w:rPr>
        <w:t>63</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_Toc16399 </w:instrText>
      </w:r>
      <w:r>
        <w:rPr>
          <w:rFonts w:hint="eastAsia" w:ascii="宋体" w:hAnsi="宋体" w:cs="宋体"/>
          <w:sz w:val="24"/>
          <w:highlight w:val="none"/>
        </w:rPr>
        <w:fldChar w:fldCharType="separate"/>
      </w:r>
      <w:r>
        <w:rPr>
          <w:rFonts w:hint="eastAsia" w:ascii="宋体" w:hAnsi="宋体" w:cs="宋体"/>
          <w:sz w:val="24"/>
          <w:highlight w:val="none"/>
        </w:rPr>
        <w:t>七    其他事项</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_Toc16399 </w:instrText>
      </w:r>
      <w:r>
        <w:rPr>
          <w:rFonts w:hint="eastAsia" w:ascii="宋体" w:hAnsi="宋体" w:cs="宋体"/>
          <w:sz w:val="24"/>
          <w:highlight w:val="none"/>
        </w:rPr>
        <w:fldChar w:fldCharType="separate"/>
      </w:r>
      <w:r>
        <w:rPr>
          <w:rFonts w:hint="eastAsia" w:ascii="宋体" w:hAnsi="宋体" w:cs="宋体"/>
          <w:sz w:val="24"/>
          <w:highlight w:val="none"/>
        </w:rPr>
        <w:t>64</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0"/>
        <w:tabs>
          <w:tab w:val="right" w:leader="dot" w:pos="9638"/>
        </w:tabs>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_Toc25866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第五章  投标文件格式</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_Toc25866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66</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10"/>
        <w:tabs>
          <w:tab w:val="right" w:leader="dot" w:pos="9638"/>
        </w:tabs>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_Toc32563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第六章  合同条款及格式</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_Toc32563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78</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10"/>
        <w:tabs>
          <w:tab w:val="right" w:leader="dot" w:pos="9638"/>
        </w:tabs>
        <w:rPr>
          <w:rFonts w:ascii="宋体" w:hAnsi="宋体" w:cs="宋体"/>
          <w:sz w:val="24"/>
          <w:szCs w:val="24"/>
          <w:highlight w:val="none"/>
        </w:rPr>
      </w:pP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HYPERLINK \l _Toc17371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第七章  质疑材料格式</w:t>
      </w:r>
      <w:r>
        <w:rPr>
          <w:rFonts w:hint="eastAsia" w:ascii="宋体" w:hAnsi="宋体" w:cs="宋体"/>
          <w:sz w:val="24"/>
          <w:szCs w:val="24"/>
          <w:highlight w:val="none"/>
        </w:rPr>
        <w:tab/>
      </w:r>
      <w:r>
        <w:rPr>
          <w:rFonts w:hint="eastAsia" w:ascii="宋体" w:hAnsi="宋体" w:cs="宋体"/>
          <w:sz w:val="24"/>
          <w:szCs w:val="24"/>
          <w:highlight w:val="none"/>
        </w:rPr>
        <w:fldChar w:fldCharType="begin"/>
      </w:r>
      <w:r>
        <w:rPr>
          <w:rFonts w:hint="eastAsia" w:ascii="宋体" w:hAnsi="宋体" w:cs="宋体"/>
          <w:sz w:val="24"/>
          <w:szCs w:val="24"/>
          <w:highlight w:val="none"/>
        </w:rPr>
        <w:instrText xml:space="preserve"> PAGEREF _Toc17371 </w:instrText>
      </w:r>
      <w:r>
        <w:rPr>
          <w:rFonts w:hint="eastAsia" w:ascii="宋体" w:hAnsi="宋体" w:cs="宋体"/>
          <w:sz w:val="24"/>
          <w:szCs w:val="24"/>
          <w:highlight w:val="none"/>
        </w:rPr>
        <w:fldChar w:fldCharType="separate"/>
      </w:r>
      <w:r>
        <w:rPr>
          <w:rFonts w:hint="eastAsia" w:ascii="宋体" w:hAnsi="宋体" w:cs="宋体"/>
          <w:sz w:val="24"/>
          <w:szCs w:val="24"/>
          <w:highlight w:val="none"/>
        </w:rPr>
        <w:t>88</w:t>
      </w:r>
      <w:r>
        <w:rPr>
          <w:rFonts w:hint="eastAsia" w:ascii="宋体" w:hAnsi="宋体" w:cs="宋体"/>
          <w:sz w:val="24"/>
          <w:szCs w:val="24"/>
          <w:highlight w:val="none"/>
        </w:rPr>
        <w:fldChar w:fldCharType="end"/>
      </w:r>
      <w:r>
        <w:rPr>
          <w:rFonts w:hint="eastAsia" w:ascii="宋体" w:hAnsi="宋体" w:cs="宋体"/>
          <w:sz w:val="24"/>
          <w:szCs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_Toc28963 </w:instrText>
      </w:r>
      <w:r>
        <w:rPr>
          <w:rFonts w:hint="eastAsia" w:ascii="宋体" w:hAnsi="宋体" w:cs="宋体"/>
          <w:sz w:val="24"/>
          <w:highlight w:val="none"/>
        </w:rPr>
        <w:fldChar w:fldCharType="separate"/>
      </w:r>
      <w:r>
        <w:rPr>
          <w:rFonts w:hint="eastAsia" w:ascii="宋体" w:hAnsi="宋体" w:cs="宋体"/>
          <w:sz w:val="24"/>
          <w:highlight w:val="none"/>
        </w:rPr>
        <w:t>一  质疑函（格式）</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_Toc28963 </w:instrText>
      </w:r>
      <w:r>
        <w:rPr>
          <w:rFonts w:hint="eastAsia" w:ascii="宋体" w:hAnsi="宋体" w:cs="宋体"/>
          <w:sz w:val="24"/>
          <w:highlight w:val="none"/>
        </w:rPr>
        <w:fldChar w:fldCharType="separate"/>
      </w:r>
      <w:r>
        <w:rPr>
          <w:rFonts w:hint="eastAsia" w:ascii="宋体" w:hAnsi="宋体" w:cs="宋体"/>
          <w:sz w:val="24"/>
          <w:highlight w:val="none"/>
        </w:rPr>
        <w:t>89</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11"/>
        <w:tabs>
          <w:tab w:val="right" w:leader="dot" w:pos="9638"/>
        </w:tabs>
        <w:rPr>
          <w:rFonts w:ascii="宋体" w:hAnsi="宋体" w:cs="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 HYPERLINK \l _Toc6525 </w:instrText>
      </w:r>
      <w:r>
        <w:rPr>
          <w:rFonts w:hint="eastAsia" w:ascii="宋体" w:hAnsi="宋体" w:cs="宋体"/>
          <w:sz w:val="24"/>
          <w:highlight w:val="none"/>
        </w:rPr>
        <w:fldChar w:fldCharType="separate"/>
      </w:r>
      <w:r>
        <w:rPr>
          <w:rFonts w:hint="eastAsia" w:ascii="宋体" w:hAnsi="宋体" w:cs="宋体"/>
          <w:sz w:val="24"/>
          <w:highlight w:val="none"/>
        </w:rPr>
        <w:t>二  质疑证明材料（格式）</w:t>
      </w:r>
      <w:r>
        <w:rPr>
          <w:rFonts w:hint="eastAsia" w:ascii="宋体" w:hAnsi="宋体" w:cs="宋体"/>
          <w:sz w:val="24"/>
          <w:highlight w:val="none"/>
        </w:rPr>
        <w:tab/>
      </w:r>
      <w:r>
        <w:rPr>
          <w:rFonts w:hint="eastAsia" w:ascii="宋体" w:hAnsi="宋体" w:cs="宋体"/>
          <w:sz w:val="24"/>
          <w:highlight w:val="none"/>
        </w:rPr>
        <w:fldChar w:fldCharType="begin"/>
      </w:r>
      <w:r>
        <w:rPr>
          <w:rFonts w:hint="eastAsia" w:ascii="宋体" w:hAnsi="宋体" w:cs="宋体"/>
          <w:sz w:val="24"/>
          <w:highlight w:val="none"/>
        </w:rPr>
        <w:instrText xml:space="preserve"> PAGEREF _Toc6525 </w:instrText>
      </w:r>
      <w:r>
        <w:rPr>
          <w:rFonts w:hint="eastAsia" w:ascii="宋体" w:hAnsi="宋体" w:cs="宋体"/>
          <w:sz w:val="24"/>
          <w:highlight w:val="none"/>
        </w:rPr>
        <w:fldChar w:fldCharType="separate"/>
      </w:r>
      <w:r>
        <w:rPr>
          <w:rFonts w:hint="eastAsia" w:ascii="宋体" w:hAnsi="宋体" w:cs="宋体"/>
          <w:sz w:val="24"/>
          <w:highlight w:val="none"/>
        </w:rPr>
        <w:t>91</w:t>
      </w:r>
      <w:r>
        <w:rPr>
          <w:rFonts w:hint="eastAsia" w:ascii="宋体" w:hAnsi="宋体" w:cs="宋体"/>
          <w:sz w:val="24"/>
          <w:highlight w:val="none"/>
        </w:rPr>
        <w:fldChar w:fldCharType="end"/>
      </w:r>
      <w:r>
        <w:rPr>
          <w:rFonts w:hint="eastAsia" w:ascii="宋体" w:hAnsi="宋体" w:cs="宋体"/>
          <w:sz w:val="24"/>
          <w:highlight w:val="none"/>
        </w:rPr>
        <w:fldChar w:fldCharType="end"/>
      </w:r>
    </w:p>
    <w:p>
      <w:pPr>
        <w:pStyle w:val="6"/>
        <w:outlineLvl w:val="0"/>
        <w:rPr>
          <w:rFonts w:hAnsi="宋体" w:cs="宋体"/>
          <w:b/>
          <w:bCs/>
          <w:caps/>
          <w:sz w:val="28"/>
          <w:szCs w:val="28"/>
          <w:highlight w:val="none"/>
        </w:rPr>
      </w:pPr>
      <w:r>
        <w:rPr>
          <w:rFonts w:hint="eastAsia" w:hAnsi="宋体" w:cs="宋体"/>
          <w:sz w:val="24"/>
          <w:szCs w:val="24"/>
          <w:highlight w:val="none"/>
        </w:rPr>
        <w:fldChar w:fldCharType="end"/>
      </w:r>
    </w:p>
    <w:p>
      <w:pPr>
        <w:rPr>
          <w:rFonts w:ascii="宋体" w:hAnsi="宋体" w:cs="宋体"/>
          <w:b/>
          <w:sz w:val="36"/>
          <w:highlight w:val="none"/>
        </w:rPr>
      </w:pPr>
      <w:bookmarkStart w:id="1" w:name="_Toc2849550"/>
      <w:r>
        <w:rPr>
          <w:rFonts w:hint="eastAsia" w:ascii="宋体" w:hAnsi="宋体" w:cs="宋体"/>
          <w:b/>
          <w:sz w:val="36"/>
          <w:highlight w:val="none"/>
        </w:rPr>
        <w:br w:type="page"/>
      </w:r>
    </w:p>
    <w:p>
      <w:pPr>
        <w:pStyle w:val="6"/>
        <w:jc w:val="center"/>
        <w:outlineLvl w:val="0"/>
        <w:rPr>
          <w:rFonts w:hAnsi="宋体" w:cs="宋体"/>
          <w:b/>
          <w:sz w:val="36"/>
          <w:szCs w:val="36"/>
          <w:highlight w:val="none"/>
        </w:rPr>
      </w:pPr>
      <w:bookmarkStart w:id="2" w:name="_Toc17063"/>
      <w:r>
        <w:rPr>
          <w:rFonts w:hint="eastAsia" w:hAnsi="宋体" w:cs="宋体"/>
          <w:b/>
          <w:sz w:val="36"/>
          <w:highlight w:val="none"/>
        </w:rPr>
        <w:t>第一章  招标公告</w:t>
      </w:r>
      <w:bookmarkEnd w:id="1"/>
      <w:bookmarkEnd w:id="2"/>
    </w:p>
    <w:p>
      <w:pPr>
        <w:pBdr>
          <w:top w:val="single" w:color="auto" w:sz="4" w:space="1"/>
          <w:left w:val="single" w:color="auto" w:sz="4" w:space="4"/>
          <w:bottom w:val="single" w:color="auto" w:sz="4" w:space="1"/>
          <w:right w:val="single" w:color="auto" w:sz="4" w:space="4"/>
        </w:pBdr>
        <w:spacing w:line="380" w:lineRule="exact"/>
        <w:ind w:firstLine="480" w:firstLineChars="200"/>
        <w:rPr>
          <w:rFonts w:ascii="宋体" w:hAnsi="宋体" w:cs="宋体"/>
          <w:sz w:val="24"/>
          <w:highlight w:val="none"/>
        </w:rPr>
      </w:pPr>
      <w:r>
        <w:rPr>
          <w:rFonts w:hint="eastAsia" w:ascii="宋体" w:hAnsi="宋体" w:cs="宋体"/>
          <w:sz w:val="24"/>
          <w:highlight w:val="none"/>
        </w:rPr>
        <w:t>项目概况</w:t>
      </w:r>
    </w:p>
    <w:p>
      <w:pPr>
        <w:pBdr>
          <w:top w:val="single" w:color="auto" w:sz="4" w:space="1"/>
          <w:left w:val="single" w:color="auto" w:sz="4" w:space="4"/>
          <w:bottom w:val="single" w:color="auto" w:sz="4" w:space="1"/>
          <w:right w:val="single" w:color="auto" w:sz="4" w:space="4"/>
        </w:pBdr>
        <w:spacing w:line="380" w:lineRule="exact"/>
        <w:ind w:firstLine="477" w:firstLineChars="199"/>
        <w:rPr>
          <w:rFonts w:ascii="宋体" w:hAnsi="宋体" w:cs="宋体"/>
          <w:sz w:val="24"/>
          <w:highlight w:val="none"/>
        </w:rPr>
      </w:pPr>
      <w:r>
        <w:rPr>
          <w:rFonts w:hint="eastAsia" w:ascii="宋体" w:hAnsi="宋体" w:cs="宋体"/>
          <w:bCs/>
          <w:sz w:val="24"/>
          <w:highlight w:val="none"/>
          <w:u w:val="single"/>
        </w:rPr>
        <w:t>坛洛镇第二卫生院养老服务中心及3个乡镇敬老院公建民营运营方采购项目</w:t>
      </w:r>
      <w:r>
        <w:rPr>
          <w:rFonts w:hint="eastAsia" w:ascii="宋体" w:hAnsi="宋体" w:cs="宋体"/>
          <w:sz w:val="24"/>
          <w:highlight w:val="none"/>
        </w:rPr>
        <w:t>招标项目的潜在投标人应在</w:t>
      </w:r>
      <w:r>
        <w:rPr>
          <w:rFonts w:hint="eastAsia" w:ascii="宋体" w:hAnsi="宋体" w:cs="宋体"/>
          <w:sz w:val="24"/>
          <w:highlight w:val="none"/>
          <w:u w:val="single"/>
        </w:rPr>
        <w:t>南宁市公共资源交易中心网站（网址：www.nnggzy.org.cn）本项目的信息公告处下载</w:t>
      </w:r>
      <w:r>
        <w:rPr>
          <w:rFonts w:hint="eastAsia" w:ascii="宋体" w:hAnsi="宋体" w:cs="宋体"/>
          <w:sz w:val="24"/>
          <w:highlight w:val="none"/>
        </w:rPr>
        <w:t>获取招标文件，并于</w:t>
      </w:r>
      <w:r>
        <w:rPr>
          <w:rFonts w:hint="eastAsia" w:ascii="宋体" w:hAnsi="宋体" w:cs="宋体"/>
          <w:sz w:val="24"/>
          <w:highlight w:val="none"/>
          <w:u w:val="single"/>
        </w:rPr>
        <w:t>2020</w:t>
      </w:r>
      <w:r>
        <w:rPr>
          <w:rFonts w:hint="eastAsia" w:ascii="宋体" w:hAnsi="宋体" w:cs="宋体"/>
          <w:bCs/>
          <w:sz w:val="24"/>
          <w:highlight w:val="none"/>
          <w:u w:val="single"/>
        </w:rPr>
        <w:t>年12月30日9点30分（</w:t>
      </w:r>
      <w:r>
        <w:rPr>
          <w:rFonts w:hint="eastAsia" w:ascii="宋体" w:hAnsi="宋体" w:cs="宋体"/>
          <w:bCs/>
          <w:sz w:val="24"/>
          <w:highlight w:val="none"/>
        </w:rPr>
        <w:t>北京时间）前递交投标文件</w:t>
      </w:r>
      <w:r>
        <w:rPr>
          <w:rFonts w:hint="eastAsia" w:ascii="宋体" w:hAnsi="宋体" w:cs="宋体"/>
          <w:sz w:val="24"/>
          <w:highlight w:val="none"/>
        </w:rPr>
        <w:t>。</w:t>
      </w:r>
    </w:p>
    <w:p>
      <w:pPr>
        <w:spacing w:line="370" w:lineRule="exact"/>
        <w:rPr>
          <w:rFonts w:ascii="宋体" w:hAnsi="宋体" w:cs="宋体"/>
          <w:sz w:val="24"/>
          <w:highlight w:val="none"/>
        </w:rPr>
      </w:pPr>
      <w:r>
        <w:rPr>
          <w:rFonts w:hint="eastAsia" w:ascii="宋体" w:hAnsi="宋体" w:cs="宋体"/>
          <w:sz w:val="24"/>
          <w:highlight w:val="none"/>
        </w:rPr>
        <w:t>一、项目基本情况</w:t>
      </w:r>
      <w:bookmarkStart w:id="3" w:name="_Hlk24379207"/>
    </w:p>
    <w:p>
      <w:pPr>
        <w:spacing w:line="370" w:lineRule="exact"/>
        <w:ind w:firstLine="480" w:firstLineChars="200"/>
        <w:rPr>
          <w:rFonts w:ascii="宋体" w:hAnsi="宋体" w:cs="宋体"/>
          <w:sz w:val="24"/>
          <w:highlight w:val="none"/>
        </w:rPr>
      </w:pPr>
      <w:r>
        <w:rPr>
          <w:rFonts w:hint="eastAsia" w:ascii="宋体" w:hAnsi="宋体" w:cs="宋体"/>
          <w:sz w:val="24"/>
          <w:highlight w:val="none"/>
        </w:rPr>
        <w:t>项目编号：NNZC2020-G3-7012-JGJD</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项目名称：</w:t>
      </w:r>
      <w:r>
        <w:rPr>
          <w:rFonts w:hint="eastAsia" w:ascii="宋体" w:hAnsi="宋体" w:cs="宋体"/>
          <w:bCs/>
          <w:sz w:val="24"/>
          <w:highlight w:val="none"/>
        </w:rPr>
        <w:t>坛洛镇第二卫生院养老服务中心及3个乡镇敬老院公建民营运营方采购项目</w:t>
      </w:r>
    </w:p>
    <w:bookmarkEnd w:id="3"/>
    <w:p>
      <w:pPr>
        <w:spacing w:line="370" w:lineRule="exact"/>
        <w:ind w:firstLine="480" w:firstLineChars="200"/>
        <w:rPr>
          <w:rFonts w:ascii="宋体" w:hAnsi="宋体" w:cs="宋体"/>
          <w:sz w:val="24"/>
          <w:highlight w:val="none"/>
        </w:rPr>
      </w:pPr>
      <w:r>
        <w:rPr>
          <w:rFonts w:hint="eastAsia" w:ascii="宋体" w:hAnsi="宋体" w:cs="宋体"/>
          <w:sz w:val="24"/>
          <w:highlight w:val="none"/>
        </w:rPr>
        <w:t>预算金额：0</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最高限价（如有）：/</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采购需求：</w:t>
      </w:r>
    </w:p>
    <w:p>
      <w:pPr>
        <w:spacing w:line="370" w:lineRule="exact"/>
        <w:ind w:firstLine="480" w:firstLineChars="200"/>
        <w:rPr>
          <w:rFonts w:ascii="宋体" w:hAnsi="宋体" w:cs="宋体"/>
          <w:sz w:val="24"/>
          <w:highlight w:val="none"/>
          <w:u w:val="single"/>
        </w:rPr>
      </w:pPr>
      <w:r>
        <w:rPr>
          <w:rFonts w:hint="eastAsia" w:ascii="宋体" w:hAnsi="宋体" w:cs="宋体"/>
          <w:bCs/>
          <w:sz w:val="24"/>
          <w:highlight w:val="none"/>
        </w:rPr>
        <w:t>采购坛洛镇第二卫生院养老服务中心及3个乡镇敬老院公建民营运营单位一家，</w:t>
      </w:r>
      <w:r>
        <w:rPr>
          <w:rFonts w:hint="eastAsia" w:ascii="宋体" w:hAnsi="宋体" w:cs="宋体"/>
          <w:sz w:val="24"/>
          <w:highlight w:val="none"/>
        </w:rPr>
        <w:t>如需进一步了解详细内容，</w:t>
      </w:r>
      <w:r>
        <w:rPr>
          <w:rFonts w:hint="eastAsia" w:ascii="宋体" w:hAnsi="宋体" w:cs="宋体"/>
          <w:bCs/>
          <w:sz w:val="24"/>
          <w:highlight w:val="none"/>
        </w:rPr>
        <w:t>详见招标文件第二章。</w:t>
      </w:r>
    </w:p>
    <w:p>
      <w:pPr>
        <w:spacing w:line="370" w:lineRule="exact"/>
        <w:ind w:firstLine="480" w:firstLineChars="200"/>
        <w:rPr>
          <w:rFonts w:ascii="宋体" w:hAnsi="宋体" w:cs="宋体"/>
          <w:sz w:val="24"/>
          <w:highlight w:val="none"/>
          <w:u w:val="single"/>
        </w:rPr>
      </w:pPr>
      <w:r>
        <w:rPr>
          <w:rFonts w:hint="eastAsia" w:ascii="宋体" w:hAnsi="宋体" w:cs="宋体"/>
          <w:sz w:val="24"/>
          <w:highlight w:val="none"/>
        </w:rPr>
        <w:t>合同履行期限：15年</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本项目不接受联合体投标。</w:t>
      </w:r>
      <w:bookmarkStart w:id="4" w:name="_Toc35393791"/>
      <w:bookmarkStart w:id="5" w:name="_Toc35393622"/>
      <w:bookmarkStart w:id="6" w:name="_Toc28359080"/>
      <w:bookmarkStart w:id="7" w:name="_Toc28359003"/>
    </w:p>
    <w:p>
      <w:pPr>
        <w:spacing w:line="370" w:lineRule="exact"/>
        <w:ind w:firstLine="480" w:firstLineChars="200"/>
        <w:rPr>
          <w:rFonts w:ascii="宋体" w:hAnsi="宋体" w:cs="宋体"/>
          <w:sz w:val="24"/>
          <w:highlight w:val="none"/>
        </w:rPr>
      </w:pPr>
      <w:r>
        <w:rPr>
          <w:rFonts w:hint="eastAsia" w:ascii="宋体" w:hAnsi="宋体" w:cs="宋体"/>
          <w:sz w:val="24"/>
          <w:highlight w:val="none"/>
        </w:rPr>
        <w:t>二、申请人的资格要求：</w:t>
      </w:r>
      <w:bookmarkEnd w:id="4"/>
      <w:bookmarkEnd w:id="5"/>
      <w:bookmarkEnd w:id="6"/>
      <w:bookmarkEnd w:id="7"/>
    </w:p>
    <w:p>
      <w:pPr>
        <w:spacing w:line="370" w:lineRule="exact"/>
        <w:ind w:firstLine="480" w:firstLineChars="200"/>
        <w:rPr>
          <w:rFonts w:ascii="宋体" w:hAnsi="宋体" w:cs="宋体"/>
          <w:sz w:val="24"/>
          <w:highlight w:val="none"/>
        </w:rPr>
      </w:pPr>
      <w:bookmarkStart w:id="8" w:name="_Toc35393623"/>
      <w:bookmarkStart w:id="9" w:name="_Toc28359004"/>
      <w:bookmarkStart w:id="10" w:name="_Toc35393792"/>
      <w:bookmarkStart w:id="11" w:name="_Toc28359081"/>
      <w:r>
        <w:rPr>
          <w:rFonts w:hint="eastAsia" w:ascii="宋体" w:hAnsi="宋体" w:cs="宋体"/>
          <w:sz w:val="24"/>
          <w:highlight w:val="none"/>
        </w:rPr>
        <w:t>1.满足《中华人民共和国政府采购法》第二十二条规定；</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2.落实政府采购政策需满足的资格要求：本项目属于非专门面向中小企业采购的项目；</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3.本项目的特定资格要求：</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（1）必须具备独立法人资格；</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（2）必须具有养老服务行业资质（经相关行政主管部门批准成立的各级公办养老机构、民办养老机构、城乡社区日间照料中心、其他社会养老服务组织，或是在工商注册经营范围内包含养老服务类的企业）；</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（3）具有养老服务行业管理经验及专业服务团队；</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（4）具有与其服务内容和规模相适应的经济实力；</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（5）参加政府采购活动前3年内，在经营活动中没有重大违法记录。</w:t>
      </w:r>
    </w:p>
    <w:p>
      <w:pPr>
        <w:spacing w:line="370" w:lineRule="exact"/>
        <w:ind w:firstLine="480" w:firstLineChars="200"/>
        <w:rPr>
          <w:rFonts w:ascii="宋体" w:hAnsi="宋体" w:cs="宋体"/>
          <w:sz w:val="24"/>
          <w:highlight w:val="none"/>
        </w:rPr>
      </w:pPr>
      <w:r>
        <w:rPr>
          <w:rFonts w:hint="eastAsia" w:ascii="宋体" w:hAnsi="宋体" w:cs="宋体"/>
          <w:sz w:val="24"/>
          <w:highlight w:val="none"/>
        </w:rPr>
        <w:t>（6）符合《政府购买服务管理办法》（财政部第102号令）规定的供应商、承接主体应当具备的条件。</w:t>
      </w:r>
    </w:p>
    <w:p>
      <w:pPr>
        <w:spacing w:line="370" w:lineRule="exact"/>
        <w:ind w:firstLine="480" w:firstLineChars="200"/>
        <w:rPr>
          <w:rFonts w:ascii="宋体" w:hAnsi="宋体" w:cs="宋体"/>
          <w:i/>
          <w:iCs/>
          <w:sz w:val="24"/>
          <w:highlight w:val="none"/>
          <w:u w:val="single"/>
        </w:rPr>
      </w:pPr>
      <w:r>
        <w:rPr>
          <w:rFonts w:hint="eastAsia" w:ascii="宋体" w:hAnsi="宋体" w:cs="宋体"/>
          <w:sz w:val="24"/>
          <w:highlight w:val="none"/>
        </w:rPr>
        <w:t>三、获取招标文件</w:t>
      </w:r>
      <w:bookmarkEnd w:id="8"/>
      <w:bookmarkEnd w:id="9"/>
      <w:bookmarkEnd w:id="10"/>
      <w:bookmarkEnd w:id="11"/>
    </w:p>
    <w:p>
      <w:pPr>
        <w:spacing w:line="370" w:lineRule="exact"/>
        <w:ind w:firstLine="540"/>
        <w:rPr>
          <w:rFonts w:ascii="宋体" w:hAnsi="宋体" w:cs="宋体"/>
          <w:sz w:val="24"/>
          <w:highlight w:val="none"/>
        </w:rPr>
      </w:pPr>
      <w:bookmarkStart w:id="12" w:name="_Toc28359005"/>
      <w:bookmarkStart w:id="13" w:name="_Toc28359082"/>
      <w:bookmarkStart w:id="14" w:name="_Toc35393793"/>
      <w:bookmarkStart w:id="15" w:name="_Toc35393624"/>
      <w:r>
        <w:rPr>
          <w:rFonts w:hint="eastAsia" w:ascii="宋体" w:hAnsi="宋体" w:cs="宋体"/>
          <w:sz w:val="24"/>
          <w:highlight w:val="none"/>
        </w:rPr>
        <w:t>时间：自本公告发布之时起至投标文件提交截止时间止</w:t>
      </w:r>
    </w:p>
    <w:p>
      <w:pPr>
        <w:spacing w:line="370" w:lineRule="exact"/>
        <w:ind w:firstLine="540"/>
        <w:rPr>
          <w:rFonts w:ascii="宋体" w:hAnsi="宋体" w:cs="宋体"/>
          <w:sz w:val="24"/>
          <w:highlight w:val="none"/>
        </w:rPr>
      </w:pPr>
      <w:r>
        <w:rPr>
          <w:rFonts w:hint="eastAsia" w:ascii="宋体" w:hAnsi="宋体" w:cs="宋体"/>
          <w:sz w:val="24"/>
          <w:highlight w:val="none"/>
        </w:rPr>
        <w:t>地点：南宁市公共资源交易中心网站（网址：www.nnggzy.org.cn）</w:t>
      </w:r>
    </w:p>
    <w:p>
      <w:pPr>
        <w:spacing w:line="370" w:lineRule="exact"/>
        <w:ind w:firstLine="540"/>
        <w:rPr>
          <w:rFonts w:ascii="宋体" w:hAnsi="宋体" w:cs="宋体"/>
          <w:sz w:val="24"/>
          <w:highlight w:val="none"/>
        </w:rPr>
      </w:pPr>
      <w:r>
        <w:rPr>
          <w:rFonts w:hint="eastAsia" w:ascii="宋体" w:hAnsi="宋体" w:cs="宋体"/>
          <w:sz w:val="24"/>
          <w:highlight w:val="none"/>
        </w:rPr>
        <w:t>方式：本项目不发放纸质文件，供应商可登陆南宁市公共资源交易中心网站（网址：</w:t>
      </w:r>
      <w:r>
        <w:rPr>
          <w:rFonts w:hint="eastAsia" w:ascii="宋体" w:hAnsi="宋体" w:cs="宋体"/>
          <w:sz w:val="24"/>
          <w:highlight w:val="none"/>
        </w:rPr>
        <w:fldChar w:fldCharType="begin"/>
      </w:r>
      <w:r>
        <w:rPr>
          <w:rFonts w:hint="eastAsia" w:ascii="宋体" w:hAnsi="宋体" w:cs="宋体"/>
          <w:sz w:val="24"/>
          <w:highlight w:val="none"/>
        </w:rPr>
        <w:instrText xml:space="preserve"> HYPERLINK "http://www.nnggzy.org.cn），在南宁市公共资源交易中心或各分支机构的采购公告栏内查找相关项目的采购公告，并点击该公告的附件，即可免费浏览或下载项目的磋商文件。"</w:instrText>
      </w:r>
      <w:r>
        <w:rPr>
          <w:rFonts w:hint="eastAsia" w:ascii="宋体" w:hAnsi="宋体" w:cs="宋体"/>
          <w:sz w:val="24"/>
          <w:highlight w:val="none"/>
        </w:rPr>
        <w:fldChar w:fldCharType="separate"/>
      </w:r>
      <w:r>
        <w:rPr>
          <w:rFonts w:hint="eastAsia" w:ascii="宋体" w:hAnsi="宋体" w:cs="宋体"/>
          <w:sz w:val="24"/>
          <w:highlight w:val="none"/>
        </w:rPr>
        <w:t>www.nnggzy.org.cn），在南宁市公共资源交易中心或各分支机构的采购公告栏内查找相关项目的采购公告，并点击该公告的附件，即可免费浏览或下载项目的公开招标文件。</w:t>
      </w:r>
      <w:r>
        <w:rPr>
          <w:rFonts w:hint="eastAsia" w:ascii="宋体" w:hAnsi="宋体" w:cs="宋体"/>
          <w:sz w:val="24"/>
          <w:highlight w:val="none"/>
        </w:rPr>
        <w:fldChar w:fldCharType="end"/>
      </w:r>
    </w:p>
    <w:p>
      <w:pPr>
        <w:spacing w:line="370" w:lineRule="exact"/>
        <w:ind w:firstLine="540"/>
        <w:rPr>
          <w:rFonts w:ascii="宋体" w:hAnsi="宋体" w:cs="宋体"/>
          <w:sz w:val="24"/>
          <w:highlight w:val="none"/>
        </w:rPr>
      </w:pPr>
      <w:r>
        <w:rPr>
          <w:rFonts w:hint="eastAsia" w:ascii="宋体" w:hAnsi="宋体" w:cs="宋体"/>
          <w:sz w:val="24"/>
          <w:highlight w:val="none"/>
        </w:rPr>
        <w:t>售价：招标文件不收取费用</w:t>
      </w:r>
    </w:p>
    <w:p>
      <w:pPr>
        <w:spacing w:line="370" w:lineRule="exact"/>
        <w:ind w:firstLine="540"/>
        <w:rPr>
          <w:rFonts w:ascii="宋体" w:hAnsi="宋体" w:cs="宋体"/>
          <w:sz w:val="24"/>
          <w:highlight w:val="none"/>
        </w:rPr>
      </w:pPr>
      <w:r>
        <w:rPr>
          <w:rFonts w:hint="eastAsia" w:ascii="宋体" w:hAnsi="宋体" w:cs="宋体"/>
          <w:sz w:val="24"/>
          <w:highlight w:val="none"/>
        </w:rPr>
        <w:t>四、提交投标文件</w:t>
      </w:r>
      <w:bookmarkEnd w:id="12"/>
      <w:bookmarkEnd w:id="13"/>
      <w:r>
        <w:rPr>
          <w:rFonts w:hint="eastAsia" w:ascii="宋体" w:hAnsi="宋体" w:cs="宋体"/>
          <w:sz w:val="24"/>
          <w:highlight w:val="none"/>
        </w:rPr>
        <w:t>截止时间、开标时间和地点</w:t>
      </w:r>
      <w:bookmarkEnd w:id="14"/>
      <w:bookmarkEnd w:id="15"/>
    </w:p>
    <w:p>
      <w:pPr>
        <w:spacing w:line="370" w:lineRule="exact"/>
        <w:ind w:firstLine="540"/>
        <w:rPr>
          <w:rFonts w:ascii="宋体" w:hAnsi="宋体" w:cs="宋体"/>
          <w:sz w:val="24"/>
          <w:highlight w:val="none"/>
        </w:rPr>
      </w:pPr>
      <w:r>
        <w:rPr>
          <w:rFonts w:hint="eastAsia" w:ascii="宋体" w:hAnsi="宋体" w:cs="宋体"/>
          <w:sz w:val="24"/>
          <w:highlight w:val="none"/>
        </w:rPr>
        <w:t>为做好新型冠状病毒肺炎疫情防控工作，根据南宁市财政局《关于做好疫情防控期间政府采购工作有关事项的通知》（南财采〔2020〕12号）要求，现对本项目相关事项通知如下：</w:t>
      </w:r>
    </w:p>
    <w:p>
      <w:pPr>
        <w:spacing w:line="370" w:lineRule="exact"/>
        <w:ind w:firstLine="480" w:firstLineChars="200"/>
        <w:rPr>
          <w:rFonts w:ascii="宋体" w:hAnsi="宋体" w:cs="宋体"/>
          <w:bCs/>
          <w:sz w:val="24"/>
          <w:highlight w:val="none"/>
        </w:rPr>
      </w:pPr>
      <w:bookmarkStart w:id="16" w:name="_Toc28359007"/>
      <w:bookmarkStart w:id="17" w:name="_Toc35393625"/>
      <w:bookmarkStart w:id="18" w:name="_Toc28359084"/>
      <w:bookmarkStart w:id="19" w:name="_Toc35393794"/>
      <w:r>
        <w:rPr>
          <w:rFonts w:hint="eastAsia" w:ascii="宋体" w:hAnsi="宋体" w:cs="宋体"/>
          <w:bCs/>
          <w:sz w:val="24"/>
          <w:highlight w:val="none"/>
        </w:rPr>
        <w:t>（一）、本项目投标截止（开标）时间为：2020年12月30日9：30分。</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（二）、本项目的投标文件现场递交或邮寄快递的方式送达。</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1、接收现场递交或邮寄快递包裹的时间为工作日8：00～12：00；15:00～18:00。投标文件必须在投标截止时间前送达，且须交由广西建设工程机电设备招标中心有限公司当面签收。广西建设工程机电设备招标中心有限公司签收现场递交或邮寄包裹的时间即为投标人投标文件的送达时间，逾期送达的投标文件无效，后果由投标人自行承担。</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2、广西建设工程机电设备招标中心有限公司将在投标截止时间前1小时（即8时30分）统一将收到的投标文件运送至南宁市公共资源交易中心，以确保本项目能在投标截止（开标）时间准时开标。投标人应充分预留投标文件邮寄、送达所需要的时间。为确保疫情防控期间邮寄包裹能及时送达，应选择邮寄运送时间有保障的快递公司寄送投标文件。</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3、投标人在按照招标文件的要求装订、密封好投标文件后，应使用不透明、防水的邮寄袋（或箱）再次包裹已密封好的投标文件，并在邮寄袋（或箱）上粘牢注明项目名称、项目编号、有效的电子邮箱等内容的纸质表格（表格格式详见附件），工作人员将依据此信息将邮寄袋（或箱）提交该项目的开标评标环节。如广西建设工程机电设备招标中心有限公司收到的邮寄包裹未按上述要求进行标识，造成无法将投标文件提交至该项目开标评标环节的，由此产生的后果由投标人自行承担。</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4、广西建设工程机电设备招标中心有限公司在收到投标文件的邮寄包裹后，第一时间按照投标人在邮寄包裹上所预留的电子邮箱告知招标文件收件情况，请投标人务必确保所预留的电子邮箱的有效性，并注意查收邮件。</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5、投标文件现场递交或邮寄地址：广西建设工程机电设备招标中心有限公司（南宁市青秀区纬武路165号区成套局办公大楼）402室</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收件人：黄圣凤，联系电话：0771-2846035</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（三）、投标人不参加现场开标活动。取消招标文件“第四章投标人须知”中“五.开标”的所有内容。</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（四）、投标文件拆封及密封性检查。</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截标后，广西建设工程机电设备招标中心有限公司工作人员在南宁市公共资源交易中心工作人员和采购人的见证下拆开投标文件包封，采购人对投标文件密封性和投标文件正副本数量进行签字确认。</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（五）、关于投标人的报价。</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由广西建设工程机电设备招标中心有限公司在投标文件商务技术符合性审查结束后，根据投标人的投标报价情况填写开标记录表，交由评标委员会对投标人的报价、交货期等内容进行签字确认。</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（六）、关于投标文件澄清的有关要求</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1、为便于广西建设工程机电设备招标中心有限公司或评标委员会在项目评标期间与投标人取得联系，做好评标过程中投标人对投标文件的澄清、说明或者补正等工作，投标人务必做到：</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（1）“第五章投标文件格式”中“投标函（格式）”落款处的“电话”务必填写法定代表人或委托代理人的电话联系方式。</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（2）“第五章投标文件格式”中“投标函（格式）”落款处的“传真”务必填写传真号码或电子邮箱。</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2、开标当天投标人务必保持电话畅通。如果评标过程中需要投标人对投标文件作出澄清、说明或者补正的，评标委员会会通知投标人在规定的时间内通过电子邮件、传真等方式提交。投标人所提交的澄清、说明或者补正等材料必须加盖投标人的公章确认。</w:t>
      </w:r>
    </w:p>
    <w:p>
      <w:pPr>
        <w:spacing w:line="370" w:lineRule="exact"/>
        <w:ind w:firstLine="480" w:firstLineChars="200"/>
        <w:rPr>
          <w:rFonts w:ascii="宋体" w:hAnsi="宋体" w:cs="宋体"/>
          <w:bCs/>
          <w:sz w:val="24"/>
          <w:highlight w:val="none"/>
        </w:rPr>
      </w:pPr>
      <w:r>
        <w:rPr>
          <w:rFonts w:hint="eastAsia" w:ascii="宋体" w:hAnsi="宋体" w:cs="宋体"/>
          <w:bCs/>
          <w:sz w:val="24"/>
          <w:highlight w:val="none"/>
        </w:rPr>
        <w:t>3、如投标人未按上述要求填写联系电话、传真号码或电子邮箱，致使广西建设工程机电设备招标中心有限公司或评标委员会在项目评标期间无法与投标人取得联系的，或因自身原因未能保持电话畅通或未按评标委员会要求提交澄清、说明或者补正的，后果由投标人自行承担。</w:t>
      </w:r>
    </w:p>
    <w:p>
      <w:pPr>
        <w:spacing w:line="370" w:lineRule="exact"/>
        <w:rPr>
          <w:rFonts w:ascii="宋体" w:hAnsi="宋体" w:cs="宋体"/>
          <w:bCs/>
          <w:sz w:val="24"/>
          <w:highlight w:val="none"/>
        </w:rPr>
      </w:pPr>
      <w:r>
        <w:rPr>
          <w:rFonts w:hint="eastAsia" w:ascii="宋体" w:hAnsi="宋体" w:cs="宋体"/>
          <w:bCs/>
          <w:sz w:val="24"/>
          <w:highlight w:val="none"/>
        </w:rPr>
        <w:t>附件：</w:t>
      </w:r>
    </w:p>
    <w:p>
      <w:pPr>
        <w:spacing w:line="370" w:lineRule="exact"/>
        <w:rPr>
          <w:rFonts w:ascii="宋体" w:hAnsi="宋体" w:cs="宋体"/>
          <w:sz w:val="24"/>
          <w:highlight w:val="none"/>
        </w:rPr>
      </w:pPr>
    </w:p>
    <w:p>
      <w:pPr>
        <w:spacing w:line="370" w:lineRule="exact"/>
        <w:rPr>
          <w:rFonts w:ascii="宋体" w:hAnsi="宋体" w:cs="宋体"/>
          <w:sz w:val="24"/>
          <w:highlight w:val="none"/>
        </w:rPr>
      </w:pPr>
      <w:r>
        <w:rPr>
          <w:rFonts w:hint="eastAsia" w:ascii="宋体" w:hAnsi="宋体" w:cs="宋体"/>
          <w:b/>
          <w:bCs/>
          <w:sz w:val="24"/>
          <w:highlight w:val="none"/>
        </w:rPr>
        <w:t>邮件外包粘贴表格（格式）</w:t>
      </w:r>
    </w:p>
    <w:p>
      <w:pPr>
        <w:spacing w:line="370" w:lineRule="exact"/>
        <w:rPr>
          <w:rFonts w:ascii="宋体" w:hAnsi="宋体" w:cs="宋体"/>
          <w:sz w:val="24"/>
          <w:highlight w:val="none"/>
        </w:rPr>
      </w:pPr>
    </w:p>
    <w:p>
      <w:pPr>
        <w:spacing w:line="370" w:lineRule="exact"/>
        <w:rPr>
          <w:rFonts w:ascii="宋体" w:hAnsi="宋体" w:cs="宋体"/>
          <w:sz w:val="24"/>
          <w:highlight w:val="none"/>
        </w:rPr>
      </w:pPr>
    </w:p>
    <w:p>
      <w:pPr>
        <w:spacing w:line="370" w:lineRule="exact"/>
        <w:rPr>
          <w:rFonts w:ascii="宋体" w:hAnsi="宋体" w:cs="宋体"/>
          <w:sz w:val="24"/>
          <w:highlight w:val="none"/>
        </w:rPr>
      </w:pPr>
      <w:r>
        <w:rPr>
          <w:rFonts w:hint="eastAsia" w:ascii="宋体" w:hAnsi="宋体" w:cs="宋体"/>
          <w:b/>
          <w:bCs/>
          <w:sz w:val="24"/>
          <w:highlight w:val="none"/>
        </w:rPr>
        <w:t>项目名称：</w:t>
      </w:r>
    </w:p>
    <w:p>
      <w:pPr>
        <w:spacing w:line="370" w:lineRule="exact"/>
        <w:rPr>
          <w:rFonts w:ascii="宋体" w:hAnsi="宋体" w:cs="宋体"/>
          <w:sz w:val="24"/>
          <w:highlight w:val="none"/>
        </w:rPr>
      </w:pPr>
    </w:p>
    <w:p>
      <w:pPr>
        <w:spacing w:line="370" w:lineRule="exact"/>
        <w:rPr>
          <w:rFonts w:ascii="宋体" w:hAnsi="宋体" w:cs="宋体"/>
          <w:sz w:val="24"/>
          <w:highlight w:val="none"/>
        </w:rPr>
      </w:pPr>
    </w:p>
    <w:p>
      <w:pPr>
        <w:spacing w:line="370" w:lineRule="exact"/>
        <w:rPr>
          <w:rFonts w:ascii="宋体" w:hAnsi="宋体" w:cs="宋体"/>
          <w:sz w:val="24"/>
          <w:highlight w:val="none"/>
        </w:rPr>
      </w:pPr>
      <w:r>
        <w:rPr>
          <w:rFonts w:hint="eastAsia" w:ascii="宋体" w:hAnsi="宋体" w:cs="宋体"/>
          <w:b/>
          <w:bCs/>
          <w:sz w:val="24"/>
          <w:highlight w:val="none"/>
        </w:rPr>
        <w:t>项目编号：</w:t>
      </w:r>
    </w:p>
    <w:p>
      <w:pPr>
        <w:spacing w:line="370" w:lineRule="exact"/>
        <w:rPr>
          <w:rFonts w:ascii="宋体" w:hAnsi="宋体" w:cs="宋体"/>
          <w:sz w:val="24"/>
          <w:highlight w:val="none"/>
        </w:rPr>
      </w:pPr>
    </w:p>
    <w:p>
      <w:pPr>
        <w:spacing w:line="370" w:lineRule="exact"/>
        <w:rPr>
          <w:rFonts w:ascii="宋体" w:hAnsi="宋体" w:cs="宋体"/>
          <w:sz w:val="24"/>
          <w:highlight w:val="none"/>
        </w:rPr>
      </w:pPr>
    </w:p>
    <w:p>
      <w:pPr>
        <w:spacing w:line="370" w:lineRule="exact"/>
        <w:rPr>
          <w:rFonts w:ascii="宋体" w:hAnsi="宋体" w:cs="宋体"/>
          <w:sz w:val="24"/>
          <w:highlight w:val="none"/>
        </w:rPr>
      </w:pPr>
      <w:r>
        <w:rPr>
          <w:rFonts w:hint="eastAsia" w:ascii="宋体" w:hAnsi="宋体" w:cs="宋体"/>
          <w:b/>
          <w:bCs/>
          <w:sz w:val="24"/>
          <w:highlight w:val="none"/>
        </w:rPr>
        <w:t>项目开标日期：2020年  月  日  时  分</w:t>
      </w:r>
    </w:p>
    <w:p>
      <w:pPr>
        <w:spacing w:line="370" w:lineRule="exact"/>
        <w:rPr>
          <w:rFonts w:ascii="宋体" w:hAnsi="宋体" w:cs="宋体"/>
          <w:sz w:val="24"/>
          <w:highlight w:val="none"/>
        </w:rPr>
      </w:pPr>
    </w:p>
    <w:p>
      <w:pPr>
        <w:spacing w:line="370" w:lineRule="exact"/>
        <w:rPr>
          <w:rFonts w:ascii="宋体" w:hAnsi="宋体" w:cs="宋体"/>
          <w:sz w:val="24"/>
          <w:highlight w:val="none"/>
        </w:rPr>
      </w:pPr>
    </w:p>
    <w:p>
      <w:pPr>
        <w:spacing w:line="370" w:lineRule="exact"/>
        <w:rPr>
          <w:rFonts w:ascii="宋体" w:hAnsi="宋体" w:cs="宋体"/>
          <w:sz w:val="24"/>
          <w:highlight w:val="none"/>
        </w:rPr>
      </w:pPr>
      <w:r>
        <w:rPr>
          <w:rFonts w:hint="eastAsia" w:ascii="宋体" w:hAnsi="宋体" w:cs="宋体"/>
          <w:b/>
          <w:bCs/>
          <w:sz w:val="24"/>
          <w:highlight w:val="none"/>
        </w:rPr>
        <w:t>联系电子邮箱：</w:t>
      </w:r>
    </w:p>
    <w:p>
      <w:pPr>
        <w:spacing w:line="370" w:lineRule="exact"/>
        <w:ind w:firstLine="480" w:firstLineChars="200"/>
        <w:rPr>
          <w:rFonts w:ascii="宋体" w:hAnsi="宋体" w:cs="宋体"/>
          <w:bCs/>
          <w:sz w:val="24"/>
          <w:highlight w:val="none"/>
          <w:u w:val="single"/>
        </w:rPr>
      </w:pPr>
      <w:r>
        <w:rPr>
          <w:rFonts w:hint="eastAsia" w:ascii="宋体" w:hAnsi="宋体" w:cs="宋体"/>
          <w:sz w:val="24"/>
          <w:highlight w:val="none"/>
        </w:rPr>
        <w:t>五、公告期限</w:t>
      </w:r>
      <w:bookmarkEnd w:id="16"/>
      <w:bookmarkEnd w:id="17"/>
      <w:bookmarkEnd w:id="18"/>
      <w:bookmarkEnd w:id="19"/>
    </w:p>
    <w:p>
      <w:pPr>
        <w:spacing w:line="370" w:lineRule="exact"/>
        <w:ind w:firstLine="480" w:firstLineChars="200"/>
        <w:rPr>
          <w:rFonts w:ascii="宋体" w:hAnsi="宋体" w:cs="宋体"/>
          <w:kern w:val="0"/>
          <w:sz w:val="24"/>
          <w:highlight w:val="none"/>
        </w:rPr>
      </w:pPr>
      <w:r>
        <w:rPr>
          <w:rFonts w:hint="eastAsia" w:ascii="宋体" w:hAnsi="宋体" w:cs="宋体"/>
          <w:kern w:val="0"/>
          <w:sz w:val="24"/>
          <w:highlight w:val="none"/>
        </w:rPr>
        <w:t>自本公告发布之日起5个工作日。</w:t>
      </w:r>
      <w:bookmarkStart w:id="20" w:name="_Toc35393626"/>
      <w:bookmarkStart w:id="21" w:name="_Toc35393795"/>
    </w:p>
    <w:p>
      <w:pPr>
        <w:spacing w:line="370" w:lineRule="exact"/>
        <w:ind w:firstLine="480" w:firstLineChars="200"/>
        <w:rPr>
          <w:rFonts w:ascii="宋体" w:hAnsi="宋体" w:cs="宋体"/>
          <w:kern w:val="0"/>
          <w:sz w:val="24"/>
          <w:highlight w:val="none"/>
        </w:rPr>
      </w:pPr>
      <w:r>
        <w:rPr>
          <w:rFonts w:hint="eastAsia" w:ascii="宋体" w:hAnsi="宋体" w:cs="宋体"/>
          <w:sz w:val="24"/>
          <w:highlight w:val="none"/>
        </w:rPr>
        <w:t>六、其他补充事宜</w:t>
      </w:r>
      <w:bookmarkEnd w:id="20"/>
      <w:bookmarkEnd w:id="21"/>
    </w:p>
    <w:p>
      <w:pPr>
        <w:spacing w:line="370" w:lineRule="exact"/>
        <w:ind w:firstLine="480" w:firstLineChars="200"/>
        <w:rPr>
          <w:rFonts w:ascii="宋体" w:hAnsi="宋体" w:cs="宋体"/>
          <w:kern w:val="0"/>
          <w:sz w:val="24"/>
          <w:highlight w:val="none"/>
        </w:rPr>
      </w:pPr>
      <w:bookmarkStart w:id="22" w:name="_Toc28359008"/>
      <w:bookmarkStart w:id="23" w:name="_Toc35393796"/>
      <w:bookmarkStart w:id="24" w:name="_Toc28359085"/>
      <w:bookmarkStart w:id="25" w:name="_Toc35393627"/>
      <w:r>
        <w:rPr>
          <w:rFonts w:hint="eastAsia" w:ascii="宋体" w:hAnsi="宋体" w:cs="宋体"/>
          <w:kern w:val="0"/>
          <w:sz w:val="24"/>
          <w:highlight w:val="none"/>
        </w:rPr>
        <w:t>1、网上查询地址：中国政府采购网http://www.ccgp.gov.cn/、广西壮族自治区政府采购网zfcg.gxzf.gov.cn、南宁政府采购网zfcg.nanning.gov.cn、南宁市公共资源交易中心网https://www.nnggzy.org.cn/gxnnzbw/、广西南宁市西乡塘区人民政府门户网站www.xxtq.gov.cn、广西招标网http://www.guangxibid.com.cn/。</w:t>
      </w:r>
    </w:p>
    <w:p>
      <w:pPr>
        <w:spacing w:line="370" w:lineRule="exact"/>
        <w:ind w:firstLine="480" w:firstLineChars="200"/>
        <w:rPr>
          <w:rFonts w:ascii="宋体" w:hAnsi="宋体" w:cs="宋体"/>
          <w:kern w:val="0"/>
          <w:sz w:val="24"/>
          <w:highlight w:val="none"/>
        </w:rPr>
      </w:pPr>
      <w:r>
        <w:rPr>
          <w:rFonts w:hint="eastAsia" w:ascii="宋体" w:hAnsi="宋体" w:cs="宋体"/>
          <w:kern w:val="0"/>
          <w:sz w:val="24"/>
          <w:highlight w:val="none"/>
        </w:rPr>
        <w:t xml:space="preserve">2、本项目需要落实的政府采购政策： </w:t>
      </w:r>
    </w:p>
    <w:p>
      <w:pPr>
        <w:spacing w:line="370" w:lineRule="exact"/>
        <w:ind w:firstLine="480" w:firstLineChars="200"/>
        <w:rPr>
          <w:rFonts w:ascii="宋体" w:hAnsi="宋体" w:cs="宋体"/>
          <w:kern w:val="0"/>
          <w:sz w:val="24"/>
          <w:highlight w:val="none"/>
        </w:rPr>
      </w:pPr>
      <w:r>
        <w:rPr>
          <w:rFonts w:hint="eastAsia" w:ascii="宋体" w:hAnsi="宋体" w:cs="宋体"/>
          <w:kern w:val="0"/>
          <w:sz w:val="24"/>
          <w:highlight w:val="none"/>
        </w:rPr>
        <w:t>《政府采购促进中小企业发展暂行办法》（财库[2011]181号）、《关于政府采购支持监狱企业发展有关问题的通知》(财库[2014]68号)、《关于促进残疾人就业政府采购政策的通知》(财库〔2017〕141号)，评审时残疾人福利性单位、小型和微型企业产品的价格给予10%的增加。监狱企业视同小型和微型企业，其产品在评审时给予相同的价格增加。残疾人福利性单位属于小型、微型企业的，不重复享受政策。节能产品、环境标志产品依据品目清单和认证证书实施政府优先采购和强制采购。（财库〔2019〕9号）</w:t>
      </w:r>
    </w:p>
    <w:p>
      <w:pPr>
        <w:spacing w:line="370" w:lineRule="exact"/>
        <w:ind w:firstLine="480" w:firstLineChars="200"/>
        <w:rPr>
          <w:rFonts w:ascii="宋体" w:hAnsi="宋体" w:cs="宋体"/>
          <w:kern w:val="0"/>
          <w:sz w:val="24"/>
          <w:highlight w:val="none"/>
        </w:rPr>
      </w:pPr>
      <w:r>
        <w:rPr>
          <w:rFonts w:hint="eastAsia" w:ascii="宋体" w:hAnsi="宋体" w:cs="宋体"/>
          <w:kern w:val="0"/>
          <w:sz w:val="24"/>
          <w:highlight w:val="none"/>
        </w:rPr>
        <w:t>为帮助中小微企业解决资金周转或融资困难问题，南宁市政府采购试行政府采购信用融资制度，为中小企业参与政府采购活动提供金融服务。成交供应商可凭政府采购合同申请政府采购信用融资，具体办理要求与办理方式，详见南宁市公共资源交易中心网“政府采购信用融资”专栏。</w:t>
      </w:r>
    </w:p>
    <w:p>
      <w:pPr>
        <w:spacing w:line="370" w:lineRule="exact"/>
        <w:ind w:firstLine="480" w:firstLineChars="200"/>
        <w:rPr>
          <w:rFonts w:ascii="宋体" w:hAnsi="宋体" w:cs="宋体"/>
          <w:kern w:val="0"/>
          <w:sz w:val="24"/>
          <w:highlight w:val="none"/>
        </w:rPr>
      </w:pPr>
    </w:p>
    <w:p>
      <w:pPr>
        <w:spacing w:line="370" w:lineRule="exact"/>
        <w:ind w:firstLine="480" w:firstLineChars="200"/>
        <w:rPr>
          <w:rFonts w:ascii="宋体" w:hAnsi="宋体" w:cs="宋体"/>
          <w:sz w:val="24"/>
          <w:highlight w:val="none"/>
        </w:rPr>
      </w:pPr>
      <w:r>
        <w:rPr>
          <w:rFonts w:hint="eastAsia" w:ascii="宋体" w:hAnsi="宋体" w:cs="宋体"/>
          <w:sz w:val="24"/>
          <w:highlight w:val="none"/>
        </w:rPr>
        <w:t>七、对本次招标提出询问，请按以下方式联系。</w:t>
      </w:r>
      <w:bookmarkEnd w:id="22"/>
      <w:bookmarkEnd w:id="23"/>
      <w:bookmarkEnd w:id="24"/>
      <w:bookmarkEnd w:id="25"/>
    </w:p>
    <w:p>
      <w:pPr>
        <w:spacing w:line="370" w:lineRule="exact"/>
        <w:ind w:firstLine="720" w:firstLineChars="300"/>
        <w:rPr>
          <w:rFonts w:ascii="宋体" w:hAnsi="宋体" w:cs="宋体"/>
          <w:sz w:val="24"/>
          <w:highlight w:val="none"/>
        </w:rPr>
      </w:pPr>
      <w:r>
        <w:rPr>
          <w:rFonts w:hint="eastAsia" w:ascii="宋体" w:hAnsi="宋体" w:cs="宋体"/>
          <w:sz w:val="24"/>
          <w:highlight w:val="none"/>
        </w:rPr>
        <w:t>1.采购人信息</w:t>
      </w:r>
    </w:p>
    <w:p>
      <w:pPr>
        <w:spacing w:line="370" w:lineRule="exact"/>
        <w:ind w:left="1079" w:leftChars="371" w:hanging="300" w:hangingChars="125"/>
        <w:jc w:val="left"/>
        <w:rPr>
          <w:rFonts w:ascii="宋体" w:hAnsi="宋体" w:cs="宋体"/>
          <w:sz w:val="24"/>
          <w:highlight w:val="none"/>
        </w:rPr>
      </w:pPr>
      <w:r>
        <w:rPr>
          <w:rFonts w:hint="eastAsia" w:ascii="宋体" w:hAnsi="宋体" w:cs="宋体"/>
          <w:sz w:val="24"/>
          <w:highlight w:val="none"/>
        </w:rPr>
        <w:t>名 称：</w:t>
      </w:r>
      <w:r>
        <w:rPr>
          <w:rFonts w:hint="eastAsia" w:ascii="宋体" w:hAnsi="宋体" w:cs="宋体"/>
          <w:sz w:val="24"/>
          <w:highlight w:val="none"/>
          <w:u w:val="single"/>
        </w:rPr>
        <w:t>　南宁市西乡塘区民政局　</w:t>
      </w:r>
    </w:p>
    <w:p>
      <w:pPr>
        <w:spacing w:line="370" w:lineRule="exact"/>
        <w:ind w:left="1079" w:leftChars="371" w:hanging="300" w:hangingChars="125"/>
        <w:jc w:val="left"/>
        <w:rPr>
          <w:rFonts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single"/>
        </w:rPr>
        <w:t>　南宁市西乡塘区衡阳西路19号　</w:t>
      </w:r>
    </w:p>
    <w:p>
      <w:pPr>
        <w:spacing w:line="370" w:lineRule="exact"/>
        <w:ind w:left="1079" w:leftChars="371" w:hanging="300" w:hangingChars="125"/>
        <w:jc w:val="left"/>
        <w:rPr>
          <w:rFonts w:ascii="宋体" w:hAnsi="宋体" w:cs="宋体"/>
          <w:sz w:val="24"/>
          <w:highlight w:val="none"/>
          <w:u w:val="single"/>
        </w:rPr>
      </w:pPr>
      <w:r>
        <w:rPr>
          <w:rFonts w:hint="eastAsia" w:ascii="宋体" w:hAnsi="宋体" w:cs="宋体"/>
          <w:sz w:val="24"/>
          <w:highlight w:val="none"/>
        </w:rPr>
        <w:t>联系方式：</w:t>
      </w:r>
      <w:r>
        <w:rPr>
          <w:rFonts w:hint="eastAsia" w:ascii="宋体" w:hAnsi="宋体" w:cs="宋体"/>
          <w:sz w:val="24"/>
          <w:highlight w:val="none"/>
          <w:u w:val="single"/>
        </w:rPr>
        <w:t>　</w:t>
      </w:r>
      <w:bookmarkStart w:id="26" w:name="_Toc28359086"/>
      <w:bookmarkStart w:id="27" w:name="_Toc28359009"/>
      <w:r>
        <w:rPr>
          <w:rFonts w:hint="eastAsia" w:ascii="宋体" w:hAnsi="宋体" w:cs="宋体"/>
          <w:sz w:val="24"/>
          <w:highlight w:val="none"/>
          <w:u w:val="single"/>
        </w:rPr>
        <w:t>0771-3101032</w:t>
      </w:r>
    </w:p>
    <w:p>
      <w:pPr>
        <w:spacing w:line="370" w:lineRule="exact"/>
        <w:ind w:firstLine="720" w:firstLineChars="300"/>
        <w:rPr>
          <w:rFonts w:ascii="宋体" w:hAnsi="宋体" w:cs="宋体"/>
          <w:sz w:val="24"/>
          <w:highlight w:val="none"/>
        </w:rPr>
      </w:pPr>
      <w:r>
        <w:rPr>
          <w:rFonts w:hint="eastAsia" w:ascii="宋体" w:hAnsi="宋体" w:cs="宋体"/>
          <w:sz w:val="24"/>
          <w:highlight w:val="none"/>
        </w:rPr>
        <w:t>2.采购代理机构信息</w:t>
      </w:r>
      <w:bookmarkEnd w:id="26"/>
      <w:bookmarkEnd w:id="27"/>
    </w:p>
    <w:p>
      <w:pPr>
        <w:spacing w:line="370" w:lineRule="exact"/>
        <w:ind w:firstLine="720" w:firstLineChars="300"/>
        <w:rPr>
          <w:rFonts w:ascii="宋体" w:hAnsi="宋体" w:cs="宋体"/>
          <w:sz w:val="24"/>
          <w:highlight w:val="none"/>
        </w:rPr>
      </w:pPr>
      <w:r>
        <w:rPr>
          <w:rFonts w:hint="eastAsia" w:ascii="宋体" w:hAnsi="宋体" w:cs="宋体"/>
          <w:sz w:val="24"/>
          <w:highlight w:val="none"/>
        </w:rPr>
        <w:t>名 称：</w:t>
      </w:r>
      <w:r>
        <w:rPr>
          <w:rFonts w:hint="eastAsia" w:ascii="宋体" w:hAnsi="宋体" w:cs="宋体"/>
          <w:sz w:val="24"/>
          <w:highlight w:val="none"/>
          <w:u w:val="single"/>
        </w:rPr>
        <w:t>　广西建设工程机电设备招标中心有限公司　</w:t>
      </w:r>
    </w:p>
    <w:p>
      <w:pPr>
        <w:spacing w:line="370" w:lineRule="exact"/>
        <w:ind w:firstLine="720" w:firstLineChars="300"/>
        <w:rPr>
          <w:rFonts w:ascii="宋体" w:hAnsi="宋体" w:cs="宋体"/>
          <w:sz w:val="24"/>
          <w:highlight w:val="none"/>
        </w:rPr>
      </w:pPr>
      <w:r>
        <w:rPr>
          <w:rFonts w:hint="eastAsia" w:ascii="宋体" w:hAnsi="宋体" w:cs="宋体"/>
          <w:sz w:val="24"/>
          <w:highlight w:val="none"/>
        </w:rPr>
        <w:t>地　址：</w:t>
      </w:r>
      <w:r>
        <w:rPr>
          <w:rFonts w:hint="eastAsia" w:ascii="宋体" w:hAnsi="宋体" w:cs="宋体"/>
          <w:sz w:val="24"/>
          <w:highlight w:val="none"/>
          <w:u w:val="single"/>
        </w:rPr>
        <w:t>　南宁市青秀区纬武路165号区成套局办公大楼</w:t>
      </w:r>
    </w:p>
    <w:p>
      <w:pPr>
        <w:spacing w:line="370" w:lineRule="exact"/>
        <w:ind w:firstLine="720" w:firstLineChars="300"/>
        <w:rPr>
          <w:rFonts w:ascii="宋体" w:hAnsi="宋体" w:cs="宋体"/>
          <w:sz w:val="24"/>
          <w:highlight w:val="none"/>
        </w:rPr>
      </w:pPr>
      <w:r>
        <w:rPr>
          <w:rFonts w:hint="eastAsia" w:ascii="宋体" w:hAnsi="宋体" w:cs="宋体"/>
          <w:sz w:val="24"/>
          <w:highlight w:val="none"/>
        </w:rPr>
        <w:t>联系方式：</w:t>
      </w:r>
      <w:bookmarkStart w:id="28" w:name="_Toc28359010"/>
      <w:bookmarkStart w:id="29" w:name="_Toc28359087"/>
      <w:r>
        <w:rPr>
          <w:rFonts w:hint="eastAsia" w:ascii="宋体" w:hAnsi="宋体" w:cs="宋体"/>
          <w:sz w:val="24"/>
          <w:highlight w:val="none"/>
          <w:u w:val="single"/>
        </w:rPr>
        <w:t>　0771-2846035</w:t>
      </w:r>
    </w:p>
    <w:p>
      <w:pPr>
        <w:spacing w:line="370" w:lineRule="exact"/>
        <w:ind w:firstLine="720" w:firstLineChars="300"/>
        <w:rPr>
          <w:rFonts w:ascii="宋体" w:hAnsi="宋体" w:cs="宋体"/>
          <w:sz w:val="24"/>
          <w:highlight w:val="none"/>
          <w:u w:val="single"/>
        </w:rPr>
      </w:pPr>
      <w:r>
        <w:rPr>
          <w:rFonts w:hint="eastAsia" w:ascii="宋体" w:hAnsi="宋体" w:cs="宋体"/>
          <w:sz w:val="24"/>
          <w:highlight w:val="none"/>
        </w:rPr>
        <w:t>3.项目联系方式</w:t>
      </w:r>
      <w:bookmarkEnd w:id="28"/>
      <w:bookmarkEnd w:id="29"/>
    </w:p>
    <w:p>
      <w:pPr>
        <w:pStyle w:val="6"/>
        <w:spacing w:line="370" w:lineRule="exact"/>
        <w:ind w:firstLine="720" w:firstLineChars="300"/>
        <w:rPr>
          <w:rFonts w:hAnsi="宋体" w:cs="宋体"/>
          <w:sz w:val="24"/>
          <w:szCs w:val="24"/>
          <w:highlight w:val="none"/>
        </w:rPr>
      </w:pPr>
      <w:r>
        <w:rPr>
          <w:rFonts w:hint="eastAsia" w:hAnsi="宋体" w:cs="宋体"/>
          <w:sz w:val="24"/>
          <w:szCs w:val="24"/>
          <w:highlight w:val="none"/>
        </w:rPr>
        <w:t>项目联系人：</w:t>
      </w:r>
      <w:r>
        <w:rPr>
          <w:rFonts w:hint="eastAsia" w:hAnsi="宋体" w:cs="宋体"/>
          <w:sz w:val="24"/>
          <w:szCs w:val="24"/>
          <w:highlight w:val="none"/>
          <w:u w:val="single"/>
        </w:rPr>
        <w:t>黄圣凤</w:t>
      </w:r>
    </w:p>
    <w:p>
      <w:pPr>
        <w:spacing w:line="370" w:lineRule="exact"/>
        <w:ind w:firstLine="720" w:firstLineChars="300"/>
        <w:rPr>
          <w:rFonts w:ascii="宋体" w:hAnsi="宋体" w:cs="宋体"/>
          <w:sz w:val="24"/>
          <w:highlight w:val="none"/>
          <w:u w:val="single"/>
        </w:rPr>
      </w:pPr>
      <w:r>
        <w:rPr>
          <w:rFonts w:hint="eastAsia" w:ascii="宋体" w:hAnsi="宋体" w:cs="宋体"/>
          <w:sz w:val="24"/>
          <w:highlight w:val="none"/>
        </w:rPr>
        <w:t>电　　 话：</w:t>
      </w:r>
      <w:r>
        <w:rPr>
          <w:rFonts w:hint="eastAsia" w:ascii="宋体" w:hAnsi="宋体" w:cs="宋体"/>
          <w:sz w:val="24"/>
          <w:highlight w:val="none"/>
          <w:u w:val="single"/>
        </w:rPr>
        <w:t>　0771-2846035　</w:t>
      </w:r>
    </w:p>
    <w:p>
      <w:pPr>
        <w:spacing w:line="370" w:lineRule="exact"/>
        <w:ind w:firstLine="720" w:firstLineChars="300"/>
        <w:rPr>
          <w:rFonts w:ascii="宋体" w:hAnsi="宋体" w:cs="宋体"/>
          <w:sz w:val="24"/>
          <w:highlight w:val="none"/>
        </w:rPr>
      </w:pPr>
      <w:r>
        <w:rPr>
          <w:rFonts w:hint="eastAsia" w:ascii="宋体" w:hAnsi="宋体" w:cs="宋体"/>
          <w:sz w:val="24"/>
          <w:highlight w:val="none"/>
        </w:rPr>
        <w:t>4.监督部门:南宁市西乡塘区人民政府采购管理办公室，联系电话：0771-3130365</w:t>
      </w:r>
    </w:p>
    <w:p>
      <w:pPr>
        <w:snapToGrid w:val="0"/>
        <w:spacing w:line="440" w:lineRule="exact"/>
        <w:rPr>
          <w:rFonts w:ascii="宋体" w:hAnsi="宋体" w:cs="宋体"/>
          <w:sz w:val="28"/>
          <w:szCs w:val="28"/>
          <w:highlight w:val="none"/>
        </w:rPr>
      </w:pPr>
    </w:p>
    <w:p>
      <w:pPr>
        <w:snapToGrid w:val="0"/>
        <w:spacing w:line="440" w:lineRule="exact"/>
        <w:rPr>
          <w:rFonts w:ascii="宋体" w:hAnsi="宋体" w:cs="宋体"/>
          <w:sz w:val="28"/>
          <w:szCs w:val="28"/>
          <w:highlight w:val="none"/>
        </w:rPr>
      </w:pPr>
    </w:p>
    <w:p>
      <w:pPr>
        <w:rPr>
          <w:rFonts w:ascii="宋体" w:hAnsi="宋体" w:cs="宋体"/>
          <w:b/>
          <w:sz w:val="36"/>
          <w:highlight w:val="none"/>
        </w:rPr>
      </w:pPr>
      <w:r>
        <w:rPr>
          <w:rFonts w:hint="eastAsia" w:ascii="宋体" w:hAnsi="宋体" w:cs="宋体"/>
          <w:b/>
          <w:sz w:val="36"/>
          <w:highlight w:val="none"/>
        </w:rPr>
        <w:br w:type="page"/>
      </w:r>
    </w:p>
    <w:p>
      <w:pPr>
        <w:pStyle w:val="6"/>
        <w:jc w:val="center"/>
        <w:outlineLvl w:val="0"/>
        <w:rPr>
          <w:rFonts w:hAnsi="宋体" w:cs="宋体"/>
          <w:b/>
          <w:sz w:val="36"/>
          <w:highlight w:val="none"/>
        </w:rPr>
      </w:pPr>
      <w:bookmarkStart w:id="30" w:name="_Toc5991"/>
      <w:r>
        <w:rPr>
          <w:rFonts w:hint="eastAsia" w:hAnsi="宋体" w:cs="宋体"/>
          <w:b/>
          <w:sz w:val="36"/>
          <w:highlight w:val="none"/>
        </w:rPr>
        <w:t>第二章  服务需求一览表</w:t>
      </w:r>
      <w:bookmarkEnd w:id="30"/>
    </w:p>
    <w:p>
      <w:pPr>
        <w:spacing w:line="420" w:lineRule="exact"/>
        <w:jc w:val="center"/>
        <w:rPr>
          <w:rFonts w:ascii="宋体" w:hAnsi="宋体" w:cs="宋体"/>
          <w:b/>
          <w:sz w:val="36"/>
          <w:szCs w:val="36"/>
          <w:highlight w:val="none"/>
        </w:rPr>
      </w:pPr>
    </w:p>
    <w:p>
      <w:pPr>
        <w:spacing w:line="420" w:lineRule="exact"/>
        <w:jc w:val="center"/>
        <w:rPr>
          <w:rFonts w:ascii="宋体" w:hAnsi="宋体" w:cs="宋体"/>
          <w:b/>
          <w:sz w:val="36"/>
          <w:szCs w:val="36"/>
          <w:highlight w:val="none"/>
        </w:rPr>
      </w:pPr>
      <w:r>
        <w:rPr>
          <w:rFonts w:hint="eastAsia" w:ascii="宋体" w:hAnsi="宋体" w:cs="宋体"/>
          <w:b/>
          <w:sz w:val="36"/>
          <w:szCs w:val="36"/>
          <w:highlight w:val="none"/>
        </w:rPr>
        <w:t>项目基本概况</w:t>
      </w:r>
    </w:p>
    <w:p>
      <w:pPr>
        <w:spacing w:line="480" w:lineRule="exact"/>
        <w:ind w:firstLine="480" w:firstLineChars="200"/>
        <w:rPr>
          <w:rFonts w:ascii="宋体" w:hAnsi="宋体" w:cs="宋体"/>
          <w:b/>
          <w:sz w:val="24"/>
          <w:highlight w:val="none"/>
        </w:rPr>
      </w:pPr>
      <w:r>
        <w:rPr>
          <w:rFonts w:hint="eastAsia" w:ascii="宋体" w:hAnsi="宋体" w:cs="宋体"/>
          <w:sz w:val="24"/>
          <w:highlight w:val="none"/>
        </w:rPr>
        <w:t>为</w:t>
      </w:r>
      <w:r>
        <w:rPr>
          <w:rFonts w:hint="eastAsia" w:ascii="宋体" w:hAnsi="宋体" w:cs="宋体"/>
          <w:sz w:val="24"/>
          <w:highlight w:val="none"/>
          <w:shd w:val="clear" w:color="auto" w:fill="FFFFFF"/>
        </w:rPr>
        <w:t>深化养老服务改革</w:t>
      </w:r>
      <w:r>
        <w:rPr>
          <w:rFonts w:hint="eastAsia" w:ascii="宋体" w:hAnsi="宋体" w:cs="宋体"/>
          <w:sz w:val="24"/>
          <w:highlight w:val="none"/>
        </w:rPr>
        <w:t>，进一步放开养老服务市场，鼓励社会力量积极参与公办养老机构运营管理，实现公办养老服务机构转型升级，为政府供养的特困人员提供优质服务，推动我城区农村养老服务事业健康发展，根据国务院《关于加快发展养老服务业的若干意见》（国发〔2013〕35号）、民政部关于开展公办养老机构改革试点工作的通知（民函〔2013〕369号）、民政部《关于鼓励民间资本参与养老服务业发展的实施意见》（民发〔2015〕33号）、广西壮族自治区人民政府办公厅《关于全面放开养老服务市场提升养老服务质量的实施意见》（桂政办发〔2017〕129号）、《广西壮族自治区养老设施公建民营实施办法(试行)》的通知（桂民规〔2019〕9号）、广西壮族自治区民政厅关于印发《养老设施公建民营协议书(范本)》的通知（桂民函〔2020〕436号）、南宁市人民政府办公厅《关于印发南宁市加快发展养老服务业实施意见的通知》（南府办〔2015〕40号）等有关文件精神，现拟对</w:t>
      </w:r>
      <w:r>
        <w:rPr>
          <w:rFonts w:hint="eastAsia" w:ascii="宋体" w:hAnsi="宋体" w:cs="宋体"/>
          <w:b/>
          <w:bCs/>
          <w:sz w:val="24"/>
          <w:highlight w:val="none"/>
        </w:rPr>
        <w:t>坛洛镇第二卫生院养老服务中心及三个乡镇敬老院</w:t>
      </w:r>
      <w:r>
        <w:rPr>
          <w:rFonts w:hint="eastAsia" w:ascii="宋体" w:hAnsi="宋体" w:cs="宋体"/>
          <w:sz w:val="24"/>
          <w:highlight w:val="none"/>
        </w:rPr>
        <w:t>通过政府采购确定公建民营运营方，引入社会专业养老服务组织（以下简称：运营方），为老年人提供无偿、低偿或有偿的生活照料、家政服务、健康护理、精神慰藉、文化娱乐等养老服务，进一步满足西乡塘区老年人的养老服务需求，充分发挥政府兜底保障职能。</w:t>
      </w:r>
    </w:p>
    <w:p>
      <w:pPr>
        <w:adjustRightInd w:val="0"/>
        <w:spacing w:line="340" w:lineRule="exact"/>
        <w:rPr>
          <w:rFonts w:ascii="宋体" w:hAnsi="宋体" w:cs="宋体"/>
          <w:b/>
          <w:szCs w:val="21"/>
          <w:highlight w:val="none"/>
        </w:rPr>
      </w:pPr>
    </w:p>
    <w:p>
      <w:pPr>
        <w:adjustRightInd w:val="0"/>
        <w:spacing w:line="340" w:lineRule="exact"/>
        <w:rPr>
          <w:rFonts w:ascii="宋体" w:hAnsi="宋体" w:cs="宋体"/>
          <w:b/>
          <w:szCs w:val="21"/>
          <w:highlight w:val="none"/>
        </w:rPr>
      </w:pPr>
      <w:r>
        <w:rPr>
          <w:rFonts w:hint="eastAsia" w:ascii="宋体" w:hAnsi="宋体" w:cs="宋体"/>
          <w:b/>
          <w:szCs w:val="21"/>
          <w:highlight w:val="none"/>
        </w:rPr>
        <w:t>说明：</w:t>
      </w:r>
    </w:p>
    <w:p>
      <w:pPr>
        <w:adjustRightInd w:val="0"/>
        <w:spacing w:line="340" w:lineRule="exact"/>
        <w:ind w:left="6" w:firstLine="431"/>
        <w:rPr>
          <w:rFonts w:ascii="宋体" w:hAnsi="宋体" w:cs="宋体"/>
          <w:b/>
          <w:bCs/>
          <w:highlight w:val="none"/>
        </w:rPr>
      </w:pPr>
      <w:r>
        <w:rPr>
          <w:rFonts w:hint="eastAsia" w:ascii="宋体" w:hAnsi="宋体" w:cs="宋体"/>
          <w:highlight w:val="none"/>
        </w:rPr>
        <w:t>1、</w:t>
      </w:r>
      <w:r>
        <w:rPr>
          <w:rFonts w:hint="eastAsia" w:ascii="宋体" w:hAnsi="宋体" w:cs="宋体"/>
          <w:b/>
          <w:bCs/>
          <w:highlight w:val="none"/>
        </w:rPr>
        <w:t>本服务需求一览表中标注★号的部分为实质性要求和条件。</w:t>
      </w:r>
    </w:p>
    <w:p>
      <w:pPr>
        <w:spacing w:line="320" w:lineRule="exact"/>
        <w:ind w:firstLine="420" w:firstLineChars="200"/>
        <w:rPr>
          <w:rFonts w:ascii="宋体" w:hAnsi="宋体" w:cs="宋体"/>
          <w:highlight w:val="none"/>
        </w:rPr>
      </w:pPr>
      <w:r>
        <w:rPr>
          <w:rFonts w:hint="eastAsia" w:ascii="宋体" w:hAnsi="宋体" w:cs="宋体"/>
          <w:highlight w:val="none"/>
        </w:rPr>
        <w:t>2、本服务需求一览表中内容如与第六章“合同条款及格式”相关条款不一致的，以本表为准。</w:t>
      </w:r>
    </w:p>
    <w:p>
      <w:pPr>
        <w:spacing w:line="320" w:lineRule="exact"/>
        <w:ind w:firstLine="422" w:firstLineChars="200"/>
        <w:rPr>
          <w:rFonts w:ascii="宋体" w:hAnsi="宋体" w:cs="宋体"/>
          <w:highlight w:val="none"/>
        </w:rPr>
      </w:pPr>
      <w:r>
        <w:rPr>
          <w:rFonts w:hint="eastAsia" w:ascii="宋体" w:hAnsi="宋体" w:cs="宋体"/>
          <w:b/>
          <w:highlight w:val="none"/>
        </w:rPr>
        <w:t>3、本次服务期限为：15年。</w:t>
      </w:r>
    </w:p>
    <w:p>
      <w:pPr>
        <w:spacing w:line="320" w:lineRule="exact"/>
        <w:ind w:firstLine="405"/>
        <w:rPr>
          <w:rFonts w:ascii="宋体" w:hAnsi="宋体" w:cs="宋体"/>
          <w:highlight w:val="none"/>
        </w:rPr>
      </w:pPr>
    </w:p>
    <w:p>
      <w:pPr>
        <w:spacing w:line="320" w:lineRule="exact"/>
        <w:ind w:firstLine="405"/>
        <w:rPr>
          <w:rFonts w:ascii="宋体" w:hAnsi="宋体" w:cs="宋体"/>
          <w:highlight w:val="none"/>
        </w:rPr>
      </w:pPr>
    </w:p>
    <w:p>
      <w:pPr>
        <w:spacing w:line="320" w:lineRule="exact"/>
        <w:ind w:firstLine="405"/>
        <w:rPr>
          <w:rFonts w:ascii="宋体" w:hAnsi="宋体" w:cs="宋体"/>
          <w:highlight w:val="none"/>
        </w:rPr>
      </w:pPr>
    </w:p>
    <w:p>
      <w:pPr>
        <w:spacing w:line="320" w:lineRule="exact"/>
        <w:ind w:firstLine="405"/>
        <w:rPr>
          <w:rFonts w:ascii="宋体" w:hAnsi="宋体" w:cs="宋体"/>
          <w:highlight w:val="none"/>
        </w:rPr>
      </w:pPr>
    </w:p>
    <w:p>
      <w:pPr>
        <w:spacing w:line="320" w:lineRule="exact"/>
        <w:ind w:firstLine="405"/>
        <w:rPr>
          <w:rFonts w:ascii="宋体" w:hAnsi="宋体" w:cs="宋体"/>
          <w:highlight w:val="none"/>
        </w:rPr>
      </w:pPr>
    </w:p>
    <w:p>
      <w:pPr>
        <w:spacing w:line="320" w:lineRule="exact"/>
        <w:ind w:firstLine="405"/>
        <w:rPr>
          <w:rFonts w:ascii="宋体" w:hAnsi="宋体" w:cs="宋体"/>
          <w:highlight w:val="none"/>
        </w:rPr>
      </w:pPr>
    </w:p>
    <w:p>
      <w:pPr>
        <w:spacing w:line="320" w:lineRule="exact"/>
        <w:ind w:firstLine="405"/>
        <w:rPr>
          <w:rFonts w:ascii="宋体" w:hAnsi="宋体" w:cs="宋体"/>
          <w:highlight w:val="none"/>
        </w:rPr>
      </w:pPr>
    </w:p>
    <w:p>
      <w:pPr>
        <w:spacing w:line="320" w:lineRule="exact"/>
        <w:ind w:firstLine="405"/>
        <w:rPr>
          <w:rFonts w:ascii="宋体" w:hAnsi="宋体" w:cs="宋体"/>
          <w:highlight w:val="none"/>
        </w:rPr>
      </w:pPr>
    </w:p>
    <w:p>
      <w:pPr>
        <w:spacing w:line="320" w:lineRule="exact"/>
        <w:rPr>
          <w:rFonts w:ascii="宋体" w:hAnsi="宋体" w:cs="宋体"/>
          <w:b/>
          <w:highlight w:val="none"/>
        </w:rPr>
      </w:pPr>
      <w:r>
        <w:rPr>
          <w:rFonts w:hint="eastAsia" w:ascii="宋体" w:hAnsi="宋体" w:cs="宋体"/>
          <w:b/>
          <w:highlight w:val="none"/>
        </w:rPr>
        <w:t>一、服务内容及要求</w:t>
      </w:r>
    </w:p>
    <w:tbl>
      <w:tblPr>
        <w:tblStyle w:val="13"/>
        <w:tblW w:w="975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4"/>
        <w:gridCol w:w="1134"/>
        <w:gridCol w:w="7963"/>
        <w:gridCol w:w="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1" w:type="dxa"/>
          <w:trHeight w:val="599" w:hRule="atLeast"/>
          <w:jc w:val="center"/>
        </w:trPr>
        <w:tc>
          <w:tcPr>
            <w:tcW w:w="624" w:type="dxa"/>
            <w:tcBorders>
              <w:left w:val="single" w:color="auto" w:sz="4" w:space="0"/>
              <w:bottom w:val="single" w:color="auto" w:sz="4" w:space="0"/>
              <w:right w:val="single" w:color="auto" w:sz="4" w:space="0"/>
            </w:tcBorders>
            <w:noWrap/>
            <w:vAlign w:val="center"/>
          </w:tcPr>
          <w:p>
            <w:pPr>
              <w:spacing w:line="420" w:lineRule="exact"/>
              <w:jc w:val="center"/>
              <w:rPr>
                <w:rFonts w:ascii="宋体" w:hAnsi="宋体" w:cs="宋体"/>
                <w:szCs w:val="21"/>
                <w:highlight w:val="none"/>
              </w:rPr>
            </w:pPr>
            <w:r>
              <w:rPr>
                <w:rFonts w:hint="eastAsia" w:ascii="宋体" w:hAnsi="宋体" w:cs="宋体"/>
                <w:szCs w:val="21"/>
                <w:highlight w:val="none"/>
              </w:rPr>
              <w:t>序号</w:t>
            </w:r>
          </w:p>
        </w:tc>
        <w:tc>
          <w:tcPr>
            <w:tcW w:w="1134" w:type="dxa"/>
            <w:tcBorders>
              <w:left w:val="single" w:color="auto" w:sz="4" w:space="0"/>
              <w:bottom w:val="single" w:color="auto" w:sz="4" w:space="0"/>
              <w:right w:val="single" w:color="auto" w:sz="4" w:space="0"/>
            </w:tcBorders>
            <w:noWrap/>
            <w:vAlign w:val="center"/>
          </w:tcPr>
          <w:p>
            <w:pPr>
              <w:spacing w:line="420" w:lineRule="exact"/>
              <w:jc w:val="center"/>
              <w:rPr>
                <w:rFonts w:ascii="宋体" w:hAnsi="宋体" w:cs="宋体"/>
                <w:szCs w:val="21"/>
                <w:highlight w:val="none"/>
              </w:rPr>
            </w:pPr>
            <w:r>
              <w:rPr>
                <w:rFonts w:hint="eastAsia" w:ascii="宋体" w:hAnsi="宋体" w:cs="宋体"/>
                <w:szCs w:val="21"/>
                <w:highlight w:val="none"/>
              </w:rPr>
              <w:t>采购</w:t>
            </w:r>
          </w:p>
          <w:p>
            <w:pPr>
              <w:spacing w:line="420" w:lineRule="exact"/>
              <w:jc w:val="center"/>
              <w:rPr>
                <w:rFonts w:ascii="宋体" w:hAnsi="宋体" w:cs="宋体"/>
                <w:szCs w:val="21"/>
                <w:highlight w:val="none"/>
              </w:rPr>
            </w:pPr>
            <w:r>
              <w:rPr>
                <w:rFonts w:hint="eastAsia" w:ascii="宋体" w:hAnsi="宋体" w:cs="宋体"/>
                <w:szCs w:val="21"/>
                <w:highlight w:val="none"/>
              </w:rPr>
              <w:t>内容</w:t>
            </w:r>
          </w:p>
        </w:tc>
        <w:tc>
          <w:tcPr>
            <w:tcW w:w="7963" w:type="dxa"/>
            <w:tcBorders>
              <w:top w:val="single" w:color="auto" w:sz="4" w:space="0"/>
              <w:left w:val="single" w:color="auto" w:sz="4" w:space="0"/>
              <w:bottom w:val="single" w:color="auto" w:sz="4" w:space="0"/>
              <w:right w:val="single" w:color="auto" w:sz="4" w:space="0"/>
            </w:tcBorders>
            <w:noWrap/>
            <w:vAlign w:val="center"/>
          </w:tcPr>
          <w:p>
            <w:pPr>
              <w:spacing w:line="320" w:lineRule="exact"/>
              <w:ind w:firstLine="316" w:firstLineChars="150"/>
              <w:jc w:val="center"/>
              <w:rPr>
                <w:rFonts w:ascii="宋体" w:hAnsi="宋体" w:cs="宋体"/>
                <w:szCs w:val="21"/>
                <w:highlight w:val="none"/>
              </w:rPr>
            </w:pPr>
            <w:r>
              <w:rPr>
                <w:rFonts w:hint="eastAsia" w:ascii="宋体" w:hAnsi="宋体" w:cs="宋体"/>
                <w:b/>
                <w:szCs w:val="21"/>
                <w:highlight w:val="none"/>
              </w:rPr>
              <w:t>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31" w:type="dxa"/>
          <w:trHeight w:val="1122" w:hRule="atLeast"/>
          <w:jc w:val="center"/>
        </w:trPr>
        <w:tc>
          <w:tcPr>
            <w:tcW w:w="624" w:type="dxa"/>
            <w:tcBorders>
              <w:top w:val="single" w:color="auto" w:sz="4" w:space="0"/>
              <w:left w:val="single" w:color="auto" w:sz="4" w:space="0"/>
              <w:bottom w:val="single" w:color="auto" w:sz="4" w:space="0"/>
              <w:right w:val="single" w:color="auto" w:sz="4" w:space="0"/>
            </w:tcBorders>
            <w:noWrap/>
            <w:vAlign w:val="center"/>
          </w:tcPr>
          <w:p>
            <w:pPr>
              <w:spacing w:line="420" w:lineRule="exact"/>
              <w:jc w:val="center"/>
              <w:rPr>
                <w:rFonts w:ascii="宋体" w:hAnsi="宋体" w:cs="宋体"/>
                <w:szCs w:val="21"/>
                <w:highlight w:val="none"/>
              </w:rPr>
            </w:pPr>
            <w:r>
              <w:rPr>
                <w:rFonts w:hint="eastAsia" w:ascii="宋体" w:hAnsi="宋体" w:cs="宋体"/>
                <w:szCs w:val="21"/>
                <w:highlight w:val="none"/>
              </w:rPr>
              <w:t>1</w:t>
            </w:r>
          </w:p>
        </w:tc>
        <w:tc>
          <w:tcPr>
            <w:tcW w:w="1134" w:type="dxa"/>
            <w:tcBorders>
              <w:top w:val="single" w:color="auto" w:sz="4" w:space="0"/>
              <w:left w:val="single" w:color="auto" w:sz="4" w:space="0"/>
              <w:bottom w:val="single" w:color="auto" w:sz="4" w:space="0"/>
              <w:right w:val="single" w:color="auto" w:sz="4" w:space="0"/>
            </w:tcBorders>
            <w:noWrap/>
            <w:vAlign w:val="center"/>
          </w:tcPr>
          <w:p>
            <w:pPr>
              <w:spacing w:line="420" w:lineRule="exact"/>
              <w:jc w:val="center"/>
              <w:rPr>
                <w:rFonts w:ascii="宋体" w:hAnsi="宋体" w:cs="宋体"/>
                <w:szCs w:val="21"/>
                <w:highlight w:val="none"/>
              </w:rPr>
            </w:pPr>
            <w:r>
              <w:rPr>
                <w:rFonts w:hint="eastAsia" w:ascii="宋体" w:hAnsi="宋体" w:cs="宋体"/>
                <w:szCs w:val="21"/>
                <w:highlight w:val="none"/>
              </w:rPr>
              <w:t>坛洛镇第二卫生院养老服务中心及3个乡镇敬老院公建民营运营方采购项目</w:t>
            </w:r>
          </w:p>
        </w:tc>
        <w:tc>
          <w:tcPr>
            <w:tcW w:w="7963" w:type="dxa"/>
            <w:tcBorders>
              <w:top w:val="single" w:color="auto" w:sz="4" w:space="0"/>
              <w:left w:val="single" w:color="auto" w:sz="4" w:space="0"/>
              <w:bottom w:val="single" w:color="auto" w:sz="4" w:space="0"/>
              <w:right w:val="single" w:color="auto" w:sz="4" w:space="0"/>
            </w:tcBorders>
            <w:noWrap/>
            <w:vAlign w:val="center"/>
          </w:tcPr>
          <w:p>
            <w:pPr>
              <w:widowControl/>
              <w:spacing w:line="500" w:lineRule="exact"/>
              <w:ind w:firstLine="420" w:firstLineChars="200"/>
              <w:jc w:val="left"/>
              <w:rPr>
                <w:rFonts w:ascii="宋体" w:hAnsi="宋体" w:cs="宋体"/>
                <w:b/>
                <w:bCs/>
                <w:szCs w:val="21"/>
                <w:highlight w:val="none"/>
              </w:rPr>
            </w:pPr>
            <w:r>
              <w:rPr>
                <w:rFonts w:hint="eastAsia" w:ascii="宋体" w:hAnsi="宋体" w:cs="宋体"/>
                <w:szCs w:val="21"/>
                <w:highlight w:val="none"/>
              </w:rPr>
              <w:t>一、总体要求</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本方案所称公建民营是指由政府出资兴建后，通过政府采购方式，出让运营权给具有资质的企业、社会组织运营，为老年人提供集中居住和照料服务。实施公建民营后，养老服务中心的所有权为西乡塘区人民政府，西乡塘区民政局作为监管责任主体，按照“管办分离”的发展思路与运营方签订合同，明确合作双方的权利与义务。运营方必须优先满足西乡塘区辖区内</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入住需求，同时确保国有资产的完整性且不受损失。</w:t>
            </w:r>
          </w:p>
          <w:p>
            <w:pPr>
              <w:pStyle w:val="12"/>
              <w:widowControl w:val="0"/>
              <w:spacing w:beforeAutospacing="0" w:afterAutospacing="0" w:line="500" w:lineRule="exact"/>
              <w:ind w:firstLine="420" w:firstLineChars="200"/>
              <w:jc w:val="both"/>
              <w:rPr>
                <w:kern w:val="2"/>
                <w:sz w:val="21"/>
                <w:szCs w:val="21"/>
                <w:highlight w:val="none"/>
              </w:rPr>
            </w:pPr>
            <w:r>
              <w:rPr>
                <w:rFonts w:hint="eastAsia"/>
                <w:kern w:val="2"/>
                <w:sz w:val="21"/>
                <w:szCs w:val="21"/>
                <w:highlight w:val="none"/>
              </w:rPr>
              <w:t>二、项目介绍</w:t>
            </w:r>
          </w:p>
          <w:p>
            <w:pPr>
              <w:spacing w:line="500" w:lineRule="exact"/>
              <w:ind w:firstLine="422" w:firstLineChars="200"/>
              <w:contextualSpacing/>
              <w:rPr>
                <w:rFonts w:ascii="宋体" w:hAnsi="宋体" w:cs="宋体"/>
                <w:b/>
                <w:bCs/>
                <w:szCs w:val="21"/>
                <w:highlight w:val="none"/>
              </w:rPr>
            </w:pPr>
            <w:r>
              <w:rPr>
                <w:rFonts w:hint="eastAsia" w:ascii="宋体" w:hAnsi="宋体" w:cs="宋体"/>
                <w:b/>
                <w:bCs/>
                <w:szCs w:val="21"/>
                <w:highlight w:val="none"/>
              </w:rPr>
              <w:t>（二）项目简介：</w:t>
            </w:r>
          </w:p>
          <w:p>
            <w:pPr>
              <w:pStyle w:val="18"/>
              <w:spacing w:line="500" w:lineRule="exact"/>
              <w:rPr>
                <w:rFonts w:ascii="宋体" w:hAnsi="宋体" w:cs="宋体"/>
                <w:szCs w:val="21"/>
                <w:highlight w:val="none"/>
              </w:rPr>
            </w:pPr>
            <w:r>
              <w:rPr>
                <w:rFonts w:hint="eastAsia" w:ascii="宋体" w:hAnsi="宋体" w:cs="宋体"/>
                <w:szCs w:val="21"/>
                <w:highlight w:val="none"/>
              </w:rPr>
              <w:t>此次纳入公建民营的服务机构包括：坛洛镇第二卫生院养老服务中心、金陵镇敬老院、双定镇敬老院、坛洛镇敬老院</w:t>
            </w:r>
          </w:p>
          <w:p>
            <w:pPr>
              <w:spacing w:line="500" w:lineRule="exact"/>
              <w:ind w:firstLine="422" w:firstLineChars="200"/>
              <w:contextualSpacing/>
              <w:rPr>
                <w:rFonts w:ascii="宋体" w:hAnsi="宋体" w:cs="宋体"/>
                <w:bCs/>
                <w:szCs w:val="21"/>
                <w:highlight w:val="none"/>
              </w:rPr>
            </w:pPr>
            <w:r>
              <w:rPr>
                <w:rFonts w:hint="eastAsia" w:ascii="宋体" w:hAnsi="宋体" w:cs="宋体"/>
                <w:b/>
                <w:bCs/>
                <w:szCs w:val="21"/>
                <w:highlight w:val="none"/>
              </w:rPr>
              <w:t>西乡塘区坛洛镇第二卫生院养老服务中心：</w:t>
            </w:r>
            <w:r>
              <w:rPr>
                <w:rFonts w:hint="eastAsia" w:ascii="宋体" w:hAnsi="宋体" w:cs="宋体"/>
                <w:szCs w:val="21"/>
                <w:highlight w:val="none"/>
              </w:rPr>
              <w:t>位于西乡塘区金光农场金光大道136号（坛洛镇第二卫生院范围内），该项目占地面积1103㎡，总建筑面积6915㎡，项目总投资1770万元，主体建筑为1栋六层，</w:t>
            </w:r>
            <w:r>
              <w:rPr>
                <w:rFonts w:hint="eastAsia" w:ascii="宋体" w:hAnsi="宋体" w:cs="宋体"/>
                <w:bCs/>
                <w:szCs w:val="21"/>
                <w:highlight w:val="none"/>
              </w:rPr>
              <w:t>规划设置床位300张。整栋楼室内已作基础装修（含门窗、水电、消防、刮腻子），并安装有消防水箱和消防控制室。</w:t>
            </w:r>
          </w:p>
          <w:p>
            <w:pPr>
              <w:spacing w:line="500" w:lineRule="exact"/>
              <w:ind w:firstLine="422" w:firstLineChars="200"/>
              <w:contextualSpacing/>
              <w:rPr>
                <w:rFonts w:ascii="宋体" w:hAnsi="宋体" w:cs="宋体"/>
                <w:szCs w:val="21"/>
                <w:highlight w:val="none"/>
              </w:rPr>
            </w:pPr>
            <w:r>
              <w:rPr>
                <w:rFonts w:hint="eastAsia" w:ascii="宋体" w:hAnsi="宋体" w:cs="宋体"/>
                <w:b/>
                <w:bCs/>
                <w:szCs w:val="21"/>
                <w:highlight w:val="none"/>
              </w:rPr>
              <w:t>金陵镇敬老院：</w:t>
            </w:r>
            <w:r>
              <w:rPr>
                <w:rFonts w:hint="eastAsia" w:ascii="宋体" w:hAnsi="宋体" w:cs="宋体"/>
                <w:szCs w:val="21"/>
                <w:highlight w:val="none"/>
              </w:rPr>
              <w:t>位于西乡塘区金陵镇中心区域，324国道旁，占地面积1333平方米，建筑面积900平方米，可设置床位数40张，现入住特困供养老人13人，护理员4人。</w:t>
            </w:r>
          </w:p>
          <w:p>
            <w:pPr>
              <w:spacing w:line="500" w:lineRule="exact"/>
              <w:ind w:firstLine="422" w:firstLineChars="200"/>
              <w:rPr>
                <w:rFonts w:ascii="宋体" w:hAnsi="宋体" w:cs="宋体"/>
                <w:szCs w:val="21"/>
                <w:highlight w:val="none"/>
              </w:rPr>
            </w:pPr>
            <w:r>
              <w:rPr>
                <w:rFonts w:hint="eastAsia" w:ascii="宋体" w:hAnsi="宋体" w:cs="宋体"/>
                <w:b/>
                <w:bCs/>
                <w:szCs w:val="21"/>
                <w:highlight w:val="none"/>
              </w:rPr>
              <w:t>双定镇敬老院：</w:t>
            </w:r>
            <w:r>
              <w:rPr>
                <w:rFonts w:hint="eastAsia" w:ascii="宋体" w:hAnsi="宋体" w:cs="宋体"/>
                <w:szCs w:val="21"/>
                <w:highlight w:val="none"/>
              </w:rPr>
              <w:t>位于西乡塘区双定镇兴隆路23号，占地面积600平方米，建筑面积600平方米，可设置床位数30张，现入住特困供养老人9人，护理员2人。</w:t>
            </w:r>
          </w:p>
          <w:p>
            <w:pPr>
              <w:spacing w:line="500" w:lineRule="exact"/>
              <w:ind w:firstLine="422" w:firstLineChars="200"/>
              <w:rPr>
                <w:rFonts w:ascii="宋体" w:hAnsi="宋体" w:cs="宋体"/>
                <w:szCs w:val="21"/>
                <w:highlight w:val="none"/>
              </w:rPr>
            </w:pPr>
            <w:r>
              <w:rPr>
                <w:rFonts w:hint="eastAsia" w:ascii="宋体" w:hAnsi="宋体" w:cs="宋体"/>
                <w:b/>
                <w:bCs/>
                <w:szCs w:val="21"/>
                <w:highlight w:val="none"/>
              </w:rPr>
              <w:t>坛洛镇敬老院：</w:t>
            </w:r>
            <w:r>
              <w:rPr>
                <w:rFonts w:hint="eastAsia" w:ascii="宋体" w:hAnsi="宋体" w:cs="宋体"/>
                <w:szCs w:val="21"/>
                <w:highlight w:val="none"/>
              </w:rPr>
              <w:t>位于西乡塘区坛洛镇丰平三角洲，占地面积667平方米，建筑面积300平方米，可设置床位数10张，现入住特困供养老人5人，护理员3人。</w:t>
            </w:r>
          </w:p>
          <w:p>
            <w:pPr>
              <w:pStyle w:val="12"/>
              <w:widowControl w:val="0"/>
              <w:spacing w:beforeAutospacing="0" w:afterAutospacing="0" w:line="500" w:lineRule="exact"/>
              <w:ind w:firstLine="420" w:firstLineChars="200"/>
              <w:jc w:val="both"/>
              <w:rPr>
                <w:kern w:val="2"/>
                <w:sz w:val="21"/>
                <w:szCs w:val="21"/>
                <w:highlight w:val="none"/>
              </w:rPr>
            </w:pPr>
            <w:r>
              <w:rPr>
                <w:rFonts w:hint="eastAsia"/>
                <w:kern w:val="2"/>
                <w:sz w:val="21"/>
                <w:szCs w:val="21"/>
                <w:highlight w:val="none"/>
              </w:rPr>
              <w:t>三、运营原则</w:t>
            </w:r>
          </w:p>
          <w:p>
            <w:pPr>
              <w:spacing w:line="500" w:lineRule="exact"/>
              <w:ind w:firstLine="422" w:firstLineChars="200"/>
              <w:rPr>
                <w:rFonts w:ascii="宋体" w:hAnsi="宋体" w:cs="宋体"/>
                <w:szCs w:val="21"/>
                <w:highlight w:val="none"/>
              </w:rPr>
            </w:pPr>
            <w:r>
              <w:rPr>
                <w:rFonts w:hint="eastAsia" w:ascii="宋体" w:hAnsi="宋体" w:cs="宋体"/>
                <w:b/>
                <w:szCs w:val="21"/>
                <w:highlight w:val="none"/>
              </w:rPr>
              <w:t>（一）履行公益职能。</w:t>
            </w:r>
            <w:r>
              <w:rPr>
                <w:rFonts w:hint="eastAsia" w:ascii="宋体" w:hAnsi="宋体" w:cs="宋体"/>
                <w:szCs w:val="21"/>
                <w:highlight w:val="none"/>
              </w:rPr>
              <w:t>实行公建民营的养老机构，应当承担社会公共服务职能，优先保障</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入住，尤其是保障生活不能自理、半自理、失智的</w:t>
            </w:r>
            <w:r>
              <w:rPr>
                <w:rFonts w:hint="eastAsia" w:ascii="宋体" w:hAnsi="宋体" w:cs="宋体"/>
                <w:b/>
                <w:bCs/>
                <w:szCs w:val="21"/>
                <w:highlight w:val="none"/>
              </w:rPr>
              <w:t>特困对象</w:t>
            </w:r>
            <w:r>
              <w:rPr>
                <w:rFonts w:hint="eastAsia" w:ascii="宋体" w:hAnsi="宋体" w:cs="宋体"/>
                <w:szCs w:val="21"/>
                <w:highlight w:val="none"/>
              </w:rPr>
              <w:t>的需求，同时，向失能、失智和高龄社会老年人开放；注重社会效益与经济效益的平衡；为老年人提供更加优质、完善、安全的服务。</w:t>
            </w:r>
          </w:p>
          <w:p>
            <w:pPr>
              <w:spacing w:line="500" w:lineRule="exact"/>
              <w:ind w:firstLine="422" w:firstLineChars="200"/>
              <w:rPr>
                <w:rFonts w:ascii="宋体" w:hAnsi="宋体" w:cs="宋体"/>
                <w:szCs w:val="21"/>
                <w:highlight w:val="none"/>
              </w:rPr>
            </w:pPr>
            <w:r>
              <w:rPr>
                <w:rFonts w:hint="eastAsia" w:ascii="宋体" w:hAnsi="宋体" w:cs="宋体"/>
                <w:b/>
                <w:szCs w:val="21"/>
                <w:highlight w:val="none"/>
              </w:rPr>
              <w:t>（二）确保国有属性不变。</w:t>
            </w:r>
            <w:r>
              <w:rPr>
                <w:rFonts w:hint="eastAsia" w:ascii="宋体" w:hAnsi="宋体" w:cs="宋体"/>
                <w:szCs w:val="21"/>
                <w:highlight w:val="none"/>
              </w:rPr>
              <w:t>公办养老机构推行“公建民营”的运营模式，应当做到产权清晰，保持土地、房屋等国有资产的性质不变。养老机构的所有权为城区人民政府，城区民政部门作为监管责任主体，按照“管办分离”的发展思路与运营单位签订合同，明确合作双方的权利与义务；运营方不得以国有资产进行抵押、贷款，防止国有资产流失；要强化机构运营和资产规范管理，加强国有资产的维护，确保国有资产保值增值。项目投入运营后，由城区民政部门牵头，联合财政、审计等部门对运营方履行合约情况（如承诺投入资金等）进行监督、考评和验收等有关监管工作。</w:t>
            </w:r>
          </w:p>
          <w:p>
            <w:pPr>
              <w:spacing w:line="500" w:lineRule="exact"/>
              <w:ind w:firstLine="422" w:firstLineChars="200"/>
              <w:rPr>
                <w:rFonts w:ascii="宋体" w:hAnsi="宋体" w:cs="宋体"/>
                <w:szCs w:val="21"/>
                <w:highlight w:val="none"/>
              </w:rPr>
            </w:pPr>
            <w:r>
              <w:rPr>
                <w:rFonts w:hint="eastAsia" w:ascii="宋体" w:hAnsi="宋体" w:cs="宋体"/>
                <w:b/>
                <w:szCs w:val="21"/>
                <w:highlight w:val="none"/>
              </w:rPr>
              <w:t>（三）全面提升服务。</w:t>
            </w:r>
            <w:r>
              <w:rPr>
                <w:rFonts w:hint="eastAsia" w:ascii="宋体" w:hAnsi="宋体" w:cs="宋体"/>
                <w:szCs w:val="21"/>
                <w:highlight w:val="none"/>
              </w:rPr>
              <w:t>运营方要根据服务对象人数和服务需求，按照国家、自治区和南宁市规定的比例合理配置护理人员，并加强队伍建设，提高人员素质，提升护理专业水平；要加大设施、设备的投入，为入住对象创造良好的生活环境，配备合理适用的护理设施、设备；开展生活照料、医疗康复、文体活动、精神慰藉等多样化养老服务，为入住对象打造舒适、温馨、能安享晚年的幸福乐园。</w:t>
            </w:r>
          </w:p>
          <w:p>
            <w:pPr>
              <w:spacing w:line="500" w:lineRule="exact"/>
              <w:ind w:firstLine="422" w:firstLineChars="200"/>
              <w:rPr>
                <w:rFonts w:ascii="宋体" w:hAnsi="宋体" w:cs="宋体"/>
                <w:szCs w:val="21"/>
                <w:highlight w:val="none"/>
              </w:rPr>
            </w:pPr>
            <w:r>
              <w:rPr>
                <w:rFonts w:hint="eastAsia" w:ascii="宋体" w:hAnsi="宋体" w:cs="宋体"/>
                <w:b/>
                <w:szCs w:val="21"/>
                <w:highlight w:val="none"/>
              </w:rPr>
              <w:t>（四）加强政策引导。</w:t>
            </w:r>
            <w:r>
              <w:rPr>
                <w:rFonts w:hint="eastAsia" w:ascii="宋体" w:hAnsi="宋体" w:cs="宋体"/>
                <w:szCs w:val="21"/>
                <w:highlight w:val="none"/>
              </w:rPr>
              <w:t>发挥政策导向作用，及时对公建民营养老机构进行政策宣传和引导，为运营方争取相关的优惠政策和资金支持，调动运营方的积极性和创造性。</w:t>
            </w:r>
          </w:p>
          <w:p>
            <w:pPr>
              <w:spacing w:line="500" w:lineRule="exact"/>
              <w:ind w:firstLine="422" w:firstLineChars="200"/>
              <w:rPr>
                <w:rFonts w:ascii="宋体" w:hAnsi="宋体" w:cs="宋体"/>
                <w:szCs w:val="21"/>
                <w:highlight w:val="none"/>
              </w:rPr>
            </w:pPr>
            <w:r>
              <w:rPr>
                <w:rFonts w:hint="eastAsia" w:ascii="宋体" w:hAnsi="宋体" w:cs="宋体"/>
                <w:b/>
                <w:szCs w:val="21"/>
                <w:highlight w:val="none"/>
              </w:rPr>
              <w:t>（五）健全监管体系。</w:t>
            </w:r>
            <w:r>
              <w:rPr>
                <w:rFonts w:hint="eastAsia" w:ascii="宋体" w:hAnsi="宋体" w:cs="宋体"/>
                <w:szCs w:val="21"/>
                <w:highlight w:val="none"/>
              </w:rPr>
              <w:t>建立健全养老机构服务、管理和运营监管体系。发挥政府监管作用，完善法律法规和标准制定，依法规范养老机构运营行为；发挥行业组织作用，落实行业自律和行业监管，创建公平公正、公开透明、健康有序的发展环境。</w:t>
            </w:r>
          </w:p>
          <w:p>
            <w:pPr>
              <w:spacing w:line="500" w:lineRule="exact"/>
              <w:ind w:firstLine="420" w:firstLineChars="200"/>
              <w:rPr>
                <w:rFonts w:ascii="宋体" w:hAnsi="宋体" w:cs="宋体"/>
                <w:bCs/>
                <w:szCs w:val="21"/>
                <w:highlight w:val="none"/>
              </w:rPr>
            </w:pPr>
            <w:r>
              <w:rPr>
                <w:rFonts w:hint="eastAsia" w:ascii="宋体" w:hAnsi="宋体" w:cs="宋体"/>
                <w:bCs/>
                <w:szCs w:val="21"/>
                <w:highlight w:val="none"/>
              </w:rPr>
              <w:t>四、运营主体相关要求</w:t>
            </w:r>
          </w:p>
          <w:p>
            <w:pPr>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（一）基本要求。</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1．运营方自签订运营合同之日起1年内应就近与附近的医疗机构签订医疗服务协议，确保医疗服务到位。运营方进驻后不得再另外设置医疗机构。</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2.运营方在签订合同时必须出具在合同签订前30日内在银行有100万元人民币的资金证明材料，确保项目运营的资金需求。</w:t>
            </w:r>
          </w:p>
          <w:p>
            <w:pPr>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（二）其他要求。</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运营方在中标后和运营期间要确保养老服务中心和三个乡镇敬老院国有资产完整性不受损失、养老功能不变、服务水平达标，且不得转让、转包。</w:t>
            </w:r>
          </w:p>
          <w:p>
            <w:pPr>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（三）承担责任。</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1.坛洛镇第二卫生院养老服务中心由西乡塘区民政局做为监管责任主体，金陵镇敬老院、双定镇敬老院、坛洛镇敬老院分别由金陵镇、双定镇、坛洛镇人民政府作为监管责任主体。</w:t>
            </w:r>
          </w:p>
          <w:p>
            <w:pPr>
              <w:spacing w:line="500" w:lineRule="exact"/>
              <w:ind w:firstLine="420" w:firstLineChars="200"/>
              <w:rPr>
                <w:rFonts w:ascii="宋体" w:hAnsi="宋体" w:cs="宋体"/>
                <w:snapToGrid w:val="0"/>
                <w:kern w:val="0"/>
                <w:szCs w:val="21"/>
                <w:highlight w:val="none"/>
              </w:rPr>
            </w:pPr>
            <w:r>
              <w:rPr>
                <w:rFonts w:hint="eastAsia" w:ascii="宋体" w:hAnsi="宋体" w:cs="宋体"/>
                <w:szCs w:val="21"/>
                <w:highlight w:val="none"/>
              </w:rPr>
              <w:t>2.运营方经营范围为开展养老服务，并应优先保障西乡塘区辖区内</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的服务需求，充分发挥兜底保障作用；运营方应在三个乡镇敬老院科学合理地设置用于农村社区居家养老服务的老年活动室、图书阅览室、健身活动室、老年人食堂、卫生间等服务场所，承担农村社区居家养老服务职责；运营方应独立承担运营过程中的债权债务和经济、安全、法律责任，且不得以产权方名义运营。</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3.运营方不得擅自撤并三个乡镇敬老院，如需撤并必须提出实施方案报镇人民政府和城区民政局并经城区政府同意后方可实施。撤并后乡镇敬老院的国有资产与运营方投资的不动产一并移交给镇人民政府。</w:t>
            </w:r>
          </w:p>
          <w:p>
            <w:pPr>
              <w:spacing w:line="500" w:lineRule="exact"/>
              <w:ind w:firstLine="441" w:firstLineChars="210"/>
              <w:rPr>
                <w:rFonts w:ascii="宋体" w:hAnsi="宋体" w:cs="宋体"/>
                <w:szCs w:val="21"/>
                <w:highlight w:val="none"/>
              </w:rPr>
            </w:pPr>
            <w:r>
              <w:rPr>
                <w:rFonts w:hint="eastAsia" w:ascii="宋体" w:hAnsi="宋体" w:cs="宋体"/>
                <w:szCs w:val="21"/>
                <w:highlight w:val="none"/>
              </w:rPr>
              <w:t>4.运营方应对三个乡镇敬老院现有的集中供养特困人员、管理人员进行妥善安置。现有已在三个乡镇敬老院入住的集中供养特困人员全部由运营方继续管理服务；对金陵镇敬老院、双定镇敬</w:t>
            </w:r>
            <w:r>
              <w:rPr>
                <w:rFonts w:hint="eastAsia" w:ascii="宋体" w:hAnsi="宋体" w:cs="宋体"/>
                <w:bCs/>
                <w:szCs w:val="21"/>
                <w:highlight w:val="none"/>
              </w:rPr>
              <w:t>老院、坛洛镇敬老院现有的8名</w:t>
            </w:r>
            <w:r>
              <w:rPr>
                <w:rFonts w:hint="eastAsia" w:ascii="宋体" w:hAnsi="宋体" w:cs="宋体"/>
                <w:szCs w:val="21"/>
                <w:highlight w:val="none"/>
              </w:rPr>
              <w:t>管理人员（金陵4人，双定2人、坛洛2人），在签订运营合同前，运营方应分别与金陵镇、双定镇、坛洛镇人民政府确定各敬老院原工作人员的安置方案，只要通过运营方考核合格，在同等条件下优先录用，并重新签订《劳动合同》；未通过运营方考核的管理人员，由镇人民政府按照《劳动合同法》相关规定统一安置或予以解聘。</w:t>
            </w:r>
          </w:p>
          <w:p>
            <w:pPr>
              <w:spacing w:line="500" w:lineRule="exact"/>
              <w:ind w:firstLine="441" w:firstLineChars="210"/>
              <w:rPr>
                <w:rFonts w:ascii="宋体" w:hAnsi="宋体" w:cs="宋体"/>
                <w:szCs w:val="21"/>
                <w:highlight w:val="none"/>
              </w:rPr>
            </w:pPr>
            <w:r>
              <w:rPr>
                <w:rFonts w:hint="eastAsia" w:ascii="宋体" w:hAnsi="宋体" w:cs="宋体"/>
                <w:kern w:val="0"/>
                <w:szCs w:val="21"/>
                <w:highlight w:val="none"/>
              </w:rPr>
              <w:t>5.运营期间，养老服务中心及</w:t>
            </w:r>
            <w:r>
              <w:rPr>
                <w:rFonts w:hint="eastAsia" w:ascii="宋体" w:hAnsi="宋体" w:cs="宋体"/>
                <w:b/>
                <w:bCs/>
                <w:kern w:val="0"/>
                <w:szCs w:val="21"/>
                <w:highlight w:val="none"/>
              </w:rPr>
              <w:t>三</w:t>
            </w:r>
            <w:r>
              <w:rPr>
                <w:rFonts w:hint="eastAsia" w:ascii="宋体" w:hAnsi="宋体" w:cs="宋体"/>
                <w:szCs w:val="21"/>
                <w:highlight w:val="none"/>
              </w:rPr>
              <w:t>个乡镇敬老院使用的水、电费由运营方自行承担，并要按时缴纳，</w:t>
            </w:r>
            <w:r>
              <w:rPr>
                <w:rFonts w:hint="eastAsia" w:ascii="宋体" w:hAnsi="宋体" w:cs="宋体"/>
                <w:bCs/>
                <w:szCs w:val="21"/>
                <w:highlight w:val="none"/>
              </w:rPr>
              <w:t>以确保能正常使用</w:t>
            </w:r>
            <w:r>
              <w:rPr>
                <w:rFonts w:hint="eastAsia" w:ascii="宋体" w:hAnsi="宋体" w:cs="宋体"/>
                <w:szCs w:val="21"/>
                <w:highlight w:val="none"/>
              </w:rPr>
              <w:t>。</w:t>
            </w:r>
          </w:p>
          <w:p>
            <w:pPr>
              <w:tabs>
                <w:tab w:val="left" w:pos="425"/>
                <w:tab w:val="left" w:pos="567"/>
                <w:tab w:val="left" w:pos="927"/>
                <w:tab w:val="left" w:pos="1260"/>
              </w:tabs>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（四）运营方投入资金承诺。</w:t>
            </w:r>
          </w:p>
          <w:p>
            <w:pPr>
              <w:tabs>
                <w:tab w:val="left" w:pos="425"/>
                <w:tab w:val="left" w:pos="567"/>
                <w:tab w:val="left" w:pos="927"/>
                <w:tab w:val="left" w:pos="1260"/>
              </w:tabs>
              <w:spacing w:line="500" w:lineRule="exact"/>
              <w:ind w:firstLine="420" w:firstLineChars="200"/>
              <w:rPr>
                <w:rFonts w:ascii="宋体" w:hAnsi="宋体" w:cs="宋体"/>
                <w:szCs w:val="21"/>
                <w:highlight w:val="none"/>
              </w:rPr>
            </w:pPr>
            <w:r>
              <w:rPr>
                <w:rFonts w:hint="eastAsia" w:ascii="宋体" w:hAnsi="宋体" w:cs="宋体"/>
                <w:szCs w:val="21"/>
                <w:highlight w:val="none"/>
              </w:rPr>
              <w:t>运营方在运营期间</w:t>
            </w:r>
            <w:r>
              <w:rPr>
                <w:rFonts w:hint="eastAsia" w:ascii="宋体" w:hAnsi="宋体" w:cs="宋体"/>
                <w:szCs w:val="21"/>
                <w:highlight w:val="none"/>
                <w:lang w:eastAsia="zh-CN"/>
              </w:rPr>
              <w:t>按照自治区三星养老机构的标准，</w:t>
            </w:r>
            <w:r>
              <w:rPr>
                <w:rFonts w:hint="eastAsia" w:ascii="宋体" w:hAnsi="宋体" w:cs="宋体"/>
                <w:szCs w:val="21"/>
                <w:highlight w:val="none"/>
              </w:rPr>
              <w:t>运营方在运营期间对坛洛镇第二卫生院养老服务中心（300张）、金陵镇敬老院（40张）、双定镇敬老院（30张）、坛洛镇敬老院（10张）每张床位投入不少于1万元（共380万元），主要用于对坛洛镇第二卫生院养老服务中心、金陵镇敬老院、双定镇敬</w:t>
            </w:r>
            <w:r>
              <w:rPr>
                <w:rFonts w:hint="eastAsia" w:ascii="宋体" w:hAnsi="宋体" w:cs="宋体"/>
                <w:bCs/>
                <w:szCs w:val="21"/>
                <w:highlight w:val="none"/>
              </w:rPr>
              <w:t>老院、坛洛镇敬老院</w:t>
            </w:r>
            <w:r>
              <w:rPr>
                <w:rFonts w:hint="eastAsia" w:ascii="宋体" w:hAnsi="宋体" w:cs="宋体"/>
                <w:szCs w:val="21"/>
                <w:highlight w:val="none"/>
              </w:rPr>
              <w:t>进行全面升级改造，包括：室内外装修、适老化装修改造、添置介入护理设施设备（床、衣柜、桌子、床上用品，电视、空调、热水器，监控系统，呼叫系统，无障碍设施、洗涤设备、厨房设备等）、医疗设备、信息平台建设、人员培训以及养老服务中心大楼的维修、维护、保养和更新改造等，全面提升我城区公办养老服务机构的硬件和软件水平，改善政府供养特困人员入住的生活环境及护理条件。坛洛镇第二卫生院养老服务中心及三个镇敬老院设置床位总数为380张，故运营方投入应不少于380万元，其中硬件投入不少于60%。</w:t>
            </w:r>
          </w:p>
          <w:p>
            <w:pPr>
              <w:tabs>
                <w:tab w:val="left" w:pos="425"/>
                <w:tab w:val="left" w:pos="567"/>
                <w:tab w:val="left" w:pos="927"/>
                <w:tab w:val="left" w:pos="1260"/>
              </w:tabs>
              <w:spacing w:line="500" w:lineRule="exact"/>
              <w:ind w:firstLine="422" w:firstLineChars="200"/>
              <w:rPr>
                <w:rFonts w:ascii="宋体" w:hAnsi="宋体" w:cs="宋体"/>
                <w:szCs w:val="21"/>
                <w:highlight w:val="none"/>
              </w:rPr>
            </w:pPr>
            <w:r>
              <w:rPr>
                <w:rFonts w:hint="eastAsia" w:ascii="宋体" w:hAnsi="宋体" w:cs="宋体"/>
                <w:b/>
                <w:bCs/>
                <w:szCs w:val="21"/>
                <w:highlight w:val="none"/>
              </w:rPr>
              <w:t>投资进度安排：</w:t>
            </w:r>
            <w:r>
              <w:rPr>
                <w:rFonts w:hint="eastAsia" w:ascii="宋体" w:hAnsi="宋体" w:cs="宋体"/>
                <w:szCs w:val="21"/>
                <w:highlight w:val="none"/>
              </w:rPr>
              <w:t>第一年度投资额约为总投资金额的40%（152万元）；第二年度投资额约为总投资金额的30%（114万元）；第三年至第五年每年度投资额约为总投资金额的10%（每年为38万元，共114万元）。前5年资金投入达到要求后，后期运营方还需结合当前养老服务工作发展需要，不断加大资金投入，适当添置、维护维修设备设施，不断提高养老机构服务水平。运营方应按国家相关标准和规定对养老设施进行日常管理维护、维修，确保国有资产安全。</w:t>
            </w:r>
          </w:p>
          <w:p>
            <w:pPr>
              <w:tabs>
                <w:tab w:val="left" w:pos="425"/>
                <w:tab w:val="left" w:pos="567"/>
                <w:tab w:val="left" w:pos="927"/>
                <w:tab w:val="left" w:pos="1260"/>
              </w:tabs>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（五）建设要求。</w:t>
            </w:r>
          </w:p>
          <w:p>
            <w:pPr>
              <w:spacing w:line="500" w:lineRule="exact"/>
              <w:ind w:left="420" w:hanging="420" w:hangingChars="200"/>
              <w:rPr>
                <w:rFonts w:ascii="宋体" w:hAnsi="宋体" w:cs="宋体"/>
                <w:szCs w:val="21"/>
                <w:highlight w:val="none"/>
              </w:rPr>
            </w:pPr>
            <w:r>
              <w:rPr>
                <w:rFonts w:hint="eastAsia" w:ascii="宋体" w:hAnsi="宋体" w:cs="宋体"/>
                <w:szCs w:val="21"/>
                <w:highlight w:val="none"/>
              </w:rPr>
              <w:t xml:space="preserve"> 1.对坛洛镇第二卫生院养老服务中心大楼安装符合国家标准的医用电梯（六层）；2.对大楼周边环境进行地面平整、绿化以及配套建设附属设施；</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3.安装大楼公共卫生间隔断（六层）；</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4.对大楼1-4层消防喷淋头进行更改方向或安装吊顶装修（4500㎡）；</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5.大楼其他需要补充建设的养老服务设施。</w:t>
            </w:r>
          </w:p>
          <w:p>
            <w:pPr>
              <w:pStyle w:val="18"/>
              <w:spacing w:line="500" w:lineRule="exact"/>
              <w:rPr>
                <w:rFonts w:ascii="宋体" w:hAnsi="宋体" w:cs="宋体"/>
                <w:bCs/>
                <w:szCs w:val="21"/>
                <w:highlight w:val="none"/>
              </w:rPr>
            </w:pPr>
            <w:r>
              <w:rPr>
                <w:rFonts w:hint="eastAsia" w:ascii="宋体" w:hAnsi="宋体" w:cs="宋体"/>
                <w:bCs/>
                <w:szCs w:val="21"/>
                <w:highlight w:val="none"/>
              </w:rPr>
              <w:t>五、服务对象</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运营方必须按照坛洛镇第二卫生院养老服务中心及三个乡镇敬老院380张总床位数30%的比例作为政府兜底保障床位，优先满足西乡塘区辖区内</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的服务需求，对该比例内的</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必须无条件接收，并负责其日常护理，政府按相关补助标准支付对象的补贴费用，超出部分供养费用由运营方负担。如果</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人数超过上述比例和床位的，委托方需要运营方安置的，超出部分运营方也应优先接收，费用由双方协商确定。在此基础上，按适度普惠原则，空余床位可为社会有需求的老年人提供服务。</w:t>
            </w:r>
          </w:p>
          <w:p>
            <w:pPr>
              <w:pStyle w:val="18"/>
              <w:spacing w:line="500" w:lineRule="exact"/>
              <w:rPr>
                <w:rFonts w:ascii="宋体" w:hAnsi="宋体" w:cs="宋体"/>
                <w:b/>
                <w:szCs w:val="21"/>
                <w:highlight w:val="none"/>
              </w:rPr>
            </w:pPr>
            <w:r>
              <w:rPr>
                <w:rFonts w:hint="eastAsia" w:ascii="宋体" w:hAnsi="宋体" w:cs="宋体"/>
                <w:bCs/>
                <w:szCs w:val="21"/>
                <w:highlight w:val="none"/>
              </w:rPr>
              <w:t>六、服务规范</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（一）运营方相关服务应符合《养老机构管理办法》（中华人民共和国民政部令第66号）及有关国家标准或行业标准和规范，为老年人提供生活照料、医疗保健、精神慰藉、文化娱乐等养老服务。</w:t>
            </w:r>
          </w:p>
          <w:p>
            <w:pPr>
              <w:snapToGrid w:val="0"/>
              <w:spacing w:line="500" w:lineRule="exact"/>
              <w:ind w:firstLine="420" w:firstLineChars="200"/>
              <w:rPr>
                <w:rFonts w:ascii="宋体" w:hAnsi="宋体" w:cs="宋体"/>
                <w:bCs/>
                <w:kern w:val="0"/>
                <w:sz w:val="32"/>
                <w:szCs w:val="32"/>
                <w:highlight w:val="none"/>
              </w:rPr>
            </w:pPr>
            <w:r>
              <w:rPr>
                <w:rFonts w:hint="eastAsia" w:ascii="宋体" w:hAnsi="宋体" w:cs="宋体"/>
                <w:szCs w:val="21"/>
                <w:highlight w:val="none"/>
              </w:rPr>
              <w:t>1.运营方为老年人提供服务，应当与接受服务的老年人或其代理人签订服务协议。服务协议应当包括：（1）</w:t>
            </w:r>
            <w:r>
              <w:rPr>
                <w:rFonts w:hint="eastAsia" w:ascii="宋体" w:hAnsi="宋体" w:cs="宋体"/>
                <w:bCs/>
                <w:kern w:val="0"/>
                <w:szCs w:val="21"/>
                <w:highlight w:val="none"/>
              </w:rPr>
              <w:t>养老机构的名称、住所、法定代表人或者主要负责人、联系方式；（2）老年人或者其代理人和紧急联系人的姓名、住址、身份证明、联系方式；（3）照料护理等级和服务内容、服务方式；（4）收费标准和费用支付方式；（5）服务期限和场所；（6）协议变更、解除与终止的条件；（7）暂停或者终止服务时老年人安置方式；（8）违约责任和争议解决方式；（9）当事人协商一致的其他内容。</w:t>
            </w:r>
          </w:p>
          <w:p>
            <w:pPr>
              <w:snapToGrid w:val="0"/>
              <w:spacing w:line="500" w:lineRule="exact"/>
              <w:ind w:firstLine="420" w:firstLineChars="200"/>
              <w:rPr>
                <w:rFonts w:ascii="宋体" w:hAnsi="宋体" w:cs="宋体"/>
                <w:bCs/>
                <w:kern w:val="0"/>
                <w:szCs w:val="21"/>
                <w:highlight w:val="none"/>
              </w:rPr>
            </w:pPr>
            <w:r>
              <w:rPr>
                <w:rFonts w:hint="eastAsia" w:ascii="宋体" w:hAnsi="宋体" w:cs="宋体"/>
                <w:szCs w:val="21"/>
                <w:highlight w:val="none"/>
              </w:rPr>
              <w:t>2.</w:t>
            </w:r>
            <w:r>
              <w:rPr>
                <w:rFonts w:hint="eastAsia" w:ascii="宋体" w:hAnsi="宋体" w:cs="宋体"/>
                <w:bCs/>
                <w:kern w:val="0"/>
                <w:szCs w:val="21"/>
                <w:highlight w:val="none"/>
              </w:rPr>
              <w:t>运营方应当建立入院评估制度，对老年人的身心状况进行评估，并根据评估结果确定照料护理等级。老年人身心状况发生变化，需要变更照料护理等级的，养老机构应当重新进行评估。养老机构确定或者变更老年人照料护理等级，应当经老年人或者其代理人同意。</w:t>
            </w:r>
          </w:p>
          <w:p>
            <w:pPr>
              <w:spacing w:line="500" w:lineRule="exact"/>
              <w:ind w:firstLine="420" w:firstLineChars="200"/>
              <w:rPr>
                <w:rFonts w:ascii="宋体" w:hAnsi="宋体" w:cs="宋体"/>
                <w:bCs/>
                <w:kern w:val="0"/>
                <w:szCs w:val="21"/>
                <w:highlight w:val="none"/>
              </w:rPr>
            </w:pPr>
            <w:r>
              <w:rPr>
                <w:rFonts w:hint="eastAsia" w:ascii="宋体" w:hAnsi="宋体" w:cs="宋体"/>
                <w:bCs/>
                <w:kern w:val="0"/>
                <w:szCs w:val="21"/>
                <w:highlight w:val="none"/>
              </w:rPr>
              <w:t>3.运营方按照服务协议为老年人提供生活照料、康复护理、精神慰藉、文化娱乐等服务。</w:t>
            </w:r>
          </w:p>
          <w:p>
            <w:pPr>
              <w:snapToGrid w:val="0"/>
              <w:spacing w:line="500" w:lineRule="exact"/>
              <w:ind w:firstLine="420" w:firstLineChars="200"/>
              <w:rPr>
                <w:rFonts w:ascii="宋体" w:hAnsi="宋体" w:cs="宋体"/>
                <w:bCs/>
                <w:kern w:val="0"/>
                <w:szCs w:val="21"/>
                <w:highlight w:val="none"/>
              </w:rPr>
            </w:pPr>
            <w:r>
              <w:rPr>
                <w:rFonts w:hint="eastAsia" w:ascii="宋体" w:hAnsi="宋体" w:cs="宋体"/>
                <w:bCs/>
                <w:szCs w:val="21"/>
                <w:highlight w:val="none"/>
              </w:rPr>
              <w:t>4.</w:t>
            </w:r>
            <w:r>
              <w:rPr>
                <w:rFonts w:hint="eastAsia" w:ascii="宋体" w:hAnsi="宋体" w:cs="宋体"/>
                <w:bCs/>
                <w:kern w:val="0"/>
                <w:szCs w:val="21"/>
                <w:highlight w:val="none"/>
              </w:rPr>
              <w:t>运营方应当为老年人提供饮食、起居、清洁、卫生等生活照料服务；应当提供符合老年人住宿条件的居住用房，并配备适合老年人安全保护要求的设施、设备及用具，定期对老年人的活动场所和物品进行消毒和清洗国；运营方提供的饮食应当符合食品安全要求、适宜老年人食用、有利于老年人营养平衡、符合民族风俗习惯。</w:t>
            </w:r>
          </w:p>
          <w:p>
            <w:pPr>
              <w:snapToGrid w:val="0"/>
              <w:spacing w:line="500" w:lineRule="exact"/>
              <w:ind w:firstLine="420" w:firstLineChars="200"/>
              <w:rPr>
                <w:rFonts w:ascii="宋体" w:hAnsi="宋体" w:cs="宋体"/>
                <w:bCs/>
                <w:kern w:val="0"/>
                <w:szCs w:val="21"/>
                <w:highlight w:val="none"/>
              </w:rPr>
            </w:pPr>
            <w:r>
              <w:rPr>
                <w:rFonts w:hint="eastAsia" w:ascii="宋体" w:hAnsi="宋体" w:cs="宋体"/>
                <w:bCs/>
                <w:szCs w:val="21"/>
                <w:highlight w:val="none"/>
              </w:rPr>
              <w:t>5.</w:t>
            </w:r>
            <w:r>
              <w:rPr>
                <w:rFonts w:hint="eastAsia" w:ascii="宋体" w:hAnsi="宋体" w:cs="宋体"/>
                <w:bCs/>
                <w:kern w:val="0"/>
                <w:szCs w:val="21"/>
                <w:highlight w:val="none"/>
              </w:rPr>
              <w:t>运营方应当为老年人建立健康档案，开展日常保健知识宣传，做好疾病预防工作；在老年人突发危重疾病时，应当及时转送附近医疗机构救治并通知其紧急联系人，为老年人提供医疗服务。</w:t>
            </w:r>
          </w:p>
          <w:p>
            <w:pPr>
              <w:snapToGrid w:val="0"/>
              <w:spacing w:line="500" w:lineRule="exact"/>
              <w:ind w:firstLine="420" w:firstLineChars="200"/>
              <w:rPr>
                <w:rFonts w:ascii="宋体" w:hAnsi="宋体" w:cs="宋体"/>
                <w:bCs/>
                <w:kern w:val="0"/>
                <w:szCs w:val="21"/>
                <w:highlight w:val="none"/>
              </w:rPr>
            </w:pPr>
            <w:r>
              <w:rPr>
                <w:rFonts w:hint="eastAsia" w:ascii="宋体" w:hAnsi="宋体" w:cs="宋体"/>
                <w:bCs/>
                <w:szCs w:val="21"/>
                <w:highlight w:val="none"/>
              </w:rPr>
              <w:t>6.运营方</w:t>
            </w:r>
            <w:r>
              <w:rPr>
                <w:rFonts w:hint="eastAsia" w:ascii="宋体" w:hAnsi="宋体" w:cs="宋体"/>
                <w:bCs/>
                <w:kern w:val="0"/>
                <w:szCs w:val="21"/>
                <w:highlight w:val="none"/>
              </w:rPr>
              <w:t>发现老年人为传染病病人或者疑似传染病病人的，应当及时向附近的疾病预防控制机构或者医疗机构报告，配合实施卫生处理、隔离等预防控制措施。</w:t>
            </w:r>
          </w:p>
          <w:p>
            <w:pPr>
              <w:snapToGrid w:val="0"/>
              <w:spacing w:line="500" w:lineRule="exact"/>
              <w:ind w:firstLine="420" w:firstLineChars="200"/>
              <w:rPr>
                <w:rFonts w:ascii="宋体" w:hAnsi="宋体" w:cs="宋体"/>
                <w:bCs/>
                <w:kern w:val="0"/>
                <w:szCs w:val="21"/>
                <w:highlight w:val="none"/>
              </w:rPr>
            </w:pPr>
            <w:r>
              <w:rPr>
                <w:rFonts w:hint="eastAsia" w:ascii="宋体" w:hAnsi="宋体" w:cs="宋体"/>
                <w:bCs/>
                <w:kern w:val="0"/>
                <w:szCs w:val="21"/>
                <w:highlight w:val="none"/>
              </w:rPr>
              <w:t>7.运营方发现老年人为疑似精神障碍患者的，应当依照精神卫生相关法律法规的规定处理。</w:t>
            </w:r>
          </w:p>
          <w:p>
            <w:pPr>
              <w:snapToGrid w:val="0"/>
              <w:spacing w:line="500" w:lineRule="exact"/>
              <w:ind w:firstLine="420" w:firstLineChars="200"/>
              <w:rPr>
                <w:rFonts w:ascii="宋体" w:hAnsi="宋体" w:cs="宋体"/>
                <w:bCs/>
                <w:kern w:val="0"/>
                <w:szCs w:val="21"/>
                <w:highlight w:val="none"/>
              </w:rPr>
            </w:pPr>
            <w:r>
              <w:rPr>
                <w:rFonts w:hint="eastAsia" w:ascii="宋体" w:hAnsi="宋体" w:cs="宋体"/>
                <w:bCs/>
                <w:szCs w:val="21"/>
                <w:highlight w:val="none"/>
              </w:rPr>
              <w:t>8.运营方</w:t>
            </w:r>
            <w:r>
              <w:rPr>
                <w:rFonts w:hint="eastAsia" w:ascii="宋体" w:hAnsi="宋体" w:cs="宋体"/>
                <w:bCs/>
                <w:kern w:val="0"/>
                <w:szCs w:val="21"/>
                <w:highlight w:val="none"/>
              </w:rPr>
              <w:t>应当根据需要为老年人提供情绪疏导、心理咨询、危机干预等精神慰藉服务；应当开展适合老年人的文化、教育、体育、娱乐活动，丰富老年人的精神文化生活。</w:t>
            </w:r>
          </w:p>
          <w:p>
            <w:pPr>
              <w:snapToGrid w:val="0"/>
              <w:spacing w:line="500" w:lineRule="exact"/>
              <w:ind w:firstLine="420" w:firstLineChars="200"/>
              <w:rPr>
                <w:rFonts w:ascii="宋体" w:hAnsi="宋体" w:cs="宋体"/>
                <w:bCs/>
                <w:kern w:val="0"/>
                <w:szCs w:val="21"/>
                <w:highlight w:val="none"/>
              </w:rPr>
            </w:pPr>
            <w:r>
              <w:rPr>
                <w:rFonts w:hint="eastAsia" w:ascii="宋体" w:hAnsi="宋体" w:cs="宋体"/>
                <w:bCs/>
                <w:kern w:val="0"/>
                <w:szCs w:val="21"/>
                <w:highlight w:val="none"/>
              </w:rPr>
              <w:t>9.运营方开展文化、教育、体育、娱乐活动时，应当为老年人提供必要的安全防护措施。</w:t>
            </w:r>
          </w:p>
          <w:p>
            <w:pPr>
              <w:spacing w:line="500" w:lineRule="exact"/>
              <w:ind w:firstLine="420" w:firstLineChars="200"/>
              <w:rPr>
                <w:rFonts w:ascii="宋体" w:hAnsi="宋体" w:cs="宋体"/>
                <w:bCs/>
                <w:kern w:val="0"/>
                <w:szCs w:val="21"/>
                <w:highlight w:val="none"/>
              </w:rPr>
            </w:pPr>
            <w:r>
              <w:rPr>
                <w:rFonts w:hint="eastAsia" w:ascii="宋体" w:hAnsi="宋体" w:cs="宋体"/>
                <w:bCs/>
                <w:szCs w:val="21"/>
                <w:highlight w:val="none"/>
              </w:rPr>
              <w:t>10.运营方</w:t>
            </w:r>
            <w:r>
              <w:rPr>
                <w:rFonts w:hint="eastAsia" w:ascii="宋体" w:hAnsi="宋体" w:cs="宋体"/>
                <w:bCs/>
                <w:kern w:val="0"/>
                <w:szCs w:val="21"/>
                <w:highlight w:val="none"/>
              </w:rPr>
              <w:t>应当为老年人家庭成员看望或者问候老年人提供便利，为老年人联系家庭成员提供帮助。</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11.运营方应按社会救助政策规定，为入住的</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提供基本生活照料、日常护理、疾病治疗及办理丧葬事宜，保障</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享有救助的权利。</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12.运营方按照保障对象不同分类收费原则，</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的费用标准由委托方与运营方按南宁市政府确定的相关标准协商确定，运营方必须确保</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的供养条件和待遇不低于同等失能等级的社会老年人，不得以任何理由扣减供养费或挪作他用，保障</w:t>
            </w:r>
            <w:r>
              <w:rPr>
                <w:rFonts w:hint="eastAsia" w:ascii="宋体" w:hAnsi="宋体" w:cs="宋体"/>
                <w:b/>
                <w:bCs/>
                <w:szCs w:val="21"/>
                <w:highlight w:val="none"/>
              </w:rPr>
              <w:t>政府兜底保障对象（含特困对象，以及因特殊情况需要政府解决照护、安置的低保对象和困境儿童）</w:t>
            </w:r>
            <w:r>
              <w:rPr>
                <w:rFonts w:hint="eastAsia" w:ascii="宋体" w:hAnsi="宋体" w:cs="宋体"/>
                <w:szCs w:val="21"/>
                <w:highlight w:val="none"/>
              </w:rPr>
              <w:t>享有救助的权利。接收其他社会老年人实行市场调节价管理，并按照明码标价的要求在醒目位置进行收费公示。</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13.运营方要保持三个乡镇敬老院原有的公益性质不变，在满足辖区内</w:t>
            </w:r>
            <w:r>
              <w:rPr>
                <w:rFonts w:hint="eastAsia" w:ascii="宋体" w:hAnsi="宋体" w:cs="宋体"/>
                <w:b/>
                <w:bCs/>
                <w:szCs w:val="21"/>
                <w:highlight w:val="none"/>
              </w:rPr>
              <w:t>特困对象</w:t>
            </w:r>
            <w:r>
              <w:rPr>
                <w:rFonts w:hint="eastAsia" w:ascii="宋体" w:hAnsi="宋体" w:cs="宋体"/>
                <w:szCs w:val="21"/>
                <w:highlight w:val="none"/>
              </w:rPr>
              <w:t>集中供养的基础上，经营方可面向社会招收老人，发挥敬老院更大的养老服务职能。</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14.运营方可根据方便经营需要，统筹各镇特困人员跨镇集中供养。对需要跨镇集中供养的</w:t>
            </w:r>
            <w:r>
              <w:rPr>
                <w:rFonts w:hint="eastAsia" w:ascii="宋体" w:hAnsi="宋体" w:cs="宋体"/>
                <w:b/>
                <w:bCs/>
                <w:szCs w:val="21"/>
                <w:highlight w:val="none"/>
              </w:rPr>
              <w:t>特困对象</w:t>
            </w:r>
            <w:r>
              <w:rPr>
                <w:rFonts w:hint="eastAsia" w:ascii="宋体" w:hAnsi="宋体" w:cs="宋体"/>
                <w:szCs w:val="21"/>
                <w:highlight w:val="none"/>
              </w:rPr>
              <w:t>，运营方需征得当事人的同意，并做好后续相关工作，</w:t>
            </w:r>
            <w:r>
              <w:rPr>
                <w:rFonts w:hint="eastAsia" w:ascii="宋体" w:hAnsi="宋体" w:cs="宋体"/>
                <w:b/>
                <w:bCs/>
                <w:szCs w:val="21"/>
                <w:highlight w:val="none"/>
              </w:rPr>
              <w:t>特困对象</w:t>
            </w:r>
            <w:r>
              <w:rPr>
                <w:rFonts w:hint="eastAsia" w:ascii="宋体" w:hAnsi="宋体" w:cs="宋体"/>
                <w:szCs w:val="21"/>
                <w:highlight w:val="none"/>
              </w:rPr>
              <w:t>户籍所在地镇人民政府可协助做好动员工作。</w:t>
            </w:r>
          </w:p>
          <w:p>
            <w:pPr>
              <w:pStyle w:val="18"/>
              <w:spacing w:line="500" w:lineRule="exact"/>
              <w:rPr>
                <w:rFonts w:ascii="宋体" w:hAnsi="宋体" w:cs="宋体"/>
                <w:b/>
                <w:szCs w:val="21"/>
                <w:highlight w:val="none"/>
              </w:rPr>
            </w:pPr>
            <w:r>
              <w:rPr>
                <w:rFonts w:hint="eastAsia" w:ascii="宋体" w:hAnsi="宋体" w:cs="宋体"/>
                <w:bCs/>
                <w:szCs w:val="21"/>
                <w:highlight w:val="none"/>
              </w:rPr>
              <w:t>七、运营监管</w:t>
            </w:r>
          </w:p>
          <w:p>
            <w:pPr>
              <w:spacing w:line="500" w:lineRule="exact"/>
              <w:ind w:firstLine="422" w:firstLineChars="200"/>
              <w:rPr>
                <w:rFonts w:ascii="宋体" w:hAnsi="宋体" w:cs="宋体"/>
                <w:szCs w:val="21"/>
                <w:highlight w:val="none"/>
              </w:rPr>
            </w:pPr>
            <w:r>
              <w:rPr>
                <w:rFonts w:hint="eastAsia" w:ascii="宋体" w:hAnsi="宋体" w:cs="宋体"/>
                <w:b/>
                <w:bCs/>
                <w:szCs w:val="21"/>
                <w:highlight w:val="none"/>
              </w:rPr>
              <w:t>（一）资产管理。</w:t>
            </w:r>
            <w:r>
              <w:rPr>
                <w:rFonts w:hint="eastAsia" w:ascii="宋体" w:hAnsi="宋体" w:cs="宋体"/>
                <w:szCs w:val="21"/>
                <w:highlight w:val="none"/>
              </w:rPr>
              <w:t>在正式运营之前，委托方和运营方应共同对坛洛镇第二卫生院养老服务中心及三个镇敬老院的全部资产进行登记造册。运营方在合同期内负责按照国家相关标准和规定对养老机构进行经营，并对固定资产进行日常管理维护。不得从事养老服务以外的经营活动，不得出租、出借、处置国有资产，不得以敬老院国有资产进行抵押、融资、贷款等活动，确保国有资产不流失。合同期满后，敬老院所有资产归政府所有，运营方不得拆卸、搬迁。</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运营方不能以坛洛镇第二卫生院养老服务中心及三个乡镇敬老院的名义进行抵押、融资、贷款等活动，与自己集团、母子公司、个人、其他机关组织、其他机构团体的债务、财产纠纷、争议等问题均与委托方无关，委托方不承担由此产生的任何问题或责任。</w:t>
            </w:r>
          </w:p>
          <w:p>
            <w:pPr>
              <w:spacing w:line="500" w:lineRule="exact"/>
              <w:ind w:firstLine="422" w:firstLineChars="200"/>
              <w:rPr>
                <w:rFonts w:ascii="宋体" w:hAnsi="宋体" w:cs="宋体"/>
                <w:szCs w:val="21"/>
                <w:highlight w:val="none"/>
              </w:rPr>
            </w:pPr>
            <w:r>
              <w:rPr>
                <w:rFonts w:hint="eastAsia" w:ascii="宋体" w:hAnsi="宋体" w:cs="宋体"/>
                <w:b/>
                <w:bCs/>
                <w:szCs w:val="21"/>
                <w:highlight w:val="none"/>
              </w:rPr>
              <w:t>（二）人员管理。</w:t>
            </w:r>
            <w:r>
              <w:rPr>
                <w:rFonts w:hint="eastAsia" w:ascii="宋体" w:hAnsi="宋体" w:cs="宋体"/>
                <w:szCs w:val="21"/>
                <w:highlight w:val="none"/>
              </w:rPr>
              <w:t>运营方需遵守《劳动法》的相关规定，配备与服务和运营相适应的工作人员，并定期组织工作人员进行职业道德教育、安全管理教育和业务技能培训。从事医疗、康复、社会工作等服务的专业技术人员，应持有关部门颁发的专业技术等级证书上岗；养老护理人员应当接受专业技能培训，经考核合格后持证上岗。</w:t>
            </w:r>
          </w:p>
          <w:p>
            <w:pPr>
              <w:spacing w:line="500" w:lineRule="exact"/>
              <w:ind w:firstLine="422" w:firstLineChars="200"/>
              <w:rPr>
                <w:rFonts w:ascii="宋体" w:hAnsi="宋体" w:cs="宋体"/>
                <w:szCs w:val="21"/>
                <w:highlight w:val="none"/>
              </w:rPr>
            </w:pPr>
            <w:r>
              <w:rPr>
                <w:rFonts w:hint="eastAsia" w:ascii="宋体" w:hAnsi="宋体" w:cs="宋体"/>
                <w:b/>
                <w:bCs/>
                <w:szCs w:val="21"/>
                <w:highlight w:val="none"/>
              </w:rPr>
              <w:t>（三）安全管理。</w:t>
            </w:r>
            <w:r>
              <w:rPr>
                <w:rFonts w:hint="eastAsia" w:ascii="宋体" w:hAnsi="宋体" w:cs="宋体"/>
                <w:szCs w:val="21"/>
                <w:highlight w:val="none"/>
              </w:rPr>
              <w:t>运营方按照国家有关规定建立健全人身财产安全、消防安全、卫生、食品、财务、档案管理等规章制度，制定服务标准和工作流程，并予以公开。</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运营方必须依法履行消防安全主体责任，健全消防安全日常管理、防火巡查、值守联动等管理制度，实行消防工作责任制，配置、维护消防设施、器材，开展日常防火检查，建立24小时值守制度，建立健全相关工作档案台账。定期组织人员开展业务学习和实地演练，制定突发事件应急预案。突发事件发生后，运营方应当立即启动应急处理程序，根据突发事件应对管理职责分工向有关部门报告，并将应急处理结果报告所在镇政府和城区民政局。</w:t>
            </w:r>
          </w:p>
          <w:p>
            <w:pPr>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（四）监督管理。</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民政部门会同卫健、住建、消防、市场监督管理等部门和各镇政府通过实地检查等方式对运营方的服务和管理进行监督检查，并向社会公布检查结果。建立对运营方的评估制度，定期对运营方的人员、设施、服务、管理、信誉、举报投诉等情况进行综合评价，并根据评价结果对运营方进行相应奖励和处罚。</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卫健部门对运营方内设医务室的院感控制、医疗质量管理、依法执业、医疗废弃物等医疗质量安全工作进行监督检查。</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市场监督管理部门对运营方持证情况、食品药品购进验收、制度落实、索证索票、从业人员及食品安全员健康培训证明、餐饮具洗消保洁、食品留样、加工过程、健全食品药品突发事件应急预案等进行监督检查，并进行现场培训和指导。</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住建、消防部门重点检查运营方消防手续是否按要求办理；消防安全责任制是否落实；消防设施、器材是否按要求配置并完好有效；安全出口、疏散通道和应急照明灯是否配齐；电气线路敷设是否符合要求；老人宿舍是否违规用火用电等情况进行督促检查。</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城区民政局会同养老服务中心所辖镇政府对运营方的运营管理、设施设备、服务质量、消防安全、举报投诉等履行属地管理职责，督促运营方对存在的问题进行完善和整改。</w:t>
            </w:r>
          </w:p>
          <w:p>
            <w:pPr>
              <w:spacing w:line="500" w:lineRule="exact"/>
              <w:ind w:firstLine="420" w:firstLineChars="200"/>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9752" w:type="dxa"/>
            <w:gridSpan w:val="4"/>
            <w:tcBorders>
              <w:top w:val="single" w:color="auto" w:sz="4" w:space="0"/>
              <w:left w:val="single" w:color="auto" w:sz="4" w:space="0"/>
              <w:bottom w:val="single" w:color="auto" w:sz="4" w:space="0"/>
              <w:right w:val="single" w:color="auto" w:sz="4" w:space="0"/>
            </w:tcBorders>
            <w:noWrap/>
            <w:vAlign w:val="center"/>
          </w:tcPr>
          <w:p>
            <w:pPr>
              <w:spacing w:line="420" w:lineRule="exact"/>
              <w:jc w:val="center"/>
              <w:rPr>
                <w:rFonts w:ascii="宋体" w:hAnsi="宋体" w:cs="宋体"/>
                <w:b/>
                <w:szCs w:val="21"/>
                <w:highlight w:val="none"/>
              </w:rPr>
            </w:pPr>
            <w:r>
              <w:rPr>
                <w:rFonts w:hint="eastAsia" w:ascii="宋体" w:hAnsi="宋体" w:cs="宋体"/>
                <w:b/>
                <w:szCs w:val="21"/>
                <w:highlight w:val="none"/>
              </w:rPr>
              <w:t>二、商务条款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58" w:type="dxa"/>
            <w:gridSpan w:val="2"/>
            <w:tcBorders>
              <w:top w:val="single" w:color="auto" w:sz="4" w:space="0"/>
              <w:left w:val="single" w:color="auto" w:sz="4" w:space="0"/>
              <w:bottom w:val="single" w:color="000000" w:sz="4" w:space="0"/>
              <w:right w:val="single" w:color="auto" w:sz="4" w:space="0"/>
            </w:tcBorders>
            <w:noWrap/>
            <w:vAlign w:val="center"/>
          </w:tcPr>
          <w:p>
            <w:pPr>
              <w:spacing w:line="320" w:lineRule="exact"/>
              <w:rPr>
                <w:rFonts w:ascii="宋体" w:hAnsi="宋体" w:cs="宋体"/>
                <w:szCs w:val="21"/>
                <w:highlight w:val="none"/>
              </w:rPr>
            </w:pPr>
            <w:r>
              <w:rPr>
                <w:rFonts w:hint="eastAsia" w:ascii="宋体" w:hAnsi="宋体" w:cs="宋体"/>
                <w:szCs w:val="21"/>
                <w:highlight w:val="none"/>
              </w:rPr>
              <w:t>运营年限和合同年限</w:t>
            </w:r>
          </w:p>
        </w:tc>
        <w:tc>
          <w:tcPr>
            <w:tcW w:w="7994" w:type="dxa"/>
            <w:gridSpan w:val="2"/>
            <w:tcBorders>
              <w:top w:val="single" w:color="auto" w:sz="4" w:space="0"/>
              <w:left w:val="single" w:color="auto" w:sz="4" w:space="0"/>
              <w:bottom w:val="single" w:color="auto" w:sz="4" w:space="0"/>
              <w:right w:val="single" w:color="auto" w:sz="4" w:space="0"/>
            </w:tcBorders>
            <w:noWrap/>
            <w:vAlign w:val="center"/>
          </w:tcPr>
          <w:p>
            <w:pPr>
              <w:spacing w:line="500" w:lineRule="exact"/>
              <w:ind w:firstLine="420" w:firstLineChars="200"/>
              <w:rPr>
                <w:rFonts w:ascii="宋体" w:hAnsi="宋体" w:cs="宋体"/>
                <w:szCs w:val="21"/>
                <w:highlight w:val="none"/>
              </w:rPr>
            </w:pPr>
            <w:r>
              <w:rPr>
                <w:rFonts w:hint="eastAsia" w:ascii="宋体" w:hAnsi="宋体" w:cs="宋体"/>
                <w:szCs w:val="21"/>
                <w:highlight w:val="none"/>
              </w:rPr>
              <w:t>本项目运营期限为15年。（根据桂民规[2019]9号第十条“合同双方应当根据养老机构的规模、 前期投入等因素合理确定合同期限，一般不超过15年”来确定）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58" w:type="dxa"/>
            <w:gridSpan w:val="2"/>
            <w:tcBorders>
              <w:top w:val="single" w:color="auto" w:sz="4" w:space="0"/>
              <w:left w:val="single" w:color="auto" w:sz="4" w:space="0"/>
              <w:bottom w:val="single" w:color="000000" w:sz="4" w:space="0"/>
              <w:right w:val="single" w:color="auto" w:sz="4" w:space="0"/>
            </w:tcBorders>
            <w:noWrap/>
            <w:vAlign w:val="center"/>
          </w:tcPr>
          <w:p>
            <w:pPr>
              <w:spacing w:line="320" w:lineRule="exact"/>
              <w:rPr>
                <w:rFonts w:ascii="宋体" w:hAnsi="宋体" w:cs="宋体"/>
                <w:szCs w:val="21"/>
                <w:highlight w:val="none"/>
              </w:rPr>
            </w:pPr>
            <w:r>
              <w:rPr>
                <w:rFonts w:hint="eastAsia" w:ascii="宋体" w:hAnsi="宋体" w:cs="宋体"/>
                <w:b/>
                <w:bCs/>
                <w:szCs w:val="21"/>
                <w:highlight w:val="none"/>
              </w:rPr>
              <w:t>缴纳养老设施使用费。</w:t>
            </w:r>
          </w:p>
        </w:tc>
        <w:tc>
          <w:tcPr>
            <w:tcW w:w="7994" w:type="dxa"/>
            <w:gridSpan w:val="2"/>
            <w:tcBorders>
              <w:top w:val="single" w:color="auto" w:sz="4" w:space="0"/>
              <w:left w:val="single" w:color="auto" w:sz="4" w:space="0"/>
              <w:bottom w:val="single" w:color="auto" w:sz="4" w:space="0"/>
              <w:right w:val="single" w:color="auto" w:sz="4" w:space="0"/>
            </w:tcBorders>
            <w:noWrap/>
            <w:vAlign w:val="center"/>
          </w:tcPr>
          <w:p>
            <w:pPr>
              <w:widowControl/>
              <w:spacing w:line="500" w:lineRule="exact"/>
              <w:ind w:firstLine="420" w:firstLineChars="200"/>
              <w:rPr>
                <w:rFonts w:ascii="宋体" w:hAnsi="宋体" w:cs="宋体"/>
                <w:szCs w:val="21"/>
                <w:highlight w:val="none"/>
              </w:rPr>
            </w:pPr>
            <w:r>
              <w:rPr>
                <w:rFonts w:hint="eastAsia" w:ascii="宋体" w:hAnsi="宋体" w:cs="宋体"/>
                <w:szCs w:val="21"/>
                <w:highlight w:val="none"/>
              </w:rPr>
              <w:t>运营方在运营期间，需向采购人缴纳一定数额的养老设施使用费，具体为：从合同签订之日起计算，前5年为免缴期，第6年起当年缴纳不低于30万元，每两年递增5%。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58" w:type="dxa"/>
            <w:gridSpan w:val="2"/>
            <w:tcBorders>
              <w:top w:val="single" w:color="000000" w:sz="4" w:space="0"/>
              <w:left w:val="single" w:color="auto" w:sz="4" w:space="0"/>
              <w:bottom w:val="single" w:color="000000" w:sz="4" w:space="0"/>
              <w:right w:val="single" w:color="auto" w:sz="4" w:space="0"/>
            </w:tcBorders>
            <w:noWrap/>
            <w:vAlign w:val="center"/>
          </w:tcPr>
          <w:p>
            <w:pPr>
              <w:snapToGrid w:val="0"/>
              <w:spacing w:line="420" w:lineRule="exact"/>
              <w:jc w:val="center"/>
              <w:rPr>
                <w:rFonts w:ascii="宋体" w:hAnsi="宋体" w:cs="宋体"/>
                <w:szCs w:val="21"/>
                <w:highlight w:val="none"/>
              </w:rPr>
            </w:pPr>
            <w:r>
              <w:rPr>
                <w:rFonts w:hint="eastAsia" w:ascii="宋体" w:hAnsi="宋体" w:cs="宋体"/>
                <w:b/>
                <w:bCs/>
                <w:szCs w:val="21"/>
                <w:highlight w:val="none"/>
              </w:rPr>
              <w:t>法律责任</w:t>
            </w:r>
          </w:p>
        </w:tc>
        <w:tc>
          <w:tcPr>
            <w:tcW w:w="7994" w:type="dxa"/>
            <w:gridSpan w:val="2"/>
            <w:tcBorders>
              <w:top w:val="single" w:color="auto" w:sz="4" w:space="0"/>
              <w:left w:val="single" w:color="auto" w:sz="4" w:space="0"/>
              <w:bottom w:val="single" w:color="auto" w:sz="4" w:space="0"/>
              <w:right w:val="single" w:color="auto" w:sz="4" w:space="0"/>
            </w:tcBorders>
            <w:noWrap/>
            <w:vAlign w:val="center"/>
          </w:tcPr>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运营方有下列行为之一的，视为不正常履约，根据情节轻重运营方须向委托方支付违约金，且委托方有权单方面解除合同。</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1.自合同订立之日起15个工作日内运营方未能委托有建筑装饰设计资质的单位完成装修方案设计并经委托方备案的；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2.自合同订立之日起6个月内，运营方未能按照广西壮族自治区民政厅拟定的三星级养老机构标准，以入住老年人数量配齐各种养护设备和人员，办理养老机构备案并正式运营的；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3.运营方不按本合同约定的委托运营内容范围运营，未履行养老床位的相关约定，且不在委托方规定的时限内整改的；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4.运营方不按约定用途使用建筑物及配套设施的，运营方违反累计达到三次经委托方通知后一个月内不整改的；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5.运营方承接运营后，养老机构的人员、设施、服务、管理、信誉等情况等软硬件条件、养老服务质量达不到相应星级养老机构标准或综合评估考核不合格的，经委托方通知后不及时整改的；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6.向负责监督检查的相关部门隐瞒有关情况、提供虚假材料或者拒绝提供反映其活动情况真实材料的；或者对相关部门监督检查要求整改而未及时整改的；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7.不按时、不足额缴纳养老设施使用费的。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8.未与入住老人或者其代理人签订服务协议，或者协议不符合规定的；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9.违反《养老机构管理办法》（民政部令第49号）规定歧视、侮辱、虐待或遗弃老年人以及其他侵犯老年人合法权益行为的；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10.因运营方责任造成国有资产损坏、流失，运营方未按期支付或赔偿的；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11.未经委托方同意，擅自变更法定代表人（负责人）或运营方的，擅自改变经营范围的；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12.运营方在委托运营中出现重大事故（如因运营方责任造成入住人员伤亡等）、违法行为的；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13.违反国家法律法规，在委托方考核不合格、要求整改后未按时整改或整改后仍然不符合要求的；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15.擅自暂停或者终止服务的；</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16.法律、法规、规章规定的其他违法违规行为。</w:t>
            </w:r>
          </w:p>
          <w:p>
            <w:pPr>
              <w:widowControl/>
              <w:shd w:val="clear" w:color="auto" w:fill="FFFFFF"/>
              <w:spacing w:line="500" w:lineRule="exact"/>
              <w:ind w:firstLine="420" w:firstLineChars="200"/>
              <w:rPr>
                <w:rFonts w:ascii="宋体" w:hAnsi="宋体" w:cs="宋体"/>
                <w:szCs w:val="21"/>
                <w:highlight w:val="none"/>
              </w:rPr>
            </w:pPr>
            <w:r>
              <w:rPr>
                <w:rFonts w:hint="eastAsia" w:ascii="宋体" w:hAnsi="宋体" w:cs="宋体"/>
                <w:szCs w:val="21"/>
                <w:highlight w:val="none"/>
              </w:rPr>
              <w:t>发生上述情形之一，视为运营方违约。（1）发生第1-9条情形之一，如委托方同意合同继续履约，运营方须向委托方支付合同金额的5%作为违约金，并在委托方约定的时限内按要求完成整改；如委托方不同意继续履约，运营方须向委托方支付合同金额的20%作为违约金。（2）发生第10-16条情形之一，如委托方同意合同继续履约，运营方须向委托方支付合同金额的10%作为违约金，并在委托方约定的时限内按要求完成整改；如委托方不同意继续履约，运营方须向委托方支付合同金额的20%作为违约金。（3）因运营方责任造成合同不能正常履约的，运营方除承担相应的违约责任缴纳相应的违约金外，还须缴纳解除合同当年应交纳的养老设施使用费。运营方的其他所有损失（含人力物力、前期投入、预期效益、后期安置处置等损失）由运营方自行承担，运营方投资购置的各类设施设备不得拆除，委托方对运营方不予补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58" w:type="dxa"/>
            <w:gridSpan w:val="2"/>
            <w:tcBorders>
              <w:top w:val="single" w:color="000000" w:sz="4" w:space="0"/>
              <w:left w:val="single" w:color="auto" w:sz="4" w:space="0"/>
              <w:bottom w:val="single" w:color="000000" w:sz="4" w:space="0"/>
              <w:right w:val="single" w:color="auto" w:sz="4" w:space="0"/>
            </w:tcBorders>
            <w:noWrap/>
            <w:vAlign w:val="center"/>
          </w:tcPr>
          <w:p>
            <w:pPr>
              <w:snapToGrid w:val="0"/>
              <w:spacing w:line="420" w:lineRule="exact"/>
              <w:jc w:val="center"/>
              <w:rPr>
                <w:rFonts w:ascii="宋体" w:hAnsi="宋体" w:cs="宋体"/>
                <w:szCs w:val="21"/>
                <w:highlight w:val="none"/>
              </w:rPr>
            </w:pPr>
            <w:r>
              <w:rPr>
                <w:rFonts w:hint="eastAsia" w:ascii="宋体" w:hAnsi="宋体" w:cs="宋体"/>
                <w:b/>
                <w:bCs/>
                <w:highlight w:val="none"/>
              </w:rPr>
              <w:t>★</w:t>
            </w:r>
            <w:r>
              <w:rPr>
                <w:rFonts w:hint="eastAsia" w:ascii="宋体" w:hAnsi="宋体" w:cs="宋体"/>
                <w:szCs w:val="21"/>
                <w:highlight w:val="none"/>
              </w:rPr>
              <w:t>采购人对项目的特殊要求及说明</w:t>
            </w:r>
          </w:p>
        </w:tc>
        <w:tc>
          <w:tcPr>
            <w:tcW w:w="7994" w:type="dxa"/>
            <w:gridSpan w:val="2"/>
            <w:tcBorders>
              <w:top w:val="single" w:color="auto" w:sz="4" w:space="0"/>
              <w:left w:val="single" w:color="auto" w:sz="4" w:space="0"/>
              <w:bottom w:val="single" w:color="auto" w:sz="4" w:space="0"/>
              <w:right w:val="single" w:color="auto" w:sz="4" w:space="0"/>
            </w:tcBorders>
            <w:noWrap/>
            <w:vAlign w:val="center"/>
          </w:tcPr>
          <w:p>
            <w:pPr>
              <w:widowControl/>
              <w:shd w:val="clear" w:color="auto" w:fill="FFFFFF"/>
              <w:spacing w:line="500" w:lineRule="exact"/>
              <w:rPr>
                <w:rFonts w:ascii="宋体" w:hAnsi="宋体" w:cs="宋体"/>
                <w:szCs w:val="21"/>
                <w:highlight w:val="none"/>
              </w:rPr>
            </w:pPr>
            <w:r>
              <w:rPr>
                <w:rFonts w:hint="eastAsia" w:ascii="宋体" w:hAnsi="宋体" w:cs="宋体"/>
                <w:szCs w:val="21"/>
                <w:highlight w:val="none"/>
              </w:rPr>
              <w:t>1.运营方在运营期间建设补贴标准及运营补贴标准暂时按南宁市民政局、财政局《关于印发南宁市民办非营利性养老机构补贴实施办法的通知》（南民政规﹝2016﹞5号）文件执行，若出台新的政策和新的补贴标准以新的为准。</w:t>
            </w:r>
          </w:p>
          <w:p>
            <w:pPr>
              <w:widowControl/>
              <w:shd w:val="clear" w:color="auto" w:fill="FFFFFF"/>
              <w:spacing w:line="500" w:lineRule="exact"/>
              <w:rPr>
                <w:rFonts w:hint="eastAsia" w:ascii="宋体" w:hAnsi="宋体" w:cs="宋体"/>
                <w:szCs w:val="21"/>
                <w:highlight w:val="none"/>
              </w:rPr>
            </w:pPr>
            <w:r>
              <w:rPr>
                <w:rFonts w:hint="eastAsia" w:ascii="宋体" w:hAnsi="宋体" w:cs="宋体"/>
                <w:szCs w:val="21"/>
                <w:highlight w:val="none"/>
              </w:rPr>
              <w:t>2.附件：南宁市民政局、财政局《关于印发南宁市民办非营利性养老机构补贴实施办法的通知》（南民政规﹝2016﹞5号）文件。（后附）</w:t>
            </w:r>
          </w:p>
          <w:p>
            <w:pPr>
              <w:widowControl/>
              <w:shd w:val="clear" w:color="auto" w:fill="FFFFFF"/>
              <w:spacing w:line="500" w:lineRule="exact"/>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rPr>
              <w:t>运营方自签订运营合同之日起半年内应按照自治区三星养老机构的标准配备相关设施设备及服务团队，确保服务到位。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58" w:type="dxa"/>
            <w:gridSpan w:val="2"/>
            <w:tcBorders>
              <w:top w:val="single" w:color="000000" w:sz="4" w:space="0"/>
              <w:left w:val="single" w:color="auto" w:sz="4" w:space="0"/>
              <w:bottom w:val="single" w:color="auto" w:sz="4" w:space="0"/>
              <w:right w:val="single" w:color="auto" w:sz="4" w:space="0"/>
            </w:tcBorders>
            <w:noWrap/>
            <w:vAlign w:val="center"/>
          </w:tcPr>
          <w:p>
            <w:pPr>
              <w:snapToGrid w:val="0"/>
              <w:spacing w:line="420" w:lineRule="exact"/>
              <w:jc w:val="center"/>
              <w:rPr>
                <w:rFonts w:ascii="宋体" w:hAnsi="宋体" w:cs="宋体"/>
                <w:b/>
                <w:bCs/>
                <w:highlight w:val="none"/>
              </w:rPr>
            </w:pPr>
            <w:r>
              <w:rPr>
                <w:rFonts w:hint="eastAsia" w:ascii="宋体" w:hAnsi="宋体" w:cs="宋体"/>
                <w:b/>
                <w:bCs/>
                <w:highlight w:val="none"/>
              </w:rPr>
              <w:t>其他要求</w:t>
            </w:r>
          </w:p>
        </w:tc>
        <w:tc>
          <w:tcPr>
            <w:tcW w:w="7994" w:type="dxa"/>
            <w:gridSpan w:val="2"/>
            <w:tcBorders>
              <w:top w:val="single" w:color="auto" w:sz="4" w:space="0"/>
              <w:left w:val="single" w:color="auto" w:sz="4" w:space="0"/>
              <w:bottom w:val="single" w:color="auto" w:sz="4" w:space="0"/>
              <w:right w:val="single" w:color="auto" w:sz="4" w:space="0"/>
            </w:tcBorders>
            <w:noWrap/>
            <w:vAlign w:val="center"/>
          </w:tcPr>
          <w:p>
            <w:pPr>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1.签订合同。</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西乡塘区民政局作为委托方与中标运营方签订并严格履行运营合同，将合同文本、运营法人信息及有关资料归档保存。</w:t>
            </w:r>
          </w:p>
          <w:p>
            <w:pPr>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2.履行合同期间。</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履行合同期间，运营方须严格按照《合同》约定的运营条件、服务规范和特别约定条款开展运营，依法履行运营方的权利和义务。《合同》需要变更或解除时，须经甲、乙双方共同协商，达成一致意见，才能进行变更或解除。如遇不可抗拒的原因，包括政府征用（以政府文件为准）或其他不可抗力因素等影响，无法继续履行《合同》的，经甲、乙双方协商一致，可以变更、解除或者终止《合同》，损失由甲乙双方各自承担。运营方有本方案第六点第（六）款法律责任规定的情形的，根据情节轻重运营方须向委托方支付违约金，且委托方有权单方面解除合同。</w:t>
            </w:r>
          </w:p>
          <w:p>
            <w:pPr>
              <w:spacing w:line="500" w:lineRule="exact"/>
              <w:ind w:firstLine="422" w:firstLineChars="200"/>
              <w:rPr>
                <w:rFonts w:ascii="宋体" w:hAnsi="宋体" w:cs="宋体"/>
                <w:b/>
                <w:bCs/>
                <w:szCs w:val="21"/>
                <w:highlight w:val="none"/>
              </w:rPr>
            </w:pPr>
            <w:r>
              <w:rPr>
                <w:rFonts w:hint="eastAsia" w:ascii="宋体" w:hAnsi="宋体" w:cs="宋体"/>
                <w:b/>
                <w:bCs/>
                <w:szCs w:val="21"/>
                <w:highlight w:val="none"/>
              </w:rPr>
              <w:t>3.合同终止。</w:t>
            </w:r>
          </w:p>
          <w:p>
            <w:pPr>
              <w:spacing w:line="500" w:lineRule="exact"/>
              <w:ind w:firstLine="420" w:firstLineChars="200"/>
              <w:rPr>
                <w:rFonts w:ascii="宋体" w:hAnsi="宋体" w:cs="宋体"/>
                <w:szCs w:val="21"/>
                <w:highlight w:val="none"/>
              </w:rPr>
            </w:pPr>
            <w:r>
              <w:rPr>
                <w:rFonts w:hint="eastAsia" w:ascii="宋体" w:hAnsi="宋体" w:cs="宋体"/>
                <w:szCs w:val="21"/>
                <w:highlight w:val="none"/>
              </w:rPr>
              <w:t>合同期未满运营方申请退出的，需提前6个月向委托方提出申请，由委托方组织相关部门对其资产、财务等进行审计，妥善安置好入住对象后，符合退出条件的，办理解除合同有关手续。合同期满，运营方应在合同终止3个月前，正式向委托方提交入住对象安置方案，确保入住老年人已得到妥善安置后方能实施。委托方和运营方共同委托专业会计师事务所进行资产清算，妥善做好资产和账目交接，所需费用由运营方承担。</w:t>
            </w:r>
          </w:p>
        </w:tc>
      </w:tr>
    </w:tbl>
    <w:p>
      <w:pPr>
        <w:rPr>
          <w:rFonts w:ascii="宋体" w:hAnsi="宋体" w:cs="宋体"/>
          <w:szCs w:val="21"/>
          <w:highlight w:val="none"/>
        </w:rPr>
      </w:pPr>
      <w:r>
        <w:rPr>
          <w:rFonts w:hint="eastAsia" w:ascii="宋体" w:hAnsi="宋体" w:cs="宋体"/>
          <w:b/>
          <w:sz w:val="36"/>
          <w:highlight w:val="none"/>
        </w:rPr>
        <w:t>附件：《关于印发南宁市民办非营利性养老机构补贴实施办法的通知（南民政规【2016】5号）》</w:t>
      </w:r>
    </w:p>
    <w:p>
      <w:pPr>
        <w:rPr>
          <w:rFonts w:ascii="宋体" w:hAnsi="宋体" w:cs="宋体"/>
          <w:szCs w:val="21"/>
          <w:highlight w:val="none"/>
        </w:rPr>
      </w:pPr>
      <w:r>
        <w:rPr>
          <w:rFonts w:ascii="宋体" w:hAnsi="宋体" w:cs="宋体"/>
          <w:szCs w:val="21"/>
          <w:highlight w:val="none"/>
        </w:rPr>
        <w:drawing>
          <wp:inline distT="0" distB="0" distL="114300" distR="114300">
            <wp:extent cx="5245100" cy="7431405"/>
            <wp:effectExtent l="0" t="0" r="12700" b="17145"/>
            <wp:docPr id="2" name="图片 12" descr="关于印发南宁市民办非营利性养老机构补贴实施办法的通知（南民政规【2016】5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关于印发南宁市民办非营利性养老机构补贴实施办法的通知（南民政规【2016】5号）_00"/>
                    <pic:cNvPicPr>
                      <a:picLocks noChangeAspect="1"/>
                    </pic:cNvPicPr>
                  </pic:nvPicPr>
                  <pic:blipFill>
                    <a:blip r:embed="rId5"/>
                    <a:stretch>
                      <a:fillRect/>
                    </a:stretch>
                  </pic:blipFill>
                  <pic:spPr>
                    <a:xfrm>
                      <a:off x="0" y="0"/>
                      <a:ext cx="5245100" cy="743140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8225" cy="8695055"/>
            <wp:effectExtent l="0" t="0" r="15875" b="10795"/>
            <wp:docPr id="3" name="图片 11" descr="关于印发南宁市民办非营利性养老机构补贴实施办法的通知（南民政规【2016】5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关于印发南宁市民办非营利性养老机构补贴实施办法的通知（南民政规【2016】5号）_01"/>
                    <pic:cNvPicPr>
                      <a:picLocks noChangeAspect="1"/>
                    </pic:cNvPicPr>
                  </pic:nvPicPr>
                  <pic:blipFill>
                    <a:blip r:embed="rId6"/>
                    <a:stretch>
                      <a:fillRect/>
                    </a:stretch>
                  </pic:blipFill>
                  <pic:spPr>
                    <a:xfrm>
                      <a:off x="0" y="0"/>
                      <a:ext cx="6118225" cy="869505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3780" cy="8599805"/>
            <wp:effectExtent l="0" t="0" r="1270" b="10795"/>
            <wp:docPr id="4" name="图片 10" descr="关于印发南宁市民办非营利性养老机构补贴实施办法的通知（南民政规【2016】5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关于印发南宁市民办非营利性养老机构补贴实施办法的通知（南民政规【2016】5号）_02"/>
                    <pic:cNvPicPr>
                      <a:picLocks noChangeAspect="1"/>
                    </pic:cNvPicPr>
                  </pic:nvPicPr>
                  <pic:blipFill>
                    <a:blip r:embed="rId7"/>
                    <a:stretch>
                      <a:fillRect/>
                    </a:stretch>
                  </pic:blipFill>
                  <pic:spPr>
                    <a:xfrm>
                      <a:off x="0" y="0"/>
                      <a:ext cx="6113780" cy="859980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3780" cy="8632825"/>
            <wp:effectExtent l="0" t="0" r="1270" b="15875"/>
            <wp:docPr id="5" name="图片 9" descr="关于印发南宁市民办非营利性养老机构补贴实施办法的通知（南民政规【2016】5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关于印发南宁市民办非营利性养老机构补贴实施办法的通知（南民政规【2016】5号）_03"/>
                    <pic:cNvPicPr>
                      <a:picLocks noChangeAspect="1"/>
                    </pic:cNvPicPr>
                  </pic:nvPicPr>
                  <pic:blipFill>
                    <a:blip r:embed="rId5"/>
                    <a:stretch>
                      <a:fillRect/>
                    </a:stretch>
                  </pic:blipFill>
                  <pic:spPr>
                    <a:xfrm>
                      <a:off x="0" y="0"/>
                      <a:ext cx="6113780" cy="863282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3780" cy="8387715"/>
            <wp:effectExtent l="0" t="0" r="1270" b="13335"/>
            <wp:docPr id="6" name="图片 8" descr="关于印发南宁市民办非营利性养老机构补贴实施办法的通知（南民政规【2016】5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关于印发南宁市民办非营利性养老机构补贴实施办法的通知（南民政规【2016】5号）_04"/>
                    <pic:cNvPicPr>
                      <a:picLocks noChangeAspect="1"/>
                    </pic:cNvPicPr>
                  </pic:nvPicPr>
                  <pic:blipFill>
                    <a:blip r:embed="rId8"/>
                    <a:stretch>
                      <a:fillRect/>
                    </a:stretch>
                  </pic:blipFill>
                  <pic:spPr>
                    <a:xfrm>
                      <a:off x="0" y="0"/>
                      <a:ext cx="6113780" cy="838771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3780" cy="8632825"/>
            <wp:effectExtent l="0" t="0" r="1270" b="15875"/>
            <wp:docPr id="7" name="图片 7" descr="关于印发南宁市民办非营利性养老机构补贴实施办法的通知（南民政规【2016】5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关于印发南宁市民办非营利性养老机构补贴实施办法的通知（南民政规【2016】5号）_05"/>
                    <pic:cNvPicPr>
                      <a:picLocks noChangeAspect="1"/>
                    </pic:cNvPicPr>
                  </pic:nvPicPr>
                  <pic:blipFill>
                    <a:blip r:embed="rId9"/>
                    <a:stretch>
                      <a:fillRect/>
                    </a:stretch>
                  </pic:blipFill>
                  <pic:spPr>
                    <a:xfrm>
                      <a:off x="0" y="0"/>
                      <a:ext cx="6113780" cy="863282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3780" cy="8611870"/>
            <wp:effectExtent l="0" t="0" r="1270" b="17780"/>
            <wp:docPr id="8" name="图片 6" descr="关于印发南宁市民办非营利性养老机构补贴实施办法的通知（南民政规【2016】5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关于印发南宁市民办非营利性养老机构补贴实施办法的通知（南民政规【2016】5号）_06"/>
                    <pic:cNvPicPr>
                      <a:picLocks noChangeAspect="1"/>
                    </pic:cNvPicPr>
                  </pic:nvPicPr>
                  <pic:blipFill>
                    <a:blip r:embed="rId10"/>
                    <a:stretch>
                      <a:fillRect/>
                    </a:stretch>
                  </pic:blipFill>
                  <pic:spPr>
                    <a:xfrm>
                      <a:off x="0" y="0"/>
                      <a:ext cx="6113780" cy="8611870"/>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3780" cy="8632825"/>
            <wp:effectExtent l="0" t="0" r="1270" b="15875"/>
            <wp:docPr id="9" name="图片 5" descr="关于印发南宁市民办非营利性养老机构补贴实施办法的通知（南民政规【2016】5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关于印发南宁市民办非营利性养老机构补贴实施办法的通知（南民政规【2016】5号）_07"/>
                    <pic:cNvPicPr>
                      <a:picLocks noChangeAspect="1"/>
                    </pic:cNvPicPr>
                  </pic:nvPicPr>
                  <pic:blipFill>
                    <a:blip r:embed="rId11"/>
                    <a:stretch>
                      <a:fillRect/>
                    </a:stretch>
                  </pic:blipFill>
                  <pic:spPr>
                    <a:xfrm>
                      <a:off x="0" y="0"/>
                      <a:ext cx="6113780" cy="863282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8225" cy="8662035"/>
            <wp:effectExtent l="0" t="0" r="15875" b="5715"/>
            <wp:docPr id="10" name="图片 4" descr="关于印发南宁市民办非营利性养老机构补贴实施办法的通知（南民政规【2016】5号）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关于印发南宁市民办非营利性养老机构补贴实施办法的通知（南民政规【2016】5号）_08"/>
                    <pic:cNvPicPr>
                      <a:picLocks noChangeAspect="1"/>
                    </pic:cNvPicPr>
                  </pic:nvPicPr>
                  <pic:blipFill>
                    <a:blip r:embed="rId12"/>
                    <a:stretch>
                      <a:fillRect/>
                    </a:stretch>
                  </pic:blipFill>
                  <pic:spPr>
                    <a:xfrm>
                      <a:off x="0" y="0"/>
                      <a:ext cx="6118225" cy="8662035"/>
                    </a:xfrm>
                    <a:prstGeom prst="rect">
                      <a:avLst/>
                    </a:prstGeom>
                    <a:noFill/>
                    <a:ln>
                      <a:noFill/>
                    </a:ln>
                  </pic:spPr>
                </pic:pic>
              </a:graphicData>
            </a:graphic>
          </wp:inline>
        </w:drawing>
      </w:r>
      <w:r>
        <w:rPr>
          <w:rFonts w:ascii="宋体" w:hAnsi="宋体" w:cs="宋体"/>
          <w:szCs w:val="21"/>
          <w:highlight w:val="none"/>
        </w:rPr>
        <w:drawing>
          <wp:inline distT="0" distB="0" distL="114300" distR="114300">
            <wp:extent cx="6118225" cy="8719820"/>
            <wp:effectExtent l="0" t="0" r="15875" b="5080"/>
            <wp:docPr id="11" name="图片 3" descr="关于印发南宁市民办非营利性养老机构补贴实施办法的通知（南民政规【2016】5号）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关于印发南宁市民办非营利性养老机构补贴实施办法的通知（南民政规【2016】5号）_09"/>
                    <pic:cNvPicPr>
                      <a:picLocks noChangeAspect="1"/>
                    </pic:cNvPicPr>
                  </pic:nvPicPr>
                  <pic:blipFill>
                    <a:blip r:embed="rId13"/>
                    <a:stretch>
                      <a:fillRect/>
                    </a:stretch>
                  </pic:blipFill>
                  <pic:spPr>
                    <a:xfrm>
                      <a:off x="0" y="0"/>
                      <a:ext cx="6118225" cy="8719820"/>
                    </a:xfrm>
                    <a:prstGeom prst="rect">
                      <a:avLst/>
                    </a:prstGeom>
                    <a:noFill/>
                    <a:ln>
                      <a:noFill/>
                    </a:ln>
                  </pic:spPr>
                </pic:pic>
              </a:graphicData>
            </a:graphic>
          </wp:inline>
        </w:drawing>
      </w:r>
    </w:p>
    <w:p>
      <w:pPr>
        <w:rPr>
          <w:rFonts w:ascii="宋体" w:hAnsi="宋体" w:cs="宋体"/>
          <w:szCs w:val="21"/>
          <w:highlight w:val="none"/>
        </w:rPr>
      </w:pPr>
      <w:r>
        <w:rPr>
          <w:rFonts w:hint="eastAsia" w:ascii="宋体" w:hAnsi="宋体" w:cs="宋体"/>
          <w:szCs w:val="21"/>
          <w:highlight w:val="none"/>
        </w:rPr>
        <w:br w:type="page"/>
      </w:r>
    </w:p>
    <w:p>
      <w:pPr>
        <w:jc w:val="center"/>
        <w:rPr>
          <w:rFonts w:ascii="宋体" w:hAnsi="宋体" w:cs="宋体"/>
          <w:bCs/>
          <w:spacing w:val="28"/>
          <w:sz w:val="72"/>
          <w:szCs w:val="72"/>
          <w:highlight w:val="none"/>
        </w:rPr>
      </w:pPr>
      <w:r>
        <w:rPr>
          <w:rFonts w:hint="eastAsia" w:ascii="宋体" w:hAnsi="宋体" w:cs="宋体"/>
          <w:b/>
          <w:sz w:val="36"/>
          <w:highlight w:val="none"/>
        </w:rPr>
        <w:t>附件：《养老机构管理办法》（中华人民共和国民政部令第66号）</w:t>
      </w:r>
    </w:p>
    <w:p>
      <w:pPr>
        <w:spacing w:line="400" w:lineRule="exact"/>
        <w:jc w:val="center"/>
        <w:rPr>
          <w:rFonts w:ascii="宋体" w:hAnsi="宋体" w:cs="宋体"/>
          <w:sz w:val="18"/>
          <w:highlight w:val="none"/>
        </w:rPr>
      </w:pPr>
    </w:p>
    <w:p>
      <w:pPr>
        <w:spacing w:line="400" w:lineRule="exact"/>
        <w:jc w:val="center"/>
        <w:rPr>
          <w:rFonts w:ascii="宋体" w:hAnsi="宋体" w:cs="宋体"/>
          <w:sz w:val="18"/>
          <w:highlight w:val="none"/>
        </w:rPr>
      </w:pPr>
    </w:p>
    <w:p>
      <w:pPr>
        <w:rPr>
          <w:rFonts w:ascii="宋体" w:hAnsi="宋体" w:cs="宋体"/>
          <w:sz w:val="44"/>
          <w:szCs w:val="44"/>
          <w:highlight w:val="none"/>
        </w:rPr>
      </w:pPr>
      <w:r>
        <w:rPr>
          <w:rFonts w:hint="eastAsia" w:ascii="宋体" w:hAnsi="宋体" w:cs="宋体"/>
          <w:sz w:val="44"/>
          <w:szCs w:val="44"/>
          <w:highlight w:val="none"/>
        </w:rPr>
        <w:br w:type="page"/>
      </w:r>
    </w:p>
    <w:p>
      <w:pPr>
        <w:spacing w:line="700" w:lineRule="exact"/>
        <w:jc w:val="center"/>
        <w:rPr>
          <w:rFonts w:ascii="宋体" w:hAnsi="宋体" w:cs="宋体"/>
          <w:sz w:val="44"/>
          <w:szCs w:val="44"/>
          <w:highlight w:val="none"/>
        </w:rPr>
      </w:pPr>
    </w:p>
    <w:p>
      <w:pPr>
        <w:spacing w:line="700" w:lineRule="exact"/>
        <w:jc w:val="center"/>
        <w:rPr>
          <w:rFonts w:ascii="宋体" w:hAnsi="宋体" w:cs="宋体"/>
          <w:sz w:val="44"/>
          <w:szCs w:val="44"/>
          <w:highlight w:val="none"/>
        </w:rPr>
      </w:pPr>
    </w:p>
    <w:p>
      <w:pPr>
        <w:spacing w:line="700" w:lineRule="exact"/>
        <w:jc w:val="center"/>
        <w:rPr>
          <w:rFonts w:ascii="宋体" w:hAnsi="宋体" w:cs="宋体"/>
          <w:sz w:val="44"/>
          <w:szCs w:val="44"/>
          <w:highlight w:val="none"/>
        </w:rPr>
      </w:pPr>
    </w:p>
    <w:p>
      <w:pPr>
        <w:spacing w:line="700" w:lineRule="exact"/>
        <w:jc w:val="center"/>
        <w:rPr>
          <w:rFonts w:ascii="宋体" w:hAnsi="宋体" w:cs="宋体"/>
          <w:sz w:val="44"/>
          <w:szCs w:val="44"/>
          <w:highlight w:val="none"/>
        </w:rPr>
      </w:pPr>
    </w:p>
    <w:p>
      <w:pPr>
        <w:spacing w:line="700" w:lineRule="exact"/>
        <w:jc w:val="center"/>
        <w:rPr>
          <w:rFonts w:ascii="宋体" w:hAnsi="宋体" w:cs="宋体"/>
          <w:sz w:val="44"/>
          <w:szCs w:val="44"/>
          <w:highlight w:val="none"/>
        </w:rPr>
      </w:pPr>
      <w:r>
        <w:rPr>
          <w:rFonts w:hint="eastAsia" w:ascii="宋体" w:hAnsi="宋体" w:cs="宋体"/>
          <w:sz w:val="44"/>
          <w:szCs w:val="44"/>
          <w:highlight w:val="none"/>
        </w:rPr>
        <w:t>中华人民共和国民政部令</w:t>
      </w:r>
    </w:p>
    <w:p>
      <w:pPr>
        <w:spacing w:line="400" w:lineRule="exact"/>
        <w:jc w:val="center"/>
        <w:rPr>
          <w:rFonts w:ascii="宋体" w:hAnsi="宋体" w:cs="宋体"/>
          <w:sz w:val="18"/>
          <w:highlight w:val="none"/>
        </w:rPr>
      </w:pPr>
    </w:p>
    <w:p>
      <w:pPr>
        <w:spacing w:line="700" w:lineRule="exact"/>
        <w:jc w:val="center"/>
        <w:rPr>
          <w:rFonts w:ascii="宋体" w:hAnsi="宋体" w:cs="宋体"/>
          <w:sz w:val="44"/>
          <w:szCs w:val="44"/>
          <w:highlight w:val="none"/>
        </w:rPr>
      </w:pPr>
      <w:r>
        <w:rPr>
          <w:rFonts w:hint="eastAsia" w:ascii="宋体" w:hAnsi="宋体" w:cs="宋体"/>
          <w:sz w:val="44"/>
          <w:szCs w:val="44"/>
          <w:highlight w:val="none"/>
        </w:rPr>
        <w:t>第66号</w:t>
      </w:r>
    </w:p>
    <w:p>
      <w:pPr>
        <w:spacing w:line="640" w:lineRule="exact"/>
        <w:ind w:firstLine="422" w:firstLineChars="200"/>
        <w:rPr>
          <w:rFonts w:ascii="宋体" w:hAnsi="宋体" w:cs="宋体"/>
          <w:b/>
          <w:bCs/>
          <w:szCs w:val="32"/>
          <w:highlight w:val="none"/>
        </w:rPr>
      </w:pPr>
    </w:p>
    <w:p>
      <w:pPr>
        <w:tabs>
          <w:tab w:val="left" w:pos="851"/>
          <w:tab w:val="left" w:pos="8320"/>
        </w:tabs>
        <w:spacing w:line="600" w:lineRule="exact"/>
        <w:ind w:left="105" w:hanging="105" w:hangingChars="50"/>
        <w:rPr>
          <w:rFonts w:ascii="宋体" w:hAnsi="宋体" w:cs="宋体"/>
          <w:highlight w:val="none"/>
        </w:rPr>
      </w:pPr>
      <w:r>
        <w:rPr>
          <w:rFonts w:hint="eastAsia" w:ascii="宋体" w:hAnsi="宋体" w:cs="宋体"/>
          <w:highlight w:val="none"/>
        </w:rPr>
        <w:tab/>
      </w:r>
      <w:r>
        <w:rPr>
          <w:rFonts w:hint="eastAsia" w:ascii="宋体" w:hAnsi="宋体" w:cs="宋体"/>
          <w:highlight w:val="none"/>
        </w:rPr>
        <w:t>《养老机构管理办法》已经2020年8月21日民政部部务会议通过，现予公布，自2020年11月1日起施行。</w:t>
      </w:r>
    </w:p>
    <w:p>
      <w:pPr>
        <w:spacing w:line="600" w:lineRule="exact"/>
        <w:rPr>
          <w:rFonts w:ascii="宋体" w:hAnsi="宋体" w:cs="宋体"/>
          <w:szCs w:val="32"/>
          <w:highlight w:val="none"/>
        </w:rPr>
      </w:pPr>
    </w:p>
    <w:p>
      <w:pPr>
        <w:spacing w:line="760" w:lineRule="exact"/>
        <w:rPr>
          <w:rFonts w:ascii="宋体" w:hAnsi="宋体" w:cs="宋体"/>
          <w:highlight w:val="none"/>
        </w:rPr>
      </w:pPr>
    </w:p>
    <w:p>
      <w:pPr>
        <w:tabs>
          <w:tab w:val="left" w:pos="8364"/>
        </w:tabs>
        <w:spacing w:line="880" w:lineRule="exact"/>
        <w:rPr>
          <w:rFonts w:ascii="宋体" w:hAnsi="宋体" w:cs="宋体"/>
          <w:highlight w:val="none"/>
        </w:rPr>
      </w:pPr>
    </w:p>
    <w:p>
      <w:pPr>
        <w:tabs>
          <w:tab w:val="left" w:pos="5812"/>
        </w:tabs>
        <w:spacing w:line="600" w:lineRule="exact"/>
        <w:jc w:val="left"/>
        <w:rPr>
          <w:rFonts w:ascii="宋体" w:hAnsi="宋体" w:cs="宋体"/>
          <w:szCs w:val="21"/>
          <w:highlight w:val="none"/>
        </w:rPr>
      </w:pPr>
    </w:p>
    <w:p>
      <w:pPr>
        <w:spacing w:line="160" w:lineRule="exact"/>
        <w:jc w:val="left"/>
        <w:rPr>
          <w:rFonts w:ascii="宋体" w:hAnsi="宋体" w:cs="宋体"/>
          <w:szCs w:val="21"/>
          <w:highlight w:val="none"/>
        </w:rPr>
      </w:pPr>
    </w:p>
    <w:p>
      <w:pPr>
        <w:tabs>
          <w:tab w:val="left" w:pos="8000"/>
          <w:tab w:val="left" w:pos="8222"/>
        </w:tabs>
        <w:spacing w:line="600" w:lineRule="exact"/>
        <w:jc w:val="center"/>
        <w:rPr>
          <w:rFonts w:ascii="宋体" w:hAnsi="宋体" w:cs="宋体"/>
          <w:szCs w:val="32"/>
          <w:highlight w:val="none"/>
        </w:rPr>
      </w:pPr>
      <w:r>
        <w:rPr>
          <w:rFonts w:hint="eastAsia" w:ascii="宋体" w:hAnsi="宋体" w:cs="宋体"/>
          <w:szCs w:val="32"/>
          <w:highlight w:val="none"/>
        </w:rPr>
        <w:t>2020年9月1日</w:t>
      </w:r>
    </w:p>
    <w:p>
      <w:pPr>
        <w:spacing w:line="600" w:lineRule="exact"/>
        <w:rPr>
          <w:rFonts w:ascii="宋体" w:hAnsi="宋体" w:cs="宋体"/>
          <w:highlight w:val="none"/>
        </w:rPr>
      </w:pPr>
    </w:p>
    <w:p>
      <w:pPr>
        <w:spacing w:line="520" w:lineRule="exact"/>
        <w:rPr>
          <w:rFonts w:ascii="宋体" w:hAnsi="宋体" w:cs="宋体"/>
          <w:b/>
          <w:bCs/>
          <w:sz w:val="36"/>
          <w:szCs w:val="44"/>
          <w:highlight w:val="none"/>
        </w:rPr>
      </w:pPr>
    </w:p>
    <w:p>
      <w:pPr>
        <w:spacing w:line="520" w:lineRule="exact"/>
        <w:rPr>
          <w:rFonts w:ascii="宋体" w:hAnsi="宋体" w:cs="宋体"/>
          <w:b/>
          <w:bCs/>
          <w:sz w:val="36"/>
          <w:szCs w:val="44"/>
          <w:highlight w:val="none"/>
        </w:rPr>
      </w:pPr>
    </w:p>
    <w:p>
      <w:pPr>
        <w:spacing w:line="520" w:lineRule="exact"/>
        <w:rPr>
          <w:rFonts w:ascii="宋体" w:hAnsi="宋体" w:cs="宋体"/>
          <w:b/>
          <w:bCs/>
          <w:sz w:val="36"/>
          <w:szCs w:val="44"/>
          <w:highlight w:val="none"/>
        </w:rPr>
      </w:pPr>
    </w:p>
    <w:p>
      <w:pPr>
        <w:spacing w:line="520" w:lineRule="exact"/>
        <w:rPr>
          <w:rFonts w:ascii="宋体" w:hAnsi="宋体" w:cs="宋体"/>
          <w:b/>
          <w:bCs/>
          <w:sz w:val="36"/>
          <w:szCs w:val="44"/>
          <w:highlight w:val="none"/>
        </w:rPr>
      </w:pPr>
    </w:p>
    <w:p>
      <w:pPr>
        <w:spacing w:line="520" w:lineRule="exact"/>
        <w:rPr>
          <w:rFonts w:ascii="宋体" w:hAnsi="宋体" w:cs="宋体"/>
          <w:b/>
          <w:bCs/>
          <w:sz w:val="36"/>
          <w:szCs w:val="44"/>
          <w:highlight w:val="none"/>
        </w:rPr>
      </w:pPr>
    </w:p>
    <w:p>
      <w:pPr>
        <w:spacing w:line="680" w:lineRule="exact"/>
        <w:rPr>
          <w:rFonts w:ascii="宋体" w:hAnsi="宋体" w:cs="宋体"/>
          <w:sz w:val="44"/>
          <w:szCs w:val="44"/>
          <w:highlight w:val="none"/>
        </w:rPr>
      </w:pPr>
    </w:p>
    <w:p>
      <w:pPr>
        <w:spacing w:line="680" w:lineRule="exact"/>
        <w:jc w:val="center"/>
        <w:rPr>
          <w:rFonts w:ascii="宋体" w:hAnsi="宋体" w:cs="宋体"/>
          <w:sz w:val="44"/>
          <w:szCs w:val="44"/>
          <w:highlight w:val="none"/>
        </w:rPr>
      </w:pPr>
      <w:r>
        <w:rPr>
          <w:rFonts w:hint="eastAsia" w:ascii="宋体" w:hAnsi="宋体" w:cs="宋体"/>
          <w:sz w:val="44"/>
          <w:szCs w:val="44"/>
          <w:highlight w:val="none"/>
        </w:rPr>
        <w:t>养老机构管理办法</w:t>
      </w:r>
    </w:p>
    <w:p>
      <w:pPr>
        <w:spacing w:line="560" w:lineRule="exact"/>
        <w:ind w:left="-105" w:leftChars="-50"/>
        <w:jc w:val="center"/>
        <w:rPr>
          <w:rFonts w:ascii="宋体" w:hAnsi="宋体" w:cs="宋体"/>
          <w:sz w:val="32"/>
          <w:szCs w:val="32"/>
          <w:highlight w:val="none"/>
        </w:rPr>
      </w:pPr>
    </w:p>
    <w:p>
      <w:pPr>
        <w:spacing w:line="560" w:lineRule="exact"/>
        <w:ind w:left="-105" w:leftChars="-50"/>
        <w:jc w:val="center"/>
        <w:rPr>
          <w:rFonts w:ascii="宋体" w:hAnsi="宋体" w:cs="宋体"/>
          <w:sz w:val="32"/>
          <w:szCs w:val="32"/>
          <w:highlight w:val="none"/>
        </w:rPr>
      </w:pPr>
    </w:p>
    <w:p>
      <w:pPr>
        <w:spacing w:line="600" w:lineRule="exact"/>
        <w:jc w:val="center"/>
        <w:rPr>
          <w:rFonts w:ascii="宋体" w:hAnsi="宋体" w:cs="宋体"/>
          <w:bCs/>
          <w:sz w:val="32"/>
          <w:szCs w:val="32"/>
          <w:highlight w:val="none"/>
        </w:rPr>
      </w:pPr>
      <w:r>
        <w:rPr>
          <w:rFonts w:hint="eastAsia" w:ascii="宋体" w:hAnsi="宋体" w:cs="宋体"/>
          <w:bCs/>
          <w:sz w:val="32"/>
          <w:szCs w:val="32"/>
          <w:highlight w:val="none"/>
        </w:rPr>
        <w:t>第一章  总 则</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第一条</w:t>
      </w:r>
      <w:r>
        <w:rPr>
          <w:rFonts w:hint="eastAsia" w:ascii="宋体" w:hAnsi="宋体" w:cs="宋体"/>
          <w:bCs/>
          <w:kern w:val="0"/>
          <w:sz w:val="32"/>
          <w:szCs w:val="32"/>
          <w:highlight w:val="none"/>
        </w:rPr>
        <w:t>为了规范对养老机构的管理，促进养老服务健康发展，根据《中华人民共和国老年人权益保障法》和有关法律、行政法规，制定本办法。</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第二条</w:t>
      </w:r>
      <w:r>
        <w:rPr>
          <w:rFonts w:hint="eastAsia" w:ascii="宋体" w:hAnsi="宋体" w:cs="宋体"/>
          <w:bCs/>
          <w:kern w:val="0"/>
          <w:sz w:val="32"/>
          <w:szCs w:val="32"/>
          <w:highlight w:val="none"/>
        </w:rPr>
        <w:t>本办法所称养老机构是指依法办理登记，为老年人提供全日集中住宿和照料护理服务，床位数在10张以上的机构。</w:t>
      </w:r>
    </w:p>
    <w:p>
      <w:pPr>
        <w:snapToGrid w:val="0"/>
        <w:spacing w:line="600" w:lineRule="exact"/>
        <w:ind w:firstLine="640" w:firstLineChars="200"/>
        <w:rPr>
          <w:rFonts w:ascii="宋体" w:hAnsi="宋体" w:cs="宋体"/>
          <w:sz w:val="32"/>
          <w:szCs w:val="32"/>
          <w:highlight w:val="none"/>
        </w:rPr>
      </w:pPr>
      <w:r>
        <w:rPr>
          <w:rFonts w:hint="eastAsia" w:ascii="宋体" w:hAnsi="宋体" w:cs="宋体"/>
          <w:bCs/>
          <w:kern w:val="0"/>
          <w:sz w:val="32"/>
          <w:szCs w:val="32"/>
          <w:highlight w:val="none"/>
        </w:rPr>
        <w:t>养老机构包括营利性养老机构和非营利性养老机构。</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第三条</w:t>
      </w:r>
      <w:r>
        <w:rPr>
          <w:rFonts w:hint="eastAsia" w:ascii="宋体" w:hAnsi="宋体" w:cs="宋体"/>
          <w:bCs/>
          <w:kern w:val="0"/>
          <w:sz w:val="32"/>
          <w:szCs w:val="32"/>
          <w:highlight w:val="none"/>
        </w:rPr>
        <w:t>县级以上人民政府民政部门负责养老机构的指导、监督和管理。其他有关部门依照职责分工对养老机构实施监督。</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第四条</w:t>
      </w:r>
      <w:r>
        <w:rPr>
          <w:rFonts w:hint="eastAsia" w:ascii="宋体" w:hAnsi="宋体" w:cs="宋体"/>
          <w:bCs/>
          <w:kern w:val="0"/>
          <w:sz w:val="32"/>
          <w:szCs w:val="32"/>
          <w:highlight w:val="none"/>
        </w:rPr>
        <w:t>养老机构应当按照建筑、消防、食品安全、医疗卫生、特种设备等法律、法规和强制性标准开展服务活动。</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养老机构及其工作人员应当依法保障收住老年人的人身权、财产权等合法权益。</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第五条</w:t>
      </w:r>
      <w:r>
        <w:rPr>
          <w:rFonts w:hint="eastAsia" w:ascii="宋体" w:hAnsi="宋体" w:cs="宋体"/>
          <w:bCs/>
          <w:kern w:val="0"/>
          <w:sz w:val="32"/>
          <w:szCs w:val="32"/>
          <w:highlight w:val="none"/>
        </w:rPr>
        <w:t>入住养老机构的老年人及其代理人应当遵守养老机构的规章制度，维护养老机构正常服务秩序。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第六条</w:t>
      </w:r>
      <w:r>
        <w:rPr>
          <w:rFonts w:hint="eastAsia" w:ascii="宋体" w:hAnsi="宋体" w:cs="宋体"/>
          <w:bCs/>
          <w:kern w:val="0"/>
          <w:sz w:val="32"/>
          <w:szCs w:val="32"/>
          <w:highlight w:val="none"/>
        </w:rPr>
        <w:t>政府投资兴办的养老机构在满足特困人员集中供养需求的前提下，优先保障经济困难的孤寡、失能、高龄、计划生育特殊家庭等老年人的服务需求。</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政府投资兴办的养老机构，可以采取委托管理、租赁经营等方式，交由社会力量运营管理。</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第七条</w:t>
      </w:r>
      <w:r>
        <w:rPr>
          <w:rFonts w:hint="eastAsia" w:ascii="宋体" w:hAnsi="宋体" w:cs="宋体"/>
          <w:bCs/>
          <w:kern w:val="0"/>
          <w:sz w:val="32"/>
          <w:szCs w:val="32"/>
          <w:highlight w:val="none"/>
        </w:rPr>
        <w:t>民政部门应当会同有关部门采取措施，鼓励、支持企业事业单位、社会组织或者个人兴办、运营养老机构。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鼓励自然人、法人或者其他组织依法为养老机构提供捐赠和志愿服务。</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第八条</w:t>
      </w:r>
      <w:r>
        <w:rPr>
          <w:rFonts w:hint="eastAsia" w:ascii="宋体" w:hAnsi="宋体" w:cs="宋体"/>
          <w:bCs/>
          <w:kern w:val="0"/>
          <w:sz w:val="32"/>
          <w:szCs w:val="32"/>
          <w:highlight w:val="none"/>
        </w:rPr>
        <w:t>鼓励养老机构加入养老服务行业组织，加强行业自律和诚信建设，促进行业规范有序发展。</w:t>
      </w:r>
    </w:p>
    <w:p>
      <w:pPr>
        <w:spacing w:line="600" w:lineRule="exact"/>
        <w:ind w:firstLine="640" w:firstLineChars="200"/>
        <w:rPr>
          <w:rFonts w:ascii="宋体" w:hAnsi="宋体" w:cs="宋体"/>
          <w:bCs/>
          <w:kern w:val="0"/>
          <w:sz w:val="32"/>
          <w:szCs w:val="32"/>
          <w:highlight w:val="none"/>
        </w:rPr>
      </w:pPr>
    </w:p>
    <w:p>
      <w:pPr>
        <w:spacing w:line="600" w:lineRule="exact"/>
        <w:jc w:val="center"/>
        <w:rPr>
          <w:rFonts w:ascii="宋体" w:hAnsi="宋体" w:cs="宋体"/>
          <w:bCs/>
          <w:sz w:val="32"/>
          <w:szCs w:val="32"/>
          <w:highlight w:val="none"/>
        </w:rPr>
      </w:pPr>
      <w:r>
        <w:rPr>
          <w:rFonts w:hint="eastAsia" w:ascii="宋体" w:hAnsi="宋体" w:cs="宋体"/>
          <w:bCs/>
          <w:sz w:val="32"/>
          <w:szCs w:val="32"/>
          <w:highlight w:val="none"/>
        </w:rPr>
        <w:t>第二章  备案办理</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第九条</w:t>
      </w:r>
      <w:r>
        <w:rPr>
          <w:rFonts w:hint="eastAsia" w:ascii="宋体" w:hAnsi="宋体" w:cs="宋体"/>
          <w:bCs/>
          <w:kern w:val="0"/>
          <w:sz w:val="32"/>
          <w:szCs w:val="32"/>
          <w:highlight w:val="none"/>
        </w:rPr>
        <w:t>设立营利性养老机构，应当在市场监督管理部门办理登记。设立非营利性养老机构，应当依法办理相应的登记。</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养老机构登记后即可开展服务活动。</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第十条</w:t>
      </w:r>
      <w:r>
        <w:rPr>
          <w:rFonts w:hint="eastAsia" w:ascii="宋体" w:hAnsi="宋体" w:cs="宋体"/>
          <w:bCs/>
          <w:kern w:val="0"/>
          <w:sz w:val="32"/>
          <w:szCs w:val="32"/>
          <w:highlight w:val="none"/>
        </w:rPr>
        <w:t>营利性养老机构办理备案，应当在收住老年人后10个工作日以内向服务场所所在地的县级人民政府民政部门提出。非营利性养老机构办理备案，应当在收住老年人后10个工作日以内向登记管理机关同级的人民政府民政部门提出。</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第十一条</w:t>
      </w:r>
      <w:r>
        <w:rPr>
          <w:rFonts w:hint="eastAsia" w:ascii="宋体" w:hAnsi="宋体" w:cs="宋体"/>
          <w:bCs/>
          <w:kern w:val="0"/>
          <w:sz w:val="32"/>
          <w:szCs w:val="32"/>
          <w:highlight w:val="none"/>
        </w:rPr>
        <w:t>养老机构办理备案，应当向民政部门提交备案申请书、养老机构登记证书、符合本办法第四条要求的承诺书等材料，并对真实性负责。</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备案申请书应当包括下列内容：</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（一）养老机构基本情况，包括名称、住所、法定代表人或者主要负责人信息等；</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（二）服务场所权属；</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（三）养老床位数量；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（四）服务设施面积；</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（五）联系人和联系方式。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民政部门应当加强信息化建设，逐步实现网上备案。</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第十二条</w:t>
      </w:r>
      <w:r>
        <w:rPr>
          <w:rFonts w:hint="eastAsia" w:ascii="宋体" w:hAnsi="宋体" w:cs="宋体"/>
          <w:bCs/>
          <w:kern w:val="0"/>
          <w:sz w:val="32"/>
          <w:szCs w:val="32"/>
          <w:highlight w:val="none"/>
        </w:rPr>
        <w:t>民政部门收到养老机构备案材料后，对材料齐全的，应当出具备案回执；材料不齐全的，应当指导养老机构补正。</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第十三条</w:t>
      </w:r>
      <w:r>
        <w:rPr>
          <w:rFonts w:hint="eastAsia" w:ascii="宋体" w:hAnsi="宋体" w:cs="宋体"/>
          <w:bCs/>
          <w:kern w:val="0"/>
          <w:sz w:val="32"/>
          <w:szCs w:val="32"/>
          <w:highlight w:val="none"/>
        </w:rPr>
        <w:t>已经备案的养老机构变更名称、法定代表人或者主要负责人等登记事项，或者变更服务场所权属、养老床位数量、服务设施面积等事项的，应当及时向原备案民政部门办理变更备案。</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在原备案机关辖区内变更服务场所的，应当及时向原备案民政部门办理变更备案。营利性养老机构跨原备案机关辖区变更服务场所的，应当及时向变更后的服务场所所在地县级人民政府民政部门办理备案。</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第十四条</w:t>
      </w:r>
      <w:r>
        <w:rPr>
          <w:rFonts w:hint="eastAsia" w:ascii="宋体" w:hAnsi="宋体" w:cs="宋体"/>
          <w:bCs/>
          <w:kern w:val="0"/>
          <w:sz w:val="32"/>
          <w:szCs w:val="32"/>
          <w:highlight w:val="none"/>
        </w:rPr>
        <w:t>民政部门应当通过政府网站、政务新媒体、办事大厅公示栏、服务窗口等途径向社会公开备案事项及流程、材料清单等信息。</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民政部门应当依托全国一体化在线政务服务平台，推进登记管理机关、备案机关信息系统互联互通、数据共享。</w:t>
      </w:r>
    </w:p>
    <w:p>
      <w:pPr>
        <w:spacing w:line="600" w:lineRule="exact"/>
        <w:jc w:val="center"/>
        <w:rPr>
          <w:rFonts w:ascii="宋体" w:hAnsi="宋体" w:cs="宋体"/>
          <w:bCs/>
          <w:sz w:val="32"/>
          <w:szCs w:val="32"/>
          <w:highlight w:val="none"/>
        </w:rPr>
      </w:pPr>
      <w:r>
        <w:rPr>
          <w:rFonts w:hint="eastAsia" w:ascii="宋体" w:hAnsi="宋体" w:cs="宋体"/>
          <w:bCs/>
          <w:sz w:val="32"/>
          <w:szCs w:val="32"/>
          <w:highlight w:val="none"/>
        </w:rPr>
        <w:t>第三章  服务规范</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第十五条</w:t>
      </w:r>
      <w:r>
        <w:rPr>
          <w:rFonts w:hint="eastAsia" w:ascii="宋体" w:hAnsi="宋体" w:cs="宋体"/>
          <w:bCs/>
          <w:kern w:val="0"/>
          <w:sz w:val="32"/>
          <w:szCs w:val="32"/>
          <w:highlight w:val="none"/>
        </w:rPr>
        <w:t>养老机构应当建立入院评估制度，对老年人的身心状况进行评估，并根据评估结果确定照料护理等级。</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老年人身心状况发生变化，需要变更照料护理等级的，养老机构应当重新进行评估。</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养老机构确定或者变更老年人照料护理等级，应当经老年人或者其代理人同意。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第十六条</w:t>
      </w:r>
      <w:r>
        <w:rPr>
          <w:rFonts w:hint="eastAsia" w:ascii="宋体" w:hAnsi="宋体" w:cs="宋体"/>
          <w:bCs/>
          <w:kern w:val="0"/>
          <w:sz w:val="32"/>
          <w:szCs w:val="32"/>
          <w:highlight w:val="none"/>
        </w:rPr>
        <w:t>养老机构应当与老年人或者其代理人签订服务协议，明确当事人的权利和义务。</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服务协议一般包括下列条款：</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（一）养老机构的名称、住所、法定代表人或者主要负责人、联系方式；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（二）老年人或者其代理人和紧急联系人的姓名、住址、身份证明、联系方式；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（三）照料护理等级和服务内容、服务方式；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（四）收费标准和费用支付方式；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（五）服务期限和场所；</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（六）协议变更、解除与终止的条件；</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（七）暂停或者终止服务时老年人安置方式；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（八）违约责任和争议解决方式；</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（九）当事人协商一致的其他内容。</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第十七条</w:t>
      </w:r>
      <w:r>
        <w:rPr>
          <w:rFonts w:hint="eastAsia" w:ascii="宋体" w:hAnsi="宋体" w:cs="宋体"/>
          <w:bCs/>
          <w:kern w:val="0"/>
          <w:sz w:val="32"/>
          <w:szCs w:val="32"/>
          <w:highlight w:val="none"/>
        </w:rPr>
        <w:t>养老机构按照服务协议为老年人提供生活照料、康复护理、精神慰藉、文化娱乐等服务。</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第十八条</w:t>
      </w:r>
      <w:r>
        <w:rPr>
          <w:rFonts w:hint="eastAsia" w:ascii="宋体" w:hAnsi="宋体" w:cs="宋体"/>
          <w:bCs/>
          <w:kern w:val="0"/>
          <w:sz w:val="32"/>
          <w:szCs w:val="32"/>
          <w:highlight w:val="none"/>
        </w:rPr>
        <w:t>养老机构应当为老年人提供饮食、起居、清洁、卫生等生活照料服务。</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养老机构应当提供符合老年人住宿条件的居住用房，并配备适合老年人安全保护要求的设施、设备及用具，定期对老年人的活动场所和物品进行消毒和清洗。</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养老机构提供的饮食应当符合食品安全要求、适宜老年人食用、有利于老年人营养平衡、符合民族风俗习惯。</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第十九条</w:t>
      </w:r>
      <w:r>
        <w:rPr>
          <w:rFonts w:hint="eastAsia" w:ascii="宋体" w:hAnsi="宋体" w:cs="宋体"/>
          <w:bCs/>
          <w:kern w:val="0"/>
          <w:sz w:val="32"/>
          <w:szCs w:val="32"/>
          <w:highlight w:val="none"/>
        </w:rPr>
        <w:t>养老机构应当为老年人建立健康档案，开展日常保健知识宣传，做好疾病预防工作。养老机构在老年人突发危重疾病时，应当及时转送医疗机构救治并通知其紧急联系人。</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养老机构可以通过设立医疗机构或者采取与周边医疗机构合作的方式，为老年人提供医疗服务。养老机构设立医疗机构的，应当按照医疗机构管理相关法律法规进行管理。</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第二十条</w:t>
      </w:r>
      <w:r>
        <w:rPr>
          <w:rFonts w:hint="eastAsia" w:ascii="宋体" w:hAnsi="宋体" w:cs="宋体"/>
          <w:bCs/>
          <w:kern w:val="0"/>
          <w:sz w:val="32"/>
          <w:szCs w:val="32"/>
          <w:highlight w:val="none"/>
        </w:rPr>
        <w:t>养老机构发现老年人为传染病病人或者疑似传染病病人的，应当及时向附近的疾病预防控制机构或者医疗机构报告，配合实施卫生处理、隔离等预防控制措施。</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养老机构发现老年人为疑似精神障碍患者的，应当依照精神卫生相关法律法规的规定处理。</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第二十一条</w:t>
      </w:r>
      <w:r>
        <w:rPr>
          <w:rFonts w:hint="eastAsia" w:ascii="宋体" w:hAnsi="宋体" w:cs="宋体"/>
          <w:bCs/>
          <w:kern w:val="0"/>
          <w:sz w:val="32"/>
          <w:szCs w:val="32"/>
          <w:highlight w:val="none"/>
        </w:rPr>
        <w:t>养老机构应当根据需要为老年人提供情绪疏导、心理咨询、危机干预等精神慰藉服务。</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第二十二条</w:t>
      </w:r>
      <w:r>
        <w:rPr>
          <w:rFonts w:hint="eastAsia" w:ascii="宋体" w:hAnsi="宋体" w:cs="宋体"/>
          <w:bCs/>
          <w:kern w:val="0"/>
          <w:sz w:val="32"/>
          <w:szCs w:val="32"/>
          <w:highlight w:val="none"/>
        </w:rPr>
        <w:t>养老机构应当开展适合老年人的文化、教育、体育、娱乐活动，丰富老年人的精神文化生活。</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养老机构开展文化、教育、体育、娱乐活动时，应当为老年人提供必要的安全防护措施。</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第二十三条</w:t>
      </w:r>
      <w:r>
        <w:rPr>
          <w:rFonts w:hint="eastAsia" w:ascii="宋体" w:hAnsi="宋体" w:cs="宋体"/>
          <w:bCs/>
          <w:kern w:val="0"/>
          <w:sz w:val="32"/>
          <w:szCs w:val="32"/>
          <w:highlight w:val="none"/>
        </w:rPr>
        <w:t>养老机构应当为老年人家庭成员看望或者问候老年人提供便利，为老年人联系家庭成员提供帮助。</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第二十四条</w:t>
      </w:r>
      <w:r>
        <w:rPr>
          <w:rFonts w:hint="eastAsia" w:ascii="宋体" w:hAnsi="宋体" w:cs="宋体"/>
          <w:bCs/>
          <w:kern w:val="0"/>
          <w:sz w:val="32"/>
          <w:szCs w:val="32"/>
          <w:highlight w:val="none"/>
        </w:rPr>
        <w:t>鼓励养老机构运营社区养老服务设施，或者上门为居家老年人提供助餐、助浴、助洁等服务。</w:t>
      </w:r>
    </w:p>
    <w:p>
      <w:pPr>
        <w:spacing w:line="600" w:lineRule="exact"/>
        <w:jc w:val="center"/>
        <w:rPr>
          <w:rFonts w:ascii="宋体" w:hAnsi="宋体" w:cs="宋体"/>
          <w:bCs/>
          <w:sz w:val="32"/>
          <w:szCs w:val="32"/>
          <w:highlight w:val="none"/>
        </w:rPr>
      </w:pPr>
    </w:p>
    <w:p>
      <w:pPr>
        <w:spacing w:line="600" w:lineRule="exact"/>
        <w:jc w:val="center"/>
        <w:rPr>
          <w:rFonts w:ascii="宋体" w:hAnsi="宋体" w:cs="宋体"/>
          <w:bCs/>
          <w:sz w:val="32"/>
          <w:szCs w:val="32"/>
          <w:highlight w:val="none"/>
        </w:rPr>
      </w:pPr>
      <w:r>
        <w:rPr>
          <w:rFonts w:hint="eastAsia" w:ascii="宋体" w:hAnsi="宋体" w:cs="宋体"/>
          <w:bCs/>
          <w:sz w:val="32"/>
          <w:szCs w:val="32"/>
          <w:highlight w:val="none"/>
        </w:rPr>
        <w:t>第四章  运营管理</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第二十五条</w:t>
      </w:r>
      <w:r>
        <w:rPr>
          <w:rFonts w:hint="eastAsia" w:ascii="宋体" w:hAnsi="宋体" w:cs="宋体"/>
          <w:bCs/>
          <w:kern w:val="0"/>
          <w:sz w:val="32"/>
          <w:szCs w:val="32"/>
          <w:highlight w:val="none"/>
        </w:rPr>
        <w:t>养老机构应当按照国家有关规定建立健全安全、消防、食品、卫生、财务、档案管理等规章制度，制定服务标准和工作流程，并予以公开。</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第二十六条</w:t>
      </w:r>
      <w:r>
        <w:rPr>
          <w:rFonts w:hint="eastAsia" w:ascii="宋体" w:hAnsi="宋体" w:cs="宋体"/>
          <w:bCs/>
          <w:kern w:val="0"/>
          <w:sz w:val="32"/>
          <w:szCs w:val="32"/>
          <w:highlight w:val="none"/>
        </w:rPr>
        <w:t>养老机构应当配备与服务和运营相适应的工作人员，并依法与其签订聘用合同或者劳动合同，定期开展职业道德教育和业务培训。</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养老机构中从事医疗、康复、消防等服务的人员，应当具备相应的职业资格。</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养老机构应当加强对养老护理人员的职业技能培训，建立健全体现职业技能等级等因素的薪酬制度。</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第二十七条</w:t>
      </w:r>
      <w:r>
        <w:rPr>
          <w:rFonts w:hint="eastAsia" w:ascii="宋体" w:hAnsi="宋体" w:cs="宋体"/>
          <w:bCs/>
          <w:kern w:val="0"/>
          <w:sz w:val="32"/>
          <w:szCs w:val="32"/>
          <w:highlight w:val="none"/>
        </w:rPr>
        <w:t>养老机构应当依照其登记类型、经营性质、运营方式、设施设备条件、管理水平、服务质量、照料护理等级等因素合理确定服务项目的收费标准，并遵守国家和地方政府价格管理有关规定。</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养老机构应当在醒目位置公示各类服务项目收费标准和收费依据，接受社会监督。</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第二十八条</w:t>
      </w:r>
      <w:r>
        <w:rPr>
          <w:rFonts w:hint="eastAsia" w:ascii="宋体" w:hAnsi="宋体" w:cs="宋体"/>
          <w:bCs/>
          <w:kern w:val="0"/>
          <w:sz w:val="32"/>
          <w:szCs w:val="32"/>
          <w:highlight w:val="none"/>
        </w:rPr>
        <w:t>养老机构应当实行24小时值班，做好老年人安全保障工作。</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养老机构应当在各出入口、接待大厅、值班室、楼道、食堂等公共场所安装视频监控设施，并妥善保管视频监控记录。</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第二十九条</w:t>
      </w:r>
      <w:r>
        <w:rPr>
          <w:rFonts w:hint="eastAsia" w:ascii="宋体" w:hAnsi="宋体" w:cs="宋体"/>
          <w:bCs/>
          <w:kern w:val="0"/>
          <w:sz w:val="32"/>
          <w:szCs w:val="32"/>
          <w:highlight w:val="none"/>
        </w:rPr>
        <w:t>养老机构内设食堂的，应当取得市场监督管理部门颁发的食品经营许可证，严格遵守相关法律、法规和食品安全标准，执行原料控制、餐具饮具清洗消毒、食品留样等制度，并依法开展食堂食品安全自查。</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养老机构从供餐单位订餐的，应当从取得食品生产经营许可的供餐单位订购，并按照要求对订购的食品进行查验。</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第三十条</w:t>
      </w:r>
      <w:r>
        <w:rPr>
          <w:rFonts w:hint="eastAsia" w:ascii="宋体" w:hAnsi="宋体" w:cs="宋体"/>
          <w:bCs/>
          <w:kern w:val="0"/>
          <w:sz w:val="32"/>
          <w:szCs w:val="32"/>
          <w:highlight w:val="none"/>
        </w:rPr>
        <w:t>养老机构应当依法履行消防安全职责，健全消防安全管理制度，实行消防工作责任制，配置消防设施、器材并定期检测、维修，开展日常防火巡查、检查，定期组织灭火和应急疏散消防安全培训。</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养老机构的法定代表人或者主要负责人对本单位消防安全工作全面负责，属于消防安全重点单位的养老机构应当确定消防安全管理人，负责组织实施本单位消防安全管理工作，并报告当地消防救援机构。</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第三十一条</w:t>
      </w:r>
      <w:r>
        <w:rPr>
          <w:rFonts w:hint="eastAsia" w:ascii="宋体" w:hAnsi="宋体" w:cs="宋体"/>
          <w:bCs/>
          <w:kern w:val="0"/>
          <w:sz w:val="32"/>
          <w:szCs w:val="32"/>
          <w:highlight w:val="none"/>
        </w:rPr>
        <w:t>养老机构应当依法制定自然灾害、事故灾难、公共卫生事件、社会安全事件等突发事件应急预案，在场所内配备报警装置和必要的应急救援设备、设施，定期开展突发事件应急演练。</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突发事件发生后，养老机构应当立即启动应急预案，采取防止危害扩大的必要处置措施，同时根据突发事件应对管理职责分工向有关部门和民政部门报告。</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sz w:val="32"/>
          <w:szCs w:val="32"/>
          <w:highlight w:val="none"/>
        </w:rPr>
        <w:t>第三十二条</w:t>
      </w:r>
      <w:r>
        <w:rPr>
          <w:rFonts w:hint="eastAsia" w:ascii="宋体" w:hAnsi="宋体" w:cs="宋体"/>
          <w:bCs/>
          <w:kern w:val="0"/>
          <w:sz w:val="32"/>
          <w:szCs w:val="32"/>
          <w:highlight w:val="none"/>
        </w:rPr>
        <w:t>养老机构应当建立老年人信息档案，收集和妥善保管服务协议等相关资料。档案的保管期限不少于服务协议期满后五年。</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养老机构及其工作人员应当保护老年人的个人信息和隐私。</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sz w:val="32"/>
          <w:szCs w:val="32"/>
          <w:highlight w:val="none"/>
        </w:rPr>
        <w:t>第三十三条</w:t>
      </w:r>
      <w:r>
        <w:rPr>
          <w:rFonts w:hint="eastAsia" w:ascii="宋体" w:hAnsi="宋体" w:cs="宋体"/>
          <w:bCs/>
          <w:kern w:val="0"/>
          <w:sz w:val="32"/>
          <w:szCs w:val="32"/>
          <w:highlight w:val="none"/>
        </w:rPr>
        <w:t>养老机构应当按照国家有关规定接受、使用捐赠、资助。</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鼓励养老机构为社会工作者、志愿者在机构内开展服务提供便利。</w:t>
      </w:r>
    </w:p>
    <w:p>
      <w:pPr>
        <w:spacing w:line="600" w:lineRule="exact"/>
        <w:ind w:firstLine="640" w:firstLineChars="200"/>
        <w:rPr>
          <w:rFonts w:ascii="宋体" w:hAnsi="宋体" w:cs="宋体"/>
          <w:bCs/>
          <w:kern w:val="0"/>
          <w:sz w:val="32"/>
          <w:szCs w:val="32"/>
          <w:highlight w:val="none"/>
        </w:rPr>
      </w:pPr>
      <w:r>
        <w:rPr>
          <w:rFonts w:hint="eastAsia" w:ascii="宋体" w:hAnsi="宋体" w:cs="宋体"/>
          <w:sz w:val="32"/>
          <w:szCs w:val="32"/>
          <w:highlight w:val="none"/>
        </w:rPr>
        <w:t>第三十四条</w:t>
      </w:r>
      <w:r>
        <w:rPr>
          <w:rFonts w:hint="eastAsia" w:ascii="宋体" w:hAnsi="宋体" w:cs="宋体"/>
          <w:bCs/>
          <w:kern w:val="0"/>
          <w:sz w:val="32"/>
          <w:szCs w:val="32"/>
          <w:highlight w:val="none"/>
        </w:rPr>
        <w:t>鼓励养老机构投保责任保险，降低机构运营风险。</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sz w:val="32"/>
          <w:szCs w:val="32"/>
          <w:highlight w:val="none"/>
        </w:rPr>
        <w:t xml:space="preserve">第三十五条  </w:t>
      </w:r>
      <w:r>
        <w:rPr>
          <w:rFonts w:hint="eastAsia" w:ascii="宋体" w:hAnsi="宋体" w:cs="宋体"/>
          <w:bCs/>
          <w:kern w:val="0"/>
          <w:sz w:val="32"/>
          <w:szCs w:val="32"/>
          <w:highlight w:val="none"/>
        </w:rPr>
        <w:t>养老机构因变更或者终止等原因暂停、终止服务的，应当在合理期限内提前书面通知老年人或者其代理人，并书面告知民政部门。</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老年人需要安置的，养老机构应当根据服务协议约定与老年人或者其代理人协商确定安置事宜。民政部门应当为养老机构妥善安置老年人提供帮助。</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养老机构终止服务后，应当依法清算并办理注销登记。</w:t>
      </w:r>
    </w:p>
    <w:p>
      <w:pPr>
        <w:spacing w:line="600" w:lineRule="exact"/>
        <w:jc w:val="center"/>
        <w:rPr>
          <w:rFonts w:ascii="宋体" w:hAnsi="宋体" w:cs="宋体"/>
          <w:bCs/>
          <w:sz w:val="32"/>
          <w:szCs w:val="32"/>
          <w:highlight w:val="none"/>
        </w:rPr>
      </w:pPr>
    </w:p>
    <w:p>
      <w:pPr>
        <w:spacing w:line="600" w:lineRule="exact"/>
        <w:jc w:val="center"/>
        <w:rPr>
          <w:rFonts w:ascii="宋体" w:hAnsi="宋体" w:cs="宋体"/>
          <w:bCs/>
          <w:sz w:val="32"/>
          <w:szCs w:val="32"/>
          <w:highlight w:val="none"/>
        </w:rPr>
      </w:pPr>
      <w:r>
        <w:rPr>
          <w:rFonts w:hint="eastAsia" w:ascii="宋体" w:hAnsi="宋体" w:cs="宋体"/>
          <w:bCs/>
          <w:sz w:val="32"/>
          <w:szCs w:val="32"/>
          <w:highlight w:val="none"/>
        </w:rPr>
        <w:t>第五章  监督检查</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sz w:val="32"/>
          <w:szCs w:val="32"/>
          <w:highlight w:val="none"/>
        </w:rPr>
        <w:t>第三十六条</w:t>
      </w:r>
      <w:r>
        <w:rPr>
          <w:rFonts w:hint="eastAsia" w:ascii="宋体" w:hAnsi="宋体" w:cs="宋体"/>
          <w:bCs/>
          <w:kern w:val="0"/>
          <w:sz w:val="32"/>
          <w:szCs w:val="32"/>
          <w:highlight w:val="none"/>
        </w:rPr>
        <w:t>民政部门应当加强对养老机构服务和运营的监督检查，发现违反本办法规定的，及时依法予以处理并向社会公布。</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民政部门在监督检查中发现养老机构存在应当由其他部门查处的违法违规行为的，及时通报有关部门处理。</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 xml:space="preserve">第三十七条 </w:t>
      </w:r>
      <w:r>
        <w:rPr>
          <w:rFonts w:hint="eastAsia" w:ascii="宋体" w:hAnsi="宋体" w:cs="宋体"/>
          <w:bCs/>
          <w:kern w:val="0"/>
          <w:sz w:val="32"/>
          <w:szCs w:val="32"/>
          <w:highlight w:val="none"/>
        </w:rPr>
        <w:t>民政部门依法履行监督检查职责，可以采取以下措施：</w:t>
      </w:r>
    </w:p>
    <w:p>
      <w:pPr>
        <w:numPr>
          <w:ilvl w:val="0"/>
          <w:numId w:val="1"/>
        </w:num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向养老机构和个人了解情况；</w:t>
      </w:r>
    </w:p>
    <w:p>
      <w:pPr>
        <w:snapToGrid w:val="0"/>
        <w:spacing w:line="600" w:lineRule="exact"/>
        <w:ind w:left="420" w:leftChars="200"/>
        <w:rPr>
          <w:rFonts w:ascii="宋体" w:hAnsi="宋体" w:cs="宋体"/>
          <w:bCs/>
          <w:kern w:val="0"/>
          <w:sz w:val="32"/>
          <w:szCs w:val="32"/>
          <w:highlight w:val="none"/>
        </w:rPr>
      </w:pPr>
      <w:r>
        <w:rPr>
          <w:rFonts w:hint="eastAsia" w:ascii="宋体" w:hAnsi="宋体" w:cs="宋体"/>
          <w:bCs/>
          <w:kern w:val="0"/>
          <w:sz w:val="32"/>
          <w:szCs w:val="32"/>
          <w:highlight w:val="none"/>
        </w:rPr>
        <w:t>（二）进入涉嫌违法的养老机构进行现场检查；</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（三）查阅或者复制有关合同、票据、账簿及其他有关资料；</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（四）发现养老机构存在可能危及人身健康和生命财产安全风险的，责令限期改正，逾期不改正的，责令停业整顿。</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民政部门实施监督检查时，监督检查人员不得少于2人，应当出示执法证件。</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对民政部门依法进行的监督检查，养老机构应当配合，如实提供相关资料和信息，不得隐瞒、拒绝、阻碍。</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第三十八条</w:t>
      </w:r>
      <w:r>
        <w:rPr>
          <w:rFonts w:hint="eastAsia" w:ascii="宋体" w:hAnsi="宋体" w:cs="宋体"/>
          <w:bCs/>
          <w:kern w:val="0"/>
          <w:sz w:val="32"/>
          <w:szCs w:val="32"/>
          <w:highlight w:val="none"/>
        </w:rPr>
        <w:t>对已经备案的养老机构，备案民政部门应当自备案之日起20个工作日以内进行现场检查，并核实备案信息；对未备案的养老机构，服务场所所在地的县级人民政府民政部门应当自发现其收住老年人之日起20个工作日以内进行现场检查，并督促及时备案。</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民政部门应当每年对养老机构服务安全和质量进行不少于一次的现场检查。</w:t>
      </w:r>
    </w:p>
    <w:p>
      <w:pPr>
        <w:pStyle w:val="4"/>
        <w:spacing w:line="600" w:lineRule="exact"/>
        <w:ind w:firstLine="640" w:firstLineChars="200"/>
        <w:jc w:val="both"/>
        <w:rPr>
          <w:rFonts w:ascii="宋体" w:hAnsi="宋体" w:cs="宋体"/>
          <w:bCs/>
          <w:kern w:val="0"/>
          <w:sz w:val="32"/>
          <w:szCs w:val="32"/>
          <w:highlight w:val="none"/>
        </w:rPr>
      </w:pPr>
      <w:r>
        <w:rPr>
          <w:rFonts w:hint="eastAsia" w:ascii="宋体" w:hAnsi="宋体" w:cs="宋体"/>
          <w:bCs/>
          <w:sz w:val="32"/>
          <w:szCs w:val="32"/>
          <w:highlight w:val="none"/>
        </w:rPr>
        <w:t>第三十九条</w:t>
      </w:r>
      <w:r>
        <w:rPr>
          <w:rFonts w:hint="eastAsia" w:ascii="宋体" w:hAnsi="宋体" w:cs="宋体"/>
          <w:bCs/>
          <w:kern w:val="0"/>
          <w:sz w:val="32"/>
          <w:szCs w:val="32"/>
          <w:highlight w:val="none"/>
        </w:rPr>
        <w:t xml:space="preserve">民政部门应当采取随机抽取检查对象、随机选派检查人员的方式对养老机构实施监督检查。抽查情况及查处结果应当及时向社会公布。  </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民政部门应当结合养老机构的服务规模、信用记录、风险程度等情况，确定抽查比例和频次。对违法失信、风险高的养老机构，适当提高抽查比例和频次，依法依规实施严管和惩戒。</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第四十条</w:t>
      </w:r>
      <w:r>
        <w:rPr>
          <w:rFonts w:hint="eastAsia" w:ascii="宋体" w:hAnsi="宋体" w:cs="宋体"/>
          <w:bCs/>
          <w:kern w:val="0"/>
          <w:sz w:val="32"/>
          <w:szCs w:val="32"/>
          <w:highlight w:val="none"/>
        </w:rPr>
        <w:t>民政部门应当加强对养老机构非法集资的防范、监测和预警工作，发现养老机构涉嫌非法集资的，按照有关规定及时移交相关部门。</w:t>
      </w:r>
    </w:p>
    <w:p>
      <w:pPr>
        <w:pStyle w:val="4"/>
        <w:spacing w:line="600" w:lineRule="exact"/>
        <w:ind w:firstLine="640" w:firstLineChars="200"/>
        <w:jc w:val="both"/>
        <w:rPr>
          <w:rFonts w:ascii="宋体" w:hAnsi="宋体" w:cs="宋体"/>
          <w:bCs/>
          <w:kern w:val="0"/>
          <w:sz w:val="32"/>
          <w:szCs w:val="32"/>
          <w:highlight w:val="none"/>
        </w:rPr>
      </w:pPr>
      <w:r>
        <w:rPr>
          <w:rFonts w:hint="eastAsia" w:ascii="宋体" w:hAnsi="宋体" w:cs="宋体"/>
          <w:bCs/>
          <w:sz w:val="32"/>
          <w:szCs w:val="32"/>
          <w:highlight w:val="none"/>
        </w:rPr>
        <w:t>第四十一条</w:t>
      </w:r>
      <w:r>
        <w:rPr>
          <w:rFonts w:hint="eastAsia" w:ascii="宋体" w:hAnsi="宋体" w:cs="宋体"/>
          <w:bCs/>
          <w:kern w:val="0"/>
          <w:sz w:val="32"/>
          <w:szCs w:val="32"/>
          <w:highlight w:val="none"/>
        </w:rPr>
        <w:t>民政部门应当充分利用信息技术手段，加强对养老机构的监督检查，提高监管能力和水平。</w:t>
      </w:r>
    </w:p>
    <w:p>
      <w:pPr>
        <w:pStyle w:val="4"/>
        <w:spacing w:line="600" w:lineRule="exact"/>
        <w:ind w:firstLine="640" w:firstLineChars="200"/>
        <w:jc w:val="both"/>
        <w:rPr>
          <w:rFonts w:ascii="宋体" w:hAnsi="宋体" w:cs="宋体"/>
          <w:bCs/>
          <w:kern w:val="0"/>
          <w:sz w:val="32"/>
          <w:szCs w:val="32"/>
          <w:highlight w:val="none"/>
        </w:rPr>
      </w:pPr>
      <w:r>
        <w:rPr>
          <w:rFonts w:hint="eastAsia" w:ascii="宋体" w:hAnsi="宋体" w:cs="宋体"/>
          <w:bCs/>
          <w:sz w:val="32"/>
          <w:szCs w:val="32"/>
          <w:highlight w:val="none"/>
        </w:rPr>
        <w:t xml:space="preserve">第四十二条  </w:t>
      </w:r>
      <w:r>
        <w:rPr>
          <w:rFonts w:hint="eastAsia" w:ascii="宋体" w:hAnsi="宋体" w:cs="宋体"/>
          <w:bCs/>
          <w:kern w:val="0"/>
          <w:sz w:val="32"/>
          <w:szCs w:val="32"/>
          <w:highlight w:val="none"/>
        </w:rPr>
        <w:t>民政部门应当定期开展养老服务行业统计工作，养老机构应当及时准确报送相关信息。</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第四十三条</w:t>
      </w:r>
      <w:r>
        <w:rPr>
          <w:rFonts w:hint="eastAsia" w:ascii="宋体" w:hAnsi="宋体" w:cs="宋体"/>
          <w:bCs/>
          <w:kern w:val="0"/>
          <w:sz w:val="32"/>
          <w:szCs w:val="32"/>
          <w:highlight w:val="none"/>
        </w:rPr>
        <w:t>养老机构应当听取老年人或者其代理人的意见和建议，发挥其对养老机构服务和运营的监督促进作用。</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第四十四条</w:t>
      </w:r>
      <w:r>
        <w:rPr>
          <w:rFonts w:hint="eastAsia" w:ascii="宋体" w:hAnsi="宋体" w:cs="宋体"/>
          <w:bCs/>
          <w:kern w:val="0"/>
          <w:sz w:val="32"/>
          <w:szCs w:val="32"/>
          <w:highlight w:val="none"/>
        </w:rPr>
        <w:t>民政部门应当畅通对养老机构的举报投诉渠道，依法及时处理有关举报投诉。</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第四十五条</w:t>
      </w:r>
      <w:r>
        <w:rPr>
          <w:rFonts w:hint="eastAsia" w:ascii="宋体" w:hAnsi="宋体" w:cs="宋体"/>
          <w:bCs/>
          <w:kern w:val="0"/>
          <w:sz w:val="32"/>
          <w:szCs w:val="32"/>
          <w:highlight w:val="none"/>
        </w:rPr>
        <w:t>民政部门发现个人或者组织未经登记以养老机构名义开展活动的，应当书面通报相关登记管理机关，并配合做好查处工作。</w:t>
      </w:r>
    </w:p>
    <w:p>
      <w:pPr>
        <w:spacing w:line="600" w:lineRule="exact"/>
        <w:jc w:val="center"/>
        <w:rPr>
          <w:rFonts w:ascii="宋体" w:hAnsi="宋体" w:cs="宋体"/>
          <w:bCs/>
          <w:sz w:val="32"/>
          <w:szCs w:val="32"/>
          <w:highlight w:val="none"/>
        </w:rPr>
      </w:pPr>
    </w:p>
    <w:p>
      <w:pPr>
        <w:spacing w:line="600" w:lineRule="exact"/>
        <w:jc w:val="center"/>
        <w:rPr>
          <w:rFonts w:ascii="宋体" w:hAnsi="宋体" w:cs="宋体"/>
          <w:bCs/>
          <w:sz w:val="32"/>
          <w:szCs w:val="32"/>
          <w:highlight w:val="none"/>
        </w:rPr>
      </w:pPr>
      <w:r>
        <w:rPr>
          <w:rFonts w:hint="eastAsia" w:ascii="宋体" w:hAnsi="宋体" w:cs="宋体"/>
          <w:bCs/>
          <w:sz w:val="32"/>
          <w:szCs w:val="32"/>
          <w:highlight w:val="none"/>
        </w:rPr>
        <w:t>第六章  法律责任</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 xml:space="preserve">第四十六条 </w:t>
      </w:r>
      <w:r>
        <w:rPr>
          <w:rFonts w:hint="eastAsia" w:ascii="宋体" w:hAnsi="宋体" w:cs="宋体"/>
          <w:bCs/>
          <w:kern w:val="0"/>
          <w:sz w:val="32"/>
          <w:szCs w:val="32"/>
          <w:highlight w:val="none"/>
        </w:rPr>
        <w:t>养老机构有下列行为之一的，由民政部门责令改正，给予警告；情节严重的，处以3万元以下的罚款：</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（一）未建立入院评估制度或者未按照规定开展评估活动的；</w:t>
      </w:r>
    </w:p>
    <w:p>
      <w:pPr>
        <w:tabs>
          <w:tab w:val="left" w:pos="1600"/>
        </w:tabs>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（二</w:t>
      </w:r>
      <w:r>
        <w:rPr>
          <w:rFonts w:hint="eastAsia" w:ascii="宋体" w:hAnsi="宋体" w:cs="宋体"/>
          <w:bCs/>
          <w:spacing w:val="3"/>
          <w:kern w:val="0"/>
          <w:sz w:val="32"/>
          <w:szCs w:val="32"/>
          <w:highlight w:val="none"/>
        </w:rPr>
        <w:t>）未</w:t>
      </w:r>
      <w:r>
        <w:rPr>
          <w:rFonts w:hint="eastAsia" w:ascii="宋体" w:hAnsi="宋体" w:cs="宋体"/>
          <w:bCs/>
          <w:kern w:val="0"/>
          <w:sz w:val="32"/>
          <w:szCs w:val="32"/>
          <w:highlight w:val="none"/>
        </w:rPr>
        <w:t>与老年人或者其代理人签订服务协议，或者未按照协议约定提供服务的；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（三）未按照有关强制性国家标准提供服务的；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（四）工作人员的资格不符合规定的；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（五）利用养老机构的房屋、场地、设施开展与养老服务宗旨无关的活动的；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（六）未依照本办法规定预防和处置突发事件的；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（七）歧视、侮辱、虐待老年人以及其他侵害老年人人身和财产权益行为的；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（八）向负责监督检查的民政部门隐瞒有关情况、提供虚假材料或者拒绝提供反映其活动情况真实材料的；</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（九）法律、法规、规章规定的其他违法行为。</w:t>
      </w:r>
    </w:p>
    <w:p>
      <w:pPr>
        <w:snapToGrid w:val="0"/>
        <w:spacing w:line="600" w:lineRule="exact"/>
        <w:ind w:firstLine="640" w:firstLineChars="200"/>
        <w:rPr>
          <w:rFonts w:ascii="宋体" w:hAnsi="宋体" w:cs="宋体"/>
          <w:bCs/>
          <w:kern w:val="0"/>
          <w:sz w:val="32"/>
          <w:szCs w:val="32"/>
          <w:highlight w:val="none"/>
        </w:rPr>
      </w:pPr>
      <w:r>
        <w:rPr>
          <w:rFonts w:hint="eastAsia" w:ascii="宋体" w:hAnsi="宋体" w:cs="宋体"/>
          <w:bCs/>
          <w:kern w:val="0"/>
          <w:sz w:val="32"/>
          <w:szCs w:val="32"/>
          <w:highlight w:val="none"/>
        </w:rPr>
        <w:t>养老机构及其工作人员违反本办法有关规定，构成违反治安管理行为的，依法给予治安管理处罚；构成犯罪的，依法追究刑事责任。</w:t>
      </w:r>
    </w:p>
    <w:p>
      <w:pPr>
        <w:spacing w:line="600" w:lineRule="exact"/>
        <w:ind w:firstLine="640" w:firstLineChars="200"/>
        <w:rPr>
          <w:rFonts w:ascii="宋体" w:hAnsi="宋体" w:cs="宋体"/>
          <w:sz w:val="32"/>
          <w:szCs w:val="32"/>
          <w:highlight w:val="none"/>
        </w:rPr>
      </w:pPr>
      <w:r>
        <w:rPr>
          <w:rFonts w:hint="eastAsia" w:ascii="宋体" w:hAnsi="宋体" w:cs="宋体"/>
          <w:bCs/>
          <w:sz w:val="32"/>
          <w:szCs w:val="32"/>
          <w:highlight w:val="none"/>
        </w:rPr>
        <w:t>第四十七条</w:t>
      </w:r>
      <w:r>
        <w:rPr>
          <w:rFonts w:hint="eastAsia" w:ascii="宋体" w:hAnsi="宋体" w:cs="宋体"/>
          <w:bCs/>
          <w:kern w:val="0"/>
          <w:sz w:val="32"/>
          <w:szCs w:val="32"/>
          <w:highlight w:val="none"/>
        </w:rPr>
        <w:t>民政部门及其工作人员在监督管理工作中滥用职权、玩忽职守、徇私舞弊的，对直接负责的主管人员和其他责任人员依法依规给予处分；构成犯罪的，依法追究刑事责任。</w:t>
      </w:r>
    </w:p>
    <w:p>
      <w:pPr>
        <w:spacing w:line="600" w:lineRule="exact"/>
        <w:jc w:val="center"/>
        <w:rPr>
          <w:rFonts w:ascii="宋体" w:hAnsi="宋体" w:cs="宋体"/>
          <w:bCs/>
          <w:sz w:val="32"/>
          <w:szCs w:val="32"/>
          <w:highlight w:val="none"/>
        </w:rPr>
      </w:pPr>
    </w:p>
    <w:p>
      <w:pPr>
        <w:spacing w:line="600" w:lineRule="exact"/>
        <w:jc w:val="center"/>
        <w:rPr>
          <w:rFonts w:ascii="宋体" w:hAnsi="宋体" w:cs="宋体"/>
          <w:bCs/>
          <w:sz w:val="32"/>
          <w:szCs w:val="32"/>
          <w:highlight w:val="none"/>
        </w:rPr>
      </w:pPr>
      <w:r>
        <w:rPr>
          <w:rFonts w:hint="eastAsia" w:ascii="宋体" w:hAnsi="宋体" w:cs="宋体"/>
          <w:bCs/>
          <w:sz w:val="32"/>
          <w:szCs w:val="32"/>
          <w:highlight w:val="none"/>
        </w:rPr>
        <w:t>第七章  附 则</w:t>
      </w:r>
    </w:p>
    <w:p>
      <w:pPr>
        <w:spacing w:line="600" w:lineRule="exact"/>
        <w:ind w:firstLine="640" w:firstLineChars="200"/>
        <w:rPr>
          <w:rFonts w:ascii="宋体" w:hAnsi="宋体" w:cs="宋体"/>
          <w:bCs/>
          <w:kern w:val="0"/>
          <w:sz w:val="32"/>
          <w:szCs w:val="32"/>
          <w:highlight w:val="none"/>
        </w:rPr>
      </w:pPr>
      <w:r>
        <w:rPr>
          <w:rFonts w:hint="eastAsia" w:ascii="宋体" w:hAnsi="宋体" w:cs="宋体"/>
          <w:bCs/>
          <w:sz w:val="32"/>
          <w:szCs w:val="32"/>
          <w:highlight w:val="none"/>
        </w:rPr>
        <w:t>第四十八条</w:t>
      </w:r>
      <w:r>
        <w:rPr>
          <w:rFonts w:hint="eastAsia" w:ascii="宋体" w:hAnsi="宋体" w:cs="宋体"/>
          <w:bCs/>
          <w:kern w:val="0"/>
          <w:sz w:val="32"/>
          <w:szCs w:val="32"/>
          <w:highlight w:val="none"/>
        </w:rPr>
        <w:t>国家对农村五保供养服务机构的管理有特别规定的，依照其规定办理。</w:t>
      </w:r>
    </w:p>
    <w:p>
      <w:pPr>
        <w:spacing w:line="600" w:lineRule="exact"/>
        <w:ind w:firstLine="640" w:firstLineChars="200"/>
        <w:rPr>
          <w:rFonts w:ascii="宋体" w:hAnsi="宋体" w:cs="宋体"/>
          <w:sz w:val="10"/>
          <w:szCs w:val="10"/>
          <w:highlight w:val="none"/>
        </w:rPr>
      </w:pPr>
      <w:r>
        <w:rPr>
          <w:rFonts w:hint="eastAsia" w:ascii="宋体" w:hAnsi="宋体" w:cs="宋体"/>
          <w:bCs/>
          <w:sz w:val="32"/>
          <w:szCs w:val="32"/>
          <w:highlight w:val="none"/>
        </w:rPr>
        <w:t>第四十九条</w:t>
      </w:r>
      <w:r>
        <w:rPr>
          <w:rFonts w:hint="eastAsia" w:ascii="宋体" w:hAnsi="宋体" w:cs="宋体"/>
          <w:bCs/>
          <w:kern w:val="0"/>
          <w:sz w:val="32"/>
          <w:szCs w:val="32"/>
          <w:highlight w:val="none"/>
        </w:rPr>
        <w:t>本办法自2020年11月1日起施行。2013年6月28日民政部发布的《养老机构管理办法》同时废止。</w:t>
      </w:r>
    </w:p>
    <w:p>
      <w:pPr>
        <w:pStyle w:val="20"/>
        <w:tabs>
          <w:tab w:val="left" w:pos="945"/>
        </w:tabs>
        <w:ind w:right="134" w:rightChars="64" w:firstLine="0"/>
        <w:rPr>
          <w:rFonts w:ascii="宋体" w:hAnsi="宋体" w:eastAsia="宋体" w:cs="宋体"/>
          <w:sz w:val="28"/>
          <w:szCs w:val="32"/>
          <w:highlight w:val="none"/>
        </w:rPr>
      </w:pPr>
    </w:p>
    <w:p>
      <w:pPr>
        <w:rPr>
          <w:rFonts w:ascii="宋体" w:hAnsi="宋体" w:cs="宋体"/>
          <w:szCs w:val="21"/>
          <w:highlight w:val="none"/>
        </w:rPr>
      </w:pPr>
    </w:p>
    <w:p>
      <w:pPr>
        <w:rPr>
          <w:rFonts w:ascii="宋体" w:hAnsi="宋体" w:cs="宋体"/>
          <w:szCs w:val="21"/>
          <w:highlight w:val="none"/>
        </w:rPr>
      </w:pPr>
    </w:p>
    <w:p>
      <w:pPr>
        <w:rPr>
          <w:rFonts w:ascii="宋体" w:hAnsi="宋体" w:cs="宋体"/>
          <w:b/>
          <w:sz w:val="36"/>
          <w:highlight w:val="none"/>
        </w:rPr>
      </w:pPr>
      <w:bookmarkStart w:id="31" w:name="_Toc26896"/>
      <w:r>
        <w:rPr>
          <w:rFonts w:hint="eastAsia" w:ascii="宋体" w:hAnsi="宋体" w:cs="宋体"/>
          <w:b/>
          <w:sz w:val="36"/>
          <w:highlight w:val="none"/>
        </w:rPr>
        <w:br w:type="page"/>
      </w:r>
    </w:p>
    <w:p>
      <w:pPr>
        <w:pStyle w:val="6"/>
        <w:jc w:val="center"/>
        <w:outlineLvl w:val="0"/>
        <w:rPr>
          <w:rFonts w:hAnsi="宋体" w:cs="宋体"/>
          <w:b/>
          <w:bCs/>
          <w:sz w:val="36"/>
          <w:highlight w:val="none"/>
        </w:rPr>
      </w:pPr>
      <w:r>
        <w:rPr>
          <w:rFonts w:hint="eastAsia" w:hAnsi="宋体" w:cs="宋体"/>
          <w:b/>
          <w:sz w:val="36"/>
          <w:highlight w:val="none"/>
        </w:rPr>
        <w:t>第三章  评标方法</w:t>
      </w:r>
      <w:bookmarkEnd w:id="31"/>
    </w:p>
    <w:p>
      <w:pPr>
        <w:spacing w:line="360" w:lineRule="auto"/>
        <w:ind w:firstLine="562" w:firstLineChars="200"/>
        <w:jc w:val="center"/>
        <w:rPr>
          <w:rFonts w:ascii="宋体" w:hAnsi="宋体" w:cs="宋体"/>
          <w:b/>
          <w:sz w:val="28"/>
          <w:szCs w:val="28"/>
          <w:highlight w:val="none"/>
        </w:rPr>
      </w:pPr>
      <w:r>
        <w:rPr>
          <w:rFonts w:hint="eastAsia" w:ascii="宋体" w:hAnsi="宋体" w:cs="宋体"/>
          <w:b/>
          <w:sz w:val="28"/>
          <w:szCs w:val="28"/>
          <w:highlight w:val="none"/>
        </w:rPr>
        <w:t>综合评分法</w:t>
      </w:r>
    </w:p>
    <w:p>
      <w:pPr>
        <w:spacing w:line="360" w:lineRule="auto"/>
        <w:ind w:firstLine="420" w:firstLineChars="200"/>
        <w:rPr>
          <w:rFonts w:ascii="宋体" w:hAnsi="宋体" w:cs="宋体"/>
          <w:highlight w:val="none"/>
        </w:rPr>
      </w:pPr>
      <w:r>
        <w:rPr>
          <w:rFonts w:hint="eastAsia" w:ascii="宋体" w:hAnsi="宋体" w:cs="宋体"/>
          <w:highlight w:val="none"/>
        </w:rPr>
        <w:t>（一）评标委员会以招标文件为依据，对投标文件进行评审，对投标人的投标报价、技术文件及商务文件等三部分内容按百分制打分，其中价格分10分；技术分60分；</w:t>
      </w:r>
      <w:r>
        <w:rPr>
          <w:rFonts w:hint="eastAsia" w:ascii="宋体" w:hAnsi="宋体" w:cs="宋体"/>
          <w:b/>
          <w:bCs/>
          <w:spacing w:val="-4"/>
          <w:szCs w:val="21"/>
          <w:highlight w:val="none"/>
        </w:rPr>
        <w:t>服务承诺</w:t>
      </w:r>
      <w:r>
        <w:rPr>
          <w:rFonts w:hint="eastAsia" w:ascii="宋体" w:hAnsi="宋体" w:cs="宋体"/>
          <w:highlight w:val="none"/>
        </w:rPr>
        <w:t>10分；信誉业绩分20分。（评标时，对于带有主观因素的评分，由评委讨论进档。）</w:t>
      </w:r>
    </w:p>
    <w:p>
      <w:pPr>
        <w:spacing w:line="360" w:lineRule="auto"/>
        <w:ind w:firstLine="420" w:firstLineChars="200"/>
        <w:rPr>
          <w:rFonts w:ascii="宋体" w:hAnsi="宋体" w:cs="宋体"/>
          <w:szCs w:val="22"/>
          <w:highlight w:val="none"/>
        </w:rPr>
      </w:pPr>
      <w:r>
        <w:rPr>
          <w:rFonts w:hint="eastAsia" w:ascii="宋体" w:hAnsi="宋体" w:cs="宋体"/>
          <w:highlight w:val="none"/>
        </w:rPr>
        <w:t>（二）评分细则：（按四舍五入取至小数点后四位）</w:t>
      </w:r>
    </w:p>
    <w:p>
      <w:pPr>
        <w:spacing w:line="360" w:lineRule="auto"/>
        <w:ind w:firstLine="402" w:firstLineChars="200"/>
        <w:rPr>
          <w:rFonts w:ascii="宋体" w:hAnsi="宋体" w:cs="宋体"/>
          <w:b/>
          <w:sz w:val="20"/>
          <w:szCs w:val="20"/>
          <w:highlight w:val="none"/>
        </w:rPr>
      </w:pPr>
      <w:r>
        <w:rPr>
          <w:rFonts w:hint="eastAsia" w:ascii="宋体" w:hAnsi="宋体" w:cs="宋体"/>
          <w:b/>
          <w:sz w:val="20"/>
          <w:szCs w:val="20"/>
          <w:highlight w:val="none"/>
        </w:rPr>
        <w:t>1、价格分………………………………………………………………………………………………10分</w:t>
      </w:r>
    </w:p>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（1）对于非专门面向中小企业的项目，对小型和微型企业产品的价格给予10%的价格增加，增加后的价格为评标价，即评标价＝投标报价×（1＋10%）；</w:t>
      </w:r>
      <w:r>
        <w:rPr>
          <w:rFonts w:hint="eastAsia" w:ascii="宋体" w:hAnsi="宋体" w:cs="宋体"/>
          <w:bCs/>
          <w:kern w:val="0"/>
          <w:szCs w:val="21"/>
          <w:highlight w:val="none"/>
        </w:rPr>
        <w:t>（以投标人按第五章“投标文件格式”要求提供的《报价表》和《</w:t>
      </w:r>
      <w:r>
        <w:rPr>
          <w:rFonts w:hint="eastAsia" w:ascii="宋体" w:hAnsi="宋体" w:cs="宋体"/>
          <w:kern w:val="0"/>
          <w:szCs w:val="21"/>
          <w:highlight w:val="none"/>
        </w:rPr>
        <w:t>中小企业声明函</w:t>
      </w:r>
      <w:r>
        <w:rPr>
          <w:rFonts w:hint="eastAsia" w:ascii="宋体" w:hAnsi="宋体" w:cs="宋体"/>
          <w:bCs/>
          <w:kern w:val="0"/>
          <w:szCs w:val="21"/>
          <w:highlight w:val="none"/>
        </w:rPr>
        <w:t>》为评分依据）</w:t>
      </w:r>
    </w:p>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2）对大中型企业和其他自然人、法人或者其他组织与小型、微型企业组成联合体，且联合体协议中约定小型、微型企业的协议合同金额占到联合体协议合同总金额30%以上的，给予2%的价格增加，增加后的价格为评标价，即评标价＝投标报价×（1＋2%）；</w:t>
      </w:r>
      <w:r>
        <w:rPr>
          <w:rFonts w:hint="eastAsia" w:ascii="宋体" w:hAnsi="宋体" w:cs="宋体"/>
          <w:bCs/>
          <w:kern w:val="0"/>
          <w:szCs w:val="21"/>
          <w:highlight w:val="none"/>
        </w:rPr>
        <w:t>（以投标人按第五章“投标文件格式”要求提供的《报价表》、《中小企业声明函》和《联合体协议书》为评分依据）</w:t>
      </w:r>
    </w:p>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3）投标产品提供企业按《关于政府采购支持监狱企业发展有关问题的通知》(财库[2014]68号)认定为监狱企业的，在政府采购活动中，监狱企业视同小型、微型企业。（以投标人按第五章“投标文件格式”要求提供的《报价表》和由省级以上监狱管理局、戒毒管理局(含新疆生产建设兵团)出具的属于监狱企业的证明文件为评分依据。</w:t>
      </w:r>
    </w:p>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4）投标产品提供企业按《关于促进残疾人就业政府采购政策的通知》(财库〔2017〕141号)认定为残疾人福利性单位的，在政府采购活动中，残疾人福利性单位视同小型、微型企业。残疾人福利性单位参加政府采购活动时，应当提供该通知规定的，并提交残疾人证及在本企业缴纳社保证明。（以投标人按第五章“投标文件格式”要求提供的《报价表》和《残疾人福利性单位声明函》为评分依据）</w:t>
      </w:r>
    </w:p>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（5）除上述情况外，评标价＝投标报价；</w:t>
      </w:r>
    </w:p>
    <w:p>
      <w:pPr>
        <w:spacing w:line="400" w:lineRule="exact"/>
        <w:ind w:firstLine="420" w:firstLineChars="200"/>
        <w:rPr>
          <w:rFonts w:ascii="宋体" w:hAnsi="宋体" w:cs="宋体"/>
          <w:kern w:val="0"/>
          <w:szCs w:val="21"/>
          <w:highlight w:val="none"/>
        </w:rPr>
      </w:pPr>
      <w:r>
        <w:rPr>
          <w:rFonts w:hint="eastAsia" w:ascii="宋体" w:hAnsi="宋体" w:cs="宋体"/>
          <w:kern w:val="0"/>
          <w:szCs w:val="21"/>
          <w:highlight w:val="none"/>
        </w:rPr>
        <w:t>（6）价格分计算公式：</w:t>
      </w:r>
    </w:p>
    <w:p>
      <w:pPr>
        <w:spacing w:line="400" w:lineRule="exact"/>
        <w:ind w:firstLine="420" w:firstLineChars="200"/>
        <w:rPr>
          <w:rFonts w:ascii="宋体" w:hAnsi="宋体" w:cs="宋体"/>
          <w:kern w:val="0"/>
          <w:szCs w:val="21"/>
          <w:highlight w:val="none"/>
        </w:rPr>
      </w:pPr>
    </w:p>
    <w:p>
      <w:pPr>
        <w:pStyle w:val="5"/>
        <w:spacing w:line="300" w:lineRule="exact"/>
        <w:ind w:firstLine="404" w:firstLineChars="200"/>
        <w:rPr>
          <w:rFonts w:hAnsi="宋体" w:cs="宋体"/>
          <w:sz w:val="21"/>
          <w:highlight w:val="none"/>
        </w:rPr>
      </w:pPr>
      <w:r>
        <w:rPr>
          <w:rFonts w:hint="eastAsia" w:hAnsi="宋体" w:cs="宋体"/>
          <w:sz w:val="21"/>
          <w:highlight w:val="none"/>
        </w:rPr>
        <w:t xml:space="preserve">               　　 某投标人评标价金额</w:t>
      </w:r>
    </w:p>
    <w:p>
      <w:pPr>
        <w:pStyle w:val="5"/>
        <w:spacing w:line="300" w:lineRule="exact"/>
        <w:ind w:firstLine="344" w:firstLineChars="200"/>
        <w:rPr>
          <w:rFonts w:hAnsi="宋体" w:cs="宋体"/>
          <w:sz w:val="21"/>
          <w:highlight w:val="none"/>
        </w:rPr>
      </w:pPr>
      <w:r>
        <w:rPr>
          <w:rFonts w:hAnsi="宋体" w:cs="宋体"/>
          <w:highlight w:val="none"/>
        </w:rPr>
        <mc:AlternateContent>
          <mc:Choice Requires="wps">
            <w:drawing>
              <wp:anchor distT="0" distB="0" distL="114300" distR="114300" simplePos="0" relativeHeight="251658240" behindDoc="0" locked="0" layoutInCell="1" allowOverlap="1">
                <wp:simplePos x="0" y="0"/>
                <wp:positionH relativeFrom="column">
                  <wp:posOffset>1400175</wp:posOffset>
                </wp:positionH>
                <wp:positionV relativeFrom="paragraph">
                  <wp:posOffset>107315</wp:posOffset>
                </wp:positionV>
                <wp:extent cx="16002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10.25pt;margin-top:8.45pt;height:0pt;width:126pt;z-index:251658240;mso-width-relative:page;mso-height-relative:page;" filled="f" stroked="t" coordsize="21600,21600" o:gfxdata="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QSl89UAAAAJAQAADwAAAAAAAAABACAAAAAiAAAAZHJzL2Rvd25yZXYueG1sUEsB&#10;AhQAFAAAAAgAh07iQGGvWsT4AQAA8gMAAA4AAAAAAAAAAQAgAAAAJAEAAGRycy9lMm9Eb2MueG1s&#10;UEsFBgAAAAAGAAYAWQEAAI4FAAAAAA==&#10;">
                <v:fill on="f" focussize="0,0"/>
                <v:stroke color="#000000" joinstyle="round"/>
                <v:imagedata o:title=""/>
                <o:lock v:ext="edit" aspectratio="f"/>
              </v:line>
            </w:pict>
          </mc:Fallback>
        </mc:AlternateContent>
      </w:r>
      <w:r>
        <w:rPr>
          <w:rFonts w:hint="eastAsia" w:hAnsi="宋体" w:cs="宋体"/>
          <w:sz w:val="21"/>
          <w:highlight w:val="none"/>
        </w:rPr>
        <w:t>某投标人价格分 ＝                            ×　10分</w:t>
      </w:r>
    </w:p>
    <w:p>
      <w:pPr>
        <w:pStyle w:val="5"/>
        <w:spacing w:line="300" w:lineRule="exact"/>
        <w:ind w:firstLine="404" w:firstLineChars="200"/>
        <w:rPr>
          <w:rFonts w:hAnsi="宋体" w:cs="宋体"/>
          <w:sz w:val="21"/>
          <w:highlight w:val="none"/>
        </w:rPr>
      </w:pPr>
      <w:r>
        <w:rPr>
          <w:rFonts w:hint="eastAsia" w:hAnsi="宋体" w:cs="宋体"/>
          <w:sz w:val="21"/>
          <w:highlight w:val="none"/>
        </w:rPr>
        <w:t xml:space="preserve">                   　投标人最高评标价金额</w:t>
      </w:r>
    </w:p>
    <w:p>
      <w:pPr>
        <w:pStyle w:val="5"/>
        <w:spacing w:line="300" w:lineRule="exact"/>
        <w:ind w:firstLine="404" w:firstLineChars="200"/>
        <w:rPr>
          <w:rFonts w:hAnsi="宋体" w:cs="宋体"/>
          <w:sz w:val="21"/>
          <w:highlight w:val="none"/>
        </w:rPr>
      </w:pPr>
    </w:p>
    <w:p>
      <w:pPr>
        <w:spacing w:line="400" w:lineRule="exact"/>
        <w:ind w:firstLine="420" w:firstLineChars="200"/>
        <w:rPr>
          <w:rFonts w:ascii="宋体" w:hAnsi="宋体" w:cs="宋体"/>
          <w:kern w:val="0"/>
          <w:szCs w:val="21"/>
          <w:highlight w:val="none"/>
        </w:rPr>
      </w:pPr>
    </w:p>
    <w:p>
      <w:pPr>
        <w:spacing w:line="500" w:lineRule="exact"/>
        <w:rPr>
          <w:rFonts w:ascii="宋体" w:hAnsi="宋体" w:cs="宋体"/>
          <w:b/>
          <w:bCs/>
          <w:spacing w:val="-4"/>
          <w:szCs w:val="21"/>
          <w:highlight w:val="none"/>
        </w:rPr>
      </w:pPr>
    </w:p>
    <w:p>
      <w:pPr>
        <w:spacing w:line="500" w:lineRule="exact"/>
        <w:rPr>
          <w:rFonts w:ascii="宋体" w:hAnsi="宋体" w:cs="宋体"/>
          <w:b/>
          <w:bCs/>
          <w:spacing w:val="-4"/>
          <w:szCs w:val="21"/>
          <w:highlight w:val="none"/>
        </w:rPr>
      </w:pPr>
      <w:r>
        <w:rPr>
          <w:rFonts w:hint="eastAsia" w:ascii="宋体" w:hAnsi="宋体" w:cs="宋体"/>
          <w:b/>
          <w:bCs/>
          <w:spacing w:val="-4"/>
          <w:szCs w:val="21"/>
          <w:highlight w:val="none"/>
        </w:rPr>
        <w:t>2、技术分</w:t>
      </w:r>
      <w:r>
        <w:rPr>
          <w:rFonts w:hint="eastAsia" w:ascii="宋体" w:hAnsi="宋体" w:cs="宋体"/>
          <w:b/>
          <w:szCs w:val="21"/>
          <w:highlight w:val="none"/>
        </w:rPr>
        <w:t>………………………………………………………………………………………………60分</w:t>
      </w:r>
    </w:p>
    <w:p>
      <w:pPr>
        <w:spacing w:line="520" w:lineRule="exact"/>
        <w:ind w:firstLine="316" w:firstLineChars="150"/>
        <w:rPr>
          <w:rFonts w:ascii="宋体" w:hAnsi="宋体" w:cs="宋体"/>
          <w:bCs/>
          <w:szCs w:val="21"/>
          <w:highlight w:val="none"/>
        </w:rPr>
      </w:pPr>
      <w:r>
        <w:rPr>
          <w:rFonts w:hint="eastAsia" w:ascii="宋体" w:hAnsi="宋体" w:cs="宋体"/>
          <w:b/>
          <w:szCs w:val="21"/>
          <w:highlight w:val="none"/>
        </w:rPr>
        <w:t>（1）运营方案（满分30分）：</w:t>
      </w:r>
      <w:r>
        <w:rPr>
          <w:rFonts w:hint="eastAsia" w:ascii="宋体" w:hAnsi="宋体" w:cs="宋体"/>
          <w:bCs/>
          <w:szCs w:val="21"/>
          <w:highlight w:val="none"/>
        </w:rPr>
        <w:t>投标人结合房屋用途，对房屋拟使用和经营管理的方案以及如何确保经营的可持续性方案进行总体说明，以及拟投入本项目的</w:t>
      </w:r>
      <w:r>
        <w:rPr>
          <w:rFonts w:hint="eastAsia" w:ascii="宋体" w:hAnsi="宋体" w:cs="宋体"/>
          <w:szCs w:val="21"/>
          <w:highlight w:val="none"/>
        </w:rPr>
        <w:t>持证人员（包括医疗、康复、社会工作等服务的专业技术人员的执业资格证、职称证书等）情况</w:t>
      </w:r>
      <w:r>
        <w:rPr>
          <w:rFonts w:hint="eastAsia" w:ascii="宋体" w:hAnsi="宋体" w:cs="宋体"/>
          <w:bCs/>
          <w:szCs w:val="21"/>
          <w:highlight w:val="none"/>
        </w:rPr>
        <w:t>，评委根据各投标人提供的说明方案，从完整性、科学性、合理性、针对性等方面进行横向比较。</w:t>
      </w:r>
    </w:p>
    <w:p>
      <w:pPr>
        <w:spacing w:line="520" w:lineRule="exact"/>
        <w:ind w:firstLine="315" w:firstLineChars="150"/>
        <w:rPr>
          <w:rFonts w:ascii="宋体" w:hAnsi="宋体" w:cs="宋体"/>
          <w:bCs/>
          <w:szCs w:val="21"/>
          <w:highlight w:val="none"/>
        </w:rPr>
      </w:pPr>
      <w:r>
        <w:rPr>
          <w:rFonts w:hint="eastAsia" w:ascii="宋体" w:hAnsi="宋体" w:cs="宋体"/>
          <w:bCs/>
          <w:szCs w:val="21"/>
          <w:highlight w:val="none"/>
        </w:rPr>
        <w:t>注：以上从事医疗、护理、社会工作等服务的专业技术人员，必须为投标单位的在职人员，须在投标文件中提交上述人员2020年7月-2020年9月依法缴纳社会保障资金的社保证明材料（退休人员请提供退休证明），应当持有关部门颁发的专业技术等级证书上岗；养老护理人员应当接受专业技能培训，经考核合格后持证上岗（提供证书复印并加盖公章）；社会工作者以人力资源和社会保障部颁布的《社会工作者国家职业资格证书》为准。</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一档（10分）：运营方案有基本的实施流程、内容简单，可行性不高，拟投入本项目的持证人员（含医生、护士、养老护理员、社工）在不足5人；</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二档（20分）：运营方案的内容较完整、科学，可行性较好，拟投入的专业团队基本满足项目实施要求，持证人员（含医生、护士、养老护理员、社工）不足15人。</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三档（30分）：运营方案的内容完整、科学、合理，可行性好，拟投入的专业团队满足项目实施要求，持证人员（含医生、护士、养老护理员、社工）在15人或以上的。</w:t>
      </w:r>
    </w:p>
    <w:p>
      <w:pPr>
        <w:spacing w:line="520" w:lineRule="exact"/>
        <w:ind w:firstLine="426" w:firstLineChars="202"/>
        <w:rPr>
          <w:rFonts w:ascii="宋体" w:hAnsi="宋体" w:cs="宋体"/>
          <w:b/>
          <w:szCs w:val="21"/>
          <w:highlight w:val="none"/>
        </w:rPr>
      </w:pPr>
      <w:r>
        <w:rPr>
          <w:rFonts w:hint="eastAsia" w:ascii="宋体" w:hAnsi="宋体" w:cs="宋体"/>
          <w:b/>
          <w:szCs w:val="21"/>
          <w:highlight w:val="none"/>
        </w:rPr>
        <w:t>不提供方案的得0分。</w:t>
      </w:r>
    </w:p>
    <w:p>
      <w:pPr>
        <w:spacing w:line="520" w:lineRule="exact"/>
        <w:ind w:firstLine="527" w:firstLineChars="250"/>
        <w:rPr>
          <w:rFonts w:ascii="宋体" w:hAnsi="宋体" w:cs="宋体"/>
          <w:b/>
          <w:szCs w:val="21"/>
          <w:highlight w:val="none"/>
        </w:rPr>
      </w:pPr>
      <w:r>
        <w:rPr>
          <w:rFonts w:hint="eastAsia" w:ascii="宋体" w:hAnsi="宋体" w:cs="宋体"/>
          <w:b/>
          <w:szCs w:val="21"/>
          <w:highlight w:val="none"/>
        </w:rPr>
        <w:t>（2）建设方案（满分10分）：投标人结合委托方的建设要求，制定建设项目的可行性方案。包括资金投入、建设时间、工程进度、完成时效等。</w:t>
      </w:r>
    </w:p>
    <w:p>
      <w:pPr>
        <w:spacing w:line="520" w:lineRule="exact"/>
        <w:ind w:left="717"/>
        <w:rPr>
          <w:rFonts w:ascii="宋体" w:hAnsi="宋体" w:cs="宋体"/>
          <w:bCs/>
          <w:szCs w:val="21"/>
          <w:highlight w:val="none"/>
        </w:rPr>
      </w:pPr>
      <w:r>
        <w:rPr>
          <w:rFonts w:hint="eastAsia" w:ascii="宋体" w:hAnsi="宋体" w:cs="宋体"/>
          <w:bCs/>
          <w:szCs w:val="21"/>
          <w:highlight w:val="none"/>
        </w:rPr>
        <w:t>一档（3分）：建设实施方案有基本的实施流程、内容简单，可行性不高；</w:t>
      </w:r>
    </w:p>
    <w:p>
      <w:pPr>
        <w:spacing w:line="520" w:lineRule="exact"/>
        <w:ind w:left="717"/>
        <w:rPr>
          <w:rFonts w:ascii="宋体" w:hAnsi="宋体" w:cs="宋体"/>
          <w:bCs/>
          <w:szCs w:val="21"/>
          <w:highlight w:val="none"/>
        </w:rPr>
      </w:pPr>
      <w:r>
        <w:rPr>
          <w:rFonts w:hint="eastAsia" w:ascii="宋体" w:hAnsi="宋体" w:cs="宋体"/>
          <w:bCs/>
          <w:szCs w:val="21"/>
          <w:highlight w:val="none"/>
        </w:rPr>
        <w:t>二档（6分）：建设实施方案的内容较完整详细，有简单的质量控制方案，有基本的设备改</w:t>
      </w:r>
    </w:p>
    <w:p>
      <w:pPr>
        <w:spacing w:line="520" w:lineRule="exact"/>
        <w:rPr>
          <w:rFonts w:ascii="宋体" w:hAnsi="宋体" w:cs="宋体"/>
          <w:bCs/>
          <w:szCs w:val="21"/>
          <w:highlight w:val="none"/>
        </w:rPr>
      </w:pPr>
      <w:r>
        <w:rPr>
          <w:rFonts w:hint="eastAsia" w:ascii="宋体" w:hAnsi="宋体" w:cs="宋体"/>
          <w:bCs/>
          <w:szCs w:val="21"/>
          <w:highlight w:val="none"/>
        </w:rPr>
        <w:t>造采购种类和数量的需求。</w:t>
      </w:r>
    </w:p>
    <w:p>
      <w:pPr>
        <w:spacing w:line="520" w:lineRule="exact"/>
        <w:ind w:left="717"/>
        <w:rPr>
          <w:rFonts w:ascii="宋体" w:hAnsi="宋体" w:cs="宋体"/>
          <w:bCs/>
          <w:szCs w:val="21"/>
          <w:highlight w:val="none"/>
        </w:rPr>
      </w:pPr>
      <w:r>
        <w:rPr>
          <w:rFonts w:hint="eastAsia" w:ascii="宋体" w:hAnsi="宋体" w:cs="宋体"/>
          <w:bCs/>
          <w:szCs w:val="21"/>
          <w:highlight w:val="none"/>
        </w:rPr>
        <w:t>三档（10分）：建设实施方案完整详细，有较好的质量控制方案，有详细的设备改造安装进</w:t>
      </w:r>
    </w:p>
    <w:p>
      <w:pPr>
        <w:spacing w:line="520" w:lineRule="exact"/>
        <w:rPr>
          <w:rFonts w:ascii="宋体" w:hAnsi="宋体" w:cs="宋体"/>
          <w:bCs/>
          <w:szCs w:val="21"/>
          <w:highlight w:val="none"/>
        </w:rPr>
      </w:pPr>
      <w:r>
        <w:rPr>
          <w:rFonts w:hint="eastAsia" w:ascii="宋体" w:hAnsi="宋体" w:cs="宋体"/>
          <w:bCs/>
          <w:szCs w:val="21"/>
          <w:highlight w:val="none"/>
        </w:rPr>
        <w:t>度计划，能较好的促进方案的实施，且设备改造采购种类和数量需求符合实际。</w:t>
      </w:r>
    </w:p>
    <w:p>
      <w:pPr>
        <w:spacing w:line="520" w:lineRule="exact"/>
        <w:ind w:firstLine="426" w:firstLineChars="202"/>
        <w:rPr>
          <w:rFonts w:ascii="宋体" w:hAnsi="宋体" w:cs="宋体"/>
          <w:bCs/>
          <w:szCs w:val="21"/>
          <w:highlight w:val="none"/>
        </w:rPr>
      </w:pPr>
      <w:r>
        <w:rPr>
          <w:rFonts w:hint="eastAsia" w:ascii="宋体" w:hAnsi="宋体" w:cs="宋体"/>
          <w:b/>
          <w:szCs w:val="21"/>
          <w:highlight w:val="none"/>
        </w:rPr>
        <w:t>不提供方案的得0分。</w:t>
      </w:r>
    </w:p>
    <w:p>
      <w:pPr>
        <w:pStyle w:val="19"/>
        <w:ind w:left="357" w:firstLine="211" w:firstLineChars="100"/>
        <w:rPr>
          <w:rFonts w:ascii="宋体" w:hAnsi="宋体" w:cs="宋体"/>
          <w:b/>
          <w:bCs/>
          <w:szCs w:val="21"/>
          <w:highlight w:val="none"/>
        </w:rPr>
      </w:pPr>
      <w:r>
        <w:rPr>
          <w:rFonts w:hint="eastAsia" w:ascii="宋体" w:hAnsi="宋体" w:cs="宋体"/>
          <w:b/>
          <w:szCs w:val="21"/>
          <w:highlight w:val="none"/>
        </w:rPr>
        <w:t>（3）规章管理制度分</w:t>
      </w:r>
      <w:r>
        <w:rPr>
          <w:rFonts w:hint="eastAsia" w:ascii="宋体" w:hAnsi="宋体" w:cs="宋体"/>
          <w:b/>
          <w:bCs/>
          <w:szCs w:val="21"/>
          <w:highlight w:val="none"/>
        </w:rPr>
        <w:t>……………………………………………………………………</w:t>
      </w:r>
      <w:r>
        <w:rPr>
          <w:rFonts w:hint="eastAsia" w:ascii="宋体" w:hAnsi="宋体" w:cs="宋体"/>
          <w:b/>
          <w:szCs w:val="21"/>
          <w:highlight w:val="none"/>
        </w:rPr>
        <w:t>满分</w:t>
      </w:r>
      <w:r>
        <w:rPr>
          <w:rFonts w:hint="eastAsia" w:ascii="宋体" w:hAnsi="宋体" w:cs="宋体"/>
          <w:b/>
          <w:bCs/>
          <w:szCs w:val="21"/>
          <w:highlight w:val="none"/>
        </w:rPr>
        <w:t>10分</w:t>
      </w:r>
    </w:p>
    <w:p>
      <w:pPr>
        <w:spacing w:line="520" w:lineRule="exact"/>
        <w:ind w:firstLine="420" w:firstLineChars="200"/>
        <w:rPr>
          <w:rFonts w:ascii="宋体" w:hAnsi="宋体" w:cs="宋体"/>
          <w:bCs/>
          <w:szCs w:val="21"/>
          <w:highlight w:val="none"/>
        </w:rPr>
      </w:pPr>
      <w:r>
        <w:rPr>
          <w:rFonts w:hint="eastAsia" w:ascii="宋体" w:hAnsi="宋体" w:cs="宋体"/>
          <w:szCs w:val="21"/>
          <w:highlight w:val="none"/>
        </w:rPr>
        <w:t>（本项评分</w:t>
      </w:r>
      <w:r>
        <w:rPr>
          <w:rFonts w:hint="eastAsia" w:ascii="宋体" w:hAnsi="宋体" w:cs="宋体"/>
          <w:bCs/>
          <w:szCs w:val="21"/>
          <w:highlight w:val="none"/>
        </w:rPr>
        <w:t>由评标小组各成员横向对比各供应商针对本项目提供的规章管理制度独立打分。</w:t>
      </w:r>
      <w:r>
        <w:rPr>
          <w:rFonts w:hint="eastAsia" w:ascii="宋体" w:hAnsi="宋体" w:cs="宋体"/>
          <w:szCs w:val="21"/>
          <w:highlight w:val="none"/>
        </w:rPr>
        <w:t>）</w:t>
      </w:r>
    </w:p>
    <w:p>
      <w:pPr>
        <w:spacing w:line="520" w:lineRule="exact"/>
        <w:ind w:left="717"/>
        <w:rPr>
          <w:rFonts w:ascii="宋体" w:hAnsi="宋体" w:cs="宋体"/>
          <w:bCs/>
          <w:szCs w:val="21"/>
          <w:highlight w:val="none"/>
        </w:rPr>
      </w:pPr>
      <w:r>
        <w:rPr>
          <w:rFonts w:hint="eastAsia" w:ascii="宋体" w:hAnsi="宋体" w:cs="宋体"/>
          <w:bCs/>
          <w:szCs w:val="21"/>
          <w:highlight w:val="none"/>
        </w:rPr>
        <w:t>一档（3分）：建立相关运营管理制度性文件，规章制度基本健全。</w:t>
      </w:r>
    </w:p>
    <w:p>
      <w:pPr>
        <w:spacing w:line="520" w:lineRule="exact"/>
        <w:ind w:left="717"/>
        <w:rPr>
          <w:rFonts w:ascii="宋体" w:hAnsi="宋体" w:cs="宋体"/>
          <w:bCs/>
          <w:szCs w:val="21"/>
          <w:highlight w:val="none"/>
        </w:rPr>
      </w:pPr>
      <w:r>
        <w:rPr>
          <w:rFonts w:hint="eastAsia" w:ascii="宋体" w:hAnsi="宋体" w:cs="宋体"/>
          <w:bCs/>
          <w:szCs w:val="21"/>
          <w:highlight w:val="none"/>
        </w:rPr>
        <w:t>二档（6分)：建立相关的运营管理制度性文件，规章制度比较完善，项目运作机制比较成熟，可操作性较强，人员稳定性较强。</w:t>
      </w:r>
    </w:p>
    <w:p>
      <w:pPr>
        <w:spacing w:line="520" w:lineRule="exact"/>
        <w:ind w:left="717"/>
        <w:rPr>
          <w:rFonts w:ascii="宋体" w:hAnsi="宋体" w:cs="宋体"/>
          <w:bCs/>
          <w:szCs w:val="21"/>
          <w:highlight w:val="none"/>
        </w:rPr>
      </w:pPr>
      <w:r>
        <w:rPr>
          <w:rFonts w:hint="eastAsia" w:ascii="宋体" w:hAnsi="宋体" w:cs="宋体"/>
          <w:bCs/>
          <w:szCs w:val="21"/>
          <w:highlight w:val="none"/>
        </w:rPr>
        <w:t>三档（10分):建立场地管理、服务项目遴选、合作伙伴引入与管理、志愿者管理、项目服务质量内控、人力资源管理、财务管理、风险管理、文件及档案管理等运营管理制度性文件，规章制度完善，项目运作机制成熟，可操作性强，能够保证人员稳定性。</w:t>
      </w:r>
    </w:p>
    <w:p>
      <w:pPr>
        <w:spacing w:line="520" w:lineRule="exact"/>
        <w:ind w:left="717"/>
        <w:rPr>
          <w:rFonts w:ascii="宋体" w:hAnsi="宋体" w:cs="宋体"/>
          <w:b/>
          <w:szCs w:val="21"/>
          <w:highlight w:val="none"/>
        </w:rPr>
      </w:pPr>
      <w:r>
        <w:rPr>
          <w:rFonts w:hint="eastAsia" w:ascii="宋体" w:hAnsi="宋体" w:cs="宋体"/>
          <w:b/>
          <w:szCs w:val="21"/>
          <w:highlight w:val="none"/>
        </w:rPr>
        <w:t>不提供规章管理制的得0分。</w:t>
      </w:r>
    </w:p>
    <w:p>
      <w:pPr>
        <w:spacing w:line="520" w:lineRule="exact"/>
        <w:ind w:firstLine="527" w:firstLineChars="250"/>
        <w:rPr>
          <w:rFonts w:ascii="宋体" w:hAnsi="宋体" w:cs="宋体"/>
          <w:bCs/>
          <w:szCs w:val="21"/>
          <w:highlight w:val="none"/>
        </w:rPr>
      </w:pPr>
      <w:r>
        <w:rPr>
          <w:rFonts w:hint="eastAsia" w:ascii="宋体" w:hAnsi="宋体" w:cs="宋体"/>
          <w:b/>
          <w:szCs w:val="21"/>
          <w:highlight w:val="none"/>
        </w:rPr>
        <w:t>（3）平面功能布置图（满分5分）：</w:t>
      </w:r>
      <w:r>
        <w:rPr>
          <w:rFonts w:hint="eastAsia" w:ascii="宋体" w:hAnsi="宋体" w:cs="宋体"/>
          <w:bCs/>
          <w:szCs w:val="21"/>
          <w:highlight w:val="none"/>
        </w:rPr>
        <w:t>根据各投标人提供的各楼层布置设计图，从完整性、合理性、科学性等方面进行横向比较，并给予酌情打分。</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一档（1分）：有基本的楼层平面布置图，内容简单，基本满足国家消防及其他法规的基本规定，可行性不高；</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二档（3分）：楼层平面布置图的内容较完整、科学，可行性较好，满足国家消防及其他法规的基本规定，基本满足项目实施要求。</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三档（5分）：楼层平面布置图的内容较完整、科学，可行性较好，符合国家消防及其他法规的规定，满足项目实施要求。</w:t>
      </w:r>
    </w:p>
    <w:p>
      <w:pPr>
        <w:spacing w:line="520" w:lineRule="exact"/>
        <w:ind w:firstLine="426" w:firstLineChars="202"/>
        <w:rPr>
          <w:rFonts w:ascii="宋体" w:hAnsi="宋体" w:cs="宋体"/>
          <w:bCs/>
          <w:szCs w:val="21"/>
          <w:highlight w:val="none"/>
        </w:rPr>
      </w:pPr>
      <w:r>
        <w:rPr>
          <w:rFonts w:hint="eastAsia" w:ascii="宋体" w:hAnsi="宋体" w:cs="宋体"/>
          <w:b/>
          <w:szCs w:val="21"/>
          <w:highlight w:val="none"/>
        </w:rPr>
        <w:t>不提供方案的得0分。</w:t>
      </w:r>
    </w:p>
    <w:p>
      <w:pPr>
        <w:spacing w:line="520" w:lineRule="exact"/>
        <w:ind w:firstLine="316" w:firstLineChars="150"/>
        <w:rPr>
          <w:rFonts w:ascii="宋体" w:hAnsi="宋体" w:cs="宋体"/>
          <w:b/>
          <w:szCs w:val="21"/>
          <w:highlight w:val="none"/>
        </w:rPr>
      </w:pPr>
      <w:r>
        <w:rPr>
          <w:rFonts w:hint="eastAsia" w:ascii="宋体" w:hAnsi="宋体" w:cs="宋体"/>
          <w:b/>
          <w:szCs w:val="21"/>
          <w:highlight w:val="none"/>
        </w:rPr>
        <w:t>（4）给水、排水、强电、弱电、消防、空调系统等设备采购及安装改造方案（满分5分）：</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一档（1分）：改造实施方案有基本的实施流程、内容简单，可行性不高；</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二档（3分）：改造实施方案的内容较完整详细，有简单的质量控制方案，有基本的设备改造采购种类和数量的需求。</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三档（5分）：改造实施方案完整详细，有较好的质量控制方案，有详细的设备改造安装进度计划，能较好的促进方案的实施，且设备改造采购种类和数量需求符合实际。</w:t>
      </w:r>
    </w:p>
    <w:p>
      <w:pPr>
        <w:spacing w:line="520" w:lineRule="exact"/>
        <w:ind w:firstLine="426" w:firstLineChars="202"/>
        <w:rPr>
          <w:rFonts w:ascii="宋体" w:hAnsi="宋体" w:cs="宋体"/>
          <w:bCs/>
          <w:szCs w:val="21"/>
          <w:highlight w:val="none"/>
        </w:rPr>
      </w:pPr>
      <w:r>
        <w:rPr>
          <w:rFonts w:hint="eastAsia" w:ascii="宋体" w:hAnsi="宋体" w:cs="宋体"/>
          <w:b/>
          <w:szCs w:val="21"/>
          <w:highlight w:val="none"/>
        </w:rPr>
        <w:t>不提供方案的得0分。</w:t>
      </w:r>
    </w:p>
    <w:p>
      <w:pPr>
        <w:spacing w:line="500" w:lineRule="exact"/>
        <w:rPr>
          <w:rFonts w:ascii="宋体" w:hAnsi="宋体" w:cs="宋体"/>
          <w:b/>
          <w:bCs/>
          <w:spacing w:val="-4"/>
          <w:szCs w:val="21"/>
          <w:highlight w:val="none"/>
        </w:rPr>
      </w:pPr>
    </w:p>
    <w:p>
      <w:pPr>
        <w:spacing w:line="500" w:lineRule="exact"/>
        <w:rPr>
          <w:rFonts w:ascii="宋体" w:hAnsi="宋体" w:cs="宋体"/>
          <w:b/>
          <w:bCs/>
          <w:spacing w:val="-4"/>
          <w:szCs w:val="21"/>
          <w:highlight w:val="none"/>
        </w:rPr>
      </w:pPr>
      <w:r>
        <w:rPr>
          <w:rFonts w:hint="eastAsia" w:ascii="宋体" w:hAnsi="宋体" w:cs="宋体"/>
          <w:b/>
          <w:bCs/>
          <w:spacing w:val="-4"/>
          <w:szCs w:val="21"/>
          <w:highlight w:val="none"/>
        </w:rPr>
        <w:t>3、服务承诺分……………………………………………………………… …………………………… 10分</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根据供应商提供的让服务对象的在衣食住行上有宾至如归家的归属感及让他们身心舒服、精神富足）服务承诺书（包括服务计划、拟投入人员方案、设备及设施方案、管理制度保障或制度规范与先进的全方位的管理服务理念、可行的实施方案等），进行横向比较，进行定档，然后评委独立打分。</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一档（3分）：服务承诺不太详细、不全面，可行性不强的；</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二档（6分）：按照要求提供完整的服务承诺且内容较详细、较全面，可行性较强的；</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三档（10分）：按照要求提供完整的服务承诺且内容详细、全面，可行性强的且有实施过相关经验（提供相关的证明文件如图片资料、活动资料等等）；</w:t>
      </w:r>
    </w:p>
    <w:p>
      <w:pPr>
        <w:spacing w:line="520" w:lineRule="exact"/>
        <w:ind w:firstLine="426" w:firstLineChars="202"/>
        <w:rPr>
          <w:rFonts w:ascii="宋体" w:hAnsi="宋体" w:cs="宋体"/>
          <w:bCs/>
          <w:szCs w:val="21"/>
          <w:highlight w:val="none"/>
        </w:rPr>
      </w:pPr>
      <w:r>
        <w:rPr>
          <w:rFonts w:hint="eastAsia" w:ascii="宋体" w:hAnsi="宋体" w:cs="宋体"/>
          <w:b/>
          <w:szCs w:val="21"/>
          <w:highlight w:val="none"/>
        </w:rPr>
        <w:t>不提供方案或不按照要求提供服务承诺的得0分。</w:t>
      </w:r>
    </w:p>
    <w:p>
      <w:pPr>
        <w:spacing w:line="500" w:lineRule="exact"/>
        <w:rPr>
          <w:rFonts w:ascii="宋体" w:hAnsi="宋体" w:cs="宋体"/>
          <w:b/>
          <w:bCs/>
          <w:spacing w:val="-4"/>
          <w:szCs w:val="21"/>
          <w:highlight w:val="none"/>
        </w:rPr>
      </w:pPr>
      <w:r>
        <w:rPr>
          <w:rFonts w:hint="eastAsia" w:ascii="宋体" w:hAnsi="宋体" w:cs="宋体"/>
          <w:b/>
          <w:bCs/>
          <w:spacing w:val="-4"/>
          <w:szCs w:val="21"/>
          <w:highlight w:val="none"/>
        </w:rPr>
        <w:t xml:space="preserve">4、信誉业绩分……………………………………………………………………………………………20分 </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1）星级评定（6分）：供应商获得省（部）级民政厅（部）或民政部门三星级或等同于三星级养老机构认证的，得2分。获得省（部）级民政厅（部）或民政部门四星级或等同于四星级的养老机构认证的，得4分。获得省（部）级民政厅（部）或民政部门五星级或等同于五星级及以上养老机构认证的，得6分。（投标文件中提供证书复印件，加盖供应商单位公章）</w:t>
      </w:r>
    </w:p>
    <w:p>
      <w:pPr>
        <w:spacing w:line="520" w:lineRule="exact"/>
        <w:ind w:firstLine="424" w:firstLineChars="202"/>
        <w:rPr>
          <w:rFonts w:ascii="宋体" w:hAnsi="宋体" w:cs="宋体"/>
          <w:bCs/>
          <w:szCs w:val="21"/>
          <w:highlight w:val="none"/>
        </w:rPr>
      </w:pPr>
      <w:r>
        <w:rPr>
          <w:rFonts w:hint="eastAsia" w:ascii="宋体" w:hAnsi="宋体" w:cs="宋体"/>
          <w:bCs/>
          <w:szCs w:val="21"/>
          <w:highlight w:val="none"/>
        </w:rPr>
        <w:t>（2）荣誉得分（4分）：获得部级养老行业相关荣誉的一项得3分；获得省（自治区）级养老行业相关荣誉的一项得2分；获得市级养老行业相关荣誉的一项得1分；满分4分。</w:t>
      </w:r>
    </w:p>
    <w:p>
      <w:pPr>
        <w:pStyle w:val="6"/>
        <w:tabs>
          <w:tab w:val="left" w:leader="middleDot" w:pos="8820"/>
        </w:tabs>
        <w:spacing w:line="520" w:lineRule="exact"/>
        <w:ind w:firstLine="420" w:firstLineChars="200"/>
        <w:rPr>
          <w:rFonts w:hAnsi="宋体" w:cs="宋体"/>
          <w:sz w:val="21"/>
          <w:szCs w:val="21"/>
          <w:highlight w:val="none"/>
        </w:rPr>
      </w:pPr>
      <w:r>
        <w:rPr>
          <w:rFonts w:hint="eastAsia" w:hAnsi="宋体" w:cs="宋体"/>
          <w:bCs/>
          <w:sz w:val="21"/>
          <w:szCs w:val="21"/>
          <w:highlight w:val="none"/>
        </w:rPr>
        <w:t>（3）供应商自2012年以来具有养老服务运营项目业绩的，</w:t>
      </w:r>
      <w:r>
        <w:rPr>
          <w:rFonts w:hint="eastAsia" w:hAnsi="宋体" w:cs="宋体"/>
          <w:b/>
          <w:bCs/>
          <w:sz w:val="21"/>
          <w:szCs w:val="21"/>
          <w:highlight w:val="none"/>
        </w:rPr>
        <w:t>【提供合同或中标（成交）通知书复印件,（无不良记录，以中标、成交通知书或签订的合同为准，并能清晰反映该项目的项目名称、种类、金额等），否则提供无效。】</w:t>
      </w:r>
      <w:r>
        <w:rPr>
          <w:rFonts w:hint="eastAsia" w:hAnsi="宋体" w:cs="宋体"/>
          <w:bCs/>
          <w:sz w:val="21"/>
          <w:szCs w:val="21"/>
          <w:highlight w:val="none"/>
        </w:rPr>
        <w:t>每个项目</w:t>
      </w:r>
      <w:r>
        <w:rPr>
          <w:rFonts w:hint="eastAsia" w:hAnsi="宋体" w:cs="宋体"/>
          <w:sz w:val="21"/>
          <w:szCs w:val="21"/>
          <w:highlight w:val="none"/>
        </w:rPr>
        <w:t>得2分</w:t>
      </w:r>
      <w:r>
        <w:rPr>
          <w:rFonts w:hint="eastAsia" w:hAnsi="宋体" w:cs="宋体"/>
          <w:b/>
          <w:bCs/>
          <w:sz w:val="21"/>
          <w:szCs w:val="21"/>
          <w:highlight w:val="none"/>
        </w:rPr>
        <w:t>（同一个编号的项目有两个或两个以上的分标中标的只算一次）</w:t>
      </w:r>
      <w:r>
        <w:rPr>
          <w:rFonts w:hint="eastAsia" w:hAnsi="宋体" w:cs="宋体"/>
          <w:sz w:val="21"/>
          <w:szCs w:val="21"/>
          <w:highlight w:val="none"/>
        </w:rPr>
        <w:t>。满分6分。</w:t>
      </w:r>
    </w:p>
    <w:p>
      <w:pPr>
        <w:pStyle w:val="3"/>
        <w:spacing w:line="520" w:lineRule="exact"/>
        <w:ind w:left="0" w:firstLine="420" w:firstLineChars="200"/>
        <w:rPr>
          <w:rFonts w:ascii="宋体" w:hAnsi="宋体" w:cs="宋体"/>
          <w:bCs/>
          <w:szCs w:val="21"/>
          <w:highlight w:val="none"/>
        </w:rPr>
      </w:pPr>
      <w:r>
        <w:rPr>
          <w:rFonts w:hint="eastAsia" w:ascii="宋体" w:hAnsi="宋体" w:cs="宋体"/>
          <w:bCs/>
          <w:szCs w:val="21"/>
          <w:highlight w:val="none"/>
        </w:rPr>
        <w:t>（5）</w:t>
      </w:r>
      <w:r>
        <w:rPr>
          <w:rFonts w:hint="eastAsia" w:ascii="宋体" w:hAnsi="宋体" w:cs="宋体"/>
          <w:szCs w:val="21"/>
          <w:highlight w:val="none"/>
        </w:rPr>
        <w:t>供应商正在运营的总床位数，100张（含100张）-200张（不含200张），得2分；200张（含200张）以上得4分；满分4分。（以《养老机构设立许可证》或者民政部门的“养老机构备案证明”上的床位数量为准）</w:t>
      </w:r>
    </w:p>
    <w:p>
      <w:pPr>
        <w:spacing w:line="480" w:lineRule="exact"/>
        <w:ind w:firstLine="420" w:firstLineChars="200"/>
        <w:rPr>
          <w:rFonts w:ascii="宋体" w:hAnsi="宋体" w:cs="宋体"/>
          <w:szCs w:val="21"/>
          <w:highlight w:val="none"/>
        </w:rPr>
      </w:pPr>
      <w:r>
        <w:rPr>
          <w:rFonts w:hint="eastAsia" w:ascii="宋体" w:hAnsi="宋体" w:cs="宋体"/>
          <w:szCs w:val="21"/>
          <w:highlight w:val="none"/>
        </w:rPr>
        <w:t>（6）</w:t>
      </w:r>
      <w:r>
        <w:rPr>
          <w:rFonts w:hint="eastAsia" w:ascii="宋体" w:hAnsi="宋体" w:cs="宋体"/>
          <w:bCs/>
          <w:szCs w:val="21"/>
          <w:highlight w:val="none"/>
        </w:rPr>
        <w:t>诚信分，投标人在截标日前1年内在政府采购活动中存在违约违规情形的（以财政部门出具的书面材料为评分依据），每次扣除3分，最高扣分6分扣完为止。</w:t>
      </w:r>
    </w:p>
    <w:p>
      <w:pPr>
        <w:spacing w:line="360" w:lineRule="auto"/>
        <w:ind w:firstLine="411" w:firstLineChars="196"/>
        <w:rPr>
          <w:rFonts w:ascii="宋体" w:hAnsi="宋体" w:cs="宋体"/>
          <w:bCs/>
          <w:highlight w:val="none"/>
        </w:rPr>
      </w:pPr>
      <w:r>
        <w:rPr>
          <w:rFonts w:hint="eastAsia" w:ascii="宋体" w:hAnsi="宋体" w:cs="宋体"/>
          <w:bCs/>
          <w:highlight w:val="none"/>
        </w:rPr>
        <w:t>（三）总得分＝1＋2＋3＋4</w:t>
      </w:r>
    </w:p>
    <w:p>
      <w:pPr>
        <w:spacing w:line="360" w:lineRule="auto"/>
        <w:ind w:firstLine="420" w:firstLineChars="200"/>
        <w:rPr>
          <w:rFonts w:ascii="宋体" w:hAnsi="宋体" w:cs="宋体"/>
          <w:bCs/>
          <w:highlight w:val="none"/>
        </w:rPr>
      </w:pPr>
      <w:r>
        <w:rPr>
          <w:rFonts w:hint="eastAsia" w:ascii="宋体" w:hAnsi="宋体" w:cs="宋体"/>
          <w:bCs/>
          <w:highlight w:val="none"/>
        </w:rPr>
        <w:t>（四）评标委员会将根据总得分由高到低排列次序（总得分相同时，依次按投标报价高优先、技术分高优先、服务承诺分高优先、信誉业绩分高优先的顺序排列）并推荐中标候选供应商。招标采购单位应当确定评审委员会推荐排名第一的中标候选人为中标人。排名第一的中标候选人放弃中标、因不可抗力提出不能履行合同，或者招标文件规定应当提交履约保证金而在规定的期限内未能提交的，招标采购单位可以确定排名第二的中标候选人为中标人。排名第二的中标候选人因前款规定的同样原因不能签订合同的，招标采购单位可以确定排名第三的中标候选人为中标人，其余以此类推，或重新组织采购。</w:t>
      </w:r>
    </w:p>
    <w:p>
      <w:pPr>
        <w:pStyle w:val="6"/>
        <w:jc w:val="center"/>
        <w:outlineLvl w:val="0"/>
        <w:rPr>
          <w:rFonts w:hAnsi="宋体" w:cs="宋体"/>
          <w:b/>
          <w:sz w:val="36"/>
          <w:szCs w:val="36"/>
          <w:highlight w:val="none"/>
        </w:rPr>
      </w:pPr>
      <w:r>
        <w:rPr>
          <w:rFonts w:hint="eastAsia" w:hAnsi="宋体" w:cs="宋体"/>
          <w:highlight w:val="none"/>
        </w:rPr>
        <w:br w:type="page"/>
      </w:r>
      <w:bookmarkStart w:id="32" w:name="_Toc30030"/>
      <w:r>
        <w:rPr>
          <w:rFonts w:hint="eastAsia" w:hAnsi="宋体" w:cs="宋体"/>
          <w:b/>
          <w:sz w:val="36"/>
          <w:highlight w:val="none"/>
        </w:rPr>
        <w:t>第四章  投标人须知</w:t>
      </w:r>
      <w:bookmarkEnd w:id="32"/>
    </w:p>
    <w:p>
      <w:pPr>
        <w:pStyle w:val="6"/>
        <w:spacing w:line="720" w:lineRule="auto"/>
        <w:jc w:val="center"/>
        <w:rPr>
          <w:rFonts w:hAnsi="宋体" w:cs="宋体"/>
          <w:b/>
          <w:sz w:val="30"/>
          <w:szCs w:val="30"/>
          <w:highlight w:val="none"/>
        </w:rPr>
      </w:pPr>
      <w:r>
        <w:rPr>
          <w:rFonts w:hint="eastAsia" w:hAnsi="宋体" w:cs="宋体"/>
          <w:b/>
          <w:sz w:val="30"/>
          <w:szCs w:val="30"/>
          <w:highlight w:val="none"/>
        </w:rPr>
        <w:t>投标人须知前附表</w:t>
      </w:r>
    </w:p>
    <w:p>
      <w:pPr>
        <w:pStyle w:val="6"/>
        <w:spacing w:line="460" w:lineRule="exact"/>
        <w:ind w:firstLine="420"/>
        <w:rPr>
          <w:rFonts w:hAnsi="宋体" w:cs="宋体"/>
          <w:b/>
          <w:sz w:val="30"/>
          <w:szCs w:val="30"/>
          <w:highlight w:val="none"/>
        </w:rPr>
      </w:pPr>
      <w:r>
        <w:rPr>
          <w:rFonts w:hint="eastAsia" w:hAnsi="宋体" w:cs="宋体"/>
          <w:highlight w:val="none"/>
        </w:rPr>
        <w:t>本表是关于本次采购项目的具体资料，是对后列条款的具体补充和修改。所有与本次采购有关的事宜，以本表规定的为准。</w:t>
      </w:r>
    </w:p>
    <w:sectPr>
      <w:pgSz w:w="11906" w:h="16838"/>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仿宋简">
    <w:altName w:val="仿宋"/>
    <w:panose1 w:val="02010604000101010101"/>
    <w:charset w:val="86"/>
    <w:family w:val="auto"/>
    <w:pitch w:val="default"/>
    <w:sig w:usb0="00000000" w:usb1="000000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dqjU4AgAAc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F12qNTgCAABwBAAADgAAAAAAAAABACAAAAAfAQAAZHJzL2Uyb0RvYy54&#10;bWxQSwUGAAAAAAYABgBZAQAAyQU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73B0B"/>
    <w:multiLevelType w:val="singleLevel"/>
    <w:tmpl w:val="5F573B0B"/>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dit="readOnly" w:enforcement="1" w:cryptProviderType="rsaFull" w:cryptAlgorithmClass="hash" w:cryptAlgorithmType="typeAny" w:cryptAlgorithmSid="4" w:cryptSpinCount="0" w:hash="Yt5dz1NS7tiTUQs5h4dbCHNWCjs=" w:salt="fwKxq7tBxCkbm2xQRl7dig=="/>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796C8C"/>
    <w:rsid w:val="004A4EE9"/>
    <w:rsid w:val="00540D48"/>
    <w:rsid w:val="00671E17"/>
    <w:rsid w:val="00942182"/>
    <w:rsid w:val="00AD6A8D"/>
    <w:rsid w:val="00AF5B14"/>
    <w:rsid w:val="02A36080"/>
    <w:rsid w:val="04D55F2C"/>
    <w:rsid w:val="0A07698D"/>
    <w:rsid w:val="0B9D2DC0"/>
    <w:rsid w:val="0BF14937"/>
    <w:rsid w:val="0E6452F8"/>
    <w:rsid w:val="0EE165CD"/>
    <w:rsid w:val="105F26FD"/>
    <w:rsid w:val="10C96F2D"/>
    <w:rsid w:val="12224C32"/>
    <w:rsid w:val="14C40E03"/>
    <w:rsid w:val="163D22F5"/>
    <w:rsid w:val="164B5B76"/>
    <w:rsid w:val="18F36B3C"/>
    <w:rsid w:val="1B812AC6"/>
    <w:rsid w:val="209D08CC"/>
    <w:rsid w:val="26B805ED"/>
    <w:rsid w:val="2A0E3F10"/>
    <w:rsid w:val="2DF36EC7"/>
    <w:rsid w:val="30D36097"/>
    <w:rsid w:val="31737F41"/>
    <w:rsid w:val="34A1745A"/>
    <w:rsid w:val="39835A03"/>
    <w:rsid w:val="3DDC3FBA"/>
    <w:rsid w:val="403C6266"/>
    <w:rsid w:val="40B02B73"/>
    <w:rsid w:val="417B0DCE"/>
    <w:rsid w:val="41C13CDB"/>
    <w:rsid w:val="431705F7"/>
    <w:rsid w:val="43796C8C"/>
    <w:rsid w:val="442348AC"/>
    <w:rsid w:val="449A6A6C"/>
    <w:rsid w:val="45272A05"/>
    <w:rsid w:val="473F59B4"/>
    <w:rsid w:val="482E5C1C"/>
    <w:rsid w:val="489869EA"/>
    <w:rsid w:val="4B76713D"/>
    <w:rsid w:val="4C6B1936"/>
    <w:rsid w:val="4CA34234"/>
    <w:rsid w:val="4F0A0C71"/>
    <w:rsid w:val="5143549A"/>
    <w:rsid w:val="51C64C86"/>
    <w:rsid w:val="52C207A2"/>
    <w:rsid w:val="5353353A"/>
    <w:rsid w:val="53F54680"/>
    <w:rsid w:val="55945125"/>
    <w:rsid w:val="56B238D0"/>
    <w:rsid w:val="58727A26"/>
    <w:rsid w:val="5B4D0417"/>
    <w:rsid w:val="5D6F635C"/>
    <w:rsid w:val="5EDF1C74"/>
    <w:rsid w:val="5EF94D96"/>
    <w:rsid w:val="5F26066C"/>
    <w:rsid w:val="5F6C34FF"/>
    <w:rsid w:val="5FA818BC"/>
    <w:rsid w:val="64057D7D"/>
    <w:rsid w:val="65353E1A"/>
    <w:rsid w:val="671F74CB"/>
    <w:rsid w:val="67776972"/>
    <w:rsid w:val="69571A31"/>
    <w:rsid w:val="69964880"/>
    <w:rsid w:val="69DA035A"/>
    <w:rsid w:val="6A2C22CC"/>
    <w:rsid w:val="6D382AB5"/>
    <w:rsid w:val="6D501B5D"/>
    <w:rsid w:val="6EC867A3"/>
    <w:rsid w:val="6FA257C9"/>
    <w:rsid w:val="6FBB49E5"/>
    <w:rsid w:val="72B52F7C"/>
    <w:rsid w:val="78FB65EA"/>
    <w:rsid w:val="7AD27C02"/>
    <w:rsid w:val="7B7D3F8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index 8"/>
    <w:basedOn w:val="1"/>
    <w:next w:val="1"/>
    <w:qFormat/>
    <w:uiPriority w:val="0"/>
    <w:pPr>
      <w:ind w:left="2940"/>
    </w:pPr>
    <w:rPr>
      <w:rFonts w:ascii="Times New Roman" w:hAnsi="Times New Roman" w:eastAsia="宋体" w:cs="Times New Roman"/>
    </w:rPr>
  </w:style>
  <w:style w:type="paragraph" w:styleId="4">
    <w:name w:val="annotation text"/>
    <w:basedOn w:val="1"/>
    <w:unhideWhenUsed/>
    <w:qFormat/>
    <w:uiPriority w:val="99"/>
    <w:pPr>
      <w:jc w:val="left"/>
    </w:pPr>
  </w:style>
  <w:style w:type="paragraph" w:styleId="5">
    <w:name w:val="Body Text Indent"/>
    <w:basedOn w:val="1"/>
    <w:qFormat/>
    <w:uiPriority w:val="0"/>
    <w:pPr>
      <w:spacing w:line="200" w:lineRule="exact"/>
      <w:ind w:firstLine="301"/>
    </w:pPr>
    <w:rPr>
      <w:rFonts w:ascii="宋体" w:hAnsi="Courier New"/>
      <w:spacing w:val="-4"/>
      <w:kern w:val="0"/>
      <w:sz w:val="18"/>
      <w:szCs w:val="20"/>
    </w:rPr>
  </w:style>
  <w:style w:type="paragraph" w:styleId="6">
    <w:name w:val="Plain Text"/>
    <w:basedOn w:val="1"/>
    <w:next w:val="3"/>
    <w:qFormat/>
    <w:uiPriority w:val="0"/>
    <w:rPr>
      <w:rFonts w:ascii="宋体" w:hAnsi="Courier New"/>
      <w:kern w:val="0"/>
      <w:sz w:val="20"/>
      <w:szCs w:val="20"/>
    </w:rPr>
  </w:style>
  <w:style w:type="paragraph" w:styleId="7">
    <w:name w:val="Balloon Text"/>
    <w:basedOn w:val="1"/>
    <w:link w:val="21"/>
    <w:qFormat/>
    <w:uiPriority w:val="0"/>
    <w:rPr>
      <w:sz w:val="18"/>
      <w:szCs w:val="18"/>
    </w:rPr>
  </w:style>
  <w:style w:type="paragraph" w:styleId="8">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qFormat/>
    <w:uiPriority w:val="0"/>
    <w:pPr>
      <w:spacing w:before="120" w:after="120"/>
      <w:jc w:val="left"/>
    </w:pPr>
    <w:rPr>
      <w:b/>
      <w:bCs/>
      <w:caps/>
      <w:sz w:val="20"/>
      <w:szCs w:val="20"/>
    </w:rPr>
  </w:style>
  <w:style w:type="paragraph" w:styleId="11">
    <w:name w:val="toc 2"/>
    <w:basedOn w:val="1"/>
    <w:next w:val="1"/>
    <w:qFormat/>
    <w:uiPriority w:val="0"/>
    <w:pPr>
      <w:ind w:left="420" w:leftChars="200"/>
    </w:pPr>
  </w:style>
  <w:style w:type="paragraph" w:styleId="12">
    <w:name w:val="Normal (Web)"/>
    <w:basedOn w:val="1"/>
    <w:unhideWhenUsed/>
    <w:qFormat/>
    <w:uiPriority w:val="0"/>
    <w:pPr>
      <w:widowControl/>
      <w:spacing w:beforeLines="0" w:beforeAutospacing="1" w:afterLines="0" w:afterAutospacing="1"/>
      <w:jc w:val="left"/>
    </w:pPr>
    <w:rPr>
      <w:rFonts w:ascii="宋体" w:hAnsi="宋体" w:cs="宋体"/>
      <w:kern w:val="0"/>
      <w:sz w:val="24"/>
    </w:rPr>
  </w:style>
  <w:style w:type="character" w:styleId="15">
    <w:name w:val="page number"/>
    <w:basedOn w:val="14"/>
    <w:qFormat/>
    <w:uiPriority w:val="0"/>
  </w:style>
  <w:style w:type="character" w:styleId="16">
    <w:name w:val="Hyperlink"/>
    <w:qFormat/>
    <w:uiPriority w:val="0"/>
    <w:rPr>
      <w:color w:val="0000FF"/>
      <w:u w:val="single"/>
    </w:rPr>
  </w:style>
  <w:style w:type="paragraph" w:styleId="17">
    <w:name w:val="List Paragraph"/>
    <w:basedOn w:val="1"/>
    <w:qFormat/>
    <w:uiPriority w:val="0"/>
    <w:pPr>
      <w:widowControl/>
      <w:spacing w:line="360" w:lineRule="auto"/>
      <w:ind w:firstLine="420" w:firstLineChars="200"/>
      <w:jc w:val="left"/>
    </w:pPr>
    <w:rPr>
      <w:rFonts w:ascii="Calibri" w:hAnsi="Calibri"/>
      <w:szCs w:val="22"/>
    </w:rPr>
  </w:style>
  <w:style w:type="paragraph" w:customStyle="1" w:styleId="18">
    <w:name w:val="List Paragraph1"/>
    <w:basedOn w:val="1"/>
    <w:qFormat/>
    <w:uiPriority w:val="0"/>
    <w:pPr>
      <w:ind w:firstLine="420" w:firstLineChars="200"/>
    </w:pPr>
    <w:rPr>
      <w:rFonts w:ascii="Calibri" w:hAnsi="Calibri"/>
    </w:rPr>
  </w:style>
  <w:style w:type="paragraph" w:customStyle="1" w:styleId="19">
    <w:name w:val="彩色列表1"/>
    <w:basedOn w:val="1"/>
    <w:qFormat/>
    <w:uiPriority w:val="0"/>
    <w:pPr>
      <w:ind w:firstLine="420" w:firstLineChars="200"/>
    </w:pPr>
    <w:rPr>
      <w:szCs w:val="22"/>
    </w:rPr>
  </w:style>
  <w:style w:type="paragraph" w:customStyle="1" w:styleId="20">
    <w:name w:val="文件"/>
    <w:basedOn w:val="1"/>
    <w:qFormat/>
    <w:uiPriority w:val="0"/>
    <w:pPr>
      <w:adjustRightInd w:val="0"/>
      <w:snapToGrid w:val="0"/>
      <w:spacing w:line="338" w:lineRule="auto"/>
      <w:ind w:firstLine="658"/>
    </w:pPr>
    <w:rPr>
      <w:rFonts w:ascii="汉仪仿宋简" w:eastAsia="汉仪仿宋简"/>
      <w:spacing w:val="-3"/>
      <w:sz w:val="32"/>
    </w:rPr>
  </w:style>
  <w:style w:type="character" w:customStyle="1" w:styleId="21">
    <w:name w:val="批注框文本 Char"/>
    <w:basedOn w:val="14"/>
    <w:link w:val="7"/>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NUL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7621</Words>
  <Characters>43445</Characters>
  <Lines>362</Lines>
  <Paragraphs>101</Paragraphs>
  <TotalTime>4</TotalTime>
  <ScaleCrop>false</ScaleCrop>
  <LinksUpToDate>false</LinksUpToDate>
  <CharactersWithSpaces>50965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2020-12-09T02:30:00Z</dcterms:created>
  <dc:creator>Miss懒H</dc:creator>
  <cp:lastModifiedBy>Miss懒H</cp:lastModifiedBy>
  <dcterms:modified xsi:type="dcterms:W3CDTF">2020-12-09T04:40:41Z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