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rPr>
      </w:pPr>
      <w:r>
        <w:rPr>
          <w:rFonts w:hint="eastAsia" w:ascii="宋体" w:hAnsi="宋体"/>
          <w:b/>
          <w:bCs/>
          <w:sz w:val="32"/>
          <w:szCs w:val="32"/>
        </w:rPr>
        <w:t xml:space="preserve"> </w:t>
      </w:r>
      <w:r>
        <w:rPr>
          <w:rFonts w:hint="eastAsia" w:ascii="宋体" w:hAnsi="宋体"/>
          <w:b/>
          <w:bCs/>
          <w:sz w:val="32"/>
          <w:szCs w:val="32"/>
          <w:lang w:eastAsia="zh-CN"/>
        </w:rPr>
        <w:t>广西联云项目管理有限公司关于职业教育及康复专用设备采购（GLZC2020-G1-00109-GXLY）</w:t>
      </w:r>
      <w:r>
        <w:rPr>
          <w:rFonts w:hint="eastAsia" w:ascii="宋体" w:hAnsi="宋体"/>
          <w:b/>
          <w:sz w:val="32"/>
          <w:szCs w:val="32"/>
        </w:rPr>
        <w:t>公开招标公告</w:t>
      </w:r>
    </w:p>
    <w:p>
      <w:pPr>
        <w:spacing w:line="320" w:lineRule="exact"/>
        <w:ind w:firstLine="420" w:firstLineChars="200"/>
        <w:jc w:val="left"/>
        <w:rPr>
          <w:rFonts w:ascii="宋体" w:hAnsi="宋体"/>
          <w:szCs w:val="21"/>
        </w:rPr>
      </w:pPr>
      <w:r>
        <w:rPr>
          <w:rFonts w:hint="eastAsia" w:ascii="宋体" w:hAnsi="宋体"/>
          <w:szCs w:val="21"/>
        </w:rPr>
        <w:t>广西联云项目管理有限公司受桂林市聋哑学校委托，根据《中华人民共和国政府采购法》、《中华人民共和国政府采购法实施条例》及</w:t>
      </w:r>
      <w:r>
        <w:rPr>
          <w:rStyle w:val="4"/>
          <w:rFonts w:ascii="宋体" w:hAnsi="宋体" w:cs="Arial"/>
          <w:b w:val="0"/>
          <w:szCs w:val="21"/>
        </w:rPr>
        <w:t>财政部令第87号</w:t>
      </w:r>
      <w:r>
        <w:rPr>
          <w:rFonts w:ascii="宋体" w:hAnsi="宋体" w:cs="Arial"/>
          <w:szCs w:val="21"/>
        </w:rPr>
        <w:t>《政府采购货物和服务招标投标管理办法》</w:t>
      </w:r>
      <w:r>
        <w:rPr>
          <w:rFonts w:hint="eastAsia" w:ascii="宋体" w:hAnsi="宋体"/>
          <w:szCs w:val="21"/>
        </w:rPr>
        <w:t>等有关规定，现对</w:t>
      </w:r>
      <w:r>
        <w:rPr>
          <w:rFonts w:hint="eastAsia" w:ascii="宋体" w:hAnsi="宋体"/>
          <w:szCs w:val="21"/>
          <w:u w:val="single"/>
        </w:rPr>
        <w:t xml:space="preserve"> 职业教育及康复专用设备采购</w:t>
      </w:r>
      <w:r>
        <w:rPr>
          <w:rFonts w:hint="eastAsia" w:ascii="宋体" w:hAnsi="宋体"/>
          <w:szCs w:val="21"/>
        </w:rPr>
        <w:t>项目进行公开招标，现将本次公开招标有关事项公告如下：</w:t>
      </w:r>
    </w:p>
    <w:p>
      <w:pPr>
        <w:numPr>
          <w:ilvl w:val="0"/>
          <w:numId w:val="1"/>
        </w:numPr>
        <w:spacing w:line="320" w:lineRule="exact"/>
        <w:ind w:firstLine="420" w:firstLineChars="200"/>
        <w:rPr>
          <w:rFonts w:hint="eastAsia" w:ascii="宋体" w:hAnsi="宋体"/>
          <w:szCs w:val="21"/>
        </w:rPr>
      </w:pPr>
      <w:r>
        <w:rPr>
          <w:rFonts w:hint="eastAsia" w:ascii="宋体" w:hAnsi="宋体"/>
          <w:szCs w:val="21"/>
        </w:rPr>
        <w:t>采购项目名称：职业教育及康复专用设备采购</w:t>
      </w:r>
    </w:p>
    <w:p>
      <w:pPr>
        <w:spacing w:line="320" w:lineRule="exact"/>
        <w:ind w:firstLine="420" w:firstLineChars="200"/>
        <w:rPr>
          <w:rFonts w:ascii="宋体" w:hAnsi="宋体"/>
          <w:szCs w:val="21"/>
        </w:rPr>
      </w:pPr>
      <w:r>
        <w:rPr>
          <w:rFonts w:hint="eastAsia" w:ascii="宋体" w:hAnsi="宋体"/>
          <w:szCs w:val="21"/>
        </w:rPr>
        <w:t>二、采购项目编号：GLZC2020-G1-00109-GXLY</w:t>
      </w:r>
    </w:p>
    <w:p>
      <w:pPr>
        <w:spacing w:line="320" w:lineRule="exact"/>
        <w:ind w:firstLine="420" w:firstLineChars="200"/>
        <w:rPr>
          <w:rFonts w:hint="eastAsia" w:ascii="宋体" w:hAnsi="宋体"/>
          <w:szCs w:val="21"/>
        </w:rPr>
      </w:pPr>
      <w:r>
        <w:rPr>
          <w:rFonts w:hint="eastAsia" w:ascii="宋体" w:hAnsi="宋体"/>
          <w:szCs w:val="21"/>
        </w:rPr>
        <w:t>三、</w:t>
      </w:r>
      <w:r>
        <w:rPr>
          <w:rFonts w:hint="eastAsia" w:ascii="宋体" w:hAnsi="宋体"/>
        </w:rPr>
        <w:t>采购项目的采购需求介绍：</w:t>
      </w:r>
    </w:p>
    <w:tbl>
      <w:tblPr>
        <w:tblStyle w:val="2"/>
        <w:tblW w:w="4200"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613"/>
        <w:gridCol w:w="2786"/>
        <w:gridCol w:w="1908"/>
        <w:gridCol w:w="1129"/>
        <w:gridCol w:w="185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95" w:hRule="atLeast"/>
          <w:jc w:val="center"/>
        </w:trPr>
        <w:tc>
          <w:tcPr>
            <w:tcW w:w="369" w:type="pct"/>
            <w:tcBorders>
              <w:bottom w:val="single" w:color="000000" w:sz="4" w:space="0"/>
              <w:right w:val="single" w:color="000000" w:sz="4" w:space="0"/>
            </w:tcBorders>
            <w:noWrap w:val="0"/>
            <w:vAlign w:val="top"/>
          </w:tcPr>
          <w:p>
            <w:pPr>
              <w:widowControl/>
              <w:adjustRightInd w:val="0"/>
              <w:snapToGrid w:val="0"/>
              <w:spacing w:line="240" w:lineRule="atLeast"/>
              <w:jc w:val="left"/>
              <w:rPr>
                <w:rFonts w:ascii="宋体" w:hAnsi="宋体" w:cs="宋体"/>
                <w:bCs/>
                <w:color w:val="000000"/>
                <w:kern w:val="0"/>
                <w:szCs w:val="21"/>
              </w:rPr>
            </w:pPr>
            <w:r>
              <w:rPr>
                <w:rFonts w:hint="eastAsia" w:ascii="宋体" w:hAnsi="宋体" w:cs="宋体"/>
                <w:bCs/>
                <w:color w:val="000000"/>
                <w:kern w:val="0"/>
                <w:szCs w:val="21"/>
              </w:rPr>
              <w:t>序号</w:t>
            </w:r>
          </w:p>
        </w:tc>
        <w:tc>
          <w:tcPr>
            <w:tcW w:w="1678" w:type="pct"/>
            <w:tcBorders>
              <w:left w:val="single" w:color="000000" w:sz="4" w:space="0"/>
              <w:bottom w:val="single" w:color="000000" w:sz="4" w:space="0"/>
              <w:right w:val="single" w:color="000000" w:sz="4" w:space="0"/>
            </w:tcBorders>
            <w:noWrap w:val="0"/>
            <w:vAlign w:val="top"/>
          </w:tcPr>
          <w:p>
            <w:pPr>
              <w:widowControl/>
              <w:adjustRightInd w:val="0"/>
              <w:snapToGrid w:val="0"/>
              <w:spacing w:line="240" w:lineRule="atLeast"/>
              <w:jc w:val="left"/>
              <w:rPr>
                <w:rFonts w:ascii="宋体" w:hAnsi="宋体" w:cs="宋体"/>
                <w:bCs/>
                <w:color w:val="000000"/>
                <w:kern w:val="0"/>
                <w:szCs w:val="21"/>
              </w:rPr>
            </w:pPr>
            <w:r>
              <w:rPr>
                <w:rFonts w:hint="eastAsia" w:ascii="宋体" w:hAnsi="宋体" w:cs="宋体"/>
                <w:bCs/>
                <w:color w:val="000000"/>
                <w:kern w:val="0"/>
                <w:szCs w:val="21"/>
              </w:rPr>
              <w:t>名称</w:t>
            </w:r>
          </w:p>
        </w:tc>
        <w:tc>
          <w:tcPr>
            <w:tcW w:w="1150" w:type="pct"/>
            <w:tcBorders>
              <w:left w:val="single" w:color="000000" w:sz="4" w:space="0"/>
              <w:bottom w:val="single" w:color="000000" w:sz="4" w:space="0"/>
              <w:right w:val="single" w:color="000000" w:sz="4" w:space="0"/>
            </w:tcBorders>
            <w:noWrap w:val="0"/>
            <w:vAlign w:val="top"/>
          </w:tcPr>
          <w:p>
            <w:pPr>
              <w:widowControl/>
              <w:adjustRightInd w:val="0"/>
              <w:snapToGrid w:val="0"/>
              <w:spacing w:line="240" w:lineRule="atLeast"/>
              <w:jc w:val="left"/>
              <w:rPr>
                <w:rFonts w:ascii="宋体" w:hAnsi="宋体" w:cs="宋体"/>
                <w:b/>
                <w:bCs/>
                <w:color w:val="000000"/>
                <w:kern w:val="0"/>
                <w:szCs w:val="21"/>
              </w:rPr>
            </w:pPr>
            <w:r>
              <w:rPr>
                <w:rFonts w:hint="eastAsia" w:ascii="宋体" w:hAnsi="宋体" w:cs="宋体"/>
                <w:b/>
                <w:bCs/>
                <w:color w:val="000000"/>
                <w:kern w:val="0"/>
                <w:szCs w:val="21"/>
              </w:rPr>
              <w:t>数量</w:t>
            </w:r>
          </w:p>
        </w:tc>
        <w:tc>
          <w:tcPr>
            <w:tcW w:w="681" w:type="pct"/>
            <w:tcBorders>
              <w:left w:val="single" w:color="000000" w:sz="4" w:space="0"/>
              <w:bottom w:val="single" w:color="000000" w:sz="4" w:space="0"/>
              <w:right w:val="single" w:color="000000" w:sz="4" w:space="0"/>
            </w:tcBorders>
            <w:noWrap w:val="0"/>
            <w:vAlign w:val="top"/>
          </w:tcPr>
          <w:p>
            <w:pPr>
              <w:widowControl/>
              <w:adjustRightInd w:val="0"/>
              <w:snapToGrid w:val="0"/>
              <w:spacing w:line="240" w:lineRule="atLeast"/>
              <w:jc w:val="left"/>
              <w:rPr>
                <w:rFonts w:ascii="宋体" w:hAnsi="宋体" w:cs="宋体"/>
                <w:b/>
                <w:bCs/>
                <w:color w:val="000000"/>
                <w:kern w:val="0"/>
                <w:szCs w:val="21"/>
              </w:rPr>
            </w:pPr>
            <w:r>
              <w:rPr>
                <w:rFonts w:hint="eastAsia" w:ascii="宋体" w:hAnsi="宋体" w:cs="宋体"/>
                <w:b/>
                <w:bCs/>
                <w:color w:val="000000"/>
                <w:kern w:val="0"/>
                <w:szCs w:val="21"/>
              </w:rPr>
              <w:t>单位</w:t>
            </w:r>
          </w:p>
        </w:tc>
        <w:tc>
          <w:tcPr>
            <w:tcW w:w="1120" w:type="pct"/>
            <w:tcBorders>
              <w:left w:val="single" w:color="000000" w:sz="4" w:space="0"/>
              <w:bottom w:val="single" w:color="000000" w:sz="4" w:space="0"/>
            </w:tcBorders>
            <w:noWrap w:val="0"/>
            <w:vAlign w:val="top"/>
          </w:tcPr>
          <w:p>
            <w:pPr>
              <w:widowControl/>
              <w:adjustRightInd w:val="0"/>
              <w:snapToGrid w:val="0"/>
              <w:spacing w:line="240" w:lineRule="atLeast"/>
              <w:jc w:val="left"/>
              <w:rPr>
                <w:rFonts w:hint="eastAsia" w:ascii="宋体" w:hAnsi="宋体" w:cs="宋体"/>
                <w:b/>
                <w:bCs/>
                <w:color w:val="000000"/>
                <w:kern w:val="0"/>
                <w:szCs w:val="21"/>
              </w:rPr>
            </w:pPr>
            <w:r>
              <w:rPr>
                <w:rFonts w:hint="eastAsia" w:ascii="宋体" w:hAnsi="宋体" w:cs="宋体"/>
                <w:b/>
                <w:bCs/>
                <w:color w:val="333333"/>
                <w:szCs w:val="21"/>
                <w:shd w:val="clear" w:color="auto" w:fill="FFFFFF"/>
              </w:rPr>
              <w:t>简要规格描述或项目基本概况介绍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5" w:hRule="atLeast"/>
          <w:jc w:val="center"/>
        </w:trPr>
        <w:tc>
          <w:tcPr>
            <w:tcW w:w="369" w:type="pct"/>
            <w:tcBorders>
              <w:top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ascii="宋体" w:hAnsi="宋体" w:cs="宋体"/>
                <w:bCs/>
                <w:color w:val="000000"/>
                <w:kern w:val="0"/>
                <w:szCs w:val="21"/>
              </w:rPr>
            </w:pPr>
            <w:r>
              <w:rPr>
                <w:rFonts w:hint="eastAsia" w:ascii="宋体" w:hAnsi="宋体" w:cs="宋体"/>
                <w:bCs/>
                <w:color w:val="000000"/>
                <w:kern w:val="0"/>
                <w:szCs w:val="21"/>
              </w:rPr>
              <w:t>1</w:t>
            </w:r>
          </w:p>
        </w:tc>
        <w:tc>
          <w:tcPr>
            <w:tcW w:w="1678" w:type="pct"/>
            <w:tcBorders>
              <w:top w:val="nil"/>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rPr>
                <w:rFonts w:ascii="宋体" w:hAnsi="宋体" w:cs="宋体"/>
                <w:bCs/>
                <w:color w:val="000000"/>
                <w:kern w:val="0"/>
                <w:szCs w:val="21"/>
              </w:rPr>
            </w:pPr>
            <w:r>
              <w:rPr>
                <w:rFonts w:hint="eastAsia" w:ascii="宋体" w:hAnsi="宋体" w:cs="宋体"/>
                <w:bCs/>
                <w:color w:val="000000"/>
                <w:kern w:val="0"/>
                <w:szCs w:val="21"/>
              </w:rPr>
              <w:t>陶艺实训设备</w:t>
            </w:r>
          </w:p>
        </w:tc>
        <w:tc>
          <w:tcPr>
            <w:tcW w:w="1150" w:type="pct"/>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240" w:lineRule="atLeast"/>
              <w:jc w:val="center"/>
              <w:rPr>
                <w:rFonts w:ascii="宋体" w:hAnsi="宋体" w:cs="宋体"/>
                <w:bCs/>
                <w:color w:val="000000"/>
                <w:kern w:val="0"/>
                <w:szCs w:val="21"/>
              </w:rPr>
            </w:pPr>
            <w:r>
              <w:rPr>
                <w:rFonts w:hint="eastAsia" w:ascii="宋体" w:hAnsi="宋体" w:cs="宋体"/>
                <w:bCs/>
                <w:color w:val="000000"/>
                <w:kern w:val="0"/>
                <w:szCs w:val="21"/>
              </w:rPr>
              <w:t>1</w:t>
            </w:r>
          </w:p>
        </w:tc>
        <w:tc>
          <w:tcPr>
            <w:tcW w:w="68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kern w:val="0"/>
                <w:szCs w:val="21"/>
              </w:rPr>
            </w:pPr>
            <w:r>
              <w:rPr>
                <w:rFonts w:hint="eastAsia" w:ascii="宋体" w:hAnsi="宋体" w:cs="宋体"/>
                <w:bCs/>
                <w:color w:val="000000"/>
                <w:kern w:val="0"/>
                <w:szCs w:val="21"/>
              </w:rPr>
              <w:t>批</w:t>
            </w:r>
          </w:p>
        </w:tc>
        <w:tc>
          <w:tcPr>
            <w:tcW w:w="1120" w:type="pct"/>
            <w:vMerge w:val="restart"/>
            <w:tcBorders>
              <w:top w:val="single" w:color="auto" w:sz="4" w:space="0"/>
              <w:left w:val="single" w:color="auto" w:sz="4" w:space="0"/>
              <w:bottom w:val="single" w:color="auto" w:sz="4" w:space="0"/>
            </w:tcBorders>
            <w:noWrap/>
            <w:vAlign w:val="center"/>
          </w:tcPr>
          <w:p>
            <w:pPr>
              <w:widowControl/>
              <w:adjustRightInd w:val="0"/>
              <w:snapToGrid w:val="0"/>
              <w:spacing w:line="240" w:lineRule="atLeast"/>
              <w:jc w:val="center"/>
              <w:rPr>
                <w:rFonts w:hint="eastAsia" w:ascii="宋体" w:hAnsi="宋体" w:cs="宋体"/>
                <w:bCs/>
                <w:color w:val="000000"/>
                <w:kern w:val="0"/>
                <w:szCs w:val="21"/>
              </w:rPr>
            </w:pPr>
            <w:r>
              <w:rPr>
                <w:rFonts w:hint="eastAsia" w:ascii="宋体" w:hAnsi="宋体" w:cs="宋体"/>
                <w:color w:val="333333"/>
                <w:szCs w:val="21"/>
                <w:shd w:val="clear" w:color="auto" w:fill="FFFFFF"/>
              </w:rPr>
              <w:t>采购需求的详细内容，见招标文件。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45" w:hRule="atLeast"/>
          <w:jc w:val="center"/>
        </w:trPr>
        <w:tc>
          <w:tcPr>
            <w:tcW w:w="369" w:type="pct"/>
            <w:tcBorders>
              <w:top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kern w:val="0"/>
                <w:szCs w:val="21"/>
              </w:rPr>
            </w:pPr>
            <w:r>
              <w:rPr>
                <w:rFonts w:hint="eastAsia" w:ascii="宋体" w:hAnsi="宋体" w:cs="宋体"/>
                <w:bCs/>
                <w:color w:val="000000"/>
                <w:kern w:val="0"/>
                <w:szCs w:val="21"/>
              </w:rPr>
              <w:t>2</w:t>
            </w:r>
          </w:p>
        </w:tc>
        <w:tc>
          <w:tcPr>
            <w:tcW w:w="1678"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ascii="宋体" w:hAnsi="宋体" w:cs="宋体"/>
                <w:bCs/>
                <w:color w:val="000000"/>
                <w:kern w:val="0"/>
                <w:szCs w:val="21"/>
              </w:rPr>
            </w:pPr>
            <w:r>
              <w:rPr>
                <w:rFonts w:hint="eastAsia" w:ascii="宋体" w:hAnsi="宋体" w:cs="宋体"/>
                <w:bCs/>
                <w:color w:val="000000"/>
                <w:kern w:val="0"/>
                <w:szCs w:val="21"/>
              </w:rPr>
              <w:t>服装设计制作实训设备</w:t>
            </w:r>
          </w:p>
        </w:tc>
        <w:tc>
          <w:tcPr>
            <w:tcW w:w="1150" w:type="pct"/>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kern w:val="0"/>
                <w:szCs w:val="21"/>
              </w:rPr>
            </w:pPr>
            <w:r>
              <w:rPr>
                <w:rFonts w:hint="eastAsia" w:ascii="宋体" w:hAnsi="宋体" w:cs="宋体"/>
                <w:bCs/>
                <w:color w:val="000000"/>
                <w:kern w:val="0"/>
                <w:szCs w:val="21"/>
              </w:rPr>
              <w:t>1</w:t>
            </w:r>
          </w:p>
        </w:tc>
        <w:tc>
          <w:tcPr>
            <w:tcW w:w="68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kern w:val="0"/>
                <w:szCs w:val="21"/>
              </w:rPr>
            </w:pPr>
            <w:r>
              <w:rPr>
                <w:rFonts w:hint="eastAsia" w:ascii="宋体" w:hAnsi="宋体" w:cs="宋体"/>
                <w:bCs/>
                <w:color w:val="000000"/>
                <w:kern w:val="0"/>
                <w:szCs w:val="21"/>
              </w:rPr>
              <w:t>批</w:t>
            </w:r>
          </w:p>
        </w:tc>
        <w:tc>
          <w:tcPr>
            <w:tcW w:w="1120" w:type="pct"/>
            <w:vMerge w:val="continue"/>
            <w:tcBorders>
              <w:top w:val="single" w:color="auto" w:sz="4" w:space="0"/>
              <w:left w:val="single" w:color="auto" w:sz="4" w:space="0"/>
              <w:bottom w:val="single" w:color="auto" w:sz="4" w:space="0"/>
            </w:tcBorders>
            <w:noWrap/>
            <w:vAlign w:val="center"/>
          </w:tcPr>
          <w:p>
            <w:pPr>
              <w:widowControl/>
              <w:adjustRightInd w:val="0"/>
              <w:snapToGrid w:val="0"/>
              <w:spacing w:line="240" w:lineRule="atLeast"/>
              <w:jc w:val="center"/>
              <w:rPr>
                <w:rFonts w:hint="eastAsia" w:ascii="宋体" w:hAnsi="宋体"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7" w:hRule="atLeast"/>
          <w:jc w:val="center"/>
        </w:trPr>
        <w:tc>
          <w:tcPr>
            <w:tcW w:w="369" w:type="pct"/>
            <w:tcBorders>
              <w:top w:val="single" w:color="000000" w:sz="4" w:space="0"/>
              <w:bottom w:val="single" w:color="000000" w:sz="4" w:space="0"/>
              <w:right w:val="single" w:color="000000" w:sz="4" w:space="0"/>
            </w:tcBorders>
            <w:noWrap/>
            <w:vAlign w:val="center"/>
          </w:tcPr>
          <w:p>
            <w:pPr>
              <w:widowControl/>
              <w:adjustRightInd w:val="0"/>
              <w:snapToGrid w:val="0"/>
              <w:spacing w:line="360" w:lineRule="auto"/>
              <w:jc w:val="center"/>
              <w:rPr>
                <w:rFonts w:hint="eastAsia" w:ascii="宋体" w:hAnsi="宋体" w:cs="宋体"/>
                <w:bCs/>
                <w:color w:val="000000"/>
                <w:kern w:val="0"/>
                <w:szCs w:val="21"/>
              </w:rPr>
            </w:pPr>
            <w:r>
              <w:rPr>
                <w:rFonts w:hint="eastAsia" w:ascii="宋体" w:hAnsi="宋体" w:cs="宋体"/>
                <w:bCs/>
                <w:color w:val="000000"/>
                <w:kern w:val="0"/>
                <w:szCs w:val="21"/>
              </w:rPr>
              <w:t>3</w:t>
            </w:r>
          </w:p>
        </w:tc>
        <w:tc>
          <w:tcPr>
            <w:tcW w:w="1678"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jc w:val="center"/>
              <w:rPr>
                <w:rFonts w:ascii="宋体" w:hAnsi="宋体" w:cs="宋体"/>
                <w:bCs/>
                <w:kern w:val="0"/>
                <w:szCs w:val="21"/>
              </w:rPr>
            </w:pPr>
            <w:r>
              <w:rPr>
                <w:rFonts w:hint="eastAsia" w:ascii="宋体" w:hAnsi="宋体" w:cs="宋体"/>
                <w:bCs/>
                <w:color w:val="000000"/>
                <w:kern w:val="0"/>
                <w:szCs w:val="21"/>
              </w:rPr>
              <w:t>洗衣房实训设备</w:t>
            </w:r>
          </w:p>
        </w:tc>
        <w:tc>
          <w:tcPr>
            <w:tcW w:w="1150" w:type="pct"/>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360" w:lineRule="auto"/>
              <w:jc w:val="center"/>
              <w:rPr>
                <w:rFonts w:ascii="宋体" w:hAnsi="宋体" w:cs="宋体"/>
                <w:bCs/>
                <w:color w:val="000000"/>
                <w:kern w:val="0"/>
                <w:szCs w:val="21"/>
              </w:rPr>
            </w:pPr>
            <w:r>
              <w:rPr>
                <w:rFonts w:hint="eastAsia" w:ascii="宋体" w:hAnsi="宋体" w:cs="宋体"/>
                <w:bCs/>
                <w:color w:val="000000"/>
                <w:kern w:val="0"/>
                <w:szCs w:val="21"/>
              </w:rPr>
              <w:t>1</w:t>
            </w:r>
          </w:p>
        </w:tc>
        <w:tc>
          <w:tcPr>
            <w:tcW w:w="68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hint="eastAsia" w:ascii="宋体" w:hAnsi="宋体" w:cs="宋体"/>
                <w:bCs/>
                <w:color w:val="000000"/>
                <w:kern w:val="0"/>
                <w:szCs w:val="21"/>
              </w:rPr>
            </w:pPr>
            <w:r>
              <w:rPr>
                <w:rFonts w:hint="eastAsia" w:ascii="宋体" w:hAnsi="宋体" w:cs="宋体"/>
                <w:bCs/>
                <w:color w:val="000000"/>
                <w:kern w:val="0"/>
                <w:szCs w:val="21"/>
              </w:rPr>
              <w:t>批</w:t>
            </w:r>
          </w:p>
        </w:tc>
        <w:tc>
          <w:tcPr>
            <w:tcW w:w="1120" w:type="pct"/>
            <w:vMerge w:val="continue"/>
            <w:tcBorders>
              <w:top w:val="single" w:color="auto" w:sz="4" w:space="0"/>
              <w:left w:val="single" w:color="auto" w:sz="4" w:space="0"/>
              <w:bottom w:val="single" w:color="auto" w:sz="4" w:space="0"/>
            </w:tcBorders>
            <w:noWrap/>
            <w:vAlign w:val="center"/>
          </w:tcPr>
          <w:p>
            <w:pPr>
              <w:widowControl/>
              <w:adjustRightInd w:val="0"/>
              <w:snapToGrid w:val="0"/>
              <w:spacing w:line="360" w:lineRule="auto"/>
              <w:jc w:val="center"/>
              <w:rPr>
                <w:rFonts w:hint="eastAsia" w:ascii="宋体" w:hAnsi="宋体"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0" w:hRule="atLeast"/>
          <w:jc w:val="center"/>
        </w:trPr>
        <w:tc>
          <w:tcPr>
            <w:tcW w:w="369" w:type="pct"/>
            <w:tcBorders>
              <w:top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kern w:val="0"/>
                <w:szCs w:val="21"/>
              </w:rPr>
            </w:pPr>
            <w:r>
              <w:rPr>
                <w:rFonts w:hint="eastAsia" w:ascii="宋体" w:hAnsi="宋体" w:cs="宋体"/>
                <w:bCs/>
                <w:color w:val="000000"/>
                <w:kern w:val="0"/>
                <w:szCs w:val="21"/>
              </w:rPr>
              <w:t>4</w:t>
            </w:r>
          </w:p>
        </w:tc>
        <w:tc>
          <w:tcPr>
            <w:tcW w:w="1678"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ascii="宋体" w:hAnsi="宋体" w:cs="宋体"/>
                <w:bCs/>
                <w:color w:val="000000"/>
                <w:kern w:val="0"/>
                <w:szCs w:val="21"/>
              </w:rPr>
            </w:pPr>
            <w:r>
              <w:rPr>
                <w:rFonts w:hint="eastAsia" w:ascii="宋体" w:hAnsi="宋体" w:cs="宋体"/>
                <w:bCs/>
                <w:color w:val="000000"/>
                <w:kern w:val="0"/>
                <w:szCs w:val="21"/>
              </w:rPr>
              <w:t>雕刻实训设备</w:t>
            </w:r>
          </w:p>
        </w:tc>
        <w:tc>
          <w:tcPr>
            <w:tcW w:w="1150" w:type="pct"/>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kern w:val="0"/>
                <w:szCs w:val="21"/>
              </w:rPr>
            </w:pPr>
            <w:r>
              <w:rPr>
                <w:rFonts w:hint="eastAsia" w:ascii="宋体" w:hAnsi="宋体" w:cs="宋体"/>
                <w:bCs/>
                <w:color w:val="000000"/>
                <w:kern w:val="0"/>
                <w:szCs w:val="21"/>
              </w:rPr>
              <w:t>1</w:t>
            </w:r>
          </w:p>
        </w:tc>
        <w:tc>
          <w:tcPr>
            <w:tcW w:w="68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kern w:val="0"/>
                <w:szCs w:val="21"/>
              </w:rPr>
            </w:pPr>
            <w:r>
              <w:rPr>
                <w:rFonts w:hint="eastAsia" w:ascii="宋体" w:hAnsi="宋体" w:cs="宋体"/>
                <w:bCs/>
                <w:color w:val="000000"/>
                <w:kern w:val="0"/>
                <w:szCs w:val="21"/>
              </w:rPr>
              <w:t>批</w:t>
            </w:r>
          </w:p>
        </w:tc>
        <w:tc>
          <w:tcPr>
            <w:tcW w:w="1120" w:type="pct"/>
            <w:vMerge w:val="continue"/>
            <w:tcBorders>
              <w:top w:val="single" w:color="auto" w:sz="4" w:space="0"/>
              <w:left w:val="single" w:color="auto" w:sz="4" w:space="0"/>
              <w:bottom w:val="single" w:color="auto" w:sz="4" w:space="0"/>
            </w:tcBorders>
            <w:noWrap/>
            <w:vAlign w:val="center"/>
          </w:tcPr>
          <w:p>
            <w:pPr>
              <w:widowControl/>
              <w:adjustRightInd w:val="0"/>
              <w:snapToGrid w:val="0"/>
              <w:spacing w:line="240" w:lineRule="atLeast"/>
              <w:jc w:val="center"/>
              <w:rPr>
                <w:rFonts w:hint="eastAsia" w:ascii="宋体" w:hAnsi="宋体"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44" w:hRule="atLeast"/>
          <w:jc w:val="center"/>
        </w:trPr>
        <w:tc>
          <w:tcPr>
            <w:tcW w:w="369" w:type="pct"/>
            <w:tcBorders>
              <w:top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ascii="宋体" w:hAnsi="宋体" w:cs="宋体"/>
                <w:bCs/>
                <w:color w:val="000000"/>
                <w:kern w:val="0"/>
                <w:szCs w:val="21"/>
              </w:rPr>
            </w:pPr>
            <w:r>
              <w:rPr>
                <w:rFonts w:hint="eastAsia" w:ascii="宋体" w:hAnsi="宋体" w:cs="宋体"/>
                <w:bCs/>
                <w:color w:val="000000"/>
                <w:kern w:val="0"/>
                <w:szCs w:val="21"/>
              </w:rPr>
              <w:t>5</w:t>
            </w:r>
          </w:p>
        </w:tc>
        <w:tc>
          <w:tcPr>
            <w:tcW w:w="1678"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rPr>
                <w:rFonts w:ascii="宋体" w:hAnsi="宋体" w:cs="宋体"/>
                <w:bCs/>
                <w:color w:val="000000"/>
                <w:kern w:val="0"/>
                <w:szCs w:val="21"/>
              </w:rPr>
            </w:pPr>
            <w:r>
              <w:rPr>
                <w:rFonts w:hint="eastAsia" w:ascii="宋体" w:hAnsi="宋体" w:cs="宋体"/>
                <w:bCs/>
                <w:color w:val="000000"/>
                <w:kern w:val="0"/>
                <w:szCs w:val="21"/>
              </w:rPr>
              <w:t>学校礼堂音箱设备</w:t>
            </w:r>
          </w:p>
        </w:tc>
        <w:tc>
          <w:tcPr>
            <w:tcW w:w="1150" w:type="pct"/>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240" w:lineRule="atLeast"/>
              <w:jc w:val="center"/>
              <w:rPr>
                <w:rFonts w:hint="eastAsia" w:ascii="宋体" w:hAnsi="宋体" w:cs="宋体"/>
                <w:bCs/>
                <w:color w:val="000000"/>
                <w:kern w:val="0"/>
                <w:szCs w:val="21"/>
              </w:rPr>
            </w:pPr>
            <w:r>
              <w:rPr>
                <w:rFonts w:hint="eastAsia" w:ascii="宋体" w:hAnsi="宋体" w:cs="宋体"/>
                <w:bCs/>
                <w:color w:val="000000"/>
                <w:kern w:val="0"/>
                <w:szCs w:val="21"/>
              </w:rPr>
              <w:t>1</w:t>
            </w:r>
          </w:p>
        </w:tc>
        <w:tc>
          <w:tcPr>
            <w:tcW w:w="681"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hint="eastAsia" w:ascii="宋体" w:hAnsi="宋体" w:cs="宋体"/>
                <w:bCs/>
                <w:color w:val="000000"/>
                <w:kern w:val="0"/>
                <w:szCs w:val="21"/>
              </w:rPr>
            </w:pPr>
            <w:r>
              <w:rPr>
                <w:rFonts w:hint="eastAsia" w:ascii="宋体" w:hAnsi="宋体" w:cs="宋体"/>
                <w:bCs/>
                <w:color w:val="000000"/>
                <w:kern w:val="0"/>
                <w:szCs w:val="21"/>
              </w:rPr>
              <w:t>批</w:t>
            </w:r>
          </w:p>
        </w:tc>
        <w:tc>
          <w:tcPr>
            <w:tcW w:w="1120" w:type="pct"/>
            <w:vMerge w:val="continue"/>
            <w:tcBorders>
              <w:top w:val="single" w:color="auto" w:sz="4" w:space="0"/>
              <w:left w:val="single" w:color="auto" w:sz="4" w:space="0"/>
              <w:bottom w:val="single" w:color="auto" w:sz="4" w:space="0"/>
            </w:tcBorders>
            <w:noWrap w:val="0"/>
            <w:vAlign w:val="center"/>
          </w:tcPr>
          <w:p>
            <w:pPr>
              <w:widowControl/>
              <w:adjustRightInd w:val="0"/>
              <w:snapToGrid w:val="0"/>
              <w:spacing w:line="240" w:lineRule="atLeast"/>
              <w:jc w:val="center"/>
              <w:rPr>
                <w:rFonts w:hint="eastAsia" w:ascii="宋体" w:hAnsi="宋体"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30" w:hRule="atLeast"/>
          <w:jc w:val="center"/>
        </w:trPr>
        <w:tc>
          <w:tcPr>
            <w:tcW w:w="369" w:type="pct"/>
            <w:tcBorders>
              <w:top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kern w:val="0"/>
                <w:szCs w:val="21"/>
              </w:rPr>
            </w:pPr>
            <w:r>
              <w:rPr>
                <w:rFonts w:hint="eastAsia" w:ascii="宋体" w:hAnsi="宋体" w:cs="宋体"/>
                <w:bCs/>
                <w:color w:val="000000"/>
                <w:kern w:val="0"/>
                <w:szCs w:val="21"/>
              </w:rPr>
              <w:t>6</w:t>
            </w:r>
          </w:p>
        </w:tc>
        <w:tc>
          <w:tcPr>
            <w:tcW w:w="1678" w:type="pct"/>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tLeast"/>
              <w:jc w:val="center"/>
              <w:rPr>
                <w:rFonts w:ascii="宋体" w:hAnsi="宋体" w:cs="宋体"/>
                <w:bCs/>
                <w:color w:val="000000"/>
                <w:kern w:val="0"/>
                <w:szCs w:val="21"/>
              </w:rPr>
            </w:pPr>
            <w:r>
              <w:rPr>
                <w:rFonts w:hint="eastAsia" w:ascii="宋体" w:hAnsi="宋体" w:cs="宋体"/>
                <w:bCs/>
                <w:color w:val="000000"/>
                <w:kern w:val="0"/>
                <w:szCs w:val="21"/>
              </w:rPr>
              <w:t>听力教学康复专用设备</w:t>
            </w:r>
          </w:p>
        </w:tc>
        <w:tc>
          <w:tcPr>
            <w:tcW w:w="1150" w:type="pct"/>
            <w:tcBorders>
              <w:top w:val="single" w:color="000000" w:sz="4" w:space="0"/>
              <w:left w:val="single" w:color="000000" w:sz="4" w:space="0"/>
              <w:right w:val="single" w:color="000000" w:sz="4" w:space="0"/>
            </w:tcBorders>
            <w:noWrap/>
            <w:vAlign w:val="center"/>
          </w:tcPr>
          <w:p>
            <w:pPr>
              <w:widowControl/>
              <w:adjustRightInd w:val="0"/>
              <w:snapToGrid w:val="0"/>
              <w:spacing w:line="240" w:lineRule="atLeast"/>
              <w:jc w:val="center"/>
              <w:rPr>
                <w:rFonts w:ascii="宋体" w:hAnsi="宋体" w:cs="宋体"/>
                <w:bCs/>
                <w:color w:val="000000"/>
                <w:kern w:val="0"/>
                <w:szCs w:val="21"/>
              </w:rPr>
            </w:pPr>
            <w:r>
              <w:rPr>
                <w:rFonts w:hint="eastAsia" w:ascii="宋体" w:hAnsi="宋体" w:cs="宋体"/>
                <w:bCs/>
                <w:color w:val="000000"/>
                <w:kern w:val="0"/>
                <w:szCs w:val="21"/>
              </w:rPr>
              <w:t>1</w:t>
            </w:r>
          </w:p>
        </w:tc>
        <w:tc>
          <w:tcPr>
            <w:tcW w:w="681" w:type="pct"/>
            <w:tcBorders>
              <w:top w:val="single" w:color="000000" w:sz="4" w:space="0"/>
              <w:left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kern w:val="0"/>
                <w:szCs w:val="21"/>
              </w:rPr>
            </w:pPr>
            <w:r>
              <w:rPr>
                <w:rFonts w:hint="eastAsia" w:ascii="宋体" w:hAnsi="宋体" w:cs="宋体"/>
                <w:bCs/>
                <w:color w:val="000000"/>
                <w:kern w:val="0"/>
                <w:szCs w:val="21"/>
              </w:rPr>
              <w:t>批</w:t>
            </w:r>
          </w:p>
        </w:tc>
        <w:tc>
          <w:tcPr>
            <w:tcW w:w="1120" w:type="pct"/>
            <w:vMerge w:val="continue"/>
            <w:tcBorders>
              <w:lef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kern w:val="0"/>
                <w:szCs w:val="21"/>
              </w:rPr>
            </w:pPr>
          </w:p>
        </w:tc>
      </w:tr>
    </w:tbl>
    <w:p>
      <w:pPr>
        <w:spacing w:line="320" w:lineRule="exact"/>
        <w:ind w:firstLine="420" w:firstLineChars="200"/>
        <w:rPr>
          <w:rFonts w:ascii="宋体" w:hAnsi="宋体"/>
          <w:szCs w:val="21"/>
        </w:rPr>
      </w:pPr>
      <w:r>
        <w:rPr>
          <w:rFonts w:hint="eastAsia" w:ascii="宋体" w:hAnsi="宋体"/>
          <w:szCs w:val="21"/>
        </w:rPr>
        <w:t>四、采购项目预算金额（人民币）：</w:t>
      </w:r>
      <w:r>
        <w:rPr>
          <w:rFonts w:hint="eastAsia" w:ascii="宋体" w:hAnsi="宋体"/>
          <w:bCs/>
          <w:szCs w:val="21"/>
        </w:rPr>
        <w:t>1400000.00元</w:t>
      </w:r>
      <w:r>
        <w:rPr>
          <w:rFonts w:hint="eastAsia" w:ascii="宋体" w:hAnsi="宋体"/>
          <w:szCs w:val="21"/>
        </w:rPr>
        <w:t>。</w:t>
      </w:r>
    </w:p>
    <w:p>
      <w:pPr>
        <w:spacing w:line="320" w:lineRule="exact"/>
        <w:ind w:firstLine="420" w:firstLineChars="200"/>
        <w:rPr>
          <w:rFonts w:ascii="宋体" w:hAnsi="宋体"/>
          <w:szCs w:val="21"/>
        </w:rPr>
      </w:pPr>
      <w:r>
        <w:rPr>
          <w:rFonts w:hint="eastAsia" w:ascii="宋体" w:hAnsi="宋体"/>
          <w:szCs w:val="21"/>
        </w:rPr>
        <w:t>五、本项目需要落实的政府采购政策：</w:t>
      </w:r>
    </w:p>
    <w:p>
      <w:pPr>
        <w:spacing w:line="340" w:lineRule="exact"/>
        <w:ind w:firstLine="420" w:firstLineChars="200"/>
        <w:rPr>
          <w:rFonts w:hint="eastAsia" w:ascii="宋体" w:hAnsi="宋体"/>
          <w:szCs w:val="21"/>
        </w:rPr>
      </w:pPr>
      <w:r>
        <w:rPr>
          <w:rFonts w:hint="eastAsia" w:ascii="宋体" w:hAnsi="宋体"/>
          <w:szCs w:val="21"/>
        </w:rPr>
        <w:t>1.《政府采购促进中小企业发展暂行办法》（财库[2011]181号），本项目非专门面向中小微企业采购。</w:t>
      </w:r>
    </w:p>
    <w:p>
      <w:pPr>
        <w:spacing w:line="340" w:lineRule="exact"/>
        <w:ind w:firstLine="420" w:firstLineChars="200"/>
        <w:rPr>
          <w:rFonts w:hint="eastAsia" w:ascii="宋体" w:hAnsi="宋体"/>
          <w:szCs w:val="21"/>
        </w:rPr>
      </w:pPr>
      <w:r>
        <w:rPr>
          <w:rFonts w:hint="eastAsia" w:ascii="宋体" w:hAnsi="宋体"/>
          <w:szCs w:val="21"/>
        </w:rPr>
        <w:t>2.《关于政府采购支持监狱企业发展有关问题的通知》（财库</w:t>
      </w:r>
      <w:r>
        <w:rPr>
          <w:rFonts w:ascii="宋体" w:hAnsi="宋体"/>
          <w:szCs w:val="21"/>
        </w:rPr>
        <w:t>[2014]68</w:t>
      </w:r>
      <w:r>
        <w:rPr>
          <w:rFonts w:hint="eastAsia" w:ascii="宋体" w:hAnsi="宋体"/>
          <w:szCs w:val="21"/>
        </w:rPr>
        <w:t xml:space="preserve">号）。 </w:t>
      </w:r>
    </w:p>
    <w:p>
      <w:pPr>
        <w:spacing w:line="340" w:lineRule="exact"/>
        <w:ind w:firstLine="420" w:firstLineChars="200"/>
        <w:rPr>
          <w:rFonts w:hint="eastAsia" w:ascii="宋体" w:hAnsi="宋体"/>
          <w:szCs w:val="21"/>
        </w:rPr>
      </w:pPr>
      <w:r>
        <w:rPr>
          <w:rFonts w:hint="eastAsia" w:ascii="宋体" w:hAnsi="宋体"/>
          <w:szCs w:val="21"/>
        </w:rPr>
        <w:t>3.《关于促进残疾人就业政府采购政策的通知》（财库</w:t>
      </w:r>
      <w:r>
        <w:rPr>
          <w:rFonts w:ascii="宋体" w:hAnsi="宋体"/>
          <w:szCs w:val="21"/>
        </w:rPr>
        <w:t>[201</w:t>
      </w:r>
      <w:r>
        <w:rPr>
          <w:rFonts w:hint="eastAsia" w:ascii="宋体" w:hAnsi="宋体"/>
          <w:szCs w:val="21"/>
        </w:rPr>
        <w:t>7</w:t>
      </w:r>
      <w:r>
        <w:rPr>
          <w:rFonts w:ascii="宋体" w:hAnsi="宋体"/>
          <w:szCs w:val="21"/>
        </w:rPr>
        <w:t>]</w:t>
      </w:r>
      <w:r>
        <w:rPr>
          <w:rFonts w:hint="eastAsia" w:ascii="宋体" w:hAnsi="宋体"/>
          <w:szCs w:val="21"/>
        </w:rPr>
        <w:t>141号）。</w:t>
      </w:r>
    </w:p>
    <w:p>
      <w:pPr>
        <w:spacing w:line="340" w:lineRule="exact"/>
        <w:ind w:firstLine="420" w:firstLineChars="200"/>
        <w:rPr>
          <w:rFonts w:hint="eastAsia" w:ascii="宋体" w:hAnsi="宋体"/>
          <w:szCs w:val="21"/>
        </w:rPr>
      </w:pPr>
      <w:r>
        <w:rPr>
          <w:rFonts w:hint="eastAsia" w:ascii="宋体" w:hAnsi="宋体"/>
          <w:szCs w:val="21"/>
        </w:rPr>
        <w:t>4. 强制、优先采购环境标志产品、节能产品。</w:t>
      </w:r>
    </w:p>
    <w:p>
      <w:pPr>
        <w:spacing w:line="320" w:lineRule="exact"/>
        <w:ind w:firstLine="420" w:firstLineChars="200"/>
        <w:rPr>
          <w:rFonts w:ascii="宋体" w:hAnsi="宋体"/>
          <w:szCs w:val="21"/>
        </w:rPr>
      </w:pPr>
      <w:r>
        <w:rPr>
          <w:rFonts w:hint="eastAsia" w:ascii="宋体" w:hAnsi="宋体"/>
          <w:szCs w:val="21"/>
        </w:rPr>
        <w:t>六、投标人的资格要求：</w:t>
      </w:r>
    </w:p>
    <w:p>
      <w:pPr>
        <w:spacing w:line="320" w:lineRule="exact"/>
        <w:ind w:firstLine="420" w:firstLineChars="200"/>
        <w:rPr>
          <w:rFonts w:hint="eastAsia" w:ascii="宋体" w:hAnsi="宋体"/>
          <w:szCs w:val="21"/>
        </w:rPr>
      </w:pPr>
      <w:r>
        <w:rPr>
          <w:rFonts w:ascii="宋体" w:hAnsi="宋体"/>
          <w:szCs w:val="21"/>
        </w:rPr>
        <w:t>1</w:t>
      </w:r>
      <w:r>
        <w:rPr>
          <w:rFonts w:hint="eastAsia" w:ascii="宋体" w:hAnsi="宋体"/>
          <w:szCs w:val="21"/>
        </w:rPr>
        <w:t>、</w:t>
      </w:r>
      <w:r>
        <w:rPr>
          <w:rFonts w:hint="eastAsia" w:ascii="宋体" w:hAnsi="宋体"/>
        </w:rPr>
        <w:t>符合《中华人民共和国政府采购法》第二十二条和《政府采购法实施条例》第十八条规定，具备合法资格的供应商</w:t>
      </w:r>
      <w:r>
        <w:rPr>
          <w:rFonts w:hint="eastAsia" w:ascii="宋体" w:hAnsi="宋体"/>
          <w:szCs w:val="21"/>
        </w:rPr>
        <w:t>；</w:t>
      </w:r>
    </w:p>
    <w:p>
      <w:pPr>
        <w:spacing w:line="320" w:lineRule="exact"/>
        <w:ind w:firstLine="420" w:firstLineChars="200"/>
        <w:rPr>
          <w:rFonts w:hint="eastAsia" w:ascii="宋体" w:hAnsi="宋体"/>
          <w:szCs w:val="21"/>
        </w:rPr>
      </w:pPr>
      <w:r>
        <w:rPr>
          <w:rFonts w:hint="eastAsia" w:ascii="宋体" w:hAnsi="宋体"/>
          <w:szCs w:val="21"/>
        </w:rPr>
        <w:t>2、本项目</w:t>
      </w:r>
      <w:r>
        <w:rPr>
          <w:rFonts w:hint="eastAsia" w:ascii="宋体" w:hAnsi="宋体"/>
          <w:szCs w:val="21"/>
          <w:u w:val="single"/>
        </w:rPr>
        <w:t xml:space="preserve"> 不接受 </w:t>
      </w:r>
      <w:r>
        <w:rPr>
          <w:rFonts w:hint="eastAsia" w:ascii="宋体" w:hAnsi="宋体"/>
          <w:szCs w:val="21"/>
        </w:rPr>
        <w:t>联合体投标；</w:t>
      </w:r>
    </w:p>
    <w:p>
      <w:pPr>
        <w:spacing w:line="320" w:lineRule="exact"/>
        <w:ind w:firstLine="420" w:firstLineChars="200"/>
        <w:rPr>
          <w:rFonts w:hint="eastAsia" w:ascii="宋体" w:hAnsi="宋体" w:cs="宋体"/>
          <w:bCs/>
          <w:szCs w:val="21"/>
        </w:rPr>
      </w:pPr>
      <w:r>
        <w:rPr>
          <w:rFonts w:hint="eastAsia" w:ascii="宋体" w:hAnsi="宋体"/>
          <w:szCs w:val="21"/>
        </w:rPr>
        <w:t>3、</w:t>
      </w:r>
      <w:r>
        <w:rPr>
          <w:rFonts w:hint="eastAsia" w:ascii="宋体" w:hAnsi="宋体" w:cs="宋体"/>
          <w:bCs/>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20" w:lineRule="exact"/>
        <w:ind w:firstLine="420" w:firstLineChars="200"/>
        <w:rPr>
          <w:rFonts w:hint="eastAsia" w:ascii="宋体" w:hAnsi="宋体" w:cs="宋体"/>
          <w:szCs w:val="21"/>
        </w:rPr>
      </w:pPr>
      <w:r>
        <w:rPr>
          <w:rFonts w:hint="eastAsia" w:ascii="宋体" w:hAnsi="宋体" w:cs="宋体"/>
          <w:bCs/>
        </w:rPr>
        <w:t>4、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spacing w:line="320" w:lineRule="exact"/>
        <w:ind w:firstLine="420" w:firstLineChars="200"/>
        <w:rPr>
          <w:rFonts w:ascii="宋体" w:hAnsi="宋体"/>
          <w:szCs w:val="21"/>
        </w:rPr>
      </w:pPr>
      <w:r>
        <w:rPr>
          <w:rFonts w:hint="eastAsia" w:ascii="宋体" w:hAnsi="宋体"/>
          <w:szCs w:val="21"/>
        </w:rPr>
        <w:t>七、</w:t>
      </w:r>
      <w:r>
        <w:rPr>
          <w:rFonts w:hint="eastAsia" w:ascii="宋体" w:hAnsi="宋体"/>
        </w:rPr>
        <w:t>公告期限</w:t>
      </w:r>
      <w:r>
        <w:rPr>
          <w:rFonts w:hint="eastAsia" w:ascii="宋体" w:hAnsi="宋体"/>
          <w:szCs w:val="21"/>
        </w:rPr>
        <w:t>：</w:t>
      </w:r>
      <w:r>
        <w:rPr>
          <w:rFonts w:hint="eastAsia" w:ascii="宋体" w:hAnsi="宋体" w:cs="宋体"/>
          <w:szCs w:val="21"/>
        </w:rPr>
        <w:t>2020年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7</w:t>
      </w:r>
      <w:r>
        <w:rPr>
          <w:rFonts w:hint="eastAsia" w:ascii="宋体" w:hAnsi="宋体" w:cs="宋体"/>
          <w:szCs w:val="21"/>
        </w:rPr>
        <w:t xml:space="preserve"> 日至2020年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12</w:t>
      </w:r>
      <w:r>
        <w:rPr>
          <w:rFonts w:hint="eastAsia" w:ascii="宋体" w:hAnsi="宋体" w:cs="宋体"/>
          <w:szCs w:val="21"/>
        </w:rPr>
        <w:t>日（五个工作日）。</w:t>
      </w:r>
    </w:p>
    <w:p>
      <w:pPr>
        <w:spacing w:line="320" w:lineRule="exact"/>
        <w:ind w:firstLine="420" w:firstLineChars="200"/>
        <w:rPr>
          <w:rFonts w:ascii="宋体" w:hAnsi="宋体"/>
          <w:szCs w:val="21"/>
        </w:rPr>
      </w:pPr>
      <w:r>
        <w:rPr>
          <w:rFonts w:hint="eastAsia" w:ascii="宋体" w:hAnsi="宋体"/>
          <w:szCs w:val="21"/>
        </w:rPr>
        <w:t>八、投标截止时间和地点：</w:t>
      </w:r>
    </w:p>
    <w:p>
      <w:pPr>
        <w:tabs>
          <w:tab w:val="left" w:pos="7200"/>
        </w:tabs>
        <w:spacing w:line="320" w:lineRule="exact"/>
        <w:ind w:firstLine="420" w:firstLineChars="200"/>
        <w:rPr>
          <w:rFonts w:hint="eastAsia" w:ascii="宋体" w:hAnsi="宋体"/>
          <w:szCs w:val="21"/>
        </w:rPr>
      </w:pPr>
      <w:r>
        <w:rPr>
          <w:rFonts w:hint="eastAsia" w:ascii="宋体" w:hAnsi="宋体"/>
          <w:szCs w:val="21"/>
        </w:rPr>
        <w:t>投标截止时间：2020年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28</w:t>
      </w:r>
      <w:r>
        <w:rPr>
          <w:rFonts w:hint="eastAsia" w:ascii="宋体" w:hAnsi="宋体"/>
          <w:szCs w:val="21"/>
        </w:rPr>
        <w:t xml:space="preserve"> 日</w:t>
      </w:r>
      <w:r>
        <w:rPr>
          <w:rFonts w:hint="eastAsia" w:ascii="宋体" w:hAnsi="宋体"/>
          <w:szCs w:val="21"/>
          <w:lang w:val="en-US" w:eastAsia="zh-CN"/>
        </w:rPr>
        <w:t>09</w:t>
      </w:r>
      <w:r>
        <w:rPr>
          <w:rFonts w:hint="eastAsia" w:ascii="宋体" w:hAnsi="宋体"/>
          <w:szCs w:val="21"/>
        </w:rPr>
        <w:t>时</w:t>
      </w:r>
      <w:r>
        <w:rPr>
          <w:rFonts w:hint="eastAsia" w:ascii="宋体" w:hAnsi="宋体"/>
          <w:szCs w:val="21"/>
          <w:lang w:val="en-US" w:eastAsia="zh-CN"/>
        </w:rPr>
        <w:t>30</w:t>
      </w:r>
      <w:r>
        <w:rPr>
          <w:rFonts w:hint="eastAsia" w:ascii="宋体" w:hAnsi="宋体"/>
          <w:szCs w:val="21"/>
        </w:rPr>
        <w:t>分。</w:t>
      </w:r>
    </w:p>
    <w:p>
      <w:pPr>
        <w:tabs>
          <w:tab w:val="left" w:pos="7200"/>
        </w:tabs>
        <w:spacing w:line="320" w:lineRule="exact"/>
        <w:ind w:firstLine="420" w:firstLineChars="200"/>
        <w:rPr>
          <w:rFonts w:hint="eastAsia" w:ascii="宋体" w:hAnsi="宋体"/>
          <w:szCs w:val="21"/>
        </w:rPr>
      </w:pPr>
      <w:r>
        <w:rPr>
          <w:rFonts w:hint="eastAsia" w:ascii="宋体" w:hAnsi="宋体"/>
          <w:szCs w:val="21"/>
        </w:rPr>
        <w:t>投标人应于2020年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28</w:t>
      </w:r>
      <w:r>
        <w:rPr>
          <w:rFonts w:hint="eastAsia" w:ascii="宋体" w:hAnsi="宋体"/>
          <w:szCs w:val="21"/>
        </w:rPr>
        <w:t>日</w:t>
      </w:r>
      <w:r>
        <w:rPr>
          <w:rFonts w:hint="eastAsia" w:ascii="宋体" w:hAnsi="宋体"/>
          <w:szCs w:val="21"/>
          <w:lang w:val="en-US" w:eastAsia="zh-CN"/>
        </w:rPr>
        <w:t>09</w:t>
      </w:r>
      <w:r>
        <w:rPr>
          <w:rFonts w:hint="eastAsia" w:ascii="宋体" w:hAnsi="宋体"/>
          <w:szCs w:val="21"/>
        </w:rPr>
        <w:t>时</w:t>
      </w:r>
      <w:r>
        <w:rPr>
          <w:rFonts w:hint="eastAsia" w:ascii="宋体" w:hAnsi="宋体"/>
          <w:szCs w:val="21"/>
          <w:lang w:val="en-US" w:eastAsia="zh-CN"/>
        </w:rPr>
        <w:t>00</w:t>
      </w:r>
      <w:r>
        <w:rPr>
          <w:rFonts w:hint="eastAsia" w:ascii="宋体" w:hAnsi="宋体"/>
          <w:szCs w:val="21"/>
        </w:rPr>
        <w:t>分至</w:t>
      </w:r>
      <w:r>
        <w:rPr>
          <w:rFonts w:hint="eastAsia" w:ascii="宋体" w:hAnsi="宋体"/>
          <w:szCs w:val="21"/>
          <w:lang w:val="en-US" w:eastAsia="zh-CN"/>
        </w:rPr>
        <w:t>09</w:t>
      </w:r>
      <w:r>
        <w:rPr>
          <w:rFonts w:hint="eastAsia" w:ascii="宋体" w:hAnsi="宋体"/>
          <w:szCs w:val="21"/>
        </w:rPr>
        <w:t>时</w:t>
      </w:r>
      <w:r>
        <w:rPr>
          <w:rFonts w:hint="eastAsia" w:ascii="宋体" w:hAnsi="宋体"/>
          <w:szCs w:val="21"/>
          <w:lang w:val="en-US" w:eastAsia="zh-CN"/>
        </w:rPr>
        <w:t>30</w:t>
      </w:r>
      <w:r>
        <w:rPr>
          <w:rFonts w:hint="eastAsia" w:ascii="宋体" w:hAnsi="宋体"/>
          <w:szCs w:val="21"/>
        </w:rPr>
        <w:t>分止</w:t>
      </w:r>
      <w:r>
        <w:rPr>
          <w:rFonts w:hint="eastAsia" w:ascii="宋体" w:hAnsi="宋体"/>
          <w:b/>
          <w:szCs w:val="21"/>
        </w:rPr>
        <w:t>，</w:t>
      </w:r>
      <w:r>
        <w:rPr>
          <w:rFonts w:hint="eastAsia" w:ascii="宋体" w:hAnsi="宋体"/>
          <w:szCs w:val="21"/>
        </w:rPr>
        <w:t>将投标文件密封提交至桂林市公共资源交易中心</w:t>
      </w:r>
      <w:r>
        <w:rPr>
          <w:rFonts w:hint="eastAsia" w:ascii="宋体" w:hAnsi="宋体"/>
          <w:b/>
          <w:szCs w:val="21"/>
          <w:u w:val="single"/>
        </w:rPr>
        <w:t xml:space="preserve">   </w:t>
      </w:r>
      <w:r>
        <w:rPr>
          <w:rFonts w:hint="eastAsia" w:ascii="宋体" w:hAnsi="宋体"/>
          <w:b/>
          <w:szCs w:val="21"/>
          <w:u w:val="single"/>
          <w:lang w:val="en-US" w:eastAsia="zh-CN"/>
        </w:rPr>
        <w:t>2</w:t>
      </w:r>
      <w:r>
        <w:rPr>
          <w:rFonts w:hint="eastAsia" w:ascii="宋体" w:hAnsi="宋体"/>
          <w:b/>
          <w:szCs w:val="21"/>
          <w:u w:val="single"/>
        </w:rPr>
        <w:t>号</w:t>
      </w:r>
      <w:r>
        <w:rPr>
          <w:rFonts w:hint="eastAsia" w:ascii="宋体" w:hAnsi="宋体"/>
          <w:szCs w:val="21"/>
        </w:rPr>
        <w:t>开标室（广西桂林市临桂区西城中路69号创业大厦西辅楼4楼北区），逾期送达的或未招标文件要求密封的投标文件将予以拒收。</w:t>
      </w:r>
    </w:p>
    <w:p>
      <w:pPr>
        <w:tabs>
          <w:tab w:val="left" w:pos="7200"/>
        </w:tabs>
        <w:spacing w:line="320" w:lineRule="exact"/>
        <w:ind w:firstLine="420" w:firstLineChars="200"/>
        <w:rPr>
          <w:rFonts w:ascii="宋体" w:hAnsi="宋体"/>
        </w:rPr>
      </w:pPr>
      <w:r>
        <w:rPr>
          <w:rFonts w:hint="eastAsia" w:ascii="宋体" w:hAnsi="宋体"/>
        </w:rPr>
        <w:t>九、开标时间及地点：</w:t>
      </w:r>
    </w:p>
    <w:p>
      <w:pPr>
        <w:spacing w:line="320" w:lineRule="exact"/>
        <w:ind w:firstLine="576"/>
        <w:rPr>
          <w:rFonts w:hint="eastAsia" w:ascii="宋体" w:hAnsi="宋体"/>
        </w:rPr>
      </w:pPr>
      <w:r>
        <w:rPr>
          <w:rFonts w:hint="eastAsia" w:ascii="宋体" w:hAnsi="宋体"/>
          <w:szCs w:val="21"/>
        </w:rPr>
        <w:t>本次招标将于2020年</w:t>
      </w:r>
      <w:r>
        <w:rPr>
          <w:rFonts w:hint="eastAsia" w:ascii="宋体" w:hAnsi="宋体"/>
          <w:szCs w:val="21"/>
          <w:lang w:val="en-US" w:eastAsia="zh-CN"/>
        </w:rPr>
        <w:t>5</w:t>
      </w:r>
      <w:r>
        <w:rPr>
          <w:rFonts w:hint="eastAsia" w:ascii="宋体" w:hAnsi="宋体"/>
          <w:szCs w:val="21"/>
        </w:rPr>
        <w:t xml:space="preserve">月 </w:t>
      </w:r>
      <w:r>
        <w:rPr>
          <w:rFonts w:hint="eastAsia" w:ascii="宋体" w:hAnsi="宋体"/>
          <w:szCs w:val="21"/>
          <w:lang w:val="en-US" w:eastAsia="zh-CN"/>
        </w:rPr>
        <w:t>28</w:t>
      </w:r>
      <w:r>
        <w:rPr>
          <w:rFonts w:hint="eastAsia" w:ascii="宋体" w:hAnsi="宋体"/>
          <w:szCs w:val="21"/>
        </w:rPr>
        <w:t>日</w:t>
      </w:r>
      <w:r>
        <w:rPr>
          <w:rFonts w:hint="eastAsia" w:ascii="宋体" w:hAnsi="宋体"/>
          <w:szCs w:val="21"/>
          <w:lang w:val="en-US" w:eastAsia="zh-CN"/>
        </w:rPr>
        <w:t>09</w:t>
      </w:r>
      <w:r>
        <w:rPr>
          <w:rFonts w:hint="eastAsia" w:ascii="宋体" w:hAnsi="宋体"/>
          <w:szCs w:val="21"/>
        </w:rPr>
        <w:t>时</w:t>
      </w:r>
      <w:r>
        <w:rPr>
          <w:rFonts w:hint="eastAsia" w:ascii="宋体" w:hAnsi="宋体"/>
          <w:szCs w:val="21"/>
          <w:lang w:val="en-US" w:eastAsia="zh-CN"/>
        </w:rPr>
        <w:t>30</w:t>
      </w:r>
      <w:r>
        <w:rPr>
          <w:rFonts w:hint="eastAsia" w:ascii="宋体" w:hAnsi="宋体"/>
        </w:rPr>
        <w:t>分</w:t>
      </w:r>
      <w:r>
        <w:rPr>
          <w:rFonts w:hint="eastAsia" w:ascii="宋体" w:hAnsi="宋体"/>
          <w:szCs w:val="21"/>
        </w:rPr>
        <w:t>，在桂林市公共资源交易中心</w:t>
      </w:r>
      <w:r>
        <w:rPr>
          <w:rFonts w:hint="eastAsia" w:ascii="宋体" w:hAnsi="宋体" w:cs="宋体"/>
          <w:b/>
          <w:szCs w:val="21"/>
          <w:u w:val="single"/>
        </w:rPr>
        <w:t xml:space="preserve"> </w:t>
      </w:r>
      <w:r>
        <w:rPr>
          <w:rFonts w:hint="eastAsia" w:ascii="宋体" w:hAnsi="宋体" w:cs="宋体"/>
          <w:b/>
          <w:szCs w:val="21"/>
          <w:u w:val="single"/>
          <w:lang w:val="en-US" w:eastAsia="zh-CN"/>
        </w:rPr>
        <w:t>2</w:t>
      </w:r>
      <w:r>
        <w:rPr>
          <w:rFonts w:hint="eastAsia" w:ascii="宋体" w:hAnsi="宋体" w:cs="宋体"/>
          <w:b/>
          <w:szCs w:val="21"/>
          <w:u w:val="single"/>
        </w:rPr>
        <w:t>号</w:t>
      </w:r>
      <w:r>
        <w:rPr>
          <w:rFonts w:hint="eastAsia" w:ascii="宋体" w:hAnsi="宋体" w:cs="宋体"/>
          <w:szCs w:val="21"/>
        </w:rPr>
        <w:t>开标室（广西桂林市临桂区西城中路69号创业大厦西辅楼4楼北区）</w:t>
      </w:r>
      <w:r>
        <w:rPr>
          <w:rFonts w:hint="eastAsia" w:ascii="宋体" w:hAnsi="宋体"/>
          <w:szCs w:val="21"/>
        </w:rPr>
        <w:t>开标，</w:t>
      </w:r>
      <w:r>
        <w:rPr>
          <w:rFonts w:hint="eastAsia" w:ascii="宋体" w:hAnsi="宋体"/>
        </w:rPr>
        <w:t>投标人可以由法定代表人或负责人或自然人或其委托代理人出席开标会议（携带本人身份证原件）。</w:t>
      </w:r>
    </w:p>
    <w:p>
      <w:pPr>
        <w:pStyle w:val="6"/>
        <w:spacing w:line="380" w:lineRule="exact"/>
        <w:ind w:firstLine="420"/>
        <w:rPr>
          <w:rFonts w:hint="eastAsia" w:ascii="宋体" w:hAnsi="宋体"/>
          <w:szCs w:val="21"/>
        </w:rPr>
      </w:pPr>
      <w:r>
        <w:rPr>
          <w:rFonts w:hint="eastAsia" w:ascii="宋体" w:hAnsi="宋体"/>
          <w:szCs w:val="21"/>
        </w:rPr>
        <w:t>十、电子招标文件获取：潜在投标人应于2020年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7</w:t>
      </w:r>
      <w:r>
        <w:rPr>
          <w:rFonts w:hint="eastAsia" w:ascii="宋体" w:hAnsi="宋体"/>
          <w:szCs w:val="21"/>
        </w:rPr>
        <w:t>日自发布公告之时至投标截止时间止内，登陆</w:t>
      </w:r>
      <w:r>
        <w:rPr>
          <w:rFonts w:ascii="宋体" w:hAnsi="宋体"/>
          <w:szCs w:val="21"/>
        </w:rPr>
        <w:t>http://glggzy.org.cn</w:t>
      </w:r>
      <w:r>
        <w:rPr>
          <w:rFonts w:hint="eastAsia" w:ascii="宋体" w:hAnsi="宋体"/>
          <w:szCs w:val="21"/>
        </w:rPr>
        <w:t>（桂林市公共资源交易中心）网站，从网上免费下载招标文件电子版；</w:t>
      </w:r>
    </w:p>
    <w:p>
      <w:pPr>
        <w:spacing w:line="320" w:lineRule="exact"/>
        <w:ind w:firstLine="420" w:firstLineChars="200"/>
        <w:rPr>
          <w:rFonts w:ascii="宋体" w:hAnsi="宋体"/>
          <w:szCs w:val="21"/>
        </w:rPr>
      </w:pPr>
      <w:r>
        <w:rPr>
          <w:rFonts w:hint="eastAsia" w:ascii="宋体" w:hAnsi="宋体"/>
          <w:szCs w:val="21"/>
        </w:rPr>
        <w:t>十一、信息公告发布媒体：</w:t>
      </w:r>
      <w:r>
        <w:rPr>
          <w:rFonts w:ascii="宋体" w:hAnsi="宋体"/>
          <w:szCs w:val="21"/>
        </w:rPr>
        <w:t>http://www.ccgp.gov.cn</w:t>
      </w:r>
      <w:r>
        <w:rPr>
          <w:rFonts w:hint="eastAsia" w:ascii="宋体" w:hAnsi="宋体"/>
          <w:szCs w:val="21"/>
        </w:rPr>
        <w:t>（中国政府采购网）、</w:t>
      </w:r>
      <w:r>
        <w:rPr>
          <w:rFonts w:ascii="宋体" w:hAnsi="宋体"/>
          <w:szCs w:val="21"/>
        </w:rPr>
        <w:t>http://zfcg.gxzf.gov.cn/</w:t>
      </w:r>
      <w:r>
        <w:rPr>
          <w:rFonts w:hint="eastAsia" w:ascii="宋体" w:hAnsi="宋体"/>
          <w:szCs w:val="21"/>
        </w:rPr>
        <w:t>（</w:t>
      </w:r>
      <w:r>
        <w:rPr>
          <w:rFonts w:hint="eastAsia" w:ascii="宋体" w:hAnsi="宋体" w:cs="Arial"/>
          <w:szCs w:val="21"/>
        </w:rPr>
        <w:t>广西壮族自治区政府采购网</w:t>
      </w:r>
      <w:r>
        <w:rPr>
          <w:rFonts w:hint="eastAsia" w:ascii="宋体" w:hAnsi="宋体"/>
          <w:szCs w:val="21"/>
        </w:rPr>
        <w:t>）、</w:t>
      </w:r>
      <w:r>
        <w:rPr>
          <w:rFonts w:ascii="宋体" w:hAnsi="宋体"/>
          <w:szCs w:val="21"/>
        </w:rPr>
        <w:fldChar w:fldCharType="begin"/>
      </w:r>
      <w:r>
        <w:rPr>
          <w:rFonts w:ascii="宋体" w:hAnsi="宋体"/>
          <w:szCs w:val="21"/>
        </w:rPr>
        <w:instrText xml:space="preserve"> HYPERLINK "http://zfcg.guilin.gov.cn/" </w:instrText>
      </w:r>
      <w:r>
        <w:rPr>
          <w:rFonts w:ascii="宋体" w:hAnsi="宋体"/>
          <w:szCs w:val="21"/>
        </w:rPr>
        <w:fldChar w:fldCharType="separate"/>
      </w:r>
      <w:r>
        <w:rPr>
          <w:rFonts w:ascii="宋体" w:hAnsi="宋体"/>
          <w:szCs w:val="21"/>
        </w:rPr>
        <w:t>http://zfcg.glcz.cn:880/</w:t>
      </w:r>
      <w:r>
        <w:rPr>
          <w:rFonts w:ascii="宋体" w:hAnsi="宋体"/>
          <w:szCs w:val="21"/>
        </w:rPr>
        <w:fldChar w:fldCharType="end"/>
      </w:r>
      <w:r>
        <w:rPr>
          <w:rFonts w:hint="eastAsia" w:ascii="宋体" w:hAnsi="宋体"/>
          <w:szCs w:val="21"/>
        </w:rPr>
        <w:t>（桂林市政府采购网）、</w:t>
      </w:r>
      <w:r>
        <w:rPr>
          <w:rFonts w:ascii="宋体" w:hAnsi="宋体"/>
        </w:rPr>
        <w:fldChar w:fldCharType="begin"/>
      </w:r>
      <w:r>
        <w:rPr>
          <w:rFonts w:ascii="宋体" w:hAnsi="宋体"/>
        </w:rPr>
        <w:instrText xml:space="preserve">HYPERLINK "http://ggzy.guilin.cn"</w:instrText>
      </w:r>
      <w:r>
        <w:rPr>
          <w:rFonts w:ascii="宋体" w:hAnsi="宋体"/>
        </w:rPr>
        <w:fldChar w:fldCharType="separate"/>
      </w:r>
      <w:r>
        <w:rPr>
          <w:rStyle w:val="5"/>
          <w:rFonts w:ascii="宋体" w:hAnsi="宋体"/>
          <w:color w:val="auto"/>
          <w:u w:val="none"/>
        </w:rPr>
        <w:t>http://glggzy.org.cn</w:t>
      </w:r>
      <w:r>
        <w:rPr>
          <w:rFonts w:ascii="宋体" w:hAnsi="宋体"/>
        </w:rPr>
        <w:fldChar w:fldCharType="end"/>
      </w:r>
      <w:r>
        <w:rPr>
          <w:rFonts w:hint="eastAsia" w:ascii="宋体" w:hAnsi="宋体"/>
        </w:rPr>
        <w:t>（桂林市公共资源交易中心网</w:t>
      </w:r>
      <w:r>
        <w:rPr>
          <w:rFonts w:ascii="宋体" w:hAnsi="宋体"/>
        </w:rPr>
        <w:t>）</w:t>
      </w:r>
      <w:r>
        <w:rPr>
          <w:rFonts w:hint="eastAsia" w:ascii="宋体" w:hAnsi="宋体"/>
          <w:szCs w:val="21"/>
        </w:rPr>
        <w:t>。</w:t>
      </w:r>
    </w:p>
    <w:p>
      <w:pPr>
        <w:spacing w:line="320" w:lineRule="exact"/>
        <w:ind w:firstLine="420" w:firstLineChars="200"/>
        <w:rPr>
          <w:rFonts w:ascii="宋体" w:hAnsi="宋体"/>
          <w:szCs w:val="21"/>
        </w:rPr>
      </w:pPr>
      <w:r>
        <w:rPr>
          <w:rFonts w:hint="eastAsia" w:ascii="宋体" w:hAnsi="宋体"/>
          <w:szCs w:val="21"/>
        </w:rPr>
        <w:t>十二、业务联系事项</w:t>
      </w:r>
    </w:p>
    <w:p>
      <w:pPr>
        <w:spacing w:line="360" w:lineRule="exact"/>
        <w:ind w:firstLine="420" w:firstLineChars="200"/>
        <w:rPr>
          <w:rFonts w:hint="eastAsia" w:ascii="宋体" w:hAnsi="宋体"/>
          <w:szCs w:val="21"/>
        </w:rPr>
      </w:pPr>
      <w:r>
        <w:rPr>
          <w:rFonts w:hint="eastAsia" w:ascii="宋体" w:hAnsi="宋体"/>
          <w:szCs w:val="21"/>
        </w:rPr>
        <w:t xml:space="preserve">1、采购人名称：桂林市聋哑学校        地址：桂林市   </w:t>
      </w:r>
    </w:p>
    <w:p>
      <w:pPr>
        <w:spacing w:line="360" w:lineRule="exact"/>
        <w:ind w:firstLine="735" w:firstLineChars="350"/>
        <w:rPr>
          <w:rFonts w:ascii="宋体" w:hAnsi="宋体"/>
          <w:szCs w:val="21"/>
        </w:rPr>
      </w:pPr>
      <w:r>
        <w:rPr>
          <w:rFonts w:hint="eastAsia" w:ascii="宋体" w:hAnsi="宋体"/>
          <w:szCs w:val="21"/>
        </w:rPr>
        <w:t>采购单位联系人：卜秦               联系电话：0773-2823658</w:t>
      </w:r>
    </w:p>
    <w:p>
      <w:pPr>
        <w:spacing w:line="320" w:lineRule="exact"/>
        <w:ind w:firstLine="420" w:firstLineChars="200"/>
        <w:rPr>
          <w:rFonts w:ascii="宋体" w:hAnsi="宋体"/>
          <w:szCs w:val="21"/>
        </w:rPr>
      </w:pPr>
      <w:r>
        <w:rPr>
          <w:rFonts w:hint="eastAsia" w:ascii="宋体" w:hAnsi="宋体"/>
          <w:szCs w:val="21"/>
        </w:rPr>
        <w:t>2、采购代理机构名称：广西联云项目管理有限公司</w:t>
      </w:r>
    </w:p>
    <w:p>
      <w:pPr>
        <w:spacing w:line="320" w:lineRule="exact"/>
        <w:ind w:firstLine="840" w:firstLineChars="400"/>
        <w:rPr>
          <w:rFonts w:ascii="宋体" w:hAnsi="宋体"/>
          <w:szCs w:val="21"/>
        </w:rPr>
      </w:pPr>
      <w:r>
        <w:rPr>
          <w:rFonts w:hint="eastAsia" w:ascii="宋体" w:hAnsi="宋体"/>
          <w:szCs w:val="21"/>
        </w:rPr>
        <w:t>地址：</w:t>
      </w:r>
      <w:r>
        <w:rPr>
          <w:rFonts w:hint="eastAsia" w:ascii="宋体" w:hAnsi="宋体" w:cs="宋体"/>
          <w:sz w:val="24"/>
        </w:rPr>
        <w:t>桂林市红岭路金桂国际10楼10-3</w:t>
      </w:r>
    </w:p>
    <w:p>
      <w:pPr>
        <w:spacing w:line="320" w:lineRule="exact"/>
        <w:ind w:firstLine="840" w:firstLineChars="400"/>
        <w:rPr>
          <w:rFonts w:ascii="宋体" w:hAnsi="宋体"/>
          <w:szCs w:val="21"/>
        </w:rPr>
      </w:pPr>
      <w:r>
        <w:rPr>
          <w:rFonts w:hint="eastAsia" w:ascii="宋体" w:hAnsi="宋体"/>
          <w:szCs w:val="21"/>
        </w:rPr>
        <w:t>项目联系人：蒋工      联系电话：</w:t>
      </w:r>
      <w:r>
        <w:rPr>
          <w:rFonts w:ascii="宋体" w:hAnsi="宋体"/>
          <w:szCs w:val="21"/>
        </w:rPr>
        <w:t>0773-2</w:t>
      </w:r>
      <w:r>
        <w:rPr>
          <w:rFonts w:hint="eastAsia" w:ascii="宋体" w:hAnsi="宋体"/>
          <w:szCs w:val="21"/>
        </w:rPr>
        <w:t>8994564。</w:t>
      </w:r>
    </w:p>
    <w:p>
      <w:pPr>
        <w:spacing w:line="320" w:lineRule="exact"/>
        <w:ind w:firstLine="420" w:firstLineChars="200"/>
        <w:rPr>
          <w:rFonts w:hint="eastAsia" w:ascii="宋体" w:hAnsi="宋体"/>
          <w:szCs w:val="21"/>
        </w:rPr>
      </w:pPr>
      <w:r>
        <w:rPr>
          <w:rFonts w:hint="eastAsia" w:ascii="宋体" w:hAnsi="宋体"/>
          <w:szCs w:val="21"/>
        </w:rPr>
        <w:t>3、政府采购监督管理机构：桂林市政府采购管理办公室；联系电话：0773-2862142。</w:t>
      </w:r>
    </w:p>
    <w:p>
      <w:pPr>
        <w:spacing w:line="320" w:lineRule="exact"/>
        <w:ind w:right="480" w:firstLine="5145" w:firstLineChars="2450"/>
        <w:rPr>
          <w:rFonts w:hint="eastAsia" w:ascii="宋体" w:hAnsi="宋体"/>
          <w:szCs w:val="21"/>
        </w:rPr>
      </w:pPr>
    </w:p>
    <w:p>
      <w:pPr>
        <w:spacing w:line="320" w:lineRule="exact"/>
        <w:ind w:right="480" w:firstLine="5145" w:firstLineChars="2450"/>
        <w:rPr>
          <w:rFonts w:hint="eastAsia" w:ascii="宋体" w:hAnsi="宋体"/>
          <w:szCs w:val="21"/>
        </w:rPr>
      </w:pPr>
    </w:p>
    <w:p>
      <w:pPr>
        <w:spacing w:line="320" w:lineRule="exact"/>
        <w:ind w:right="480" w:firstLine="5145" w:firstLineChars="2450"/>
        <w:rPr>
          <w:rFonts w:hint="eastAsia" w:ascii="宋体" w:hAnsi="宋体"/>
          <w:szCs w:val="21"/>
        </w:rPr>
      </w:pPr>
    </w:p>
    <w:p>
      <w:pPr>
        <w:spacing w:line="320" w:lineRule="exact"/>
        <w:ind w:right="480" w:firstLine="5145" w:firstLineChars="2450"/>
        <w:rPr>
          <w:rFonts w:hint="eastAsia" w:ascii="宋体" w:hAnsi="宋体"/>
          <w:szCs w:val="21"/>
        </w:rPr>
      </w:pPr>
    </w:p>
    <w:p>
      <w:pPr>
        <w:spacing w:line="320" w:lineRule="exact"/>
        <w:ind w:right="480" w:firstLine="5145" w:firstLineChars="2450"/>
        <w:rPr>
          <w:rFonts w:hint="eastAsia" w:ascii="宋体" w:hAnsi="宋体"/>
          <w:szCs w:val="21"/>
        </w:rPr>
      </w:pPr>
    </w:p>
    <w:p>
      <w:pPr>
        <w:spacing w:line="320" w:lineRule="exact"/>
        <w:ind w:firstLine="2730" w:firstLineChars="1300"/>
        <w:jc w:val="center"/>
        <w:rPr>
          <w:rFonts w:hint="eastAsia" w:ascii="宋体" w:hAnsi="宋体" w:cs="Arial"/>
          <w:szCs w:val="21"/>
        </w:rPr>
      </w:pPr>
      <w:r>
        <w:rPr>
          <w:rFonts w:hint="eastAsia" w:ascii="宋体" w:hAnsi="宋体" w:cs="Arial"/>
          <w:szCs w:val="21"/>
        </w:rPr>
        <w:t xml:space="preserve">广西联云项目管理有限公司         </w:t>
      </w:r>
    </w:p>
    <w:p>
      <w:r>
        <w:rPr>
          <w:rFonts w:hint="eastAsia" w:ascii="宋体" w:hAnsi="宋体" w:cs="Arial"/>
          <w:szCs w:val="21"/>
        </w:rPr>
        <w:t xml:space="preserve"> </w:t>
      </w:r>
      <w:r>
        <w:rPr>
          <w:rFonts w:hint="eastAsia" w:ascii="宋体" w:hAnsi="宋体" w:cs="Arial"/>
          <w:szCs w:val="21"/>
          <w:lang w:val="en-US" w:eastAsia="zh-CN"/>
        </w:rPr>
        <w:t xml:space="preserve">                                                </w:t>
      </w:r>
      <w:r>
        <w:rPr>
          <w:rFonts w:hint="eastAsia" w:ascii="宋体" w:hAnsi="宋体" w:cs="Arial"/>
          <w:szCs w:val="21"/>
        </w:rPr>
        <w:t>2020年</w:t>
      </w:r>
      <w:r>
        <w:rPr>
          <w:rFonts w:hint="eastAsia" w:ascii="宋体" w:hAnsi="宋体" w:cs="Arial"/>
          <w:szCs w:val="21"/>
          <w:lang w:val="en-US" w:eastAsia="zh-CN"/>
        </w:rPr>
        <w:t>5</w:t>
      </w:r>
      <w:r>
        <w:rPr>
          <w:rFonts w:hint="eastAsia" w:ascii="宋体" w:hAnsi="宋体" w:cs="Arial"/>
          <w:szCs w:val="21"/>
        </w:rPr>
        <w:t>月</w:t>
      </w:r>
      <w:r>
        <w:rPr>
          <w:rFonts w:hint="eastAsia" w:ascii="宋体" w:hAnsi="宋体" w:cs="Arial"/>
          <w:szCs w:val="21"/>
          <w:lang w:val="en-US" w:eastAsia="zh-CN"/>
        </w:rPr>
        <w:t>6</w:t>
      </w:r>
      <w:r>
        <w:rPr>
          <w:rFonts w:hint="eastAsia" w:ascii="宋体" w:hAnsi="宋体" w:cs="Arial"/>
          <w:szCs w:val="21"/>
        </w:rPr>
        <w:t>日</w:t>
      </w:r>
      <w:bookmarkStart w:id="0" w:name="_GoBack"/>
      <w:bookmarkEnd w:id="0"/>
    </w:p>
    <w:sectPr>
      <w:pgSz w:w="11906" w:h="16838"/>
      <w:pgMar w:top="1100" w:right="1123" w:bottom="1100"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8390E"/>
    <w:multiLevelType w:val="singleLevel"/>
    <w:tmpl w:val="6B0839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D7884"/>
    <w:rsid w:val="50BD7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0"/>
    <w:rPr>
      <w:rFonts w:ascii="Times New Roman" w:hAnsi="Times New Roman" w:eastAsia="宋体" w:cs="Times New Roman"/>
      <w:b/>
      <w:bCs/>
    </w:rPr>
  </w:style>
  <w:style w:type="character" w:styleId="5">
    <w:name w:val="Hyperlink"/>
    <w:uiPriority w:val="0"/>
    <w:rPr>
      <w:rFonts w:ascii="Times New Roman" w:hAnsi="Times New Roman" w:eastAsia="宋体" w:cs="Times New Roman"/>
      <w:color w:val="0000FF"/>
      <w:u w:val="single"/>
    </w:rPr>
  </w:style>
  <w:style w:type="paragraph" w:customStyle="1" w:styleId="6">
    <w:name w:val="首行缩进"/>
    <w:basedOn w:val="1"/>
    <w:qFormat/>
    <w:uiPriority w:val="0"/>
    <w:pPr>
      <w:ind w:firstLine="480" w:firstLine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2020-05-06T08:59:00Z</dcterms:created>
  <dc:creator>王者老千</dc:creator>
  <cp:lastModifiedBy>王者老千</cp:lastModifiedBy>
  <dcterms:modified xsi:type="dcterms:W3CDTF">2020-05-06T09:02:03Z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