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AB" w:rsidRPr="00AE6D7B" w:rsidRDefault="003C72B9" w:rsidP="00836C14">
      <w:pPr>
        <w:spacing w:line="520" w:lineRule="exact"/>
        <w:jc w:val="center"/>
        <w:outlineLvl w:val="0"/>
        <w:rPr>
          <w:rStyle w:val="UserStyle5"/>
          <w:b/>
          <w:bCs/>
          <w:kern w:val="0"/>
          <w:sz w:val="36"/>
          <w:szCs w:val="36"/>
        </w:rPr>
      </w:pPr>
      <w:bookmarkStart w:id="0" w:name="_Toc32586"/>
      <w:bookmarkStart w:id="1" w:name="_Toc13972"/>
      <w:bookmarkStart w:id="2" w:name="_Toc21909"/>
      <w:bookmarkStart w:id="3" w:name="_Toc20247"/>
      <w:bookmarkStart w:id="4" w:name="_Toc26826"/>
      <w:bookmarkStart w:id="5" w:name="_GoBack"/>
      <w:r w:rsidRPr="00AE6D7B">
        <w:rPr>
          <w:rStyle w:val="UserStyle5"/>
          <w:rFonts w:hint="eastAsia"/>
          <w:b/>
          <w:bCs/>
          <w:kern w:val="0"/>
          <w:sz w:val="36"/>
          <w:szCs w:val="36"/>
        </w:rPr>
        <w:t>南宁市物流园污水处理厂尾水生态湿地提质工程（一期）勘察</w:t>
      </w:r>
      <w:bookmarkEnd w:id="0"/>
      <w:bookmarkEnd w:id="1"/>
      <w:bookmarkEnd w:id="2"/>
      <w:bookmarkEnd w:id="3"/>
      <w:bookmarkEnd w:id="4"/>
    </w:p>
    <w:p w:rsidR="00FD5EAB" w:rsidRPr="00AE6D7B" w:rsidRDefault="003C72B9" w:rsidP="00836C14">
      <w:pPr>
        <w:spacing w:line="520" w:lineRule="exact"/>
        <w:jc w:val="center"/>
        <w:outlineLvl w:val="0"/>
        <w:rPr>
          <w:rStyle w:val="UserStyle5"/>
          <w:b/>
          <w:bCs/>
          <w:kern w:val="0"/>
          <w:sz w:val="36"/>
          <w:szCs w:val="36"/>
        </w:rPr>
      </w:pPr>
      <w:bookmarkStart w:id="6" w:name="_Toc11343"/>
      <w:bookmarkStart w:id="7" w:name="_Toc17992"/>
      <w:bookmarkStart w:id="8" w:name="_Toc29108"/>
      <w:bookmarkStart w:id="9" w:name="_Toc20491"/>
      <w:bookmarkStart w:id="10" w:name="_Toc20486"/>
      <w:r w:rsidRPr="00AE6D7B">
        <w:rPr>
          <w:rStyle w:val="UserStyle5"/>
          <w:rFonts w:hint="eastAsia"/>
          <w:b/>
          <w:bCs/>
          <w:kern w:val="0"/>
          <w:sz w:val="36"/>
          <w:szCs w:val="36"/>
        </w:rPr>
        <w:t>招标公告</w:t>
      </w:r>
      <w:bookmarkEnd w:id="5"/>
      <w:bookmarkEnd w:id="6"/>
      <w:bookmarkEnd w:id="7"/>
      <w:bookmarkEnd w:id="8"/>
      <w:bookmarkEnd w:id="9"/>
      <w:bookmarkEnd w:id="10"/>
    </w:p>
    <w:p w:rsidR="00FD5EAB" w:rsidRDefault="00FD5EAB" w:rsidP="00AE6D7B">
      <w:pPr>
        <w:pStyle w:val="UserStyle24"/>
        <w:spacing w:line="400" w:lineRule="exact"/>
        <w:rPr>
          <w:rStyle w:val="UserStyle5"/>
        </w:rPr>
      </w:pPr>
    </w:p>
    <w:p w:rsidR="00FD5EAB" w:rsidRPr="00AE6D7B" w:rsidRDefault="003C72B9" w:rsidP="00836C14">
      <w:pPr>
        <w:pStyle w:val="UserStyle24"/>
        <w:spacing w:line="380" w:lineRule="exact"/>
        <w:ind w:firstLineChars="200" w:firstLine="480"/>
        <w:rPr>
          <w:rStyle w:val="NormalCharacter"/>
          <w:rFonts w:asciiTheme="minorEastAsia" w:eastAsiaTheme="minorEastAsia" w:hAnsiTheme="minorEastAsia"/>
        </w:rPr>
      </w:pPr>
      <w:r w:rsidRPr="00AE6D7B">
        <w:rPr>
          <w:rStyle w:val="NormalCharacter"/>
          <w:rFonts w:asciiTheme="minorEastAsia" w:eastAsiaTheme="minorEastAsia" w:hAnsiTheme="minorEastAsia" w:hint="eastAsia"/>
        </w:rPr>
        <w:t>本招标项目南宁市物流园污水处理厂尾水生态湿地提质工程（一期）勘察已由</w:t>
      </w:r>
      <w:r w:rsidRPr="00AE6D7B">
        <w:rPr>
          <w:rFonts w:asciiTheme="minorEastAsia" w:eastAsiaTheme="minorEastAsia" w:hAnsiTheme="minorEastAsia" w:cs="宋体"/>
          <w:u w:val="single"/>
          <w:lang w:val="zh-CN"/>
        </w:rPr>
        <w:t>南宁市发展和改革委员会</w:t>
      </w:r>
      <w:r w:rsidRPr="00AE6D7B">
        <w:rPr>
          <w:rStyle w:val="NormalCharacter"/>
          <w:rFonts w:asciiTheme="minorEastAsia" w:eastAsiaTheme="minorEastAsia" w:hAnsiTheme="minorEastAsia" w:hint="eastAsia"/>
        </w:rPr>
        <w:t>以</w:t>
      </w:r>
      <w:r w:rsidRPr="00AE6D7B">
        <w:rPr>
          <w:rStyle w:val="NormalCharacter"/>
          <w:rFonts w:asciiTheme="minorEastAsia" w:eastAsiaTheme="minorEastAsia" w:hAnsiTheme="minorEastAsia" w:hint="eastAsia"/>
          <w:u w:val="single"/>
        </w:rPr>
        <w:t>《关于预下达南宁市2020年城市建设项目投资计划（第一期）的通知》（南发改投资﹝2020﹞11号）</w:t>
      </w:r>
      <w:r w:rsidRPr="00AE6D7B">
        <w:rPr>
          <w:rStyle w:val="NormalCharacter"/>
          <w:rFonts w:asciiTheme="minorEastAsia" w:eastAsiaTheme="minorEastAsia" w:hAnsiTheme="minorEastAsia" w:hint="eastAsia"/>
        </w:rPr>
        <w:t>批准建设，项目已具有招标条件，现对该项目的勘察服务进行公开招标。招标人为</w:t>
      </w:r>
      <w:r w:rsidRPr="00AE6D7B">
        <w:rPr>
          <w:rStyle w:val="NormalCharacter"/>
          <w:rFonts w:asciiTheme="minorEastAsia" w:eastAsiaTheme="minorEastAsia" w:hAnsiTheme="minorEastAsia" w:hint="eastAsia"/>
          <w:u w:val="single"/>
        </w:rPr>
        <w:t>广西金水建设开发有限公司</w:t>
      </w:r>
      <w:r w:rsidRPr="00AE6D7B">
        <w:rPr>
          <w:rStyle w:val="NormalCharacter"/>
          <w:rFonts w:asciiTheme="minorEastAsia" w:eastAsiaTheme="minorEastAsia" w:hAnsiTheme="minorEastAsia" w:hint="eastAsia"/>
        </w:rPr>
        <w:t>，资金来源为</w:t>
      </w:r>
      <w:r w:rsidRPr="00AE6D7B">
        <w:rPr>
          <w:rStyle w:val="NormalCharacter"/>
          <w:rFonts w:asciiTheme="minorEastAsia" w:eastAsiaTheme="minorEastAsia" w:hAnsiTheme="minorEastAsia" w:hint="eastAsia"/>
          <w:u w:val="single"/>
        </w:rPr>
        <w:t>财政资金</w:t>
      </w:r>
      <w:r w:rsidRPr="00AE6D7B">
        <w:rPr>
          <w:rStyle w:val="NormalCharacter"/>
          <w:rFonts w:asciiTheme="minorEastAsia" w:eastAsiaTheme="minorEastAsia" w:hAnsiTheme="minorEastAsia" w:hint="eastAsia"/>
        </w:rPr>
        <w:t xml:space="preserve">，项目出资比例为 </w:t>
      </w:r>
      <w:r w:rsidRPr="00AE6D7B">
        <w:rPr>
          <w:rStyle w:val="NormalCharacter"/>
          <w:rFonts w:asciiTheme="minorEastAsia" w:eastAsiaTheme="minorEastAsia" w:hAnsiTheme="minorEastAsia" w:hint="eastAsia"/>
          <w:u w:val="single"/>
        </w:rPr>
        <w:t>100%</w:t>
      </w:r>
      <w:r w:rsidRPr="00AE6D7B">
        <w:rPr>
          <w:rStyle w:val="NormalCharacter"/>
          <w:rFonts w:asciiTheme="minorEastAsia" w:eastAsiaTheme="minorEastAsia" w:hAnsiTheme="minorEastAsia" w:hint="eastAsia"/>
        </w:rPr>
        <w:t xml:space="preserve"> 。</w:t>
      </w:r>
    </w:p>
    <w:p w:rsidR="00FD5EAB" w:rsidRPr="00AE6D7B" w:rsidRDefault="003C72B9" w:rsidP="00836C14">
      <w:pPr>
        <w:pStyle w:val="UserStyle20"/>
        <w:spacing w:line="380" w:lineRule="exact"/>
        <w:ind w:firstLineChars="200" w:firstLine="480"/>
        <w:rPr>
          <w:rStyle w:val="NormalCharacter"/>
          <w:rFonts w:asciiTheme="minorEastAsia" w:eastAsiaTheme="minorEastAsia" w:hAnsiTheme="minorEastAsia"/>
        </w:rPr>
      </w:pPr>
      <w:r w:rsidRPr="00AE6D7B">
        <w:rPr>
          <w:rStyle w:val="UserStyle5"/>
          <w:rFonts w:asciiTheme="minorEastAsia" w:eastAsiaTheme="minorEastAsia" w:hAnsiTheme="minorEastAsia"/>
          <w:color w:val="auto"/>
          <w:sz w:val="24"/>
          <w:szCs w:val="24"/>
        </w:rPr>
        <w:t>一、项目名称：</w:t>
      </w:r>
      <w:r w:rsidRPr="00AE6D7B">
        <w:rPr>
          <w:rStyle w:val="UserStyle5"/>
          <w:rFonts w:asciiTheme="minorEastAsia" w:eastAsiaTheme="minorEastAsia" w:hAnsiTheme="minorEastAsia" w:hint="eastAsia"/>
          <w:color w:val="auto"/>
          <w:sz w:val="24"/>
          <w:szCs w:val="24"/>
        </w:rPr>
        <w:t>南宁市物流园污水处理厂尾水生态湿地提质工程（一期）勘察</w:t>
      </w:r>
    </w:p>
    <w:p w:rsidR="00FD5EAB" w:rsidRPr="00AE6D7B" w:rsidRDefault="003C72B9" w:rsidP="00836C14">
      <w:pPr>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color w:val="auto"/>
          <w:sz w:val="24"/>
          <w:szCs w:val="24"/>
        </w:rPr>
        <w:t>招标编号：</w:t>
      </w:r>
      <w:r w:rsidRPr="00AE6D7B">
        <w:rPr>
          <w:rStyle w:val="UserStyle5"/>
          <w:rFonts w:asciiTheme="minorEastAsia" w:eastAsiaTheme="minorEastAsia" w:hAnsiTheme="minorEastAsia" w:hint="eastAsia"/>
          <w:color w:val="auto"/>
          <w:sz w:val="24"/>
          <w:szCs w:val="24"/>
        </w:rPr>
        <w:t>ZZGJ2020-G3-0033</w:t>
      </w:r>
      <w:r w:rsidRPr="00AE6D7B">
        <w:rPr>
          <w:rStyle w:val="UserStyle5"/>
          <w:rFonts w:asciiTheme="minorEastAsia" w:eastAsiaTheme="minorEastAsia" w:hAnsiTheme="minorEastAsia"/>
          <w:color w:val="auto"/>
          <w:sz w:val="24"/>
          <w:szCs w:val="24"/>
        </w:rPr>
        <w:t xml:space="preserve"> </w:t>
      </w:r>
    </w:p>
    <w:p w:rsidR="00FD5EAB" w:rsidRPr="00AE6D7B" w:rsidRDefault="003C72B9" w:rsidP="00836C14">
      <w:pPr>
        <w:spacing w:line="380" w:lineRule="exact"/>
        <w:ind w:firstLineChars="200" w:firstLine="480"/>
        <w:rPr>
          <w:rStyle w:val="UserStyle5"/>
          <w:rFonts w:asciiTheme="minorEastAsia" w:eastAsiaTheme="minorEastAsia" w:hAnsiTheme="minorEastAsia"/>
          <w:color w:val="auto"/>
          <w:kern w:val="0"/>
          <w:sz w:val="24"/>
          <w:szCs w:val="24"/>
        </w:rPr>
      </w:pPr>
      <w:r w:rsidRPr="00AE6D7B">
        <w:rPr>
          <w:rStyle w:val="UserStyle5"/>
          <w:rFonts w:asciiTheme="minorEastAsia" w:eastAsiaTheme="minorEastAsia" w:hAnsiTheme="minorEastAsia"/>
          <w:color w:val="auto"/>
          <w:sz w:val="24"/>
          <w:szCs w:val="24"/>
        </w:rPr>
        <w:t>建设地点：</w:t>
      </w:r>
      <w:r w:rsidRPr="00AE6D7B">
        <w:rPr>
          <w:rStyle w:val="UserStyle5"/>
          <w:rFonts w:asciiTheme="minorEastAsia" w:eastAsiaTheme="minorEastAsia" w:hAnsiTheme="minorEastAsia" w:hint="eastAsia"/>
          <w:color w:val="auto"/>
          <w:kern w:val="0"/>
          <w:sz w:val="24"/>
          <w:szCs w:val="24"/>
        </w:rPr>
        <w:t xml:space="preserve">南宁市五象新区物流园振邦路西侧   </w:t>
      </w:r>
      <w:r w:rsidRPr="00AE6D7B">
        <w:rPr>
          <w:rStyle w:val="UserStyle5"/>
          <w:rFonts w:asciiTheme="minorEastAsia" w:eastAsiaTheme="minorEastAsia" w:hAnsiTheme="minorEastAsia" w:hint="eastAsia"/>
          <w:color w:val="auto"/>
          <w:sz w:val="24"/>
          <w:szCs w:val="24"/>
        </w:rPr>
        <w:t xml:space="preserve">                   </w:t>
      </w:r>
    </w:p>
    <w:p w:rsidR="00FD5EAB" w:rsidRPr="00AE6D7B" w:rsidRDefault="003C72B9" w:rsidP="00836C14">
      <w:pPr>
        <w:pStyle w:val="UserStyle26"/>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color w:val="auto"/>
          <w:sz w:val="24"/>
          <w:szCs w:val="24"/>
        </w:rPr>
        <w:t>建设规模：</w:t>
      </w:r>
      <w:r w:rsidRPr="00AE6D7B">
        <w:rPr>
          <w:rStyle w:val="UserStyle5"/>
          <w:rFonts w:asciiTheme="minorEastAsia" w:eastAsiaTheme="minorEastAsia" w:hAnsiTheme="minorEastAsia" w:hint="eastAsia"/>
          <w:color w:val="auto"/>
          <w:sz w:val="24"/>
          <w:szCs w:val="24"/>
        </w:rPr>
        <w:t>本工程位于五象新区物流园振邦路西侧,建设规模为40000m³/d，建设用地面积约180亩，投资约2.5亿元。本项目暂定布孔数为300个，平均孔深约为19.60米，钻孔进尺总长度约为5880米。实际钻孔数量及深度根据最终平面图以及规范和设计要求布置。</w:t>
      </w:r>
    </w:p>
    <w:p w:rsidR="00FD5EAB" w:rsidRPr="00AE6D7B" w:rsidRDefault="003C72B9" w:rsidP="00836C14">
      <w:pPr>
        <w:pStyle w:val="UserStyle26"/>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hint="eastAsia"/>
          <w:color w:val="auto"/>
          <w:sz w:val="24"/>
          <w:szCs w:val="24"/>
        </w:rPr>
        <w:t>招标控制价：</w:t>
      </w:r>
      <w:r w:rsidRPr="00AE6D7B">
        <w:rPr>
          <w:rStyle w:val="UserStyle5"/>
          <w:rFonts w:asciiTheme="minorEastAsia" w:eastAsiaTheme="minorEastAsia" w:hAnsiTheme="minorEastAsia" w:hint="eastAsia"/>
          <w:color w:val="auto"/>
          <w:kern w:val="2"/>
          <w:sz w:val="24"/>
          <w:szCs w:val="24"/>
        </w:rPr>
        <w:t>本项目设置招标控制价，最迟在投标截止时间七天前向所有投标人公布，</w:t>
      </w:r>
      <w:r w:rsidRPr="00AE6D7B">
        <w:rPr>
          <w:rStyle w:val="UserStyle5"/>
          <w:rFonts w:asciiTheme="minorEastAsia" w:eastAsiaTheme="minorEastAsia" w:hAnsiTheme="minorEastAsia"/>
          <w:color w:val="auto"/>
          <w:kern w:val="2"/>
          <w:sz w:val="24"/>
          <w:szCs w:val="24"/>
        </w:rPr>
        <w:t>超出报价范围作无效投标。</w:t>
      </w:r>
    </w:p>
    <w:p w:rsidR="00FD5EAB" w:rsidRPr="00AE6D7B" w:rsidRDefault="003C72B9" w:rsidP="00836C14">
      <w:pPr>
        <w:pStyle w:val="UserStyle24"/>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hint="eastAsia"/>
          <w:color w:val="auto"/>
          <w:sz w:val="24"/>
          <w:szCs w:val="24"/>
        </w:rPr>
        <w:t>二、招标</w:t>
      </w:r>
      <w:r w:rsidRPr="00AE6D7B">
        <w:rPr>
          <w:rStyle w:val="UserStyle5"/>
          <w:rFonts w:asciiTheme="minorEastAsia" w:eastAsiaTheme="minorEastAsia" w:hAnsiTheme="minorEastAsia" w:hint="eastAsia"/>
          <w:color w:val="auto"/>
          <w:kern w:val="2"/>
          <w:sz w:val="24"/>
          <w:szCs w:val="24"/>
        </w:rPr>
        <w:t>范围：包括初步勘察和详细勘察（含各阶段的补充勘察）,招标人可根据工程实际需要确定勘察单位完成工作范围、内容，按已完成工作量进行计量。</w:t>
      </w:r>
    </w:p>
    <w:p w:rsidR="00FD5EAB" w:rsidRPr="00AE6D7B" w:rsidRDefault="003C72B9" w:rsidP="00836C14">
      <w:pPr>
        <w:pStyle w:val="UserStyle24"/>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hint="eastAsia"/>
          <w:color w:val="auto"/>
          <w:sz w:val="24"/>
          <w:szCs w:val="24"/>
        </w:rPr>
        <w:t>三、资金来源：财政资金</w:t>
      </w:r>
    </w:p>
    <w:p w:rsidR="00FD5EAB" w:rsidRPr="00AE6D7B" w:rsidRDefault="003C72B9" w:rsidP="00836C14">
      <w:pPr>
        <w:pStyle w:val="UserStyle24"/>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hint="eastAsia"/>
          <w:color w:val="auto"/>
          <w:sz w:val="24"/>
          <w:szCs w:val="24"/>
        </w:rPr>
        <w:t>四、合同估算价：勘察费暂定为3175529.5元。</w:t>
      </w:r>
    </w:p>
    <w:p w:rsidR="00FD5EAB" w:rsidRPr="00AE6D7B" w:rsidRDefault="003C72B9" w:rsidP="00836C14">
      <w:pPr>
        <w:pStyle w:val="UserStyle24"/>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hint="eastAsia"/>
          <w:color w:val="auto"/>
          <w:sz w:val="24"/>
          <w:szCs w:val="24"/>
        </w:rPr>
        <w:t>五、勘察服务期：60日历天（自中标通知书发出之日起至完成外业工作并提交详细勘察报告）。</w:t>
      </w:r>
    </w:p>
    <w:p w:rsidR="00FD5EAB" w:rsidRPr="00AE6D7B" w:rsidRDefault="003C72B9" w:rsidP="00836C14">
      <w:pPr>
        <w:pStyle w:val="UserStyle24"/>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hint="eastAsia"/>
          <w:color w:val="auto"/>
          <w:sz w:val="24"/>
          <w:szCs w:val="24"/>
        </w:rPr>
        <w:t>六、质量要求：真实反映地质情况，达到国家有关标准及规定并满足设计、施工要求。</w:t>
      </w:r>
    </w:p>
    <w:p w:rsidR="00FD5EAB" w:rsidRPr="00AE6D7B" w:rsidRDefault="003C72B9" w:rsidP="00836C14">
      <w:pPr>
        <w:spacing w:line="380" w:lineRule="exact"/>
        <w:ind w:firstLineChars="200" w:firstLine="480"/>
        <w:jc w:val="left"/>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hint="eastAsia"/>
          <w:color w:val="auto"/>
          <w:sz w:val="24"/>
          <w:szCs w:val="24"/>
        </w:rPr>
        <w:t>七、投标人资格：</w:t>
      </w:r>
    </w:p>
    <w:p w:rsidR="00FD5EAB" w:rsidRPr="00AE6D7B" w:rsidRDefault="003C72B9" w:rsidP="00836C14">
      <w:pPr>
        <w:spacing w:line="380" w:lineRule="exact"/>
        <w:ind w:firstLineChars="200" w:firstLine="480"/>
        <w:jc w:val="left"/>
        <w:rPr>
          <w:rStyle w:val="UserStyle5"/>
          <w:rFonts w:asciiTheme="minorEastAsia" w:eastAsiaTheme="minorEastAsia" w:hAnsiTheme="minorEastAsia"/>
          <w:color w:val="auto"/>
          <w:kern w:val="0"/>
          <w:sz w:val="24"/>
          <w:szCs w:val="24"/>
        </w:rPr>
      </w:pPr>
      <w:r w:rsidRPr="00AE6D7B">
        <w:rPr>
          <w:rStyle w:val="UserStyle5"/>
          <w:rFonts w:asciiTheme="minorEastAsia" w:eastAsiaTheme="minorEastAsia" w:hAnsiTheme="minorEastAsia" w:hint="eastAsia"/>
          <w:color w:val="auto"/>
          <w:kern w:val="0"/>
          <w:sz w:val="24"/>
          <w:szCs w:val="24"/>
        </w:rPr>
        <w:t>1、须在中华人民共和国境内注册，具有独立法人资格；</w:t>
      </w:r>
    </w:p>
    <w:p w:rsidR="00FD5EAB" w:rsidRPr="00AE6D7B" w:rsidRDefault="003C72B9" w:rsidP="00836C14">
      <w:pPr>
        <w:spacing w:line="380" w:lineRule="exact"/>
        <w:ind w:firstLineChars="200" w:firstLine="480"/>
        <w:jc w:val="left"/>
        <w:rPr>
          <w:rStyle w:val="UserStyle5"/>
          <w:rFonts w:asciiTheme="minorEastAsia" w:eastAsiaTheme="minorEastAsia" w:hAnsiTheme="minorEastAsia"/>
          <w:color w:val="auto"/>
          <w:kern w:val="0"/>
          <w:sz w:val="24"/>
          <w:szCs w:val="24"/>
        </w:rPr>
      </w:pPr>
      <w:r w:rsidRPr="00AE6D7B">
        <w:rPr>
          <w:rStyle w:val="UserStyle5"/>
          <w:rFonts w:asciiTheme="minorEastAsia" w:eastAsiaTheme="minorEastAsia" w:hAnsiTheme="minorEastAsia" w:hint="eastAsia"/>
          <w:color w:val="auto"/>
          <w:kern w:val="0"/>
          <w:sz w:val="24"/>
          <w:szCs w:val="24"/>
        </w:rPr>
        <w:t>2、具有工程勘察专业类岩土工程（勘察）乙级及以上资质或工程勘察综合甲级资质；</w:t>
      </w:r>
    </w:p>
    <w:p w:rsidR="00FD5EAB" w:rsidRPr="00AE6D7B" w:rsidRDefault="003C72B9" w:rsidP="00836C14">
      <w:pPr>
        <w:spacing w:line="380" w:lineRule="exact"/>
        <w:ind w:firstLineChars="200" w:firstLine="480"/>
        <w:jc w:val="left"/>
        <w:rPr>
          <w:rStyle w:val="UserStyle5"/>
          <w:rFonts w:asciiTheme="minorEastAsia" w:eastAsiaTheme="minorEastAsia" w:hAnsiTheme="minorEastAsia"/>
          <w:color w:val="auto"/>
          <w:kern w:val="0"/>
          <w:sz w:val="24"/>
          <w:szCs w:val="24"/>
        </w:rPr>
      </w:pPr>
      <w:r w:rsidRPr="00AE6D7B">
        <w:rPr>
          <w:rStyle w:val="UserStyle5"/>
          <w:rFonts w:asciiTheme="minorEastAsia" w:eastAsiaTheme="minorEastAsia" w:hAnsiTheme="minorEastAsia" w:hint="eastAsia"/>
          <w:color w:val="auto"/>
          <w:kern w:val="0"/>
          <w:sz w:val="24"/>
          <w:szCs w:val="24"/>
        </w:rPr>
        <w:t>3、项目负责人具有注册土木工程师（岩土）执业职格证，</w:t>
      </w:r>
      <w:r w:rsidRPr="00AE6D7B">
        <w:rPr>
          <w:rFonts w:asciiTheme="minorEastAsia" w:eastAsiaTheme="minorEastAsia" w:hAnsiTheme="minorEastAsia" w:cs="宋体"/>
          <w:sz w:val="24"/>
        </w:rPr>
        <w:t>且具备工程类</w:t>
      </w:r>
      <w:r w:rsidRPr="00AE6D7B">
        <w:rPr>
          <w:rFonts w:asciiTheme="minorEastAsia" w:eastAsiaTheme="minorEastAsia" w:hAnsiTheme="minorEastAsia" w:cs="宋体" w:hint="eastAsia"/>
          <w:sz w:val="24"/>
        </w:rPr>
        <w:t>高级</w:t>
      </w:r>
      <w:r w:rsidRPr="00AE6D7B">
        <w:rPr>
          <w:rFonts w:asciiTheme="minorEastAsia" w:eastAsiaTheme="minorEastAsia" w:hAnsiTheme="minorEastAsia" w:cs="宋体"/>
          <w:sz w:val="24"/>
        </w:rPr>
        <w:t>工程师职称</w:t>
      </w:r>
      <w:r w:rsidRPr="00AE6D7B">
        <w:rPr>
          <w:rStyle w:val="UserStyle5"/>
          <w:rFonts w:asciiTheme="minorEastAsia" w:eastAsiaTheme="minorEastAsia" w:hAnsiTheme="minorEastAsia" w:hint="eastAsia"/>
          <w:color w:val="auto"/>
          <w:kern w:val="0"/>
          <w:sz w:val="24"/>
          <w:szCs w:val="24"/>
        </w:rPr>
        <w:t>；</w:t>
      </w:r>
    </w:p>
    <w:p w:rsidR="00FD5EAB" w:rsidRPr="00AE6D7B" w:rsidRDefault="003C72B9" w:rsidP="00836C14">
      <w:pPr>
        <w:spacing w:line="380" w:lineRule="exact"/>
        <w:ind w:firstLineChars="200" w:firstLine="480"/>
        <w:jc w:val="left"/>
        <w:rPr>
          <w:rStyle w:val="UserStyle5"/>
          <w:rFonts w:asciiTheme="minorEastAsia" w:eastAsiaTheme="minorEastAsia" w:hAnsiTheme="minorEastAsia"/>
          <w:color w:val="auto"/>
          <w:kern w:val="0"/>
          <w:sz w:val="24"/>
          <w:szCs w:val="24"/>
        </w:rPr>
      </w:pPr>
      <w:r w:rsidRPr="00AE6D7B">
        <w:rPr>
          <w:rStyle w:val="UserStyle5"/>
          <w:rFonts w:asciiTheme="minorEastAsia" w:eastAsiaTheme="minorEastAsia" w:hAnsiTheme="minorEastAsia" w:hint="eastAsia"/>
          <w:color w:val="auto"/>
          <w:kern w:val="0"/>
          <w:sz w:val="24"/>
          <w:szCs w:val="24"/>
        </w:rPr>
        <w:t>4、本工程不接受联合体投标；</w:t>
      </w:r>
    </w:p>
    <w:p w:rsidR="00FD5EAB" w:rsidRPr="00AE6D7B" w:rsidRDefault="003C72B9" w:rsidP="00836C14">
      <w:pPr>
        <w:pStyle w:val="UserStyle24"/>
        <w:spacing w:line="380" w:lineRule="exact"/>
        <w:ind w:firstLineChars="200" w:firstLine="480"/>
        <w:rPr>
          <w:rStyle w:val="UserStyle5"/>
          <w:rFonts w:asciiTheme="minorEastAsia" w:eastAsiaTheme="minorEastAsia" w:hAnsiTheme="minorEastAsia"/>
          <w:color w:val="auto"/>
          <w:sz w:val="24"/>
          <w:szCs w:val="24"/>
        </w:rPr>
      </w:pPr>
      <w:r w:rsidRPr="00AE6D7B">
        <w:rPr>
          <w:rStyle w:val="UserStyle5"/>
          <w:rFonts w:asciiTheme="minorEastAsia" w:eastAsiaTheme="minorEastAsia" w:hAnsiTheme="minorEastAsia" w:hint="eastAsia"/>
          <w:color w:val="auto"/>
          <w:sz w:val="24"/>
          <w:szCs w:val="24"/>
        </w:rPr>
        <w:t>5、本项目要求的企业资质、人员执业资格、职称情况由评委评标时核验，不在南宁市公共资源交易中心系统中核验，开标时提供复印件加盖公章核验。</w:t>
      </w:r>
    </w:p>
    <w:p w:rsidR="00FD5EAB" w:rsidRPr="00AE6D7B" w:rsidRDefault="003C72B9" w:rsidP="00836C14">
      <w:pPr>
        <w:pStyle w:val="UserStyle24"/>
        <w:spacing w:line="380" w:lineRule="exact"/>
        <w:ind w:firstLineChars="200" w:firstLine="480"/>
        <w:rPr>
          <w:rStyle w:val="NormalCharacter"/>
          <w:rFonts w:asciiTheme="minorEastAsia" w:eastAsiaTheme="minorEastAsia" w:hAnsiTheme="minorEastAsia"/>
        </w:rPr>
      </w:pPr>
      <w:r w:rsidRPr="00AE6D7B">
        <w:rPr>
          <w:rStyle w:val="UserStyle5"/>
          <w:rFonts w:asciiTheme="minorEastAsia" w:eastAsiaTheme="minorEastAsia" w:hAnsiTheme="minorEastAsia" w:hint="eastAsia"/>
          <w:color w:val="auto"/>
          <w:sz w:val="24"/>
          <w:szCs w:val="24"/>
        </w:rPr>
        <w:t>八、投标报名：凡有意参加投标者，请于 2020</w:t>
      </w:r>
      <w:r w:rsidRPr="00AE6D7B">
        <w:rPr>
          <w:rStyle w:val="NormalCharacter"/>
          <w:rFonts w:asciiTheme="minorEastAsia" w:eastAsiaTheme="minorEastAsia" w:hAnsiTheme="minorEastAsia"/>
        </w:rPr>
        <w:t>年</w:t>
      </w:r>
      <w:r w:rsidRPr="00AE6D7B">
        <w:rPr>
          <w:rStyle w:val="NormalCharacter"/>
          <w:rFonts w:asciiTheme="minorEastAsia" w:eastAsiaTheme="minorEastAsia" w:hAnsiTheme="minorEastAsia" w:hint="eastAsia"/>
          <w:u w:val="single"/>
        </w:rPr>
        <w:t>5</w:t>
      </w:r>
      <w:r w:rsidRPr="00AE6D7B">
        <w:rPr>
          <w:rStyle w:val="NormalCharacter"/>
          <w:rFonts w:asciiTheme="minorEastAsia" w:eastAsiaTheme="minorEastAsia" w:hAnsiTheme="minorEastAsia"/>
        </w:rPr>
        <w:t>月</w:t>
      </w:r>
      <w:r w:rsidRPr="00AE6D7B">
        <w:rPr>
          <w:rStyle w:val="NormalCharacter"/>
          <w:rFonts w:asciiTheme="minorEastAsia" w:eastAsiaTheme="minorEastAsia" w:hAnsiTheme="minorEastAsia" w:hint="eastAsia"/>
          <w:u w:val="single"/>
        </w:rPr>
        <w:t>1</w:t>
      </w:r>
      <w:r w:rsidR="00DF0AF4">
        <w:rPr>
          <w:rStyle w:val="NormalCharacter"/>
          <w:rFonts w:asciiTheme="minorEastAsia" w:eastAsiaTheme="minorEastAsia" w:hAnsiTheme="minorEastAsia" w:hint="eastAsia"/>
          <w:u w:val="single"/>
        </w:rPr>
        <w:t>5</w:t>
      </w:r>
      <w:r w:rsidRPr="00AE6D7B">
        <w:rPr>
          <w:rStyle w:val="NormalCharacter"/>
          <w:rFonts w:asciiTheme="minorEastAsia" w:eastAsiaTheme="minorEastAsia" w:hAnsiTheme="minorEastAsia"/>
        </w:rPr>
        <w:t>日</w:t>
      </w:r>
      <w:r w:rsidRPr="00AE6D7B">
        <w:rPr>
          <w:rStyle w:val="NormalCharacter"/>
          <w:rFonts w:asciiTheme="minorEastAsia" w:eastAsiaTheme="minorEastAsia" w:hAnsiTheme="minorEastAsia"/>
          <w:u w:val="single"/>
        </w:rPr>
        <w:t>0</w:t>
      </w:r>
      <w:r w:rsidRPr="00AE6D7B">
        <w:rPr>
          <w:rStyle w:val="NormalCharacter"/>
          <w:rFonts w:asciiTheme="minorEastAsia" w:eastAsiaTheme="minorEastAsia" w:hAnsiTheme="minorEastAsia"/>
        </w:rPr>
        <w:t>时</w:t>
      </w:r>
      <w:r w:rsidRPr="00AE6D7B">
        <w:rPr>
          <w:rStyle w:val="NormalCharacter"/>
          <w:rFonts w:asciiTheme="minorEastAsia" w:eastAsiaTheme="minorEastAsia" w:hAnsiTheme="minorEastAsia"/>
          <w:u w:val="single"/>
        </w:rPr>
        <w:t>00</w:t>
      </w:r>
      <w:r w:rsidRPr="00AE6D7B">
        <w:rPr>
          <w:rStyle w:val="NormalCharacter"/>
          <w:rFonts w:asciiTheme="minorEastAsia" w:eastAsiaTheme="minorEastAsia" w:hAnsiTheme="minorEastAsia"/>
        </w:rPr>
        <w:t>分至</w:t>
      </w:r>
      <w:r w:rsidRPr="00AE6D7B">
        <w:rPr>
          <w:rStyle w:val="NormalCharacter"/>
          <w:rFonts w:asciiTheme="minorEastAsia" w:eastAsiaTheme="minorEastAsia" w:hAnsiTheme="minorEastAsia"/>
          <w:u w:val="single"/>
        </w:rPr>
        <w:t xml:space="preserve"> 20</w:t>
      </w:r>
      <w:r w:rsidRPr="00AE6D7B">
        <w:rPr>
          <w:rStyle w:val="NormalCharacter"/>
          <w:rFonts w:asciiTheme="minorEastAsia" w:eastAsiaTheme="minorEastAsia" w:hAnsiTheme="minorEastAsia" w:hint="eastAsia"/>
          <w:u w:val="single"/>
        </w:rPr>
        <w:t>20</w:t>
      </w:r>
      <w:r w:rsidRPr="00AE6D7B">
        <w:rPr>
          <w:rStyle w:val="NormalCharacter"/>
          <w:rFonts w:asciiTheme="minorEastAsia" w:eastAsiaTheme="minorEastAsia" w:hAnsiTheme="minorEastAsia"/>
          <w:u w:val="single"/>
        </w:rPr>
        <w:t xml:space="preserve"> </w:t>
      </w:r>
      <w:r w:rsidRPr="00AE6D7B">
        <w:rPr>
          <w:rStyle w:val="NormalCharacter"/>
          <w:rFonts w:asciiTheme="minorEastAsia" w:eastAsiaTheme="minorEastAsia" w:hAnsiTheme="minorEastAsia"/>
        </w:rPr>
        <w:t>年</w:t>
      </w:r>
      <w:r w:rsidRPr="00AE6D7B">
        <w:rPr>
          <w:rStyle w:val="NormalCharacter"/>
          <w:rFonts w:asciiTheme="minorEastAsia" w:eastAsiaTheme="minorEastAsia" w:hAnsiTheme="minorEastAsia" w:hint="eastAsia"/>
          <w:u w:val="single"/>
        </w:rPr>
        <w:t>6</w:t>
      </w:r>
      <w:r w:rsidRPr="00AE6D7B">
        <w:rPr>
          <w:rStyle w:val="NormalCharacter"/>
          <w:rFonts w:asciiTheme="minorEastAsia" w:eastAsiaTheme="minorEastAsia" w:hAnsiTheme="minorEastAsia"/>
        </w:rPr>
        <w:t>月</w:t>
      </w:r>
      <w:r w:rsidR="00DF0AF4">
        <w:rPr>
          <w:rStyle w:val="NormalCharacter"/>
          <w:rFonts w:asciiTheme="minorEastAsia" w:eastAsiaTheme="minorEastAsia" w:hAnsiTheme="minorEastAsia" w:hint="eastAsia"/>
          <w:u w:val="single"/>
        </w:rPr>
        <w:t>4</w:t>
      </w:r>
      <w:r w:rsidRPr="00AE6D7B">
        <w:rPr>
          <w:rStyle w:val="NormalCharacter"/>
          <w:rFonts w:asciiTheme="minorEastAsia" w:eastAsiaTheme="minorEastAsia" w:hAnsiTheme="minorEastAsia"/>
        </w:rPr>
        <w:t>日</w:t>
      </w:r>
      <w:r w:rsidR="00DF0AF4">
        <w:rPr>
          <w:rStyle w:val="NormalCharacter"/>
          <w:rFonts w:asciiTheme="minorEastAsia" w:eastAsiaTheme="minorEastAsia" w:hAnsiTheme="minorEastAsia" w:hint="eastAsia"/>
          <w:u w:val="single"/>
        </w:rPr>
        <w:t>0</w:t>
      </w:r>
      <w:r w:rsidRPr="00AE6D7B">
        <w:rPr>
          <w:rStyle w:val="NormalCharacter"/>
          <w:rFonts w:asciiTheme="minorEastAsia" w:eastAsiaTheme="minorEastAsia" w:hAnsiTheme="minorEastAsia"/>
        </w:rPr>
        <w:t>时</w:t>
      </w:r>
      <w:r w:rsidR="00DF0AF4">
        <w:rPr>
          <w:rStyle w:val="NormalCharacter"/>
          <w:rFonts w:asciiTheme="minorEastAsia" w:eastAsiaTheme="minorEastAsia" w:hAnsiTheme="minorEastAsia" w:hint="eastAsia"/>
          <w:u w:val="single"/>
        </w:rPr>
        <w:t>00</w:t>
      </w:r>
      <w:r w:rsidRPr="00AE6D7B">
        <w:rPr>
          <w:rStyle w:val="NormalCharacter"/>
          <w:rFonts w:asciiTheme="minorEastAsia" w:eastAsiaTheme="minorEastAsia" w:hAnsiTheme="minorEastAsia"/>
        </w:rPr>
        <w:t>分（</w:t>
      </w:r>
      <w:r w:rsidRPr="00AE6D7B">
        <w:rPr>
          <w:rStyle w:val="NormalCharacter"/>
          <w:rFonts w:asciiTheme="minorEastAsia" w:eastAsiaTheme="minorEastAsia" w:hAnsiTheme="minorEastAsia" w:hint="eastAsia"/>
        </w:rPr>
        <w:t>不少于20日</w:t>
      </w:r>
      <w:r w:rsidRPr="00AE6D7B">
        <w:rPr>
          <w:rStyle w:val="NormalCharacter"/>
          <w:rFonts w:asciiTheme="minorEastAsia" w:eastAsiaTheme="minorEastAsia" w:hAnsiTheme="minorEastAsia"/>
        </w:rPr>
        <w:t>），由潜在投标人的专职投标员凭南宁市公共资源交易中心系统账号及密码或企业CA锁登陆登录南宁市公共资源交易中心网（https://www.nnggzy.org.cn/gxnnzbw/），进行网上登录。</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bCs/>
          <w:sz w:val="24"/>
        </w:rPr>
        <w:t>九、招标文件的获取</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凡通过上述登录者，潜在投标人可自行登录登陆南宁市公共资源交易平台(https://www.nnggzy.org.cn)本招标公告处下载招标文件和相关资料。（操作指南详见门户网站办事指南）。</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lastRenderedPageBreak/>
        <w:t>十、投标文件的递交</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10.1 投标文件递交的截止时间（投标截止时间，下同）为</w:t>
      </w:r>
      <w:r w:rsidRPr="00AE6D7B">
        <w:rPr>
          <w:rStyle w:val="NormalCharacter"/>
          <w:rFonts w:asciiTheme="minorEastAsia" w:eastAsiaTheme="minorEastAsia" w:hAnsiTheme="minorEastAsia"/>
          <w:sz w:val="24"/>
          <w:u w:val="single"/>
        </w:rPr>
        <w:t>20</w:t>
      </w:r>
      <w:r w:rsidRPr="00AE6D7B">
        <w:rPr>
          <w:rStyle w:val="NormalCharacter"/>
          <w:rFonts w:asciiTheme="minorEastAsia" w:eastAsiaTheme="minorEastAsia" w:hAnsiTheme="minorEastAsia" w:hint="eastAsia"/>
          <w:sz w:val="24"/>
          <w:u w:val="single"/>
        </w:rPr>
        <w:t>20</w:t>
      </w:r>
      <w:r w:rsidRPr="00AE6D7B">
        <w:rPr>
          <w:rStyle w:val="NormalCharacter"/>
          <w:rFonts w:asciiTheme="minorEastAsia" w:eastAsiaTheme="minorEastAsia" w:hAnsiTheme="minorEastAsia"/>
          <w:sz w:val="24"/>
        </w:rPr>
        <w:t>年</w:t>
      </w:r>
      <w:r w:rsidRPr="00AE6D7B">
        <w:rPr>
          <w:rStyle w:val="NormalCharacter"/>
          <w:rFonts w:asciiTheme="minorEastAsia" w:eastAsiaTheme="minorEastAsia" w:hAnsiTheme="minorEastAsia" w:hint="eastAsia"/>
          <w:sz w:val="24"/>
          <w:u w:val="single"/>
        </w:rPr>
        <w:t>6</w:t>
      </w:r>
      <w:r w:rsidRPr="00AE6D7B">
        <w:rPr>
          <w:rStyle w:val="NormalCharacter"/>
          <w:rFonts w:asciiTheme="minorEastAsia" w:eastAsiaTheme="minorEastAsia" w:hAnsiTheme="minorEastAsia"/>
          <w:sz w:val="24"/>
        </w:rPr>
        <w:t>月</w:t>
      </w:r>
      <w:r w:rsidRPr="00AE6D7B">
        <w:rPr>
          <w:rStyle w:val="NormalCharacter"/>
          <w:rFonts w:asciiTheme="minorEastAsia" w:eastAsiaTheme="minorEastAsia" w:hAnsiTheme="minorEastAsia" w:hint="eastAsia"/>
          <w:sz w:val="24"/>
          <w:u w:val="single"/>
        </w:rPr>
        <w:t>4</w:t>
      </w:r>
      <w:r w:rsidRPr="00AE6D7B">
        <w:rPr>
          <w:rStyle w:val="NormalCharacter"/>
          <w:rFonts w:asciiTheme="minorEastAsia" w:eastAsiaTheme="minorEastAsia" w:hAnsiTheme="minorEastAsia"/>
          <w:sz w:val="24"/>
        </w:rPr>
        <w:t>日</w:t>
      </w:r>
      <w:r w:rsidRPr="00AE6D7B">
        <w:rPr>
          <w:rStyle w:val="NormalCharacter"/>
          <w:rFonts w:asciiTheme="minorEastAsia" w:eastAsiaTheme="minorEastAsia" w:hAnsiTheme="minorEastAsia"/>
          <w:sz w:val="24"/>
          <w:u w:val="single"/>
        </w:rPr>
        <w:t xml:space="preserve"> 9 </w:t>
      </w:r>
      <w:r w:rsidRPr="00AE6D7B">
        <w:rPr>
          <w:rStyle w:val="NormalCharacter"/>
          <w:rFonts w:asciiTheme="minorEastAsia" w:eastAsiaTheme="minorEastAsia" w:hAnsiTheme="minorEastAsia"/>
          <w:sz w:val="24"/>
        </w:rPr>
        <w:t>时</w:t>
      </w:r>
      <w:r w:rsidRPr="00AE6D7B">
        <w:rPr>
          <w:rStyle w:val="NormalCharacter"/>
          <w:rFonts w:asciiTheme="minorEastAsia" w:eastAsiaTheme="minorEastAsia" w:hAnsiTheme="minorEastAsia"/>
          <w:sz w:val="24"/>
          <w:u w:val="single"/>
        </w:rPr>
        <w:t xml:space="preserve"> 30 </w:t>
      </w:r>
      <w:r w:rsidRPr="00AE6D7B">
        <w:rPr>
          <w:rStyle w:val="NormalCharacter"/>
          <w:rFonts w:asciiTheme="minorEastAsia" w:eastAsiaTheme="minorEastAsia" w:hAnsiTheme="minorEastAsia"/>
          <w:sz w:val="24"/>
        </w:rPr>
        <w:t>分，地点为</w:t>
      </w:r>
      <w:r w:rsidRPr="00AE6D7B">
        <w:rPr>
          <w:rStyle w:val="NormalCharacter"/>
          <w:rFonts w:asciiTheme="minorEastAsia" w:eastAsiaTheme="minorEastAsia" w:hAnsiTheme="minorEastAsia"/>
          <w:sz w:val="24"/>
          <w:u w:val="single"/>
        </w:rPr>
        <w:t>南宁市良庆区玉洞大道33号南宁市民中心南宁市公共资源交易中心开标厅（具体详见9楼电子显示屏安排）（交易中心详细地址）</w:t>
      </w:r>
      <w:r w:rsidRPr="00AE6D7B">
        <w:rPr>
          <w:rStyle w:val="NormalCharacter"/>
          <w:rFonts w:asciiTheme="minorEastAsia" w:eastAsiaTheme="minorEastAsia" w:hAnsiTheme="minorEastAsia"/>
          <w:sz w:val="24"/>
        </w:rPr>
        <w:t>。</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10.2 逾期送达的、未送达指定地点的或者不按照招标文件要求密封的投标文件，招标人将予以拒收。</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10.3投标人的委托代理人在投标截止前到开标地点递交投标文件并签到确认参加开标会。委托代理人应当按时参加开标会并签到，并在投标截止前到开标地点输入南宁市专职投标员身份证号及密码或注册的企业账号及密码签到确认参加开标会，否则作无效投标处理。</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十一、评标方式</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综合评估法</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十二、发布公告的媒介</w:t>
      </w:r>
    </w:p>
    <w:p w:rsidR="00FD5EAB" w:rsidRPr="00AE6D7B" w:rsidRDefault="003C72B9" w:rsidP="00836C14">
      <w:pPr>
        <w:spacing w:line="380" w:lineRule="exact"/>
        <w:ind w:firstLineChars="200" w:firstLine="480"/>
        <w:rPr>
          <w:rFonts w:asciiTheme="minorEastAsia" w:eastAsiaTheme="minorEastAsia" w:hAnsiTheme="minorEastAsia" w:cs="宋体"/>
          <w:sz w:val="24"/>
          <w:lang w:val="zh-CN"/>
        </w:rPr>
      </w:pPr>
      <w:r w:rsidRPr="00AE6D7B">
        <w:rPr>
          <w:rFonts w:asciiTheme="minorEastAsia" w:eastAsiaTheme="minorEastAsia" w:hAnsiTheme="minorEastAsia" w:cs="宋体"/>
          <w:sz w:val="24"/>
          <w:lang w:val="zh-CN"/>
        </w:rPr>
        <w:t>本次招标公告同时在中国招标投标公共服务平台http://www.cebpubservice.com、广西壮族自治区招标投标公共服务平台ztb.gxi.gov.cn、南宁市公共资源交易中心网https://www.nnggzy.org.cn、中国政府采购网www.ccgp.gov.cn、广西壮族自治区政府采购网http://zfcg.gxzf.gov.cn、南宁政府采购网http://zfcg.nanning.gov.cn上发布。（公告发布媒体包含但不限于上述媒体）。</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十三、交易服务单位</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南宁市公共资源交易中心</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Style w:val="NormalCharacter"/>
          <w:rFonts w:asciiTheme="minorEastAsia" w:eastAsiaTheme="minorEastAsia" w:hAnsiTheme="minorEastAsia"/>
          <w:sz w:val="24"/>
        </w:rPr>
        <w:t>十四、监督部门及电话</w:t>
      </w:r>
    </w:p>
    <w:p w:rsidR="00FD5EAB" w:rsidRPr="00AE6D7B" w:rsidRDefault="003C72B9" w:rsidP="00836C14">
      <w:pPr>
        <w:spacing w:line="380" w:lineRule="exact"/>
        <w:ind w:firstLineChars="200" w:firstLine="480"/>
        <w:rPr>
          <w:rStyle w:val="NormalCharacter"/>
          <w:rFonts w:asciiTheme="minorEastAsia" w:eastAsiaTheme="minorEastAsia" w:hAnsiTheme="minorEastAsia"/>
          <w:sz w:val="24"/>
        </w:rPr>
      </w:pPr>
      <w:r w:rsidRPr="00AE6D7B">
        <w:rPr>
          <w:rFonts w:asciiTheme="minorEastAsia" w:eastAsiaTheme="minorEastAsia" w:hAnsiTheme="minorEastAsia" w:cs="宋体"/>
          <w:sz w:val="24"/>
          <w:lang w:val="zh-CN"/>
        </w:rPr>
        <w:t>南宁市住房和城乡建设局招标科（监督电话：0771-5535031）</w:t>
      </w:r>
    </w:p>
    <w:p w:rsidR="00AE6D7B" w:rsidRPr="00AE6D7B" w:rsidRDefault="003C72B9" w:rsidP="00836C14">
      <w:pPr>
        <w:pStyle w:val="UserStyle24"/>
        <w:spacing w:line="380" w:lineRule="exact"/>
        <w:ind w:firstLineChars="200" w:firstLine="480"/>
        <w:rPr>
          <w:rStyle w:val="UserStyle5"/>
          <w:rFonts w:asciiTheme="minorEastAsia" w:eastAsiaTheme="minorEastAsia" w:hAnsiTheme="minorEastAsia"/>
          <w:sz w:val="24"/>
          <w:szCs w:val="24"/>
        </w:rPr>
      </w:pPr>
      <w:r w:rsidRPr="00AE6D7B">
        <w:rPr>
          <w:rStyle w:val="UserStyle5"/>
          <w:rFonts w:asciiTheme="minorEastAsia" w:eastAsiaTheme="minorEastAsia" w:hAnsiTheme="minorEastAsia"/>
          <w:sz w:val="24"/>
          <w:szCs w:val="24"/>
        </w:rPr>
        <w:t>十五、联系方式：</w:t>
      </w:r>
    </w:p>
    <w:tbl>
      <w:tblPr>
        <w:tblW w:w="9632" w:type="dxa"/>
        <w:jc w:val="center"/>
        <w:tblInd w:w="562" w:type="dxa"/>
        <w:tblLayout w:type="fixed"/>
        <w:tblCellMar>
          <w:left w:w="0" w:type="dxa"/>
          <w:right w:w="0" w:type="dxa"/>
        </w:tblCellMar>
        <w:tblLook w:val="04A0"/>
      </w:tblPr>
      <w:tblGrid>
        <w:gridCol w:w="1131"/>
        <w:gridCol w:w="3261"/>
        <w:gridCol w:w="1275"/>
        <w:gridCol w:w="3965"/>
      </w:tblGrid>
      <w:tr w:rsidR="00FD5EAB" w:rsidRPr="00AE6D7B" w:rsidTr="00AE6D7B">
        <w:trPr>
          <w:trHeight w:val="580"/>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招标人: </w:t>
            </w:r>
          </w:p>
        </w:tc>
        <w:tc>
          <w:tcPr>
            <w:tcW w:w="326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hint="eastAsia"/>
                <w:lang w:val="zh-CN"/>
              </w:rPr>
              <w:t>广西金水建设开发有限公司</w:t>
            </w: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代理机构:</w:t>
            </w:r>
          </w:p>
        </w:tc>
        <w:tc>
          <w:tcPr>
            <w:tcW w:w="396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hint="eastAsia"/>
                <w:lang w:val="zh-CN"/>
              </w:rPr>
              <w:t>中资国际工程咨询集团有限责任公司</w:t>
            </w:r>
            <w:r w:rsidRPr="00AE6D7B">
              <w:rPr>
                <w:rStyle w:val="NormalCharacter"/>
                <w:rFonts w:ascii="宋体" w:eastAsia="宋体" w:hAnsi="宋体"/>
                <w:lang w:val="zh-CN"/>
              </w:rPr>
              <w:t xml:space="preserve"> </w:t>
            </w:r>
          </w:p>
        </w:tc>
      </w:tr>
      <w:tr w:rsidR="00FD5EAB" w:rsidRPr="00AE6D7B" w:rsidTr="00AE6D7B">
        <w:trPr>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地址: </w:t>
            </w:r>
          </w:p>
        </w:tc>
        <w:tc>
          <w:tcPr>
            <w:tcW w:w="326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Fonts w:ascii="宋体" w:eastAsia="宋体" w:hAnsi="宋体" w:cs="宋体"/>
                <w:lang w:val="zh-CN"/>
              </w:rPr>
              <w:t xml:space="preserve">南宁市竹江路2号 </w:t>
            </w: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地址:</w:t>
            </w:r>
          </w:p>
        </w:tc>
        <w:tc>
          <w:tcPr>
            <w:tcW w:w="396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hint="eastAsia"/>
                <w:lang w:val="zh-CN"/>
              </w:rPr>
              <w:t>南宁市青秀区长园路8号大地华城S3-01号商场三楼</w:t>
            </w:r>
            <w:r w:rsidRPr="00AE6D7B">
              <w:rPr>
                <w:rStyle w:val="NormalCharacter"/>
                <w:rFonts w:ascii="宋体" w:eastAsia="宋体" w:hAnsi="宋体"/>
                <w:lang w:val="zh-CN"/>
              </w:rPr>
              <w:t xml:space="preserve"> </w:t>
            </w:r>
          </w:p>
        </w:tc>
      </w:tr>
      <w:tr w:rsidR="00FD5EAB" w:rsidRPr="00AE6D7B" w:rsidTr="00AE6D7B">
        <w:trPr>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邮编: </w:t>
            </w:r>
          </w:p>
        </w:tc>
        <w:tc>
          <w:tcPr>
            <w:tcW w:w="326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   </w:t>
            </w: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邮编:</w:t>
            </w:r>
          </w:p>
        </w:tc>
        <w:tc>
          <w:tcPr>
            <w:tcW w:w="396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w:t>
            </w:r>
          </w:p>
        </w:tc>
      </w:tr>
      <w:tr w:rsidR="00FD5EAB" w:rsidRPr="00AE6D7B" w:rsidTr="00AE6D7B">
        <w:trPr>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联系人: </w:t>
            </w:r>
          </w:p>
        </w:tc>
        <w:tc>
          <w:tcPr>
            <w:tcW w:w="3261" w:type="dxa"/>
          </w:tcPr>
          <w:p w:rsidR="00FD5EAB" w:rsidRPr="00AE6D7B" w:rsidRDefault="003C72B9" w:rsidP="00836C14">
            <w:pPr>
              <w:pStyle w:val="1"/>
              <w:spacing w:line="380" w:lineRule="exact"/>
              <w:rPr>
                <w:rStyle w:val="NormalCharacter"/>
                <w:rFonts w:ascii="宋体" w:eastAsia="宋体" w:hAnsi="宋体"/>
                <w:lang w:val="zh-CN"/>
              </w:rPr>
            </w:pPr>
            <w:r w:rsidRPr="00AE6D7B">
              <w:rPr>
                <w:rFonts w:ascii="宋体" w:eastAsia="宋体" w:hAnsi="宋体" w:cs="宋体"/>
                <w:lang w:val="zh-CN"/>
              </w:rPr>
              <w:t xml:space="preserve">王丹 </w:t>
            </w: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联系人:</w:t>
            </w:r>
          </w:p>
        </w:tc>
        <w:tc>
          <w:tcPr>
            <w:tcW w:w="3965" w:type="dxa"/>
          </w:tcPr>
          <w:p w:rsidR="00FD5EAB" w:rsidRPr="00AE6D7B" w:rsidRDefault="003C72B9" w:rsidP="00836C14">
            <w:pPr>
              <w:pStyle w:val="1"/>
              <w:spacing w:line="380" w:lineRule="exact"/>
              <w:rPr>
                <w:rStyle w:val="NormalCharacter"/>
                <w:rFonts w:ascii="宋体" w:eastAsia="宋体" w:hAnsi="宋体"/>
              </w:rPr>
            </w:pPr>
            <w:r w:rsidRPr="00AE6D7B">
              <w:rPr>
                <w:rFonts w:ascii="宋体" w:eastAsia="宋体" w:hAnsi="宋体" w:cs="宋体"/>
                <w:lang w:val="zh-CN"/>
              </w:rPr>
              <w:t xml:space="preserve">黄旋 </w:t>
            </w:r>
          </w:p>
        </w:tc>
      </w:tr>
      <w:tr w:rsidR="00FD5EAB" w:rsidRPr="00AE6D7B" w:rsidTr="00AE6D7B">
        <w:trPr>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电话: </w:t>
            </w:r>
          </w:p>
        </w:tc>
        <w:tc>
          <w:tcPr>
            <w:tcW w:w="3261" w:type="dxa"/>
          </w:tcPr>
          <w:p w:rsidR="00FD5EAB" w:rsidRPr="00AE6D7B" w:rsidRDefault="003C72B9" w:rsidP="00836C14">
            <w:pPr>
              <w:pStyle w:val="1"/>
              <w:spacing w:line="380" w:lineRule="exact"/>
              <w:rPr>
                <w:rStyle w:val="NormalCharacter"/>
                <w:rFonts w:ascii="宋体" w:eastAsia="宋体" w:hAnsi="宋体"/>
                <w:lang w:val="zh-CN"/>
              </w:rPr>
            </w:pPr>
            <w:r w:rsidRPr="00AE6D7B">
              <w:rPr>
                <w:rFonts w:ascii="宋体" w:eastAsia="宋体" w:hAnsi="宋体" w:cs="宋体"/>
                <w:lang w:val="zh-CN"/>
              </w:rPr>
              <w:t xml:space="preserve">0771-5578895 </w:t>
            </w: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电话:</w:t>
            </w:r>
          </w:p>
        </w:tc>
        <w:tc>
          <w:tcPr>
            <w:tcW w:w="3965" w:type="dxa"/>
          </w:tcPr>
          <w:p w:rsidR="00FD5EAB" w:rsidRPr="00AE6D7B" w:rsidRDefault="003C72B9" w:rsidP="00836C14">
            <w:pPr>
              <w:pStyle w:val="1"/>
              <w:spacing w:line="380" w:lineRule="exact"/>
              <w:rPr>
                <w:rStyle w:val="NormalCharacter"/>
                <w:rFonts w:ascii="宋体" w:eastAsia="宋体" w:hAnsi="宋体"/>
              </w:rPr>
            </w:pPr>
            <w:r w:rsidRPr="00AE6D7B">
              <w:rPr>
                <w:rFonts w:ascii="宋体" w:eastAsia="宋体" w:hAnsi="宋体" w:cs="宋体"/>
                <w:lang w:val="zh-CN"/>
              </w:rPr>
              <w:t xml:space="preserve">0771-5675006 </w:t>
            </w:r>
          </w:p>
        </w:tc>
      </w:tr>
      <w:tr w:rsidR="00FD5EAB" w:rsidRPr="00AE6D7B" w:rsidTr="00AE6D7B">
        <w:trPr>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传真: </w:t>
            </w:r>
          </w:p>
        </w:tc>
        <w:tc>
          <w:tcPr>
            <w:tcW w:w="326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w:t>
            </w: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传真:</w:t>
            </w:r>
          </w:p>
        </w:tc>
        <w:tc>
          <w:tcPr>
            <w:tcW w:w="3965" w:type="dxa"/>
          </w:tcPr>
          <w:p w:rsidR="00FD5EAB" w:rsidRPr="00AE6D7B" w:rsidRDefault="003C72B9" w:rsidP="00836C14">
            <w:pPr>
              <w:pStyle w:val="UserStyle11"/>
              <w:spacing w:line="380" w:lineRule="exact"/>
              <w:rPr>
                <w:rStyle w:val="NormalCharacter"/>
                <w:rFonts w:ascii="宋体" w:eastAsia="宋体" w:hAnsi="宋体"/>
              </w:rPr>
            </w:pPr>
            <w:r w:rsidRPr="00AE6D7B">
              <w:rPr>
                <w:rStyle w:val="NormalCharacter"/>
                <w:rFonts w:ascii="宋体" w:eastAsia="宋体" w:hAnsi="宋体" w:hint="eastAsia"/>
              </w:rPr>
              <w:t>0771-5823176</w:t>
            </w:r>
          </w:p>
        </w:tc>
      </w:tr>
      <w:tr w:rsidR="00FD5EAB" w:rsidRPr="00AE6D7B" w:rsidTr="00AE6D7B">
        <w:trPr>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电子邮箱: </w:t>
            </w:r>
          </w:p>
        </w:tc>
        <w:tc>
          <w:tcPr>
            <w:tcW w:w="326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  </w:t>
            </w: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电子邮箱:</w:t>
            </w:r>
          </w:p>
        </w:tc>
        <w:tc>
          <w:tcPr>
            <w:tcW w:w="3965" w:type="dxa"/>
          </w:tcPr>
          <w:p w:rsidR="00FD5EAB" w:rsidRPr="00AE6D7B" w:rsidRDefault="00AE6D7B" w:rsidP="00836C14">
            <w:pPr>
              <w:pStyle w:val="UserStyle11"/>
              <w:spacing w:line="380" w:lineRule="exact"/>
              <w:rPr>
                <w:rStyle w:val="NormalCharacter"/>
                <w:rFonts w:ascii="宋体" w:eastAsia="宋体" w:hAnsi="宋体"/>
              </w:rPr>
            </w:pPr>
            <w:r w:rsidRPr="00AE6D7B">
              <w:rPr>
                <w:rStyle w:val="NormalCharacter"/>
                <w:rFonts w:ascii="宋体" w:eastAsia="宋体" w:hAnsi="宋体" w:hint="eastAsia"/>
              </w:rPr>
              <w:t xml:space="preserve"> </w:t>
            </w:r>
            <w:r w:rsidR="003C72B9" w:rsidRPr="00AE6D7B">
              <w:rPr>
                <w:rStyle w:val="NormalCharacter"/>
                <w:rFonts w:ascii="宋体" w:eastAsia="宋体" w:hAnsi="宋体" w:hint="eastAsia"/>
              </w:rPr>
              <w:t>zhongzi176@163.com</w:t>
            </w:r>
          </w:p>
        </w:tc>
      </w:tr>
      <w:tr w:rsidR="00FD5EAB" w:rsidRPr="00AE6D7B" w:rsidTr="00AE6D7B">
        <w:trPr>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网址: </w:t>
            </w:r>
          </w:p>
        </w:tc>
        <w:tc>
          <w:tcPr>
            <w:tcW w:w="326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  </w:t>
            </w: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网址:</w:t>
            </w:r>
          </w:p>
        </w:tc>
        <w:tc>
          <w:tcPr>
            <w:tcW w:w="3965" w:type="dxa"/>
          </w:tcPr>
          <w:p w:rsidR="00FD5EAB" w:rsidRPr="00AE6D7B" w:rsidRDefault="00FD5EAB" w:rsidP="00836C14">
            <w:pPr>
              <w:pStyle w:val="UserStyle11"/>
              <w:spacing w:line="380" w:lineRule="exact"/>
              <w:rPr>
                <w:rStyle w:val="NormalCharacter"/>
                <w:rFonts w:ascii="宋体" w:eastAsia="宋体" w:hAnsi="宋体"/>
                <w:lang w:val="zh-CN"/>
              </w:rPr>
            </w:pPr>
          </w:p>
        </w:tc>
      </w:tr>
      <w:tr w:rsidR="00FD5EAB" w:rsidRPr="00AE6D7B" w:rsidTr="00AE6D7B">
        <w:trPr>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开户银行: </w:t>
            </w:r>
          </w:p>
        </w:tc>
        <w:tc>
          <w:tcPr>
            <w:tcW w:w="3261" w:type="dxa"/>
          </w:tcPr>
          <w:p w:rsidR="00FD5EAB" w:rsidRPr="00AE6D7B" w:rsidRDefault="00FD5EAB" w:rsidP="00836C14">
            <w:pPr>
              <w:pStyle w:val="UserStyle11"/>
              <w:spacing w:line="380" w:lineRule="exact"/>
              <w:rPr>
                <w:rStyle w:val="NormalCharacter"/>
                <w:rFonts w:ascii="宋体" w:eastAsia="宋体" w:hAnsi="宋体"/>
                <w:lang w:val="zh-CN"/>
              </w:rPr>
            </w:pP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开户银行:</w:t>
            </w:r>
          </w:p>
        </w:tc>
        <w:tc>
          <w:tcPr>
            <w:tcW w:w="3965" w:type="dxa"/>
          </w:tcPr>
          <w:p w:rsidR="00FD5EAB" w:rsidRPr="00AE6D7B" w:rsidRDefault="00FD5EAB" w:rsidP="00836C14">
            <w:pPr>
              <w:pStyle w:val="UserStyle11"/>
              <w:spacing w:line="380" w:lineRule="exact"/>
              <w:rPr>
                <w:rStyle w:val="NormalCharacter"/>
                <w:rFonts w:ascii="宋体" w:eastAsia="宋体" w:hAnsi="宋体"/>
                <w:lang w:val="zh-CN"/>
              </w:rPr>
            </w:pPr>
          </w:p>
        </w:tc>
      </w:tr>
      <w:tr w:rsidR="00FD5EAB" w:rsidRPr="00AE6D7B" w:rsidTr="00AE6D7B">
        <w:trPr>
          <w:trHeight w:val="90"/>
          <w:jc w:val="center"/>
        </w:trPr>
        <w:tc>
          <w:tcPr>
            <w:tcW w:w="1131"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 xml:space="preserve">账号: </w:t>
            </w:r>
          </w:p>
        </w:tc>
        <w:tc>
          <w:tcPr>
            <w:tcW w:w="3261" w:type="dxa"/>
          </w:tcPr>
          <w:p w:rsidR="00FD5EAB" w:rsidRPr="00AE6D7B" w:rsidRDefault="00FD5EAB" w:rsidP="00836C14">
            <w:pPr>
              <w:pStyle w:val="UserStyle11"/>
              <w:spacing w:line="380" w:lineRule="exact"/>
              <w:rPr>
                <w:rStyle w:val="NormalCharacter"/>
                <w:rFonts w:ascii="宋体" w:eastAsia="宋体" w:hAnsi="宋体"/>
                <w:lang w:val="zh-CN"/>
              </w:rPr>
            </w:pPr>
          </w:p>
        </w:tc>
        <w:tc>
          <w:tcPr>
            <w:tcW w:w="1275" w:type="dxa"/>
          </w:tcPr>
          <w:p w:rsidR="00FD5EAB" w:rsidRPr="00AE6D7B" w:rsidRDefault="003C72B9" w:rsidP="00836C14">
            <w:pPr>
              <w:pStyle w:val="UserStyle11"/>
              <w:spacing w:line="380" w:lineRule="exact"/>
              <w:rPr>
                <w:rStyle w:val="NormalCharacter"/>
                <w:rFonts w:ascii="宋体" w:eastAsia="宋体" w:hAnsi="宋体"/>
                <w:lang w:val="zh-CN"/>
              </w:rPr>
            </w:pPr>
            <w:r w:rsidRPr="00AE6D7B">
              <w:rPr>
                <w:rStyle w:val="NormalCharacter"/>
                <w:rFonts w:ascii="宋体" w:eastAsia="宋体" w:hAnsi="宋体"/>
                <w:lang w:val="zh-CN"/>
              </w:rPr>
              <w:t>账号:</w:t>
            </w:r>
          </w:p>
        </w:tc>
        <w:tc>
          <w:tcPr>
            <w:tcW w:w="3965" w:type="dxa"/>
          </w:tcPr>
          <w:p w:rsidR="00FD5EAB" w:rsidRPr="00AE6D7B" w:rsidRDefault="00FD5EAB" w:rsidP="00836C14">
            <w:pPr>
              <w:pStyle w:val="UserStyle11"/>
              <w:spacing w:line="380" w:lineRule="exact"/>
              <w:rPr>
                <w:rStyle w:val="NormalCharacter"/>
                <w:rFonts w:ascii="宋体" w:eastAsia="宋体" w:hAnsi="宋体"/>
                <w:lang w:val="zh-CN"/>
              </w:rPr>
            </w:pPr>
          </w:p>
        </w:tc>
      </w:tr>
    </w:tbl>
    <w:p w:rsidR="00FD5EAB" w:rsidRDefault="00FD5EAB" w:rsidP="00AE6D7B">
      <w:pPr>
        <w:spacing w:line="20" w:lineRule="exact"/>
        <w:rPr>
          <w:rFonts w:hint="eastAsia"/>
        </w:rPr>
      </w:pPr>
    </w:p>
    <w:p w:rsidR="00836C14" w:rsidRDefault="00836C14" w:rsidP="00836C14">
      <w:pPr>
        <w:pStyle w:val="a0"/>
        <w:spacing w:before="156" w:after="156"/>
        <w:ind w:firstLine="240"/>
        <w:rPr>
          <w:rFonts w:asciiTheme="minorEastAsia" w:eastAsiaTheme="minorEastAsia" w:hAnsiTheme="minorEastAsia" w:cs="宋体" w:hint="eastAsia"/>
          <w:sz w:val="24"/>
          <w:lang w:val="zh-CN"/>
        </w:rPr>
      </w:pPr>
      <w:r>
        <w:rPr>
          <w:rFonts w:asciiTheme="minorEastAsia" w:eastAsiaTheme="minorEastAsia" w:hAnsiTheme="minorEastAsia" w:cs="宋体" w:hint="eastAsia"/>
          <w:sz w:val="24"/>
          <w:lang w:val="zh-CN"/>
        </w:rPr>
        <w:t xml:space="preserve">                                            </w:t>
      </w:r>
    </w:p>
    <w:p w:rsidR="00836C14" w:rsidRPr="00836C14" w:rsidRDefault="00836C14" w:rsidP="00836C14">
      <w:pPr>
        <w:pStyle w:val="a0"/>
        <w:spacing w:before="156" w:after="156"/>
        <w:ind w:firstLine="24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 xml:space="preserve">                                                    </w:t>
      </w:r>
      <w:r w:rsidRPr="00836C14">
        <w:rPr>
          <w:rFonts w:asciiTheme="minorEastAsia" w:eastAsiaTheme="minorEastAsia" w:hAnsiTheme="minorEastAsia" w:cs="宋体" w:hint="eastAsia"/>
          <w:sz w:val="24"/>
          <w:lang w:val="zh-CN"/>
        </w:rPr>
        <w:t>2020年5月14日</w:t>
      </w:r>
    </w:p>
    <w:sectPr w:rsidR="00836C14" w:rsidRPr="00836C14" w:rsidSect="00836C14">
      <w:footerReference w:type="default" r:id="rId8"/>
      <w:pgSz w:w="11906" w:h="16838"/>
      <w:pgMar w:top="851" w:right="1021" w:bottom="85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413" w:rsidRDefault="00F04413" w:rsidP="00AE6D7B">
      <w:r>
        <w:separator/>
      </w:r>
    </w:p>
  </w:endnote>
  <w:endnote w:type="continuationSeparator" w:id="0">
    <w:p w:rsidR="00F04413" w:rsidRDefault="00F04413" w:rsidP="00AE6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37452"/>
      <w:docPartObj>
        <w:docPartGallery w:val="Page Numbers (Bottom of Page)"/>
        <w:docPartUnique/>
      </w:docPartObj>
    </w:sdtPr>
    <w:sdtContent>
      <w:p w:rsidR="00AE6D7B" w:rsidRDefault="006418E9">
        <w:pPr>
          <w:pStyle w:val="a6"/>
          <w:jc w:val="center"/>
        </w:pPr>
        <w:fldSimple w:instr=" PAGE   \* MERGEFORMAT ">
          <w:r w:rsidR="00DF0AF4" w:rsidRPr="00DF0AF4">
            <w:rPr>
              <w:noProof/>
              <w:lang w:val="zh-CN"/>
            </w:rPr>
            <w:t>1</w:t>
          </w:r>
        </w:fldSimple>
      </w:p>
    </w:sdtContent>
  </w:sdt>
  <w:p w:rsidR="00AE6D7B" w:rsidRDefault="00AE6D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413" w:rsidRDefault="00F04413" w:rsidP="00AE6D7B">
      <w:r>
        <w:separator/>
      </w:r>
    </w:p>
  </w:footnote>
  <w:footnote w:type="continuationSeparator" w:id="0">
    <w:p w:rsidR="00F04413" w:rsidRDefault="00F04413" w:rsidP="00AE6D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3031FE2"/>
    <w:rsid w:val="003C72B9"/>
    <w:rsid w:val="006418E9"/>
    <w:rsid w:val="00836C14"/>
    <w:rsid w:val="00AE6D7B"/>
    <w:rsid w:val="00DF0AF4"/>
    <w:rsid w:val="00F04413"/>
    <w:rsid w:val="00FD5EAB"/>
    <w:rsid w:val="63031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D5EAB"/>
    <w:pPr>
      <w:jc w:val="both"/>
      <w:textAlignment w:val="baseline"/>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D5EAB"/>
    <w:pPr>
      <w:spacing w:beforeLines="50" w:afterLines="50" w:line="360" w:lineRule="auto"/>
      <w:ind w:firstLineChars="100" w:firstLine="420"/>
    </w:pPr>
  </w:style>
  <w:style w:type="paragraph" w:styleId="a4">
    <w:name w:val="Body Text"/>
    <w:basedOn w:val="a"/>
    <w:qFormat/>
    <w:rsid w:val="00FD5EAB"/>
    <w:pPr>
      <w:jc w:val="center"/>
    </w:pPr>
    <w:rPr>
      <w:sz w:val="72"/>
    </w:rPr>
  </w:style>
  <w:style w:type="character" w:customStyle="1" w:styleId="UserStyle5">
    <w:name w:val="UserStyle_5"/>
    <w:qFormat/>
    <w:rsid w:val="00FD5EAB"/>
    <w:rPr>
      <w:rFonts w:ascii="宋体" w:eastAsia="宋体" w:hAnsi="宋体"/>
      <w:color w:val="000000"/>
      <w:sz w:val="21"/>
      <w:szCs w:val="21"/>
    </w:rPr>
  </w:style>
  <w:style w:type="paragraph" w:customStyle="1" w:styleId="UserStyle24">
    <w:name w:val="UserStyle_24"/>
    <w:basedOn w:val="a"/>
    <w:qFormat/>
    <w:rsid w:val="00FD5EAB"/>
    <w:pPr>
      <w:spacing w:line="280" w:lineRule="atLeast"/>
      <w:ind w:firstLine="420"/>
    </w:pPr>
    <w:rPr>
      <w:rFonts w:ascii="宋体" w:hAnsi="宋体"/>
      <w:kern w:val="0"/>
      <w:sz w:val="24"/>
    </w:rPr>
  </w:style>
  <w:style w:type="character" w:customStyle="1" w:styleId="NormalCharacter">
    <w:name w:val="NormalCharacter"/>
    <w:uiPriority w:val="99"/>
    <w:qFormat/>
    <w:rsid w:val="00FD5EAB"/>
  </w:style>
  <w:style w:type="paragraph" w:customStyle="1" w:styleId="UserStyle20">
    <w:name w:val="UserStyle_20"/>
    <w:basedOn w:val="a"/>
    <w:qFormat/>
    <w:rsid w:val="00FD5EAB"/>
    <w:pPr>
      <w:spacing w:line="280" w:lineRule="atLeast"/>
    </w:pPr>
    <w:rPr>
      <w:rFonts w:ascii="宋体" w:hAnsi="宋体"/>
      <w:kern w:val="0"/>
      <w:sz w:val="24"/>
    </w:rPr>
  </w:style>
  <w:style w:type="paragraph" w:customStyle="1" w:styleId="UserStyle26">
    <w:name w:val="UserStyle_26"/>
    <w:basedOn w:val="a"/>
    <w:qFormat/>
    <w:rsid w:val="00FD5EAB"/>
    <w:pPr>
      <w:spacing w:line="280" w:lineRule="atLeast"/>
      <w:ind w:hanging="1140"/>
    </w:pPr>
    <w:rPr>
      <w:rFonts w:ascii="宋体" w:hAnsi="宋体"/>
      <w:kern w:val="0"/>
      <w:sz w:val="24"/>
    </w:rPr>
  </w:style>
  <w:style w:type="paragraph" w:customStyle="1" w:styleId="UserStyle11">
    <w:name w:val="UserStyle_11"/>
    <w:qFormat/>
    <w:rsid w:val="00FD5EAB"/>
    <w:pPr>
      <w:textAlignment w:val="baseline"/>
    </w:pPr>
    <w:rPr>
      <w:rFonts w:ascii="Calibri" w:eastAsia="Times New Roman" w:hAnsi="Calibri"/>
      <w:sz w:val="24"/>
      <w:szCs w:val="24"/>
    </w:rPr>
  </w:style>
  <w:style w:type="paragraph" w:customStyle="1" w:styleId="1">
    <w:name w:val="正文1"/>
    <w:qFormat/>
    <w:rsid w:val="00FD5EAB"/>
    <w:rPr>
      <w:rFonts w:eastAsia="Times New Roman"/>
      <w:sz w:val="24"/>
      <w:szCs w:val="24"/>
    </w:rPr>
  </w:style>
  <w:style w:type="paragraph" w:styleId="a5">
    <w:name w:val="header"/>
    <w:basedOn w:val="a"/>
    <w:link w:val="Char"/>
    <w:rsid w:val="00AE6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AE6D7B"/>
    <w:rPr>
      <w:rFonts w:ascii="Calibri" w:hAnsi="Calibri"/>
      <w:kern w:val="2"/>
      <w:sz w:val="18"/>
      <w:szCs w:val="18"/>
    </w:rPr>
  </w:style>
  <w:style w:type="paragraph" w:styleId="a6">
    <w:name w:val="footer"/>
    <w:basedOn w:val="a"/>
    <w:link w:val="Char0"/>
    <w:uiPriority w:val="99"/>
    <w:rsid w:val="00AE6D7B"/>
    <w:pPr>
      <w:tabs>
        <w:tab w:val="center" w:pos="4153"/>
        <w:tab w:val="right" w:pos="8306"/>
      </w:tabs>
      <w:snapToGrid w:val="0"/>
      <w:jc w:val="left"/>
    </w:pPr>
    <w:rPr>
      <w:sz w:val="18"/>
      <w:szCs w:val="18"/>
    </w:rPr>
  </w:style>
  <w:style w:type="character" w:customStyle="1" w:styleId="Char0">
    <w:name w:val="页脚 Char"/>
    <w:basedOn w:val="a1"/>
    <w:link w:val="a6"/>
    <w:uiPriority w:val="99"/>
    <w:rsid w:val="00AE6D7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B2D9A-C37B-4414-8488-9C5C461C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nnhx</dc:creator>
  <cp:lastModifiedBy>广西金水建设开发有限公司-苏宁</cp:lastModifiedBy>
  <cp:revision>4</cp:revision>
  <dcterms:created xsi:type="dcterms:W3CDTF">2020-05-13T09:28:00Z</dcterms:created>
  <dcterms:modified xsi:type="dcterms:W3CDTF">2020-05-14T00:41:00Z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