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4C" w:rsidRPr="004F2978" w:rsidRDefault="0015494C" w:rsidP="0015494C">
      <w:pPr>
        <w:pStyle w:val="a5"/>
        <w:ind w:firstLineChars="700" w:firstLine="2530"/>
        <w:outlineLvl w:val="0"/>
        <w:rPr>
          <w:rFonts w:ascii="Times New Roman" w:hAnsi="Times New Roman"/>
          <w:b/>
          <w:color w:val="auto"/>
          <w:sz w:val="36"/>
        </w:rPr>
      </w:pPr>
      <w:bookmarkStart w:id="0" w:name="_Toc26962680"/>
      <w:r w:rsidRPr="004F2978">
        <w:rPr>
          <w:rFonts w:ascii="Times New Roman" w:hAnsi="Times New Roman" w:hint="eastAsia"/>
          <w:b/>
          <w:color w:val="auto"/>
          <w:sz w:val="36"/>
        </w:rPr>
        <w:t>第二章项目需求一览表</w:t>
      </w:r>
      <w:bookmarkEnd w:id="0"/>
    </w:p>
    <w:p w:rsidR="0015494C" w:rsidRPr="004F2978" w:rsidRDefault="0015494C" w:rsidP="0015494C">
      <w:pPr>
        <w:spacing w:line="360" w:lineRule="exact"/>
        <w:rPr>
          <w:rFonts w:cs="宋体"/>
          <w:b/>
          <w:color w:val="auto"/>
          <w:kern w:val="1"/>
          <w:szCs w:val="21"/>
        </w:rPr>
      </w:pPr>
    </w:p>
    <w:p w:rsidR="0015494C" w:rsidRPr="004F2978" w:rsidRDefault="0015494C" w:rsidP="0015494C">
      <w:pPr>
        <w:spacing w:line="320" w:lineRule="exact"/>
        <w:rPr>
          <w:rFonts w:ascii="宋体" w:hAnsi="宋体" w:cs="宋体"/>
          <w:b/>
          <w:color w:val="auto"/>
          <w:kern w:val="1"/>
          <w:sz w:val="22"/>
          <w:szCs w:val="22"/>
        </w:rPr>
      </w:pPr>
      <w:r w:rsidRPr="004F2978">
        <w:rPr>
          <w:rFonts w:ascii="宋体" w:hAnsi="宋体" w:cs="宋体"/>
          <w:b/>
          <w:color w:val="auto"/>
          <w:kern w:val="1"/>
          <w:sz w:val="22"/>
          <w:szCs w:val="22"/>
        </w:rPr>
        <w:t>说明：</w:t>
      </w:r>
    </w:p>
    <w:p w:rsidR="0015494C" w:rsidRPr="004F2978" w:rsidRDefault="0015494C" w:rsidP="0015494C">
      <w:pPr>
        <w:spacing w:line="320" w:lineRule="exact"/>
        <w:ind w:firstLine="424"/>
        <w:jc w:val="left"/>
        <w:rPr>
          <w:rFonts w:ascii="宋体" w:hAnsi="宋体" w:cs="宋体"/>
          <w:color w:val="auto"/>
          <w:kern w:val="1"/>
          <w:sz w:val="22"/>
          <w:szCs w:val="22"/>
        </w:rPr>
      </w:pPr>
      <w:r w:rsidRPr="004F2978">
        <w:rPr>
          <w:rFonts w:ascii="宋体" w:hAnsi="宋体" w:cs="宋体"/>
          <w:color w:val="auto"/>
          <w:kern w:val="1"/>
          <w:sz w:val="22"/>
          <w:szCs w:val="22"/>
        </w:rPr>
        <w:t>1、本招标文件所称中小企业必须符合《政府采购促进中小企业发展暂行办法》第二条规定。</w:t>
      </w:r>
    </w:p>
    <w:p w:rsidR="0015494C" w:rsidRPr="004F2978" w:rsidRDefault="0015494C" w:rsidP="0015494C">
      <w:pPr>
        <w:spacing w:line="320" w:lineRule="exact"/>
        <w:ind w:firstLine="424"/>
        <w:jc w:val="left"/>
        <w:rPr>
          <w:rFonts w:ascii="宋体" w:hAnsi="宋体" w:cs="宋体"/>
          <w:color w:val="auto"/>
          <w:kern w:val="1"/>
          <w:sz w:val="22"/>
          <w:szCs w:val="22"/>
        </w:rPr>
      </w:pPr>
      <w:r w:rsidRPr="004F2978">
        <w:rPr>
          <w:rFonts w:ascii="宋体" w:hAnsi="宋体" w:cs="宋体"/>
          <w:color w:val="auto"/>
          <w:kern w:val="1"/>
          <w:sz w:val="22"/>
          <w:szCs w:val="22"/>
        </w:rPr>
        <w:t>2、小型、微型企业提供中型企业制造的货物的，视同为中型企业。</w:t>
      </w:r>
    </w:p>
    <w:p w:rsidR="0015494C" w:rsidRPr="004F2978" w:rsidRDefault="0015494C" w:rsidP="0015494C">
      <w:pPr>
        <w:spacing w:line="320" w:lineRule="exact"/>
        <w:ind w:firstLine="424"/>
        <w:jc w:val="left"/>
        <w:rPr>
          <w:rFonts w:ascii="宋体" w:hAnsi="宋体" w:cs="宋体"/>
          <w:color w:val="auto"/>
          <w:kern w:val="1"/>
          <w:sz w:val="22"/>
          <w:szCs w:val="22"/>
        </w:rPr>
      </w:pPr>
      <w:r w:rsidRPr="004F2978">
        <w:rPr>
          <w:rFonts w:ascii="宋体" w:hAnsi="宋体" w:cs="宋体"/>
          <w:color w:val="auto"/>
          <w:kern w:val="1"/>
          <w:sz w:val="22"/>
          <w:szCs w:val="22"/>
        </w:rPr>
        <w:t>3、小型、微型企业提供大型企业制造的货物的，视同为大型企业。</w:t>
      </w:r>
    </w:p>
    <w:p w:rsidR="0015494C" w:rsidRPr="004F2978" w:rsidRDefault="0015494C" w:rsidP="0015494C">
      <w:pPr>
        <w:spacing w:line="320" w:lineRule="exact"/>
        <w:ind w:firstLine="424"/>
        <w:jc w:val="left"/>
        <w:rPr>
          <w:rFonts w:ascii="宋体" w:hAnsi="宋体" w:cs="宋体"/>
          <w:color w:val="auto"/>
          <w:kern w:val="1"/>
          <w:sz w:val="22"/>
          <w:szCs w:val="22"/>
        </w:rPr>
      </w:pPr>
      <w:r w:rsidRPr="004F2978">
        <w:rPr>
          <w:rFonts w:ascii="宋体" w:hAnsi="宋体" w:cs="宋体"/>
          <w:color w:val="auto"/>
          <w:kern w:val="1"/>
          <w:sz w:val="22"/>
          <w:szCs w:val="22"/>
        </w:rPr>
        <w:t>4、按照《财政部、司法部关于政府采购支持监狱企业发展有关问题的通知》（财库〔2014</w:t>
      </w:r>
      <w:r w:rsidRPr="004F2978">
        <w:rPr>
          <w:rFonts w:ascii="宋体" w:hAnsi="宋体" w:cs="宋体" w:hint="eastAsia"/>
          <w:color w:val="auto"/>
          <w:kern w:val="1"/>
          <w:sz w:val="22"/>
          <w:szCs w:val="22"/>
        </w:rPr>
        <w:t>〕</w:t>
      </w:r>
      <w:r w:rsidRPr="004F2978">
        <w:rPr>
          <w:rFonts w:ascii="宋体" w:hAnsi="宋体" w:cs="宋体"/>
          <w:color w:val="auto"/>
          <w:kern w:val="1"/>
          <w:sz w:val="22"/>
          <w:szCs w:val="22"/>
        </w:rPr>
        <w:t>68号）的规定，监狱企业视同小型、微型企业。</w:t>
      </w:r>
    </w:p>
    <w:p w:rsidR="0015494C" w:rsidRPr="004F2978" w:rsidRDefault="0015494C" w:rsidP="0015494C">
      <w:pPr>
        <w:spacing w:line="320" w:lineRule="exact"/>
        <w:ind w:firstLine="424"/>
        <w:jc w:val="left"/>
        <w:rPr>
          <w:rFonts w:ascii="宋体" w:hAnsi="宋体" w:cs="宋体"/>
          <w:color w:val="auto"/>
          <w:kern w:val="1"/>
          <w:sz w:val="22"/>
          <w:szCs w:val="22"/>
        </w:rPr>
      </w:pPr>
      <w:r w:rsidRPr="004F2978">
        <w:rPr>
          <w:rFonts w:ascii="宋体" w:hAnsi="宋体" w:cs="宋体"/>
          <w:color w:val="auto"/>
          <w:kern w:val="1"/>
          <w:sz w:val="22"/>
          <w:szCs w:val="22"/>
        </w:rPr>
        <w:t>5、按照《关于促进残疾人就业政府采购政策的通知》（财库〔2017</w:t>
      </w:r>
      <w:r w:rsidRPr="004F2978">
        <w:rPr>
          <w:rFonts w:ascii="宋体" w:hAnsi="宋体" w:cs="宋体" w:hint="eastAsia"/>
          <w:color w:val="auto"/>
          <w:kern w:val="1"/>
          <w:sz w:val="22"/>
          <w:szCs w:val="22"/>
        </w:rPr>
        <w:t>〕</w:t>
      </w:r>
      <w:r w:rsidRPr="004F2978">
        <w:rPr>
          <w:rFonts w:ascii="宋体" w:hAnsi="宋体" w:cs="宋体"/>
          <w:color w:val="auto"/>
          <w:kern w:val="1"/>
          <w:sz w:val="22"/>
          <w:szCs w:val="22"/>
        </w:rPr>
        <w:t>141号）的规定，残疾人福利性单位视同小型、微型企业。残疾人福利性单位属于小型、微型企业的，不重复享受政策。</w:t>
      </w:r>
    </w:p>
    <w:p w:rsidR="0015494C" w:rsidRPr="004F2978" w:rsidRDefault="0015494C" w:rsidP="0015494C">
      <w:pPr>
        <w:spacing w:line="320" w:lineRule="exact"/>
        <w:ind w:firstLine="424"/>
        <w:jc w:val="left"/>
        <w:rPr>
          <w:rFonts w:ascii="宋体" w:hAnsi="宋体" w:cs="宋体"/>
          <w:color w:val="auto"/>
          <w:kern w:val="1"/>
          <w:sz w:val="22"/>
          <w:szCs w:val="22"/>
        </w:rPr>
      </w:pPr>
      <w:r w:rsidRPr="004F2978">
        <w:rPr>
          <w:rFonts w:ascii="宋体" w:hAnsi="宋体" w:cs="宋体"/>
          <w:color w:val="auto"/>
          <w:kern w:val="1"/>
          <w:sz w:val="22"/>
          <w:szCs w:val="22"/>
        </w:rPr>
        <w:t>6、小型和微型企业产品的价格给予6%-10%的扣除，用扣除后的价格参与评审，具体扣除比例请以第</w:t>
      </w:r>
      <w:r w:rsidRPr="004F2978">
        <w:rPr>
          <w:rFonts w:ascii="宋体" w:hAnsi="宋体" w:cs="宋体" w:hint="eastAsia"/>
          <w:color w:val="auto"/>
          <w:kern w:val="1"/>
          <w:sz w:val="22"/>
          <w:szCs w:val="22"/>
        </w:rPr>
        <w:t>三</w:t>
      </w:r>
      <w:r w:rsidRPr="004F2978">
        <w:rPr>
          <w:rFonts w:ascii="宋体" w:hAnsi="宋体" w:cs="宋体"/>
          <w:color w:val="auto"/>
          <w:kern w:val="1"/>
          <w:sz w:val="22"/>
          <w:szCs w:val="22"/>
        </w:rPr>
        <w:t>章《评标</w:t>
      </w:r>
      <w:r w:rsidRPr="004F2978">
        <w:rPr>
          <w:rFonts w:ascii="宋体" w:hAnsi="宋体" w:cs="宋体" w:hint="eastAsia"/>
          <w:color w:val="auto"/>
          <w:kern w:val="1"/>
          <w:sz w:val="22"/>
          <w:szCs w:val="22"/>
        </w:rPr>
        <w:t>方</w:t>
      </w:r>
      <w:r w:rsidRPr="004F2978">
        <w:rPr>
          <w:rFonts w:ascii="宋体" w:hAnsi="宋体" w:cs="宋体"/>
          <w:color w:val="auto"/>
          <w:kern w:val="1"/>
          <w:sz w:val="22"/>
          <w:szCs w:val="22"/>
        </w:rPr>
        <w:t>法》的规定为准。</w:t>
      </w:r>
    </w:p>
    <w:p w:rsidR="0015494C" w:rsidRPr="004F2978" w:rsidRDefault="0015494C" w:rsidP="0015494C">
      <w:pPr>
        <w:spacing w:line="320" w:lineRule="exact"/>
        <w:ind w:firstLineChars="196" w:firstLine="431"/>
        <w:jc w:val="left"/>
        <w:rPr>
          <w:rFonts w:ascii="宋体" w:hAnsi="宋体" w:cs="宋体"/>
          <w:color w:val="auto"/>
          <w:kern w:val="1"/>
          <w:sz w:val="22"/>
          <w:szCs w:val="22"/>
        </w:rPr>
      </w:pPr>
      <w:r w:rsidRPr="004F2978">
        <w:rPr>
          <w:rFonts w:ascii="宋体" w:hAnsi="宋体" w:cs="宋体"/>
          <w:color w:val="auto"/>
          <w:kern w:val="1"/>
          <w:sz w:val="22"/>
          <w:szCs w:val="22"/>
        </w:rPr>
        <w:t>7</w:t>
      </w:r>
      <w:r w:rsidRPr="004F2978">
        <w:rPr>
          <w:rFonts w:ascii="宋体" w:hAnsi="宋体" w:cs="宋体" w:hint="eastAsia"/>
          <w:color w:val="auto"/>
          <w:kern w:val="1"/>
          <w:sz w:val="22"/>
          <w:szCs w:val="22"/>
        </w:rPr>
        <w:t>、</w:t>
      </w:r>
      <w:r w:rsidRPr="004F2978">
        <w:rPr>
          <w:rFonts w:ascii="宋体" w:hAnsi="宋体" w:cs="宋体"/>
          <w:color w:val="auto"/>
          <w:kern w:val="1"/>
          <w:sz w:val="22"/>
          <w:szCs w:val="22"/>
          <w:u w:val="single"/>
        </w:rPr>
        <w:t>根据财库〔2019</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9号及财库〔2019</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]，专用制冷、空调设备（机房空调），镇流器（管型荧光灯镇流器），空调机[房间空气调节器、多联式空调（热泵）机组（制冷量</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14000W）、单元式空气调节机（制冷量</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14000W</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电热水器，普通照明用双端荧光灯，电视设备[普通电视设备（电视机）]，视频设备（视频监控设备、监视器），便器（坐便器、蹲便器、小便器），水嘴均为节能产品(政府采购品目清单内标注“★”的品目)，属于政府强制采购节能产品</w:t>
      </w:r>
      <w:r w:rsidRPr="004F2978">
        <w:rPr>
          <w:rFonts w:ascii="宋体" w:hAnsi="宋体" w:cs="宋体" w:hint="eastAsia"/>
          <w:color w:val="auto"/>
          <w:kern w:val="1"/>
          <w:sz w:val="22"/>
          <w:szCs w:val="22"/>
          <w:u w:val="single"/>
        </w:rPr>
        <w:t>。</w:t>
      </w:r>
      <w:r w:rsidRPr="004F2978">
        <w:rPr>
          <w:rFonts w:ascii="宋体" w:hAnsi="宋体" w:cs="宋体"/>
          <w:color w:val="auto"/>
          <w:kern w:val="1"/>
          <w:sz w:val="22"/>
          <w:szCs w:val="22"/>
          <w:u w:val="single"/>
        </w:rPr>
        <w:t>若采购货物属于以上品目列表的产品时，供应商的投标货物必须使用政府强制采购的节能产品，供应商必须在投标文件中提供由国家确定的认证机构出具的处于有效期之内的节能产品认证证书复印件（加盖供应商公章），否则相应投标无效</w:t>
      </w:r>
      <w:r w:rsidRPr="004F2978">
        <w:rPr>
          <w:rFonts w:ascii="宋体" w:hAnsi="宋体" w:cs="宋体" w:hint="eastAsia"/>
          <w:color w:val="auto"/>
          <w:kern w:val="1"/>
          <w:sz w:val="22"/>
          <w:szCs w:val="22"/>
          <w:u w:val="single"/>
        </w:rPr>
        <w:t>。</w:t>
      </w:r>
    </w:p>
    <w:p w:rsidR="0015494C" w:rsidRPr="004F2978" w:rsidRDefault="0015494C" w:rsidP="0015494C">
      <w:pPr>
        <w:spacing w:line="320" w:lineRule="exact"/>
        <w:ind w:firstLine="420"/>
        <w:rPr>
          <w:rFonts w:ascii="宋体" w:hAnsi="宋体" w:cs="宋体"/>
          <w:color w:val="auto"/>
          <w:kern w:val="1"/>
          <w:sz w:val="22"/>
          <w:szCs w:val="22"/>
        </w:rPr>
      </w:pPr>
      <w:r w:rsidRPr="004F2978">
        <w:rPr>
          <w:rFonts w:ascii="宋体" w:hAnsi="宋体" w:cs="宋体"/>
          <w:color w:val="auto"/>
          <w:kern w:val="1"/>
          <w:sz w:val="22"/>
          <w:szCs w:val="22"/>
        </w:rPr>
        <w:t>8、本采购需求中参考品牌、型号及技术参数性能（配置）不明确或有误的，或投标人选用其他品牌型号替代的，请说明品牌型号和详细的技术参数性能（配置）同时填写投标明细表和技术响应表。</w:t>
      </w:r>
    </w:p>
    <w:p w:rsidR="0015494C" w:rsidRPr="004F2978" w:rsidRDefault="0015494C" w:rsidP="0015494C">
      <w:pPr>
        <w:spacing w:line="320" w:lineRule="exact"/>
        <w:ind w:firstLine="420"/>
        <w:rPr>
          <w:rFonts w:ascii="宋体" w:hAnsi="宋体" w:cs="宋体"/>
          <w:color w:val="auto"/>
          <w:kern w:val="1"/>
          <w:sz w:val="22"/>
          <w:szCs w:val="22"/>
        </w:rPr>
      </w:pPr>
      <w:r w:rsidRPr="004F2978">
        <w:rPr>
          <w:rFonts w:ascii="宋体" w:hAnsi="宋体" w:cs="宋体"/>
          <w:color w:val="auto"/>
          <w:kern w:val="1"/>
          <w:sz w:val="22"/>
          <w:szCs w:val="22"/>
        </w:rPr>
        <w:t>9</w:t>
      </w:r>
      <w:r w:rsidRPr="004F2978">
        <w:rPr>
          <w:rFonts w:ascii="宋体" w:hAnsi="宋体" w:cs="宋体" w:hint="eastAsia"/>
          <w:color w:val="auto"/>
          <w:kern w:val="1"/>
          <w:sz w:val="22"/>
          <w:szCs w:val="22"/>
        </w:rPr>
        <w:t>、本</w:t>
      </w:r>
      <w:r w:rsidRPr="004F2978">
        <w:rPr>
          <w:rFonts w:ascii="宋体" w:hAnsi="宋体" w:cs="宋体"/>
          <w:color w:val="auto"/>
          <w:kern w:val="1"/>
          <w:sz w:val="22"/>
          <w:szCs w:val="22"/>
        </w:rPr>
        <w:t>项目货物一览表中标注</w:t>
      </w:r>
      <w:r w:rsidRPr="004F2978">
        <w:rPr>
          <w:rFonts w:ascii="宋体" w:hAnsi="宋体" w:cs="宋体" w:hint="eastAsia"/>
          <w:color w:val="auto"/>
          <w:kern w:val="1"/>
          <w:sz w:val="22"/>
          <w:szCs w:val="22"/>
        </w:rPr>
        <w:t>“▲”</w:t>
      </w:r>
      <w:r w:rsidRPr="004F2978">
        <w:rPr>
          <w:rFonts w:ascii="宋体" w:hAnsi="宋体" w:cs="宋体"/>
          <w:color w:val="auto"/>
          <w:kern w:val="1"/>
          <w:sz w:val="22"/>
          <w:szCs w:val="22"/>
        </w:rPr>
        <w:t>号的内容为实质性要求和条件，必须满足或优于，否则投标无效。</w:t>
      </w:r>
    </w:p>
    <w:p w:rsidR="0015494C" w:rsidRPr="004F2978" w:rsidRDefault="0015494C" w:rsidP="0015494C">
      <w:pPr>
        <w:spacing w:line="320" w:lineRule="exact"/>
        <w:ind w:firstLine="420"/>
        <w:rPr>
          <w:rFonts w:ascii="宋体" w:hAnsi="宋体" w:cs="宋体"/>
          <w:color w:val="auto"/>
          <w:kern w:val="1"/>
          <w:sz w:val="22"/>
          <w:szCs w:val="22"/>
        </w:rPr>
      </w:pPr>
      <w:r w:rsidRPr="004F2978">
        <w:rPr>
          <w:rFonts w:ascii="宋体" w:hAnsi="宋体" w:cs="宋体"/>
          <w:color w:val="auto"/>
          <w:kern w:val="1"/>
          <w:sz w:val="22"/>
          <w:szCs w:val="22"/>
        </w:rPr>
        <w:t>10</w:t>
      </w:r>
      <w:r w:rsidRPr="004F2978">
        <w:rPr>
          <w:rFonts w:ascii="宋体" w:hAnsi="宋体" w:cs="宋体" w:hint="eastAsia"/>
          <w:color w:val="auto"/>
          <w:kern w:val="1"/>
          <w:sz w:val="22"/>
          <w:szCs w:val="22"/>
        </w:rPr>
        <w:t>、</w:t>
      </w:r>
      <w:r w:rsidRPr="004F2978">
        <w:rPr>
          <w:rFonts w:ascii="宋体" w:hAnsi="宋体" w:cs="宋体"/>
          <w:color w:val="auto"/>
          <w:kern w:val="1"/>
          <w:sz w:val="22"/>
          <w:szCs w:val="22"/>
        </w:rPr>
        <w:t>项目采购需求具有国家或其他强制性标准、规范等要求的，投标文件中必须提供相关强制性认证数据。</w:t>
      </w:r>
    </w:p>
    <w:p w:rsidR="0015494C" w:rsidRPr="004F2978" w:rsidRDefault="0015494C" w:rsidP="0015494C">
      <w:pPr>
        <w:spacing w:line="320" w:lineRule="exact"/>
        <w:ind w:firstLine="420"/>
        <w:rPr>
          <w:rFonts w:ascii="宋体" w:hAnsi="宋体" w:cs="宋体"/>
          <w:color w:val="auto"/>
          <w:kern w:val="1"/>
          <w:sz w:val="22"/>
          <w:szCs w:val="22"/>
        </w:rPr>
      </w:pPr>
      <w:r w:rsidRPr="004F2978">
        <w:rPr>
          <w:rFonts w:ascii="宋体" w:hAnsi="宋体" w:cs="宋体"/>
          <w:color w:val="auto"/>
          <w:kern w:val="1"/>
          <w:sz w:val="22"/>
          <w:szCs w:val="22"/>
        </w:rPr>
        <w:t>11</w:t>
      </w:r>
      <w:r w:rsidRPr="004F2978">
        <w:rPr>
          <w:rFonts w:ascii="宋体" w:hAnsi="宋体" w:cs="宋体" w:hint="eastAsia"/>
          <w:color w:val="auto"/>
          <w:kern w:val="1"/>
          <w:sz w:val="22"/>
          <w:szCs w:val="22"/>
        </w:rPr>
        <w:t>、本</w:t>
      </w:r>
      <w:r w:rsidRPr="004F2978">
        <w:rPr>
          <w:rFonts w:ascii="宋体" w:hAnsi="宋体" w:cs="宋体"/>
          <w:color w:val="auto"/>
          <w:kern w:val="1"/>
          <w:sz w:val="22"/>
          <w:szCs w:val="22"/>
        </w:rPr>
        <w:t>项目货物一览表中内容如与第六章“合同条款及格式”相关条款不一致的，以本表为准。</w:t>
      </w:r>
    </w:p>
    <w:p w:rsidR="0015494C" w:rsidRPr="004F2978" w:rsidRDefault="0015494C" w:rsidP="0015494C">
      <w:pPr>
        <w:widowControl/>
        <w:spacing w:line="240" w:lineRule="auto"/>
        <w:jc w:val="left"/>
        <w:rPr>
          <w:b/>
          <w:color w:val="auto"/>
          <w:sz w:val="36"/>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865"/>
        <w:gridCol w:w="1052"/>
        <w:gridCol w:w="636"/>
        <w:gridCol w:w="4600"/>
        <w:gridCol w:w="1266"/>
      </w:tblGrid>
      <w:tr w:rsidR="0015494C" w:rsidRPr="004F2978" w:rsidTr="005F1C2D">
        <w:trPr>
          <w:trHeight w:val="455"/>
          <w:jc w:val="center"/>
        </w:trPr>
        <w:tc>
          <w:tcPr>
            <w:tcW w:w="5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项号</w:t>
            </w:r>
          </w:p>
        </w:tc>
        <w:tc>
          <w:tcPr>
            <w:tcW w:w="655"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货物名称</w:t>
            </w:r>
          </w:p>
        </w:tc>
        <w:tc>
          <w:tcPr>
            <w:tcW w:w="40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数量</w:t>
            </w:r>
          </w:p>
        </w:tc>
        <w:tc>
          <w:tcPr>
            <w:tcW w:w="277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技术参数要求</w:t>
            </w:r>
          </w:p>
        </w:tc>
        <w:tc>
          <w:tcPr>
            <w:tcW w:w="631"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分项预算合价（元）</w:t>
            </w:r>
          </w:p>
        </w:tc>
      </w:tr>
      <w:tr w:rsidR="0015494C" w:rsidRPr="004F2978" w:rsidTr="005F1C2D">
        <w:trPr>
          <w:jc w:val="center"/>
        </w:trPr>
        <w:tc>
          <w:tcPr>
            <w:tcW w:w="544"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1</w:t>
            </w:r>
          </w:p>
        </w:tc>
        <w:tc>
          <w:tcPr>
            <w:tcW w:w="655"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left"/>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350兆</w:t>
            </w:r>
            <w:r w:rsidRPr="004F2978">
              <w:rPr>
                <w:rFonts w:asciiTheme="minorEastAsia" w:eastAsiaTheme="minorEastAsia" w:hAnsiTheme="minorEastAsia" w:cs="宋体" w:hint="eastAsia"/>
                <w:color w:val="auto"/>
                <w:kern w:val="1"/>
                <w:szCs w:val="21"/>
              </w:rPr>
              <w:lastRenderedPageBreak/>
              <w:t>PDT数字集群对讲机</w:t>
            </w:r>
          </w:p>
        </w:tc>
        <w:tc>
          <w:tcPr>
            <w:tcW w:w="40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lastRenderedPageBreak/>
              <w:t>700</w:t>
            </w:r>
            <w:r w:rsidRPr="004F2978">
              <w:rPr>
                <w:rFonts w:asciiTheme="minorEastAsia" w:eastAsiaTheme="minorEastAsia" w:hAnsiTheme="minorEastAsia" w:cs="宋体" w:hint="eastAsia"/>
                <w:color w:val="auto"/>
                <w:kern w:val="1"/>
                <w:szCs w:val="21"/>
              </w:rPr>
              <w:lastRenderedPageBreak/>
              <w:t>台</w:t>
            </w:r>
          </w:p>
        </w:tc>
        <w:tc>
          <w:tcPr>
            <w:tcW w:w="277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lastRenderedPageBreak/>
              <w:t>1、手持机应具有工业和信息化部无线电管理局</w:t>
            </w:r>
            <w:r w:rsidRPr="004F2978">
              <w:rPr>
                <w:rFonts w:asciiTheme="minorEastAsia" w:eastAsiaTheme="minorEastAsia" w:hAnsiTheme="minorEastAsia" w:cs="宋体" w:hint="eastAsia"/>
                <w:color w:val="auto"/>
                <w:kern w:val="1"/>
                <w:szCs w:val="21"/>
              </w:rPr>
              <w:lastRenderedPageBreak/>
              <w:t>颁发的无线电发射设备型号核准证，投标文件中提供核准证复印件并加盖投标人公章；</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▲2、投标文件中提供国家认可的第三方检测机构出具的国家军用标准GJB150A-2009涉及防震、耐高低温等环境检测报告复印件并加盖投标人公章；</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▲3、具有数字集群、模拟集群、数字常规、模拟常规在网使用功能，要求在满足PDT数字集群系统下所有功能的同时，也要满足原有模拟集群、模拟常规系统环境下的使用；</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4、防护等级≥IP67；</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5、投标文件中提供国家级检测中心出具的电磁兼容检测报告复印件并加盖投标人公章；</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▲6、彩色显示屏，屏幕尺寸≥1.8英寸；</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7、对讲机整机重量（带标配电池和天线）≤450克；</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8、对讲机组呼容量≥1024，组群数量≥64；</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9、对讲机收件箱可存储短消息数量≥50条，每条短消息≥500个汉字；（投标文件中提供国家认可的第三方检测机构出具的检测报告复印件并加盖投标人公章）</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10、支持通过数字键加菜单键组合的方式快速选择值守工作组、查看当前基站、切换基站、查看个呼身份号、切换高低功率、开关灯、快速切换集群和常规模式等；</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11、终端须支持PDT系统控制中心下发的空口读频和写频指令，远程读取和写入对讲机的频率、组属性、用户信息、功率设置等相关参数；</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▲12、内置北斗和GPS双模卫星接收模块，能够</w:t>
            </w:r>
            <w:r w:rsidRPr="004F2978">
              <w:rPr>
                <w:rFonts w:asciiTheme="minorEastAsia" w:eastAsiaTheme="minorEastAsia" w:hAnsiTheme="minorEastAsia" w:cs="宋体" w:hint="eastAsia"/>
                <w:color w:val="auto"/>
                <w:kern w:val="1"/>
                <w:szCs w:val="21"/>
              </w:rPr>
              <w:lastRenderedPageBreak/>
              <w:t>实现卫星定位功能，待机和通话时均可上传卫星定位位置信息，可以关闭或拆除GPS定位模块；</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▲13、配备大容量锂电池（不小于2000</w:t>
            </w:r>
            <w:r w:rsidRPr="004F2978">
              <w:rPr>
                <w:rFonts w:asciiTheme="minorEastAsia" w:eastAsiaTheme="minorEastAsia" w:hAnsiTheme="minorEastAsia" w:cs="宋体"/>
                <w:color w:val="auto"/>
                <w:kern w:val="1"/>
                <w:szCs w:val="21"/>
              </w:rPr>
              <w:t>Mah</w:t>
            </w:r>
            <w:r w:rsidRPr="004F2978">
              <w:rPr>
                <w:rFonts w:asciiTheme="minorEastAsia" w:eastAsiaTheme="minorEastAsia" w:hAnsiTheme="minorEastAsia" w:cs="宋体" w:hint="eastAsia"/>
                <w:color w:val="auto"/>
                <w:kern w:val="1"/>
                <w:szCs w:val="21"/>
              </w:rPr>
              <w:t>）2块，每块电池均配有背夹，配套座式充电器、皮带夹、天线等附件；</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14、提供手咪、肩咪等多种外接设备接口；</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w:t>
            </w:r>
            <w:r w:rsidRPr="004F2978">
              <w:rPr>
                <w:rFonts w:asciiTheme="minorEastAsia" w:eastAsiaTheme="minorEastAsia" w:hAnsiTheme="minorEastAsia" w:cs="宋体"/>
                <w:color w:val="auto"/>
                <w:kern w:val="1"/>
                <w:szCs w:val="21"/>
              </w:rPr>
              <w:t>5</w:t>
            </w:r>
            <w:r w:rsidRPr="004F2978">
              <w:rPr>
                <w:rFonts w:asciiTheme="minorEastAsia" w:eastAsiaTheme="minorEastAsia" w:hAnsiTheme="minorEastAsia" w:cs="宋体" w:hint="eastAsia"/>
                <w:color w:val="auto"/>
                <w:kern w:val="1"/>
                <w:szCs w:val="21"/>
              </w:rPr>
              <w:t>、频率范围:350MHz-400MHz；</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w:t>
            </w:r>
            <w:r w:rsidRPr="004F2978">
              <w:rPr>
                <w:rFonts w:asciiTheme="minorEastAsia" w:eastAsiaTheme="minorEastAsia" w:hAnsiTheme="minorEastAsia" w:cs="宋体"/>
                <w:color w:val="auto"/>
                <w:kern w:val="1"/>
                <w:szCs w:val="21"/>
              </w:rPr>
              <w:t>6</w:t>
            </w:r>
            <w:r w:rsidRPr="004F2978">
              <w:rPr>
                <w:rFonts w:asciiTheme="minorEastAsia" w:eastAsiaTheme="minorEastAsia" w:hAnsiTheme="minorEastAsia" w:cs="宋体" w:hint="eastAsia"/>
                <w:color w:val="auto"/>
                <w:kern w:val="1"/>
                <w:szCs w:val="21"/>
              </w:rPr>
              <w:t>、信道间隔:12.5kHz/25kHz；</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w:t>
            </w:r>
            <w:r w:rsidRPr="004F2978">
              <w:rPr>
                <w:rFonts w:asciiTheme="minorEastAsia" w:eastAsiaTheme="minorEastAsia" w:hAnsiTheme="minorEastAsia" w:cs="宋体"/>
                <w:color w:val="auto"/>
                <w:kern w:val="1"/>
                <w:szCs w:val="21"/>
              </w:rPr>
              <w:t>7</w:t>
            </w:r>
            <w:r w:rsidRPr="004F2978">
              <w:rPr>
                <w:rFonts w:asciiTheme="minorEastAsia" w:eastAsiaTheme="minorEastAsia" w:hAnsiTheme="minorEastAsia" w:cs="宋体" w:hint="eastAsia"/>
                <w:color w:val="auto"/>
                <w:kern w:val="1"/>
                <w:szCs w:val="21"/>
              </w:rPr>
              <w:t>、输出功率：1W/4W；</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18</w:t>
            </w:r>
            <w:r w:rsidRPr="004F2978">
              <w:rPr>
                <w:rFonts w:asciiTheme="minorEastAsia" w:eastAsiaTheme="minorEastAsia" w:hAnsiTheme="minorEastAsia" w:cs="宋体" w:hint="eastAsia"/>
                <w:color w:val="auto"/>
                <w:kern w:val="1"/>
                <w:szCs w:val="21"/>
              </w:rPr>
              <w:t>、频率误差：≤0.5*10-6；</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19</w:t>
            </w:r>
            <w:r w:rsidRPr="004F2978">
              <w:rPr>
                <w:rFonts w:asciiTheme="minorEastAsia" w:eastAsiaTheme="minorEastAsia" w:hAnsiTheme="minorEastAsia" w:cs="宋体" w:hint="eastAsia"/>
                <w:color w:val="auto"/>
                <w:kern w:val="1"/>
                <w:szCs w:val="21"/>
              </w:rPr>
              <w:t>、数字接收灵敏度：≤-116dBm（误码率为5%时）；</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20</w:t>
            </w:r>
            <w:r w:rsidRPr="004F2978">
              <w:rPr>
                <w:rFonts w:asciiTheme="minorEastAsia" w:eastAsiaTheme="minorEastAsia" w:hAnsiTheme="minorEastAsia" w:cs="宋体" w:hint="eastAsia"/>
                <w:color w:val="auto"/>
                <w:kern w:val="1"/>
                <w:szCs w:val="21"/>
              </w:rPr>
              <w:t>、4FSK发射误码率：≤1*10-4；</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、邻近信道功率：60dB @ 12.5KHz，70dB @ 25KHz；</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、传导/辐射发射：＜1GHz:-36dBm，＞1GHz:-30dBm；</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3</w:t>
            </w:r>
            <w:r w:rsidRPr="004F2978">
              <w:rPr>
                <w:rFonts w:asciiTheme="minorEastAsia" w:eastAsiaTheme="minorEastAsia" w:hAnsiTheme="minorEastAsia" w:cs="宋体" w:hint="eastAsia"/>
                <w:color w:val="auto"/>
                <w:kern w:val="1"/>
                <w:szCs w:val="21"/>
              </w:rPr>
              <w:t>、FM交流声与噪声：-40dB @ 12.5KHz， -45dB @ 25KHz；</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4</w:t>
            </w:r>
            <w:r w:rsidRPr="004F2978">
              <w:rPr>
                <w:rFonts w:asciiTheme="minorEastAsia" w:eastAsiaTheme="minorEastAsia" w:hAnsiTheme="minorEastAsia" w:cs="宋体" w:hint="eastAsia"/>
                <w:color w:val="auto"/>
                <w:kern w:val="1"/>
                <w:szCs w:val="21"/>
              </w:rPr>
              <w:t>、信道间隔：12.5/25kHz，频率稳定度：±0.5ppm；</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5</w:t>
            </w:r>
            <w:r w:rsidRPr="004F2978">
              <w:rPr>
                <w:rFonts w:asciiTheme="minorEastAsia" w:eastAsiaTheme="minorEastAsia" w:hAnsiTheme="minorEastAsia" w:cs="宋体" w:hint="eastAsia"/>
                <w:color w:val="auto"/>
                <w:kern w:val="1"/>
                <w:szCs w:val="21"/>
              </w:rPr>
              <w:t>、杂散响应抗干扰度：≥85dB；</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6</w:t>
            </w:r>
            <w:r w:rsidRPr="004F2978">
              <w:rPr>
                <w:rFonts w:asciiTheme="minorEastAsia" w:eastAsiaTheme="minorEastAsia" w:hAnsiTheme="minorEastAsia" w:cs="宋体" w:hint="eastAsia"/>
                <w:color w:val="auto"/>
                <w:kern w:val="1"/>
                <w:szCs w:val="21"/>
              </w:rPr>
              <w:t>、额定音频：0.5W；</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w:t>
            </w:r>
            <w:r w:rsidRPr="004F2978">
              <w:rPr>
                <w:rFonts w:asciiTheme="minorEastAsia" w:eastAsiaTheme="minorEastAsia" w:hAnsiTheme="minorEastAsia" w:cs="宋体"/>
                <w:color w:val="auto"/>
                <w:kern w:val="1"/>
                <w:szCs w:val="21"/>
              </w:rPr>
              <w:t>7</w:t>
            </w:r>
            <w:r w:rsidRPr="004F2978">
              <w:rPr>
                <w:rFonts w:asciiTheme="minorEastAsia" w:eastAsiaTheme="minorEastAsia" w:hAnsiTheme="minorEastAsia" w:cs="宋体" w:hint="eastAsia"/>
                <w:color w:val="auto"/>
                <w:kern w:val="1"/>
                <w:szCs w:val="21"/>
              </w:rPr>
              <w:t>、交流声与噪声：-40dB @ 12.5KHz，-45dB @ 25KHz；</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28</w:t>
            </w:r>
            <w:r w:rsidRPr="004F2978">
              <w:rPr>
                <w:rFonts w:asciiTheme="minorEastAsia" w:eastAsiaTheme="minorEastAsia" w:hAnsiTheme="minorEastAsia" w:cs="宋体" w:hint="eastAsia"/>
                <w:color w:val="auto"/>
                <w:kern w:val="1"/>
                <w:szCs w:val="21"/>
              </w:rPr>
              <w:t>、传导杂散辐射：-57dBm；</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29</w:t>
            </w:r>
            <w:r w:rsidRPr="004F2978">
              <w:rPr>
                <w:rFonts w:asciiTheme="minorEastAsia" w:eastAsiaTheme="minorEastAsia" w:hAnsiTheme="minorEastAsia" w:cs="宋体" w:hint="eastAsia"/>
                <w:color w:val="auto"/>
                <w:kern w:val="1"/>
                <w:szCs w:val="21"/>
              </w:rPr>
              <w:t>、TTFF 首次定位冷启动：&lt;1分钟；TTFF 首次定位热启动：&lt;10秒；</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30</w:t>
            </w:r>
            <w:r w:rsidRPr="004F2978">
              <w:rPr>
                <w:rFonts w:asciiTheme="minorEastAsia" w:eastAsiaTheme="minorEastAsia" w:hAnsiTheme="minorEastAsia" w:cs="宋体" w:hint="eastAsia"/>
                <w:color w:val="auto"/>
                <w:kern w:val="1"/>
                <w:szCs w:val="21"/>
              </w:rPr>
              <w:t>、水平定位精度：≤5米；</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lastRenderedPageBreak/>
              <w:t>3</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、工作温度：-30℃～ +50℃；</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、存放温度：-40℃～ +75℃；</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3</w:t>
            </w:r>
            <w:r w:rsidRPr="004F2978">
              <w:rPr>
                <w:rFonts w:asciiTheme="minorEastAsia" w:eastAsiaTheme="minorEastAsia" w:hAnsiTheme="minorEastAsia" w:cs="宋体" w:hint="eastAsia"/>
                <w:color w:val="auto"/>
                <w:kern w:val="1"/>
                <w:szCs w:val="21"/>
              </w:rPr>
              <w:t>、支持NVOC声码器；</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4</w:t>
            </w:r>
            <w:r w:rsidRPr="004F2978">
              <w:rPr>
                <w:rFonts w:asciiTheme="minorEastAsia" w:eastAsiaTheme="minorEastAsia" w:hAnsiTheme="minorEastAsia" w:cs="宋体" w:hint="eastAsia"/>
                <w:color w:val="auto"/>
                <w:kern w:val="1"/>
                <w:szCs w:val="21"/>
              </w:rPr>
              <w:t>、投标产品必须能够接入南宁市公安局350兆PDT数字集群对讲机系统，满足其使用；</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35</w:t>
            </w:r>
            <w:r w:rsidRPr="004F2978">
              <w:rPr>
                <w:rFonts w:asciiTheme="minorEastAsia" w:eastAsiaTheme="minorEastAsia" w:hAnsiTheme="minorEastAsia" w:cs="宋体" w:hint="eastAsia"/>
                <w:color w:val="auto"/>
                <w:kern w:val="1"/>
                <w:szCs w:val="21"/>
              </w:rPr>
              <w:t>、为每台3</w:t>
            </w:r>
            <w:r w:rsidRPr="004F2978">
              <w:rPr>
                <w:rFonts w:asciiTheme="minorEastAsia" w:eastAsiaTheme="minorEastAsia" w:hAnsiTheme="minorEastAsia" w:cs="宋体"/>
                <w:color w:val="auto"/>
                <w:kern w:val="1"/>
                <w:szCs w:val="21"/>
              </w:rPr>
              <w:t>50</w:t>
            </w:r>
            <w:r w:rsidRPr="004F2978">
              <w:rPr>
                <w:rFonts w:asciiTheme="minorEastAsia" w:eastAsiaTheme="minorEastAsia" w:hAnsiTheme="minorEastAsia" w:cs="宋体" w:hint="eastAsia"/>
                <w:color w:val="auto"/>
                <w:kern w:val="1"/>
                <w:szCs w:val="21"/>
              </w:rPr>
              <w:t>兆</w:t>
            </w:r>
            <w:r w:rsidRPr="004F2978">
              <w:rPr>
                <w:rFonts w:asciiTheme="minorEastAsia" w:eastAsiaTheme="minorEastAsia" w:hAnsiTheme="minorEastAsia" w:cs="宋体"/>
                <w:color w:val="auto"/>
                <w:kern w:val="1"/>
                <w:szCs w:val="21"/>
              </w:rPr>
              <w:t>PDT</w:t>
            </w:r>
            <w:r w:rsidRPr="004F2978">
              <w:rPr>
                <w:rFonts w:asciiTheme="minorEastAsia" w:eastAsiaTheme="minorEastAsia" w:hAnsiTheme="minorEastAsia" w:cs="宋体" w:hint="eastAsia"/>
                <w:color w:val="auto"/>
                <w:kern w:val="1"/>
                <w:szCs w:val="21"/>
              </w:rPr>
              <w:t>数字集群对讲机提供一个端到端加密USB key(PDT终端加密卡)，其包含功能如下：</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①使用国家密码管理局认可的商用密码算法，作为专用的安全硬件模块生成、存储和使用鉴权及端到端加密主密钥；</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②密码芯片具有自主知识产权；加密处理性能≥200Mb/s；</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③可支持不少于100个加密通话组；</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④接口响应时间不大于30ms。</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6</w:t>
            </w:r>
            <w:r w:rsidRPr="004F2978">
              <w:rPr>
                <w:rFonts w:asciiTheme="minorEastAsia" w:eastAsiaTheme="minorEastAsia" w:hAnsiTheme="minorEastAsia" w:cs="宋体" w:hint="eastAsia"/>
                <w:color w:val="auto"/>
                <w:kern w:val="1"/>
                <w:szCs w:val="21"/>
              </w:rPr>
              <w:t>、投标产品定位数据能够接入南宁市公安局交通警察支队现有的指挥系统，包含数据接口的开发：</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▲①所提供的接口具有与交警支队现有指挥系统接口统一的标准规范；</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▲②所提供的接口转发数据采用Chap认证和Des加密，严格保障数据安全；</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③所提供的系统接口要求采用跨平台语言进行编写；</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④所提供的接口能够自动识别、分析获取的数据，能够将中心系统数据分类转给的各个指挥系统；</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⑤所提供的接口支持音视频数据的转发及转换，将音视频数据经分析后转发至的其它指挥系统；</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lastRenderedPageBreak/>
              <w:t>⑥所提供的接口支持断点续传、保持心跳、自动重连等多种方式来保证数据传输畅通；</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⑦所提供的接口有良好的兼容性和通用性，具备随时兼容新加入服务系统的功能，不需要再重新开发；同在中心系统接口软件在验收合格之一年内，在代码量不超过验收合格时30%，开发者都应给予修改；</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⑧所提供的接口具备一定的计算及统计功能，能够统计出在某段时间内的转发数据量。</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7</w:t>
            </w:r>
            <w:r w:rsidRPr="004F2978">
              <w:rPr>
                <w:rFonts w:asciiTheme="minorEastAsia" w:eastAsiaTheme="minorEastAsia" w:hAnsiTheme="minorEastAsia" w:cs="宋体" w:hint="eastAsia"/>
                <w:color w:val="auto"/>
                <w:kern w:val="1"/>
                <w:szCs w:val="21"/>
              </w:rPr>
              <w:t>、产品外壳上须清晰标明包括产品厂商、型号、电池容量等信息。</w:t>
            </w:r>
          </w:p>
        </w:tc>
        <w:tc>
          <w:tcPr>
            <w:tcW w:w="631"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lastRenderedPageBreak/>
              <w:t>2076000.00</w:t>
            </w:r>
          </w:p>
        </w:tc>
      </w:tr>
      <w:tr w:rsidR="0015494C" w:rsidRPr="004F2978" w:rsidTr="005F1C2D">
        <w:trPr>
          <w:jc w:val="center"/>
        </w:trPr>
        <w:tc>
          <w:tcPr>
            <w:tcW w:w="544"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lastRenderedPageBreak/>
              <w:t>2</w:t>
            </w:r>
          </w:p>
        </w:tc>
        <w:tc>
          <w:tcPr>
            <w:tcW w:w="655"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left"/>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50</w:t>
            </w:r>
            <w:r w:rsidRPr="004F2978">
              <w:rPr>
                <w:rFonts w:asciiTheme="minorEastAsia" w:eastAsiaTheme="minorEastAsia" w:hAnsiTheme="minorEastAsia" w:cs="宋体" w:hint="eastAsia"/>
                <w:color w:val="auto"/>
                <w:kern w:val="1"/>
                <w:szCs w:val="21"/>
              </w:rPr>
              <w:t>兆</w:t>
            </w:r>
            <w:r w:rsidRPr="004F2978">
              <w:rPr>
                <w:rFonts w:asciiTheme="minorEastAsia" w:eastAsiaTheme="minorEastAsia" w:hAnsiTheme="minorEastAsia" w:cs="宋体"/>
                <w:color w:val="auto"/>
                <w:kern w:val="1"/>
                <w:szCs w:val="21"/>
              </w:rPr>
              <w:t>PDT</w:t>
            </w:r>
            <w:r w:rsidRPr="004F2978">
              <w:rPr>
                <w:rFonts w:asciiTheme="minorEastAsia" w:eastAsiaTheme="minorEastAsia" w:hAnsiTheme="minorEastAsia" w:cs="宋体" w:hint="eastAsia"/>
                <w:color w:val="auto"/>
                <w:kern w:val="1"/>
                <w:szCs w:val="21"/>
              </w:rPr>
              <w:t>数字集群对讲机终端加密卡</w:t>
            </w:r>
          </w:p>
        </w:tc>
        <w:tc>
          <w:tcPr>
            <w:tcW w:w="40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w:t>
            </w:r>
            <w:r w:rsidRPr="004F2978">
              <w:rPr>
                <w:rFonts w:asciiTheme="minorEastAsia" w:eastAsiaTheme="minorEastAsia" w:hAnsiTheme="minorEastAsia" w:cs="宋体"/>
                <w:color w:val="auto"/>
                <w:kern w:val="1"/>
                <w:szCs w:val="21"/>
              </w:rPr>
              <w:t>200</w:t>
            </w:r>
            <w:r w:rsidRPr="004F2978">
              <w:rPr>
                <w:rFonts w:asciiTheme="minorEastAsia" w:eastAsiaTheme="minorEastAsia" w:hAnsiTheme="minorEastAsia" w:cs="宋体" w:hint="eastAsia"/>
                <w:color w:val="auto"/>
                <w:kern w:val="1"/>
                <w:szCs w:val="21"/>
              </w:rPr>
              <w:t>张</w:t>
            </w:r>
          </w:p>
        </w:tc>
        <w:tc>
          <w:tcPr>
            <w:tcW w:w="277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1、使用国家密码管理局认可的商用密码算法，作为专用的安全硬件模块生成、存储和使用鉴权及端到端加密主密钥；</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2、密码芯片具有自主知识产权；加密处理性能≥200Mb/s；</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3、可支持不少于100个加密通话组 ；</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4、接口响应时间不大于30ms。</w:t>
            </w:r>
          </w:p>
        </w:tc>
        <w:tc>
          <w:tcPr>
            <w:tcW w:w="631"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396000.00</w:t>
            </w:r>
          </w:p>
        </w:tc>
      </w:tr>
      <w:tr w:rsidR="0015494C" w:rsidRPr="004F2978" w:rsidTr="005F1C2D">
        <w:trPr>
          <w:jc w:val="center"/>
        </w:trPr>
        <w:tc>
          <w:tcPr>
            <w:tcW w:w="544"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p>
        </w:tc>
        <w:tc>
          <w:tcPr>
            <w:tcW w:w="655"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left"/>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3</w:t>
            </w:r>
            <w:r w:rsidRPr="004F2978">
              <w:rPr>
                <w:rFonts w:asciiTheme="minorEastAsia" w:eastAsiaTheme="minorEastAsia" w:hAnsiTheme="minorEastAsia" w:cs="宋体"/>
                <w:color w:val="auto"/>
                <w:kern w:val="1"/>
                <w:szCs w:val="21"/>
              </w:rPr>
              <w:t>50</w:t>
            </w:r>
            <w:r w:rsidRPr="004F2978">
              <w:rPr>
                <w:rFonts w:asciiTheme="minorEastAsia" w:eastAsiaTheme="minorEastAsia" w:hAnsiTheme="minorEastAsia" w:cs="宋体" w:hint="eastAsia"/>
                <w:color w:val="auto"/>
                <w:kern w:val="1"/>
                <w:szCs w:val="21"/>
              </w:rPr>
              <w:t>兆</w:t>
            </w:r>
            <w:r w:rsidRPr="004F2978">
              <w:rPr>
                <w:rFonts w:asciiTheme="minorEastAsia" w:eastAsiaTheme="minorEastAsia" w:hAnsiTheme="minorEastAsia" w:cs="宋体"/>
                <w:color w:val="auto"/>
                <w:kern w:val="1"/>
                <w:szCs w:val="21"/>
              </w:rPr>
              <w:t>PDT</w:t>
            </w:r>
            <w:r w:rsidRPr="004F2978">
              <w:rPr>
                <w:rFonts w:asciiTheme="minorEastAsia" w:eastAsiaTheme="minorEastAsia" w:hAnsiTheme="minorEastAsia" w:cs="宋体" w:hint="eastAsia"/>
                <w:color w:val="auto"/>
                <w:kern w:val="1"/>
                <w:szCs w:val="21"/>
              </w:rPr>
              <w:t>数字集群对讲机耳麦</w:t>
            </w:r>
          </w:p>
        </w:tc>
        <w:tc>
          <w:tcPr>
            <w:tcW w:w="40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100个</w:t>
            </w:r>
          </w:p>
        </w:tc>
        <w:tc>
          <w:tcPr>
            <w:tcW w:w="2770"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bCs/>
                <w:color w:val="auto"/>
                <w:kern w:val="1"/>
                <w:szCs w:val="21"/>
              </w:rPr>
            </w:pPr>
            <w:r w:rsidRPr="004F2978">
              <w:rPr>
                <w:rFonts w:asciiTheme="minorEastAsia" w:eastAsiaTheme="minorEastAsia" w:hAnsiTheme="minorEastAsia" w:cs="宋体" w:hint="eastAsia"/>
                <w:bCs/>
                <w:color w:val="auto"/>
                <w:kern w:val="1"/>
                <w:szCs w:val="21"/>
              </w:rPr>
              <w:t>1、功率≤10mw；</w:t>
            </w:r>
          </w:p>
          <w:p w:rsidR="0015494C" w:rsidRPr="004F2978" w:rsidRDefault="0015494C" w:rsidP="005F1C2D">
            <w:pPr>
              <w:spacing w:line="360" w:lineRule="auto"/>
              <w:rPr>
                <w:rFonts w:asciiTheme="minorEastAsia" w:eastAsiaTheme="minorEastAsia" w:hAnsiTheme="minorEastAsia" w:cs="宋体"/>
                <w:bCs/>
                <w:color w:val="auto"/>
                <w:kern w:val="1"/>
                <w:szCs w:val="21"/>
              </w:rPr>
            </w:pPr>
            <w:r w:rsidRPr="004F2978">
              <w:rPr>
                <w:rFonts w:asciiTheme="minorEastAsia" w:eastAsiaTheme="minorEastAsia" w:hAnsiTheme="minorEastAsia" w:cs="宋体" w:hint="eastAsia"/>
                <w:bCs/>
                <w:color w:val="auto"/>
                <w:kern w:val="1"/>
                <w:szCs w:val="21"/>
              </w:rPr>
              <w:t>2、阻抗≤90；</w:t>
            </w:r>
          </w:p>
          <w:p w:rsidR="0015494C" w:rsidRPr="004F2978" w:rsidRDefault="0015494C" w:rsidP="005F1C2D">
            <w:pPr>
              <w:spacing w:line="360" w:lineRule="auto"/>
              <w:rPr>
                <w:rFonts w:asciiTheme="minorEastAsia" w:eastAsiaTheme="minorEastAsia" w:hAnsiTheme="minorEastAsia" w:cs="宋体"/>
                <w:bCs/>
                <w:color w:val="auto"/>
                <w:kern w:val="1"/>
                <w:szCs w:val="21"/>
              </w:rPr>
            </w:pPr>
            <w:r w:rsidRPr="004F2978">
              <w:rPr>
                <w:rFonts w:asciiTheme="minorEastAsia" w:eastAsiaTheme="minorEastAsia" w:hAnsiTheme="minorEastAsia" w:cs="宋体" w:hint="eastAsia"/>
                <w:bCs/>
                <w:color w:val="auto"/>
                <w:kern w:val="1"/>
                <w:szCs w:val="21"/>
              </w:rPr>
              <w:t>3、支持PTT按钮功能；</w:t>
            </w:r>
          </w:p>
          <w:p w:rsidR="0015494C" w:rsidRPr="004F2978" w:rsidRDefault="0015494C" w:rsidP="005F1C2D">
            <w:pPr>
              <w:spacing w:line="360" w:lineRule="auto"/>
              <w:rPr>
                <w:rFonts w:asciiTheme="minorEastAsia" w:eastAsiaTheme="minorEastAsia" w:hAnsiTheme="minorEastAsia" w:cs="宋体"/>
                <w:bCs/>
                <w:color w:val="auto"/>
                <w:kern w:val="1"/>
                <w:szCs w:val="21"/>
              </w:rPr>
            </w:pPr>
            <w:r w:rsidRPr="004F2978">
              <w:rPr>
                <w:rFonts w:asciiTheme="minorEastAsia" w:eastAsiaTheme="minorEastAsia" w:hAnsiTheme="minorEastAsia" w:cs="宋体" w:hint="eastAsia"/>
                <w:bCs/>
                <w:color w:val="auto"/>
                <w:kern w:val="1"/>
                <w:szCs w:val="21"/>
              </w:rPr>
              <w:t>4、能够适配南宁市公安局交警支队现在使用的350兆对讲机。</w:t>
            </w:r>
          </w:p>
        </w:tc>
        <w:tc>
          <w:tcPr>
            <w:tcW w:w="631"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28000</w:t>
            </w:r>
            <w:r w:rsidRPr="004F2978">
              <w:rPr>
                <w:rFonts w:asciiTheme="minorEastAsia" w:eastAsiaTheme="minorEastAsia" w:hAnsiTheme="minorEastAsia" w:cs="宋体"/>
                <w:color w:val="auto"/>
                <w:kern w:val="1"/>
                <w:szCs w:val="21"/>
              </w:rPr>
              <w:t>.00</w:t>
            </w:r>
          </w:p>
        </w:tc>
      </w:tr>
      <w:tr w:rsidR="0015494C" w:rsidRPr="004F2978" w:rsidTr="005F1C2D">
        <w:trPr>
          <w:jc w:val="center"/>
        </w:trPr>
        <w:tc>
          <w:tcPr>
            <w:tcW w:w="544"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4</w:t>
            </w:r>
          </w:p>
        </w:tc>
        <w:tc>
          <w:tcPr>
            <w:tcW w:w="4456" w:type="pct"/>
            <w:gridSpan w:val="4"/>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投标人应根据上述技术要求，在投标文件中提供针对本项目的技术实施方案，方案内容包括但不限于项目实施进度安排、保障措施、风险预见、风险应对措施、项目管理方案、组织机构安排、人员投入等内容。</w:t>
            </w:r>
          </w:p>
        </w:tc>
      </w:tr>
      <w:tr w:rsidR="0015494C" w:rsidRPr="004F2978" w:rsidTr="005F1C2D">
        <w:trPr>
          <w:trHeight w:val="1347"/>
          <w:jc w:val="center"/>
        </w:trPr>
        <w:tc>
          <w:tcPr>
            <w:tcW w:w="544" w:type="pct"/>
            <w:tcBorders>
              <w:top w:val="single" w:sz="4" w:space="0" w:color="auto"/>
              <w:left w:val="single" w:sz="4" w:space="0" w:color="auto"/>
              <w:bottom w:val="single" w:sz="4" w:space="0" w:color="auto"/>
              <w:right w:val="single" w:sz="4" w:space="0" w:color="auto"/>
            </w:tcBorders>
            <w:vAlign w:val="center"/>
          </w:tcPr>
          <w:p w:rsidR="0015494C" w:rsidRPr="004F2978" w:rsidRDefault="0015494C" w:rsidP="005F1C2D">
            <w:pPr>
              <w:spacing w:line="360" w:lineRule="auto"/>
              <w:jc w:val="center"/>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▲商务条款</w:t>
            </w:r>
          </w:p>
        </w:tc>
        <w:tc>
          <w:tcPr>
            <w:tcW w:w="4456" w:type="pct"/>
            <w:gridSpan w:val="4"/>
            <w:tcBorders>
              <w:top w:val="single" w:sz="4" w:space="0" w:color="auto"/>
              <w:left w:val="single" w:sz="4" w:space="0" w:color="auto"/>
              <w:bottom w:val="single" w:sz="4" w:space="0" w:color="auto"/>
              <w:right w:val="single" w:sz="4" w:space="0" w:color="auto"/>
            </w:tcBorders>
          </w:tcPr>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一、合同签订期：自中标通知书发出之日起30日内；</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二、交货期：自合同签订之日起</w:t>
            </w:r>
            <w:r w:rsidRPr="004F2978">
              <w:rPr>
                <w:rFonts w:asciiTheme="minorEastAsia" w:eastAsiaTheme="minorEastAsia" w:hAnsiTheme="minorEastAsia" w:cs="宋体"/>
                <w:color w:val="auto"/>
                <w:kern w:val="1"/>
                <w:szCs w:val="21"/>
              </w:rPr>
              <w:t>15</w:t>
            </w:r>
            <w:r w:rsidRPr="004F2978">
              <w:rPr>
                <w:rFonts w:asciiTheme="minorEastAsia" w:eastAsiaTheme="minorEastAsia" w:hAnsiTheme="minorEastAsia" w:cs="宋体" w:hint="eastAsia"/>
                <w:color w:val="auto"/>
                <w:kern w:val="1"/>
                <w:szCs w:val="21"/>
              </w:rPr>
              <w:t>日内；</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三、交货地点：采购人指定地点（南宁市）；</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lastRenderedPageBreak/>
              <w:t>四、交货方式：现场交货；</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五、售后服务要求：</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、对讲机主机质保期2年，对讲机电池、对讲机耳麦质保期1年（自交货并验收合格之日起计）；</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、故障响应时间：中标人应在接到采购人通知后</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个小时内现场维护响应，故障</w:t>
            </w: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小时内排除，如不能排除故障，在</w:t>
            </w:r>
            <w:r w:rsidRPr="004F2978">
              <w:rPr>
                <w:rFonts w:asciiTheme="minorEastAsia" w:eastAsiaTheme="minorEastAsia" w:hAnsiTheme="minorEastAsia" w:cs="宋体"/>
                <w:color w:val="auto"/>
                <w:kern w:val="1"/>
                <w:szCs w:val="21"/>
              </w:rPr>
              <w:t>8</w:t>
            </w:r>
            <w:r w:rsidRPr="004F2978">
              <w:rPr>
                <w:rFonts w:asciiTheme="minorEastAsia" w:eastAsiaTheme="minorEastAsia" w:hAnsiTheme="minorEastAsia" w:cs="宋体" w:hint="eastAsia"/>
                <w:color w:val="auto"/>
                <w:kern w:val="1"/>
                <w:szCs w:val="21"/>
              </w:rPr>
              <w:t>小时内提供不低于原设备标准的替代品；特殊情况无法修复的，质保期内成交供应商应无条件更换新设备。</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3</w:t>
            </w:r>
            <w:r w:rsidRPr="004F2978">
              <w:rPr>
                <w:rFonts w:asciiTheme="minorEastAsia" w:eastAsiaTheme="minorEastAsia" w:hAnsiTheme="minorEastAsia" w:cs="宋体" w:hint="eastAsia"/>
                <w:color w:val="auto"/>
                <w:kern w:val="1"/>
                <w:szCs w:val="21"/>
              </w:rPr>
              <w:t>、对讲机维保响应时间：接到采购人故障通知后</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小时到达现场。</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4</w:t>
            </w:r>
            <w:r w:rsidRPr="004F2978">
              <w:rPr>
                <w:rFonts w:asciiTheme="minorEastAsia" w:eastAsiaTheme="minorEastAsia" w:hAnsiTheme="minorEastAsia" w:cs="宋体" w:hint="eastAsia"/>
                <w:color w:val="auto"/>
                <w:kern w:val="1"/>
                <w:szCs w:val="21"/>
              </w:rPr>
              <w:t>、技术保障：中标人能提供各产品</w:t>
            </w:r>
            <w:r w:rsidRPr="004F2978">
              <w:rPr>
                <w:rFonts w:asciiTheme="minorEastAsia" w:eastAsiaTheme="minorEastAsia" w:hAnsiTheme="minorEastAsia" w:cs="宋体"/>
                <w:color w:val="auto"/>
                <w:kern w:val="1"/>
                <w:szCs w:val="21"/>
              </w:rPr>
              <w:t>7</w:t>
            </w: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24</w:t>
            </w:r>
            <w:r w:rsidRPr="004F2978">
              <w:rPr>
                <w:rFonts w:asciiTheme="minorEastAsia" w:eastAsiaTheme="minorEastAsia" w:hAnsiTheme="minorEastAsia" w:cs="宋体" w:hint="eastAsia"/>
                <w:color w:val="auto"/>
                <w:kern w:val="1"/>
                <w:szCs w:val="21"/>
              </w:rPr>
              <w:t>小时上门、电话、</w:t>
            </w:r>
            <w:r w:rsidRPr="004F2978">
              <w:rPr>
                <w:rFonts w:asciiTheme="minorEastAsia" w:eastAsiaTheme="minorEastAsia" w:hAnsiTheme="minorEastAsia" w:cs="宋体"/>
                <w:color w:val="auto"/>
                <w:kern w:val="1"/>
                <w:szCs w:val="21"/>
              </w:rPr>
              <w:t>E-mail</w:t>
            </w:r>
            <w:r w:rsidRPr="004F2978">
              <w:rPr>
                <w:rFonts w:asciiTheme="minorEastAsia" w:eastAsiaTheme="minorEastAsia" w:hAnsiTheme="minorEastAsia" w:cs="宋体" w:hint="eastAsia"/>
                <w:color w:val="auto"/>
                <w:kern w:val="1"/>
                <w:szCs w:val="21"/>
              </w:rPr>
              <w:t>等方式的售后技术支持服务；中标人承诺提供本地化技术后援支持，有</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名以上技术人员常驻南宁市提供售后服务（提供常驻南宁本地现场维护和服务人员的社保证明）。</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六、其他要求：</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、竞标报价为采购人指定地点的现场交货价，包括：</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）货物及标准附件、备品备件、专用工具的价格；</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）运输、装卸、调试、培训、技术支持、验收、售后服务等费用；</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3</w:t>
            </w:r>
            <w:r w:rsidRPr="004F2978">
              <w:rPr>
                <w:rFonts w:asciiTheme="minorEastAsia" w:eastAsiaTheme="minorEastAsia" w:hAnsiTheme="minorEastAsia" w:cs="宋体" w:hint="eastAsia"/>
                <w:color w:val="auto"/>
                <w:kern w:val="1"/>
                <w:szCs w:val="21"/>
              </w:rPr>
              <w:t>）必要的保险费用和各项税费；</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4</w:t>
            </w:r>
            <w:r w:rsidRPr="004F2978">
              <w:rPr>
                <w:rFonts w:asciiTheme="minorEastAsia" w:eastAsiaTheme="minorEastAsia" w:hAnsiTheme="minorEastAsia" w:cs="宋体" w:hint="eastAsia"/>
                <w:color w:val="auto"/>
                <w:kern w:val="1"/>
                <w:szCs w:val="21"/>
              </w:rPr>
              <w:t>）安装费用</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、付款方式：本项目无预付款，中标人交货完毕并经业主验收合格后，采购人支付合同款的</w:t>
            </w:r>
            <w:r w:rsidRPr="004F2978">
              <w:rPr>
                <w:rFonts w:asciiTheme="minorEastAsia" w:eastAsiaTheme="minorEastAsia" w:hAnsiTheme="minorEastAsia" w:cs="宋体"/>
                <w:color w:val="auto"/>
                <w:kern w:val="1"/>
                <w:szCs w:val="21"/>
              </w:rPr>
              <w:t>6</w:t>
            </w:r>
            <w:r w:rsidRPr="004F2978">
              <w:rPr>
                <w:rFonts w:asciiTheme="minorEastAsia" w:eastAsiaTheme="minorEastAsia" w:hAnsiTheme="minorEastAsia" w:cs="宋体" w:hint="eastAsia"/>
                <w:color w:val="auto"/>
                <w:kern w:val="1"/>
                <w:szCs w:val="21"/>
              </w:rPr>
              <w:t>0%；货物调试完毕，项目整体验收后，采购人支付剩余合同款。</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color w:val="auto"/>
                <w:kern w:val="1"/>
                <w:szCs w:val="21"/>
              </w:rPr>
              <w:t>3</w:t>
            </w:r>
            <w:r w:rsidRPr="004F2978">
              <w:rPr>
                <w:rFonts w:asciiTheme="minorEastAsia" w:eastAsiaTheme="minorEastAsia" w:hAnsiTheme="minorEastAsia" w:cs="宋体" w:hint="eastAsia"/>
                <w:color w:val="auto"/>
                <w:kern w:val="1"/>
                <w:szCs w:val="21"/>
              </w:rPr>
              <w:t>、货物验收条件及标准：</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1</w:t>
            </w:r>
            <w:r w:rsidRPr="004F2978">
              <w:rPr>
                <w:rFonts w:asciiTheme="minorEastAsia" w:eastAsiaTheme="minorEastAsia" w:hAnsiTheme="minorEastAsia" w:cs="宋体" w:hint="eastAsia"/>
                <w:color w:val="auto"/>
                <w:kern w:val="1"/>
                <w:szCs w:val="21"/>
              </w:rPr>
              <w:t>）为确保成交供应商提供所有货物须是厂家出厂标准配置提供的整套全新，具备正规合法经销渠道，符合相关标准要求的全新合格产品，所投产品须能通过厂家热线或网站得到原厂正品确认或注册。</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2</w:t>
            </w:r>
            <w:r w:rsidRPr="004F2978">
              <w:rPr>
                <w:rFonts w:asciiTheme="minorEastAsia" w:eastAsiaTheme="minorEastAsia" w:hAnsiTheme="minorEastAsia" w:cs="宋体" w:hint="eastAsia"/>
                <w:color w:val="auto"/>
                <w:kern w:val="1"/>
                <w:szCs w:val="21"/>
              </w:rPr>
              <w:t>）所投产品均严格按招标文件的技术规格要求、中标人响应和承诺的技术参数及性能和国家（设备制造国）等有关标准进行验收，达不到要求的不予验收，视为产品验收不合格，采购人可解除双方的供货合同。验收过程中所产生的一切费用均由中标人承担。报价时应考虑相关费用。在货物验收时由采购人对照招标文件的采购需求全面核对检验，对所有要求出具的证明文件的原件进行核查，如不符合招标文件的技术需求及要求以及提供虚假承诺的，按相关规定做不予接受</w:t>
            </w:r>
            <w:r w:rsidRPr="004F2978">
              <w:rPr>
                <w:rFonts w:asciiTheme="minorEastAsia" w:eastAsiaTheme="minorEastAsia" w:hAnsiTheme="minorEastAsia" w:cs="宋体" w:hint="eastAsia"/>
                <w:color w:val="auto"/>
                <w:kern w:val="1"/>
                <w:szCs w:val="21"/>
              </w:rPr>
              <w:lastRenderedPageBreak/>
              <w:t>服务处理及违约处理，中标人承担所有责任和费用，采购人保留进一步追究责任的权利。</w:t>
            </w:r>
          </w:p>
          <w:p w:rsidR="0015494C" w:rsidRPr="004F2978" w:rsidRDefault="0015494C" w:rsidP="005F1C2D">
            <w:pPr>
              <w:widowControl/>
              <w:shd w:val="clear" w:color="auto" w:fill="FFFFFF"/>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w:t>
            </w:r>
            <w:r w:rsidRPr="004F2978">
              <w:rPr>
                <w:rFonts w:asciiTheme="minorEastAsia" w:eastAsiaTheme="minorEastAsia" w:hAnsiTheme="minorEastAsia" w:cs="宋体"/>
                <w:color w:val="auto"/>
                <w:kern w:val="1"/>
                <w:szCs w:val="21"/>
              </w:rPr>
              <w:t>3</w:t>
            </w:r>
            <w:r w:rsidRPr="004F2978">
              <w:rPr>
                <w:rFonts w:asciiTheme="minorEastAsia" w:eastAsiaTheme="minorEastAsia" w:hAnsiTheme="minorEastAsia" w:cs="宋体" w:hint="eastAsia"/>
                <w:color w:val="auto"/>
                <w:kern w:val="1"/>
                <w:szCs w:val="21"/>
              </w:rPr>
              <w:t>）交货时中标人提供制造商针对本项目投标产品的授权书或有效供货证明，以上材料不全者，视为产品验收不合格，采购单位有权不予验收，中标人必须在2个工作日内完成问题整改。（投标时须在投标文件中提供满足上述要求的承诺函原件并加盖投标人公章）</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4）质保期内，如果发现设备问题，由投标人到有资质的检测机构进行检测，若检测结果与应标参数不符，由投标人负责更换全新符合要求的设备，检测和更换全新设备所产生的费用由中标人自行承担，采购人不再支付。</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4、本项目采购预算为人民币：2500000.00元。投标人的投标报价不得超过分项预算合价和预算总价，否则投标无效。</w:t>
            </w:r>
          </w:p>
          <w:p w:rsidR="0015494C" w:rsidRPr="004F2978" w:rsidRDefault="0015494C" w:rsidP="005F1C2D">
            <w:pPr>
              <w:spacing w:line="360" w:lineRule="auto"/>
              <w:rPr>
                <w:rFonts w:asciiTheme="minorEastAsia" w:eastAsiaTheme="minorEastAsia" w:hAnsiTheme="minorEastAsia" w:cs="宋体"/>
                <w:color w:val="auto"/>
                <w:kern w:val="1"/>
                <w:szCs w:val="21"/>
                <w:u w:val="single"/>
              </w:rPr>
            </w:pPr>
            <w:r w:rsidRPr="004F2978">
              <w:rPr>
                <w:rFonts w:asciiTheme="minorEastAsia" w:eastAsiaTheme="minorEastAsia" w:hAnsiTheme="minorEastAsia" w:cs="宋体" w:hint="eastAsia"/>
                <w:color w:val="auto"/>
                <w:kern w:val="1"/>
                <w:szCs w:val="21"/>
              </w:rPr>
              <w:t>5、本项目核心产品为：</w:t>
            </w:r>
            <w:r w:rsidRPr="004F2978">
              <w:rPr>
                <w:rFonts w:asciiTheme="minorEastAsia" w:eastAsiaTheme="minorEastAsia" w:hAnsiTheme="minorEastAsia" w:cs="宋体" w:hint="eastAsia"/>
                <w:color w:val="auto"/>
                <w:kern w:val="1"/>
                <w:szCs w:val="21"/>
                <w:u w:val="single"/>
              </w:rPr>
              <w:t>第1项。核心产品品牌相同的，视为提供同品牌产品。提供相同品牌产品且通过资格审查、符合性审查的不同投标人参加同一合同项下投标的，按一家投标人计算，评审后得分最高的同品牌投标人获得中标候选人推荐资格。</w:t>
            </w:r>
          </w:p>
          <w:p w:rsidR="0015494C" w:rsidRPr="004F2978" w:rsidRDefault="0015494C" w:rsidP="005F1C2D">
            <w:pPr>
              <w:spacing w:line="360" w:lineRule="auto"/>
              <w:rPr>
                <w:rFonts w:asciiTheme="minorEastAsia" w:eastAsiaTheme="minorEastAsia" w:hAnsiTheme="minorEastAsia" w:cs="宋体"/>
                <w:color w:val="auto"/>
                <w:kern w:val="1"/>
                <w:szCs w:val="21"/>
              </w:rPr>
            </w:pPr>
            <w:r w:rsidRPr="004F2978">
              <w:rPr>
                <w:rFonts w:asciiTheme="minorEastAsia" w:eastAsiaTheme="minorEastAsia" w:hAnsiTheme="minorEastAsia" w:cs="宋体" w:hint="eastAsia"/>
                <w:color w:val="auto"/>
                <w:kern w:val="1"/>
                <w:szCs w:val="21"/>
              </w:rPr>
              <w:t>6、不接受进口产品投标。投标人所投产品为进口产品的，投标无效。</w:t>
            </w:r>
          </w:p>
        </w:tc>
      </w:tr>
    </w:tbl>
    <w:p w:rsidR="00B22ABD" w:rsidRPr="0015494C" w:rsidRDefault="00B22ABD"/>
    <w:sectPr w:rsidR="00B22ABD" w:rsidRPr="00154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BD" w:rsidRDefault="00B22ABD" w:rsidP="0015494C">
      <w:pPr>
        <w:spacing w:line="240" w:lineRule="auto"/>
      </w:pPr>
      <w:r>
        <w:separator/>
      </w:r>
    </w:p>
  </w:endnote>
  <w:endnote w:type="continuationSeparator" w:id="1">
    <w:p w:rsidR="00B22ABD" w:rsidRDefault="00B22ABD" w:rsidP="001549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BD" w:rsidRDefault="00B22ABD" w:rsidP="0015494C">
      <w:pPr>
        <w:spacing w:line="240" w:lineRule="auto"/>
      </w:pPr>
      <w:r>
        <w:separator/>
      </w:r>
    </w:p>
  </w:footnote>
  <w:footnote w:type="continuationSeparator" w:id="1">
    <w:p w:rsidR="00B22ABD" w:rsidRDefault="00B22ABD" w:rsidP="0015494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94C"/>
    <w:rsid w:val="0015494C"/>
    <w:rsid w:val="00B22A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4C"/>
    <w:pPr>
      <w:widowControl w:val="0"/>
      <w:spacing w:line="360" w:lineRule="atLeast"/>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94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15494C"/>
    <w:rPr>
      <w:sz w:val="18"/>
      <w:szCs w:val="18"/>
    </w:rPr>
  </w:style>
  <w:style w:type="paragraph" w:styleId="a4">
    <w:name w:val="footer"/>
    <w:basedOn w:val="a"/>
    <w:link w:val="Char0"/>
    <w:uiPriority w:val="99"/>
    <w:semiHidden/>
    <w:unhideWhenUsed/>
    <w:rsid w:val="0015494C"/>
    <w:pPr>
      <w:tabs>
        <w:tab w:val="center" w:pos="4153"/>
        <w:tab w:val="right" w:pos="8306"/>
      </w:tabs>
      <w:snapToGrid w:val="0"/>
      <w:spacing w:line="240" w:lineRule="auto"/>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semiHidden/>
    <w:rsid w:val="0015494C"/>
    <w:rPr>
      <w:sz w:val="18"/>
      <w:szCs w:val="18"/>
    </w:rPr>
  </w:style>
  <w:style w:type="paragraph" w:styleId="a5">
    <w:name w:val="Plain Text"/>
    <w:aliases w:val="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普通文"/>
    <w:basedOn w:val="a"/>
    <w:link w:val="Char2"/>
    <w:qFormat/>
    <w:rsid w:val="0015494C"/>
    <w:rPr>
      <w:rFonts w:ascii="宋体" w:hAnsi="宋体"/>
      <w:kern w:val="1"/>
      <w:szCs w:val="20"/>
    </w:rPr>
  </w:style>
  <w:style w:type="character" w:customStyle="1" w:styleId="Char1">
    <w:name w:val="纯文本 Char"/>
    <w:basedOn w:val="a0"/>
    <w:link w:val="a5"/>
    <w:uiPriority w:val="99"/>
    <w:semiHidden/>
    <w:rsid w:val="0015494C"/>
    <w:rPr>
      <w:rFonts w:ascii="宋体" w:eastAsia="宋体" w:hAnsi="Courier New" w:cs="Courier New"/>
      <w:color w:val="000000"/>
      <w:kern w:val="0"/>
      <w:szCs w:val="21"/>
    </w:rPr>
  </w:style>
  <w:style w:type="character" w:customStyle="1" w:styleId="Char2">
    <w:name w:val="纯文本 Char2"/>
    <w:aliases w:val="0921 Char3,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Char1"/>
    <w:link w:val="a5"/>
    <w:qFormat/>
    <w:rsid w:val="0015494C"/>
    <w:rPr>
      <w:rFonts w:ascii="宋体" w:eastAsia="宋体" w:hAnsi="宋体" w:cs="Times New Roman"/>
      <w:color w:val="000000"/>
      <w:kern w:val="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686</Words>
  <Characters>3916</Characters>
  <Application>Microsoft Office Word</Application>
  <DocSecurity>0</DocSecurity>
  <Lines>32</Lines>
  <Paragraphs>9</Paragraphs>
  <ScaleCrop>false</ScaleCrop>
  <Company>微软中国</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2020-05-06T04:44:00Z</dcterms:created>
  <dcterms:modified xsi:type="dcterms:W3CDTF">2020-05-06T04:44:00Z</dcterms:modified>
</cp:coreProperties>
</file>